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5288A" w14:textId="7B0E3D01" w:rsidR="00872C64" w:rsidRDefault="00C776D9">
      <w:pPr>
        <w:rPr>
          <w:b/>
          <w:sz w:val="36"/>
          <w:szCs w:val="36"/>
          <w:u w:val="single"/>
          <w:lang w:val="en-AU"/>
        </w:rPr>
      </w:pPr>
      <w:bookmarkStart w:id="0" w:name="_GoBack"/>
      <w:bookmarkEnd w:id="0"/>
      <w:r w:rsidRPr="00C776D9">
        <w:rPr>
          <w:b/>
          <w:sz w:val="36"/>
          <w:szCs w:val="36"/>
          <w:u w:val="single"/>
          <w:lang w:val="en-AU"/>
        </w:rPr>
        <w:t>Retirement Income Covenant Position Paper May 2018.</w:t>
      </w:r>
    </w:p>
    <w:p w14:paraId="6C473CFB" w14:textId="490A59BB" w:rsidR="00C7443A" w:rsidRDefault="00C7443A">
      <w:pPr>
        <w:rPr>
          <w:b/>
          <w:sz w:val="36"/>
          <w:szCs w:val="36"/>
          <w:u w:val="single"/>
          <w:lang w:val="en-AU"/>
        </w:rPr>
      </w:pPr>
      <w:r>
        <w:rPr>
          <w:b/>
          <w:sz w:val="36"/>
          <w:szCs w:val="36"/>
          <w:u w:val="single"/>
          <w:lang w:val="en-AU"/>
        </w:rPr>
        <w:t>Submission Response</w:t>
      </w:r>
      <w:r w:rsidR="00E37EFE">
        <w:rPr>
          <w:b/>
          <w:sz w:val="36"/>
          <w:szCs w:val="36"/>
          <w:u w:val="single"/>
          <w:lang w:val="en-AU"/>
        </w:rPr>
        <w:t>s</w:t>
      </w:r>
    </w:p>
    <w:p w14:paraId="4C2A7C34" w14:textId="45D0C342" w:rsidR="00C7443A" w:rsidRDefault="00C7443A">
      <w:pPr>
        <w:rPr>
          <w:b/>
          <w:sz w:val="28"/>
          <w:szCs w:val="28"/>
          <w:u w:val="single"/>
          <w:lang w:val="en-AU"/>
        </w:rPr>
      </w:pPr>
      <w:r>
        <w:rPr>
          <w:b/>
          <w:sz w:val="28"/>
          <w:szCs w:val="28"/>
          <w:u w:val="single"/>
          <w:lang w:val="en-AU"/>
        </w:rPr>
        <w:t xml:space="preserve">Covenant Principle 1 – </w:t>
      </w:r>
      <w:r w:rsidR="000226CA">
        <w:rPr>
          <w:b/>
          <w:sz w:val="28"/>
          <w:szCs w:val="28"/>
          <w:u w:val="single"/>
          <w:lang w:val="en-AU"/>
        </w:rPr>
        <w:t>r</w:t>
      </w:r>
      <w:r>
        <w:rPr>
          <w:b/>
          <w:sz w:val="28"/>
          <w:szCs w:val="28"/>
          <w:u w:val="single"/>
          <w:lang w:val="en-AU"/>
        </w:rPr>
        <w:t xml:space="preserve">etirement </w:t>
      </w:r>
      <w:r w:rsidR="00E37EFE">
        <w:rPr>
          <w:b/>
          <w:sz w:val="28"/>
          <w:szCs w:val="28"/>
          <w:u w:val="single"/>
          <w:lang w:val="en-AU"/>
        </w:rPr>
        <w:t>i</w:t>
      </w:r>
      <w:r>
        <w:rPr>
          <w:b/>
          <w:sz w:val="28"/>
          <w:szCs w:val="28"/>
          <w:u w:val="single"/>
          <w:lang w:val="en-AU"/>
        </w:rPr>
        <w:t xml:space="preserve">ncome </w:t>
      </w:r>
      <w:r w:rsidR="00E37EFE">
        <w:rPr>
          <w:b/>
          <w:sz w:val="28"/>
          <w:szCs w:val="28"/>
          <w:u w:val="single"/>
          <w:lang w:val="en-AU"/>
        </w:rPr>
        <w:t>s</w:t>
      </w:r>
      <w:r>
        <w:rPr>
          <w:b/>
          <w:sz w:val="28"/>
          <w:szCs w:val="28"/>
          <w:u w:val="single"/>
          <w:lang w:val="en-AU"/>
        </w:rPr>
        <w:t xml:space="preserve">trategy – </w:t>
      </w:r>
      <w:r w:rsidR="00E37EFE">
        <w:rPr>
          <w:b/>
          <w:sz w:val="28"/>
          <w:szCs w:val="28"/>
          <w:u w:val="single"/>
          <w:lang w:val="en-AU"/>
        </w:rPr>
        <w:t>n</w:t>
      </w:r>
      <w:r>
        <w:rPr>
          <w:b/>
          <w:sz w:val="28"/>
          <w:szCs w:val="28"/>
          <w:u w:val="single"/>
          <w:lang w:val="en-AU"/>
        </w:rPr>
        <w:t xml:space="preserve">o </w:t>
      </w:r>
      <w:r w:rsidR="00450ACF">
        <w:rPr>
          <w:b/>
          <w:sz w:val="28"/>
          <w:szCs w:val="28"/>
          <w:u w:val="single"/>
          <w:lang w:val="en-AU"/>
        </w:rPr>
        <w:t xml:space="preserve">further </w:t>
      </w:r>
      <w:r w:rsidR="00DF1A5A">
        <w:rPr>
          <w:b/>
          <w:sz w:val="28"/>
          <w:szCs w:val="28"/>
          <w:u w:val="single"/>
          <w:lang w:val="en-AU"/>
        </w:rPr>
        <w:t>information submitted.</w:t>
      </w:r>
    </w:p>
    <w:p w14:paraId="7A832422" w14:textId="77777777" w:rsidR="002F4EC8" w:rsidRDefault="00C7443A" w:rsidP="002F4EC8">
      <w:pPr>
        <w:rPr>
          <w:b/>
          <w:sz w:val="28"/>
          <w:szCs w:val="28"/>
          <w:u w:val="single"/>
          <w:lang w:val="en-AU"/>
        </w:rPr>
      </w:pPr>
      <w:r>
        <w:rPr>
          <w:b/>
          <w:sz w:val="28"/>
          <w:szCs w:val="28"/>
          <w:u w:val="single"/>
          <w:lang w:val="en-AU"/>
        </w:rPr>
        <w:t xml:space="preserve">Covenant Principle 2 – </w:t>
      </w:r>
      <w:r w:rsidR="002F4EC8">
        <w:rPr>
          <w:b/>
          <w:sz w:val="28"/>
          <w:szCs w:val="28"/>
          <w:u w:val="single"/>
          <w:lang w:val="en-AU"/>
        </w:rPr>
        <w:t>e</w:t>
      </w:r>
      <w:r>
        <w:rPr>
          <w:b/>
          <w:sz w:val="28"/>
          <w:szCs w:val="28"/>
          <w:u w:val="single"/>
          <w:lang w:val="en-AU"/>
        </w:rPr>
        <w:t xml:space="preserve">ngagement – </w:t>
      </w:r>
      <w:r w:rsidR="002F4EC8">
        <w:rPr>
          <w:b/>
          <w:sz w:val="28"/>
          <w:szCs w:val="28"/>
          <w:u w:val="single"/>
          <w:lang w:val="en-AU"/>
        </w:rPr>
        <w:t>no further information submitted.</w:t>
      </w:r>
    </w:p>
    <w:p w14:paraId="0D0FA246" w14:textId="0FCAC218" w:rsidR="00883C70" w:rsidRDefault="00883C70">
      <w:pPr>
        <w:rPr>
          <w:b/>
          <w:sz w:val="28"/>
          <w:szCs w:val="28"/>
          <w:u w:val="single"/>
          <w:lang w:val="en-AU"/>
        </w:rPr>
      </w:pPr>
      <w:r>
        <w:rPr>
          <w:b/>
          <w:sz w:val="28"/>
          <w:szCs w:val="28"/>
          <w:u w:val="single"/>
          <w:lang w:val="en-AU"/>
        </w:rPr>
        <w:t xml:space="preserve">Supporting Principle 3 – </w:t>
      </w:r>
      <w:r w:rsidR="00255E8D">
        <w:rPr>
          <w:b/>
          <w:sz w:val="28"/>
          <w:szCs w:val="28"/>
          <w:u w:val="single"/>
          <w:lang w:val="en-AU"/>
        </w:rPr>
        <w:t>d</w:t>
      </w:r>
      <w:r>
        <w:rPr>
          <w:b/>
          <w:sz w:val="28"/>
          <w:szCs w:val="28"/>
          <w:u w:val="single"/>
          <w:lang w:val="en-AU"/>
        </w:rPr>
        <w:t xml:space="preserve">efinition of a </w:t>
      </w:r>
      <w:r w:rsidR="00255E8D">
        <w:rPr>
          <w:b/>
          <w:sz w:val="28"/>
          <w:szCs w:val="28"/>
          <w:u w:val="single"/>
          <w:lang w:val="en-AU"/>
        </w:rPr>
        <w:t>c</w:t>
      </w:r>
      <w:r>
        <w:rPr>
          <w:b/>
          <w:sz w:val="28"/>
          <w:szCs w:val="28"/>
          <w:u w:val="single"/>
          <w:lang w:val="en-AU"/>
        </w:rPr>
        <w:t xml:space="preserve">omprehensive </w:t>
      </w:r>
      <w:r w:rsidR="00255E8D">
        <w:rPr>
          <w:b/>
          <w:sz w:val="28"/>
          <w:szCs w:val="28"/>
          <w:u w:val="single"/>
          <w:lang w:val="en-AU"/>
        </w:rPr>
        <w:t>i</w:t>
      </w:r>
      <w:r>
        <w:rPr>
          <w:b/>
          <w:sz w:val="28"/>
          <w:szCs w:val="28"/>
          <w:u w:val="single"/>
          <w:lang w:val="en-AU"/>
        </w:rPr>
        <w:t xml:space="preserve">ncome </w:t>
      </w:r>
      <w:r w:rsidR="00255E8D">
        <w:rPr>
          <w:b/>
          <w:sz w:val="28"/>
          <w:szCs w:val="28"/>
          <w:u w:val="single"/>
          <w:lang w:val="en-AU"/>
        </w:rPr>
        <w:t>p</w:t>
      </w:r>
      <w:r>
        <w:rPr>
          <w:b/>
          <w:sz w:val="28"/>
          <w:szCs w:val="28"/>
          <w:u w:val="single"/>
          <w:lang w:val="en-AU"/>
        </w:rPr>
        <w:t xml:space="preserve">roduct for </w:t>
      </w:r>
      <w:r w:rsidR="00255E8D">
        <w:rPr>
          <w:b/>
          <w:sz w:val="28"/>
          <w:szCs w:val="28"/>
          <w:u w:val="single"/>
          <w:lang w:val="en-AU"/>
        </w:rPr>
        <w:t>r</w:t>
      </w:r>
      <w:r>
        <w:rPr>
          <w:b/>
          <w:sz w:val="28"/>
          <w:szCs w:val="28"/>
          <w:u w:val="single"/>
          <w:lang w:val="en-AU"/>
        </w:rPr>
        <w:t>etirement</w:t>
      </w:r>
      <w:r w:rsidR="00255E8D">
        <w:rPr>
          <w:b/>
          <w:sz w:val="28"/>
          <w:szCs w:val="28"/>
          <w:u w:val="single"/>
          <w:lang w:val="en-AU"/>
        </w:rPr>
        <w:t xml:space="preserve"> – please refer to submission response below. </w:t>
      </w:r>
    </w:p>
    <w:p w14:paraId="1668DA5B" w14:textId="36EC3D62" w:rsidR="0065242F" w:rsidRDefault="0065242F">
      <w:pPr>
        <w:rPr>
          <w:lang w:val="en-AU"/>
        </w:rPr>
      </w:pPr>
      <w:r>
        <w:rPr>
          <w:lang w:val="en-AU"/>
        </w:rPr>
        <w:t>For Account-based pensions</w:t>
      </w:r>
      <w:r w:rsidR="007967D2">
        <w:rPr>
          <w:lang w:val="en-AU"/>
        </w:rPr>
        <w:t xml:space="preserve"> (including retirees’ superannuation income accounts)</w:t>
      </w:r>
      <w:r>
        <w:rPr>
          <w:lang w:val="en-AU"/>
        </w:rPr>
        <w:t xml:space="preserve">, </w:t>
      </w:r>
      <w:r w:rsidR="007967D2">
        <w:rPr>
          <w:lang w:val="en-AU"/>
        </w:rPr>
        <w:t>r</w:t>
      </w:r>
      <w:r>
        <w:rPr>
          <w:lang w:val="en-AU"/>
        </w:rPr>
        <w:t>etirees must adhere to the minimum drawdown rates provided in the table below:</w:t>
      </w:r>
    </w:p>
    <w:p w14:paraId="1FFBB584" w14:textId="24C64D58" w:rsidR="002254DA" w:rsidRPr="000E5FE9" w:rsidRDefault="002254DA">
      <w:pPr>
        <w:rPr>
          <w:b/>
          <w:sz w:val="28"/>
          <w:szCs w:val="28"/>
          <w:u w:val="single"/>
          <w:lang w:val="en-AU"/>
        </w:rPr>
      </w:pPr>
      <w:r w:rsidRPr="000E5FE9">
        <w:rPr>
          <w:b/>
          <w:sz w:val="28"/>
          <w:szCs w:val="28"/>
          <w:u w:val="single"/>
          <w:lang w:val="en-AU"/>
        </w:rPr>
        <w:t>Table 1</w:t>
      </w:r>
    </w:p>
    <w:p w14:paraId="45C70A1D" w14:textId="77777777" w:rsidR="002254DA" w:rsidRDefault="002254DA">
      <w:pPr>
        <w:rPr>
          <w:lang w:val="en-AU"/>
        </w:rPr>
      </w:pPr>
    </w:p>
    <w:tbl>
      <w:tblPr>
        <w:tblW w:w="0" w:type="auto"/>
        <w:tblCellMar>
          <w:top w:w="75" w:type="dxa"/>
          <w:left w:w="75" w:type="dxa"/>
          <w:bottom w:w="75" w:type="dxa"/>
          <w:right w:w="75" w:type="dxa"/>
        </w:tblCellMar>
        <w:tblLook w:val="04A0" w:firstRow="1" w:lastRow="0" w:firstColumn="1" w:lastColumn="0" w:noHBand="0" w:noVBand="1"/>
      </w:tblPr>
      <w:tblGrid>
        <w:gridCol w:w="801"/>
        <w:gridCol w:w="2347"/>
      </w:tblGrid>
      <w:tr w:rsidR="0065242F" w:rsidRPr="0065242F" w14:paraId="56D3CCD8"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F6FADD"/>
            <w:tcMar>
              <w:top w:w="120" w:type="dxa"/>
              <w:left w:w="120" w:type="dxa"/>
              <w:bottom w:w="120" w:type="dxa"/>
              <w:right w:w="120" w:type="dxa"/>
            </w:tcMar>
            <w:vAlign w:val="center"/>
            <w:hideMark/>
          </w:tcPr>
          <w:p w14:paraId="02B162D7" w14:textId="77777777" w:rsidR="0065242F" w:rsidRPr="0065242F" w:rsidRDefault="0065242F" w:rsidP="0065242F">
            <w:pPr>
              <w:spacing w:after="0" w:line="240" w:lineRule="auto"/>
              <w:jc w:val="center"/>
              <w:rPr>
                <w:rFonts w:eastAsia="Times New Roman" w:cstheme="minorHAnsi"/>
                <w:b/>
                <w:bCs/>
                <w:color w:val="222222"/>
                <w:sz w:val="24"/>
                <w:szCs w:val="24"/>
                <w:lang w:eastAsia="en-GB"/>
              </w:rPr>
            </w:pPr>
            <w:r w:rsidRPr="0065242F">
              <w:rPr>
                <w:rFonts w:eastAsia="Times New Roman" w:cstheme="minorHAnsi"/>
                <w:b/>
                <w:bCs/>
                <w:color w:val="222222"/>
                <w:sz w:val="24"/>
                <w:szCs w:val="24"/>
                <w:lang w:eastAsia="en-GB"/>
              </w:rPr>
              <w:t>Age</w:t>
            </w:r>
          </w:p>
        </w:tc>
        <w:tc>
          <w:tcPr>
            <w:tcW w:w="0" w:type="auto"/>
            <w:tcBorders>
              <w:top w:val="single" w:sz="2" w:space="0" w:color="999999"/>
              <w:left w:val="single" w:sz="2" w:space="0" w:color="999999"/>
              <w:bottom w:val="single" w:sz="2" w:space="0" w:color="999999"/>
              <w:right w:val="single" w:sz="2" w:space="0" w:color="999999"/>
            </w:tcBorders>
            <w:shd w:val="clear" w:color="auto" w:fill="F6FADD"/>
            <w:tcMar>
              <w:top w:w="120" w:type="dxa"/>
              <w:left w:w="120" w:type="dxa"/>
              <w:bottom w:w="120" w:type="dxa"/>
              <w:right w:w="120" w:type="dxa"/>
            </w:tcMar>
            <w:vAlign w:val="center"/>
            <w:hideMark/>
          </w:tcPr>
          <w:p w14:paraId="6A298B59" w14:textId="77777777" w:rsidR="0065242F" w:rsidRPr="0065242F" w:rsidRDefault="0065242F" w:rsidP="0065242F">
            <w:pPr>
              <w:spacing w:after="0" w:line="240" w:lineRule="auto"/>
              <w:jc w:val="center"/>
              <w:rPr>
                <w:rFonts w:eastAsia="Times New Roman" w:cstheme="minorHAnsi"/>
                <w:b/>
                <w:bCs/>
                <w:color w:val="222222"/>
                <w:sz w:val="24"/>
                <w:szCs w:val="24"/>
                <w:lang w:eastAsia="en-GB"/>
              </w:rPr>
            </w:pPr>
            <w:r w:rsidRPr="0065242F">
              <w:rPr>
                <w:rFonts w:eastAsia="Times New Roman" w:cstheme="minorHAnsi"/>
                <w:b/>
                <w:bCs/>
                <w:color w:val="222222"/>
                <w:sz w:val="24"/>
                <w:szCs w:val="24"/>
                <w:lang w:eastAsia="en-GB"/>
              </w:rPr>
              <w:t>Annual payment as a</w:t>
            </w:r>
            <w:r w:rsidRPr="0065242F">
              <w:rPr>
                <w:rFonts w:eastAsia="Times New Roman" w:cstheme="minorHAnsi"/>
                <w:b/>
                <w:bCs/>
                <w:color w:val="222222"/>
                <w:sz w:val="24"/>
                <w:szCs w:val="24"/>
                <w:lang w:eastAsia="en-GB"/>
              </w:rPr>
              <w:br/>
              <w:t>% of account balance</w:t>
            </w:r>
          </w:p>
        </w:tc>
      </w:tr>
      <w:tr w:rsidR="0065242F" w:rsidRPr="0065242F" w14:paraId="32EB1431"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16666073"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55-64</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708ED76B"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4%</w:t>
            </w:r>
          </w:p>
        </w:tc>
      </w:tr>
      <w:tr w:rsidR="0065242F" w:rsidRPr="0065242F" w14:paraId="5BB0C706"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7F725A10"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65-74</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60F615D7"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5%</w:t>
            </w:r>
          </w:p>
        </w:tc>
      </w:tr>
      <w:tr w:rsidR="0065242F" w:rsidRPr="0065242F" w14:paraId="75C7C0AA"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27D01CEE"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75-79</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75F29194"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6%</w:t>
            </w:r>
          </w:p>
        </w:tc>
      </w:tr>
      <w:tr w:rsidR="0065242F" w:rsidRPr="0065242F" w14:paraId="5AEF2B24"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0B373B2A"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80-84</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60E5620B"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7%</w:t>
            </w:r>
          </w:p>
        </w:tc>
      </w:tr>
      <w:tr w:rsidR="0065242F" w:rsidRPr="0065242F" w14:paraId="36464B9F"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2456FA8B"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85-89</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37D660A4"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9%</w:t>
            </w:r>
          </w:p>
        </w:tc>
      </w:tr>
      <w:tr w:rsidR="0065242F" w:rsidRPr="0065242F" w14:paraId="5611D1D3"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41CFD6A6"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90-94</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5D6A6782"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11%</w:t>
            </w:r>
          </w:p>
        </w:tc>
      </w:tr>
      <w:tr w:rsidR="0065242F" w:rsidRPr="0065242F" w14:paraId="0A3C83FE" w14:textId="77777777" w:rsidTr="0065242F">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04AB5F34"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95+</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3D6FEF4F" w14:textId="77777777" w:rsidR="0065242F" w:rsidRPr="0065242F" w:rsidRDefault="0065242F" w:rsidP="0065242F">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14%</w:t>
            </w:r>
          </w:p>
        </w:tc>
      </w:tr>
    </w:tbl>
    <w:p w14:paraId="4C0BD2B7" w14:textId="77777777" w:rsidR="0065242F" w:rsidRDefault="0065242F">
      <w:pPr>
        <w:rPr>
          <w:lang w:val="en-AU"/>
        </w:rPr>
      </w:pPr>
    </w:p>
    <w:p w14:paraId="135C7C87" w14:textId="77777777" w:rsidR="000D0317" w:rsidRDefault="00803773">
      <w:pPr>
        <w:rPr>
          <w:lang w:val="en-AU"/>
        </w:rPr>
      </w:pPr>
      <w:r>
        <w:rPr>
          <w:lang w:val="en-AU"/>
        </w:rPr>
        <w:t xml:space="preserve">Last year an annual </w:t>
      </w:r>
      <w:r w:rsidR="006232D2">
        <w:rPr>
          <w:lang w:val="en-AU"/>
        </w:rPr>
        <w:t xml:space="preserve">superannuation </w:t>
      </w:r>
      <w:r>
        <w:rPr>
          <w:lang w:val="en-AU"/>
        </w:rPr>
        <w:t>investment update seminar</w:t>
      </w:r>
      <w:r w:rsidR="00D17A2E">
        <w:rPr>
          <w:lang w:val="en-AU"/>
        </w:rPr>
        <w:t xml:space="preserve"> which I attended</w:t>
      </w:r>
      <w:r>
        <w:rPr>
          <w:lang w:val="en-AU"/>
        </w:rPr>
        <w:t xml:space="preserve">, </w:t>
      </w:r>
      <w:r w:rsidR="006D200C">
        <w:rPr>
          <w:lang w:val="en-AU"/>
        </w:rPr>
        <w:t>income accounts were described as</w:t>
      </w:r>
      <w:r>
        <w:rPr>
          <w:lang w:val="en-AU"/>
        </w:rPr>
        <w:t xml:space="preserve"> “designed to spend” accounts</w:t>
      </w:r>
      <w:r w:rsidR="00883C65">
        <w:rPr>
          <w:lang w:val="en-AU"/>
        </w:rPr>
        <w:t xml:space="preserve">. This of course is the option that </w:t>
      </w:r>
      <w:r>
        <w:rPr>
          <w:lang w:val="en-AU"/>
        </w:rPr>
        <w:t xml:space="preserve">many retirees choose to </w:t>
      </w:r>
      <w:r w:rsidR="00883C65">
        <w:rPr>
          <w:lang w:val="en-AU"/>
        </w:rPr>
        <w:t>exercise</w:t>
      </w:r>
      <w:r>
        <w:rPr>
          <w:lang w:val="en-AU"/>
        </w:rPr>
        <w:t xml:space="preserve"> over varying periods of time, and then receive part or full pension payments upon reaching pension age</w:t>
      </w:r>
      <w:r w:rsidR="004C366C">
        <w:rPr>
          <w:lang w:val="en-AU"/>
        </w:rPr>
        <w:t xml:space="preserve"> and satisfying the requirements of the assets and income tests.</w:t>
      </w:r>
    </w:p>
    <w:p w14:paraId="40D2888F" w14:textId="1DB65FE8" w:rsidR="00803773" w:rsidRDefault="000D0317">
      <w:pPr>
        <w:rPr>
          <w:lang w:val="en-AU"/>
        </w:rPr>
      </w:pPr>
      <w:r>
        <w:rPr>
          <w:lang w:val="en-AU"/>
        </w:rPr>
        <w:t>While this is understandable, considering the number of years that people spend in the workforce saving and investing toward their retirement nest eggs</w:t>
      </w:r>
      <w:r w:rsidR="00B316D6">
        <w:rPr>
          <w:lang w:val="en-AU"/>
        </w:rPr>
        <w:t xml:space="preserve"> and the enjoyment of retirement</w:t>
      </w:r>
      <w:r>
        <w:rPr>
          <w:lang w:val="en-AU"/>
        </w:rPr>
        <w:t>, until now, products such as CIPR’s</w:t>
      </w:r>
      <w:r w:rsidR="00B316D6">
        <w:rPr>
          <w:lang w:val="en-AU"/>
        </w:rPr>
        <w:t xml:space="preserve"> have not existed to encourage </w:t>
      </w:r>
      <w:r w:rsidR="00096729">
        <w:rPr>
          <w:lang w:val="en-AU"/>
        </w:rPr>
        <w:t xml:space="preserve">retirees to more actively focus on ensuring their money lasts. </w:t>
      </w:r>
    </w:p>
    <w:p w14:paraId="589B8D07" w14:textId="1E5741D0" w:rsidR="00803773" w:rsidRDefault="00803773">
      <w:pPr>
        <w:rPr>
          <w:lang w:val="en-AU"/>
        </w:rPr>
      </w:pPr>
      <w:r>
        <w:rPr>
          <w:lang w:val="en-AU"/>
        </w:rPr>
        <w:t xml:space="preserve">Even for many thrifty retirees the money can run out </w:t>
      </w:r>
      <w:r w:rsidR="00E654EA">
        <w:rPr>
          <w:lang w:val="en-AU"/>
        </w:rPr>
        <w:t>quickly</w:t>
      </w:r>
      <w:r>
        <w:rPr>
          <w:lang w:val="en-AU"/>
        </w:rPr>
        <w:t xml:space="preserve">, depending upon rates of investment returns and the overall account balances. </w:t>
      </w:r>
    </w:p>
    <w:p w14:paraId="1D06B89F" w14:textId="5F3D3B9F" w:rsidR="00E654EA" w:rsidRDefault="00E654EA">
      <w:pPr>
        <w:rPr>
          <w:lang w:val="en-AU"/>
        </w:rPr>
      </w:pPr>
      <w:r>
        <w:rPr>
          <w:lang w:val="en-AU"/>
        </w:rPr>
        <w:lastRenderedPageBreak/>
        <w:t xml:space="preserve">To encourage and incentivise retirees to more actively </w:t>
      </w:r>
      <w:r w:rsidR="002254DA">
        <w:rPr>
          <w:lang w:val="en-AU"/>
        </w:rPr>
        <w:t>seek longer-term durations for their retirement nest eggs to last, it is recommended that different minimum drawdown rates be considered</w:t>
      </w:r>
      <w:r w:rsidR="00B82C73">
        <w:rPr>
          <w:lang w:val="en-AU"/>
        </w:rPr>
        <w:t xml:space="preserve"> from those listed in Table 1 above.</w:t>
      </w:r>
      <w:r w:rsidR="002254DA">
        <w:rPr>
          <w:lang w:val="en-AU"/>
        </w:rPr>
        <w:t xml:space="preserve"> Table </w:t>
      </w:r>
      <w:r w:rsidR="007F40FC">
        <w:rPr>
          <w:lang w:val="en-AU"/>
        </w:rPr>
        <w:t xml:space="preserve">2 below provides suggested minimum alternative drawdown options: </w:t>
      </w:r>
    </w:p>
    <w:p w14:paraId="38E98BE2" w14:textId="3B05A183" w:rsidR="005F557C" w:rsidRDefault="005F557C" w:rsidP="005F557C">
      <w:pPr>
        <w:rPr>
          <w:b/>
          <w:sz w:val="28"/>
          <w:szCs w:val="28"/>
          <w:u w:val="single"/>
          <w:lang w:val="en-AU"/>
        </w:rPr>
      </w:pPr>
      <w:r w:rsidRPr="00F726FE">
        <w:rPr>
          <w:b/>
          <w:sz w:val="28"/>
          <w:szCs w:val="28"/>
          <w:u w:val="single"/>
          <w:lang w:val="en-AU"/>
        </w:rPr>
        <w:t>Table 2</w:t>
      </w:r>
      <w:r w:rsidR="00360768" w:rsidRPr="00F726FE">
        <w:rPr>
          <w:b/>
          <w:sz w:val="28"/>
          <w:szCs w:val="28"/>
          <w:u w:val="single"/>
          <w:lang w:val="en-AU"/>
        </w:rPr>
        <w:t xml:space="preserve"> – Proposed New Minimum Drawdown Rates for Trustees to </w:t>
      </w:r>
      <w:r w:rsidR="0095248D" w:rsidRPr="00F726FE">
        <w:rPr>
          <w:b/>
          <w:sz w:val="28"/>
          <w:szCs w:val="28"/>
          <w:u w:val="single"/>
          <w:lang w:val="en-AU"/>
        </w:rPr>
        <w:t>Follow</w:t>
      </w:r>
    </w:p>
    <w:p w14:paraId="6211E864" w14:textId="77777777" w:rsidR="00D4336E" w:rsidRPr="00F726FE" w:rsidRDefault="00D4336E" w:rsidP="005F557C">
      <w:pPr>
        <w:rPr>
          <w:b/>
          <w:sz w:val="28"/>
          <w:szCs w:val="28"/>
          <w:u w:val="single"/>
          <w:lang w:val="en-AU"/>
        </w:rPr>
      </w:pPr>
    </w:p>
    <w:tbl>
      <w:tblPr>
        <w:tblW w:w="0" w:type="auto"/>
        <w:tblCellMar>
          <w:top w:w="75" w:type="dxa"/>
          <w:left w:w="75" w:type="dxa"/>
          <w:bottom w:w="75" w:type="dxa"/>
          <w:right w:w="75" w:type="dxa"/>
        </w:tblCellMar>
        <w:tblLook w:val="04A0" w:firstRow="1" w:lastRow="0" w:firstColumn="1" w:lastColumn="0" w:noHBand="0" w:noVBand="1"/>
      </w:tblPr>
      <w:tblGrid>
        <w:gridCol w:w="1044"/>
        <w:gridCol w:w="2347"/>
      </w:tblGrid>
      <w:tr w:rsidR="00D8204F" w:rsidRPr="0065242F" w14:paraId="7A8626B6"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F6FADD"/>
            <w:tcMar>
              <w:top w:w="120" w:type="dxa"/>
              <w:left w:w="120" w:type="dxa"/>
              <w:bottom w:w="120" w:type="dxa"/>
              <w:right w:w="120" w:type="dxa"/>
            </w:tcMar>
            <w:vAlign w:val="center"/>
            <w:hideMark/>
          </w:tcPr>
          <w:p w14:paraId="006224F7" w14:textId="77777777" w:rsidR="00D8204F" w:rsidRPr="0065242F" w:rsidRDefault="00D8204F" w:rsidP="009B6F33">
            <w:pPr>
              <w:spacing w:after="0" w:line="240" w:lineRule="auto"/>
              <w:jc w:val="center"/>
              <w:rPr>
                <w:rFonts w:eastAsia="Times New Roman" w:cstheme="minorHAnsi"/>
                <w:b/>
                <w:bCs/>
                <w:color w:val="222222"/>
                <w:sz w:val="24"/>
                <w:szCs w:val="24"/>
                <w:lang w:eastAsia="en-GB"/>
              </w:rPr>
            </w:pPr>
            <w:r w:rsidRPr="0065242F">
              <w:rPr>
                <w:rFonts w:eastAsia="Times New Roman" w:cstheme="minorHAnsi"/>
                <w:b/>
                <w:bCs/>
                <w:color w:val="222222"/>
                <w:sz w:val="24"/>
                <w:szCs w:val="24"/>
                <w:lang w:eastAsia="en-GB"/>
              </w:rPr>
              <w:t>Age</w:t>
            </w:r>
          </w:p>
        </w:tc>
        <w:tc>
          <w:tcPr>
            <w:tcW w:w="0" w:type="auto"/>
            <w:tcBorders>
              <w:top w:val="single" w:sz="2" w:space="0" w:color="999999"/>
              <w:left w:val="single" w:sz="2" w:space="0" w:color="999999"/>
              <w:bottom w:val="single" w:sz="2" w:space="0" w:color="999999"/>
              <w:right w:val="single" w:sz="2" w:space="0" w:color="999999"/>
            </w:tcBorders>
            <w:shd w:val="clear" w:color="auto" w:fill="F6FADD"/>
            <w:tcMar>
              <w:top w:w="120" w:type="dxa"/>
              <w:left w:w="120" w:type="dxa"/>
              <w:bottom w:w="120" w:type="dxa"/>
              <w:right w:w="120" w:type="dxa"/>
            </w:tcMar>
            <w:vAlign w:val="center"/>
            <w:hideMark/>
          </w:tcPr>
          <w:p w14:paraId="5030C86F" w14:textId="77777777" w:rsidR="00D8204F" w:rsidRPr="0065242F" w:rsidRDefault="00D8204F" w:rsidP="009B6F33">
            <w:pPr>
              <w:spacing w:after="0" w:line="240" w:lineRule="auto"/>
              <w:jc w:val="center"/>
              <w:rPr>
                <w:rFonts w:eastAsia="Times New Roman" w:cstheme="minorHAnsi"/>
                <w:b/>
                <w:bCs/>
                <w:color w:val="222222"/>
                <w:sz w:val="24"/>
                <w:szCs w:val="24"/>
                <w:lang w:eastAsia="en-GB"/>
              </w:rPr>
            </w:pPr>
            <w:r w:rsidRPr="0065242F">
              <w:rPr>
                <w:rFonts w:eastAsia="Times New Roman" w:cstheme="minorHAnsi"/>
                <w:b/>
                <w:bCs/>
                <w:color w:val="222222"/>
                <w:sz w:val="24"/>
                <w:szCs w:val="24"/>
                <w:lang w:eastAsia="en-GB"/>
              </w:rPr>
              <w:t>Annual payment as a</w:t>
            </w:r>
            <w:r w:rsidRPr="0065242F">
              <w:rPr>
                <w:rFonts w:eastAsia="Times New Roman" w:cstheme="minorHAnsi"/>
                <w:b/>
                <w:bCs/>
                <w:color w:val="222222"/>
                <w:sz w:val="24"/>
                <w:szCs w:val="24"/>
                <w:lang w:eastAsia="en-GB"/>
              </w:rPr>
              <w:br/>
              <w:t>% of account balance</w:t>
            </w:r>
          </w:p>
        </w:tc>
      </w:tr>
      <w:tr w:rsidR="00D8204F" w:rsidRPr="0065242F" w14:paraId="729CD252"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0787FAEC" w14:textId="77777777"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55-64</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06B1EB4E" w14:textId="77777777"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4%</w:t>
            </w:r>
          </w:p>
        </w:tc>
      </w:tr>
      <w:tr w:rsidR="00D8204F" w:rsidRPr="0065242F" w14:paraId="07974382"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053D7C78" w14:textId="45AAFA0C"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65-</w:t>
            </w:r>
            <w:r>
              <w:rPr>
                <w:rFonts w:eastAsia="Times New Roman" w:cstheme="minorHAnsi"/>
                <w:color w:val="222222"/>
                <w:sz w:val="24"/>
                <w:szCs w:val="24"/>
                <w:lang w:eastAsia="en-GB"/>
              </w:rPr>
              <w:t>80</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22DCB1A1" w14:textId="77777777"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5%</w:t>
            </w:r>
          </w:p>
        </w:tc>
      </w:tr>
      <w:tr w:rsidR="00D8204F" w:rsidRPr="0065242F" w14:paraId="3DE345E6"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510599C8" w14:textId="715DCBB2" w:rsidR="00D8204F" w:rsidRPr="0065242F" w:rsidRDefault="00D8204F" w:rsidP="009B6F33">
            <w:pPr>
              <w:spacing w:after="0" w:line="240" w:lineRule="auto"/>
              <w:jc w:val="center"/>
              <w:rPr>
                <w:rFonts w:eastAsia="Times New Roman" w:cstheme="minorHAnsi"/>
                <w:color w:val="222222"/>
                <w:sz w:val="24"/>
                <w:szCs w:val="24"/>
                <w:lang w:eastAsia="en-GB"/>
              </w:rPr>
            </w:pPr>
            <w:r>
              <w:rPr>
                <w:rFonts w:eastAsia="Times New Roman" w:cstheme="minorHAnsi"/>
                <w:color w:val="222222"/>
                <w:sz w:val="24"/>
                <w:szCs w:val="24"/>
                <w:lang w:eastAsia="en-GB"/>
              </w:rPr>
              <w:t>81</w:t>
            </w:r>
            <w:r w:rsidRPr="0065242F">
              <w:rPr>
                <w:rFonts w:eastAsia="Times New Roman" w:cstheme="minorHAnsi"/>
                <w:color w:val="222222"/>
                <w:sz w:val="24"/>
                <w:szCs w:val="24"/>
                <w:lang w:eastAsia="en-GB"/>
              </w:rPr>
              <w:t>-9</w:t>
            </w:r>
            <w:r w:rsidR="009F646F">
              <w:rPr>
                <w:rFonts w:eastAsia="Times New Roman" w:cstheme="minorHAnsi"/>
                <w:color w:val="222222"/>
                <w:sz w:val="24"/>
                <w:szCs w:val="24"/>
                <w:lang w:eastAsia="en-GB"/>
              </w:rPr>
              <w:t>5</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5EE97967" w14:textId="77777777"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6%</w:t>
            </w:r>
          </w:p>
        </w:tc>
      </w:tr>
      <w:tr w:rsidR="00D8204F" w:rsidRPr="0065242F" w14:paraId="4D0EF792"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52FD6E75" w14:textId="117AE2A5" w:rsidR="00D8204F" w:rsidRPr="0065242F" w:rsidRDefault="00D8204F" w:rsidP="009B6F33">
            <w:pPr>
              <w:spacing w:after="0" w:line="240" w:lineRule="auto"/>
              <w:jc w:val="center"/>
              <w:rPr>
                <w:rFonts w:eastAsia="Times New Roman" w:cstheme="minorHAnsi"/>
                <w:color w:val="222222"/>
                <w:sz w:val="24"/>
                <w:szCs w:val="24"/>
                <w:lang w:eastAsia="en-GB"/>
              </w:rPr>
            </w:pPr>
            <w:r>
              <w:rPr>
                <w:rFonts w:eastAsia="Times New Roman" w:cstheme="minorHAnsi"/>
                <w:color w:val="222222"/>
                <w:sz w:val="24"/>
                <w:szCs w:val="24"/>
                <w:lang w:eastAsia="en-GB"/>
              </w:rPr>
              <w:t>9</w:t>
            </w:r>
            <w:r w:rsidR="009F646F">
              <w:rPr>
                <w:rFonts w:eastAsia="Times New Roman" w:cstheme="minorHAnsi"/>
                <w:color w:val="222222"/>
                <w:sz w:val="24"/>
                <w:szCs w:val="24"/>
                <w:lang w:eastAsia="en-GB"/>
              </w:rPr>
              <w:t>6</w:t>
            </w:r>
            <w:r>
              <w:rPr>
                <w:rFonts w:eastAsia="Times New Roman" w:cstheme="minorHAnsi"/>
                <w:color w:val="222222"/>
                <w:sz w:val="24"/>
                <w:szCs w:val="24"/>
                <w:lang w:eastAsia="en-GB"/>
              </w:rPr>
              <w:t>-105</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hideMark/>
          </w:tcPr>
          <w:p w14:paraId="5F83598A" w14:textId="77777777" w:rsidR="00D8204F" w:rsidRPr="0065242F" w:rsidRDefault="00D8204F" w:rsidP="009B6F33">
            <w:pPr>
              <w:spacing w:after="0" w:line="240" w:lineRule="auto"/>
              <w:jc w:val="center"/>
              <w:rPr>
                <w:rFonts w:eastAsia="Times New Roman" w:cstheme="minorHAnsi"/>
                <w:color w:val="222222"/>
                <w:sz w:val="24"/>
                <w:szCs w:val="24"/>
                <w:lang w:eastAsia="en-GB"/>
              </w:rPr>
            </w:pPr>
            <w:r w:rsidRPr="0065242F">
              <w:rPr>
                <w:rFonts w:eastAsia="Times New Roman" w:cstheme="minorHAnsi"/>
                <w:color w:val="222222"/>
                <w:sz w:val="24"/>
                <w:szCs w:val="24"/>
                <w:lang w:eastAsia="en-GB"/>
              </w:rPr>
              <w:t>7%</w:t>
            </w:r>
          </w:p>
        </w:tc>
      </w:tr>
      <w:tr w:rsidR="009E22ED" w:rsidRPr="0065242F" w14:paraId="3792976A" w14:textId="77777777" w:rsidTr="009B6F33">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tcPr>
          <w:p w14:paraId="0A1D0D51" w14:textId="49C6A740" w:rsidR="009E22ED" w:rsidRDefault="009E22ED" w:rsidP="009B6F33">
            <w:pPr>
              <w:spacing w:after="0" w:line="240" w:lineRule="auto"/>
              <w:jc w:val="center"/>
              <w:rPr>
                <w:rFonts w:eastAsia="Times New Roman" w:cstheme="minorHAnsi"/>
                <w:color w:val="222222"/>
                <w:sz w:val="24"/>
                <w:szCs w:val="24"/>
                <w:lang w:eastAsia="en-GB"/>
              </w:rPr>
            </w:pPr>
            <w:r>
              <w:rPr>
                <w:rFonts w:eastAsia="Times New Roman" w:cstheme="minorHAnsi"/>
                <w:color w:val="222222"/>
                <w:sz w:val="24"/>
                <w:szCs w:val="24"/>
                <w:lang w:eastAsia="en-GB"/>
              </w:rPr>
              <w:t>106-120</w:t>
            </w:r>
          </w:p>
        </w:tc>
        <w:tc>
          <w:tcPr>
            <w:tcW w:w="0" w:type="auto"/>
            <w:tcBorders>
              <w:top w:val="single" w:sz="2" w:space="0" w:color="999999"/>
              <w:left w:val="single" w:sz="2" w:space="0" w:color="999999"/>
              <w:bottom w:val="single" w:sz="2" w:space="0" w:color="999999"/>
              <w:right w:val="single" w:sz="2" w:space="0" w:color="999999"/>
            </w:tcBorders>
            <w:shd w:val="clear" w:color="auto" w:fill="auto"/>
            <w:tcMar>
              <w:top w:w="120" w:type="dxa"/>
              <w:left w:w="120" w:type="dxa"/>
              <w:bottom w:w="120" w:type="dxa"/>
              <w:right w:w="120" w:type="dxa"/>
            </w:tcMar>
            <w:vAlign w:val="center"/>
          </w:tcPr>
          <w:p w14:paraId="179483D7" w14:textId="78079B97" w:rsidR="009E22ED" w:rsidRPr="0065242F" w:rsidRDefault="009E22ED" w:rsidP="009B6F33">
            <w:pPr>
              <w:spacing w:after="0" w:line="240" w:lineRule="auto"/>
              <w:jc w:val="center"/>
              <w:rPr>
                <w:rFonts w:eastAsia="Times New Roman" w:cstheme="minorHAnsi"/>
                <w:color w:val="222222"/>
                <w:sz w:val="24"/>
                <w:szCs w:val="24"/>
                <w:lang w:eastAsia="en-GB"/>
              </w:rPr>
            </w:pPr>
            <w:r>
              <w:rPr>
                <w:rFonts w:eastAsia="Times New Roman" w:cstheme="minorHAnsi"/>
                <w:color w:val="222222"/>
                <w:sz w:val="24"/>
                <w:szCs w:val="24"/>
                <w:lang w:eastAsia="en-GB"/>
              </w:rPr>
              <w:t>8%</w:t>
            </w:r>
          </w:p>
        </w:tc>
      </w:tr>
    </w:tbl>
    <w:p w14:paraId="49654929" w14:textId="7F7AA103" w:rsidR="007F40FC" w:rsidRDefault="007F40FC">
      <w:pPr>
        <w:rPr>
          <w:lang w:val="en-AU"/>
        </w:rPr>
      </w:pPr>
    </w:p>
    <w:p w14:paraId="1E7FF58A" w14:textId="5DCF32B0" w:rsidR="00371DE1" w:rsidRDefault="00371DE1">
      <w:pPr>
        <w:rPr>
          <w:lang w:val="en-AU"/>
        </w:rPr>
      </w:pPr>
      <w:r>
        <w:rPr>
          <w:lang w:val="en-AU"/>
        </w:rPr>
        <w:t>This change will potentially achieve the following benefits:</w:t>
      </w:r>
    </w:p>
    <w:p w14:paraId="70D87768" w14:textId="68966119" w:rsidR="00371DE1" w:rsidRDefault="00371DE1" w:rsidP="00371DE1">
      <w:pPr>
        <w:pStyle w:val="ListParagraph"/>
        <w:numPr>
          <w:ilvl w:val="0"/>
          <w:numId w:val="1"/>
        </w:numPr>
        <w:rPr>
          <w:lang w:val="en-AU"/>
        </w:rPr>
      </w:pPr>
      <w:r>
        <w:rPr>
          <w:lang w:val="en-AU"/>
        </w:rPr>
        <w:t xml:space="preserve">Enabling retirees’ retirement money </w:t>
      </w:r>
      <w:r w:rsidR="0019493B">
        <w:rPr>
          <w:lang w:val="en-AU"/>
        </w:rPr>
        <w:t>to potentially</w:t>
      </w:r>
      <w:r>
        <w:rPr>
          <w:lang w:val="en-AU"/>
        </w:rPr>
        <w:t xml:space="preserve"> last longer, and;</w:t>
      </w:r>
    </w:p>
    <w:p w14:paraId="01C37EE8" w14:textId="50A1BE34" w:rsidR="00371DE1" w:rsidRDefault="00371DE1" w:rsidP="00371DE1">
      <w:pPr>
        <w:pStyle w:val="ListParagraph"/>
        <w:numPr>
          <w:ilvl w:val="0"/>
          <w:numId w:val="1"/>
        </w:numPr>
        <w:rPr>
          <w:lang w:val="en-AU"/>
        </w:rPr>
      </w:pPr>
      <w:r>
        <w:rPr>
          <w:lang w:val="en-AU"/>
        </w:rPr>
        <w:t xml:space="preserve">Reduce some retirees’ dependency upon aged pension payments. </w:t>
      </w:r>
    </w:p>
    <w:p w14:paraId="680AA1A9" w14:textId="6D8F2AF7" w:rsidR="00360768" w:rsidRDefault="00360768" w:rsidP="00360768">
      <w:pPr>
        <w:rPr>
          <w:lang w:val="en-AU"/>
        </w:rPr>
      </w:pPr>
      <w:r>
        <w:rPr>
          <w:lang w:val="en-AU"/>
        </w:rPr>
        <w:t xml:space="preserve">Another consideration for Trustees could be the requirement as much as possible to ensure that annual CIPR income payments </w:t>
      </w:r>
      <w:r w:rsidR="00714550">
        <w:rPr>
          <w:lang w:val="en-AU"/>
        </w:rPr>
        <w:t>to at least equal and preferably exceed</w:t>
      </w:r>
      <w:r w:rsidR="00586C51">
        <w:rPr>
          <w:lang w:val="en-AU"/>
        </w:rPr>
        <w:t xml:space="preserve"> the following:</w:t>
      </w:r>
    </w:p>
    <w:p w14:paraId="47A685E7" w14:textId="0632C6E4" w:rsidR="00586C51" w:rsidRPr="00586C51" w:rsidRDefault="00586C51" w:rsidP="00586C51">
      <w:pPr>
        <w:pStyle w:val="ListParagraph"/>
        <w:numPr>
          <w:ilvl w:val="0"/>
          <w:numId w:val="2"/>
        </w:numPr>
        <w:rPr>
          <w:lang w:val="en-AU"/>
        </w:rPr>
      </w:pPr>
      <w:r>
        <w:rPr>
          <w:lang w:val="en-AU"/>
        </w:rPr>
        <w:t>The Pensioner and Beneficiary Living Cost Index</w:t>
      </w:r>
      <w:r w:rsidR="00714550">
        <w:rPr>
          <w:lang w:val="en-AU"/>
        </w:rPr>
        <w:t xml:space="preserve"> annually. </w:t>
      </w:r>
    </w:p>
    <w:p w14:paraId="2378FA97" w14:textId="0C876C0F" w:rsidR="007F40FC" w:rsidRDefault="00236DCA">
      <w:pPr>
        <w:rPr>
          <w:b/>
          <w:sz w:val="28"/>
          <w:szCs w:val="28"/>
          <w:u w:val="single"/>
          <w:lang w:val="en-AU"/>
        </w:rPr>
      </w:pPr>
      <w:r>
        <w:rPr>
          <w:b/>
          <w:sz w:val="28"/>
          <w:szCs w:val="28"/>
          <w:u w:val="single"/>
          <w:lang w:val="en-AU"/>
        </w:rPr>
        <w:t>Supporting Principle 4 – Offering a Flagship CIPR</w:t>
      </w:r>
      <w:r w:rsidR="00110297">
        <w:rPr>
          <w:b/>
          <w:sz w:val="28"/>
          <w:szCs w:val="28"/>
          <w:u w:val="single"/>
          <w:lang w:val="en-AU"/>
        </w:rPr>
        <w:t>.</w:t>
      </w:r>
    </w:p>
    <w:p w14:paraId="2D195014" w14:textId="4C6E1653" w:rsidR="001A0BF5" w:rsidRDefault="001A0BF5">
      <w:pPr>
        <w:rPr>
          <w:lang w:val="en-AU"/>
        </w:rPr>
      </w:pPr>
      <w:r>
        <w:rPr>
          <w:lang w:val="en-AU"/>
        </w:rPr>
        <w:t xml:space="preserve">It is recommended that Trustees be able to offer </w:t>
      </w:r>
      <w:r w:rsidR="007A0D5A">
        <w:rPr>
          <w:lang w:val="en-AU"/>
        </w:rPr>
        <w:t xml:space="preserve">up to seven (7) </w:t>
      </w:r>
      <w:r>
        <w:rPr>
          <w:lang w:val="en-AU"/>
        </w:rPr>
        <w:t>flagship CIPR’s</w:t>
      </w:r>
      <w:r w:rsidR="007A0D5A">
        <w:rPr>
          <w:lang w:val="en-AU"/>
        </w:rPr>
        <w:t xml:space="preserve">. This </w:t>
      </w:r>
      <w:r>
        <w:rPr>
          <w:lang w:val="en-AU"/>
        </w:rPr>
        <w:t>will enable Trustees to provide more relevant options to superannuation fund members. More flagship CIPR’s will enable Trustees to more accurately address different risk profiles of fund members</w:t>
      </w:r>
      <w:r w:rsidR="007A0D5A">
        <w:rPr>
          <w:lang w:val="en-AU"/>
        </w:rPr>
        <w:t xml:space="preserve"> and more accurately address all three (3) key objectives</w:t>
      </w:r>
      <w:r w:rsidR="007B763F">
        <w:rPr>
          <w:lang w:val="en-AU"/>
        </w:rPr>
        <w:t xml:space="preserve"> of</w:t>
      </w:r>
      <w:r w:rsidR="007A0D5A">
        <w:rPr>
          <w:lang w:val="en-AU"/>
        </w:rPr>
        <w:t xml:space="preserve"> CIPR’s (maximising income, ensuring income is provided for life</w:t>
      </w:r>
      <w:r w:rsidR="00691922">
        <w:rPr>
          <w:lang w:val="en-AU"/>
        </w:rPr>
        <w:t xml:space="preserve"> and</w:t>
      </w:r>
      <w:r w:rsidR="007A0D5A">
        <w:rPr>
          <w:lang w:val="en-AU"/>
        </w:rPr>
        <w:t xml:space="preserve"> providing flexibility to access capital</w:t>
      </w:r>
      <w:r w:rsidR="000265AC">
        <w:rPr>
          <w:lang w:val="en-AU"/>
        </w:rPr>
        <w:t>)</w:t>
      </w:r>
      <w:r w:rsidR="007A0D5A">
        <w:rPr>
          <w:lang w:val="en-AU"/>
        </w:rPr>
        <w:t xml:space="preserve">. </w:t>
      </w:r>
    </w:p>
    <w:p w14:paraId="7031A94F" w14:textId="0E69D1B3" w:rsidR="001A0BF5" w:rsidRDefault="001A0BF5">
      <w:pPr>
        <w:rPr>
          <w:lang w:val="en-AU"/>
        </w:rPr>
      </w:pPr>
      <w:r>
        <w:rPr>
          <w:lang w:val="en-AU"/>
        </w:rPr>
        <w:t xml:space="preserve">More flagship CIPR’s also provides more opportunity to consider and perhaps provide alternative and innovative investment options. </w:t>
      </w:r>
      <w:r w:rsidR="00AD6A87">
        <w:rPr>
          <w:lang w:val="en-AU"/>
        </w:rPr>
        <w:t>It is recognised that Product Disclosure</w:t>
      </w:r>
      <w:r w:rsidR="00F875A2">
        <w:rPr>
          <w:lang w:val="en-AU"/>
        </w:rPr>
        <w:t xml:space="preserve"> Statements</w:t>
      </w:r>
      <w:r w:rsidR="00AD6A87">
        <w:rPr>
          <w:lang w:val="en-AU"/>
        </w:rPr>
        <w:t xml:space="preserve"> will need to fully detail what these investment options are and the potential risks as well as returns. All PDS’s will need to </w:t>
      </w:r>
      <w:r w:rsidR="00C5753C">
        <w:rPr>
          <w:lang w:val="en-AU"/>
        </w:rPr>
        <w:t>ensure that fund members are aware of</w:t>
      </w:r>
      <w:r w:rsidR="00ED4933">
        <w:rPr>
          <w:lang w:val="en-AU"/>
        </w:rPr>
        <w:t xml:space="preserve"> the complexity of the products offered and </w:t>
      </w:r>
      <w:r w:rsidR="00C5753C">
        <w:rPr>
          <w:lang w:val="en-AU"/>
        </w:rPr>
        <w:t>the need to seek appropriat</w:t>
      </w:r>
      <w:r w:rsidR="00142224">
        <w:rPr>
          <w:lang w:val="en-AU"/>
        </w:rPr>
        <w:t xml:space="preserve">e financial advice. </w:t>
      </w:r>
    </w:p>
    <w:p w14:paraId="728DEBE6" w14:textId="4791461A" w:rsidR="000A21B7" w:rsidRDefault="000A21B7">
      <w:pPr>
        <w:rPr>
          <w:b/>
          <w:sz w:val="28"/>
          <w:szCs w:val="28"/>
          <w:u w:val="single"/>
          <w:lang w:val="en-AU"/>
        </w:rPr>
      </w:pPr>
      <w:r>
        <w:rPr>
          <w:b/>
          <w:sz w:val="28"/>
          <w:szCs w:val="28"/>
          <w:u w:val="single"/>
          <w:lang w:val="en-AU"/>
        </w:rPr>
        <w:t>Supporting Principle 5 – third party products</w:t>
      </w:r>
      <w:r w:rsidR="00110297">
        <w:rPr>
          <w:b/>
          <w:sz w:val="28"/>
          <w:szCs w:val="28"/>
          <w:u w:val="single"/>
          <w:lang w:val="en-AU"/>
        </w:rPr>
        <w:t>.</w:t>
      </w:r>
    </w:p>
    <w:p w14:paraId="3A804F10" w14:textId="5BA10519" w:rsidR="00110297" w:rsidRDefault="00110297">
      <w:pPr>
        <w:rPr>
          <w:lang w:val="en-AU"/>
        </w:rPr>
      </w:pPr>
      <w:r>
        <w:rPr>
          <w:lang w:val="en-AU"/>
        </w:rPr>
        <w:t>Superannuation fund trustees should be provided with the option of providing these under the following circumstances:</w:t>
      </w:r>
    </w:p>
    <w:p w14:paraId="4B4D8259" w14:textId="1D605A81" w:rsidR="00110297" w:rsidRDefault="00110297" w:rsidP="00110297">
      <w:pPr>
        <w:pStyle w:val="ListParagraph"/>
        <w:numPr>
          <w:ilvl w:val="0"/>
          <w:numId w:val="2"/>
        </w:numPr>
        <w:rPr>
          <w:lang w:val="en-AU"/>
        </w:rPr>
      </w:pPr>
      <w:r>
        <w:rPr>
          <w:lang w:val="en-AU"/>
        </w:rPr>
        <w:lastRenderedPageBreak/>
        <w:t>The range and complexity of products already in-house</w:t>
      </w:r>
      <w:r w:rsidR="002E61D7">
        <w:rPr>
          <w:lang w:val="en-AU"/>
        </w:rPr>
        <w:t xml:space="preserve"> may be too limited</w:t>
      </w:r>
    </w:p>
    <w:p w14:paraId="55DE6C1F" w14:textId="195B0725" w:rsidR="00110297" w:rsidRDefault="00110297" w:rsidP="00110297">
      <w:pPr>
        <w:pStyle w:val="ListParagraph"/>
        <w:numPr>
          <w:ilvl w:val="0"/>
          <w:numId w:val="2"/>
        </w:numPr>
        <w:rPr>
          <w:lang w:val="en-AU"/>
        </w:rPr>
      </w:pPr>
      <w:r>
        <w:rPr>
          <w:lang w:val="en-AU"/>
        </w:rPr>
        <w:t>Providing members with the opportunity to access more innovative and</w:t>
      </w:r>
      <w:r w:rsidR="00E61615">
        <w:rPr>
          <w:lang w:val="en-AU"/>
        </w:rPr>
        <w:t xml:space="preserve"> advanced products (with appropriate information regarding obtaining independent professional financial advice first).</w:t>
      </w:r>
    </w:p>
    <w:p w14:paraId="542DD0E2" w14:textId="77777777" w:rsidR="00F92C3C" w:rsidRDefault="00F92C3C" w:rsidP="00F92C3C">
      <w:pPr>
        <w:pStyle w:val="ListParagraph"/>
        <w:rPr>
          <w:lang w:val="en-AU"/>
        </w:rPr>
      </w:pPr>
    </w:p>
    <w:p w14:paraId="2E82793F" w14:textId="4A9F84AE" w:rsidR="00F92C3C" w:rsidRDefault="00F92C3C" w:rsidP="00F92C3C">
      <w:pPr>
        <w:pStyle w:val="ListParagraph"/>
        <w:numPr>
          <w:ilvl w:val="0"/>
          <w:numId w:val="2"/>
        </w:numPr>
        <w:rPr>
          <w:b/>
          <w:sz w:val="28"/>
          <w:szCs w:val="28"/>
          <w:u w:val="single"/>
          <w:lang w:val="en-AU"/>
        </w:rPr>
      </w:pPr>
      <w:r w:rsidRPr="00F92C3C">
        <w:rPr>
          <w:b/>
          <w:sz w:val="28"/>
          <w:szCs w:val="28"/>
          <w:u w:val="single"/>
          <w:lang w:val="en-AU"/>
        </w:rPr>
        <w:t xml:space="preserve">Supporting Principle </w:t>
      </w:r>
      <w:r>
        <w:rPr>
          <w:b/>
          <w:sz w:val="28"/>
          <w:szCs w:val="28"/>
          <w:u w:val="single"/>
          <w:lang w:val="en-AU"/>
        </w:rPr>
        <w:t>6</w:t>
      </w:r>
      <w:r w:rsidRPr="00F92C3C">
        <w:rPr>
          <w:b/>
          <w:sz w:val="28"/>
          <w:szCs w:val="28"/>
          <w:u w:val="single"/>
          <w:lang w:val="en-AU"/>
        </w:rPr>
        <w:t xml:space="preserve">– </w:t>
      </w:r>
      <w:r>
        <w:rPr>
          <w:b/>
          <w:sz w:val="28"/>
          <w:szCs w:val="28"/>
          <w:u w:val="single"/>
          <w:lang w:val="en-AU"/>
        </w:rPr>
        <w:t>consent – no further information submitted.</w:t>
      </w:r>
    </w:p>
    <w:p w14:paraId="64B1F042" w14:textId="77777777" w:rsidR="00F92C3C" w:rsidRDefault="00F92C3C" w:rsidP="00F92C3C">
      <w:pPr>
        <w:pStyle w:val="ListParagraph"/>
        <w:rPr>
          <w:b/>
          <w:sz w:val="28"/>
          <w:szCs w:val="28"/>
          <w:u w:val="single"/>
          <w:lang w:val="en-AU"/>
        </w:rPr>
      </w:pPr>
    </w:p>
    <w:p w14:paraId="130F165A" w14:textId="7E7599A4" w:rsidR="00F92C3C" w:rsidRDefault="00F92C3C" w:rsidP="00F92C3C">
      <w:pPr>
        <w:pStyle w:val="ListParagraph"/>
        <w:numPr>
          <w:ilvl w:val="0"/>
          <w:numId w:val="2"/>
        </w:numPr>
        <w:rPr>
          <w:b/>
          <w:sz w:val="28"/>
          <w:szCs w:val="28"/>
          <w:u w:val="single"/>
          <w:lang w:val="en-AU"/>
        </w:rPr>
      </w:pPr>
      <w:r>
        <w:rPr>
          <w:b/>
          <w:sz w:val="28"/>
          <w:szCs w:val="28"/>
          <w:u w:val="single"/>
          <w:lang w:val="en-AU"/>
        </w:rPr>
        <w:t xml:space="preserve">Supporting Principle 7 – offering an alternative income product through advice – please refer to the response above for Supporting Principle 5 – third party products. </w:t>
      </w:r>
    </w:p>
    <w:p w14:paraId="4D74C345" w14:textId="77777777" w:rsidR="003B6946" w:rsidRPr="003B6946" w:rsidRDefault="003B6946" w:rsidP="003B6946">
      <w:pPr>
        <w:pStyle w:val="ListParagraph"/>
        <w:rPr>
          <w:b/>
          <w:sz w:val="28"/>
          <w:szCs w:val="28"/>
          <w:u w:val="single"/>
          <w:lang w:val="en-AU"/>
        </w:rPr>
      </w:pPr>
    </w:p>
    <w:p w14:paraId="00941EF8" w14:textId="0093CDDB" w:rsidR="003B6946" w:rsidRPr="00F92C3C" w:rsidRDefault="003B6946" w:rsidP="00F92C3C">
      <w:pPr>
        <w:pStyle w:val="ListParagraph"/>
        <w:numPr>
          <w:ilvl w:val="0"/>
          <w:numId w:val="2"/>
        </w:numPr>
        <w:rPr>
          <w:b/>
          <w:sz w:val="28"/>
          <w:szCs w:val="28"/>
          <w:u w:val="single"/>
          <w:lang w:val="en-AU"/>
        </w:rPr>
      </w:pPr>
      <w:r>
        <w:rPr>
          <w:b/>
          <w:sz w:val="28"/>
          <w:szCs w:val="28"/>
          <w:u w:val="single"/>
          <w:lang w:val="en-AU"/>
        </w:rPr>
        <w:t xml:space="preserve">Supporting Principle 8 – exception for individuals for whom CIPR’s are unsuitable – no further </w:t>
      </w:r>
      <w:r w:rsidR="00736B7B">
        <w:rPr>
          <w:b/>
          <w:sz w:val="28"/>
          <w:szCs w:val="28"/>
          <w:u w:val="single"/>
          <w:lang w:val="en-AU"/>
        </w:rPr>
        <w:t>information</w:t>
      </w:r>
      <w:r>
        <w:rPr>
          <w:b/>
          <w:sz w:val="28"/>
          <w:szCs w:val="28"/>
          <w:u w:val="single"/>
          <w:lang w:val="en-AU"/>
        </w:rPr>
        <w:t xml:space="preserve"> submitted. </w:t>
      </w:r>
    </w:p>
    <w:p w14:paraId="2FC9B897" w14:textId="2F721412" w:rsidR="00C776D9" w:rsidRDefault="00142224">
      <w:pPr>
        <w:rPr>
          <w:b/>
          <w:sz w:val="32"/>
          <w:szCs w:val="32"/>
          <w:u w:val="single"/>
          <w:lang w:val="en-AU"/>
        </w:rPr>
      </w:pPr>
      <w:r w:rsidRPr="00142224">
        <w:rPr>
          <w:b/>
          <w:sz w:val="32"/>
          <w:szCs w:val="32"/>
          <w:u w:val="single"/>
          <w:lang w:val="en-AU"/>
        </w:rPr>
        <w:t>Future Considerations</w:t>
      </w:r>
    </w:p>
    <w:p w14:paraId="4678C3CA" w14:textId="089C983F" w:rsidR="00B8792B" w:rsidRPr="003D7704" w:rsidRDefault="00B8792B">
      <w:pPr>
        <w:rPr>
          <w:b/>
          <w:sz w:val="28"/>
          <w:szCs w:val="28"/>
          <w:u w:val="single"/>
          <w:lang w:val="en-AU"/>
        </w:rPr>
      </w:pPr>
      <w:r w:rsidRPr="003D7704">
        <w:rPr>
          <w:b/>
          <w:sz w:val="28"/>
          <w:szCs w:val="28"/>
          <w:u w:val="single"/>
          <w:lang w:val="en-AU"/>
        </w:rPr>
        <w:t>Lifetime Engagement</w:t>
      </w:r>
    </w:p>
    <w:p w14:paraId="0D96276A" w14:textId="2C600BFC" w:rsidR="005C50AE" w:rsidRDefault="005C50AE">
      <w:pPr>
        <w:rPr>
          <w:sz w:val="24"/>
          <w:szCs w:val="24"/>
          <w:lang w:val="en-AU"/>
        </w:rPr>
      </w:pPr>
      <w:r>
        <w:rPr>
          <w:sz w:val="24"/>
          <w:szCs w:val="24"/>
          <w:lang w:val="en-AU"/>
        </w:rPr>
        <w:t>Annual benefit statements issued by superannuation</w:t>
      </w:r>
      <w:r w:rsidR="005F3929">
        <w:rPr>
          <w:sz w:val="24"/>
          <w:szCs w:val="24"/>
          <w:lang w:val="en-AU"/>
        </w:rPr>
        <w:t xml:space="preserve"> funds</w:t>
      </w:r>
      <w:r>
        <w:rPr>
          <w:sz w:val="24"/>
          <w:szCs w:val="24"/>
          <w:lang w:val="en-AU"/>
        </w:rPr>
        <w:t xml:space="preserve"> should provide the following to all members</w:t>
      </w:r>
      <w:r w:rsidR="00083895">
        <w:rPr>
          <w:sz w:val="24"/>
          <w:szCs w:val="24"/>
          <w:lang w:val="en-AU"/>
        </w:rPr>
        <w:t xml:space="preserve"> following the end of each financial year</w:t>
      </w:r>
      <w:r>
        <w:rPr>
          <w:sz w:val="24"/>
          <w:szCs w:val="24"/>
          <w:lang w:val="en-AU"/>
        </w:rPr>
        <w:t>:</w:t>
      </w:r>
    </w:p>
    <w:p w14:paraId="44F35BD9" w14:textId="5231E4F0" w:rsidR="005C50AE" w:rsidRDefault="00537BFD" w:rsidP="005C50AE">
      <w:pPr>
        <w:pStyle w:val="ListParagraph"/>
        <w:numPr>
          <w:ilvl w:val="0"/>
          <w:numId w:val="2"/>
        </w:numPr>
        <w:rPr>
          <w:sz w:val="24"/>
          <w:szCs w:val="24"/>
          <w:lang w:val="en-AU"/>
        </w:rPr>
      </w:pPr>
      <w:r>
        <w:rPr>
          <w:sz w:val="24"/>
          <w:szCs w:val="24"/>
          <w:lang w:val="en-AU"/>
        </w:rPr>
        <w:t xml:space="preserve">Annual retirement income projections for the various CIPR options that the </w:t>
      </w:r>
      <w:r w:rsidR="00083895">
        <w:rPr>
          <w:sz w:val="24"/>
          <w:szCs w:val="24"/>
          <w:lang w:val="en-AU"/>
        </w:rPr>
        <w:t xml:space="preserve">superannuation </w:t>
      </w:r>
      <w:r>
        <w:rPr>
          <w:sz w:val="24"/>
          <w:szCs w:val="24"/>
          <w:lang w:val="en-AU"/>
        </w:rPr>
        <w:t>funds have available. While it is recognised that new superannuation fund members (especially those who are young and new to the workforce) will consider these income projections of little or no relevance to them, it will indicate the options and annual income projections available</w:t>
      </w:r>
      <w:r w:rsidR="00342E4A">
        <w:rPr>
          <w:sz w:val="24"/>
          <w:szCs w:val="24"/>
          <w:lang w:val="en-AU"/>
        </w:rPr>
        <w:t xml:space="preserve"> and enable everyone to make informed decisions and consider appropriate financial advice at appropriate time</w:t>
      </w:r>
      <w:r w:rsidR="003D7550">
        <w:rPr>
          <w:sz w:val="24"/>
          <w:szCs w:val="24"/>
          <w:lang w:val="en-AU"/>
        </w:rPr>
        <w:t>s</w:t>
      </w:r>
      <w:r w:rsidR="00342E4A">
        <w:rPr>
          <w:sz w:val="24"/>
          <w:szCs w:val="24"/>
          <w:lang w:val="en-AU"/>
        </w:rPr>
        <w:t xml:space="preserve">. </w:t>
      </w:r>
    </w:p>
    <w:p w14:paraId="15AD0DD4" w14:textId="452C3796" w:rsidR="00537BFD" w:rsidRDefault="00537BFD" w:rsidP="005C50AE">
      <w:pPr>
        <w:pStyle w:val="ListParagraph"/>
        <w:numPr>
          <w:ilvl w:val="0"/>
          <w:numId w:val="2"/>
        </w:numPr>
        <w:rPr>
          <w:sz w:val="24"/>
          <w:szCs w:val="24"/>
          <w:lang w:val="en-AU"/>
        </w:rPr>
      </w:pPr>
      <w:r>
        <w:rPr>
          <w:sz w:val="24"/>
          <w:szCs w:val="24"/>
          <w:lang w:val="en-AU"/>
        </w:rPr>
        <w:t>The annual income projections and options available need to include details for various account balances (e.g.) $100K, 250K, 500K, 750K, 1M and perhaps even higher as well</w:t>
      </w:r>
      <w:r w:rsidR="00CA7D7F">
        <w:rPr>
          <w:sz w:val="24"/>
          <w:szCs w:val="24"/>
          <w:lang w:val="en-AU"/>
        </w:rPr>
        <w:t>)</w:t>
      </w:r>
      <w:r>
        <w:rPr>
          <w:sz w:val="24"/>
          <w:szCs w:val="24"/>
          <w:lang w:val="en-AU"/>
        </w:rPr>
        <w:t xml:space="preserve">. </w:t>
      </w:r>
    </w:p>
    <w:p w14:paraId="3F619893" w14:textId="2AA12A90" w:rsidR="00083895" w:rsidRDefault="00F93D34" w:rsidP="005C50AE">
      <w:pPr>
        <w:pStyle w:val="ListParagraph"/>
        <w:numPr>
          <w:ilvl w:val="0"/>
          <w:numId w:val="2"/>
        </w:numPr>
        <w:rPr>
          <w:sz w:val="24"/>
          <w:szCs w:val="24"/>
          <w:lang w:val="en-AU"/>
        </w:rPr>
      </w:pPr>
      <w:r>
        <w:rPr>
          <w:sz w:val="24"/>
          <w:szCs w:val="24"/>
          <w:lang w:val="en-AU"/>
        </w:rPr>
        <w:t>Advice regarding how the CIPR’s address the three key CIPR objectives of:</w:t>
      </w:r>
    </w:p>
    <w:p w14:paraId="03EAA537" w14:textId="153F536F" w:rsidR="00F93D34" w:rsidRDefault="00F93D34" w:rsidP="00F93D34">
      <w:pPr>
        <w:pStyle w:val="ListParagraph"/>
        <w:numPr>
          <w:ilvl w:val="0"/>
          <w:numId w:val="3"/>
        </w:numPr>
        <w:rPr>
          <w:sz w:val="24"/>
          <w:szCs w:val="24"/>
          <w:lang w:val="en-AU"/>
        </w:rPr>
      </w:pPr>
      <w:r>
        <w:rPr>
          <w:sz w:val="24"/>
          <w:szCs w:val="24"/>
          <w:lang w:val="en-AU"/>
        </w:rPr>
        <w:t>Maximising income</w:t>
      </w:r>
    </w:p>
    <w:p w14:paraId="397073BC" w14:textId="522F16EA" w:rsidR="00F93D34" w:rsidRDefault="00F93D34" w:rsidP="00F93D34">
      <w:pPr>
        <w:pStyle w:val="ListParagraph"/>
        <w:numPr>
          <w:ilvl w:val="0"/>
          <w:numId w:val="3"/>
        </w:numPr>
        <w:rPr>
          <w:sz w:val="24"/>
          <w:szCs w:val="24"/>
          <w:lang w:val="en-AU"/>
        </w:rPr>
      </w:pPr>
      <w:r>
        <w:rPr>
          <w:sz w:val="24"/>
          <w:szCs w:val="24"/>
          <w:lang w:val="en-AU"/>
        </w:rPr>
        <w:t>Ensuring income is provided for life, and;</w:t>
      </w:r>
    </w:p>
    <w:p w14:paraId="738EEDCA" w14:textId="5CB88FDF" w:rsidR="00F93D34" w:rsidRPr="005C50AE" w:rsidRDefault="00F93D34" w:rsidP="00F93D34">
      <w:pPr>
        <w:pStyle w:val="ListParagraph"/>
        <w:numPr>
          <w:ilvl w:val="0"/>
          <w:numId w:val="3"/>
        </w:numPr>
        <w:rPr>
          <w:sz w:val="24"/>
          <w:szCs w:val="24"/>
          <w:lang w:val="en-AU"/>
        </w:rPr>
      </w:pPr>
      <w:r>
        <w:rPr>
          <w:sz w:val="24"/>
          <w:szCs w:val="24"/>
          <w:lang w:val="en-AU"/>
        </w:rPr>
        <w:t xml:space="preserve">Providing flexibility to access capital. </w:t>
      </w:r>
    </w:p>
    <w:p w14:paraId="1E9FBA33" w14:textId="77777777" w:rsidR="005C50AE" w:rsidRPr="005C50AE" w:rsidRDefault="005C50AE">
      <w:pPr>
        <w:rPr>
          <w:sz w:val="24"/>
          <w:szCs w:val="24"/>
          <w:lang w:val="en-AU"/>
        </w:rPr>
      </w:pPr>
    </w:p>
    <w:sectPr w:rsidR="005C50AE" w:rsidRPr="005C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E1F"/>
    <w:multiLevelType w:val="hybridMultilevel"/>
    <w:tmpl w:val="5FC0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787C4F"/>
    <w:multiLevelType w:val="hybridMultilevel"/>
    <w:tmpl w:val="EF1A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D07915"/>
    <w:multiLevelType w:val="hybridMultilevel"/>
    <w:tmpl w:val="CBFE70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D9"/>
    <w:rsid w:val="000226CA"/>
    <w:rsid w:val="000265AC"/>
    <w:rsid w:val="00073CB2"/>
    <w:rsid w:val="00083895"/>
    <w:rsid w:val="00096729"/>
    <w:rsid w:val="000A21B7"/>
    <w:rsid w:val="000D0317"/>
    <w:rsid w:val="000E5FE9"/>
    <w:rsid w:val="00110297"/>
    <w:rsid w:val="00133FFA"/>
    <w:rsid w:val="00142224"/>
    <w:rsid w:val="00170088"/>
    <w:rsid w:val="0019493B"/>
    <w:rsid w:val="001A0BF5"/>
    <w:rsid w:val="00205896"/>
    <w:rsid w:val="002254DA"/>
    <w:rsid w:val="00236DCA"/>
    <w:rsid w:val="00255E8D"/>
    <w:rsid w:val="002E61D7"/>
    <w:rsid w:val="002F4EC8"/>
    <w:rsid w:val="00342E4A"/>
    <w:rsid w:val="00346C51"/>
    <w:rsid w:val="00360768"/>
    <w:rsid w:val="00363693"/>
    <w:rsid w:val="00371DE1"/>
    <w:rsid w:val="003B6946"/>
    <w:rsid w:val="003D7550"/>
    <w:rsid w:val="003D7704"/>
    <w:rsid w:val="003F16A7"/>
    <w:rsid w:val="004459A6"/>
    <w:rsid w:val="00450ACF"/>
    <w:rsid w:val="004903CB"/>
    <w:rsid w:val="004C366C"/>
    <w:rsid w:val="00537BFD"/>
    <w:rsid w:val="00586499"/>
    <w:rsid w:val="00586C51"/>
    <w:rsid w:val="005C50AE"/>
    <w:rsid w:val="005F3929"/>
    <w:rsid w:val="005F557C"/>
    <w:rsid w:val="006232D2"/>
    <w:rsid w:val="0065242F"/>
    <w:rsid w:val="00661956"/>
    <w:rsid w:val="00691922"/>
    <w:rsid w:val="006B24EA"/>
    <w:rsid w:val="006D200C"/>
    <w:rsid w:val="006D2F27"/>
    <w:rsid w:val="00714550"/>
    <w:rsid w:val="00736B7B"/>
    <w:rsid w:val="007967D2"/>
    <w:rsid w:val="007A0D5A"/>
    <w:rsid w:val="007B763F"/>
    <w:rsid w:val="007F40FC"/>
    <w:rsid w:val="007F6B45"/>
    <w:rsid w:val="00803773"/>
    <w:rsid w:val="00872C64"/>
    <w:rsid w:val="00883C65"/>
    <w:rsid w:val="00883C70"/>
    <w:rsid w:val="0095248D"/>
    <w:rsid w:val="00965469"/>
    <w:rsid w:val="00995C7C"/>
    <w:rsid w:val="009C3A42"/>
    <w:rsid w:val="009E22ED"/>
    <w:rsid w:val="009F646F"/>
    <w:rsid w:val="00AD6A87"/>
    <w:rsid w:val="00B316D6"/>
    <w:rsid w:val="00B82C73"/>
    <w:rsid w:val="00B8792B"/>
    <w:rsid w:val="00C5753C"/>
    <w:rsid w:val="00C7443A"/>
    <w:rsid w:val="00C776D9"/>
    <w:rsid w:val="00CA7D7F"/>
    <w:rsid w:val="00D17A2E"/>
    <w:rsid w:val="00D4336E"/>
    <w:rsid w:val="00D8204F"/>
    <w:rsid w:val="00DF1A5A"/>
    <w:rsid w:val="00E37EFE"/>
    <w:rsid w:val="00E61615"/>
    <w:rsid w:val="00E654EA"/>
    <w:rsid w:val="00ED4933"/>
    <w:rsid w:val="00EE4587"/>
    <w:rsid w:val="00F56100"/>
    <w:rsid w:val="00F726FE"/>
    <w:rsid w:val="00F875A2"/>
    <w:rsid w:val="00F92C3C"/>
    <w:rsid w:val="00F93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2018FG-583247893-118</_dlc_DocId>
    <_dlc_DocIdUrl xmlns="0f563589-9cf9-4143-b1eb-fb0534803d38">
      <Url>http://tweb/sites/fg/ripd/ciprs/_layouts/15/DocIdRedir.aspx?ID=2018FG-583247893-118</Url>
      <Description>2018FG-583247893-118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43F3-B884-41E3-8217-0435A88B2A1C}">
  <ds:schemaRefs>
    <ds:schemaRef ds:uri="office.server.policy"/>
  </ds:schemaRefs>
</ds:datastoreItem>
</file>

<file path=customXml/itemProps2.xml><?xml version="1.0" encoding="utf-8"?>
<ds:datastoreItem xmlns:ds="http://schemas.openxmlformats.org/officeDocument/2006/customXml" ds:itemID="{046D7E82-9029-451F-A50F-D8D05575ECF6}">
  <ds:schemaRefs>
    <ds:schemaRef ds:uri="http://schemas.microsoft.com/sharepoint/events"/>
  </ds:schemaRefs>
</ds:datastoreItem>
</file>

<file path=customXml/itemProps3.xml><?xml version="1.0" encoding="utf-8"?>
<ds:datastoreItem xmlns:ds="http://schemas.openxmlformats.org/officeDocument/2006/customXml" ds:itemID="{FE72B03B-5F01-4D07-8CFD-9E963CF0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79A2B-E748-41D6-BE32-B92A9401A801}">
  <ds:schemaRefs>
    <ds:schemaRef ds:uri="http://purl.org/dc/dcmitype/"/>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544e5cc-ab70-42e1-849e-1a0f8bb1f4ef"/>
    <ds:schemaRef ds:uri="http://www.w3.org/XML/1998/namespace"/>
    <ds:schemaRef ds:uri="0f563589-9cf9-4143-b1eb-fb0534803d38"/>
  </ds:schemaRefs>
</ds:datastoreItem>
</file>

<file path=customXml/itemProps5.xml><?xml version="1.0" encoding="utf-8"?>
<ds:datastoreItem xmlns:ds="http://schemas.openxmlformats.org/officeDocument/2006/customXml" ds:itemID="{78A3BCDD-7119-43FE-AE0E-6437D467B70B}">
  <ds:schemaRefs>
    <ds:schemaRef ds:uri="http://schemas.microsoft.com/sharepoint/v3/contenttype/forms"/>
  </ds:schemaRefs>
</ds:datastoreItem>
</file>

<file path=customXml/itemProps6.xml><?xml version="1.0" encoding="utf-8"?>
<ds:datastoreItem xmlns:ds="http://schemas.openxmlformats.org/officeDocument/2006/customXml" ds:itemID="{28912FD9-8E32-4965-AB10-315ADBFD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4368</Characters>
  <Application>Microsoft Office Word</Application>
  <DocSecurity>0</DocSecurity>
  <Lines>112</Lines>
  <Paragraphs>75</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Hart - Retirement Income Covenant Position Paper</dc:title>
  <dc:creator/>
  <cp:lastModifiedBy/>
  <cp:revision>1</cp:revision>
  <dcterms:created xsi:type="dcterms:W3CDTF">2018-07-31T00:34:00Z</dcterms:created>
  <dcterms:modified xsi:type="dcterms:W3CDTF">2018-07-31T00:34:00Z</dcterms:modified>
  <dc:language>English</dc:language>
</cp:coreProperties>
</file>