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ECB96" w14:textId="683DBB29" w:rsidR="00E01F9D" w:rsidRPr="00910F7C" w:rsidRDefault="0002064E" w:rsidP="00910F7C">
      <w:pPr>
        <w:rPr>
          <w:rFonts w:asciiTheme="minorHAnsi" w:hAnsiTheme="minorHAnsi" w:cstheme="minorHAnsi"/>
          <w:sz w:val="24"/>
        </w:rPr>
      </w:pPr>
      <w:bookmarkStart w:id="0" w:name="_GoBack"/>
      <w:bookmarkEnd w:id="0"/>
      <w:r w:rsidRPr="00910F7C">
        <w:rPr>
          <w:rFonts w:asciiTheme="minorHAnsi" w:hAnsiTheme="minorHAnsi" w:cstheme="minorHAnsi"/>
          <w:sz w:val="24"/>
        </w:rPr>
        <w:t>1</w:t>
      </w:r>
      <w:r w:rsidR="00A6286F">
        <w:rPr>
          <w:rFonts w:asciiTheme="minorHAnsi" w:hAnsiTheme="minorHAnsi" w:cstheme="minorHAnsi"/>
          <w:sz w:val="24"/>
        </w:rPr>
        <w:t>4</w:t>
      </w:r>
      <w:r w:rsidR="00282DB2" w:rsidRPr="00910F7C">
        <w:rPr>
          <w:rFonts w:asciiTheme="minorHAnsi" w:hAnsiTheme="minorHAnsi" w:cstheme="minorHAnsi"/>
          <w:sz w:val="24"/>
        </w:rPr>
        <w:t xml:space="preserve"> June</w:t>
      </w:r>
      <w:r w:rsidR="002110E4" w:rsidRPr="00910F7C">
        <w:rPr>
          <w:rFonts w:asciiTheme="minorHAnsi" w:hAnsiTheme="minorHAnsi" w:cstheme="minorHAnsi"/>
          <w:sz w:val="24"/>
        </w:rPr>
        <w:t xml:space="preserve"> </w:t>
      </w:r>
      <w:r w:rsidR="00486DB9" w:rsidRPr="00910F7C">
        <w:rPr>
          <w:rFonts w:asciiTheme="minorHAnsi" w:hAnsiTheme="minorHAnsi" w:cstheme="minorHAnsi"/>
          <w:sz w:val="24"/>
        </w:rPr>
        <w:t>201</w:t>
      </w:r>
      <w:r w:rsidR="00282DB2" w:rsidRPr="00910F7C">
        <w:rPr>
          <w:rFonts w:asciiTheme="minorHAnsi" w:hAnsiTheme="minorHAnsi" w:cstheme="minorHAnsi"/>
          <w:sz w:val="24"/>
        </w:rPr>
        <w:t>8</w:t>
      </w:r>
    </w:p>
    <w:p w14:paraId="69B5222A" w14:textId="77777777" w:rsidR="00E01F9D" w:rsidRPr="00910F7C" w:rsidRDefault="00402E7D" w:rsidP="00E96F59">
      <w:pPr>
        <w:rPr>
          <w:rFonts w:asciiTheme="minorHAnsi" w:hAnsiTheme="minorHAnsi" w:cstheme="minorHAnsi"/>
          <w:sz w:val="24"/>
        </w:rPr>
      </w:pPr>
    </w:p>
    <w:p w14:paraId="64EC9BF1" w14:textId="77777777" w:rsidR="00282DB2" w:rsidRPr="00282DB2" w:rsidRDefault="00282DB2" w:rsidP="00282DB2">
      <w:pPr>
        <w:rPr>
          <w:rStyle w:val="SubtleEmphasis"/>
          <w:rFonts w:ascii="Calibri" w:hAnsi="Calibri"/>
          <w:sz w:val="24"/>
          <w:szCs w:val="24"/>
        </w:rPr>
      </w:pPr>
      <w:r w:rsidRPr="00282DB2">
        <w:rPr>
          <w:rStyle w:val="SubtleEmphasis"/>
          <w:rFonts w:ascii="Calibri" w:hAnsi="Calibri"/>
          <w:sz w:val="24"/>
          <w:szCs w:val="24"/>
        </w:rPr>
        <w:t>The Treasury</w:t>
      </w:r>
    </w:p>
    <w:p w14:paraId="642761F6" w14:textId="77777777" w:rsidR="00282DB2" w:rsidRPr="00282DB2" w:rsidRDefault="00282DB2" w:rsidP="00282DB2">
      <w:pPr>
        <w:rPr>
          <w:rStyle w:val="SubtleEmphasis"/>
          <w:rFonts w:ascii="Calibri" w:hAnsi="Calibri"/>
          <w:sz w:val="24"/>
          <w:szCs w:val="24"/>
        </w:rPr>
      </w:pPr>
      <w:r w:rsidRPr="00282DB2">
        <w:rPr>
          <w:rStyle w:val="SubtleEmphasis"/>
          <w:rFonts w:ascii="Calibri" w:hAnsi="Calibri"/>
          <w:sz w:val="24"/>
          <w:szCs w:val="24"/>
        </w:rPr>
        <w:t>Manager, CIPRs</w:t>
      </w:r>
    </w:p>
    <w:p w14:paraId="55E60C68" w14:textId="77777777" w:rsidR="00282DB2" w:rsidRPr="00282DB2" w:rsidRDefault="00282DB2" w:rsidP="00282DB2">
      <w:pPr>
        <w:rPr>
          <w:rStyle w:val="SubtleEmphasis"/>
          <w:rFonts w:ascii="Calibri" w:hAnsi="Calibri"/>
          <w:sz w:val="24"/>
          <w:szCs w:val="24"/>
        </w:rPr>
      </w:pPr>
      <w:r w:rsidRPr="00282DB2">
        <w:rPr>
          <w:rStyle w:val="SubtleEmphasis"/>
          <w:rFonts w:ascii="Calibri" w:hAnsi="Calibri"/>
          <w:sz w:val="24"/>
          <w:szCs w:val="24"/>
        </w:rPr>
        <w:t>Retirement Income Policy Division</w:t>
      </w:r>
    </w:p>
    <w:p w14:paraId="7576DD27" w14:textId="77777777" w:rsidR="00282DB2" w:rsidRPr="00282DB2" w:rsidRDefault="00282DB2" w:rsidP="00282DB2">
      <w:pPr>
        <w:rPr>
          <w:rStyle w:val="SubtleEmphasis"/>
          <w:rFonts w:ascii="Calibri" w:hAnsi="Calibri"/>
          <w:sz w:val="24"/>
          <w:szCs w:val="24"/>
        </w:rPr>
      </w:pPr>
      <w:r w:rsidRPr="00282DB2">
        <w:rPr>
          <w:rStyle w:val="SubtleEmphasis"/>
          <w:rFonts w:ascii="Calibri" w:hAnsi="Calibri"/>
          <w:sz w:val="24"/>
          <w:szCs w:val="24"/>
        </w:rPr>
        <w:t>Langton Crescent</w:t>
      </w:r>
    </w:p>
    <w:p w14:paraId="6C0F062B" w14:textId="77777777" w:rsidR="00E01F9D" w:rsidRDefault="00282DB2" w:rsidP="00E96F59">
      <w:pPr>
        <w:rPr>
          <w:sz w:val="24"/>
          <w:szCs w:val="24"/>
        </w:rPr>
      </w:pPr>
      <w:r w:rsidRPr="00282DB2">
        <w:rPr>
          <w:rStyle w:val="SubtleEmphasis"/>
          <w:rFonts w:ascii="Calibri" w:hAnsi="Calibri"/>
          <w:sz w:val="24"/>
          <w:szCs w:val="24"/>
        </w:rPr>
        <w:t>PARKES ACT 2600</w:t>
      </w:r>
    </w:p>
    <w:p w14:paraId="176C9A22" w14:textId="77777777" w:rsidR="00282DB2" w:rsidRDefault="00282DB2" w:rsidP="00E96F59">
      <w:pPr>
        <w:rPr>
          <w:rFonts w:asciiTheme="minorHAnsi" w:hAnsiTheme="minorHAnsi" w:cstheme="minorHAnsi"/>
          <w:sz w:val="24"/>
          <w:szCs w:val="24"/>
        </w:rPr>
      </w:pPr>
      <w:r w:rsidRPr="00282DB2">
        <w:rPr>
          <w:rFonts w:asciiTheme="minorHAnsi" w:hAnsiTheme="minorHAnsi" w:cstheme="minorHAnsi"/>
          <w:sz w:val="24"/>
          <w:szCs w:val="24"/>
        </w:rPr>
        <w:t xml:space="preserve">By email: </w:t>
      </w:r>
      <w:hyperlink r:id="rId14" w:history="1">
        <w:r w:rsidRPr="000671E0">
          <w:rPr>
            <w:rStyle w:val="Hyperlink"/>
            <w:rFonts w:asciiTheme="minorHAnsi" w:hAnsiTheme="minorHAnsi" w:cstheme="minorHAnsi"/>
            <w:sz w:val="24"/>
            <w:szCs w:val="24"/>
          </w:rPr>
          <w:t>superannuation@treasury.gov.au</w:t>
        </w:r>
      </w:hyperlink>
    </w:p>
    <w:p w14:paraId="3C61BD3A" w14:textId="77777777" w:rsidR="00282DB2" w:rsidRDefault="00282DB2" w:rsidP="00E96F59">
      <w:pPr>
        <w:rPr>
          <w:rFonts w:asciiTheme="minorHAnsi" w:hAnsiTheme="minorHAnsi" w:cstheme="minorHAnsi"/>
          <w:sz w:val="24"/>
          <w:szCs w:val="24"/>
        </w:rPr>
      </w:pPr>
    </w:p>
    <w:p w14:paraId="0CA540BA" w14:textId="77777777" w:rsidR="002110E4" w:rsidRPr="00C94C33" w:rsidRDefault="00486DB9" w:rsidP="00C94C33">
      <w:pPr>
        <w:jc w:val="left"/>
        <w:rPr>
          <w:rFonts w:ascii="Calibri" w:hAnsi="Calibri"/>
          <w:b/>
          <w:iCs/>
          <w:sz w:val="24"/>
          <w:szCs w:val="24"/>
        </w:rPr>
      </w:pPr>
      <w:r w:rsidRPr="00282DB2">
        <w:rPr>
          <w:rFonts w:ascii="Calibri" w:hAnsi="Calibri" w:hint="eastAsia"/>
          <w:b/>
          <w:sz w:val="24"/>
          <w:szCs w:val="24"/>
        </w:rPr>
        <w:t>SUBJECT</w:t>
      </w:r>
      <w:r w:rsidRPr="00282DB2">
        <w:rPr>
          <w:rFonts w:ascii="Calibri" w:hAnsi="Calibri"/>
          <w:b/>
          <w:sz w:val="24"/>
          <w:szCs w:val="24"/>
        </w:rPr>
        <w:t>:</w:t>
      </w:r>
      <w:r w:rsidR="00282DB2" w:rsidRPr="00282DB2">
        <w:rPr>
          <w:rFonts w:ascii="Calibri" w:hAnsi="Calibri"/>
          <w:b/>
          <w:sz w:val="24"/>
          <w:szCs w:val="24"/>
        </w:rPr>
        <w:t xml:space="preserve"> </w:t>
      </w:r>
      <w:r w:rsidR="00282DB2" w:rsidRPr="00282DB2">
        <w:rPr>
          <w:rStyle w:val="SubtleEmphasis"/>
          <w:rFonts w:ascii="Calibri" w:hAnsi="Calibri"/>
          <w:b/>
          <w:color w:val="auto"/>
          <w:sz w:val="24"/>
          <w:szCs w:val="24"/>
        </w:rPr>
        <w:t>Consultation Submission - Retirement Income Covenant Position Paper</w:t>
      </w:r>
    </w:p>
    <w:p w14:paraId="3AB0CD34" w14:textId="1D4F48FD" w:rsidR="002110E4" w:rsidRDefault="002110E4" w:rsidP="00C94C33">
      <w:pPr>
        <w:tabs>
          <w:tab w:val="left" w:pos="1578"/>
        </w:tabs>
      </w:pPr>
    </w:p>
    <w:p w14:paraId="2BBD0F1F" w14:textId="7046D3F1" w:rsidR="005C5CB4" w:rsidRDefault="005C5CB4" w:rsidP="005C5CB4">
      <w:pPr>
        <w:rPr>
          <w:rStyle w:val="SubtleEmphasis"/>
          <w:rFonts w:ascii="Calibri" w:hAnsi="Calibri"/>
          <w:sz w:val="24"/>
          <w:szCs w:val="24"/>
        </w:rPr>
      </w:pPr>
      <w:r w:rsidRPr="00110D96">
        <w:rPr>
          <w:rStyle w:val="SubtleEmphasis"/>
          <w:rFonts w:ascii="Calibri" w:hAnsi="Calibri"/>
          <w:sz w:val="24"/>
          <w:szCs w:val="24"/>
        </w:rPr>
        <w:t xml:space="preserve">Dear </w:t>
      </w:r>
      <w:r w:rsidR="009E472A">
        <w:rPr>
          <w:rStyle w:val="SubtleEmphasis"/>
          <w:rFonts w:ascii="Calibri" w:hAnsi="Calibri"/>
          <w:sz w:val="24"/>
          <w:szCs w:val="24"/>
        </w:rPr>
        <w:t>Manager, CIPRs</w:t>
      </w:r>
      <w:r w:rsidRPr="00110D96">
        <w:rPr>
          <w:rStyle w:val="SubtleEmphasis"/>
          <w:rFonts w:ascii="Calibri" w:hAnsi="Calibri"/>
          <w:sz w:val="24"/>
          <w:szCs w:val="24"/>
        </w:rPr>
        <w:t>,</w:t>
      </w:r>
    </w:p>
    <w:p w14:paraId="0EF9D9D4" w14:textId="77777777" w:rsidR="005C5CB4" w:rsidRDefault="005C5CB4" w:rsidP="005C5CB4">
      <w:pPr>
        <w:rPr>
          <w:rStyle w:val="SubtleEmphasis"/>
          <w:rFonts w:ascii="Calibri" w:hAnsi="Calibri"/>
          <w:sz w:val="24"/>
          <w:szCs w:val="24"/>
        </w:rPr>
      </w:pPr>
    </w:p>
    <w:p w14:paraId="22264B05" w14:textId="77777777" w:rsidR="004F7822" w:rsidRDefault="00A11C2C" w:rsidP="005C5CB4">
      <w:pPr>
        <w:rPr>
          <w:rStyle w:val="SubtleEmphasis"/>
          <w:rFonts w:ascii="Calibri" w:hAnsi="Calibri"/>
          <w:sz w:val="24"/>
          <w:szCs w:val="24"/>
        </w:rPr>
      </w:pPr>
      <w:r>
        <w:rPr>
          <w:rStyle w:val="SubtleEmphasis"/>
          <w:rFonts w:ascii="Calibri" w:hAnsi="Calibri"/>
          <w:sz w:val="24"/>
          <w:szCs w:val="24"/>
        </w:rPr>
        <w:t>Thank you for the opportunity to participate in the consultation of the Government’s Retirement Income Covenant Position Paper</w:t>
      </w:r>
      <w:r w:rsidR="008C5D03">
        <w:rPr>
          <w:rStyle w:val="SubtleEmphasis"/>
          <w:rFonts w:ascii="Calibri" w:hAnsi="Calibri"/>
          <w:sz w:val="24"/>
          <w:szCs w:val="24"/>
        </w:rPr>
        <w:t xml:space="preserve"> (‘Position Paper’).</w:t>
      </w:r>
    </w:p>
    <w:p w14:paraId="3218D0B7" w14:textId="77777777" w:rsidR="001302B2" w:rsidRDefault="001302B2" w:rsidP="005C5CB4">
      <w:pPr>
        <w:rPr>
          <w:rStyle w:val="SubtleEmphasis"/>
          <w:rFonts w:ascii="Calibri" w:hAnsi="Calibri"/>
          <w:sz w:val="24"/>
          <w:szCs w:val="24"/>
        </w:rPr>
      </w:pPr>
    </w:p>
    <w:p w14:paraId="7D0BC469" w14:textId="059AE2C0" w:rsidR="005C5CB4" w:rsidRDefault="0003210D" w:rsidP="005C5CB4">
      <w:pPr>
        <w:rPr>
          <w:rStyle w:val="SubtleEmphasis"/>
          <w:rFonts w:ascii="Calibri" w:hAnsi="Calibri"/>
          <w:sz w:val="24"/>
          <w:szCs w:val="24"/>
        </w:rPr>
      </w:pPr>
      <w:r>
        <w:rPr>
          <w:rStyle w:val="SubtleEmphasis"/>
          <w:rFonts w:ascii="Calibri" w:hAnsi="Calibri"/>
          <w:sz w:val="24"/>
          <w:szCs w:val="24"/>
        </w:rPr>
        <w:t xml:space="preserve">JANA has a strong interest in this topic given it impacts our superannuation fund clients. </w:t>
      </w:r>
      <w:r w:rsidR="00023918">
        <w:rPr>
          <w:rStyle w:val="SubtleEmphasis"/>
          <w:rFonts w:ascii="Calibri" w:hAnsi="Calibri"/>
          <w:sz w:val="24"/>
          <w:szCs w:val="24"/>
        </w:rPr>
        <w:t xml:space="preserve"> </w:t>
      </w:r>
      <w:r w:rsidR="00430C11" w:rsidRPr="00430C11">
        <w:rPr>
          <w:rStyle w:val="SubtleEmphasis"/>
          <w:rFonts w:ascii="Calibri" w:hAnsi="Calibri"/>
          <w:sz w:val="24"/>
          <w:szCs w:val="24"/>
        </w:rPr>
        <w:t xml:space="preserve">JANA is an established investment advisory firm with </w:t>
      </w:r>
      <w:r w:rsidR="00860213">
        <w:rPr>
          <w:rStyle w:val="SubtleEmphasis"/>
          <w:rFonts w:ascii="Calibri" w:hAnsi="Calibri"/>
          <w:sz w:val="24"/>
          <w:szCs w:val="24"/>
        </w:rPr>
        <w:t xml:space="preserve">over </w:t>
      </w:r>
      <w:r w:rsidR="00430C11" w:rsidRPr="00430C11">
        <w:rPr>
          <w:rStyle w:val="SubtleEmphasis"/>
          <w:rFonts w:ascii="Calibri" w:hAnsi="Calibri"/>
          <w:sz w:val="24"/>
          <w:szCs w:val="24"/>
        </w:rPr>
        <w:t>30 years</w:t>
      </w:r>
      <w:r w:rsidR="00071058">
        <w:rPr>
          <w:rStyle w:val="SubtleEmphasis"/>
          <w:rFonts w:ascii="Calibri" w:hAnsi="Calibri"/>
          <w:sz w:val="24"/>
          <w:szCs w:val="24"/>
        </w:rPr>
        <w:t>’</w:t>
      </w:r>
      <w:r w:rsidR="00430C11" w:rsidRPr="00430C11">
        <w:rPr>
          <w:rStyle w:val="SubtleEmphasis"/>
          <w:rFonts w:ascii="Calibri" w:hAnsi="Calibri"/>
          <w:sz w:val="24"/>
          <w:szCs w:val="24"/>
        </w:rPr>
        <w:t xml:space="preserve"> experience and over $400bn </w:t>
      </w:r>
      <w:r w:rsidR="00910F7C">
        <w:rPr>
          <w:rStyle w:val="SubtleEmphasis"/>
          <w:rFonts w:ascii="Calibri" w:hAnsi="Calibri"/>
          <w:sz w:val="24"/>
          <w:szCs w:val="24"/>
        </w:rPr>
        <w:t xml:space="preserve">in </w:t>
      </w:r>
      <w:r w:rsidR="00430C11" w:rsidRPr="00430C11">
        <w:rPr>
          <w:rStyle w:val="SubtleEmphasis"/>
          <w:rFonts w:ascii="Calibri" w:hAnsi="Calibri"/>
          <w:sz w:val="24"/>
          <w:szCs w:val="24"/>
        </w:rPr>
        <w:t xml:space="preserve">funds under advice. </w:t>
      </w:r>
      <w:r>
        <w:rPr>
          <w:rStyle w:val="SubtleEmphasis"/>
          <w:rFonts w:ascii="Calibri" w:hAnsi="Calibri"/>
          <w:sz w:val="24"/>
          <w:szCs w:val="24"/>
        </w:rPr>
        <w:t xml:space="preserve"> J</w:t>
      </w:r>
      <w:r w:rsidRPr="0003210D">
        <w:rPr>
          <w:rStyle w:val="SubtleEmphasis"/>
          <w:rFonts w:ascii="Calibri" w:hAnsi="Calibri"/>
          <w:sz w:val="24"/>
          <w:szCs w:val="24"/>
        </w:rPr>
        <w:t xml:space="preserve">ANA currently advises around </w:t>
      </w:r>
      <w:r w:rsidR="00430C11">
        <w:rPr>
          <w:rStyle w:val="SubtleEmphasis"/>
          <w:rFonts w:ascii="Calibri" w:hAnsi="Calibri"/>
          <w:sz w:val="24"/>
          <w:szCs w:val="24"/>
        </w:rPr>
        <w:t>90</w:t>
      </w:r>
      <w:r w:rsidRPr="0003210D">
        <w:rPr>
          <w:rStyle w:val="SubtleEmphasis"/>
          <w:rFonts w:ascii="Calibri" w:hAnsi="Calibri"/>
          <w:sz w:val="24"/>
          <w:szCs w:val="24"/>
        </w:rPr>
        <w:t xml:space="preserve"> institutional clients, including corporate, industry and public</w:t>
      </w:r>
      <w:r w:rsidR="00987436">
        <w:rPr>
          <w:rStyle w:val="SubtleEmphasis"/>
          <w:rFonts w:ascii="Calibri" w:hAnsi="Calibri"/>
          <w:sz w:val="24"/>
          <w:szCs w:val="24"/>
        </w:rPr>
        <w:t>-</w:t>
      </w:r>
      <w:r w:rsidRPr="0003210D">
        <w:rPr>
          <w:rStyle w:val="SubtleEmphasis"/>
          <w:rFonts w:ascii="Calibri" w:hAnsi="Calibri"/>
          <w:sz w:val="24"/>
          <w:szCs w:val="24"/>
        </w:rPr>
        <w:t>sector superannuation funds as well as charities, insurers, foundations and endowment funds.</w:t>
      </w:r>
      <w:r w:rsidR="00071058">
        <w:rPr>
          <w:rStyle w:val="SubtleEmphasis"/>
          <w:rFonts w:ascii="Calibri" w:hAnsi="Calibri"/>
          <w:sz w:val="24"/>
          <w:szCs w:val="24"/>
        </w:rPr>
        <w:t xml:space="preserve">  The retirement benefits of around one in three Australians are impacted by JANA</w:t>
      </w:r>
      <w:r w:rsidR="00910F7C">
        <w:rPr>
          <w:rStyle w:val="SubtleEmphasis"/>
          <w:rFonts w:ascii="Calibri" w:hAnsi="Calibri"/>
          <w:sz w:val="24"/>
          <w:szCs w:val="24"/>
        </w:rPr>
        <w:t>’s</w:t>
      </w:r>
      <w:r w:rsidR="00071058">
        <w:rPr>
          <w:rStyle w:val="SubtleEmphasis"/>
          <w:rFonts w:ascii="Calibri" w:hAnsi="Calibri"/>
          <w:sz w:val="24"/>
          <w:szCs w:val="24"/>
        </w:rPr>
        <w:t xml:space="preserve"> investment advice.</w:t>
      </w:r>
    </w:p>
    <w:p w14:paraId="41E7CE12" w14:textId="74D96DEA" w:rsidR="005725CA" w:rsidRDefault="005725CA" w:rsidP="005C5CB4">
      <w:pPr>
        <w:rPr>
          <w:rStyle w:val="SubtleEmphasis"/>
          <w:rFonts w:ascii="Calibri" w:hAnsi="Calibri"/>
          <w:sz w:val="24"/>
          <w:szCs w:val="24"/>
        </w:rPr>
      </w:pPr>
    </w:p>
    <w:p w14:paraId="4ECB8176" w14:textId="77777777" w:rsidR="0003210D" w:rsidRPr="00643B73" w:rsidRDefault="0003210D" w:rsidP="005C5CB4">
      <w:pPr>
        <w:rPr>
          <w:rStyle w:val="SubtleEmphasis"/>
          <w:rFonts w:ascii="Calibri" w:hAnsi="Calibri"/>
          <w:b/>
          <w:sz w:val="24"/>
          <w:szCs w:val="24"/>
        </w:rPr>
      </w:pPr>
      <w:r w:rsidRPr="00643B73">
        <w:rPr>
          <w:rStyle w:val="SubtleEmphasis"/>
          <w:rFonts w:ascii="Calibri" w:hAnsi="Calibri"/>
          <w:b/>
          <w:sz w:val="24"/>
          <w:szCs w:val="24"/>
        </w:rPr>
        <w:t>About JANA</w:t>
      </w:r>
    </w:p>
    <w:p w14:paraId="70327A9C" w14:textId="77777777" w:rsidR="0003210D" w:rsidRDefault="0003210D" w:rsidP="00E96F59"/>
    <w:p w14:paraId="5B969E58" w14:textId="6781144B" w:rsidR="00E31032" w:rsidRPr="00E31032" w:rsidRDefault="00E31032" w:rsidP="00E31032">
      <w:pPr>
        <w:rPr>
          <w:rStyle w:val="SubtleEmphasis"/>
          <w:rFonts w:ascii="Calibri" w:hAnsi="Calibri"/>
          <w:sz w:val="24"/>
          <w:szCs w:val="24"/>
        </w:rPr>
      </w:pPr>
      <w:r w:rsidRPr="00E31032">
        <w:rPr>
          <w:rStyle w:val="SubtleEmphasis"/>
          <w:rFonts w:ascii="Calibri" w:hAnsi="Calibri"/>
          <w:sz w:val="24"/>
          <w:szCs w:val="24"/>
        </w:rPr>
        <w:t xml:space="preserve">JANA was established in 1987 </w:t>
      </w:r>
      <w:r w:rsidR="00071058">
        <w:rPr>
          <w:rStyle w:val="SubtleEmphasis"/>
          <w:rFonts w:ascii="Calibri" w:hAnsi="Calibri"/>
          <w:sz w:val="24"/>
          <w:szCs w:val="24"/>
        </w:rPr>
        <w:t xml:space="preserve">as a privately owned advisory firm </w:t>
      </w:r>
      <w:r w:rsidRPr="00E31032">
        <w:rPr>
          <w:rStyle w:val="SubtleEmphasis"/>
          <w:rFonts w:ascii="Calibri" w:hAnsi="Calibri"/>
          <w:sz w:val="24"/>
          <w:szCs w:val="24"/>
        </w:rPr>
        <w:t>to provide institutional investment advice.</w:t>
      </w:r>
      <w:r w:rsidR="00860213">
        <w:rPr>
          <w:rStyle w:val="SubtleEmphasis"/>
          <w:rFonts w:ascii="Calibri" w:hAnsi="Calibri"/>
          <w:sz w:val="24"/>
          <w:szCs w:val="24"/>
        </w:rPr>
        <w:t xml:space="preserve"> </w:t>
      </w:r>
      <w:r w:rsidRPr="00E31032">
        <w:rPr>
          <w:rStyle w:val="SubtleEmphasis"/>
          <w:rFonts w:ascii="Calibri" w:hAnsi="Calibri"/>
          <w:sz w:val="24"/>
          <w:szCs w:val="24"/>
        </w:rPr>
        <w:t xml:space="preserve"> JANA was a fully-owned subsidiary of National Australia Bank (NAB) Limited from 2000 to September 2017. </w:t>
      </w:r>
      <w:r w:rsidR="00023918">
        <w:rPr>
          <w:rStyle w:val="SubtleEmphasis"/>
          <w:rFonts w:ascii="Calibri" w:hAnsi="Calibri"/>
          <w:sz w:val="24"/>
          <w:szCs w:val="24"/>
        </w:rPr>
        <w:t xml:space="preserve"> </w:t>
      </w:r>
      <w:r w:rsidRPr="00E31032">
        <w:rPr>
          <w:rStyle w:val="SubtleEmphasis"/>
          <w:rFonts w:ascii="Calibri" w:hAnsi="Calibri"/>
          <w:sz w:val="24"/>
          <w:szCs w:val="24"/>
        </w:rPr>
        <w:t>JANA is now majority owned by JANA management.</w:t>
      </w:r>
      <w:r w:rsidR="00023918">
        <w:rPr>
          <w:rStyle w:val="SubtleEmphasis"/>
          <w:rFonts w:ascii="Calibri" w:hAnsi="Calibri"/>
          <w:sz w:val="24"/>
          <w:szCs w:val="24"/>
        </w:rPr>
        <w:t xml:space="preserve"> </w:t>
      </w:r>
      <w:r w:rsidR="000F7210">
        <w:rPr>
          <w:rStyle w:val="SubtleEmphasis"/>
          <w:rFonts w:ascii="Calibri" w:hAnsi="Calibri"/>
          <w:sz w:val="24"/>
          <w:szCs w:val="24"/>
        </w:rPr>
        <w:t xml:space="preserve"> </w:t>
      </w:r>
      <w:r w:rsidR="000F7210" w:rsidRPr="00E31032">
        <w:rPr>
          <w:rStyle w:val="SubtleEmphasis"/>
          <w:rFonts w:ascii="Calibri" w:hAnsi="Calibri"/>
          <w:sz w:val="24"/>
          <w:szCs w:val="24"/>
        </w:rPr>
        <w:t xml:space="preserve">We have offices in Sydney and Melbourne with over </w:t>
      </w:r>
      <w:r w:rsidR="000F7210">
        <w:rPr>
          <w:rStyle w:val="SubtleEmphasis"/>
          <w:rFonts w:ascii="Calibri" w:hAnsi="Calibri"/>
          <w:sz w:val="24"/>
          <w:szCs w:val="24"/>
        </w:rPr>
        <w:t>70</w:t>
      </w:r>
      <w:r w:rsidR="000F7210" w:rsidRPr="00E31032">
        <w:rPr>
          <w:rStyle w:val="SubtleEmphasis"/>
          <w:rFonts w:ascii="Calibri" w:hAnsi="Calibri"/>
          <w:sz w:val="24"/>
          <w:szCs w:val="24"/>
        </w:rPr>
        <w:t xml:space="preserve"> investment professionals</w:t>
      </w:r>
      <w:r w:rsidR="000F7210">
        <w:rPr>
          <w:rStyle w:val="SubtleEmphasis"/>
          <w:rFonts w:ascii="Calibri" w:hAnsi="Calibri"/>
          <w:sz w:val="24"/>
          <w:szCs w:val="24"/>
        </w:rPr>
        <w:t>.</w:t>
      </w:r>
    </w:p>
    <w:p w14:paraId="3C45708F" w14:textId="77777777" w:rsidR="00E31032" w:rsidRDefault="00E31032" w:rsidP="00E31032">
      <w:pPr>
        <w:rPr>
          <w:rStyle w:val="SubtleEmphasis"/>
          <w:rFonts w:ascii="Calibri" w:hAnsi="Calibri"/>
          <w:sz w:val="24"/>
          <w:szCs w:val="24"/>
        </w:rPr>
      </w:pPr>
    </w:p>
    <w:p w14:paraId="4EFBE894" w14:textId="1F5439EF" w:rsidR="00E31032" w:rsidRDefault="00E31032" w:rsidP="00E31032">
      <w:pPr>
        <w:rPr>
          <w:rStyle w:val="SubtleEmphasis"/>
          <w:rFonts w:ascii="Calibri" w:hAnsi="Calibri"/>
          <w:sz w:val="24"/>
          <w:szCs w:val="24"/>
        </w:rPr>
      </w:pPr>
      <w:r w:rsidRPr="00E31032">
        <w:rPr>
          <w:rStyle w:val="SubtleEmphasis"/>
          <w:rFonts w:ascii="Calibri" w:hAnsi="Calibri"/>
          <w:sz w:val="24"/>
          <w:szCs w:val="24"/>
        </w:rPr>
        <w:t>Investment consulting is our core business.</w:t>
      </w:r>
    </w:p>
    <w:p w14:paraId="31164C4F" w14:textId="77777777" w:rsidR="00E31032" w:rsidRPr="00E31032" w:rsidRDefault="00E31032" w:rsidP="00E31032">
      <w:pPr>
        <w:rPr>
          <w:rStyle w:val="SubtleEmphasis"/>
          <w:rFonts w:ascii="Calibri" w:hAnsi="Calibri"/>
          <w:sz w:val="24"/>
          <w:szCs w:val="24"/>
        </w:rPr>
      </w:pPr>
    </w:p>
    <w:p w14:paraId="3F7A44AC" w14:textId="3DECC602" w:rsidR="00071058" w:rsidRDefault="00E31032" w:rsidP="00E31032">
      <w:pPr>
        <w:rPr>
          <w:rStyle w:val="SubtleEmphasis"/>
          <w:rFonts w:ascii="Calibri" w:hAnsi="Calibri"/>
          <w:sz w:val="24"/>
          <w:szCs w:val="24"/>
        </w:rPr>
      </w:pPr>
      <w:r w:rsidRPr="00E31032">
        <w:rPr>
          <w:rStyle w:val="SubtleEmphasis"/>
          <w:rFonts w:ascii="Calibri" w:hAnsi="Calibri"/>
          <w:sz w:val="24"/>
          <w:szCs w:val="24"/>
        </w:rPr>
        <w:t xml:space="preserve">For </w:t>
      </w:r>
      <w:r w:rsidR="00860213">
        <w:rPr>
          <w:rStyle w:val="SubtleEmphasis"/>
          <w:rFonts w:ascii="Calibri" w:hAnsi="Calibri"/>
          <w:sz w:val="24"/>
          <w:szCs w:val="24"/>
        </w:rPr>
        <w:t xml:space="preserve">over </w:t>
      </w:r>
      <w:r w:rsidRPr="00E31032">
        <w:rPr>
          <w:rStyle w:val="SubtleEmphasis"/>
          <w:rFonts w:ascii="Calibri" w:hAnsi="Calibri"/>
          <w:sz w:val="24"/>
          <w:szCs w:val="24"/>
        </w:rPr>
        <w:t xml:space="preserve">30 years, we have focused on delivering strong returns and investment outcomes for our clients. </w:t>
      </w:r>
      <w:r w:rsidR="00023918">
        <w:rPr>
          <w:rStyle w:val="SubtleEmphasis"/>
          <w:rFonts w:ascii="Calibri" w:hAnsi="Calibri"/>
          <w:sz w:val="24"/>
          <w:szCs w:val="24"/>
        </w:rPr>
        <w:t xml:space="preserve"> By way of example, </w:t>
      </w:r>
      <w:r w:rsidR="00F07760">
        <w:rPr>
          <w:rStyle w:val="SubtleEmphasis"/>
          <w:rFonts w:ascii="Calibri" w:hAnsi="Calibri"/>
          <w:sz w:val="24"/>
          <w:szCs w:val="24"/>
        </w:rPr>
        <w:t xml:space="preserve">the default investment options of </w:t>
      </w:r>
      <w:r w:rsidR="00023918">
        <w:rPr>
          <w:rStyle w:val="SubtleEmphasis"/>
          <w:rFonts w:ascii="Calibri" w:hAnsi="Calibri"/>
          <w:sz w:val="24"/>
          <w:szCs w:val="24"/>
        </w:rPr>
        <w:t>s</w:t>
      </w:r>
      <w:r w:rsidR="00071058">
        <w:rPr>
          <w:rStyle w:val="SubtleEmphasis"/>
          <w:rFonts w:ascii="Calibri" w:hAnsi="Calibri"/>
          <w:sz w:val="24"/>
          <w:szCs w:val="24"/>
        </w:rPr>
        <w:t xml:space="preserve">even of the ten top performing institutional superannuation funds (over the past 10 years to December 2017) </w:t>
      </w:r>
      <w:r w:rsidR="00910F7C">
        <w:rPr>
          <w:rStyle w:val="SubtleEmphasis"/>
          <w:rFonts w:ascii="Calibri" w:hAnsi="Calibri"/>
          <w:sz w:val="24"/>
          <w:szCs w:val="24"/>
        </w:rPr>
        <w:t>are</w:t>
      </w:r>
      <w:r w:rsidR="00071058">
        <w:rPr>
          <w:rStyle w:val="SubtleEmphasis"/>
          <w:rFonts w:ascii="Calibri" w:hAnsi="Calibri"/>
          <w:sz w:val="24"/>
          <w:szCs w:val="24"/>
        </w:rPr>
        <w:t xml:space="preserve"> advised by JANA</w:t>
      </w:r>
      <w:r w:rsidRPr="00E31032">
        <w:rPr>
          <w:rStyle w:val="SubtleEmphasis"/>
          <w:rFonts w:ascii="Calibri" w:hAnsi="Calibri"/>
          <w:sz w:val="24"/>
          <w:szCs w:val="24"/>
        </w:rPr>
        <w:t>.</w:t>
      </w:r>
    </w:p>
    <w:p w14:paraId="108397A6" w14:textId="235D7394" w:rsidR="00F51ED3" w:rsidRDefault="00F51ED3" w:rsidP="00E31032">
      <w:pPr>
        <w:rPr>
          <w:rStyle w:val="SubtleEmphasis"/>
          <w:rFonts w:ascii="Calibri" w:hAnsi="Calibri" w:cs="Calibri"/>
          <w:b/>
          <w:sz w:val="24"/>
          <w:szCs w:val="24"/>
        </w:rPr>
      </w:pPr>
    </w:p>
    <w:p w14:paraId="35CCA8E9" w14:textId="3F752247" w:rsidR="00F51ED3" w:rsidRDefault="00F51ED3" w:rsidP="00F51ED3">
      <w:pPr>
        <w:rPr>
          <w:rStyle w:val="SubtleEmphasis"/>
          <w:rFonts w:ascii="Calibri" w:hAnsi="Calibri"/>
          <w:sz w:val="24"/>
          <w:szCs w:val="24"/>
        </w:rPr>
      </w:pPr>
      <w:r w:rsidRPr="005725CA">
        <w:rPr>
          <w:rStyle w:val="SubtleEmphasis"/>
          <w:rFonts w:ascii="Calibri" w:hAnsi="Calibri"/>
          <w:sz w:val="24"/>
          <w:szCs w:val="24"/>
        </w:rPr>
        <w:lastRenderedPageBreak/>
        <w:t xml:space="preserve">The views expressed </w:t>
      </w:r>
      <w:r>
        <w:rPr>
          <w:rStyle w:val="SubtleEmphasis"/>
          <w:rFonts w:ascii="Calibri" w:hAnsi="Calibri"/>
          <w:sz w:val="24"/>
          <w:szCs w:val="24"/>
        </w:rPr>
        <w:t>in this paper are the views</w:t>
      </w:r>
      <w:r w:rsidRPr="005725CA">
        <w:rPr>
          <w:rStyle w:val="SubtleEmphasis"/>
          <w:rFonts w:ascii="Calibri" w:hAnsi="Calibri"/>
          <w:sz w:val="24"/>
          <w:szCs w:val="24"/>
        </w:rPr>
        <w:t xml:space="preserve"> of JANA and </w:t>
      </w:r>
      <w:r>
        <w:rPr>
          <w:rStyle w:val="SubtleEmphasis"/>
          <w:rFonts w:ascii="Calibri" w:hAnsi="Calibri"/>
          <w:sz w:val="24"/>
          <w:szCs w:val="24"/>
        </w:rPr>
        <w:t>not made on behalf of JANA’s clients.</w:t>
      </w:r>
    </w:p>
    <w:p w14:paraId="0BB0D8AF" w14:textId="77777777" w:rsidR="00F07760" w:rsidRPr="005725CA" w:rsidRDefault="00F07760" w:rsidP="00F51ED3">
      <w:pPr>
        <w:rPr>
          <w:rStyle w:val="SubtleEmphasis"/>
          <w:rFonts w:ascii="Calibri" w:hAnsi="Calibri"/>
          <w:sz w:val="24"/>
          <w:szCs w:val="24"/>
        </w:rPr>
      </w:pPr>
    </w:p>
    <w:p w14:paraId="097118B6" w14:textId="4BE44DA5" w:rsidR="00E31032" w:rsidRPr="008A21DA" w:rsidRDefault="008F57E9" w:rsidP="00E31032">
      <w:pPr>
        <w:rPr>
          <w:rStyle w:val="SubtleEmphasis"/>
          <w:rFonts w:ascii="Calibri" w:hAnsi="Calibri" w:cs="Calibri"/>
          <w:b/>
          <w:sz w:val="24"/>
          <w:szCs w:val="24"/>
        </w:rPr>
      </w:pPr>
      <w:r w:rsidRPr="008A21DA">
        <w:rPr>
          <w:rStyle w:val="SubtleEmphasis"/>
          <w:rFonts w:ascii="Calibri" w:hAnsi="Calibri" w:cs="Calibri"/>
          <w:b/>
          <w:sz w:val="24"/>
          <w:szCs w:val="24"/>
        </w:rPr>
        <w:t xml:space="preserve">JANA Position on the Government’s </w:t>
      </w:r>
      <w:r w:rsidRPr="008A21DA">
        <w:rPr>
          <w:rStyle w:val="SubtleEmphasis"/>
          <w:rFonts w:ascii="Calibri" w:hAnsi="Calibri" w:cs="Calibri"/>
          <w:b/>
          <w:color w:val="auto"/>
          <w:sz w:val="24"/>
          <w:szCs w:val="24"/>
        </w:rPr>
        <w:t>Retirement Income Covenant Position Paper</w:t>
      </w:r>
    </w:p>
    <w:p w14:paraId="52CDA501" w14:textId="77777777" w:rsidR="00E01F9D" w:rsidRDefault="00402E7D" w:rsidP="00E31032"/>
    <w:p w14:paraId="363FFB9E" w14:textId="27CFF27D" w:rsidR="00F5024C" w:rsidRDefault="00F5024C" w:rsidP="00F5024C">
      <w:pPr>
        <w:rPr>
          <w:rStyle w:val="SubtleEmphasis"/>
          <w:rFonts w:ascii="Calibri" w:hAnsi="Calibri"/>
          <w:sz w:val="24"/>
          <w:szCs w:val="24"/>
        </w:rPr>
      </w:pPr>
      <w:r>
        <w:rPr>
          <w:rStyle w:val="SubtleEmphasis"/>
          <w:rFonts w:ascii="Calibri" w:hAnsi="Calibri"/>
          <w:sz w:val="24"/>
          <w:szCs w:val="24"/>
        </w:rPr>
        <w:t xml:space="preserve">JANA </w:t>
      </w:r>
      <w:r w:rsidR="00B967B5">
        <w:rPr>
          <w:rStyle w:val="SubtleEmphasis"/>
          <w:rFonts w:ascii="Calibri" w:hAnsi="Calibri"/>
          <w:sz w:val="24"/>
          <w:szCs w:val="24"/>
        </w:rPr>
        <w:t>supports</w:t>
      </w:r>
      <w:r>
        <w:rPr>
          <w:rStyle w:val="SubtleEmphasis"/>
          <w:rFonts w:ascii="Calibri" w:hAnsi="Calibri"/>
          <w:sz w:val="24"/>
          <w:szCs w:val="24"/>
        </w:rPr>
        <w:t xml:space="preserve"> the Government’s position on Retirement </w:t>
      </w:r>
      <w:r w:rsidR="001A3FC7">
        <w:rPr>
          <w:rStyle w:val="SubtleEmphasis"/>
          <w:rFonts w:ascii="Calibri" w:hAnsi="Calibri"/>
          <w:sz w:val="24"/>
          <w:szCs w:val="24"/>
        </w:rPr>
        <w:t xml:space="preserve">which proposes that </w:t>
      </w:r>
      <w:r w:rsidR="00860213">
        <w:rPr>
          <w:rStyle w:val="SubtleEmphasis"/>
          <w:rFonts w:ascii="Calibri" w:hAnsi="Calibri"/>
          <w:sz w:val="24"/>
          <w:szCs w:val="24"/>
        </w:rPr>
        <w:t>t</w:t>
      </w:r>
      <w:r w:rsidR="001A3FC7">
        <w:rPr>
          <w:rStyle w:val="SubtleEmphasis"/>
          <w:rFonts w:ascii="Calibri" w:hAnsi="Calibri"/>
          <w:sz w:val="24"/>
          <w:szCs w:val="24"/>
        </w:rPr>
        <w:t xml:space="preserve">rustees of </w:t>
      </w:r>
      <w:r w:rsidR="00860213">
        <w:rPr>
          <w:rStyle w:val="SubtleEmphasis"/>
          <w:rFonts w:ascii="Calibri" w:hAnsi="Calibri"/>
          <w:sz w:val="24"/>
          <w:szCs w:val="24"/>
        </w:rPr>
        <w:t>s</w:t>
      </w:r>
      <w:r w:rsidR="001A3FC7">
        <w:rPr>
          <w:rStyle w:val="SubtleEmphasis"/>
          <w:rFonts w:ascii="Calibri" w:hAnsi="Calibri"/>
          <w:sz w:val="24"/>
          <w:szCs w:val="24"/>
        </w:rPr>
        <w:t xml:space="preserve">uperannuation </w:t>
      </w:r>
      <w:r w:rsidR="00860213">
        <w:rPr>
          <w:rStyle w:val="SubtleEmphasis"/>
          <w:rFonts w:ascii="Calibri" w:hAnsi="Calibri"/>
          <w:sz w:val="24"/>
          <w:szCs w:val="24"/>
        </w:rPr>
        <w:t>f</w:t>
      </w:r>
      <w:r w:rsidR="001A3FC7">
        <w:rPr>
          <w:rStyle w:val="SubtleEmphasis"/>
          <w:rFonts w:ascii="Calibri" w:hAnsi="Calibri"/>
          <w:sz w:val="24"/>
          <w:szCs w:val="24"/>
        </w:rPr>
        <w:t xml:space="preserve">unds be required </w:t>
      </w:r>
      <w:r>
        <w:rPr>
          <w:rStyle w:val="SubtleEmphasis"/>
          <w:rFonts w:ascii="Calibri" w:hAnsi="Calibri"/>
          <w:sz w:val="24"/>
          <w:szCs w:val="24"/>
        </w:rPr>
        <w:t>to develop a Retirement Income Framework.</w:t>
      </w:r>
      <w:r w:rsidR="00023918">
        <w:rPr>
          <w:rStyle w:val="SubtleEmphasis"/>
          <w:rFonts w:ascii="Calibri" w:hAnsi="Calibri"/>
          <w:sz w:val="24"/>
          <w:szCs w:val="24"/>
        </w:rPr>
        <w:t xml:space="preserve"> </w:t>
      </w:r>
      <w:r>
        <w:rPr>
          <w:rStyle w:val="SubtleEmphasis"/>
          <w:rFonts w:ascii="Calibri" w:hAnsi="Calibri"/>
          <w:sz w:val="24"/>
          <w:szCs w:val="24"/>
        </w:rPr>
        <w:t xml:space="preserve"> </w:t>
      </w:r>
      <w:r w:rsidR="00446C2A">
        <w:rPr>
          <w:rStyle w:val="SubtleEmphasis"/>
          <w:rFonts w:ascii="Calibri" w:hAnsi="Calibri"/>
          <w:sz w:val="24"/>
          <w:szCs w:val="24"/>
        </w:rPr>
        <w:t xml:space="preserve">As part of this framework, </w:t>
      </w:r>
      <w:r>
        <w:rPr>
          <w:rStyle w:val="SubtleEmphasis"/>
          <w:rFonts w:ascii="Calibri" w:hAnsi="Calibri"/>
          <w:sz w:val="24"/>
          <w:szCs w:val="24"/>
        </w:rPr>
        <w:t xml:space="preserve">JANA </w:t>
      </w:r>
      <w:r w:rsidR="00446C2A">
        <w:rPr>
          <w:rStyle w:val="SubtleEmphasis"/>
          <w:rFonts w:ascii="Calibri" w:hAnsi="Calibri"/>
          <w:sz w:val="24"/>
          <w:szCs w:val="24"/>
        </w:rPr>
        <w:t xml:space="preserve">believes the requirement for </w:t>
      </w:r>
      <w:r w:rsidR="00860213">
        <w:rPr>
          <w:rStyle w:val="SubtleEmphasis"/>
          <w:rFonts w:ascii="Calibri" w:hAnsi="Calibri"/>
          <w:sz w:val="24"/>
          <w:szCs w:val="24"/>
        </w:rPr>
        <w:t>t</w:t>
      </w:r>
      <w:r w:rsidR="00446C2A">
        <w:rPr>
          <w:rStyle w:val="SubtleEmphasis"/>
          <w:rFonts w:ascii="Calibri" w:hAnsi="Calibri"/>
          <w:sz w:val="24"/>
          <w:szCs w:val="24"/>
        </w:rPr>
        <w:t xml:space="preserve">rustees to formulate, review regularly and give effect to a retirement income strategy to assist members </w:t>
      </w:r>
      <w:r w:rsidR="00A979FA">
        <w:rPr>
          <w:rStyle w:val="SubtleEmphasis"/>
          <w:rFonts w:ascii="Calibri" w:hAnsi="Calibri"/>
          <w:sz w:val="24"/>
          <w:szCs w:val="24"/>
        </w:rPr>
        <w:t xml:space="preserve">to </w:t>
      </w:r>
      <w:r w:rsidR="00446C2A">
        <w:rPr>
          <w:rStyle w:val="SubtleEmphasis"/>
          <w:rFonts w:ascii="Calibri" w:hAnsi="Calibri"/>
          <w:sz w:val="24"/>
          <w:szCs w:val="24"/>
        </w:rPr>
        <w:t>meet their retirement income objectives</w:t>
      </w:r>
      <w:r w:rsidR="00DA06A1">
        <w:rPr>
          <w:rStyle w:val="SubtleEmphasis"/>
          <w:rFonts w:ascii="Calibri" w:hAnsi="Calibri"/>
          <w:sz w:val="24"/>
          <w:szCs w:val="24"/>
        </w:rPr>
        <w:t xml:space="preserve"> </w:t>
      </w:r>
      <w:r w:rsidR="00446C2A">
        <w:rPr>
          <w:rStyle w:val="SubtleEmphasis"/>
          <w:rFonts w:ascii="Calibri" w:hAnsi="Calibri"/>
          <w:sz w:val="24"/>
          <w:szCs w:val="24"/>
        </w:rPr>
        <w:t>is in the best interest of members</w:t>
      </w:r>
      <w:r w:rsidR="00860213">
        <w:rPr>
          <w:rStyle w:val="SubtleEmphasis"/>
          <w:rFonts w:ascii="Calibri" w:hAnsi="Calibri"/>
          <w:sz w:val="24"/>
          <w:szCs w:val="24"/>
        </w:rPr>
        <w:t xml:space="preserve">.  </w:t>
      </w:r>
      <w:r w:rsidR="00B967B5">
        <w:rPr>
          <w:rStyle w:val="SubtleEmphasis"/>
          <w:rFonts w:ascii="Calibri" w:hAnsi="Calibri"/>
          <w:sz w:val="24"/>
          <w:szCs w:val="24"/>
        </w:rPr>
        <w:t xml:space="preserve">In our role as investment adviser to our superannuation </w:t>
      </w:r>
      <w:r w:rsidR="001A77AC">
        <w:rPr>
          <w:rStyle w:val="SubtleEmphasis"/>
          <w:rFonts w:ascii="Calibri" w:hAnsi="Calibri"/>
          <w:sz w:val="24"/>
          <w:szCs w:val="24"/>
        </w:rPr>
        <w:t xml:space="preserve">fund </w:t>
      </w:r>
      <w:r w:rsidR="00B967B5">
        <w:rPr>
          <w:rStyle w:val="SubtleEmphasis"/>
          <w:rFonts w:ascii="Calibri" w:hAnsi="Calibri"/>
          <w:sz w:val="24"/>
          <w:szCs w:val="24"/>
        </w:rPr>
        <w:t xml:space="preserve">clients, we have been working with our clients on their investment strategy for many years, and </w:t>
      </w:r>
      <w:r w:rsidR="00446C2A">
        <w:rPr>
          <w:rStyle w:val="SubtleEmphasis"/>
          <w:rFonts w:ascii="Calibri" w:hAnsi="Calibri"/>
          <w:sz w:val="24"/>
          <w:szCs w:val="24"/>
        </w:rPr>
        <w:t xml:space="preserve">JANA is </w:t>
      </w:r>
      <w:r w:rsidR="00860213">
        <w:rPr>
          <w:rStyle w:val="SubtleEmphasis"/>
          <w:rFonts w:ascii="Calibri" w:hAnsi="Calibri"/>
          <w:sz w:val="24"/>
          <w:szCs w:val="24"/>
        </w:rPr>
        <w:t xml:space="preserve">accordingly </w:t>
      </w:r>
      <w:r w:rsidR="00446C2A">
        <w:rPr>
          <w:rStyle w:val="SubtleEmphasis"/>
          <w:rFonts w:ascii="Calibri" w:hAnsi="Calibri"/>
          <w:sz w:val="24"/>
          <w:szCs w:val="24"/>
        </w:rPr>
        <w:t xml:space="preserve">supportive of this </w:t>
      </w:r>
      <w:r w:rsidR="00023918">
        <w:rPr>
          <w:rStyle w:val="SubtleEmphasis"/>
          <w:rFonts w:ascii="Calibri" w:hAnsi="Calibri"/>
          <w:sz w:val="24"/>
          <w:szCs w:val="24"/>
        </w:rPr>
        <w:t>policy initiative</w:t>
      </w:r>
      <w:r w:rsidR="00446C2A">
        <w:rPr>
          <w:rStyle w:val="SubtleEmphasis"/>
          <w:rFonts w:ascii="Calibri" w:hAnsi="Calibri"/>
          <w:sz w:val="24"/>
          <w:szCs w:val="24"/>
        </w:rPr>
        <w:t xml:space="preserve">. </w:t>
      </w:r>
    </w:p>
    <w:p w14:paraId="4FA4B796" w14:textId="77777777" w:rsidR="00E941D9" w:rsidRDefault="00E941D9" w:rsidP="00F5024C">
      <w:pPr>
        <w:rPr>
          <w:rStyle w:val="SubtleEmphasis"/>
          <w:rFonts w:ascii="Calibri" w:hAnsi="Calibri"/>
          <w:sz w:val="24"/>
          <w:szCs w:val="24"/>
        </w:rPr>
      </w:pPr>
    </w:p>
    <w:p w14:paraId="7D23D180" w14:textId="38D3C335" w:rsidR="00E941D9" w:rsidRDefault="00E941D9" w:rsidP="00F5024C">
      <w:pPr>
        <w:rPr>
          <w:rStyle w:val="SubtleEmphasis"/>
          <w:rFonts w:ascii="Calibri" w:hAnsi="Calibri"/>
          <w:sz w:val="24"/>
          <w:szCs w:val="24"/>
        </w:rPr>
      </w:pPr>
      <w:r>
        <w:rPr>
          <w:rStyle w:val="SubtleEmphasis"/>
          <w:rFonts w:ascii="Calibri" w:hAnsi="Calibri"/>
          <w:sz w:val="24"/>
          <w:szCs w:val="24"/>
        </w:rPr>
        <w:t xml:space="preserve">JANA believes the Government’s objective of expanding individuals’ choice of retirement income products </w:t>
      </w:r>
      <w:r w:rsidR="00023918">
        <w:rPr>
          <w:rStyle w:val="SubtleEmphasis"/>
          <w:rFonts w:ascii="Calibri" w:hAnsi="Calibri"/>
          <w:sz w:val="24"/>
          <w:szCs w:val="24"/>
        </w:rPr>
        <w:t xml:space="preserve">to </w:t>
      </w:r>
      <w:r>
        <w:rPr>
          <w:rStyle w:val="SubtleEmphasis"/>
          <w:rFonts w:ascii="Calibri" w:hAnsi="Calibri"/>
          <w:sz w:val="24"/>
          <w:szCs w:val="24"/>
        </w:rPr>
        <w:t>improve their standard of living in retirement is a positive move for members</w:t>
      </w:r>
      <w:r w:rsidR="005B6110">
        <w:rPr>
          <w:rStyle w:val="SubtleEmphasis"/>
          <w:rFonts w:ascii="Calibri" w:hAnsi="Calibri"/>
          <w:sz w:val="24"/>
          <w:szCs w:val="24"/>
        </w:rPr>
        <w:t xml:space="preserve"> of superannuation funds</w:t>
      </w:r>
      <w:r>
        <w:rPr>
          <w:rStyle w:val="SubtleEmphasis"/>
          <w:rFonts w:ascii="Calibri" w:hAnsi="Calibri"/>
          <w:sz w:val="24"/>
          <w:szCs w:val="24"/>
        </w:rPr>
        <w:t xml:space="preserve">, particularly in the context of </w:t>
      </w:r>
      <w:r w:rsidR="005B6110">
        <w:rPr>
          <w:rStyle w:val="SubtleEmphasis"/>
          <w:rFonts w:ascii="Calibri" w:hAnsi="Calibri"/>
          <w:sz w:val="24"/>
          <w:szCs w:val="24"/>
        </w:rPr>
        <w:t>Australia’s ageing population</w:t>
      </w:r>
      <w:r w:rsidR="00A469E2">
        <w:rPr>
          <w:rStyle w:val="SubtleEmphasis"/>
          <w:rFonts w:ascii="Calibri" w:hAnsi="Calibri"/>
          <w:sz w:val="24"/>
          <w:szCs w:val="24"/>
        </w:rPr>
        <w:t>, which is</w:t>
      </w:r>
      <w:r w:rsidR="005B6110">
        <w:rPr>
          <w:rStyle w:val="SubtleEmphasis"/>
          <w:rFonts w:ascii="Calibri" w:hAnsi="Calibri"/>
          <w:sz w:val="24"/>
          <w:szCs w:val="24"/>
        </w:rPr>
        <w:t xml:space="preserve"> </w:t>
      </w:r>
      <w:r w:rsidR="00DA06A1">
        <w:rPr>
          <w:rStyle w:val="SubtleEmphasis"/>
          <w:rFonts w:ascii="Calibri" w:hAnsi="Calibri"/>
          <w:sz w:val="24"/>
          <w:szCs w:val="24"/>
        </w:rPr>
        <w:t xml:space="preserve">driven in part by </w:t>
      </w:r>
      <w:r w:rsidR="005B6110">
        <w:rPr>
          <w:rStyle w:val="SubtleEmphasis"/>
          <w:rFonts w:ascii="Calibri" w:hAnsi="Calibri"/>
          <w:sz w:val="24"/>
          <w:szCs w:val="24"/>
        </w:rPr>
        <w:t xml:space="preserve">improvements in life expectancy.  </w:t>
      </w:r>
    </w:p>
    <w:p w14:paraId="62291DCC" w14:textId="77777777" w:rsidR="0009107B" w:rsidRDefault="0009107B" w:rsidP="00F5024C">
      <w:pPr>
        <w:rPr>
          <w:rStyle w:val="SubtleEmphasis"/>
          <w:rFonts w:ascii="Calibri" w:hAnsi="Calibri"/>
          <w:sz w:val="24"/>
          <w:szCs w:val="24"/>
        </w:rPr>
      </w:pPr>
    </w:p>
    <w:p w14:paraId="5E691684" w14:textId="05800332" w:rsidR="0009107B" w:rsidRDefault="0009107B" w:rsidP="00F5024C">
      <w:pPr>
        <w:rPr>
          <w:rStyle w:val="SubtleEmphasis"/>
          <w:rFonts w:ascii="Calibri" w:hAnsi="Calibri"/>
          <w:sz w:val="24"/>
          <w:szCs w:val="24"/>
        </w:rPr>
      </w:pPr>
      <w:r>
        <w:rPr>
          <w:rStyle w:val="SubtleEmphasis"/>
          <w:rFonts w:ascii="Calibri" w:hAnsi="Calibri"/>
          <w:sz w:val="24"/>
          <w:szCs w:val="24"/>
        </w:rPr>
        <w:t xml:space="preserve">JANA is also supportive of the </w:t>
      </w:r>
      <w:r w:rsidR="00007A37">
        <w:rPr>
          <w:rStyle w:val="SubtleEmphasis"/>
          <w:rFonts w:ascii="Calibri" w:hAnsi="Calibri"/>
          <w:sz w:val="24"/>
          <w:szCs w:val="24"/>
        </w:rPr>
        <w:t xml:space="preserve">measures </w:t>
      </w:r>
      <w:r w:rsidR="00023918">
        <w:rPr>
          <w:rStyle w:val="SubtleEmphasis"/>
          <w:rFonts w:ascii="Calibri" w:hAnsi="Calibri"/>
          <w:sz w:val="24"/>
          <w:szCs w:val="24"/>
        </w:rPr>
        <w:t xml:space="preserve">to encourage </w:t>
      </w:r>
      <w:r w:rsidR="0058618E">
        <w:rPr>
          <w:rStyle w:val="SubtleEmphasis"/>
          <w:rFonts w:ascii="Calibri" w:hAnsi="Calibri"/>
          <w:sz w:val="24"/>
          <w:szCs w:val="24"/>
        </w:rPr>
        <w:t>superannuation funds to engage with</w:t>
      </w:r>
      <w:r w:rsidR="00DA06A1">
        <w:rPr>
          <w:rStyle w:val="SubtleEmphasis"/>
          <w:rFonts w:ascii="Calibri" w:hAnsi="Calibri"/>
          <w:sz w:val="24"/>
          <w:szCs w:val="24"/>
        </w:rPr>
        <w:t xml:space="preserve"> their</w:t>
      </w:r>
      <w:r w:rsidR="0058618E">
        <w:rPr>
          <w:rStyle w:val="SubtleEmphasis"/>
          <w:rFonts w:ascii="Calibri" w:hAnsi="Calibri"/>
          <w:sz w:val="24"/>
          <w:szCs w:val="24"/>
        </w:rPr>
        <w:t xml:space="preserve"> members about retirement</w:t>
      </w:r>
      <w:r w:rsidR="00942E16">
        <w:rPr>
          <w:rStyle w:val="SubtleEmphasis"/>
          <w:rFonts w:ascii="Calibri" w:hAnsi="Calibri"/>
          <w:sz w:val="24"/>
          <w:szCs w:val="24"/>
        </w:rPr>
        <w:t xml:space="preserve"> from a young age </w:t>
      </w:r>
      <w:r w:rsidR="0058618E">
        <w:rPr>
          <w:rStyle w:val="SubtleEmphasis"/>
          <w:rFonts w:ascii="Calibri" w:hAnsi="Calibri"/>
          <w:sz w:val="24"/>
          <w:szCs w:val="24"/>
        </w:rPr>
        <w:t xml:space="preserve">(and on an ongoing basis), as well as changing the conversation with members from being focused on </w:t>
      </w:r>
      <w:r w:rsidR="00071058">
        <w:rPr>
          <w:rStyle w:val="SubtleEmphasis"/>
          <w:rFonts w:ascii="Calibri" w:hAnsi="Calibri"/>
          <w:sz w:val="24"/>
          <w:szCs w:val="24"/>
        </w:rPr>
        <w:t xml:space="preserve">maximising </w:t>
      </w:r>
      <w:r w:rsidR="0058618E">
        <w:rPr>
          <w:rStyle w:val="SubtleEmphasis"/>
          <w:rFonts w:ascii="Calibri" w:hAnsi="Calibri"/>
          <w:sz w:val="24"/>
          <w:szCs w:val="24"/>
        </w:rPr>
        <w:t xml:space="preserve">superannuation account balances </w:t>
      </w:r>
      <w:r w:rsidR="00942E16" w:rsidRPr="00C314A2">
        <w:rPr>
          <w:rStyle w:val="SubtleEmphasis"/>
          <w:rFonts w:ascii="Calibri" w:hAnsi="Calibri"/>
          <w:b/>
          <w:sz w:val="24"/>
          <w:szCs w:val="24"/>
        </w:rPr>
        <w:t>at</w:t>
      </w:r>
      <w:r w:rsidR="00942E16">
        <w:rPr>
          <w:rStyle w:val="SubtleEmphasis"/>
          <w:rFonts w:ascii="Calibri" w:hAnsi="Calibri"/>
          <w:sz w:val="24"/>
          <w:szCs w:val="24"/>
        </w:rPr>
        <w:t xml:space="preserve"> retirement</w:t>
      </w:r>
      <w:r w:rsidR="00023918">
        <w:rPr>
          <w:rStyle w:val="SubtleEmphasis"/>
          <w:rFonts w:ascii="Calibri" w:hAnsi="Calibri"/>
          <w:sz w:val="24"/>
          <w:szCs w:val="24"/>
        </w:rPr>
        <w:t>,</w:t>
      </w:r>
      <w:r w:rsidR="00942E16">
        <w:rPr>
          <w:rStyle w:val="SubtleEmphasis"/>
          <w:rFonts w:ascii="Calibri" w:hAnsi="Calibri"/>
          <w:sz w:val="24"/>
          <w:szCs w:val="24"/>
        </w:rPr>
        <w:t xml:space="preserve"> </w:t>
      </w:r>
      <w:r w:rsidR="0058618E">
        <w:rPr>
          <w:rStyle w:val="SubtleEmphasis"/>
          <w:rFonts w:ascii="Calibri" w:hAnsi="Calibri"/>
          <w:sz w:val="24"/>
          <w:szCs w:val="24"/>
        </w:rPr>
        <w:t xml:space="preserve">to </w:t>
      </w:r>
      <w:r w:rsidR="00071058">
        <w:rPr>
          <w:rStyle w:val="SubtleEmphasis"/>
          <w:rFonts w:ascii="Calibri" w:hAnsi="Calibri"/>
          <w:sz w:val="24"/>
          <w:szCs w:val="24"/>
        </w:rPr>
        <w:t xml:space="preserve">one of sufficiency of </w:t>
      </w:r>
      <w:r w:rsidR="0058618E">
        <w:rPr>
          <w:rStyle w:val="SubtleEmphasis"/>
          <w:rFonts w:ascii="Calibri" w:hAnsi="Calibri"/>
          <w:sz w:val="24"/>
          <w:szCs w:val="24"/>
        </w:rPr>
        <w:t>income streams</w:t>
      </w:r>
      <w:r w:rsidR="00942E16">
        <w:rPr>
          <w:rStyle w:val="SubtleEmphasis"/>
          <w:rFonts w:ascii="Calibri" w:hAnsi="Calibri"/>
          <w:sz w:val="24"/>
          <w:szCs w:val="24"/>
        </w:rPr>
        <w:t xml:space="preserve"> </w:t>
      </w:r>
      <w:r w:rsidR="00942E16" w:rsidRPr="00C314A2">
        <w:rPr>
          <w:rStyle w:val="SubtleEmphasis"/>
          <w:rFonts w:ascii="Calibri" w:hAnsi="Calibri"/>
          <w:b/>
          <w:sz w:val="24"/>
          <w:szCs w:val="24"/>
        </w:rPr>
        <w:t>in</w:t>
      </w:r>
      <w:r w:rsidR="00942E16">
        <w:rPr>
          <w:rStyle w:val="SubtleEmphasis"/>
          <w:rFonts w:ascii="Calibri" w:hAnsi="Calibri"/>
          <w:sz w:val="24"/>
          <w:szCs w:val="24"/>
        </w:rPr>
        <w:t xml:space="preserve"> retirement.</w:t>
      </w:r>
    </w:p>
    <w:p w14:paraId="0091A604" w14:textId="77777777" w:rsidR="00482E16" w:rsidRDefault="00482E16" w:rsidP="00F5024C">
      <w:pPr>
        <w:rPr>
          <w:rStyle w:val="SubtleEmphasis"/>
          <w:rFonts w:ascii="Calibri" w:hAnsi="Calibri"/>
          <w:sz w:val="24"/>
          <w:szCs w:val="24"/>
        </w:rPr>
      </w:pPr>
    </w:p>
    <w:p w14:paraId="67EAFEEE" w14:textId="076E0A90" w:rsidR="00482E16" w:rsidRDefault="00C5578C" w:rsidP="00F5024C">
      <w:pPr>
        <w:rPr>
          <w:rStyle w:val="SubtleEmphasis"/>
          <w:rFonts w:ascii="Calibri" w:hAnsi="Calibri"/>
          <w:sz w:val="24"/>
          <w:szCs w:val="24"/>
        </w:rPr>
      </w:pPr>
      <w:r w:rsidRPr="00C5578C">
        <w:rPr>
          <w:rStyle w:val="SubtleEmphasis"/>
          <w:rFonts w:ascii="Calibri" w:hAnsi="Calibri"/>
          <w:sz w:val="24"/>
          <w:szCs w:val="24"/>
        </w:rPr>
        <w:t>JANA believe</w:t>
      </w:r>
      <w:r w:rsidR="00023918">
        <w:rPr>
          <w:rStyle w:val="SubtleEmphasis"/>
          <w:rFonts w:ascii="Calibri" w:hAnsi="Calibri"/>
          <w:sz w:val="24"/>
          <w:szCs w:val="24"/>
        </w:rPr>
        <w:t>s</w:t>
      </w:r>
      <w:r w:rsidRPr="00C5578C">
        <w:rPr>
          <w:rStyle w:val="SubtleEmphasis"/>
          <w:rFonts w:ascii="Calibri" w:hAnsi="Calibri"/>
          <w:sz w:val="24"/>
          <w:szCs w:val="24"/>
        </w:rPr>
        <w:t xml:space="preserve"> the introduction of a Retirement Income Framework </w:t>
      </w:r>
      <w:r w:rsidR="00023918">
        <w:rPr>
          <w:rStyle w:val="SubtleEmphasis"/>
          <w:rFonts w:ascii="Calibri" w:hAnsi="Calibri"/>
          <w:sz w:val="24"/>
          <w:szCs w:val="24"/>
        </w:rPr>
        <w:t>will be</w:t>
      </w:r>
      <w:r w:rsidR="00023918" w:rsidRPr="00C5578C">
        <w:rPr>
          <w:rStyle w:val="SubtleEmphasis"/>
          <w:rFonts w:ascii="Calibri" w:hAnsi="Calibri"/>
          <w:sz w:val="24"/>
          <w:szCs w:val="24"/>
        </w:rPr>
        <w:t xml:space="preserve"> </w:t>
      </w:r>
      <w:r w:rsidRPr="00C5578C">
        <w:rPr>
          <w:rStyle w:val="SubtleEmphasis"/>
          <w:rFonts w:ascii="Calibri" w:hAnsi="Calibri"/>
          <w:sz w:val="24"/>
          <w:szCs w:val="24"/>
        </w:rPr>
        <w:t xml:space="preserve">one of the largest reforms to affect superannuation funds </w:t>
      </w:r>
      <w:r>
        <w:rPr>
          <w:rStyle w:val="SubtleEmphasis"/>
          <w:rFonts w:ascii="Calibri" w:hAnsi="Calibri"/>
          <w:sz w:val="24"/>
          <w:szCs w:val="24"/>
        </w:rPr>
        <w:t>in recent times</w:t>
      </w:r>
      <w:r w:rsidR="00023918">
        <w:rPr>
          <w:rStyle w:val="SubtleEmphasis"/>
          <w:rFonts w:ascii="Calibri" w:hAnsi="Calibri"/>
          <w:sz w:val="24"/>
          <w:szCs w:val="24"/>
        </w:rPr>
        <w:t>.  It will</w:t>
      </w:r>
      <w:r>
        <w:rPr>
          <w:rStyle w:val="SubtleEmphasis"/>
          <w:rFonts w:ascii="Calibri" w:hAnsi="Calibri"/>
          <w:sz w:val="24"/>
          <w:szCs w:val="24"/>
        </w:rPr>
        <w:t xml:space="preserve"> </w:t>
      </w:r>
      <w:r w:rsidR="00023918">
        <w:rPr>
          <w:rStyle w:val="SubtleEmphasis"/>
          <w:rFonts w:ascii="Calibri" w:hAnsi="Calibri"/>
          <w:sz w:val="24"/>
          <w:szCs w:val="24"/>
        </w:rPr>
        <w:t>require</w:t>
      </w:r>
      <w:r w:rsidRPr="00C5578C">
        <w:rPr>
          <w:rStyle w:val="SubtleEmphasis"/>
          <w:rFonts w:ascii="Calibri" w:hAnsi="Calibri"/>
          <w:sz w:val="24"/>
          <w:szCs w:val="24"/>
        </w:rPr>
        <w:t xml:space="preserve"> </w:t>
      </w:r>
      <w:r w:rsidR="00023918">
        <w:rPr>
          <w:rStyle w:val="SubtleEmphasis"/>
          <w:rFonts w:ascii="Calibri" w:hAnsi="Calibri"/>
          <w:sz w:val="24"/>
          <w:szCs w:val="24"/>
        </w:rPr>
        <w:t>a substantial</w:t>
      </w:r>
      <w:r w:rsidR="0082111B" w:rsidRPr="00C5578C">
        <w:rPr>
          <w:rStyle w:val="SubtleEmphasis"/>
          <w:rFonts w:ascii="Calibri" w:hAnsi="Calibri"/>
          <w:sz w:val="24"/>
          <w:szCs w:val="24"/>
        </w:rPr>
        <w:t xml:space="preserve"> </w:t>
      </w:r>
      <w:r w:rsidR="00023918">
        <w:rPr>
          <w:rStyle w:val="SubtleEmphasis"/>
          <w:rFonts w:ascii="Calibri" w:hAnsi="Calibri"/>
          <w:sz w:val="24"/>
          <w:szCs w:val="24"/>
        </w:rPr>
        <w:t xml:space="preserve">increase in </w:t>
      </w:r>
      <w:r w:rsidR="0082111B" w:rsidRPr="00C5578C">
        <w:rPr>
          <w:rStyle w:val="SubtleEmphasis"/>
          <w:rFonts w:ascii="Calibri" w:hAnsi="Calibri"/>
          <w:sz w:val="24"/>
          <w:szCs w:val="24"/>
        </w:rPr>
        <w:t>work</w:t>
      </w:r>
      <w:r w:rsidR="00023918">
        <w:rPr>
          <w:rStyle w:val="SubtleEmphasis"/>
          <w:rFonts w:ascii="Calibri" w:hAnsi="Calibri"/>
          <w:sz w:val="24"/>
          <w:szCs w:val="24"/>
        </w:rPr>
        <w:t>load for virtually all</w:t>
      </w:r>
      <w:r w:rsidR="0082111B" w:rsidRPr="00C5578C">
        <w:rPr>
          <w:rStyle w:val="SubtleEmphasis"/>
          <w:rFonts w:ascii="Calibri" w:hAnsi="Calibri"/>
          <w:sz w:val="24"/>
          <w:szCs w:val="24"/>
        </w:rPr>
        <w:t xml:space="preserve"> superannuation funds</w:t>
      </w:r>
      <w:r w:rsidR="00023918">
        <w:rPr>
          <w:rStyle w:val="SubtleEmphasis"/>
          <w:rFonts w:ascii="Calibri" w:hAnsi="Calibri"/>
          <w:sz w:val="24"/>
          <w:szCs w:val="24"/>
        </w:rPr>
        <w:t xml:space="preserve"> across all areas of product design, investments, member communication and advice.  The impact on the investment services industry (</w:t>
      </w:r>
      <w:r w:rsidR="00C314A2">
        <w:rPr>
          <w:rStyle w:val="SubtleEmphasis"/>
          <w:rFonts w:ascii="Calibri" w:hAnsi="Calibri"/>
          <w:sz w:val="24"/>
          <w:szCs w:val="24"/>
        </w:rPr>
        <w:t>that is,</w:t>
      </w:r>
      <w:r w:rsidR="00023918">
        <w:rPr>
          <w:rStyle w:val="SubtleEmphasis"/>
          <w:rFonts w:ascii="Calibri" w:hAnsi="Calibri"/>
          <w:sz w:val="24"/>
          <w:szCs w:val="24"/>
        </w:rPr>
        <w:t xml:space="preserve"> th</w:t>
      </w:r>
      <w:r w:rsidR="002B0432">
        <w:rPr>
          <w:rStyle w:val="SubtleEmphasis"/>
          <w:rFonts w:ascii="Calibri" w:hAnsi="Calibri"/>
          <w:sz w:val="24"/>
          <w:szCs w:val="24"/>
        </w:rPr>
        <w:t>e product manufacturers</w:t>
      </w:r>
      <w:r w:rsidR="00023918">
        <w:rPr>
          <w:rStyle w:val="SubtleEmphasis"/>
          <w:rFonts w:ascii="Calibri" w:hAnsi="Calibri"/>
          <w:sz w:val="24"/>
          <w:szCs w:val="24"/>
        </w:rPr>
        <w:t xml:space="preserve"> </w:t>
      </w:r>
      <w:r w:rsidR="00A469E2">
        <w:rPr>
          <w:rStyle w:val="SubtleEmphasis"/>
          <w:rFonts w:ascii="Calibri" w:hAnsi="Calibri"/>
          <w:sz w:val="24"/>
          <w:szCs w:val="24"/>
        </w:rPr>
        <w:t xml:space="preserve">that will develop and </w:t>
      </w:r>
      <w:r w:rsidR="00023918">
        <w:rPr>
          <w:rStyle w:val="SubtleEmphasis"/>
          <w:rFonts w:ascii="Calibri" w:hAnsi="Calibri"/>
          <w:sz w:val="24"/>
          <w:szCs w:val="24"/>
        </w:rPr>
        <w:t xml:space="preserve">offer new products) should </w:t>
      </w:r>
      <w:r w:rsidR="0021136F">
        <w:rPr>
          <w:rStyle w:val="SubtleEmphasis"/>
          <w:rFonts w:ascii="Calibri" w:hAnsi="Calibri"/>
          <w:sz w:val="24"/>
          <w:szCs w:val="24"/>
        </w:rPr>
        <w:t xml:space="preserve">also </w:t>
      </w:r>
      <w:r w:rsidR="00023918">
        <w:rPr>
          <w:rStyle w:val="SubtleEmphasis"/>
          <w:rFonts w:ascii="Calibri" w:hAnsi="Calibri"/>
          <w:sz w:val="24"/>
          <w:szCs w:val="24"/>
        </w:rPr>
        <w:t>not be underestimated</w:t>
      </w:r>
      <w:r w:rsidR="0041302F">
        <w:rPr>
          <w:rStyle w:val="SubtleEmphasis"/>
          <w:rFonts w:ascii="Calibri" w:hAnsi="Calibri"/>
          <w:sz w:val="24"/>
          <w:szCs w:val="24"/>
        </w:rPr>
        <w:t>.</w:t>
      </w:r>
    </w:p>
    <w:p w14:paraId="3D42F024" w14:textId="7108636D" w:rsidR="00E941D9" w:rsidRDefault="00E941D9" w:rsidP="00F5024C">
      <w:pPr>
        <w:rPr>
          <w:rStyle w:val="SubtleEmphasis"/>
          <w:rFonts w:ascii="Calibri" w:hAnsi="Calibri"/>
          <w:sz w:val="24"/>
          <w:szCs w:val="24"/>
        </w:rPr>
      </w:pPr>
    </w:p>
    <w:p w14:paraId="5DA9159E" w14:textId="4980C3D7" w:rsidR="00CB6A6C" w:rsidRPr="002B0432" w:rsidRDefault="00CB6A6C" w:rsidP="00CB6A6C">
      <w:pPr>
        <w:rPr>
          <w:rStyle w:val="SubtleEmphasis"/>
          <w:rFonts w:ascii="Calibri" w:hAnsi="Calibri"/>
          <w:b/>
          <w:i/>
          <w:color w:val="auto"/>
          <w:sz w:val="24"/>
          <w:szCs w:val="24"/>
        </w:rPr>
      </w:pPr>
      <w:r w:rsidRPr="002B0432">
        <w:rPr>
          <w:rStyle w:val="SubtleEmphasis"/>
          <w:rFonts w:ascii="Calibri" w:hAnsi="Calibri"/>
          <w:b/>
          <w:i/>
          <w:color w:val="auto"/>
          <w:sz w:val="24"/>
          <w:szCs w:val="24"/>
        </w:rPr>
        <w:t>Challenges</w:t>
      </w:r>
      <w:r w:rsidR="002B0432" w:rsidRPr="002B0432">
        <w:rPr>
          <w:rStyle w:val="SubtleEmphasis"/>
          <w:rFonts w:ascii="Calibri" w:hAnsi="Calibri"/>
          <w:b/>
          <w:i/>
          <w:color w:val="auto"/>
          <w:sz w:val="24"/>
          <w:szCs w:val="24"/>
        </w:rPr>
        <w:t xml:space="preserve"> relating to the Provision of C</w:t>
      </w:r>
      <w:r w:rsidR="00C94716">
        <w:rPr>
          <w:rStyle w:val="SubtleEmphasis"/>
          <w:rFonts w:ascii="Calibri" w:hAnsi="Calibri"/>
          <w:b/>
          <w:i/>
          <w:color w:val="auto"/>
          <w:sz w:val="24"/>
          <w:szCs w:val="24"/>
        </w:rPr>
        <w:t>omprehensive Income Products for Retirement</w:t>
      </w:r>
    </w:p>
    <w:p w14:paraId="3AAF3B0C" w14:textId="77777777" w:rsidR="00CB6A6C" w:rsidRPr="00CB6A6C" w:rsidRDefault="00CB6A6C" w:rsidP="00CB6A6C">
      <w:pPr>
        <w:rPr>
          <w:b/>
          <w:highlight w:val="yellow"/>
        </w:rPr>
      </w:pPr>
    </w:p>
    <w:p w14:paraId="4C035C56" w14:textId="76DE7D28" w:rsidR="00071058" w:rsidRPr="00916014" w:rsidRDefault="0021136F" w:rsidP="00F5024C">
      <w:pPr>
        <w:rPr>
          <w:rStyle w:val="SubtleEmphasis"/>
          <w:rFonts w:ascii="Calibri" w:hAnsi="Calibri"/>
          <w:sz w:val="24"/>
          <w:szCs w:val="24"/>
        </w:rPr>
      </w:pPr>
      <w:r w:rsidRPr="00916014">
        <w:rPr>
          <w:rStyle w:val="SubtleEmphasis"/>
          <w:rFonts w:ascii="Calibri" w:hAnsi="Calibri"/>
          <w:sz w:val="24"/>
          <w:szCs w:val="24"/>
        </w:rPr>
        <w:t xml:space="preserve">It is in this context that </w:t>
      </w:r>
      <w:r w:rsidR="00EB3F9A" w:rsidRPr="00916014">
        <w:rPr>
          <w:rStyle w:val="SubtleEmphasis"/>
          <w:rFonts w:ascii="Calibri" w:hAnsi="Calibri"/>
          <w:sz w:val="24"/>
          <w:szCs w:val="24"/>
        </w:rPr>
        <w:t>JANA’s greatest concern in</w:t>
      </w:r>
      <w:r w:rsidR="00060E03" w:rsidRPr="00916014">
        <w:rPr>
          <w:rStyle w:val="SubtleEmphasis"/>
          <w:rFonts w:ascii="Calibri" w:hAnsi="Calibri"/>
          <w:sz w:val="24"/>
          <w:szCs w:val="24"/>
        </w:rPr>
        <w:t xml:space="preserve"> relation to the provision of </w:t>
      </w:r>
      <w:r w:rsidR="006338D8">
        <w:rPr>
          <w:rStyle w:val="SubtleEmphasis"/>
          <w:rFonts w:ascii="Calibri" w:hAnsi="Calibri"/>
          <w:sz w:val="24"/>
          <w:szCs w:val="24"/>
        </w:rPr>
        <w:t>CIPRs</w:t>
      </w:r>
      <w:r w:rsidR="00060E03" w:rsidRPr="00916014">
        <w:rPr>
          <w:rStyle w:val="SubtleEmphasis"/>
          <w:rFonts w:ascii="Calibri" w:hAnsi="Calibri"/>
          <w:sz w:val="24"/>
          <w:szCs w:val="24"/>
        </w:rPr>
        <w:t xml:space="preserve"> is that superannuation funds will need to undertake significant work</w:t>
      </w:r>
      <w:r w:rsidR="00B37F0C" w:rsidRPr="00916014">
        <w:rPr>
          <w:rStyle w:val="SubtleEmphasis"/>
          <w:rFonts w:ascii="Calibri" w:hAnsi="Calibri"/>
          <w:sz w:val="24"/>
          <w:szCs w:val="24"/>
        </w:rPr>
        <w:t xml:space="preserve"> and bear the associated costs</w:t>
      </w:r>
      <w:r w:rsidR="00060E03" w:rsidRPr="00916014">
        <w:rPr>
          <w:rStyle w:val="SubtleEmphasis"/>
          <w:rFonts w:ascii="Calibri" w:hAnsi="Calibri"/>
          <w:sz w:val="24"/>
          <w:szCs w:val="24"/>
        </w:rPr>
        <w:t xml:space="preserve">, with </w:t>
      </w:r>
      <w:r w:rsidR="006C58F7" w:rsidRPr="00916014">
        <w:rPr>
          <w:rStyle w:val="SubtleEmphasis"/>
          <w:rFonts w:ascii="Calibri" w:hAnsi="Calibri"/>
          <w:sz w:val="24"/>
          <w:szCs w:val="24"/>
        </w:rPr>
        <w:t xml:space="preserve">difficulty in forecasting the number of members that </w:t>
      </w:r>
      <w:r w:rsidR="004D2E81" w:rsidRPr="00916014">
        <w:rPr>
          <w:rStyle w:val="SubtleEmphasis"/>
          <w:rFonts w:ascii="Calibri" w:hAnsi="Calibri"/>
          <w:sz w:val="24"/>
          <w:szCs w:val="24"/>
        </w:rPr>
        <w:t>may take up this type of product.</w:t>
      </w:r>
    </w:p>
    <w:p w14:paraId="37FA1F1E" w14:textId="77777777" w:rsidR="00071058" w:rsidRPr="00CB6A6C" w:rsidRDefault="00071058" w:rsidP="00F5024C">
      <w:pPr>
        <w:rPr>
          <w:rStyle w:val="SubtleEmphasis"/>
          <w:rFonts w:ascii="Calibri" w:hAnsi="Calibri"/>
          <w:sz w:val="24"/>
          <w:szCs w:val="24"/>
          <w:highlight w:val="yellow"/>
        </w:rPr>
      </w:pPr>
    </w:p>
    <w:p w14:paraId="3FE506FC" w14:textId="77777777" w:rsidR="000B20E1" w:rsidRDefault="0021136F" w:rsidP="00C97A91">
      <w:pPr>
        <w:rPr>
          <w:rStyle w:val="SubtleEmphasis"/>
          <w:rFonts w:ascii="Calibri" w:hAnsi="Calibri"/>
          <w:sz w:val="24"/>
          <w:szCs w:val="24"/>
        </w:rPr>
      </w:pPr>
      <w:r w:rsidRPr="00370F2D">
        <w:rPr>
          <w:rStyle w:val="SubtleEmphasis"/>
          <w:rFonts w:ascii="Calibri" w:hAnsi="Calibri"/>
          <w:sz w:val="24"/>
          <w:szCs w:val="24"/>
        </w:rPr>
        <w:t>T</w:t>
      </w:r>
      <w:r w:rsidR="00135BDF" w:rsidRPr="00370F2D">
        <w:rPr>
          <w:rStyle w:val="SubtleEmphasis"/>
          <w:rFonts w:ascii="Calibri" w:hAnsi="Calibri"/>
          <w:sz w:val="24"/>
          <w:szCs w:val="24"/>
        </w:rPr>
        <w:t xml:space="preserve">he </w:t>
      </w:r>
      <w:r w:rsidR="00060E03" w:rsidRPr="00370F2D">
        <w:rPr>
          <w:rStyle w:val="SubtleEmphasis"/>
          <w:rFonts w:ascii="Calibri" w:hAnsi="Calibri"/>
          <w:sz w:val="24"/>
          <w:szCs w:val="24"/>
        </w:rPr>
        <w:t>potential for</w:t>
      </w:r>
      <w:r w:rsidR="002B17E4" w:rsidRPr="00370F2D">
        <w:rPr>
          <w:rStyle w:val="SubtleEmphasis"/>
          <w:rFonts w:ascii="Calibri" w:hAnsi="Calibri"/>
          <w:sz w:val="24"/>
          <w:szCs w:val="24"/>
        </w:rPr>
        <w:t xml:space="preserve"> only</w:t>
      </w:r>
      <w:r w:rsidR="00060E03" w:rsidRPr="00370F2D">
        <w:rPr>
          <w:rStyle w:val="SubtleEmphasis"/>
          <w:rFonts w:ascii="Calibri" w:hAnsi="Calibri"/>
          <w:sz w:val="24"/>
          <w:szCs w:val="24"/>
        </w:rPr>
        <w:t xml:space="preserve"> a small take-up by members</w:t>
      </w:r>
      <w:r w:rsidRPr="00370F2D">
        <w:rPr>
          <w:rStyle w:val="SubtleEmphasis"/>
          <w:rFonts w:ascii="Calibri" w:hAnsi="Calibri"/>
          <w:sz w:val="24"/>
          <w:szCs w:val="24"/>
        </w:rPr>
        <w:t xml:space="preserve"> is</w:t>
      </w:r>
      <w:r w:rsidR="00685893" w:rsidRPr="00370F2D">
        <w:rPr>
          <w:rStyle w:val="SubtleEmphasis"/>
          <w:rFonts w:ascii="Calibri" w:hAnsi="Calibri"/>
          <w:sz w:val="24"/>
          <w:szCs w:val="24"/>
        </w:rPr>
        <w:t xml:space="preserve"> a significant risk</w:t>
      </w:r>
      <w:r w:rsidRPr="00370F2D">
        <w:rPr>
          <w:rStyle w:val="SubtleEmphasis"/>
          <w:rFonts w:ascii="Calibri" w:hAnsi="Calibri"/>
          <w:sz w:val="24"/>
          <w:szCs w:val="24"/>
        </w:rPr>
        <w:t>.  P</w:t>
      </w:r>
      <w:r w:rsidR="00135BDF" w:rsidRPr="00370F2D">
        <w:rPr>
          <w:rStyle w:val="SubtleEmphasis"/>
          <w:rFonts w:ascii="Calibri" w:hAnsi="Calibri"/>
          <w:sz w:val="24"/>
          <w:szCs w:val="24"/>
        </w:rPr>
        <w:t>roducts such as annuities have</w:t>
      </w:r>
      <w:r w:rsidR="00B37F0C" w:rsidRPr="00370F2D">
        <w:rPr>
          <w:rStyle w:val="SubtleEmphasis"/>
          <w:rFonts w:ascii="Calibri" w:hAnsi="Calibri"/>
          <w:sz w:val="24"/>
          <w:szCs w:val="24"/>
        </w:rPr>
        <w:t xml:space="preserve"> historically</w:t>
      </w:r>
      <w:r w:rsidR="00135BDF" w:rsidRPr="00370F2D">
        <w:rPr>
          <w:rStyle w:val="SubtleEmphasis"/>
          <w:rFonts w:ascii="Calibri" w:hAnsi="Calibri"/>
          <w:sz w:val="24"/>
          <w:szCs w:val="24"/>
        </w:rPr>
        <w:t xml:space="preserve"> been unpopular</w:t>
      </w:r>
      <w:r w:rsidR="00676068" w:rsidRPr="00370F2D">
        <w:rPr>
          <w:rStyle w:val="SubtleEmphasis"/>
          <w:rFonts w:ascii="Calibri" w:hAnsi="Calibri"/>
          <w:sz w:val="24"/>
          <w:szCs w:val="24"/>
        </w:rPr>
        <w:t xml:space="preserve"> in the Australian market</w:t>
      </w:r>
      <w:r w:rsidR="00714390">
        <w:rPr>
          <w:rStyle w:val="SubtleEmphasis"/>
          <w:rFonts w:ascii="Calibri" w:hAnsi="Calibri"/>
          <w:sz w:val="24"/>
          <w:szCs w:val="24"/>
        </w:rPr>
        <w:t>.  The Australian Journal</w:t>
      </w:r>
      <w:r w:rsidR="0016074E">
        <w:rPr>
          <w:rStyle w:val="SubtleEmphasis"/>
          <w:rFonts w:ascii="Calibri" w:hAnsi="Calibri"/>
          <w:sz w:val="24"/>
          <w:szCs w:val="24"/>
        </w:rPr>
        <w:t xml:space="preserve"> </w:t>
      </w:r>
      <w:r w:rsidR="0016074E">
        <w:rPr>
          <w:rStyle w:val="SubtleEmphasis"/>
          <w:rFonts w:ascii="Calibri" w:hAnsi="Calibri"/>
          <w:sz w:val="24"/>
          <w:szCs w:val="24"/>
        </w:rPr>
        <w:lastRenderedPageBreak/>
        <w:t>o</w:t>
      </w:r>
      <w:r w:rsidR="00714390">
        <w:rPr>
          <w:rStyle w:val="SubtleEmphasis"/>
          <w:rFonts w:ascii="Calibri" w:hAnsi="Calibri"/>
          <w:sz w:val="24"/>
          <w:szCs w:val="24"/>
        </w:rPr>
        <w:t>f Actuarial Practice (2015), Volume 3</w:t>
      </w:r>
      <w:r w:rsidR="007D788E">
        <w:rPr>
          <w:rStyle w:val="FootnoteReference"/>
          <w:rFonts w:ascii="Calibri" w:hAnsi="Calibri"/>
          <w:iCs/>
          <w:color w:val="0D0D0D"/>
          <w:sz w:val="24"/>
          <w:szCs w:val="24"/>
        </w:rPr>
        <w:footnoteReference w:id="1"/>
      </w:r>
      <w:r w:rsidR="00714390">
        <w:rPr>
          <w:rStyle w:val="SubtleEmphasis"/>
          <w:rFonts w:ascii="Calibri" w:hAnsi="Calibri"/>
          <w:sz w:val="24"/>
          <w:szCs w:val="24"/>
        </w:rPr>
        <w:t>, outlined</w:t>
      </w:r>
      <w:r w:rsidR="00FC3768">
        <w:rPr>
          <w:rStyle w:val="SubtleEmphasis"/>
          <w:rFonts w:ascii="Calibri" w:hAnsi="Calibri"/>
          <w:sz w:val="24"/>
          <w:szCs w:val="24"/>
        </w:rPr>
        <w:t xml:space="preserve"> a comprehensive list</w:t>
      </w:r>
      <w:r w:rsidR="00714390">
        <w:rPr>
          <w:rStyle w:val="SubtleEmphasis"/>
          <w:rFonts w:ascii="Calibri" w:hAnsi="Calibri"/>
          <w:sz w:val="24"/>
          <w:szCs w:val="24"/>
        </w:rPr>
        <w:t xml:space="preserve"> </w:t>
      </w:r>
      <w:r w:rsidR="006338D8">
        <w:rPr>
          <w:rStyle w:val="SubtleEmphasis"/>
          <w:rFonts w:ascii="Calibri" w:hAnsi="Calibri"/>
          <w:sz w:val="24"/>
          <w:szCs w:val="24"/>
        </w:rPr>
        <w:t xml:space="preserve">of </w:t>
      </w:r>
      <w:r w:rsidR="00714390">
        <w:rPr>
          <w:rStyle w:val="SubtleEmphasis"/>
          <w:rFonts w:ascii="Calibri" w:hAnsi="Calibri"/>
          <w:sz w:val="24"/>
          <w:szCs w:val="24"/>
        </w:rPr>
        <w:t>reasons why consumers do not purchase annuities to the extent expected.  This was based on research conducted by the US Society of Actuaries, with the findings falling into three main categories</w:t>
      </w:r>
      <w:r w:rsidR="006338D8">
        <w:rPr>
          <w:rStyle w:val="SubtleEmphasis"/>
          <w:rFonts w:ascii="Calibri" w:hAnsi="Calibri"/>
          <w:sz w:val="24"/>
          <w:szCs w:val="24"/>
        </w:rPr>
        <w:t>:</w:t>
      </w:r>
      <w:r w:rsidR="00714390">
        <w:rPr>
          <w:rStyle w:val="SubtleEmphasis"/>
          <w:rFonts w:ascii="Calibri" w:hAnsi="Calibri"/>
          <w:sz w:val="24"/>
          <w:szCs w:val="24"/>
        </w:rPr>
        <w:t xml:space="preserve"> rational decisions arising from personal preferences and circumstances</w:t>
      </w:r>
      <w:r w:rsidR="007D788E">
        <w:rPr>
          <w:rStyle w:val="SubtleEmphasis"/>
          <w:rFonts w:ascii="Calibri" w:hAnsi="Calibri"/>
          <w:sz w:val="24"/>
          <w:szCs w:val="24"/>
        </w:rPr>
        <w:t xml:space="preserve"> (e.g. loss of liquidity, loss of bequest)</w:t>
      </w:r>
      <w:r w:rsidR="000B20E1">
        <w:rPr>
          <w:rStyle w:val="SubtleEmphasis"/>
          <w:rFonts w:ascii="Calibri" w:hAnsi="Calibri"/>
          <w:sz w:val="24"/>
          <w:szCs w:val="24"/>
        </w:rPr>
        <w:t>;</w:t>
      </w:r>
      <w:r w:rsidR="00714390">
        <w:rPr>
          <w:rStyle w:val="SubtleEmphasis"/>
          <w:rFonts w:ascii="Calibri" w:hAnsi="Calibri"/>
          <w:sz w:val="24"/>
          <w:szCs w:val="24"/>
        </w:rPr>
        <w:t xml:space="preserve"> rational decisions arising from environmental </w:t>
      </w:r>
      <w:r w:rsidR="000B5814">
        <w:rPr>
          <w:rStyle w:val="SubtleEmphasis"/>
          <w:rFonts w:ascii="Calibri" w:hAnsi="Calibri"/>
          <w:sz w:val="24"/>
          <w:szCs w:val="24"/>
        </w:rPr>
        <w:t xml:space="preserve">limitations </w:t>
      </w:r>
      <w:r w:rsidR="007D788E">
        <w:rPr>
          <w:rStyle w:val="SubtleEmphasis"/>
          <w:rFonts w:ascii="Calibri" w:hAnsi="Calibri"/>
          <w:sz w:val="24"/>
          <w:szCs w:val="24"/>
        </w:rPr>
        <w:t>(e.g. perception of expensive pricing, poor financial market environment at time of purchase)</w:t>
      </w:r>
      <w:r w:rsidR="000B20E1">
        <w:rPr>
          <w:rStyle w:val="SubtleEmphasis"/>
          <w:rFonts w:ascii="Calibri" w:hAnsi="Calibri"/>
          <w:sz w:val="24"/>
          <w:szCs w:val="24"/>
        </w:rPr>
        <w:t>;</w:t>
      </w:r>
      <w:r w:rsidR="007D788E">
        <w:rPr>
          <w:rStyle w:val="SubtleEmphasis"/>
          <w:rFonts w:ascii="Calibri" w:hAnsi="Calibri"/>
          <w:sz w:val="24"/>
          <w:szCs w:val="24"/>
        </w:rPr>
        <w:t xml:space="preserve"> </w:t>
      </w:r>
      <w:r w:rsidR="000B5814">
        <w:rPr>
          <w:rStyle w:val="SubtleEmphasis"/>
          <w:rFonts w:ascii="Calibri" w:hAnsi="Calibri"/>
          <w:sz w:val="24"/>
          <w:szCs w:val="24"/>
        </w:rPr>
        <w:t xml:space="preserve">and decisions </w:t>
      </w:r>
      <w:r w:rsidR="000B5814" w:rsidRPr="00AA6EFC">
        <w:rPr>
          <w:rStyle w:val="SubtleEmphasis"/>
          <w:rFonts w:ascii="Calibri" w:hAnsi="Calibri"/>
          <w:sz w:val="24"/>
          <w:szCs w:val="24"/>
        </w:rPr>
        <w:t>arising from behavioural biases</w:t>
      </w:r>
      <w:r w:rsidR="007D788E" w:rsidRPr="00AA6EFC">
        <w:rPr>
          <w:rStyle w:val="SubtleEmphasis"/>
          <w:rFonts w:ascii="Calibri" w:hAnsi="Calibri"/>
          <w:sz w:val="24"/>
          <w:szCs w:val="24"/>
        </w:rPr>
        <w:t xml:space="preserve"> (e.g. control, financial illiteracy)</w:t>
      </w:r>
      <w:r w:rsidR="000B5814" w:rsidRPr="00AA6EFC">
        <w:rPr>
          <w:rStyle w:val="SubtleEmphasis"/>
          <w:rFonts w:ascii="Calibri" w:hAnsi="Calibri"/>
          <w:sz w:val="24"/>
          <w:szCs w:val="24"/>
        </w:rPr>
        <w:t>.</w:t>
      </w:r>
    </w:p>
    <w:p w14:paraId="372C87BF" w14:textId="77777777" w:rsidR="000B20E1" w:rsidRDefault="000B20E1" w:rsidP="00C97A91">
      <w:pPr>
        <w:rPr>
          <w:rStyle w:val="SubtleEmphasis"/>
          <w:rFonts w:ascii="Calibri" w:hAnsi="Calibri"/>
          <w:sz w:val="24"/>
          <w:szCs w:val="24"/>
        </w:rPr>
      </w:pPr>
    </w:p>
    <w:p w14:paraId="35EE111D" w14:textId="59FAC04B" w:rsidR="00FC3768" w:rsidRDefault="00FC3768" w:rsidP="00C97A91">
      <w:pPr>
        <w:rPr>
          <w:rStyle w:val="SubtleEmphasis"/>
          <w:rFonts w:ascii="Calibri" w:hAnsi="Calibri"/>
          <w:sz w:val="24"/>
          <w:szCs w:val="24"/>
        </w:rPr>
      </w:pPr>
      <w:r w:rsidRPr="00AA6EFC">
        <w:rPr>
          <w:rStyle w:val="SubtleEmphasis"/>
          <w:rFonts w:ascii="Calibri" w:hAnsi="Calibri"/>
          <w:sz w:val="24"/>
          <w:szCs w:val="24"/>
        </w:rPr>
        <w:t>The Australian Journal of Actuarial Practice (2015), Volume 3</w:t>
      </w:r>
      <w:r w:rsidR="00982C54">
        <w:rPr>
          <w:rStyle w:val="FootnoteReference"/>
          <w:rFonts w:ascii="Calibri" w:hAnsi="Calibri"/>
          <w:iCs/>
          <w:color w:val="0D0D0D"/>
          <w:sz w:val="24"/>
          <w:szCs w:val="24"/>
        </w:rPr>
        <w:footnoteReference w:id="2"/>
      </w:r>
      <w:r w:rsidRPr="00AA6EFC">
        <w:rPr>
          <w:rStyle w:val="SubtleEmphasis"/>
          <w:rFonts w:ascii="Calibri" w:hAnsi="Calibri"/>
          <w:sz w:val="24"/>
          <w:szCs w:val="24"/>
        </w:rPr>
        <w:t xml:space="preserve">, also outlined specific reasons why annuities have not been as successful in the Australian market, </w:t>
      </w:r>
      <w:r w:rsidR="00044090">
        <w:rPr>
          <w:rStyle w:val="SubtleEmphasis"/>
          <w:rFonts w:ascii="Calibri" w:hAnsi="Calibri"/>
          <w:sz w:val="24"/>
          <w:szCs w:val="24"/>
        </w:rPr>
        <w:t>including</w:t>
      </w:r>
      <w:r w:rsidRPr="00AA6EFC">
        <w:rPr>
          <w:rStyle w:val="SubtleEmphasis"/>
          <w:rFonts w:ascii="Calibri" w:hAnsi="Calibri"/>
          <w:sz w:val="24"/>
          <w:szCs w:val="24"/>
        </w:rPr>
        <w:t xml:space="preserve"> </w:t>
      </w:r>
      <w:r w:rsidR="00C41003" w:rsidRPr="00AA6EFC">
        <w:rPr>
          <w:rStyle w:val="SubtleEmphasis"/>
          <w:rFonts w:ascii="Calibri" w:hAnsi="Calibri"/>
          <w:sz w:val="24"/>
          <w:szCs w:val="24"/>
        </w:rPr>
        <w:t>the availability of the Age Pension, the perception that an annuity’s value is low, issues around marketing and distribution, and a trend in society towards greater individualisation</w:t>
      </w:r>
      <w:r w:rsidRPr="00AA6EFC">
        <w:rPr>
          <w:rStyle w:val="SubtleEmphasis"/>
          <w:rFonts w:ascii="Calibri" w:hAnsi="Calibri"/>
          <w:sz w:val="24"/>
          <w:szCs w:val="24"/>
        </w:rPr>
        <w:t xml:space="preserve">.  We recognise that recent </w:t>
      </w:r>
      <w:r w:rsidR="0021136F" w:rsidRPr="00AA6EFC">
        <w:rPr>
          <w:rStyle w:val="SubtleEmphasis"/>
          <w:rFonts w:ascii="Calibri" w:hAnsi="Calibri"/>
          <w:sz w:val="24"/>
          <w:szCs w:val="24"/>
        </w:rPr>
        <w:t>regulation changes</w:t>
      </w:r>
      <w:r w:rsidR="00AA6EFC" w:rsidRPr="00AA6EFC">
        <w:rPr>
          <w:rStyle w:val="SubtleEmphasis"/>
          <w:rFonts w:ascii="Calibri" w:hAnsi="Calibri"/>
          <w:sz w:val="24"/>
          <w:szCs w:val="24"/>
        </w:rPr>
        <w:t xml:space="preserve"> (</w:t>
      </w:r>
      <w:r w:rsidR="006338D8" w:rsidRPr="00AA6EFC">
        <w:rPr>
          <w:rStyle w:val="SubtleEmphasis"/>
          <w:rFonts w:ascii="Calibri" w:hAnsi="Calibri"/>
          <w:sz w:val="24"/>
          <w:szCs w:val="24"/>
        </w:rPr>
        <w:t xml:space="preserve">particularly </w:t>
      </w:r>
      <w:r w:rsidR="00AA6EFC" w:rsidRPr="00AA6EFC">
        <w:rPr>
          <w:rStyle w:val="SubtleEmphasis"/>
          <w:rFonts w:ascii="Calibri" w:hAnsi="Calibri"/>
          <w:sz w:val="24"/>
          <w:szCs w:val="24"/>
        </w:rPr>
        <w:t xml:space="preserve">the extension of the tax exemption on earnings in the retirement phase to innovative products such as deferred lifetime annuities and group self-annuitisation products, as well as the proposed new Age Pension means testing rules for pooled lifetime income streams) </w:t>
      </w:r>
      <w:r w:rsidR="0021136F" w:rsidRPr="00AA6EFC">
        <w:rPr>
          <w:rStyle w:val="SubtleEmphasis"/>
          <w:rFonts w:ascii="Calibri" w:hAnsi="Calibri"/>
          <w:sz w:val="24"/>
          <w:szCs w:val="24"/>
        </w:rPr>
        <w:t>will remove some of the inherent disadvantages</w:t>
      </w:r>
      <w:r w:rsidRPr="00AA6EFC">
        <w:rPr>
          <w:rStyle w:val="SubtleEmphasis"/>
          <w:rFonts w:ascii="Calibri" w:hAnsi="Calibri"/>
          <w:sz w:val="24"/>
          <w:szCs w:val="24"/>
        </w:rPr>
        <w:t xml:space="preserve"> of investing in annuities</w:t>
      </w:r>
      <w:r w:rsidR="0021136F" w:rsidRPr="00AA6EFC">
        <w:rPr>
          <w:rStyle w:val="SubtleEmphasis"/>
          <w:rFonts w:ascii="Calibri" w:hAnsi="Calibri"/>
          <w:sz w:val="24"/>
          <w:szCs w:val="24"/>
        </w:rPr>
        <w:t>, but not all</w:t>
      </w:r>
      <w:r w:rsidR="00676068" w:rsidRPr="00AA6EFC">
        <w:rPr>
          <w:rStyle w:val="SubtleEmphasis"/>
          <w:rFonts w:ascii="Calibri" w:hAnsi="Calibri"/>
          <w:sz w:val="24"/>
          <w:szCs w:val="24"/>
        </w:rPr>
        <w:t>.</w:t>
      </w:r>
      <w:r w:rsidR="00676068" w:rsidRPr="00370F2D">
        <w:rPr>
          <w:rStyle w:val="SubtleEmphasis"/>
          <w:rFonts w:ascii="Calibri" w:hAnsi="Calibri"/>
          <w:sz w:val="24"/>
          <w:szCs w:val="24"/>
        </w:rPr>
        <w:t xml:space="preserve">  </w:t>
      </w:r>
    </w:p>
    <w:p w14:paraId="45A2B737" w14:textId="0E5B8004" w:rsidR="00AA6EFC" w:rsidRDefault="00AA6EFC" w:rsidP="00C97A91">
      <w:pPr>
        <w:rPr>
          <w:rStyle w:val="SubtleEmphasis"/>
          <w:rFonts w:ascii="Calibri" w:hAnsi="Calibri"/>
          <w:sz w:val="24"/>
          <w:szCs w:val="24"/>
        </w:rPr>
      </w:pPr>
    </w:p>
    <w:p w14:paraId="08FBA6E4" w14:textId="1765E9A1" w:rsidR="00FC3768" w:rsidRDefault="00676068" w:rsidP="00FC3768">
      <w:pPr>
        <w:rPr>
          <w:rStyle w:val="SubtleEmphasis"/>
          <w:rFonts w:ascii="Calibri" w:hAnsi="Calibri"/>
          <w:sz w:val="24"/>
          <w:szCs w:val="24"/>
        </w:rPr>
      </w:pPr>
      <w:r w:rsidRPr="00370F2D">
        <w:rPr>
          <w:rStyle w:val="SubtleEmphasis"/>
          <w:rFonts w:ascii="Calibri" w:hAnsi="Calibri"/>
          <w:sz w:val="24"/>
          <w:szCs w:val="24"/>
        </w:rPr>
        <w:t xml:space="preserve">In addition, if we </w:t>
      </w:r>
      <w:r w:rsidR="002B17E4" w:rsidRPr="00370F2D">
        <w:rPr>
          <w:rStyle w:val="SubtleEmphasis"/>
          <w:rFonts w:ascii="Calibri" w:hAnsi="Calibri"/>
          <w:sz w:val="24"/>
          <w:szCs w:val="24"/>
        </w:rPr>
        <w:t xml:space="preserve">draw on the experience from </w:t>
      </w:r>
      <w:r w:rsidRPr="00370F2D">
        <w:rPr>
          <w:rStyle w:val="SubtleEmphasis"/>
          <w:rFonts w:ascii="Calibri" w:hAnsi="Calibri"/>
          <w:sz w:val="24"/>
          <w:szCs w:val="24"/>
        </w:rPr>
        <w:t xml:space="preserve">the UK market, </w:t>
      </w:r>
      <w:r w:rsidR="00331F48">
        <w:rPr>
          <w:rStyle w:val="SubtleEmphasis"/>
          <w:rFonts w:ascii="Calibri" w:hAnsi="Calibri"/>
          <w:sz w:val="24"/>
          <w:szCs w:val="24"/>
        </w:rPr>
        <w:t xml:space="preserve">the </w:t>
      </w:r>
      <w:r w:rsidR="00065DB6">
        <w:rPr>
          <w:rStyle w:val="SubtleEmphasis"/>
          <w:rFonts w:ascii="Calibri" w:hAnsi="Calibri"/>
          <w:sz w:val="24"/>
          <w:szCs w:val="24"/>
        </w:rPr>
        <w:t>major pension reform introduced in April 2015</w:t>
      </w:r>
      <w:r w:rsidR="001F57B6">
        <w:t xml:space="preserve"> </w:t>
      </w:r>
      <w:r w:rsidR="00331F48">
        <w:rPr>
          <w:rStyle w:val="SubtleEmphasis"/>
          <w:rFonts w:ascii="Calibri" w:hAnsi="Calibri"/>
          <w:sz w:val="24"/>
          <w:szCs w:val="24"/>
        </w:rPr>
        <w:t xml:space="preserve">resulted in a move away from compulsory annuitisation and provided retirees with more freedom and flexibility to choose how and when they access their retirement savings. In their Freedom and </w:t>
      </w:r>
      <w:r w:rsidR="00C9338A">
        <w:rPr>
          <w:rStyle w:val="SubtleEmphasis"/>
          <w:rFonts w:ascii="Calibri" w:hAnsi="Calibri"/>
          <w:sz w:val="24"/>
          <w:szCs w:val="24"/>
        </w:rPr>
        <w:t>c</w:t>
      </w:r>
      <w:r w:rsidR="00331F48">
        <w:rPr>
          <w:rStyle w:val="SubtleEmphasis"/>
          <w:rFonts w:ascii="Calibri" w:hAnsi="Calibri"/>
          <w:sz w:val="24"/>
          <w:szCs w:val="24"/>
        </w:rPr>
        <w:t xml:space="preserve">hoice in </w:t>
      </w:r>
      <w:r w:rsidR="00C9338A">
        <w:rPr>
          <w:rStyle w:val="SubtleEmphasis"/>
          <w:rFonts w:ascii="Calibri" w:hAnsi="Calibri"/>
          <w:sz w:val="24"/>
          <w:szCs w:val="24"/>
        </w:rPr>
        <w:t>p</w:t>
      </w:r>
      <w:r w:rsidR="00331F48">
        <w:rPr>
          <w:rStyle w:val="SubtleEmphasis"/>
          <w:rFonts w:ascii="Calibri" w:hAnsi="Calibri"/>
          <w:sz w:val="24"/>
          <w:szCs w:val="24"/>
        </w:rPr>
        <w:t xml:space="preserve">ensions </w:t>
      </w:r>
      <w:r w:rsidR="00C9338A">
        <w:rPr>
          <w:rStyle w:val="SubtleEmphasis"/>
          <w:rFonts w:ascii="Calibri" w:hAnsi="Calibri"/>
          <w:sz w:val="24"/>
          <w:szCs w:val="24"/>
        </w:rPr>
        <w:t>p</w:t>
      </w:r>
      <w:r w:rsidR="00331F48">
        <w:rPr>
          <w:rStyle w:val="SubtleEmphasis"/>
          <w:rFonts w:ascii="Calibri" w:hAnsi="Calibri"/>
          <w:sz w:val="24"/>
          <w:szCs w:val="24"/>
        </w:rPr>
        <w:t>aper (2014)</w:t>
      </w:r>
      <w:r w:rsidR="001F57B6">
        <w:rPr>
          <w:rStyle w:val="FootnoteReference"/>
          <w:rFonts w:ascii="Calibri" w:hAnsi="Calibri"/>
          <w:iCs/>
          <w:color w:val="0D0D0D"/>
          <w:sz w:val="24"/>
          <w:szCs w:val="24"/>
        </w:rPr>
        <w:footnoteReference w:id="3"/>
      </w:r>
      <w:r w:rsidR="00331F48">
        <w:rPr>
          <w:rStyle w:val="SubtleEmphasis"/>
          <w:rFonts w:ascii="Calibri" w:hAnsi="Calibri"/>
          <w:sz w:val="24"/>
          <w:szCs w:val="24"/>
        </w:rPr>
        <w:t xml:space="preserve">, the </w:t>
      </w:r>
      <w:r w:rsidR="00B70723">
        <w:rPr>
          <w:rStyle w:val="SubtleEmphasis"/>
          <w:rFonts w:ascii="Calibri" w:hAnsi="Calibri"/>
          <w:sz w:val="24"/>
          <w:szCs w:val="24"/>
        </w:rPr>
        <w:t xml:space="preserve">UK </w:t>
      </w:r>
      <w:r w:rsidR="00331F48">
        <w:rPr>
          <w:rStyle w:val="SubtleEmphasis"/>
          <w:rFonts w:ascii="Calibri" w:hAnsi="Calibri"/>
          <w:sz w:val="24"/>
          <w:szCs w:val="24"/>
        </w:rPr>
        <w:t>Government acknowledged that, as</w:t>
      </w:r>
      <w:r w:rsidR="00331F48" w:rsidRPr="00331F48">
        <w:rPr>
          <w:rStyle w:val="SubtleEmphasis"/>
          <w:rFonts w:ascii="Calibri" w:hAnsi="Calibri"/>
          <w:sz w:val="24"/>
          <w:szCs w:val="24"/>
        </w:rPr>
        <w:t xml:space="preserve"> the nature of retirement changes, annuities are no longer the right product for everyone. </w:t>
      </w:r>
      <w:r w:rsidR="000B20E1">
        <w:rPr>
          <w:rStyle w:val="SubtleEmphasis"/>
          <w:rFonts w:ascii="Calibri" w:hAnsi="Calibri"/>
          <w:sz w:val="24"/>
          <w:szCs w:val="24"/>
        </w:rPr>
        <w:t xml:space="preserve"> </w:t>
      </w:r>
      <w:r w:rsidR="00331F48">
        <w:rPr>
          <w:rStyle w:val="SubtleEmphasis"/>
          <w:rFonts w:ascii="Calibri" w:hAnsi="Calibri"/>
          <w:sz w:val="24"/>
          <w:szCs w:val="24"/>
        </w:rPr>
        <w:t>A reason for this is that p</w:t>
      </w:r>
      <w:r w:rsidR="00331F48" w:rsidRPr="00331F48">
        <w:rPr>
          <w:rStyle w:val="SubtleEmphasis"/>
          <w:rFonts w:ascii="Calibri" w:hAnsi="Calibri"/>
          <w:sz w:val="24"/>
          <w:szCs w:val="24"/>
        </w:rPr>
        <w:t>eople are living longer and their needs are becoming more varie</w:t>
      </w:r>
      <w:r w:rsidR="00331F48">
        <w:rPr>
          <w:rStyle w:val="SubtleEmphasis"/>
          <w:rFonts w:ascii="Calibri" w:hAnsi="Calibri"/>
          <w:sz w:val="24"/>
          <w:szCs w:val="24"/>
        </w:rPr>
        <w:t>d.  It was also acknowledged that t</w:t>
      </w:r>
      <w:r w:rsidR="00331F48" w:rsidRPr="00331F48">
        <w:rPr>
          <w:rStyle w:val="SubtleEmphasis"/>
          <w:rFonts w:ascii="Calibri" w:hAnsi="Calibri"/>
          <w:sz w:val="24"/>
          <w:szCs w:val="24"/>
        </w:rPr>
        <w:t xml:space="preserve">he annuities </w:t>
      </w:r>
      <w:r w:rsidR="00331F48">
        <w:rPr>
          <w:rStyle w:val="SubtleEmphasis"/>
          <w:rFonts w:ascii="Calibri" w:hAnsi="Calibri"/>
          <w:sz w:val="24"/>
          <w:szCs w:val="24"/>
        </w:rPr>
        <w:t xml:space="preserve">market </w:t>
      </w:r>
      <w:r w:rsidR="006338D8">
        <w:rPr>
          <w:rStyle w:val="SubtleEmphasis"/>
          <w:rFonts w:ascii="Calibri" w:hAnsi="Calibri"/>
          <w:sz w:val="24"/>
          <w:szCs w:val="24"/>
        </w:rPr>
        <w:t xml:space="preserve">in the UK </w:t>
      </w:r>
      <w:r w:rsidR="00331F48">
        <w:rPr>
          <w:rStyle w:val="SubtleEmphasis"/>
          <w:rFonts w:ascii="Calibri" w:hAnsi="Calibri"/>
          <w:sz w:val="24"/>
          <w:szCs w:val="24"/>
        </w:rPr>
        <w:t>was</w:t>
      </w:r>
      <w:r w:rsidR="00331F48" w:rsidRPr="00331F48">
        <w:rPr>
          <w:rStyle w:val="SubtleEmphasis"/>
          <w:rFonts w:ascii="Calibri" w:hAnsi="Calibri"/>
          <w:sz w:val="24"/>
          <w:szCs w:val="24"/>
        </w:rPr>
        <w:t xml:space="preserve"> not working in the best interests of all consume</w:t>
      </w:r>
      <w:r w:rsidR="00331F48">
        <w:rPr>
          <w:rStyle w:val="SubtleEmphasis"/>
          <w:rFonts w:ascii="Calibri" w:hAnsi="Calibri"/>
          <w:sz w:val="24"/>
          <w:szCs w:val="24"/>
        </w:rPr>
        <w:t>rs</w:t>
      </w:r>
      <w:r w:rsidR="006338D8">
        <w:rPr>
          <w:rStyle w:val="SubtleEmphasis"/>
          <w:rFonts w:ascii="Calibri" w:hAnsi="Calibri"/>
          <w:sz w:val="24"/>
          <w:szCs w:val="24"/>
        </w:rPr>
        <w:t xml:space="preserve">, </w:t>
      </w:r>
      <w:r w:rsidR="00AA6EFC">
        <w:rPr>
          <w:rStyle w:val="SubtleEmphasis"/>
          <w:rFonts w:ascii="Calibri" w:hAnsi="Calibri"/>
          <w:sz w:val="24"/>
          <w:szCs w:val="24"/>
        </w:rPr>
        <w:t>particularly in the areas of competitiveness and innovation</w:t>
      </w:r>
      <w:r w:rsidR="00331F48">
        <w:rPr>
          <w:rStyle w:val="SubtleEmphasis"/>
          <w:rFonts w:ascii="Calibri" w:hAnsi="Calibri"/>
          <w:sz w:val="24"/>
          <w:szCs w:val="24"/>
        </w:rPr>
        <w:t>.</w:t>
      </w:r>
      <w:r w:rsidR="00FA2AB2">
        <w:rPr>
          <w:rStyle w:val="SubtleEmphasis"/>
          <w:rFonts w:ascii="Calibri" w:hAnsi="Calibri"/>
          <w:sz w:val="24"/>
          <w:szCs w:val="24"/>
        </w:rPr>
        <w:t xml:space="preserve">  The reforms focused on introducing choice for consumers along with free and impartial guidance.</w:t>
      </w:r>
    </w:p>
    <w:p w14:paraId="20F59902" w14:textId="77777777" w:rsidR="00FC3768" w:rsidRDefault="00FC3768" w:rsidP="00C97A91">
      <w:pPr>
        <w:rPr>
          <w:highlight w:val="yellow"/>
        </w:rPr>
      </w:pPr>
    </w:p>
    <w:p w14:paraId="6D89A74B" w14:textId="44BFA136" w:rsidR="008A21DA" w:rsidRDefault="005A26FF" w:rsidP="008A21DA">
      <w:pPr>
        <w:pStyle w:val="CommentText"/>
        <w:rPr>
          <w:rStyle w:val="SubtleEmphasis"/>
          <w:rFonts w:ascii="Calibri" w:hAnsi="Calibri"/>
          <w:sz w:val="24"/>
          <w:szCs w:val="24"/>
        </w:rPr>
      </w:pPr>
      <w:r>
        <w:rPr>
          <w:rStyle w:val="SubtleEmphasis"/>
          <w:rFonts w:ascii="Calibri" w:hAnsi="Calibri"/>
          <w:sz w:val="24"/>
          <w:szCs w:val="24"/>
        </w:rPr>
        <w:t xml:space="preserve">There is general industry consensus that there is </w:t>
      </w:r>
      <w:r w:rsidR="000B20E1">
        <w:rPr>
          <w:rStyle w:val="SubtleEmphasis"/>
          <w:rFonts w:ascii="Calibri" w:hAnsi="Calibri"/>
          <w:sz w:val="24"/>
          <w:szCs w:val="24"/>
        </w:rPr>
        <w:t xml:space="preserve">a high level of </w:t>
      </w:r>
      <w:r>
        <w:rPr>
          <w:rStyle w:val="SubtleEmphasis"/>
          <w:rFonts w:ascii="Calibri" w:hAnsi="Calibri"/>
          <w:sz w:val="24"/>
          <w:szCs w:val="24"/>
        </w:rPr>
        <w:t>uncertainty for</w:t>
      </w:r>
      <w:r w:rsidR="000B20E1">
        <w:rPr>
          <w:rStyle w:val="SubtleEmphasis"/>
          <w:rFonts w:ascii="Calibri" w:hAnsi="Calibri"/>
          <w:sz w:val="24"/>
          <w:szCs w:val="24"/>
        </w:rPr>
        <w:t xml:space="preserve"> fund</w:t>
      </w:r>
      <w:r>
        <w:rPr>
          <w:rStyle w:val="SubtleEmphasis"/>
          <w:rFonts w:ascii="Calibri" w:hAnsi="Calibri"/>
          <w:sz w:val="24"/>
          <w:szCs w:val="24"/>
        </w:rPr>
        <w:t xml:space="preserve"> members at the point of retirement in terms of income stream requirements, particularly as these tend to change throughout the different phases of retirement.  </w:t>
      </w:r>
      <w:r w:rsidR="00AF1D36">
        <w:rPr>
          <w:rStyle w:val="SubtleEmphasis"/>
          <w:rFonts w:ascii="Calibri" w:hAnsi="Calibri"/>
          <w:sz w:val="24"/>
          <w:szCs w:val="24"/>
        </w:rPr>
        <w:t xml:space="preserve">As a </w:t>
      </w:r>
      <w:r w:rsidR="00235E55">
        <w:rPr>
          <w:rStyle w:val="SubtleEmphasis"/>
          <w:rFonts w:ascii="Calibri" w:hAnsi="Calibri"/>
          <w:sz w:val="24"/>
          <w:szCs w:val="24"/>
        </w:rPr>
        <w:t>consequence</w:t>
      </w:r>
      <w:r w:rsidR="00AF1D36">
        <w:rPr>
          <w:rStyle w:val="SubtleEmphasis"/>
          <w:rFonts w:ascii="Calibri" w:hAnsi="Calibri"/>
          <w:sz w:val="24"/>
          <w:szCs w:val="24"/>
        </w:rPr>
        <w:t xml:space="preserve">, areas </w:t>
      </w:r>
      <w:r w:rsidR="00E74B9A">
        <w:rPr>
          <w:rStyle w:val="SubtleEmphasis"/>
          <w:rFonts w:ascii="Calibri" w:hAnsi="Calibri"/>
          <w:sz w:val="24"/>
          <w:szCs w:val="24"/>
        </w:rPr>
        <w:t>that may deter superannuation fund members from opting-in to a CIPR product include concerns around</w:t>
      </w:r>
      <w:r w:rsidR="00C94AAB">
        <w:rPr>
          <w:rStyle w:val="SubtleEmphasis"/>
          <w:rFonts w:ascii="Calibri" w:hAnsi="Calibri"/>
          <w:sz w:val="24"/>
          <w:szCs w:val="24"/>
        </w:rPr>
        <w:t xml:space="preserve"> handing over control of a </w:t>
      </w:r>
      <w:r w:rsidR="0021136F">
        <w:rPr>
          <w:rStyle w:val="SubtleEmphasis"/>
          <w:rFonts w:ascii="Calibri" w:hAnsi="Calibri"/>
          <w:sz w:val="24"/>
          <w:szCs w:val="24"/>
        </w:rPr>
        <w:t xml:space="preserve">material </w:t>
      </w:r>
      <w:r w:rsidR="00C94AAB">
        <w:rPr>
          <w:rStyle w:val="SubtleEmphasis"/>
          <w:rFonts w:ascii="Calibri" w:hAnsi="Calibri"/>
          <w:sz w:val="24"/>
          <w:szCs w:val="24"/>
        </w:rPr>
        <w:t xml:space="preserve">proportion of their superannuation balance to fund a future </w:t>
      </w:r>
      <w:r w:rsidR="0021136F">
        <w:rPr>
          <w:rStyle w:val="SubtleEmphasis"/>
          <w:rFonts w:ascii="Calibri" w:hAnsi="Calibri"/>
          <w:sz w:val="24"/>
          <w:szCs w:val="24"/>
        </w:rPr>
        <w:t xml:space="preserve">relatively fixed </w:t>
      </w:r>
      <w:r w:rsidR="00C94AAB">
        <w:rPr>
          <w:rStyle w:val="SubtleEmphasis"/>
          <w:rFonts w:ascii="Calibri" w:hAnsi="Calibri"/>
          <w:sz w:val="24"/>
          <w:szCs w:val="24"/>
        </w:rPr>
        <w:t>income stream,</w:t>
      </w:r>
      <w:r w:rsidR="0061651F">
        <w:rPr>
          <w:rStyle w:val="SubtleEmphasis"/>
          <w:rFonts w:ascii="Calibri" w:hAnsi="Calibri"/>
          <w:sz w:val="24"/>
          <w:szCs w:val="24"/>
        </w:rPr>
        <w:t xml:space="preserve"> particularly when their income requirements are unknown and unpredictable.  Other concerns that members may have include</w:t>
      </w:r>
      <w:r w:rsidR="00C94AAB">
        <w:rPr>
          <w:rStyle w:val="SubtleEmphasis"/>
          <w:rFonts w:ascii="Calibri" w:hAnsi="Calibri"/>
          <w:sz w:val="24"/>
          <w:szCs w:val="24"/>
        </w:rPr>
        <w:t xml:space="preserve"> </w:t>
      </w:r>
      <w:r w:rsidR="00AB50A0">
        <w:rPr>
          <w:rStyle w:val="SubtleEmphasis"/>
          <w:rFonts w:ascii="Calibri" w:hAnsi="Calibri"/>
          <w:sz w:val="24"/>
          <w:szCs w:val="24"/>
        </w:rPr>
        <w:t xml:space="preserve">the </w:t>
      </w:r>
      <w:r w:rsidR="00E74B9A">
        <w:rPr>
          <w:rStyle w:val="SubtleEmphasis"/>
          <w:rFonts w:ascii="Calibri" w:hAnsi="Calibri"/>
          <w:sz w:val="24"/>
          <w:szCs w:val="24"/>
        </w:rPr>
        <w:t xml:space="preserve">counterparty risk of </w:t>
      </w:r>
      <w:r w:rsidR="00AB50A0">
        <w:rPr>
          <w:rStyle w:val="SubtleEmphasis"/>
          <w:rFonts w:ascii="Calibri" w:hAnsi="Calibri"/>
          <w:sz w:val="24"/>
          <w:szCs w:val="24"/>
        </w:rPr>
        <w:t xml:space="preserve">the institution offering </w:t>
      </w:r>
      <w:r w:rsidR="00DB67E3">
        <w:rPr>
          <w:rStyle w:val="SubtleEmphasis"/>
          <w:rFonts w:ascii="Calibri" w:hAnsi="Calibri"/>
          <w:sz w:val="24"/>
          <w:szCs w:val="24"/>
        </w:rPr>
        <w:t>a pooled lifetime income product (either immediate or deferred)</w:t>
      </w:r>
      <w:r w:rsidR="00C94AAB">
        <w:rPr>
          <w:rStyle w:val="SubtleEmphasis"/>
          <w:rFonts w:ascii="Calibri" w:hAnsi="Calibri"/>
          <w:sz w:val="24"/>
          <w:szCs w:val="24"/>
        </w:rPr>
        <w:t xml:space="preserve">, as well as the increased cost of products </w:t>
      </w:r>
      <w:r w:rsidR="00E45CAF">
        <w:rPr>
          <w:rStyle w:val="SubtleEmphasis"/>
          <w:rFonts w:ascii="Calibri" w:hAnsi="Calibri"/>
          <w:sz w:val="24"/>
          <w:szCs w:val="24"/>
        </w:rPr>
        <w:t xml:space="preserve">(and consequential lower income streams) </w:t>
      </w:r>
      <w:r w:rsidR="00C94AAB">
        <w:rPr>
          <w:rStyle w:val="SubtleEmphasis"/>
          <w:rFonts w:ascii="Calibri" w:hAnsi="Calibri"/>
          <w:sz w:val="24"/>
          <w:szCs w:val="24"/>
        </w:rPr>
        <w:t xml:space="preserve">that provide a guaranteed </w:t>
      </w:r>
      <w:r w:rsidR="00E45CAF">
        <w:rPr>
          <w:rStyle w:val="SubtleEmphasis"/>
          <w:rFonts w:ascii="Calibri" w:hAnsi="Calibri"/>
          <w:sz w:val="24"/>
          <w:szCs w:val="24"/>
        </w:rPr>
        <w:t xml:space="preserve">or broadly constant </w:t>
      </w:r>
      <w:r w:rsidR="00C94AAB">
        <w:rPr>
          <w:rStyle w:val="SubtleEmphasis"/>
          <w:rFonts w:ascii="Calibri" w:hAnsi="Calibri"/>
          <w:sz w:val="24"/>
          <w:szCs w:val="24"/>
        </w:rPr>
        <w:t>income.</w:t>
      </w:r>
      <w:r w:rsidR="008A21DA">
        <w:rPr>
          <w:rStyle w:val="SubtleEmphasis"/>
          <w:rFonts w:ascii="Calibri" w:hAnsi="Calibri"/>
          <w:sz w:val="24"/>
          <w:szCs w:val="24"/>
        </w:rPr>
        <w:t xml:space="preserve">  </w:t>
      </w:r>
      <w:r w:rsidR="008A21DA" w:rsidRPr="008A21DA">
        <w:rPr>
          <w:rStyle w:val="SubtleEmphasis"/>
          <w:rFonts w:ascii="Calibri" w:hAnsi="Calibri"/>
          <w:sz w:val="24"/>
          <w:szCs w:val="24"/>
        </w:rPr>
        <w:t>Depending on the take up of annuities, this has the potential to create a scenario where an institution or market segment is structurally “too big” or “too important</w:t>
      </w:r>
      <w:r w:rsidR="006F3C84">
        <w:rPr>
          <w:rStyle w:val="SubtleEmphasis"/>
          <w:rFonts w:ascii="Calibri" w:hAnsi="Calibri"/>
          <w:sz w:val="24"/>
          <w:szCs w:val="24"/>
        </w:rPr>
        <w:t>”</w:t>
      </w:r>
      <w:r w:rsidR="008A21DA" w:rsidRPr="008A21DA">
        <w:rPr>
          <w:rStyle w:val="SubtleEmphasis"/>
          <w:rFonts w:ascii="Calibri" w:hAnsi="Calibri"/>
          <w:sz w:val="24"/>
          <w:szCs w:val="24"/>
        </w:rPr>
        <w:t xml:space="preserve"> to the provision of CIPRs to fail.</w:t>
      </w:r>
    </w:p>
    <w:p w14:paraId="069871E8" w14:textId="77777777" w:rsidR="000B20E1" w:rsidRPr="008A21DA" w:rsidRDefault="000B20E1" w:rsidP="008A21DA">
      <w:pPr>
        <w:pStyle w:val="CommentText"/>
        <w:rPr>
          <w:rStyle w:val="SubtleEmphasis"/>
          <w:rFonts w:ascii="Calibri" w:hAnsi="Calibri"/>
          <w:sz w:val="24"/>
          <w:szCs w:val="24"/>
        </w:rPr>
      </w:pPr>
    </w:p>
    <w:p w14:paraId="0796AC50" w14:textId="6BE5EBF0" w:rsidR="00E364BA" w:rsidRPr="00E364BA" w:rsidRDefault="00E364BA" w:rsidP="00E364BA">
      <w:pPr>
        <w:rPr>
          <w:rStyle w:val="SubtleEmphasis"/>
          <w:rFonts w:ascii="Calibri" w:hAnsi="Calibri"/>
          <w:b/>
          <w:i/>
          <w:color w:val="auto"/>
          <w:sz w:val="24"/>
          <w:szCs w:val="24"/>
        </w:rPr>
      </w:pPr>
      <w:r w:rsidRPr="00E364BA">
        <w:rPr>
          <w:rStyle w:val="SubtleEmphasis"/>
          <w:rFonts w:ascii="Calibri" w:hAnsi="Calibri"/>
          <w:b/>
          <w:i/>
          <w:color w:val="auto"/>
          <w:sz w:val="24"/>
          <w:szCs w:val="24"/>
        </w:rPr>
        <w:t xml:space="preserve">Implementation </w:t>
      </w:r>
      <w:r w:rsidR="00B84A67">
        <w:rPr>
          <w:rStyle w:val="SubtleEmphasis"/>
          <w:rFonts w:ascii="Calibri" w:hAnsi="Calibri"/>
          <w:b/>
          <w:i/>
          <w:color w:val="auto"/>
          <w:sz w:val="24"/>
          <w:szCs w:val="24"/>
        </w:rPr>
        <w:t>i</w:t>
      </w:r>
      <w:r w:rsidRPr="00E364BA">
        <w:rPr>
          <w:rStyle w:val="SubtleEmphasis"/>
          <w:rFonts w:ascii="Calibri" w:hAnsi="Calibri"/>
          <w:b/>
          <w:i/>
          <w:color w:val="auto"/>
          <w:sz w:val="24"/>
          <w:szCs w:val="24"/>
        </w:rPr>
        <w:t>ssues</w:t>
      </w:r>
    </w:p>
    <w:p w14:paraId="41F24D92" w14:textId="77777777" w:rsidR="00E364BA" w:rsidRDefault="00E364BA" w:rsidP="00F5024C">
      <w:pPr>
        <w:rPr>
          <w:rStyle w:val="SubtleEmphasis"/>
          <w:rFonts w:ascii="Calibri" w:hAnsi="Calibri"/>
          <w:sz w:val="24"/>
          <w:szCs w:val="24"/>
        </w:rPr>
      </w:pPr>
    </w:p>
    <w:p w14:paraId="5BE7B81F" w14:textId="23793EB5" w:rsidR="00E364BA" w:rsidRDefault="00E364BA" w:rsidP="00E364BA">
      <w:pPr>
        <w:rPr>
          <w:rStyle w:val="SubtleEmphasis"/>
          <w:rFonts w:ascii="Calibri" w:hAnsi="Calibri"/>
          <w:sz w:val="24"/>
          <w:szCs w:val="24"/>
        </w:rPr>
      </w:pPr>
      <w:r>
        <w:rPr>
          <w:rStyle w:val="SubtleEmphasis"/>
          <w:rFonts w:ascii="Calibri" w:hAnsi="Calibri"/>
          <w:sz w:val="24"/>
          <w:szCs w:val="24"/>
        </w:rPr>
        <w:t xml:space="preserve">From an investment perspective, JANA views the valuations of assets that are used to fund an annuity structure, such as fixed interest assets, to be unattractive investments at </w:t>
      </w:r>
      <w:r w:rsidR="00C07D5F">
        <w:rPr>
          <w:rStyle w:val="SubtleEmphasis"/>
          <w:rFonts w:ascii="Calibri" w:hAnsi="Calibri"/>
          <w:sz w:val="24"/>
          <w:szCs w:val="24"/>
        </w:rPr>
        <w:t>the current</w:t>
      </w:r>
      <w:r>
        <w:rPr>
          <w:rStyle w:val="SubtleEmphasis"/>
          <w:rFonts w:ascii="Calibri" w:hAnsi="Calibri"/>
          <w:sz w:val="24"/>
          <w:szCs w:val="24"/>
        </w:rPr>
        <w:t xml:space="preserve"> time</w:t>
      </w:r>
      <w:r w:rsidR="006F3C84">
        <w:rPr>
          <w:rStyle w:val="SubtleEmphasis"/>
          <w:rFonts w:ascii="Calibri" w:hAnsi="Calibri"/>
          <w:sz w:val="24"/>
          <w:szCs w:val="24"/>
        </w:rPr>
        <w:t xml:space="preserve"> given low </w:t>
      </w:r>
      <w:r w:rsidR="000B20E1">
        <w:rPr>
          <w:rStyle w:val="SubtleEmphasis"/>
          <w:rFonts w:ascii="Calibri" w:hAnsi="Calibri"/>
          <w:sz w:val="24"/>
          <w:szCs w:val="24"/>
        </w:rPr>
        <w:t xml:space="preserve">market </w:t>
      </w:r>
      <w:r w:rsidR="006F3C84">
        <w:rPr>
          <w:rStyle w:val="SubtleEmphasis"/>
          <w:rFonts w:ascii="Calibri" w:hAnsi="Calibri"/>
          <w:sz w:val="24"/>
          <w:szCs w:val="24"/>
        </w:rPr>
        <w:t>interest rates and the risk that these will rise at some point in the future, which would impact the value of existing bonds on issue</w:t>
      </w:r>
      <w:r>
        <w:rPr>
          <w:rStyle w:val="SubtleEmphasis"/>
          <w:rFonts w:ascii="Calibri" w:hAnsi="Calibri"/>
          <w:sz w:val="24"/>
          <w:szCs w:val="24"/>
        </w:rPr>
        <w:t xml:space="preserve">.  From a valuation perspective, JANA views the proposed timing of the consideration of annuities to be likely to be suboptimal.  The potential adverse impact on a member’s income for life by committing to a life-long income stream at a point when real </w:t>
      </w:r>
      <w:r w:rsidR="006F3C84">
        <w:rPr>
          <w:rStyle w:val="SubtleEmphasis"/>
          <w:rFonts w:ascii="Calibri" w:hAnsi="Calibri"/>
          <w:sz w:val="24"/>
          <w:szCs w:val="24"/>
        </w:rPr>
        <w:t xml:space="preserve">market </w:t>
      </w:r>
      <w:r>
        <w:rPr>
          <w:rStyle w:val="SubtleEmphasis"/>
          <w:rFonts w:ascii="Calibri" w:hAnsi="Calibri"/>
          <w:sz w:val="24"/>
          <w:szCs w:val="24"/>
        </w:rPr>
        <w:t>interest rates are at near zero levels could be devastating.</w:t>
      </w:r>
    </w:p>
    <w:p w14:paraId="799E1223" w14:textId="77777777" w:rsidR="00E364BA" w:rsidRDefault="00E364BA" w:rsidP="00F5024C">
      <w:pPr>
        <w:rPr>
          <w:rStyle w:val="SubtleEmphasis"/>
          <w:rFonts w:ascii="Calibri" w:hAnsi="Calibri"/>
          <w:sz w:val="24"/>
          <w:szCs w:val="24"/>
        </w:rPr>
      </w:pPr>
    </w:p>
    <w:p w14:paraId="636E685C" w14:textId="4FBFB330" w:rsidR="00B84A67" w:rsidRPr="00B84A67" w:rsidRDefault="00B84A67" w:rsidP="00F5024C">
      <w:pPr>
        <w:rPr>
          <w:rStyle w:val="SubtleEmphasis"/>
          <w:rFonts w:ascii="Calibri" w:hAnsi="Calibri"/>
          <w:b/>
          <w:i/>
          <w:sz w:val="24"/>
          <w:szCs w:val="24"/>
        </w:rPr>
      </w:pPr>
      <w:r>
        <w:rPr>
          <w:rStyle w:val="SubtleEmphasis"/>
          <w:rFonts w:ascii="Calibri" w:hAnsi="Calibri"/>
          <w:b/>
          <w:i/>
          <w:sz w:val="24"/>
          <w:szCs w:val="24"/>
        </w:rPr>
        <w:t>Key areas</w:t>
      </w:r>
      <w:r w:rsidRPr="00B84A67">
        <w:rPr>
          <w:rStyle w:val="SubtleEmphasis"/>
          <w:rFonts w:ascii="Calibri" w:hAnsi="Calibri"/>
          <w:b/>
          <w:i/>
          <w:sz w:val="24"/>
          <w:szCs w:val="24"/>
        </w:rPr>
        <w:t xml:space="preserve"> for </w:t>
      </w:r>
      <w:r>
        <w:rPr>
          <w:rStyle w:val="SubtleEmphasis"/>
          <w:rFonts w:ascii="Calibri" w:hAnsi="Calibri"/>
          <w:b/>
          <w:i/>
          <w:sz w:val="24"/>
          <w:szCs w:val="24"/>
        </w:rPr>
        <w:t>c</w:t>
      </w:r>
      <w:r w:rsidRPr="00B84A67">
        <w:rPr>
          <w:rStyle w:val="SubtleEmphasis"/>
          <w:rFonts w:ascii="Calibri" w:hAnsi="Calibri"/>
          <w:b/>
          <w:i/>
          <w:sz w:val="24"/>
          <w:szCs w:val="24"/>
        </w:rPr>
        <w:t>onsideration</w:t>
      </w:r>
    </w:p>
    <w:p w14:paraId="16818317" w14:textId="77777777" w:rsidR="00B84A67" w:rsidRDefault="00B84A67" w:rsidP="00F5024C">
      <w:pPr>
        <w:rPr>
          <w:rStyle w:val="SubtleEmphasis"/>
          <w:rFonts w:ascii="Calibri" w:hAnsi="Calibri"/>
          <w:sz w:val="24"/>
          <w:szCs w:val="24"/>
        </w:rPr>
      </w:pPr>
    </w:p>
    <w:p w14:paraId="66AA8FEC" w14:textId="4175E8BD" w:rsidR="006864B1" w:rsidRDefault="0021136F" w:rsidP="00F5024C">
      <w:pPr>
        <w:rPr>
          <w:rStyle w:val="SubtleEmphasis"/>
          <w:rFonts w:ascii="Calibri" w:hAnsi="Calibri"/>
          <w:sz w:val="24"/>
          <w:szCs w:val="24"/>
        </w:rPr>
      </w:pPr>
      <w:r>
        <w:rPr>
          <w:rStyle w:val="SubtleEmphasis"/>
          <w:rFonts w:ascii="Calibri" w:hAnsi="Calibri"/>
          <w:sz w:val="24"/>
          <w:szCs w:val="24"/>
        </w:rPr>
        <w:t xml:space="preserve">In the context of these concerns, </w:t>
      </w:r>
      <w:r w:rsidR="00235E55">
        <w:rPr>
          <w:rStyle w:val="SubtleEmphasis"/>
          <w:rFonts w:ascii="Calibri" w:hAnsi="Calibri"/>
          <w:sz w:val="24"/>
          <w:szCs w:val="24"/>
        </w:rPr>
        <w:t>we</w:t>
      </w:r>
      <w:r>
        <w:rPr>
          <w:rStyle w:val="SubtleEmphasis"/>
          <w:rFonts w:ascii="Calibri" w:hAnsi="Calibri"/>
          <w:sz w:val="24"/>
          <w:szCs w:val="24"/>
        </w:rPr>
        <w:t xml:space="preserve"> </w:t>
      </w:r>
      <w:r w:rsidR="00D541DA">
        <w:rPr>
          <w:rStyle w:val="SubtleEmphasis"/>
          <w:rFonts w:ascii="Calibri" w:hAnsi="Calibri"/>
          <w:sz w:val="24"/>
          <w:szCs w:val="24"/>
        </w:rPr>
        <w:t xml:space="preserve">outline </w:t>
      </w:r>
      <w:r w:rsidR="00235E55">
        <w:rPr>
          <w:rStyle w:val="SubtleEmphasis"/>
          <w:rFonts w:ascii="Calibri" w:hAnsi="Calibri"/>
          <w:sz w:val="24"/>
          <w:szCs w:val="24"/>
        </w:rPr>
        <w:t xml:space="preserve">below </w:t>
      </w:r>
      <w:r w:rsidR="00643B73">
        <w:rPr>
          <w:rStyle w:val="SubtleEmphasis"/>
          <w:rFonts w:ascii="Calibri" w:hAnsi="Calibri"/>
          <w:sz w:val="24"/>
          <w:szCs w:val="24"/>
        </w:rPr>
        <w:t>four</w:t>
      </w:r>
      <w:r w:rsidR="00D541DA">
        <w:rPr>
          <w:rStyle w:val="SubtleEmphasis"/>
          <w:rFonts w:ascii="Calibri" w:hAnsi="Calibri"/>
          <w:sz w:val="24"/>
          <w:szCs w:val="24"/>
        </w:rPr>
        <w:t xml:space="preserve"> key areas for consideration b</w:t>
      </w:r>
      <w:r w:rsidR="00212FF1">
        <w:rPr>
          <w:rStyle w:val="SubtleEmphasis"/>
          <w:rFonts w:ascii="Calibri" w:hAnsi="Calibri"/>
          <w:sz w:val="24"/>
          <w:szCs w:val="24"/>
        </w:rPr>
        <w:t xml:space="preserve">y the </w:t>
      </w:r>
      <w:r w:rsidR="00D541DA">
        <w:rPr>
          <w:rStyle w:val="SubtleEmphasis"/>
          <w:rFonts w:ascii="Calibri" w:hAnsi="Calibri"/>
          <w:sz w:val="24"/>
          <w:szCs w:val="24"/>
        </w:rPr>
        <w:t>Treasury</w:t>
      </w:r>
      <w:r w:rsidR="00235E55">
        <w:rPr>
          <w:rStyle w:val="SubtleEmphasis"/>
          <w:rFonts w:ascii="Calibri" w:hAnsi="Calibri"/>
          <w:sz w:val="24"/>
          <w:szCs w:val="24"/>
        </w:rPr>
        <w:t>.</w:t>
      </w:r>
    </w:p>
    <w:p w14:paraId="38604F70" w14:textId="77777777" w:rsidR="00D541DA" w:rsidRDefault="00D541DA" w:rsidP="00D541DA">
      <w:pPr>
        <w:rPr>
          <w:rStyle w:val="SubtleEmphasis"/>
          <w:rFonts w:ascii="Calibri" w:hAnsi="Calibri"/>
          <w:sz w:val="24"/>
          <w:szCs w:val="24"/>
        </w:rPr>
      </w:pPr>
    </w:p>
    <w:p w14:paraId="61D45B72" w14:textId="23B99667" w:rsidR="0021136F" w:rsidRDefault="00D541DA" w:rsidP="00D541DA">
      <w:pPr>
        <w:rPr>
          <w:rStyle w:val="SubtleEmphasis"/>
          <w:rFonts w:ascii="Calibri" w:hAnsi="Calibri"/>
          <w:sz w:val="24"/>
          <w:szCs w:val="24"/>
          <w:highlight w:val="yellow"/>
        </w:rPr>
      </w:pPr>
      <w:r w:rsidRPr="00D541DA">
        <w:rPr>
          <w:rStyle w:val="SubtleEmphasis"/>
          <w:rFonts w:ascii="Calibri" w:hAnsi="Calibri"/>
          <w:b/>
          <w:i/>
          <w:sz w:val="24"/>
          <w:szCs w:val="24"/>
        </w:rPr>
        <w:t xml:space="preserve">A minimum income floor: </w:t>
      </w:r>
      <w:r w:rsidRPr="00D541DA">
        <w:rPr>
          <w:rStyle w:val="SubtleEmphasis"/>
          <w:rFonts w:ascii="Calibri" w:hAnsi="Calibri"/>
          <w:sz w:val="24"/>
          <w:szCs w:val="24"/>
        </w:rPr>
        <w:t xml:space="preserve"> Rather than a requirement for a broadly constant income stream</w:t>
      </w:r>
      <w:r w:rsidR="00ED105C">
        <w:rPr>
          <w:rStyle w:val="SubtleEmphasis"/>
          <w:rFonts w:ascii="Calibri" w:hAnsi="Calibri"/>
          <w:sz w:val="24"/>
          <w:szCs w:val="24"/>
        </w:rPr>
        <w:t xml:space="preserve"> for life</w:t>
      </w:r>
      <w:r w:rsidRPr="00D541DA">
        <w:rPr>
          <w:rStyle w:val="SubtleEmphasis"/>
          <w:rFonts w:ascii="Calibri" w:hAnsi="Calibri"/>
          <w:sz w:val="24"/>
          <w:szCs w:val="24"/>
        </w:rPr>
        <w:t>, JANA proposes that a minimum income floor for CIPR products be considered as a</w:t>
      </w:r>
      <w:r w:rsidR="00E45CAF">
        <w:rPr>
          <w:rStyle w:val="SubtleEmphasis"/>
          <w:rFonts w:ascii="Calibri" w:hAnsi="Calibri"/>
          <w:sz w:val="24"/>
          <w:szCs w:val="24"/>
        </w:rPr>
        <w:t>n alternative</w:t>
      </w:r>
      <w:r w:rsidRPr="00D541DA">
        <w:rPr>
          <w:rStyle w:val="SubtleEmphasis"/>
          <w:rFonts w:ascii="Calibri" w:hAnsi="Calibri"/>
          <w:sz w:val="24"/>
          <w:szCs w:val="24"/>
        </w:rPr>
        <w:t xml:space="preserve"> requirement.</w:t>
      </w:r>
      <w:r w:rsidR="00212FF1">
        <w:rPr>
          <w:rStyle w:val="SubtleEmphasis"/>
          <w:rFonts w:ascii="Calibri" w:hAnsi="Calibri"/>
          <w:sz w:val="24"/>
          <w:szCs w:val="24"/>
        </w:rPr>
        <w:t xml:space="preserve">  This would remove </w:t>
      </w:r>
      <w:r w:rsidR="00180C43">
        <w:rPr>
          <w:rStyle w:val="SubtleEmphasis"/>
          <w:rFonts w:ascii="Calibri" w:hAnsi="Calibri"/>
          <w:sz w:val="24"/>
          <w:szCs w:val="24"/>
        </w:rPr>
        <w:t xml:space="preserve">a degree of product </w:t>
      </w:r>
      <w:r w:rsidR="00212FF1">
        <w:rPr>
          <w:rStyle w:val="SubtleEmphasis"/>
          <w:rFonts w:ascii="Calibri" w:hAnsi="Calibri"/>
          <w:sz w:val="24"/>
          <w:szCs w:val="24"/>
        </w:rPr>
        <w:t>complexity</w:t>
      </w:r>
      <w:r w:rsidR="0021136F">
        <w:rPr>
          <w:rStyle w:val="SubtleEmphasis"/>
          <w:rFonts w:ascii="Calibri" w:hAnsi="Calibri"/>
          <w:sz w:val="24"/>
          <w:szCs w:val="24"/>
        </w:rPr>
        <w:t xml:space="preserve"> </w:t>
      </w:r>
      <w:r w:rsidR="00180C43">
        <w:rPr>
          <w:rStyle w:val="SubtleEmphasis"/>
          <w:rFonts w:ascii="Calibri" w:hAnsi="Calibri"/>
          <w:sz w:val="24"/>
          <w:szCs w:val="24"/>
        </w:rPr>
        <w:t xml:space="preserve">without sacrificing a </w:t>
      </w:r>
      <w:r w:rsidR="00212FF1">
        <w:rPr>
          <w:rStyle w:val="SubtleEmphasis"/>
          <w:rFonts w:ascii="Calibri" w:hAnsi="Calibri"/>
          <w:sz w:val="24"/>
          <w:szCs w:val="24"/>
        </w:rPr>
        <w:t xml:space="preserve">minimum level of income for </w:t>
      </w:r>
      <w:r w:rsidR="00212FF1" w:rsidRPr="00793C6C">
        <w:rPr>
          <w:rStyle w:val="SubtleEmphasis"/>
          <w:rFonts w:ascii="Calibri" w:hAnsi="Calibri"/>
          <w:sz w:val="24"/>
          <w:szCs w:val="24"/>
        </w:rPr>
        <w:t>members</w:t>
      </w:r>
      <w:r w:rsidR="00180C43" w:rsidRPr="00793C6C">
        <w:rPr>
          <w:rStyle w:val="SubtleEmphasis"/>
          <w:rFonts w:ascii="Calibri" w:hAnsi="Calibri"/>
          <w:sz w:val="24"/>
          <w:szCs w:val="24"/>
        </w:rPr>
        <w:t>.</w:t>
      </w:r>
      <w:r w:rsidR="00E45CAF" w:rsidRPr="00793C6C">
        <w:rPr>
          <w:rStyle w:val="SubtleEmphasis"/>
          <w:rFonts w:ascii="Calibri" w:hAnsi="Calibri"/>
          <w:sz w:val="24"/>
          <w:szCs w:val="24"/>
        </w:rPr>
        <w:t xml:space="preserve">  </w:t>
      </w:r>
    </w:p>
    <w:p w14:paraId="2AC50380" w14:textId="77777777" w:rsidR="0021136F" w:rsidRDefault="0021136F" w:rsidP="00D541DA">
      <w:pPr>
        <w:rPr>
          <w:rStyle w:val="SubtleEmphasis"/>
          <w:rFonts w:ascii="Calibri" w:hAnsi="Calibri"/>
          <w:sz w:val="24"/>
          <w:szCs w:val="24"/>
          <w:highlight w:val="yellow"/>
        </w:rPr>
      </w:pPr>
    </w:p>
    <w:p w14:paraId="63240C3B" w14:textId="6E8BC991" w:rsidR="00D541DA" w:rsidRPr="00D541DA" w:rsidRDefault="00E45CAF" w:rsidP="00D541DA">
      <w:pPr>
        <w:rPr>
          <w:rStyle w:val="SubtleEmphasis"/>
          <w:rFonts w:ascii="Calibri" w:hAnsi="Calibri"/>
          <w:sz w:val="24"/>
          <w:szCs w:val="24"/>
        </w:rPr>
      </w:pPr>
      <w:r w:rsidRPr="004C0776">
        <w:rPr>
          <w:rStyle w:val="SubtleEmphasis"/>
          <w:rFonts w:ascii="Calibri" w:hAnsi="Calibri"/>
          <w:sz w:val="24"/>
          <w:szCs w:val="24"/>
        </w:rPr>
        <w:t xml:space="preserve">By providing a </w:t>
      </w:r>
      <w:r w:rsidRPr="004C0776">
        <w:rPr>
          <w:rStyle w:val="SubtleEmphasis"/>
          <w:rFonts w:ascii="Calibri" w:hAnsi="Calibri"/>
          <w:sz w:val="24"/>
          <w:szCs w:val="24"/>
          <w:u w:val="single"/>
        </w:rPr>
        <w:t>minimum</w:t>
      </w:r>
      <w:r w:rsidRPr="004C0776">
        <w:rPr>
          <w:rStyle w:val="SubtleEmphasis"/>
          <w:rFonts w:ascii="Calibri" w:hAnsi="Calibri"/>
          <w:sz w:val="24"/>
          <w:szCs w:val="24"/>
        </w:rPr>
        <w:t xml:space="preserve"> level of income, there would be a degree of certainty for members which could be combined with the Centrelink Age Pension, while </w:t>
      </w:r>
      <w:r w:rsidR="00ED105C">
        <w:rPr>
          <w:rStyle w:val="SubtleEmphasis"/>
          <w:rFonts w:ascii="Calibri" w:hAnsi="Calibri"/>
          <w:sz w:val="24"/>
          <w:szCs w:val="24"/>
        </w:rPr>
        <w:t xml:space="preserve">simultaneously </w:t>
      </w:r>
      <w:r w:rsidRPr="004C0776">
        <w:rPr>
          <w:rStyle w:val="SubtleEmphasis"/>
          <w:rFonts w:ascii="Calibri" w:hAnsi="Calibri"/>
          <w:sz w:val="24"/>
          <w:szCs w:val="24"/>
        </w:rPr>
        <w:t xml:space="preserve">providing the prospect for considerably higher income in retirement through active management of market risk.  In our view, </w:t>
      </w:r>
      <w:r w:rsidR="00685893">
        <w:rPr>
          <w:rStyle w:val="SubtleEmphasis"/>
          <w:rFonts w:ascii="Calibri" w:hAnsi="Calibri"/>
          <w:sz w:val="24"/>
          <w:szCs w:val="24"/>
        </w:rPr>
        <w:t>ma</w:t>
      </w:r>
      <w:r w:rsidRPr="004C0776">
        <w:rPr>
          <w:rStyle w:val="SubtleEmphasis"/>
          <w:rFonts w:ascii="Calibri" w:hAnsi="Calibri"/>
          <w:sz w:val="24"/>
          <w:szCs w:val="24"/>
        </w:rPr>
        <w:t xml:space="preserve">rket </w:t>
      </w:r>
      <w:r w:rsidR="00685893">
        <w:rPr>
          <w:rStyle w:val="SubtleEmphasis"/>
          <w:rFonts w:ascii="Calibri" w:hAnsi="Calibri"/>
          <w:sz w:val="24"/>
          <w:szCs w:val="24"/>
        </w:rPr>
        <w:t>r</w:t>
      </w:r>
      <w:r w:rsidRPr="004C0776">
        <w:rPr>
          <w:rStyle w:val="SubtleEmphasis"/>
          <w:rFonts w:ascii="Calibri" w:hAnsi="Calibri"/>
          <w:sz w:val="24"/>
          <w:szCs w:val="24"/>
        </w:rPr>
        <w:t>isk should not be eliminated through the use of annuities and annuity</w:t>
      </w:r>
      <w:r w:rsidR="0021136F" w:rsidRPr="004C0776">
        <w:rPr>
          <w:rStyle w:val="SubtleEmphasis"/>
          <w:rFonts w:ascii="Calibri" w:hAnsi="Calibri"/>
          <w:sz w:val="24"/>
          <w:szCs w:val="24"/>
        </w:rPr>
        <w:t>-</w:t>
      </w:r>
      <w:r w:rsidRPr="004C0776">
        <w:rPr>
          <w:rStyle w:val="SubtleEmphasis"/>
          <w:rFonts w:ascii="Calibri" w:hAnsi="Calibri"/>
          <w:sz w:val="24"/>
          <w:szCs w:val="24"/>
        </w:rPr>
        <w:t xml:space="preserve">like products, but should rather </w:t>
      </w:r>
      <w:r w:rsidR="0021136F" w:rsidRPr="004C0776">
        <w:rPr>
          <w:rStyle w:val="SubtleEmphasis"/>
          <w:rFonts w:ascii="Calibri" w:hAnsi="Calibri"/>
          <w:sz w:val="24"/>
          <w:szCs w:val="24"/>
        </w:rPr>
        <w:t xml:space="preserve">be </w:t>
      </w:r>
      <w:r w:rsidRPr="004C0776">
        <w:rPr>
          <w:rStyle w:val="SubtleEmphasis"/>
          <w:rFonts w:ascii="Calibri" w:hAnsi="Calibri"/>
          <w:sz w:val="24"/>
          <w:szCs w:val="24"/>
        </w:rPr>
        <w:t>actively managed to provide additional return.</w:t>
      </w:r>
    </w:p>
    <w:p w14:paraId="78F61F41" w14:textId="77777777" w:rsidR="00D541DA" w:rsidRDefault="00D541DA" w:rsidP="00D541DA">
      <w:pPr>
        <w:rPr>
          <w:rStyle w:val="SubtleEmphasis"/>
          <w:rFonts w:ascii="Calibri" w:hAnsi="Calibri"/>
          <w:sz w:val="24"/>
          <w:szCs w:val="24"/>
        </w:rPr>
      </w:pPr>
    </w:p>
    <w:p w14:paraId="1519E911" w14:textId="18A7E5BF" w:rsidR="0021136F" w:rsidRDefault="00D541DA" w:rsidP="00212FF1">
      <w:pPr>
        <w:rPr>
          <w:rStyle w:val="SubtleEmphasis"/>
          <w:rFonts w:ascii="Calibri" w:hAnsi="Calibri"/>
          <w:sz w:val="24"/>
          <w:szCs w:val="24"/>
        </w:rPr>
      </w:pPr>
      <w:r w:rsidRPr="00D541DA">
        <w:rPr>
          <w:rStyle w:val="SubtleEmphasis"/>
          <w:rFonts w:ascii="Calibri" w:hAnsi="Calibri"/>
          <w:b/>
          <w:i/>
          <w:sz w:val="24"/>
          <w:szCs w:val="24"/>
        </w:rPr>
        <w:t>The ability for members to blend Account Based Pensions and CIPRs:</w:t>
      </w:r>
      <w:r w:rsidR="00212FF1">
        <w:rPr>
          <w:rStyle w:val="SubtleEmphasis"/>
          <w:rFonts w:ascii="Calibri" w:hAnsi="Calibri"/>
          <w:b/>
          <w:i/>
          <w:sz w:val="24"/>
          <w:szCs w:val="24"/>
        </w:rPr>
        <w:t xml:space="preserve">  </w:t>
      </w:r>
      <w:r w:rsidR="00212FF1">
        <w:rPr>
          <w:rStyle w:val="SubtleEmphasis"/>
          <w:rFonts w:ascii="Calibri" w:hAnsi="Calibri"/>
          <w:sz w:val="24"/>
          <w:szCs w:val="24"/>
        </w:rPr>
        <w:t>There has been discussion at the industry level that members tend to underspend in retirement, due to the uncertainty of their income requirements and longevity</w:t>
      </w:r>
      <w:r w:rsidR="005E7386">
        <w:rPr>
          <w:rStyle w:val="SubtleEmphasis"/>
          <w:rFonts w:ascii="Calibri" w:hAnsi="Calibri"/>
          <w:sz w:val="24"/>
          <w:szCs w:val="24"/>
        </w:rPr>
        <w:t xml:space="preserve">. </w:t>
      </w:r>
      <w:r w:rsidR="0021136F">
        <w:rPr>
          <w:rStyle w:val="SubtleEmphasis"/>
          <w:rFonts w:ascii="Calibri" w:hAnsi="Calibri"/>
          <w:sz w:val="24"/>
          <w:szCs w:val="24"/>
        </w:rPr>
        <w:t xml:space="preserve"> In response</w:t>
      </w:r>
      <w:r w:rsidR="005E7386">
        <w:rPr>
          <w:rStyle w:val="SubtleEmphasis"/>
          <w:rFonts w:ascii="Calibri" w:hAnsi="Calibri"/>
          <w:sz w:val="24"/>
          <w:szCs w:val="24"/>
        </w:rPr>
        <w:t xml:space="preserve">, members </w:t>
      </w:r>
      <w:r w:rsidR="0021136F">
        <w:rPr>
          <w:rStyle w:val="SubtleEmphasis"/>
          <w:rFonts w:ascii="Calibri" w:hAnsi="Calibri"/>
          <w:sz w:val="24"/>
          <w:szCs w:val="24"/>
        </w:rPr>
        <w:t>tend to</w:t>
      </w:r>
      <w:r w:rsidR="00212FF1">
        <w:rPr>
          <w:rStyle w:val="SubtleEmphasis"/>
          <w:rFonts w:ascii="Calibri" w:hAnsi="Calibri"/>
          <w:sz w:val="24"/>
          <w:szCs w:val="24"/>
        </w:rPr>
        <w:t xml:space="preserve"> build up a ‘reserve’ to guard against future income requirements, for example, uncertainty around health costs and aged care requirements</w:t>
      </w:r>
      <w:r w:rsidR="00E45CAF">
        <w:rPr>
          <w:rStyle w:val="SubtleEmphasis"/>
          <w:rFonts w:ascii="Calibri" w:hAnsi="Calibri"/>
          <w:sz w:val="24"/>
          <w:szCs w:val="24"/>
        </w:rPr>
        <w:t xml:space="preserve"> or other family needs</w:t>
      </w:r>
      <w:r w:rsidR="00212FF1">
        <w:rPr>
          <w:rStyle w:val="SubtleEmphasis"/>
          <w:rFonts w:ascii="Calibri" w:hAnsi="Calibri"/>
          <w:sz w:val="24"/>
          <w:szCs w:val="24"/>
        </w:rPr>
        <w:t xml:space="preserve">. </w:t>
      </w:r>
      <w:r w:rsidR="0021136F">
        <w:rPr>
          <w:rStyle w:val="SubtleEmphasis"/>
          <w:rFonts w:ascii="Calibri" w:hAnsi="Calibri"/>
          <w:sz w:val="24"/>
          <w:szCs w:val="24"/>
        </w:rPr>
        <w:t xml:space="preserve"> </w:t>
      </w:r>
      <w:r w:rsidR="00FA3648" w:rsidRPr="00FA3648">
        <w:rPr>
          <w:rStyle w:val="SubtleEmphasis"/>
          <w:rFonts w:ascii="Calibri" w:hAnsi="Calibri"/>
          <w:sz w:val="24"/>
          <w:szCs w:val="24"/>
        </w:rPr>
        <w:t xml:space="preserve">This is arguably an entirely rational response by retirees given that retirees often do not have the benefit of future income derived from employment or capital contributions to “top up” their </w:t>
      </w:r>
      <w:r w:rsidR="00D970AE">
        <w:rPr>
          <w:rStyle w:val="SubtleEmphasis"/>
          <w:rFonts w:ascii="Calibri" w:hAnsi="Calibri"/>
          <w:sz w:val="24"/>
          <w:szCs w:val="24"/>
        </w:rPr>
        <w:t>account balance</w:t>
      </w:r>
      <w:r w:rsidR="00FA3648" w:rsidRPr="00FA3648">
        <w:rPr>
          <w:rStyle w:val="SubtleEmphasis"/>
          <w:rFonts w:ascii="Calibri" w:hAnsi="Calibri"/>
          <w:sz w:val="24"/>
          <w:szCs w:val="24"/>
        </w:rPr>
        <w:t>.</w:t>
      </w:r>
      <w:r w:rsidR="000B20E1">
        <w:rPr>
          <w:rStyle w:val="SubtleEmphasis"/>
          <w:rFonts w:ascii="Calibri" w:hAnsi="Calibri"/>
          <w:sz w:val="24"/>
          <w:szCs w:val="24"/>
        </w:rPr>
        <w:t xml:space="preserve"> </w:t>
      </w:r>
      <w:r w:rsidR="00FA3648" w:rsidRPr="00FA3648">
        <w:rPr>
          <w:rStyle w:val="SubtleEmphasis"/>
          <w:rFonts w:ascii="Calibri" w:hAnsi="Calibri"/>
          <w:sz w:val="24"/>
          <w:szCs w:val="24"/>
        </w:rPr>
        <w:t xml:space="preserve"> </w:t>
      </w:r>
      <w:r w:rsidR="0021136F">
        <w:rPr>
          <w:rStyle w:val="SubtleEmphasis"/>
          <w:rFonts w:ascii="Calibri" w:hAnsi="Calibri"/>
          <w:sz w:val="24"/>
          <w:szCs w:val="24"/>
        </w:rPr>
        <w:t xml:space="preserve">The </w:t>
      </w:r>
      <w:r w:rsidR="00212FF1">
        <w:rPr>
          <w:rStyle w:val="SubtleEmphasis"/>
          <w:rFonts w:ascii="Calibri" w:hAnsi="Calibri"/>
          <w:sz w:val="24"/>
          <w:szCs w:val="24"/>
        </w:rPr>
        <w:t>constant income requirement for CIPR products may encourage members to spend even less, given their tendency to be conservative in retirement, particularly if the ability to access capital in the future is partially constrained.</w:t>
      </w:r>
    </w:p>
    <w:p w14:paraId="3D9D1E60" w14:textId="1C053208" w:rsidR="00212FF1" w:rsidRDefault="00212FF1" w:rsidP="00212FF1">
      <w:pPr>
        <w:rPr>
          <w:rStyle w:val="SubtleEmphasis"/>
          <w:rFonts w:ascii="Calibri" w:hAnsi="Calibri"/>
          <w:sz w:val="24"/>
          <w:szCs w:val="24"/>
        </w:rPr>
      </w:pPr>
      <w:r>
        <w:rPr>
          <w:rStyle w:val="SubtleEmphasis"/>
          <w:rFonts w:ascii="Calibri" w:hAnsi="Calibri"/>
          <w:sz w:val="24"/>
          <w:szCs w:val="24"/>
        </w:rPr>
        <w:t xml:space="preserve">One option for consideration by Treasury </w:t>
      </w:r>
      <w:r w:rsidR="005E7386">
        <w:rPr>
          <w:rStyle w:val="SubtleEmphasis"/>
          <w:rFonts w:ascii="Calibri" w:hAnsi="Calibri"/>
          <w:sz w:val="24"/>
          <w:szCs w:val="24"/>
        </w:rPr>
        <w:t xml:space="preserve">could be </w:t>
      </w:r>
      <w:r w:rsidR="0021136F">
        <w:rPr>
          <w:rStyle w:val="SubtleEmphasis"/>
          <w:rFonts w:ascii="Calibri" w:hAnsi="Calibri"/>
          <w:sz w:val="24"/>
          <w:szCs w:val="24"/>
        </w:rPr>
        <w:t xml:space="preserve">to </w:t>
      </w:r>
      <w:r>
        <w:rPr>
          <w:rStyle w:val="SubtleEmphasis"/>
          <w:rFonts w:ascii="Calibri" w:hAnsi="Calibri"/>
          <w:sz w:val="24"/>
          <w:szCs w:val="24"/>
        </w:rPr>
        <w:t xml:space="preserve">allow members to have two retirement accounts, a CIPR </w:t>
      </w:r>
      <w:r w:rsidR="0021136F">
        <w:rPr>
          <w:rStyle w:val="SubtleEmphasis"/>
          <w:rFonts w:ascii="Calibri" w:hAnsi="Calibri"/>
          <w:sz w:val="24"/>
          <w:szCs w:val="24"/>
        </w:rPr>
        <w:t>combined with</w:t>
      </w:r>
      <w:r>
        <w:rPr>
          <w:rStyle w:val="SubtleEmphasis"/>
          <w:rFonts w:ascii="Calibri" w:hAnsi="Calibri"/>
          <w:sz w:val="24"/>
          <w:szCs w:val="24"/>
        </w:rPr>
        <w:t xml:space="preserve"> an account</w:t>
      </w:r>
      <w:r w:rsidR="00F04081">
        <w:rPr>
          <w:rStyle w:val="SubtleEmphasis"/>
          <w:rFonts w:ascii="Calibri" w:hAnsi="Calibri"/>
          <w:sz w:val="24"/>
          <w:szCs w:val="24"/>
        </w:rPr>
        <w:t>-</w:t>
      </w:r>
      <w:r>
        <w:rPr>
          <w:rStyle w:val="SubtleEmphasis"/>
          <w:rFonts w:ascii="Calibri" w:hAnsi="Calibri"/>
          <w:sz w:val="24"/>
          <w:szCs w:val="24"/>
        </w:rPr>
        <w:t>based pension account.  The ability for a member to hold an account</w:t>
      </w:r>
      <w:r w:rsidR="00F04081">
        <w:rPr>
          <w:rStyle w:val="SubtleEmphasis"/>
          <w:rFonts w:ascii="Calibri" w:hAnsi="Calibri"/>
          <w:sz w:val="24"/>
          <w:szCs w:val="24"/>
        </w:rPr>
        <w:t>-</w:t>
      </w:r>
      <w:r>
        <w:rPr>
          <w:rStyle w:val="SubtleEmphasis"/>
          <w:rFonts w:ascii="Calibri" w:hAnsi="Calibri"/>
          <w:sz w:val="24"/>
          <w:szCs w:val="24"/>
        </w:rPr>
        <w:t>based pension account with a proportion of funds allocated to the account based pension</w:t>
      </w:r>
      <w:r w:rsidR="000969EA">
        <w:rPr>
          <w:rStyle w:val="SubtleEmphasis"/>
          <w:rFonts w:ascii="Calibri" w:hAnsi="Calibri"/>
          <w:sz w:val="24"/>
          <w:szCs w:val="24"/>
        </w:rPr>
        <w:t xml:space="preserve"> (over and above the potential inclusion of an account</w:t>
      </w:r>
      <w:r w:rsidR="00F04081">
        <w:rPr>
          <w:rStyle w:val="SubtleEmphasis"/>
          <w:rFonts w:ascii="Calibri" w:hAnsi="Calibri"/>
          <w:sz w:val="24"/>
          <w:szCs w:val="24"/>
        </w:rPr>
        <w:t>-</w:t>
      </w:r>
      <w:r w:rsidR="000969EA">
        <w:rPr>
          <w:rStyle w:val="SubtleEmphasis"/>
          <w:rFonts w:ascii="Calibri" w:hAnsi="Calibri"/>
          <w:sz w:val="24"/>
          <w:szCs w:val="24"/>
        </w:rPr>
        <w:t>based pension in a CIPR product structure)</w:t>
      </w:r>
      <w:r>
        <w:rPr>
          <w:rStyle w:val="SubtleEmphasis"/>
          <w:rFonts w:ascii="Calibri" w:hAnsi="Calibri"/>
          <w:sz w:val="24"/>
          <w:szCs w:val="24"/>
        </w:rPr>
        <w:t>, would provide members with greater flexibility for unknown upcoming costs and help to address the historic</w:t>
      </w:r>
      <w:r w:rsidR="008169C3">
        <w:rPr>
          <w:rStyle w:val="SubtleEmphasis"/>
          <w:rFonts w:ascii="Calibri" w:hAnsi="Calibri"/>
          <w:sz w:val="24"/>
          <w:szCs w:val="24"/>
        </w:rPr>
        <w:t>al</w:t>
      </w:r>
      <w:r>
        <w:rPr>
          <w:rStyle w:val="SubtleEmphasis"/>
          <w:rFonts w:ascii="Calibri" w:hAnsi="Calibri"/>
          <w:sz w:val="24"/>
          <w:szCs w:val="24"/>
        </w:rPr>
        <w:t xml:space="preserve"> behavioural resistance to pooled lifetime income products.</w:t>
      </w:r>
      <w:r w:rsidR="00E45CAF">
        <w:rPr>
          <w:rStyle w:val="SubtleEmphasis"/>
          <w:rFonts w:ascii="Calibri" w:hAnsi="Calibri"/>
          <w:sz w:val="24"/>
          <w:szCs w:val="24"/>
        </w:rPr>
        <w:t xml:space="preserve">  In reality, this would not be materially different from the proposed CIPR structure, but it would provide clarity to members as to what </w:t>
      </w:r>
      <w:r w:rsidR="0021136F">
        <w:rPr>
          <w:rStyle w:val="SubtleEmphasis"/>
          <w:rFonts w:ascii="Calibri" w:hAnsi="Calibri"/>
          <w:sz w:val="24"/>
          <w:szCs w:val="24"/>
        </w:rPr>
        <w:t>p</w:t>
      </w:r>
      <w:r w:rsidR="00562262">
        <w:rPr>
          <w:rStyle w:val="SubtleEmphasis"/>
          <w:rFonts w:ascii="Calibri" w:hAnsi="Calibri"/>
          <w:sz w:val="24"/>
          <w:szCs w:val="24"/>
        </w:rPr>
        <w:t>rop</w:t>
      </w:r>
      <w:r w:rsidR="0021136F">
        <w:rPr>
          <w:rStyle w:val="SubtleEmphasis"/>
          <w:rFonts w:ascii="Calibri" w:hAnsi="Calibri"/>
          <w:sz w:val="24"/>
          <w:szCs w:val="24"/>
        </w:rPr>
        <w:t>ortion of their assets would be</w:t>
      </w:r>
      <w:r w:rsidR="00E45CAF">
        <w:rPr>
          <w:rStyle w:val="SubtleEmphasis"/>
          <w:rFonts w:ascii="Calibri" w:hAnsi="Calibri"/>
          <w:sz w:val="24"/>
          <w:szCs w:val="24"/>
        </w:rPr>
        <w:t xml:space="preserve"> accessible </w:t>
      </w:r>
      <w:r w:rsidR="0021136F">
        <w:rPr>
          <w:rStyle w:val="SubtleEmphasis"/>
          <w:rFonts w:ascii="Calibri" w:hAnsi="Calibri"/>
          <w:sz w:val="24"/>
          <w:szCs w:val="24"/>
        </w:rPr>
        <w:t>as a</w:t>
      </w:r>
      <w:r w:rsidR="00E45CAF">
        <w:rPr>
          <w:rStyle w:val="SubtleEmphasis"/>
          <w:rFonts w:ascii="Calibri" w:hAnsi="Calibri"/>
          <w:sz w:val="24"/>
          <w:szCs w:val="24"/>
        </w:rPr>
        <w:t xml:space="preserve"> lump sum, and which </w:t>
      </w:r>
      <w:r w:rsidR="0021136F">
        <w:rPr>
          <w:rStyle w:val="SubtleEmphasis"/>
          <w:rFonts w:ascii="Calibri" w:hAnsi="Calibri"/>
          <w:sz w:val="24"/>
          <w:szCs w:val="24"/>
        </w:rPr>
        <w:t>should</w:t>
      </w:r>
      <w:r w:rsidR="00E45CAF">
        <w:rPr>
          <w:rStyle w:val="SubtleEmphasis"/>
          <w:rFonts w:ascii="Calibri" w:hAnsi="Calibri"/>
          <w:sz w:val="24"/>
          <w:szCs w:val="24"/>
        </w:rPr>
        <w:t xml:space="preserve"> be used for long term income purposes.</w:t>
      </w:r>
    </w:p>
    <w:p w14:paraId="4FA30B30" w14:textId="77777777" w:rsidR="0021136F" w:rsidRDefault="0021136F" w:rsidP="00212FF1">
      <w:pPr>
        <w:rPr>
          <w:rStyle w:val="SubtleEmphasis"/>
          <w:rFonts w:ascii="Calibri" w:hAnsi="Calibri"/>
          <w:sz w:val="24"/>
          <w:szCs w:val="24"/>
        </w:rPr>
      </w:pPr>
    </w:p>
    <w:p w14:paraId="3CF100C3" w14:textId="6C91897C" w:rsidR="0021136F" w:rsidRDefault="0021136F" w:rsidP="00212FF1">
      <w:pPr>
        <w:rPr>
          <w:rStyle w:val="SubtleEmphasis"/>
          <w:rFonts w:ascii="Calibri" w:hAnsi="Calibri"/>
          <w:sz w:val="24"/>
          <w:szCs w:val="24"/>
        </w:rPr>
      </w:pPr>
      <w:r>
        <w:rPr>
          <w:rStyle w:val="SubtleEmphasis"/>
          <w:rFonts w:ascii="Calibri" w:hAnsi="Calibri"/>
          <w:sz w:val="24"/>
          <w:szCs w:val="24"/>
        </w:rPr>
        <w:t xml:space="preserve">We understand that </w:t>
      </w:r>
      <w:r w:rsidR="00F04081">
        <w:rPr>
          <w:rStyle w:val="SubtleEmphasis"/>
          <w:rFonts w:ascii="Calibri" w:hAnsi="Calibri"/>
          <w:sz w:val="24"/>
          <w:szCs w:val="24"/>
        </w:rPr>
        <w:t xml:space="preserve">a </w:t>
      </w:r>
      <w:r>
        <w:rPr>
          <w:rStyle w:val="SubtleEmphasis"/>
          <w:rFonts w:ascii="Calibri" w:hAnsi="Calibri"/>
          <w:sz w:val="24"/>
          <w:szCs w:val="24"/>
        </w:rPr>
        <w:t xml:space="preserve">combination </w:t>
      </w:r>
      <w:r w:rsidR="00F04081">
        <w:rPr>
          <w:rStyle w:val="SubtleEmphasis"/>
          <w:rFonts w:ascii="Calibri" w:hAnsi="Calibri"/>
          <w:sz w:val="24"/>
          <w:szCs w:val="24"/>
        </w:rPr>
        <w:t xml:space="preserve">of a CIPR and an account-based pension account </w:t>
      </w:r>
      <w:r>
        <w:rPr>
          <w:rStyle w:val="SubtleEmphasis"/>
          <w:rFonts w:ascii="Calibri" w:hAnsi="Calibri"/>
          <w:sz w:val="24"/>
          <w:szCs w:val="24"/>
        </w:rPr>
        <w:t xml:space="preserve">would not be ruled out by the proposed CIPR framework, but </w:t>
      </w:r>
      <w:r w:rsidR="00562262">
        <w:rPr>
          <w:rStyle w:val="SubtleEmphasis"/>
          <w:rFonts w:ascii="Calibri" w:hAnsi="Calibri"/>
          <w:sz w:val="24"/>
          <w:szCs w:val="24"/>
        </w:rPr>
        <w:t xml:space="preserve">we believe </w:t>
      </w:r>
      <w:r>
        <w:rPr>
          <w:rStyle w:val="SubtleEmphasis"/>
          <w:rFonts w:ascii="Calibri" w:hAnsi="Calibri"/>
          <w:sz w:val="24"/>
          <w:szCs w:val="24"/>
        </w:rPr>
        <w:t xml:space="preserve">it would be </w:t>
      </w:r>
      <w:r w:rsidR="001457DF">
        <w:rPr>
          <w:rStyle w:val="SubtleEmphasis"/>
          <w:rFonts w:ascii="Calibri" w:hAnsi="Calibri"/>
          <w:sz w:val="24"/>
          <w:szCs w:val="24"/>
        </w:rPr>
        <w:t xml:space="preserve">beneficial to make this aspect clearer in terms of </w:t>
      </w:r>
      <w:r w:rsidR="00F07760">
        <w:rPr>
          <w:rStyle w:val="SubtleEmphasis"/>
          <w:rFonts w:ascii="Calibri" w:hAnsi="Calibri"/>
          <w:sz w:val="24"/>
          <w:szCs w:val="24"/>
        </w:rPr>
        <w:t>the retirement product solutions</w:t>
      </w:r>
      <w:r w:rsidR="001457DF">
        <w:rPr>
          <w:rStyle w:val="SubtleEmphasis"/>
          <w:rFonts w:ascii="Calibri" w:hAnsi="Calibri"/>
          <w:sz w:val="24"/>
          <w:szCs w:val="24"/>
        </w:rPr>
        <w:t xml:space="preserve"> a superannuation fund may offer to members.</w:t>
      </w:r>
    </w:p>
    <w:p w14:paraId="04B707E5" w14:textId="77777777" w:rsidR="00D541DA" w:rsidRPr="00D541DA" w:rsidRDefault="00D541DA" w:rsidP="00D541DA">
      <w:pPr>
        <w:rPr>
          <w:rStyle w:val="SubtleEmphasis"/>
          <w:rFonts w:ascii="Calibri" w:hAnsi="Calibri"/>
          <w:b/>
          <w:i/>
          <w:sz w:val="24"/>
          <w:szCs w:val="24"/>
        </w:rPr>
      </w:pPr>
    </w:p>
    <w:p w14:paraId="00931D3D" w14:textId="5D63EB53" w:rsidR="00D541DA" w:rsidRPr="00FB0B6F" w:rsidRDefault="00D541DA" w:rsidP="00D541DA">
      <w:pPr>
        <w:rPr>
          <w:rStyle w:val="SubtleEmphasis"/>
          <w:rFonts w:ascii="Calibri" w:hAnsi="Calibri"/>
          <w:sz w:val="24"/>
          <w:szCs w:val="24"/>
        </w:rPr>
      </w:pPr>
      <w:r w:rsidRPr="00D541DA">
        <w:rPr>
          <w:rStyle w:val="SubtleEmphasis"/>
          <w:rFonts w:ascii="Calibri" w:hAnsi="Calibri"/>
          <w:b/>
          <w:i/>
          <w:sz w:val="24"/>
          <w:szCs w:val="24"/>
        </w:rPr>
        <w:t xml:space="preserve">Greater clarity around the timing </w:t>
      </w:r>
      <w:r w:rsidR="008169C3">
        <w:rPr>
          <w:rStyle w:val="SubtleEmphasis"/>
          <w:rFonts w:ascii="Calibri" w:hAnsi="Calibri"/>
          <w:b/>
          <w:i/>
          <w:sz w:val="24"/>
          <w:szCs w:val="24"/>
        </w:rPr>
        <w:t xml:space="preserve">in retirement </w:t>
      </w:r>
      <w:r w:rsidRPr="00D541DA">
        <w:rPr>
          <w:rStyle w:val="SubtleEmphasis"/>
          <w:rFonts w:ascii="Calibri" w:hAnsi="Calibri"/>
          <w:b/>
          <w:i/>
          <w:sz w:val="24"/>
          <w:szCs w:val="24"/>
        </w:rPr>
        <w:t>of the uptake of CIPRs:</w:t>
      </w:r>
      <w:r w:rsidR="008169C3">
        <w:rPr>
          <w:rStyle w:val="SubtleEmphasis"/>
          <w:rFonts w:ascii="Calibri" w:hAnsi="Calibri"/>
          <w:b/>
          <w:i/>
          <w:sz w:val="24"/>
          <w:szCs w:val="24"/>
        </w:rPr>
        <w:t xml:space="preserve"> </w:t>
      </w:r>
      <w:r w:rsidR="00ED105C">
        <w:rPr>
          <w:rStyle w:val="SubtleEmphasis"/>
          <w:rFonts w:ascii="Calibri" w:hAnsi="Calibri"/>
          <w:b/>
          <w:i/>
          <w:sz w:val="24"/>
          <w:szCs w:val="24"/>
        </w:rPr>
        <w:t xml:space="preserve"> </w:t>
      </w:r>
      <w:r w:rsidR="00FB0B6F">
        <w:rPr>
          <w:rStyle w:val="SubtleEmphasis"/>
          <w:rFonts w:ascii="Calibri" w:hAnsi="Calibri"/>
          <w:sz w:val="24"/>
          <w:szCs w:val="24"/>
        </w:rPr>
        <w:t xml:space="preserve">Given the uncertainty members have </w:t>
      </w:r>
      <w:r w:rsidR="00E45CAF">
        <w:rPr>
          <w:rStyle w:val="SubtleEmphasis"/>
          <w:rFonts w:ascii="Calibri" w:hAnsi="Calibri"/>
          <w:sz w:val="24"/>
          <w:szCs w:val="24"/>
        </w:rPr>
        <w:t xml:space="preserve">upon </w:t>
      </w:r>
      <w:r w:rsidR="00FB0B6F">
        <w:rPr>
          <w:rStyle w:val="SubtleEmphasis"/>
          <w:rFonts w:ascii="Calibri" w:hAnsi="Calibri"/>
          <w:sz w:val="24"/>
          <w:szCs w:val="24"/>
        </w:rPr>
        <w:t xml:space="preserve">reaching retirement age and given a member’s retirement may span a number of decades, JANA believes </w:t>
      </w:r>
      <w:r w:rsidR="001457DF">
        <w:rPr>
          <w:rStyle w:val="SubtleEmphasis"/>
          <w:rFonts w:ascii="Calibri" w:hAnsi="Calibri"/>
          <w:sz w:val="24"/>
          <w:szCs w:val="24"/>
        </w:rPr>
        <w:t xml:space="preserve">many </w:t>
      </w:r>
      <w:r w:rsidR="00FB0B6F">
        <w:rPr>
          <w:rStyle w:val="SubtleEmphasis"/>
          <w:rFonts w:ascii="Calibri" w:hAnsi="Calibri"/>
          <w:sz w:val="24"/>
          <w:szCs w:val="24"/>
        </w:rPr>
        <w:t>membe</w:t>
      </w:r>
      <w:r w:rsidR="001457DF">
        <w:rPr>
          <w:rStyle w:val="SubtleEmphasis"/>
          <w:rFonts w:ascii="Calibri" w:hAnsi="Calibri"/>
          <w:sz w:val="24"/>
          <w:szCs w:val="24"/>
        </w:rPr>
        <w:t>r</w:t>
      </w:r>
      <w:r w:rsidR="004C0776">
        <w:rPr>
          <w:rStyle w:val="SubtleEmphasis"/>
          <w:rFonts w:ascii="Calibri" w:hAnsi="Calibri"/>
          <w:sz w:val="24"/>
          <w:szCs w:val="24"/>
        </w:rPr>
        <w:t>s</w:t>
      </w:r>
      <w:r w:rsidR="001457DF">
        <w:rPr>
          <w:rStyle w:val="SubtleEmphasis"/>
          <w:rFonts w:ascii="Calibri" w:hAnsi="Calibri"/>
          <w:sz w:val="24"/>
          <w:szCs w:val="24"/>
        </w:rPr>
        <w:t xml:space="preserve"> will wish to defer making a decision about commit</w:t>
      </w:r>
      <w:r w:rsidR="00ED105C">
        <w:rPr>
          <w:rStyle w:val="SubtleEmphasis"/>
          <w:rFonts w:ascii="Calibri" w:hAnsi="Calibri"/>
          <w:sz w:val="24"/>
          <w:szCs w:val="24"/>
        </w:rPr>
        <w:t>ting</w:t>
      </w:r>
      <w:r w:rsidR="001457DF">
        <w:rPr>
          <w:rStyle w:val="SubtleEmphasis"/>
          <w:rFonts w:ascii="Calibri" w:hAnsi="Calibri"/>
          <w:sz w:val="24"/>
          <w:szCs w:val="24"/>
        </w:rPr>
        <w:t xml:space="preserve"> to a life</w:t>
      </w:r>
      <w:r w:rsidR="00F04081">
        <w:rPr>
          <w:rStyle w:val="SubtleEmphasis"/>
          <w:rFonts w:ascii="Calibri" w:hAnsi="Calibri"/>
          <w:sz w:val="24"/>
          <w:szCs w:val="24"/>
        </w:rPr>
        <w:t>time</w:t>
      </w:r>
      <w:r w:rsidR="001457DF">
        <w:rPr>
          <w:rStyle w:val="SubtleEmphasis"/>
          <w:rFonts w:ascii="Calibri" w:hAnsi="Calibri"/>
          <w:sz w:val="24"/>
          <w:szCs w:val="24"/>
        </w:rPr>
        <w:t xml:space="preserve"> income stream until </w:t>
      </w:r>
      <w:r w:rsidR="009C7F36">
        <w:rPr>
          <w:rStyle w:val="SubtleEmphasis"/>
          <w:rFonts w:ascii="Calibri" w:hAnsi="Calibri"/>
          <w:sz w:val="24"/>
          <w:szCs w:val="24"/>
        </w:rPr>
        <w:t xml:space="preserve">after </w:t>
      </w:r>
      <w:r w:rsidR="00ED105C">
        <w:rPr>
          <w:rStyle w:val="SubtleEmphasis"/>
          <w:rFonts w:ascii="Calibri" w:hAnsi="Calibri"/>
          <w:sz w:val="24"/>
          <w:szCs w:val="24"/>
        </w:rPr>
        <w:t xml:space="preserve">they </w:t>
      </w:r>
      <w:r w:rsidR="009C7F36">
        <w:rPr>
          <w:rStyle w:val="SubtleEmphasis"/>
          <w:rFonts w:ascii="Calibri" w:hAnsi="Calibri"/>
          <w:sz w:val="24"/>
          <w:szCs w:val="24"/>
        </w:rPr>
        <w:t>have been retired for a number of</w:t>
      </w:r>
      <w:r w:rsidR="001457DF">
        <w:rPr>
          <w:rStyle w:val="SubtleEmphasis"/>
          <w:rFonts w:ascii="Calibri" w:hAnsi="Calibri"/>
          <w:sz w:val="24"/>
          <w:szCs w:val="24"/>
        </w:rPr>
        <w:t xml:space="preserve"> years.  </w:t>
      </w:r>
      <w:r w:rsidR="00131A30">
        <w:rPr>
          <w:rStyle w:val="SubtleEmphasis"/>
          <w:rFonts w:ascii="Calibri" w:hAnsi="Calibri"/>
          <w:sz w:val="24"/>
          <w:szCs w:val="24"/>
        </w:rPr>
        <w:t xml:space="preserve">It is not clear </w:t>
      </w:r>
      <w:r w:rsidR="009C7F36">
        <w:rPr>
          <w:rStyle w:val="SubtleEmphasis"/>
          <w:rFonts w:ascii="Calibri" w:hAnsi="Calibri"/>
          <w:sz w:val="24"/>
          <w:szCs w:val="24"/>
        </w:rPr>
        <w:t xml:space="preserve">to us </w:t>
      </w:r>
      <w:r w:rsidR="00926A3B">
        <w:rPr>
          <w:rStyle w:val="SubtleEmphasis"/>
          <w:rFonts w:ascii="Calibri" w:hAnsi="Calibri"/>
          <w:sz w:val="24"/>
          <w:szCs w:val="24"/>
        </w:rPr>
        <w:t xml:space="preserve">from </w:t>
      </w:r>
      <w:r w:rsidR="00131A30">
        <w:rPr>
          <w:rStyle w:val="SubtleEmphasis"/>
          <w:rFonts w:ascii="Calibri" w:hAnsi="Calibri"/>
          <w:sz w:val="24"/>
          <w:szCs w:val="24"/>
        </w:rPr>
        <w:t xml:space="preserve">the Government’s </w:t>
      </w:r>
      <w:r w:rsidR="00131A30" w:rsidRPr="00131A30">
        <w:rPr>
          <w:rStyle w:val="SubtleEmphasis"/>
          <w:rFonts w:ascii="Calibri" w:hAnsi="Calibri"/>
          <w:color w:val="auto"/>
          <w:sz w:val="24"/>
          <w:szCs w:val="24"/>
        </w:rPr>
        <w:t>Retirement Income Covenant Position Paper</w:t>
      </w:r>
      <w:r w:rsidR="00131A30">
        <w:rPr>
          <w:rStyle w:val="SubtleEmphasis"/>
          <w:rFonts w:ascii="Calibri" w:hAnsi="Calibri"/>
          <w:color w:val="auto"/>
          <w:sz w:val="24"/>
          <w:szCs w:val="24"/>
        </w:rPr>
        <w:t xml:space="preserve"> whether the CIPR can only be taken out at the point of reaching retirement age.  JANA </w:t>
      </w:r>
      <w:r w:rsidR="009C7F36">
        <w:rPr>
          <w:rStyle w:val="SubtleEmphasis"/>
          <w:rFonts w:ascii="Calibri" w:hAnsi="Calibri"/>
          <w:color w:val="auto"/>
          <w:sz w:val="24"/>
          <w:szCs w:val="24"/>
        </w:rPr>
        <w:t xml:space="preserve">accordingly </w:t>
      </w:r>
      <w:r w:rsidR="00131A30">
        <w:rPr>
          <w:rStyle w:val="SubtleEmphasis"/>
          <w:rFonts w:ascii="Calibri" w:hAnsi="Calibri"/>
          <w:color w:val="auto"/>
          <w:sz w:val="24"/>
          <w:szCs w:val="24"/>
        </w:rPr>
        <w:t>seeks further clarity from the Treasury on this issue.</w:t>
      </w:r>
    </w:p>
    <w:p w14:paraId="4194DAF5" w14:textId="77777777" w:rsidR="006D0F75" w:rsidRDefault="006D0F75" w:rsidP="00D541DA">
      <w:pPr>
        <w:rPr>
          <w:rStyle w:val="SubtleEmphasis"/>
          <w:rFonts w:ascii="Calibri" w:hAnsi="Calibri"/>
          <w:sz w:val="24"/>
          <w:szCs w:val="24"/>
        </w:rPr>
      </w:pPr>
    </w:p>
    <w:p w14:paraId="1312FECF" w14:textId="2B572B1F" w:rsidR="00CB3ACE" w:rsidRDefault="00D541DA" w:rsidP="008A1697">
      <w:pPr>
        <w:rPr>
          <w:rFonts w:ascii="Calibri" w:eastAsia="Times New Roman" w:hAnsi="Calibri" w:cs="Calibri"/>
        </w:rPr>
      </w:pPr>
      <w:r w:rsidRPr="00D541DA">
        <w:rPr>
          <w:rStyle w:val="SubtleEmphasis"/>
          <w:rFonts w:ascii="Calibri" w:hAnsi="Calibri"/>
          <w:b/>
          <w:i/>
          <w:sz w:val="24"/>
          <w:szCs w:val="24"/>
        </w:rPr>
        <w:t xml:space="preserve">Evolution of Retirement income strategy by the market: </w:t>
      </w:r>
      <w:r w:rsidR="009C7F36">
        <w:rPr>
          <w:rStyle w:val="SubtleEmphasis"/>
          <w:rFonts w:ascii="Calibri" w:hAnsi="Calibri"/>
          <w:b/>
          <w:i/>
          <w:sz w:val="24"/>
          <w:szCs w:val="24"/>
        </w:rPr>
        <w:t xml:space="preserve"> </w:t>
      </w:r>
      <w:r w:rsidR="00AF06AE">
        <w:rPr>
          <w:rStyle w:val="SubtleEmphasis"/>
          <w:rFonts w:ascii="Calibri" w:hAnsi="Calibri"/>
          <w:sz w:val="24"/>
          <w:szCs w:val="24"/>
        </w:rPr>
        <w:t xml:space="preserve">Given the </w:t>
      </w:r>
      <w:r w:rsidR="009C7F36">
        <w:rPr>
          <w:rStyle w:val="SubtleEmphasis"/>
          <w:rFonts w:ascii="Calibri" w:hAnsi="Calibri"/>
          <w:sz w:val="24"/>
          <w:szCs w:val="24"/>
        </w:rPr>
        <w:t xml:space="preserve">above </w:t>
      </w:r>
      <w:r w:rsidR="00AF06AE">
        <w:rPr>
          <w:rStyle w:val="SubtleEmphasis"/>
          <w:rFonts w:ascii="Calibri" w:hAnsi="Calibri"/>
          <w:sz w:val="24"/>
          <w:szCs w:val="24"/>
        </w:rPr>
        <w:t xml:space="preserve">considerations, JANA’s view is </w:t>
      </w:r>
      <w:r w:rsidR="009C7F36">
        <w:rPr>
          <w:rStyle w:val="SubtleEmphasis"/>
          <w:rFonts w:ascii="Calibri" w:hAnsi="Calibri"/>
          <w:sz w:val="24"/>
          <w:szCs w:val="24"/>
        </w:rPr>
        <w:t xml:space="preserve">that </w:t>
      </w:r>
      <w:r w:rsidR="00AF06AE">
        <w:rPr>
          <w:rStyle w:val="SubtleEmphasis"/>
          <w:rFonts w:ascii="Calibri" w:hAnsi="Calibri"/>
          <w:sz w:val="24"/>
          <w:szCs w:val="24"/>
        </w:rPr>
        <w:t xml:space="preserve">the market </w:t>
      </w:r>
      <w:r w:rsidR="009C7F36">
        <w:rPr>
          <w:rStyle w:val="SubtleEmphasis"/>
          <w:rFonts w:ascii="Calibri" w:hAnsi="Calibri"/>
          <w:sz w:val="24"/>
          <w:szCs w:val="24"/>
        </w:rPr>
        <w:t xml:space="preserve">should </w:t>
      </w:r>
      <w:r w:rsidR="00AF06AE">
        <w:rPr>
          <w:rStyle w:val="SubtleEmphasis"/>
          <w:rFonts w:ascii="Calibri" w:hAnsi="Calibri"/>
          <w:sz w:val="24"/>
          <w:szCs w:val="24"/>
        </w:rPr>
        <w:t xml:space="preserve">work through the Retirement Income Strategy issues in a measured way.  </w:t>
      </w:r>
      <w:r w:rsidR="009C7F36">
        <w:rPr>
          <w:rStyle w:val="SubtleEmphasis"/>
          <w:rFonts w:ascii="Calibri" w:hAnsi="Calibri"/>
          <w:sz w:val="24"/>
          <w:szCs w:val="24"/>
        </w:rPr>
        <w:t xml:space="preserve">Instead of prescribing an </w:t>
      </w:r>
      <w:r w:rsidR="00AF06AE">
        <w:rPr>
          <w:rStyle w:val="SubtleEmphasis"/>
          <w:rFonts w:ascii="Calibri" w:hAnsi="Calibri"/>
          <w:sz w:val="24"/>
          <w:szCs w:val="24"/>
        </w:rPr>
        <w:t xml:space="preserve">approach for all superannuation funds, JANA considers that an </w:t>
      </w:r>
      <w:r w:rsidR="00562262">
        <w:rPr>
          <w:rStyle w:val="SubtleEmphasis"/>
          <w:rFonts w:ascii="Calibri" w:hAnsi="Calibri"/>
          <w:sz w:val="24"/>
          <w:szCs w:val="24"/>
        </w:rPr>
        <w:t>“</w:t>
      </w:r>
      <w:r w:rsidR="00AF06AE">
        <w:rPr>
          <w:rStyle w:val="SubtleEmphasis"/>
          <w:rFonts w:ascii="Calibri" w:hAnsi="Calibri"/>
          <w:sz w:val="24"/>
          <w:szCs w:val="24"/>
        </w:rPr>
        <w:t>if not, why not?</w:t>
      </w:r>
      <w:r w:rsidR="00562262">
        <w:rPr>
          <w:rStyle w:val="SubtleEmphasis"/>
          <w:rFonts w:ascii="Calibri" w:hAnsi="Calibri"/>
          <w:sz w:val="24"/>
          <w:szCs w:val="24"/>
        </w:rPr>
        <w:t>”</w:t>
      </w:r>
      <w:r w:rsidR="00AF06AE">
        <w:rPr>
          <w:rStyle w:val="SubtleEmphasis"/>
          <w:rFonts w:ascii="Calibri" w:hAnsi="Calibri"/>
          <w:sz w:val="24"/>
          <w:szCs w:val="24"/>
        </w:rPr>
        <w:t xml:space="preserve"> approach to the introduction of CIPR products </w:t>
      </w:r>
      <w:r w:rsidR="001457DF">
        <w:rPr>
          <w:rStyle w:val="SubtleEmphasis"/>
          <w:rFonts w:ascii="Calibri" w:hAnsi="Calibri"/>
          <w:sz w:val="24"/>
          <w:szCs w:val="24"/>
        </w:rPr>
        <w:t xml:space="preserve">may </w:t>
      </w:r>
      <w:r w:rsidR="00AF06AE">
        <w:rPr>
          <w:rStyle w:val="SubtleEmphasis"/>
          <w:rFonts w:ascii="Calibri" w:hAnsi="Calibri"/>
          <w:sz w:val="24"/>
          <w:szCs w:val="24"/>
        </w:rPr>
        <w:t>be an appropriate balance for superannuation funds, when considering the demand f</w:t>
      </w:r>
      <w:r w:rsidR="00B92676">
        <w:rPr>
          <w:rStyle w:val="SubtleEmphasis"/>
          <w:rFonts w:ascii="Calibri" w:hAnsi="Calibri"/>
          <w:sz w:val="24"/>
          <w:szCs w:val="24"/>
        </w:rPr>
        <w:t>rom members for</w:t>
      </w:r>
      <w:r w:rsidR="00AF06AE">
        <w:rPr>
          <w:rStyle w:val="SubtleEmphasis"/>
          <w:rFonts w:ascii="Calibri" w:hAnsi="Calibri"/>
          <w:sz w:val="24"/>
          <w:szCs w:val="24"/>
        </w:rPr>
        <w:t xml:space="preserve"> CIPR products versus the </w:t>
      </w:r>
      <w:r w:rsidR="00B92676">
        <w:rPr>
          <w:rStyle w:val="SubtleEmphasis"/>
          <w:rFonts w:ascii="Calibri" w:hAnsi="Calibri"/>
          <w:sz w:val="24"/>
          <w:szCs w:val="24"/>
        </w:rPr>
        <w:t>cost and time commitment involved in offering a CIPR product.</w:t>
      </w:r>
      <w:r w:rsidR="00576ED9">
        <w:rPr>
          <w:rStyle w:val="SubtleEmphasis"/>
          <w:rFonts w:ascii="Calibri" w:hAnsi="Calibri"/>
          <w:sz w:val="24"/>
          <w:szCs w:val="24"/>
        </w:rPr>
        <w:t xml:space="preserve">  </w:t>
      </w:r>
      <w:r w:rsidR="00CB3ACE" w:rsidRPr="008A1697">
        <w:rPr>
          <w:rStyle w:val="SubtleEmphasis"/>
          <w:rFonts w:ascii="Calibri" w:hAnsi="Calibri"/>
          <w:sz w:val="24"/>
          <w:szCs w:val="24"/>
        </w:rPr>
        <w:t>For example,</w:t>
      </w:r>
      <w:r w:rsidR="00CB3ACE" w:rsidRPr="008A1697">
        <w:rPr>
          <w:rFonts w:eastAsia="Times New Roman"/>
        </w:rPr>
        <w:t xml:space="preserve"> </w:t>
      </w:r>
      <w:r w:rsidR="008A1697" w:rsidRPr="008A1697">
        <w:rPr>
          <w:rStyle w:val="SubtleEmphasis"/>
          <w:rFonts w:ascii="Calibri" w:hAnsi="Calibri"/>
          <w:sz w:val="24"/>
          <w:szCs w:val="24"/>
        </w:rPr>
        <w:t xml:space="preserve">JANA highlighted earlier in this paper that </w:t>
      </w:r>
      <w:r w:rsidR="00496328">
        <w:rPr>
          <w:rStyle w:val="SubtleEmphasis"/>
          <w:rFonts w:ascii="Calibri" w:hAnsi="Calibri"/>
          <w:sz w:val="24"/>
          <w:szCs w:val="24"/>
        </w:rPr>
        <w:t xml:space="preserve">we view the </w:t>
      </w:r>
      <w:r w:rsidR="008A1697" w:rsidRPr="008A1697">
        <w:rPr>
          <w:rStyle w:val="SubtleEmphasis"/>
          <w:rFonts w:ascii="Calibri" w:hAnsi="Calibri"/>
          <w:sz w:val="24"/>
          <w:szCs w:val="24"/>
        </w:rPr>
        <w:t xml:space="preserve">valuation of assets that are used to fund an annuity structure, such as fixed interest assets, to be unattractive investments at the current time.  If this was to be the case at the point of offering a CIPR, a fund may not wish to offer a CIPR </w:t>
      </w:r>
      <w:r w:rsidR="00496328" w:rsidRPr="008A1697">
        <w:rPr>
          <w:rStyle w:val="SubtleEmphasis"/>
          <w:rFonts w:ascii="Calibri" w:hAnsi="Calibri"/>
          <w:sz w:val="24"/>
          <w:szCs w:val="24"/>
        </w:rPr>
        <w:t>based on</w:t>
      </w:r>
      <w:r w:rsidR="008A1697" w:rsidRPr="008A1697">
        <w:rPr>
          <w:rStyle w:val="SubtleEmphasis"/>
          <w:rFonts w:ascii="Calibri" w:hAnsi="Calibri"/>
          <w:sz w:val="24"/>
          <w:szCs w:val="24"/>
        </w:rPr>
        <w:t xml:space="preserve"> the </w:t>
      </w:r>
      <w:r w:rsidR="00A24FE4">
        <w:rPr>
          <w:rStyle w:val="SubtleEmphasis"/>
          <w:rFonts w:ascii="Calibri" w:hAnsi="Calibri"/>
          <w:sz w:val="24"/>
          <w:szCs w:val="24"/>
        </w:rPr>
        <w:t xml:space="preserve">implicit cost of offering an annuity type </w:t>
      </w:r>
      <w:r w:rsidR="00F07760">
        <w:rPr>
          <w:rStyle w:val="SubtleEmphasis"/>
          <w:rFonts w:ascii="Calibri" w:hAnsi="Calibri"/>
          <w:sz w:val="24"/>
          <w:szCs w:val="24"/>
        </w:rPr>
        <w:t>product</w:t>
      </w:r>
      <w:r w:rsidR="00A24FE4">
        <w:rPr>
          <w:rStyle w:val="SubtleEmphasis"/>
          <w:rFonts w:ascii="Calibri" w:hAnsi="Calibri"/>
          <w:sz w:val="24"/>
          <w:szCs w:val="24"/>
        </w:rPr>
        <w:t xml:space="preserve"> when compared to other </w:t>
      </w:r>
      <w:r w:rsidR="00F07760">
        <w:rPr>
          <w:rStyle w:val="SubtleEmphasis"/>
          <w:rFonts w:ascii="Calibri" w:hAnsi="Calibri"/>
          <w:sz w:val="24"/>
          <w:szCs w:val="24"/>
        </w:rPr>
        <w:t>products</w:t>
      </w:r>
      <w:r w:rsidR="00A24FE4">
        <w:rPr>
          <w:rStyle w:val="SubtleEmphasis"/>
          <w:rFonts w:ascii="Calibri" w:hAnsi="Calibri"/>
          <w:sz w:val="24"/>
          <w:szCs w:val="24"/>
        </w:rPr>
        <w:t>.</w:t>
      </w:r>
    </w:p>
    <w:p w14:paraId="06A0B163" w14:textId="03EBD549" w:rsidR="001457DF" w:rsidRDefault="001457DF" w:rsidP="006D0F75">
      <w:pPr>
        <w:rPr>
          <w:rStyle w:val="SubtleEmphasis"/>
          <w:rFonts w:ascii="Calibri" w:hAnsi="Calibri"/>
          <w:sz w:val="24"/>
          <w:szCs w:val="24"/>
        </w:rPr>
      </w:pPr>
    </w:p>
    <w:p w14:paraId="72F89FF1" w14:textId="7BC6F30B" w:rsidR="001457DF" w:rsidRDefault="009C7F36" w:rsidP="006D0F75">
      <w:pPr>
        <w:rPr>
          <w:rStyle w:val="SubtleEmphasis"/>
          <w:rFonts w:ascii="Calibri" w:hAnsi="Calibri"/>
          <w:sz w:val="24"/>
          <w:szCs w:val="24"/>
        </w:rPr>
      </w:pPr>
      <w:r>
        <w:rPr>
          <w:rStyle w:val="SubtleEmphasis"/>
          <w:rFonts w:ascii="Calibri" w:hAnsi="Calibri"/>
          <w:sz w:val="24"/>
          <w:szCs w:val="24"/>
        </w:rPr>
        <w:t>In addition</w:t>
      </w:r>
      <w:r w:rsidR="00D970AE">
        <w:rPr>
          <w:rStyle w:val="SubtleEmphasis"/>
          <w:rFonts w:ascii="Calibri" w:hAnsi="Calibri"/>
          <w:sz w:val="24"/>
          <w:szCs w:val="24"/>
        </w:rPr>
        <w:t>,</w:t>
      </w:r>
      <w:r>
        <w:rPr>
          <w:rStyle w:val="SubtleEmphasis"/>
          <w:rFonts w:ascii="Calibri" w:hAnsi="Calibri"/>
          <w:sz w:val="24"/>
          <w:szCs w:val="24"/>
        </w:rPr>
        <w:t xml:space="preserve"> </w:t>
      </w:r>
      <w:r w:rsidR="00576ED9">
        <w:rPr>
          <w:rStyle w:val="SubtleEmphasis"/>
          <w:rFonts w:ascii="Calibri" w:hAnsi="Calibri"/>
          <w:sz w:val="24"/>
          <w:szCs w:val="24"/>
        </w:rPr>
        <w:t>JANA believes there are significant barriers to entry for ne</w:t>
      </w:r>
      <w:r w:rsidR="006D0F75">
        <w:rPr>
          <w:rStyle w:val="SubtleEmphasis"/>
          <w:rFonts w:ascii="Calibri" w:hAnsi="Calibri"/>
          <w:sz w:val="24"/>
          <w:szCs w:val="24"/>
        </w:rPr>
        <w:t xml:space="preserve">w entrants to the pooled lifetime income product market, </w:t>
      </w:r>
      <w:r w:rsidR="001457DF">
        <w:rPr>
          <w:rStyle w:val="SubtleEmphasis"/>
          <w:rFonts w:ascii="Calibri" w:hAnsi="Calibri"/>
          <w:sz w:val="24"/>
          <w:szCs w:val="24"/>
        </w:rPr>
        <w:t xml:space="preserve">with consequential concerns about competitive offerings being available to superannuation funds.  </w:t>
      </w:r>
      <w:r w:rsidR="006D0F75">
        <w:rPr>
          <w:rStyle w:val="SubtleEmphasis"/>
          <w:rFonts w:ascii="Calibri" w:hAnsi="Calibri"/>
          <w:sz w:val="24"/>
          <w:szCs w:val="24"/>
        </w:rPr>
        <w:t xml:space="preserve">JANA believes the market </w:t>
      </w:r>
      <w:r w:rsidR="001457DF">
        <w:rPr>
          <w:rStyle w:val="SubtleEmphasis"/>
          <w:rFonts w:ascii="Calibri" w:hAnsi="Calibri"/>
          <w:sz w:val="24"/>
          <w:szCs w:val="24"/>
        </w:rPr>
        <w:t xml:space="preserve">will </w:t>
      </w:r>
      <w:r w:rsidR="006D0F75">
        <w:rPr>
          <w:rStyle w:val="SubtleEmphasis"/>
          <w:rFonts w:ascii="Calibri" w:hAnsi="Calibri"/>
          <w:sz w:val="24"/>
          <w:szCs w:val="24"/>
        </w:rPr>
        <w:t xml:space="preserve">need time to evolve </w:t>
      </w:r>
      <w:r w:rsidR="001457DF">
        <w:rPr>
          <w:rStyle w:val="SubtleEmphasis"/>
          <w:rFonts w:ascii="Calibri" w:hAnsi="Calibri"/>
          <w:sz w:val="24"/>
          <w:szCs w:val="24"/>
        </w:rPr>
        <w:t>in</w:t>
      </w:r>
      <w:r w:rsidR="006D0F75">
        <w:rPr>
          <w:rStyle w:val="SubtleEmphasis"/>
          <w:rFonts w:ascii="Calibri" w:hAnsi="Calibri"/>
          <w:sz w:val="24"/>
          <w:szCs w:val="24"/>
        </w:rPr>
        <w:t>to a competitive marketplace</w:t>
      </w:r>
      <w:r w:rsidR="001457DF">
        <w:rPr>
          <w:rStyle w:val="SubtleEmphasis"/>
          <w:rFonts w:ascii="Calibri" w:hAnsi="Calibri"/>
          <w:sz w:val="24"/>
          <w:szCs w:val="24"/>
        </w:rPr>
        <w:t>.  H</w:t>
      </w:r>
      <w:r w:rsidR="006D0F75">
        <w:rPr>
          <w:rStyle w:val="SubtleEmphasis"/>
          <w:rFonts w:ascii="Calibri" w:hAnsi="Calibri"/>
          <w:sz w:val="24"/>
          <w:szCs w:val="24"/>
        </w:rPr>
        <w:t xml:space="preserve">owever, superannuation funds will need to start </w:t>
      </w:r>
      <w:r w:rsidR="00024D8F">
        <w:rPr>
          <w:rStyle w:val="SubtleEmphasis"/>
          <w:rFonts w:ascii="Calibri" w:hAnsi="Calibri"/>
          <w:sz w:val="24"/>
          <w:szCs w:val="24"/>
        </w:rPr>
        <w:t xml:space="preserve">reviewing these products today </w:t>
      </w:r>
      <w:r w:rsidR="006D0F75">
        <w:rPr>
          <w:rStyle w:val="SubtleEmphasis"/>
          <w:rFonts w:ascii="Calibri" w:hAnsi="Calibri"/>
          <w:sz w:val="24"/>
          <w:szCs w:val="24"/>
        </w:rPr>
        <w:t xml:space="preserve">in order to have a </w:t>
      </w:r>
      <w:r w:rsidR="00A15AAB">
        <w:rPr>
          <w:rStyle w:val="SubtleEmphasis"/>
          <w:rFonts w:ascii="Calibri" w:hAnsi="Calibri"/>
          <w:sz w:val="24"/>
          <w:szCs w:val="24"/>
        </w:rPr>
        <w:t xml:space="preserve">CIPR </w:t>
      </w:r>
      <w:r w:rsidR="006D0F75">
        <w:rPr>
          <w:rStyle w:val="SubtleEmphasis"/>
          <w:rFonts w:ascii="Calibri" w:hAnsi="Calibri"/>
          <w:sz w:val="24"/>
          <w:szCs w:val="24"/>
        </w:rPr>
        <w:t xml:space="preserve">available </w:t>
      </w:r>
      <w:r w:rsidR="008D46D9">
        <w:rPr>
          <w:rStyle w:val="SubtleEmphasis"/>
          <w:rFonts w:ascii="Calibri" w:hAnsi="Calibri"/>
          <w:sz w:val="24"/>
          <w:szCs w:val="24"/>
        </w:rPr>
        <w:t>for members</w:t>
      </w:r>
      <w:r w:rsidR="006D0F75">
        <w:rPr>
          <w:rStyle w:val="SubtleEmphasis"/>
          <w:rFonts w:ascii="Calibri" w:hAnsi="Calibri"/>
          <w:sz w:val="24"/>
          <w:szCs w:val="24"/>
        </w:rPr>
        <w:t xml:space="preserve"> on 1 July 2020.</w:t>
      </w:r>
    </w:p>
    <w:p w14:paraId="471CCA93" w14:textId="77777777" w:rsidR="001457DF" w:rsidRDefault="001457DF" w:rsidP="006D0F75">
      <w:pPr>
        <w:rPr>
          <w:rStyle w:val="SubtleEmphasis"/>
          <w:rFonts w:ascii="Calibri" w:hAnsi="Calibri"/>
          <w:sz w:val="24"/>
          <w:szCs w:val="24"/>
        </w:rPr>
      </w:pPr>
    </w:p>
    <w:p w14:paraId="36944424" w14:textId="68B1F17C" w:rsidR="006D0F75" w:rsidRDefault="009C7F36" w:rsidP="006D0F75">
      <w:pPr>
        <w:rPr>
          <w:rStyle w:val="SubtleEmphasis"/>
          <w:rFonts w:ascii="Calibri" w:hAnsi="Calibri"/>
          <w:sz w:val="24"/>
          <w:szCs w:val="24"/>
        </w:rPr>
      </w:pPr>
      <w:r>
        <w:rPr>
          <w:rStyle w:val="SubtleEmphasis"/>
          <w:rFonts w:ascii="Calibri" w:hAnsi="Calibri"/>
          <w:sz w:val="24"/>
          <w:szCs w:val="24"/>
        </w:rPr>
        <w:t>A further consideration</w:t>
      </w:r>
      <w:r w:rsidR="006D0F75">
        <w:rPr>
          <w:rStyle w:val="SubtleEmphasis"/>
          <w:rFonts w:ascii="Calibri" w:hAnsi="Calibri"/>
          <w:sz w:val="24"/>
          <w:szCs w:val="24"/>
        </w:rPr>
        <w:t xml:space="preserve"> as the market evolves is the issue of </w:t>
      </w:r>
      <w:r>
        <w:rPr>
          <w:rStyle w:val="SubtleEmphasis"/>
          <w:rFonts w:ascii="Calibri" w:hAnsi="Calibri"/>
          <w:sz w:val="24"/>
          <w:szCs w:val="24"/>
        </w:rPr>
        <w:t>superannuation</w:t>
      </w:r>
      <w:r w:rsidR="006D0F75">
        <w:rPr>
          <w:rStyle w:val="SubtleEmphasis"/>
          <w:rFonts w:ascii="Calibri" w:hAnsi="Calibri"/>
          <w:sz w:val="24"/>
          <w:szCs w:val="24"/>
        </w:rPr>
        <w:t xml:space="preserve"> fund consolidation, and the </w:t>
      </w:r>
      <w:r>
        <w:rPr>
          <w:rStyle w:val="SubtleEmphasis"/>
          <w:rFonts w:ascii="Calibri" w:hAnsi="Calibri"/>
          <w:sz w:val="24"/>
          <w:szCs w:val="24"/>
        </w:rPr>
        <w:t xml:space="preserve">potential </w:t>
      </w:r>
      <w:r w:rsidR="006D0F75">
        <w:rPr>
          <w:rStyle w:val="SubtleEmphasis"/>
          <w:rFonts w:ascii="Calibri" w:hAnsi="Calibri"/>
          <w:sz w:val="24"/>
          <w:szCs w:val="24"/>
        </w:rPr>
        <w:t xml:space="preserve">legacy issues that having a CIPR </w:t>
      </w:r>
      <w:r>
        <w:rPr>
          <w:rStyle w:val="SubtleEmphasis"/>
          <w:rFonts w:ascii="Calibri" w:hAnsi="Calibri"/>
          <w:sz w:val="24"/>
          <w:szCs w:val="24"/>
        </w:rPr>
        <w:t>could</w:t>
      </w:r>
      <w:r w:rsidR="006D0F75">
        <w:rPr>
          <w:rStyle w:val="SubtleEmphasis"/>
          <w:rFonts w:ascii="Calibri" w:hAnsi="Calibri"/>
          <w:sz w:val="24"/>
          <w:szCs w:val="24"/>
        </w:rPr>
        <w:t xml:space="preserve"> create for funds </w:t>
      </w:r>
      <w:r w:rsidR="00562262">
        <w:rPr>
          <w:rStyle w:val="SubtleEmphasis"/>
          <w:rFonts w:ascii="Calibri" w:hAnsi="Calibri"/>
          <w:sz w:val="24"/>
          <w:szCs w:val="24"/>
        </w:rPr>
        <w:t>that</w:t>
      </w:r>
      <w:r w:rsidR="006D0F75">
        <w:rPr>
          <w:rStyle w:val="SubtleEmphasis"/>
          <w:rFonts w:ascii="Calibri" w:hAnsi="Calibri"/>
          <w:sz w:val="24"/>
          <w:szCs w:val="24"/>
        </w:rPr>
        <w:t xml:space="preserve"> have already offered pooled lifetime income products to their members prior to </w:t>
      </w:r>
      <w:r w:rsidR="008D46D9">
        <w:rPr>
          <w:rStyle w:val="SubtleEmphasis"/>
          <w:rFonts w:ascii="Calibri" w:hAnsi="Calibri"/>
          <w:sz w:val="24"/>
          <w:szCs w:val="24"/>
        </w:rPr>
        <w:t>merging with another fund.</w:t>
      </w:r>
      <w:r w:rsidR="00023918">
        <w:rPr>
          <w:rStyle w:val="SubtleEmphasis"/>
          <w:rFonts w:ascii="Calibri" w:hAnsi="Calibri"/>
          <w:sz w:val="24"/>
          <w:szCs w:val="24"/>
        </w:rPr>
        <w:t xml:space="preserve">  </w:t>
      </w:r>
      <w:r w:rsidR="00D97124">
        <w:rPr>
          <w:rStyle w:val="SubtleEmphasis"/>
          <w:rFonts w:ascii="Calibri" w:hAnsi="Calibri"/>
          <w:sz w:val="24"/>
          <w:szCs w:val="24"/>
        </w:rPr>
        <w:t>We</w:t>
      </w:r>
      <w:r w:rsidR="00023918">
        <w:rPr>
          <w:rStyle w:val="SubtleEmphasis"/>
          <w:rFonts w:ascii="Calibri" w:hAnsi="Calibri"/>
          <w:sz w:val="24"/>
          <w:szCs w:val="24"/>
        </w:rPr>
        <w:t xml:space="preserve"> have seen the unintended complexities of consolidation of various fund schemes (of which CIPRs would be a type) and their attendant long</w:t>
      </w:r>
      <w:r>
        <w:rPr>
          <w:rStyle w:val="SubtleEmphasis"/>
          <w:rFonts w:ascii="Calibri" w:hAnsi="Calibri"/>
          <w:sz w:val="24"/>
          <w:szCs w:val="24"/>
        </w:rPr>
        <w:t>-</w:t>
      </w:r>
      <w:r w:rsidR="00023918">
        <w:rPr>
          <w:rStyle w:val="SubtleEmphasis"/>
          <w:rFonts w:ascii="Calibri" w:hAnsi="Calibri"/>
          <w:sz w:val="24"/>
          <w:szCs w:val="24"/>
        </w:rPr>
        <w:t>term costs to the industry</w:t>
      </w:r>
      <w:r w:rsidR="00643B73">
        <w:rPr>
          <w:rStyle w:val="SubtleEmphasis"/>
          <w:rFonts w:ascii="Calibri" w:hAnsi="Calibri"/>
          <w:sz w:val="24"/>
          <w:szCs w:val="24"/>
        </w:rPr>
        <w:t>.</w:t>
      </w:r>
    </w:p>
    <w:p w14:paraId="7106F1A4" w14:textId="77777777" w:rsidR="00F44E11" w:rsidRPr="00D541DA" w:rsidRDefault="00F44E11" w:rsidP="00D541DA">
      <w:pPr>
        <w:rPr>
          <w:rStyle w:val="SubtleEmphasis"/>
          <w:rFonts w:ascii="Calibri" w:hAnsi="Calibri"/>
          <w:sz w:val="24"/>
          <w:szCs w:val="24"/>
        </w:rPr>
      </w:pPr>
    </w:p>
    <w:p w14:paraId="10FA401F" w14:textId="533261E8" w:rsidR="00182255" w:rsidRDefault="00D541DA" w:rsidP="00E96F59">
      <w:pPr>
        <w:rPr>
          <w:rStyle w:val="SubtleEmphasis"/>
          <w:rFonts w:ascii="Calibri" w:hAnsi="Calibri"/>
          <w:color w:val="auto"/>
          <w:sz w:val="24"/>
          <w:szCs w:val="24"/>
        </w:rPr>
      </w:pPr>
      <w:r w:rsidRPr="00D541DA">
        <w:rPr>
          <w:rStyle w:val="SubtleEmphasis"/>
          <w:rFonts w:ascii="Calibri" w:hAnsi="Calibri"/>
          <w:sz w:val="24"/>
          <w:szCs w:val="24"/>
        </w:rPr>
        <w:t xml:space="preserve">JANA </w:t>
      </w:r>
      <w:r w:rsidR="00152597">
        <w:rPr>
          <w:rStyle w:val="SubtleEmphasis"/>
          <w:rFonts w:ascii="Calibri" w:hAnsi="Calibri"/>
          <w:sz w:val="24"/>
          <w:szCs w:val="24"/>
        </w:rPr>
        <w:t>is grateful for</w:t>
      </w:r>
      <w:r w:rsidRPr="00D541DA">
        <w:rPr>
          <w:rStyle w:val="SubtleEmphasis"/>
          <w:rFonts w:ascii="Calibri" w:hAnsi="Calibri"/>
          <w:sz w:val="24"/>
          <w:szCs w:val="24"/>
        </w:rPr>
        <w:t xml:space="preserve"> the opportunity to contribute to the discussion around the </w:t>
      </w:r>
      <w:r w:rsidRPr="00D541DA">
        <w:rPr>
          <w:rStyle w:val="SubtleEmphasis"/>
          <w:rFonts w:ascii="Calibri" w:hAnsi="Calibri"/>
          <w:color w:val="auto"/>
          <w:sz w:val="24"/>
          <w:szCs w:val="24"/>
        </w:rPr>
        <w:t xml:space="preserve">Retirement Income Covenant Position Paper and welcomes the opportunity for further discussion of this submission with </w:t>
      </w:r>
      <w:r>
        <w:rPr>
          <w:rStyle w:val="SubtleEmphasis"/>
          <w:rFonts w:ascii="Calibri" w:hAnsi="Calibri"/>
          <w:color w:val="auto"/>
          <w:sz w:val="24"/>
          <w:szCs w:val="24"/>
        </w:rPr>
        <w:t xml:space="preserve">the </w:t>
      </w:r>
      <w:r w:rsidRPr="00D541DA">
        <w:rPr>
          <w:rStyle w:val="SubtleEmphasis"/>
          <w:rFonts w:ascii="Calibri" w:hAnsi="Calibri"/>
          <w:color w:val="auto"/>
          <w:sz w:val="24"/>
          <w:szCs w:val="24"/>
        </w:rPr>
        <w:t>Treasury.</w:t>
      </w:r>
    </w:p>
    <w:p w14:paraId="4EE2F1BF" w14:textId="77777777" w:rsidR="00A0212B" w:rsidRDefault="00A0212B" w:rsidP="00E96F59">
      <w:pPr>
        <w:rPr>
          <w:rStyle w:val="SubtleEmphasis"/>
          <w:rFonts w:ascii="Calibri" w:hAnsi="Calibri"/>
          <w:color w:val="auto"/>
          <w:sz w:val="24"/>
          <w:szCs w:val="24"/>
        </w:rPr>
      </w:pPr>
    </w:p>
    <w:p w14:paraId="414161C7" w14:textId="77777777" w:rsidR="00B70723" w:rsidRPr="00562262" w:rsidRDefault="00B70723" w:rsidP="00E96F59">
      <w:pPr>
        <w:rPr>
          <w:rStyle w:val="SubtleEmphasis"/>
          <w:rFonts w:ascii="Calibri" w:hAnsi="Calibri"/>
          <w:color w:val="auto"/>
          <w:sz w:val="24"/>
          <w:szCs w:val="16"/>
        </w:rPr>
      </w:pPr>
    </w:p>
    <w:tbl>
      <w:tblPr>
        <w:tblStyle w:val="TableGrid"/>
        <w:tblW w:w="8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4459"/>
      </w:tblGrid>
      <w:tr w:rsidR="00212D9A" w:rsidRPr="00FF5E37" w14:paraId="4FF43DD3" w14:textId="77777777" w:rsidTr="00B70723">
        <w:trPr>
          <w:trHeight w:val="234"/>
        </w:trPr>
        <w:tc>
          <w:tcPr>
            <w:tcW w:w="4460" w:type="dxa"/>
          </w:tcPr>
          <w:p w14:paraId="2948A003" w14:textId="0BCFA6E5" w:rsidR="00212D9A" w:rsidRPr="007F28E8" w:rsidRDefault="007F28E8" w:rsidP="00212D9A">
            <w:pPr>
              <w:rPr>
                <w:rStyle w:val="apple-style-span"/>
                <w:rFonts w:asciiTheme="minorHAnsi" w:hAnsiTheme="minorHAnsi" w:cstheme="minorHAnsi"/>
                <w:sz w:val="24"/>
                <w:szCs w:val="24"/>
              </w:rPr>
            </w:pPr>
            <w:r w:rsidRPr="007F28E8">
              <w:rPr>
                <w:rStyle w:val="apple-style-span"/>
                <w:rFonts w:asciiTheme="minorHAnsi" w:hAnsiTheme="minorHAnsi" w:cstheme="minorHAnsi"/>
                <w:sz w:val="24"/>
                <w:szCs w:val="24"/>
              </w:rPr>
              <w:t>Danielle Bose</w:t>
            </w:r>
          </w:p>
        </w:tc>
        <w:tc>
          <w:tcPr>
            <w:tcW w:w="4459" w:type="dxa"/>
          </w:tcPr>
          <w:p w14:paraId="622F69A1" w14:textId="2CE1FF3B" w:rsidR="00212D9A" w:rsidRPr="007F28E8" w:rsidRDefault="007F28E8" w:rsidP="00212D9A">
            <w:pPr>
              <w:jc w:val="right"/>
              <w:rPr>
                <w:rStyle w:val="apple-style-span"/>
                <w:rFonts w:asciiTheme="minorHAnsi" w:hAnsiTheme="minorHAnsi" w:cstheme="minorHAnsi"/>
                <w:sz w:val="24"/>
                <w:szCs w:val="24"/>
              </w:rPr>
            </w:pPr>
            <w:r w:rsidRPr="007F28E8">
              <w:rPr>
                <w:rStyle w:val="apple-style-span"/>
                <w:rFonts w:asciiTheme="minorHAnsi" w:hAnsiTheme="minorHAnsi" w:cstheme="minorHAnsi"/>
                <w:sz w:val="24"/>
                <w:szCs w:val="24"/>
              </w:rPr>
              <w:t>Matthew Griffith</w:t>
            </w:r>
          </w:p>
        </w:tc>
      </w:tr>
      <w:tr w:rsidR="00FF5953" w:rsidRPr="00FF5E37" w14:paraId="2923AFA2" w14:textId="77777777" w:rsidTr="00B70723">
        <w:trPr>
          <w:trHeight w:val="234"/>
        </w:trPr>
        <w:tc>
          <w:tcPr>
            <w:tcW w:w="4460" w:type="dxa"/>
          </w:tcPr>
          <w:p w14:paraId="2BECB4E7" w14:textId="77777777" w:rsidR="00FF5953" w:rsidRPr="007F28E8" w:rsidRDefault="00FF5953" w:rsidP="00212D9A">
            <w:pPr>
              <w:rPr>
                <w:rStyle w:val="apple-style-span"/>
                <w:rFonts w:asciiTheme="minorHAnsi" w:hAnsiTheme="minorHAnsi" w:cstheme="minorHAnsi"/>
                <w:sz w:val="24"/>
                <w:szCs w:val="24"/>
              </w:rPr>
            </w:pPr>
          </w:p>
          <w:p w14:paraId="34437EB0" w14:textId="59159472" w:rsidR="00FF5953" w:rsidRPr="007F28E8" w:rsidRDefault="00FF5953" w:rsidP="00212D9A">
            <w:pPr>
              <w:rPr>
                <w:rStyle w:val="apple-style-span"/>
                <w:rFonts w:asciiTheme="minorHAnsi" w:hAnsiTheme="minorHAnsi" w:cstheme="minorHAnsi"/>
                <w:sz w:val="24"/>
                <w:szCs w:val="24"/>
              </w:rPr>
            </w:pPr>
          </w:p>
        </w:tc>
        <w:tc>
          <w:tcPr>
            <w:tcW w:w="4459" w:type="dxa"/>
          </w:tcPr>
          <w:p w14:paraId="1C5FFAC2" w14:textId="77777777" w:rsidR="00FF5953" w:rsidRPr="007F28E8" w:rsidRDefault="00FF5953" w:rsidP="00212D9A">
            <w:pPr>
              <w:jc w:val="right"/>
              <w:rPr>
                <w:rStyle w:val="apple-style-span"/>
                <w:rFonts w:asciiTheme="minorHAnsi" w:hAnsiTheme="minorHAnsi" w:cstheme="minorHAnsi"/>
                <w:sz w:val="24"/>
                <w:szCs w:val="24"/>
              </w:rPr>
            </w:pPr>
          </w:p>
        </w:tc>
      </w:tr>
    </w:tbl>
    <w:p w14:paraId="53BAAD3D" w14:textId="59A11A4E" w:rsidR="00FF5953" w:rsidRPr="00FF5953" w:rsidRDefault="00FF5953" w:rsidP="00FF5953">
      <w:pPr>
        <w:rPr>
          <w:rFonts w:asciiTheme="minorHAnsi" w:eastAsiaTheme="minorHAnsi" w:hAnsiTheme="minorHAnsi" w:cstheme="minorHAnsi"/>
          <w:sz w:val="20"/>
          <w:szCs w:val="20"/>
        </w:rPr>
      </w:pPr>
      <w:r w:rsidRPr="00FF5953">
        <w:rPr>
          <w:rFonts w:asciiTheme="minorHAnsi" w:hAnsiTheme="minorHAnsi" w:cstheme="minorHAnsi"/>
          <w:sz w:val="20"/>
          <w:szCs w:val="20"/>
        </w:rPr>
        <w:t>JANA Investment Advisers Pty Ltd (“JANA”) has prepared this document for use by the Treasury of the Australian Government (“Treasury”). If you are not the Treasury and have received this document, JANA owes you no duty (whether in contract or in tort or under statute or otherwise) in connection with this document. No liability (whether arising in negligence or otherwise) is accepted by JANA or its directors for any error or omission or for any loss caused to any person acting in reliance on the information contained in this material. This document is not intended to convey any guarantee as to the future performance of asset classes, capital markets or investment products discussed. Outcomes may differ from the information presented in this document. This document does not constitute individualised investment advice.  The document takes into account events that have occurred until the date of the document only. Opinions expressed are subject to change in the future without notice.</w:t>
      </w:r>
    </w:p>
    <w:p w14:paraId="67F4968D" w14:textId="78A3B760" w:rsidR="00312B81" w:rsidRDefault="00402E7D" w:rsidP="00B70723">
      <w:pPr>
        <w:spacing w:line="240" w:lineRule="auto"/>
        <w:jc w:val="left"/>
      </w:pPr>
    </w:p>
    <w:p w14:paraId="3BBEE92B" w14:textId="2603E3E0" w:rsidR="00871E35" w:rsidRDefault="00871E35" w:rsidP="00B70723">
      <w:pPr>
        <w:spacing w:line="240" w:lineRule="auto"/>
        <w:jc w:val="left"/>
      </w:pPr>
    </w:p>
    <w:p w14:paraId="78447A5C" w14:textId="77777777" w:rsidR="00871E35" w:rsidRDefault="00871E35">
      <w:pPr>
        <w:spacing w:line="240" w:lineRule="auto"/>
        <w:jc w:val="left"/>
        <w:rPr>
          <w:rFonts w:ascii="Calibri" w:eastAsia="Malgun Gothic" w:hAnsi="Calibri" w:cs="Times New Roman"/>
          <w:b/>
          <w:bCs/>
          <w:sz w:val="24"/>
          <w:szCs w:val="24"/>
        </w:rPr>
      </w:pPr>
      <w:r>
        <w:rPr>
          <w:sz w:val="24"/>
          <w:szCs w:val="24"/>
        </w:rPr>
        <w:br w:type="page"/>
      </w:r>
    </w:p>
    <w:p w14:paraId="6C68E435" w14:textId="6D873D38" w:rsidR="00871E35" w:rsidRPr="00871E35" w:rsidRDefault="00871E35" w:rsidP="00871E35">
      <w:pPr>
        <w:pStyle w:val="Heading1"/>
        <w:numPr>
          <w:ilvl w:val="0"/>
          <w:numId w:val="0"/>
        </w:numPr>
        <w:ind w:left="432" w:hanging="432"/>
        <w:rPr>
          <w:sz w:val="24"/>
          <w:szCs w:val="24"/>
        </w:rPr>
      </w:pPr>
      <w:r w:rsidRPr="00871E35">
        <w:rPr>
          <w:sz w:val="24"/>
          <w:szCs w:val="24"/>
        </w:rPr>
        <w:t>References</w:t>
      </w:r>
    </w:p>
    <w:p w14:paraId="366F4C30" w14:textId="6704F4C9" w:rsidR="00871E35" w:rsidRPr="00871E35" w:rsidRDefault="00871E35" w:rsidP="00871E35">
      <w:pPr>
        <w:spacing w:line="240" w:lineRule="auto"/>
        <w:jc w:val="left"/>
        <w:rPr>
          <w:sz w:val="24"/>
          <w:szCs w:val="24"/>
        </w:rPr>
      </w:pPr>
      <w:r w:rsidRPr="00871E35">
        <w:rPr>
          <w:rStyle w:val="SubtleEmphasis"/>
          <w:rFonts w:ascii="Calibri" w:hAnsi="Calibri"/>
          <w:sz w:val="24"/>
          <w:szCs w:val="24"/>
        </w:rPr>
        <w:t xml:space="preserve">HM Treasury, </w:t>
      </w:r>
      <w:r w:rsidRPr="00871E35">
        <w:rPr>
          <w:rStyle w:val="SubtleEmphasis"/>
          <w:rFonts w:ascii="Calibri" w:hAnsi="Calibri"/>
          <w:i/>
          <w:sz w:val="24"/>
          <w:szCs w:val="24"/>
        </w:rPr>
        <w:t>Freedom and choice in pensions</w:t>
      </w:r>
      <w:r w:rsidRPr="00871E35">
        <w:rPr>
          <w:rStyle w:val="SubtleEmphasis"/>
          <w:rFonts w:ascii="Calibri" w:hAnsi="Calibri"/>
          <w:sz w:val="24"/>
          <w:szCs w:val="24"/>
        </w:rPr>
        <w:t>, United Kingdom</w:t>
      </w:r>
      <w:r w:rsidR="00063F25">
        <w:rPr>
          <w:rStyle w:val="SubtleEmphasis"/>
          <w:rFonts w:ascii="Calibri" w:hAnsi="Calibri"/>
          <w:sz w:val="24"/>
          <w:szCs w:val="24"/>
        </w:rPr>
        <w:t>, March 2014</w:t>
      </w:r>
    </w:p>
    <w:p w14:paraId="1E2617E4" w14:textId="77777777" w:rsidR="00871E35" w:rsidRPr="00871E35" w:rsidRDefault="00871E35" w:rsidP="00871E35">
      <w:pPr>
        <w:pStyle w:val="Default"/>
        <w:rPr>
          <w:rStyle w:val="SubtleEmphasis"/>
          <w:rFonts w:ascii="Calibri" w:hAnsi="Calibri"/>
          <w:sz w:val="24"/>
          <w:szCs w:val="24"/>
        </w:rPr>
      </w:pPr>
    </w:p>
    <w:p w14:paraId="40E14542" w14:textId="0360FC24" w:rsidR="00764D7C" w:rsidRPr="00063F25" w:rsidRDefault="00871E35" w:rsidP="00063F25">
      <w:pPr>
        <w:pStyle w:val="Default"/>
        <w:rPr>
          <w:rFonts w:ascii="Calibri" w:hAnsi="Calibri" w:cs="Arial"/>
          <w:iCs/>
          <w:color w:val="0D0D0D"/>
        </w:rPr>
      </w:pPr>
      <w:r w:rsidRPr="00871E35">
        <w:rPr>
          <w:rStyle w:val="SubtleEmphasis"/>
          <w:rFonts w:ascii="Calibri" w:hAnsi="Calibri"/>
          <w:sz w:val="24"/>
          <w:szCs w:val="24"/>
        </w:rPr>
        <w:t xml:space="preserve">Taleitha O’Meara, Aakansha Sharma, Aaron Bruhn, ‘Australia’s piece of the puzzle – why don’t Australians buy annuities?’, </w:t>
      </w:r>
      <w:r w:rsidRPr="00871E35">
        <w:rPr>
          <w:rStyle w:val="SubtleEmphasis"/>
          <w:rFonts w:ascii="Calibri" w:hAnsi="Calibri"/>
          <w:i/>
          <w:sz w:val="24"/>
          <w:szCs w:val="24"/>
        </w:rPr>
        <w:t>Australian Journal of Actuarial Practice</w:t>
      </w:r>
      <w:r w:rsidRPr="00871E35">
        <w:rPr>
          <w:rStyle w:val="SubtleEmphasis"/>
          <w:rFonts w:ascii="Calibri" w:hAnsi="Calibri"/>
          <w:sz w:val="24"/>
          <w:szCs w:val="24"/>
        </w:rPr>
        <w:t xml:space="preserve">, Volume 3, </w:t>
      </w:r>
      <w:r w:rsidR="00063F25">
        <w:rPr>
          <w:rStyle w:val="SubtleEmphasis"/>
          <w:rFonts w:ascii="Calibri" w:hAnsi="Calibri"/>
          <w:sz w:val="24"/>
          <w:szCs w:val="24"/>
        </w:rPr>
        <w:t xml:space="preserve">2015 </w:t>
      </w:r>
      <w:r w:rsidRPr="00871E35">
        <w:rPr>
          <w:rStyle w:val="SubtleEmphasis"/>
          <w:rFonts w:ascii="Calibri" w:hAnsi="Calibri"/>
          <w:sz w:val="24"/>
          <w:szCs w:val="24"/>
        </w:rPr>
        <w:t>pp 49-55</w:t>
      </w:r>
    </w:p>
    <w:sectPr w:rsidR="00764D7C" w:rsidRPr="00063F25" w:rsidSect="00312B81">
      <w:headerReference w:type="default" r:id="rId15"/>
      <w:footerReference w:type="default" r:id="rId16"/>
      <w:headerReference w:type="first" r:id="rId17"/>
      <w:footerReference w:type="first" r:id="rId18"/>
      <w:pgSz w:w="11899"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DE7B3" w14:textId="77777777" w:rsidR="00401232" w:rsidRDefault="00401232" w:rsidP="00E96F59">
      <w:r>
        <w:separator/>
      </w:r>
    </w:p>
    <w:p w14:paraId="29BE91CD" w14:textId="77777777" w:rsidR="00401232" w:rsidRDefault="00401232" w:rsidP="00E96F59"/>
  </w:endnote>
  <w:endnote w:type="continuationSeparator" w:id="0">
    <w:p w14:paraId="12F32F0A" w14:textId="77777777" w:rsidR="00401232" w:rsidRDefault="00401232" w:rsidP="00E96F59">
      <w:r>
        <w:continuationSeparator/>
      </w:r>
    </w:p>
    <w:p w14:paraId="16604284" w14:textId="77777777" w:rsidR="00401232" w:rsidRDefault="00401232" w:rsidP="00E96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ttoOT-Blac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6EABA" w14:textId="77777777" w:rsidR="002728F4" w:rsidRPr="00312B81" w:rsidRDefault="00EB0000" w:rsidP="00E96F59">
    <w:pPr>
      <w:pStyle w:val="Footer"/>
      <w:tabs>
        <w:tab w:val="clear" w:pos="9026"/>
        <w:tab w:val="right" w:pos="8789"/>
      </w:tabs>
      <w:ind w:right="95"/>
      <w:jc w:val="right"/>
      <w:rPr>
        <w:rFonts w:ascii="Calibri" w:hAnsi="Calibri"/>
        <w:sz w:val="20"/>
        <w:szCs w:val="20"/>
      </w:rPr>
    </w:pPr>
    <w:r>
      <w:fldChar w:fldCharType="begin"/>
    </w:r>
    <w:r>
      <w:instrText xml:space="preserve"> PAGE   \* MERGEFORMAT </w:instrText>
    </w:r>
    <w:r>
      <w:fldChar w:fldCharType="separate"/>
    </w:r>
    <w:r w:rsidR="003520D2" w:rsidRPr="003520D2">
      <w:rPr>
        <w:rFonts w:ascii="Calibri" w:hAnsi="Calibri"/>
        <w:noProof/>
        <w:sz w:val="20"/>
        <w:szCs w:val="20"/>
      </w:rPr>
      <w:t>2</w:t>
    </w:r>
    <w:r>
      <w:rPr>
        <w:rFonts w:ascii="Calibri" w:hAnsi="Calibri"/>
        <w:noProof/>
        <w:sz w:val="20"/>
        <w:szCs w:val="20"/>
      </w:rPr>
      <w:fldChar w:fldCharType="end"/>
    </w:r>
  </w:p>
  <w:p w14:paraId="5657D5A2" w14:textId="77777777" w:rsidR="002728F4" w:rsidRDefault="00486DB9" w:rsidP="002D7E12">
    <w:pPr>
      <w:pStyle w:val="Footer"/>
    </w:pPr>
    <w:r w:rsidRPr="00E01ABD">
      <w:rPr>
        <w:noProof/>
        <w:lang w:eastAsia="en-AU"/>
      </w:rPr>
      <w:drawing>
        <wp:inline distT="0" distB="0" distL="0" distR="0" wp14:anchorId="1175C64A" wp14:editId="6E44CED6">
          <wp:extent cx="5695950" cy="380949"/>
          <wp:effectExtent l="19050" t="0" r="0" b="0"/>
          <wp:docPr id="5" name="Picture 0" descr="Jana_Foo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na_Footer2.jpg"/>
                  <pic:cNvPicPr>
                    <a:picLocks noChangeAspect="1" noChangeArrowheads="1"/>
                  </pic:cNvPicPr>
                </pic:nvPicPr>
                <pic:blipFill>
                  <a:blip r:embed="rId1"/>
                  <a:stretch>
                    <a:fillRect/>
                  </a:stretch>
                </pic:blipFill>
                <pic:spPr bwMode="auto">
                  <a:xfrm>
                    <a:off x="0" y="0"/>
                    <a:ext cx="5695950" cy="380949"/>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2B9B7" w14:textId="77777777" w:rsidR="00312B81" w:rsidRDefault="00FB09BF">
    <w:pPr>
      <w:pStyle w:val="Footer"/>
    </w:pPr>
    <w:r w:rsidRPr="003376FC">
      <w:rPr>
        <w:noProof/>
        <w:lang w:eastAsia="en-AU"/>
      </w:rPr>
      <w:drawing>
        <wp:inline distT="0" distB="0" distL="0" distR="0" wp14:anchorId="4ED471F8" wp14:editId="47250C49">
          <wp:extent cx="5727065" cy="1112125"/>
          <wp:effectExtent l="0" t="0" r="0" b="0"/>
          <wp:docPr id="4" name="Picture 4" descr="C:\Users\Leesa\Desktop\Letterhead_Jan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esa\Desktop\Letterhead_Jan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065" cy="11121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442D7" w14:textId="77777777" w:rsidR="00401232" w:rsidRDefault="00401232" w:rsidP="00E96F59">
      <w:r>
        <w:separator/>
      </w:r>
    </w:p>
    <w:p w14:paraId="2B150B6C" w14:textId="77777777" w:rsidR="00401232" w:rsidRDefault="00401232" w:rsidP="00E96F59"/>
  </w:footnote>
  <w:footnote w:type="continuationSeparator" w:id="0">
    <w:p w14:paraId="52CDB2A5" w14:textId="77777777" w:rsidR="00401232" w:rsidRDefault="00401232" w:rsidP="00E96F59">
      <w:r>
        <w:continuationSeparator/>
      </w:r>
    </w:p>
    <w:p w14:paraId="384B55E8" w14:textId="77777777" w:rsidR="00401232" w:rsidRDefault="00401232" w:rsidP="00E96F59"/>
  </w:footnote>
  <w:footnote w:id="1">
    <w:p w14:paraId="5C496595" w14:textId="65FF7590" w:rsidR="007D788E" w:rsidRPr="00982C54" w:rsidRDefault="007D788E" w:rsidP="00982C54">
      <w:pPr>
        <w:pStyle w:val="Default"/>
        <w:rPr>
          <w:rFonts w:ascii="Calibri" w:hAnsi="Calibri" w:cs="Arial"/>
          <w:iCs/>
          <w:color w:val="0D0D0D"/>
        </w:rPr>
      </w:pPr>
      <w:r>
        <w:rPr>
          <w:rStyle w:val="FootnoteReference"/>
        </w:rPr>
        <w:footnoteRef/>
      </w:r>
      <w:r>
        <w:t xml:space="preserve"> </w:t>
      </w:r>
      <w:r w:rsidR="006E6BAC">
        <w:rPr>
          <w:rStyle w:val="SubtleEmphasis"/>
          <w:rFonts w:ascii="Calibri" w:hAnsi="Calibri"/>
          <w:sz w:val="18"/>
          <w:szCs w:val="18"/>
        </w:rPr>
        <w:t>Taleitha O’Meara, Aakansha Sharma, Aaron Bruhn,</w:t>
      </w:r>
      <w:r w:rsidR="00193313">
        <w:rPr>
          <w:rStyle w:val="SubtleEmphasis"/>
          <w:rFonts w:ascii="Calibri" w:hAnsi="Calibri"/>
          <w:sz w:val="18"/>
          <w:szCs w:val="18"/>
        </w:rPr>
        <w:t xml:space="preserve"> ‘</w:t>
      </w:r>
      <w:r w:rsidR="00193313" w:rsidRPr="006E6BAC">
        <w:rPr>
          <w:rStyle w:val="SubtleEmphasis"/>
          <w:rFonts w:ascii="Calibri" w:hAnsi="Calibri"/>
          <w:sz w:val="18"/>
          <w:szCs w:val="18"/>
        </w:rPr>
        <w:t>Australia’s piece of the puzzle – why don’t Australians buy annuities?</w:t>
      </w:r>
      <w:r w:rsidR="00193313">
        <w:rPr>
          <w:rStyle w:val="SubtleEmphasis"/>
          <w:rFonts w:ascii="Calibri" w:hAnsi="Calibri"/>
          <w:sz w:val="18"/>
          <w:szCs w:val="18"/>
        </w:rPr>
        <w:t xml:space="preserve">’, </w:t>
      </w:r>
      <w:r w:rsidRPr="00193313">
        <w:rPr>
          <w:rStyle w:val="SubtleEmphasis"/>
          <w:rFonts w:ascii="Calibri" w:hAnsi="Calibri"/>
          <w:i/>
          <w:sz w:val="18"/>
          <w:szCs w:val="18"/>
        </w:rPr>
        <w:t>Australian Journal of Actuarial Practice</w:t>
      </w:r>
      <w:r w:rsidR="00193313">
        <w:rPr>
          <w:rStyle w:val="SubtleEmphasis"/>
          <w:rFonts w:ascii="Calibri" w:hAnsi="Calibri"/>
          <w:sz w:val="18"/>
          <w:szCs w:val="18"/>
        </w:rPr>
        <w:t xml:space="preserve">, </w:t>
      </w:r>
      <w:r w:rsidRPr="006E6BAC">
        <w:rPr>
          <w:rStyle w:val="SubtleEmphasis"/>
          <w:rFonts w:ascii="Calibri" w:hAnsi="Calibri"/>
          <w:sz w:val="18"/>
          <w:szCs w:val="18"/>
        </w:rPr>
        <w:t xml:space="preserve">Volume 3, </w:t>
      </w:r>
      <w:r w:rsidR="00764D7C">
        <w:rPr>
          <w:rStyle w:val="SubtleEmphasis"/>
          <w:rFonts w:ascii="Calibri" w:hAnsi="Calibri"/>
          <w:sz w:val="18"/>
          <w:szCs w:val="18"/>
        </w:rPr>
        <w:t xml:space="preserve">2015, </w:t>
      </w:r>
      <w:r w:rsidR="00193313">
        <w:rPr>
          <w:rStyle w:val="SubtleEmphasis"/>
          <w:rFonts w:ascii="Calibri" w:hAnsi="Calibri"/>
          <w:sz w:val="18"/>
          <w:szCs w:val="18"/>
        </w:rPr>
        <w:t>pp 49-55</w:t>
      </w:r>
    </w:p>
  </w:footnote>
  <w:footnote w:id="2">
    <w:p w14:paraId="03AFD9C9" w14:textId="77E45AB1" w:rsidR="00982C54" w:rsidRPr="00982C54" w:rsidRDefault="00982C54">
      <w:pPr>
        <w:pStyle w:val="FootnoteText"/>
        <w:rPr>
          <w:lang w:val="en-US"/>
        </w:rPr>
      </w:pPr>
      <w:r>
        <w:rPr>
          <w:rStyle w:val="FootnoteReference"/>
        </w:rPr>
        <w:footnoteRef/>
      </w:r>
      <w:r>
        <w:t xml:space="preserve"> </w:t>
      </w:r>
      <w:r w:rsidRPr="00982C54">
        <w:rPr>
          <w:rStyle w:val="SubtleEmphasis"/>
          <w:rFonts w:ascii="Calibri" w:eastAsia="Malgun Gothic" w:hAnsi="Calibri"/>
          <w:sz w:val="18"/>
          <w:szCs w:val="18"/>
        </w:rPr>
        <w:t>As above.</w:t>
      </w:r>
    </w:p>
  </w:footnote>
  <w:footnote w:id="3">
    <w:p w14:paraId="78FC9145" w14:textId="12D077CC" w:rsidR="001F57B6" w:rsidRPr="001F57B6" w:rsidRDefault="001F57B6" w:rsidP="001F57B6">
      <w:pPr>
        <w:pStyle w:val="FootnoteText"/>
        <w:rPr>
          <w:lang w:val="en-US"/>
        </w:rPr>
      </w:pPr>
      <w:r>
        <w:rPr>
          <w:rStyle w:val="FootnoteReference"/>
        </w:rPr>
        <w:footnoteRef/>
      </w:r>
      <w:r>
        <w:t xml:space="preserve"> </w:t>
      </w:r>
      <w:r>
        <w:rPr>
          <w:rStyle w:val="SubtleEmphasis"/>
          <w:rFonts w:ascii="Calibri" w:hAnsi="Calibri"/>
          <w:sz w:val="18"/>
          <w:szCs w:val="18"/>
        </w:rPr>
        <w:t>HM Treasury</w:t>
      </w:r>
      <w:r w:rsidR="00193313">
        <w:rPr>
          <w:rStyle w:val="SubtleEmphasis"/>
          <w:rFonts w:ascii="Calibri" w:hAnsi="Calibri"/>
          <w:sz w:val="18"/>
          <w:szCs w:val="18"/>
        </w:rPr>
        <w:t xml:space="preserve">, </w:t>
      </w:r>
      <w:r w:rsidRPr="00193313">
        <w:rPr>
          <w:rStyle w:val="SubtleEmphasis"/>
          <w:rFonts w:ascii="Calibri" w:hAnsi="Calibri"/>
          <w:i/>
          <w:sz w:val="18"/>
          <w:szCs w:val="18"/>
        </w:rPr>
        <w:t>Freedom and choice in pensions</w:t>
      </w:r>
      <w:r>
        <w:rPr>
          <w:rStyle w:val="SubtleEmphasis"/>
          <w:rFonts w:ascii="Calibri" w:hAnsi="Calibri"/>
          <w:sz w:val="18"/>
          <w:szCs w:val="18"/>
        </w:rPr>
        <w:t xml:space="preserve">, </w:t>
      </w:r>
      <w:r w:rsidR="009F61E4">
        <w:rPr>
          <w:rStyle w:val="SubtleEmphasis"/>
          <w:rFonts w:ascii="Calibri" w:hAnsi="Calibri"/>
          <w:sz w:val="18"/>
          <w:szCs w:val="18"/>
        </w:rPr>
        <w:t>United Kingdom</w:t>
      </w:r>
      <w:r w:rsidR="00764D7C">
        <w:rPr>
          <w:rStyle w:val="SubtleEmphasis"/>
          <w:rFonts w:ascii="Calibri" w:hAnsi="Calibri"/>
          <w:sz w:val="18"/>
          <w:szCs w:val="18"/>
        </w:rPr>
        <w:t>, March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54EEF" w14:textId="0CA4BFFC" w:rsidR="00312B81" w:rsidRPr="000F7210" w:rsidRDefault="00B56A4D" w:rsidP="00E96F59">
    <w:pPr>
      <w:pStyle w:val="HeaderStyle"/>
      <w:rPr>
        <w:rFonts w:asciiTheme="minorHAnsi" w:hAnsiTheme="minorHAnsi" w:cstheme="minorHAnsi"/>
      </w:rPr>
    </w:pPr>
    <w:r>
      <w:rPr>
        <w:rFonts w:asciiTheme="minorHAnsi" w:hAnsiTheme="minorHAnsi" w:cstheme="minorHAnsi"/>
      </w:rPr>
      <w:t>J</w:t>
    </w:r>
    <w:r w:rsidR="000F7210" w:rsidRPr="000F7210">
      <w:rPr>
        <w:rFonts w:asciiTheme="minorHAnsi" w:hAnsiTheme="minorHAnsi" w:cstheme="minorHAnsi"/>
      </w:rPr>
      <w:t>ANA</w:t>
    </w:r>
  </w:p>
  <w:p w14:paraId="1BE20BAE" w14:textId="5983CF7E" w:rsidR="000F7210" w:rsidRPr="000F7210" w:rsidRDefault="000F7210" w:rsidP="00E96F59">
    <w:pPr>
      <w:pStyle w:val="HeaderStyle"/>
      <w:rPr>
        <w:rFonts w:asciiTheme="minorHAnsi" w:hAnsiTheme="minorHAnsi" w:cstheme="minorHAnsi"/>
      </w:rPr>
    </w:pPr>
    <w:r w:rsidRPr="000F7210">
      <w:rPr>
        <w:rFonts w:asciiTheme="minorHAnsi" w:hAnsiTheme="minorHAnsi" w:cstheme="minorHAnsi"/>
        <w:iCs/>
      </w:rPr>
      <w:t>Consultation Submission - Retirement Income Covenant Position Paper</w:t>
    </w:r>
  </w:p>
  <w:p w14:paraId="38096247" w14:textId="69902235" w:rsidR="00312B81" w:rsidRDefault="000F7210" w:rsidP="00A0212B">
    <w:pPr>
      <w:pStyle w:val="HeaderStyle"/>
      <w:rPr>
        <w:rFonts w:asciiTheme="minorHAnsi" w:hAnsiTheme="minorHAnsi" w:cstheme="minorHAnsi"/>
      </w:rPr>
    </w:pPr>
    <w:r w:rsidRPr="000F7210">
      <w:rPr>
        <w:rFonts w:asciiTheme="minorHAnsi" w:hAnsiTheme="minorHAnsi" w:cstheme="minorHAnsi"/>
      </w:rPr>
      <w:t>June 2018</w:t>
    </w:r>
  </w:p>
  <w:p w14:paraId="597D3653" w14:textId="77777777" w:rsidR="00910F7C" w:rsidRPr="00A0212B" w:rsidRDefault="00910F7C" w:rsidP="00A0212B">
    <w:pPr>
      <w:pStyle w:val="HeaderStyle"/>
      <w:rPr>
        <w:rFonts w:asciiTheme="minorHAnsi" w:hAnsiTheme="minorHAnsi" w:cstheme="min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1DCEC" w14:textId="77777777" w:rsidR="00312B81" w:rsidRDefault="00486DB9" w:rsidP="00312B81">
    <w:pPr>
      <w:pStyle w:val="HeaderStyle"/>
    </w:pPr>
    <w:r>
      <w:tab/>
    </w:r>
    <w:r>
      <w:tab/>
    </w:r>
  </w:p>
  <w:p w14:paraId="6474FD83" w14:textId="77777777" w:rsidR="00312B81" w:rsidRDefault="00AF65A5" w:rsidP="00AF65A5">
    <w:pPr>
      <w:pStyle w:val="HeaderStyle"/>
      <w:jc w:val="left"/>
    </w:pPr>
    <w:r w:rsidRPr="00D22D87">
      <w:rPr>
        <w:noProof/>
        <w:lang w:eastAsia="en-AU"/>
      </w:rPr>
      <w:drawing>
        <wp:inline distT="0" distB="0" distL="0" distR="0" wp14:anchorId="60BFCC4B" wp14:editId="390D5075">
          <wp:extent cx="1689100" cy="565150"/>
          <wp:effectExtent l="0" t="0" r="0" b="0"/>
          <wp:docPr id="2" name="Picture 2" descr="C:\Users\georgina\AppData\Local\Microsoft\Windows\Temporary Internet Files\Content.Word\JANA-Logo_2014-M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orgina\AppData\Local\Microsoft\Windows\Temporary Internet Files\Content.Word\JANA-Logo_2014-MA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565150"/>
                  </a:xfrm>
                  <a:prstGeom prst="rect">
                    <a:avLst/>
                  </a:prstGeom>
                  <a:noFill/>
                  <a:ln>
                    <a:noFill/>
                  </a:ln>
                </pic:spPr>
              </pic:pic>
            </a:graphicData>
          </a:graphic>
        </wp:inline>
      </w:drawing>
    </w:r>
    <w:r w:rsidR="00486DB9">
      <w:tab/>
    </w:r>
  </w:p>
  <w:p w14:paraId="772E68C3" w14:textId="77777777" w:rsidR="002110E4" w:rsidRDefault="002110E4" w:rsidP="00312B81">
    <w:pPr>
      <w:pStyle w:val="HeaderSty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208DA"/>
    <w:multiLevelType w:val="hybridMultilevel"/>
    <w:tmpl w:val="59FC76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40D4EA5"/>
    <w:multiLevelType w:val="hybridMultilevel"/>
    <w:tmpl w:val="88A23E7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7A655C6"/>
    <w:multiLevelType w:val="hybridMultilevel"/>
    <w:tmpl w:val="BF022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8836109"/>
    <w:multiLevelType w:val="hybridMultilevel"/>
    <w:tmpl w:val="B8923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6E634CB"/>
    <w:multiLevelType w:val="hybridMultilevel"/>
    <w:tmpl w:val="66DED5F2"/>
    <w:lvl w:ilvl="0" w:tplc="95CE8972">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BC92EC1"/>
    <w:multiLevelType w:val="hybridMultilevel"/>
    <w:tmpl w:val="BF022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E7E0C58"/>
    <w:multiLevelType w:val="multilevel"/>
    <w:tmpl w:val="00D2AF04"/>
    <w:lvl w:ilvl="0">
      <w:start w:val="1"/>
      <w:numFmt w:val="decimal"/>
      <w:lvlText w:val="%1."/>
      <w:lvlJc w:val="left"/>
      <w:pPr>
        <w:ind w:left="360" w:hanging="360"/>
      </w:pPr>
    </w:lvl>
    <w:lvl w:ilvl="1">
      <w:start w:val="1"/>
      <w:numFmt w:val="decimal"/>
      <w:pStyle w:val="Titl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862008A"/>
    <w:multiLevelType w:val="multilevel"/>
    <w:tmpl w:val="1B8E5B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6CD87501"/>
    <w:multiLevelType w:val="multilevel"/>
    <w:tmpl w:val="A7248F30"/>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nsid w:val="75615FDB"/>
    <w:multiLevelType w:val="hybridMultilevel"/>
    <w:tmpl w:val="D504A7C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3"/>
  </w:num>
  <w:num w:numId="5">
    <w:abstractNumId w:val="4"/>
  </w:num>
  <w:num w:numId="6">
    <w:abstractNumId w:val="5"/>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3D296B"/>
    <w:rsid w:val="00007A37"/>
    <w:rsid w:val="0002064E"/>
    <w:rsid w:val="00023918"/>
    <w:rsid w:val="00024D8F"/>
    <w:rsid w:val="00030629"/>
    <w:rsid w:val="0003210D"/>
    <w:rsid w:val="00037C20"/>
    <w:rsid w:val="00044090"/>
    <w:rsid w:val="00060E03"/>
    <w:rsid w:val="00062625"/>
    <w:rsid w:val="00063F25"/>
    <w:rsid w:val="00064722"/>
    <w:rsid w:val="00065DB6"/>
    <w:rsid w:val="00071058"/>
    <w:rsid w:val="0009107B"/>
    <w:rsid w:val="000969EA"/>
    <w:rsid w:val="00096B43"/>
    <w:rsid w:val="000A7C44"/>
    <w:rsid w:val="000B20E1"/>
    <w:rsid w:val="000B5814"/>
    <w:rsid w:val="000D6B03"/>
    <w:rsid w:val="000E5DD2"/>
    <w:rsid w:val="000F5143"/>
    <w:rsid w:val="000F51BA"/>
    <w:rsid w:val="000F69BA"/>
    <w:rsid w:val="000F7210"/>
    <w:rsid w:val="001048FB"/>
    <w:rsid w:val="00110D96"/>
    <w:rsid w:val="00125F28"/>
    <w:rsid w:val="001302B2"/>
    <w:rsid w:val="001314F8"/>
    <w:rsid w:val="00131A30"/>
    <w:rsid w:val="00135BDF"/>
    <w:rsid w:val="00144DF3"/>
    <w:rsid w:val="00145523"/>
    <w:rsid w:val="001457DF"/>
    <w:rsid w:val="00152597"/>
    <w:rsid w:val="0016074E"/>
    <w:rsid w:val="00170944"/>
    <w:rsid w:val="00180C43"/>
    <w:rsid w:val="00182255"/>
    <w:rsid w:val="00184299"/>
    <w:rsid w:val="00193313"/>
    <w:rsid w:val="001968D5"/>
    <w:rsid w:val="001A30AC"/>
    <w:rsid w:val="001A3FC7"/>
    <w:rsid w:val="001A4B8A"/>
    <w:rsid w:val="001A6BFB"/>
    <w:rsid w:val="001A77AC"/>
    <w:rsid w:val="001B53CF"/>
    <w:rsid w:val="001E0830"/>
    <w:rsid w:val="001E1684"/>
    <w:rsid w:val="001E4946"/>
    <w:rsid w:val="001F072A"/>
    <w:rsid w:val="001F41A7"/>
    <w:rsid w:val="001F57B6"/>
    <w:rsid w:val="00204EF1"/>
    <w:rsid w:val="002110E4"/>
    <w:rsid w:val="0021136F"/>
    <w:rsid w:val="00211C51"/>
    <w:rsid w:val="00212FF1"/>
    <w:rsid w:val="00235E55"/>
    <w:rsid w:val="00242872"/>
    <w:rsid w:val="00247503"/>
    <w:rsid w:val="00247B2F"/>
    <w:rsid w:val="002507D3"/>
    <w:rsid w:val="00271F84"/>
    <w:rsid w:val="002759FA"/>
    <w:rsid w:val="00276DF0"/>
    <w:rsid w:val="00282DB2"/>
    <w:rsid w:val="0029311C"/>
    <w:rsid w:val="00293A9D"/>
    <w:rsid w:val="00295080"/>
    <w:rsid w:val="002A413A"/>
    <w:rsid w:val="002B0432"/>
    <w:rsid w:val="002B17E4"/>
    <w:rsid w:val="002B1832"/>
    <w:rsid w:val="002B44CA"/>
    <w:rsid w:val="002B7FCE"/>
    <w:rsid w:val="002C64D3"/>
    <w:rsid w:val="002C74E5"/>
    <w:rsid w:val="002E18CE"/>
    <w:rsid w:val="002F6DA9"/>
    <w:rsid w:val="003072F1"/>
    <w:rsid w:val="00331F48"/>
    <w:rsid w:val="0034239A"/>
    <w:rsid w:val="00343387"/>
    <w:rsid w:val="003520D2"/>
    <w:rsid w:val="00352E82"/>
    <w:rsid w:val="00370F2D"/>
    <w:rsid w:val="003749FD"/>
    <w:rsid w:val="003766CE"/>
    <w:rsid w:val="003A0FCA"/>
    <w:rsid w:val="003A1077"/>
    <w:rsid w:val="003A439D"/>
    <w:rsid w:val="003D296B"/>
    <w:rsid w:val="003D33DC"/>
    <w:rsid w:val="00401232"/>
    <w:rsid w:val="0040182C"/>
    <w:rsid w:val="00402E7D"/>
    <w:rsid w:val="00404B04"/>
    <w:rsid w:val="00410A25"/>
    <w:rsid w:val="0041302F"/>
    <w:rsid w:val="00430C11"/>
    <w:rsid w:val="00435BB0"/>
    <w:rsid w:val="004413EE"/>
    <w:rsid w:val="00446C2A"/>
    <w:rsid w:val="00460CE9"/>
    <w:rsid w:val="00475BA2"/>
    <w:rsid w:val="00482E16"/>
    <w:rsid w:val="004848AF"/>
    <w:rsid w:val="00486DB9"/>
    <w:rsid w:val="0049612B"/>
    <w:rsid w:val="00496328"/>
    <w:rsid w:val="004A3B6B"/>
    <w:rsid w:val="004A5209"/>
    <w:rsid w:val="004C0776"/>
    <w:rsid w:val="004C68C8"/>
    <w:rsid w:val="004C74A7"/>
    <w:rsid w:val="004C7E95"/>
    <w:rsid w:val="004D2E81"/>
    <w:rsid w:val="004E0C7D"/>
    <w:rsid w:val="004F7822"/>
    <w:rsid w:val="005050C1"/>
    <w:rsid w:val="005151F3"/>
    <w:rsid w:val="00522D3B"/>
    <w:rsid w:val="005278F0"/>
    <w:rsid w:val="00527F1A"/>
    <w:rsid w:val="00535F86"/>
    <w:rsid w:val="00537F0D"/>
    <w:rsid w:val="00552F3C"/>
    <w:rsid w:val="00562262"/>
    <w:rsid w:val="00567F57"/>
    <w:rsid w:val="005725CA"/>
    <w:rsid w:val="00576ED9"/>
    <w:rsid w:val="0058618E"/>
    <w:rsid w:val="00591C0C"/>
    <w:rsid w:val="00595136"/>
    <w:rsid w:val="005A26FF"/>
    <w:rsid w:val="005B5110"/>
    <w:rsid w:val="005B6110"/>
    <w:rsid w:val="005C5CB4"/>
    <w:rsid w:val="005C7F8F"/>
    <w:rsid w:val="005E0C76"/>
    <w:rsid w:val="005E3870"/>
    <w:rsid w:val="005E7386"/>
    <w:rsid w:val="005F30D4"/>
    <w:rsid w:val="005F51B7"/>
    <w:rsid w:val="005F7AD2"/>
    <w:rsid w:val="00602481"/>
    <w:rsid w:val="00610560"/>
    <w:rsid w:val="0061651F"/>
    <w:rsid w:val="00630BAC"/>
    <w:rsid w:val="006338D8"/>
    <w:rsid w:val="00643B73"/>
    <w:rsid w:val="00647597"/>
    <w:rsid w:val="0065310F"/>
    <w:rsid w:val="00657605"/>
    <w:rsid w:val="00661EE8"/>
    <w:rsid w:val="006649D5"/>
    <w:rsid w:val="00673CB6"/>
    <w:rsid w:val="00676068"/>
    <w:rsid w:val="0068174A"/>
    <w:rsid w:val="00685893"/>
    <w:rsid w:val="006864B1"/>
    <w:rsid w:val="006A55C5"/>
    <w:rsid w:val="006B4EA7"/>
    <w:rsid w:val="006C58F7"/>
    <w:rsid w:val="006D0F75"/>
    <w:rsid w:val="006E0BB9"/>
    <w:rsid w:val="006E6BAC"/>
    <w:rsid w:val="006F3C84"/>
    <w:rsid w:val="006F6F74"/>
    <w:rsid w:val="00704FF5"/>
    <w:rsid w:val="00706C4A"/>
    <w:rsid w:val="00714390"/>
    <w:rsid w:val="0071544A"/>
    <w:rsid w:val="00730503"/>
    <w:rsid w:val="00760793"/>
    <w:rsid w:val="00764D7C"/>
    <w:rsid w:val="00774CED"/>
    <w:rsid w:val="00784907"/>
    <w:rsid w:val="00793C6C"/>
    <w:rsid w:val="007B0B9C"/>
    <w:rsid w:val="007D68C5"/>
    <w:rsid w:val="007D788E"/>
    <w:rsid w:val="007E05C2"/>
    <w:rsid w:val="007E4856"/>
    <w:rsid w:val="007F28E8"/>
    <w:rsid w:val="00802DB5"/>
    <w:rsid w:val="00804D69"/>
    <w:rsid w:val="008169C3"/>
    <w:rsid w:val="0082111B"/>
    <w:rsid w:val="0083197D"/>
    <w:rsid w:val="00832822"/>
    <w:rsid w:val="00846277"/>
    <w:rsid w:val="00857498"/>
    <w:rsid w:val="00860213"/>
    <w:rsid w:val="00864856"/>
    <w:rsid w:val="00865569"/>
    <w:rsid w:val="00871E35"/>
    <w:rsid w:val="00882C13"/>
    <w:rsid w:val="00882EF7"/>
    <w:rsid w:val="00887AAC"/>
    <w:rsid w:val="008903E1"/>
    <w:rsid w:val="00890C76"/>
    <w:rsid w:val="008A1697"/>
    <w:rsid w:val="008A21DA"/>
    <w:rsid w:val="008A361D"/>
    <w:rsid w:val="008A6A51"/>
    <w:rsid w:val="008B3649"/>
    <w:rsid w:val="008C5D03"/>
    <w:rsid w:val="008D3191"/>
    <w:rsid w:val="008D46D9"/>
    <w:rsid w:val="008D5574"/>
    <w:rsid w:val="008E3026"/>
    <w:rsid w:val="008E3051"/>
    <w:rsid w:val="008F57E9"/>
    <w:rsid w:val="00910F7C"/>
    <w:rsid w:val="00915D7C"/>
    <w:rsid w:val="00916014"/>
    <w:rsid w:val="00920247"/>
    <w:rsid w:val="00920DC7"/>
    <w:rsid w:val="00926A3B"/>
    <w:rsid w:val="00942E16"/>
    <w:rsid w:val="00943184"/>
    <w:rsid w:val="00961531"/>
    <w:rsid w:val="00963287"/>
    <w:rsid w:val="0096463F"/>
    <w:rsid w:val="009669B2"/>
    <w:rsid w:val="0098290A"/>
    <w:rsid w:val="00982C54"/>
    <w:rsid w:val="00987436"/>
    <w:rsid w:val="009C3BE4"/>
    <w:rsid w:val="009C7F36"/>
    <w:rsid w:val="009D42E1"/>
    <w:rsid w:val="009E42A1"/>
    <w:rsid w:val="009E472A"/>
    <w:rsid w:val="009F61E4"/>
    <w:rsid w:val="00A0212B"/>
    <w:rsid w:val="00A11C2C"/>
    <w:rsid w:val="00A15AAB"/>
    <w:rsid w:val="00A223BA"/>
    <w:rsid w:val="00A24FE4"/>
    <w:rsid w:val="00A324B1"/>
    <w:rsid w:val="00A469E2"/>
    <w:rsid w:val="00A50D9B"/>
    <w:rsid w:val="00A55981"/>
    <w:rsid w:val="00A6286F"/>
    <w:rsid w:val="00A651D6"/>
    <w:rsid w:val="00A816D5"/>
    <w:rsid w:val="00A93CCE"/>
    <w:rsid w:val="00A953A9"/>
    <w:rsid w:val="00A96E1F"/>
    <w:rsid w:val="00A979FA"/>
    <w:rsid w:val="00AA5395"/>
    <w:rsid w:val="00AA6EFC"/>
    <w:rsid w:val="00AB50A0"/>
    <w:rsid w:val="00AC5DC7"/>
    <w:rsid w:val="00AD0AF5"/>
    <w:rsid w:val="00AD699A"/>
    <w:rsid w:val="00AD7E02"/>
    <w:rsid w:val="00AF06AE"/>
    <w:rsid w:val="00AF1D36"/>
    <w:rsid w:val="00AF58B1"/>
    <w:rsid w:val="00AF65A5"/>
    <w:rsid w:val="00B03107"/>
    <w:rsid w:val="00B06305"/>
    <w:rsid w:val="00B06AB2"/>
    <w:rsid w:val="00B1557C"/>
    <w:rsid w:val="00B16CE4"/>
    <w:rsid w:val="00B34D17"/>
    <w:rsid w:val="00B37F0C"/>
    <w:rsid w:val="00B4725E"/>
    <w:rsid w:val="00B5065D"/>
    <w:rsid w:val="00B56A4D"/>
    <w:rsid w:val="00B60320"/>
    <w:rsid w:val="00B62CC2"/>
    <w:rsid w:val="00B70723"/>
    <w:rsid w:val="00B8389C"/>
    <w:rsid w:val="00B84A67"/>
    <w:rsid w:val="00B92676"/>
    <w:rsid w:val="00B967B5"/>
    <w:rsid w:val="00BA1674"/>
    <w:rsid w:val="00BA59F6"/>
    <w:rsid w:val="00BA705C"/>
    <w:rsid w:val="00BB22A6"/>
    <w:rsid w:val="00BB7575"/>
    <w:rsid w:val="00BC69F2"/>
    <w:rsid w:val="00BD6CFF"/>
    <w:rsid w:val="00C03FE7"/>
    <w:rsid w:val="00C07D5F"/>
    <w:rsid w:val="00C12FCB"/>
    <w:rsid w:val="00C22931"/>
    <w:rsid w:val="00C314A2"/>
    <w:rsid w:val="00C37BBA"/>
    <w:rsid w:val="00C40EB6"/>
    <w:rsid w:val="00C41003"/>
    <w:rsid w:val="00C5578C"/>
    <w:rsid w:val="00C64025"/>
    <w:rsid w:val="00C64D87"/>
    <w:rsid w:val="00C72363"/>
    <w:rsid w:val="00C826DA"/>
    <w:rsid w:val="00C86904"/>
    <w:rsid w:val="00C9338A"/>
    <w:rsid w:val="00C94716"/>
    <w:rsid w:val="00C94AAB"/>
    <w:rsid w:val="00C94C33"/>
    <w:rsid w:val="00C97A91"/>
    <w:rsid w:val="00CB1D33"/>
    <w:rsid w:val="00CB3ACE"/>
    <w:rsid w:val="00CB6A6C"/>
    <w:rsid w:val="00CB6BB8"/>
    <w:rsid w:val="00CC3BC0"/>
    <w:rsid w:val="00CD2139"/>
    <w:rsid w:val="00CD25C9"/>
    <w:rsid w:val="00CD3E90"/>
    <w:rsid w:val="00CD4815"/>
    <w:rsid w:val="00CE68E7"/>
    <w:rsid w:val="00CE6A67"/>
    <w:rsid w:val="00CF2944"/>
    <w:rsid w:val="00CF500B"/>
    <w:rsid w:val="00D002A1"/>
    <w:rsid w:val="00D016EC"/>
    <w:rsid w:val="00D01EE2"/>
    <w:rsid w:val="00D36496"/>
    <w:rsid w:val="00D541DA"/>
    <w:rsid w:val="00D71BB5"/>
    <w:rsid w:val="00D768DB"/>
    <w:rsid w:val="00D7747C"/>
    <w:rsid w:val="00D87C6A"/>
    <w:rsid w:val="00D970AE"/>
    <w:rsid w:val="00D97124"/>
    <w:rsid w:val="00DA06A1"/>
    <w:rsid w:val="00DA3F76"/>
    <w:rsid w:val="00DA6CBB"/>
    <w:rsid w:val="00DB42E3"/>
    <w:rsid w:val="00DB5EC4"/>
    <w:rsid w:val="00DB67E3"/>
    <w:rsid w:val="00DB6AE8"/>
    <w:rsid w:val="00DC2672"/>
    <w:rsid w:val="00DC5571"/>
    <w:rsid w:val="00DC6357"/>
    <w:rsid w:val="00DE05FA"/>
    <w:rsid w:val="00DE4B07"/>
    <w:rsid w:val="00DF1879"/>
    <w:rsid w:val="00DF1C0E"/>
    <w:rsid w:val="00DF2C8A"/>
    <w:rsid w:val="00DF4364"/>
    <w:rsid w:val="00DF62A2"/>
    <w:rsid w:val="00DF795B"/>
    <w:rsid w:val="00E01051"/>
    <w:rsid w:val="00E07296"/>
    <w:rsid w:val="00E11246"/>
    <w:rsid w:val="00E300C2"/>
    <w:rsid w:val="00E31032"/>
    <w:rsid w:val="00E31C2B"/>
    <w:rsid w:val="00E3242A"/>
    <w:rsid w:val="00E35AA7"/>
    <w:rsid w:val="00E364BA"/>
    <w:rsid w:val="00E45CAF"/>
    <w:rsid w:val="00E578E2"/>
    <w:rsid w:val="00E74B9A"/>
    <w:rsid w:val="00E760EE"/>
    <w:rsid w:val="00E84A85"/>
    <w:rsid w:val="00E941D9"/>
    <w:rsid w:val="00E948A2"/>
    <w:rsid w:val="00E95EB5"/>
    <w:rsid w:val="00E976FF"/>
    <w:rsid w:val="00EB0000"/>
    <w:rsid w:val="00EB3F9A"/>
    <w:rsid w:val="00EB6808"/>
    <w:rsid w:val="00EC4330"/>
    <w:rsid w:val="00ED105C"/>
    <w:rsid w:val="00EE243D"/>
    <w:rsid w:val="00EF0CB7"/>
    <w:rsid w:val="00EF3808"/>
    <w:rsid w:val="00EF448D"/>
    <w:rsid w:val="00F04081"/>
    <w:rsid w:val="00F04ED3"/>
    <w:rsid w:val="00F07760"/>
    <w:rsid w:val="00F150BE"/>
    <w:rsid w:val="00F21ACA"/>
    <w:rsid w:val="00F273D7"/>
    <w:rsid w:val="00F3314F"/>
    <w:rsid w:val="00F40863"/>
    <w:rsid w:val="00F43CA3"/>
    <w:rsid w:val="00F44E11"/>
    <w:rsid w:val="00F5024C"/>
    <w:rsid w:val="00F51ED3"/>
    <w:rsid w:val="00F55FFA"/>
    <w:rsid w:val="00F74689"/>
    <w:rsid w:val="00F75066"/>
    <w:rsid w:val="00F91280"/>
    <w:rsid w:val="00F94C18"/>
    <w:rsid w:val="00F96832"/>
    <w:rsid w:val="00FA2AB2"/>
    <w:rsid w:val="00FA3648"/>
    <w:rsid w:val="00FA75E1"/>
    <w:rsid w:val="00FB09BF"/>
    <w:rsid w:val="00FB0B6F"/>
    <w:rsid w:val="00FB17A8"/>
    <w:rsid w:val="00FB7A70"/>
    <w:rsid w:val="00FC3768"/>
    <w:rsid w:val="00FC53EF"/>
    <w:rsid w:val="00FF5953"/>
    <w:rsid w:val="00FF5E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B2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AU"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5C5"/>
    <w:pPr>
      <w:spacing w:line="264" w:lineRule="auto"/>
      <w:jc w:val="both"/>
    </w:pPr>
    <w:rPr>
      <w:rFonts w:ascii="Arial" w:eastAsia="Batang" w:hAnsi="Arial" w:cs="Arial"/>
      <w:sz w:val="22"/>
      <w:szCs w:val="22"/>
    </w:rPr>
  </w:style>
  <w:style w:type="paragraph" w:styleId="Heading1">
    <w:name w:val="heading 1"/>
    <w:basedOn w:val="Normal"/>
    <w:next w:val="Normal"/>
    <w:link w:val="Heading1Char"/>
    <w:uiPriority w:val="9"/>
    <w:qFormat/>
    <w:rsid w:val="008708FB"/>
    <w:pPr>
      <w:keepNext/>
      <w:keepLines/>
      <w:numPr>
        <w:numId w:val="3"/>
      </w:numPr>
      <w:spacing w:after="200"/>
      <w:ind w:left="851" w:hanging="851"/>
      <w:outlineLvl w:val="0"/>
    </w:pPr>
    <w:rPr>
      <w:rFonts w:ascii="Calibri" w:eastAsia="Malgun Gothic" w:hAnsi="Calibri" w:cs="Times New Roman"/>
      <w:b/>
      <w:bCs/>
      <w:sz w:val="36"/>
      <w:szCs w:val="32"/>
    </w:rPr>
  </w:style>
  <w:style w:type="paragraph" w:styleId="Heading2">
    <w:name w:val="heading 2"/>
    <w:basedOn w:val="Title"/>
    <w:next w:val="Normal"/>
    <w:link w:val="Heading2Char"/>
    <w:qFormat/>
    <w:rsid w:val="008708FB"/>
    <w:pPr>
      <w:numPr>
        <w:numId w:val="3"/>
      </w:numPr>
      <w:ind w:left="851" w:hanging="851"/>
      <w:outlineLvl w:val="1"/>
    </w:pPr>
    <w:rPr>
      <w:sz w:val="32"/>
    </w:rPr>
  </w:style>
  <w:style w:type="paragraph" w:styleId="Heading3">
    <w:name w:val="heading 3"/>
    <w:basedOn w:val="Normal"/>
    <w:next w:val="Normal"/>
    <w:link w:val="Heading3Char"/>
    <w:uiPriority w:val="9"/>
    <w:unhideWhenUsed/>
    <w:qFormat/>
    <w:rsid w:val="000D15C5"/>
    <w:pPr>
      <w:keepNext/>
      <w:numPr>
        <w:ilvl w:val="2"/>
        <w:numId w:val="3"/>
      </w:numPr>
      <w:spacing w:after="200"/>
      <w:ind w:left="851" w:hanging="851"/>
      <w:outlineLvl w:val="2"/>
    </w:pPr>
    <w:rPr>
      <w:rFonts w:asciiTheme="minorHAnsi" w:eastAsiaTheme="majorEastAsia" w:hAnsiTheme="minorHAnsi" w:cstheme="majorBidi"/>
      <w:b/>
      <w:bCs/>
      <w:sz w:val="28"/>
      <w:szCs w:val="26"/>
    </w:rPr>
  </w:style>
  <w:style w:type="paragraph" w:styleId="Heading4">
    <w:name w:val="heading 4"/>
    <w:basedOn w:val="Normal"/>
    <w:next w:val="Normal"/>
    <w:link w:val="Heading4Char"/>
    <w:uiPriority w:val="9"/>
    <w:semiHidden/>
    <w:unhideWhenUsed/>
    <w:rsid w:val="00962B07"/>
    <w:pPr>
      <w:keepNext/>
      <w:numPr>
        <w:ilvl w:val="3"/>
        <w:numId w:val="3"/>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962B07"/>
    <w:pPr>
      <w:numPr>
        <w:ilvl w:val="4"/>
        <w:numId w:val="3"/>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962B07"/>
    <w:pPr>
      <w:numPr>
        <w:ilvl w:val="5"/>
        <w:numId w:val="3"/>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qFormat/>
    <w:rsid w:val="00962B07"/>
    <w:pPr>
      <w:numPr>
        <w:ilvl w:val="6"/>
        <w:numId w:val="3"/>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962B07"/>
    <w:pPr>
      <w:numPr>
        <w:ilvl w:val="7"/>
        <w:numId w:val="3"/>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962B07"/>
    <w:pPr>
      <w:numPr>
        <w:ilvl w:val="8"/>
        <w:numId w:val="3"/>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F9D"/>
    <w:pPr>
      <w:tabs>
        <w:tab w:val="center" w:pos="4513"/>
        <w:tab w:val="right" w:pos="9026"/>
      </w:tabs>
    </w:pPr>
  </w:style>
  <w:style w:type="character" w:customStyle="1" w:styleId="HeaderChar">
    <w:name w:val="Header Char"/>
    <w:basedOn w:val="DefaultParagraphFont"/>
    <w:link w:val="Header"/>
    <w:uiPriority w:val="99"/>
    <w:rsid w:val="00E01F9D"/>
  </w:style>
  <w:style w:type="paragraph" w:styleId="Footer">
    <w:name w:val="footer"/>
    <w:basedOn w:val="Normal"/>
    <w:link w:val="FooterChar"/>
    <w:uiPriority w:val="99"/>
    <w:unhideWhenUsed/>
    <w:rsid w:val="00E01F9D"/>
    <w:pPr>
      <w:tabs>
        <w:tab w:val="center" w:pos="4513"/>
        <w:tab w:val="right" w:pos="9026"/>
      </w:tabs>
    </w:pPr>
  </w:style>
  <w:style w:type="character" w:customStyle="1" w:styleId="FooterChar">
    <w:name w:val="Footer Char"/>
    <w:basedOn w:val="DefaultParagraphFont"/>
    <w:link w:val="Footer"/>
    <w:uiPriority w:val="99"/>
    <w:rsid w:val="00E01F9D"/>
  </w:style>
  <w:style w:type="paragraph" w:customStyle="1" w:styleId="HeaderStyle">
    <w:name w:val="Header Style"/>
    <w:basedOn w:val="Header"/>
    <w:qFormat/>
    <w:rsid w:val="00E01F9D"/>
    <w:pPr>
      <w:jc w:val="right"/>
    </w:pPr>
    <w:rPr>
      <w:sz w:val="20"/>
      <w:szCs w:val="20"/>
    </w:rPr>
  </w:style>
  <w:style w:type="character" w:styleId="PageNumber">
    <w:name w:val="page number"/>
    <w:basedOn w:val="DefaultParagraphFont"/>
    <w:rsid w:val="00E01F9D"/>
  </w:style>
  <w:style w:type="paragraph" w:styleId="BalloonText">
    <w:name w:val="Balloon Text"/>
    <w:basedOn w:val="Normal"/>
    <w:link w:val="BalloonTextChar"/>
    <w:uiPriority w:val="99"/>
    <w:semiHidden/>
    <w:unhideWhenUsed/>
    <w:rsid w:val="00E01F9D"/>
    <w:rPr>
      <w:rFonts w:ascii="Tahoma" w:hAnsi="Tahoma" w:cs="Tahoma"/>
      <w:sz w:val="16"/>
      <w:szCs w:val="16"/>
    </w:rPr>
  </w:style>
  <w:style w:type="character" w:customStyle="1" w:styleId="BalloonTextChar">
    <w:name w:val="Balloon Text Char"/>
    <w:basedOn w:val="DefaultParagraphFont"/>
    <w:link w:val="BalloonText"/>
    <w:uiPriority w:val="99"/>
    <w:semiHidden/>
    <w:rsid w:val="00E01F9D"/>
    <w:rPr>
      <w:rFonts w:ascii="Tahoma" w:hAnsi="Tahoma" w:cs="Tahoma"/>
      <w:sz w:val="16"/>
      <w:szCs w:val="16"/>
    </w:rPr>
  </w:style>
  <w:style w:type="paragraph" w:styleId="Date">
    <w:name w:val="Date"/>
    <w:basedOn w:val="Normal"/>
    <w:next w:val="Normal"/>
    <w:link w:val="DateChar"/>
    <w:uiPriority w:val="99"/>
    <w:semiHidden/>
    <w:unhideWhenUsed/>
    <w:rsid w:val="00E01F9D"/>
  </w:style>
  <w:style w:type="character" w:customStyle="1" w:styleId="DateChar">
    <w:name w:val="Date Char"/>
    <w:basedOn w:val="DefaultParagraphFont"/>
    <w:link w:val="Date"/>
    <w:uiPriority w:val="99"/>
    <w:semiHidden/>
    <w:rsid w:val="00E01F9D"/>
    <w:rPr>
      <w:rFonts w:ascii="Arial" w:hAnsi="Arial" w:cs="Arial"/>
    </w:rPr>
  </w:style>
  <w:style w:type="character" w:customStyle="1" w:styleId="Heading2Char">
    <w:name w:val="Heading 2 Char"/>
    <w:basedOn w:val="DefaultParagraphFont"/>
    <w:link w:val="Heading2"/>
    <w:rsid w:val="008708FB"/>
    <w:rPr>
      <w:b/>
      <w:bCs/>
      <w:sz w:val="32"/>
      <w:szCs w:val="32"/>
    </w:rPr>
  </w:style>
  <w:style w:type="character" w:styleId="SubtleEmphasis">
    <w:name w:val="Subtle Emphasis"/>
    <w:uiPriority w:val="19"/>
    <w:qFormat/>
    <w:rsid w:val="00E01F9D"/>
    <w:rPr>
      <w:rFonts w:cs="Arial"/>
      <w:iCs/>
      <w:color w:val="0D0D0D"/>
      <w:sz w:val="36"/>
      <w:szCs w:val="20"/>
    </w:rPr>
  </w:style>
  <w:style w:type="character" w:customStyle="1" w:styleId="Heading1Char">
    <w:name w:val="Heading 1 Char"/>
    <w:basedOn w:val="DefaultParagraphFont"/>
    <w:link w:val="Heading1"/>
    <w:uiPriority w:val="9"/>
    <w:rsid w:val="008708FB"/>
    <w:rPr>
      <w:b/>
      <w:bCs/>
      <w:sz w:val="36"/>
      <w:szCs w:val="32"/>
    </w:rPr>
  </w:style>
  <w:style w:type="paragraph" w:styleId="Title">
    <w:name w:val="Title"/>
    <w:basedOn w:val="Heading1"/>
    <w:next w:val="Normal"/>
    <w:link w:val="TitleChar"/>
    <w:uiPriority w:val="10"/>
    <w:rsid w:val="009F4E6C"/>
    <w:pPr>
      <w:numPr>
        <w:ilvl w:val="1"/>
        <w:numId w:val="1"/>
      </w:numPr>
      <w:ind w:left="851" w:hanging="857"/>
    </w:pPr>
  </w:style>
  <w:style w:type="character" w:customStyle="1" w:styleId="TitleChar">
    <w:name w:val="Title Char"/>
    <w:basedOn w:val="DefaultParagraphFont"/>
    <w:link w:val="Title"/>
    <w:uiPriority w:val="10"/>
    <w:rsid w:val="009F4E6C"/>
    <w:rPr>
      <w:rFonts w:eastAsia="Malgun Gothic" w:cs="Times New Roman"/>
      <w:b/>
      <w:bCs/>
      <w:sz w:val="36"/>
      <w:szCs w:val="32"/>
    </w:rPr>
  </w:style>
  <w:style w:type="character" w:customStyle="1" w:styleId="Heading3Char">
    <w:name w:val="Heading 3 Char"/>
    <w:basedOn w:val="DefaultParagraphFont"/>
    <w:link w:val="Heading3"/>
    <w:uiPriority w:val="9"/>
    <w:rsid w:val="000D15C5"/>
    <w:rPr>
      <w:rFonts w:asciiTheme="minorHAnsi" w:eastAsiaTheme="majorEastAsia" w:hAnsiTheme="minorHAnsi" w:cstheme="majorBidi"/>
      <w:b/>
      <w:bCs/>
      <w:sz w:val="28"/>
      <w:szCs w:val="26"/>
    </w:rPr>
  </w:style>
  <w:style w:type="character" w:customStyle="1" w:styleId="Heading4Char">
    <w:name w:val="Heading 4 Char"/>
    <w:basedOn w:val="DefaultParagraphFont"/>
    <w:link w:val="Heading4"/>
    <w:uiPriority w:val="9"/>
    <w:semiHidden/>
    <w:rsid w:val="00962B0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62B0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62B0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962B0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62B0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62B07"/>
    <w:rPr>
      <w:rFonts w:asciiTheme="majorHAnsi" w:eastAsiaTheme="majorEastAsia" w:hAnsiTheme="majorHAnsi" w:cstheme="majorBidi"/>
      <w:sz w:val="22"/>
      <w:szCs w:val="22"/>
    </w:rPr>
  </w:style>
  <w:style w:type="paragraph" w:styleId="Subtitle">
    <w:name w:val="Subtitle"/>
    <w:basedOn w:val="Normal"/>
    <w:next w:val="Normal"/>
    <w:link w:val="SubtitleChar"/>
    <w:uiPriority w:val="11"/>
    <w:qFormat/>
    <w:rsid w:val="00035D20"/>
    <w:pPr>
      <w:spacing w:after="200"/>
    </w:pPr>
    <w:rPr>
      <w:rFonts w:asciiTheme="minorHAnsi" w:hAnsiTheme="minorHAnsi"/>
      <w:b/>
      <w:i/>
      <w:sz w:val="26"/>
      <w:szCs w:val="26"/>
    </w:rPr>
  </w:style>
  <w:style w:type="character" w:customStyle="1" w:styleId="SubtitleChar">
    <w:name w:val="Subtitle Char"/>
    <w:basedOn w:val="DefaultParagraphFont"/>
    <w:link w:val="Subtitle"/>
    <w:uiPriority w:val="11"/>
    <w:rsid w:val="00035D20"/>
    <w:rPr>
      <w:rFonts w:asciiTheme="minorHAnsi" w:eastAsia="Batang" w:hAnsiTheme="minorHAnsi" w:cs="Arial"/>
      <w:b/>
      <w:i/>
      <w:sz w:val="26"/>
      <w:szCs w:val="26"/>
    </w:rPr>
  </w:style>
  <w:style w:type="character" w:customStyle="1" w:styleId="apple-style-span">
    <w:name w:val="apple-style-span"/>
    <w:basedOn w:val="DefaultParagraphFont"/>
    <w:rsid w:val="00212D9A"/>
  </w:style>
  <w:style w:type="table" w:styleId="TableGrid">
    <w:name w:val="Table Grid"/>
    <w:basedOn w:val="TableNormal"/>
    <w:uiPriority w:val="59"/>
    <w:rsid w:val="00212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DB2"/>
    <w:rPr>
      <w:color w:val="0000FF" w:themeColor="hyperlink"/>
      <w:u w:val="single"/>
    </w:rPr>
  </w:style>
  <w:style w:type="character" w:customStyle="1" w:styleId="UnresolvedMention">
    <w:name w:val="Unresolved Mention"/>
    <w:basedOn w:val="DefaultParagraphFont"/>
    <w:uiPriority w:val="99"/>
    <w:semiHidden/>
    <w:unhideWhenUsed/>
    <w:rsid w:val="00282DB2"/>
    <w:rPr>
      <w:color w:val="605E5C"/>
      <w:shd w:val="clear" w:color="auto" w:fill="E1DFDD"/>
    </w:rPr>
  </w:style>
  <w:style w:type="paragraph" w:styleId="ListParagraph">
    <w:name w:val="List Paragraph"/>
    <w:basedOn w:val="Normal"/>
    <w:uiPriority w:val="34"/>
    <w:qFormat/>
    <w:rsid w:val="00E31032"/>
    <w:pPr>
      <w:ind w:left="720"/>
      <w:contextualSpacing/>
    </w:pPr>
  </w:style>
  <w:style w:type="character" w:styleId="CommentReference">
    <w:name w:val="annotation reference"/>
    <w:basedOn w:val="DefaultParagraphFont"/>
    <w:uiPriority w:val="99"/>
    <w:semiHidden/>
    <w:unhideWhenUsed/>
    <w:rsid w:val="001457DF"/>
    <w:rPr>
      <w:sz w:val="16"/>
      <w:szCs w:val="16"/>
    </w:rPr>
  </w:style>
  <w:style w:type="paragraph" w:styleId="CommentText">
    <w:name w:val="annotation text"/>
    <w:basedOn w:val="Normal"/>
    <w:link w:val="CommentTextChar"/>
    <w:uiPriority w:val="99"/>
    <w:semiHidden/>
    <w:unhideWhenUsed/>
    <w:rsid w:val="001457DF"/>
    <w:pPr>
      <w:spacing w:line="240" w:lineRule="auto"/>
    </w:pPr>
    <w:rPr>
      <w:sz w:val="20"/>
      <w:szCs w:val="20"/>
    </w:rPr>
  </w:style>
  <w:style w:type="character" w:customStyle="1" w:styleId="CommentTextChar">
    <w:name w:val="Comment Text Char"/>
    <w:basedOn w:val="DefaultParagraphFont"/>
    <w:link w:val="CommentText"/>
    <w:uiPriority w:val="99"/>
    <w:semiHidden/>
    <w:rsid w:val="001457DF"/>
    <w:rPr>
      <w:rFonts w:ascii="Arial" w:eastAsia="Batang" w:hAnsi="Arial" w:cs="Arial"/>
    </w:rPr>
  </w:style>
  <w:style w:type="paragraph" w:styleId="CommentSubject">
    <w:name w:val="annotation subject"/>
    <w:basedOn w:val="CommentText"/>
    <w:next w:val="CommentText"/>
    <w:link w:val="CommentSubjectChar"/>
    <w:uiPriority w:val="99"/>
    <w:semiHidden/>
    <w:unhideWhenUsed/>
    <w:rsid w:val="001457DF"/>
    <w:rPr>
      <w:b/>
      <w:bCs/>
    </w:rPr>
  </w:style>
  <w:style w:type="character" w:customStyle="1" w:styleId="CommentSubjectChar">
    <w:name w:val="Comment Subject Char"/>
    <w:basedOn w:val="CommentTextChar"/>
    <w:link w:val="CommentSubject"/>
    <w:uiPriority w:val="99"/>
    <w:semiHidden/>
    <w:rsid w:val="001457DF"/>
    <w:rPr>
      <w:rFonts w:ascii="Arial" w:eastAsia="Batang" w:hAnsi="Arial" w:cs="Arial"/>
      <w:b/>
      <w:bCs/>
    </w:rPr>
  </w:style>
  <w:style w:type="paragraph" w:styleId="Revision">
    <w:name w:val="Revision"/>
    <w:hidden/>
    <w:uiPriority w:val="99"/>
    <w:semiHidden/>
    <w:rsid w:val="00E760EE"/>
    <w:rPr>
      <w:rFonts w:ascii="Arial" w:eastAsia="Batang" w:hAnsi="Arial" w:cs="Arial"/>
      <w:sz w:val="22"/>
      <w:szCs w:val="22"/>
    </w:rPr>
  </w:style>
  <w:style w:type="paragraph" w:styleId="FootnoteText">
    <w:name w:val="footnote text"/>
    <w:basedOn w:val="Normal"/>
    <w:link w:val="FootnoteTextChar"/>
    <w:uiPriority w:val="99"/>
    <w:unhideWhenUsed/>
    <w:rsid w:val="007D788E"/>
    <w:pPr>
      <w:spacing w:line="240" w:lineRule="auto"/>
    </w:pPr>
    <w:rPr>
      <w:sz w:val="20"/>
      <w:szCs w:val="20"/>
    </w:rPr>
  </w:style>
  <w:style w:type="character" w:customStyle="1" w:styleId="FootnoteTextChar">
    <w:name w:val="Footnote Text Char"/>
    <w:basedOn w:val="DefaultParagraphFont"/>
    <w:link w:val="FootnoteText"/>
    <w:uiPriority w:val="99"/>
    <w:rsid w:val="007D788E"/>
    <w:rPr>
      <w:rFonts w:ascii="Arial" w:eastAsia="Batang" w:hAnsi="Arial" w:cs="Arial"/>
    </w:rPr>
  </w:style>
  <w:style w:type="character" w:styleId="FootnoteReference">
    <w:name w:val="footnote reference"/>
    <w:basedOn w:val="DefaultParagraphFont"/>
    <w:uiPriority w:val="99"/>
    <w:semiHidden/>
    <w:unhideWhenUsed/>
    <w:rsid w:val="007D788E"/>
    <w:rPr>
      <w:vertAlign w:val="superscript"/>
    </w:rPr>
  </w:style>
  <w:style w:type="paragraph" w:customStyle="1" w:styleId="Default">
    <w:name w:val="Default"/>
    <w:rsid w:val="007D788E"/>
    <w:pPr>
      <w:autoSpaceDE w:val="0"/>
      <w:autoSpaceDN w:val="0"/>
      <w:adjustRightInd w:val="0"/>
    </w:pPr>
    <w:rPr>
      <w:rFonts w:ascii="NettoOT-Black" w:hAnsi="NettoOT-Black" w:cs="NettoOT-Blac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AU"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5C5"/>
    <w:pPr>
      <w:spacing w:line="264" w:lineRule="auto"/>
      <w:jc w:val="both"/>
    </w:pPr>
    <w:rPr>
      <w:rFonts w:ascii="Arial" w:eastAsia="Batang" w:hAnsi="Arial" w:cs="Arial"/>
      <w:sz w:val="22"/>
      <w:szCs w:val="22"/>
    </w:rPr>
  </w:style>
  <w:style w:type="paragraph" w:styleId="Heading1">
    <w:name w:val="heading 1"/>
    <w:basedOn w:val="Normal"/>
    <w:next w:val="Normal"/>
    <w:link w:val="Heading1Char"/>
    <w:uiPriority w:val="9"/>
    <w:qFormat/>
    <w:rsid w:val="008708FB"/>
    <w:pPr>
      <w:keepNext/>
      <w:keepLines/>
      <w:numPr>
        <w:numId w:val="3"/>
      </w:numPr>
      <w:spacing w:after="200"/>
      <w:ind w:left="851" w:hanging="851"/>
      <w:outlineLvl w:val="0"/>
    </w:pPr>
    <w:rPr>
      <w:rFonts w:ascii="Calibri" w:eastAsia="Malgun Gothic" w:hAnsi="Calibri" w:cs="Times New Roman"/>
      <w:b/>
      <w:bCs/>
      <w:sz w:val="36"/>
      <w:szCs w:val="32"/>
    </w:rPr>
  </w:style>
  <w:style w:type="paragraph" w:styleId="Heading2">
    <w:name w:val="heading 2"/>
    <w:basedOn w:val="Title"/>
    <w:next w:val="Normal"/>
    <w:link w:val="Heading2Char"/>
    <w:qFormat/>
    <w:rsid w:val="008708FB"/>
    <w:pPr>
      <w:numPr>
        <w:numId w:val="3"/>
      </w:numPr>
      <w:ind w:left="851" w:hanging="851"/>
      <w:outlineLvl w:val="1"/>
    </w:pPr>
    <w:rPr>
      <w:sz w:val="32"/>
    </w:rPr>
  </w:style>
  <w:style w:type="paragraph" w:styleId="Heading3">
    <w:name w:val="heading 3"/>
    <w:basedOn w:val="Normal"/>
    <w:next w:val="Normal"/>
    <w:link w:val="Heading3Char"/>
    <w:uiPriority w:val="9"/>
    <w:unhideWhenUsed/>
    <w:qFormat/>
    <w:rsid w:val="000D15C5"/>
    <w:pPr>
      <w:keepNext/>
      <w:numPr>
        <w:ilvl w:val="2"/>
        <w:numId w:val="3"/>
      </w:numPr>
      <w:spacing w:after="200"/>
      <w:ind w:left="851" w:hanging="851"/>
      <w:outlineLvl w:val="2"/>
    </w:pPr>
    <w:rPr>
      <w:rFonts w:asciiTheme="minorHAnsi" w:eastAsiaTheme="majorEastAsia" w:hAnsiTheme="minorHAnsi" w:cstheme="majorBidi"/>
      <w:b/>
      <w:bCs/>
      <w:sz w:val="28"/>
      <w:szCs w:val="26"/>
    </w:rPr>
  </w:style>
  <w:style w:type="paragraph" w:styleId="Heading4">
    <w:name w:val="heading 4"/>
    <w:basedOn w:val="Normal"/>
    <w:next w:val="Normal"/>
    <w:link w:val="Heading4Char"/>
    <w:uiPriority w:val="9"/>
    <w:semiHidden/>
    <w:unhideWhenUsed/>
    <w:rsid w:val="00962B07"/>
    <w:pPr>
      <w:keepNext/>
      <w:numPr>
        <w:ilvl w:val="3"/>
        <w:numId w:val="3"/>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962B07"/>
    <w:pPr>
      <w:numPr>
        <w:ilvl w:val="4"/>
        <w:numId w:val="3"/>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962B07"/>
    <w:pPr>
      <w:numPr>
        <w:ilvl w:val="5"/>
        <w:numId w:val="3"/>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qFormat/>
    <w:rsid w:val="00962B07"/>
    <w:pPr>
      <w:numPr>
        <w:ilvl w:val="6"/>
        <w:numId w:val="3"/>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962B07"/>
    <w:pPr>
      <w:numPr>
        <w:ilvl w:val="7"/>
        <w:numId w:val="3"/>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962B07"/>
    <w:pPr>
      <w:numPr>
        <w:ilvl w:val="8"/>
        <w:numId w:val="3"/>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F9D"/>
    <w:pPr>
      <w:tabs>
        <w:tab w:val="center" w:pos="4513"/>
        <w:tab w:val="right" w:pos="9026"/>
      </w:tabs>
    </w:pPr>
  </w:style>
  <w:style w:type="character" w:customStyle="1" w:styleId="HeaderChar">
    <w:name w:val="Header Char"/>
    <w:basedOn w:val="DefaultParagraphFont"/>
    <w:link w:val="Header"/>
    <w:uiPriority w:val="99"/>
    <w:rsid w:val="00E01F9D"/>
  </w:style>
  <w:style w:type="paragraph" w:styleId="Footer">
    <w:name w:val="footer"/>
    <w:basedOn w:val="Normal"/>
    <w:link w:val="FooterChar"/>
    <w:uiPriority w:val="99"/>
    <w:unhideWhenUsed/>
    <w:rsid w:val="00E01F9D"/>
    <w:pPr>
      <w:tabs>
        <w:tab w:val="center" w:pos="4513"/>
        <w:tab w:val="right" w:pos="9026"/>
      </w:tabs>
    </w:pPr>
  </w:style>
  <w:style w:type="character" w:customStyle="1" w:styleId="FooterChar">
    <w:name w:val="Footer Char"/>
    <w:basedOn w:val="DefaultParagraphFont"/>
    <w:link w:val="Footer"/>
    <w:uiPriority w:val="99"/>
    <w:rsid w:val="00E01F9D"/>
  </w:style>
  <w:style w:type="paragraph" w:customStyle="1" w:styleId="HeaderStyle">
    <w:name w:val="Header Style"/>
    <w:basedOn w:val="Header"/>
    <w:qFormat/>
    <w:rsid w:val="00E01F9D"/>
    <w:pPr>
      <w:jc w:val="right"/>
    </w:pPr>
    <w:rPr>
      <w:sz w:val="20"/>
      <w:szCs w:val="20"/>
    </w:rPr>
  </w:style>
  <w:style w:type="character" w:styleId="PageNumber">
    <w:name w:val="page number"/>
    <w:basedOn w:val="DefaultParagraphFont"/>
    <w:rsid w:val="00E01F9D"/>
  </w:style>
  <w:style w:type="paragraph" w:styleId="BalloonText">
    <w:name w:val="Balloon Text"/>
    <w:basedOn w:val="Normal"/>
    <w:link w:val="BalloonTextChar"/>
    <w:uiPriority w:val="99"/>
    <w:semiHidden/>
    <w:unhideWhenUsed/>
    <w:rsid w:val="00E01F9D"/>
    <w:rPr>
      <w:rFonts w:ascii="Tahoma" w:hAnsi="Tahoma" w:cs="Tahoma"/>
      <w:sz w:val="16"/>
      <w:szCs w:val="16"/>
    </w:rPr>
  </w:style>
  <w:style w:type="character" w:customStyle="1" w:styleId="BalloonTextChar">
    <w:name w:val="Balloon Text Char"/>
    <w:basedOn w:val="DefaultParagraphFont"/>
    <w:link w:val="BalloonText"/>
    <w:uiPriority w:val="99"/>
    <w:semiHidden/>
    <w:rsid w:val="00E01F9D"/>
    <w:rPr>
      <w:rFonts w:ascii="Tahoma" w:hAnsi="Tahoma" w:cs="Tahoma"/>
      <w:sz w:val="16"/>
      <w:szCs w:val="16"/>
    </w:rPr>
  </w:style>
  <w:style w:type="paragraph" w:styleId="Date">
    <w:name w:val="Date"/>
    <w:basedOn w:val="Normal"/>
    <w:next w:val="Normal"/>
    <w:link w:val="DateChar"/>
    <w:uiPriority w:val="99"/>
    <w:semiHidden/>
    <w:unhideWhenUsed/>
    <w:rsid w:val="00E01F9D"/>
  </w:style>
  <w:style w:type="character" w:customStyle="1" w:styleId="DateChar">
    <w:name w:val="Date Char"/>
    <w:basedOn w:val="DefaultParagraphFont"/>
    <w:link w:val="Date"/>
    <w:uiPriority w:val="99"/>
    <w:semiHidden/>
    <w:rsid w:val="00E01F9D"/>
    <w:rPr>
      <w:rFonts w:ascii="Arial" w:hAnsi="Arial" w:cs="Arial"/>
    </w:rPr>
  </w:style>
  <w:style w:type="character" w:customStyle="1" w:styleId="Heading2Char">
    <w:name w:val="Heading 2 Char"/>
    <w:basedOn w:val="DefaultParagraphFont"/>
    <w:link w:val="Heading2"/>
    <w:rsid w:val="008708FB"/>
    <w:rPr>
      <w:b/>
      <w:bCs/>
      <w:sz w:val="32"/>
      <w:szCs w:val="32"/>
    </w:rPr>
  </w:style>
  <w:style w:type="character" w:styleId="SubtleEmphasis">
    <w:name w:val="Subtle Emphasis"/>
    <w:uiPriority w:val="19"/>
    <w:qFormat/>
    <w:rsid w:val="00E01F9D"/>
    <w:rPr>
      <w:rFonts w:cs="Arial"/>
      <w:iCs/>
      <w:color w:val="0D0D0D"/>
      <w:sz w:val="36"/>
      <w:szCs w:val="20"/>
    </w:rPr>
  </w:style>
  <w:style w:type="character" w:customStyle="1" w:styleId="Heading1Char">
    <w:name w:val="Heading 1 Char"/>
    <w:basedOn w:val="DefaultParagraphFont"/>
    <w:link w:val="Heading1"/>
    <w:uiPriority w:val="9"/>
    <w:rsid w:val="008708FB"/>
    <w:rPr>
      <w:b/>
      <w:bCs/>
      <w:sz w:val="36"/>
      <w:szCs w:val="32"/>
    </w:rPr>
  </w:style>
  <w:style w:type="paragraph" w:styleId="Title">
    <w:name w:val="Title"/>
    <w:basedOn w:val="Heading1"/>
    <w:next w:val="Normal"/>
    <w:link w:val="TitleChar"/>
    <w:uiPriority w:val="10"/>
    <w:rsid w:val="009F4E6C"/>
    <w:pPr>
      <w:numPr>
        <w:ilvl w:val="1"/>
        <w:numId w:val="1"/>
      </w:numPr>
      <w:ind w:left="851" w:hanging="857"/>
    </w:pPr>
  </w:style>
  <w:style w:type="character" w:customStyle="1" w:styleId="TitleChar">
    <w:name w:val="Title Char"/>
    <w:basedOn w:val="DefaultParagraphFont"/>
    <w:link w:val="Title"/>
    <w:uiPriority w:val="10"/>
    <w:rsid w:val="009F4E6C"/>
    <w:rPr>
      <w:rFonts w:eastAsia="Malgun Gothic" w:cs="Times New Roman"/>
      <w:b/>
      <w:bCs/>
      <w:sz w:val="36"/>
      <w:szCs w:val="32"/>
    </w:rPr>
  </w:style>
  <w:style w:type="character" w:customStyle="1" w:styleId="Heading3Char">
    <w:name w:val="Heading 3 Char"/>
    <w:basedOn w:val="DefaultParagraphFont"/>
    <w:link w:val="Heading3"/>
    <w:uiPriority w:val="9"/>
    <w:rsid w:val="000D15C5"/>
    <w:rPr>
      <w:rFonts w:asciiTheme="minorHAnsi" w:eastAsiaTheme="majorEastAsia" w:hAnsiTheme="minorHAnsi" w:cstheme="majorBidi"/>
      <w:b/>
      <w:bCs/>
      <w:sz w:val="28"/>
      <w:szCs w:val="26"/>
    </w:rPr>
  </w:style>
  <w:style w:type="character" w:customStyle="1" w:styleId="Heading4Char">
    <w:name w:val="Heading 4 Char"/>
    <w:basedOn w:val="DefaultParagraphFont"/>
    <w:link w:val="Heading4"/>
    <w:uiPriority w:val="9"/>
    <w:semiHidden/>
    <w:rsid w:val="00962B0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62B0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62B0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962B0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62B0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62B07"/>
    <w:rPr>
      <w:rFonts w:asciiTheme="majorHAnsi" w:eastAsiaTheme="majorEastAsia" w:hAnsiTheme="majorHAnsi" w:cstheme="majorBidi"/>
      <w:sz w:val="22"/>
      <w:szCs w:val="22"/>
    </w:rPr>
  </w:style>
  <w:style w:type="paragraph" w:styleId="Subtitle">
    <w:name w:val="Subtitle"/>
    <w:basedOn w:val="Normal"/>
    <w:next w:val="Normal"/>
    <w:link w:val="SubtitleChar"/>
    <w:uiPriority w:val="11"/>
    <w:qFormat/>
    <w:rsid w:val="00035D20"/>
    <w:pPr>
      <w:spacing w:after="200"/>
    </w:pPr>
    <w:rPr>
      <w:rFonts w:asciiTheme="minorHAnsi" w:hAnsiTheme="minorHAnsi"/>
      <w:b/>
      <w:i/>
      <w:sz w:val="26"/>
      <w:szCs w:val="26"/>
    </w:rPr>
  </w:style>
  <w:style w:type="character" w:customStyle="1" w:styleId="SubtitleChar">
    <w:name w:val="Subtitle Char"/>
    <w:basedOn w:val="DefaultParagraphFont"/>
    <w:link w:val="Subtitle"/>
    <w:uiPriority w:val="11"/>
    <w:rsid w:val="00035D20"/>
    <w:rPr>
      <w:rFonts w:asciiTheme="minorHAnsi" w:eastAsia="Batang" w:hAnsiTheme="minorHAnsi" w:cs="Arial"/>
      <w:b/>
      <w:i/>
      <w:sz w:val="26"/>
      <w:szCs w:val="26"/>
    </w:rPr>
  </w:style>
  <w:style w:type="character" w:customStyle="1" w:styleId="apple-style-span">
    <w:name w:val="apple-style-span"/>
    <w:basedOn w:val="DefaultParagraphFont"/>
    <w:rsid w:val="00212D9A"/>
  </w:style>
  <w:style w:type="table" w:styleId="TableGrid">
    <w:name w:val="Table Grid"/>
    <w:basedOn w:val="TableNormal"/>
    <w:uiPriority w:val="59"/>
    <w:rsid w:val="00212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DB2"/>
    <w:rPr>
      <w:color w:val="0000FF" w:themeColor="hyperlink"/>
      <w:u w:val="single"/>
    </w:rPr>
  </w:style>
  <w:style w:type="character" w:customStyle="1" w:styleId="UnresolvedMention">
    <w:name w:val="Unresolved Mention"/>
    <w:basedOn w:val="DefaultParagraphFont"/>
    <w:uiPriority w:val="99"/>
    <w:semiHidden/>
    <w:unhideWhenUsed/>
    <w:rsid w:val="00282DB2"/>
    <w:rPr>
      <w:color w:val="605E5C"/>
      <w:shd w:val="clear" w:color="auto" w:fill="E1DFDD"/>
    </w:rPr>
  </w:style>
  <w:style w:type="paragraph" w:styleId="ListParagraph">
    <w:name w:val="List Paragraph"/>
    <w:basedOn w:val="Normal"/>
    <w:uiPriority w:val="34"/>
    <w:qFormat/>
    <w:rsid w:val="00E31032"/>
    <w:pPr>
      <w:ind w:left="720"/>
      <w:contextualSpacing/>
    </w:pPr>
  </w:style>
  <w:style w:type="character" w:styleId="CommentReference">
    <w:name w:val="annotation reference"/>
    <w:basedOn w:val="DefaultParagraphFont"/>
    <w:uiPriority w:val="99"/>
    <w:semiHidden/>
    <w:unhideWhenUsed/>
    <w:rsid w:val="001457DF"/>
    <w:rPr>
      <w:sz w:val="16"/>
      <w:szCs w:val="16"/>
    </w:rPr>
  </w:style>
  <w:style w:type="paragraph" w:styleId="CommentText">
    <w:name w:val="annotation text"/>
    <w:basedOn w:val="Normal"/>
    <w:link w:val="CommentTextChar"/>
    <w:uiPriority w:val="99"/>
    <w:semiHidden/>
    <w:unhideWhenUsed/>
    <w:rsid w:val="001457DF"/>
    <w:pPr>
      <w:spacing w:line="240" w:lineRule="auto"/>
    </w:pPr>
    <w:rPr>
      <w:sz w:val="20"/>
      <w:szCs w:val="20"/>
    </w:rPr>
  </w:style>
  <w:style w:type="character" w:customStyle="1" w:styleId="CommentTextChar">
    <w:name w:val="Comment Text Char"/>
    <w:basedOn w:val="DefaultParagraphFont"/>
    <w:link w:val="CommentText"/>
    <w:uiPriority w:val="99"/>
    <w:semiHidden/>
    <w:rsid w:val="001457DF"/>
    <w:rPr>
      <w:rFonts w:ascii="Arial" w:eastAsia="Batang" w:hAnsi="Arial" w:cs="Arial"/>
    </w:rPr>
  </w:style>
  <w:style w:type="paragraph" w:styleId="CommentSubject">
    <w:name w:val="annotation subject"/>
    <w:basedOn w:val="CommentText"/>
    <w:next w:val="CommentText"/>
    <w:link w:val="CommentSubjectChar"/>
    <w:uiPriority w:val="99"/>
    <w:semiHidden/>
    <w:unhideWhenUsed/>
    <w:rsid w:val="001457DF"/>
    <w:rPr>
      <w:b/>
      <w:bCs/>
    </w:rPr>
  </w:style>
  <w:style w:type="character" w:customStyle="1" w:styleId="CommentSubjectChar">
    <w:name w:val="Comment Subject Char"/>
    <w:basedOn w:val="CommentTextChar"/>
    <w:link w:val="CommentSubject"/>
    <w:uiPriority w:val="99"/>
    <w:semiHidden/>
    <w:rsid w:val="001457DF"/>
    <w:rPr>
      <w:rFonts w:ascii="Arial" w:eastAsia="Batang" w:hAnsi="Arial" w:cs="Arial"/>
      <w:b/>
      <w:bCs/>
    </w:rPr>
  </w:style>
  <w:style w:type="paragraph" w:styleId="Revision">
    <w:name w:val="Revision"/>
    <w:hidden/>
    <w:uiPriority w:val="99"/>
    <w:semiHidden/>
    <w:rsid w:val="00E760EE"/>
    <w:rPr>
      <w:rFonts w:ascii="Arial" w:eastAsia="Batang" w:hAnsi="Arial" w:cs="Arial"/>
      <w:sz w:val="22"/>
      <w:szCs w:val="22"/>
    </w:rPr>
  </w:style>
  <w:style w:type="paragraph" w:styleId="FootnoteText">
    <w:name w:val="footnote text"/>
    <w:basedOn w:val="Normal"/>
    <w:link w:val="FootnoteTextChar"/>
    <w:uiPriority w:val="99"/>
    <w:unhideWhenUsed/>
    <w:rsid w:val="007D788E"/>
    <w:pPr>
      <w:spacing w:line="240" w:lineRule="auto"/>
    </w:pPr>
    <w:rPr>
      <w:sz w:val="20"/>
      <w:szCs w:val="20"/>
    </w:rPr>
  </w:style>
  <w:style w:type="character" w:customStyle="1" w:styleId="FootnoteTextChar">
    <w:name w:val="Footnote Text Char"/>
    <w:basedOn w:val="DefaultParagraphFont"/>
    <w:link w:val="FootnoteText"/>
    <w:uiPriority w:val="99"/>
    <w:rsid w:val="007D788E"/>
    <w:rPr>
      <w:rFonts w:ascii="Arial" w:eastAsia="Batang" w:hAnsi="Arial" w:cs="Arial"/>
    </w:rPr>
  </w:style>
  <w:style w:type="character" w:styleId="FootnoteReference">
    <w:name w:val="footnote reference"/>
    <w:basedOn w:val="DefaultParagraphFont"/>
    <w:uiPriority w:val="99"/>
    <w:semiHidden/>
    <w:unhideWhenUsed/>
    <w:rsid w:val="007D788E"/>
    <w:rPr>
      <w:vertAlign w:val="superscript"/>
    </w:rPr>
  </w:style>
  <w:style w:type="paragraph" w:customStyle="1" w:styleId="Default">
    <w:name w:val="Default"/>
    <w:rsid w:val="007D788E"/>
    <w:pPr>
      <w:autoSpaceDE w:val="0"/>
      <w:autoSpaceDN w:val="0"/>
      <w:adjustRightInd w:val="0"/>
    </w:pPr>
    <w:rPr>
      <w:rFonts w:ascii="NettoOT-Black" w:hAnsi="NettoOT-Black" w:cs="NettoOT-Bla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46801">
      <w:bodyDiv w:val="1"/>
      <w:marLeft w:val="0"/>
      <w:marRight w:val="0"/>
      <w:marTop w:val="0"/>
      <w:marBottom w:val="0"/>
      <w:divBdr>
        <w:top w:val="none" w:sz="0" w:space="0" w:color="auto"/>
        <w:left w:val="none" w:sz="0" w:space="0" w:color="auto"/>
        <w:bottom w:val="none" w:sz="0" w:space="0" w:color="auto"/>
        <w:right w:val="none" w:sz="0" w:space="0" w:color="auto"/>
      </w:divBdr>
    </w:div>
    <w:div w:id="925921801">
      <w:bodyDiv w:val="1"/>
      <w:marLeft w:val="0"/>
      <w:marRight w:val="0"/>
      <w:marTop w:val="0"/>
      <w:marBottom w:val="0"/>
      <w:divBdr>
        <w:top w:val="none" w:sz="0" w:space="0" w:color="auto"/>
        <w:left w:val="none" w:sz="0" w:space="0" w:color="auto"/>
        <w:bottom w:val="none" w:sz="0" w:space="0" w:color="auto"/>
        <w:right w:val="none" w:sz="0" w:space="0" w:color="auto"/>
      </w:divBdr>
    </w:div>
    <w:div w:id="1348872215">
      <w:bodyDiv w:val="1"/>
      <w:marLeft w:val="0"/>
      <w:marRight w:val="0"/>
      <w:marTop w:val="0"/>
      <w:marBottom w:val="0"/>
      <w:divBdr>
        <w:top w:val="none" w:sz="0" w:space="0" w:color="auto"/>
        <w:left w:val="none" w:sz="0" w:space="0" w:color="auto"/>
        <w:bottom w:val="none" w:sz="0" w:space="0" w:color="auto"/>
        <w:right w:val="none" w:sz="0" w:space="0" w:color="auto"/>
      </w:divBdr>
    </w:div>
    <w:div w:id="1515921051">
      <w:bodyDiv w:val="1"/>
      <w:marLeft w:val="0"/>
      <w:marRight w:val="0"/>
      <w:marTop w:val="0"/>
      <w:marBottom w:val="0"/>
      <w:divBdr>
        <w:top w:val="none" w:sz="0" w:space="0" w:color="auto"/>
        <w:left w:val="none" w:sz="0" w:space="0" w:color="auto"/>
        <w:bottom w:val="none" w:sz="0" w:space="0" w:color="auto"/>
        <w:right w:val="none" w:sz="0" w:space="0" w:color="auto"/>
      </w:divBdr>
    </w:div>
    <w:div w:id="1608611188">
      <w:bodyDiv w:val="1"/>
      <w:marLeft w:val="0"/>
      <w:marRight w:val="0"/>
      <w:marTop w:val="0"/>
      <w:marBottom w:val="0"/>
      <w:divBdr>
        <w:top w:val="none" w:sz="0" w:space="0" w:color="auto"/>
        <w:left w:val="none" w:sz="0" w:space="0" w:color="auto"/>
        <w:bottom w:val="none" w:sz="0" w:space="0" w:color="auto"/>
        <w:right w:val="none" w:sz="0" w:space="0" w:color="auto"/>
      </w:divBdr>
    </w:div>
    <w:div w:id="179675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uperannuation@treasury.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38C6F54242556948B6F04600E4F98FD4" ma:contentTypeVersion="13066" ma:contentTypeDescription="" ma:contentTypeScope="" ma:versionID="4fe92024e1e11e0a1fb61316f0a5a562">
  <xsd:schema xmlns:xsd="http://www.w3.org/2001/XMLSchema" xmlns:xs="http://www.w3.org/2001/XMLSchema" xmlns:p="http://schemas.microsoft.com/office/2006/metadata/properties" xmlns:ns1="http://schemas.microsoft.com/sharepoint/v3" xmlns:ns2="0f563589-9cf9-4143-b1eb-fb0534803d38" xmlns:ns3="e544e5cc-ab70-42e1-849e-1a0f8bb1f4ef" targetNamespace="http://schemas.microsoft.com/office/2006/metadata/properties" ma:root="true" ma:fieldsID="cd2eeaaf444acb04b47aeaae710f3b50" ns1:_="" ns2:_="" ns3:_="">
    <xsd:import namespace="http://schemas.microsoft.com/sharepoint/v3"/>
    <xsd:import namespace="0f563589-9cf9-4143-b1eb-fb0534803d38"/>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2018FG-583247893-93</_dlc_DocId>
    <_dlc_DocIdUrl xmlns="0f563589-9cf9-4143-b1eb-fb0534803d38">
      <Url>http://tweb/sites/fg/ripd/ciprs/_layouts/15/DocIdRedir.aspx?ID=2018FG-583247893-93</Url>
      <Description>2018FG-583247893-93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7F65-FF1A-4342-8809-81DC3C5FDC2A}">
  <ds:schemaRefs>
    <ds:schemaRef ds:uri="office.server.policy"/>
  </ds:schemaRefs>
</ds:datastoreItem>
</file>

<file path=customXml/itemProps2.xml><?xml version="1.0" encoding="utf-8"?>
<ds:datastoreItem xmlns:ds="http://schemas.openxmlformats.org/officeDocument/2006/customXml" ds:itemID="{670F35DE-09E4-4861-9EB6-FCD8B80A7F7F}">
  <ds:schemaRefs>
    <ds:schemaRef ds:uri="http://schemas.microsoft.com/sharepoint/events"/>
  </ds:schemaRefs>
</ds:datastoreItem>
</file>

<file path=customXml/itemProps3.xml><?xml version="1.0" encoding="utf-8"?>
<ds:datastoreItem xmlns:ds="http://schemas.openxmlformats.org/officeDocument/2006/customXml" ds:itemID="{D3515155-DC55-4621-B406-F9BC904F7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6B49D8-5ECF-400F-B4FB-99563D290BFD}">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e544e5cc-ab70-42e1-849e-1a0f8bb1f4ef"/>
    <ds:schemaRef ds:uri="http://purl.org/dc/elements/1.1/"/>
    <ds:schemaRef ds:uri="http://schemas.microsoft.com/sharepoint/v3"/>
    <ds:schemaRef ds:uri="http://schemas.microsoft.com/office/2006/metadata/properties"/>
    <ds:schemaRef ds:uri="http://www.w3.org/XML/1998/namespace"/>
    <ds:schemaRef ds:uri="0f563589-9cf9-4143-b1eb-fb0534803d38"/>
  </ds:schemaRefs>
</ds:datastoreItem>
</file>

<file path=customXml/itemProps5.xml><?xml version="1.0" encoding="utf-8"?>
<ds:datastoreItem xmlns:ds="http://schemas.openxmlformats.org/officeDocument/2006/customXml" ds:itemID="{CD99828C-6F61-4062-99A2-F5D8CF388B7F}">
  <ds:schemaRefs>
    <ds:schemaRef ds:uri="http://schemas.microsoft.com/sharepoint/v3/contenttype/forms"/>
  </ds:schemaRefs>
</ds:datastoreItem>
</file>

<file path=customXml/itemProps6.xml><?xml version="1.0" encoding="utf-8"?>
<ds:datastoreItem xmlns:ds="http://schemas.openxmlformats.org/officeDocument/2006/customXml" ds:itemID="{4D1CC120-113E-44E6-A0CA-472E5364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2307</Words>
  <Characters>12557</Characters>
  <Application>Microsoft Office Word</Application>
  <DocSecurity>0</DocSecurity>
  <Lines>236</Lines>
  <Paragraphs>47</Paragraphs>
  <ScaleCrop>false</ScaleCrop>
  <Company/>
  <LinksUpToDate>false</LinksUpToDate>
  <CharactersWithSpaces>14865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JANA - Retirement Income Covenant Position Paper</dc:title>
  <dc:creator/>
  <cp:lastModifiedBy/>
  <cp:revision>1</cp:revision>
  <dcterms:created xsi:type="dcterms:W3CDTF">2018-07-31T00:34:00Z</dcterms:created>
  <dcterms:modified xsi:type="dcterms:W3CDTF">2018-07-31T00:34:00Z</dcterms:modified>
  <dc:language>English</dc:language>
</cp:coreProperties>
</file>