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86CA24" w14:textId="77777777" w:rsidR="00086427" w:rsidRPr="001C4638" w:rsidRDefault="00086427" w:rsidP="003337FA">
      <w:pPr>
        <w:pStyle w:val="Heading1"/>
        <w:spacing w:before="120" w:after="120"/>
      </w:pPr>
      <w:bookmarkStart w:id="0" w:name="_GoBack"/>
      <w:bookmarkEnd w:id="0"/>
      <w:r w:rsidRPr="001C4638">
        <w:t xml:space="preserve">Review of superannuation and victims of crime compensation </w:t>
      </w:r>
      <w:r w:rsidR="001C4638">
        <w:t xml:space="preserve">- </w:t>
      </w:r>
      <w:r w:rsidRPr="001C4638">
        <w:t>Further consultation and draft proposals</w:t>
      </w:r>
    </w:p>
    <w:p w14:paraId="3A05A796" w14:textId="77777777" w:rsidR="003443FC" w:rsidRPr="001C4638" w:rsidRDefault="00F92BF3" w:rsidP="003337FA">
      <w:pPr>
        <w:pStyle w:val="Heading1"/>
        <w:spacing w:before="120" w:after="120"/>
        <w:rPr>
          <w:b w:val="0"/>
        </w:rPr>
      </w:pPr>
      <w:r>
        <w:rPr>
          <w:b w:val="0"/>
        </w:rPr>
        <w:t>Victims Services c</w:t>
      </w:r>
      <w:r w:rsidR="003443FC" w:rsidRPr="001C4638">
        <w:rPr>
          <w:b w:val="0"/>
        </w:rPr>
        <w:t>omments</w:t>
      </w:r>
    </w:p>
    <w:p w14:paraId="05FAFD89" w14:textId="77777777" w:rsidR="003443FC" w:rsidRPr="001C4638" w:rsidRDefault="003443FC" w:rsidP="003337FA">
      <w:pPr>
        <w:pStyle w:val="Heading2"/>
        <w:spacing w:before="120" w:after="120"/>
        <w:rPr>
          <w:rFonts w:asciiTheme="minorHAnsi" w:hAnsiTheme="minorHAnsi" w:cstheme="minorHAnsi"/>
          <w:sz w:val="24"/>
          <w:szCs w:val="24"/>
        </w:rPr>
      </w:pPr>
      <w:r w:rsidRPr="001C4638">
        <w:rPr>
          <w:rFonts w:asciiTheme="minorHAnsi" w:hAnsiTheme="minorHAnsi" w:cstheme="minorHAnsi"/>
          <w:sz w:val="24"/>
          <w:szCs w:val="24"/>
        </w:rPr>
        <w:t>Overview</w:t>
      </w:r>
    </w:p>
    <w:p w14:paraId="08DD34A9" w14:textId="77777777" w:rsidR="00722BDD" w:rsidRDefault="0077335D" w:rsidP="00957975">
      <w:pPr>
        <w:spacing w:before="120" w:after="0"/>
        <w:jc w:val="both"/>
        <w:rPr>
          <w:rFonts w:cstheme="minorHAnsi"/>
          <w:sz w:val="24"/>
          <w:szCs w:val="24"/>
        </w:rPr>
      </w:pPr>
      <w:r>
        <w:rPr>
          <w:rFonts w:cstheme="minorHAnsi"/>
          <w:sz w:val="24"/>
          <w:szCs w:val="24"/>
        </w:rPr>
        <w:t xml:space="preserve">Victims Services supports the majority of the proposals in this consultation paper. </w:t>
      </w:r>
      <w:r w:rsidR="00833413">
        <w:rPr>
          <w:rFonts w:cstheme="minorHAnsi"/>
          <w:sz w:val="24"/>
          <w:szCs w:val="24"/>
        </w:rPr>
        <w:t>Overall</w:t>
      </w:r>
      <w:r w:rsidR="003511F1">
        <w:rPr>
          <w:rFonts w:cstheme="minorHAnsi"/>
          <w:sz w:val="24"/>
          <w:szCs w:val="24"/>
        </w:rPr>
        <w:t>,</w:t>
      </w:r>
      <w:r w:rsidR="00833413">
        <w:rPr>
          <w:rFonts w:cstheme="minorHAnsi"/>
          <w:sz w:val="24"/>
          <w:szCs w:val="24"/>
        </w:rPr>
        <w:t xml:space="preserve"> the proposals in this paper demonstrate that consideration has been given to feedback previously</w:t>
      </w:r>
      <w:r w:rsidR="003511F1">
        <w:rPr>
          <w:rFonts w:cstheme="minorHAnsi"/>
          <w:sz w:val="24"/>
          <w:szCs w:val="24"/>
        </w:rPr>
        <w:t xml:space="preserve"> provided by Victims Services. </w:t>
      </w:r>
      <w:r w:rsidR="00833413">
        <w:rPr>
          <w:rFonts w:cstheme="minorHAnsi"/>
          <w:sz w:val="24"/>
          <w:szCs w:val="24"/>
        </w:rPr>
        <w:t xml:space="preserve"> </w:t>
      </w:r>
    </w:p>
    <w:p w14:paraId="2939DA3D" w14:textId="77777777" w:rsidR="0077335D" w:rsidRDefault="00687ACB" w:rsidP="00957975">
      <w:pPr>
        <w:spacing w:before="120" w:after="0"/>
        <w:jc w:val="both"/>
        <w:rPr>
          <w:rFonts w:cstheme="minorHAnsi"/>
          <w:sz w:val="24"/>
          <w:szCs w:val="24"/>
        </w:rPr>
      </w:pPr>
      <w:r>
        <w:rPr>
          <w:rFonts w:cstheme="minorHAnsi"/>
          <w:sz w:val="24"/>
          <w:szCs w:val="24"/>
        </w:rPr>
        <w:t xml:space="preserve">However, </w:t>
      </w:r>
      <w:r w:rsidR="0077335D">
        <w:rPr>
          <w:rFonts w:cstheme="minorHAnsi"/>
          <w:sz w:val="24"/>
          <w:szCs w:val="24"/>
        </w:rPr>
        <w:t xml:space="preserve">Victims Services </w:t>
      </w:r>
      <w:r>
        <w:rPr>
          <w:rFonts w:cstheme="minorHAnsi"/>
          <w:sz w:val="24"/>
          <w:szCs w:val="24"/>
        </w:rPr>
        <w:t xml:space="preserve">seeks </w:t>
      </w:r>
      <w:r w:rsidR="00833413">
        <w:rPr>
          <w:rFonts w:cstheme="minorHAnsi"/>
          <w:sz w:val="24"/>
          <w:szCs w:val="24"/>
        </w:rPr>
        <w:t xml:space="preserve">further consideration </w:t>
      </w:r>
      <w:r>
        <w:rPr>
          <w:rFonts w:cstheme="minorHAnsi"/>
          <w:sz w:val="24"/>
          <w:szCs w:val="24"/>
        </w:rPr>
        <w:t xml:space="preserve">of </w:t>
      </w:r>
      <w:r w:rsidR="00833413">
        <w:rPr>
          <w:rFonts w:cstheme="minorHAnsi"/>
          <w:sz w:val="24"/>
          <w:szCs w:val="24"/>
        </w:rPr>
        <w:t xml:space="preserve">the following </w:t>
      </w:r>
      <w:r w:rsidR="00833413" w:rsidRPr="00F118F7">
        <w:rPr>
          <w:rFonts w:cstheme="minorHAnsi"/>
          <w:sz w:val="24"/>
          <w:szCs w:val="24"/>
        </w:rPr>
        <w:t>points</w:t>
      </w:r>
      <w:r w:rsidR="003511F1">
        <w:rPr>
          <w:rFonts w:cstheme="minorHAnsi"/>
          <w:sz w:val="24"/>
          <w:szCs w:val="24"/>
        </w:rPr>
        <w:t xml:space="preserve"> in relation to draft proposal 2</w:t>
      </w:r>
      <w:r w:rsidR="0077335D" w:rsidRPr="00F118F7">
        <w:rPr>
          <w:rFonts w:cstheme="minorHAnsi"/>
          <w:sz w:val="24"/>
          <w:szCs w:val="24"/>
        </w:rPr>
        <w:t>:</w:t>
      </w:r>
      <w:r w:rsidR="00AF1FC5">
        <w:rPr>
          <w:rFonts w:cstheme="minorHAnsi"/>
          <w:sz w:val="24"/>
          <w:szCs w:val="24"/>
        </w:rPr>
        <w:t xml:space="preserve"> </w:t>
      </w:r>
    </w:p>
    <w:p w14:paraId="2B761B65" w14:textId="1172E133" w:rsidR="0077335D" w:rsidRDefault="003C7A2A" w:rsidP="009B77BD">
      <w:pPr>
        <w:pStyle w:val="ListParagraph"/>
        <w:numPr>
          <w:ilvl w:val="0"/>
          <w:numId w:val="5"/>
        </w:numPr>
        <w:spacing w:after="120"/>
        <w:jc w:val="both"/>
        <w:rPr>
          <w:rFonts w:cstheme="minorHAnsi"/>
          <w:sz w:val="24"/>
          <w:szCs w:val="24"/>
        </w:rPr>
      </w:pPr>
      <w:r w:rsidRPr="00B93C80">
        <w:rPr>
          <w:rFonts w:cstheme="minorHAnsi"/>
          <w:sz w:val="24"/>
          <w:szCs w:val="24"/>
        </w:rPr>
        <w:t>Issue 2</w:t>
      </w:r>
      <w:r w:rsidR="00666AAE" w:rsidRPr="00B93C80">
        <w:rPr>
          <w:rFonts w:cstheme="minorHAnsi"/>
          <w:sz w:val="24"/>
          <w:szCs w:val="24"/>
        </w:rPr>
        <w:t>:</w:t>
      </w:r>
      <w:r w:rsidR="00666AAE">
        <w:rPr>
          <w:rFonts w:cstheme="minorHAnsi"/>
          <w:b/>
          <w:sz w:val="24"/>
          <w:szCs w:val="24"/>
        </w:rPr>
        <w:t xml:space="preserve"> </w:t>
      </w:r>
      <w:r w:rsidR="009E25AF">
        <w:rPr>
          <w:rFonts w:cstheme="minorHAnsi"/>
          <w:sz w:val="24"/>
          <w:szCs w:val="24"/>
        </w:rPr>
        <w:t>‘</w:t>
      </w:r>
      <w:r w:rsidR="009B77BD">
        <w:rPr>
          <w:rFonts w:cstheme="minorHAnsi"/>
          <w:sz w:val="24"/>
          <w:szCs w:val="24"/>
        </w:rPr>
        <w:t>S</w:t>
      </w:r>
      <w:r w:rsidR="004C1CFD">
        <w:rPr>
          <w:rFonts w:cstheme="minorHAnsi"/>
          <w:sz w:val="24"/>
          <w:szCs w:val="24"/>
        </w:rPr>
        <w:t>erious criminal offence</w:t>
      </w:r>
      <w:r w:rsidR="009B77BD">
        <w:rPr>
          <w:rFonts w:cstheme="minorHAnsi"/>
          <w:sz w:val="24"/>
          <w:szCs w:val="24"/>
        </w:rPr>
        <w:t>s</w:t>
      </w:r>
      <w:r w:rsidR="009E25AF">
        <w:rPr>
          <w:rFonts w:cstheme="minorHAnsi"/>
          <w:sz w:val="24"/>
          <w:szCs w:val="24"/>
        </w:rPr>
        <w:t>’ should</w:t>
      </w:r>
      <w:r w:rsidR="009B77BD">
        <w:rPr>
          <w:rFonts w:cstheme="minorHAnsi"/>
          <w:sz w:val="24"/>
          <w:szCs w:val="24"/>
        </w:rPr>
        <w:t xml:space="preserve"> be defined as s</w:t>
      </w:r>
      <w:r w:rsidR="009B77BD" w:rsidRPr="009B77BD">
        <w:rPr>
          <w:rFonts w:cstheme="minorHAnsi"/>
          <w:sz w:val="24"/>
          <w:szCs w:val="24"/>
        </w:rPr>
        <w:t>erious indictable offence</w:t>
      </w:r>
      <w:r w:rsidR="009B77BD">
        <w:rPr>
          <w:rFonts w:cstheme="minorHAnsi"/>
          <w:sz w:val="24"/>
          <w:szCs w:val="24"/>
        </w:rPr>
        <w:t>s.</w:t>
      </w:r>
      <w:r w:rsidR="009562FC">
        <w:rPr>
          <w:rFonts w:cstheme="minorHAnsi"/>
          <w:sz w:val="24"/>
          <w:szCs w:val="24"/>
        </w:rPr>
        <w:t xml:space="preserve"> A</w:t>
      </w:r>
      <w:r w:rsidR="00E16E2C">
        <w:rPr>
          <w:rFonts w:cstheme="minorHAnsi"/>
          <w:sz w:val="24"/>
          <w:szCs w:val="24"/>
        </w:rPr>
        <w:t xml:space="preserve"> </w:t>
      </w:r>
      <w:r w:rsidR="009562FC">
        <w:rPr>
          <w:rFonts w:cstheme="minorHAnsi"/>
          <w:sz w:val="24"/>
          <w:szCs w:val="24"/>
        </w:rPr>
        <w:t>s</w:t>
      </w:r>
      <w:r w:rsidR="009B77BD" w:rsidRPr="009B77BD">
        <w:rPr>
          <w:rFonts w:cstheme="minorHAnsi"/>
          <w:sz w:val="24"/>
          <w:szCs w:val="24"/>
        </w:rPr>
        <w:t>erious indictable offence</w:t>
      </w:r>
      <w:r w:rsidR="009562FC">
        <w:rPr>
          <w:rFonts w:cstheme="minorHAnsi"/>
          <w:sz w:val="24"/>
          <w:szCs w:val="24"/>
        </w:rPr>
        <w:t xml:space="preserve"> is</w:t>
      </w:r>
      <w:r w:rsidR="00E16E2C">
        <w:rPr>
          <w:rFonts w:cstheme="minorHAnsi"/>
          <w:sz w:val="24"/>
          <w:szCs w:val="24"/>
        </w:rPr>
        <w:t xml:space="preserve"> </w:t>
      </w:r>
      <w:r w:rsidR="009B77BD">
        <w:rPr>
          <w:rFonts w:cstheme="minorHAnsi"/>
          <w:sz w:val="24"/>
          <w:szCs w:val="24"/>
        </w:rPr>
        <w:t xml:space="preserve">defined in the </w:t>
      </w:r>
      <w:r w:rsidR="009B77BD" w:rsidRPr="00B21F33">
        <w:rPr>
          <w:rFonts w:cstheme="minorHAnsi"/>
          <w:i/>
          <w:sz w:val="24"/>
          <w:szCs w:val="24"/>
        </w:rPr>
        <w:t>Crimes Act 1900</w:t>
      </w:r>
      <w:r w:rsidR="009B77BD" w:rsidRPr="009B77BD">
        <w:rPr>
          <w:rFonts w:cstheme="minorHAnsi"/>
          <w:sz w:val="24"/>
          <w:szCs w:val="24"/>
        </w:rPr>
        <w:t xml:space="preserve"> </w:t>
      </w:r>
      <w:r w:rsidR="009B77BD">
        <w:rPr>
          <w:rFonts w:cstheme="minorHAnsi"/>
          <w:sz w:val="24"/>
          <w:szCs w:val="24"/>
        </w:rPr>
        <w:t xml:space="preserve">(NSW) as </w:t>
      </w:r>
      <w:r w:rsidR="009B77BD" w:rsidRPr="009B77BD">
        <w:rPr>
          <w:rFonts w:cstheme="minorHAnsi"/>
          <w:sz w:val="24"/>
          <w:szCs w:val="24"/>
        </w:rPr>
        <w:t xml:space="preserve">an indictable offence that is punishable by imprisonment for life or for a term of </w:t>
      </w:r>
      <w:r w:rsidR="0066177E">
        <w:rPr>
          <w:rFonts w:cstheme="minorHAnsi"/>
          <w:sz w:val="24"/>
          <w:szCs w:val="24"/>
        </w:rPr>
        <w:t>five</w:t>
      </w:r>
      <w:r w:rsidR="009B77BD" w:rsidRPr="009B77BD">
        <w:rPr>
          <w:rFonts w:cstheme="minorHAnsi"/>
          <w:sz w:val="24"/>
          <w:szCs w:val="24"/>
        </w:rPr>
        <w:t xml:space="preserve"> years or more</w:t>
      </w:r>
      <w:r w:rsidR="004C1CFD">
        <w:rPr>
          <w:rFonts w:cstheme="minorHAnsi"/>
          <w:sz w:val="24"/>
          <w:szCs w:val="24"/>
        </w:rPr>
        <w:t xml:space="preserve">. </w:t>
      </w:r>
    </w:p>
    <w:p w14:paraId="6D05C53C" w14:textId="77777777" w:rsidR="004C1CFD" w:rsidRDefault="003C7A2A" w:rsidP="004C1CFD">
      <w:pPr>
        <w:pStyle w:val="ListParagraph"/>
        <w:numPr>
          <w:ilvl w:val="0"/>
          <w:numId w:val="5"/>
        </w:numPr>
        <w:spacing w:before="120" w:after="120"/>
        <w:jc w:val="both"/>
        <w:rPr>
          <w:rFonts w:cstheme="minorHAnsi"/>
          <w:sz w:val="24"/>
          <w:szCs w:val="24"/>
        </w:rPr>
      </w:pPr>
      <w:r w:rsidRPr="005A4136">
        <w:rPr>
          <w:rFonts w:cstheme="minorHAnsi"/>
          <w:sz w:val="24"/>
          <w:szCs w:val="24"/>
        </w:rPr>
        <w:t>Issue 3:</w:t>
      </w:r>
      <w:r>
        <w:rPr>
          <w:rFonts w:cstheme="minorHAnsi"/>
          <w:sz w:val="24"/>
          <w:szCs w:val="24"/>
        </w:rPr>
        <w:t xml:space="preserve"> </w:t>
      </w:r>
      <w:r w:rsidR="000A3A0E">
        <w:rPr>
          <w:rFonts w:cstheme="minorHAnsi"/>
          <w:sz w:val="24"/>
          <w:szCs w:val="24"/>
        </w:rPr>
        <w:t>F</w:t>
      </w:r>
      <w:r w:rsidR="00B63D14">
        <w:rPr>
          <w:rFonts w:cstheme="minorHAnsi"/>
          <w:sz w:val="24"/>
          <w:szCs w:val="24"/>
        </w:rPr>
        <w:t xml:space="preserve">amily victims of a primary homicide victim should also have access to the </w:t>
      </w:r>
      <w:r w:rsidR="009E25AF">
        <w:rPr>
          <w:rFonts w:cstheme="minorHAnsi"/>
          <w:sz w:val="24"/>
          <w:szCs w:val="24"/>
        </w:rPr>
        <w:t>offender’s</w:t>
      </w:r>
      <w:r w:rsidR="00B63D14">
        <w:rPr>
          <w:rFonts w:cstheme="minorHAnsi"/>
          <w:sz w:val="24"/>
          <w:szCs w:val="24"/>
        </w:rPr>
        <w:t xml:space="preserve"> superannuation for the purposes of compensation. </w:t>
      </w:r>
    </w:p>
    <w:p w14:paraId="0A0203FE" w14:textId="77777777" w:rsidR="007E146E" w:rsidRPr="00B93C80" w:rsidRDefault="00F96847" w:rsidP="00B93C80">
      <w:pPr>
        <w:spacing w:before="120" w:after="120"/>
        <w:jc w:val="both"/>
        <w:rPr>
          <w:rFonts w:cstheme="minorHAnsi"/>
          <w:b/>
          <w:sz w:val="24"/>
          <w:szCs w:val="24"/>
        </w:rPr>
      </w:pPr>
      <w:r>
        <w:rPr>
          <w:rFonts w:cstheme="minorHAnsi"/>
          <w:b/>
          <w:sz w:val="24"/>
          <w:szCs w:val="24"/>
        </w:rPr>
        <w:t xml:space="preserve">Interaction with the NSW Victim Support Scheme </w:t>
      </w:r>
    </w:p>
    <w:p w14:paraId="0A5FE3F8" w14:textId="77777777" w:rsidR="0052653E" w:rsidRDefault="00C22A5B" w:rsidP="0077335D">
      <w:pPr>
        <w:spacing w:before="120" w:after="120"/>
        <w:jc w:val="both"/>
        <w:rPr>
          <w:rFonts w:cstheme="minorHAnsi"/>
          <w:sz w:val="24"/>
          <w:szCs w:val="24"/>
        </w:rPr>
      </w:pPr>
      <w:r>
        <w:rPr>
          <w:rFonts w:cstheme="minorHAnsi"/>
          <w:sz w:val="24"/>
          <w:szCs w:val="24"/>
        </w:rPr>
        <w:t>In NSW, if</w:t>
      </w:r>
      <w:r w:rsidR="0077335D" w:rsidRPr="0077335D">
        <w:rPr>
          <w:rFonts w:cstheme="minorHAnsi"/>
          <w:sz w:val="24"/>
          <w:szCs w:val="24"/>
        </w:rPr>
        <w:t xml:space="preserve"> a victim receives a criminal court compensation order, they may be ineligible to make an application</w:t>
      </w:r>
      <w:r w:rsidR="000A3A0E">
        <w:rPr>
          <w:rFonts w:cstheme="minorHAnsi"/>
          <w:sz w:val="24"/>
          <w:szCs w:val="24"/>
        </w:rPr>
        <w:t xml:space="preserve"> for</w:t>
      </w:r>
      <w:r w:rsidR="0077335D" w:rsidRPr="0077335D">
        <w:rPr>
          <w:rFonts w:cstheme="minorHAnsi"/>
          <w:sz w:val="24"/>
          <w:szCs w:val="24"/>
        </w:rPr>
        <w:t xml:space="preserve"> victims support.  </w:t>
      </w:r>
    </w:p>
    <w:p w14:paraId="1BB95984" w14:textId="77777777" w:rsidR="0052653E" w:rsidRDefault="0077335D" w:rsidP="0077335D">
      <w:pPr>
        <w:spacing w:before="120" w:after="120"/>
        <w:jc w:val="both"/>
        <w:rPr>
          <w:rFonts w:cstheme="minorHAnsi"/>
          <w:sz w:val="24"/>
          <w:szCs w:val="24"/>
        </w:rPr>
      </w:pPr>
      <w:r w:rsidRPr="0077335D">
        <w:rPr>
          <w:rFonts w:cstheme="minorHAnsi"/>
          <w:sz w:val="24"/>
          <w:szCs w:val="24"/>
        </w:rPr>
        <w:t>Section 25(1) of the</w:t>
      </w:r>
      <w:r w:rsidR="008D140E" w:rsidRPr="008D140E">
        <w:t xml:space="preserve"> </w:t>
      </w:r>
      <w:r w:rsidR="008D140E" w:rsidRPr="008D140E">
        <w:rPr>
          <w:rFonts w:cstheme="minorHAnsi"/>
          <w:i/>
          <w:sz w:val="24"/>
          <w:szCs w:val="24"/>
        </w:rPr>
        <w:t>Victims Rights and Support Act 2013</w:t>
      </w:r>
      <w:r w:rsidR="008D140E">
        <w:rPr>
          <w:rFonts w:cstheme="minorHAnsi"/>
          <w:sz w:val="24"/>
          <w:szCs w:val="24"/>
        </w:rPr>
        <w:t xml:space="preserve"> </w:t>
      </w:r>
      <w:r w:rsidR="00BF147F">
        <w:rPr>
          <w:rFonts w:cstheme="minorHAnsi"/>
          <w:sz w:val="24"/>
          <w:szCs w:val="24"/>
        </w:rPr>
        <w:t xml:space="preserve">(NSW) </w:t>
      </w:r>
      <w:r w:rsidRPr="0077335D">
        <w:rPr>
          <w:rFonts w:cstheme="minorHAnsi"/>
          <w:sz w:val="24"/>
          <w:szCs w:val="24"/>
        </w:rPr>
        <w:t xml:space="preserve">states that a person is not eligible to receive victims support in respect of an act of violence if the person has been paid, or is entitled to be paid, compensation awarded by a court in respect of that Act under Part 6 or if the person’s application for such compensation is pending.  </w:t>
      </w:r>
    </w:p>
    <w:p w14:paraId="30ABEE2D" w14:textId="77777777" w:rsidR="0077335D" w:rsidRPr="0077335D" w:rsidRDefault="0077335D" w:rsidP="0077335D">
      <w:pPr>
        <w:spacing w:before="120" w:after="120"/>
        <w:jc w:val="both"/>
        <w:rPr>
          <w:rFonts w:cstheme="minorHAnsi"/>
          <w:sz w:val="24"/>
          <w:szCs w:val="24"/>
        </w:rPr>
      </w:pPr>
      <w:r w:rsidRPr="0077335D">
        <w:rPr>
          <w:rFonts w:cstheme="minorHAnsi"/>
          <w:sz w:val="24"/>
          <w:szCs w:val="24"/>
        </w:rPr>
        <w:t xml:space="preserve">Section 95(2) provides that a court cannot issue a direction for compensation for injury if financial support under the Victims Support Scheme has already been given in respect of the injury to or for the benefit of the ‘aggrieved person’.  </w:t>
      </w:r>
      <w:r w:rsidR="00D9591E">
        <w:rPr>
          <w:rFonts w:cstheme="minorHAnsi"/>
          <w:sz w:val="24"/>
          <w:szCs w:val="24"/>
        </w:rPr>
        <w:t>T</w:t>
      </w:r>
      <w:r w:rsidRPr="0077335D">
        <w:rPr>
          <w:rFonts w:cstheme="minorHAnsi"/>
          <w:sz w:val="24"/>
          <w:szCs w:val="24"/>
        </w:rPr>
        <w:t>his mean</w:t>
      </w:r>
      <w:r w:rsidR="00EC4500">
        <w:rPr>
          <w:rFonts w:cstheme="minorHAnsi"/>
          <w:sz w:val="24"/>
          <w:szCs w:val="24"/>
        </w:rPr>
        <w:t>s</w:t>
      </w:r>
      <w:r w:rsidRPr="0077335D">
        <w:rPr>
          <w:rFonts w:cstheme="minorHAnsi"/>
          <w:sz w:val="24"/>
          <w:szCs w:val="24"/>
        </w:rPr>
        <w:t xml:space="preserve"> that if a person is issued with a compensation order by a court, and then the convicted person has insufficient funds or refuses to pay, the victim may be ineligible to receive victims support.</w:t>
      </w:r>
    </w:p>
    <w:p w14:paraId="4EDD0A4A" w14:textId="77777777" w:rsidR="00BC37A5" w:rsidRDefault="00BC37A5" w:rsidP="008D6297">
      <w:pPr>
        <w:spacing w:before="120" w:after="120"/>
        <w:jc w:val="both"/>
        <w:rPr>
          <w:rFonts w:cstheme="minorHAnsi"/>
          <w:sz w:val="24"/>
          <w:szCs w:val="24"/>
        </w:rPr>
      </w:pPr>
    </w:p>
    <w:p w14:paraId="10E09FD6" w14:textId="77777777" w:rsidR="00DC3210" w:rsidRDefault="00F96847" w:rsidP="008D6297">
      <w:pPr>
        <w:spacing w:before="120" w:after="120"/>
        <w:jc w:val="both"/>
        <w:rPr>
          <w:rFonts w:cstheme="minorHAnsi"/>
          <w:sz w:val="24"/>
          <w:szCs w:val="24"/>
        </w:rPr>
      </w:pPr>
      <w:r w:rsidRPr="00710067">
        <w:rPr>
          <w:rFonts w:cstheme="minorHAnsi"/>
          <w:b/>
          <w:sz w:val="24"/>
          <w:szCs w:val="24"/>
        </w:rPr>
        <w:lastRenderedPageBreak/>
        <w:t>The review should consider a process for the disclosure of a perpetrator’s superannuation before a court compensation order is made</w:t>
      </w:r>
      <w:r w:rsidR="005C21D9">
        <w:rPr>
          <w:rFonts w:cstheme="minorHAnsi"/>
          <w:b/>
          <w:sz w:val="24"/>
          <w:szCs w:val="24"/>
        </w:rPr>
        <w:t>.</w:t>
      </w:r>
      <w:r w:rsidRPr="00710067">
        <w:rPr>
          <w:rFonts w:cstheme="minorHAnsi"/>
          <w:b/>
          <w:sz w:val="24"/>
          <w:szCs w:val="24"/>
        </w:rPr>
        <w:t xml:space="preserve"> </w:t>
      </w:r>
      <w:r w:rsidR="000A3A0E">
        <w:rPr>
          <w:rFonts w:cstheme="minorHAnsi"/>
          <w:sz w:val="24"/>
          <w:szCs w:val="24"/>
        </w:rPr>
        <w:t>T</w:t>
      </w:r>
      <w:r w:rsidR="0077335D">
        <w:rPr>
          <w:rFonts w:cstheme="minorHAnsi"/>
          <w:sz w:val="24"/>
          <w:szCs w:val="24"/>
        </w:rPr>
        <w:t xml:space="preserve">here </w:t>
      </w:r>
      <w:r w:rsidR="0077335D" w:rsidRPr="0077335D">
        <w:rPr>
          <w:rFonts w:cstheme="minorHAnsi"/>
          <w:sz w:val="24"/>
          <w:szCs w:val="24"/>
        </w:rPr>
        <w:t xml:space="preserve">does not appear to be </w:t>
      </w:r>
      <w:r w:rsidR="00F83947" w:rsidRPr="0077335D">
        <w:rPr>
          <w:rFonts w:cstheme="minorHAnsi"/>
          <w:sz w:val="24"/>
          <w:szCs w:val="24"/>
        </w:rPr>
        <w:t>a</w:t>
      </w:r>
      <w:r w:rsidR="00F83947">
        <w:rPr>
          <w:rFonts w:cstheme="minorHAnsi"/>
          <w:sz w:val="24"/>
          <w:szCs w:val="24"/>
        </w:rPr>
        <w:t xml:space="preserve"> proposed </w:t>
      </w:r>
      <w:r w:rsidR="002C4986" w:rsidRPr="0077335D">
        <w:rPr>
          <w:rFonts w:cstheme="minorHAnsi"/>
          <w:sz w:val="24"/>
          <w:szCs w:val="24"/>
        </w:rPr>
        <w:t>pro</w:t>
      </w:r>
      <w:r w:rsidR="002C4986">
        <w:rPr>
          <w:rFonts w:cstheme="minorHAnsi"/>
          <w:sz w:val="24"/>
          <w:szCs w:val="24"/>
        </w:rPr>
        <w:t>cess</w:t>
      </w:r>
      <w:r w:rsidR="002C4986" w:rsidRPr="0077335D">
        <w:rPr>
          <w:rFonts w:cstheme="minorHAnsi"/>
          <w:sz w:val="24"/>
          <w:szCs w:val="24"/>
        </w:rPr>
        <w:t xml:space="preserve"> </w:t>
      </w:r>
      <w:r w:rsidR="0077335D" w:rsidRPr="0077335D">
        <w:rPr>
          <w:rFonts w:cstheme="minorHAnsi"/>
          <w:sz w:val="24"/>
          <w:szCs w:val="24"/>
        </w:rPr>
        <w:t>for the victim to obtain information about a superannuation</w:t>
      </w:r>
      <w:r w:rsidR="009921F1">
        <w:rPr>
          <w:rFonts w:cstheme="minorHAnsi"/>
          <w:sz w:val="24"/>
          <w:szCs w:val="24"/>
        </w:rPr>
        <w:t xml:space="preserve"> or </w:t>
      </w:r>
      <w:r w:rsidR="0077335D" w:rsidRPr="0077335D">
        <w:rPr>
          <w:rFonts w:cstheme="minorHAnsi"/>
          <w:sz w:val="24"/>
          <w:szCs w:val="24"/>
        </w:rPr>
        <w:t>asset balance</w:t>
      </w:r>
      <w:r w:rsidR="008D140E">
        <w:rPr>
          <w:rFonts w:cstheme="minorHAnsi"/>
          <w:sz w:val="24"/>
          <w:szCs w:val="24"/>
        </w:rPr>
        <w:t xml:space="preserve"> prior</w:t>
      </w:r>
      <w:r w:rsidR="0077335D" w:rsidRPr="0077335D">
        <w:rPr>
          <w:rFonts w:cstheme="minorHAnsi"/>
          <w:sz w:val="24"/>
          <w:szCs w:val="24"/>
        </w:rPr>
        <w:t xml:space="preserve"> to </w:t>
      </w:r>
      <w:r w:rsidR="00F83947">
        <w:rPr>
          <w:rFonts w:cstheme="minorHAnsi"/>
          <w:sz w:val="24"/>
          <w:szCs w:val="24"/>
        </w:rPr>
        <w:t>a</w:t>
      </w:r>
      <w:r w:rsidR="00F83947" w:rsidRPr="0077335D">
        <w:rPr>
          <w:rFonts w:cstheme="minorHAnsi"/>
          <w:sz w:val="24"/>
          <w:szCs w:val="24"/>
        </w:rPr>
        <w:t xml:space="preserve"> </w:t>
      </w:r>
      <w:r w:rsidR="0077335D" w:rsidRPr="0077335D">
        <w:rPr>
          <w:rFonts w:cstheme="minorHAnsi"/>
          <w:sz w:val="24"/>
          <w:szCs w:val="24"/>
        </w:rPr>
        <w:t xml:space="preserve">court compensation order being made.  </w:t>
      </w:r>
      <w:r w:rsidR="000310A5">
        <w:rPr>
          <w:rFonts w:cstheme="minorHAnsi"/>
          <w:sz w:val="24"/>
          <w:szCs w:val="24"/>
        </w:rPr>
        <w:t xml:space="preserve">In NSW, this creates </w:t>
      </w:r>
      <w:r w:rsidR="009921F1">
        <w:rPr>
          <w:rFonts w:cstheme="minorHAnsi"/>
          <w:sz w:val="24"/>
          <w:szCs w:val="24"/>
        </w:rPr>
        <w:t xml:space="preserve">a </w:t>
      </w:r>
      <w:r w:rsidR="000310A5">
        <w:rPr>
          <w:rFonts w:cstheme="minorHAnsi"/>
          <w:sz w:val="24"/>
          <w:szCs w:val="24"/>
        </w:rPr>
        <w:t xml:space="preserve">risk </w:t>
      </w:r>
      <w:r w:rsidR="0077335D" w:rsidRPr="0077335D">
        <w:rPr>
          <w:rFonts w:cstheme="minorHAnsi"/>
          <w:sz w:val="24"/>
          <w:szCs w:val="24"/>
        </w:rPr>
        <w:t xml:space="preserve">that legal advocates and others may persuade victims to </w:t>
      </w:r>
      <w:r w:rsidR="007E146E">
        <w:rPr>
          <w:rFonts w:cstheme="minorHAnsi"/>
          <w:sz w:val="24"/>
          <w:szCs w:val="24"/>
        </w:rPr>
        <w:t>pursue</w:t>
      </w:r>
      <w:r w:rsidR="007E146E" w:rsidRPr="0077335D">
        <w:rPr>
          <w:rFonts w:cstheme="minorHAnsi"/>
          <w:sz w:val="24"/>
          <w:szCs w:val="24"/>
        </w:rPr>
        <w:t xml:space="preserve"> </w:t>
      </w:r>
      <w:r w:rsidR="0077335D" w:rsidRPr="0077335D">
        <w:rPr>
          <w:rFonts w:cstheme="minorHAnsi"/>
          <w:sz w:val="24"/>
          <w:szCs w:val="24"/>
        </w:rPr>
        <w:t xml:space="preserve">a criminal compensation order </w:t>
      </w:r>
      <w:r w:rsidR="008D140E">
        <w:rPr>
          <w:rFonts w:cstheme="minorHAnsi"/>
          <w:sz w:val="24"/>
          <w:szCs w:val="24"/>
        </w:rPr>
        <w:t>with the expectation that they will be able to receive payment because they expect the offender to have superannuation available. H</w:t>
      </w:r>
      <w:r w:rsidR="0077335D" w:rsidRPr="0077335D">
        <w:rPr>
          <w:rFonts w:cstheme="minorHAnsi"/>
          <w:sz w:val="24"/>
          <w:szCs w:val="24"/>
        </w:rPr>
        <w:t>owever</w:t>
      </w:r>
      <w:r w:rsidR="00737931">
        <w:rPr>
          <w:rFonts w:cstheme="minorHAnsi"/>
          <w:sz w:val="24"/>
          <w:szCs w:val="24"/>
        </w:rPr>
        <w:t>,</w:t>
      </w:r>
      <w:r w:rsidR="0077335D" w:rsidRPr="0077335D">
        <w:rPr>
          <w:rFonts w:cstheme="minorHAnsi"/>
          <w:sz w:val="24"/>
          <w:szCs w:val="24"/>
        </w:rPr>
        <w:t xml:space="preserve"> </w:t>
      </w:r>
      <w:r w:rsidR="008D140E">
        <w:rPr>
          <w:rFonts w:cstheme="minorHAnsi"/>
          <w:sz w:val="24"/>
          <w:szCs w:val="24"/>
        </w:rPr>
        <w:t xml:space="preserve">many offenders have little to no superannuation and the </w:t>
      </w:r>
      <w:r w:rsidR="0077335D" w:rsidRPr="0077335D">
        <w:rPr>
          <w:rFonts w:cstheme="minorHAnsi"/>
          <w:sz w:val="24"/>
          <w:szCs w:val="24"/>
        </w:rPr>
        <w:t xml:space="preserve">victim would </w:t>
      </w:r>
      <w:r w:rsidR="008D140E">
        <w:rPr>
          <w:rFonts w:cstheme="minorHAnsi"/>
          <w:sz w:val="24"/>
          <w:szCs w:val="24"/>
        </w:rPr>
        <w:t xml:space="preserve">then </w:t>
      </w:r>
      <w:r w:rsidR="0077335D" w:rsidRPr="0077335D">
        <w:rPr>
          <w:rFonts w:cstheme="minorHAnsi"/>
          <w:sz w:val="24"/>
          <w:szCs w:val="24"/>
        </w:rPr>
        <w:t>be ineligible to apply for</w:t>
      </w:r>
      <w:r w:rsidR="00737931">
        <w:rPr>
          <w:rFonts w:cstheme="minorHAnsi"/>
          <w:sz w:val="24"/>
          <w:szCs w:val="24"/>
        </w:rPr>
        <w:t xml:space="preserve"> financial support under the Victim Support Scheme</w:t>
      </w:r>
      <w:r w:rsidR="0077335D" w:rsidRPr="0077335D">
        <w:rPr>
          <w:rFonts w:cstheme="minorHAnsi"/>
          <w:sz w:val="24"/>
          <w:szCs w:val="24"/>
        </w:rPr>
        <w:t xml:space="preserve">.  </w:t>
      </w:r>
    </w:p>
    <w:p w14:paraId="14609E40" w14:textId="77777777" w:rsidR="0077335D" w:rsidRDefault="00737931" w:rsidP="008D6297">
      <w:pPr>
        <w:spacing w:before="120" w:after="120"/>
        <w:jc w:val="both"/>
        <w:rPr>
          <w:rFonts w:cstheme="minorHAnsi"/>
          <w:sz w:val="24"/>
          <w:szCs w:val="24"/>
        </w:rPr>
      </w:pPr>
      <w:r>
        <w:rPr>
          <w:rFonts w:cstheme="minorHAnsi"/>
          <w:sz w:val="24"/>
          <w:szCs w:val="24"/>
        </w:rPr>
        <w:t xml:space="preserve">The </w:t>
      </w:r>
      <w:r w:rsidR="008D140E">
        <w:rPr>
          <w:rFonts w:cstheme="minorHAnsi"/>
          <w:sz w:val="24"/>
          <w:szCs w:val="24"/>
        </w:rPr>
        <w:t xml:space="preserve">proposal may require </w:t>
      </w:r>
      <w:r w:rsidR="0077335D" w:rsidRPr="0077335D">
        <w:rPr>
          <w:rFonts w:cstheme="minorHAnsi"/>
          <w:sz w:val="24"/>
          <w:szCs w:val="24"/>
        </w:rPr>
        <w:t xml:space="preserve">an amendment to </w:t>
      </w:r>
      <w:r w:rsidR="008D140E" w:rsidRPr="0077335D">
        <w:rPr>
          <w:rFonts w:cstheme="minorHAnsi"/>
          <w:sz w:val="24"/>
          <w:szCs w:val="24"/>
        </w:rPr>
        <w:t>Section 25(1) of the</w:t>
      </w:r>
      <w:r w:rsidR="008D140E" w:rsidRPr="008D140E">
        <w:t xml:space="preserve"> </w:t>
      </w:r>
      <w:r w:rsidR="008D140E" w:rsidRPr="008D140E">
        <w:rPr>
          <w:rFonts w:cstheme="minorHAnsi"/>
          <w:i/>
          <w:sz w:val="24"/>
          <w:szCs w:val="24"/>
        </w:rPr>
        <w:t>Victims Rights and Support Act 2013</w:t>
      </w:r>
      <w:r>
        <w:rPr>
          <w:rFonts w:cstheme="minorHAnsi"/>
          <w:i/>
          <w:sz w:val="24"/>
          <w:szCs w:val="24"/>
        </w:rPr>
        <w:t xml:space="preserve"> </w:t>
      </w:r>
      <w:r>
        <w:rPr>
          <w:rFonts w:cstheme="minorHAnsi"/>
          <w:sz w:val="24"/>
          <w:szCs w:val="24"/>
        </w:rPr>
        <w:t>(NSW)</w:t>
      </w:r>
      <w:r w:rsidR="008D140E">
        <w:rPr>
          <w:rFonts w:cstheme="minorHAnsi"/>
          <w:sz w:val="24"/>
          <w:szCs w:val="24"/>
        </w:rPr>
        <w:t xml:space="preserve"> </w:t>
      </w:r>
      <w:r w:rsidR="0077335D" w:rsidRPr="0077335D">
        <w:rPr>
          <w:rFonts w:cstheme="minorHAnsi"/>
          <w:sz w:val="24"/>
          <w:szCs w:val="24"/>
        </w:rPr>
        <w:t xml:space="preserve">to </w:t>
      </w:r>
      <w:r w:rsidR="00D9591E">
        <w:rPr>
          <w:rFonts w:cstheme="minorHAnsi"/>
          <w:sz w:val="24"/>
          <w:szCs w:val="24"/>
        </w:rPr>
        <w:t xml:space="preserve">mitigate the risk of </w:t>
      </w:r>
      <w:r w:rsidR="00EC4500">
        <w:rPr>
          <w:rFonts w:cstheme="minorHAnsi"/>
          <w:sz w:val="24"/>
          <w:szCs w:val="24"/>
        </w:rPr>
        <w:t>victims</w:t>
      </w:r>
      <w:r w:rsidR="00D9591E">
        <w:rPr>
          <w:rFonts w:cstheme="minorHAnsi"/>
          <w:sz w:val="24"/>
          <w:szCs w:val="24"/>
        </w:rPr>
        <w:t xml:space="preserve"> being left without any means of support</w:t>
      </w:r>
      <w:r w:rsidR="0077335D" w:rsidRPr="0077335D">
        <w:rPr>
          <w:rFonts w:cstheme="minorHAnsi"/>
          <w:sz w:val="24"/>
          <w:szCs w:val="24"/>
        </w:rPr>
        <w:t>.</w:t>
      </w:r>
    </w:p>
    <w:p w14:paraId="59A3B7FE" w14:textId="77777777" w:rsidR="000310A5" w:rsidRDefault="000310A5" w:rsidP="008D6297">
      <w:pPr>
        <w:spacing w:before="120" w:after="120"/>
        <w:jc w:val="both"/>
        <w:rPr>
          <w:rFonts w:cstheme="minorHAnsi"/>
          <w:sz w:val="24"/>
          <w:szCs w:val="24"/>
        </w:rPr>
      </w:pPr>
    </w:p>
    <w:p w14:paraId="78D674B2" w14:textId="77777777" w:rsidR="000310A5" w:rsidRDefault="000310A5" w:rsidP="008D6297">
      <w:pPr>
        <w:spacing w:before="120" w:after="120"/>
        <w:jc w:val="both"/>
        <w:rPr>
          <w:rFonts w:cstheme="minorHAnsi"/>
          <w:sz w:val="24"/>
          <w:szCs w:val="24"/>
        </w:rPr>
      </w:pPr>
    </w:p>
    <w:p w14:paraId="5647C04E" w14:textId="77777777" w:rsidR="000310A5" w:rsidRDefault="000310A5" w:rsidP="008D6297">
      <w:pPr>
        <w:spacing w:before="120" w:after="120"/>
        <w:jc w:val="both"/>
        <w:rPr>
          <w:rFonts w:cstheme="minorHAnsi"/>
          <w:sz w:val="24"/>
          <w:szCs w:val="24"/>
        </w:rPr>
      </w:pPr>
    </w:p>
    <w:p w14:paraId="19A9630E" w14:textId="77777777" w:rsidR="000310A5" w:rsidRDefault="000310A5" w:rsidP="008D6297">
      <w:pPr>
        <w:spacing w:before="120" w:after="120"/>
        <w:jc w:val="both"/>
        <w:rPr>
          <w:rFonts w:cstheme="minorHAnsi"/>
          <w:sz w:val="24"/>
          <w:szCs w:val="24"/>
        </w:rPr>
      </w:pPr>
    </w:p>
    <w:p w14:paraId="1249C716" w14:textId="77777777" w:rsidR="000310A5" w:rsidRDefault="000310A5" w:rsidP="008D6297">
      <w:pPr>
        <w:spacing w:before="120" w:after="120"/>
        <w:jc w:val="both"/>
        <w:rPr>
          <w:rFonts w:cstheme="minorHAnsi"/>
          <w:sz w:val="24"/>
          <w:szCs w:val="24"/>
        </w:rPr>
      </w:pPr>
    </w:p>
    <w:p w14:paraId="336756E8" w14:textId="77777777" w:rsidR="000310A5" w:rsidRDefault="000310A5" w:rsidP="008D6297">
      <w:pPr>
        <w:spacing w:before="120" w:after="120"/>
        <w:jc w:val="both"/>
        <w:rPr>
          <w:rFonts w:cstheme="minorHAnsi"/>
          <w:sz w:val="24"/>
          <w:szCs w:val="24"/>
        </w:rPr>
      </w:pPr>
    </w:p>
    <w:p w14:paraId="1E7DD9CD" w14:textId="77777777" w:rsidR="000310A5" w:rsidRDefault="000310A5" w:rsidP="008D6297">
      <w:pPr>
        <w:spacing w:before="120" w:after="120"/>
        <w:jc w:val="both"/>
        <w:rPr>
          <w:rFonts w:cstheme="minorHAnsi"/>
          <w:sz w:val="24"/>
          <w:szCs w:val="24"/>
        </w:rPr>
      </w:pPr>
    </w:p>
    <w:p w14:paraId="5D1946F1" w14:textId="77777777" w:rsidR="000310A5" w:rsidRDefault="000310A5" w:rsidP="008D6297">
      <w:pPr>
        <w:spacing w:before="120" w:after="120"/>
        <w:jc w:val="both"/>
        <w:rPr>
          <w:rFonts w:cstheme="minorHAnsi"/>
          <w:sz w:val="24"/>
          <w:szCs w:val="24"/>
        </w:rPr>
      </w:pPr>
    </w:p>
    <w:p w14:paraId="2DC3719B" w14:textId="77777777" w:rsidR="00B73071" w:rsidRDefault="00B73071" w:rsidP="008D6297">
      <w:pPr>
        <w:spacing w:before="120" w:after="120"/>
        <w:jc w:val="both"/>
        <w:rPr>
          <w:rFonts w:cstheme="minorHAnsi"/>
          <w:sz w:val="24"/>
          <w:szCs w:val="24"/>
        </w:rPr>
      </w:pPr>
    </w:p>
    <w:p w14:paraId="3DEA09EC" w14:textId="77777777" w:rsidR="00B93C80" w:rsidRDefault="00B93C80" w:rsidP="008D6297">
      <w:pPr>
        <w:spacing w:before="120" w:after="120"/>
        <w:jc w:val="both"/>
        <w:rPr>
          <w:rFonts w:cstheme="minorHAnsi"/>
          <w:sz w:val="24"/>
          <w:szCs w:val="24"/>
        </w:rPr>
      </w:pPr>
    </w:p>
    <w:p w14:paraId="568B6891" w14:textId="77777777" w:rsidR="000310A5" w:rsidRDefault="000310A5" w:rsidP="008D6297">
      <w:pPr>
        <w:spacing w:before="120" w:after="120"/>
        <w:jc w:val="both"/>
        <w:rPr>
          <w:rFonts w:cstheme="minorHAnsi"/>
          <w:sz w:val="24"/>
          <w:szCs w:val="24"/>
        </w:rPr>
      </w:pPr>
    </w:p>
    <w:p w14:paraId="3D37679B" w14:textId="77777777" w:rsidR="000310A5" w:rsidRDefault="000310A5" w:rsidP="008D6297">
      <w:pPr>
        <w:spacing w:before="120" w:after="120"/>
        <w:jc w:val="both"/>
        <w:rPr>
          <w:rFonts w:cstheme="minorHAnsi"/>
          <w:sz w:val="24"/>
          <w:szCs w:val="24"/>
        </w:rPr>
      </w:pPr>
    </w:p>
    <w:p w14:paraId="118E727D" w14:textId="77777777" w:rsidR="000310A5" w:rsidRDefault="000310A5" w:rsidP="008D6297">
      <w:pPr>
        <w:spacing w:before="120" w:after="120"/>
        <w:jc w:val="both"/>
        <w:rPr>
          <w:rFonts w:cstheme="minorHAnsi"/>
          <w:sz w:val="24"/>
          <w:szCs w:val="24"/>
        </w:rPr>
      </w:pPr>
    </w:p>
    <w:p w14:paraId="20CADC56" w14:textId="77777777" w:rsidR="00642351" w:rsidRPr="001C4638" w:rsidRDefault="00D34739" w:rsidP="003337FA">
      <w:pPr>
        <w:shd w:val="clear" w:color="auto" w:fill="F2F2F2" w:themeFill="background1" w:themeFillShade="F2"/>
        <w:spacing w:before="120" w:after="120"/>
        <w:rPr>
          <w:rFonts w:cstheme="minorHAnsi"/>
          <w:b/>
          <w:sz w:val="24"/>
          <w:szCs w:val="24"/>
        </w:rPr>
      </w:pPr>
      <w:r w:rsidRPr="00D34739">
        <w:rPr>
          <w:rFonts w:cstheme="minorHAnsi"/>
          <w:b/>
          <w:sz w:val="24"/>
          <w:szCs w:val="24"/>
        </w:rPr>
        <w:lastRenderedPageBreak/>
        <w:t>Draf</w:t>
      </w:r>
      <w:r>
        <w:rPr>
          <w:rFonts w:cstheme="minorHAnsi"/>
          <w:b/>
          <w:sz w:val="24"/>
          <w:szCs w:val="24"/>
        </w:rPr>
        <w:t xml:space="preserve">t proposal 1: Preventing use of </w:t>
      </w:r>
      <w:r w:rsidRPr="00D34739">
        <w:rPr>
          <w:rFonts w:cstheme="minorHAnsi"/>
          <w:b/>
          <w:sz w:val="24"/>
          <w:szCs w:val="24"/>
        </w:rPr>
        <w:t>superannuation</w:t>
      </w:r>
      <w:r>
        <w:rPr>
          <w:rFonts w:cstheme="minorHAnsi"/>
          <w:b/>
          <w:sz w:val="24"/>
          <w:szCs w:val="24"/>
        </w:rPr>
        <w:t xml:space="preserve"> contributions to shield assets </w:t>
      </w:r>
      <w:r w:rsidRPr="00D34739">
        <w:rPr>
          <w:rFonts w:cstheme="minorHAnsi"/>
          <w:b/>
          <w:sz w:val="24"/>
          <w:szCs w:val="24"/>
        </w:rPr>
        <w:t>from victims of crime</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219"/>
        <w:gridCol w:w="4961"/>
        <w:gridCol w:w="4678"/>
      </w:tblGrid>
      <w:tr w:rsidR="00642351" w:rsidRPr="003337FA" w14:paraId="09F96800" w14:textId="77777777" w:rsidTr="00F518B5">
        <w:trPr>
          <w:trHeight w:val="413"/>
          <w:tblHeader/>
        </w:trPr>
        <w:tc>
          <w:tcPr>
            <w:tcW w:w="4219" w:type="dxa"/>
          </w:tcPr>
          <w:p w14:paraId="21738831" w14:textId="77777777" w:rsidR="00642351" w:rsidRPr="003337FA" w:rsidRDefault="00086427" w:rsidP="003337FA">
            <w:pPr>
              <w:spacing w:before="120" w:after="120"/>
              <w:rPr>
                <w:rFonts w:cstheme="minorHAnsi"/>
                <w:b/>
                <w:sz w:val="24"/>
                <w:szCs w:val="24"/>
              </w:rPr>
            </w:pPr>
            <w:r w:rsidRPr="003337FA">
              <w:rPr>
                <w:rFonts w:cstheme="minorHAnsi"/>
                <w:b/>
                <w:sz w:val="24"/>
                <w:szCs w:val="24"/>
              </w:rPr>
              <w:t>Topic</w:t>
            </w:r>
            <w:r w:rsidR="00842077" w:rsidRPr="003337FA">
              <w:rPr>
                <w:rFonts w:cstheme="minorHAnsi"/>
                <w:b/>
                <w:sz w:val="24"/>
                <w:szCs w:val="24"/>
              </w:rPr>
              <w:t xml:space="preserve"> </w:t>
            </w:r>
          </w:p>
        </w:tc>
        <w:tc>
          <w:tcPr>
            <w:tcW w:w="4961" w:type="dxa"/>
          </w:tcPr>
          <w:p w14:paraId="683C7513" w14:textId="77777777" w:rsidR="00642351" w:rsidRPr="003337FA" w:rsidRDefault="003B6D17" w:rsidP="003337FA">
            <w:pPr>
              <w:spacing w:before="120" w:after="120"/>
              <w:rPr>
                <w:rFonts w:cstheme="minorHAnsi"/>
                <w:b/>
                <w:sz w:val="24"/>
                <w:szCs w:val="24"/>
              </w:rPr>
            </w:pPr>
            <w:r w:rsidRPr="003337FA">
              <w:rPr>
                <w:rFonts w:cstheme="minorHAnsi"/>
                <w:b/>
                <w:sz w:val="24"/>
                <w:szCs w:val="24"/>
              </w:rPr>
              <w:t>Content for feedback</w:t>
            </w:r>
          </w:p>
        </w:tc>
        <w:tc>
          <w:tcPr>
            <w:tcW w:w="4678" w:type="dxa"/>
          </w:tcPr>
          <w:p w14:paraId="7264395C" w14:textId="77777777" w:rsidR="00642351" w:rsidRPr="003337FA" w:rsidRDefault="00842077" w:rsidP="003337FA">
            <w:pPr>
              <w:spacing w:before="120" w:after="120"/>
              <w:rPr>
                <w:rFonts w:cstheme="minorHAnsi"/>
                <w:b/>
                <w:sz w:val="24"/>
                <w:szCs w:val="24"/>
              </w:rPr>
            </w:pPr>
            <w:r w:rsidRPr="003337FA">
              <w:rPr>
                <w:rFonts w:cstheme="minorHAnsi"/>
                <w:b/>
                <w:sz w:val="24"/>
                <w:szCs w:val="24"/>
              </w:rPr>
              <w:t xml:space="preserve">Comments </w:t>
            </w:r>
          </w:p>
        </w:tc>
      </w:tr>
      <w:tr w:rsidR="00642351" w:rsidRPr="003337FA" w14:paraId="3B1DFA35" w14:textId="77777777" w:rsidTr="00F518B5">
        <w:tc>
          <w:tcPr>
            <w:tcW w:w="4219" w:type="dxa"/>
          </w:tcPr>
          <w:p w14:paraId="401778EE" w14:textId="77777777" w:rsidR="003337FA" w:rsidRPr="003337FA" w:rsidRDefault="00D34739" w:rsidP="003337FA">
            <w:pPr>
              <w:spacing w:before="120" w:after="120"/>
              <w:rPr>
                <w:rFonts w:cstheme="minorHAnsi"/>
                <w:sz w:val="24"/>
                <w:szCs w:val="24"/>
              </w:rPr>
            </w:pPr>
            <w:r w:rsidRPr="003337FA">
              <w:rPr>
                <w:b/>
                <w:sz w:val="24"/>
                <w:szCs w:val="24"/>
              </w:rPr>
              <w:t>Issue 1: Limits and thresholds</w:t>
            </w:r>
            <w:r w:rsidR="003337FA" w:rsidRPr="003337FA">
              <w:rPr>
                <w:rFonts w:cstheme="minorHAnsi"/>
                <w:sz w:val="24"/>
                <w:szCs w:val="24"/>
              </w:rPr>
              <w:t xml:space="preserve"> </w:t>
            </w:r>
          </w:p>
          <w:p w14:paraId="5F870D63" w14:textId="77777777" w:rsidR="003337FA" w:rsidRPr="003337FA" w:rsidRDefault="003337FA" w:rsidP="003337FA">
            <w:pPr>
              <w:spacing w:before="120" w:after="120"/>
              <w:rPr>
                <w:rFonts w:cstheme="minorHAnsi"/>
                <w:sz w:val="24"/>
                <w:szCs w:val="24"/>
              </w:rPr>
            </w:pPr>
            <w:r w:rsidRPr="003337FA">
              <w:rPr>
                <w:rFonts w:cstheme="minorHAnsi"/>
                <w:sz w:val="24"/>
                <w:szCs w:val="24"/>
              </w:rPr>
              <w:t>The draft proposal only applies to ‘out of character’ contributions to shield assets from victims. The draft proposal would apply broadly to compensation orders that have not been paid in full, flowing from any indictable offence.</w:t>
            </w:r>
          </w:p>
          <w:p w14:paraId="5B198161" w14:textId="77777777" w:rsidR="00642351" w:rsidRPr="003337FA" w:rsidRDefault="00642351" w:rsidP="003337FA">
            <w:pPr>
              <w:spacing w:before="120" w:after="120"/>
              <w:rPr>
                <w:rFonts w:cstheme="minorHAnsi"/>
                <w:b/>
                <w:sz w:val="24"/>
                <w:szCs w:val="24"/>
              </w:rPr>
            </w:pPr>
          </w:p>
        </w:tc>
        <w:tc>
          <w:tcPr>
            <w:tcW w:w="4961" w:type="dxa"/>
          </w:tcPr>
          <w:p w14:paraId="7C854E16" w14:textId="77777777" w:rsidR="00642351" w:rsidRPr="003337FA" w:rsidRDefault="008C0142" w:rsidP="003337FA">
            <w:pPr>
              <w:spacing w:before="120" w:after="120"/>
              <w:rPr>
                <w:rFonts w:cstheme="minorHAnsi"/>
                <w:sz w:val="24"/>
                <w:szCs w:val="24"/>
              </w:rPr>
            </w:pPr>
            <w:r w:rsidRPr="003337FA">
              <w:rPr>
                <w:sz w:val="24"/>
                <w:szCs w:val="24"/>
              </w:rPr>
              <w:t>It is proposed not to cap the amount of contributions that can potentially be released under this mechanism. The only cap would be the outstanding amount of compensation due.</w:t>
            </w:r>
          </w:p>
        </w:tc>
        <w:tc>
          <w:tcPr>
            <w:tcW w:w="4678" w:type="dxa"/>
          </w:tcPr>
          <w:p w14:paraId="211198C1" w14:textId="77777777" w:rsidR="00642351" w:rsidRPr="003337FA" w:rsidRDefault="00202195" w:rsidP="0084115C">
            <w:pPr>
              <w:spacing w:before="120" w:after="120"/>
              <w:rPr>
                <w:rFonts w:cstheme="minorHAnsi"/>
                <w:sz w:val="24"/>
                <w:szCs w:val="24"/>
              </w:rPr>
            </w:pPr>
            <w:r w:rsidRPr="003337FA">
              <w:rPr>
                <w:rFonts w:cstheme="minorHAnsi"/>
                <w:sz w:val="24"/>
                <w:szCs w:val="24"/>
              </w:rPr>
              <w:t xml:space="preserve">Supported. </w:t>
            </w:r>
            <w:r w:rsidR="008F300E">
              <w:rPr>
                <w:rFonts w:cstheme="minorHAnsi"/>
                <w:sz w:val="24"/>
                <w:szCs w:val="24"/>
              </w:rPr>
              <w:t>Victims should have full access to out of character contributions as they would have access to the</w:t>
            </w:r>
            <w:r w:rsidR="0084115C">
              <w:rPr>
                <w:rFonts w:cstheme="minorHAnsi"/>
                <w:sz w:val="24"/>
                <w:szCs w:val="24"/>
              </w:rPr>
              <w:t>se</w:t>
            </w:r>
            <w:r w:rsidR="008F300E">
              <w:rPr>
                <w:rFonts w:cstheme="minorHAnsi"/>
                <w:sz w:val="24"/>
                <w:szCs w:val="24"/>
              </w:rPr>
              <w:t xml:space="preserve"> funds </w:t>
            </w:r>
            <w:r w:rsidR="005C0CE7">
              <w:rPr>
                <w:rFonts w:cstheme="minorHAnsi"/>
                <w:sz w:val="24"/>
                <w:szCs w:val="24"/>
              </w:rPr>
              <w:t>were</w:t>
            </w:r>
            <w:r w:rsidR="00391712">
              <w:rPr>
                <w:rFonts w:cstheme="minorHAnsi"/>
                <w:sz w:val="24"/>
                <w:szCs w:val="24"/>
              </w:rPr>
              <w:t xml:space="preserve"> they not diverted into superannuation</w:t>
            </w:r>
            <w:r w:rsidR="005C0CE7">
              <w:rPr>
                <w:rFonts w:cstheme="minorHAnsi"/>
                <w:sz w:val="24"/>
                <w:szCs w:val="24"/>
              </w:rPr>
              <w:t xml:space="preserve">. </w:t>
            </w:r>
            <w:r w:rsidR="008F300E">
              <w:rPr>
                <w:rFonts w:cstheme="minorHAnsi"/>
                <w:sz w:val="24"/>
                <w:szCs w:val="24"/>
              </w:rPr>
              <w:t xml:space="preserve">  </w:t>
            </w:r>
          </w:p>
        </w:tc>
      </w:tr>
      <w:tr w:rsidR="00C24F07" w:rsidRPr="003337FA" w14:paraId="59B48844" w14:textId="77777777" w:rsidTr="00F518B5">
        <w:trPr>
          <w:trHeight w:val="4110"/>
        </w:trPr>
        <w:tc>
          <w:tcPr>
            <w:tcW w:w="4219" w:type="dxa"/>
            <w:vMerge w:val="restart"/>
          </w:tcPr>
          <w:p w14:paraId="081491C8" w14:textId="77777777" w:rsidR="003337FA" w:rsidRDefault="00C24F07" w:rsidP="003337FA">
            <w:pPr>
              <w:spacing w:before="120" w:after="120"/>
              <w:rPr>
                <w:rFonts w:cstheme="minorHAnsi"/>
                <w:sz w:val="24"/>
                <w:szCs w:val="24"/>
              </w:rPr>
            </w:pPr>
            <w:r w:rsidRPr="003337FA">
              <w:rPr>
                <w:b/>
                <w:sz w:val="24"/>
                <w:szCs w:val="24"/>
              </w:rPr>
              <w:t>Issue 2: Visibility of assets</w:t>
            </w:r>
            <w:r w:rsidR="003337FA" w:rsidRPr="003337FA">
              <w:rPr>
                <w:rFonts w:cstheme="minorHAnsi"/>
                <w:sz w:val="24"/>
                <w:szCs w:val="24"/>
              </w:rPr>
              <w:t xml:space="preserve"> </w:t>
            </w:r>
          </w:p>
          <w:p w14:paraId="182966EC" w14:textId="77777777" w:rsidR="003337FA" w:rsidRPr="003337FA" w:rsidRDefault="003337FA" w:rsidP="003337FA">
            <w:pPr>
              <w:spacing w:before="120" w:after="120"/>
              <w:rPr>
                <w:rFonts w:cstheme="minorHAnsi"/>
                <w:sz w:val="24"/>
                <w:szCs w:val="24"/>
              </w:rPr>
            </w:pPr>
            <w:r w:rsidRPr="003337FA">
              <w:rPr>
                <w:rFonts w:cstheme="minorHAnsi"/>
                <w:sz w:val="24"/>
                <w:szCs w:val="24"/>
              </w:rPr>
              <w:t>The question arises as to how the victim of crime can obtain visibility in relation to a perpetrator’s superannuation contributions.</w:t>
            </w:r>
          </w:p>
          <w:p w14:paraId="075E273B" w14:textId="77777777" w:rsidR="00C24F07" w:rsidRPr="003337FA" w:rsidRDefault="00C24F07" w:rsidP="003337FA">
            <w:pPr>
              <w:spacing w:before="120" w:after="120"/>
              <w:rPr>
                <w:rFonts w:cstheme="minorHAnsi"/>
                <w:b/>
                <w:sz w:val="24"/>
                <w:szCs w:val="24"/>
              </w:rPr>
            </w:pPr>
          </w:p>
        </w:tc>
        <w:tc>
          <w:tcPr>
            <w:tcW w:w="4961" w:type="dxa"/>
            <w:tcBorders>
              <w:bottom w:val="single" w:sz="4" w:space="0" w:color="A6A6A6" w:themeColor="background1" w:themeShade="A6"/>
            </w:tcBorders>
          </w:tcPr>
          <w:p w14:paraId="4213BE74" w14:textId="77777777" w:rsidR="00C24F07" w:rsidRPr="003337FA" w:rsidRDefault="00C24F07" w:rsidP="003337FA">
            <w:pPr>
              <w:spacing w:before="120" w:after="120"/>
              <w:rPr>
                <w:sz w:val="24"/>
                <w:szCs w:val="24"/>
              </w:rPr>
            </w:pPr>
            <w:r w:rsidRPr="003337FA">
              <w:rPr>
                <w:sz w:val="24"/>
                <w:szCs w:val="24"/>
              </w:rPr>
              <w:t>The Review proposes that the process for disclosure of a perpetrator’s assets should originate from a criminal or civil court proceeding, to balance efficacy of proceedings with appropriate oversight and privacy implications. This could be done in conjunction with the ATO building a new, secure electronic system to give courts visibility of superannuation information held by the ATO in appropriate circumstances. This system would need to be developed in consultation with the superannuation industry, the courts and other stakeholders. It would also require changes to taxpayer confidentiality legislation.</w:t>
            </w:r>
          </w:p>
        </w:tc>
        <w:tc>
          <w:tcPr>
            <w:tcW w:w="4678" w:type="dxa"/>
            <w:tcBorders>
              <w:bottom w:val="single" w:sz="4" w:space="0" w:color="A6A6A6" w:themeColor="background1" w:themeShade="A6"/>
            </w:tcBorders>
          </w:tcPr>
          <w:p w14:paraId="0A7E2E94" w14:textId="77777777" w:rsidR="005D785E" w:rsidRDefault="00090A8E" w:rsidP="00FC1DF4">
            <w:r w:rsidRPr="003337FA">
              <w:rPr>
                <w:rFonts w:cstheme="minorHAnsi"/>
                <w:sz w:val="24"/>
                <w:szCs w:val="24"/>
              </w:rPr>
              <w:t>Supported</w:t>
            </w:r>
            <w:r w:rsidR="007A6C99">
              <w:rPr>
                <w:rFonts w:cstheme="minorHAnsi"/>
                <w:sz w:val="24"/>
                <w:szCs w:val="24"/>
              </w:rPr>
              <w:t xml:space="preserve"> in principle</w:t>
            </w:r>
            <w:r w:rsidR="005E568D">
              <w:rPr>
                <w:rFonts w:cstheme="minorHAnsi"/>
                <w:sz w:val="24"/>
                <w:szCs w:val="24"/>
              </w:rPr>
              <w:t xml:space="preserve">. Victims Services supports this approach with the understanding that further appropriate consultation will be undertaken with relevant stakeholders regarding the development of </w:t>
            </w:r>
            <w:r w:rsidR="005D785E">
              <w:rPr>
                <w:rFonts w:cstheme="minorHAnsi"/>
                <w:sz w:val="24"/>
                <w:szCs w:val="24"/>
              </w:rPr>
              <w:t xml:space="preserve">a </w:t>
            </w:r>
            <w:r w:rsidR="005E568D" w:rsidRPr="003337FA">
              <w:rPr>
                <w:sz w:val="24"/>
                <w:szCs w:val="24"/>
              </w:rPr>
              <w:t>secure electronic system</w:t>
            </w:r>
            <w:r w:rsidR="005E568D">
              <w:rPr>
                <w:sz w:val="24"/>
                <w:szCs w:val="24"/>
              </w:rPr>
              <w:t xml:space="preserve"> and proposed changes to the </w:t>
            </w:r>
            <w:r w:rsidR="005E568D" w:rsidRPr="003337FA">
              <w:rPr>
                <w:sz w:val="24"/>
                <w:szCs w:val="24"/>
              </w:rPr>
              <w:t>taxpayer confidentiality</w:t>
            </w:r>
            <w:r w:rsidR="005E568D">
              <w:rPr>
                <w:sz w:val="24"/>
                <w:szCs w:val="24"/>
              </w:rPr>
              <w:t xml:space="preserve"> legislation</w:t>
            </w:r>
            <w:r w:rsidRPr="003337FA">
              <w:rPr>
                <w:rFonts w:cstheme="minorHAnsi"/>
                <w:sz w:val="24"/>
                <w:szCs w:val="24"/>
              </w:rPr>
              <w:t>.</w:t>
            </w:r>
            <w:r w:rsidR="007A6C99">
              <w:t xml:space="preserve"> </w:t>
            </w:r>
          </w:p>
          <w:p w14:paraId="25CD8D5A" w14:textId="77777777" w:rsidR="00C24F07" w:rsidRPr="003337FA" w:rsidRDefault="007A6C99" w:rsidP="00B93C80">
            <w:pPr>
              <w:rPr>
                <w:rFonts w:cstheme="minorHAnsi"/>
                <w:sz w:val="24"/>
                <w:szCs w:val="24"/>
              </w:rPr>
            </w:pPr>
            <w:r>
              <w:t>The</w:t>
            </w:r>
            <w:r>
              <w:rPr>
                <w:sz w:val="24"/>
                <w:szCs w:val="24"/>
              </w:rPr>
              <w:t xml:space="preserve"> level of Commonwealth to State collaboration to create an electronic database that could achieve this would be a significant undertaking in terms of cost and time for what would </w:t>
            </w:r>
            <w:r w:rsidR="00FC1DF4">
              <w:rPr>
                <w:sz w:val="24"/>
                <w:szCs w:val="24"/>
              </w:rPr>
              <w:t>likely be a small pool of money.</w:t>
            </w:r>
          </w:p>
        </w:tc>
      </w:tr>
      <w:tr w:rsidR="00C24F07" w:rsidRPr="003337FA" w14:paraId="0D2C01C2" w14:textId="77777777" w:rsidTr="00F518B5">
        <w:trPr>
          <w:trHeight w:val="520"/>
        </w:trPr>
        <w:tc>
          <w:tcPr>
            <w:tcW w:w="4219" w:type="dxa"/>
            <w:vMerge/>
          </w:tcPr>
          <w:p w14:paraId="7DDC78FC" w14:textId="77777777" w:rsidR="00C24F07" w:rsidRPr="003337FA" w:rsidRDefault="00C24F07" w:rsidP="003337FA">
            <w:pPr>
              <w:spacing w:before="120" w:after="120"/>
              <w:rPr>
                <w:sz w:val="24"/>
                <w:szCs w:val="24"/>
              </w:rPr>
            </w:pPr>
          </w:p>
        </w:tc>
        <w:tc>
          <w:tcPr>
            <w:tcW w:w="4961" w:type="dxa"/>
            <w:tcBorders>
              <w:top w:val="single" w:sz="4" w:space="0" w:color="A6A6A6" w:themeColor="background1" w:themeShade="A6"/>
            </w:tcBorders>
          </w:tcPr>
          <w:p w14:paraId="0E1A450D" w14:textId="77777777" w:rsidR="00C24F07" w:rsidRPr="003337FA" w:rsidRDefault="00C24F07" w:rsidP="003337FA">
            <w:pPr>
              <w:spacing w:before="120" w:after="120"/>
              <w:rPr>
                <w:rFonts w:cstheme="minorHAnsi"/>
                <w:sz w:val="24"/>
                <w:szCs w:val="24"/>
              </w:rPr>
            </w:pPr>
            <w:r w:rsidRPr="003337FA">
              <w:rPr>
                <w:rFonts w:cstheme="minorHAnsi"/>
                <w:sz w:val="24"/>
                <w:szCs w:val="24"/>
              </w:rPr>
              <w:t>A trustee would not be required to comply with this process if the member is subject to an active bankruptcy proceeding, or a discharged bankruptcy administered during the relevant period where bankruptcy claw-back provisions have been exercised, a family law proceeding, or if the funds are the subject of a proceeds of crime forfeiture order, until those matters have been dealt with.</w:t>
            </w:r>
          </w:p>
        </w:tc>
        <w:tc>
          <w:tcPr>
            <w:tcW w:w="4678" w:type="dxa"/>
            <w:tcBorders>
              <w:top w:val="single" w:sz="4" w:space="0" w:color="A6A6A6" w:themeColor="background1" w:themeShade="A6"/>
            </w:tcBorders>
          </w:tcPr>
          <w:p w14:paraId="20D7AD9C" w14:textId="77777777" w:rsidR="00C24F07" w:rsidRPr="003337FA" w:rsidRDefault="005D785E" w:rsidP="003337FA">
            <w:pPr>
              <w:spacing w:before="120" w:after="120"/>
              <w:rPr>
                <w:rFonts w:cstheme="minorHAnsi"/>
                <w:sz w:val="24"/>
                <w:szCs w:val="24"/>
              </w:rPr>
            </w:pPr>
            <w:r>
              <w:rPr>
                <w:rFonts w:cstheme="minorHAnsi"/>
                <w:sz w:val="24"/>
                <w:szCs w:val="24"/>
              </w:rPr>
              <w:t xml:space="preserve"> </w:t>
            </w:r>
          </w:p>
        </w:tc>
      </w:tr>
      <w:tr w:rsidR="00447C5A" w:rsidRPr="003337FA" w14:paraId="146865C3" w14:textId="77777777" w:rsidTr="00F518B5">
        <w:trPr>
          <w:trHeight w:val="3660"/>
        </w:trPr>
        <w:tc>
          <w:tcPr>
            <w:tcW w:w="4219" w:type="dxa"/>
            <w:vMerge w:val="restart"/>
          </w:tcPr>
          <w:p w14:paraId="6C4C18E9" w14:textId="77777777" w:rsidR="00447C5A" w:rsidRDefault="00447C5A" w:rsidP="004371F9">
            <w:pPr>
              <w:spacing w:before="120" w:after="120"/>
              <w:rPr>
                <w:sz w:val="24"/>
                <w:szCs w:val="24"/>
              </w:rPr>
            </w:pPr>
            <w:r w:rsidRPr="003337FA">
              <w:rPr>
                <w:b/>
                <w:sz w:val="24"/>
                <w:szCs w:val="24"/>
              </w:rPr>
              <w:t>Issue 3: Determining whether contributions are ‘out of character’</w:t>
            </w:r>
            <w:r w:rsidRPr="003337FA">
              <w:rPr>
                <w:sz w:val="24"/>
                <w:szCs w:val="24"/>
              </w:rPr>
              <w:t xml:space="preserve"> </w:t>
            </w:r>
          </w:p>
          <w:p w14:paraId="329AB51B" w14:textId="009A8423" w:rsidR="00447C5A" w:rsidRPr="003337FA" w:rsidRDefault="00447C5A" w:rsidP="00E16E2C">
            <w:pPr>
              <w:spacing w:before="120" w:after="120"/>
              <w:rPr>
                <w:rFonts w:cstheme="minorHAnsi"/>
                <w:b/>
                <w:sz w:val="24"/>
                <w:szCs w:val="24"/>
              </w:rPr>
            </w:pPr>
            <w:r w:rsidRPr="003337FA">
              <w:rPr>
                <w:sz w:val="24"/>
                <w:szCs w:val="24"/>
              </w:rPr>
              <w:t xml:space="preserve">Without a substantial legal framework like bankruptcy with a Trustee in Bankruptcy and court procedures to interrogate financial records and assess purpose, it will be very difficult to determine whether or not a contribution is ‘out of character’. </w:t>
            </w:r>
          </w:p>
        </w:tc>
        <w:tc>
          <w:tcPr>
            <w:tcW w:w="4961" w:type="dxa"/>
          </w:tcPr>
          <w:p w14:paraId="74228F31" w14:textId="77777777" w:rsidR="00447C5A" w:rsidRPr="003337FA" w:rsidRDefault="00447C5A" w:rsidP="003337FA">
            <w:pPr>
              <w:spacing w:before="120" w:after="120"/>
              <w:rPr>
                <w:sz w:val="24"/>
                <w:szCs w:val="24"/>
              </w:rPr>
            </w:pPr>
            <w:r>
              <w:rPr>
                <w:sz w:val="24"/>
                <w:szCs w:val="24"/>
              </w:rPr>
              <w:t>T</w:t>
            </w:r>
            <w:r w:rsidRPr="003337FA">
              <w:rPr>
                <w:sz w:val="24"/>
                <w:szCs w:val="24"/>
              </w:rPr>
              <w:t xml:space="preserve">he Review seeks feedback on the following options: </w:t>
            </w:r>
          </w:p>
          <w:p w14:paraId="6CDC4874" w14:textId="77777777" w:rsidR="00447C5A" w:rsidRPr="003337FA" w:rsidRDefault="00447C5A" w:rsidP="003337FA">
            <w:pPr>
              <w:spacing w:before="120" w:after="120"/>
              <w:rPr>
                <w:sz w:val="24"/>
                <w:szCs w:val="24"/>
              </w:rPr>
            </w:pPr>
            <w:r w:rsidRPr="003337FA">
              <w:rPr>
                <w:b/>
                <w:sz w:val="24"/>
                <w:szCs w:val="24"/>
              </w:rPr>
              <w:t>Option 1:</w:t>
            </w:r>
            <w:r w:rsidRPr="003337FA">
              <w:rPr>
                <w:sz w:val="24"/>
                <w:szCs w:val="24"/>
              </w:rPr>
              <w:t xml:space="preserve"> a court or a superannuation trustee applies a subjective assessment of whether contributions were ‘out of character’ and therefore available for compensation; or </w:t>
            </w:r>
          </w:p>
          <w:p w14:paraId="59D47B82" w14:textId="77777777" w:rsidR="00447C5A" w:rsidRPr="003337FA" w:rsidRDefault="00447C5A" w:rsidP="003337FA">
            <w:pPr>
              <w:spacing w:before="120" w:after="120"/>
              <w:rPr>
                <w:sz w:val="24"/>
                <w:szCs w:val="24"/>
              </w:rPr>
            </w:pPr>
            <w:r w:rsidRPr="003337FA">
              <w:rPr>
                <w:b/>
                <w:sz w:val="24"/>
                <w:szCs w:val="24"/>
              </w:rPr>
              <w:t>Option 2:</w:t>
            </w:r>
            <w:r w:rsidRPr="003337FA">
              <w:rPr>
                <w:sz w:val="24"/>
                <w:szCs w:val="24"/>
              </w:rPr>
              <w:t xml:space="preserve"> all voluntary contributions by or on behalf of the member are deemed to be ‘out of character’ and therefore available for compensation.</w:t>
            </w:r>
          </w:p>
        </w:tc>
        <w:tc>
          <w:tcPr>
            <w:tcW w:w="4678" w:type="dxa"/>
          </w:tcPr>
          <w:p w14:paraId="2B311110" w14:textId="5A68C6AB" w:rsidR="00447C5A" w:rsidRPr="003337FA" w:rsidRDefault="00232F5F" w:rsidP="00E16E2C">
            <w:pPr>
              <w:spacing w:before="120" w:after="120"/>
              <w:rPr>
                <w:rFonts w:cstheme="minorHAnsi"/>
                <w:sz w:val="24"/>
                <w:szCs w:val="24"/>
              </w:rPr>
            </w:pPr>
            <w:r>
              <w:rPr>
                <w:rFonts w:cstheme="minorHAnsi"/>
                <w:sz w:val="24"/>
                <w:szCs w:val="24"/>
              </w:rPr>
              <w:t xml:space="preserve">Victims Services supports option </w:t>
            </w:r>
            <w:r w:rsidR="00677B8C">
              <w:rPr>
                <w:rFonts w:cstheme="minorHAnsi"/>
                <w:sz w:val="24"/>
                <w:szCs w:val="24"/>
              </w:rPr>
              <w:t>1</w:t>
            </w:r>
            <w:r>
              <w:rPr>
                <w:rFonts w:cstheme="minorHAnsi"/>
                <w:sz w:val="24"/>
                <w:szCs w:val="24"/>
              </w:rPr>
              <w:t xml:space="preserve">. </w:t>
            </w:r>
            <w:r w:rsidR="00677B8C" w:rsidRPr="00677B8C">
              <w:rPr>
                <w:rFonts w:cstheme="minorHAnsi"/>
                <w:sz w:val="24"/>
                <w:szCs w:val="24"/>
              </w:rPr>
              <w:t>This option would</w:t>
            </w:r>
            <w:r w:rsidR="00677B8C">
              <w:rPr>
                <w:rFonts w:cstheme="minorHAnsi"/>
                <w:sz w:val="24"/>
                <w:szCs w:val="24"/>
              </w:rPr>
              <w:t xml:space="preserve"> ensure that a fair decision can be made on whether the</w:t>
            </w:r>
            <w:r w:rsidR="00677B8C">
              <w:t xml:space="preserve"> </w:t>
            </w:r>
            <w:r w:rsidR="00677B8C" w:rsidRPr="00677B8C">
              <w:rPr>
                <w:rFonts w:cstheme="minorHAnsi"/>
                <w:sz w:val="24"/>
                <w:szCs w:val="24"/>
              </w:rPr>
              <w:t>superannuation</w:t>
            </w:r>
            <w:r w:rsidR="00677B8C">
              <w:rPr>
                <w:rFonts w:cstheme="minorHAnsi"/>
                <w:sz w:val="24"/>
                <w:szCs w:val="24"/>
              </w:rPr>
              <w:t xml:space="preserve"> contributions are out of character. The assessment does not need to be entirely subjective. Appropriate guidelines and decision making criteria should be established to ensure that there is an objective basis to guide the determination of whether contributions should be considered out of character. </w:t>
            </w:r>
          </w:p>
        </w:tc>
      </w:tr>
      <w:tr w:rsidR="00447C5A" w:rsidRPr="003337FA" w14:paraId="2D952439" w14:textId="77777777" w:rsidTr="00F518B5">
        <w:trPr>
          <w:trHeight w:val="615"/>
        </w:trPr>
        <w:tc>
          <w:tcPr>
            <w:tcW w:w="4219" w:type="dxa"/>
            <w:vMerge/>
          </w:tcPr>
          <w:p w14:paraId="0414A03E" w14:textId="77777777" w:rsidR="00447C5A" w:rsidRPr="003337FA" w:rsidRDefault="00447C5A" w:rsidP="004371F9">
            <w:pPr>
              <w:spacing w:before="120" w:after="120"/>
              <w:rPr>
                <w:b/>
                <w:sz w:val="24"/>
                <w:szCs w:val="24"/>
              </w:rPr>
            </w:pPr>
          </w:p>
        </w:tc>
        <w:tc>
          <w:tcPr>
            <w:tcW w:w="4961" w:type="dxa"/>
          </w:tcPr>
          <w:p w14:paraId="2654190E" w14:textId="77777777" w:rsidR="00447C5A" w:rsidRDefault="00447C5A" w:rsidP="00447C5A">
            <w:pPr>
              <w:spacing w:before="120" w:after="120"/>
              <w:rPr>
                <w:sz w:val="24"/>
                <w:szCs w:val="24"/>
              </w:rPr>
            </w:pPr>
            <w:r w:rsidRPr="00447C5A">
              <w:rPr>
                <w:sz w:val="24"/>
                <w:szCs w:val="24"/>
              </w:rPr>
              <w:t>The Review also seeks feedback on the appropriate timeframe for</w:t>
            </w:r>
            <w:r>
              <w:rPr>
                <w:sz w:val="24"/>
                <w:szCs w:val="24"/>
              </w:rPr>
              <w:t xml:space="preserve"> this assessment. In principle, </w:t>
            </w:r>
            <w:r w:rsidRPr="00447C5A">
              <w:rPr>
                <w:sz w:val="24"/>
                <w:szCs w:val="24"/>
              </w:rPr>
              <w:t>contributions made in anticipation of an eventual compensation</w:t>
            </w:r>
            <w:r>
              <w:rPr>
                <w:sz w:val="24"/>
                <w:szCs w:val="24"/>
              </w:rPr>
              <w:t xml:space="preserve"> order should be in scope. That </w:t>
            </w:r>
            <w:r w:rsidRPr="00447C5A">
              <w:rPr>
                <w:sz w:val="24"/>
                <w:szCs w:val="24"/>
              </w:rPr>
              <w:t>period of time might begin several months ahead of the perpetr</w:t>
            </w:r>
            <w:r>
              <w:rPr>
                <w:sz w:val="24"/>
                <w:szCs w:val="24"/>
              </w:rPr>
              <w:t xml:space="preserve">ator actually being charged. In </w:t>
            </w:r>
            <w:r w:rsidRPr="00447C5A">
              <w:rPr>
                <w:sz w:val="24"/>
                <w:szCs w:val="24"/>
              </w:rPr>
              <w:t>particular, should contributions that are made from, for example, six months prior to being charged</w:t>
            </w:r>
            <w:r>
              <w:rPr>
                <w:sz w:val="24"/>
                <w:szCs w:val="24"/>
              </w:rPr>
              <w:t xml:space="preserve"> </w:t>
            </w:r>
            <w:r w:rsidRPr="00447C5A">
              <w:rPr>
                <w:sz w:val="24"/>
                <w:szCs w:val="24"/>
              </w:rPr>
              <w:t>until the date of the order be within scope? Alternatively, would a s</w:t>
            </w:r>
            <w:r>
              <w:rPr>
                <w:sz w:val="24"/>
                <w:szCs w:val="24"/>
              </w:rPr>
              <w:t xml:space="preserve">horter or longer period be more </w:t>
            </w:r>
            <w:r w:rsidRPr="00447C5A">
              <w:rPr>
                <w:sz w:val="24"/>
                <w:szCs w:val="24"/>
              </w:rPr>
              <w:t>appropriate?</w:t>
            </w:r>
          </w:p>
        </w:tc>
        <w:tc>
          <w:tcPr>
            <w:tcW w:w="4678" w:type="dxa"/>
          </w:tcPr>
          <w:p w14:paraId="7BDECE16" w14:textId="4A34E310" w:rsidR="00A922C6" w:rsidRPr="003337FA" w:rsidRDefault="00E73F59" w:rsidP="000C6E9D">
            <w:pPr>
              <w:spacing w:before="120" w:after="120"/>
              <w:rPr>
                <w:rFonts w:cstheme="minorHAnsi"/>
                <w:sz w:val="24"/>
                <w:szCs w:val="24"/>
              </w:rPr>
            </w:pPr>
            <w:r>
              <w:rPr>
                <w:rFonts w:cstheme="minorHAnsi"/>
                <w:sz w:val="24"/>
                <w:szCs w:val="24"/>
              </w:rPr>
              <w:t xml:space="preserve">Victims Service suggests </w:t>
            </w:r>
            <w:r w:rsidR="00692A33">
              <w:rPr>
                <w:rFonts w:cstheme="minorHAnsi"/>
                <w:sz w:val="24"/>
                <w:szCs w:val="24"/>
              </w:rPr>
              <w:t>that the</w:t>
            </w:r>
            <w:r w:rsidR="00FD77FA">
              <w:rPr>
                <w:rFonts w:cstheme="minorHAnsi"/>
                <w:sz w:val="24"/>
                <w:szCs w:val="24"/>
              </w:rPr>
              <w:t xml:space="preserve"> </w:t>
            </w:r>
            <w:r w:rsidR="00692A33">
              <w:rPr>
                <w:rFonts w:cstheme="minorHAnsi"/>
                <w:sz w:val="24"/>
                <w:szCs w:val="24"/>
              </w:rPr>
              <w:t>appropriate timeframe</w:t>
            </w:r>
            <w:r w:rsidR="00FD77FA">
              <w:rPr>
                <w:rFonts w:cstheme="minorHAnsi"/>
                <w:sz w:val="24"/>
                <w:szCs w:val="24"/>
              </w:rPr>
              <w:t xml:space="preserve"> should be based on the average length of criminal investigations as a proxy for when the investigation for the offence is likely to have begun. </w:t>
            </w:r>
            <w:r w:rsidR="003A0C00">
              <w:rPr>
                <w:rFonts w:cstheme="minorHAnsi"/>
                <w:sz w:val="24"/>
                <w:szCs w:val="24"/>
              </w:rPr>
              <w:t xml:space="preserve"> </w:t>
            </w:r>
            <w:r w:rsidR="00A53036">
              <w:rPr>
                <w:rFonts w:cstheme="minorHAnsi"/>
                <w:sz w:val="24"/>
                <w:szCs w:val="24"/>
              </w:rPr>
              <w:t>This approach aims to capture</w:t>
            </w:r>
            <w:r w:rsidR="00AD43F9">
              <w:rPr>
                <w:rFonts w:cstheme="minorHAnsi"/>
                <w:sz w:val="24"/>
                <w:szCs w:val="24"/>
              </w:rPr>
              <w:t xml:space="preserve"> </w:t>
            </w:r>
            <w:r w:rsidR="00481802">
              <w:rPr>
                <w:rFonts w:cstheme="minorHAnsi"/>
                <w:sz w:val="24"/>
                <w:szCs w:val="24"/>
              </w:rPr>
              <w:t>any warning the</w:t>
            </w:r>
            <w:r w:rsidR="00AD43F9">
              <w:rPr>
                <w:rFonts w:cstheme="minorHAnsi"/>
                <w:sz w:val="24"/>
                <w:szCs w:val="24"/>
              </w:rPr>
              <w:t xml:space="preserve"> alleged offender may have may have that criminal or civil proceedings are pending.</w:t>
            </w:r>
            <w:r w:rsidR="00A53036">
              <w:rPr>
                <w:rFonts w:cstheme="minorHAnsi"/>
                <w:sz w:val="24"/>
                <w:szCs w:val="24"/>
              </w:rPr>
              <w:t xml:space="preserve"> </w:t>
            </w:r>
            <w:r w:rsidR="003A0C00">
              <w:rPr>
                <w:rFonts w:cstheme="minorHAnsi"/>
                <w:sz w:val="24"/>
                <w:szCs w:val="24"/>
              </w:rPr>
              <w:t xml:space="preserve"> </w:t>
            </w:r>
            <w:r w:rsidR="00A314B3">
              <w:rPr>
                <w:rFonts w:cstheme="minorHAnsi"/>
                <w:sz w:val="24"/>
                <w:szCs w:val="24"/>
              </w:rPr>
              <w:t xml:space="preserve"> </w:t>
            </w:r>
            <w:r w:rsidR="00FD77FA">
              <w:rPr>
                <w:rFonts w:cstheme="minorHAnsi"/>
                <w:sz w:val="24"/>
                <w:szCs w:val="24"/>
              </w:rPr>
              <w:t xml:space="preserve">Victims Services has requested data on the average length of investigations in NSW and will provide this if it becomes available. </w:t>
            </w:r>
            <w:r w:rsidR="005F60EA">
              <w:rPr>
                <w:rFonts w:cstheme="minorHAnsi"/>
                <w:sz w:val="24"/>
                <w:szCs w:val="24"/>
              </w:rPr>
              <w:t xml:space="preserve"> </w:t>
            </w:r>
            <w:r w:rsidR="00503EDF">
              <w:rPr>
                <w:rFonts w:cstheme="minorHAnsi"/>
                <w:sz w:val="24"/>
                <w:szCs w:val="24"/>
              </w:rPr>
              <w:t xml:space="preserve"> </w:t>
            </w:r>
            <w:r w:rsidR="009B52ED">
              <w:rPr>
                <w:rFonts w:cstheme="minorHAnsi"/>
                <w:sz w:val="24"/>
                <w:szCs w:val="24"/>
              </w:rPr>
              <w:t>If an agreement on the average length of an investigation is not able to be established, the timeframe should be</w:t>
            </w:r>
            <w:r w:rsidR="00064AB0">
              <w:rPr>
                <w:rFonts w:cstheme="minorHAnsi"/>
                <w:sz w:val="24"/>
                <w:szCs w:val="24"/>
              </w:rPr>
              <w:t xml:space="preserve"> </w:t>
            </w:r>
            <w:r w:rsidR="00864427">
              <w:rPr>
                <w:rFonts w:cstheme="minorHAnsi"/>
                <w:sz w:val="24"/>
                <w:szCs w:val="24"/>
              </w:rPr>
              <w:t>based on the time since the offence</w:t>
            </w:r>
            <w:r w:rsidR="004F58D1">
              <w:rPr>
                <w:rFonts w:cstheme="minorHAnsi"/>
                <w:sz w:val="24"/>
                <w:szCs w:val="24"/>
              </w:rPr>
              <w:t xml:space="preserve"> was committed</w:t>
            </w:r>
            <w:r w:rsidR="00864427">
              <w:rPr>
                <w:rFonts w:cstheme="minorHAnsi"/>
                <w:sz w:val="24"/>
                <w:szCs w:val="24"/>
              </w:rPr>
              <w:t>. In the event of a recent offence (</w:t>
            </w:r>
            <w:r w:rsidR="00FE0658">
              <w:rPr>
                <w:rFonts w:cstheme="minorHAnsi"/>
                <w:sz w:val="24"/>
                <w:szCs w:val="24"/>
              </w:rPr>
              <w:t xml:space="preserve">five </w:t>
            </w:r>
            <w:r w:rsidR="007E3719">
              <w:rPr>
                <w:rFonts w:cstheme="minorHAnsi"/>
                <w:sz w:val="24"/>
                <w:szCs w:val="24"/>
              </w:rPr>
              <w:t>years</w:t>
            </w:r>
            <w:r w:rsidR="00864427">
              <w:rPr>
                <w:rFonts w:cstheme="minorHAnsi"/>
                <w:sz w:val="24"/>
                <w:szCs w:val="24"/>
              </w:rPr>
              <w:t xml:space="preserve"> or less),</w:t>
            </w:r>
            <w:r w:rsidR="004F58D1">
              <w:rPr>
                <w:rFonts w:cstheme="minorHAnsi"/>
                <w:sz w:val="24"/>
                <w:szCs w:val="24"/>
              </w:rPr>
              <w:t xml:space="preserve"> out of character</w:t>
            </w:r>
            <w:r w:rsidR="00864427">
              <w:rPr>
                <w:rFonts w:cstheme="minorHAnsi"/>
                <w:sz w:val="24"/>
                <w:szCs w:val="24"/>
              </w:rPr>
              <w:t xml:space="preserve"> cont</w:t>
            </w:r>
            <w:r w:rsidR="00FE0658">
              <w:rPr>
                <w:rFonts w:cstheme="minorHAnsi"/>
                <w:sz w:val="24"/>
                <w:szCs w:val="24"/>
              </w:rPr>
              <w:t>ribution</w:t>
            </w:r>
            <w:r w:rsidR="00507027">
              <w:rPr>
                <w:rFonts w:cstheme="minorHAnsi"/>
                <w:sz w:val="24"/>
                <w:szCs w:val="24"/>
              </w:rPr>
              <w:t>s</w:t>
            </w:r>
            <w:r w:rsidR="00FE0658">
              <w:rPr>
                <w:rFonts w:cstheme="minorHAnsi"/>
                <w:sz w:val="24"/>
                <w:szCs w:val="24"/>
              </w:rPr>
              <w:t xml:space="preserve"> since the time of the offence should be taken into consideration. In the event of historical offences</w:t>
            </w:r>
            <w:r w:rsidR="007E3719">
              <w:rPr>
                <w:rFonts w:cstheme="minorHAnsi"/>
                <w:sz w:val="24"/>
                <w:szCs w:val="24"/>
              </w:rPr>
              <w:t xml:space="preserve"> (</w:t>
            </w:r>
            <w:r w:rsidR="00BF2A5C">
              <w:rPr>
                <w:rFonts w:cstheme="minorHAnsi"/>
                <w:sz w:val="24"/>
                <w:szCs w:val="24"/>
              </w:rPr>
              <w:t xml:space="preserve">for example, </w:t>
            </w:r>
            <w:r w:rsidR="007E3719">
              <w:rPr>
                <w:rFonts w:cstheme="minorHAnsi"/>
                <w:sz w:val="24"/>
                <w:szCs w:val="24"/>
              </w:rPr>
              <w:t>five years or more)</w:t>
            </w:r>
            <w:r w:rsidR="00FE0658">
              <w:rPr>
                <w:rFonts w:cstheme="minorHAnsi"/>
                <w:sz w:val="24"/>
                <w:szCs w:val="24"/>
              </w:rPr>
              <w:t>,</w:t>
            </w:r>
            <w:r w:rsidR="002F3844">
              <w:rPr>
                <w:rFonts w:cstheme="minorHAnsi"/>
                <w:sz w:val="24"/>
                <w:szCs w:val="24"/>
              </w:rPr>
              <w:t xml:space="preserve"> out of character</w:t>
            </w:r>
            <w:r w:rsidR="00FE0658">
              <w:rPr>
                <w:rFonts w:cstheme="minorHAnsi"/>
                <w:sz w:val="24"/>
                <w:szCs w:val="24"/>
              </w:rPr>
              <w:t xml:space="preserve"> contributions made</w:t>
            </w:r>
            <w:r w:rsidR="00507027">
              <w:rPr>
                <w:rFonts w:cstheme="minorHAnsi"/>
                <w:sz w:val="24"/>
                <w:szCs w:val="24"/>
              </w:rPr>
              <w:t xml:space="preserve"> five years prior to the compensation order should be taken into consideration.</w:t>
            </w:r>
            <w:r w:rsidR="003A0C00">
              <w:rPr>
                <w:rFonts w:cstheme="minorHAnsi"/>
                <w:sz w:val="24"/>
                <w:szCs w:val="24"/>
              </w:rPr>
              <w:t xml:space="preserve"> </w:t>
            </w:r>
            <w:r w:rsidR="00A53036">
              <w:rPr>
                <w:rFonts w:cstheme="minorHAnsi"/>
                <w:sz w:val="24"/>
                <w:szCs w:val="24"/>
              </w:rPr>
              <w:t xml:space="preserve"> </w:t>
            </w:r>
            <w:r w:rsidR="003A0C00">
              <w:rPr>
                <w:rFonts w:cstheme="minorHAnsi"/>
                <w:sz w:val="24"/>
                <w:szCs w:val="24"/>
              </w:rPr>
              <w:t xml:space="preserve"> </w:t>
            </w:r>
            <w:r w:rsidR="00507027">
              <w:rPr>
                <w:rFonts w:cstheme="minorHAnsi"/>
                <w:sz w:val="24"/>
                <w:szCs w:val="24"/>
              </w:rPr>
              <w:t xml:space="preserve"> </w:t>
            </w:r>
            <w:r w:rsidR="000C7FD8">
              <w:rPr>
                <w:rFonts w:cstheme="minorHAnsi"/>
                <w:sz w:val="24"/>
                <w:szCs w:val="24"/>
              </w:rPr>
              <w:t xml:space="preserve">                    </w:t>
            </w:r>
            <w:r w:rsidR="000C6E9D">
              <w:rPr>
                <w:rFonts w:cstheme="minorHAnsi"/>
                <w:sz w:val="24"/>
                <w:szCs w:val="24"/>
              </w:rPr>
              <w:t>T</w:t>
            </w:r>
            <w:r w:rsidR="00B94A23">
              <w:rPr>
                <w:rFonts w:cstheme="minorHAnsi"/>
                <w:sz w:val="24"/>
                <w:szCs w:val="24"/>
              </w:rPr>
              <w:t xml:space="preserve">he review should </w:t>
            </w:r>
            <w:r w:rsidR="000C6E9D">
              <w:rPr>
                <w:rFonts w:cstheme="minorHAnsi"/>
                <w:sz w:val="24"/>
                <w:szCs w:val="24"/>
              </w:rPr>
              <w:t>also</w:t>
            </w:r>
            <w:r w:rsidR="006F6345">
              <w:rPr>
                <w:rFonts w:cstheme="minorHAnsi"/>
                <w:sz w:val="24"/>
                <w:szCs w:val="24"/>
              </w:rPr>
              <w:t xml:space="preserve"> </w:t>
            </w:r>
            <w:r w:rsidR="00B94A23">
              <w:rPr>
                <w:rFonts w:cstheme="minorHAnsi"/>
                <w:sz w:val="24"/>
                <w:szCs w:val="24"/>
              </w:rPr>
              <w:t xml:space="preserve">consider </w:t>
            </w:r>
            <w:r w:rsidR="001246C0">
              <w:rPr>
                <w:rFonts w:cstheme="minorHAnsi"/>
                <w:sz w:val="24"/>
                <w:szCs w:val="24"/>
              </w:rPr>
              <w:t xml:space="preserve">how this would apply to juvenile offenders. </w:t>
            </w:r>
            <w:r w:rsidR="00223A01">
              <w:rPr>
                <w:rFonts w:cstheme="minorHAnsi"/>
                <w:sz w:val="24"/>
                <w:szCs w:val="24"/>
              </w:rPr>
              <w:t xml:space="preserve">Victims Services does not support any proposal to access the superannuation of offenders who committed the relevant offence when they were a juvenile.   </w:t>
            </w:r>
          </w:p>
        </w:tc>
      </w:tr>
      <w:tr w:rsidR="00965F34" w:rsidRPr="003337FA" w14:paraId="3FB9BECD" w14:textId="77777777" w:rsidTr="00F518B5">
        <w:trPr>
          <w:trHeight w:val="4241"/>
        </w:trPr>
        <w:tc>
          <w:tcPr>
            <w:tcW w:w="4219" w:type="dxa"/>
            <w:vMerge w:val="restart"/>
          </w:tcPr>
          <w:p w14:paraId="4D9B5D6C" w14:textId="77777777" w:rsidR="00965F34" w:rsidRDefault="00965F34" w:rsidP="003337FA">
            <w:pPr>
              <w:spacing w:before="120" w:after="120"/>
              <w:rPr>
                <w:b/>
                <w:sz w:val="24"/>
                <w:szCs w:val="24"/>
              </w:rPr>
            </w:pPr>
            <w:r w:rsidRPr="003337FA">
              <w:rPr>
                <w:b/>
                <w:sz w:val="24"/>
                <w:szCs w:val="24"/>
              </w:rPr>
              <w:t>Issue 4: Process for recovering money</w:t>
            </w:r>
          </w:p>
          <w:p w14:paraId="5C5BD359" w14:textId="77777777" w:rsidR="00965F34" w:rsidRPr="006F5B2A" w:rsidRDefault="00965F34" w:rsidP="006F5B2A">
            <w:pPr>
              <w:spacing w:before="120" w:after="120"/>
              <w:rPr>
                <w:rFonts w:cstheme="minorHAnsi"/>
                <w:sz w:val="24"/>
                <w:szCs w:val="24"/>
              </w:rPr>
            </w:pPr>
            <w:r w:rsidRPr="006F5B2A">
              <w:rPr>
                <w:rFonts w:cstheme="minorHAnsi"/>
                <w:sz w:val="24"/>
                <w:szCs w:val="24"/>
              </w:rPr>
              <w:t>Given there may be multiple compensation orders or other debts attributed to a perpetr</w:t>
            </w:r>
            <w:r>
              <w:rPr>
                <w:rFonts w:cstheme="minorHAnsi"/>
                <w:sz w:val="24"/>
                <w:szCs w:val="24"/>
              </w:rPr>
              <w:t xml:space="preserve">ator, it </w:t>
            </w:r>
            <w:r w:rsidRPr="006F5B2A">
              <w:rPr>
                <w:rFonts w:cstheme="minorHAnsi"/>
                <w:sz w:val="24"/>
                <w:szCs w:val="24"/>
              </w:rPr>
              <w:t>would not be appropriate for all the relevant contributions to be pa</w:t>
            </w:r>
            <w:r>
              <w:rPr>
                <w:rFonts w:cstheme="minorHAnsi"/>
                <w:sz w:val="24"/>
                <w:szCs w:val="24"/>
              </w:rPr>
              <w:t xml:space="preserve">id directly to an uncompensated </w:t>
            </w:r>
            <w:r w:rsidRPr="006F5B2A">
              <w:rPr>
                <w:rFonts w:cstheme="minorHAnsi"/>
                <w:sz w:val="24"/>
                <w:szCs w:val="24"/>
              </w:rPr>
              <w:t>or partially compensated victim with a compensation order. Further</w:t>
            </w:r>
            <w:r>
              <w:rPr>
                <w:rFonts w:cstheme="minorHAnsi"/>
                <w:sz w:val="24"/>
                <w:szCs w:val="24"/>
              </w:rPr>
              <w:t xml:space="preserve">, trustees may be uncomfortable </w:t>
            </w:r>
            <w:r w:rsidRPr="006F5B2A">
              <w:rPr>
                <w:rFonts w:cstheme="minorHAnsi"/>
                <w:sz w:val="24"/>
                <w:szCs w:val="24"/>
              </w:rPr>
              <w:t>with any requirement to pay someone other than the member or the contributor.</w:t>
            </w:r>
          </w:p>
        </w:tc>
        <w:tc>
          <w:tcPr>
            <w:tcW w:w="4961" w:type="dxa"/>
          </w:tcPr>
          <w:p w14:paraId="49C7D260" w14:textId="77777777" w:rsidR="00965F34" w:rsidRPr="00BC22D2" w:rsidRDefault="00F23C2C" w:rsidP="00BC22D2">
            <w:pPr>
              <w:spacing w:before="120" w:after="120"/>
              <w:rPr>
                <w:rFonts w:cstheme="minorHAnsi"/>
                <w:sz w:val="24"/>
                <w:szCs w:val="24"/>
              </w:rPr>
            </w:pPr>
            <w:r>
              <w:rPr>
                <w:rFonts w:cstheme="minorHAnsi"/>
                <w:sz w:val="24"/>
                <w:szCs w:val="24"/>
              </w:rPr>
              <w:t>I</w:t>
            </w:r>
            <w:r w:rsidR="00965F34" w:rsidRPr="00BC22D2">
              <w:rPr>
                <w:rFonts w:cstheme="minorHAnsi"/>
                <w:sz w:val="24"/>
                <w:szCs w:val="24"/>
              </w:rPr>
              <w:t>t is proposed that the trustee would be req</w:t>
            </w:r>
            <w:r w:rsidR="00965F34">
              <w:rPr>
                <w:rFonts w:cstheme="minorHAnsi"/>
                <w:sz w:val="24"/>
                <w:szCs w:val="24"/>
              </w:rPr>
              <w:t xml:space="preserve">uired to release relevant funds </w:t>
            </w:r>
            <w:r w:rsidR="00965F34" w:rsidRPr="00BC22D2">
              <w:rPr>
                <w:rFonts w:cstheme="minorHAnsi"/>
                <w:sz w:val="24"/>
                <w:szCs w:val="24"/>
              </w:rPr>
              <w:t>either:</w:t>
            </w:r>
          </w:p>
          <w:p w14:paraId="11DE8CF0" w14:textId="77777777" w:rsidR="00965F34" w:rsidRPr="00BC22D2" w:rsidRDefault="00965F34" w:rsidP="00BC22D2">
            <w:pPr>
              <w:pStyle w:val="ListParagraph"/>
              <w:numPr>
                <w:ilvl w:val="0"/>
                <w:numId w:val="3"/>
              </w:numPr>
              <w:spacing w:before="120" w:after="120"/>
              <w:ind w:left="459"/>
              <w:rPr>
                <w:rFonts w:cstheme="minorHAnsi"/>
                <w:sz w:val="24"/>
                <w:szCs w:val="24"/>
              </w:rPr>
            </w:pPr>
            <w:r w:rsidRPr="00BC22D2">
              <w:rPr>
                <w:rFonts w:cstheme="minorHAnsi"/>
                <w:sz w:val="24"/>
                <w:szCs w:val="24"/>
              </w:rPr>
              <w:t>by paying them into court, which distributes the funds according to its usual processes; or</w:t>
            </w:r>
          </w:p>
          <w:p w14:paraId="21D1816C" w14:textId="77777777" w:rsidR="00965F34" w:rsidRPr="00965F34" w:rsidRDefault="00965F34" w:rsidP="00965F34">
            <w:pPr>
              <w:pStyle w:val="ListParagraph"/>
              <w:numPr>
                <w:ilvl w:val="0"/>
                <w:numId w:val="3"/>
              </w:numPr>
              <w:spacing w:before="120" w:after="120"/>
              <w:ind w:left="459"/>
              <w:rPr>
                <w:rFonts w:cstheme="minorHAnsi"/>
                <w:sz w:val="24"/>
                <w:szCs w:val="24"/>
              </w:rPr>
            </w:pPr>
            <w:r w:rsidRPr="00BC22D2">
              <w:rPr>
                <w:rFonts w:cstheme="minorHAnsi"/>
                <w:sz w:val="24"/>
                <w:szCs w:val="24"/>
              </w:rPr>
              <w:t>by releasing them through some mechanism to centralise and streamline release and payment.</w:t>
            </w:r>
            <w:r>
              <w:rPr>
                <w:rFonts w:cstheme="minorHAnsi"/>
                <w:sz w:val="24"/>
                <w:szCs w:val="24"/>
              </w:rPr>
              <w:t xml:space="preserve"> </w:t>
            </w:r>
            <w:r w:rsidRPr="00BC22D2">
              <w:rPr>
                <w:rFonts w:cstheme="minorHAnsi"/>
                <w:sz w:val="24"/>
                <w:szCs w:val="24"/>
              </w:rPr>
              <w:t>For example, there are existing processes in place to facilitate release of amounts from</w:t>
            </w:r>
            <w:r>
              <w:rPr>
                <w:rFonts w:cstheme="minorHAnsi"/>
                <w:sz w:val="24"/>
                <w:szCs w:val="24"/>
              </w:rPr>
              <w:t xml:space="preserve"> </w:t>
            </w:r>
            <w:r w:rsidRPr="00BC22D2">
              <w:rPr>
                <w:rFonts w:cstheme="minorHAnsi"/>
                <w:sz w:val="24"/>
                <w:szCs w:val="24"/>
              </w:rPr>
              <w:t>superannuation, which might be built upon to facilitate releases for victims of crime.</w:t>
            </w:r>
          </w:p>
        </w:tc>
        <w:tc>
          <w:tcPr>
            <w:tcW w:w="4678" w:type="dxa"/>
          </w:tcPr>
          <w:p w14:paraId="7D5EC27B" w14:textId="77777777" w:rsidR="00965F34" w:rsidRDefault="00F65932" w:rsidP="001515AD">
            <w:pPr>
              <w:spacing w:before="120" w:after="120"/>
              <w:rPr>
                <w:sz w:val="24"/>
              </w:rPr>
            </w:pPr>
            <w:r w:rsidRPr="001515AD">
              <w:rPr>
                <w:rFonts w:cstheme="minorHAnsi"/>
                <w:sz w:val="24"/>
                <w:szCs w:val="24"/>
              </w:rPr>
              <w:t xml:space="preserve">Victims Service supports </w:t>
            </w:r>
            <w:r w:rsidR="001515AD" w:rsidRPr="001515AD">
              <w:rPr>
                <w:rFonts w:cstheme="minorHAnsi"/>
                <w:sz w:val="24"/>
                <w:szCs w:val="24"/>
              </w:rPr>
              <w:t xml:space="preserve">either mechanism for distributing the relevant funds to victims. </w:t>
            </w:r>
            <w:r w:rsidR="001515AD" w:rsidRPr="001515AD">
              <w:rPr>
                <w:sz w:val="24"/>
              </w:rPr>
              <w:t xml:space="preserve">Both options suggested here are viable. </w:t>
            </w:r>
          </w:p>
          <w:p w14:paraId="3757D601" w14:textId="77777777" w:rsidR="00C73796" w:rsidRPr="003337FA" w:rsidRDefault="00C73796" w:rsidP="00392EE2">
            <w:pPr>
              <w:spacing w:before="120" w:after="120"/>
              <w:rPr>
                <w:rFonts w:cstheme="minorHAnsi"/>
                <w:sz w:val="24"/>
                <w:szCs w:val="24"/>
              </w:rPr>
            </w:pPr>
            <w:r w:rsidRPr="00C73796">
              <w:rPr>
                <w:rFonts w:cstheme="minorHAnsi"/>
                <w:sz w:val="24"/>
                <w:szCs w:val="24"/>
              </w:rPr>
              <w:t>Where the offender has multiple claims against them</w:t>
            </w:r>
            <w:r w:rsidR="00392EE2">
              <w:rPr>
                <w:rFonts w:cstheme="minorHAnsi"/>
                <w:sz w:val="24"/>
                <w:szCs w:val="24"/>
              </w:rPr>
              <w:t>,</w:t>
            </w:r>
            <w:r w:rsidRPr="00C73796">
              <w:rPr>
                <w:rFonts w:cstheme="minorHAnsi"/>
                <w:sz w:val="24"/>
                <w:szCs w:val="24"/>
              </w:rPr>
              <w:t xml:space="preserve"> the process for payment should ensure that the available funds are fairly distributed between victims so that one victim does not receive payment before another and </w:t>
            </w:r>
            <w:r w:rsidR="00392EE2">
              <w:rPr>
                <w:rFonts w:cstheme="minorHAnsi"/>
                <w:sz w:val="24"/>
                <w:szCs w:val="24"/>
              </w:rPr>
              <w:t>funds are exhausted early</w:t>
            </w:r>
            <w:r w:rsidRPr="00C73796">
              <w:rPr>
                <w:rFonts w:cstheme="minorHAnsi"/>
                <w:sz w:val="24"/>
                <w:szCs w:val="24"/>
              </w:rPr>
              <w:t>.</w:t>
            </w:r>
          </w:p>
        </w:tc>
      </w:tr>
      <w:tr w:rsidR="00965F34" w:rsidRPr="003337FA" w14:paraId="58063E1A" w14:textId="77777777" w:rsidTr="00F518B5">
        <w:trPr>
          <w:trHeight w:val="2104"/>
        </w:trPr>
        <w:tc>
          <w:tcPr>
            <w:tcW w:w="4219" w:type="dxa"/>
            <w:vMerge/>
          </w:tcPr>
          <w:p w14:paraId="53D9A187" w14:textId="77777777" w:rsidR="00965F34" w:rsidRPr="003337FA" w:rsidRDefault="00965F34" w:rsidP="003337FA">
            <w:pPr>
              <w:spacing w:before="120" w:after="120"/>
              <w:rPr>
                <w:b/>
                <w:sz w:val="24"/>
                <w:szCs w:val="24"/>
              </w:rPr>
            </w:pPr>
          </w:p>
        </w:tc>
        <w:tc>
          <w:tcPr>
            <w:tcW w:w="4961" w:type="dxa"/>
          </w:tcPr>
          <w:p w14:paraId="5F1696D3" w14:textId="77777777" w:rsidR="00965F34" w:rsidRPr="00BC22D2" w:rsidRDefault="00965F34" w:rsidP="00965F34">
            <w:pPr>
              <w:spacing w:before="120" w:after="120"/>
              <w:rPr>
                <w:rFonts w:cstheme="minorHAnsi"/>
                <w:sz w:val="24"/>
                <w:szCs w:val="24"/>
              </w:rPr>
            </w:pPr>
            <w:r w:rsidRPr="00965F34">
              <w:rPr>
                <w:rFonts w:cstheme="minorHAnsi"/>
                <w:sz w:val="24"/>
                <w:szCs w:val="24"/>
              </w:rPr>
              <w:t>To further avoid the perpetrator not paying victims, any claw-ba</w:t>
            </w:r>
            <w:r>
              <w:rPr>
                <w:rFonts w:cstheme="minorHAnsi"/>
                <w:sz w:val="24"/>
                <w:szCs w:val="24"/>
              </w:rPr>
              <w:t xml:space="preserve">ck mechanism would also need to </w:t>
            </w:r>
            <w:r w:rsidRPr="00965F34">
              <w:rPr>
                <w:rFonts w:cstheme="minorHAnsi"/>
                <w:sz w:val="24"/>
                <w:szCs w:val="24"/>
              </w:rPr>
              <w:t>apply to voluntary contributions to the perpetrator’s account by a</w:t>
            </w:r>
            <w:r>
              <w:rPr>
                <w:rFonts w:cstheme="minorHAnsi"/>
                <w:sz w:val="24"/>
                <w:szCs w:val="24"/>
              </w:rPr>
              <w:t xml:space="preserve">ny person, or any contributions </w:t>
            </w:r>
            <w:r w:rsidRPr="00965F34">
              <w:rPr>
                <w:rFonts w:cstheme="minorHAnsi"/>
                <w:sz w:val="24"/>
                <w:szCs w:val="24"/>
              </w:rPr>
              <w:t>‘gifted’ by the perpetrator to another person’s account.</w:t>
            </w:r>
          </w:p>
        </w:tc>
        <w:tc>
          <w:tcPr>
            <w:tcW w:w="4678" w:type="dxa"/>
          </w:tcPr>
          <w:p w14:paraId="00A5143E" w14:textId="77777777" w:rsidR="00965F34" w:rsidRPr="003337FA" w:rsidRDefault="00381CE1" w:rsidP="003337FA">
            <w:pPr>
              <w:spacing w:before="120" w:after="120"/>
              <w:rPr>
                <w:rFonts w:cstheme="minorHAnsi"/>
                <w:sz w:val="24"/>
                <w:szCs w:val="24"/>
              </w:rPr>
            </w:pPr>
            <w:r>
              <w:rPr>
                <w:rFonts w:cstheme="minorHAnsi"/>
                <w:sz w:val="24"/>
                <w:szCs w:val="24"/>
              </w:rPr>
              <w:t xml:space="preserve">Supported. </w:t>
            </w:r>
          </w:p>
        </w:tc>
      </w:tr>
      <w:tr w:rsidR="0035174F" w:rsidRPr="003337FA" w14:paraId="16E7DF31" w14:textId="77777777" w:rsidTr="00F518B5">
        <w:trPr>
          <w:trHeight w:val="2681"/>
        </w:trPr>
        <w:tc>
          <w:tcPr>
            <w:tcW w:w="4219" w:type="dxa"/>
            <w:vMerge w:val="restart"/>
          </w:tcPr>
          <w:p w14:paraId="02895267" w14:textId="77777777" w:rsidR="0035174F" w:rsidRDefault="0035174F" w:rsidP="003337FA">
            <w:pPr>
              <w:spacing w:before="120" w:after="120"/>
              <w:rPr>
                <w:b/>
                <w:sz w:val="24"/>
                <w:szCs w:val="24"/>
              </w:rPr>
            </w:pPr>
            <w:r w:rsidRPr="003337FA">
              <w:rPr>
                <w:b/>
                <w:sz w:val="24"/>
                <w:szCs w:val="24"/>
              </w:rPr>
              <w:t>Issue 5: Taxation rate applied to compensation</w:t>
            </w:r>
          </w:p>
          <w:p w14:paraId="692AE805" w14:textId="77777777" w:rsidR="0035174F" w:rsidRPr="0035174F" w:rsidRDefault="0035174F" w:rsidP="0035174F">
            <w:pPr>
              <w:spacing w:before="120" w:after="120"/>
              <w:rPr>
                <w:rFonts w:cstheme="minorHAnsi"/>
                <w:sz w:val="24"/>
                <w:szCs w:val="24"/>
              </w:rPr>
            </w:pPr>
            <w:r w:rsidRPr="0035174F">
              <w:rPr>
                <w:rFonts w:cstheme="minorHAnsi"/>
                <w:sz w:val="24"/>
                <w:szCs w:val="24"/>
              </w:rPr>
              <w:t>Where the court determines that particular contributions were ‘out of</w:t>
            </w:r>
            <w:r>
              <w:rPr>
                <w:rFonts w:cstheme="minorHAnsi"/>
                <w:sz w:val="24"/>
                <w:szCs w:val="24"/>
              </w:rPr>
              <w:t xml:space="preserve"> character’, the effect of this </w:t>
            </w:r>
            <w:r w:rsidRPr="0035174F">
              <w:rPr>
                <w:rFonts w:cstheme="minorHAnsi"/>
                <w:sz w:val="24"/>
                <w:szCs w:val="24"/>
              </w:rPr>
              <w:t>draft proposal would be to void those transactions, releasi</w:t>
            </w:r>
            <w:r>
              <w:rPr>
                <w:rFonts w:cstheme="minorHAnsi"/>
                <w:sz w:val="24"/>
                <w:szCs w:val="24"/>
              </w:rPr>
              <w:t xml:space="preserve">ng the contributions out of the </w:t>
            </w:r>
            <w:r w:rsidRPr="0035174F">
              <w:rPr>
                <w:rFonts w:cstheme="minorHAnsi"/>
                <w:sz w:val="24"/>
                <w:szCs w:val="24"/>
              </w:rPr>
              <w:t xml:space="preserve">superannuation account. As </w:t>
            </w:r>
            <w:r>
              <w:rPr>
                <w:rFonts w:cstheme="minorHAnsi"/>
                <w:sz w:val="24"/>
                <w:szCs w:val="24"/>
              </w:rPr>
              <w:t xml:space="preserve">a result the money would not be </w:t>
            </w:r>
            <w:r w:rsidRPr="0035174F">
              <w:rPr>
                <w:rFonts w:cstheme="minorHAnsi"/>
                <w:sz w:val="24"/>
                <w:szCs w:val="24"/>
              </w:rPr>
              <w:t>treated as superannuatio</w:t>
            </w:r>
            <w:r>
              <w:rPr>
                <w:rFonts w:cstheme="minorHAnsi"/>
                <w:sz w:val="24"/>
                <w:szCs w:val="24"/>
              </w:rPr>
              <w:t>n</w:t>
            </w:r>
          </w:p>
        </w:tc>
        <w:tc>
          <w:tcPr>
            <w:tcW w:w="4961" w:type="dxa"/>
          </w:tcPr>
          <w:p w14:paraId="2E140746" w14:textId="77777777" w:rsidR="0035174F" w:rsidRPr="003337FA" w:rsidRDefault="00142FA9" w:rsidP="0035174F">
            <w:pPr>
              <w:spacing w:before="120" w:after="120"/>
              <w:rPr>
                <w:rFonts w:cstheme="minorHAnsi"/>
                <w:sz w:val="24"/>
                <w:szCs w:val="24"/>
              </w:rPr>
            </w:pPr>
            <w:r>
              <w:rPr>
                <w:rFonts w:cstheme="minorHAnsi"/>
                <w:sz w:val="24"/>
                <w:szCs w:val="24"/>
              </w:rPr>
              <w:t xml:space="preserve">The </w:t>
            </w:r>
            <w:r w:rsidR="0035174F" w:rsidRPr="0035174F">
              <w:rPr>
                <w:rFonts w:cstheme="minorHAnsi"/>
                <w:sz w:val="24"/>
                <w:szCs w:val="24"/>
              </w:rPr>
              <w:t>Review considers that the ‘released’ amount should not incur add</w:t>
            </w:r>
            <w:r w:rsidR="0035174F">
              <w:rPr>
                <w:rFonts w:cstheme="minorHAnsi"/>
                <w:sz w:val="24"/>
                <w:szCs w:val="24"/>
              </w:rPr>
              <w:t xml:space="preserve">itional tax liabilities for the </w:t>
            </w:r>
            <w:r w:rsidR="0035174F" w:rsidRPr="0035174F">
              <w:rPr>
                <w:rFonts w:cstheme="minorHAnsi"/>
                <w:sz w:val="24"/>
                <w:szCs w:val="24"/>
              </w:rPr>
              <w:t>superannuation account holder. Any tax concession associated with the contrib</w:t>
            </w:r>
            <w:r w:rsidR="0035174F">
              <w:rPr>
                <w:rFonts w:cstheme="minorHAnsi"/>
                <w:sz w:val="24"/>
                <w:szCs w:val="24"/>
              </w:rPr>
              <w:t xml:space="preserve">ution (e.g. in the case </w:t>
            </w:r>
            <w:r w:rsidR="0035174F" w:rsidRPr="0035174F">
              <w:rPr>
                <w:rFonts w:cstheme="minorHAnsi"/>
                <w:sz w:val="24"/>
                <w:szCs w:val="24"/>
              </w:rPr>
              <w:t>of a personal deductible contribution) should be unwound, to t</w:t>
            </w:r>
            <w:r w:rsidR="0035174F">
              <w:rPr>
                <w:rFonts w:cstheme="minorHAnsi"/>
                <w:sz w:val="24"/>
                <w:szCs w:val="24"/>
              </w:rPr>
              <w:t xml:space="preserve">he extent practicable, with the </w:t>
            </w:r>
            <w:r w:rsidR="0035174F" w:rsidRPr="0035174F">
              <w:rPr>
                <w:rFonts w:cstheme="minorHAnsi"/>
                <w:sz w:val="24"/>
                <w:szCs w:val="24"/>
              </w:rPr>
              <w:t>voiding of the transaction.</w:t>
            </w:r>
          </w:p>
        </w:tc>
        <w:tc>
          <w:tcPr>
            <w:tcW w:w="4678" w:type="dxa"/>
          </w:tcPr>
          <w:p w14:paraId="5167D1C9" w14:textId="77777777" w:rsidR="0035174F" w:rsidRPr="003337FA" w:rsidRDefault="00CB52B0" w:rsidP="003337FA">
            <w:pPr>
              <w:spacing w:before="120" w:after="120"/>
              <w:rPr>
                <w:rFonts w:cstheme="minorHAnsi"/>
                <w:sz w:val="24"/>
                <w:szCs w:val="24"/>
              </w:rPr>
            </w:pPr>
            <w:r w:rsidRPr="003337FA">
              <w:rPr>
                <w:rFonts w:cstheme="minorHAnsi"/>
                <w:sz w:val="24"/>
                <w:szCs w:val="24"/>
              </w:rPr>
              <w:t>Supported</w:t>
            </w:r>
            <w:r>
              <w:rPr>
                <w:rFonts w:cstheme="minorHAnsi"/>
                <w:sz w:val="24"/>
                <w:szCs w:val="24"/>
              </w:rPr>
              <w:t>.</w:t>
            </w:r>
          </w:p>
        </w:tc>
      </w:tr>
      <w:tr w:rsidR="0035174F" w:rsidRPr="003337FA" w14:paraId="4AD6EEE0" w14:textId="77777777" w:rsidTr="00247666">
        <w:trPr>
          <w:trHeight w:val="692"/>
        </w:trPr>
        <w:tc>
          <w:tcPr>
            <w:tcW w:w="4219" w:type="dxa"/>
            <w:vMerge/>
          </w:tcPr>
          <w:p w14:paraId="586A261A" w14:textId="77777777" w:rsidR="0035174F" w:rsidRPr="003337FA" w:rsidRDefault="0035174F" w:rsidP="003337FA">
            <w:pPr>
              <w:spacing w:before="120" w:after="120"/>
              <w:rPr>
                <w:b/>
                <w:sz w:val="24"/>
                <w:szCs w:val="24"/>
              </w:rPr>
            </w:pPr>
          </w:p>
        </w:tc>
        <w:tc>
          <w:tcPr>
            <w:tcW w:w="4961" w:type="dxa"/>
          </w:tcPr>
          <w:p w14:paraId="7B44A256" w14:textId="77777777" w:rsidR="0035174F" w:rsidRPr="0035174F" w:rsidRDefault="0035174F" w:rsidP="0035174F">
            <w:pPr>
              <w:spacing w:before="120" w:after="120"/>
              <w:rPr>
                <w:rFonts w:cstheme="minorHAnsi"/>
                <w:sz w:val="24"/>
                <w:szCs w:val="24"/>
              </w:rPr>
            </w:pPr>
            <w:r w:rsidRPr="00B93C80">
              <w:rPr>
                <w:rFonts w:cstheme="minorHAnsi"/>
                <w:sz w:val="24"/>
                <w:szCs w:val="24"/>
              </w:rPr>
              <w:t>Money released should also be tax-free in the hands of the victim.</w:t>
            </w:r>
          </w:p>
        </w:tc>
        <w:tc>
          <w:tcPr>
            <w:tcW w:w="4678" w:type="dxa"/>
          </w:tcPr>
          <w:p w14:paraId="1314B6DB" w14:textId="77777777" w:rsidR="009257F7" w:rsidRDefault="00CB52B0" w:rsidP="00FB682A">
            <w:pPr>
              <w:spacing w:before="120" w:after="120"/>
              <w:rPr>
                <w:rFonts w:cstheme="minorHAnsi"/>
                <w:sz w:val="24"/>
                <w:szCs w:val="24"/>
              </w:rPr>
            </w:pPr>
            <w:r w:rsidRPr="003337FA">
              <w:rPr>
                <w:rFonts w:cstheme="minorHAnsi"/>
                <w:sz w:val="24"/>
                <w:szCs w:val="24"/>
              </w:rPr>
              <w:t>Supported</w:t>
            </w:r>
            <w:r>
              <w:rPr>
                <w:rFonts w:cstheme="minorHAnsi"/>
                <w:sz w:val="24"/>
                <w:szCs w:val="24"/>
              </w:rPr>
              <w:t>.</w:t>
            </w:r>
            <w:r w:rsidR="00FB682A">
              <w:t xml:space="preserve"> </w:t>
            </w:r>
            <w:r w:rsidR="00FB682A" w:rsidRPr="00FB682A">
              <w:rPr>
                <w:rFonts w:cstheme="minorHAnsi"/>
                <w:sz w:val="24"/>
                <w:szCs w:val="24"/>
              </w:rPr>
              <w:t>Tax should be applied in the same way as it currently is to a compensation order or victims support, the money changes form once it is paid into the Court and then paid out as compensation.</w:t>
            </w:r>
            <w:r w:rsidR="00FB682A">
              <w:rPr>
                <w:rFonts w:cstheme="minorHAnsi"/>
                <w:sz w:val="24"/>
                <w:szCs w:val="24"/>
              </w:rPr>
              <w:t xml:space="preserve"> </w:t>
            </w:r>
          </w:p>
          <w:p w14:paraId="1CB79B8B" w14:textId="77777777" w:rsidR="0035174F" w:rsidRPr="003337FA" w:rsidRDefault="00FB682A" w:rsidP="00FB682A">
            <w:pPr>
              <w:spacing w:before="120" w:after="120"/>
              <w:rPr>
                <w:rFonts w:cstheme="minorHAnsi"/>
                <w:sz w:val="24"/>
                <w:szCs w:val="24"/>
              </w:rPr>
            </w:pPr>
            <w:r>
              <w:rPr>
                <w:rFonts w:cstheme="minorHAnsi"/>
                <w:sz w:val="24"/>
                <w:szCs w:val="24"/>
              </w:rPr>
              <w:t xml:space="preserve">Victims Services is of the understanding that these compensation payments are generally not taxable income. </w:t>
            </w:r>
          </w:p>
        </w:tc>
      </w:tr>
    </w:tbl>
    <w:p w14:paraId="3296D6E0" w14:textId="77777777" w:rsidR="00642351" w:rsidRDefault="00642351" w:rsidP="00BF2E42">
      <w:pPr>
        <w:spacing w:after="0"/>
        <w:rPr>
          <w:rFonts w:cstheme="minorHAnsi"/>
          <w:b/>
          <w:sz w:val="24"/>
          <w:szCs w:val="24"/>
        </w:rPr>
      </w:pPr>
    </w:p>
    <w:p w14:paraId="5FBE1E7F" w14:textId="77777777" w:rsidR="00D34739" w:rsidRPr="001C4638" w:rsidRDefault="00D34739" w:rsidP="003337FA">
      <w:pPr>
        <w:shd w:val="clear" w:color="auto" w:fill="F2F2F2" w:themeFill="background1" w:themeFillShade="F2"/>
        <w:spacing w:before="120" w:after="120"/>
        <w:rPr>
          <w:rFonts w:cstheme="minorHAnsi"/>
          <w:b/>
          <w:sz w:val="24"/>
          <w:szCs w:val="24"/>
        </w:rPr>
      </w:pPr>
      <w:r w:rsidRPr="00D34739">
        <w:rPr>
          <w:rFonts w:cstheme="minorHAnsi"/>
          <w:b/>
          <w:sz w:val="24"/>
          <w:szCs w:val="24"/>
        </w:rPr>
        <w:t>Draft propos</w:t>
      </w:r>
      <w:r>
        <w:rPr>
          <w:rFonts w:cstheme="minorHAnsi"/>
          <w:b/>
          <w:sz w:val="24"/>
          <w:szCs w:val="24"/>
        </w:rPr>
        <w:t xml:space="preserve">al 2: Allowing uncompensated or </w:t>
      </w:r>
      <w:r w:rsidRPr="00D34739">
        <w:rPr>
          <w:rFonts w:cstheme="minorHAnsi"/>
          <w:b/>
          <w:sz w:val="24"/>
          <w:szCs w:val="24"/>
        </w:rPr>
        <w:t>partial</w:t>
      </w:r>
      <w:r>
        <w:rPr>
          <w:rFonts w:cstheme="minorHAnsi"/>
          <w:b/>
          <w:sz w:val="24"/>
          <w:szCs w:val="24"/>
        </w:rPr>
        <w:t xml:space="preserve">ly compensated victims of crime </w:t>
      </w:r>
      <w:r w:rsidRPr="00D34739">
        <w:rPr>
          <w:rFonts w:cstheme="minorHAnsi"/>
          <w:b/>
          <w:sz w:val="24"/>
          <w:szCs w:val="24"/>
        </w:rPr>
        <w:t>broa</w:t>
      </w:r>
      <w:r>
        <w:rPr>
          <w:rFonts w:cstheme="minorHAnsi"/>
          <w:b/>
          <w:sz w:val="24"/>
          <w:szCs w:val="24"/>
        </w:rPr>
        <w:t xml:space="preserve">der access to the perpetrator’s </w:t>
      </w:r>
      <w:r w:rsidRPr="00D34739">
        <w:rPr>
          <w:rFonts w:cstheme="minorHAnsi"/>
          <w:b/>
          <w:sz w:val="24"/>
          <w:szCs w:val="24"/>
        </w:rPr>
        <w:t>superannuation balance</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219"/>
        <w:gridCol w:w="4961"/>
        <w:gridCol w:w="4678"/>
      </w:tblGrid>
      <w:tr w:rsidR="00D34739" w:rsidRPr="001C4638" w14:paraId="03B0C7D6" w14:textId="77777777" w:rsidTr="004D46CE">
        <w:trPr>
          <w:tblHeader/>
        </w:trPr>
        <w:tc>
          <w:tcPr>
            <w:tcW w:w="4219" w:type="dxa"/>
          </w:tcPr>
          <w:p w14:paraId="1BA4E726" w14:textId="77777777" w:rsidR="00D34739" w:rsidRPr="001C4638" w:rsidRDefault="00D34739" w:rsidP="00F518B5">
            <w:pPr>
              <w:spacing w:before="60" w:after="60"/>
              <w:rPr>
                <w:rFonts w:cstheme="minorHAnsi"/>
                <w:b/>
                <w:sz w:val="24"/>
                <w:szCs w:val="24"/>
              </w:rPr>
            </w:pPr>
            <w:r w:rsidRPr="001C4638">
              <w:rPr>
                <w:rFonts w:cstheme="minorHAnsi"/>
                <w:b/>
                <w:sz w:val="24"/>
                <w:szCs w:val="24"/>
              </w:rPr>
              <w:t xml:space="preserve">Topic </w:t>
            </w:r>
          </w:p>
        </w:tc>
        <w:tc>
          <w:tcPr>
            <w:tcW w:w="4961" w:type="dxa"/>
          </w:tcPr>
          <w:p w14:paraId="20445DB2" w14:textId="77777777" w:rsidR="00D34739" w:rsidRPr="001C4638" w:rsidRDefault="00D34739" w:rsidP="00F518B5">
            <w:pPr>
              <w:spacing w:before="60" w:after="60"/>
              <w:rPr>
                <w:rFonts w:cstheme="minorHAnsi"/>
                <w:b/>
                <w:sz w:val="24"/>
                <w:szCs w:val="24"/>
              </w:rPr>
            </w:pPr>
            <w:r w:rsidRPr="001C4638">
              <w:rPr>
                <w:rFonts w:cstheme="minorHAnsi"/>
                <w:b/>
                <w:sz w:val="24"/>
                <w:szCs w:val="24"/>
              </w:rPr>
              <w:t xml:space="preserve">Content </w:t>
            </w:r>
          </w:p>
        </w:tc>
        <w:tc>
          <w:tcPr>
            <w:tcW w:w="4678" w:type="dxa"/>
          </w:tcPr>
          <w:p w14:paraId="79CB34AD" w14:textId="77777777" w:rsidR="00D34739" w:rsidRPr="001C4638" w:rsidRDefault="00D34739" w:rsidP="00F518B5">
            <w:pPr>
              <w:spacing w:before="60" w:after="60"/>
              <w:rPr>
                <w:rFonts w:cstheme="minorHAnsi"/>
                <w:b/>
                <w:sz w:val="24"/>
                <w:szCs w:val="24"/>
              </w:rPr>
            </w:pPr>
            <w:r w:rsidRPr="001C4638">
              <w:rPr>
                <w:rFonts w:cstheme="minorHAnsi"/>
                <w:b/>
                <w:sz w:val="24"/>
                <w:szCs w:val="24"/>
              </w:rPr>
              <w:t xml:space="preserve">Comments </w:t>
            </w:r>
          </w:p>
        </w:tc>
      </w:tr>
      <w:tr w:rsidR="00D34739" w:rsidRPr="001C4638" w14:paraId="42EF20CD" w14:textId="77777777" w:rsidTr="004D46CE">
        <w:tc>
          <w:tcPr>
            <w:tcW w:w="4219" w:type="dxa"/>
          </w:tcPr>
          <w:p w14:paraId="2FEF214E" w14:textId="77777777" w:rsidR="00D34739" w:rsidRDefault="00D34739" w:rsidP="003337FA">
            <w:pPr>
              <w:spacing w:before="120" w:after="120"/>
              <w:rPr>
                <w:b/>
                <w:sz w:val="24"/>
              </w:rPr>
            </w:pPr>
            <w:r w:rsidRPr="004A7909">
              <w:rPr>
                <w:b/>
                <w:sz w:val="24"/>
              </w:rPr>
              <w:t>Issue 1: Burden of proof</w:t>
            </w:r>
          </w:p>
          <w:p w14:paraId="03DD6889" w14:textId="77777777" w:rsidR="004A7909" w:rsidRPr="004A7909" w:rsidRDefault="004A7909" w:rsidP="003337FA">
            <w:pPr>
              <w:spacing w:before="120" w:after="120"/>
              <w:rPr>
                <w:rFonts w:cstheme="minorHAnsi"/>
                <w:sz w:val="24"/>
                <w:szCs w:val="24"/>
              </w:rPr>
            </w:pPr>
          </w:p>
        </w:tc>
        <w:tc>
          <w:tcPr>
            <w:tcW w:w="4961" w:type="dxa"/>
          </w:tcPr>
          <w:p w14:paraId="5FFFEFEA" w14:textId="77777777" w:rsidR="00D34739" w:rsidRPr="001C4638" w:rsidRDefault="004A7909" w:rsidP="004A7909">
            <w:pPr>
              <w:spacing w:before="120" w:after="120"/>
              <w:rPr>
                <w:rFonts w:cstheme="minorHAnsi"/>
                <w:sz w:val="24"/>
                <w:szCs w:val="24"/>
              </w:rPr>
            </w:pPr>
            <w:r w:rsidRPr="004A7909">
              <w:rPr>
                <w:rFonts w:cstheme="minorHAnsi"/>
                <w:sz w:val="24"/>
                <w:szCs w:val="24"/>
              </w:rPr>
              <w:t xml:space="preserve">The draft proposal would only apply to unpaid compensation orders </w:t>
            </w:r>
            <w:r>
              <w:rPr>
                <w:rFonts w:cstheme="minorHAnsi"/>
                <w:sz w:val="24"/>
                <w:szCs w:val="24"/>
              </w:rPr>
              <w:t xml:space="preserve">relating to conduct for which a </w:t>
            </w:r>
            <w:r w:rsidRPr="004A7909">
              <w:rPr>
                <w:rFonts w:cstheme="minorHAnsi"/>
                <w:sz w:val="24"/>
                <w:szCs w:val="24"/>
              </w:rPr>
              <w:t>criminal conviction has been obtained. This reflects a view that the</w:t>
            </w:r>
            <w:r>
              <w:rPr>
                <w:rFonts w:cstheme="minorHAnsi"/>
                <w:sz w:val="24"/>
                <w:szCs w:val="24"/>
              </w:rPr>
              <w:t xml:space="preserve"> act should have been proven to </w:t>
            </w:r>
            <w:r w:rsidRPr="004A7909">
              <w:rPr>
                <w:rFonts w:cstheme="minorHAnsi"/>
                <w:sz w:val="24"/>
                <w:szCs w:val="24"/>
              </w:rPr>
              <w:t xml:space="preserve">the criminal standard – beyond reasonable doubt. It would not apply to </w:t>
            </w:r>
            <w:r>
              <w:rPr>
                <w:rFonts w:cstheme="minorHAnsi"/>
                <w:sz w:val="24"/>
                <w:szCs w:val="24"/>
              </w:rPr>
              <w:t xml:space="preserve">unpaid civil compensation </w:t>
            </w:r>
            <w:r w:rsidRPr="004A7909">
              <w:rPr>
                <w:rFonts w:cstheme="minorHAnsi"/>
                <w:sz w:val="24"/>
                <w:szCs w:val="24"/>
              </w:rPr>
              <w:t>claims in the absence of a prior criminal conviction.</w:t>
            </w:r>
          </w:p>
        </w:tc>
        <w:tc>
          <w:tcPr>
            <w:tcW w:w="4678" w:type="dxa"/>
          </w:tcPr>
          <w:p w14:paraId="78A3BAEC" w14:textId="77777777" w:rsidR="00D34739" w:rsidRDefault="00C32898" w:rsidP="003337FA">
            <w:pPr>
              <w:spacing w:before="120" w:after="120"/>
              <w:rPr>
                <w:rFonts w:cstheme="minorHAnsi"/>
                <w:sz w:val="24"/>
                <w:szCs w:val="24"/>
              </w:rPr>
            </w:pPr>
            <w:r w:rsidRPr="003337FA">
              <w:rPr>
                <w:rFonts w:cstheme="minorHAnsi"/>
                <w:sz w:val="24"/>
                <w:szCs w:val="24"/>
              </w:rPr>
              <w:t>Supported</w:t>
            </w:r>
            <w:r>
              <w:rPr>
                <w:rFonts w:cstheme="minorHAnsi"/>
                <w:sz w:val="24"/>
                <w:szCs w:val="24"/>
              </w:rPr>
              <w:t>.</w:t>
            </w:r>
            <w:r w:rsidR="00521C1F">
              <w:rPr>
                <w:rFonts w:cstheme="minorHAnsi"/>
                <w:sz w:val="24"/>
                <w:szCs w:val="24"/>
              </w:rPr>
              <w:t xml:space="preserve"> </w:t>
            </w:r>
          </w:p>
          <w:p w14:paraId="3C46E48C" w14:textId="77777777" w:rsidR="00BE0F50" w:rsidRDefault="00BE0F50" w:rsidP="003337FA">
            <w:pPr>
              <w:spacing w:before="120" w:after="120"/>
              <w:rPr>
                <w:rFonts w:cstheme="minorHAnsi"/>
                <w:sz w:val="24"/>
                <w:szCs w:val="24"/>
              </w:rPr>
            </w:pPr>
          </w:p>
          <w:p w14:paraId="06BAAF98" w14:textId="77777777" w:rsidR="00BE0F50" w:rsidRPr="001C4638" w:rsidRDefault="00BE0F50" w:rsidP="003337FA">
            <w:pPr>
              <w:spacing w:before="120" w:after="120"/>
              <w:rPr>
                <w:rFonts w:cstheme="minorHAnsi"/>
                <w:sz w:val="24"/>
                <w:szCs w:val="24"/>
              </w:rPr>
            </w:pPr>
          </w:p>
        </w:tc>
      </w:tr>
      <w:tr w:rsidR="00E17848" w:rsidRPr="001C4638" w14:paraId="4D77A21D" w14:textId="77777777" w:rsidTr="004D46CE">
        <w:trPr>
          <w:trHeight w:val="1659"/>
        </w:trPr>
        <w:tc>
          <w:tcPr>
            <w:tcW w:w="4219" w:type="dxa"/>
            <w:vMerge w:val="restart"/>
          </w:tcPr>
          <w:p w14:paraId="6ACA365B" w14:textId="77777777" w:rsidR="00E17848" w:rsidRPr="004A7909" w:rsidRDefault="00E17848" w:rsidP="003337FA">
            <w:pPr>
              <w:spacing w:before="120" w:after="120"/>
              <w:rPr>
                <w:rFonts w:cstheme="minorHAnsi"/>
                <w:b/>
                <w:sz w:val="24"/>
                <w:szCs w:val="24"/>
              </w:rPr>
            </w:pPr>
            <w:r w:rsidRPr="004A7909">
              <w:rPr>
                <w:b/>
                <w:sz w:val="24"/>
              </w:rPr>
              <w:t>Issue 2: What crimes should be covered?</w:t>
            </w:r>
          </w:p>
        </w:tc>
        <w:tc>
          <w:tcPr>
            <w:tcW w:w="4961" w:type="dxa"/>
          </w:tcPr>
          <w:p w14:paraId="6A9431C0" w14:textId="77777777" w:rsidR="00E17848" w:rsidRPr="001C4638" w:rsidRDefault="00E17848" w:rsidP="00E17848">
            <w:pPr>
              <w:spacing w:before="120" w:after="120"/>
              <w:rPr>
                <w:rFonts w:cstheme="minorHAnsi"/>
                <w:sz w:val="24"/>
                <w:szCs w:val="24"/>
              </w:rPr>
            </w:pPr>
            <w:r w:rsidRPr="00E17848">
              <w:rPr>
                <w:rFonts w:cstheme="minorHAnsi"/>
                <w:sz w:val="24"/>
                <w:szCs w:val="24"/>
              </w:rPr>
              <w:t>The current draft proposal is that access to a perpetrator’s entire s</w:t>
            </w:r>
            <w:r>
              <w:rPr>
                <w:rFonts w:cstheme="minorHAnsi"/>
                <w:sz w:val="24"/>
                <w:szCs w:val="24"/>
              </w:rPr>
              <w:t xml:space="preserve">uperannuation balance should be </w:t>
            </w:r>
            <w:r w:rsidRPr="00E17848">
              <w:rPr>
                <w:rFonts w:cstheme="minorHAnsi"/>
                <w:sz w:val="24"/>
                <w:szCs w:val="24"/>
              </w:rPr>
              <w:t>possible only in respect of unpaid compensation orders relating to seri</w:t>
            </w:r>
            <w:r>
              <w:rPr>
                <w:rFonts w:cstheme="minorHAnsi"/>
                <w:sz w:val="24"/>
                <w:szCs w:val="24"/>
              </w:rPr>
              <w:t xml:space="preserve">ous criminal offences involving </w:t>
            </w:r>
            <w:r w:rsidRPr="00E17848">
              <w:rPr>
                <w:rFonts w:cstheme="minorHAnsi"/>
                <w:sz w:val="24"/>
                <w:szCs w:val="24"/>
              </w:rPr>
              <w:t>violence against an individual.</w:t>
            </w:r>
          </w:p>
        </w:tc>
        <w:tc>
          <w:tcPr>
            <w:tcW w:w="4678" w:type="dxa"/>
          </w:tcPr>
          <w:p w14:paraId="524573C8" w14:textId="77777777" w:rsidR="00E17848" w:rsidRPr="001C4638" w:rsidRDefault="00221D29" w:rsidP="00294346">
            <w:pPr>
              <w:spacing w:before="120" w:after="120"/>
              <w:rPr>
                <w:rFonts w:cstheme="minorHAnsi"/>
                <w:sz w:val="24"/>
                <w:szCs w:val="24"/>
              </w:rPr>
            </w:pPr>
            <w:r>
              <w:rPr>
                <w:rFonts w:cstheme="minorHAnsi"/>
                <w:sz w:val="24"/>
                <w:szCs w:val="24"/>
              </w:rPr>
              <w:t xml:space="preserve">Supported in principle. </w:t>
            </w:r>
            <w:r w:rsidR="00CB1348">
              <w:rPr>
                <w:rFonts w:cstheme="minorHAnsi"/>
                <w:sz w:val="24"/>
                <w:szCs w:val="24"/>
              </w:rPr>
              <w:t xml:space="preserve">Victims Services would like to be consulted on the ‘serious criminal offences involving violence’ that would be included under this </w:t>
            </w:r>
            <w:r w:rsidR="00554A6B">
              <w:rPr>
                <w:rFonts w:cstheme="minorHAnsi"/>
                <w:sz w:val="24"/>
                <w:szCs w:val="24"/>
              </w:rPr>
              <w:t>proposal</w:t>
            </w:r>
            <w:r w:rsidR="00CB1348">
              <w:rPr>
                <w:rFonts w:cstheme="minorHAnsi"/>
                <w:sz w:val="24"/>
                <w:szCs w:val="24"/>
              </w:rPr>
              <w:t xml:space="preserve">. </w:t>
            </w:r>
            <w:r w:rsidR="00294346">
              <w:rPr>
                <w:rFonts w:cstheme="minorHAnsi"/>
                <w:sz w:val="24"/>
                <w:szCs w:val="24"/>
              </w:rPr>
              <w:t>As addressed in issue 6 below</w:t>
            </w:r>
            <w:r w:rsidR="009257F7">
              <w:rPr>
                <w:rFonts w:cstheme="minorHAnsi"/>
                <w:sz w:val="24"/>
                <w:szCs w:val="24"/>
              </w:rPr>
              <w:t>,</w:t>
            </w:r>
            <w:r w:rsidR="00294346">
              <w:rPr>
                <w:rFonts w:cstheme="minorHAnsi"/>
                <w:sz w:val="24"/>
                <w:szCs w:val="24"/>
              </w:rPr>
              <w:t xml:space="preserve"> the </w:t>
            </w:r>
            <w:r w:rsidR="00A44718" w:rsidRPr="00E17848">
              <w:rPr>
                <w:rFonts w:cstheme="minorHAnsi"/>
                <w:sz w:val="24"/>
                <w:szCs w:val="24"/>
              </w:rPr>
              <w:t>entire s</w:t>
            </w:r>
            <w:r w:rsidR="00A44718">
              <w:rPr>
                <w:rFonts w:cstheme="minorHAnsi"/>
                <w:sz w:val="24"/>
                <w:szCs w:val="24"/>
              </w:rPr>
              <w:t>uperannuation balance</w:t>
            </w:r>
            <w:r w:rsidR="00294346">
              <w:rPr>
                <w:rFonts w:cstheme="minorHAnsi"/>
                <w:sz w:val="24"/>
                <w:szCs w:val="24"/>
              </w:rPr>
              <w:t xml:space="preserve"> should only be available where the offender has no dependents.</w:t>
            </w:r>
          </w:p>
        </w:tc>
      </w:tr>
      <w:tr w:rsidR="00E17848" w:rsidRPr="001C4638" w14:paraId="4F5B836E" w14:textId="77777777" w:rsidTr="004D46CE">
        <w:trPr>
          <w:trHeight w:val="450"/>
        </w:trPr>
        <w:tc>
          <w:tcPr>
            <w:tcW w:w="4219" w:type="dxa"/>
            <w:vMerge/>
          </w:tcPr>
          <w:p w14:paraId="0192FFF1" w14:textId="77777777" w:rsidR="00E17848" w:rsidRPr="004A7909" w:rsidRDefault="00E17848" w:rsidP="003337FA">
            <w:pPr>
              <w:spacing w:before="120" w:after="120"/>
              <w:rPr>
                <w:b/>
                <w:sz w:val="24"/>
              </w:rPr>
            </w:pPr>
          </w:p>
        </w:tc>
        <w:tc>
          <w:tcPr>
            <w:tcW w:w="4961" w:type="dxa"/>
          </w:tcPr>
          <w:p w14:paraId="7F716603" w14:textId="77777777" w:rsidR="00E17848" w:rsidRPr="00E17848" w:rsidRDefault="00E17848" w:rsidP="00E17848">
            <w:pPr>
              <w:tabs>
                <w:tab w:val="left" w:pos="1500"/>
              </w:tabs>
              <w:spacing w:before="120" w:after="120"/>
              <w:rPr>
                <w:rFonts w:cstheme="minorHAnsi"/>
                <w:sz w:val="24"/>
                <w:szCs w:val="24"/>
              </w:rPr>
            </w:pPr>
            <w:r w:rsidRPr="00E17848">
              <w:rPr>
                <w:rFonts w:cstheme="minorHAnsi"/>
                <w:sz w:val="24"/>
                <w:szCs w:val="24"/>
              </w:rPr>
              <w:t xml:space="preserve">It is also proposed </w:t>
            </w:r>
            <w:r>
              <w:rPr>
                <w:rFonts w:cstheme="minorHAnsi"/>
                <w:sz w:val="24"/>
                <w:szCs w:val="24"/>
              </w:rPr>
              <w:t xml:space="preserve">that a serious criminal offence </w:t>
            </w:r>
            <w:r w:rsidRPr="00E17848">
              <w:rPr>
                <w:rFonts w:cstheme="minorHAnsi"/>
                <w:sz w:val="24"/>
                <w:szCs w:val="24"/>
              </w:rPr>
              <w:t>should be defined as one with a maximum custodial sentence above 10 years.</w:t>
            </w:r>
          </w:p>
        </w:tc>
        <w:tc>
          <w:tcPr>
            <w:tcW w:w="4678" w:type="dxa"/>
          </w:tcPr>
          <w:p w14:paraId="3C637A67" w14:textId="2B12705C" w:rsidR="0074701F" w:rsidRPr="001C4638" w:rsidRDefault="0074701F" w:rsidP="00656660">
            <w:pPr>
              <w:spacing w:before="120" w:after="120"/>
              <w:rPr>
                <w:rFonts w:cstheme="minorHAnsi"/>
                <w:sz w:val="24"/>
                <w:szCs w:val="24"/>
              </w:rPr>
            </w:pPr>
            <w:r>
              <w:rPr>
                <w:rFonts w:cstheme="minorHAnsi"/>
                <w:sz w:val="24"/>
                <w:szCs w:val="24"/>
              </w:rPr>
              <w:t xml:space="preserve">Not supported. </w:t>
            </w:r>
            <w:r w:rsidR="00656660" w:rsidRPr="00656660">
              <w:rPr>
                <w:rFonts w:cstheme="minorHAnsi"/>
                <w:sz w:val="24"/>
                <w:szCs w:val="24"/>
              </w:rPr>
              <w:t>‘</w:t>
            </w:r>
            <w:r w:rsidR="00656660">
              <w:rPr>
                <w:rFonts w:cstheme="minorHAnsi"/>
                <w:sz w:val="24"/>
                <w:szCs w:val="24"/>
              </w:rPr>
              <w:t>S</w:t>
            </w:r>
            <w:r w:rsidR="00656660" w:rsidRPr="00656660">
              <w:rPr>
                <w:rFonts w:cstheme="minorHAnsi"/>
                <w:sz w:val="24"/>
                <w:szCs w:val="24"/>
              </w:rPr>
              <w:t xml:space="preserve">erious criminal offences’ should be defined as serious indictable offences. A </w:t>
            </w:r>
            <w:r w:rsidR="00656660">
              <w:rPr>
                <w:rFonts w:cstheme="minorHAnsi"/>
                <w:sz w:val="24"/>
                <w:szCs w:val="24"/>
              </w:rPr>
              <w:t>s</w:t>
            </w:r>
            <w:r w:rsidR="00656660" w:rsidRPr="00656660">
              <w:rPr>
                <w:rFonts w:cstheme="minorHAnsi"/>
                <w:sz w:val="24"/>
                <w:szCs w:val="24"/>
              </w:rPr>
              <w:t xml:space="preserve">erious indictable offence is defined in the </w:t>
            </w:r>
            <w:r w:rsidR="00656660" w:rsidRPr="00656660">
              <w:rPr>
                <w:rFonts w:cstheme="minorHAnsi"/>
                <w:i/>
                <w:sz w:val="24"/>
                <w:szCs w:val="24"/>
              </w:rPr>
              <w:t xml:space="preserve">Crimes Act 1900 </w:t>
            </w:r>
            <w:r w:rsidR="00656660" w:rsidRPr="00656660">
              <w:rPr>
                <w:rFonts w:cstheme="minorHAnsi"/>
                <w:sz w:val="24"/>
                <w:szCs w:val="24"/>
              </w:rPr>
              <w:t>(NSW) as an indictable offence that is punishable by imprisonment for life or for a term of five</w:t>
            </w:r>
            <w:r w:rsidR="00656660">
              <w:rPr>
                <w:rFonts w:cstheme="minorHAnsi"/>
                <w:sz w:val="24"/>
                <w:szCs w:val="24"/>
              </w:rPr>
              <w:t xml:space="preserve"> </w:t>
            </w:r>
            <w:r w:rsidR="00656660" w:rsidRPr="00656660">
              <w:rPr>
                <w:rFonts w:cstheme="minorHAnsi"/>
                <w:sz w:val="24"/>
                <w:szCs w:val="24"/>
              </w:rPr>
              <w:t>5 years or</w:t>
            </w:r>
            <w:r w:rsidR="00656660">
              <w:rPr>
                <w:rFonts w:cstheme="minorHAnsi"/>
                <w:sz w:val="24"/>
                <w:szCs w:val="24"/>
              </w:rPr>
              <w:t xml:space="preserve"> </w:t>
            </w:r>
            <w:r w:rsidR="00656660" w:rsidRPr="00656660">
              <w:rPr>
                <w:rFonts w:cstheme="minorHAnsi"/>
                <w:sz w:val="24"/>
                <w:szCs w:val="24"/>
              </w:rPr>
              <w:t>more</w:t>
            </w:r>
            <w:r w:rsidR="00656660">
              <w:rPr>
                <w:rFonts w:cstheme="minorHAnsi"/>
                <w:sz w:val="24"/>
                <w:szCs w:val="24"/>
              </w:rPr>
              <w:t xml:space="preserve">. </w:t>
            </w:r>
            <w:r>
              <w:rPr>
                <w:rFonts w:cstheme="minorHAnsi"/>
                <w:sz w:val="24"/>
                <w:szCs w:val="24"/>
              </w:rPr>
              <w:t>If this is not accepted then the definition should be modified to include offences where the</w:t>
            </w:r>
            <w:r w:rsidRPr="00E17848">
              <w:rPr>
                <w:rFonts w:cstheme="minorHAnsi"/>
                <w:sz w:val="24"/>
                <w:szCs w:val="24"/>
              </w:rPr>
              <w:t xml:space="preserve"> maximum custodial sentence </w:t>
            </w:r>
            <w:r>
              <w:rPr>
                <w:rFonts w:cstheme="minorHAnsi"/>
                <w:sz w:val="24"/>
                <w:szCs w:val="24"/>
              </w:rPr>
              <w:t xml:space="preserve">is </w:t>
            </w:r>
            <w:r w:rsidRPr="00E17848">
              <w:rPr>
                <w:rFonts w:cstheme="minorHAnsi"/>
                <w:sz w:val="24"/>
                <w:szCs w:val="24"/>
              </w:rPr>
              <w:t>10 years</w:t>
            </w:r>
            <w:r>
              <w:rPr>
                <w:rFonts w:cstheme="minorHAnsi"/>
                <w:sz w:val="24"/>
                <w:szCs w:val="24"/>
              </w:rPr>
              <w:t xml:space="preserve"> rather than only applying to those above 10 years</w:t>
            </w:r>
            <w:r w:rsidR="00EF6273">
              <w:rPr>
                <w:rFonts w:cstheme="minorHAnsi"/>
                <w:sz w:val="24"/>
                <w:szCs w:val="24"/>
              </w:rPr>
              <w:t xml:space="preserve">, as under the </w:t>
            </w:r>
            <w:r w:rsidR="00EF6273" w:rsidRPr="00CC7072">
              <w:rPr>
                <w:rFonts w:cstheme="minorHAnsi"/>
                <w:i/>
                <w:sz w:val="24"/>
                <w:szCs w:val="24"/>
              </w:rPr>
              <w:t>Crimes Act</w:t>
            </w:r>
            <w:r w:rsidR="008315F6" w:rsidRPr="00CC7072">
              <w:rPr>
                <w:rFonts w:cstheme="minorHAnsi"/>
                <w:i/>
                <w:sz w:val="24"/>
                <w:szCs w:val="24"/>
              </w:rPr>
              <w:t xml:space="preserve"> 1900 </w:t>
            </w:r>
            <w:r w:rsidR="008315F6">
              <w:rPr>
                <w:rFonts w:cstheme="minorHAnsi"/>
                <w:sz w:val="24"/>
                <w:szCs w:val="24"/>
              </w:rPr>
              <w:t>(NSW)</w:t>
            </w:r>
            <w:r w:rsidR="00EF6273">
              <w:rPr>
                <w:rFonts w:cstheme="minorHAnsi"/>
                <w:sz w:val="24"/>
                <w:szCs w:val="24"/>
              </w:rPr>
              <w:t xml:space="preserve">, many of the serious offences carry a penalty of 10 years. </w:t>
            </w:r>
            <w:r w:rsidR="009A0F8D">
              <w:rPr>
                <w:rFonts w:cstheme="minorHAnsi"/>
                <w:sz w:val="24"/>
                <w:szCs w:val="24"/>
              </w:rPr>
              <w:t xml:space="preserve">For example, section 61M provides that aggravated indecent assault against a person under the age of 16 is liable to imprisonment for 10 years. </w:t>
            </w:r>
          </w:p>
        </w:tc>
      </w:tr>
      <w:tr w:rsidR="003D30DE" w:rsidRPr="001C4638" w14:paraId="430A1664" w14:textId="77777777" w:rsidTr="004D46CE">
        <w:trPr>
          <w:trHeight w:val="1020"/>
        </w:trPr>
        <w:tc>
          <w:tcPr>
            <w:tcW w:w="4219" w:type="dxa"/>
            <w:vMerge w:val="restart"/>
          </w:tcPr>
          <w:p w14:paraId="04CDEDC7" w14:textId="77777777" w:rsidR="003D30DE" w:rsidRPr="004A7909" w:rsidRDefault="003D30DE" w:rsidP="003337FA">
            <w:pPr>
              <w:spacing w:before="120" w:after="120"/>
              <w:rPr>
                <w:rFonts w:cstheme="minorHAnsi"/>
                <w:b/>
                <w:sz w:val="24"/>
                <w:szCs w:val="24"/>
              </w:rPr>
            </w:pPr>
            <w:r w:rsidRPr="004A7909">
              <w:rPr>
                <w:b/>
                <w:sz w:val="24"/>
              </w:rPr>
              <w:t>Issue 3: What victims should be eligible?</w:t>
            </w:r>
          </w:p>
        </w:tc>
        <w:tc>
          <w:tcPr>
            <w:tcW w:w="4961" w:type="dxa"/>
          </w:tcPr>
          <w:p w14:paraId="6B27A476" w14:textId="77777777" w:rsidR="003D30DE" w:rsidRPr="001C4638" w:rsidRDefault="003D30DE" w:rsidP="003D30DE">
            <w:pPr>
              <w:spacing w:before="120" w:after="120"/>
              <w:rPr>
                <w:rFonts w:cstheme="minorHAnsi"/>
                <w:sz w:val="24"/>
                <w:szCs w:val="24"/>
              </w:rPr>
            </w:pPr>
            <w:r>
              <w:rPr>
                <w:rFonts w:cstheme="minorHAnsi"/>
                <w:sz w:val="24"/>
                <w:szCs w:val="24"/>
              </w:rPr>
              <w:t xml:space="preserve">The </w:t>
            </w:r>
            <w:r w:rsidRPr="003D30DE">
              <w:rPr>
                <w:rFonts w:cstheme="minorHAnsi"/>
                <w:sz w:val="24"/>
                <w:szCs w:val="24"/>
              </w:rPr>
              <w:t>draft proposal is that access to a perpetrator’s superannuation s</w:t>
            </w:r>
            <w:r>
              <w:rPr>
                <w:rFonts w:cstheme="minorHAnsi"/>
                <w:sz w:val="24"/>
                <w:szCs w:val="24"/>
              </w:rPr>
              <w:t xml:space="preserve">hould only be made available to </w:t>
            </w:r>
            <w:r w:rsidRPr="003D30DE">
              <w:rPr>
                <w:rFonts w:cstheme="minorHAnsi"/>
                <w:sz w:val="24"/>
                <w:szCs w:val="24"/>
              </w:rPr>
              <w:t>primary victims.</w:t>
            </w:r>
          </w:p>
        </w:tc>
        <w:tc>
          <w:tcPr>
            <w:tcW w:w="4678" w:type="dxa"/>
          </w:tcPr>
          <w:p w14:paraId="6ADD3368" w14:textId="77777777" w:rsidR="003D30DE" w:rsidRPr="00C940A2" w:rsidRDefault="008673D7" w:rsidP="001A3DBB">
            <w:pPr>
              <w:spacing w:before="120" w:after="120"/>
              <w:rPr>
                <w:rFonts w:cstheme="minorHAnsi"/>
                <w:sz w:val="24"/>
                <w:szCs w:val="24"/>
              </w:rPr>
            </w:pPr>
            <w:r>
              <w:rPr>
                <w:rFonts w:cstheme="minorHAnsi"/>
                <w:sz w:val="24"/>
                <w:szCs w:val="24"/>
              </w:rPr>
              <w:t>Not supported. Victims Services supports the inclusion of family victims in this proposal. Family victims are defined under</w:t>
            </w:r>
            <w:r w:rsidR="00C940A2">
              <w:rPr>
                <w:rFonts w:cstheme="minorHAnsi"/>
                <w:sz w:val="24"/>
                <w:szCs w:val="24"/>
              </w:rPr>
              <w:t xml:space="preserve"> s22 of</w:t>
            </w:r>
            <w:r>
              <w:rPr>
                <w:rFonts w:cstheme="minorHAnsi"/>
                <w:sz w:val="24"/>
                <w:szCs w:val="24"/>
              </w:rPr>
              <w:t xml:space="preserve"> the </w:t>
            </w:r>
            <w:r w:rsidRPr="008673D7">
              <w:rPr>
                <w:rFonts w:cstheme="minorHAnsi"/>
                <w:i/>
                <w:sz w:val="24"/>
                <w:szCs w:val="24"/>
              </w:rPr>
              <w:t>Victims Rights and Support Act 2013</w:t>
            </w:r>
            <w:r w:rsidR="001A3DBB">
              <w:rPr>
                <w:rFonts w:cstheme="minorHAnsi"/>
                <w:i/>
                <w:sz w:val="24"/>
                <w:szCs w:val="24"/>
              </w:rPr>
              <w:t xml:space="preserve"> </w:t>
            </w:r>
            <w:r w:rsidR="001A3DBB">
              <w:rPr>
                <w:rFonts w:cstheme="minorHAnsi"/>
                <w:sz w:val="24"/>
                <w:szCs w:val="24"/>
              </w:rPr>
              <w:t xml:space="preserve">(NSW): </w:t>
            </w:r>
            <w:r w:rsidR="00C940A2" w:rsidRPr="001F7A43">
              <w:rPr>
                <w:rFonts w:cstheme="minorHAnsi"/>
                <w:i/>
                <w:sz w:val="28"/>
                <w:szCs w:val="24"/>
              </w:rPr>
              <w:t>“</w:t>
            </w:r>
            <w:r w:rsidR="00C940A2" w:rsidRPr="002844F0">
              <w:rPr>
                <w:color w:val="000000"/>
                <w:sz w:val="24"/>
                <w:shd w:val="clear" w:color="auto" w:fill="FFFFFF"/>
              </w:rPr>
              <w:t>A</w:t>
            </w:r>
            <w:r w:rsidR="00C940A2" w:rsidRPr="002844F0">
              <w:rPr>
                <w:rStyle w:val="apple-converted-space"/>
                <w:color w:val="000000"/>
                <w:sz w:val="24"/>
                <w:shd w:val="clear" w:color="auto" w:fill="FFFFFF"/>
              </w:rPr>
              <w:t> </w:t>
            </w:r>
            <w:r w:rsidR="00C940A2" w:rsidRPr="002844F0">
              <w:rPr>
                <w:rStyle w:val="frag-defterm"/>
                <w:b/>
                <w:bCs/>
                <w:i/>
                <w:iCs/>
                <w:color w:val="000000"/>
                <w:sz w:val="24"/>
                <w:shd w:val="clear" w:color="auto" w:fill="FFFFFF"/>
              </w:rPr>
              <w:t>family victim</w:t>
            </w:r>
            <w:r w:rsidR="00C940A2" w:rsidRPr="002844F0">
              <w:rPr>
                <w:rStyle w:val="apple-converted-space"/>
                <w:color w:val="000000"/>
                <w:sz w:val="24"/>
                <w:shd w:val="clear" w:color="auto" w:fill="FFFFFF"/>
              </w:rPr>
              <w:t> </w:t>
            </w:r>
            <w:r w:rsidR="00C940A2" w:rsidRPr="002844F0">
              <w:rPr>
                <w:color w:val="000000"/>
                <w:sz w:val="24"/>
                <w:shd w:val="clear" w:color="auto" w:fill="FFFFFF"/>
              </w:rPr>
              <w:t>of an act of violence is a person who is, at the time that act is committed, a member of the immediate family of a primary victim of that act who has died as a direct result of that act”.</w:t>
            </w:r>
          </w:p>
        </w:tc>
      </w:tr>
      <w:tr w:rsidR="003D30DE" w:rsidRPr="001C4638" w14:paraId="66C763E7" w14:textId="77777777" w:rsidTr="004D46CE">
        <w:trPr>
          <w:trHeight w:val="105"/>
        </w:trPr>
        <w:tc>
          <w:tcPr>
            <w:tcW w:w="4219" w:type="dxa"/>
            <w:vMerge/>
          </w:tcPr>
          <w:p w14:paraId="7509CCAC" w14:textId="77777777" w:rsidR="003D30DE" w:rsidRPr="004A7909" w:rsidRDefault="003D30DE" w:rsidP="003337FA">
            <w:pPr>
              <w:spacing w:before="120" w:after="120"/>
              <w:rPr>
                <w:b/>
                <w:sz w:val="24"/>
              </w:rPr>
            </w:pPr>
          </w:p>
        </w:tc>
        <w:tc>
          <w:tcPr>
            <w:tcW w:w="4961" w:type="dxa"/>
          </w:tcPr>
          <w:p w14:paraId="13FDD43B" w14:textId="77777777" w:rsidR="003D30DE" w:rsidRDefault="003D30DE" w:rsidP="003D30DE">
            <w:pPr>
              <w:spacing w:before="120" w:after="120"/>
              <w:rPr>
                <w:rFonts w:cstheme="minorHAnsi"/>
                <w:sz w:val="24"/>
                <w:szCs w:val="24"/>
              </w:rPr>
            </w:pPr>
            <w:r w:rsidRPr="003D30DE">
              <w:rPr>
                <w:rFonts w:cstheme="minorHAnsi"/>
                <w:sz w:val="24"/>
                <w:szCs w:val="24"/>
              </w:rPr>
              <w:t>In the event where the primary victim dies as a result of the ac</w:t>
            </w:r>
            <w:r>
              <w:rPr>
                <w:rFonts w:cstheme="minorHAnsi"/>
                <w:sz w:val="24"/>
                <w:szCs w:val="24"/>
              </w:rPr>
              <w:t xml:space="preserve">t of violence, the Review seeks </w:t>
            </w:r>
            <w:r w:rsidRPr="003D30DE">
              <w:rPr>
                <w:rFonts w:cstheme="minorHAnsi"/>
                <w:sz w:val="24"/>
                <w:szCs w:val="24"/>
              </w:rPr>
              <w:t>feedback on whether a related victim (broadly defined as a pers</w:t>
            </w:r>
            <w:r>
              <w:rPr>
                <w:rFonts w:cstheme="minorHAnsi"/>
                <w:sz w:val="24"/>
                <w:szCs w:val="24"/>
              </w:rPr>
              <w:t xml:space="preserve">on who, at the time the primary </w:t>
            </w:r>
            <w:r w:rsidRPr="003D30DE">
              <w:rPr>
                <w:rFonts w:cstheme="minorHAnsi"/>
                <w:sz w:val="24"/>
                <w:szCs w:val="24"/>
              </w:rPr>
              <w:t>victims dies, is a close family member or a financial dependant) should be able to access funds held in</w:t>
            </w:r>
            <w:r>
              <w:rPr>
                <w:rFonts w:cstheme="minorHAnsi"/>
                <w:sz w:val="24"/>
                <w:szCs w:val="24"/>
              </w:rPr>
              <w:t xml:space="preserve"> </w:t>
            </w:r>
            <w:r w:rsidRPr="003D30DE">
              <w:rPr>
                <w:rFonts w:cstheme="minorHAnsi"/>
                <w:sz w:val="24"/>
                <w:szCs w:val="24"/>
              </w:rPr>
              <w:t>the perpetrator’s superannuation account.</w:t>
            </w:r>
          </w:p>
        </w:tc>
        <w:tc>
          <w:tcPr>
            <w:tcW w:w="4678" w:type="dxa"/>
          </w:tcPr>
          <w:p w14:paraId="0BC384B9" w14:textId="77777777" w:rsidR="003D30DE" w:rsidRPr="001C4638" w:rsidRDefault="00C644A2" w:rsidP="00C644A2">
            <w:pPr>
              <w:spacing w:before="120" w:after="120"/>
              <w:rPr>
                <w:rFonts w:cstheme="minorHAnsi"/>
                <w:sz w:val="24"/>
                <w:szCs w:val="24"/>
              </w:rPr>
            </w:pPr>
            <w:r>
              <w:rPr>
                <w:rFonts w:cstheme="minorHAnsi"/>
                <w:sz w:val="24"/>
                <w:szCs w:val="24"/>
              </w:rPr>
              <w:t>Supported. As outlined above</w:t>
            </w:r>
            <w:r w:rsidR="001F7A43">
              <w:rPr>
                <w:rFonts w:cstheme="minorHAnsi"/>
                <w:sz w:val="24"/>
                <w:szCs w:val="24"/>
              </w:rPr>
              <w:t>,</w:t>
            </w:r>
            <w:r>
              <w:rPr>
                <w:rFonts w:cstheme="minorHAnsi"/>
                <w:sz w:val="24"/>
                <w:szCs w:val="24"/>
              </w:rPr>
              <w:t xml:space="preserve"> family victims of homicide </w:t>
            </w:r>
            <w:r w:rsidRPr="003D30DE">
              <w:rPr>
                <w:rFonts w:cstheme="minorHAnsi"/>
                <w:sz w:val="24"/>
                <w:szCs w:val="24"/>
              </w:rPr>
              <w:t>should be able to access funds held in</w:t>
            </w:r>
            <w:r>
              <w:rPr>
                <w:rFonts w:cstheme="minorHAnsi"/>
                <w:sz w:val="24"/>
                <w:szCs w:val="24"/>
              </w:rPr>
              <w:t xml:space="preserve"> </w:t>
            </w:r>
            <w:r w:rsidRPr="003D30DE">
              <w:rPr>
                <w:rFonts w:cstheme="minorHAnsi"/>
                <w:sz w:val="24"/>
                <w:szCs w:val="24"/>
              </w:rPr>
              <w:t>the perpetrator’s superannuation account.</w:t>
            </w:r>
          </w:p>
        </w:tc>
      </w:tr>
      <w:tr w:rsidR="00D34739" w:rsidRPr="001C4638" w14:paraId="0F40EFFB" w14:textId="77777777" w:rsidTr="004D46CE">
        <w:tc>
          <w:tcPr>
            <w:tcW w:w="4219" w:type="dxa"/>
          </w:tcPr>
          <w:p w14:paraId="0A5085B0" w14:textId="77777777" w:rsidR="00D34739" w:rsidRDefault="00D34739" w:rsidP="003337FA">
            <w:pPr>
              <w:spacing w:before="120" w:after="120"/>
              <w:rPr>
                <w:b/>
                <w:sz w:val="24"/>
              </w:rPr>
            </w:pPr>
            <w:r w:rsidRPr="004A7909">
              <w:rPr>
                <w:b/>
                <w:sz w:val="24"/>
              </w:rPr>
              <w:t>Issue 4: Types of unpaid compensation orders covered</w:t>
            </w:r>
          </w:p>
          <w:p w14:paraId="4E257293" w14:textId="77777777" w:rsidR="00AB5F42" w:rsidRPr="00AB5F42" w:rsidRDefault="00AB5F42" w:rsidP="00AB5F42">
            <w:pPr>
              <w:spacing w:before="120" w:after="120"/>
              <w:rPr>
                <w:rFonts w:cstheme="minorHAnsi"/>
                <w:sz w:val="24"/>
                <w:szCs w:val="24"/>
              </w:rPr>
            </w:pPr>
            <w:r w:rsidRPr="00AB5F42">
              <w:rPr>
                <w:rFonts w:cstheme="minorHAnsi"/>
                <w:sz w:val="24"/>
                <w:szCs w:val="24"/>
              </w:rPr>
              <w:t>In considering what types of orders should be covered, it is importan</w:t>
            </w:r>
            <w:r>
              <w:rPr>
                <w:rFonts w:cstheme="minorHAnsi"/>
                <w:sz w:val="24"/>
                <w:szCs w:val="24"/>
              </w:rPr>
              <w:t xml:space="preserve">t to accommodate differences in </w:t>
            </w:r>
            <w:r w:rsidRPr="00AB5F42">
              <w:rPr>
                <w:rFonts w:cstheme="minorHAnsi"/>
                <w:sz w:val="24"/>
                <w:szCs w:val="24"/>
              </w:rPr>
              <w:t>state and territory legal systems.</w:t>
            </w:r>
          </w:p>
          <w:p w14:paraId="0DA94FBE" w14:textId="77777777" w:rsidR="00AB5F42" w:rsidRPr="00AB5F42" w:rsidRDefault="00AB5F42" w:rsidP="00AB5F42">
            <w:pPr>
              <w:spacing w:before="120" w:after="120"/>
              <w:rPr>
                <w:rFonts w:cstheme="minorHAnsi"/>
                <w:sz w:val="24"/>
                <w:szCs w:val="24"/>
              </w:rPr>
            </w:pPr>
            <w:r w:rsidRPr="00AB5F42">
              <w:rPr>
                <w:rFonts w:cstheme="minorHAnsi"/>
                <w:sz w:val="24"/>
                <w:szCs w:val="24"/>
              </w:rPr>
              <w:t>The Victorian Law Reform Commission’s (VLRC) recent report on the Role of Victims of Crime in the</w:t>
            </w:r>
            <w:r>
              <w:rPr>
                <w:rFonts w:cstheme="minorHAnsi"/>
                <w:sz w:val="24"/>
                <w:szCs w:val="24"/>
              </w:rPr>
              <w:t xml:space="preserve"> </w:t>
            </w:r>
            <w:r w:rsidRPr="00AB5F42">
              <w:rPr>
                <w:rFonts w:cstheme="minorHAnsi"/>
                <w:sz w:val="24"/>
                <w:szCs w:val="24"/>
              </w:rPr>
              <w:t>Criminal Trial Process shows how victims of crime in that state can se</w:t>
            </w:r>
            <w:r>
              <w:rPr>
                <w:rFonts w:cstheme="minorHAnsi"/>
                <w:sz w:val="24"/>
                <w:szCs w:val="24"/>
              </w:rPr>
              <w:t xml:space="preserve">ek reparation directly from the </w:t>
            </w:r>
            <w:r w:rsidRPr="00AB5F42">
              <w:rPr>
                <w:rFonts w:cstheme="minorHAnsi"/>
                <w:sz w:val="24"/>
                <w:szCs w:val="24"/>
              </w:rPr>
              <w:t>perpetrator in two ways. At the end of the criminal trial they can see</w:t>
            </w:r>
            <w:r>
              <w:rPr>
                <w:rFonts w:cstheme="minorHAnsi"/>
                <w:sz w:val="24"/>
                <w:szCs w:val="24"/>
              </w:rPr>
              <w:t xml:space="preserve">k a restitution or compensation </w:t>
            </w:r>
            <w:r w:rsidRPr="00AB5F42">
              <w:rPr>
                <w:rFonts w:cstheme="minorHAnsi"/>
                <w:sz w:val="24"/>
                <w:szCs w:val="24"/>
              </w:rPr>
              <w:t>order under the Sentencing Act (1991) (Victoria). Alternatively, they</w:t>
            </w:r>
            <w:r>
              <w:rPr>
                <w:rFonts w:cstheme="minorHAnsi"/>
                <w:sz w:val="24"/>
                <w:szCs w:val="24"/>
              </w:rPr>
              <w:t xml:space="preserve"> can make a civil law claim for </w:t>
            </w:r>
            <w:r w:rsidRPr="00AB5F42">
              <w:rPr>
                <w:rFonts w:cstheme="minorHAnsi"/>
                <w:sz w:val="24"/>
                <w:szCs w:val="24"/>
              </w:rPr>
              <w:t>compensation through the civil jurisdiction of Victoria’s courts.</w:t>
            </w:r>
          </w:p>
        </w:tc>
        <w:tc>
          <w:tcPr>
            <w:tcW w:w="4961" w:type="dxa"/>
          </w:tcPr>
          <w:p w14:paraId="3364D370" w14:textId="77777777" w:rsidR="00D34739" w:rsidRPr="001C4638" w:rsidRDefault="00AB5F42" w:rsidP="00AB5F42">
            <w:pPr>
              <w:spacing w:before="120" w:after="120"/>
              <w:rPr>
                <w:rFonts w:cstheme="minorHAnsi"/>
                <w:sz w:val="24"/>
                <w:szCs w:val="24"/>
              </w:rPr>
            </w:pPr>
            <w:r w:rsidRPr="00AB5F42">
              <w:rPr>
                <w:rFonts w:cstheme="minorHAnsi"/>
                <w:sz w:val="24"/>
                <w:szCs w:val="24"/>
              </w:rPr>
              <w:t>Under this draft proposal, both types of orders would be covere</w:t>
            </w:r>
            <w:r>
              <w:rPr>
                <w:rFonts w:cstheme="minorHAnsi"/>
                <w:sz w:val="24"/>
                <w:szCs w:val="24"/>
              </w:rPr>
              <w:t xml:space="preserve">d. However, we welcome views on </w:t>
            </w:r>
            <w:r w:rsidRPr="00AB5F42">
              <w:rPr>
                <w:rFonts w:cstheme="minorHAnsi"/>
                <w:sz w:val="24"/>
                <w:szCs w:val="24"/>
              </w:rPr>
              <w:t>whether the draft proposal should be confined to Sentencing Act-s</w:t>
            </w:r>
            <w:r>
              <w:rPr>
                <w:rFonts w:cstheme="minorHAnsi"/>
                <w:sz w:val="24"/>
                <w:szCs w:val="24"/>
              </w:rPr>
              <w:t xml:space="preserve">tyle orders and not orders made </w:t>
            </w:r>
            <w:r w:rsidRPr="00AB5F42">
              <w:rPr>
                <w:rFonts w:cstheme="minorHAnsi"/>
                <w:sz w:val="24"/>
                <w:szCs w:val="24"/>
              </w:rPr>
              <w:t>pursuant to subsequent civil actions.</w:t>
            </w:r>
          </w:p>
        </w:tc>
        <w:tc>
          <w:tcPr>
            <w:tcW w:w="4678" w:type="dxa"/>
          </w:tcPr>
          <w:p w14:paraId="3E1037FE" w14:textId="77777777" w:rsidR="00D34739" w:rsidRPr="001C4638" w:rsidRDefault="00F96935" w:rsidP="006E7EE8">
            <w:pPr>
              <w:spacing w:before="120" w:after="120"/>
              <w:rPr>
                <w:rFonts w:cstheme="minorHAnsi"/>
                <w:sz w:val="24"/>
                <w:szCs w:val="24"/>
              </w:rPr>
            </w:pPr>
            <w:r>
              <w:rPr>
                <w:rFonts w:cstheme="minorHAnsi"/>
                <w:sz w:val="24"/>
                <w:szCs w:val="24"/>
              </w:rPr>
              <w:t>V</w:t>
            </w:r>
            <w:r w:rsidRPr="00DC2985">
              <w:rPr>
                <w:rFonts w:cstheme="minorHAnsi"/>
                <w:sz w:val="24"/>
                <w:szCs w:val="24"/>
              </w:rPr>
              <w:t>ictims Services supports both types of orders being covered by this proposal.</w:t>
            </w:r>
            <w:r w:rsidR="00DC2985" w:rsidRPr="00DC2985">
              <w:rPr>
                <w:rFonts w:cstheme="minorHAnsi"/>
                <w:sz w:val="24"/>
                <w:szCs w:val="24"/>
              </w:rPr>
              <w:t xml:space="preserve"> In NSW </w:t>
            </w:r>
            <w:r w:rsidR="00DC2985">
              <w:rPr>
                <w:rFonts w:cstheme="minorHAnsi"/>
                <w:sz w:val="24"/>
                <w:szCs w:val="24"/>
              </w:rPr>
              <w:t>u</w:t>
            </w:r>
            <w:r w:rsidR="00DC2985" w:rsidRPr="00DC2985">
              <w:rPr>
                <w:rFonts w:cstheme="minorHAnsi"/>
                <w:sz w:val="24"/>
                <w:szCs w:val="24"/>
              </w:rPr>
              <w:t xml:space="preserve">nder s25 of the </w:t>
            </w:r>
            <w:r w:rsidR="00DC2985" w:rsidRPr="00DC2985">
              <w:rPr>
                <w:rFonts w:cstheme="minorHAnsi"/>
                <w:i/>
                <w:sz w:val="24"/>
                <w:szCs w:val="24"/>
              </w:rPr>
              <w:t>Victims Rights and Support Act 2013 “</w:t>
            </w:r>
            <w:r w:rsidR="00DC2985" w:rsidRPr="00DC2985">
              <w:rPr>
                <w:color w:val="000000"/>
                <w:sz w:val="24"/>
                <w:szCs w:val="24"/>
                <w:shd w:val="clear" w:color="auto" w:fill="FFFFFF"/>
              </w:rPr>
              <w:t xml:space="preserve">A person is not eligible to receive victims support in respect of an act of violence if the person has been paid, or is entitled to be paid, compensation awarded by a court in respect of that act under Part 6 or if the person’s application for such compensation is pending”. This </w:t>
            </w:r>
            <w:r w:rsidR="006E7EE8" w:rsidRPr="00DC2985">
              <w:rPr>
                <w:color w:val="000000"/>
                <w:sz w:val="24"/>
                <w:szCs w:val="24"/>
                <w:shd w:val="clear" w:color="auto" w:fill="FFFFFF"/>
              </w:rPr>
              <w:t>restricti</w:t>
            </w:r>
            <w:r w:rsidR="006E7EE8">
              <w:rPr>
                <w:color w:val="000000"/>
                <w:sz w:val="24"/>
                <w:szCs w:val="24"/>
                <w:shd w:val="clear" w:color="auto" w:fill="FFFFFF"/>
              </w:rPr>
              <w:t>on would need to be considered in determining compensation options available to victims.</w:t>
            </w:r>
            <w:r w:rsidR="00DC2985">
              <w:rPr>
                <w:color w:val="000000"/>
                <w:shd w:val="clear" w:color="auto" w:fill="FFFFFF"/>
              </w:rPr>
              <w:t xml:space="preserve"> </w:t>
            </w:r>
          </w:p>
        </w:tc>
      </w:tr>
      <w:tr w:rsidR="00D34739" w:rsidRPr="001C4638" w14:paraId="3D534249" w14:textId="77777777" w:rsidTr="004D46CE">
        <w:tc>
          <w:tcPr>
            <w:tcW w:w="4219" w:type="dxa"/>
          </w:tcPr>
          <w:p w14:paraId="49432874" w14:textId="77777777" w:rsidR="00D34739" w:rsidRDefault="00D34739" w:rsidP="003337FA">
            <w:pPr>
              <w:spacing w:before="120" w:after="120"/>
              <w:rPr>
                <w:b/>
                <w:sz w:val="24"/>
              </w:rPr>
            </w:pPr>
            <w:r w:rsidRPr="004A7909">
              <w:rPr>
                <w:b/>
                <w:sz w:val="24"/>
              </w:rPr>
              <w:t>Issue 5: How to ensure that access to superannuation is a last resort</w:t>
            </w:r>
          </w:p>
          <w:p w14:paraId="3073D3CA" w14:textId="77777777" w:rsidR="00E5654C" w:rsidRPr="00E5654C" w:rsidRDefault="00E5654C" w:rsidP="00E5654C">
            <w:pPr>
              <w:spacing w:before="120" w:after="120"/>
              <w:rPr>
                <w:rFonts w:cstheme="minorHAnsi"/>
                <w:sz w:val="24"/>
                <w:szCs w:val="24"/>
              </w:rPr>
            </w:pPr>
            <w:r w:rsidRPr="00E5654C">
              <w:rPr>
                <w:rFonts w:cstheme="minorHAnsi"/>
                <w:sz w:val="24"/>
                <w:szCs w:val="24"/>
              </w:rPr>
              <w:t>The aim of the draft proposal is that superannuation should be availa</w:t>
            </w:r>
            <w:r>
              <w:rPr>
                <w:rFonts w:cstheme="minorHAnsi"/>
                <w:sz w:val="24"/>
                <w:szCs w:val="24"/>
              </w:rPr>
              <w:t xml:space="preserve">ble as a last resort. It should </w:t>
            </w:r>
            <w:r w:rsidRPr="00E5654C">
              <w:rPr>
                <w:rFonts w:cstheme="minorHAnsi"/>
                <w:sz w:val="24"/>
                <w:szCs w:val="24"/>
              </w:rPr>
              <w:t>only be accessed where a compensation order remains unpa</w:t>
            </w:r>
            <w:r>
              <w:rPr>
                <w:rFonts w:cstheme="minorHAnsi"/>
                <w:sz w:val="24"/>
                <w:szCs w:val="24"/>
              </w:rPr>
              <w:t xml:space="preserve">id after other assets have been exhausted. </w:t>
            </w:r>
            <w:r w:rsidRPr="00E5654C">
              <w:rPr>
                <w:rFonts w:cstheme="minorHAnsi"/>
                <w:sz w:val="24"/>
                <w:szCs w:val="24"/>
              </w:rPr>
              <w:t>This principle was broadly supported by stakeholders.</w:t>
            </w:r>
          </w:p>
        </w:tc>
        <w:tc>
          <w:tcPr>
            <w:tcW w:w="4961" w:type="dxa"/>
          </w:tcPr>
          <w:p w14:paraId="6690CA91" w14:textId="77777777" w:rsidR="00D34739" w:rsidRPr="001C4638" w:rsidRDefault="006D6E81" w:rsidP="006D6E81">
            <w:pPr>
              <w:spacing w:before="120" w:after="120"/>
              <w:rPr>
                <w:rFonts w:cstheme="minorHAnsi"/>
                <w:sz w:val="24"/>
                <w:szCs w:val="24"/>
              </w:rPr>
            </w:pPr>
            <w:r w:rsidRPr="006D6E81">
              <w:rPr>
                <w:rFonts w:cstheme="minorHAnsi"/>
                <w:sz w:val="24"/>
                <w:szCs w:val="24"/>
              </w:rPr>
              <w:t xml:space="preserve">To achieve this outcome, Commonwealth legislation could potentially </w:t>
            </w:r>
            <w:r>
              <w:rPr>
                <w:rFonts w:cstheme="minorHAnsi"/>
                <w:sz w:val="24"/>
                <w:szCs w:val="24"/>
              </w:rPr>
              <w:t xml:space="preserve">provide that a trustee can only </w:t>
            </w:r>
            <w:r w:rsidRPr="006D6E81">
              <w:rPr>
                <w:rFonts w:cstheme="minorHAnsi"/>
                <w:sz w:val="24"/>
                <w:szCs w:val="24"/>
              </w:rPr>
              <w:t>release its member’s funds if a state sheriff’s office or similar cer</w:t>
            </w:r>
            <w:r>
              <w:rPr>
                <w:rFonts w:cstheme="minorHAnsi"/>
                <w:sz w:val="24"/>
                <w:szCs w:val="24"/>
              </w:rPr>
              <w:t xml:space="preserve">tifies that other assets of the </w:t>
            </w:r>
            <w:r w:rsidRPr="006D6E81">
              <w:rPr>
                <w:rFonts w:cstheme="minorHAnsi"/>
                <w:sz w:val="24"/>
                <w:szCs w:val="24"/>
              </w:rPr>
              <w:t>perpetrator have been exhausted (or that the compensation order remains unpaid after 12 months).</w:t>
            </w:r>
          </w:p>
        </w:tc>
        <w:tc>
          <w:tcPr>
            <w:tcW w:w="4678" w:type="dxa"/>
          </w:tcPr>
          <w:p w14:paraId="5BB802E0" w14:textId="77777777" w:rsidR="00D34739" w:rsidRPr="001C4638" w:rsidRDefault="00C85055" w:rsidP="003337FA">
            <w:pPr>
              <w:spacing w:before="120" w:after="120"/>
              <w:rPr>
                <w:rFonts w:cstheme="minorHAnsi"/>
                <w:sz w:val="24"/>
                <w:szCs w:val="24"/>
              </w:rPr>
            </w:pPr>
            <w:r w:rsidRPr="003337FA">
              <w:rPr>
                <w:rFonts w:cstheme="minorHAnsi"/>
                <w:sz w:val="24"/>
                <w:szCs w:val="24"/>
              </w:rPr>
              <w:t>Supported</w:t>
            </w:r>
            <w:r>
              <w:rPr>
                <w:rFonts w:cstheme="minorHAnsi"/>
                <w:sz w:val="24"/>
                <w:szCs w:val="24"/>
              </w:rPr>
              <w:t>.</w:t>
            </w:r>
          </w:p>
        </w:tc>
      </w:tr>
      <w:tr w:rsidR="00A05B80" w:rsidRPr="001C4638" w14:paraId="2CA6DD93" w14:textId="77777777" w:rsidTr="004D46CE">
        <w:trPr>
          <w:trHeight w:val="1654"/>
        </w:trPr>
        <w:tc>
          <w:tcPr>
            <w:tcW w:w="4219" w:type="dxa"/>
            <w:vMerge w:val="restart"/>
          </w:tcPr>
          <w:p w14:paraId="3E22CE79" w14:textId="77777777" w:rsidR="00A05B80" w:rsidRDefault="00A05B80" w:rsidP="003337FA">
            <w:pPr>
              <w:spacing w:before="120" w:after="120"/>
              <w:rPr>
                <w:b/>
                <w:sz w:val="24"/>
              </w:rPr>
            </w:pPr>
            <w:r w:rsidRPr="004A7909">
              <w:rPr>
                <w:b/>
                <w:sz w:val="24"/>
              </w:rPr>
              <w:t>Issue 6: Balancing the rights of the victim with the rights of the perpetrator’s dependants</w:t>
            </w:r>
          </w:p>
          <w:p w14:paraId="5857DDA2" w14:textId="77777777" w:rsidR="00A05B80" w:rsidRDefault="00A05B80" w:rsidP="00912571">
            <w:pPr>
              <w:spacing w:before="120" w:after="120"/>
              <w:rPr>
                <w:sz w:val="24"/>
              </w:rPr>
            </w:pPr>
            <w:r w:rsidRPr="00912571">
              <w:rPr>
                <w:sz w:val="24"/>
              </w:rPr>
              <w:t>In responding to the consultation paper, many stakeholders cautioned abou</w:t>
            </w:r>
            <w:r>
              <w:rPr>
                <w:sz w:val="24"/>
              </w:rPr>
              <w:t xml:space="preserve">t the potential impact on </w:t>
            </w:r>
            <w:r w:rsidRPr="00912571">
              <w:rPr>
                <w:sz w:val="24"/>
              </w:rPr>
              <w:t>dependants of allowing victims of crime access to a perpetrator’s superannuation.</w:t>
            </w:r>
          </w:p>
          <w:p w14:paraId="3DDE7C59" w14:textId="77777777" w:rsidR="00A05B80" w:rsidRPr="00912571" w:rsidRDefault="00A05B80" w:rsidP="00912571">
            <w:pPr>
              <w:spacing w:before="120" w:after="120"/>
              <w:rPr>
                <w:sz w:val="24"/>
              </w:rPr>
            </w:pPr>
          </w:p>
        </w:tc>
        <w:tc>
          <w:tcPr>
            <w:tcW w:w="4961" w:type="dxa"/>
          </w:tcPr>
          <w:p w14:paraId="1B553CC6" w14:textId="77777777" w:rsidR="00A05B80" w:rsidRPr="00291843" w:rsidRDefault="00A05B80" w:rsidP="00C85055">
            <w:pPr>
              <w:spacing w:before="120"/>
              <w:rPr>
                <w:rFonts w:cstheme="minorHAnsi"/>
                <w:b/>
                <w:sz w:val="24"/>
                <w:szCs w:val="24"/>
              </w:rPr>
            </w:pPr>
            <w:r w:rsidRPr="00291843">
              <w:rPr>
                <w:rFonts w:cstheme="minorHAnsi"/>
                <w:b/>
                <w:sz w:val="24"/>
                <w:szCs w:val="24"/>
              </w:rPr>
              <w:t>Interaction with family law</w:t>
            </w:r>
          </w:p>
          <w:p w14:paraId="3009349F" w14:textId="77777777" w:rsidR="00A05B80" w:rsidRDefault="00A05B80" w:rsidP="001F0DB9">
            <w:pPr>
              <w:spacing w:before="120" w:after="120"/>
              <w:rPr>
                <w:rFonts w:cstheme="minorHAnsi"/>
                <w:sz w:val="24"/>
                <w:szCs w:val="24"/>
              </w:rPr>
            </w:pPr>
            <w:r w:rsidRPr="001F0DB9">
              <w:rPr>
                <w:rFonts w:cstheme="minorHAnsi"/>
                <w:sz w:val="24"/>
                <w:szCs w:val="24"/>
              </w:rPr>
              <w:t>The Review proposes that any concurrent family law property (including superannuation) settlement</w:t>
            </w:r>
            <w:r>
              <w:rPr>
                <w:rFonts w:cstheme="minorHAnsi"/>
                <w:sz w:val="24"/>
                <w:szCs w:val="24"/>
              </w:rPr>
              <w:t xml:space="preserve"> </w:t>
            </w:r>
            <w:r w:rsidRPr="001F0DB9">
              <w:rPr>
                <w:rFonts w:cstheme="minorHAnsi"/>
                <w:sz w:val="24"/>
                <w:szCs w:val="24"/>
              </w:rPr>
              <w:t xml:space="preserve">order proceedings should always be completed prior to a victim of crime compensation </w:t>
            </w:r>
            <w:r>
              <w:rPr>
                <w:rFonts w:cstheme="minorHAnsi"/>
                <w:sz w:val="24"/>
                <w:szCs w:val="24"/>
              </w:rPr>
              <w:t xml:space="preserve">order being </w:t>
            </w:r>
            <w:r w:rsidRPr="001F0DB9">
              <w:rPr>
                <w:rFonts w:cstheme="minorHAnsi"/>
                <w:sz w:val="24"/>
                <w:szCs w:val="24"/>
              </w:rPr>
              <w:t>enforced via superannuation.</w:t>
            </w:r>
          </w:p>
          <w:p w14:paraId="6C34968B" w14:textId="77777777" w:rsidR="00A05B80" w:rsidRPr="001C4638" w:rsidRDefault="00A05B80" w:rsidP="001F0DB9">
            <w:pPr>
              <w:spacing w:before="120" w:after="120"/>
              <w:rPr>
                <w:rFonts w:cstheme="minorHAnsi"/>
                <w:sz w:val="24"/>
                <w:szCs w:val="24"/>
              </w:rPr>
            </w:pPr>
            <w:r w:rsidRPr="001F0DB9">
              <w:rPr>
                <w:rFonts w:cstheme="minorHAnsi"/>
                <w:sz w:val="24"/>
                <w:szCs w:val="24"/>
              </w:rPr>
              <w:t>In cases where a family law property settlement occurs after a vic</w:t>
            </w:r>
            <w:r>
              <w:rPr>
                <w:rFonts w:cstheme="minorHAnsi"/>
                <w:sz w:val="24"/>
                <w:szCs w:val="24"/>
              </w:rPr>
              <w:t xml:space="preserve">tim has been compensated from a </w:t>
            </w:r>
            <w:r w:rsidRPr="001F0DB9">
              <w:rPr>
                <w:rFonts w:cstheme="minorHAnsi"/>
                <w:sz w:val="24"/>
                <w:szCs w:val="24"/>
              </w:rPr>
              <w:t>perpetrator’s superannuation, the released superannuation co</w:t>
            </w:r>
            <w:r>
              <w:rPr>
                <w:rFonts w:cstheme="minorHAnsi"/>
                <w:sz w:val="24"/>
                <w:szCs w:val="24"/>
              </w:rPr>
              <w:t xml:space="preserve">uld not be clawed back from the </w:t>
            </w:r>
            <w:r w:rsidRPr="001F0DB9">
              <w:rPr>
                <w:rFonts w:cstheme="minorHAnsi"/>
                <w:sz w:val="24"/>
                <w:szCs w:val="24"/>
              </w:rPr>
              <w:t xml:space="preserve">victim. However, the amount of the compensation order could be </w:t>
            </w:r>
            <w:r>
              <w:rPr>
                <w:rFonts w:cstheme="minorHAnsi"/>
                <w:sz w:val="24"/>
                <w:szCs w:val="24"/>
              </w:rPr>
              <w:t xml:space="preserve">taken into consideration by the </w:t>
            </w:r>
            <w:r w:rsidRPr="001F0DB9">
              <w:rPr>
                <w:rFonts w:cstheme="minorHAnsi"/>
                <w:sz w:val="24"/>
                <w:szCs w:val="24"/>
              </w:rPr>
              <w:t>court as it determines the property allocation between a perpetrator a</w:t>
            </w:r>
            <w:r>
              <w:rPr>
                <w:rFonts w:cstheme="minorHAnsi"/>
                <w:sz w:val="24"/>
                <w:szCs w:val="24"/>
              </w:rPr>
              <w:t xml:space="preserve">nd former partner, if the court </w:t>
            </w:r>
            <w:r w:rsidRPr="001F0DB9">
              <w:rPr>
                <w:rFonts w:cstheme="minorHAnsi"/>
                <w:sz w:val="24"/>
                <w:szCs w:val="24"/>
              </w:rPr>
              <w:t>considers that it is just and equitable to do so.</w:t>
            </w:r>
          </w:p>
        </w:tc>
        <w:tc>
          <w:tcPr>
            <w:tcW w:w="4678" w:type="dxa"/>
          </w:tcPr>
          <w:p w14:paraId="38804A15" w14:textId="77777777" w:rsidR="00A05B80" w:rsidRPr="001C4638" w:rsidRDefault="00C85055" w:rsidP="003337FA">
            <w:pPr>
              <w:spacing w:before="120" w:after="120"/>
              <w:rPr>
                <w:rFonts w:cstheme="minorHAnsi"/>
                <w:sz w:val="24"/>
                <w:szCs w:val="24"/>
              </w:rPr>
            </w:pPr>
            <w:r w:rsidRPr="003337FA">
              <w:rPr>
                <w:rFonts w:cstheme="minorHAnsi"/>
                <w:sz w:val="24"/>
                <w:szCs w:val="24"/>
              </w:rPr>
              <w:t>Supported</w:t>
            </w:r>
            <w:r>
              <w:rPr>
                <w:rFonts w:cstheme="minorHAnsi"/>
                <w:sz w:val="24"/>
                <w:szCs w:val="24"/>
              </w:rPr>
              <w:t>.</w:t>
            </w:r>
          </w:p>
        </w:tc>
      </w:tr>
      <w:tr w:rsidR="00A05B80" w:rsidRPr="001C4638" w14:paraId="4AFC238C" w14:textId="77777777" w:rsidTr="004D46CE">
        <w:trPr>
          <w:trHeight w:val="90"/>
        </w:trPr>
        <w:tc>
          <w:tcPr>
            <w:tcW w:w="4219" w:type="dxa"/>
            <w:vMerge/>
          </w:tcPr>
          <w:p w14:paraId="188F10FE" w14:textId="77777777" w:rsidR="00A05B80" w:rsidRPr="004A7909" w:rsidRDefault="00A05B80" w:rsidP="003337FA">
            <w:pPr>
              <w:spacing w:before="120" w:after="120"/>
              <w:rPr>
                <w:b/>
                <w:sz w:val="24"/>
              </w:rPr>
            </w:pPr>
          </w:p>
        </w:tc>
        <w:tc>
          <w:tcPr>
            <w:tcW w:w="4961" w:type="dxa"/>
          </w:tcPr>
          <w:p w14:paraId="438BA9C7" w14:textId="77777777" w:rsidR="00A05B80" w:rsidRDefault="00A05B80" w:rsidP="001F0DB9">
            <w:pPr>
              <w:spacing w:before="120" w:after="120"/>
              <w:rPr>
                <w:rFonts w:cstheme="minorHAnsi"/>
                <w:b/>
                <w:sz w:val="24"/>
                <w:szCs w:val="24"/>
              </w:rPr>
            </w:pPr>
            <w:r w:rsidRPr="00A05B80">
              <w:rPr>
                <w:rFonts w:cstheme="minorHAnsi"/>
                <w:b/>
                <w:sz w:val="24"/>
                <w:szCs w:val="24"/>
              </w:rPr>
              <w:t>Should there be limits on the proportion of a perpetrator’s account that can be accessed?</w:t>
            </w:r>
          </w:p>
          <w:p w14:paraId="5FFD1866" w14:textId="77777777" w:rsidR="00A05B80" w:rsidRPr="00A05B80" w:rsidRDefault="00A05B80" w:rsidP="00A05B80">
            <w:pPr>
              <w:spacing w:before="120" w:after="120"/>
              <w:rPr>
                <w:rFonts w:cstheme="minorHAnsi"/>
                <w:sz w:val="24"/>
                <w:szCs w:val="24"/>
              </w:rPr>
            </w:pPr>
            <w:r>
              <w:rPr>
                <w:rFonts w:cstheme="minorHAnsi"/>
                <w:sz w:val="24"/>
                <w:szCs w:val="24"/>
              </w:rPr>
              <w:t>I</w:t>
            </w:r>
            <w:r w:rsidRPr="00A05B80">
              <w:rPr>
                <w:rFonts w:cstheme="minorHAnsi"/>
                <w:sz w:val="24"/>
                <w:szCs w:val="24"/>
              </w:rPr>
              <w:t>n cases where the perpetrator does have dependant</w:t>
            </w:r>
            <w:r>
              <w:rPr>
                <w:rFonts w:cstheme="minorHAnsi"/>
                <w:sz w:val="24"/>
                <w:szCs w:val="24"/>
              </w:rPr>
              <w:t xml:space="preserve">s, the Review seeks feedback on </w:t>
            </w:r>
            <w:r w:rsidRPr="00A05B80">
              <w:rPr>
                <w:rFonts w:cstheme="minorHAnsi"/>
                <w:sz w:val="24"/>
                <w:szCs w:val="24"/>
              </w:rPr>
              <w:t>the following two options.</w:t>
            </w:r>
          </w:p>
          <w:p w14:paraId="0B9DEA7B" w14:textId="77777777" w:rsidR="00A05B80" w:rsidRPr="00A05B80" w:rsidRDefault="00A05B80" w:rsidP="00A05B80">
            <w:pPr>
              <w:pStyle w:val="ListParagraph"/>
              <w:numPr>
                <w:ilvl w:val="0"/>
                <w:numId w:val="3"/>
              </w:numPr>
              <w:spacing w:before="120" w:after="120"/>
              <w:rPr>
                <w:rFonts w:cstheme="minorHAnsi"/>
                <w:sz w:val="24"/>
                <w:szCs w:val="24"/>
              </w:rPr>
            </w:pPr>
            <w:r w:rsidRPr="00A05B80">
              <w:rPr>
                <w:rFonts w:cstheme="minorHAnsi"/>
                <w:sz w:val="24"/>
                <w:szCs w:val="24"/>
              </w:rPr>
              <w:t>Option 1: allowing 50 per cent of the perpetrator’s total superannuation balance up to $1.6 million (plus any amount in excess of $1.6 million) to be available as an aggregate limit for any compensation claims arising out of a conviction.</w:t>
            </w:r>
          </w:p>
          <w:p w14:paraId="443939F7" w14:textId="77777777" w:rsidR="00A05B80" w:rsidRPr="00A05B80" w:rsidRDefault="00A05B80" w:rsidP="00A05B80">
            <w:pPr>
              <w:pStyle w:val="ListParagraph"/>
              <w:numPr>
                <w:ilvl w:val="0"/>
                <w:numId w:val="3"/>
              </w:numPr>
              <w:spacing w:before="120" w:after="120"/>
              <w:rPr>
                <w:rFonts w:cstheme="minorHAnsi"/>
                <w:sz w:val="24"/>
                <w:szCs w:val="24"/>
              </w:rPr>
            </w:pPr>
            <w:r w:rsidRPr="00A05B80">
              <w:rPr>
                <w:rFonts w:cstheme="minorHAnsi"/>
                <w:sz w:val="24"/>
                <w:szCs w:val="24"/>
              </w:rPr>
              <w:t>Option 2: no explicit limits on access for compensation claims but ensuring family law proceedings can ‘interrupt’ claims to allow potential family law splitting prior to any payment to the court.</w:t>
            </w:r>
          </w:p>
          <w:p w14:paraId="627184EE" w14:textId="77777777" w:rsidR="00A05B80" w:rsidRPr="00A05B80" w:rsidRDefault="00A05B80" w:rsidP="00A05B80">
            <w:pPr>
              <w:spacing w:before="120" w:after="120"/>
              <w:rPr>
                <w:rFonts w:cstheme="minorHAnsi"/>
                <w:sz w:val="24"/>
                <w:szCs w:val="24"/>
              </w:rPr>
            </w:pPr>
            <w:r w:rsidRPr="00A05B80">
              <w:rPr>
                <w:rFonts w:cstheme="minorHAnsi"/>
                <w:sz w:val="24"/>
                <w:szCs w:val="24"/>
              </w:rPr>
              <w:t>Where there are no dependants, the perpetrator’s entire superannuation balance should be</w:t>
            </w:r>
            <w:r>
              <w:rPr>
                <w:rFonts w:cstheme="minorHAnsi"/>
                <w:sz w:val="24"/>
                <w:szCs w:val="24"/>
              </w:rPr>
              <w:t xml:space="preserve"> </w:t>
            </w:r>
            <w:r w:rsidRPr="00A05B80">
              <w:rPr>
                <w:rFonts w:cstheme="minorHAnsi"/>
                <w:sz w:val="24"/>
                <w:szCs w:val="24"/>
              </w:rPr>
              <w:t>available to victims.</w:t>
            </w:r>
          </w:p>
        </w:tc>
        <w:tc>
          <w:tcPr>
            <w:tcW w:w="4678" w:type="dxa"/>
          </w:tcPr>
          <w:p w14:paraId="38059440" w14:textId="77777777" w:rsidR="009E4455" w:rsidRDefault="0008773A" w:rsidP="00623FFA">
            <w:pPr>
              <w:spacing w:before="120" w:after="120"/>
              <w:rPr>
                <w:rFonts w:cstheme="minorHAnsi"/>
                <w:sz w:val="24"/>
                <w:szCs w:val="24"/>
              </w:rPr>
            </w:pPr>
            <w:r>
              <w:rPr>
                <w:rFonts w:cstheme="minorHAnsi"/>
                <w:sz w:val="24"/>
                <w:szCs w:val="24"/>
              </w:rPr>
              <w:t xml:space="preserve">Victims Services supports </w:t>
            </w:r>
            <w:r w:rsidR="00623FFA">
              <w:rPr>
                <w:rFonts w:cstheme="minorHAnsi"/>
                <w:sz w:val="24"/>
                <w:szCs w:val="24"/>
              </w:rPr>
              <w:t xml:space="preserve">option 2 in principle. </w:t>
            </w:r>
            <w:r w:rsidR="009E4455">
              <w:rPr>
                <w:rFonts w:cstheme="minorHAnsi"/>
                <w:sz w:val="24"/>
                <w:szCs w:val="24"/>
              </w:rPr>
              <w:t>However</w:t>
            </w:r>
            <w:r w:rsidR="00C810BC">
              <w:rPr>
                <w:rFonts w:cstheme="minorHAnsi"/>
                <w:sz w:val="24"/>
                <w:szCs w:val="24"/>
              </w:rPr>
              <w:t>,</w:t>
            </w:r>
            <w:r w:rsidR="009E4455">
              <w:rPr>
                <w:rFonts w:cstheme="minorHAnsi"/>
                <w:sz w:val="24"/>
                <w:szCs w:val="24"/>
              </w:rPr>
              <w:t xml:space="preserve"> </w:t>
            </w:r>
            <w:r w:rsidR="008201C1">
              <w:rPr>
                <w:rFonts w:cstheme="minorHAnsi"/>
                <w:sz w:val="24"/>
                <w:szCs w:val="24"/>
              </w:rPr>
              <w:t>i</w:t>
            </w:r>
            <w:r w:rsidR="00623FFA">
              <w:rPr>
                <w:rFonts w:cstheme="minorHAnsi"/>
                <w:sz w:val="24"/>
                <w:szCs w:val="24"/>
              </w:rPr>
              <w:t xml:space="preserve">t may be harmful to victims to have their compensation </w:t>
            </w:r>
            <w:r w:rsidR="003A3C80">
              <w:rPr>
                <w:rFonts w:cstheme="minorHAnsi"/>
                <w:sz w:val="24"/>
                <w:szCs w:val="24"/>
              </w:rPr>
              <w:t xml:space="preserve">payment delayed by a prolonged family law case. </w:t>
            </w:r>
            <w:r w:rsidR="003A3C80" w:rsidRPr="003A3C80">
              <w:rPr>
                <w:rFonts w:cstheme="minorHAnsi"/>
                <w:sz w:val="24"/>
                <w:szCs w:val="24"/>
              </w:rPr>
              <w:t>Exceptions may need to be made in family law matters that are especially prolonged</w:t>
            </w:r>
            <w:r w:rsidR="00E35D0E">
              <w:rPr>
                <w:rFonts w:cstheme="minorHAnsi"/>
                <w:sz w:val="24"/>
                <w:szCs w:val="24"/>
              </w:rPr>
              <w:t xml:space="preserve"> </w:t>
            </w:r>
            <w:r w:rsidR="008946EB">
              <w:rPr>
                <w:rFonts w:cstheme="minorHAnsi"/>
                <w:sz w:val="24"/>
                <w:szCs w:val="24"/>
              </w:rPr>
              <w:t xml:space="preserve">or where there is doubt as to the </w:t>
            </w:r>
            <w:r w:rsidR="008201C1">
              <w:rPr>
                <w:rFonts w:cstheme="minorHAnsi"/>
                <w:sz w:val="24"/>
                <w:szCs w:val="24"/>
              </w:rPr>
              <w:t>legitimacy</w:t>
            </w:r>
            <w:r w:rsidR="008946EB">
              <w:rPr>
                <w:rFonts w:cstheme="minorHAnsi"/>
                <w:sz w:val="24"/>
                <w:szCs w:val="24"/>
              </w:rPr>
              <w:t xml:space="preserve"> of the family law matter</w:t>
            </w:r>
            <w:r w:rsidR="003A3C80" w:rsidRPr="003A3C80">
              <w:rPr>
                <w:rFonts w:cstheme="minorHAnsi"/>
                <w:sz w:val="24"/>
                <w:szCs w:val="24"/>
              </w:rPr>
              <w:t>.</w:t>
            </w:r>
            <w:r w:rsidR="009E4455">
              <w:rPr>
                <w:rFonts w:cstheme="minorHAnsi"/>
                <w:sz w:val="24"/>
                <w:szCs w:val="24"/>
              </w:rPr>
              <w:t xml:space="preserve"> In such cases</w:t>
            </w:r>
            <w:r w:rsidR="00C810BC">
              <w:rPr>
                <w:rFonts w:cstheme="minorHAnsi"/>
                <w:sz w:val="24"/>
                <w:szCs w:val="24"/>
              </w:rPr>
              <w:t>,</w:t>
            </w:r>
            <w:r w:rsidR="009E4455">
              <w:rPr>
                <w:rFonts w:cstheme="minorHAnsi"/>
                <w:sz w:val="24"/>
                <w:szCs w:val="24"/>
              </w:rPr>
              <w:t xml:space="preserve"> the victims should be able to make an application</w:t>
            </w:r>
            <w:r w:rsidR="009E4455">
              <w:t xml:space="preserve"> that their compensation payment be made and </w:t>
            </w:r>
            <w:r w:rsidR="009E4455" w:rsidRPr="009E4455">
              <w:rPr>
                <w:rFonts w:cstheme="minorHAnsi"/>
                <w:sz w:val="24"/>
                <w:szCs w:val="24"/>
              </w:rPr>
              <w:t>the amount of the compensation order could</w:t>
            </w:r>
            <w:r w:rsidR="009E4455">
              <w:rPr>
                <w:rFonts w:cstheme="minorHAnsi"/>
                <w:sz w:val="24"/>
                <w:szCs w:val="24"/>
              </w:rPr>
              <w:t xml:space="preserve"> then</w:t>
            </w:r>
            <w:r w:rsidR="009E4455" w:rsidRPr="009E4455">
              <w:rPr>
                <w:rFonts w:cstheme="minorHAnsi"/>
                <w:sz w:val="24"/>
                <w:szCs w:val="24"/>
              </w:rPr>
              <w:t xml:space="preserve"> be taken into consideration by the </w:t>
            </w:r>
            <w:r w:rsidR="008201C1">
              <w:rPr>
                <w:rFonts w:cstheme="minorHAnsi"/>
                <w:sz w:val="24"/>
                <w:szCs w:val="24"/>
              </w:rPr>
              <w:t xml:space="preserve">family law </w:t>
            </w:r>
            <w:r w:rsidR="009E4455" w:rsidRPr="009E4455">
              <w:rPr>
                <w:rFonts w:cstheme="minorHAnsi"/>
                <w:sz w:val="24"/>
                <w:szCs w:val="24"/>
              </w:rPr>
              <w:t>court as it determines the property allocation</w:t>
            </w:r>
            <w:r w:rsidR="008201C1">
              <w:rPr>
                <w:rFonts w:cstheme="minorHAnsi"/>
                <w:sz w:val="24"/>
                <w:szCs w:val="24"/>
              </w:rPr>
              <w:t xml:space="preserve">. </w:t>
            </w:r>
          </w:p>
          <w:p w14:paraId="49152368" w14:textId="77777777" w:rsidR="003A3C80" w:rsidRPr="001C4638" w:rsidRDefault="003A3C80" w:rsidP="008946EB">
            <w:pPr>
              <w:spacing w:before="120" w:after="120"/>
              <w:rPr>
                <w:rFonts w:cstheme="minorHAnsi"/>
                <w:sz w:val="24"/>
                <w:szCs w:val="24"/>
              </w:rPr>
            </w:pPr>
          </w:p>
        </w:tc>
      </w:tr>
      <w:tr w:rsidR="00D34739" w:rsidRPr="001C4638" w14:paraId="6C1C3770" w14:textId="77777777" w:rsidTr="004D46CE">
        <w:tc>
          <w:tcPr>
            <w:tcW w:w="4219" w:type="dxa"/>
          </w:tcPr>
          <w:p w14:paraId="45EC98BC" w14:textId="77777777" w:rsidR="00D34739" w:rsidRDefault="00D34739" w:rsidP="003337FA">
            <w:pPr>
              <w:spacing w:before="120" w:after="120"/>
              <w:rPr>
                <w:b/>
                <w:sz w:val="24"/>
              </w:rPr>
            </w:pPr>
            <w:r w:rsidRPr="004A7909">
              <w:rPr>
                <w:b/>
                <w:sz w:val="24"/>
              </w:rPr>
              <w:t>Issue 7: Application of the draft proposal to pre-existing convictions and unpaid compensation orders</w:t>
            </w:r>
          </w:p>
          <w:p w14:paraId="20AC4D33" w14:textId="77777777" w:rsidR="002D094A" w:rsidRPr="002D094A" w:rsidRDefault="002D094A" w:rsidP="002D094A">
            <w:pPr>
              <w:spacing w:before="120" w:after="120"/>
              <w:rPr>
                <w:sz w:val="24"/>
              </w:rPr>
            </w:pPr>
            <w:r w:rsidRPr="002D094A">
              <w:rPr>
                <w:sz w:val="24"/>
              </w:rPr>
              <w:t>Another issue for consideration is whether the draft propos</w:t>
            </w:r>
            <w:r>
              <w:rPr>
                <w:sz w:val="24"/>
              </w:rPr>
              <w:t xml:space="preserve">al should apply to pre-existing </w:t>
            </w:r>
            <w:r w:rsidRPr="002D094A">
              <w:rPr>
                <w:sz w:val="24"/>
              </w:rPr>
              <w:t>compensation orders in relation to prior criminal convictions.</w:t>
            </w:r>
          </w:p>
        </w:tc>
        <w:tc>
          <w:tcPr>
            <w:tcW w:w="4961" w:type="dxa"/>
          </w:tcPr>
          <w:p w14:paraId="0D1A5C65" w14:textId="77777777" w:rsidR="004F3E0F" w:rsidRPr="00523DCC" w:rsidRDefault="00523DCC" w:rsidP="00523DCC">
            <w:pPr>
              <w:tabs>
                <w:tab w:val="left" w:pos="1635"/>
              </w:tabs>
              <w:spacing w:before="120" w:after="120"/>
              <w:rPr>
                <w:sz w:val="24"/>
              </w:rPr>
            </w:pPr>
            <w:r w:rsidRPr="00523DCC">
              <w:rPr>
                <w:sz w:val="24"/>
              </w:rPr>
              <w:t>It seems reasonable to allow existing unpaid judgement debts ari</w:t>
            </w:r>
            <w:r>
              <w:rPr>
                <w:sz w:val="24"/>
              </w:rPr>
              <w:t xml:space="preserve">sing from criminal compensation </w:t>
            </w:r>
            <w:r w:rsidRPr="00523DCC">
              <w:rPr>
                <w:sz w:val="24"/>
              </w:rPr>
              <w:t xml:space="preserve">orders to be available for broader compensation through superannuation. </w:t>
            </w:r>
            <w:r w:rsidR="004F3E0F" w:rsidRPr="004F3E0F">
              <w:rPr>
                <w:sz w:val="24"/>
              </w:rPr>
              <w:t>The person would already have committed the serious crime and already had a court determine the appropriate compensation they should pay the victim.</w:t>
            </w:r>
          </w:p>
          <w:p w14:paraId="47575161" w14:textId="77777777" w:rsidR="00D34739" w:rsidRPr="001C4638" w:rsidRDefault="00A93F2D" w:rsidP="00A93F2D">
            <w:pPr>
              <w:tabs>
                <w:tab w:val="left" w:pos="1635"/>
              </w:tabs>
              <w:spacing w:before="120" w:after="120"/>
              <w:rPr>
                <w:rFonts w:cstheme="minorHAnsi"/>
                <w:sz w:val="24"/>
                <w:szCs w:val="24"/>
              </w:rPr>
            </w:pPr>
            <w:r>
              <w:rPr>
                <w:rFonts w:cstheme="minorHAnsi"/>
                <w:sz w:val="24"/>
                <w:szCs w:val="24"/>
              </w:rPr>
              <w:t>T</w:t>
            </w:r>
            <w:r w:rsidRPr="00A93F2D">
              <w:rPr>
                <w:rFonts w:cstheme="minorHAnsi"/>
                <w:sz w:val="24"/>
                <w:szCs w:val="24"/>
              </w:rPr>
              <w:t>he Review</w:t>
            </w:r>
            <w:r>
              <w:rPr>
                <w:rFonts w:cstheme="minorHAnsi"/>
                <w:sz w:val="24"/>
                <w:szCs w:val="24"/>
              </w:rPr>
              <w:t xml:space="preserve"> proposes that access should be </w:t>
            </w:r>
            <w:r w:rsidRPr="00A93F2D">
              <w:rPr>
                <w:rFonts w:cstheme="minorHAnsi"/>
                <w:sz w:val="24"/>
                <w:szCs w:val="24"/>
              </w:rPr>
              <w:t>available for past crimes and existing eligible unpaid compensation orders.</w:t>
            </w:r>
            <w:r>
              <w:rPr>
                <w:rFonts w:cstheme="minorHAnsi"/>
                <w:sz w:val="24"/>
                <w:szCs w:val="24"/>
              </w:rPr>
              <w:tab/>
            </w:r>
          </w:p>
        </w:tc>
        <w:tc>
          <w:tcPr>
            <w:tcW w:w="4678" w:type="dxa"/>
          </w:tcPr>
          <w:p w14:paraId="7BD9C309" w14:textId="77777777" w:rsidR="00D34739" w:rsidRPr="001C4638" w:rsidRDefault="00950CF8" w:rsidP="00FB64DA">
            <w:pPr>
              <w:spacing w:before="120" w:after="120"/>
              <w:rPr>
                <w:rFonts w:cstheme="minorHAnsi"/>
                <w:sz w:val="24"/>
                <w:szCs w:val="24"/>
              </w:rPr>
            </w:pPr>
            <w:r>
              <w:rPr>
                <w:rFonts w:cstheme="minorHAnsi"/>
                <w:sz w:val="24"/>
                <w:szCs w:val="24"/>
              </w:rPr>
              <w:t xml:space="preserve">Supported. </w:t>
            </w:r>
            <w:r w:rsidR="00FB64DA">
              <w:rPr>
                <w:rFonts w:cstheme="minorHAnsi"/>
                <w:sz w:val="24"/>
                <w:szCs w:val="24"/>
              </w:rPr>
              <w:t>A r</w:t>
            </w:r>
            <w:r w:rsidR="00B64BE1" w:rsidRPr="00B64BE1">
              <w:rPr>
                <w:rFonts w:cstheme="minorHAnsi"/>
                <w:sz w:val="24"/>
                <w:szCs w:val="24"/>
              </w:rPr>
              <w:t>etrospective application would be complex but</w:t>
            </w:r>
            <w:r w:rsidR="00FB64DA">
              <w:rPr>
                <w:rFonts w:cstheme="minorHAnsi"/>
                <w:sz w:val="24"/>
                <w:szCs w:val="24"/>
              </w:rPr>
              <w:t xml:space="preserve"> it</w:t>
            </w:r>
            <w:r w:rsidR="00B64BE1" w:rsidRPr="00B64BE1">
              <w:rPr>
                <w:rFonts w:cstheme="minorHAnsi"/>
                <w:sz w:val="24"/>
                <w:szCs w:val="24"/>
              </w:rPr>
              <w:t xml:space="preserve"> </w:t>
            </w:r>
            <w:r w:rsidR="00B64BE1">
              <w:rPr>
                <w:rFonts w:cstheme="minorHAnsi"/>
                <w:sz w:val="24"/>
                <w:szCs w:val="24"/>
              </w:rPr>
              <w:t xml:space="preserve">is the </w:t>
            </w:r>
            <w:r w:rsidR="00B64BE1" w:rsidRPr="00B64BE1">
              <w:rPr>
                <w:rFonts w:cstheme="minorHAnsi"/>
                <w:sz w:val="24"/>
                <w:szCs w:val="24"/>
              </w:rPr>
              <w:t>fairest option for victim</w:t>
            </w:r>
            <w:r w:rsidR="00B64BE1">
              <w:rPr>
                <w:rFonts w:cstheme="minorHAnsi"/>
                <w:sz w:val="24"/>
                <w:szCs w:val="24"/>
              </w:rPr>
              <w:t>s</w:t>
            </w:r>
            <w:r w:rsidR="00B64BE1" w:rsidRPr="00B64BE1">
              <w:rPr>
                <w:rFonts w:cstheme="minorHAnsi"/>
                <w:sz w:val="24"/>
                <w:szCs w:val="24"/>
              </w:rPr>
              <w:t xml:space="preserve"> where a very serious crime has already been committed. This will interact with issues 2 and 3.</w:t>
            </w:r>
          </w:p>
        </w:tc>
      </w:tr>
      <w:tr w:rsidR="00D34739" w:rsidRPr="001C4638" w14:paraId="79FDB9CB" w14:textId="77777777" w:rsidTr="004D46CE">
        <w:tc>
          <w:tcPr>
            <w:tcW w:w="4219" w:type="dxa"/>
          </w:tcPr>
          <w:p w14:paraId="1187B79B" w14:textId="77777777" w:rsidR="008C77B3" w:rsidRDefault="00D34739" w:rsidP="008C77B3">
            <w:pPr>
              <w:spacing w:before="120" w:after="120"/>
              <w:rPr>
                <w:b/>
                <w:sz w:val="24"/>
              </w:rPr>
            </w:pPr>
            <w:r w:rsidRPr="004A7909">
              <w:rPr>
                <w:b/>
                <w:sz w:val="24"/>
              </w:rPr>
              <w:t>Issue 8: Recovery of costs by state and territory compensation schemes</w:t>
            </w:r>
            <w:r w:rsidR="008C77B3">
              <w:rPr>
                <w:b/>
                <w:sz w:val="24"/>
              </w:rPr>
              <w:t xml:space="preserve"> </w:t>
            </w:r>
          </w:p>
          <w:p w14:paraId="1E9B68C9" w14:textId="77777777" w:rsidR="008C77B3" w:rsidRPr="008C77B3" w:rsidRDefault="008C77B3" w:rsidP="008C77B3">
            <w:pPr>
              <w:spacing w:before="120" w:after="120"/>
              <w:rPr>
                <w:sz w:val="24"/>
              </w:rPr>
            </w:pPr>
            <w:r w:rsidRPr="008C77B3">
              <w:rPr>
                <w:sz w:val="24"/>
              </w:rPr>
              <w:t>The most significant issue with allowing state and territory compensation schemes to recover their costs from a perpetrator’s superannuation is that these schemes are much broader in scope. They allow compensation to be paid to a wide range of individuals in the absence of a criminal conviction.</w:t>
            </w:r>
          </w:p>
        </w:tc>
        <w:tc>
          <w:tcPr>
            <w:tcW w:w="4961" w:type="dxa"/>
          </w:tcPr>
          <w:p w14:paraId="4B0FB8B1" w14:textId="77777777" w:rsidR="00D34739" w:rsidRPr="001C4638" w:rsidRDefault="008C77B3" w:rsidP="003337FA">
            <w:pPr>
              <w:spacing w:before="120" w:after="120"/>
              <w:rPr>
                <w:rFonts w:cstheme="minorHAnsi"/>
                <w:sz w:val="24"/>
                <w:szCs w:val="24"/>
              </w:rPr>
            </w:pPr>
            <w:r>
              <w:rPr>
                <w:rFonts w:cstheme="minorHAnsi"/>
                <w:sz w:val="24"/>
                <w:szCs w:val="24"/>
              </w:rPr>
              <w:t>T</w:t>
            </w:r>
            <w:r w:rsidRPr="008C77B3">
              <w:rPr>
                <w:rFonts w:cstheme="minorHAnsi"/>
                <w:sz w:val="24"/>
                <w:szCs w:val="24"/>
              </w:rPr>
              <w:t>he Review considers that state and territory compensation schemes should not be able to recover the costs of their payments from the perpetrator’s superannuation balance as this would substantially broaden the scope of the draft proposal.</w:t>
            </w:r>
          </w:p>
        </w:tc>
        <w:tc>
          <w:tcPr>
            <w:tcW w:w="4678" w:type="dxa"/>
          </w:tcPr>
          <w:p w14:paraId="22BE4F87" w14:textId="3D6490EE" w:rsidR="00EF1EED" w:rsidRPr="001C4638" w:rsidRDefault="00EC363F" w:rsidP="00FE2EC3">
            <w:pPr>
              <w:spacing w:before="120" w:after="120"/>
              <w:rPr>
                <w:rFonts w:cstheme="minorHAnsi"/>
                <w:sz w:val="24"/>
                <w:szCs w:val="24"/>
              </w:rPr>
            </w:pPr>
            <w:r>
              <w:rPr>
                <w:rFonts w:cstheme="minorHAnsi"/>
                <w:sz w:val="24"/>
                <w:szCs w:val="24"/>
              </w:rPr>
              <w:t xml:space="preserve">Supported. </w:t>
            </w:r>
            <w:r w:rsidR="00E02388">
              <w:rPr>
                <w:rFonts w:cstheme="minorHAnsi"/>
                <w:sz w:val="24"/>
                <w:szCs w:val="24"/>
              </w:rPr>
              <w:t xml:space="preserve">Victims Services recognises that it is of greater importance that the victim(s), rather than the State, have access to an </w:t>
            </w:r>
            <w:r w:rsidR="000C5576">
              <w:rPr>
                <w:rFonts w:cstheme="minorHAnsi"/>
                <w:sz w:val="24"/>
                <w:szCs w:val="24"/>
              </w:rPr>
              <w:t>offender’s</w:t>
            </w:r>
            <w:r w:rsidR="00E02388">
              <w:rPr>
                <w:rFonts w:cstheme="minorHAnsi"/>
                <w:sz w:val="24"/>
                <w:szCs w:val="24"/>
              </w:rPr>
              <w:t xml:space="preserve"> superannuation for the purposes of compensation. </w:t>
            </w:r>
            <w:r w:rsidR="00850C10">
              <w:rPr>
                <w:rFonts w:cstheme="minorHAnsi"/>
                <w:sz w:val="24"/>
                <w:szCs w:val="24"/>
              </w:rPr>
              <w:t xml:space="preserve"> </w:t>
            </w:r>
          </w:p>
        </w:tc>
      </w:tr>
      <w:tr w:rsidR="005A0600" w:rsidRPr="001C4638" w14:paraId="6F9F169D" w14:textId="77777777" w:rsidTr="004D46CE">
        <w:trPr>
          <w:trHeight w:val="3780"/>
        </w:trPr>
        <w:tc>
          <w:tcPr>
            <w:tcW w:w="4219" w:type="dxa"/>
            <w:vMerge w:val="restart"/>
          </w:tcPr>
          <w:p w14:paraId="15CD9317" w14:textId="77777777" w:rsidR="005A0600" w:rsidRPr="004A7909" w:rsidRDefault="005A0600" w:rsidP="003337FA">
            <w:pPr>
              <w:spacing w:before="120" w:after="120"/>
              <w:rPr>
                <w:b/>
                <w:sz w:val="24"/>
              </w:rPr>
            </w:pPr>
            <w:r w:rsidRPr="004A7909">
              <w:rPr>
                <w:b/>
                <w:sz w:val="24"/>
              </w:rPr>
              <w:t>Issue 9: Tax rate applied to compensation</w:t>
            </w:r>
          </w:p>
        </w:tc>
        <w:tc>
          <w:tcPr>
            <w:tcW w:w="4961" w:type="dxa"/>
          </w:tcPr>
          <w:p w14:paraId="0A909407" w14:textId="77777777" w:rsidR="005A0600" w:rsidRPr="001C4638" w:rsidRDefault="005A0600" w:rsidP="00CB43D9">
            <w:pPr>
              <w:spacing w:before="120" w:after="120"/>
              <w:rPr>
                <w:rFonts w:cstheme="minorHAnsi"/>
                <w:sz w:val="24"/>
                <w:szCs w:val="24"/>
              </w:rPr>
            </w:pPr>
            <w:r w:rsidRPr="00CB43D9">
              <w:rPr>
                <w:rFonts w:cstheme="minorHAnsi"/>
                <w:sz w:val="24"/>
                <w:szCs w:val="24"/>
              </w:rPr>
              <w:t xml:space="preserve">The Review proposes that no tax be applied to the release </w:t>
            </w:r>
            <w:r>
              <w:rPr>
                <w:rFonts w:cstheme="minorHAnsi"/>
                <w:sz w:val="24"/>
                <w:szCs w:val="24"/>
              </w:rPr>
              <w:t xml:space="preserve">of funds from the perpetrator’s </w:t>
            </w:r>
            <w:r w:rsidRPr="00CB43D9">
              <w:rPr>
                <w:rFonts w:cstheme="minorHAnsi"/>
                <w:sz w:val="24"/>
                <w:szCs w:val="24"/>
              </w:rPr>
              <w:t>superannuation account to pay compensation to a victim. This is because the benef</w:t>
            </w:r>
            <w:r>
              <w:rPr>
                <w:rFonts w:cstheme="minorHAnsi"/>
                <w:sz w:val="24"/>
                <w:szCs w:val="24"/>
              </w:rPr>
              <w:t xml:space="preserve">its of </w:t>
            </w:r>
            <w:r w:rsidRPr="00CB43D9">
              <w:rPr>
                <w:rFonts w:cstheme="minorHAnsi"/>
                <w:sz w:val="24"/>
                <w:szCs w:val="24"/>
              </w:rPr>
              <w:t>concessional tax treatment of superannuation contributions would n</w:t>
            </w:r>
            <w:r>
              <w:rPr>
                <w:rFonts w:cstheme="minorHAnsi"/>
                <w:sz w:val="24"/>
                <w:szCs w:val="24"/>
              </w:rPr>
              <w:t xml:space="preserve">ot accrue to the perpetrator on </w:t>
            </w:r>
            <w:r w:rsidRPr="00CB43D9">
              <w:rPr>
                <w:rFonts w:cstheme="minorHAnsi"/>
                <w:sz w:val="24"/>
                <w:szCs w:val="24"/>
              </w:rPr>
              <w:t>the released funds. It also avoids the complexity of situations wh</w:t>
            </w:r>
            <w:r>
              <w:rPr>
                <w:rFonts w:cstheme="minorHAnsi"/>
                <w:sz w:val="24"/>
                <w:szCs w:val="24"/>
              </w:rPr>
              <w:t xml:space="preserve">ere a balance would need to be </w:t>
            </w:r>
            <w:r w:rsidRPr="00CB43D9">
              <w:rPr>
                <w:rFonts w:cstheme="minorHAnsi"/>
                <w:sz w:val="24"/>
                <w:szCs w:val="24"/>
              </w:rPr>
              <w:t xml:space="preserve">applied to both a tax debt and the victim’s compensation, allowing the full balance to be </w:t>
            </w:r>
            <w:r>
              <w:rPr>
                <w:rFonts w:cstheme="minorHAnsi"/>
                <w:sz w:val="24"/>
                <w:szCs w:val="24"/>
              </w:rPr>
              <w:t xml:space="preserve">available to </w:t>
            </w:r>
            <w:r w:rsidRPr="00CB43D9">
              <w:rPr>
                <w:rFonts w:cstheme="minorHAnsi"/>
                <w:sz w:val="24"/>
                <w:szCs w:val="24"/>
              </w:rPr>
              <w:t>the victim if necessary.</w:t>
            </w:r>
          </w:p>
        </w:tc>
        <w:tc>
          <w:tcPr>
            <w:tcW w:w="4678" w:type="dxa"/>
          </w:tcPr>
          <w:p w14:paraId="678B8CA2" w14:textId="77777777" w:rsidR="005A0600" w:rsidRPr="001C4638" w:rsidRDefault="0053363E" w:rsidP="003337FA">
            <w:pPr>
              <w:spacing w:before="120" w:after="120"/>
              <w:rPr>
                <w:rFonts w:cstheme="minorHAnsi"/>
                <w:sz w:val="24"/>
                <w:szCs w:val="24"/>
              </w:rPr>
            </w:pPr>
            <w:r>
              <w:rPr>
                <w:rFonts w:cstheme="minorHAnsi"/>
                <w:sz w:val="24"/>
                <w:szCs w:val="24"/>
              </w:rPr>
              <w:t xml:space="preserve">Supported. </w:t>
            </w:r>
          </w:p>
        </w:tc>
      </w:tr>
      <w:tr w:rsidR="005A0600" w:rsidRPr="001C4638" w14:paraId="34CEE7E0" w14:textId="77777777" w:rsidTr="004D46CE">
        <w:trPr>
          <w:trHeight w:val="1560"/>
        </w:trPr>
        <w:tc>
          <w:tcPr>
            <w:tcW w:w="4219" w:type="dxa"/>
            <w:vMerge/>
          </w:tcPr>
          <w:p w14:paraId="4533773A" w14:textId="77777777" w:rsidR="005A0600" w:rsidRPr="004A7909" w:rsidRDefault="005A0600" w:rsidP="003337FA">
            <w:pPr>
              <w:spacing w:before="120" w:after="120"/>
              <w:rPr>
                <w:b/>
                <w:sz w:val="24"/>
              </w:rPr>
            </w:pPr>
          </w:p>
        </w:tc>
        <w:tc>
          <w:tcPr>
            <w:tcW w:w="4961" w:type="dxa"/>
          </w:tcPr>
          <w:p w14:paraId="6271BF04" w14:textId="77777777" w:rsidR="005A0600" w:rsidRPr="00CB43D9" w:rsidRDefault="005A0600" w:rsidP="00CB43D9">
            <w:pPr>
              <w:spacing w:before="120" w:after="120"/>
              <w:rPr>
                <w:rFonts w:cstheme="minorHAnsi"/>
                <w:sz w:val="24"/>
                <w:szCs w:val="24"/>
              </w:rPr>
            </w:pPr>
            <w:r>
              <w:rPr>
                <w:rFonts w:cstheme="minorHAnsi"/>
                <w:sz w:val="24"/>
                <w:szCs w:val="24"/>
              </w:rPr>
              <w:t>C</w:t>
            </w:r>
            <w:r w:rsidRPr="00CB43D9">
              <w:rPr>
                <w:rFonts w:cstheme="minorHAnsi"/>
                <w:sz w:val="24"/>
                <w:szCs w:val="24"/>
              </w:rPr>
              <w:t>onsistent with the existing treatment of court-ordered com</w:t>
            </w:r>
            <w:r>
              <w:rPr>
                <w:rFonts w:cstheme="minorHAnsi"/>
                <w:sz w:val="24"/>
                <w:szCs w:val="24"/>
              </w:rPr>
              <w:t xml:space="preserve">pensation, the Review considers </w:t>
            </w:r>
            <w:r w:rsidRPr="00CB43D9">
              <w:rPr>
                <w:rFonts w:cstheme="minorHAnsi"/>
                <w:sz w:val="24"/>
                <w:szCs w:val="24"/>
              </w:rPr>
              <w:t>that money released to the victim should not be assessable for tax purposes.</w:t>
            </w:r>
          </w:p>
        </w:tc>
        <w:tc>
          <w:tcPr>
            <w:tcW w:w="4678" w:type="dxa"/>
          </w:tcPr>
          <w:p w14:paraId="40B9D937" w14:textId="77777777" w:rsidR="005A0600" w:rsidRPr="001C4638" w:rsidRDefault="001D0284" w:rsidP="003337FA">
            <w:pPr>
              <w:spacing w:before="120" w:after="120"/>
              <w:rPr>
                <w:rFonts w:cstheme="minorHAnsi"/>
                <w:sz w:val="24"/>
                <w:szCs w:val="24"/>
              </w:rPr>
            </w:pPr>
            <w:r>
              <w:rPr>
                <w:rFonts w:cstheme="minorHAnsi"/>
                <w:sz w:val="24"/>
                <w:szCs w:val="24"/>
              </w:rPr>
              <w:t>Supported.</w:t>
            </w:r>
          </w:p>
        </w:tc>
      </w:tr>
    </w:tbl>
    <w:p w14:paraId="00A24E80" w14:textId="77777777" w:rsidR="00142DCC" w:rsidRPr="001C4638" w:rsidRDefault="00172829" w:rsidP="008650CD">
      <w:pPr>
        <w:pStyle w:val="NoSpacing"/>
        <w:numPr>
          <w:ilvl w:val="0"/>
          <w:numId w:val="0"/>
        </w:numPr>
        <w:spacing w:before="120" w:after="120"/>
        <w:rPr>
          <w:rFonts w:asciiTheme="minorHAnsi" w:hAnsiTheme="minorHAnsi" w:cstheme="minorHAnsi"/>
          <w:sz w:val="24"/>
          <w:szCs w:val="24"/>
        </w:rPr>
      </w:pPr>
      <w:r>
        <w:rPr>
          <w:rFonts w:asciiTheme="minorHAnsi" w:hAnsiTheme="minorHAnsi" w:cstheme="minorHAnsi"/>
          <w:sz w:val="24"/>
          <w:szCs w:val="24"/>
        </w:rPr>
        <w:t xml:space="preserve"> </w:t>
      </w:r>
    </w:p>
    <w:sectPr w:rsidR="00142DCC" w:rsidRPr="001C4638" w:rsidSect="0083348A">
      <w:headerReference w:type="default" r:id="rId14"/>
      <w:footerReference w:type="default" r:id="rId15"/>
      <w:pgSz w:w="16838" w:h="11906" w:orient="landscape"/>
      <w:pgMar w:top="1243" w:right="1701"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A53E52" w15:done="0"/>
  <w15:commentEx w15:paraId="5FF7B7B5" w15:paraIdParent="36A53E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A53E52" w16cid:durableId="1ED2379C"/>
  <w16cid:commentId w16cid:paraId="5FF7B7B5" w16cid:durableId="1ED25FC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A62994" w14:textId="77777777" w:rsidR="002F3C41" w:rsidRDefault="002F3C41">
      <w:pPr>
        <w:spacing w:after="0" w:line="240" w:lineRule="auto"/>
      </w:pPr>
      <w:r>
        <w:separator/>
      </w:r>
    </w:p>
    <w:p w14:paraId="5C95DD9E" w14:textId="77777777" w:rsidR="002F3C41" w:rsidRDefault="002F3C41"/>
  </w:endnote>
  <w:endnote w:type="continuationSeparator" w:id="0">
    <w:p w14:paraId="1EDC0771" w14:textId="77777777" w:rsidR="002F3C41" w:rsidRDefault="002F3C41">
      <w:pPr>
        <w:spacing w:after="0" w:line="240" w:lineRule="auto"/>
      </w:pPr>
      <w:r>
        <w:continuationSeparator/>
      </w:r>
    </w:p>
    <w:p w14:paraId="7A164A25" w14:textId="77777777" w:rsidR="002F3C41" w:rsidRDefault="002F3C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67F80" w14:textId="77777777" w:rsidR="00DA0CD7" w:rsidRDefault="00DA0CD7" w:rsidP="00231302">
    <w:pPr>
      <w:spacing w:after="0"/>
      <w:rPr>
        <w:rFonts w:ascii="Segoe UI" w:hAnsi="Segoe UI" w:cs="Segoe UI"/>
        <w:color w:val="A6A6A6" w:themeColor="background1" w:themeShade="A6"/>
        <w:sz w:val="18"/>
        <w:szCs w:val="18"/>
      </w:rPr>
    </w:pPr>
    <w:r w:rsidRPr="00CC1409">
      <w:rPr>
        <w:rFonts w:ascii="Segoe UI" w:hAnsi="Segoe UI" w:cs="Segoe UI"/>
        <w:b/>
        <w:color w:val="A6A6A6" w:themeColor="background1" w:themeShade="A6"/>
        <w:sz w:val="18"/>
        <w:szCs w:val="18"/>
      </w:rPr>
      <w:t xml:space="preserve">Review of superannuation and victims of crime compensation </w:t>
    </w:r>
    <w:r w:rsidRPr="00CD2C6E">
      <w:rPr>
        <w:rFonts w:ascii="Segoe UI" w:hAnsi="Segoe UI" w:cs="Segoe UI"/>
        <w:color w:val="A6A6A6" w:themeColor="background1" w:themeShade="A6"/>
        <w:sz w:val="18"/>
        <w:szCs w:val="18"/>
      </w:rPr>
      <w:t xml:space="preserve">| </w:t>
    </w:r>
    <w:r w:rsidRPr="00A24D89">
      <w:rPr>
        <w:rFonts w:ascii="Segoe UI" w:hAnsi="Segoe UI" w:cs="Segoe UI"/>
        <w:color w:val="A6A6A6" w:themeColor="background1" w:themeShade="A6"/>
        <w:sz w:val="18"/>
        <w:szCs w:val="18"/>
      </w:rPr>
      <w:t xml:space="preserve">Victims Services </w:t>
    </w:r>
    <w:r w:rsidRPr="00CC1409">
      <w:rPr>
        <w:rFonts w:ascii="Segoe UI" w:hAnsi="Segoe UI" w:cs="Segoe UI"/>
        <w:color w:val="A6A6A6" w:themeColor="background1" w:themeShade="A6"/>
        <w:sz w:val="18"/>
        <w:szCs w:val="18"/>
      </w:rPr>
      <w:t>Comments</w:t>
    </w:r>
  </w:p>
  <w:p w14:paraId="5E7600B4" w14:textId="77777777" w:rsidR="00DA0CD7" w:rsidRPr="00A24D89" w:rsidRDefault="00DA0CD7" w:rsidP="00231302">
    <w:pPr>
      <w:spacing w:after="0"/>
      <w:rPr>
        <w:color w:val="A6A6A6" w:themeColor="background1" w:themeShade="A6"/>
        <w:sz w:val="18"/>
        <w:szCs w:val="18"/>
      </w:rPr>
    </w:pPr>
    <w:r w:rsidRPr="00CD2C6E">
      <w:rPr>
        <w:rFonts w:ascii="Segoe UI" w:hAnsi="Segoe UI" w:cs="Segoe UI"/>
        <w:b/>
        <w:color w:val="A6A6A6" w:themeColor="background1" w:themeShade="A6"/>
        <w:sz w:val="18"/>
        <w:szCs w:val="18"/>
      </w:rPr>
      <w:t>Prepared</w:t>
    </w:r>
    <w:r>
      <w:rPr>
        <w:rFonts w:ascii="Segoe UI" w:hAnsi="Segoe UI" w:cs="Segoe UI"/>
        <w:color w:val="A6A6A6" w:themeColor="background1" w:themeShade="A6"/>
        <w:sz w:val="18"/>
        <w:szCs w:val="18"/>
      </w:rPr>
      <w:t xml:space="preserve">: </w:t>
    </w:r>
    <w:r w:rsidRPr="00A47F40">
      <w:rPr>
        <w:rFonts w:ascii="Segoe UI" w:hAnsi="Segoe UI" w:cs="Segoe UI"/>
        <w:color w:val="A6A6A6" w:themeColor="background1" w:themeShade="A6"/>
        <w:sz w:val="18"/>
        <w:szCs w:val="18"/>
      </w:rPr>
      <w:t>June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75FD4D" w14:textId="77777777" w:rsidR="002F3C41" w:rsidRDefault="002F3C41">
      <w:pPr>
        <w:spacing w:after="0" w:line="240" w:lineRule="auto"/>
      </w:pPr>
      <w:r>
        <w:separator/>
      </w:r>
    </w:p>
    <w:p w14:paraId="668337FB" w14:textId="77777777" w:rsidR="002F3C41" w:rsidRDefault="002F3C41"/>
  </w:footnote>
  <w:footnote w:type="continuationSeparator" w:id="0">
    <w:p w14:paraId="615A6E95" w14:textId="77777777" w:rsidR="002F3C41" w:rsidRDefault="002F3C41">
      <w:pPr>
        <w:spacing w:after="0" w:line="240" w:lineRule="auto"/>
      </w:pPr>
      <w:r>
        <w:continuationSeparator/>
      </w:r>
    </w:p>
    <w:p w14:paraId="6551234B" w14:textId="77777777" w:rsidR="002F3C41" w:rsidRDefault="002F3C4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6484291"/>
      <w:docPartObj>
        <w:docPartGallery w:val="Page Numbers (Top of Page)"/>
        <w:docPartUnique/>
      </w:docPartObj>
    </w:sdtPr>
    <w:sdtEndPr>
      <w:rPr>
        <w:noProof/>
      </w:rPr>
    </w:sdtEndPr>
    <w:sdtContent>
      <w:p w14:paraId="1FD0B759" w14:textId="77777777" w:rsidR="00DA0CD7" w:rsidRDefault="00DA0CD7">
        <w:pPr>
          <w:pStyle w:val="Header"/>
          <w:jc w:val="right"/>
        </w:pPr>
        <w:r>
          <w:rPr>
            <w:rFonts w:ascii="Segoe UI" w:hAnsi="Segoe UI" w:cs="Segoe UI"/>
            <w:b/>
            <w:noProof/>
            <w:sz w:val="28"/>
            <w:szCs w:val="32"/>
            <w:lang w:eastAsia="en-AU"/>
          </w:rPr>
          <w:drawing>
            <wp:anchor distT="0" distB="0" distL="114300" distR="114300" simplePos="0" relativeHeight="251659264" behindDoc="1" locked="0" layoutInCell="1" allowOverlap="1" wp14:anchorId="786EC8EC" wp14:editId="4D1F00C4">
              <wp:simplePos x="0" y="0"/>
              <wp:positionH relativeFrom="column">
                <wp:posOffset>-57150</wp:posOffset>
              </wp:positionH>
              <wp:positionV relativeFrom="paragraph">
                <wp:posOffset>-75565</wp:posOffset>
              </wp:positionV>
              <wp:extent cx="1562100" cy="52299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w-victims-services-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100" cy="522997"/>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300560">
          <w:rPr>
            <w:noProof/>
          </w:rPr>
          <w:t>1</w:t>
        </w:r>
        <w:r>
          <w:rPr>
            <w:noProof/>
          </w:rPr>
          <w:fldChar w:fldCharType="end"/>
        </w:r>
      </w:p>
    </w:sdtContent>
  </w:sdt>
  <w:p w14:paraId="2516863C" w14:textId="77777777" w:rsidR="00DA0CD7" w:rsidRPr="00A24D89" w:rsidRDefault="00DA0CD7" w:rsidP="00231302">
    <w:pPr>
      <w:pStyle w:val="Header"/>
    </w:pPr>
  </w:p>
  <w:p w14:paraId="6C286869" w14:textId="77777777" w:rsidR="00DA0CD7" w:rsidRDefault="00DA0CD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B1316"/>
    <w:multiLevelType w:val="hybridMultilevel"/>
    <w:tmpl w:val="F06AC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DBF10FF"/>
    <w:multiLevelType w:val="hybridMultilevel"/>
    <w:tmpl w:val="89749702"/>
    <w:lvl w:ilvl="0" w:tplc="F7E23D3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EBE3607"/>
    <w:multiLevelType w:val="hybridMultilevel"/>
    <w:tmpl w:val="228CCF60"/>
    <w:lvl w:ilvl="0" w:tplc="F7E23D3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6F5576B"/>
    <w:multiLevelType w:val="hybridMultilevel"/>
    <w:tmpl w:val="D2C44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C0B7A09"/>
    <w:multiLevelType w:val="hybridMultilevel"/>
    <w:tmpl w:val="B7305048"/>
    <w:lvl w:ilvl="0" w:tplc="3D901CA6">
      <w:start w:val="1"/>
      <w:numFmt w:val="decimal"/>
      <w:pStyle w:val="NoSpacing"/>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e Greenwood">
    <w15:presenceInfo w15:providerId="Windows Live" w15:userId="497c6a3d9eec78e2"/>
  </w15:person>
  <w15:person w15:author="Kristina Jensen">
    <w15:presenceInfo w15:providerId="Windows Live" w15:userId="7cbd5ecc-dd2a-4770-a1ea-33aaa9e302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3FC"/>
    <w:rsid w:val="000134D9"/>
    <w:rsid w:val="000146CD"/>
    <w:rsid w:val="000235CE"/>
    <w:rsid w:val="000310A5"/>
    <w:rsid w:val="00036678"/>
    <w:rsid w:val="0004175E"/>
    <w:rsid w:val="00047DFE"/>
    <w:rsid w:val="00064AB0"/>
    <w:rsid w:val="00071708"/>
    <w:rsid w:val="00086427"/>
    <w:rsid w:val="0008773A"/>
    <w:rsid w:val="00090A8E"/>
    <w:rsid w:val="000A3A0E"/>
    <w:rsid w:val="000B33A7"/>
    <w:rsid w:val="000B5BAF"/>
    <w:rsid w:val="000C5576"/>
    <w:rsid w:val="000C6E9D"/>
    <w:rsid w:val="000C7875"/>
    <w:rsid w:val="000C7FD8"/>
    <w:rsid w:val="00114E21"/>
    <w:rsid w:val="001246C0"/>
    <w:rsid w:val="00140517"/>
    <w:rsid w:val="00142DCC"/>
    <w:rsid w:val="00142FA9"/>
    <w:rsid w:val="001515AD"/>
    <w:rsid w:val="00161629"/>
    <w:rsid w:val="001635C5"/>
    <w:rsid w:val="00172829"/>
    <w:rsid w:val="001A3DBB"/>
    <w:rsid w:val="001B0EB5"/>
    <w:rsid w:val="001C4638"/>
    <w:rsid w:val="001D0284"/>
    <w:rsid w:val="001E4A0D"/>
    <w:rsid w:val="001F0DB9"/>
    <w:rsid w:val="001F7A43"/>
    <w:rsid w:val="00202195"/>
    <w:rsid w:val="00220170"/>
    <w:rsid w:val="00221D29"/>
    <w:rsid w:val="00223A01"/>
    <w:rsid w:val="00225FB2"/>
    <w:rsid w:val="00231302"/>
    <w:rsid w:val="00232F5F"/>
    <w:rsid w:val="0023780E"/>
    <w:rsid w:val="00247666"/>
    <w:rsid w:val="002844F0"/>
    <w:rsid w:val="00291843"/>
    <w:rsid w:val="00294346"/>
    <w:rsid w:val="002A3615"/>
    <w:rsid w:val="002A613A"/>
    <w:rsid w:val="002C4986"/>
    <w:rsid w:val="002D094A"/>
    <w:rsid w:val="002E4B3F"/>
    <w:rsid w:val="002F3844"/>
    <w:rsid w:val="002F3C41"/>
    <w:rsid w:val="00300560"/>
    <w:rsid w:val="00316D3C"/>
    <w:rsid w:val="003337FA"/>
    <w:rsid w:val="003443FC"/>
    <w:rsid w:val="0034480A"/>
    <w:rsid w:val="003511F1"/>
    <w:rsid w:val="0035174F"/>
    <w:rsid w:val="003736DD"/>
    <w:rsid w:val="00375AD7"/>
    <w:rsid w:val="00381CE1"/>
    <w:rsid w:val="00391712"/>
    <w:rsid w:val="00392EE2"/>
    <w:rsid w:val="003A0C00"/>
    <w:rsid w:val="003A3C80"/>
    <w:rsid w:val="003A6959"/>
    <w:rsid w:val="003B6D17"/>
    <w:rsid w:val="003C6110"/>
    <w:rsid w:val="003C7A2A"/>
    <w:rsid w:val="003D30DE"/>
    <w:rsid w:val="003D5F29"/>
    <w:rsid w:val="003F146D"/>
    <w:rsid w:val="003F41CC"/>
    <w:rsid w:val="004358CC"/>
    <w:rsid w:val="004371F9"/>
    <w:rsid w:val="004408E2"/>
    <w:rsid w:val="00447C5A"/>
    <w:rsid w:val="00481802"/>
    <w:rsid w:val="004A7909"/>
    <w:rsid w:val="004C1CFD"/>
    <w:rsid w:val="004D416E"/>
    <w:rsid w:val="004D46CE"/>
    <w:rsid w:val="004E2E7C"/>
    <w:rsid w:val="004E51CE"/>
    <w:rsid w:val="004F3E0F"/>
    <w:rsid w:val="004F4A5C"/>
    <w:rsid w:val="004F58D1"/>
    <w:rsid w:val="00503EDF"/>
    <w:rsid w:val="005046E3"/>
    <w:rsid w:val="00507027"/>
    <w:rsid w:val="00511D1F"/>
    <w:rsid w:val="00521C1F"/>
    <w:rsid w:val="0052258D"/>
    <w:rsid w:val="00523DCC"/>
    <w:rsid w:val="0052653E"/>
    <w:rsid w:val="005273AE"/>
    <w:rsid w:val="0053363E"/>
    <w:rsid w:val="00540B55"/>
    <w:rsid w:val="00551D35"/>
    <w:rsid w:val="00554A6B"/>
    <w:rsid w:val="00584721"/>
    <w:rsid w:val="005A0600"/>
    <w:rsid w:val="005A4136"/>
    <w:rsid w:val="005C0CE7"/>
    <w:rsid w:val="005C21D9"/>
    <w:rsid w:val="005D785E"/>
    <w:rsid w:val="005E4693"/>
    <w:rsid w:val="005E568D"/>
    <w:rsid w:val="005E639B"/>
    <w:rsid w:val="005F60EA"/>
    <w:rsid w:val="00623FFA"/>
    <w:rsid w:val="00627028"/>
    <w:rsid w:val="00642351"/>
    <w:rsid w:val="0065568F"/>
    <w:rsid w:val="00656660"/>
    <w:rsid w:val="0066177E"/>
    <w:rsid w:val="00666AAE"/>
    <w:rsid w:val="00673853"/>
    <w:rsid w:val="00677B8C"/>
    <w:rsid w:val="006870E7"/>
    <w:rsid w:val="00687ACB"/>
    <w:rsid w:val="00692A33"/>
    <w:rsid w:val="00696F9E"/>
    <w:rsid w:val="006D4528"/>
    <w:rsid w:val="006D6E81"/>
    <w:rsid w:val="006D79DC"/>
    <w:rsid w:val="006E7EE8"/>
    <w:rsid w:val="006F2B67"/>
    <w:rsid w:val="006F5B2A"/>
    <w:rsid w:val="006F6345"/>
    <w:rsid w:val="00711F0A"/>
    <w:rsid w:val="00722BDD"/>
    <w:rsid w:val="00733CA0"/>
    <w:rsid w:val="007340D2"/>
    <w:rsid w:val="00737931"/>
    <w:rsid w:val="0073794B"/>
    <w:rsid w:val="0074701F"/>
    <w:rsid w:val="0077335D"/>
    <w:rsid w:val="007760BB"/>
    <w:rsid w:val="007768D2"/>
    <w:rsid w:val="00797218"/>
    <w:rsid w:val="007A6C99"/>
    <w:rsid w:val="007B713D"/>
    <w:rsid w:val="007C3E3F"/>
    <w:rsid w:val="007D52B2"/>
    <w:rsid w:val="007E146E"/>
    <w:rsid w:val="007E3719"/>
    <w:rsid w:val="007F5897"/>
    <w:rsid w:val="0080027B"/>
    <w:rsid w:val="0081323A"/>
    <w:rsid w:val="00814FE7"/>
    <w:rsid w:val="008201C1"/>
    <w:rsid w:val="00821D1B"/>
    <w:rsid w:val="008315F6"/>
    <w:rsid w:val="00833413"/>
    <w:rsid w:val="0083348A"/>
    <w:rsid w:val="00834B42"/>
    <w:rsid w:val="0084115C"/>
    <w:rsid w:val="00842077"/>
    <w:rsid w:val="00850C10"/>
    <w:rsid w:val="00856938"/>
    <w:rsid w:val="00863815"/>
    <w:rsid w:val="00864427"/>
    <w:rsid w:val="00864905"/>
    <w:rsid w:val="008650CD"/>
    <w:rsid w:val="008673D7"/>
    <w:rsid w:val="008946EB"/>
    <w:rsid w:val="008C0142"/>
    <w:rsid w:val="008C21AA"/>
    <w:rsid w:val="008C77B3"/>
    <w:rsid w:val="008D140E"/>
    <w:rsid w:val="008D6297"/>
    <w:rsid w:val="008E2D9C"/>
    <w:rsid w:val="008E3DF6"/>
    <w:rsid w:val="008F300E"/>
    <w:rsid w:val="00912571"/>
    <w:rsid w:val="009257F7"/>
    <w:rsid w:val="00936BC6"/>
    <w:rsid w:val="00950CF8"/>
    <w:rsid w:val="009562FC"/>
    <w:rsid w:val="00957975"/>
    <w:rsid w:val="00965F34"/>
    <w:rsid w:val="00982A1A"/>
    <w:rsid w:val="0098706F"/>
    <w:rsid w:val="009921F1"/>
    <w:rsid w:val="009A0F8D"/>
    <w:rsid w:val="009B1823"/>
    <w:rsid w:val="009B52ED"/>
    <w:rsid w:val="009B77BD"/>
    <w:rsid w:val="009C32CB"/>
    <w:rsid w:val="009D29DC"/>
    <w:rsid w:val="009E0A4D"/>
    <w:rsid w:val="009E25AF"/>
    <w:rsid w:val="009E4455"/>
    <w:rsid w:val="00A05B80"/>
    <w:rsid w:val="00A24BB1"/>
    <w:rsid w:val="00A3091F"/>
    <w:rsid w:val="00A314B3"/>
    <w:rsid w:val="00A333C4"/>
    <w:rsid w:val="00A44718"/>
    <w:rsid w:val="00A47F40"/>
    <w:rsid w:val="00A53036"/>
    <w:rsid w:val="00A542EA"/>
    <w:rsid w:val="00A8084A"/>
    <w:rsid w:val="00A922C6"/>
    <w:rsid w:val="00A93F2D"/>
    <w:rsid w:val="00A973BE"/>
    <w:rsid w:val="00AA73D2"/>
    <w:rsid w:val="00AB5F42"/>
    <w:rsid w:val="00AD43F9"/>
    <w:rsid w:val="00AF1FC5"/>
    <w:rsid w:val="00AF506A"/>
    <w:rsid w:val="00B005B7"/>
    <w:rsid w:val="00B21A3B"/>
    <w:rsid w:val="00B21F33"/>
    <w:rsid w:val="00B44263"/>
    <w:rsid w:val="00B44FDE"/>
    <w:rsid w:val="00B63D14"/>
    <w:rsid w:val="00B64183"/>
    <w:rsid w:val="00B64BE1"/>
    <w:rsid w:val="00B7039B"/>
    <w:rsid w:val="00B73071"/>
    <w:rsid w:val="00B93C80"/>
    <w:rsid w:val="00B94A23"/>
    <w:rsid w:val="00B94B6B"/>
    <w:rsid w:val="00BC0DAC"/>
    <w:rsid w:val="00BC22D2"/>
    <w:rsid w:val="00BC37A5"/>
    <w:rsid w:val="00BC5BB0"/>
    <w:rsid w:val="00BE0F50"/>
    <w:rsid w:val="00BF147F"/>
    <w:rsid w:val="00BF2A5C"/>
    <w:rsid w:val="00BF2E42"/>
    <w:rsid w:val="00BF6AAD"/>
    <w:rsid w:val="00C22A5B"/>
    <w:rsid w:val="00C24F07"/>
    <w:rsid w:val="00C31F26"/>
    <w:rsid w:val="00C32898"/>
    <w:rsid w:val="00C51516"/>
    <w:rsid w:val="00C53465"/>
    <w:rsid w:val="00C644A2"/>
    <w:rsid w:val="00C73796"/>
    <w:rsid w:val="00C810BC"/>
    <w:rsid w:val="00C85055"/>
    <w:rsid w:val="00C85BFE"/>
    <w:rsid w:val="00C940A2"/>
    <w:rsid w:val="00CB1348"/>
    <w:rsid w:val="00CB43D9"/>
    <w:rsid w:val="00CB52B0"/>
    <w:rsid w:val="00CC1409"/>
    <w:rsid w:val="00CC7072"/>
    <w:rsid w:val="00CD2E50"/>
    <w:rsid w:val="00CD75E3"/>
    <w:rsid w:val="00D27363"/>
    <w:rsid w:val="00D3240D"/>
    <w:rsid w:val="00D34739"/>
    <w:rsid w:val="00D3756A"/>
    <w:rsid w:val="00D53F7C"/>
    <w:rsid w:val="00D57091"/>
    <w:rsid w:val="00D6506D"/>
    <w:rsid w:val="00D66FF5"/>
    <w:rsid w:val="00D8252F"/>
    <w:rsid w:val="00D909BB"/>
    <w:rsid w:val="00D9591E"/>
    <w:rsid w:val="00D97578"/>
    <w:rsid w:val="00DA0CD7"/>
    <w:rsid w:val="00DB2604"/>
    <w:rsid w:val="00DC2985"/>
    <w:rsid w:val="00DC3210"/>
    <w:rsid w:val="00DD26E0"/>
    <w:rsid w:val="00DF58B0"/>
    <w:rsid w:val="00E02388"/>
    <w:rsid w:val="00E120FD"/>
    <w:rsid w:val="00E16E2C"/>
    <w:rsid w:val="00E17848"/>
    <w:rsid w:val="00E2767A"/>
    <w:rsid w:val="00E35D0E"/>
    <w:rsid w:val="00E518BF"/>
    <w:rsid w:val="00E5654C"/>
    <w:rsid w:val="00E60627"/>
    <w:rsid w:val="00E64C99"/>
    <w:rsid w:val="00E73F59"/>
    <w:rsid w:val="00E95A6E"/>
    <w:rsid w:val="00EB4609"/>
    <w:rsid w:val="00EC363F"/>
    <w:rsid w:val="00EC4500"/>
    <w:rsid w:val="00ED5E10"/>
    <w:rsid w:val="00EF1EED"/>
    <w:rsid w:val="00EF6273"/>
    <w:rsid w:val="00F118F7"/>
    <w:rsid w:val="00F23C2C"/>
    <w:rsid w:val="00F518B5"/>
    <w:rsid w:val="00F61411"/>
    <w:rsid w:val="00F650A5"/>
    <w:rsid w:val="00F65932"/>
    <w:rsid w:val="00F8392B"/>
    <w:rsid w:val="00F83947"/>
    <w:rsid w:val="00F92BF3"/>
    <w:rsid w:val="00F96847"/>
    <w:rsid w:val="00F96935"/>
    <w:rsid w:val="00FA65DE"/>
    <w:rsid w:val="00FA7462"/>
    <w:rsid w:val="00FA775D"/>
    <w:rsid w:val="00FB12C3"/>
    <w:rsid w:val="00FB64DA"/>
    <w:rsid w:val="00FB682A"/>
    <w:rsid w:val="00FC1DF4"/>
    <w:rsid w:val="00FC272B"/>
    <w:rsid w:val="00FD421A"/>
    <w:rsid w:val="00FD77FA"/>
    <w:rsid w:val="00FE0658"/>
    <w:rsid w:val="00FE1C30"/>
    <w:rsid w:val="00FE2E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D9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egoe UI" w:eastAsiaTheme="minorHAnsi" w:hAnsi="Segoe UI" w:cs="Segoe U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3FC"/>
    <w:rPr>
      <w:rFonts w:asciiTheme="minorHAnsi" w:hAnsiTheme="minorHAnsi" w:cstheme="minorBidi"/>
    </w:rPr>
  </w:style>
  <w:style w:type="paragraph" w:styleId="Heading1">
    <w:name w:val="heading 1"/>
    <w:basedOn w:val="Normal"/>
    <w:next w:val="Normal"/>
    <w:link w:val="Heading1Char"/>
    <w:uiPriority w:val="9"/>
    <w:qFormat/>
    <w:rsid w:val="001C4638"/>
    <w:pPr>
      <w:spacing w:after="0"/>
      <w:outlineLvl w:val="0"/>
    </w:pPr>
    <w:rPr>
      <w:rFonts w:cstheme="minorHAnsi"/>
      <w:b/>
      <w:sz w:val="28"/>
      <w:szCs w:val="32"/>
    </w:rPr>
  </w:style>
  <w:style w:type="paragraph" w:styleId="Heading2">
    <w:name w:val="heading 2"/>
    <w:basedOn w:val="Normal"/>
    <w:next w:val="Normal"/>
    <w:link w:val="Heading2Char"/>
    <w:uiPriority w:val="9"/>
    <w:unhideWhenUsed/>
    <w:qFormat/>
    <w:rsid w:val="00ED5E10"/>
    <w:pPr>
      <w:shd w:val="clear" w:color="auto" w:fill="F2F2F2" w:themeFill="background1" w:themeFillShade="F2"/>
      <w:spacing w:after="240"/>
      <w:outlineLvl w:val="1"/>
    </w:pPr>
    <w:rPr>
      <w:rFonts w:ascii="Segoe UI" w:hAnsi="Segoe UI" w:cs="Segoe UI"/>
      <w:b/>
      <w:szCs w:val="32"/>
    </w:rPr>
  </w:style>
  <w:style w:type="paragraph" w:styleId="Heading3">
    <w:name w:val="heading 3"/>
    <w:basedOn w:val="NoSpacing"/>
    <w:next w:val="Normal"/>
    <w:link w:val="Heading3Char"/>
    <w:uiPriority w:val="9"/>
    <w:unhideWhenUsed/>
    <w:qFormat/>
    <w:rsid w:val="008C21AA"/>
    <w:pPr>
      <w:numPr>
        <w:numId w:val="0"/>
      </w:numPr>
      <w:outlineLvl w:val="2"/>
    </w:pPr>
    <w:rPr>
      <w:b/>
      <w:i/>
      <w:color w:val="548DD4" w:themeColor="text2" w:themeTint="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3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43FC"/>
    <w:rPr>
      <w:rFonts w:asciiTheme="minorHAnsi" w:hAnsiTheme="minorHAnsi" w:cstheme="minorBidi"/>
    </w:rPr>
  </w:style>
  <w:style w:type="table" w:styleId="TableGrid">
    <w:name w:val="Table Grid"/>
    <w:basedOn w:val="TableNormal"/>
    <w:uiPriority w:val="59"/>
    <w:rsid w:val="00642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420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2077"/>
    <w:rPr>
      <w:rFonts w:asciiTheme="minorHAnsi" w:hAnsiTheme="minorHAnsi" w:cstheme="minorBidi"/>
    </w:rPr>
  </w:style>
  <w:style w:type="paragraph" w:styleId="ListParagraph">
    <w:name w:val="List Paragraph"/>
    <w:basedOn w:val="Normal"/>
    <w:uiPriority w:val="34"/>
    <w:qFormat/>
    <w:rsid w:val="00142DCC"/>
    <w:pPr>
      <w:ind w:left="720"/>
      <w:contextualSpacing/>
    </w:pPr>
  </w:style>
  <w:style w:type="paragraph" w:styleId="NoSpacing">
    <w:name w:val="No Spacing"/>
    <w:basedOn w:val="ListParagraph"/>
    <w:uiPriority w:val="1"/>
    <w:qFormat/>
    <w:rsid w:val="008C21AA"/>
    <w:pPr>
      <w:numPr>
        <w:numId w:val="1"/>
      </w:numPr>
    </w:pPr>
    <w:rPr>
      <w:rFonts w:ascii="Segoe UI" w:hAnsi="Segoe UI" w:cs="Segoe UI"/>
    </w:rPr>
  </w:style>
  <w:style w:type="paragraph" w:styleId="Title">
    <w:name w:val="Title"/>
    <w:basedOn w:val="Normal"/>
    <w:next w:val="Normal"/>
    <w:link w:val="TitleChar"/>
    <w:uiPriority w:val="10"/>
    <w:qFormat/>
    <w:rsid w:val="00ED5E10"/>
    <w:pPr>
      <w:spacing w:after="0"/>
    </w:pPr>
    <w:rPr>
      <w:rFonts w:ascii="Segoe UI" w:hAnsi="Segoe UI" w:cs="Segoe UI"/>
      <w:b/>
      <w:sz w:val="28"/>
      <w:szCs w:val="32"/>
    </w:rPr>
  </w:style>
  <w:style w:type="character" w:customStyle="1" w:styleId="TitleChar">
    <w:name w:val="Title Char"/>
    <w:basedOn w:val="DefaultParagraphFont"/>
    <w:link w:val="Title"/>
    <w:uiPriority w:val="10"/>
    <w:rsid w:val="00ED5E10"/>
    <w:rPr>
      <w:b/>
      <w:sz w:val="28"/>
      <w:szCs w:val="32"/>
    </w:rPr>
  </w:style>
  <w:style w:type="paragraph" w:styleId="Subtitle">
    <w:name w:val="Subtitle"/>
    <w:basedOn w:val="Normal"/>
    <w:next w:val="Normal"/>
    <w:link w:val="SubtitleChar"/>
    <w:uiPriority w:val="11"/>
    <w:qFormat/>
    <w:rsid w:val="00ED5E10"/>
    <w:pPr>
      <w:spacing w:after="0"/>
    </w:pPr>
    <w:rPr>
      <w:rFonts w:ascii="Segoe UI" w:hAnsi="Segoe UI" w:cs="Segoe UI"/>
      <w:b/>
      <w:sz w:val="28"/>
      <w:szCs w:val="32"/>
    </w:rPr>
  </w:style>
  <w:style w:type="character" w:customStyle="1" w:styleId="SubtitleChar">
    <w:name w:val="Subtitle Char"/>
    <w:basedOn w:val="DefaultParagraphFont"/>
    <w:link w:val="Subtitle"/>
    <w:uiPriority w:val="11"/>
    <w:rsid w:val="00ED5E10"/>
    <w:rPr>
      <w:b/>
      <w:sz w:val="28"/>
      <w:szCs w:val="32"/>
    </w:rPr>
  </w:style>
  <w:style w:type="character" w:customStyle="1" w:styleId="Heading1Char">
    <w:name w:val="Heading 1 Char"/>
    <w:basedOn w:val="DefaultParagraphFont"/>
    <w:link w:val="Heading1"/>
    <w:uiPriority w:val="9"/>
    <w:rsid w:val="001C4638"/>
    <w:rPr>
      <w:rFonts w:asciiTheme="minorHAnsi" w:hAnsiTheme="minorHAnsi" w:cstheme="minorHAnsi"/>
      <w:b/>
      <w:sz w:val="28"/>
      <w:szCs w:val="32"/>
    </w:rPr>
  </w:style>
  <w:style w:type="character" w:customStyle="1" w:styleId="Heading2Char">
    <w:name w:val="Heading 2 Char"/>
    <w:basedOn w:val="DefaultParagraphFont"/>
    <w:link w:val="Heading2"/>
    <w:uiPriority w:val="9"/>
    <w:rsid w:val="00ED5E10"/>
    <w:rPr>
      <w:b/>
      <w:szCs w:val="32"/>
      <w:shd w:val="clear" w:color="auto" w:fill="F2F2F2" w:themeFill="background1" w:themeFillShade="F2"/>
    </w:rPr>
  </w:style>
  <w:style w:type="character" w:customStyle="1" w:styleId="Heading3Char">
    <w:name w:val="Heading 3 Char"/>
    <w:basedOn w:val="DefaultParagraphFont"/>
    <w:link w:val="Heading3"/>
    <w:uiPriority w:val="9"/>
    <w:rsid w:val="008C21AA"/>
    <w:rPr>
      <w:b/>
      <w:i/>
      <w:color w:val="548DD4" w:themeColor="text2" w:themeTint="99"/>
    </w:rPr>
  </w:style>
  <w:style w:type="character" w:customStyle="1" w:styleId="apple-converted-space">
    <w:name w:val="apple-converted-space"/>
    <w:basedOn w:val="DefaultParagraphFont"/>
    <w:rsid w:val="00C940A2"/>
  </w:style>
  <w:style w:type="character" w:customStyle="1" w:styleId="frag-defterm">
    <w:name w:val="frag-defterm"/>
    <w:basedOn w:val="DefaultParagraphFont"/>
    <w:rsid w:val="00C940A2"/>
  </w:style>
  <w:style w:type="character" w:styleId="CommentReference">
    <w:name w:val="annotation reference"/>
    <w:basedOn w:val="DefaultParagraphFont"/>
    <w:uiPriority w:val="99"/>
    <w:semiHidden/>
    <w:unhideWhenUsed/>
    <w:rsid w:val="00FB12C3"/>
    <w:rPr>
      <w:sz w:val="16"/>
      <w:szCs w:val="16"/>
    </w:rPr>
  </w:style>
  <w:style w:type="paragraph" w:styleId="CommentText">
    <w:name w:val="annotation text"/>
    <w:basedOn w:val="Normal"/>
    <w:link w:val="CommentTextChar"/>
    <w:uiPriority w:val="99"/>
    <w:semiHidden/>
    <w:unhideWhenUsed/>
    <w:rsid w:val="00FB12C3"/>
    <w:pPr>
      <w:spacing w:line="240" w:lineRule="auto"/>
    </w:pPr>
    <w:rPr>
      <w:sz w:val="20"/>
      <w:szCs w:val="20"/>
    </w:rPr>
  </w:style>
  <w:style w:type="character" w:customStyle="1" w:styleId="CommentTextChar">
    <w:name w:val="Comment Text Char"/>
    <w:basedOn w:val="DefaultParagraphFont"/>
    <w:link w:val="CommentText"/>
    <w:uiPriority w:val="99"/>
    <w:semiHidden/>
    <w:rsid w:val="00FB12C3"/>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FB12C3"/>
    <w:rPr>
      <w:b/>
      <w:bCs/>
    </w:rPr>
  </w:style>
  <w:style w:type="character" w:customStyle="1" w:styleId="CommentSubjectChar">
    <w:name w:val="Comment Subject Char"/>
    <w:basedOn w:val="CommentTextChar"/>
    <w:link w:val="CommentSubject"/>
    <w:uiPriority w:val="99"/>
    <w:semiHidden/>
    <w:rsid w:val="00FB12C3"/>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FB1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2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egoe UI" w:eastAsiaTheme="minorHAnsi" w:hAnsi="Segoe UI" w:cs="Segoe U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3FC"/>
    <w:rPr>
      <w:rFonts w:asciiTheme="minorHAnsi" w:hAnsiTheme="minorHAnsi" w:cstheme="minorBidi"/>
    </w:rPr>
  </w:style>
  <w:style w:type="paragraph" w:styleId="Heading1">
    <w:name w:val="heading 1"/>
    <w:basedOn w:val="Normal"/>
    <w:next w:val="Normal"/>
    <w:link w:val="Heading1Char"/>
    <w:uiPriority w:val="9"/>
    <w:qFormat/>
    <w:rsid w:val="001C4638"/>
    <w:pPr>
      <w:spacing w:after="0"/>
      <w:outlineLvl w:val="0"/>
    </w:pPr>
    <w:rPr>
      <w:rFonts w:cstheme="minorHAnsi"/>
      <w:b/>
      <w:sz w:val="28"/>
      <w:szCs w:val="32"/>
    </w:rPr>
  </w:style>
  <w:style w:type="paragraph" w:styleId="Heading2">
    <w:name w:val="heading 2"/>
    <w:basedOn w:val="Normal"/>
    <w:next w:val="Normal"/>
    <w:link w:val="Heading2Char"/>
    <w:uiPriority w:val="9"/>
    <w:unhideWhenUsed/>
    <w:qFormat/>
    <w:rsid w:val="00ED5E10"/>
    <w:pPr>
      <w:shd w:val="clear" w:color="auto" w:fill="F2F2F2" w:themeFill="background1" w:themeFillShade="F2"/>
      <w:spacing w:after="240"/>
      <w:outlineLvl w:val="1"/>
    </w:pPr>
    <w:rPr>
      <w:rFonts w:ascii="Segoe UI" w:hAnsi="Segoe UI" w:cs="Segoe UI"/>
      <w:b/>
      <w:szCs w:val="32"/>
    </w:rPr>
  </w:style>
  <w:style w:type="paragraph" w:styleId="Heading3">
    <w:name w:val="heading 3"/>
    <w:basedOn w:val="NoSpacing"/>
    <w:next w:val="Normal"/>
    <w:link w:val="Heading3Char"/>
    <w:uiPriority w:val="9"/>
    <w:unhideWhenUsed/>
    <w:qFormat/>
    <w:rsid w:val="008C21AA"/>
    <w:pPr>
      <w:numPr>
        <w:numId w:val="0"/>
      </w:numPr>
      <w:outlineLvl w:val="2"/>
    </w:pPr>
    <w:rPr>
      <w:b/>
      <w:i/>
      <w:color w:val="548DD4" w:themeColor="text2" w:themeTint="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3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43FC"/>
    <w:rPr>
      <w:rFonts w:asciiTheme="minorHAnsi" w:hAnsiTheme="minorHAnsi" w:cstheme="minorBidi"/>
    </w:rPr>
  </w:style>
  <w:style w:type="table" w:styleId="TableGrid">
    <w:name w:val="Table Grid"/>
    <w:basedOn w:val="TableNormal"/>
    <w:uiPriority w:val="59"/>
    <w:rsid w:val="00642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420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2077"/>
    <w:rPr>
      <w:rFonts w:asciiTheme="minorHAnsi" w:hAnsiTheme="minorHAnsi" w:cstheme="minorBidi"/>
    </w:rPr>
  </w:style>
  <w:style w:type="paragraph" w:styleId="ListParagraph">
    <w:name w:val="List Paragraph"/>
    <w:basedOn w:val="Normal"/>
    <w:uiPriority w:val="34"/>
    <w:qFormat/>
    <w:rsid w:val="00142DCC"/>
    <w:pPr>
      <w:ind w:left="720"/>
      <w:contextualSpacing/>
    </w:pPr>
  </w:style>
  <w:style w:type="paragraph" w:styleId="NoSpacing">
    <w:name w:val="No Spacing"/>
    <w:basedOn w:val="ListParagraph"/>
    <w:uiPriority w:val="1"/>
    <w:qFormat/>
    <w:rsid w:val="008C21AA"/>
    <w:pPr>
      <w:numPr>
        <w:numId w:val="1"/>
      </w:numPr>
    </w:pPr>
    <w:rPr>
      <w:rFonts w:ascii="Segoe UI" w:hAnsi="Segoe UI" w:cs="Segoe UI"/>
    </w:rPr>
  </w:style>
  <w:style w:type="paragraph" w:styleId="Title">
    <w:name w:val="Title"/>
    <w:basedOn w:val="Normal"/>
    <w:next w:val="Normal"/>
    <w:link w:val="TitleChar"/>
    <w:uiPriority w:val="10"/>
    <w:qFormat/>
    <w:rsid w:val="00ED5E10"/>
    <w:pPr>
      <w:spacing w:after="0"/>
    </w:pPr>
    <w:rPr>
      <w:rFonts w:ascii="Segoe UI" w:hAnsi="Segoe UI" w:cs="Segoe UI"/>
      <w:b/>
      <w:sz w:val="28"/>
      <w:szCs w:val="32"/>
    </w:rPr>
  </w:style>
  <w:style w:type="character" w:customStyle="1" w:styleId="TitleChar">
    <w:name w:val="Title Char"/>
    <w:basedOn w:val="DefaultParagraphFont"/>
    <w:link w:val="Title"/>
    <w:uiPriority w:val="10"/>
    <w:rsid w:val="00ED5E10"/>
    <w:rPr>
      <w:b/>
      <w:sz w:val="28"/>
      <w:szCs w:val="32"/>
    </w:rPr>
  </w:style>
  <w:style w:type="paragraph" w:styleId="Subtitle">
    <w:name w:val="Subtitle"/>
    <w:basedOn w:val="Normal"/>
    <w:next w:val="Normal"/>
    <w:link w:val="SubtitleChar"/>
    <w:uiPriority w:val="11"/>
    <w:qFormat/>
    <w:rsid w:val="00ED5E10"/>
    <w:pPr>
      <w:spacing w:after="0"/>
    </w:pPr>
    <w:rPr>
      <w:rFonts w:ascii="Segoe UI" w:hAnsi="Segoe UI" w:cs="Segoe UI"/>
      <w:b/>
      <w:sz w:val="28"/>
      <w:szCs w:val="32"/>
    </w:rPr>
  </w:style>
  <w:style w:type="character" w:customStyle="1" w:styleId="SubtitleChar">
    <w:name w:val="Subtitle Char"/>
    <w:basedOn w:val="DefaultParagraphFont"/>
    <w:link w:val="Subtitle"/>
    <w:uiPriority w:val="11"/>
    <w:rsid w:val="00ED5E10"/>
    <w:rPr>
      <w:b/>
      <w:sz w:val="28"/>
      <w:szCs w:val="32"/>
    </w:rPr>
  </w:style>
  <w:style w:type="character" w:customStyle="1" w:styleId="Heading1Char">
    <w:name w:val="Heading 1 Char"/>
    <w:basedOn w:val="DefaultParagraphFont"/>
    <w:link w:val="Heading1"/>
    <w:uiPriority w:val="9"/>
    <w:rsid w:val="001C4638"/>
    <w:rPr>
      <w:rFonts w:asciiTheme="minorHAnsi" w:hAnsiTheme="minorHAnsi" w:cstheme="minorHAnsi"/>
      <w:b/>
      <w:sz w:val="28"/>
      <w:szCs w:val="32"/>
    </w:rPr>
  </w:style>
  <w:style w:type="character" w:customStyle="1" w:styleId="Heading2Char">
    <w:name w:val="Heading 2 Char"/>
    <w:basedOn w:val="DefaultParagraphFont"/>
    <w:link w:val="Heading2"/>
    <w:uiPriority w:val="9"/>
    <w:rsid w:val="00ED5E10"/>
    <w:rPr>
      <w:b/>
      <w:szCs w:val="32"/>
      <w:shd w:val="clear" w:color="auto" w:fill="F2F2F2" w:themeFill="background1" w:themeFillShade="F2"/>
    </w:rPr>
  </w:style>
  <w:style w:type="character" w:customStyle="1" w:styleId="Heading3Char">
    <w:name w:val="Heading 3 Char"/>
    <w:basedOn w:val="DefaultParagraphFont"/>
    <w:link w:val="Heading3"/>
    <w:uiPriority w:val="9"/>
    <w:rsid w:val="008C21AA"/>
    <w:rPr>
      <w:b/>
      <w:i/>
      <w:color w:val="548DD4" w:themeColor="text2" w:themeTint="99"/>
    </w:rPr>
  </w:style>
  <w:style w:type="character" w:customStyle="1" w:styleId="apple-converted-space">
    <w:name w:val="apple-converted-space"/>
    <w:basedOn w:val="DefaultParagraphFont"/>
    <w:rsid w:val="00C940A2"/>
  </w:style>
  <w:style w:type="character" w:customStyle="1" w:styleId="frag-defterm">
    <w:name w:val="frag-defterm"/>
    <w:basedOn w:val="DefaultParagraphFont"/>
    <w:rsid w:val="00C940A2"/>
  </w:style>
  <w:style w:type="character" w:styleId="CommentReference">
    <w:name w:val="annotation reference"/>
    <w:basedOn w:val="DefaultParagraphFont"/>
    <w:uiPriority w:val="99"/>
    <w:semiHidden/>
    <w:unhideWhenUsed/>
    <w:rsid w:val="00FB12C3"/>
    <w:rPr>
      <w:sz w:val="16"/>
      <w:szCs w:val="16"/>
    </w:rPr>
  </w:style>
  <w:style w:type="paragraph" w:styleId="CommentText">
    <w:name w:val="annotation text"/>
    <w:basedOn w:val="Normal"/>
    <w:link w:val="CommentTextChar"/>
    <w:uiPriority w:val="99"/>
    <w:semiHidden/>
    <w:unhideWhenUsed/>
    <w:rsid w:val="00FB12C3"/>
    <w:pPr>
      <w:spacing w:line="240" w:lineRule="auto"/>
    </w:pPr>
    <w:rPr>
      <w:sz w:val="20"/>
      <w:szCs w:val="20"/>
    </w:rPr>
  </w:style>
  <w:style w:type="character" w:customStyle="1" w:styleId="CommentTextChar">
    <w:name w:val="Comment Text Char"/>
    <w:basedOn w:val="DefaultParagraphFont"/>
    <w:link w:val="CommentText"/>
    <w:uiPriority w:val="99"/>
    <w:semiHidden/>
    <w:rsid w:val="00FB12C3"/>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FB12C3"/>
    <w:rPr>
      <w:b/>
      <w:bCs/>
    </w:rPr>
  </w:style>
  <w:style w:type="character" w:customStyle="1" w:styleId="CommentSubjectChar">
    <w:name w:val="Comment Subject Char"/>
    <w:basedOn w:val="CommentTextChar"/>
    <w:link w:val="CommentSubject"/>
    <w:uiPriority w:val="99"/>
    <w:semiHidden/>
    <w:rsid w:val="00FB12C3"/>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FB1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2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770262">
      <w:bodyDiv w:val="1"/>
      <w:marLeft w:val="0"/>
      <w:marRight w:val="0"/>
      <w:marTop w:val="0"/>
      <w:marBottom w:val="0"/>
      <w:divBdr>
        <w:top w:val="none" w:sz="0" w:space="0" w:color="auto"/>
        <w:left w:val="none" w:sz="0" w:space="0" w:color="auto"/>
        <w:bottom w:val="none" w:sz="0" w:space="0" w:color="auto"/>
        <w:right w:val="none" w:sz="0" w:space="0" w:color="auto"/>
      </w:divBdr>
    </w:div>
    <w:div w:id="168207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E85A3C925CC621499E23600CF14EB33A" ma:contentTypeVersion="15009" ma:contentTypeDescription="" ma:contentTypeScope="" ma:versionID="c0bc480d370b4933d648d0ecb034bbc2">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1055f388a5d8614f2df2630baa4d7248"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19;#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TaxCatchAll xmlns="0f563589-9cf9-4143-b1eb-fb0534803d38">
      <Value>19</Value>
    </TaxCatchAll>
    <_dlc_DocId xmlns="0f563589-9cf9-4143-b1eb-fb0534803d38">2018FG-202-983</_dlc_DocId>
    <_dlc_DocIdUrl xmlns="0f563589-9cf9-4143-b1eb-fb0534803d38">
      <Url>http://tweb/sites/fg/ripd/benefits/_layouts/15/DocIdRedir.aspx?ID=2018FG-202-983</Url>
      <Description>2018FG-202-983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D32C0-017C-4FBD-9401-085CACD9AA23}">
  <ds:schemaRefs>
    <ds:schemaRef ds:uri="office.server.policy"/>
  </ds:schemaRefs>
</ds:datastoreItem>
</file>

<file path=customXml/itemProps2.xml><?xml version="1.0" encoding="utf-8"?>
<ds:datastoreItem xmlns:ds="http://schemas.openxmlformats.org/officeDocument/2006/customXml" ds:itemID="{7A40B78A-9856-4D01-9C72-5911F2684863}">
  <ds:schemaRefs>
    <ds:schemaRef ds:uri="http://schemas.microsoft.com/sharepoint/events"/>
  </ds:schemaRefs>
</ds:datastoreItem>
</file>

<file path=customXml/itemProps3.xml><?xml version="1.0" encoding="utf-8"?>
<ds:datastoreItem xmlns:ds="http://schemas.openxmlformats.org/officeDocument/2006/customXml" ds:itemID="{6A052FDB-037D-4CF9-AAF3-3009116CE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C612E4-B662-4B3F-8455-6A8DBCAC59FD}">
  <ds:schemaRefs>
    <ds:schemaRef ds:uri="http://schemas.openxmlformats.org/package/2006/metadata/core-properties"/>
    <ds:schemaRef ds:uri="e544e5cc-ab70-42e1-849e-1a0f8bb1f4ef"/>
    <ds:schemaRef ds:uri="http://schemas.microsoft.com/office/2006/documentManagement/types"/>
    <ds:schemaRef ds:uri="http://schemas.microsoft.com/sharepoint/v3"/>
    <ds:schemaRef ds:uri="http://schemas.microsoft.com/sharepoint/v4"/>
    <ds:schemaRef ds:uri="http://purl.org/dc/terms/"/>
    <ds:schemaRef ds:uri="http://purl.org/dc/elements/1.1/"/>
    <ds:schemaRef ds:uri="http://www.w3.org/XML/1998/namespace"/>
    <ds:schemaRef ds:uri="http://purl.org/dc/dcmitype/"/>
    <ds:schemaRef ds:uri="http://schemas.microsoft.com/office/2006/metadata/properties"/>
    <ds:schemaRef ds:uri="http://schemas.microsoft.com/office/infopath/2007/PartnerControls"/>
    <ds:schemaRef ds:uri="0f563589-9cf9-4143-b1eb-fb0534803d38"/>
  </ds:schemaRefs>
</ds:datastoreItem>
</file>

<file path=customXml/itemProps5.xml><?xml version="1.0" encoding="utf-8"?>
<ds:datastoreItem xmlns:ds="http://schemas.openxmlformats.org/officeDocument/2006/customXml" ds:itemID="{23343B70-BAE2-45C7-9BF7-CFC52AF9BE4B}">
  <ds:schemaRefs>
    <ds:schemaRef ds:uri="http://schemas.microsoft.com/sharepoint/v3/contenttype/forms"/>
  </ds:schemaRefs>
</ds:datastoreItem>
</file>

<file path=customXml/itemProps6.xml><?xml version="1.0" encoding="utf-8"?>
<ds:datastoreItem xmlns:ds="http://schemas.openxmlformats.org/officeDocument/2006/customXml" ds:itemID="{B43166CE-AAC9-41C2-9FF7-62483566C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3170</Words>
  <Characters>17000</Characters>
  <Application>Microsoft Office Word</Application>
  <DocSecurity>0</DocSecurity>
  <Lines>511</Lines>
  <Paragraphs>103</Paragraphs>
  <ScaleCrop>false</ScaleCrop>
  <Company/>
  <LinksUpToDate>false</LinksUpToDate>
  <CharactersWithSpaces>20150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NSW Department of Justice - Submission in response to Review of superannuation and victims of crime compensation </dc:title>
  <dc:creator/>
  <cp:lastModifiedBy/>
  <cp:revision>1</cp:revision>
  <dcterms:created xsi:type="dcterms:W3CDTF">2018-10-23T02:45:00Z</dcterms:created>
  <dcterms:modified xsi:type="dcterms:W3CDTF">2018-10-23T02:45:00Z</dcterms:modified>
  <dc:language>English</dc:language>
</cp:coreProperties>
</file>