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DD732" w14:textId="67497514" w:rsidR="00B17774" w:rsidRDefault="00246D28" w:rsidP="00B17774">
      <w:pPr>
        <w:pStyle w:val="Baseparagraphcentred"/>
      </w:pPr>
      <w:bookmarkStart w:id="0" w:name="_GoBack"/>
      <w:bookmarkEnd w:id="0"/>
      <w:r>
        <w:t>2016-</w:t>
      </w:r>
      <w:r w:rsidR="00410E3A">
        <w:t>2017-2018</w:t>
      </w:r>
    </w:p>
    <w:p w14:paraId="1C653E08" w14:textId="77777777" w:rsidR="00B17774" w:rsidRDefault="00B17774" w:rsidP="00B17774">
      <w:pPr>
        <w:pStyle w:val="Baseparagraphcentred"/>
      </w:pPr>
    </w:p>
    <w:p w14:paraId="73097A78" w14:textId="77777777" w:rsidR="00B17774" w:rsidRDefault="00B17774" w:rsidP="00B17774">
      <w:pPr>
        <w:pStyle w:val="Baseparagraphcentred"/>
      </w:pPr>
      <w:r>
        <w:t>THE PARLIAMENT OF THE COMMONWEALTH OF AUSTRALIA</w:t>
      </w:r>
    </w:p>
    <w:p w14:paraId="4DAC3BF6" w14:textId="77777777" w:rsidR="00B17774" w:rsidRDefault="00B17774" w:rsidP="00B17774">
      <w:pPr>
        <w:pStyle w:val="Baseparagraphcentred"/>
      </w:pPr>
    </w:p>
    <w:p w14:paraId="63853BA2" w14:textId="77777777" w:rsidR="00B17774" w:rsidRDefault="00B17774" w:rsidP="00B17774">
      <w:pPr>
        <w:pStyle w:val="Baseparagraphcentred"/>
      </w:pPr>
    </w:p>
    <w:p w14:paraId="094DABF1" w14:textId="77777777" w:rsidR="00B17774" w:rsidRDefault="00B17774" w:rsidP="00B17774">
      <w:pPr>
        <w:pStyle w:val="Baseparagraphcentred"/>
      </w:pPr>
    </w:p>
    <w:p w14:paraId="03C9FA39" w14:textId="77777777" w:rsidR="00B17774" w:rsidRDefault="00B17774" w:rsidP="00B17774">
      <w:pPr>
        <w:pStyle w:val="Baseparagraphcentred"/>
      </w:pPr>
      <w:r>
        <w:t>HOUSE OF REPRESENTATIVES</w:t>
      </w:r>
    </w:p>
    <w:p w14:paraId="7690FCA0" w14:textId="77777777" w:rsidR="00B17774" w:rsidRDefault="00B17774" w:rsidP="00B17774">
      <w:pPr>
        <w:pStyle w:val="Baseparagraphcentred"/>
      </w:pPr>
    </w:p>
    <w:p w14:paraId="33386E80" w14:textId="77777777" w:rsidR="00B17774" w:rsidRDefault="00B17774" w:rsidP="00B17774">
      <w:pPr>
        <w:pStyle w:val="Baseparagraphcentred"/>
      </w:pPr>
    </w:p>
    <w:p w14:paraId="16F3FF64" w14:textId="77777777" w:rsidR="00B17774" w:rsidRDefault="00B17774" w:rsidP="00B17774">
      <w:pPr>
        <w:pStyle w:val="Baseparagraphcentred"/>
      </w:pPr>
    </w:p>
    <w:p w14:paraId="29995F78" w14:textId="77777777" w:rsidR="00B17774" w:rsidRDefault="00905B08" w:rsidP="00B17774">
      <w:pPr>
        <w:pStyle w:val="BillName"/>
      </w:pPr>
      <w:bookmarkStart w:id="1" w:name="BillName"/>
      <w:bookmarkEnd w:id="1"/>
      <w:r>
        <w:t>treasury laws amendment (design and distribution obligations and product intervention powers) bill 2018</w:t>
      </w:r>
    </w:p>
    <w:p w14:paraId="7BF044A6" w14:textId="77777777" w:rsidR="00B17774" w:rsidRDefault="00B17774" w:rsidP="00B17774">
      <w:pPr>
        <w:pStyle w:val="Baseparagraphcentred"/>
      </w:pPr>
    </w:p>
    <w:p w14:paraId="4B868E23" w14:textId="77777777" w:rsidR="00B17774" w:rsidRDefault="00B17774" w:rsidP="00B17774">
      <w:pPr>
        <w:pStyle w:val="Baseparagraphcentred"/>
      </w:pPr>
    </w:p>
    <w:p w14:paraId="0407BBE5" w14:textId="77777777" w:rsidR="00B17774" w:rsidRDefault="00B17774" w:rsidP="00B17774">
      <w:pPr>
        <w:pStyle w:val="Baseparagraphcentred"/>
      </w:pPr>
    </w:p>
    <w:p w14:paraId="37BFF83D" w14:textId="77777777" w:rsidR="00B17774" w:rsidRDefault="00B17774" w:rsidP="00B17774">
      <w:pPr>
        <w:pStyle w:val="Baseparagraphcentred"/>
      </w:pPr>
    </w:p>
    <w:p w14:paraId="5AA310E7" w14:textId="77777777" w:rsidR="00B17774" w:rsidRDefault="00B63B33" w:rsidP="00B17774">
      <w:pPr>
        <w:pStyle w:val="Baseparagraphcentred"/>
      </w:pPr>
      <w:r>
        <w:t xml:space="preserve">EXPOSURE DRAFT </w:t>
      </w:r>
      <w:r w:rsidR="00B17774">
        <w:t>EXPLANATORY MEMORANDUM</w:t>
      </w:r>
    </w:p>
    <w:p w14:paraId="3CCC5877" w14:textId="77777777" w:rsidR="00B17774" w:rsidRDefault="00B17774" w:rsidP="00B17774">
      <w:pPr>
        <w:pStyle w:val="Baseparagraphcentred"/>
      </w:pPr>
    </w:p>
    <w:p w14:paraId="066AB250" w14:textId="77777777" w:rsidR="00B17774" w:rsidRDefault="00B17774" w:rsidP="00B17774">
      <w:pPr>
        <w:pStyle w:val="Baseparagraphcentred"/>
      </w:pPr>
    </w:p>
    <w:p w14:paraId="46475BD0" w14:textId="77777777" w:rsidR="00B17774" w:rsidRDefault="00B17774" w:rsidP="00B17774">
      <w:pPr>
        <w:pStyle w:val="Baseparagraphcentred"/>
      </w:pPr>
    </w:p>
    <w:p w14:paraId="3A9A0F9B" w14:textId="77777777" w:rsidR="00773B68" w:rsidRDefault="00773B68" w:rsidP="00773B68">
      <w:pPr>
        <w:pStyle w:val="ParaCentredNoSpacing"/>
      </w:pPr>
    </w:p>
    <w:p w14:paraId="43558D5E" w14:textId="77777777" w:rsidR="00B17774" w:rsidRDefault="00B17774" w:rsidP="00B17774"/>
    <w:p w14:paraId="441D23BE" w14:textId="77777777" w:rsidR="00813A51" w:rsidRDefault="00813A51" w:rsidP="00B17774">
      <w:pPr>
        <w:sectPr w:rsidR="00813A51" w:rsidSect="00E74E50">
          <w:headerReference w:type="even" r:id="rId15"/>
          <w:headerReference w:type="default" r:id="rId16"/>
          <w:footerReference w:type="even" r:id="rId17"/>
          <w:footerReference w:type="default" r:id="rId18"/>
          <w:pgSz w:w="9979" w:h="14175" w:code="13"/>
          <w:pgMar w:top="567" w:right="1134" w:bottom="567" w:left="1134" w:header="709" w:footer="709" w:gutter="0"/>
          <w:cols w:space="708"/>
          <w:titlePg/>
          <w:docGrid w:linePitch="360"/>
        </w:sectPr>
      </w:pPr>
    </w:p>
    <w:p w14:paraId="2CF10CA3" w14:textId="77777777" w:rsidR="00B17774" w:rsidRPr="003E0794" w:rsidRDefault="00B17774" w:rsidP="00B17774">
      <w:pPr>
        <w:pStyle w:val="TOCHeading"/>
      </w:pPr>
      <w:r w:rsidRPr="003E0794">
        <w:lastRenderedPageBreak/>
        <w:t>Table of contents</w:t>
      </w:r>
    </w:p>
    <w:p w14:paraId="367E902C" w14:textId="6E82054E" w:rsidR="00515911"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515911">
        <w:t>Glossary</w:t>
      </w:r>
      <w:r w:rsidR="00515911">
        <w:tab/>
      </w:r>
      <w:r w:rsidR="00515911">
        <w:fldChar w:fldCharType="begin"/>
      </w:r>
      <w:r w:rsidR="00515911">
        <w:instrText xml:space="preserve"> PAGEREF _Toc501460372 \h </w:instrText>
      </w:r>
      <w:r w:rsidR="00515911">
        <w:fldChar w:fldCharType="separate"/>
      </w:r>
      <w:r w:rsidR="0001315A">
        <w:t>1</w:t>
      </w:r>
      <w:r w:rsidR="00515911">
        <w:fldChar w:fldCharType="end"/>
      </w:r>
    </w:p>
    <w:p w14:paraId="306DC259" w14:textId="15FE2AFA" w:rsidR="00515911" w:rsidRDefault="00515911">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Design and distribution obligations</w:t>
      </w:r>
      <w:r>
        <w:rPr>
          <w:noProof/>
        </w:rPr>
        <w:tab/>
      </w:r>
      <w:r>
        <w:rPr>
          <w:noProof/>
        </w:rPr>
        <w:fldChar w:fldCharType="begin"/>
      </w:r>
      <w:r>
        <w:rPr>
          <w:noProof/>
        </w:rPr>
        <w:instrText xml:space="preserve"> PAGEREF _Toc501460373 \h </w:instrText>
      </w:r>
      <w:r>
        <w:rPr>
          <w:noProof/>
        </w:rPr>
      </w:r>
      <w:r>
        <w:rPr>
          <w:noProof/>
        </w:rPr>
        <w:fldChar w:fldCharType="separate"/>
      </w:r>
      <w:r w:rsidR="0001315A">
        <w:rPr>
          <w:noProof/>
        </w:rPr>
        <w:t>5</w:t>
      </w:r>
      <w:r>
        <w:rPr>
          <w:noProof/>
        </w:rPr>
        <w:fldChar w:fldCharType="end"/>
      </w:r>
    </w:p>
    <w:p w14:paraId="7DC5AC6A" w14:textId="300FBAE9" w:rsidR="00515911" w:rsidRDefault="00515911">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Product Intervention Power</w:t>
      </w:r>
      <w:r>
        <w:rPr>
          <w:noProof/>
        </w:rPr>
        <w:tab/>
      </w:r>
      <w:r>
        <w:rPr>
          <w:noProof/>
        </w:rPr>
        <w:fldChar w:fldCharType="begin"/>
      </w:r>
      <w:r>
        <w:rPr>
          <w:noProof/>
        </w:rPr>
        <w:instrText xml:space="preserve"> PAGEREF _Toc501460374 \h </w:instrText>
      </w:r>
      <w:r>
        <w:rPr>
          <w:noProof/>
        </w:rPr>
      </w:r>
      <w:r>
        <w:rPr>
          <w:noProof/>
        </w:rPr>
        <w:fldChar w:fldCharType="separate"/>
      </w:r>
      <w:r w:rsidR="0001315A">
        <w:rPr>
          <w:noProof/>
        </w:rPr>
        <w:t>39</w:t>
      </w:r>
      <w:r>
        <w:rPr>
          <w:noProof/>
        </w:rPr>
        <w:fldChar w:fldCharType="end"/>
      </w:r>
    </w:p>
    <w:p w14:paraId="237467C7" w14:textId="2DCFEC2A" w:rsidR="00515911" w:rsidRDefault="00515911">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Regulation Impact Statement</w:t>
      </w:r>
      <w:r>
        <w:rPr>
          <w:noProof/>
        </w:rPr>
        <w:tab/>
      </w:r>
      <w:r>
        <w:rPr>
          <w:noProof/>
        </w:rPr>
        <w:fldChar w:fldCharType="begin"/>
      </w:r>
      <w:r>
        <w:rPr>
          <w:noProof/>
        </w:rPr>
        <w:instrText xml:space="preserve"> PAGEREF _Toc501460375 \h </w:instrText>
      </w:r>
      <w:r>
        <w:rPr>
          <w:noProof/>
        </w:rPr>
      </w:r>
      <w:r>
        <w:rPr>
          <w:noProof/>
        </w:rPr>
        <w:fldChar w:fldCharType="separate"/>
      </w:r>
      <w:r w:rsidR="0001315A">
        <w:rPr>
          <w:noProof/>
        </w:rPr>
        <w:t>57</w:t>
      </w:r>
      <w:r>
        <w:rPr>
          <w:noProof/>
        </w:rPr>
        <w:fldChar w:fldCharType="end"/>
      </w:r>
    </w:p>
    <w:p w14:paraId="43BE0E24" w14:textId="77777777" w:rsidR="00E5385B" w:rsidRDefault="00734F84" w:rsidP="00295ABD">
      <w:pPr>
        <w:rPr>
          <w:rFonts w:ascii="Helvetica" w:hAnsi="Helvetica"/>
          <w:noProof/>
          <w:sz w:val="24"/>
        </w:rPr>
      </w:pPr>
      <w:r>
        <w:rPr>
          <w:rFonts w:ascii="Helvetica" w:hAnsi="Helvetica"/>
          <w:noProof/>
          <w:sz w:val="24"/>
        </w:rPr>
        <w:fldChar w:fldCharType="end"/>
      </w:r>
    </w:p>
    <w:p w14:paraId="6D31548A" w14:textId="77777777" w:rsidR="00B17774" w:rsidRDefault="00B17774" w:rsidP="00B17774">
      <w:pPr>
        <w:pStyle w:val="Hiddentext"/>
      </w:pPr>
    </w:p>
    <w:p w14:paraId="18852DB1"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4836A702" w14:textId="77777777" w:rsidR="00B17774" w:rsidRPr="00567602" w:rsidRDefault="00B17774" w:rsidP="00567602">
      <w:pPr>
        <w:pStyle w:val="Chapterheadingsubdocument"/>
      </w:pPr>
      <w:bookmarkStart w:id="2" w:name="_Toc501457063"/>
      <w:bookmarkStart w:id="3" w:name="_Toc501460372"/>
      <w:r w:rsidRPr="00567602">
        <w:rPr>
          <w:rStyle w:val="ChapterNameOnly"/>
        </w:rPr>
        <w:lastRenderedPageBreak/>
        <w:t>Glossary</w:t>
      </w:r>
      <w:bookmarkEnd w:id="2"/>
      <w:bookmarkEnd w:id="3"/>
    </w:p>
    <w:p w14:paraId="73B1CB0B"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6BF639A9" w14:textId="77777777" w:rsidTr="00F83604">
        <w:tc>
          <w:tcPr>
            <w:tcW w:w="2721" w:type="dxa"/>
          </w:tcPr>
          <w:p w14:paraId="06C7649A" w14:textId="77777777" w:rsidR="00B17774" w:rsidRPr="00123D96" w:rsidRDefault="00B17774" w:rsidP="00F83604">
            <w:pPr>
              <w:pStyle w:val="tableheaderwithintable"/>
            </w:pPr>
            <w:r w:rsidRPr="00123D96">
              <w:t>Abbreviation</w:t>
            </w:r>
          </w:p>
        </w:tc>
        <w:tc>
          <w:tcPr>
            <w:tcW w:w="3885" w:type="dxa"/>
          </w:tcPr>
          <w:p w14:paraId="2A6B284F" w14:textId="77777777" w:rsidR="00B17774" w:rsidRPr="00123D96" w:rsidRDefault="00B17774" w:rsidP="00F83604">
            <w:pPr>
              <w:pStyle w:val="tableheaderwithintable"/>
            </w:pPr>
            <w:r w:rsidRPr="00123D96">
              <w:t>Definition</w:t>
            </w:r>
          </w:p>
        </w:tc>
      </w:tr>
      <w:tr w:rsidR="00F273E7" w:rsidRPr="002C43E8" w14:paraId="1161B936" w14:textId="77777777" w:rsidTr="00F83604">
        <w:tc>
          <w:tcPr>
            <w:tcW w:w="2721" w:type="dxa"/>
          </w:tcPr>
          <w:p w14:paraId="600EF5DD" w14:textId="77777777" w:rsidR="00F273E7" w:rsidRPr="002C43E8" w:rsidRDefault="00F273E7" w:rsidP="00F83604">
            <w:pPr>
              <w:pStyle w:val="Glossarytabletext"/>
              <w:rPr>
                <w:lang w:val="en-US" w:eastAsia="en-US"/>
              </w:rPr>
            </w:pPr>
            <w:bookmarkStart w:id="4" w:name="GlossaryTableStart"/>
            <w:bookmarkEnd w:id="4"/>
            <w:r>
              <w:rPr>
                <w:lang w:val="en-US" w:eastAsia="en-US"/>
              </w:rPr>
              <w:t>ASIC</w:t>
            </w:r>
          </w:p>
        </w:tc>
        <w:tc>
          <w:tcPr>
            <w:tcW w:w="3885" w:type="dxa"/>
          </w:tcPr>
          <w:p w14:paraId="38FB07A9" w14:textId="77777777" w:rsidR="00F273E7" w:rsidRPr="002C43E8" w:rsidRDefault="00F273E7" w:rsidP="00F83604">
            <w:pPr>
              <w:pStyle w:val="Glossarytabletext"/>
              <w:rPr>
                <w:lang w:val="en-US" w:eastAsia="en-US"/>
              </w:rPr>
            </w:pPr>
            <w:r>
              <w:t xml:space="preserve">Australian Securities and Investments </w:t>
            </w:r>
            <w:r w:rsidRPr="001469D9">
              <w:t>Commission</w:t>
            </w:r>
          </w:p>
        </w:tc>
      </w:tr>
      <w:tr w:rsidR="00F273E7" w:rsidRPr="002C43E8" w14:paraId="5958C768" w14:textId="77777777" w:rsidTr="00F83604">
        <w:tc>
          <w:tcPr>
            <w:tcW w:w="2721" w:type="dxa"/>
          </w:tcPr>
          <w:p w14:paraId="6D0B05C9" w14:textId="77777777" w:rsidR="00F273E7" w:rsidRPr="002C43E8" w:rsidRDefault="00F273E7" w:rsidP="00F83604">
            <w:pPr>
              <w:pStyle w:val="Glossarytabletext"/>
              <w:rPr>
                <w:lang w:val="en-US" w:eastAsia="en-US"/>
              </w:rPr>
            </w:pPr>
            <w:r>
              <w:rPr>
                <w:lang w:val="en-US" w:eastAsia="en-US"/>
              </w:rPr>
              <w:t xml:space="preserve">Corporations Act </w:t>
            </w:r>
          </w:p>
        </w:tc>
        <w:tc>
          <w:tcPr>
            <w:tcW w:w="3885" w:type="dxa"/>
          </w:tcPr>
          <w:p w14:paraId="5AE9E08F" w14:textId="77777777" w:rsidR="00F273E7" w:rsidRPr="002C43E8" w:rsidRDefault="00F273E7" w:rsidP="00F83604">
            <w:pPr>
              <w:pStyle w:val="Glossarytabletext"/>
              <w:rPr>
                <w:lang w:val="en-US" w:eastAsia="en-US"/>
              </w:rPr>
            </w:pPr>
            <w:r w:rsidRPr="001469D9">
              <w:rPr>
                <w:i/>
              </w:rPr>
              <w:t>Corporations Act 2001</w:t>
            </w:r>
          </w:p>
        </w:tc>
      </w:tr>
      <w:tr w:rsidR="00F273E7" w:rsidRPr="002C43E8" w14:paraId="0B48881E" w14:textId="77777777" w:rsidTr="00F83604">
        <w:tc>
          <w:tcPr>
            <w:tcW w:w="2721" w:type="dxa"/>
          </w:tcPr>
          <w:p w14:paraId="3DE6CB7B" w14:textId="77777777" w:rsidR="00F273E7" w:rsidRPr="002C43E8" w:rsidRDefault="00F273E7" w:rsidP="009F3C2F">
            <w:pPr>
              <w:pStyle w:val="Glossarytabletext"/>
              <w:rPr>
                <w:lang w:val="en-US" w:eastAsia="en-US"/>
              </w:rPr>
            </w:pPr>
            <w:r>
              <w:rPr>
                <w:lang w:val="en-US" w:eastAsia="en-US"/>
              </w:rPr>
              <w:t xml:space="preserve">Credit Act </w:t>
            </w:r>
          </w:p>
        </w:tc>
        <w:tc>
          <w:tcPr>
            <w:tcW w:w="3885" w:type="dxa"/>
          </w:tcPr>
          <w:p w14:paraId="5A18FA55" w14:textId="77777777" w:rsidR="00F273E7" w:rsidRPr="002C43E8" w:rsidRDefault="00F273E7" w:rsidP="00F83604">
            <w:pPr>
              <w:pStyle w:val="Glossarytabletext"/>
              <w:rPr>
                <w:lang w:val="en-US" w:eastAsia="en-US"/>
              </w:rPr>
            </w:pPr>
            <w:r w:rsidRPr="001469D9">
              <w:rPr>
                <w:i/>
              </w:rPr>
              <w:t>National Consumer Credit Protection Act 2009</w:t>
            </w:r>
          </w:p>
        </w:tc>
      </w:tr>
      <w:tr w:rsidR="00F273E7" w:rsidRPr="002C43E8" w14:paraId="75F64C26" w14:textId="77777777" w:rsidTr="00F83604">
        <w:tc>
          <w:tcPr>
            <w:tcW w:w="2721" w:type="dxa"/>
          </w:tcPr>
          <w:p w14:paraId="789A9653" w14:textId="77777777" w:rsidR="00F273E7" w:rsidRPr="002C43E8" w:rsidRDefault="00F273E7" w:rsidP="00F83604">
            <w:pPr>
              <w:pStyle w:val="Glossarytabletext"/>
              <w:rPr>
                <w:lang w:val="en-US" w:eastAsia="en-US"/>
              </w:rPr>
            </w:pPr>
            <w:r>
              <w:t>credit product</w:t>
            </w:r>
          </w:p>
        </w:tc>
        <w:tc>
          <w:tcPr>
            <w:tcW w:w="3885" w:type="dxa"/>
          </w:tcPr>
          <w:p w14:paraId="5D85ED87" w14:textId="77777777" w:rsidR="00F273E7" w:rsidRPr="002C43E8" w:rsidRDefault="00F273E7" w:rsidP="00F83604">
            <w:pPr>
              <w:pStyle w:val="Glossarytabletext"/>
              <w:rPr>
                <w:lang w:val="en-US" w:eastAsia="en-US"/>
              </w:rPr>
            </w:pPr>
            <w:r>
              <w:t>Credit contracts, mortgages, guarantees, and consumer leases regulated under the Credit Act</w:t>
            </w:r>
          </w:p>
        </w:tc>
      </w:tr>
      <w:tr w:rsidR="00F273E7" w:rsidRPr="002C43E8" w14:paraId="158942EF" w14:textId="77777777" w:rsidTr="00F83604">
        <w:tc>
          <w:tcPr>
            <w:tcW w:w="2721" w:type="dxa"/>
          </w:tcPr>
          <w:p w14:paraId="04D45488" w14:textId="77777777" w:rsidR="00F273E7" w:rsidRPr="002C43E8" w:rsidRDefault="00F273E7" w:rsidP="00F83604">
            <w:pPr>
              <w:pStyle w:val="Glossarytabletext"/>
              <w:rPr>
                <w:lang w:val="en-US" w:eastAsia="en-US"/>
              </w:rPr>
            </w:pPr>
            <w:r>
              <w:rPr>
                <w:lang w:val="en-US" w:eastAsia="en-US"/>
              </w:rPr>
              <w:t>FSI</w:t>
            </w:r>
          </w:p>
        </w:tc>
        <w:tc>
          <w:tcPr>
            <w:tcW w:w="3885" w:type="dxa"/>
          </w:tcPr>
          <w:p w14:paraId="60BB8925" w14:textId="77777777" w:rsidR="00F273E7" w:rsidRPr="002C43E8" w:rsidRDefault="00F273E7" w:rsidP="00F83604">
            <w:pPr>
              <w:pStyle w:val="Glossarytabletext"/>
              <w:rPr>
                <w:lang w:val="en-US" w:eastAsia="en-US"/>
              </w:rPr>
            </w:pPr>
            <w:r w:rsidRPr="004F0994">
              <w:t>Financial System Inquiry</w:t>
            </w:r>
          </w:p>
        </w:tc>
      </w:tr>
    </w:tbl>
    <w:p w14:paraId="4DD99348" w14:textId="77777777" w:rsidR="00E5385B" w:rsidRDefault="00E5385B" w:rsidP="00B17774"/>
    <w:p w14:paraId="2EF3FD6F" w14:textId="77777777" w:rsidR="00B17774" w:rsidRDefault="00B17774" w:rsidP="00B17774"/>
    <w:p w14:paraId="614E61B7"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170793E2" w14:textId="77777777" w:rsidR="00B17774" w:rsidRDefault="00B17774" w:rsidP="00E56CDD">
      <w:pPr>
        <w:pStyle w:val="dotpoint"/>
        <w:numPr>
          <w:ilvl w:val="0"/>
          <w:numId w:val="0"/>
        </w:numPr>
        <w:ind w:left="2268" w:hanging="284"/>
      </w:pPr>
    </w:p>
    <w:p w14:paraId="18C0F5E2" w14:textId="77777777" w:rsidR="00B17774" w:rsidRDefault="00B17774" w:rsidP="00B17774">
      <w:pPr>
        <w:pStyle w:val="Hiddentext"/>
      </w:pPr>
    </w:p>
    <w:p w14:paraId="3DA59C18" w14:textId="77777777" w:rsidR="00B17774" w:rsidRDefault="00B17774" w:rsidP="00B17774">
      <w:pPr>
        <w:sectPr w:rsidR="00B17774" w:rsidSect="00E74E50">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pPr>
    </w:p>
    <w:p w14:paraId="15621904" w14:textId="77777777" w:rsidR="00B17774" w:rsidRPr="007C2B20" w:rsidRDefault="00840701" w:rsidP="000C2A9D">
      <w:pPr>
        <w:pStyle w:val="ChapterHeading"/>
      </w:pPr>
      <w:r w:rsidRPr="000C2A9D">
        <w:br/>
      </w:r>
      <w:bookmarkStart w:id="5" w:name="_Toc501457065"/>
      <w:bookmarkStart w:id="6" w:name="_Toc501460373"/>
      <w:r w:rsidR="003655D8">
        <w:rPr>
          <w:rStyle w:val="ChapterNameOnly"/>
        </w:rPr>
        <w:t>Design and distribution obligations</w:t>
      </w:r>
      <w:bookmarkEnd w:id="5"/>
      <w:bookmarkEnd w:id="6"/>
    </w:p>
    <w:p w14:paraId="6F666F30" w14:textId="77777777" w:rsidR="00B17774" w:rsidRDefault="00B17774" w:rsidP="00B17774">
      <w:pPr>
        <w:pStyle w:val="Heading2"/>
      </w:pPr>
      <w:r>
        <w:t>Outline of chapter</w:t>
      </w:r>
    </w:p>
    <w:p w14:paraId="47C4823E" w14:textId="5FACCE07" w:rsidR="00B17774" w:rsidRDefault="00AE5CF3" w:rsidP="0019257C">
      <w:pPr>
        <w:numPr>
          <w:ilvl w:val="1"/>
          <w:numId w:val="4"/>
        </w:numPr>
      </w:pPr>
      <w:r>
        <w:t>Schedule 1</w:t>
      </w:r>
      <w:r w:rsidR="00E762BE">
        <w:t xml:space="preserve"> to the Bill amend</w:t>
      </w:r>
      <w:r>
        <w:t xml:space="preserve">s the </w:t>
      </w:r>
      <w:r w:rsidR="00260456">
        <w:t>Corporations Act</w:t>
      </w:r>
      <w:r>
        <w:t xml:space="preserve"> </w:t>
      </w:r>
      <w:r w:rsidR="00260456">
        <w:t>to introduce</w:t>
      </w:r>
      <w:r w:rsidR="00E762BE">
        <w:t xml:space="preserve"> design </w:t>
      </w:r>
      <w:r w:rsidR="00260456">
        <w:t>and distribution obligations in relation to</w:t>
      </w:r>
      <w:r w:rsidR="00E762BE">
        <w:t xml:space="preserve"> financial products</w:t>
      </w:r>
      <w:r w:rsidR="00260456">
        <w:t xml:space="preserve">. It </w:t>
      </w:r>
      <w:r w:rsidR="008E5BAB">
        <w:t>sets out</w:t>
      </w:r>
      <w:r w:rsidR="00260456">
        <w:t>:</w:t>
      </w:r>
    </w:p>
    <w:p w14:paraId="58C55D76" w14:textId="77777777" w:rsidR="00D34A91" w:rsidRDefault="00085FB8" w:rsidP="00260456">
      <w:pPr>
        <w:pStyle w:val="dotpoint"/>
      </w:pPr>
      <w:r>
        <w:t>the</w:t>
      </w:r>
      <w:r w:rsidR="00D34A91">
        <w:t xml:space="preserve"> new obligations;</w:t>
      </w:r>
    </w:p>
    <w:p w14:paraId="269F6903" w14:textId="77777777" w:rsidR="001227E1" w:rsidRDefault="00D34A91" w:rsidP="00D34A91">
      <w:pPr>
        <w:pStyle w:val="dotpoint"/>
      </w:pPr>
      <w:r>
        <w:t>the products in relation to</w:t>
      </w:r>
      <w:r w:rsidR="00085FB8">
        <w:t xml:space="preserve"> which the </w:t>
      </w:r>
      <w:r w:rsidR="001227E1">
        <w:t>obligations apply</w:t>
      </w:r>
      <w:r w:rsidR="00085FB8">
        <w:t>;</w:t>
      </w:r>
    </w:p>
    <w:p w14:paraId="4C8C5634" w14:textId="77777777" w:rsidR="001227E1" w:rsidRDefault="001227E1" w:rsidP="00260456">
      <w:pPr>
        <w:pStyle w:val="dotpoint"/>
      </w:pPr>
      <w:r>
        <w:t>ASIC’s powers</w:t>
      </w:r>
      <w:r w:rsidR="00187EE5">
        <w:t xml:space="preserve"> </w:t>
      </w:r>
      <w:r w:rsidR="004F1192">
        <w:t>to</w:t>
      </w:r>
      <w:r w:rsidR="00187EE5">
        <w:t xml:space="preserve"> enforce the obligations; and</w:t>
      </w:r>
    </w:p>
    <w:p w14:paraId="3ED3F8FC" w14:textId="77777777" w:rsidR="00260456" w:rsidRDefault="00187EE5" w:rsidP="00260456">
      <w:pPr>
        <w:pStyle w:val="dotpoint"/>
      </w:pPr>
      <w:r>
        <w:t>t</w:t>
      </w:r>
      <w:r w:rsidR="001227E1">
        <w:t xml:space="preserve">he consequences of failing to comply with the obligations. </w:t>
      </w:r>
    </w:p>
    <w:p w14:paraId="6503AB32" w14:textId="77777777" w:rsidR="0093246D" w:rsidRDefault="00B17774" w:rsidP="0093246D">
      <w:pPr>
        <w:pStyle w:val="Heading2"/>
      </w:pPr>
      <w:r>
        <w:t>Context of amendments</w:t>
      </w:r>
    </w:p>
    <w:p w14:paraId="58CB7A39" w14:textId="2F854B3F" w:rsidR="0093246D" w:rsidRPr="0093246D" w:rsidRDefault="0093246D" w:rsidP="0093246D">
      <w:pPr>
        <w:pStyle w:val="base-text-paragraph"/>
      </w:pPr>
      <w:r w:rsidRPr="0093246D">
        <w:t>The Corporations Act</w:t>
      </w:r>
      <w:r>
        <w:t xml:space="preserve"> </w:t>
      </w:r>
      <w:r w:rsidRPr="0093246D">
        <w:t xml:space="preserve">relies heavily on disclosure to assist consumers </w:t>
      </w:r>
      <w:r w:rsidR="008E5BAB">
        <w:t xml:space="preserve">understand and </w:t>
      </w:r>
      <w:r w:rsidRPr="0093246D">
        <w:t>select appropriate financial products.</w:t>
      </w:r>
      <w:r>
        <w:t xml:space="preserve"> However, disclosure can be ineffective for a number of reasons, including consumer disengagement, complexity of documents and products, behavioural biases, misaligned interests and low financial literacy. The availability of financial advice may not be sufficient to overcome these issues. A consumer may not seek financial advice or may receive poor-quality advice.</w:t>
      </w:r>
    </w:p>
    <w:p w14:paraId="4C4730F6" w14:textId="7B310508" w:rsidR="00060912" w:rsidRDefault="0093246D" w:rsidP="0093246D">
      <w:pPr>
        <w:pStyle w:val="base-text-paragraph"/>
      </w:pPr>
      <w:r>
        <w:t xml:space="preserve">The Financial System Inquiry recognised these shortcomings of the </w:t>
      </w:r>
      <w:r w:rsidR="008E5BAB">
        <w:t xml:space="preserve">existing </w:t>
      </w:r>
      <w:r>
        <w:t>disclosure regime.</w:t>
      </w:r>
      <w:r>
        <w:rPr>
          <w:rStyle w:val="FootnoteReference"/>
        </w:rPr>
        <w:footnoteReference w:id="2"/>
      </w:r>
      <w:r>
        <w:t xml:space="preserve"> In response, </w:t>
      </w:r>
      <w:r w:rsidR="008E5BAB">
        <w:t>it</w:t>
      </w:r>
      <w:r>
        <w:t xml:space="preserve"> recommended the introduction of a targeted and principles-based product design and distribution obligation</w:t>
      </w:r>
      <w:r w:rsidR="00883770">
        <w:t>.</w:t>
      </w:r>
      <w:r w:rsidR="00883770">
        <w:rPr>
          <w:rStyle w:val="FootnoteReference"/>
        </w:rPr>
        <w:footnoteReference w:id="3"/>
      </w:r>
      <w:r w:rsidR="002F79BD">
        <w:t xml:space="preserve"> </w:t>
      </w:r>
      <w:r>
        <w:t xml:space="preserve">The Government accepted </w:t>
      </w:r>
      <w:r w:rsidR="00060912">
        <w:t xml:space="preserve">this recommendation </w:t>
      </w:r>
      <w:r>
        <w:t>to introduce design and distribution obligations on 20 October 2015.</w:t>
      </w:r>
      <w:r w:rsidR="00D84BC8">
        <w:rPr>
          <w:rStyle w:val="FootnoteReference"/>
        </w:rPr>
        <w:footnoteReference w:id="4"/>
      </w:r>
      <w:r>
        <w:t xml:space="preserve"> </w:t>
      </w:r>
    </w:p>
    <w:p w14:paraId="052FCA39" w14:textId="622E19DE" w:rsidR="00060912" w:rsidRDefault="0093246D" w:rsidP="0093246D">
      <w:pPr>
        <w:pStyle w:val="base-text-paragraph"/>
      </w:pPr>
      <w:r>
        <w:t>On 13 December 2016, the Minister for Revenue and Financial Services</w:t>
      </w:r>
      <w:r w:rsidR="008E5BAB">
        <w:t>, the Hon Kelly O’Dwyer MP,</w:t>
      </w:r>
      <w:r>
        <w:t xml:space="preserve"> released a proposals paper on the imp</w:t>
      </w:r>
      <w:r w:rsidR="00CC0CD0">
        <w:t>lementation of the obligations.</w:t>
      </w:r>
      <w:r w:rsidR="00D84BC8">
        <w:rPr>
          <w:rStyle w:val="FootnoteReference"/>
        </w:rPr>
        <w:footnoteReference w:id="5"/>
      </w:r>
      <w:r w:rsidR="00060912" w:rsidRPr="00060912">
        <w:t xml:space="preserve"> </w:t>
      </w:r>
    </w:p>
    <w:p w14:paraId="190382F6" w14:textId="2FCB79FD" w:rsidR="0093246D" w:rsidRDefault="00060912" w:rsidP="0093246D">
      <w:pPr>
        <w:pStyle w:val="base-text-paragraph"/>
      </w:pPr>
      <w:r>
        <w:t>These obligations are designed to assist consumers to obtain appropriate financial products by requiring issuers and distributors to have a customer-centric approach to</w:t>
      </w:r>
      <w:r w:rsidR="004D332E">
        <w:t xml:space="preserve"> </w:t>
      </w:r>
      <w:r>
        <w:t>marketing and distributing financial products.</w:t>
      </w:r>
    </w:p>
    <w:p w14:paraId="36C3CF57" w14:textId="77777777" w:rsidR="00B17774" w:rsidRDefault="00B17774" w:rsidP="00B17774">
      <w:pPr>
        <w:pStyle w:val="Heading2"/>
      </w:pPr>
      <w:r>
        <w:t>Summary of new law</w:t>
      </w:r>
    </w:p>
    <w:p w14:paraId="10F60A62" w14:textId="77141489" w:rsidR="004F1192" w:rsidRDefault="004F1192" w:rsidP="00033A66">
      <w:pPr>
        <w:pStyle w:val="base-text-paragraph"/>
      </w:pPr>
      <w:r>
        <w:t xml:space="preserve">Schedule 1 to the Bill amends the </w:t>
      </w:r>
      <w:r w:rsidRPr="00424951">
        <w:t xml:space="preserve">Corporations Act </w:t>
      </w:r>
      <w:r>
        <w:t>to introduce design and distribution obligations in relation to financial products.</w:t>
      </w:r>
      <w:r w:rsidR="002F79BD">
        <w:t xml:space="preserve"> </w:t>
      </w:r>
      <w:r w:rsidR="00033A66">
        <w:t>The</w:t>
      </w:r>
      <w:r w:rsidR="008E5BAB">
        <w:t>se new</w:t>
      </w:r>
      <w:r w:rsidR="00033A66">
        <w:t xml:space="preserve"> obligations</w:t>
      </w:r>
      <w:r w:rsidR="00981670">
        <w:t xml:space="preserve"> </w:t>
      </w:r>
      <w:r w:rsidR="00C02D58">
        <w:t xml:space="preserve">improve consumer outcomes by </w:t>
      </w:r>
      <w:r w:rsidR="008E5BAB" w:rsidRPr="004D066E">
        <w:t xml:space="preserve">ensuring </w:t>
      </w:r>
      <w:r w:rsidR="004D066E">
        <w:t xml:space="preserve">that </w:t>
      </w:r>
      <w:r w:rsidR="008E5BAB">
        <w:t xml:space="preserve">financial services providers </w:t>
      </w:r>
      <w:r w:rsidR="00060912">
        <w:t xml:space="preserve">have a customer-centric approach in </w:t>
      </w:r>
      <w:r w:rsidR="00033A66">
        <w:t xml:space="preserve">the provision of suitable financial products to consumers of those products. </w:t>
      </w:r>
    </w:p>
    <w:p w14:paraId="49F919E8" w14:textId="5864CAB2" w:rsidR="002175C5" w:rsidRDefault="00C02D58" w:rsidP="00706C10">
      <w:pPr>
        <w:pStyle w:val="base-text-paragraph"/>
      </w:pPr>
      <w:r>
        <w:t xml:space="preserve">The obligations generally </w:t>
      </w:r>
      <w:r w:rsidR="002A2B1D">
        <w:t>apply to offers of</w:t>
      </w:r>
      <w:r>
        <w:t xml:space="preserve"> financial product</w:t>
      </w:r>
      <w:r w:rsidR="008E5BAB">
        <w:t>s</w:t>
      </w:r>
      <w:r>
        <w:t xml:space="preserve"> </w:t>
      </w:r>
      <w:r w:rsidR="008E5BAB">
        <w:t>about which</w:t>
      </w:r>
      <w:r>
        <w:t xml:space="preserve"> </w:t>
      </w:r>
      <w:r w:rsidR="008E5BAB">
        <w:t>the offeror must make</w:t>
      </w:r>
      <w:r>
        <w:t xml:space="preserve"> disclosure under the Corporations Act or </w:t>
      </w:r>
      <w:r w:rsidR="00563260">
        <w:t xml:space="preserve">which </w:t>
      </w:r>
      <w:r>
        <w:t>are exempt from such disclosure due to a mutual recognition scheme. This consists of products that</w:t>
      </w:r>
      <w:r w:rsidR="00563260">
        <w:t xml:space="preserve"> </w:t>
      </w:r>
      <w:r>
        <w:t>require a disclosure document, such as a product disclosure statement or prospec</w:t>
      </w:r>
      <w:r w:rsidR="00706C10">
        <w:t>tus, and recognised offers of New Zealand products.</w:t>
      </w:r>
      <w:r w:rsidR="00706C10">
        <w:rPr>
          <w:rStyle w:val="FootnoteReference"/>
        </w:rPr>
        <w:footnoteReference w:id="6"/>
      </w:r>
      <w:r w:rsidR="00706C10">
        <w:t xml:space="preserve"> </w:t>
      </w:r>
      <w:r w:rsidR="002A2B1D">
        <w:t>There are</w:t>
      </w:r>
      <w:r w:rsidR="00706C10">
        <w:t>, however,</w:t>
      </w:r>
      <w:r w:rsidR="002A2B1D">
        <w:t xml:space="preserve"> exceptions for products</w:t>
      </w:r>
      <w:r w:rsidR="00653E7E">
        <w:t xml:space="preserve"> and distribution </w:t>
      </w:r>
      <w:r w:rsidR="00331C5B">
        <w:t>methods</w:t>
      </w:r>
      <w:r w:rsidR="002A2B1D">
        <w:t xml:space="preserve"> that would not benefit from the</w:t>
      </w:r>
      <w:r w:rsidR="006C5D71">
        <w:t xml:space="preserve"> new obligations.</w:t>
      </w:r>
    </w:p>
    <w:p w14:paraId="7463BDFB" w14:textId="77777777" w:rsidR="00DD5254" w:rsidRDefault="008E5BAB" w:rsidP="00DD5254">
      <w:pPr>
        <w:pStyle w:val="base-text-paragraph"/>
      </w:pPr>
      <w:r>
        <w:t xml:space="preserve">The new law gives </w:t>
      </w:r>
      <w:r w:rsidR="006C5D71">
        <w:t xml:space="preserve">ASIC </w:t>
      </w:r>
      <w:r w:rsidR="00706C10">
        <w:t>powers to enforce the new arrangements.</w:t>
      </w:r>
      <w:r w:rsidR="006C5D71">
        <w:t xml:space="preserve"> </w:t>
      </w:r>
      <w:r w:rsidR="00DD5254">
        <w:t>These</w:t>
      </w:r>
      <w:r w:rsidR="006C5D71">
        <w:t xml:space="preserve"> </w:t>
      </w:r>
      <w:r w:rsidR="00DD5254">
        <w:t>include the ability to request necessary information,</w:t>
      </w:r>
      <w:r w:rsidR="004370CE">
        <w:t xml:space="preserve"> issue stop orders where there is a</w:t>
      </w:r>
      <w:r w:rsidR="00DD5254">
        <w:t xml:space="preserve"> suspected </w:t>
      </w:r>
      <w:r w:rsidR="004370CE">
        <w:t>contravention</w:t>
      </w:r>
      <w:r w:rsidR="00DD5254">
        <w:t xml:space="preserve"> of the law and </w:t>
      </w:r>
      <w:r>
        <w:t xml:space="preserve">to </w:t>
      </w:r>
      <w:r w:rsidR="00DD5254">
        <w:t xml:space="preserve">make exemptions and modifications to the new </w:t>
      </w:r>
      <w:r w:rsidR="004370CE">
        <w:t>arrangements. These</w:t>
      </w:r>
      <w:r w:rsidR="00DD5254">
        <w:t xml:space="preserve"> powers are similar to those that ASIC has under the current disclosure regime.</w:t>
      </w:r>
    </w:p>
    <w:p w14:paraId="317C4B2F" w14:textId="77777777" w:rsidR="00706C10" w:rsidRDefault="00706C10" w:rsidP="00706C10">
      <w:pPr>
        <w:pStyle w:val="base-text-paragraph"/>
      </w:pPr>
      <w:r>
        <w:t>There are civil and criminal penalti</w:t>
      </w:r>
      <w:r w:rsidR="000F4D04">
        <w:t xml:space="preserve">es </w:t>
      </w:r>
      <w:r w:rsidR="008E5BAB">
        <w:t xml:space="preserve">that apply to </w:t>
      </w:r>
      <w:r w:rsidR="000F4D04">
        <w:t>contraven</w:t>
      </w:r>
      <w:r w:rsidR="008E5BAB">
        <w:t>tions of</w:t>
      </w:r>
      <w:r w:rsidR="000F4D04">
        <w:t xml:space="preserve"> </w:t>
      </w:r>
      <w:r>
        <w:t xml:space="preserve">the new arrangements. The </w:t>
      </w:r>
      <w:r w:rsidR="00E93316">
        <w:t xml:space="preserve">combination of civil and criminal penalties </w:t>
      </w:r>
      <w:r w:rsidR="008E5BAB">
        <w:t>allows ASI</w:t>
      </w:r>
      <w:r w:rsidR="00861999">
        <w:t>C</w:t>
      </w:r>
      <w:r w:rsidR="00ED2D92">
        <w:t xml:space="preserve"> or the prosecutor (as the case may be)</w:t>
      </w:r>
      <w:r w:rsidR="008E5BAB">
        <w:t xml:space="preserve"> to take </w:t>
      </w:r>
      <w:r w:rsidR="00E93316">
        <w:t>a proportional approach</w:t>
      </w:r>
      <w:r w:rsidR="000F4D04">
        <w:t xml:space="preserve"> </w:t>
      </w:r>
      <w:r w:rsidR="00EE7E80">
        <w:t>to enforcing</w:t>
      </w:r>
      <w:r w:rsidR="000F4D04">
        <w:t xml:space="preserve"> the new obligations.</w:t>
      </w:r>
      <w:r w:rsidR="00E93316">
        <w:t xml:space="preserve"> In</w:t>
      </w:r>
      <w:r w:rsidR="000F4D04">
        <w:t xml:space="preserve"> addition,</w:t>
      </w:r>
      <w:r w:rsidR="00CA5FB4">
        <w:t xml:space="preserve"> a person who suffers lo</w:t>
      </w:r>
      <w:r w:rsidR="000F4D04">
        <w:t>ss or damage because of a contravention of the new obligations</w:t>
      </w:r>
      <w:r w:rsidR="00A260B7">
        <w:t xml:space="preserve"> may recover that loss by</w:t>
      </w:r>
      <w:r w:rsidR="00CA5FB4">
        <w:t xml:space="preserve"> </w:t>
      </w:r>
      <w:r w:rsidR="008E5BAB">
        <w:t>bringing a</w:t>
      </w:r>
      <w:r w:rsidR="00CA5FB4">
        <w:t xml:space="preserve"> civil </w:t>
      </w:r>
      <w:r w:rsidR="008E5BAB">
        <w:t>claim</w:t>
      </w:r>
      <w:r w:rsidR="00CA5FB4">
        <w:t>.</w:t>
      </w:r>
      <w:r w:rsidR="000F4D04">
        <w:t xml:space="preserve"> </w:t>
      </w:r>
    </w:p>
    <w:p w14:paraId="085D0D70" w14:textId="77777777" w:rsidR="00563260" w:rsidRDefault="00563260" w:rsidP="00563260">
      <w:pPr>
        <w:pStyle w:val="base-text-paragraph"/>
        <w:numPr>
          <w:ilvl w:val="0"/>
          <w:numId w:val="0"/>
        </w:numPr>
        <w:ind w:left="1134"/>
      </w:pPr>
    </w:p>
    <w:p w14:paraId="74D94079" w14:textId="77777777" w:rsidR="004F1192" w:rsidRDefault="004F1192" w:rsidP="004F1192">
      <w:pPr>
        <w:pStyle w:val="base-text-paragraph"/>
        <w:numPr>
          <w:ilvl w:val="0"/>
          <w:numId w:val="0"/>
        </w:numPr>
        <w:ind w:left="1134"/>
      </w:pPr>
    </w:p>
    <w:p w14:paraId="4D8B6A67"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6B720E98" w14:textId="77777777" w:rsidTr="00F83604">
        <w:tc>
          <w:tcPr>
            <w:tcW w:w="3275" w:type="dxa"/>
          </w:tcPr>
          <w:p w14:paraId="787DC26A" w14:textId="77777777" w:rsidR="00B17774" w:rsidRPr="004666B8" w:rsidRDefault="00B17774" w:rsidP="00232A0F">
            <w:pPr>
              <w:pStyle w:val="tableheaderwithintable"/>
              <w:rPr>
                <w:lang w:val="en-US" w:eastAsia="en-US"/>
              </w:rPr>
            </w:pPr>
            <w:r w:rsidRPr="004666B8">
              <w:rPr>
                <w:lang w:val="en-US" w:eastAsia="en-US"/>
              </w:rPr>
              <w:t>New law</w:t>
            </w:r>
          </w:p>
        </w:tc>
        <w:tc>
          <w:tcPr>
            <w:tcW w:w="3276" w:type="dxa"/>
          </w:tcPr>
          <w:p w14:paraId="0B9843EA" w14:textId="77777777" w:rsidR="00B17774" w:rsidRPr="004666B8" w:rsidRDefault="00B17774" w:rsidP="00F83604">
            <w:pPr>
              <w:pStyle w:val="tableheaderwithintable"/>
              <w:rPr>
                <w:lang w:val="en-US" w:eastAsia="en-US"/>
              </w:rPr>
            </w:pPr>
            <w:r w:rsidRPr="004666B8">
              <w:rPr>
                <w:lang w:val="en-US" w:eastAsia="en-US"/>
              </w:rPr>
              <w:t>Current law</w:t>
            </w:r>
          </w:p>
        </w:tc>
      </w:tr>
      <w:tr w:rsidR="00B17774" w:rsidRPr="004666B8" w14:paraId="27C182E5" w14:textId="77777777" w:rsidTr="00F83604">
        <w:tc>
          <w:tcPr>
            <w:tcW w:w="3275" w:type="dxa"/>
          </w:tcPr>
          <w:p w14:paraId="11A6CBF7" w14:textId="77777777" w:rsidR="00B17774" w:rsidRPr="004666B8" w:rsidRDefault="00E06ADC" w:rsidP="001E313C">
            <w:pPr>
              <w:pStyle w:val="tabletext"/>
              <w:rPr>
                <w:lang w:val="en-US" w:eastAsia="en-US"/>
              </w:rPr>
            </w:pPr>
            <w:r>
              <w:rPr>
                <w:lang w:val="en-US" w:eastAsia="en-US"/>
              </w:rPr>
              <w:t>Offerors</w:t>
            </w:r>
            <w:r w:rsidR="00232A0F">
              <w:rPr>
                <w:lang w:val="en-US" w:eastAsia="en-US"/>
              </w:rPr>
              <w:t xml:space="preserve"> </w:t>
            </w:r>
            <w:r w:rsidR="001E313C">
              <w:rPr>
                <w:lang w:val="en-US" w:eastAsia="en-US"/>
              </w:rPr>
              <w:t>must make a target market determination</w:t>
            </w:r>
            <w:r w:rsidR="003E6813">
              <w:rPr>
                <w:lang w:val="en-US" w:eastAsia="en-US"/>
              </w:rPr>
              <w:t xml:space="preserve"> for</w:t>
            </w:r>
            <w:r w:rsidR="008F2750">
              <w:rPr>
                <w:lang w:val="en-US" w:eastAsia="en-US"/>
              </w:rPr>
              <w:t xml:space="preserve"> most</w:t>
            </w:r>
            <w:r w:rsidR="00232A0F">
              <w:rPr>
                <w:lang w:val="en-US" w:eastAsia="en-US"/>
              </w:rPr>
              <w:t xml:space="preserve"> financial</w:t>
            </w:r>
            <w:r w:rsidR="003E6813">
              <w:rPr>
                <w:lang w:val="en-US" w:eastAsia="en-US"/>
              </w:rPr>
              <w:t xml:space="preserve"> products that require disclosure</w:t>
            </w:r>
            <w:r w:rsidR="00232A0F">
              <w:rPr>
                <w:lang w:val="en-US" w:eastAsia="en-US"/>
              </w:rPr>
              <w:t xml:space="preserve"> and for those exempt from disclosure due to a mutual recognition scheme.</w:t>
            </w:r>
          </w:p>
        </w:tc>
        <w:tc>
          <w:tcPr>
            <w:tcW w:w="3276" w:type="dxa"/>
          </w:tcPr>
          <w:p w14:paraId="46EB880A" w14:textId="77777777" w:rsidR="00EF2398" w:rsidRDefault="003E6813" w:rsidP="00F83604">
            <w:pPr>
              <w:pStyle w:val="tabletext"/>
              <w:rPr>
                <w:lang w:val="en-US" w:eastAsia="en-US"/>
              </w:rPr>
            </w:pPr>
            <w:r>
              <w:rPr>
                <w:lang w:val="en-US" w:eastAsia="en-US"/>
              </w:rPr>
              <w:t>No equivalent.</w:t>
            </w:r>
          </w:p>
          <w:p w14:paraId="54CEC225" w14:textId="77777777" w:rsidR="00EF2398" w:rsidRDefault="00EF2398" w:rsidP="00F83604">
            <w:pPr>
              <w:pStyle w:val="tabletext"/>
              <w:rPr>
                <w:lang w:val="en-US" w:eastAsia="en-US"/>
              </w:rPr>
            </w:pPr>
            <w:r>
              <w:rPr>
                <w:lang w:val="en-US" w:eastAsia="en-US"/>
              </w:rPr>
              <w:t xml:space="preserve"> </w:t>
            </w:r>
          </w:p>
          <w:p w14:paraId="1AFAEF78" w14:textId="77777777" w:rsidR="00B17774" w:rsidRPr="004666B8" w:rsidRDefault="00B17774" w:rsidP="00F83604">
            <w:pPr>
              <w:pStyle w:val="tabletext"/>
              <w:rPr>
                <w:lang w:val="en-US" w:eastAsia="en-US"/>
              </w:rPr>
            </w:pPr>
          </w:p>
        </w:tc>
      </w:tr>
      <w:tr w:rsidR="00232A0F" w:rsidRPr="004666B8" w14:paraId="7BB0482E" w14:textId="77777777" w:rsidTr="00F83604">
        <w:tc>
          <w:tcPr>
            <w:tcW w:w="3275" w:type="dxa"/>
          </w:tcPr>
          <w:p w14:paraId="45C75CCA" w14:textId="3BA1B6B6" w:rsidR="00232A0F" w:rsidRDefault="00232A0F" w:rsidP="001E313C">
            <w:pPr>
              <w:pStyle w:val="tabletext"/>
              <w:rPr>
                <w:lang w:val="en-US" w:eastAsia="en-US"/>
              </w:rPr>
            </w:pPr>
            <w:r>
              <w:rPr>
                <w:lang w:val="en-US" w:eastAsia="en-US"/>
              </w:rPr>
              <w:t>O</w:t>
            </w:r>
            <w:r w:rsidR="001E313C">
              <w:rPr>
                <w:lang w:val="en-US" w:eastAsia="en-US"/>
              </w:rPr>
              <w:t>fferors must develop a plan for</w:t>
            </w:r>
            <w:r>
              <w:rPr>
                <w:lang w:val="en-US" w:eastAsia="en-US"/>
              </w:rPr>
              <w:t xml:space="preserve"> review</w:t>
            </w:r>
            <w:r w:rsidR="001E313C">
              <w:rPr>
                <w:lang w:val="en-US" w:eastAsia="en-US"/>
              </w:rPr>
              <w:t>ing</w:t>
            </w:r>
            <w:r>
              <w:rPr>
                <w:lang w:val="en-US" w:eastAsia="en-US"/>
              </w:rPr>
              <w:t xml:space="preserve"> </w:t>
            </w:r>
            <w:r w:rsidR="001E313C">
              <w:rPr>
                <w:lang w:val="en-US" w:eastAsia="en-US"/>
              </w:rPr>
              <w:t>target market determinations and abide by that plan</w:t>
            </w:r>
            <w:r w:rsidR="00644E5E">
              <w:rPr>
                <w:lang w:val="en-US" w:eastAsia="en-US"/>
              </w:rPr>
              <w:t>.</w:t>
            </w:r>
          </w:p>
        </w:tc>
        <w:tc>
          <w:tcPr>
            <w:tcW w:w="3276" w:type="dxa"/>
          </w:tcPr>
          <w:p w14:paraId="0C3F83CF" w14:textId="77777777" w:rsidR="00232A0F" w:rsidRDefault="00232A0F" w:rsidP="00F83604">
            <w:pPr>
              <w:pStyle w:val="tabletext"/>
              <w:rPr>
                <w:lang w:val="en-US" w:eastAsia="en-US"/>
              </w:rPr>
            </w:pPr>
            <w:r>
              <w:rPr>
                <w:lang w:val="en-US" w:eastAsia="en-US"/>
              </w:rPr>
              <w:t>No equivalent.</w:t>
            </w:r>
          </w:p>
        </w:tc>
      </w:tr>
      <w:tr w:rsidR="00804E35" w:rsidRPr="004666B8" w14:paraId="03010E69" w14:textId="77777777" w:rsidTr="00F83604">
        <w:tc>
          <w:tcPr>
            <w:tcW w:w="3275" w:type="dxa"/>
          </w:tcPr>
          <w:p w14:paraId="467BD07A" w14:textId="660116E6" w:rsidR="00804E35" w:rsidRDefault="00804E35" w:rsidP="001E313C">
            <w:pPr>
              <w:pStyle w:val="tabletext"/>
              <w:rPr>
                <w:lang w:val="en-US" w:eastAsia="en-US"/>
              </w:rPr>
            </w:pPr>
            <w:r>
              <w:rPr>
                <w:lang w:val="en-US" w:eastAsia="en-US"/>
              </w:rPr>
              <w:t>Offerors must specify distribution information that distributors must collect and keep.</w:t>
            </w:r>
          </w:p>
        </w:tc>
        <w:tc>
          <w:tcPr>
            <w:tcW w:w="3276" w:type="dxa"/>
          </w:tcPr>
          <w:p w14:paraId="16F9AA25" w14:textId="6519701A" w:rsidR="00804E35" w:rsidRDefault="00804E35" w:rsidP="00F83604">
            <w:pPr>
              <w:pStyle w:val="tabletext"/>
              <w:rPr>
                <w:lang w:val="en-US" w:eastAsia="en-US"/>
              </w:rPr>
            </w:pPr>
            <w:r>
              <w:rPr>
                <w:lang w:val="en-US" w:eastAsia="en-US"/>
              </w:rPr>
              <w:t>No equivalent.</w:t>
            </w:r>
          </w:p>
        </w:tc>
      </w:tr>
      <w:tr w:rsidR="003E6813" w:rsidRPr="004666B8" w14:paraId="7CA59DB3" w14:textId="77777777" w:rsidTr="00F83604">
        <w:tc>
          <w:tcPr>
            <w:tcW w:w="3275" w:type="dxa"/>
          </w:tcPr>
          <w:p w14:paraId="34CDFE74" w14:textId="7493138A" w:rsidR="00A43CA3" w:rsidRDefault="00FD793F" w:rsidP="006116ED">
            <w:pPr>
              <w:pStyle w:val="tabletext"/>
              <w:rPr>
                <w:lang w:val="en-US" w:eastAsia="en-US"/>
              </w:rPr>
            </w:pPr>
            <w:r>
              <w:rPr>
                <w:lang w:val="en-US" w:eastAsia="en-US"/>
              </w:rPr>
              <w:t>D</w:t>
            </w:r>
            <w:r w:rsidR="003E6813">
              <w:rPr>
                <w:lang w:val="en-US" w:eastAsia="en-US"/>
              </w:rPr>
              <w:t>istributors</w:t>
            </w:r>
            <w:r w:rsidR="001E313C">
              <w:rPr>
                <w:lang w:val="en-US" w:eastAsia="en-US"/>
              </w:rPr>
              <w:t xml:space="preserve"> are prohibited from </w:t>
            </w:r>
            <w:r w:rsidR="00653E7E">
              <w:rPr>
                <w:lang w:val="en-US" w:eastAsia="en-US"/>
              </w:rPr>
              <w:t>distributing</w:t>
            </w:r>
            <w:r w:rsidR="001E313C">
              <w:rPr>
                <w:lang w:val="en-US" w:eastAsia="en-US"/>
              </w:rPr>
              <w:t xml:space="preserve"> a product unless a</w:t>
            </w:r>
            <w:r w:rsidR="00F54D63">
              <w:rPr>
                <w:lang w:val="en-US" w:eastAsia="en-US"/>
              </w:rPr>
              <w:t xml:space="preserve"> current</w:t>
            </w:r>
            <w:r w:rsidR="00456B99">
              <w:rPr>
                <w:lang w:val="en-US" w:eastAsia="en-US"/>
              </w:rPr>
              <w:t xml:space="preserve"> </w:t>
            </w:r>
            <w:r w:rsidR="001E313C">
              <w:rPr>
                <w:lang w:val="en-US" w:eastAsia="en-US"/>
              </w:rPr>
              <w:t>target market determination</w:t>
            </w:r>
            <w:r w:rsidR="00F54D63">
              <w:rPr>
                <w:lang w:val="en-US" w:eastAsia="en-US"/>
              </w:rPr>
              <w:t xml:space="preserve"> is in place.</w:t>
            </w:r>
          </w:p>
        </w:tc>
        <w:tc>
          <w:tcPr>
            <w:tcW w:w="3276" w:type="dxa"/>
          </w:tcPr>
          <w:p w14:paraId="5DA777A3" w14:textId="77777777" w:rsidR="003E6813" w:rsidRDefault="003E6813" w:rsidP="00F83604">
            <w:pPr>
              <w:pStyle w:val="tabletext"/>
              <w:rPr>
                <w:lang w:val="en-US" w:eastAsia="en-US"/>
              </w:rPr>
            </w:pPr>
            <w:r>
              <w:rPr>
                <w:lang w:val="en-US" w:eastAsia="en-US"/>
              </w:rPr>
              <w:t>No equivalent.</w:t>
            </w:r>
          </w:p>
        </w:tc>
      </w:tr>
      <w:tr w:rsidR="00456B99" w:rsidRPr="004666B8" w14:paraId="2D9030A4" w14:textId="77777777" w:rsidTr="00F83604">
        <w:tc>
          <w:tcPr>
            <w:tcW w:w="3275" w:type="dxa"/>
          </w:tcPr>
          <w:p w14:paraId="789FD509" w14:textId="10449B04" w:rsidR="00456B99" w:rsidRDefault="00456B99" w:rsidP="00385928">
            <w:pPr>
              <w:pStyle w:val="tabletext"/>
              <w:rPr>
                <w:lang w:val="en-US" w:eastAsia="en-US"/>
              </w:rPr>
            </w:pPr>
            <w:r>
              <w:rPr>
                <w:lang w:val="en-US" w:eastAsia="en-US"/>
              </w:rPr>
              <w:t xml:space="preserve">Offerors and distributors must take reasonable steps </w:t>
            </w:r>
            <w:r w:rsidR="002A4E5F">
              <w:rPr>
                <w:lang w:val="en-US" w:eastAsia="en-US"/>
              </w:rPr>
              <w:t>so</w:t>
            </w:r>
            <w:r>
              <w:rPr>
                <w:lang w:val="en-US" w:eastAsia="en-US"/>
              </w:rPr>
              <w:t xml:space="preserve"> that </w:t>
            </w:r>
            <w:r w:rsidR="007C0F78">
              <w:rPr>
                <w:lang w:val="en-US" w:eastAsia="en-US"/>
              </w:rPr>
              <w:t>distribution is</w:t>
            </w:r>
            <w:r>
              <w:rPr>
                <w:lang w:val="en-US" w:eastAsia="en-US"/>
              </w:rPr>
              <w:t xml:space="preserve"> consistent with the most recent target market determination.</w:t>
            </w:r>
          </w:p>
        </w:tc>
        <w:tc>
          <w:tcPr>
            <w:tcW w:w="3276" w:type="dxa"/>
          </w:tcPr>
          <w:p w14:paraId="26BCA199" w14:textId="77777777" w:rsidR="00456B99" w:rsidRDefault="00456B99" w:rsidP="00F83604">
            <w:pPr>
              <w:pStyle w:val="tabletext"/>
              <w:rPr>
                <w:lang w:val="en-US" w:eastAsia="en-US"/>
              </w:rPr>
            </w:pPr>
            <w:r>
              <w:rPr>
                <w:lang w:val="en-US" w:eastAsia="en-US"/>
              </w:rPr>
              <w:t>No equivalent.</w:t>
            </w:r>
          </w:p>
        </w:tc>
      </w:tr>
      <w:tr w:rsidR="00331C5B" w:rsidRPr="004666B8" w14:paraId="1C09E562" w14:textId="77777777" w:rsidTr="00F83604">
        <w:tc>
          <w:tcPr>
            <w:tcW w:w="3275" w:type="dxa"/>
          </w:tcPr>
          <w:p w14:paraId="6D911A09" w14:textId="7AA7FEF9" w:rsidR="00331C5B" w:rsidRDefault="00FD793F" w:rsidP="00804E35">
            <w:pPr>
              <w:pStyle w:val="tabletext"/>
              <w:rPr>
                <w:lang w:val="en-US" w:eastAsia="en-US"/>
              </w:rPr>
            </w:pPr>
            <w:r>
              <w:rPr>
                <w:lang w:val="en-US" w:eastAsia="en-US"/>
              </w:rPr>
              <w:t>D</w:t>
            </w:r>
            <w:r w:rsidR="00331C5B">
              <w:rPr>
                <w:lang w:val="en-US" w:eastAsia="en-US"/>
              </w:rPr>
              <w:t>istributors must maintain records of distribution information (being numbers of complaints and distribution information specified by offerors) and information relating to their obligations under the new regime.</w:t>
            </w:r>
          </w:p>
        </w:tc>
        <w:tc>
          <w:tcPr>
            <w:tcW w:w="3276" w:type="dxa"/>
          </w:tcPr>
          <w:p w14:paraId="72A0C09B" w14:textId="6061ABEC" w:rsidR="00331C5B" w:rsidRDefault="00331C5B" w:rsidP="00F83604">
            <w:pPr>
              <w:pStyle w:val="tabletext"/>
              <w:rPr>
                <w:lang w:val="en-US" w:eastAsia="en-US"/>
              </w:rPr>
            </w:pPr>
            <w:r>
              <w:rPr>
                <w:lang w:val="en-US" w:eastAsia="en-US"/>
              </w:rPr>
              <w:t>There are numerous provisions in the Corporations Act that require people to maintain records and information relevant to their current obligations under the Act.</w:t>
            </w:r>
          </w:p>
        </w:tc>
      </w:tr>
      <w:tr w:rsidR="00804E35" w:rsidRPr="004666B8" w14:paraId="0F90C65B" w14:textId="77777777" w:rsidTr="00F83604">
        <w:tc>
          <w:tcPr>
            <w:tcW w:w="3275" w:type="dxa"/>
          </w:tcPr>
          <w:p w14:paraId="3A3A775C" w14:textId="474918B9" w:rsidR="00804E35" w:rsidRDefault="00804E35" w:rsidP="00804E35">
            <w:pPr>
              <w:pStyle w:val="tabletext"/>
              <w:rPr>
                <w:lang w:val="en-US" w:eastAsia="en-US"/>
              </w:rPr>
            </w:pPr>
            <w:r>
              <w:rPr>
                <w:lang w:val="en-US" w:eastAsia="en-US"/>
              </w:rPr>
              <w:t xml:space="preserve">Distributors must provide to offerors numbers of complaints about </w:t>
            </w:r>
            <w:r w:rsidR="00D9676F">
              <w:rPr>
                <w:lang w:val="en-US" w:eastAsia="en-US"/>
              </w:rPr>
              <w:t>the product</w:t>
            </w:r>
            <w:r>
              <w:rPr>
                <w:lang w:val="en-US" w:eastAsia="en-US"/>
              </w:rPr>
              <w:t xml:space="preserve"> and</w:t>
            </w:r>
            <w:r w:rsidR="00D9676F">
              <w:rPr>
                <w:lang w:val="en-US" w:eastAsia="en-US"/>
              </w:rPr>
              <w:t xml:space="preserve"> distribution information relating to the product </w:t>
            </w:r>
            <w:r>
              <w:rPr>
                <w:lang w:val="en-US" w:eastAsia="en-US"/>
              </w:rPr>
              <w:t>that offerors have specified.</w:t>
            </w:r>
          </w:p>
        </w:tc>
        <w:tc>
          <w:tcPr>
            <w:tcW w:w="3276" w:type="dxa"/>
          </w:tcPr>
          <w:p w14:paraId="7001C934" w14:textId="01997F93" w:rsidR="00804E35" w:rsidRDefault="00331C5B" w:rsidP="00F83604">
            <w:pPr>
              <w:pStyle w:val="tabletext"/>
              <w:rPr>
                <w:lang w:val="en-US" w:eastAsia="en-US"/>
              </w:rPr>
            </w:pPr>
            <w:r>
              <w:rPr>
                <w:lang w:val="en-US" w:eastAsia="en-US"/>
              </w:rPr>
              <w:t>No equivalent.</w:t>
            </w:r>
          </w:p>
        </w:tc>
      </w:tr>
      <w:tr w:rsidR="00D62E66" w:rsidRPr="004666B8" w14:paraId="7DC43C2D" w14:textId="77777777" w:rsidTr="00F83604">
        <w:tc>
          <w:tcPr>
            <w:tcW w:w="3275" w:type="dxa"/>
          </w:tcPr>
          <w:p w14:paraId="0FA6D70D" w14:textId="77777777" w:rsidR="00D62E66" w:rsidRDefault="00D62E66" w:rsidP="00D62E66">
            <w:pPr>
              <w:pStyle w:val="tabletext"/>
              <w:rPr>
                <w:lang w:val="en-US" w:eastAsia="en-US"/>
              </w:rPr>
            </w:pPr>
            <w:r>
              <w:rPr>
                <w:lang w:val="en-US" w:eastAsia="en-US"/>
              </w:rPr>
              <w:t>Distributors must notify</w:t>
            </w:r>
            <w:r w:rsidR="009A1E8D">
              <w:rPr>
                <w:lang w:val="en-US" w:eastAsia="en-US"/>
              </w:rPr>
              <w:t xml:space="preserve"> a product’s</w:t>
            </w:r>
            <w:r>
              <w:rPr>
                <w:lang w:val="en-US" w:eastAsia="en-US"/>
              </w:rPr>
              <w:t xml:space="preserve"> offeror</w:t>
            </w:r>
            <w:r w:rsidR="009A1E8D">
              <w:rPr>
                <w:lang w:val="en-US" w:eastAsia="en-US"/>
              </w:rPr>
              <w:t xml:space="preserve">, and an offeror must notify ASIC, </w:t>
            </w:r>
            <w:r>
              <w:rPr>
                <w:lang w:val="en-US" w:eastAsia="en-US"/>
              </w:rPr>
              <w:t xml:space="preserve">of a significant dealing in </w:t>
            </w:r>
            <w:r w:rsidR="009A1E8D">
              <w:rPr>
                <w:lang w:val="en-US" w:eastAsia="en-US"/>
              </w:rPr>
              <w:t>a</w:t>
            </w:r>
            <w:r>
              <w:rPr>
                <w:lang w:val="en-US" w:eastAsia="en-US"/>
              </w:rPr>
              <w:t xml:space="preserve"> product that is not consistent with the product’</w:t>
            </w:r>
            <w:r w:rsidR="009A1E8D">
              <w:rPr>
                <w:lang w:val="en-US" w:eastAsia="en-US"/>
              </w:rPr>
              <w:t>s target market determination.</w:t>
            </w:r>
            <w:r>
              <w:rPr>
                <w:lang w:val="en-US" w:eastAsia="en-US"/>
              </w:rPr>
              <w:t xml:space="preserve"> </w:t>
            </w:r>
          </w:p>
        </w:tc>
        <w:tc>
          <w:tcPr>
            <w:tcW w:w="3276" w:type="dxa"/>
          </w:tcPr>
          <w:p w14:paraId="0E94CE8A" w14:textId="78BFE5AB" w:rsidR="00D62E66" w:rsidRDefault="00D62E66" w:rsidP="00F83604">
            <w:pPr>
              <w:pStyle w:val="tabletext"/>
              <w:rPr>
                <w:lang w:val="en-US" w:eastAsia="en-US"/>
              </w:rPr>
            </w:pPr>
            <w:r>
              <w:rPr>
                <w:lang w:val="en-US" w:eastAsia="en-US"/>
              </w:rPr>
              <w:t>No equivalent</w:t>
            </w:r>
            <w:r w:rsidR="00331C5B">
              <w:rPr>
                <w:lang w:val="en-US" w:eastAsia="en-US"/>
              </w:rPr>
              <w:t>.</w:t>
            </w:r>
          </w:p>
        </w:tc>
      </w:tr>
      <w:tr w:rsidR="008A2A60" w:rsidRPr="004666B8" w14:paraId="73162779" w14:textId="77777777" w:rsidTr="00F83604">
        <w:tc>
          <w:tcPr>
            <w:tcW w:w="3275" w:type="dxa"/>
          </w:tcPr>
          <w:p w14:paraId="24021454" w14:textId="77777777" w:rsidR="008A2A60" w:rsidRDefault="008A2A60" w:rsidP="000B7E20">
            <w:pPr>
              <w:pStyle w:val="tabletext"/>
              <w:rPr>
                <w:lang w:val="en-US" w:eastAsia="en-US"/>
              </w:rPr>
            </w:pPr>
            <w:r>
              <w:t>ASIC is given powers to enforce the new arrangements, including: the ability to request necessary information; issue stop orders; and, make necessary exemptions and modifications to the new arrangements.</w:t>
            </w:r>
          </w:p>
        </w:tc>
        <w:tc>
          <w:tcPr>
            <w:tcW w:w="3276" w:type="dxa"/>
          </w:tcPr>
          <w:p w14:paraId="7ED2ABCF" w14:textId="77777777" w:rsidR="008A2A60" w:rsidRDefault="008A2A60" w:rsidP="000B7E20">
            <w:pPr>
              <w:pStyle w:val="tabletext"/>
              <w:rPr>
                <w:lang w:val="en-US" w:eastAsia="en-US"/>
              </w:rPr>
            </w:pPr>
            <w:r>
              <w:t xml:space="preserve">ASIC has similar powers to support its enforcement of the current disclosure arrangements in the Corporations Act. </w:t>
            </w:r>
          </w:p>
        </w:tc>
      </w:tr>
      <w:tr w:rsidR="008A2A60" w:rsidRPr="004666B8" w14:paraId="3E2D21CC" w14:textId="77777777" w:rsidTr="00F83604">
        <w:tc>
          <w:tcPr>
            <w:tcW w:w="3275" w:type="dxa"/>
          </w:tcPr>
          <w:p w14:paraId="33F52FCA" w14:textId="77777777" w:rsidR="008A2A60" w:rsidRPr="00E06ADC" w:rsidRDefault="008A2A60" w:rsidP="000B0D67">
            <w:pPr>
              <w:pStyle w:val="tabletext"/>
            </w:pPr>
            <w:r>
              <w:t>A person who suffers loss or damage because of a contravention of the design and distribution obligations may recover that loss by civil action.</w:t>
            </w:r>
          </w:p>
        </w:tc>
        <w:tc>
          <w:tcPr>
            <w:tcW w:w="3276" w:type="dxa"/>
          </w:tcPr>
          <w:p w14:paraId="60372256" w14:textId="7D7BFE26" w:rsidR="008A2A60" w:rsidRPr="00E06ADC" w:rsidRDefault="008A2A60">
            <w:pPr>
              <w:pStyle w:val="tabletext"/>
            </w:pPr>
            <w:r w:rsidRPr="00E06ADC">
              <w:t>A similar cause of action currently exists in relation to loss or damage cause</w:t>
            </w:r>
            <w:r w:rsidR="00F15278">
              <w:t>d</w:t>
            </w:r>
            <w:r w:rsidRPr="00E06ADC">
              <w:t xml:space="preserve"> by defective disclosure</w:t>
            </w:r>
            <w:r w:rsidR="00D34A91" w:rsidRPr="00E06ADC">
              <w:t xml:space="preserve"> and contraventions of </w:t>
            </w:r>
            <w:r w:rsidR="00CA447F">
              <w:t>several</w:t>
            </w:r>
            <w:r w:rsidR="00CA447F" w:rsidRPr="00E06ADC">
              <w:t xml:space="preserve"> </w:t>
            </w:r>
            <w:r w:rsidR="00D34A91" w:rsidRPr="00E06ADC">
              <w:t>other provisions of the Corporations Act</w:t>
            </w:r>
            <w:r w:rsidRPr="00E06ADC">
              <w:t xml:space="preserve">. </w:t>
            </w:r>
          </w:p>
        </w:tc>
      </w:tr>
    </w:tbl>
    <w:p w14:paraId="64765FCE" w14:textId="77777777" w:rsidR="00B17774" w:rsidRDefault="00B17774" w:rsidP="00B17774">
      <w:pPr>
        <w:pStyle w:val="Heading2"/>
      </w:pPr>
      <w:r>
        <w:t>Detailed explanation of new law</w:t>
      </w:r>
    </w:p>
    <w:p w14:paraId="2C4653BA" w14:textId="77777777" w:rsidR="00D34A91" w:rsidRDefault="00D34A91" w:rsidP="00AD5EF6">
      <w:pPr>
        <w:numPr>
          <w:ilvl w:val="1"/>
          <w:numId w:val="4"/>
        </w:numPr>
      </w:pPr>
      <w:r>
        <w:t xml:space="preserve">Schedule 1 to the Bill amends the Corporations Act to introduce design and distribution obligations in relation to financial products. </w:t>
      </w:r>
    </w:p>
    <w:p w14:paraId="2106E402" w14:textId="19ED9277" w:rsidR="00B8742F" w:rsidRDefault="00311FE5" w:rsidP="00B8742F">
      <w:pPr>
        <w:numPr>
          <w:ilvl w:val="1"/>
          <w:numId w:val="4"/>
        </w:numPr>
      </w:pPr>
      <w:r>
        <w:t>The</w:t>
      </w:r>
      <w:r w:rsidR="00D34A91">
        <w:t xml:space="preserve"> object of the new</w:t>
      </w:r>
      <w:r>
        <w:t xml:space="preserve"> </w:t>
      </w:r>
      <w:r w:rsidR="00D34A91">
        <w:t>design and distribution reg</w:t>
      </w:r>
      <w:r w:rsidR="00B8742F">
        <w:t>ime is</w:t>
      </w:r>
      <w:r w:rsidR="001F350C">
        <w:t xml:space="preserve"> to promote the provision of</w:t>
      </w:r>
      <w:r w:rsidR="00B8742F">
        <w:t xml:space="preserve"> suitable</w:t>
      </w:r>
      <w:r w:rsidR="001F350C">
        <w:t xml:space="preserve"> financial products</w:t>
      </w:r>
      <w:r w:rsidR="00B8742F">
        <w:t xml:space="preserve"> to consumers.</w:t>
      </w:r>
      <w:r w:rsidR="00AD5EF6">
        <w:t xml:space="preserve"> In particular, the new regime requir</w:t>
      </w:r>
      <w:r w:rsidR="00EC3E64">
        <w:t>es</w:t>
      </w:r>
      <w:r w:rsidR="00AD5EF6">
        <w:t xml:space="preserve"> issuers and distributors to appropriately market and distribute </w:t>
      </w:r>
      <w:r w:rsidR="00DD4F48">
        <w:t xml:space="preserve">financial </w:t>
      </w:r>
      <w:r w:rsidR="00AD5EF6">
        <w:t>products to consumers.</w:t>
      </w:r>
      <w:r w:rsidR="00AD5EF6" w:rsidRPr="005C11A1">
        <w:rPr>
          <w:rStyle w:val="Referencingstyle"/>
        </w:rPr>
        <w:t xml:space="preserve"> </w:t>
      </w:r>
      <w:r w:rsidR="00B8742F">
        <w:rPr>
          <w:rStyle w:val="Referencingstyle"/>
        </w:rPr>
        <w:t>[Schedule 1, item 1, paragraph 760</w:t>
      </w:r>
      <w:r w:rsidR="00A47742" w:rsidRPr="00385928">
        <w:rPr>
          <w:rStyle w:val="Referencingstyle"/>
        </w:rPr>
        <w:t>A</w:t>
      </w:r>
      <w:r w:rsidR="00B8742F">
        <w:rPr>
          <w:rStyle w:val="Referencingstyle"/>
        </w:rPr>
        <w:t>(a</w:t>
      </w:r>
      <w:r w:rsidR="00865FB3">
        <w:rPr>
          <w:rStyle w:val="Referencingstyle"/>
        </w:rPr>
        <w:t>a</w:t>
      </w:r>
      <w:r w:rsidR="00B8742F">
        <w:rPr>
          <w:rStyle w:val="Referencingstyle"/>
        </w:rPr>
        <w:t xml:space="preserve">) </w:t>
      </w:r>
      <w:r w:rsidR="00F22756">
        <w:rPr>
          <w:rStyle w:val="Referencingstyle"/>
        </w:rPr>
        <w:t>of</w:t>
      </w:r>
      <w:r w:rsidR="00B8742F">
        <w:rPr>
          <w:rStyle w:val="Referencingstyle"/>
        </w:rPr>
        <w:t xml:space="preserve"> the</w:t>
      </w:r>
      <w:r w:rsidR="00B8742F" w:rsidRPr="00D079A3">
        <w:rPr>
          <w:rStyle w:val="Referencingstyle"/>
        </w:rPr>
        <w:t xml:space="preserve"> </w:t>
      </w:r>
      <w:r w:rsidR="00B8742F">
        <w:rPr>
          <w:rStyle w:val="Referencingstyle"/>
        </w:rPr>
        <w:t>Corporations Act</w:t>
      </w:r>
      <w:r w:rsidR="00B8742F" w:rsidRPr="00D079A3">
        <w:rPr>
          <w:rStyle w:val="Referencingstyle"/>
        </w:rPr>
        <w:t>]</w:t>
      </w:r>
    </w:p>
    <w:p w14:paraId="2065E79C" w14:textId="77777777" w:rsidR="00AD5EF6" w:rsidRDefault="00B8742F" w:rsidP="00AD5EF6">
      <w:pPr>
        <w:numPr>
          <w:ilvl w:val="1"/>
          <w:numId w:val="4"/>
        </w:numPr>
      </w:pPr>
      <w:r>
        <w:t>To achieve this objective the Bill inserts a new part into the Corporations Act</w:t>
      </w:r>
      <w:r w:rsidR="00AD5EF6">
        <w:t xml:space="preserve"> that contains the new</w:t>
      </w:r>
      <w:r w:rsidR="00CD22D6">
        <w:t xml:space="preserve"> design and distribution</w:t>
      </w:r>
      <w:r w:rsidR="00AD5EF6">
        <w:t xml:space="preserve"> regime and associated provisions. The new part details:</w:t>
      </w:r>
    </w:p>
    <w:p w14:paraId="00731F12" w14:textId="4A18AA62" w:rsidR="00CD22D6" w:rsidRDefault="00CD22D6" w:rsidP="00CD22D6">
      <w:pPr>
        <w:pStyle w:val="dotpoint"/>
      </w:pPr>
      <w:r>
        <w:t>the products to which the new regime appl</w:t>
      </w:r>
      <w:r w:rsidR="00064857">
        <w:t>ies</w:t>
      </w:r>
      <w:r>
        <w:t>;</w:t>
      </w:r>
    </w:p>
    <w:p w14:paraId="5B7BAF62" w14:textId="77777777" w:rsidR="009C5A83" w:rsidRDefault="00CD22D6" w:rsidP="009C5A83">
      <w:pPr>
        <w:pStyle w:val="dotpoint"/>
      </w:pPr>
      <w:r>
        <w:t>the content of the new</w:t>
      </w:r>
      <w:r w:rsidR="00AD5EF6">
        <w:t xml:space="preserve"> obligations;</w:t>
      </w:r>
    </w:p>
    <w:p w14:paraId="33042522" w14:textId="77777777" w:rsidR="00AD5EF6" w:rsidRDefault="00AD5EF6" w:rsidP="00AD5EF6">
      <w:pPr>
        <w:pStyle w:val="dotpoint"/>
      </w:pPr>
      <w:r>
        <w:t xml:space="preserve">ASIC’s powers </w:t>
      </w:r>
      <w:r w:rsidR="00CD22D6">
        <w:t>with respect to the new regime</w:t>
      </w:r>
      <w:r>
        <w:t>; and</w:t>
      </w:r>
    </w:p>
    <w:p w14:paraId="4111692F" w14:textId="77777777" w:rsidR="00AD5EF6" w:rsidRPr="00503EE0" w:rsidRDefault="00AD5EF6" w:rsidP="00503EE0">
      <w:pPr>
        <w:pStyle w:val="dotpoint"/>
        <w:rPr>
          <w:rStyle w:val="Referencingstyle"/>
          <w:b w:val="0"/>
          <w:i w:val="0"/>
          <w:sz w:val="22"/>
        </w:rPr>
      </w:pPr>
      <w:r>
        <w:t>the consequences of failing t</w:t>
      </w:r>
      <w:r w:rsidR="00503EE0">
        <w:t xml:space="preserve">o comply with the obligations. </w:t>
      </w:r>
    </w:p>
    <w:p w14:paraId="53FD1620" w14:textId="77777777" w:rsidR="00CD22D6" w:rsidRDefault="00FE5266" w:rsidP="00F22756">
      <w:pPr>
        <w:pStyle w:val="Heading2"/>
      </w:pPr>
      <w:r>
        <w:t>To which products do</w:t>
      </w:r>
      <w:r w:rsidR="00CD22D6">
        <w:t xml:space="preserve"> the new obligations</w:t>
      </w:r>
      <w:r>
        <w:t xml:space="preserve"> apply</w:t>
      </w:r>
      <w:r w:rsidR="00CD22D6">
        <w:t>?</w:t>
      </w:r>
    </w:p>
    <w:p w14:paraId="2F46B29A" w14:textId="77777777" w:rsidR="00FE5266" w:rsidRDefault="00FE5266" w:rsidP="00FE5266">
      <w:pPr>
        <w:pStyle w:val="base-text-paragraph"/>
      </w:pPr>
      <w:r>
        <w:t>The obligations generally apply to offers of financial product</w:t>
      </w:r>
      <w:r w:rsidR="00DD4F48">
        <w:t>s</w:t>
      </w:r>
      <w:r>
        <w:t xml:space="preserve"> that require disclosure under the Corporations Act or which are exempt from such disclosure </w:t>
      </w:r>
      <w:r w:rsidR="00DD4F48">
        <w:t>under</w:t>
      </w:r>
      <w:r>
        <w:t xml:space="preserve"> a mutual recognition scheme. This consists of products</w:t>
      </w:r>
      <w:r w:rsidR="003D7B24">
        <w:t xml:space="preserve"> that</w:t>
      </w:r>
      <w:r>
        <w:t xml:space="preserve">: </w:t>
      </w:r>
    </w:p>
    <w:p w14:paraId="463E83C7" w14:textId="77777777" w:rsidR="00FE5266" w:rsidRDefault="00FE5266" w:rsidP="00FE5266">
      <w:pPr>
        <w:pStyle w:val="dotpoint"/>
      </w:pPr>
      <w:r>
        <w:t>require disclosure in the form of a product disclosure statement under Part 7.9</w:t>
      </w:r>
      <w:r w:rsidR="003D7B24">
        <w:t xml:space="preserve"> (Financial product disclosure)</w:t>
      </w:r>
      <w:r>
        <w:t xml:space="preserve"> of the Corporations Act;</w:t>
      </w:r>
    </w:p>
    <w:p w14:paraId="67524E38" w14:textId="77777777" w:rsidR="00FE5266" w:rsidRDefault="00FE5266" w:rsidP="00FE5266">
      <w:pPr>
        <w:pStyle w:val="dotpoint"/>
      </w:pPr>
      <w:r>
        <w:t>require disclosure</w:t>
      </w:r>
      <w:r w:rsidR="003D7B24">
        <w:t xml:space="preserve"> to investors </w:t>
      </w:r>
      <w:r>
        <w:t>under Chapter 6D</w:t>
      </w:r>
      <w:r w:rsidR="003D7B24">
        <w:t xml:space="preserve"> (Fundraising)</w:t>
      </w:r>
      <w:r>
        <w:t xml:space="preserve"> of the Corporations Act; and</w:t>
      </w:r>
    </w:p>
    <w:p w14:paraId="19C758B0" w14:textId="77777777" w:rsidR="00291BA4" w:rsidRPr="00F22DEA" w:rsidRDefault="003D7B24" w:rsidP="00F22DEA">
      <w:pPr>
        <w:pStyle w:val="dotpoint"/>
        <w:rPr>
          <w:rStyle w:val="Referencingstyle"/>
          <w:b w:val="0"/>
          <w:i w:val="0"/>
          <w:sz w:val="22"/>
        </w:rPr>
      </w:pPr>
      <w:r>
        <w:t xml:space="preserve">are </w:t>
      </w:r>
      <w:r w:rsidRPr="003D7B24">
        <w:t>exempt</w:t>
      </w:r>
      <w:r w:rsidR="00B94B98">
        <w:t xml:space="preserve"> from </w:t>
      </w:r>
      <w:r>
        <w:t>disclosure</w:t>
      </w:r>
      <w:r w:rsidR="00B94B98">
        <w:t xml:space="preserve"> under Part 7.9 and Chapter 6D of the Corporations Act due to the</w:t>
      </w:r>
      <w:r>
        <w:t xml:space="preserve"> mutual recognition scheme</w:t>
      </w:r>
      <w:r w:rsidR="00B94B98">
        <w:t xml:space="preserve"> contained in Chapter 8 of the Corporations Act</w:t>
      </w:r>
      <w:r>
        <w:t>.</w:t>
      </w:r>
      <w:r w:rsidR="00331C5B">
        <w:rPr>
          <w:rStyle w:val="Referencingstyle"/>
        </w:rPr>
        <w:t xml:space="preserve"> </w:t>
      </w:r>
    </w:p>
    <w:p w14:paraId="5B8FADE2" w14:textId="0FA21E26" w:rsidR="00B94B98" w:rsidRPr="0085568E" w:rsidRDefault="00B94B98" w:rsidP="00F22DEA">
      <w:pPr>
        <w:pStyle w:val="dotpoint"/>
        <w:numPr>
          <w:ilvl w:val="0"/>
          <w:numId w:val="0"/>
        </w:numPr>
        <w:ind w:left="2268"/>
        <w:rPr>
          <w:rStyle w:val="Referencingstyle"/>
          <w:b w:val="0"/>
          <w:i w:val="0"/>
          <w:sz w:val="22"/>
        </w:rPr>
      </w:pPr>
      <w:r>
        <w:rPr>
          <w:rStyle w:val="Referencingstyle"/>
        </w:rPr>
        <w:t xml:space="preserve">[Schedule 1, item </w:t>
      </w:r>
      <w:r w:rsidR="000726C0">
        <w:rPr>
          <w:rStyle w:val="Referencingstyle"/>
        </w:rPr>
        <w:t>5</w:t>
      </w:r>
      <w:r>
        <w:rPr>
          <w:rStyle w:val="Referencingstyle"/>
        </w:rPr>
        <w:t>, sub</w:t>
      </w:r>
      <w:r w:rsidR="000726C0">
        <w:rPr>
          <w:rStyle w:val="Referencingstyle"/>
        </w:rPr>
        <w:t>paragraphs</w:t>
      </w:r>
      <w:r>
        <w:rPr>
          <w:rStyle w:val="Referencingstyle"/>
        </w:rPr>
        <w:t xml:space="preserve"> 99</w:t>
      </w:r>
      <w:r w:rsidR="000726C0">
        <w:rPr>
          <w:rStyle w:val="Referencingstyle"/>
        </w:rPr>
        <w:t>4</w:t>
      </w:r>
      <w:r>
        <w:rPr>
          <w:rStyle w:val="Referencingstyle"/>
        </w:rPr>
        <w:t>B(1)(a)-(c)</w:t>
      </w:r>
      <w:r w:rsidRPr="00B94B98">
        <w:rPr>
          <w:rStyle w:val="Referencingstyle"/>
        </w:rPr>
        <w:t xml:space="preserve"> of</w:t>
      </w:r>
      <w:r>
        <w:rPr>
          <w:rStyle w:val="Referencingstyle"/>
        </w:rPr>
        <w:t xml:space="preserve"> the Corporations Act</w:t>
      </w:r>
      <w:r w:rsidRPr="00B94B98">
        <w:rPr>
          <w:rStyle w:val="Referencingstyle"/>
        </w:rPr>
        <w:t xml:space="preserve">] </w:t>
      </w:r>
    </w:p>
    <w:p w14:paraId="63526DA9" w14:textId="67E16C6D" w:rsidR="00DD7A1E" w:rsidRPr="00D9722F" w:rsidRDefault="00DD7A1E" w:rsidP="00A24AD2">
      <w:pPr>
        <w:pStyle w:val="base-text-paragraph"/>
      </w:pPr>
      <w:r w:rsidRPr="00155ABB">
        <w:t>What is a financial product is determined</w:t>
      </w:r>
      <w:r w:rsidR="0021641D" w:rsidRPr="00D9722F">
        <w:t xml:space="preserve"> according to the ex</w:t>
      </w:r>
      <w:r w:rsidR="0021641D" w:rsidRPr="006A07F5">
        <w:t xml:space="preserve">isting </w:t>
      </w:r>
      <w:r w:rsidR="0021641D">
        <w:t>provision</w:t>
      </w:r>
      <w:r w:rsidR="00EB72A7">
        <w:t>s</w:t>
      </w:r>
      <w:r w:rsidRPr="00155ABB">
        <w:t xml:space="preserve"> of Division 3</w:t>
      </w:r>
      <w:r w:rsidR="0069334B">
        <w:t xml:space="preserve"> of Part 7.1</w:t>
      </w:r>
      <w:r w:rsidRPr="00155ABB">
        <w:t xml:space="preserve"> of the Corporations Act and applicable definitions in Chapter 7.</w:t>
      </w:r>
      <w:r w:rsidR="00A965FB">
        <w:rPr>
          <w:rStyle w:val="FootnoteReference"/>
        </w:rPr>
        <w:footnoteReference w:id="7"/>
      </w:r>
      <w:r w:rsidRPr="00155ABB">
        <w:t xml:space="preserve"> </w:t>
      </w:r>
    </w:p>
    <w:p w14:paraId="186FA668" w14:textId="44651370" w:rsidR="0024263A" w:rsidRPr="00155ABB" w:rsidRDefault="00086EC9" w:rsidP="00155ABB">
      <w:pPr>
        <w:pStyle w:val="base-text-paragraph"/>
        <w:rPr>
          <w:b/>
          <w:i/>
          <w:sz w:val="18"/>
        </w:rPr>
      </w:pPr>
      <w:r>
        <w:t>S</w:t>
      </w:r>
      <w:r w:rsidR="008D3E9D">
        <w:t xml:space="preserve">ome products </w:t>
      </w:r>
      <w:r w:rsidR="00DD4F48">
        <w:t>requiring</w:t>
      </w:r>
      <w:r w:rsidR="008D3E9D">
        <w:t xml:space="preserve"> disclosure are exempt from the new regime</w:t>
      </w:r>
      <w:r w:rsidR="00DD4F48">
        <w:t>:</w:t>
      </w:r>
      <w:r w:rsidR="008D3E9D">
        <w:t xml:space="preserve"> MySuper products, margin lending facilities, securities </w:t>
      </w:r>
      <w:r w:rsidR="006E179E">
        <w:t>issued under</w:t>
      </w:r>
      <w:r w:rsidR="008D3E9D">
        <w:t xml:space="preserve"> an employee share scheme and</w:t>
      </w:r>
      <w:r w:rsidR="00564713">
        <w:t xml:space="preserve"> fully-paid</w:t>
      </w:r>
      <w:r w:rsidR="008D3E9D">
        <w:t xml:space="preserve"> ordinary shares. T</w:t>
      </w:r>
      <w:r w:rsidR="00B94B98">
        <w:t>he</w:t>
      </w:r>
      <w:r w:rsidR="008D3E9D">
        <w:t xml:space="preserve"> regulations may also apply the new regime to additional financial products or provide additional exemptions from its operation.</w:t>
      </w:r>
      <w:r w:rsidR="00A24AD2">
        <w:t xml:space="preserve"> </w:t>
      </w:r>
      <w:r w:rsidR="00A24AD2">
        <w:rPr>
          <w:rStyle w:val="Referencingstyle"/>
        </w:rPr>
        <w:t xml:space="preserve">[Schedule 1, item </w:t>
      </w:r>
      <w:r w:rsidR="000726C0">
        <w:rPr>
          <w:rStyle w:val="Referencingstyle"/>
        </w:rPr>
        <w:t>5</w:t>
      </w:r>
      <w:r w:rsidR="00A24AD2" w:rsidRPr="00A24AD2">
        <w:rPr>
          <w:rStyle w:val="Referencingstyle"/>
        </w:rPr>
        <w:t xml:space="preserve">, </w:t>
      </w:r>
      <w:r w:rsidR="00FD7E2D">
        <w:rPr>
          <w:rStyle w:val="Referencingstyle"/>
        </w:rPr>
        <w:t>section 99</w:t>
      </w:r>
      <w:r w:rsidR="00C86C67">
        <w:rPr>
          <w:rStyle w:val="Referencingstyle"/>
        </w:rPr>
        <w:t>4</w:t>
      </w:r>
      <w:r w:rsidR="00FD7E2D">
        <w:rPr>
          <w:rStyle w:val="Referencingstyle"/>
        </w:rPr>
        <w:t xml:space="preserve">A, </w:t>
      </w:r>
      <w:r w:rsidR="00B156AE">
        <w:rPr>
          <w:rStyle w:val="Referencingstyle"/>
        </w:rPr>
        <w:t>paragraph</w:t>
      </w:r>
      <w:r w:rsidR="00A24AD2">
        <w:rPr>
          <w:rStyle w:val="Referencingstyle"/>
        </w:rPr>
        <w:t xml:space="preserve"> 99</w:t>
      </w:r>
      <w:r w:rsidR="00CC5C10">
        <w:rPr>
          <w:rStyle w:val="Referencingstyle"/>
        </w:rPr>
        <w:t>4</w:t>
      </w:r>
      <w:r w:rsidR="00A24AD2">
        <w:rPr>
          <w:rStyle w:val="Referencingstyle"/>
        </w:rPr>
        <w:t>B(1)</w:t>
      </w:r>
      <w:r w:rsidR="00B156AE">
        <w:rPr>
          <w:rStyle w:val="Referencingstyle"/>
        </w:rPr>
        <w:t>(d)</w:t>
      </w:r>
      <w:r w:rsidR="00A24AD2">
        <w:rPr>
          <w:rStyle w:val="Referencingstyle"/>
        </w:rPr>
        <w:t xml:space="preserve"> and</w:t>
      </w:r>
      <w:r w:rsidR="00B156AE">
        <w:rPr>
          <w:rStyle w:val="Referencingstyle"/>
        </w:rPr>
        <w:t xml:space="preserve"> </w:t>
      </w:r>
      <w:r w:rsidR="00CC5C10">
        <w:rPr>
          <w:rStyle w:val="Referencingstyle"/>
        </w:rPr>
        <w:t>paragraph</w:t>
      </w:r>
      <w:r w:rsidR="00A24AD2">
        <w:rPr>
          <w:rStyle w:val="Referencingstyle"/>
        </w:rPr>
        <w:t xml:space="preserve"> 99</w:t>
      </w:r>
      <w:r w:rsidR="00C86C67">
        <w:rPr>
          <w:rStyle w:val="Referencingstyle"/>
        </w:rPr>
        <w:t>4</w:t>
      </w:r>
      <w:r w:rsidR="00A24AD2">
        <w:rPr>
          <w:rStyle w:val="Referencingstyle"/>
        </w:rPr>
        <w:t>B(</w:t>
      </w:r>
      <w:r w:rsidR="00CC5C10">
        <w:rPr>
          <w:rStyle w:val="Referencingstyle"/>
        </w:rPr>
        <w:t>3</w:t>
      </w:r>
      <w:r w:rsidR="00A24AD2">
        <w:rPr>
          <w:rStyle w:val="Referencingstyle"/>
        </w:rPr>
        <w:t>)</w:t>
      </w:r>
      <w:r w:rsidR="00CC5C10">
        <w:rPr>
          <w:rStyle w:val="Referencingstyle"/>
        </w:rPr>
        <w:t>(e)</w:t>
      </w:r>
      <w:r w:rsidR="00A24AD2" w:rsidRPr="00A24AD2">
        <w:rPr>
          <w:rStyle w:val="Referencingstyle"/>
        </w:rPr>
        <w:t xml:space="preserve"> of</w:t>
      </w:r>
      <w:r w:rsidR="00A24AD2">
        <w:rPr>
          <w:rStyle w:val="Referencingstyle"/>
        </w:rPr>
        <w:t xml:space="preserve"> the Corporations</w:t>
      </w:r>
      <w:r w:rsidR="00A24AD2" w:rsidRPr="00A24AD2">
        <w:rPr>
          <w:rStyle w:val="Referencingstyle"/>
        </w:rPr>
        <w:t xml:space="preserve"> Act] </w:t>
      </w:r>
    </w:p>
    <w:p w14:paraId="745F7945" w14:textId="77777777" w:rsidR="008D3E9D" w:rsidRDefault="0099074F" w:rsidP="008D3E9D">
      <w:pPr>
        <w:pStyle w:val="Heading3"/>
      </w:pPr>
      <w:r>
        <w:t>Financial products requiring a PDS</w:t>
      </w:r>
    </w:p>
    <w:p w14:paraId="0DBC4E12" w14:textId="29147AAF" w:rsidR="008D3E9D" w:rsidRDefault="0099074F" w:rsidP="0099074F">
      <w:pPr>
        <w:pStyle w:val="base-text-paragraph"/>
      </w:pPr>
      <w:r>
        <w:t>The new design and distribution regime generally applies to a financial product</w:t>
      </w:r>
      <w:r>
        <w:rPr>
          <w:rStyle w:val="FootnoteReference"/>
        </w:rPr>
        <w:footnoteReference w:id="8"/>
      </w:r>
      <w:r>
        <w:t xml:space="preserve"> if </w:t>
      </w:r>
      <w:r w:rsidR="00333C18">
        <w:t>a</w:t>
      </w:r>
      <w:r>
        <w:t xml:space="preserve"> disclosure</w:t>
      </w:r>
      <w:r w:rsidR="00333C18">
        <w:t xml:space="preserve"> document</w:t>
      </w:r>
      <w:r>
        <w:t xml:space="preserve"> in the form of a PDS</w:t>
      </w:r>
      <w:r w:rsidR="00333C18">
        <w:t xml:space="preserve"> must be prepared for it</w:t>
      </w:r>
      <w:r>
        <w:t>.</w:t>
      </w:r>
      <w:r w:rsidR="0024263A">
        <w:t xml:space="preserve"> Under Subdivision C of Division 2 of Part 7.9 of the Corporations Act a PDS has to be prepared where </w:t>
      </w:r>
      <w:r w:rsidR="00331C5B">
        <w:t>one</w:t>
      </w:r>
      <w:r w:rsidR="0024263A">
        <w:t xml:space="preserve"> is required to be given</w:t>
      </w:r>
      <w:r w:rsidR="00331C5B">
        <w:t xml:space="preserve"> under</w:t>
      </w:r>
      <w:r>
        <w:t xml:space="preserve"> Subdivision B</w:t>
      </w:r>
      <w:r w:rsidR="00331C5B">
        <w:t xml:space="preserve"> of the same division and part of the Act</w:t>
      </w:r>
      <w:r>
        <w:t>. In particular, sections 1012A and 1012B provide that a PDS must be given whenever a regulated person</w:t>
      </w:r>
      <w:r>
        <w:rPr>
          <w:rStyle w:val="FootnoteReference"/>
        </w:rPr>
        <w:footnoteReference w:id="9"/>
      </w:r>
      <w:r>
        <w:t xml:space="preserve"> recommends or issues a financial product</w:t>
      </w:r>
      <w:r w:rsidR="00331C5B">
        <w:t xml:space="preserve"> to a retail client</w:t>
      </w:r>
      <w:r>
        <w:t xml:space="preserve">. </w:t>
      </w:r>
      <w:r w:rsidR="00A24AD2">
        <w:rPr>
          <w:rStyle w:val="Referencingstyle"/>
        </w:rPr>
        <w:t xml:space="preserve">[Schedule 1, item </w:t>
      </w:r>
      <w:r w:rsidR="0024263A">
        <w:rPr>
          <w:rStyle w:val="Referencingstyle"/>
        </w:rPr>
        <w:t>5</w:t>
      </w:r>
      <w:r w:rsidR="00A24AD2" w:rsidRPr="00A24AD2">
        <w:rPr>
          <w:rStyle w:val="Referencingstyle"/>
        </w:rPr>
        <w:t xml:space="preserve">, </w:t>
      </w:r>
      <w:r w:rsidR="00A24AD2">
        <w:rPr>
          <w:rStyle w:val="Referencingstyle"/>
        </w:rPr>
        <w:t>paragraph 99</w:t>
      </w:r>
      <w:r w:rsidR="0024263A">
        <w:rPr>
          <w:rStyle w:val="Referencingstyle"/>
        </w:rPr>
        <w:t>4</w:t>
      </w:r>
      <w:r w:rsidR="00A24AD2">
        <w:rPr>
          <w:rStyle w:val="Referencingstyle"/>
        </w:rPr>
        <w:t>B(1)</w:t>
      </w:r>
      <w:r w:rsidR="0021309C">
        <w:rPr>
          <w:rStyle w:val="Referencingstyle"/>
        </w:rPr>
        <w:t>(b</w:t>
      </w:r>
      <w:r w:rsidR="00A24AD2">
        <w:rPr>
          <w:rStyle w:val="Referencingstyle"/>
        </w:rPr>
        <w:t xml:space="preserve">) </w:t>
      </w:r>
      <w:r w:rsidR="00A24AD2" w:rsidRPr="00A24AD2">
        <w:rPr>
          <w:rStyle w:val="Referencingstyle"/>
        </w:rPr>
        <w:t>of</w:t>
      </w:r>
      <w:r w:rsidR="00A24AD2">
        <w:rPr>
          <w:rStyle w:val="Referencingstyle"/>
        </w:rPr>
        <w:t xml:space="preserve"> the Corporations</w:t>
      </w:r>
      <w:r w:rsidR="00331C5B">
        <w:rPr>
          <w:rStyle w:val="Referencingstyle"/>
        </w:rPr>
        <w:t xml:space="preserve"> </w:t>
      </w:r>
      <w:r w:rsidR="00A24AD2" w:rsidRPr="00A24AD2">
        <w:rPr>
          <w:rStyle w:val="Referencingstyle"/>
        </w:rPr>
        <w:t>Act]</w:t>
      </w:r>
    </w:p>
    <w:p w14:paraId="0C0BC1B6" w14:textId="74A78135" w:rsidR="0099074F" w:rsidRPr="0099074F" w:rsidRDefault="0099074F" w:rsidP="0099074F">
      <w:pPr>
        <w:pStyle w:val="base-text-paragraph"/>
      </w:pPr>
      <w:r>
        <w:t xml:space="preserve">A </w:t>
      </w:r>
      <w:r w:rsidR="007A444C">
        <w:t xml:space="preserve">regulated person </w:t>
      </w:r>
      <w:r w:rsidR="00DD4F48">
        <w:t xml:space="preserve">does not </w:t>
      </w:r>
      <w:r w:rsidR="007A444C">
        <w:t>generally need to</w:t>
      </w:r>
      <w:r w:rsidR="00DD4F48">
        <w:t xml:space="preserve"> give a</w:t>
      </w:r>
      <w:r>
        <w:t xml:space="preserve"> PDS </w:t>
      </w:r>
      <w:r w:rsidRPr="0099074F">
        <w:t>in relation to a sale of a financial product. A sale occurs when a financial product is sold by, or purchased from, a person who acquired the product at or after its issue.</w:t>
      </w:r>
      <w:r>
        <w:rPr>
          <w:rStyle w:val="FootnoteReference"/>
        </w:rPr>
        <w:footnoteReference w:id="10"/>
      </w:r>
      <w:r w:rsidRPr="0099074F">
        <w:t xml:space="preserve">  However, section 1012C requires a PDS to be given in sale situations which could otherwise be used to avoid the requirement to give a PDS. These situations include: off-market sales where the seller controls the issuer; sales amounting to an indirect issue; and indirect off-market sales where the seller controls the issuer.</w:t>
      </w:r>
      <w:r w:rsidR="00862F6A">
        <w:t xml:space="preserve"> The term ‘regulated sale’ is used to describe these sale situations</w:t>
      </w:r>
      <w:r w:rsidR="000F1F48">
        <w:t xml:space="preserve"> in the new </w:t>
      </w:r>
      <w:r w:rsidR="000C4C16">
        <w:t>regime</w:t>
      </w:r>
      <w:r w:rsidR="00862F6A">
        <w:t>.</w:t>
      </w:r>
      <w:r w:rsidR="00140649">
        <w:t xml:space="preserve"> </w:t>
      </w:r>
      <w:r w:rsidR="00140649">
        <w:rPr>
          <w:rStyle w:val="Referencingstyle"/>
        </w:rPr>
        <w:t xml:space="preserve">[Schedule 1, item </w:t>
      </w:r>
      <w:r w:rsidR="00A4536B">
        <w:rPr>
          <w:rStyle w:val="Referencingstyle"/>
        </w:rPr>
        <w:t>5</w:t>
      </w:r>
      <w:r w:rsidR="00140649" w:rsidRPr="00A24AD2">
        <w:rPr>
          <w:rStyle w:val="Referencingstyle"/>
        </w:rPr>
        <w:t>,</w:t>
      </w:r>
      <w:r w:rsidR="00FD7E2D">
        <w:rPr>
          <w:rStyle w:val="Referencingstyle"/>
        </w:rPr>
        <w:t xml:space="preserve"> section 99</w:t>
      </w:r>
      <w:r w:rsidR="00A4536B">
        <w:rPr>
          <w:rStyle w:val="Referencingstyle"/>
        </w:rPr>
        <w:t>4</w:t>
      </w:r>
      <w:r w:rsidR="00FD7E2D">
        <w:rPr>
          <w:rStyle w:val="Referencingstyle"/>
        </w:rPr>
        <w:t>A,</w:t>
      </w:r>
      <w:r w:rsidR="00140649" w:rsidRPr="00A24AD2">
        <w:rPr>
          <w:rStyle w:val="Referencingstyle"/>
        </w:rPr>
        <w:t xml:space="preserve"> </w:t>
      </w:r>
      <w:r w:rsidR="00140649">
        <w:rPr>
          <w:rStyle w:val="Referencingstyle"/>
        </w:rPr>
        <w:t>paragraph 99</w:t>
      </w:r>
      <w:r w:rsidR="00A4536B">
        <w:rPr>
          <w:rStyle w:val="Referencingstyle"/>
        </w:rPr>
        <w:t>4</w:t>
      </w:r>
      <w:r w:rsidR="00140649">
        <w:rPr>
          <w:rStyle w:val="Referencingstyle"/>
        </w:rPr>
        <w:t>B(1)</w:t>
      </w:r>
      <w:r w:rsidR="00A4536B">
        <w:rPr>
          <w:rStyle w:val="Referencingstyle"/>
        </w:rPr>
        <w:t>(b)</w:t>
      </w:r>
      <w:r w:rsidR="00140649">
        <w:rPr>
          <w:rStyle w:val="Referencingstyle"/>
        </w:rPr>
        <w:t xml:space="preserve"> </w:t>
      </w:r>
      <w:r w:rsidR="00140649" w:rsidRPr="00A24AD2">
        <w:rPr>
          <w:rStyle w:val="Referencingstyle"/>
        </w:rPr>
        <w:t>of</w:t>
      </w:r>
      <w:r w:rsidR="00140649">
        <w:rPr>
          <w:rStyle w:val="Referencingstyle"/>
        </w:rPr>
        <w:t xml:space="preserve"> the Corporations</w:t>
      </w:r>
      <w:r w:rsidR="00140649" w:rsidRPr="00A24AD2">
        <w:rPr>
          <w:rStyle w:val="Referencingstyle"/>
        </w:rPr>
        <w:t xml:space="preserve"> Act]</w:t>
      </w:r>
      <w:r w:rsidRPr="0099074F">
        <w:t xml:space="preserve"> </w:t>
      </w:r>
    </w:p>
    <w:p w14:paraId="3A132D4C" w14:textId="0E4E3699" w:rsidR="00D0124F" w:rsidRDefault="00D0124F" w:rsidP="00D0124F">
      <w:pPr>
        <w:pStyle w:val="base-text-paragraph"/>
      </w:pPr>
      <w:r w:rsidRPr="00D0124F">
        <w:t>There are several benefits of linking the new design</w:t>
      </w:r>
      <w:r w:rsidR="00331C5B">
        <w:t xml:space="preserve"> and distribution</w:t>
      </w:r>
      <w:r w:rsidRPr="00D0124F">
        <w:t xml:space="preserve"> obligations to the existing requirement to provide</w:t>
      </w:r>
      <w:r>
        <w:t xml:space="preserve"> a PDS. </w:t>
      </w:r>
      <w:r w:rsidR="00DD4F48">
        <w:t>It</w:t>
      </w:r>
      <w:r>
        <w:t xml:space="preserve">: </w:t>
      </w:r>
    </w:p>
    <w:p w14:paraId="0CBD8FB5" w14:textId="77777777" w:rsidR="000B38D6" w:rsidRDefault="00D0124F" w:rsidP="00D0124F">
      <w:pPr>
        <w:pStyle w:val="dotpoint"/>
      </w:pPr>
      <w:r>
        <w:t>links the new regime to the principal pro</w:t>
      </w:r>
      <w:r w:rsidR="000B38D6">
        <w:t>blem it seeks</w:t>
      </w:r>
      <w:r>
        <w:t xml:space="preserve"> to address</w:t>
      </w:r>
      <w:r w:rsidR="000B38D6">
        <w:t>, that is, shortcomings of the current disclosure regime</w:t>
      </w:r>
      <w:r>
        <w:t xml:space="preserve">; </w:t>
      </w:r>
    </w:p>
    <w:p w14:paraId="5F3ED716" w14:textId="77777777" w:rsidR="000B38D6" w:rsidRDefault="00D0124F" w:rsidP="00D0124F">
      <w:pPr>
        <w:pStyle w:val="dotpoint"/>
      </w:pPr>
      <w:r w:rsidRPr="00D0124F">
        <w:t xml:space="preserve">provides </w:t>
      </w:r>
      <w:r>
        <w:t>clarity</w:t>
      </w:r>
      <w:r w:rsidR="000B38D6">
        <w:t xml:space="preserve"> </w:t>
      </w:r>
      <w:r w:rsidR="005D491D">
        <w:t>about</w:t>
      </w:r>
      <w:r w:rsidR="000B38D6">
        <w:t xml:space="preserve"> when the new regime applies</w:t>
      </w:r>
      <w:r w:rsidRPr="00D0124F">
        <w:t>, reducing uncertainty and compliance costs</w:t>
      </w:r>
      <w:r>
        <w:t xml:space="preserve"> for business</w:t>
      </w:r>
      <w:r w:rsidR="000B38D6">
        <w:t>; and</w:t>
      </w:r>
      <w:r>
        <w:t xml:space="preserve"> </w:t>
      </w:r>
    </w:p>
    <w:p w14:paraId="08CE5A03" w14:textId="77777777" w:rsidR="00D0124F" w:rsidRDefault="006F6BF6" w:rsidP="00D0124F">
      <w:pPr>
        <w:pStyle w:val="dotpoint"/>
      </w:pPr>
      <w:r>
        <w:t>allows</w:t>
      </w:r>
      <w:r w:rsidR="005D491D">
        <w:t xml:space="preserve"> </w:t>
      </w:r>
      <w:r w:rsidR="000B38D6">
        <w:t>the</w:t>
      </w:r>
      <w:r w:rsidR="00D0124F" w:rsidRPr="00D0124F">
        <w:t xml:space="preserve"> existing legislative framework for PDSs</w:t>
      </w:r>
      <w:r w:rsidR="008177AD">
        <w:t xml:space="preserve"> to</w:t>
      </w:r>
      <w:r w:rsidR="000B38D6">
        <w:t xml:space="preserve"> apply</w:t>
      </w:r>
      <w:r w:rsidR="00B63353">
        <w:t xml:space="preserve"> </w:t>
      </w:r>
      <w:r w:rsidR="000B38D6">
        <w:t>to the new regime.</w:t>
      </w:r>
      <w:r w:rsidR="000B38D6">
        <w:rPr>
          <w:rStyle w:val="FootnoteReference"/>
        </w:rPr>
        <w:footnoteReference w:id="11"/>
      </w:r>
      <w:r w:rsidR="00D0124F" w:rsidRPr="00D0124F">
        <w:t xml:space="preserve"> </w:t>
      </w:r>
    </w:p>
    <w:p w14:paraId="6F5FD198" w14:textId="13F6EED3" w:rsidR="00A24AD2" w:rsidRDefault="00884FA9" w:rsidP="00884FA9">
      <w:pPr>
        <w:pStyle w:val="base-text-paragraph"/>
      </w:pPr>
      <w:r>
        <w:t>Nonetheless, some financial products requir</w:t>
      </w:r>
      <w:r w:rsidR="006F6BF6">
        <w:t>ing</w:t>
      </w:r>
      <w:r>
        <w:t xml:space="preserve"> a PDS </w:t>
      </w:r>
      <w:r w:rsidR="00883D92">
        <w:t>are not subject</w:t>
      </w:r>
      <w:r>
        <w:t xml:space="preserve"> to the new design and</w:t>
      </w:r>
      <w:r w:rsidR="00791F90">
        <w:t xml:space="preserve"> distribution regime</w:t>
      </w:r>
      <w:r w:rsidR="005D491D">
        <w:t>:</w:t>
      </w:r>
      <w:r w:rsidR="00791F90">
        <w:t xml:space="preserve"> MySuper products and margin lending facilities</w:t>
      </w:r>
      <w:r w:rsidR="00861999">
        <w:t>.</w:t>
      </w:r>
      <w:r w:rsidR="0085568E">
        <w:rPr>
          <w:rStyle w:val="FootnoteReference"/>
        </w:rPr>
        <w:footnoteReference w:id="12"/>
      </w:r>
      <w:r w:rsidR="00791F90">
        <w:t xml:space="preserve"> These produc</w:t>
      </w:r>
      <w:r w:rsidR="00883D92">
        <w:t>ts are currently subject to product-specific regulations</w:t>
      </w:r>
      <w:r w:rsidR="00791F90">
        <w:t xml:space="preserve"> </w:t>
      </w:r>
      <w:r w:rsidR="002124C3">
        <w:t xml:space="preserve">that </w:t>
      </w:r>
      <w:r w:rsidR="00EC3E64">
        <w:t xml:space="preserve">are also aimed at ensuring that </w:t>
      </w:r>
      <w:r w:rsidR="002A4C00">
        <w:t xml:space="preserve">firms provide appropriate </w:t>
      </w:r>
      <w:r w:rsidR="00EC3E64">
        <w:t xml:space="preserve">products </w:t>
      </w:r>
      <w:r w:rsidR="002A4C00">
        <w:t xml:space="preserve">to </w:t>
      </w:r>
      <w:r w:rsidR="00EC3E64">
        <w:t>consumers</w:t>
      </w:r>
      <w:r w:rsidR="00C07615">
        <w:t>.</w:t>
      </w:r>
      <w:r w:rsidR="00000E70">
        <w:rPr>
          <w:rStyle w:val="FootnoteReference"/>
        </w:rPr>
        <w:footnoteReference w:id="13"/>
      </w:r>
      <w:r w:rsidR="002E0E77">
        <w:t xml:space="preserve"> </w:t>
      </w:r>
      <w:r w:rsidR="00265C48">
        <w:t xml:space="preserve">MySuper products are subject to special rules under the </w:t>
      </w:r>
      <w:r w:rsidR="00265C48" w:rsidRPr="003E5586">
        <w:rPr>
          <w:i/>
          <w:iCs/>
          <w:szCs w:val="22"/>
        </w:rPr>
        <w:t xml:space="preserve">Superannuation </w:t>
      </w:r>
      <w:r w:rsidR="00265C48">
        <w:rPr>
          <w:i/>
          <w:iCs/>
          <w:szCs w:val="22"/>
        </w:rPr>
        <w:t>Industry (Supervision) Act 1993.</w:t>
      </w:r>
      <w:r w:rsidR="000D32A5">
        <w:rPr>
          <w:i/>
          <w:iCs/>
          <w:szCs w:val="22"/>
        </w:rPr>
        <w:t xml:space="preserve"> </w:t>
      </w:r>
      <w:r w:rsidR="00000E70">
        <w:rPr>
          <w:iCs/>
          <w:szCs w:val="22"/>
        </w:rPr>
        <w:t xml:space="preserve">Similarly, </w:t>
      </w:r>
      <w:r w:rsidR="002E0E77">
        <w:t>margin lending facilities are subject to Division</w:t>
      </w:r>
      <w:r w:rsidR="00000E70">
        <w:t xml:space="preserve"> 4A (special provisions relating to margin lending facilities) of Part 7.8 of the Corporations Act.</w:t>
      </w:r>
      <w:r w:rsidR="00A24AD2">
        <w:t xml:space="preserve"> </w:t>
      </w:r>
      <w:r w:rsidR="00A24AD2">
        <w:rPr>
          <w:rStyle w:val="Referencingstyle"/>
        </w:rPr>
        <w:t xml:space="preserve">[Schedule 1, item </w:t>
      </w:r>
      <w:r w:rsidR="007A795C">
        <w:rPr>
          <w:rStyle w:val="Referencingstyle"/>
        </w:rPr>
        <w:t>5</w:t>
      </w:r>
      <w:r w:rsidR="00A24AD2" w:rsidRPr="00A24AD2">
        <w:rPr>
          <w:rStyle w:val="Referencingstyle"/>
        </w:rPr>
        <w:t xml:space="preserve">, </w:t>
      </w:r>
      <w:r w:rsidR="00A24AD2">
        <w:rPr>
          <w:rStyle w:val="Referencingstyle"/>
        </w:rPr>
        <w:t>subsection 99</w:t>
      </w:r>
      <w:r w:rsidR="007A795C">
        <w:rPr>
          <w:rStyle w:val="Referencingstyle"/>
        </w:rPr>
        <w:t>4</w:t>
      </w:r>
      <w:r w:rsidR="00A24AD2">
        <w:rPr>
          <w:rStyle w:val="Referencingstyle"/>
        </w:rPr>
        <w:t>B(</w:t>
      </w:r>
      <w:r w:rsidR="007A795C">
        <w:rPr>
          <w:rStyle w:val="Referencingstyle"/>
        </w:rPr>
        <w:t>3</w:t>
      </w:r>
      <w:r w:rsidR="00A24AD2">
        <w:rPr>
          <w:rStyle w:val="Referencingstyle"/>
        </w:rPr>
        <w:t>)</w:t>
      </w:r>
      <w:r w:rsidR="00A24AD2" w:rsidRPr="00A24AD2">
        <w:rPr>
          <w:rStyle w:val="Referencingstyle"/>
        </w:rPr>
        <w:t xml:space="preserve"> of</w:t>
      </w:r>
      <w:r w:rsidR="00A24AD2">
        <w:rPr>
          <w:rStyle w:val="Referencingstyle"/>
        </w:rPr>
        <w:t xml:space="preserve"> the Corporations</w:t>
      </w:r>
      <w:r w:rsidR="00A24AD2" w:rsidRPr="00A24AD2">
        <w:rPr>
          <w:rStyle w:val="Referencingstyle"/>
        </w:rPr>
        <w:t xml:space="preserve"> Act]</w:t>
      </w:r>
    </w:p>
    <w:p w14:paraId="49F8B060" w14:textId="77777777" w:rsidR="0099074F" w:rsidRDefault="00A24AD2" w:rsidP="00A24AD2">
      <w:pPr>
        <w:pStyle w:val="Heading3"/>
      </w:pPr>
      <w:r>
        <w:t>Securities requiring disclosure</w:t>
      </w:r>
    </w:p>
    <w:p w14:paraId="64932BF6" w14:textId="5914C012" w:rsidR="0085568E" w:rsidRDefault="0085568E" w:rsidP="0085568E">
      <w:pPr>
        <w:pStyle w:val="base-text-paragraph"/>
      </w:pPr>
      <w:r>
        <w:t xml:space="preserve">The new design and distribution regime also applies to financial products </w:t>
      </w:r>
      <w:r w:rsidR="00F862D8">
        <w:t>for which a</w:t>
      </w:r>
      <w:r>
        <w:t xml:space="preserve"> disclosure</w:t>
      </w:r>
      <w:r w:rsidR="00F862D8">
        <w:t xml:space="preserve"> document must be prepared</w:t>
      </w:r>
      <w:r>
        <w:t xml:space="preserve"> under Part 6D.2 of the Corporations Act.</w:t>
      </w:r>
      <w:r w:rsidR="00D22C8E">
        <w:t xml:space="preserve"> </w:t>
      </w:r>
      <w:r w:rsidR="0098192C">
        <w:t>Under Division 4 of Part 6D.2 a</w:t>
      </w:r>
      <w:r w:rsidR="00D22C8E">
        <w:t xml:space="preserve"> disclosure document must be prepared for offers of securities that require disclosu</w:t>
      </w:r>
      <w:r w:rsidR="0098192C">
        <w:t>re.</w:t>
      </w:r>
      <w:r w:rsidR="0021309C">
        <w:t xml:space="preserve"> </w:t>
      </w:r>
      <w:r w:rsidR="0021309C">
        <w:rPr>
          <w:rStyle w:val="Referencingstyle"/>
        </w:rPr>
        <w:t xml:space="preserve">[Schedule 1, item </w:t>
      </w:r>
      <w:r w:rsidR="00F862D8">
        <w:rPr>
          <w:rStyle w:val="Referencingstyle"/>
        </w:rPr>
        <w:t>5</w:t>
      </w:r>
      <w:r w:rsidR="0021309C" w:rsidRPr="00A24AD2">
        <w:rPr>
          <w:rStyle w:val="Referencingstyle"/>
        </w:rPr>
        <w:t xml:space="preserve">, </w:t>
      </w:r>
      <w:r w:rsidR="0021309C">
        <w:rPr>
          <w:rStyle w:val="Referencingstyle"/>
        </w:rPr>
        <w:t>paragraph 99</w:t>
      </w:r>
      <w:r w:rsidR="00F862D8">
        <w:rPr>
          <w:rStyle w:val="Referencingstyle"/>
        </w:rPr>
        <w:t>4</w:t>
      </w:r>
      <w:r w:rsidR="0021309C">
        <w:rPr>
          <w:rStyle w:val="Referencingstyle"/>
        </w:rPr>
        <w:t xml:space="preserve">B(1)(a) </w:t>
      </w:r>
      <w:r w:rsidR="0021309C" w:rsidRPr="00A24AD2">
        <w:rPr>
          <w:rStyle w:val="Referencingstyle"/>
        </w:rPr>
        <w:t>of</w:t>
      </w:r>
      <w:r w:rsidR="0021309C">
        <w:rPr>
          <w:rStyle w:val="Referencingstyle"/>
        </w:rPr>
        <w:t xml:space="preserve"> the Corporations</w:t>
      </w:r>
      <w:r w:rsidR="0021309C" w:rsidRPr="00A24AD2">
        <w:rPr>
          <w:rStyle w:val="Referencingstyle"/>
        </w:rPr>
        <w:t xml:space="preserve"> Act]</w:t>
      </w:r>
    </w:p>
    <w:p w14:paraId="7D0A7B71" w14:textId="5AEE85F4" w:rsidR="0085568E" w:rsidRDefault="0085568E" w:rsidP="0085568E">
      <w:pPr>
        <w:pStyle w:val="base-text-paragraph"/>
      </w:pPr>
      <w:r>
        <w:t>The requirement to provide a PDS does not apply to securities.</w:t>
      </w:r>
      <w:r>
        <w:rPr>
          <w:rStyle w:val="FootnoteReference"/>
        </w:rPr>
        <w:footnoteReference w:id="14"/>
      </w:r>
      <w:r>
        <w:t xml:space="preserve"> Chapter 6D of the Corporations Act provides for disclosure for offers relating to securities. Section 700 defines ‘securities’ for the purposes of Chapter 6D of the Corporations Act as meaning: a share in a body; a debenture of a body (except a simple corporate bond depository interest issued under a </w:t>
      </w:r>
      <w:r w:rsidR="005D491D">
        <w:t>two</w:t>
      </w:r>
      <w:r>
        <w:t>-part simple corporate bonds prospectus); or a legal or equitable right or interest in such a share or debenture.</w:t>
      </w:r>
      <w:r>
        <w:rPr>
          <w:rStyle w:val="FootnoteReference"/>
        </w:rPr>
        <w:footnoteReference w:id="15"/>
      </w:r>
    </w:p>
    <w:p w14:paraId="162EA0A7" w14:textId="0C194916" w:rsidR="0085568E" w:rsidRPr="0085568E" w:rsidRDefault="0085568E" w:rsidP="0085568E">
      <w:pPr>
        <w:pStyle w:val="base-text-paragraph"/>
      </w:pPr>
      <w:r w:rsidRPr="0085568E">
        <w:t>Part 6D.2</w:t>
      </w:r>
      <w:r>
        <w:t xml:space="preserve"> of the Corporations Act</w:t>
      </w:r>
      <w:r w:rsidRPr="0085568E">
        <w:t xml:space="preserve"> details when an offer of securities requires disclosure. Section 706 provides that </w:t>
      </w:r>
      <w:r w:rsidR="00E50CE5">
        <w:t xml:space="preserve">issues </w:t>
      </w:r>
      <w:r w:rsidRPr="0085568E">
        <w:t xml:space="preserve">of securities generally require disclosure and section 707 requires disclosure in </w:t>
      </w:r>
      <w:r w:rsidR="005D491D">
        <w:t xml:space="preserve">certain </w:t>
      </w:r>
      <w:r w:rsidRPr="0085568E">
        <w:t>sale situations which could otherwise be used to avoid the requirement to disclose. The sale situations covered by section</w:t>
      </w:r>
      <w:r w:rsidR="000F17DE">
        <w:t> </w:t>
      </w:r>
      <w:r w:rsidRPr="0085568E">
        <w:t xml:space="preserve">707 </w:t>
      </w:r>
      <w:r w:rsidR="00E50CE5">
        <w:t>reflect those requiring a PDS under</w:t>
      </w:r>
      <w:r w:rsidRPr="0085568E">
        <w:t xml:space="preserve"> section 1012C</w:t>
      </w:r>
      <w:r w:rsidR="00034829">
        <w:t>, referred to</w:t>
      </w:r>
      <w:r w:rsidR="00E50CE5">
        <w:t xml:space="preserve"> above.</w:t>
      </w:r>
      <w:r w:rsidR="00735928">
        <w:t xml:space="preserve"> </w:t>
      </w:r>
      <w:r w:rsidR="00E44183">
        <w:t>Again, t</w:t>
      </w:r>
      <w:r w:rsidR="00862F6A">
        <w:t>he term ‘regulated sale’</w:t>
      </w:r>
      <w:r w:rsidR="00E44183">
        <w:t xml:space="preserve"> is defined in the new regime to cover</w:t>
      </w:r>
      <w:r w:rsidR="00862F6A">
        <w:t xml:space="preserve"> these </w:t>
      </w:r>
      <w:r w:rsidR="00331C5B">
        <w:t xml:space="preserve">sale </w:t>
      </w:r>
      <w:r w:rsidR="00862F6A">
        <w:t>situations.</w:t>
      </w:r>
    </w:p>
    <w:p w14:paraId="15D5F139" w14:textId="0B95D0D6" w:rsidR="005D491D" w:rsidRDefault="00034829" w:rsidP="0085568E">
      <w:pPr>
        <w:pStyle w:val="base-text-paragraph"/>
      </w:pPr>
      <w:r>
        <w:t>Section 708 provides exceptions to the requirement to disclose under Part 6D.2</w:t>
      </w:r>
      <w:r w:rsidR="00331C5B">
        <w:t xml:space="preserve">. </w:t>
      </w:r>
      <w:r>
        <w:t xml:space="preserve">These exceptions are: </w:t>
      </w:r>
    </w:p>
    <w:p w14:paraId="4B93E748" w14:textId="77777777" w:rsidR="005D491D" w:rsidRDefault="00034829" w:rsidP="00424951">
      <w:pPr>
        <w:pStyle w:val="dotpoint"/>
      </w:pPr>
      <w:r>
        <w:t xml:space="preserve">small scale offerings; </w:t>
      </w:r>
    </w:p>
    <w:p w14:paraId="041C8B41" w14:textId="77777777" w:rsidR="005D491D" w:rsidRDefault="00034829" w:rsidP="00424951">
      <w:pPr>
        <w:pStyle w:val="dotpoint"/>
      </w:pPr>
      <w:r>
        <w:t xml:space="preserve">offers to sophisticated or professional investors; </w:t>
      </w:r>
    </w:p>
    <w:p w14:paraId="5616E4C6" w14:textId="77777777" w:rsidR="005D491D" w:rsidRDefault="00034829" w:rsidP="00424951">
      <w:pPr>
        <w:pStyle w:val="dotpoint"/>
      </w:pPr>
      <w:r>
        <w:t xml:space="preserve">certain offers to present holders of securities; </w:t>
      </w:r>
    </w:p>
    <w:p w14:paraId="4753678E" w14:textId="77777777" w:rsidR="005D491D" w:rsidRDefault="00034829" w:rsidP="00424951">
      <w:pPr>
        <w:pStyle w:val="dotpoint"/>
      </w:pPr>
      <w:r>
        <w:t xml:space="preserve">issues or sales for no consideration; </w:t>
      </w:r>
    </w:p>
    <w:p w14:paraId="65B89471" w14:textId="77777777" w:rsidR="005D491D" w:rsidRDefault="00034829" w:rsidP="00424951">
      <w:pPr>
        <w:pStyle w:val="dotpoint"/>
      </w:pPr>
      <w:r>
        <w:t xml:space="preserve">offers to people associated with a senior manager of the body; </w:t>
      </w:r>
    </w:p>
    <w:p w14:paraId="7523956E" w14:textId="77777777" w:rsidR="005D491D" w:rsidRDefault="00034829" w:rsidP="00424951">
      <w:pPr>
        <w:pStyle w:val="dotpoint"/>
      </w:pPr>
      <w:r>
        <w:t xml:space="preserve">offers under a deed of company arrangement or a compromise or arrangement under Part 5.1; </w:t>
      </w:r>
    </w:p>
    <w:p w14:paraId="712889C1" w14:textId="05F7724A" w:rsidR="005D491D" w:rsidRDefault="00034829" w:rsidP="00424951">
      <w:pPr>
        <w:pStyle w:val="dotpoint"/>
      </w:pPr>
      <w:r>
        <w:t>offers relating to takeovers</w:t>
      </w:r>
      <w:r w:rsidR="00331C5B">
        <w:t>,</w:t>
      </w:r>
      <w:r>
        <w:t xml:space="preserve"> exempt bodies (non-companies incorporated under state law</w:t>
      </w:r>
      <w:r>
        <w:rPr>
          <w:rStyle w:val="FootnoteReference"/>
        </w:rPr>
        <w:footnoteReference w:id="16"/>
      </w:r>
      <w:r w:rsidR="00331C5B">
        <w:t>)</w:t>
      </w:r>
      <w:r>
        <w:t xml:space="preserve"> and exempt public authorities; and </w:t>
      </w:r>
    </w:p>
    <w:p w14:paraId="3B39A76D" w14:textId="77777777" w:rsidR="005D491D" w:rsidRDefault="00034829" w:rsidP="00424951">
      <w:pPr>
        <w:pStyle w:val="dotpoint"/>
      </w:pPr>
      <w:r>
        <w:t>offers relating to debentures in ADIs or life insurers.</w:t>
      </w:r>
      <w:r w:rsidR="00160BD9">
        <w:t xml:space="preserve"> </w:t>
      </w:r>
    </w:p>
    <w:p w14:paraId="2DD8D33F" w14:textId="77777777" w:rsidR="0085568E" w:rsidRDefault="00160BD9" w:rsidP="00155ABB">
      <w:pPr>
        <w:pStyle w:val="base-text-paragraph"/>
      </w:pPr>
      <w:r>
        <w:t>As these products are excluded from disclosure under Part 6D.2, they are not subject to the new design and distribution regime.</w:t>
      </w:r>
    </w:p>
    <w:p w14:paraId="722CD8C6" w14:textId="77777777" w:rsidR="00160BD9" w:rsidRDefault="00160BD9" w:rsidP="0085568E">
      <w:pPr>
        <w:pStyle w:val="base-text-paragraph"/>
      </w:pPr>
      <w:r>
        <w:t>There are benefits of linking the application of the design and distribution regime to the requirement to disclose under Part 6D.2. These are similar to those already discussed in the context of products requiring a PDS.</w:t>
      </w:r>
    </w:p>
    <w:p w14:paraId="044E0C13" w14:textId="69F09F47" w:rsidR="00A5204E" w:rsidRDefault="00A67C44" w:rsidP="00151D0B">
      <w:pPr>
        <w:pStyle w:val="base-text-paragraph"/>
      </w:pPr>
      <w:r>
        <w:t>T</w:t>
      </w:r>
      <w:r w:rsidR="00160BD9">
        <w:t>her</w:t>
      </w:r>
      <w:r w:rsidR="00160BD9" w:rsidRPr="00151D0B">
        <w:t>e</w:t>
      </w:r>
      <w:r w:rsidR="00160BD9">
        <w:t xml:space="preserve"> are some securities that require disclosure under Part 6D.2 that are not subject to the new design and distribution regime. These are</w:t>
      </w:r>
      <w:r w:rsidR="00B75D9B">
        <w:t xml:space="preserve"> </w:t>
      </w:r>
      <w:r w:rsidR="000C100B">
        <w:t xml:space="preserve">fully paid </w:t>
      </w:r>
      <w:r w:rsidR="00B75D9B">
        <w:t>ordinary shares</w:t>
      </w:r>
      <w:r w:rsidR="000C100B">
        <w:t xml:space="preserve"> in a company or foreign company</w:t>
      </w:r>
      <w:r w:rsidR="00151D0B">
        <w:t xml:space="preserve"> </w:t>
      </w:r>
      <w:r w:rsidR="00B75D9B">
        <w:t>and</w:t>
      </w:r>
      <w:r w:rsidR="00160BD9">
        <w:t xml:space="preserve"> securities </w:t>
      </w:r>
      <w:r w:rsidR="006C3156">
        <w:t>issued under</w:t>
      </w:r>
      <w:r w:rsidR="00160BD9">
        <w:t xml:space="preserve"> an employee share scheme.</w:t>
      </w:r>
      <w:r w:rsidR="00B75D9B">
        <w:t xml:space="preserve"> </w:t>
      </w:r>
    </w:p>
    <w:p w14:paraId="2A593D4B" w14:textId="413C5C76" w:rsidR="00A5204E" w:rsidRDefault="00DB70D0" w:rsidP="00151D0B">
      <w:pPr>
        <w:pStyle w:val="base-text-paragraph"/>
      </w:pPr>
      <w:r>
        <w:t>Fully paid o</w:t>
      </w:r>
      <w:r w:rsidR="005D0857">
        <w:t>rdinary shares are excluded as they are fundamental to corporate fundraising.</w:t>
      </w:r>
      <w:r w:rsidR="00151D0B">
        <w:rPr>
          <w:rStyle w:val="FootnoteReference"/>
        </w:rPr>
        <w:footnoteReference w:id="17"/>
      </w:r>
      <w:r w:rsidR="001D4DE1">
        <w:t xml:space="preserve"> ‘</w:t>
      </w:r>
      <w:r w:rsidR="00A5204E" w:rsidRPr="001D4DE1">
        <w:t>Fully paid share</w:t>
      </w:r>
      <w:r w:rsidR="001D4DE1">
        <w:t>’</w:t>
      </w:r>
      <w:r w:rsidR="00A5204E">
        <w:t xml:space="preserve"> is defined in section 9 of the Corporations Act to mean a share on which no amount remains unpaid. The exception therefore only applies in relation to ordinary </w:t>
      </w:r>
      <w:r w:rsidR="00E74965">
        <w:t>shares</w:t>
      </w:r>
      <w:r w:rsidR="00A5204E">
        <w:t xml:space="preserve"> where no amount remains unpaid.</w:t>
      </w:r>
      <w:r w:rsidR="00D65EF9">
        <w:t xml:space="preserve"> In su</w:t>
      </w:r>
      <w:r w:rsidR="00421B70">
        <w:t>ch situations the full</w:t>
      </w:r>
      <w:r w:rsidR="00D65EF9">
        <w:t xml:space="preserve"> extent of the investor’s exposure to loss is represented by th</w:t>
      </w:r>
      <w:r w:rsidR="001D4DE1">
        <w:t xml:space="preserve">e </w:t>
      </w:r>
      <w:r w:rsidR="008D5D15">
        <w:t xml:space="preserve">     </w:t>
      </w:r>
      <w:r w:rsidR="001D4DE1">
        <w:t>paid-up</w:t>
      </w:r>
      <w:r w:rsidR="00D65EF9">
        <w:t xml:space="preserve"> </w:t>
      </w:r>
      <w:r w:rsidR="001D4DE1">
        <w:t>amount on the</w:t>
      </w:r>
      <w:r w:rsidR="00421B70">
        <w:t xml:space="preserve"> share</w:t>
      </w:r>
      <w:r w:rsidR="001D4DE1">
        <w:t>s</w:t>
      </w:r>
      <w:r w:rsidR="00421B70">
        <w:t>.</w:t>
      </w:r>
      <w:r w:rsidR="00587046">
        <w:t xml:space="preserve"> </w:t>
      </w:r>
      <w:r w:rsidR="00587046">
        <w:rPr>
          <w:rStyle w:val="Referencingstyle"/>
        </w:rPr>
        <w:t>[Schedule 1, item 5</w:t>
      </w:r>
      <w:r w:rsidR="00587046" w:rsidRPr="00A24AD2">
        <w:rPr>
          <w:rStyle w:val="Referencingstyle"/>
        </w:rPr>
        <w:t xml:space="preserve">, </w:t>
      </w:r>
      <w:r w:rsidR="00587046">
        <w:rPr>
          <w:rStyle w:val="Referencingstyle"/>
        </w:rPr>
        <w:t xml:space="preserve">paragraph 994B(3)(d) </w:t>
      </w:r>
      <w:r w:rsidR="00587046" w:rsidRPr="00A24AD2">
        <w:rPr>
          <w:rStyle w:val="Referencingstyle"/>
        </w:rPr>
        <w:t>of</w:t>
      </w:r>
      <w:r w:rsidR="00587046">
        <w:rPr>
          <w:rStyle w:val="Referencingstyle"/>
        </w:rPr>
        <w:t xml:space="preserve"> the Corporations</w:t>
      </w:r>
      <w:r w:rsidR="00587046" w:rsidRPr="00A24AD2">
        <w:rPr>
          <w:rStyle w:val="Referencingstyle"/>
        </w:rPr>
        <w:t xml:space="preserve"> Act]</w:t>
      </w:r>
    </w:p>
    <w:p w14:paraId="3D85094F" w14:textId="394760E7" w:rsidR="00160BD9" w:rsidRDefault="000C100B" w:rsidP="00151D0B">
      <w:pPr>
        <w:pStyle w:val="base-text-paragraph"/>
      </w:pPr>
      <w:r>
        <w:t xml:space="preserve">Securities issued </w:t>
      </w:r>
      <w:r w:rsidR="002A4C00">
        <w:t xml:space="preserve">only </w:t>
      </w:r>
      <w:r>
        <w:t>under e</w:t>
      </w:r>
      <w:r w:rsidR="005D0857">
        <w:t>mployee share schemes are excluded because they</w:t>
      </w:r>
      <w:r w:rsidR="0058296A">
        <w:t xml:space="preserve"> are</w:t>
      </w:r>
      <w:r w:rsidR="005D0857">
        <w:t xml:space="preserve"> a mechanism by which employees can become part owners in</w:t>
      </w:r>
      <w:r w:rsidR="002E26F9">
        <w:t xml:space="preserve"> the</w:t>
      </w:r>
      <w:r w:rsidR="005D0857">
        <w:t xml:space="preserve"> company for which they work.</w:t>
      </w:r>
      <w:r w:rsidR="00E76F24">
        <w:rPr>
          <w:rStyle w:val="FootnoteReference"/>
        </w:rPr>
        <w:footnoteReference w:id="18"/>
      </w:r>
      <w:r w:rsidR="005D0857">
        <w:t xml:space="preserve"> In addition, products issued under an employee share scheme must be fully paid ordinary shares, units in fully paid ordinary shares, or options issued for nominal consideration for such shares.</w:t>
      </w:r>
      <w:r w:rsidR="005D0857">
        <w:rPr>
          <w:rStyle w:val="FootnoteReference"/>
        </w:rPr>
        <w:footnoteReference w:id="19"/>
      </w:r>
      <w:r w:rsidR="005D0857">
        <w:t xml:space="preserve"> </w:t>
      </w:r>
      <w:r w:rsidR="00160BD9">
        <w:rPr>
          <w:rStyle w:val="Referencingstyle"/>
        </w:rPr>
        <w:t xml:space="preserve">[Schedule 1, item </w:t>
      </w:r>
      <w:r w:rsidR="00086DD5">
        <w:rPr>
          <w:rStyle w:val="Referencingstyle"/>
        </w:rPr>
        <w:t>5</w:t>
      </w:r>
      <w:r w:rsidR="00160BD9" w:rsidRPr="00A24AD2">
        <w:rPr>
          <w:rStyle w:val="Referencingstyle"/>
        </w:rPr>
        <w:t xml:space="preserve">, </w:t>
      </w:r>
      <w:r w:rsidR="00587046">
        <w:rPr>
          <w:rStyle w:val="Referencingstyle"/>
        </w:rPr>
        <w:t>paragraph</w:t>
      </w:r>
      <w:r w:rsidR="00151D0B">
        <w:rPr>
          <w:rStyle w:val="Referencingstyle"/>
        </w:rPr>
        <w:t> </w:t>
      </w:r>
      <w:r w:rsidR="00160BD9">
        <w:rPr>
          <w:rStyle w:val="Referencingstyle"/>
        </w:rPr>
        <w:t>99</w:t>
      </w:r>
      <w:r w:rsidR="00086DD5">
        <w:rPr>
          <w:rStyle w:val="Referencingstyle"/>
        </w:rPr>
        <w:t>4</w:t>
      </w:r>
      <w:r w:rsidR="00160BD9">
        <w:rPr>
          <w:rStyle w:val="Referencingstyle"/>
        </w:rPr>
        <w:t>B(</w:t>
      </w:r>
      <w:r w:rsidR="00086DD5">
        <w:rPr>
          <w:rStyle w:val="Referencingstyle"/>
        </w:rPr>
        <w:t>3</w:t>
      </w:r>
      <w:r w:rsidR="00160BD9">
        <w:rPr>
          <w:rStyle w:val="Referencingstyle"/>
        </w:rPr>
        <w:t>)</w:t>
      </w:r>
      <w:r w:rsidR="00587046">
        <w:rPr>
          <w:rStyle w:val="Referencingstyle"/>
        </w:rPr>
        <w:t xml:space="preserve">(c) </w:t>
      </w:r>
      <w:r w:rsidR="00160BD9" w:rsidRPr="00A24AD2">
        <w:rPr>
          <w:rStyle w:val="Referencingstyle"/>
        </w:rPr>
        <w:t>of</w:t>
      </w:r>
      <w:r w:rsidR="00160BD9">
        <w:rPr>
          <w:rStyle w:val="Referencingstyle"/>
        </w:rPr>
        <w:t xml:space="preserve"> the Corporations</w:t>
      </w:r>
      <w:r w:rsidR="00160BD9" w:rsidRPr="00A24AD2">
        <w:rPr>
          <w:rStyle w:val="Referencingstyle"/>
        </w:rPr>
        <w:t xml:space="preserve"> Act]</w:t>
      </w:r>
    </w:p>
    <w:p w14:paraId="33C2EC66" w14:textId="7049616A" w:rsidR="00C0015C" w:rsidRDefault="000C5275" w:rsidP="000C5275">
      <w:pPr>
        <w:pStyle w:val="base-text-paragraph"/>
      </w:pPr>
      <w:r>
        <w:t>The exemption of</w:t>
      </w:r>
      <w:r w:rsidR="000C100B">
        <w:t xml:space="preserve"> fully paid</w:t>
      </w:r>
      <w:r>
        <w:t xml:space="preserve"> ordinary shares from the new regimes </w:t>
      </w:r>
      <w:r w:rsidR="00A67C44">
        <w:t xml:space="preserve">requires </w:t>
      </w:r>
      <w:r>
        <w:t xml:space="preserve">two anti-avoidance provisions. </w:t>
      </w:r>
    </w:p>
    <w:p w14:paraId="57F3D095" w14:textId="452CB893" w:rsidR="00D052B5" w:rsidRDefault="000C5275" w:rsidP="00424951">
      <w:pPr>
        <w:pStyle w:val="base-text-paragraph"/>
      </w:pPr>
      <w:r>
        <w:t>The first</w:t>
      </w:r>
      <w:r w:rsidR="00316172">
        <w:t xml:space="preserve"> anti-avoidance </w:t>
      </w:r>
      <w:r w:rsidR="00D052B5">
        <w:t>provision ensures that the new regime applies</w:t>
      </w:r>
      <w:r w:rsidR="00316172">
        <w:t xml:space="preserve"> to issues of ordinary shares</w:t>
      </w:r>
      <w:r w:rsidR="00D052B5">
        <w:t xml:space="preserve"> </w:t>
      </w:r>
      <w:r w:rsidR="00316172">
        <w:t>where the company</w:t>
      </w:r>
      <w:r w:rsidR="003A4BB5">
        <w:t xml:space="preserve"> intended that those shares</w:t>
      </w:r>
      <w:r w:rsidR="00FD2552">
        <w:t xml:space="preserve"> be </w:t>
      </w:r>
      <w:r w:rsidR="00316172">
        <w:t>converted into preference shares</w:t>
      </w:r>
      <w:r w:rsidR="00FD2552">
        <w:t xml:space="preserve"> within 12 months after issue</w:t>
      </w:r>
      <w:r w:rsidR="00316172">
        <w:t>.</w:t>
      </w:r>
      <w:r w:rsidR="00D052B5">
        <w:rPr>
          <w:rStyle w:val="FootnoteReference"/>
        </w:rPr>
        <w:footnoteReference w:id="20"/>
      </w:r>
      <w:r w:rsidR="00316172">
        <w:t xml:space="preserve"> </w:t>
      </w:r>
      <w:r w:rsidR="00D052B5">
        <w:t>This ensures that the operation of the new regime cannot be avoided by a company that</w:t>
      </w:r>
      <w:r w:rsidR="004518E6">
        <w:t xml:space="preserve"> may seek</w:t>
      </w:r>
      <w:r w:rsidR="00D052B5">
        <w:t xml:space="preserve">, in effect, to disguise an issue of preference shares as an issue of ordinary shares. </w:t>
      </w:r>
      <w:r w:rsidR="004518E6">
        <w:rPr>
          <w:rStyle w:val="Referencingstyle"/>
        </w:rPr>
        <w:t xml:space="preserve">[Schedule 1, item </w:t>
      </w:r>
      <w:r w:rsidR="003A4BB5">
        <w:rPr>
          <w:rStyle w:val="Referencingstyle"/>
        </w:rPr>
        <w:t>5</w:t>
      </w:r>
      <w:r w:rsidR="004518E6" w:rsidRPr="00A24AD2">
        <w:rPr>
          <w:rStyle w:val="Referencingstyle"/>
        </w:rPr>
        <w:t xml:space="preserve">, </w:t>
      </w:r>
      <w:r w:rsidR="004518E6">
        <w:rPr>
          <w:rStyle w:val="Referencingstyle"/>
        </w:rPr>
        <w:t>paragraph 99</w:t>
      </w:r>
      <w:r w:rsidR="003A4BB5">
        <w:rPr>
          <w:rStyle w:val="Referencingstyle"/>
        </w:rPr>
        <w:t>4</w:t>
      </w:r>
      <w:r w:rsidR="004518E6">
        <w:rPr>
          <w:rStyle w:val="Referencingstyle"/>
        </w:rPr>
        <w:t>B(a)</w:t>
      </w:r>
      <w:r w:rsidR="004518E6" w:rsidRPr="00A24AD2">
        <w:rPr>
          <w:rStyle w:val="Referencingstyle"/>
        </w:rPr>
        <w:t xml:space="preserve"> of</w:t>
      </w:r>
      <w:r w:rsidR="004518E6">
        <w:rPr>
          <w:rStyle w:val="Referencingstyle"/>
        </w:rPr>
        <w:t xml:space="preserve"> the Corporations</w:t>
      </w:r>
      <w:r w:rsidR="004518E6" w:rsidRPr="00A24AD2">
        <w:rPr>
          <w:rStyle w:val="Referencingstyle"/>
        </w:rPr>
        <w:t xml:space="preserve"> Act]</w:t>
      </w:r>
    </w:p>
    <w:p w14:paraId="3F95C191" w14:textId="3B2E46EC" w:rsidR="00C0015C" w:rsidRDefault="00296A02" w:rsidP="00424951">
      <w:pPr>
        <w:pStyle w:val="base-text-paragraph"/>
      </w:pPr>
      <w:r>
        <w:t>The second anti-avoidance provision ensures that the new regime</w:t>
      </w:r>
      <w:r w:rsidR="0027387F">
        <w:t xml:space="preserve"> can</w:t>
      </w:r>
      <w:r>
        <w:t xml:space="preserve"> </w:t>
      </w:r>
      <w:r w:rsidR="0027387F">
        <w:t>apply</w:t>
      </w:r>
      <w:r>
        <w:t xml:space="preserve"> where a company issues ordinary shares to carry on a business of investing in financial products or other investments.</w:t>
      </w:r>
      <w:r w:rsidR="0066162F">
        <w:t xml:space="preserve"> This</w:t>
      </w:r>
      <w:r w:rsidR="00C0015C">
        <w:t xml:space="preserve"> prevents a person avoiding the new regime by effectively selling a product through an investment company. It also ensures the new regime extends to issues of ordinary shares in investment companies</w:t>
      </w:r>
      <w:r w:rsidR="003B0ABA">
        <w:t xml:space="preserve"> more generally</w:t>
      </w:r>
      <w:r w:rsidR="00C0015C">
        <w:t>, in recognition of the derivative nature of the</w:t>
      </w:r>
      <w:r w:rsidR="003B0ABA">
        <w:t>ir</w:t>
      </w:r>
      <w:r w:rsidR="00C0015C">
        <w:t xml:space="preserve"> business model.</w:t>
      </w:r>
      <w:r w:rsidR="00532533" w:rsidRPr="00532533">
        <w:rPr>
          <w:rStyle w:val="Referencingstyle"/>
        </w:rPr>
        <w:t xml:space="preserve"> </w:t>
      </w:r>
      <w:r w:rsidR="00532533">
        <w:rPr>
          <w:rStyle w:val="Referencingstyle"/>
        </w:rPr>
        <w:t xml:space="preserve">[Schedule 1, item </w:t>
      </w:r>
      <w:r w:rsidR="003A4BB5">
        <w:rPr>
          <w:rStyle w:val="Referencingstyle"/>
        </w:rPr>
        <w:t>5</w:t>
      </w:r>
      <w:r w:rsidR="00532533" w:rsidRPr="00A24AD2">
        <w:rPr>
          <w:rStyle w:val="Referencingstyle"/>
        </w:rPr>
        <w:t xml:space="preserve">, </w:t>
      </w:r>
      <w:r w:rsidR="00532533">
        <w:rPr>
          <w:rStyle w:val="Referencingstyle"/>
        </w:rPr>
        <w:t>paragraph 99</w:t>
      </w:r>
      <w:r w:rsidR="003A4BB5">
        <w:rPr>
          <w:rStyle w:val="Referencingstyle"/>
        </w:rPr>
        <w:t>4</w:t>
      </w:r>
      <w:r w:rsidR="00532533">
        <w:rPr>
          <w:rStyle w:val="Referencingstyle"/>
        </w:rPr>
        <w:t>B(</w:t>
      </w:r>
      <w:r w:rsidR="001949BE">
        <w:rPr>
          <w:rStyle w:val="Referencingstyle"/>
        </w:rPr>
        <w:t>b</w:t>
      </w:r>
      <w:r w:rsidR="00532533">
        <w:rPr>
          <w:rStyle w:val="Referencingstyle"/>
        </w:rPr>
        <w:t>)</w:t>
      </w:r>
      <w:r w:rsidR="00532533" w:rsidRPr="00A24AD2">
        <w:rPr>
          <w:rStyle w:val="Referencingstyle"/>
        </w:rPr>
        <w:t xml:space="preserve"> of</w:t>
      </w:r>
      <w:r w:rsidR="00532533">
        <w:rPr>
          <w:rStyle w:val="Referencingstyle"/>
        </w:rPr>
        <w:t xml:space="preserve"> the Corporations</w:t>
      </w:r>
      <w:r w:rsidR="00532533" w:rsidRPr="00A24AD2">
        <w:rPr>
          <w:rStyle w:val="Referencingstyle"/>
        </w:rPr>
        <w:t xml:space="preserve"> Act]</w:t>
      </w:r>
      <w:r w:rsidR="00C0015C">
        <w:t xml:space="preserve"> </w:t>
      </w:r>
      <w:r w:rsidR="0066162F">
        <w:t xml:space="preserve"> </w:t>
      </w:r>
    </w:p>
    <w:p w14:paraId="6F2F9E8E" w14:textId="77777777" w:rsidR="00852D16" w:rsidRDefault="00B66A9B" w:rsidP="00852D16">
      <w:pPr>
        <w:pStyle w:val="Heading3"/>
      </w:pPr>
      <w:r>
        <w:t>Financial products issued under a mutual recognition scheme</w:t>
      </w:r>
    </w:p>
    <w:p w14:paraId="1956F778" w14:textId="48AC6867" w:rsidR="00035434" w:rsidRDefault="00852D16" w:rsidP="00852D16">
      <w:pPr>
        <w:pStyle w:val="base-text-paragraph"/>
      </w:pPr>
      <w:r>
        <w:t>The new design and distribution obligations apply to products that are exempt f</w:t>
      </w:r>
      <w:r w:rsidR="00AD21DB">
        <w:t>rom disclosure under Part 7.9 or</w:t>
      </w:r>
      <w:r>
        <w:t xml:space="preserve"> Chapter 6D of</w:t>
      </w:r>
      <w:r w:rsidR="00CD5074">
        <w:t xml:space="preserve"> the Corporations Act </w:t>
      </w:r>
      <w:r w:rsidR="00250469">
        <w:t>by</w:t>
      </w:r>
      <w:r w:rsidR="00CD5074">
        <w:t xml:space="preserve"> a mutual recognition scheme.</w:t>
      </w:r>
      <w:r w:rsidR="00AD21DB">
        <w:t xml:space="preserve"> Chapter 8 of the Corporations Act </w:t>
      </w:r>
      <w:r w:rsidR="00250469">
        <w:t xml:space="preserve">regulates the </w:t>
      </w:r>
      <w:r w:rsidR="00AD21DB">
        <w:t>foreign offers of financial products</w:t>
      </w:r>
      <w:r w:rsidR="00254372">
        <w:t xml:space="preserve"> to which </w:t>
      </w:r>
      <w:r w:rsidR="00B76EFA">
        <w:t>this</w:t>
      </w:r>
      <w:r w:rsidR="00254372">
        <w:t xml:space="preserve"> exemption applies</w:t>
      </w:r>
      <w:r w:rsidR="00AD21DB">
        <w:t>.</w:t>
      </w:r>
      <w:r w:rsidR="00B768C0">
        <w:t xml:space="preserve"> Currently,</w:t>
      </w:r>
      <w:r w:rsidR="00254372">
        <w:t xml:space="preserve"> only certain offers of financial pro</w:t>
      </w:r>
      <w:r w:rsidR="00250469">
        <w:t xml:space="preserve">ducts under New Zealand law are </w:t>
      </w:r>
      <w:r w:rsidR="00B768C0">
        <w:t>eligible</w:t>
      </w:r>
      <w:r w:rsidR="00770A6A">
        <w:t xml:space="preserve"> for an exemption</w:t>
      </w:r>
      <w:r w:rsidR="00250469">
        <w:t>.</w:t>
      </w:r>
      <w:r w:rsidR="00250469">
        <w:rPr>
          <w:rStyle w:val="FootnoteReference"/>
        </w:rPr>
        <w:footnoteReference w:id="21"/>
      </w:r>
      <w:r w:rsidR="00250469">
        <w:t xml:space="preserve"> The application of the new regime to these financial products ensure</w:t>
      </w:r>
      <w:r w:rsidR="00B76EFA">
        <w:t>s</w:t>
      </w:r>
      <w:r w:rsidR="00250469">
        <w:t xml:space="preserve"> that they are subjected to the same design and distribution rules that apply to </w:t>
      </w:r>
      <w:r w:rsidR="00937BD3">
        <w:t>Australian-issued</w:t>
      </w:r>
      <w:r w:rsidR="00250469">
        <w:t xml:space="preserve"> financial products. </w:t>
      </w:r>
      <w:r w:rsidR="00D72834">
        <w:rPr>
          <w:rStyle w:val="Referencingstyle"/>
        </w:rPr>
        <w:t xml:space="preserve">[Schedule 1, item </w:t>
      </w:r>
      <w:r w:rsidR="00606ABB">
        <w:rPr>
          <w:rStyle w:val="Referencingstyle"/>
        </w:rPr>
        <w:t>5</w:t>
      </w:r>
      <w:r w:rsidR="00D72834" w:rsidRPr="00A24AD2">
        <w:rPr>
          <w:rStyle w:val="Referencingstyle"/>
        </w:rPr>
        <w:t xml:space="preserve">, </w:t>
      </w:r>
      <w:r w:rsidR="00D72834">
        <w:rPr>
          <w:rStyle w:val="Referencingstyle"/>
        </w:rPr>
        <w:t>paragraph 99</w:t>
      </w:r>
      <w:r w:rsidR="00606ABB">
        <w:rPr>
          <w:rStyle w:val="Referencingstyle"/>
        </w:rPr>
        <w:t>4</w:t>
      </w:r>
      <w:r w:rsidR="00D72834">
        <w:rPr>
          <w:rStyle w:val="Referencingstyle"/>
        </w:rPr>
        <w:t>B(</w:t>
      </w:r>
      <w:r w:rsidR="00B768C0">
        <w:rPr>
          <w:rStyle w:val="Referencingstyle"/>
        </w:rPr>
        <w:t>1</w:t>
      </w:r>
      <w:r w:rsidR="00D72834">
        <w:rPr>
          <w:rStyle w:val="Referencingstyle"/>
        </w:rPr>
        <w:t>)(</w:t>
      </w:r>
      <w:r w:rsidR="00B768C0">
        <w:rPr>
          <w:rStyle w:val="Referencingstyle"/>
        </w:rPr>
        <w:t>c</w:t>
      </w:r>
      <w:r w:rsidR="00D72834">
        <w:rPr>
          <w:rStyle w:val="Referencingstyle"/>
        </w:rPr>
        <w:t>)</w:t>
      </w:r>
      <w:r w:rsidR="00D72834" w:rsidRPr="00A24AD2">
        <w:rPr>
          <w:rStyle w:val="Referencingstyle"/>
        </w:rPr>
        <w:t xml:space="preserve"> of</w:t>
      </w:r>
      <w:r w:rsidR="00D72834">
        <w:rPr>
          <w:rStyle w:val="Referencingstyle"/>
        </w:rPr>
        <w:t xml:space="preserve"> the Corporations</w:t>
      </w:r>
      <w:r w:rsidR="00D72834" w:rsidRPr="00A24AD2">
        <w:rPr>
          <w:rStyle w:val="Referencingstyle"/>
        </w:rPr>
        <w:t xml:space="preserve"> Act]</w:t>
      </w:r>
      <w:r w:rsidR="00D72834">
        <w:t xml:space="preserve"> </w:t>
      </w:r>
    </w:p>
    <w:p w14:paraId="10E2A759" w14:textId="7F272652" w:rsidR="00852D16" w:rsidRDefault="00792EF3" w:rsidP="00852D16">
      <w:pPr>
        <w:pStyle w:val="base-text-paragraph"/>
      </w:pPr>
      <w:r>
        <w:t>The</w:t>
      </w:r>
      <w:r w:rsidR="00AB2A31">
        <w:t xml:space="preserve"> new design and distribution regime</w:t>
      </w:r>
      <w:r>
        <w:t xml:space="preserve"> also appl</w:t>
      </w:r>
      <w:r w:rsidR="00AB2A31">
        <w:t>ies</w:t>
      </w:r>
      <w:r>
        <w:t xml:space="preserve"> to</w:t>
      </w:r>
      <w:r w:rsidR="00A25F10">
        <w:t xml:space="preserve"> </w:t>
      </w:r>
      <w:r w:rsidR="00D570DE">
        <w:t xml:space="preserve">interests in foreign passport funds </w:t>
      </w:r>
      <w:r>
        <w:t xml:space="preserve">under </w:t>
      </w:r>
      <w:r w:rsidR="00626807">
        <w:t xml:space="preserve">the Asia Region </w:t>
      </w:r>
      <w:r w:rsidR="006D113F">
        <w:t xml:space="preserve">Fund </w:t>
      </w:r>
      <w:r w:rsidR="00626807">
        <w:t xml:space="preserve">Passport regime in Chapter 8A of the Corporations Act, as these products are required to have </w:t>
      </w:r>
      <w:r w:rsidR="00D570DE">
        <w:t>a PDS</w:t>
      </w:r>
      <w:r w:rsidR="00626807">
        <w:t>.</w:t>
      </w:r>
      <w:r w:rsidR="007014BE">
        <w:t xml:space="preserve"> The Asia Region </w:t>
      </w:r>
      <w:r w:rsidR="006D113F">
        <w:t>Fund Passport</w:t>
      </w:r>
      <w:r w:rsidR="007014BE">
        <w:t xml:space="preserve"> regime </w:t>
      </w:r>
      <w:r w:rsidR="00553EB5">
        <w:t>was</w:t>
      </w:r>
      <w:r w:rsidR="00DD1902">
        <w:t xml:space="preserve"> established</w:t>
      </w:r>
      <w:r w:rsidR="007014BE">
        <w:t xml:space="preserve"> by the </w:t>
      </w:r>
      <w:r w:rsidR="007014BE">
        <w:rPr>
          <w:i/>
        </w:rPr>
        <w:t>Corporations Amendment (Asia Region Funds Passport) Act</w:t>
      </w:r>
      <w:r w:rsidR="007014BE">
        <w:t xml:space="preserve">, </w:t>
      </w:r>
      <w:r w:rsidR="006D113F">
        <w:t xml:space="preserve">which </w:t>
      </w:r>
      <w:r w:rsidR="007014BE">
        <w:t>received Royal Assent on 29 June 201</w:t>
      </w:r>
      <w:r w:rsidR="00806D8D">
        <w:t>8</w:t>
      </w:r>
      <w:r w:rsidR="006D113F">
        <w:t>.</w:t>
      </w:r>
      <w:r w:rsidR="00626807">
        <w:t xml:space="preserve"> </w:t>
      </w:r>
    </w:p>
    <w:p w14:paraId="623ABB40" w14:textId="77777777" w:rsidR="008D3E9D" w:rsidRDefault="0023005A" w:rsidP="008D3E9D">
      <w:pPr>
        <w:pStyle w:val="Heading3"/>
      </w:pPr>
      <w:r>
        <w:t>Products prescribed by the r</w:t>
      </w:r>
      <w:r w:rsidR="008D3E9D">
        <w:t>egulations</w:t>
      </w:r>
    </w:p>
    <w:p w14:paraId="022E6FC1" w14:textId="1BF61333" w:rsidR="001442AF" w:rsidRDefault="0023005A" w:rsidP="00B94B98">
      <w:pPr>
        <w:pStyle w:val="base-text-paragraph"/>
      </w:pPr>
      <w:r>
        <w:t xml:space="preserve">The new design and distribution regime also applies to any financial product prescribed by the </w:t>
      </w:r>
      <w:r w:rsidR="00937BD3">
        <w:t xml:space="preserve">Minister in </w:t>
      </w:r>
      <w:r>
        <w:t xml:space="preserve">regulations. </w:t>
      </w:r>
      <w:r w:rsidR="001442AF">
        <w:t>This</w:t>
      </w:r>
      <w:r w:rsidR="00B94B98">
        <w:t xml:space="preserve"> regulation making power </w:t>
      </w:r>
      <w:r w:rsidR="00937BD3">
        <w:t>means</w:t>
      </w:r>
      <w:r w:rsidR="001442AF">
        <w:t xml:space="preserve"> the new regime </w:t>
      </w:r>
      <w:r w:rsidR="00937BD3">
        <w:t xml:space="preserve">can </w:t>
      </w:r>
      <w:r w:rsidR="001442AF">
        <w:t>apply to any prescribed financial product in any prescribed circumstance, regardless of whether or not the product requires disclosure.</w:t>
      </w:r>
      <w:r w:rsidR="00432B4F">
        <w:t xml:space="preserve"> </w:t>
      </w:r>
      <w:r w:rsidR="001442AF">
        <w:t>By doing so, the power provides the flexibility necessary to future</w:t>
      </w:r>
      <w:r w:rsidR="00937BD3">
        <w:t>-</w:t>
      </w:r>
      <w:r w:rsidR="001442AF">
        <w:t>proof the new regime</w:t>
      </w:r>
      <w:r w:rsidR="00937BD3">
        <w:t xml:space="preserve"> to ensure its ongoing </w:t>
      </w:r>
      <w:r w:rsidR="00A679EE">
        <w:t>relevance and effectiveness</w:t>
      </w:r>
      <w:r w:rsidR="001442AF">
        <w:t>.</w:t>
      </w:r>
      <w:r w:rsidR="00A679EE">
        <w:t xml:space="preserve"> </w:t>
      </w:r>
      <w:r w:rsidR="00D57770">
        <w:t>Any regulations would</w:t>
      </w:r>
      <w:r w:rsidR="00A679EE">
        <w:t xml:space="preserve"> be subject to parliamentary scrutiny through the disallowance procedures of the </w:t>
      </w:r>
      <w:r w:rsidR="00A679EE">
        <w:rPr>
          <w:i/>
        </w:rPr>
        <w:t>Legislation Act 2003</w:t>
      </w:r>
      <w:r w:rsidR="00A679EE">
        <w:t xml:space="preserve">. </w:t>
      </w:r>
      <w:r>
        <w:rPr>
          <w:rStyle w:val="Referencingstyle"/>
        </w:rPr>
        <w:t xml:space="preserve">[Schedule 1, item </w:t>
      </w:r>
      <w:r w:rsidR="003A45FA">
        <w:rPr>
          <w:rStyle w:val="Referencingstyle"/>
        </w:rPr>
        <w:t>5</w:t>
      </w:r>
      <w:r w:rsidRPr="00A24AD2">
        <w:rPr>
          <w:rStyle w:val="Referencingstyle"/>
        </w:rPr>
        <w:t xml:space="preserve">, </w:t>
      </w:r>
      <w:r>
        <w:rPr>
          <w:rStyle w:val="Referencingstyle"/>
        </w:rPr>
        <w:t>paragraph 99</w:t>
      </w:r>
      <w:r w:rsidR="003A45FA">
        <w:rPr>
          <w:rStyle w:val="Referencingstyle"/>
        </w:rPr>
        <w:t>4</w:t>
      </w:r>
      <w:r>
        <w:rPr>
          <w:rStyle w:val="Referencingstyle"/>
        </w:rPr>
        <w:t>B(1)(d)</w:t>
      </w:r>
      <w:r w:rsidR="007A424C">
        <w:rPr>
          <w:rStyle w:val="Referencingstyle"/>
        </w:rPr>
        <w:t xml:space="preserve"> and paragraph 994B(2)(b)</w:t>
      </w:r>
      <w:r>
        <w:rPr>
          <w:rStyle w:val="Referencingstyle"/>
        </w:rPr>
        <w:t xml:space="preserve"> </w:t>
      </w:r>
      <w:r w:rsidRPr="00A24AD2">
        <w:rPr>
          <w:rStyle w:val="Referencingstyle"/>
        </w:rPr>
        <w:t>of</w:t>
      </w:r>
      <w:r>
        <w:rPr>
          <w:rStyle w:val="Referencingstyle"/>
        </w:rPr>
        <w:t xml:space="preserve"> the Corporations</w:t>
      </w:r>
      <w:r w:rsidRPr="00A24AD2">
        <w:rPr>
          <w:rStyle w:val="Referencingstyle"/>
        </w:rPr>
        <w:t xml:space="preserve"> Act]</w:t>
      </w:r>
      <w:r>
        <w:t xml:space="preserve">  </w:t>
      </w:r>
    </w:p>
    <w:p w14:paraId="4A81E8FF" w14:textId="77777777" w:rsidR="00432B4F" w:rsidRDefault="001442AF" w:rsidP="00B94B98">
      <w:pPr>
        <w:pStyle w:val="base-text-paragraph"/>
      </w:pPr>
      <w:r>
        <w:t xml:space="preserve"> </w:t>
      </w:r>
      <w:r w:rsidR="00A679EE">
        <w:t xml:space="preserve">At the outset, the Government proposes to </w:t>
      </w:r>
      <w:r w:rsidR="00432B4F">
        <w:t>make regulations th</w:t>
      </w:r>
      <w:r w:rsidR="00E947C2">
        <w:t>at w</w:t>
      </w:r>
      <w:r w:rsidR="00BB0090">
        <w:t>ould apply the regime to a number</w:t>
      </w:r>
      <w:r w:rsidR="00E947C2">
        <w:t xml:space="preserve"> of products that do not presently require disclosu</w:t>
      </w:r>
      <w:r w:rsidR="00884FA9">
        <w:t>re. These products are</w:t>
      </w:r>
      <w:r w:rsidR="00BB0090">
        <w:t>:</w:t>
      </w:r>
      <w:r w:rsidR="00884FA9">
        <w:t xml:space="preserve"> </w:t>
      </w:r>
    </w:p>
    <w:p w14:paraId="74D46D15" w14:textId="77777777" w:rsidR="00EA48E3" w:rsidRDefault="00EA48E3" w:rsidP="00BB0090">
      <w:pPr>
        <w:pStyle w:val="dotpoint"/>
      </w:pPr>
      <w:r>
        <w:t>simple corporate bonds depository interest</w:t>
      </w:r>
      <w:r w:rsidR="00977880">
        <w:t>s</w:t>
      </w:r>
      <w:r>
        <w:t xml:space="preserve"> in simple corporate bonds, where the simple corporate bonds are, or are to be, issued under a </w:t>
      </w:r>
      <w:r w:rsidR="00324189">
        <w:t>two</w:t>
      </w:r>
      <w:r>
        <w:noBreakHyphen/>
        <w:t>part simpl</w:t>
      </w:r>
      <w:r w:rsidR="00BB0090">
        <w:t>e corporate bonds prospectus;</w:t>
      </w:r>
    </w:p>
    <w:p w14:paraId="1469A56F" w14:textId="77777777" w:rsidR="00BB0090" w:rsidRDefault="00EA48E3" w:rsidP="00977880">
      <w:pPr>
        <w:pStyle w:val="dotpoint"/>
      </w:pPr>
      <w:r>
        <w:t>debenture</w:t>
      </w:r>
      <w:r w:rsidR="00977880">
        <w:t>s</w:t>
      </w:r>
      <w:r>
        <w:t xml:space="preserve"> of a bo</w:t>
      </w:r>
      <w:r w:rsidR="00BB0090">
        <w:t>dy that is an Australian ADI</w:t>
      </w:r>
      <w:r w:rsidR="00977880">
        <w:t xml:space="preserve"> or registered </w:t>
      </w:r>
      <w:r>
        <w:t>under</w:t>
      </w:r>
      <w:r w:rsidR="00977880">
        <w:t xml:space="preserve"> section 21 of</w:t>
      </w:r>
      <w:r>
        <w:t xml:space="preserve"> the </w:t>
      </w:r>
      <w:r w:rsidRPr="00977880">
        <w:rPr>
          <w:i/>
        </w:rPr>
        <w:t>Life Insurance Act 1995</w:t>
      </w:r>
      <w:r w:rsidR="00977880">
        <w:t>;</w:t>
      </w:r>
    </w:p>
    <w:p w14:paraId="33FC4EE5" w14:textId="77777777" w:rsidR="00BB0090" w:rsidRDefault="00BB0090" w:rsidP="00BB0090">
      <w:pPr>
        <w:pStyle w:val="dotpoint"/>
      </w:pPr>
      <w:r>
        <w:t>basic deposit product</w:t>
      </w:r>
      <w:r w:rsidR="00977880">
        <w:t>s</w:t>
      </w:r>
      <w:r>
        <w:t>; and</w:t>
      </w:r>
    </w:p>
    <w:p w14:paraId="716B6A2D" w14:textId="77777777" w:rsidR="00EA48E3" w:rsidRDefault="00EA48E3" w:rsidP="00BB0090">
      <w:pPr>
        <w:pStyle w:val="dotpoint"/>
      </w:pPr>
      <w:r>
        <w:t>custodial arrangement</w:t>
      </w:r>
      <w:r w:rsidR="00977880">
        <w:t>s that are not already subject to the new regime, including an interest in an investor directed portfolio service.</w:t>
      </w:r>
    </w:p>
    <w:p w14:paraId="40D52906" w14:textId="4A810EB9" w:rsidR="00CD5074" w:rsidRDefault="00CD5074" w:rsidP="00CD5074">
      <w:pPr>
        <w:pStyle w:val="base-text-paragraph"/>
      </w:pPr>
      <w:r>
        <w:t xml:space="preserve">The regulations may also exclude a product from the new regime. Again, this regulation making power is aimed at future proofing the new regime by providing flexibility to exempt products where appropriate. </w:t>
      </w:r>
      <w:r>
        <w:rPr>
          <w:rStyle w:val="Referencingstyle"/>
        </w:rPr>
        <w:t xml:space="preserve">[Schedule 1, item </w:t>
      </w:r>
      <w:r w:rsidR="00F944F6">
        <w:rPr>
          <w:rStyle w:val="Referencingstyle"/>
        </w:rPr>
        <w:t>5</w:t>
      </w:r>
      <w:r w:rsidRPr="00A24AD2">
        <w:rPr>
          <w:rStyle w:val="Referencingstyle"/>
        </w:rPr>
        <w:t xml:space="preserve">, </w:t>
      </w:r>
      <w:r>
        <w:rPr>
          <w:rStyle w:val="Referencingstyle"/>
        </w:rPr>
        <w:t>paragraph 99</w:t>
      </w:r>
      <w:r w:rsidR="00F944F6">
        <w:rPr>
          <w:rStyle w:val="Referencingstyle"/>
        </w:rPr>
        <w:t>4</w:t>
      </w:r>
      <w:r>
        <w:rPr>
          <w:rStyle w:val="Referencingstyle"/>
        </w:rPr>
        <w:t>B(</w:t>
      </w:r>
      <w:r w:rsidR="00F944F6">
        <w:rPr>
          <w:rStyle w:val="Referencingstyle"/>
        </w:rPr>
        <w:t>3</w:t>
      </w:r>
      <w:r>
        <w:rPr>
          <w:rStyle w:val="Referencingstyle"/>
        </w:rPr>
        <w:t xml:space="preserve">)(e) </w:t>
      </w:r>
      <w:r w:rsidRPr="00A24AD2">
        <w:rPr>
          <w:rStyle w:val="Referencingstyle"/>
        </w:rPr>
        <w:t>of</w:t>
      </w:r>
      <w:r>
        <w:rPr>
          <w:rStyle w:val="Referencingstyle"/>
        </w:rPr>
        <w:t xml:space="preserve"> the Corporations</w:t>
      </w:r>
      <w:r w:rsidRPr="00A24AD2">
        <w:rPr>
          <w:rStyle w:val="Referencingstyle"/>
        </w:rPr>
        <w:t xml:space="preserve"> Act]</w:t>
      </w:r>
      <w:r>
        <w:t xml:space="preserve">  </w:t>
      </w:r>
    </w:p>
    <w:p w14:paraId="4C939B94" w14:textId="77777777" w:rsidR="00483BE1" w:rsidRDefault="00A679EE" w:rsidP="00CD5074">
      <w:pPr>
        <w:pStyle w:val="base-text-paragraph"/>
      </w:pPr>
      <w:r>
        <w:t>A</w:t>
      </w:r>
      <w:r w:rsidR="00483BE1">
        <w:t xml:space="preserve">ll references to </w:t>
      </w:r>
      <w:r w:rsidR="00324189">
        <w:t>‘</w:t>
      </w:r>
      <w:r w:rsidR="00483BE1">
        <w:t>financial products</w:t>
      </w:r>
      <w:r w:rsidR="00324189">
        <w:t>’</w:t>
      </w:r>
      <w:r w:rsidR="00483BE1">
        <w:t xml:space="preserve"> are references to products to which the new regime applies unless indicated otherwise.</w:t>
      </w:r>
    </w:p>
    <w:p w14:paraId="55C452C8" w14:textId="77777777" w:rsidR="0059178F" w:rsidRDefault="00DA53DE" w:rsidP="00106186">
      <w:pPr>
        <w:pStyle w:val="Heading2"/>
      </w:pPr>
      <w:r>
        <w:t>What are the d</w:t>
      </w:r>
      <w:r w:rsidR="0059178F">
        <w:t>esign</w:t>
      </w:r>
      <w:r>
        <w:t xml:space="preserve"> and distribution</w:t>
      </w:r>
      <w:r w:rsidR="0059178F">
        <w:t xml:space="preserve"> obligation</w:t>
      </w:r>
      <w:r w:rsidR="00AC6DDD">
        <w:t>s</w:t>
      </w:r>
      <w:r>
        <w:t>?</w:t>
      </w:r>
    </w:p>
    <w:p w14:paraId="67A8B093" w14:textId="77777777" w:rsidR="007A66B9" w:rsidRDefault="00483BE1" w:rsidP="0019257C">
      <w:pPr>
        <w:pStyle w:val="base-text-paragraph"/>
      </w:pPr>
      <w:r>
        <w:t>The</w:t>
      </w:r>
      <w:r w:rsidR="00AF726D">
        <w:t xml:space="preserve"> </w:t>
      </w:r>
      <w:r w:rsidR="00324189">
        <w:t xml:space="preserve">new law </w:t>
      </w:r>
      <w:r w:rsidR="00AF726D">
        <w:t>insert</w:t>
      </w:r>
      <w:r w:rsidR="00324189">
        <w:t>s</w:t>
      </w:r>
      <w:r w:rsidR="007A66B9">
        <w:t xml:space="preserve"> </w:t>
      </w:r>
      <w:r w:rsidR="00AF726D">
        <w:t>four</w:t>
      </w:r>
      <w:r w:rsidR="007A66B9">
        <w:t xml:space="preserve"> </w:t>
      </w:r>
      <w:r>
        <w:t>design</w:t>
      </w:r>
      <w:r w:rsidR="00AF726D">
        <w:t xml:space="preserve"> obligations</w:t>
      </w:r>
      <w:r>
        <w:t xml:space="preserve"> and</w:t>
      </w:r>
      <w:r w:rsidR="001F27D5">
        <w:t xml:space="preserve"> five</w:t>
      </w:r>
      <w:r>
        <w:t xml:space="preserve"> distribution obligations</w:t>
      </w:r>
      <w:r w:rsidR="00AF726D">
        <w:t xml:space="preserve"> </w:t>
      </w:r>
      <w:r w:rsidR="00324189">
        <w:t>for product issuers and distributors</w:t>
      </w:r>
      <w:r w:rsidR="00AF726D">
        <w:t xml:space="preserve"> into the Corporations Act</w:t>
      </w:r>
      <w:r>
        <w:t xml:space="preserve">. </w:t>
      </w:r>
    </w:p>
    <w:p w14:paraId="4D8AE326" w14:textId="77777777" w:rsidR="00483BE1" w:rsidRDefault="007A66B9" w:rsidP="0019257C">
      <w:pPr>
        <w:pStyle w:val="base-text-paragraph"/>
      </w:pPr>
      <w:r>
        <w:t>The design obligations are:</w:t>
      </w:r>
    </w:p>
    <w:p w14:paraId="64390A49" w14:textId="70512C8D" w:rsidR="00483BE1" w:rsidRDefault="00483BE1" w:rsidP="00483BE1">
      <w:pPr>
        <w:pStyle w:val="dotpoint"/>
      </w:pPr>
      <w:r>
        <w:t>to make a target market determination in relation to the product</w:t>
      </w:r>
      <w:r w:rsidR="00463C18">
        <w:t>,</w:t>
      </w:r>
      <w:r w:rsidR="00CA0BB9">
        <w:t xml:space="preserve"> </w:t>
      </w:r>
      <w:r w:rsidR="004D61B1">
        <w:t>which includes</w:t>
      </w:r>
      <w:r w:rsidR="00CA0BB9">
        <w:t xml:space="preserve"> </w:t>
      </w:r>
      <w:r w:rsidR="004D61B1">
        <w:t>specifying</w:t>
      </w:r>
      <w:r w:rsidR="00CA0BB9">
        <w:t xml:space="preserve"> </w:t>
      </w:r>
      <w:r w:rsidR="00463C18">
        <w:t>in</w:t>
      </w:r>
      <w:r w:rsidR="00044C36">
        <w:t>formation needed</w:t>
      </w:r>
      <w:r w:rsidR="00463C18">
        <w:t xml:space="preserve"> to ensure the determination remains appropriate along with </w:t>
      </w:r>
      <w:r w:rsidR="00CA0BB9">
        <w:t>wh</w:t>
      </w:r>
      <w:r w:rsidR="004D61B1">
        <w:t>ich distributors</w:t>
      </w:r>
      <w:r w:rsidR="00463C18">
        <w:t xml:space="preserve"> must collect that information and provide it back to the </w:t>
      </w:r>
      <w:r w:rsidR="002910FD">
        <w:t>issuer</w:t>
      </w:r>
      <w:r w:rsidR="00AF726D">
        <w:t>;</w:t>
      </w:r>
      <w:r>
        <w:t xml:space="preserve"> </w:t>
      </w:r>
    </w:p>
    <w:p w14:paraId="7B4C786B" w14:textId="7553965D" w:rsidR="00AF726D" w:rsidRDefault="00483BE1" w:rsidP="00483BE1">
      <w:pPr>
        <w:pStyle w:val="dotpoint"/>
      </w:pPr>
      <w:r>
        <w:t xml:space="preserve">to review the target market determination as required to ensure it remains </w:t>
      </w:r>
      <w:r w:rsidR="00626807">
        <w:t>appropriate</w:t>
      </w:r>
      <w:r w:rsidR="00AF726D">
        <w:t>;</w:t>
      </w:r>
    </w:p>
    <w:p w14:paraId="3FB4A246" w14:textId="55D65529" w:rsidR="00AF726D" w:rsidRDefault="00E2010A" w:rsidP="00483BE1">
      <w:pPr>
        <w:pStyle w:val="dotpoint"/>
      </w:pPr>
      <w:r>
        <w:t xml:space="preserve">to </w:t>
      </w:r>
      <w:r w:rsidR="00AF726D">
        <w:t>keep records of the person</w:t>
      </w:r>
      <w:r w:rsidR="0049162A">
        <w:t>’</w:t>
      </w:r>
      <w:r w:rsidR="00AF726D">
        <w:t>s decisions in relation to the new regime; and</w:t>
      </w:r>
    </w:p>
    <w:p w14:paraId="0FC22595" w14:textId="77777777" w:rsidR="00483BE1" w:rsidRDefault="00AF726D" w:rsidP="00483BE1">
      <w:pPr>
        <w:pStyle w:val="dotpoint"/>
      </w:pPr>
      <w:r>
        <w:t>to notify ASIC of</w:t>
      </w:r>
      <w:r w:rsidR="00F07BD6">
        <w:t xml:space="preserve"> any</w:t>
      </w:r>
      <w:r>
        <w:t xml:space="preserve"> significant dealings in </w:t>
      </w:r>
      <w:r w:rsidR="00F07BD6">
        <w:t>a product that are not consistent with the product’s target market determination.</w:t>
      </w:r>
    </w:p>
    <w:p w14:paraId="262889EA" w14:textId="77777777" w:rsidR="007A66B9" w:rsidRDefault="007A66B9" w:rsidP="007A66B9">
      <w:pPr>
        <w:pStyle w:val="base-text-paragraph"/>
      </w:pPr>
      <w:r>
        <w:t>The distribution</w:t>
      </w:r>
      <w:r w:rsidR="00F07BD6">
        <w:rPr>
          <w:rStyle w:val="FootnoteReference"/>
        </w:rPr>
        <w:footnoteReference w:id="22"/>
      </w:r>
      <w:r w:rsidR="00F07BD6">
        <w:t xml:space="preserve"> </w:t>
      </w:r>
      <w:r>
        <w:t>obligations are:</w:t>
      </w:r>
    </w:p>
    <w:p w14:paraId="7568BFA5" w14:textId="20409C47" w:rsidR="009F0CA9" w:rsidRDefault="00483BE1" w:rsidP="00483BE1">
      <w:pPr>
        <w:pStyle w:val="dotpoint"/>
      </w:pPr>
      <w:r>
        <w:t>not to</w:t>
      </w:r>
      <w:r w:rsidR="0005664D">
        <w:t xml:space="preserve"> engage in ‘retail product distribution conduct’</w:t>
      </w:r>
      <w:r w:rsidR="009F0CA9">
        <w:t xml:space="preserve"> in relation to a product</w:t>
      </w:r>
      <w:r w:rsidR="005B090D">
        <w:t xml:space="preserve"> unless a target market determination has been made</w:t>
      </w:r>
      <w:r w:rsidR="00AE584F">
        <w:t>;</w:t>
      </w:r>
    </w:p>
    <w:p w14:paraId="7C3FA61A" w14:textId="02AD3509" w:rsidR="00624C4A" w:rsidRDefault="0005664D" w:rsidP="00155ABB">
      <w:pPr>
        <w:pStyle w:val="dotpoint2"/>
      </w:pPr>
      <w:r>
        <w:t xml:space="preserve"> </w:t>
      </w:r>
      <w:r w:rsidR="009F0CA9">
        <w:t>‘retail product distribution conduct’ is, in relation to a product,</w:t>
      </w:r>
      <w:r w:rsidR="00483BE1">
        <w:t xml:space="preserve"> deal</w:t>
      </w:r>
      <w:r>
        <w:t>ing</w:t>
      </w:r>
      <w:r w:rsidR="005B090D">
        <w:t xml:space="preserve"> in relation to a retail client</w:t>
      </w:r>
      <w:r w:rsidR="00483BE1">
        <w:t>, provid</w:t>
      </w:r>
      <w:r w:rsidR="003220DB">
        <w:t>ing</w:t>
      </w:r>
      <w:r w:rsidR="00483BE1">
        <w:t xml:space="preserve"> financial product advice</w:t>
      </w:r>
      <w:r w:rsidR="005B090D">
        <w:t xml:space="preserve"> to a retail client</w:t>
      </w:r>
      <w:r w:rsidR="00483BE1">
        <w:t>,</w:t>
      </w:r>
      <w:r w:rsidR="009F0CA9">
        <w:t xml:space="preserve"> giving</w:t>
      </w:r>
      <w:r w:rsidR="00F82FD9">
        <w:t xml:space="preserve"> a disclosure document or PDS</w:t>
      </w:r>
      <w:r w:rsidR="005B090D">
        <w:t xml:space="preserve"> to a retail client, or making</w:t>
      </w:r>
      <w:r w:rsidR="00F82FD9">
        <w:t xml:space="preserve"> a recognised offer </w:t>
      </w:r>
      <w:r w:rsidR="003220DB">
        <w:t>to a retail client</w:t>
      </w:r>
      <w:r w:rsidR="00624C4A">
        <w:t>;</w:t>
      </w:r>
    </w:p>
    <w:p w14:paraId="30D43A51" w14:textId="49D85D41" w:rsidR="00483BE1" w:rsidRDefault="001F27D5" w:rsidP="00483BE1">
      <w:pPr>
        <w:pStyle w:val="dotpoint"/>
      </w:pPr>
      <w:r>
        <w:t>n</w:t>
      </w:r>
      <w:r w:rsidR="00624C4A">
        <w:t xml:space="preserve">ot to </w:t>
      </w:r>
      <w:r w:rsidR="003220DB">
        <w:t>engage in retail product distribution conduct</w:t>
      </w:r>
      <w:r w:rsidR="00624C4A">
        <w:t xml:space="preserve"> where a target market determination may no longer be appropriate;</w:t>
      </w:r>
      <w:r w:rsidR="00483BE1">
        <w:t xml:space="preserve"> </w:t>
      </w:r>
    </w:p>
    <w:p w14:paraId="58CE0D77" w14:textId="69805135" w:rsidR="00483BE1" w:rsidRDefault="00483BE1" w:rsidP="00483BE1">
      <w:pPr>
        <w:pStyle w:val="dotpoint"/>
      </w:pPr>
      <w:r>
        <w:t xml:space="preserve">to take reasonable steps </w:t>
      </w:r>
      <w:r w:rsidR="006A65D0">
        <w:t>so that retail product distribution conduct is consistent</w:t>
      </w:r>
      <w:r>
        <w:t xml:space="preserve"> with the target market determination</w:t>
      </w:r>
      <w:r w:rsidR="00624C4A">
        <w:t>;</w:t>
      </w:r>
    </w:p>
    <w:p w14:paraId="73E7787A" w14:textId="3692B83C" w:rsidR="00F07BD6" w:rsidRDefault="0073042F" w:rsidP="007A66B9">
      <w:pPr>
        <w:pStyle w:val="dotpoint"/>
      </w:pPr>
      <w:r>
        <w:t>to</w:t>
      </w:r>
      <w:r w:rsidR="00F07BD6">
        <w:t xml:space="preserve"> collect information</w:t>
      </w:r>
      <w:r w:rsidR="002910FD">
        <w:t xml:space="preserve"> specified by the issuer </w:t>
      </w:r>
      <w:r w:rsidR="00415E6F">
        <w:t>and complaints</w:t>
      </w:r>
      <w:r w:rsidR="00F07BD6">
        <w:t xml:space="preserve"> related to the distribution of a product</w:t>
      </w:r>
      <w:r w:rsidR="00DC4D85">
        <w:t xml:space="preserve"> and provide both</w:t>
      </w:r>
      <w:r w:rsidR="00415E6F">
        <w:t xml:space="preserve"> to the </w:t>
      </w:r>
      <w:r w:rsidR="002910FD">
        <w:t>issuer</w:t>
      </w:r>
      <w:r w:rsidR="00F07BD6">
        <w:t>; and</w:t>
      </w:r>
    </w:p>
    <w:p w14:paraId="1205CFE4" w14:textId="77777777" w:rsidR="00F35BDD" w:rsidRDefault="00F07BD6" w:rsidP="007A66B9">
      <w:pPr>
        <w:pStyle w:val="dotpoint"/>
      </w:pPr>
      <w:r>
        <w:t>to notify the issuer of a product of any significant dealings in the product that are not consistent with the products target market determination.</w:t>
      </w:r>
    </w:p>
    <w:p w14:paraId="04052324" w14:textId="69BA7AC9" w:rsidR="00440B24" w:rsidRDefault="00440B24" w:rsidP="00440B24">
      <w:pPr>
        <w:pStyle w:val="base-text-paragraph"/>
      </w:pPr>
      <w:r>
        <w:t>In addition, the new law amends existing section 1018A of the Corporations Act to require advertising or other promotional material for a financial product to refer to the product’s target market.</w:t>
      </w:r>
      <w:r w:rsidR="00592212">
        <w:t xml:space="preserve"> </w:t>
      </w:r>
      <w:r w:rsidR="00592212">
        <w:rPr>
          <w:rStyle w:val="Referencingstyle"/>
        </w:rPr>
        <w:t xml:space="preserve">[Schedule 1, item </w:t>
      </w:r>
      <w:r w:rsidR="00AC75E2">
        <w:rPr>
          <w:rStyle w:val="Referencingstyle"/>
        </w:rPr>
        <w:t>6</w:t>
      </w:r>
      <w:r w:rsidR="00592212">
        <w:rPr>
          <w:rStyle w:val="Referencingstyle"/>
        </w:rPr>
        <w:t xml:space="preserve"> and </w:t>
      </w:r>
      <w:r w:rsidR="00AC75E2">
        <w:rPr>
          <w:rStyle w:val="Referencingstyle"/>
        </w:rPr>
        <w:t>7</w:t>
      </w:r>
      <w:r w:rsidR="00592212" w:rsidRPr="00A24AD2">
        <w:rPr>
          <w:rStyle w:val="Referencingstyle"/>
        </w:rPr>
        <w:t xml:space="preserve">, </w:t>
      </w:r>
      <w:r w:rsidR="00592212">
        <w:rPr>
          <w:rStyle w:val="Referencingstyle"/>
        </w:rPr>
        <w:t>subparagraphs 1018A(1)(c</w:t>
      </w:r>
      <w:r w:rsidR="00AC75E2">
        <w:rPr>
          <w:rStyle w:val="Referencingstyle"/>
        </w:rPr>
        <w:t>a</w:t>
      </w:r>
      <w:r w:rsidR="00592212">
        <w:rPr>
          <w:rStyle w:val="Referencingstyle"/>
        </w:rPr>
        <w:t>) and 1018A(2)(c</w:t>
      </w:r>
      <w:r w:rsidR="00AC75E2">
        <w:rPr>
          <w:rStyle w:val="Referencingstyle"/>
        </w:rPr>
        <w:t>a</w:t>
      </w:r>
      <w:r w:rsidR="00592212">
        <w:rPr>
          <w:rStyle w:val="Referencingstyle"/>
        </w:rPr>
        <w:t xml:space="preserve">) </w:t>
      </w:r>
      <w:r w:rsidR="00592212" w:rsidRPr="00A24AD2">
        <w:rPr>
          <w:rStyle w:val="Referencingstyle"/>
        </w:rPr>
        <w:t>of</w:t>
      </w:r>
      <w:r w:rsidR="00592212">
        <w:rPr>
          <w:rStyle w:val="Referencingstyle"/>
        </w:rPr>
        <w:t xml:space="preserve"> the Corporations</w:t>
      </w:r>
      <w:r w:rsidR="00592212" w:rsidRPr="00A24AD2">
        <w:rPr>
          <w:rStyle w:val="Referencingstyle"/>
        </w:rPr>
        <w:t xml:space="preserve"> Act]</w:t>
      </w:r>
    </w:p>
    <w:p w14:paraId="5421D03A" w14:textId="77777777" w:rsidR="007A66B9" w:rsidRDefault="007A66B9" w:rsidP="007A66B9">
      <w:pPr>
        <w:pStyle w:val="Heading3"/>
      </w:pPr>
      <w:r>
        <w:t>Design obligations</w:t>
      </w:r>
    </w:p>
    <w:p w14:paraId="303E2B18" w14:textId="6182401C" w:rsidR="00E93CF7" w:rsidRDefault="007A66B9" w:rsidP="003D6EBD">
      <w:pPr>
        <w:pStyle w:val="base-text-paragraph"/>
        <w:rPr>
          <w:rStyle w:val="Referencingstyle"/>
        </w:rPr>
      </w:pPr>
      <w:r>
        <w:t xml:space="preserve">The design obligations are imposed on the person who is responsible for developing </w:t>
      </w:r>
      <w:r w:rsidR="00E93CF7">
        <w:t>the</w:t>
      </w:r>
      <w:r>
        <w:t xml:space="preserve"> financial product. This is the person who is responsible for preparing the disclosure docume</w:t>
      </w:r>
      <w:r w:rsidR="00AF726D">
        <w:t>nt</w:t>
      </w:r>
      <w:r w:rsidR="00F07BD6" w:rsidRPr="00424951">
        <w:rPr>
          <w:rStyle w:val="FootnoteReference"/>
        </w:rPr>
        <w:footnoteReference w:id="23"/>
      </w:r>
      <w:r w:rsidR="00F07BD6">
        <w:t xml:space="preserve"> </w:t>
      </w:r>
      <w:r w:rsidR="00AF726D">
        <w:t>for the produ</w:t>
      </w:r>
      <w:r w:rsidR="00E93CF7">
        <w:t>ct</w:t>
      </w:r>
      <w:r w:rsidR="00AF726D">
        <w:t>.</w:t>
      </w:r>
      <w:r w:rsidR="00F07BD6" w:rsidRPr="00424951">
        <w:rPr>
          <w:rStyle w:val="FootnoteReference"/>
        </w:rPr>
        <w:footnoteReference w:id="24"/>
      </w:r>
      <w:r w:rsidR="00F07BD6">
        <w:t xml:space="preserve"> </w:t>
      </w:r>
      <w:r w:rsidR="00324189">
        <w:t>A</w:t>
      </w:r>
      <w:r w:rsidR="00E93CF7">
        <w:t>ll references to ‘issuer’ are references to the person who</w:t>
      </w:r>
      <w:r w:rsidR="00BD6EB0">
        <w:t xml:space="preserve"> is subject to</w:t>
      </w:r>
      <w:r w:rsidR="00E93CF7">
        <w:t xml:space="preserve"> the design obligations</w:t>
      </w:r>
      <w:r w:rsidR="00724CDF">
        <w:t xml:space="preserve"> unless a contrary intention is indicated</w:t>
      </w:r>
      <w:r w:rsidR="00E93CF7">
        <w:t xml:space="preserve">. </w:t>
      </w:r>
      <w:r w:rsidR="00E93CF7">
        <w:rPr>
          <w:rStyle w:val="Referencingstyle"/>
        </w:rPr>
        <w:t xml:space="preserve">[Schedule 1, item </w:t>
      </w:r>
      <w:r w:rsidR="008013DF">
        <w:rPr>
          <w:rStyle w:val="Referencingstyle"/>
        </w:rPr>
        <w:t>5</w:t>
      </w:r>
      <w:r w:rsidR="00E93CF7" w:rsidRPr="00A24AD2">
        <w:rPr>
          <w:rStyle w:val="Referencingstyle"/>
        </w:rPr>
        <w:t xml:space="preserve">, </w:t>
      </w:r>
      <w:r w:rsidR="00E93CF7">
        <w:rPr>
          <w:rStyle w:val="Referencingstyle"/>
        </w:rPr>
        <w:t>subsection 99</w:t>
      </w:r>
      <w:r w:rsidR="008013DF">
        <w:rPr>
          <w:rStyle w:val="Referencingstyle"/>
        </w:rPr>
        <w:t>4</w:t>
      </w:r>
      <w:r w:rsidR="00E93CF7">
        <w:rPr>
          <w:rStyle w:val="Referencingstyle"/>
        </w:rPr>
        <w:t>B</w:t>
      </w:r>
      <w:r w:rsidR="0028770F">
        <w:rPr>
          <w:rStyle w:val="Referencingstyle"/>
        </w:rPr>
        <w:t>(1)</w:t>
      </w:r>
      <w:r w:rsidR="008013DF">
        <w:rPr>
          <w:rStyle w:val="Referencingstyle"/>
        </w:rPr>
        <w:t xml:space="preserve"> </w:t>
      </w:r>
      <w:r w:rsidR="00E93CF7" w:rsidRPr="00A24AD2">
        <w:rPr>
          <w:rStyle w:val="Referencingstyle"/>
        </w:rPr>
        <w:t>of</w:t>
      </w:r>
      <w:r w:rsidR="00E93CF7">
        <w:rPr>
          <w:rStyle w:val="Referencingstyle"/>
        </w:rPr>
        <w:t xml:space="preserve"> the Corporations</w:t>
      </w:r>
      <w:r w:rsidR="00E93CF7" w:rsidRPr="00A24AD2">
        <w:rPr>
          <w:rStyle w:val="Referencingstyle"/>
        </w:rPr>
        <w:t xml:space="preserve"> Act]</w:t>
      </w:r>
    </w:p>
    <w:p w14:paraId="5C081261" w14:textId="77777777" w:rsidR="00DC1C4E" w:rsidRDefault="00106186" w:rsidP="007A66B9">
      <w:pPr>
        <w:pStyle w:val="Heading4"/>
      </w:pPr>
      <w:r>
        <w:t>Obligation to make</w:t>
      </w:r>
      <w:r w:rsidR="00DC1C4E">
        <w:t xml:space="preserve"> a target market</w:t>
      </w:r>
      <w:r>
        <w:t xml:space="preserve"> determination</w:t>
      </w:r>
    </w:p>
    <w:p w14:paraId="3CB60B33" w14:textId="44AE502C" w:rsidR="000A01FA" w:rsidRDefault="000A01FA" w:rsidP="000A01FA">
      <w:pPr>
        <w:pStyle w:val="base-text-paragraph"/>
      </w:pPr>
      <w:r>
        <w:t>The first design obligation require</w:t>
      </w:r>
      <w:r w:rsidR="00324189">
        <w:t>s</w:t>
      </w:r>
      <w:r>
        <w:t xml:space="preserve"> an issuer to make a </w:t>
      </w:r>
      <w:r w:rsidR="00C7662C">
        <w:t>‘</w:t>
      </w:r>
      <w:r w:rsidRPr="00155ABB">
        <w:t>target market determination</w:t>
      </w:r>
      <w:r w:rsidR="00C7662C">
        <w:t>’</w:t>
      </w:r>
      <w:r>
        <w:t xml:space="preserve"> for their product.</w:t>
      </w:r>
      <w:r w:rsidR="00DD7A1E">
        <w:t xml:space="preserve"> </w:t>
      </w:r>
      <w:r w:rsidR="00654DA5">
        <w:t>The</w:t>
      </w:r>
      <w:r w:rsidR="007B5CB3">
        <w:t xml:space="preserve">re are a number of requirements that must be met for </w:t>
      </w:r>
      <w:r w:rsidR="001B71FC">
        <w:t>such a</w:t>
      </w:r>
      <w:r w:rsidR="007B5CB3">
        <w:t xml:space="preserve"> determination to be valid</w:t>
      </w:r>
      <w:r w:rsidR="00484EB9">
        <w:t>ly made</w:t>
      </w:r>
      <w:r w:rsidR="007B5CB3">
        <w:t>.</w:t>
      </w:r>
      <w:r w:rsidR="001B71FC">
        <w:t xml:space="preserve"> In particular,</w:t>
      </w:r>
      <w:r w:rsidR="00654DA5">
        <w:t xml:space="preserve"> </w:t>
      </w:r>
      <w:r w:rsidR="001B71FC">
        <w:t>t</w:t>
      </w:r>
      <w:r w:rsidR="00F31C17">
        <w:t xml:space="preserve">he </w:t>
      </w:r>
      <w:r w:rsidR="00D64A49">
        <w:t>target market determination must</w:t>
      </w:r>
      <w:r>
        <w:t>:</w:t>
      </w:r>
    </w:p>
    <w:p w14:paraId="50A9DC97" w14:textId="6E4F49EB" w:rsidR="007B5CB3" w:rsidRDefault="007B5CB3" w:rsidP="000A01FA">
      <w:pPr>
        <w:pStyle w:val="dotpoint"/>
      </w:pPr>
      <w:r>
        <w:t>be in writing</w:t>
      </w:r>
    </w:p>
    <w:p w14:paraId="2ED875F3" w14:textId="4A8E1AB1" w:rsidR="000A01FA" w:rsidRDefault="00192D24" w:rsidP="000A01FA">
      <w:pPr>
        <w:pStyle w:val="dotpoint"/>
      </w:pPr>
      <w:r>
        <w:t xml:space="preserve">describe </w:t>
      </w:r>
      <w:r w:rsidR="000A01FA">
        <w:t xml:space="preserve">the class of </w:t>
      </w:r>
      <w:r w:rsidR="00B73D5F">
        <w:t>retail clients that</w:t>
      </w:r>
      <w:r w:rsidR="000A01FA">
        <w:t xml:space="preserve"> comprise the target market for the product</w:t>
      </w:r>
      <w:r w:rsidR="00965A0D">
        <w:t xml:space="preserve"> (the </w:t>
      </w:r>
      <w:r w:rsidR="00965A0D" w:rsidRPr="002063E9">
        <w:t>target market</w:t>
      </w:r>
      <w:r w:rsidR="00965A0D">
        <w:t>)</w:t>
      </w:r>
      <w:r w:rsidR="000A01FA">
        <w:t>;</w:t>
      </w:r>
    </w:p>
    <w:p w14:paraId="0A61139E" w14:textId="0C1C913B" w:rsidR="00D64A49" w:rsidRDefault="00965A0D" w:rsidP="0040505D">
      <w:pPr>
        <w:pStyle w:val="dotpoint"/>
      </w:pPr>
      <w:r>
        <w:t>s</w:t>
      </w:r>
      <w:r w:rsidR="00192D24">
        <w:t xml:space="preserve">pecify </w:t>
      </w:r>
      <w:r w:rsidR="000A01FA">
        <w:t>any conditions</w:t>
      </w:r>
      <w:r w:rsidR="005174B6">
        <w:t xml:space="preserve"> and restrictions on</w:t>
      </w:r>
      <w:r w:rsidR="00192D24">
        <w:t xml:space="preserve"> retail product distribution conduct</w:t>
      </w:r>
      <w:r>
        <w:t xml:space="preserve"> (the </w:t>
      </w:r>
      <w:r w:rsidRPr="002063E9">
        <w:t>distribution conditions</w:t>
      </w:r>
      <w:r w:rsidR="005174B6">
        <w:t>)</w:t>
      </w:r>
      <w:r w:rsidR="00D64A49">
        <w:t>;</w:t>
      </w:r>
      <w:r w:rsidR="005174B6">
        <w:rPr>
          <w:rStyle w:val="FootnoteReference"/>
        </w:rPr>
        <w:footnoteReference w:id="25"/>
      </w:r>
    </w:p>
    <w:p w14:paraId="292430FB" w14:textId="3EFC2D58" w:rsidR="00D64A49" w:rsidRDefault="00D64A49" w:rsidP="0040505D">
      <w:pPr>
        <w:pStyle w:val="dotpoint"/>
      </w:pPr>
      <w:r>
        <w:t>specify events and circumstances that would reasonably suggest the determination is no longer appropriate (</w:t>
      </w:r>
      <w:r w:rsidRPr="00155ABB">
        <w:t>review triggers</w:t>
      </w:r>
      <w:r>
        <w:t>);</w:t>
      </w:r>
    </w:p>
    <w:p w14:paraId="4FC59944" w14:textId="4B54EC9F" w:rsidR="00D64A49" w:rsidRDefault="00D64A49" w:rsidP="0040505D">
      <w:pPr>
        <w:pStyle w:val="dotpoint"/>
      </w:pPr>
      <w:r>
        <w:t>specify maximum review periods</w:t>
      </w:r>
      <w:r w:rsidR="006A64A3">
        <w:t xml:space="preserve"> (</w:t>
      </w:r>
      <w:r w:rsidR="006A64A3" w:rsidRPr="00155ABB">
        <w:t>review periods</w:t>
      </w:r>
      <w:r w:rsidR="006A64A3">
        <w:rPr>
          <w:b/>
        </w:rPr>
        <w:t>)</w:t>
      </w:r>
      <w:r>
        <w:t>; and</w:t>
      </w:r>
    </w:p>
    <w:p w14:paraId="69E38FB1" w14:textId="3199D8E9" w:rsidR="00527436" w:rsidRDefault="0071770C" w:rsidP="0040505D">
      <w:pPr>
        <w:pStyle w:val="dotpoint"/>
      </w:pPr>
      <w:r>
        <w:t>specify</w:t>
      </w:r>
      <w:r w:rsidR="007B1307">
        <w:t xml:space="preserve"> reporting periods for when complaints about the product should be provided from the distributor to the issuer</w:t>
      </w:r>
      <w:r w:rsidR="00527436">
        <w:t>:</w:t>
      </w:r>
    </w:p>
    <w:p w14:paraId="4807730B" w14:textId="60738F93" w:rsidR="0071770C" w:rsidRDefault="00742304" w:rsidP="00742304">
      <w:pPr>
        <w:pStyle w:val="dotpoint"/>
      </w:pPr>
      <w:r>
        <w:t xml:space="preserve">specify </w:t>
      </w:r>
      <w:r w:rsidR="00527436">
        <w:t>kinds of</w:t>
      </w:r>
      <w:r w:rsidR="0071770C">
        <w:t xml:space="preserve"> information needed to promptly determine</w:t>
      </w:r>
      <w:r w:rsidR="00527436">
        <w:t xml:space="preserve"> that a determination may no longer be appropriate</w:t>
      </w:r>
      <w:r>
        <w:t>, along with</w:t>
      </w:r>
      <w:r w:rsidR="00527436">
        <w:t xml:space="preserve">; </w:t>
      </w:r>
      <w:r w:rsidR="0071770C">
        <w:t xml:space="preserve"> </w:t>
      </w:r>
    </w:p>
    <w:p w14:paraId="52141F38" w14:textId="77777777" w:rsidR="00527436" w:rsidRDefault="00527436" w:rsidP="00155ABB">
      <w:pPr>
        <w:pStyle w:val="dotpoint2"/>
      </w:pPr>
      <w:r>
        <w:t>which distributors should provide those kinds of information; and</w:t>
      </w:r>
    </w:p>
    <w:p w14:paraId="0051F21B" w14:textId="71CD8D14" w:rsidR="001D2378" w:rsidRDefault="007B1307" w:rsidP="00155ABB">
      <w:pPr>
        <w:pStyle w:val="dotpoint2"/>
      </w:pPr>
      <w:r>
        <w:t>reporting periods for when</w:t>
      </w:r>
      <w:r w:rsidR="00527436">
        <w:t xml:space="preserve"> that information should </w:t>
      </w:r>
      <w:r w:rsidR="00160A0E">
        <w:t xml:space="preserve">be </w:t>
      </w:r>
      <w:r w:rsidR="00527436">
        <w:t>provided</w:t>
      </w:r>
      <w:r w:rsidR="007114B2">
        <w:t xml:space="preserve"> by the distributors</w:t>
      </w:r>
      <w:r w:rsidR="002F4630">
        <w:t xml:space="preserve"> to the issuer</w:t>
      </w:r>
      <w:r w:rsidR="001E4D65">
        <w:t>.</w:t>
      </w:r>
    </w:p>
    <w:p w14:paraId="2A090849" w14:textId="58CA444B" w:rsidR="00527436" w:rsidRDefault="007114B2" w:rsidP="00155ABB">
      <w:pPr>
        <w:pStyle w:val="dotpoint"/>
        <w:numPr>
          <w:ilvl w:val="0"/>
          <w:numId w:val="0"/>
        </w:numPr>
        <w:ind w:left="2268"/>
      </w:pPr>
      <w:r>
        <w:rPr>
          <w:rStyle w:val="Referencingstyle"/>
        </w:rPr>
        <w:t>[Schedule 1, item 5</w:t>
      </w:r>
      <w:r w:rsidR="001D2378" w:rsidRPr="00A24AD2">
        <w:rPr>
          <w:rStyle w:val="Referencingstyle"/>
        </w:rPr>
        <w:t xml:space="preserve">, </w:t>
      </w:r>
      <w:r>
        <w:rPr>
          <w:rStyle w:val="Referencingstyle"/>
        </w:rPr>
        <w:t>section 994</w:t>
      </w:r>
      <w:r w:rsidR="008E0C96">
        <w:rPr>
          <w:rStyle w:val="Referencingstyle"/>
        </w:rPr>
        <w:t>A, subsection</w:t>
      </w:r>
      <w:r>
        <w:rPr>
          <w:rStyle w:val="Referencingstyle"/>
        </w:rPr>
        <w:t> 994B(5)</w:t>
      </w:r>
      <w:r w:rsidR="008E0C96">
        <w:rPr>
          <w:rStyle w:val="Referencingstyle"/>
        </w:rPr>
        <w:t xml:space="preserve"> </w:t>
      </w:r>
      <w:r w:rsidR="001D2378" w:rsidRPr="00A24AD2">
        <w:rPr>
          <w:rStyle w:val="Referencingstyle"/>
        </w:rPr>
        <w:t>of</w:t>
      </w:r>
      <w:r w:rsidR="001D2378">
        <w:rPr>
          <w:rStyle w:val="Referencingstyle"/>
        </w:rPr>
        <w:t xml:space="preserve"> the Corporations</w:t>
      </w:r>
      <w:r w:rsidR="001D2378" w:rsidRPr="00A24AD2">
        <w:rPr>
          <w:rStyle w:val="Referencingstyle"/>
        </w:rPr>
        <w:t xml:space="preserve"> Act]</w:t>
      </w:r>
      <w:r w:rsidR="001D2378">
        <w:t xml:space="preserve">   </w:t>
      </w:r>
      <w:r w:rsidR="00527436">
        <w:t xml:space="preserve"> </w:t>
      </w:r>
    </w:p>
    <w:p w14:paraId="3ED74613" w14:textId="2D80F839" w:rsidR="002F39BB" w:rsidRDefault="002F39BB" w:rsidP="00155ABB">
      <w:pPr>
        <w:pStyle w:val="base-text-paragraph"/>
      </w:pPr>
      <w:r>
        <w:t xml:space="preserve">The purpose of these requirements is to </w:t>
      </w:r>
      <w:r w:rsidR="007F2A8A">
        <w:t>ensure</w:t>
      </w:r>
      <w:r>
        <w:t xml:space="preserve"> issuers design products for which an appropriate target market can be defined</w:t>
      </w:r>
      <w:r w:rsidR="00C136D9">
        <w:t>,</w:t>
      </w:r>
      <w:r>
        <w:t xml:space="preserve"> or conversely to consider whether the planned target market for products </w:t>
      </w:r>
      <w:r w:rsidR="00C136D9">
        <w:t xml:space="preserve">under development </w:t>
      </w:r>
      <w:r>
        <w:t xml:space="preserve">is </w:t>
      </w:r>
      <w:r w:rsidR="00C136D9">
        <w:t>appropriate; and whether there are distribution channels to that market</w:t>
      </w:r>
      <w:r w:rsidR="001B71FC">
        <w:t xml:space="preserve"> which are feasible and appropriate</w:t>
      </w:r>
      <w:r w:rsidR="00C136D9">
        <w:t>.</w:t>
      </w:r>
    </w:p>
    <w:p w14:paraId="1AAC4F0A" w14:textId="75326507" w:rsidR="00BD6BD8" w:rsidRDefault="001D2378" w:rsidP="00155ABB">
      <w:pPr>
        <w:pStyle w:val="base-text-paragraph"/>
      </w:pPr>
      <w:r>
        <w:t xml:space="preserve">The target market </w:t>
      </w:r>
      <w:r w:rsidR="00445E64">
        <w:t xml:space="preserve">determination </w:t>
      </w:r>
      <w:r>
        <w:t>must be made available to the public free of charge</w:t>
      </w:r>
      <w:r w:rsidR="00582191">
        <w:t>. This is to mitigate evidential difficulties with substantiating non-compliance with target market determinations.</w:t>
      </w:r>
      <w:r w:rsidR="00FF7790">
        <w:t xml:space="preserve"> It also enables consumers to access a target market determination should they wish to do so. </w:t>
      </w:r>
      <w:r w:rsidR="008E0C96" w:rsidRPr="008E0C96">
        <w:rPr>
          <w:rStyle w:val="Referencingstyle"/>
        </w:rPr>
        <w:t>[Schedule 1, item 5, subsection 994B(9) of the Corporations Act]</w:t>
      </w:r>
      <w:r w:rsidR="002F39BB" w:rsidRPr="002F39BB">
        <w:t xml:space="preserve"> </w:t>
      </w:r>
    </w:p>
    <w:p w14:paraId="1F61EEFD" w14:textId="47BF6C5D" w:rsidR="001D2378" w:rsidRDefault="009440CA" w:rsidP="00155ABB">
      <w:pPr>
        <w:pStyle w:val="base-text-paragraph"/>
      </w:pPr>
      <w:r>
        <w:t>The new regime also provides for when the target determination must be made. In particular, t</w:t>
      </w:r>
      <w:r w:rsidR="00BD6BD8">
        <w:t xml:space="preserve">he </w:t>
      </w:r>
      <w:r>
        <w:t>determination</w:t>
      </w:r>
      <w:r w:rsidR="00BD6BD8">
        <w:t xml:space="preserve"> must be made before distribution occurs, or</w:t>
      </w:r>
      <w:r w:rsidR="00341517">
        <w:t xml:space="preserve"> </w:t>
      </w:r>
      <w:r w:rsidR="00BD6BD8">
        <w:t xml:space="preserve">in the case where regulations require the determination be made – before </w:t>
      </w:r>
      <w:r>
        <w:t>the</w:t>
      </w:r>
      <w:r w:rsidR="00BD6BD8">
        <w:t xml:space="preserve"> time or event specified in those regulations</w:t>
      </w:r>
      <w:r w:rsidR="00341517">
        <w:t xml:space="preserve"> (or</w:t>
      </w:r>
      <w:r w:rsidR="00BD6BD8">
        <w:t xml:space="preserve"> before distribution occurs if no such time or event is specified). </w:t>
      </w:r>
      <w:r w:rsidR="00BD6BD8" w:rsidRPr="008E0C96">
        <w:rPr>
          <w:rStyle w:val="Referencingstyle"/>
        </w:rPr>
        <w:t>[Sched</w:t>
      </w:r>
      <w:r w:rsidR="00BD6BD8">
        <w:rPr>
          <w:rStyle w:val="Referencingstyle"/>
        </w:rPr>
        <w:t>ule 1, item 5, paragraph 994B(2</w:t>
      </w:r>
      <w:r w:rsidR="00BD6BD8" w:rsidRPr="008E0C96">
        <w:rPr>
          <w:rStyle w:val="Referencingstyle"/>
        </w:rPr>
        <w:t>)</w:t>
      </w:r>
      <w:r w:rsidR="00BD6BD8">
        <w:rPr>
          <w:rStyle w:val="Referencingstyle"/>
        </w:rPr>
        <w:t>(b)</w:t>
      </w:r>
      <w:r w:rsidR="00BD6BD8" w:rsidRPr="008E0C96">
        <w:rPr>
          <w:rStyle w:val="Referencingstyle"/>
        </w:rPr>
        <w:t xml:space="preserve"> of the Corporations Act]</w:t>
      </w:r>
      <w:r w:rsidR="00BD6BD8" w:rsidRPr="002F39BB">
        <w:t xml:space="preserve"> </w:t>
      </w:r>
    </w:p>
    <w:p w14:paraId="14BE9BD7" w14:textId="32795902" w:rsidR="00E64D52" w:rsidRDefault="007027C5" w:rsidP="00155ABB">
      <w:pPr>
        <w:pStyle w:val="Heading5"/>
      </w:pPr>
      <w:r w:rsidRPr="00155ABB">
        <w:t>Determinations must be in writing</w:t>
      </w:r>
    </w:p>
    <w:p w14:paraId="22FF2D4B" w14:textId="0F6145C7" w:rsidR="007027C5" w:rsidRPr="007027C5" w:rsidRDefault="00BE2FE4">
      <w:pPr>
        <w:pStyle w:val="base-text-paragraph"/>
      </w:pPr>
      <w:r>
        <w:t>The new law provides that a</w:t>
      </w:r>
      <w:r w:rsidR="007027C5">
        <w:t xml:space="preserve"> target market determination</w:t>
      </w:r>
      <w:r>
        <w:t xml:space="preserve"> must b</w:t>
      </w:r>
      <w:r w:rsidR="007027C5">
        <w:t xml:space="preserve">e in writing. </w:t>
      </w:r>
      <w:r>
        <w:t xml:space="preserve">However, it </w:t>
      </w:r>
      <w:r w:rsidR="007027C5">
        <w:t>does not prescribe any particular form</w:t>
      </w:r>
      <w:r>
        <w:t xml:space="preserve"> for the written determination. </w:t>
      </w:r>
      <w:r w:rsidR="007E3FA9">
        <w:t>This allows issuers to determine the most effective and efficient form for a determination given the particular product involved and their existing systems and processes.</w:t>
      </w:r>
      <w:r w:rsidR="00281E75">
        <w:t xml:space="preserve"> </w:t>
      </w:r>
      <w:r w:rsidR="00281E75" w:rsidRPr="008E0C96">
        <w:rPr>
          <w:rStyle w:val="Referencingstyle"/>
        </w:rPr>
        <w:t>[Sched</w:t>
      </w:r>
      <w:r w:rsidR="00281E75">
        <w:rPr>
          <w:rStyle w:val="Referencingstyle"/>
        </w:rPr>
        <w:t>ule 1, item 5, paragraph 994B(5</w:t>
      </w:r>
      <w:r w:rsidR="00281E75" w:rsidRPr="008E0C96">
        <w:rPr>
          <w:rStyle w:val="Referencingstyle"/>
        </w:rPr>
        <w:t>)</w:t>
      </w:r>
      <w:r w:rsidR="00281E75">
        <w:rPr>
          <w:rStyle w:val="Referencingstyle"/>
        </w:rPr>
        <w:t>(a)</w:t>
      </w:r>
      <w:r w:rsidR="00281E75" w:rsidRPr="008E0C96">
        <w:rPr>
          <w:rStyle w:val="Referencingstyle"/>
        </w:rPr>
        <w:t xml:space="preserve"> of the Corporations Act]</w:t>
      </w:r>
    </w:p>
    <w:p w14:paraId="5128B415" w14:textId="3CEB8A90" w:rsidR="00AF3B90" w:rsidRDefault="00AF3B90" w:rsidP="00155ABB">
      <w:pPr>
        <w:pStyle w:val="Heading5"/>
      </w:pPr>
      <w:r>
        <w:t>Target market and distribution conditions</w:t>
      </w:r>
    </w:p>
    <w:p w14:paraId="0C5DE6CF" w14:textId="5086C383" w:rsidR="00B40C1A" w:rsidRDefault="00B40C1A" w:rsidP="000A01FA">
      <w:pPr>
        <w:pStyle w:val="base-text-paragraph"/>
      </w:pPr>
      <w:r>
        <w:t>A target market determination must detail the product’s target market and distribution conditions. The determination must also be appropriate having regard to the target market and distribution conditions.</w:t>
      </w:r>
      <w:r w:rsidR="006F4E4E">
        <w:t xml:space="preserve"> </w:t>
      </w:r>
      <w:r w:rsidR="006F4E4E" w:rsidRPr="008E0C96">
        <w:rPr>
          <w:rStyle w:val="Referencingstyle"/>
        </w:rPr>
        <w:t>[Sched</w:t>
      </w:r>
      <w:r w:rsidR="006F4E4E">
        <w:rPr>
          <w:rStyle w:val="Referencingstyle"/>
        </w:rPr>
        <w:t>ule 1, item 5, paragraphs 994B(5</w:t>
      </w:r>
      <w:r w:rsidR="006F4E4E" w:rsidRPr="008E0C96">
        <w:rPr>
          <w:rStyle w:val="Referencingstyle"/>
        </w:rPr>
        <w:t>)</w:t>
      </w:r>
      <w:r w:rsidR="006F4E4E">
        <w:rPr>
          <w:rStyle w:val="Referencingstyle"/>
        </w:rPr>
        <w:t>(b) and (c)</w:t>
      </w:r>
      <w:r w:rsidR="00C91B46">
        <w:rPr>
          <w:rStyle w:val="Referencingstyle"/>
        </w:rPr>
        <w:t xml:space="preserve"> subsection 994B(8)</w:t>
      </w:r>
      <w:r w:rsidR="006F4E4E" w:rsidRPr="008E0C96">
        <w:rPr>
          <w:rStyle w:val="Referencingstyle"/>
        </w:rPr>
        <w:t xml:space="preserve"> of the Corporations Act]</w:t>
      </w:r>
    </w:p>
    <w:p w14:paraId="4DC3C916" w14:textId="77777777" w:rsidR="00B40C1A" w:rsidRDefault="00B40C1A" w:rsidP="000A01FA">
      <w:pPr>
        <w:pStyle w:val="base-text-paragraph"/>
      </w:pPr>
      <w:r>
        <w:t xml:space="preserve">The new regime sets out when a target market determination is appropriate. In particular, for the determination to be appropriate it must satisfy two requirements. These requirements are that it be reasonable to conclude that, if an issue, or a regulated sale, of the product were to occur: </w:t>
      </w:r>
    </w:p>
    <w:p w14:paraId="1754F9A5" w14:textId="77777777" w:rsidR="00B40C1A" w:rsidRDefault="00B40C1A" w:rsidP="00155ABB">
      <w:pPr>
        <w:pStyle w:val="Bullet"/>
      </w:pPr>
      <w:r>
        <w:t xml:space="preserve">in accordance with the distribution conditions to a retail client – it would be likely that the retail client is in the target market; and </w:t>
      </w:r>
    </w:p>
    <w:p w14:paraId="72E06D7D" w14:textId="77777777" w:rsidR="00385CBD" w:rsidRPr="00A17337" w:rsidRDefault="00B40C1A" w:rsidP="00155ABB">
      <w:pPr>
        <w:pStyle w:val="Bullet"/>
        <w:rPr>
          <w:rStyle w:val="Referencingstyle"/>
          <w:b w:val="0"/>
          <w:i w:val="0"/>
          <w:sz w:val="22"/>
        </w:rPr>
      </w:pPr>
      <w:r>
        <w:t>to a retail client in the target market – it would likely be consistent with the likely objectives, financial situation and needs of the retail client.</w:t>
      </w:r>
      <w:r w:rsidR="00385CBD" w:rsidRPr="00385CBD">
        <w:rPr>
          <w:rStyle w:val="Referencingstyle"/>
        </w:rPr>
        <w:t xml:space="preserve"> </w:t>
      </w:r>
    </w:p>
    <w:p w14:paraId="4BD939B5" w14:textId="2A84646E" w:rsidR="00B40C1A" w:rsidRDefault="00385CBD" w:rsidP="00155ABB">
      <w:pPr>
        <w:pStyle w:val="Bullet"/>
        <w:numPr>
          <w:ilvl w:val="0"/>
          <w:numId w:val="0"/>
        </w:numPr>
        <w:ind w:left="2480"/>
      </w:pPr>
      <w:r>
        <w:rPr>
          <w:rStyle w:val="Referencingstyle"/>
        </w:rPr>
        <w:t>[Schedule 1, item 5</w:t>
      </w:r>
      <w:r w:rsidRPr="00A24AD2">
        <w:rPr>
          <w:rStyle w:val="Referencingstyle"/>
        </w:rPr>
        <w:t xml:space="preserve">, </w:t>
      </w:r>
      <w:r>
        <w:rPr>
          <w:rStyle w:val="Referencingstyle"/>
        </w:rPr>
        <w:t>subsection </w:t>
      </w:r>
      <w:r w:rsidR="00877E86">
        <w:rPr>
          <w:rStyle w:val="Referencingstyle"/>
        </w:rPr>
        <w:t>994B</w:t>
      </w:r>
      <w:r>
        <w:rPr>
          <w:rStyle w:val="Referencingstyle"/>
        </w:rPr>
        <w:t xml:space="preserve">(8) </w:t>
      </w:r>
      <w:r w:rsidRPr="00A24AD2">
        <w:rPr>
          <w:rStyle w:val="Referencingstyle"/>
        </w:rPr>
        <w:t>of</w:t>
      </w:r>
      <w:r>
        <w:rPr>
          <w:rStyle w:val="Referencingstyle"/>
        </w:rPr>
        <w:t xml:space="preserve"> the Corporations</w:t>
      </w:r>
      <w:r w:rsidRPr="00A24AD2">
        <w:rPr>
          <w:rStyle w:val="Referencingstyle"/>
        </w:rPr>
        <w:t xml:space="preserve"> Act]</w:t>
      </w:r>
      <w:r>
        <w:t xml:space="preserve">  </w:t>
      </w:r>
    </w:p>
    <w:p w14:paraId="0D403F02" w14:textId="152EC82D" w:rsidR="000158C7" w:rsidRDefault="000158C7" w:rsidP="000158C7">
      <w:pPr>
        <w:pStyle w:val="base-text-paragraph"/>
      </w:pPr>
      <w:r>
        <w:t xml:space="preserve">The first requirement </w:t>
      </w:r>
      <w:r w:rsidR="00D03440">
        <w:t>focuses on the likelihood</w:t>
      </w:r>
      <w:r w:rsidR="00713D6A">
        <w:t xml:space="preserve"> of a retail client being in the target market for a product given the distribution conditions proposed by the issuer.</w:t>
      </w:r>
      <w:r w:rsidR="00090EB9">
        <w:t xml:space="preserve"> </w:t>
      </w:r>
      <w:r w:rsidR="00713D6A">
        <w:t>This requirement enables</w:t>
      </w:r>
      <w:r>
        <w:t xml:space="preserve"> an issuer </w:t>
      </w:r>
      <w:r w:rsidR="00713D6A">
        <w:t xml:space="preserve">to </w:t>
      </w:r>
      <w:r>
        <w:t>determine a wide range of distribution conditions applicable to a product</w:t>
      </w:r>
      <w:r w:rsidR="00D03440">
        <w:t>, provided they</w:t>
      </w:r>
      <w:r w:rsidR="00713D6A">
        <w:t xml:space="preserve"> </w:t>
      </w:r>
      <w:r w:rsidR="00D03440">
        <w:t>are likely to</w:t>
      </w:r>
      <w:r>
        <w:t xml:space="preserve"> direct distribution to consumers in the target market. </w:t>
      </w:r>
      <w:r>
        <w:rPr>
          <w:rStyle w:val="Referencingstyle"/>
        </w:rPr>
        <w:t>[Schedule 1, item 5</w:t>
      </w:r>
      <w:r w:rsidRPr="00A24AD2">
        <w:rPr>
          <w:rStyle w:val="Referencingstyle"/>
        </w:rPr>
        <w:t xml:space="preserve">, </w:t>
      </w:r>
      <w:r w:rsidR="002B59B0">
        <w:rPr>
          <w:rStyle w:val="Referencingstyle"/>
        </w:rPr>
        <w:t>paragraph</w:t>
      </w:r>
      <w:r w:rsidR="00713D6A">
        <w:rPr>
          <w:rStyle w:val="Referencingstyle"/>
        </w:rPr>
        <w:t> 994B(8)</w:t>
      </w:r>
      <w:r w:rsidR="002B59B0">
        <w:rPr>
          <w:rStyle w:val="Referencingstyle"/>
        </w:rPr>
        <w:t>(a</w:t>
      </w:r>
      <w:r w:rsidR="00713D6A">
        <w:rPr>
          <w:rStyle w:val="Referencingstyle"/>
        </w:rPr>
        <w:t>)</w:t>
      </w:r>
      <w:r>
        <w:rPr>
          <w:rStyle w:val="Referencingstyle"/>
        </w:rPr>
        <w:t xml:space="preserve"> </w:t>
      </w:r>
      <w:r w:rsidRPr="00A24AD2">
        <w:rPr>
          <w:rStyle w:val="Referencingstyle"/>
        </w:rPr>
        <w:t>of</w:t>
      </w:r>
      <w:r>
        <w:rPr>
          <w:rStyle w:val="Referencingstyle"/>
        </w:rPr>
        <w:t xml:space="preserve"> the Corporations</w:t>
      </w:r>
      <w:r w:rsidRPr="00A24AD2">
        <w:rPr>
          <w:rStyle w:val="Referencingstyle"/>
        </w:rPr>
        <w:t xml:space="preserve"> Act]</w:t>
      </w:r>
      <w:r>
        <w:t xml:space="preserve">  </w:t>
      </w:r>
    </w:p>
    <w:p w14:paraId="74BDE991" w14:textId="538526BA" w:rsidR="000158C7" w:rsidRDefault="0041243B" w:rsidP="000158C7">
      <w:pPr>
        <w:pStyle w:val="base-text-paragraph"/>
      </w:pPr>
      <w:r>
        <w:t>An issuer must consider a wide range of factors in determining whether their selected distribution conditions are appropriate. F</w:t>
      </w:r>
      <w:r w:rsidR="00D03440">
        <w:t>actors</w:t>
      </w:r>
      <w:r w:rsidR="002E13DD">
        <w:t xml:space="preserve"> may</w:t>
      </w:r>
      <w:r w:rsidR="00D03440">
        <w:t xml:space="preserve"> include</w:t>
      </w:r>
      <w:r w:rsidR="000158C7">
        <w:t xml:space="preserve"> known diligence, capabilities and</w:t>
      </w:r>
      <w:r>
        <w:t xml:space="preserve"> the</w:t>
      </w:r>
      <w:r w:rsidR="000158C7">
        <w:t xml:space="preserve"> integrity of existing and prospective </w:t>
      </w:r>
      <w:r w:rsidR="00FD3DEE">
        <w:t>distribution methods</w:t>
      </w:r>
      <w:r w:rsidR="000158C7">
        <w:t>. For example,</w:t>
      </w:r>
      <w:r>
        <w:t xml:space="preserve"> an issuer may consider previous instances where a product was issued through a specific distribution method as part of its assessment to determine the appropriateness of that distribution method.</w:t>
      </w:r>
      <w:r w:rsidR="000158C7">
        <w:t xml:space="preserve"> </w:t>
      </w:r>
    </w:p>
    <w:p w14:paraId="2C446E81" w14:textId="3E9D7CD3" w:rsidR="004C5683" w:rsidRDefault="005B5F35" w:rsidP="000A01FA">
      <w:pPr>
        <w:pStyle w:val="base-text-paragraph"/>
      </w:pPr>
      <w:r>
        <w:t>The second requirement focuses on the likelihood of a product being appropriate for the retail clients in the target market. Whether a product is appropriate is determined by reference to</w:t>
      </w:r>
      <w:r w:rsidR="008D679C">
        <w:t xml:space="preserve"> whether it is</w:t>
      </w:r>
      <w:r>
        <w:t xml:space="preserve"> </w:t>
      </w:r>
      <w:r w:rsidR="008D679C">
        <w:t>likely to be consistent with the likely objectives, financial situation and needs of the retail clients. Again, t</w:t>
      </w:r>
      <w:r w:rsidR="00E37D38">
        <w:t xml:space="preserve">his formulation provides flexibility </w:t>
      </w:r>
      <w:r w:rsidR="008D679C">
        <w:t>to an issuer in determining the appropriate target market for a product.</w:t>
      </w:r>
      <w:r w:rsidR="00E37D38">
        <w:t xml:space="preserve"> For example, it would enable </w:t>
      </w:r>
      <w:r w:rsidR="004C5683">
        <w:t xml:space="preserve">an issuer to conclude that </w:t>
      </w:r>
      <w:r w:rsidR="00637D2A">
        <w:t>it is</w:t>
      </w:r>
      <w:r w:rsidR="004C5683">
        <w:t xml:space="preserve"> appropriate </w:t>
      </w:r>
      <w:r w:rsidR="008D679C">
        <w:t>for</w:t>
      </w:r>
      <w:r w:rsidR="004C5683">
        <w:t xml:space="preserve"> a product</w:t>
      </w:r>
      <w:r w:rsidR="0039698A">
        <w:t xml:space="preserve"> to </w:t>
      </w:r>
      <w:r w:rsidR="008D679C">
        <w:t>be issued to an</w:t>
      </w:r>
      <w:r w:rsidR="0039698A">
        <w:t xml:space="preserve"> investor</w:t>
      </w:r>
      <w:r w:rsidR="004C5683">
        <w:t xml:space="preserve"> as part of balanced portfolio, </w:t>
      </w:r>
      <w:r w:rsidR="00637D2A">
        <w:t>even if it would not otherwise be</w:t>
      </w:r>
      <w:r w:rsidR="004C5683">
        <w:t xml:space="preserve"> appropriate </w:t>
      </w:r>
      <w:r w:rsidR="0039698A">
        <w:t>for the investor</w:t>
      </w:r>
      <w:r w:rsidR="004C5683">
        <w:t>.</w:t>
      </w:r>
      <w:r w:rsidR="0076537F">
        <w:t xml:space="preserve"> </w:t>
      </w:r>
      <w:r w:rsidR="00877E86">
        <w:rPr>
          <w:rStyle w:val="Referencingstyle"/>
        </w:rPr>
        <w:t>[Schedule 1, item 5</w:t>
      </w:r>
      <w:r w:rsidR="00877E86" w:rsidRPr="00A24AD2">
        <w:rPr>
          <w:rStyle w:val="Referencingstyle"/>
        </w:rPr>
        <w:t xml:space="preserve">, </w:t>
      </w:r>
      <w:r w:rsidR="00877E86">
        <w:rPr>
          <w:rStyle w:val="Referencingstyle"/>
        </w:rPr>
        <w:t xml:space="preserve">paragraph 994B(8)(b) </w:t>
      </w:r>
      <w:r w:rsidR="00877E86" w:rsidRPr="00A24AD2">
        <w:rPr>
          <w:rStyle w:val="Referencingstyle"/>
        </w:rPr>
        <w:t>of</w:t>
      </w:r>
      <w:r w:rsidR="00877E86">
        <w:rPr>
          <w:rStyle w:val="Referencingstyle"/>
        </w:rPr>
        <w:t xml:space="preserve"> the Corporations</w:t>
      </w:r>
      <w:r w:rsidR="00877E86" w:rsidRPr="00A24AD2">
        <w:rPr>
          <w:rStyle w:val="Referencingstyle"/>
        </w:rPr>
        <w:t xml:space="preserve"> Act]</w:t>
      </w:r>
      <w:r w:rsidR="00877E86">
        <w:t xml:space="preserve">  </w:t>
      </w:r>
      <w:r w:rsidR="0076537F">
        <w:t xml:space="preserve"> </w:t>
      </w:r>
    </w:p>
    <w:p w14:paraId="58501A5C" w14:textId="3ACA90B5" w:rsidR="004C5683" w:rsidRDefault="00516EE7" w:rsidP="00A1599E">
      <w:pPr>
        <w:pStyle w:val="base-text-paragraph"/>
      </w:pPr>
      <w:r>
        <w:t xml:space="preserve">The </w:t>
      </w:r>
      <w:r w:rsidRPr="00A1599E">
        <w:t>amendments</w:t>
      </w:r>
      <w:r>
        <w:t xml:space="preserve"> </w:t>
      </w:r>
      <w:r w:rsidR="00324189">
        <w:t>use</w:t>
      </w:r>
      <w:r w:rsidR="00A1599E">
        <w:t xml:space="preserve"> </w:t>
      </w:r>
      <w:r>
        <w:t>language</w:t>
      </w:r>
      <w:r w:rsidR="004E633B">
        <w:t xml:space="preserve"> similar to that</w:t>
      </w:r>
      <w:r w:rsidR="00A1599E">
        <w:t xml:space="preserve"> currently</w:t>
      </w:r>
      <w:r>
        <w:t xml:space="preserve"> used </w:t>
      </w:r>
      <w:r w:rsidR="00A1599E">
        <w:t>in the Corporations Act in the</w:t>
      </w:r>
      <w:r>
        <w:t xml:space="preserve"> context of personal advice</w:t>
      </w:r>
      <w:r w:rsidR="00A1599E">
        <w:t xml:space="preserve">. In particular, </w:t>
      </w:r>
      <w:r w:rsidR="004E633B">
        <w:t>it must be reasonable to conclude that</w:t>
      </w:r>
      <w:r w:rsidR="000E70D0">
        <w:t xml:space="preserve"> if</w:t>
      </w:r>
      <w:r w:rsidR="004E633B">
        <w:t xml:space="preserve"> the product were issued or sold it would </w:t>
      </w:r>
      <w:r w:rsidR="00A1599E">
        <w:t>“</w:t>
      </w:r>
      <w:r w:rsidR="004E633B">
        <w:t xml:space="preserve">likely be consistent with </w:t>
      </w:r>
      <w:r w:rsidR="00A1599E">
        <w:t>the likely</w:t>
      </w:r>
      <w:r w:rsidR="00A1599E" w:rsidRPr="00A1599E">
        <w:rPr>
          <w:i/>
        </w:rPr>
        <w:t xml:space="preserve"> objectives, financial situations and needs</w:t>
      </w:r>
      <w:r w:rsidR="00A1599E">
        <w:t xml:space="preserve"> of persons in the target market” [emphasis added].</w:t>
      </w:r>
      <w:r>
        <w:t xml:space="preserve"> </w:t>
      </w:r>
      <w:r w:rsidR="00A1599E">
        <w:t xml:space="preserve">This reflects that the factors that are important to </w:t>
      </w:r>
      <w:r w:rsidR="00324189">
        <w:t xml:space="preserve">providing </w:t>
      </w:r>
      <w:r w:rsidR="00A1599E">
        <w:t>good personal advice are also important to good product design, particularly</w:t>
      </w:r>
      <w:r w:rsidR="002E650C">
        <w:t xml:space="preserve"> </w:t>
      </w:r>
      <w:r w:rsidR="00324189">
        <w:t xml:space="preserve">when </w:t>
      </w:r>
      <w:r w:rsidR="00A1599E">
        <w:t>determining the hypothetical consumers in a product’s target market. The use of th</w:t>
      </w:r>
      <w:r w:rsidR="00E624EA">
        <w:t>is</w:t>
      </w:r>
      <w:r w:rsidR="00A1599E">
        <w:t xml:space="preserve"> language</w:t>
      </w:r>
      <w:r w:rsidR="004C5683">
        <w:t xml:space="preserve"> does not reflect a requirement to take into account the person</w:t>
      </w:r>
      <w:r w:rsidR="00675C45">
        <w:t>al</w:t>
      </w:r>
      <w:r w:rsidR="004C5683">
        <w:t xml:space="preserve"> circumstances of any particular person</w:t>
      </w:r>
      <w:r w:rsidR="00E16CA9">
        <w:t xml:space="preserve"> or to provide personal advice</w:t>
      </w:r>
      <w:r w:rsidR="004C5683">
        <w:t>.</w:t>
      </w:r>
      <w:r w:rsidR="00B775AF">
        <w:t xml:space="preserve"> </w:t>
      </w:r>
    </w:p>
    <w:p w14:paraId="141030EA" w14:textId="2804D10C" w:rsidR="00ED5A7A" w:rsidRDefault="00A01D8A" w:rsidP="00ED5A7A">
      <w:pPr>
        <w:pStyle w:val="base-text-paragraph"/>
      </w:pPr>
      <w:r>
        <w:t xml:space="preserve">An </w:t>
      </w:r>
      <w:r w:rsidR="00402BF0">
        <w:t>i</w:t>
      </w:r>
      <w:r w:rsidR="00ED5A7A">
        <w:t>s</w:t>
      </w:r>
      <w:r w:rsidR="00584E88">
        <w:t>s</w:t>
      </w:r>
      <w:r w:rsidR="00ED5A7A">
        <w:t>uer</w:t>
      </w:r>
      <w:r w:rsidR="002E650C">
        <w:t xml:space="preserve"> </w:t>
      </w:r>
      <w:r>
        <w:t>must</w:t>
      </w:r>
      <w:r w:rsidR="00ED5A7A">
        <w:t xml:space="preserve"> take into account all relevant factors in determining whether a product is likely to </w:t>
      </w:r>
      <w:r w:rsidR="00264F0F">
        <w:t xml:space="preserve">be consistent with </w:t>
      </w:r>
      <w:r w:rsidR="00ED5A7A">
        <w:t xml:space="preserve">the </w:t>
      </w:r>
      <w:r w:rsidR="00264F0F">
        <w:t xml:space="preserve">likely </w:t>
      </w:r>
      <w:r w:rsidR="00ED5A7A">
        <w:t>objectives, financial situations and needs of persons within the target market.</w:t>
      </w:r>
      <w:r w:rsidR="00A11180">
        <w:t xml:space="preserve"> </w:t>
      </w:r>
      <w:r w:rsidR="002E650C">
        <w:t>R</w:t>
      </w:r>
      <w:r w:rsidR="00A11180">
        <w:t xml:space="preserve">elevant factors may include: </w:t>
      </w:r>
      <w:r w:rsidR="00ED5A7A">
        <w:t xml:space="preserve"> </w:t>
      </w:r>
    </w:p>
    <w:p w14:paraId="4C312D4A" w14:textId="5BD4845C" w:rsidR="00A11180" w:rsidRDefault="00A11180" w:rsidP="00A11180">
      <w:pPr>
        <w:pStyle w:val="dotpoint"/>
      </w:pPr>
      <w:r>
        <w:t>the key features of the product, including its complexity, risk profile (over the lifetime of the product)</w:t>
      </w:r>
      <w:r w:rsidR="00735A4F">
        <w:t>, any applicable fees,</w:t>
      </w:r>
      <w:r>
        <w:t xml:space="preserve"> and the investment needs that the product is seeking to meet;</w:t>
      </w:r>
      <w:r w:rsidR="00C461E2">
        <w:t xml:space="preserve"> and</w:t>
      </w:r>
      <w:r w:rsidR="006B3EE7">
        <w:t>,</w:t>
      </w:r>
      <w:r>
        <w:t xml:space="preserve"> </w:t>
      </w:r>
    </w:p>
    <w:p w14:paraId="7DA8F03D" w14:textId="02E6B6CF" w:rsidR="006155CE" w:rsidRDefault="00A11180" w:rsidP="00A11180">
      <w:pPr>
        <w:pStyle w:val="dotpoint"/>
      </w:pPr>
      <w:r>
        <w:t>the circumstances of persons within a particular market, such as their understanding of product features, capacity to meet financial obligations or bear losses</w:t>
      </w:r>
      <w:r w:rsidR="00735A4F">
        <w:t>,</w:t>
      </w:r>
      <w:r>
        <w:t xml:space="preserve"> and whether their investment needs are the same </w:t>
      </w:r>
      <w:r w:rsidR="002E650C">
        <w:t>as those the product seeks to meet</w:t>
      </w:r>
      <w:r w:rsidR="00C461E2">
        <w:t>.</w:t>
      </w:r>
    </w:p>
    <w:p w14:paraId="365298BB" w14:textId="1D1CEF3B" w:rsidR="00A11180" w:rsidRDefault="007E5377" w:rsidP="00ED5A7A">
      <w:pPr>
        <w:pStyle w:val="base-text-paragraph"/>
      </w:pPr>
      <w:r>
        <w:t>The</w:t>
      </w:r>
      <w:r w:rsidR="00A01D8A">
        <w:t>se</w:t>
      </w:r>
      <w:r>
        <w:t xml:space="preserve"> are just </w:t>
      </w:r>
      <w:r w:rsidR="00F723D6">
        <w:t>two</w:t>
      </w:r>
      <w:r w:rsidR="00D84D3B">
        <w:t xml:space="preserve"> </w:t>
      </w:r>
      <w:r>
        <w:t xml:space="preserve">examples of potential factors that may need to be taken into account in making a target market determination. </w:t>
      </w:r>
      <w:r w:rsidR="00A11180">
        <w:t>There are likely t</w:t>
      </w:r>
      <w:r>
        <w:t xml:space="preserve">o be </w:t>
      </w:r>
      <w:r w:rsidR="00A11180">
        <w:t>other</w:t>
      </w:r>
      <w:r>
        <w:t xml:space="preserve"> </w:t>
      </w:r>
      <w:r w:rsidR="00A11180">
        <w:t>factors that need to be taken in</w:t>
      </w:r>
      <w:r w:rsidR="00A7637A">
        <w:t>to</w:t>
      </w:r>
      <w:r w:rsidR="00A11180">
        <w:t xml:space="preserve"> account</w:t>
      </w:r>
      <w:r w:rsidR="00D84D3B">
        <w:t xml:space="preserve">. </w:t>
      </w:r>
    </w:p>
    <w:p w14:paraId="332F831D" w14:textId="082B80FD" w:rsidR="00AF3B90" w:rsidRDefault="00AF3B90" w:rsidP="00155ABB">
      <w:pPr>
        <w:pStyle w:val="Heading5"/>
      </w:pPr>
      <w:r>
        <w:t>Review triggers and review periods</w:t>
      </w:r>
    </w:p>
    <w:p w14:paraId="617F293C" w14:textId="389040A1" w:rsidR="004F7340" w:rsidRDefault="00397A4C" w:rsidP="00CB6261">
      <w:pPr>
        <w:pStyle w:val="base-text-paragraph"/>
      </w:pPr>
      <w:r>
        <w:t xml:space="preserve">As part of making the target market determination the </w:t>
      </w:r>
      <w:r w:rsidR="00C24D52">
        <w:t>maker</w:t>
      </w:r>
      <w:r>
        <w:t xml:space="preserve"> must</w:t>
      </w:r>
      <w:r w:rsidR="008F72AB">
        <w:t>:</w:t>
      </w:r>
      <w:r>
        <w:t xml:space="preserve"> </w:t>
      </w:r>
    </w:p>
    <w:p w14:paraId="3D4AE6F6" w14:textId="20B7FF8F" w:rsidR="00655CA8" w:rsidRDefault="00655CA8" w:rsidP="004F7340">
      <w:pPr>
        <w:pStyle w:val="dotpoint"/>
      </w:pPr>
      <w:r>
        <w:t>identify events and circumstances (</w:t>
      </w:r>
      <w:r w:rsidR="00A01D8A">
        <w:t>called ‘</w:t>
      </w:r>
      <w:r>
        <w:t>review triggers</w:t>
      </w:r>
      <w:r w:rsidR="00A01D8A">
        <w:t>’</w:t>
      </w:r>
      <w:r>
        <w:t xml:space="preserve">) that would </w:t>
      </w:r>
      <w:r w:rsidR="00A01D8A">
        <w:t xml:space="preserve">reasonably </w:t>
      </w:r>
      <w:r>
        <w:t>suggest that the target market determination is no longer appropriate; and</w:t>
      </w:r>
    </w:p>
    <w:p w14:paraId="7D8B39D0" w14:textId="7353614C" w:rsidR="00655CA8" w:rsidRDefault="00655CA8" w:rsidP="004F7340">
      <w:pPr>
        <w:pStyle w:val="dotpoint"/>
      </w:pPr>
      <w:r>
        <w:t>determine the maximum period between reviews of the target market determination (</w:t>
      </w:r>
      <w:r w:rsidR="00A01D8A">
        <w:t>called the ‘</w:t>
      </w:r>
      <w:r>
        <w:t>review period</w:t>
      </w:r>
      <w:r w:rsidR="00A01D8A">
        <w:t>’</w:t>
      </w:r>
      <w:r>
        <w:t xml:space="preserve">), which must be reasonable in the circumstances. </w:t>
      </w:r>
      <w:r>
        <w:rPr>
          <w:rStyle w:val="Referencingstyle"/>
        </w:rPr>
        <w:t xml:space="preserve">[Schedule 1, item </w:t>
      </w:r>
      <w:r w:rsidR="00F96590">
        <w:rPr>
          <w:rStyle w:val="Referencingstyle"/>
        </w:rPr>
        <w:t>5</w:t>
      </w:r>
      <w:r w:rsidRPr="00A24AD2">
        <w:rPr>
          <w:rStyle w:val="Referencingstyle"/>
        </w:rPr>
        <w:t>,</w:t>
      </w:r>
      <w:r w:rsidR="00AC2400">
        <w:rPr>
          <w:rStyle w:val="Referencingstyle"/>
        </w:rPr>
        <w:t xml:space="preserve"> section 99</w:t>
      </w:r>
      <w:r w:rsidR="00F96590">
        <w:rPr>
          <w:rStyle w:val="Referencingstyle"/>
        </w:rPr>
        <w:t>4</w:t>
      </w:r>
      <w:r w:rsidR="00AC2400">
        <w:rPr>
          <w:rStyle w:val="Referencingstyle"/>
        </w:rPr>
        <w:t>A and</w:t>
      </w:r>
      <w:r w:rsidRPr="00A24AD2">
        <w:rPr>
          <w:rStyle w:val="Referencingstyle"/>
        </w:rPr>
        <w:t xml:space="preserve"> </w:t>
      </w:r>
      <w:r w:rsidR="00F96590">
        <w:rPr>
          <w:rStyle w:val="Referencingstyle"/>
        </w:rPr>
        <w:t>paragraphs </w:t>
      </w:r>
      <w:r>
        <w:rPr>
          <w:rStyle w:val="Referencingstyle"/>
        </w:rPr>
        <w:t>99</w:t>
      </w:r>
      <w:r w:rsidR="00F96590">
        <w:rPr>
          <w:rStyle w:val="Referencingstyle"/>
        </w:rPr>
        <w:t>4</w:t>
      </w:r>
      <w:r>
        <w:rPr>
          <w:rStyle w:val="Referencingstyle"/>
        </w:rPr>
        <w:t>B(</w:t>
      </w:r>
      <w:r w:rsidR="00F96590">
        <w:rPr>
          <w:rStyle w:val="Referencingstyle"/>
        </w:rPr>
        <w:t>5</w:t>
      </w:r>
      <w:r>
        <w:rPr>
          <w:rStyle w:val="Referencingstyle"/>
        </w:rPr>
        <w:t>)</w:t>
      </w:r>
      <w:r w:rsidR="00F96590">
        <w:rPr>
          <w:rStyle w:val="Referencingstyle"/>
        </w:rPr>
        <w:t>(d), (e) and (f)</w:t>
      </w:r>
      <w:r>
        <w:rPr>
          <w:rStyle w:val="Referencingstyle"/>
        </w:rPr>
        <w:t xml:space="preserve"> </w:t>
      </w:r>
      <w:r w:rsidRPr="00A24AD2">
        <w:rPr>
          <w:rStyle w:val="Referencingstyle"/>
        </w:rPr>
        <w:t>of</w:t>
      </w:r>
      <w:r>
        <w:rPr>
          <w:rStyle w:val="Referencingstyle"/>
        </w:rPr>
        <w:t xml:space="preserve"> the Corporations</w:t>
      </w:r>
      <w:r w:rsidRPr="00A24AD2">
        <w:rPr>
          <w:rStyle w:val="Referencingstyle"/>
        </w:rPr>
        <w:t xml:space="preserve"> Act]</w:t>
      </w:r>
      <w:r>
        <w:t xml:space="preserve">   </w:t>
      </w:r>
    </w:p>
    <w:p w14:paraId="6C02251B" w14:textId="619A3D1E" w:rsidR="003D1C9B" w:rsidRDefault="003D1C9B" w:rsidP="001207EA">
      <w:pPr>
        <w:pStyle w:val="base-text-paragraph"/>
      </w:pPr>
      <w:r>
        <w:t xml:space="preserve">The requirement </w:t>
      </w:r>
      <w:r w:rsidR="00A01D8A">
        <w:t xml:space="preserve">on a product issuer </w:t>
      </w:r>
      <w:r>
        <w:t>to determine review triggers ensure</w:t>
      </w:r>
      <w:r w:rsidR="00A01D8A">
        <w:t>s</w:t>
      </w:r>
      <w:r>
        <w:t xml:space="preserve"> that </w:t>
      </w:r>
      <w:r w:rsidR="00A01D8A">
        <w:t>they review and remake</w:t>
      </w:r>
      <w:r>
        <w:t xml:space="preserve"> a target market determination when events or circumstances suggest that it may no longer be appropriate. What </w:t>
      </w:r>
      <w:r w:rsidR="008A36F4">
        <w:t>may</w:t>
      </w:r>
      <w:r>
        <w:t xml:space="preserve"> constitute a review trigger will vary from product to product depending on the nature of the product and the circumstances surrounding its issue, including the way in which it is distributed. </w:t>
      </w:r>
      <w:r w:rsidR="00A01D8A">
        <w:t>For this reason, i</w:t>
      </w:r>
      <w:r>
        <w:t xml:space="preserve">t is not possible to provide a </w:t>
      </w:r>
      <w:r w:rsidR="00A01D8A">
        <w:t xml:space="preserve">definitive statutory </w:t>
      </w:r>
      <w:r>
        <w:t>list of possible review trig</w:t>
      </w:r>
      <w:r w:rsidR="00751FE3">
        <w:t xml:space="preserve">gers. However, some examples of the broad range of possible </w:t>
      </w:r>
      <w:r>
        <w:t>review triggers include:</w:t>
      </w:r>
    </w:p>
    <w:p w14:paraId="29565ED1" w14:textId="081E325E" w:rsidR="003D1C9B" w:rsidRDefault="000D4AF0" w:rsidP="003D1C9B">
      <w:pPr>
        <w:pStyle w:val="dotpoint"/>
      </w:pPr>
      <w:r>
        <w:t>an event or circumstance that would materially change a factor taken into account in making the target market deter</w:t>
      </w:r>
      <w:r w:rsidR="00990279">
        <w:t>mination for the</w:t>
      </w:r>
      <w:r w:rsidR="003D1C9B">
        <w:t xml:space="preserve"> product;</w:t>
      </w:r>
    </w:p>
    <w:p w14:paraId="606C394A" w14:textId="77777777" w:rsidR="00751FE3" w:rsidRDefault="00990279" w:rsidP="003D1C9B">
      <w:pPr>
        <w:pStyle w:val="dotpoint"/>
      </w:pPr>
      <w:r>
        <w:t>whether the product is being distributed</w:t>
      </w:r>
      <w:r w:rsidR="000A38AC">
        <w:t xml:space="preserve"> and purchased</w:t>
      </w:r>
      <w:r>
        <w:t xml:space="preserve"> as</w:t>
      </w:r>
      <w:r w:rsidR="00751FE3">
        <w:t xml:space="preserve"> envisaged by its</w:t>
      </w:r>
      <w:r w:rsidR="000A38AC">
        <w:t xml:space="preserve"> target market determination;</w:t>
      </w:r>
      <w:r w:rsidR="00751FE3">
        <w:t xml:space="preserve"> and</w:t>
      </w:r>
      <w:r w:rsidR="000A38AC">
        <w:t xml:space="preserve"> </w:t>
      </w:r>
    </w:p>
    <w:p w14:paraId="32DEC2F2" w14:textId="16FC529A" w:rsidR="004A1CAD" w:rsidRDefault="000A38AC" w:rsidP="003D1C9B">
      <w:pPr>
        <w:pStyle w:val="dotpoint"/>
      </w:pPr>
      <w:r>
        <w:t>the nature and extent of</w:t>
      </w:r>
      <w:r w:rsidR="00751FE3">
        <w:t xml:space="preserve"> any feedback received from those who distribute</w:t>
      </w:r>
      <w:r w:rsidR="008A36F4">
        <w:t xml:space="preserve"> or acquire</w:t>
      </w:r>
      <w:r w:rsidR="00751FE3">
        <w:t xml:space="preserve"> the product.</w:t>
      </w:r>
      <w:r w:rsidR="00990279">
        <w:t xml:space="preserve"> </w:t>
      </w:r>
    </w:p>
    <w:p w14:paraId="7A286B7D" w14:textId="4174D85E" w:rsidR="00D23B1C" w:rsidRDefault="00751FE3" w:rsidP="001207EA">
      <w:pPr>
        <w:pStyle w:val="base-text-paragraph"/>
      </w:pPr>
      <w:r>
        <w:t xml:space="preserve">Issuers </w:t>
      </w:r>
      <w:r w:rsidR="00A01D8A">
        <w:t>must also</w:t>
      </w:r>
      <w:r>
        <w:t xml:space="preserve"> determine</w:t>
      </w:r>
      <w:r w:rsidR="00C44501">
        <w:t xml:space="preserve"> review period</w:t>
      </w:r>
      <w:r w:rsidR="009B314B">
        <w:t>s</w:t>
      </w:r>
      <w:r w:rsidR="00C44501">
        <w:t xml:space="preserve"> for a target market determination. The review period</w:t>
      </w:r>
      <w:r w:rsidR="009B314B">
        <w:t>s</w:t>
      </w:r>
      <w:r w:rsidR="00C44501">
        <w:t xml:space="preserve"> </w:t>
      </w:r>
      <w:r w:rsidR="009B314B">
        <w:t>are:</w:t>
      </w:r>
      <w:r w:rsidR="00C44501">
        <w:t xml:space="preserve"> the</w:t>
      </w:r>
      <w:r>
        <w:t xml:space="preserve"> maximum period</w:t>
      </w:r>
      <w:r w:rsidR="00C44501">
        <w:t xml:space="preserve"> of time</w:t>
      </w:r>
      <w:r w:rsidR="002E2186">
        <w:t xml:space="preserve"> that elapse</w:t>
      </w:r>
      <w:r w:rsidR="00A01D8A">
        <w:t>s</w:t>
      </w:r>
      <w:r w:rsidR="002E2186">
        <w:t xml:space="preserve"> between</w:t>
      </w:r>
      <w:r w:rsidR="00F3031C">
        <w:t xml:space="preserve"> the</w:t>
      </w:r>
      <w:r w:rsidR="009B314B">
        <w:t xml:space="preserve"> making</w:t>
      </w:r>
      <w:r w:rsidR="00F3031C">
        <w:t xml:space="preserve"> of</w:t>
      </w:r>
      <w:r w:rsidR="009B314B">
        <w:t xml:space="preserve"> the determination and the first review; and the maximum period between </w:t>
      </w:r>
      <w:r w:rsidR="008B5FC1">
        <w:t>completed reviews of a determination.</w:t>
      </w:r>
      <w:r w:rsidR="002E2186">
        <w:t xml:space="preserve"> </w:t>
      </w:r>
      <w:r w:rsidR="008B5FC1">
        <w:t>The</w:t>
      </w:r>
      <w:r w:rsidR="00A01D8A">
        <w:t>se</w:t>
      </w:r>
      <w:r w:rsidR="00D23B1C">
        <w:t xml:space="preserve"> period</w:t>
      </w:r>
      <w:r w:rsidR="003B6E23">
        <w:t>s</w:t>
      </w:r>
      <w:r w:rsidR="00D23B1C">
        <w:t xml:space="preserve"> must be reasonable in the circumstances to</w:t>
      </w:r>
      <w:r w:rsidR="00735100">
        <w:t xml:space="preserve"> ensure</w:t>
      </w:r>
      <w:r>
        <w:t xml:space="preserve"> that a determination does not become inappropriate over</w:t>
      </w:r>
      <w:r w:rsidR="00A01D8A">
        <w:t xml:space="preserve"> </w:t>
      </w:r>
      <w:r>
        <w:t>time.</w:t>
      </w:r>
      <w:r w:rsidR="00A17337">
        <w:t xml:space="preserve"> </w:t>
      </w:r>
      <w:r w:rsidR="00A17337">
        <w:rPr>
          <w:rStyle w:val="Referencingstyle"/>
        </w:rPr>
        <w:t>[Schedule 1, item 5</w:t>
      </w:r>
      <w:r w:rsidR="00A17337" w:rsidRPr="00A24AD2">
        <w:rPr>
          <w:rStyle w:val="Referencingstyle"/>
        </w:rPr>
        <w:t>,</w:t>
      </w:r>
      <w:r w:rsidR="00A17337">
        <w:rPr>
          <w:rStyle w:val="Referencingstyle"/>
        </w:rPr>
        <w:t xml:space="preserve"> section 994A and</w:t>
      </w:r>
      <w:r w:rsidR="00A17337" w:rsidRPr="00A24AD2">
        <w:rPr>
          <w:rStyle w:val="Referencingstyle"/>
        </w:rPr>
        <w:t xml:space="preserve"> </w:t>
      </w:r>
      <w:r w:rsidR="00A17337">
        <w:rPr>
          <w:rStyle w:val="Referencingstyle"/>
        </w:rPr>
        <w:t xml:space="preserve">paragraphs 994B(5)(d)(e) and (f) and subsection 994B(7) </w:t>
      </w:r>
      <w:r w:rsidR="00A17337" w:rsidRPr="00A24AD2">
        <w:rPr>
          <w:rStyle w:val="Referencingstyle"/>
        </w:rPr>
        <w:t>of</w:t>
      </w:r>
      <w:r w:rsidR="00A17337">
        <w:rPr>
          <w:rStyle w:val="Referencingstyle"/>
        </w:rPr>
        <w:t xml:space="preserve"> the Corporations</w:t>
      </w:r>
      <w:r w:rsidR="00A17337" w:rsidRPr="00A24AD2">
        <w:rPr>
          <w:rStyle w:val="Referencingstyle"/>
        </w:rPr>
        <w:t xml:space="preserve"> Act]</w:t>
      </w:r>
      <w:r w:rsidR="00A17337">
        <w:t xml:space="preserve">   </w:t>
      </w:r>
    </w:p>
    <w:p w14:paraId="140B7BE9" w14:textId="1B633D2F" w:rsidR="009F5C84" w:rsidRDefault="0083594A" w:rsidP="00D23B1C">
      <w:pPr>
        <w:pStyle w:val="base-text-paragraph"/>
      </w:pPr>
      <w:r>
        <w:t>W</w:t>
      </w:r>
      <w:r w:rsidR="00F25CF9">
        <w:t>hat a</w:t>
      </w:r>
      <w:r>
        <w:t xml:space="preserve"> reasonable</w:t>
      </w:r>
      <w:r w:rsidR="00F25CF9">
        <w:t xml:space="preserve"> period is in the circumstances</w:t>
      </w:r>
      <w:r>
        <w:t xml:space="preserve"> will vary from product to product</w:t>
      </w:r>
      <w:r w:rsidR="000B5B56">
        <w:t>.</w:t>
      </w:r>
      <w:r>
        <w:t xml:space="preserve"> </w:t>
      </w:r>
      <w:r w:rsidR="000B5B56">
        <w:t>H</w:t>
      </w:r>
      <w:r>
        <w:t>owever, i</w:t>
      </w:r>
      <w:r w:rsidR="00D23B1C">
        <w:t>n determining what is reasonable for this purpose, regard must be had to</w:t>
      </w:r>
      <w:r w:rsidR="009C746E">
        <w:t>:</w:t>
      </w:r>
    </w:p>
    <w:p w14:paraId="09F1E0EF" w14:textId="66EC44F6" w:rsidR="009F5C84" w:rsidRDefault="009C746E" w:rsidP="00155ABB">
      <w:pPr>
        <w:pStyle w:val="dotpoint"/>
      </w:pPr>
      <w:r>
        <w:t>t</w:t>
      </w:r>
      <w:r w:rsidR="009F5C84">
        <w:t>he need for reviews of a target market determination to be conducted sufficiently frequently that the issuer can promptly identify whether a review trigger or other event or circumstances would reasonably suggest the determination is no longer appropriate; and</w:t>
      </w:r>
    </w:p>
    <w:p w14:paraId="0B9EC387" w14:textId="283028CA" w:rsidR="00416997" w:rsidRDefault="009C746E" w:rsidP="00155ABB">
      <w:pPr>
        <w:pStyle w:val="Bullet"/>
        <w:tabs>
          <w:tab w:val="clear" w:pos="2480"/>
          <w:tab w:val="num" w:pos="2268"/>
        </w:tabs>
        <w:ind w:left="2268" w:hanging="308"/>
      </w:pPr>
      <w:r>
        <w:t>t</w:t>
      </w:r>
      <w:r w:rsidR="009F5C84">
        <w:t>he likelihood, nature and exten</w:t>
      </w:r>
      <w:r>
        <w:t>t of detriment to consum</w:t>
      </w:r>
      <w:r w:rsidR="009F5C84">
        <w:t xml:space="preserve">ers that may result if a </w:t>
      </w:r>
      <w:r>
        <w:t>review trigger or</w:t>
      </w:r>
      <w:r w:rsidRPr="009C746E">
        <w:t xml:space="preserve"> </w:t>
      </w:r>
      <w:r w:rsidRPr="00CC571B">
        <w:t>another event or circumstance that would reasonably suggest that the target market determination is no longer appropriate, has occurred</w:t>
      </w:r>
      <w:r>
        <w:t>, and the target market determination is not promptly reviewed.</w:t>
      </w:r>
      <w:r w:rsidR="008A36F4">
        <w:rPr>
          <w:rStyle w:val="Referencingstyle"/>
        </w:rPr>
        <w:t xml:space="preserve"> </w:t>
      </w:r>
      <w:r w:rsidR="00416997">
        <w:rPr>
          <w:rStyle w:val="Referencingstyle"/>
        </w:rPr>
        <w:t xml:space="preserve">[Schedule 1, item </w:t>
      </w:r>
      <w:r w:rsidR="00F3031C">
        <w:rPr>
          <w:rStyle w:val="Referencingstyle"/>
        </w:rPr>
        <w:t>5</w:t>
      </w:r>
      <w:r w:rsidR="00416997" w:rsidRPr="00A24AD2">
        <w:rPr>
          <w:rStyle w:val="Referencingstyle"/>
        </w:rPr>
        <w:t xml:space="preserve">, </w:t>
      </w:r>
      <w:r w:rsidR="00416997">
        <w:rPr>
          <w:rStyle w:val="Referencingstyle"/>
        </w:rPr>
        <w:t>section 99</w:t>
      </w:r>
      <w:r w:rsidR="00F3031C">
        <w:rPr>
          <w:rStyle w:val="Referencingstyle"/>
        </w:rPr>
        <w:t>4</w:t>
      </w:r>
      <w:r w:rsidR="00416997">
        <w:rPr>
          <w:rStyle w:val="Referencingstyle"/>
        </w:rPr>
        <w:t>A</w:t>
      </w:r>
      <w:r w:rsidR="00F3031C">
        <w:rPr>
          <w:rStyle w:val="Referencingstyle"/>
        </w:rPr>
        <w:t xml:space="preserve"> and</w:t>
      </w:r>
      <w:r w:rsidR="00416997">
        <w:rPr>
          <w:rStyle w:val="Referencingstyle"/>
        </w:rPr>
        <w:t xml:space="preserve"> </w:t>
      </w:r>
      <w:r w:rsidR="00F3031C">
        <w:rPr>
          <w:rStyle w:val="Referencingstyle"/>
        </w:rPr>
        <w:t xml:space="preserve">subsection </w:t>
      </w:r>
      <w:r w:rsidR="00416997">
        <w:rPr>
          <w:rStyle w:val="Referencingstyle"/>
        </w:rPr>
        <w:t>99</w:t>
      </w:r>
      <w:r w:rsidR="00F3031C">
        <w:rPr>
          <w:rStyle w:val="Referencingstyle"/>
        </w:rPr>
        <w:t>4</w:t>
      </w:r>
      <w:r w:rsidR="00416997">
        <w:rPr>
          <w:rStyle w:val="Referencingstyle"/>
        </w:rPr>
        <w:t>B(</w:t>
      </w:r>
      <w:r w:rsidR="00F3031C">
        <w:rPr>
          <w:rStyle w:val="Referencingstyle"/>
        </w:rPr>
        <w:t>7</w:t>
      </w:r>
      <w:r w:rsidR="00416997">
        <w:rPr>
          <w:rStyle w:val="Referencingstyle"/>
        </w:rPr>
        <w:t xml:space="preserve">) </w:t>
      </w:r>
      <w:r w:rsidR="00416997" w:rsidRPr="00A24AD2">
        <w:rPr>
          <w:rStyle w:val="Referencingstyle"/>
        </w:rPr>
        <w:t>of</w:t>
      </w:r>
      <w:r w:rsidR="00416997">
        <w:rPr>
          <w:rStyle w:val="Referencingstyle"/>
        </w:rPr>
        <w:t xml:space="preserve"> the Corporations</w:t>
      </w:r>
      <w:r w:rsidR="00416997" w:rsidRPr="00A24AD2">
        <w:rPr>
          <w:rStyle w:val="Referencingstyle"/>
        </w:rPr>
        <w:t xml:space="preserve"> Act]</w:t>
      </w:r>
    </w:p>
    <w:p w14:paraId="46C0EB45" w14:textId="601D6ADB" w:rsidR="00F53DEF" w:rsidRDefault="00F53DEF" w:rsidP="00B9625F">
      <w:pPr>
        <w:pStyle w:val="base-text-paragraph"/>
      </w:pPr>
      <w:r>
        <w:t>The requirement that review periods be reasonable is designed to encourage an issuer to adopt a risk management approach in determining a reasonable review period. Under such an approach</w:t>
      </w:r>
      <w:r w:rsidR="00961D3C">
        <w:t xml:space="preserve"> the review periods applicable to a product would generally shorten as its complexity and risk profile increases. Simil</w:t>
      </w:r>
      <w:r w:rsidR="00B35044">
        <w:t>arly, the maximum period between reviews would generally be shorter where an issuer has limited experience issuing similar products or is yet to establish a proven distribution network.</w:t>
      </w:r>
    </w:p>
    <w:p w14:paraId="14066C14" w14:textId="3044C645" w:rsidR="006A64A3" w:rsidRDefault="006A64A3" w:rsidP="00155ABB">
      <w:pPr>
        <w:pStyle w:val="Heading5"/>
      </w:pPr>
      <w:r>
        <w:t>Information requirements</w:t>
      </w:r>
    </w:p>
    <w:p w14:paraId="4BE4845A" w14:textId="2CA0602C" w:rsidR="00EE2EE1" w:rsidRDefault="00EE2EE1" w:rsidP="001207EA">
      <w:pPr>
        <w:pStyle w:val="base-text-paragraph"/>
      </w:pPr>
      <w:r>
        <w:t xml:space="preserve">Issuers </w:t>
      </w:r>
      <w:r w:rsidR="007E4CFE">
        <w:t>must also specify</w:t>
      </w:r>
      <w:r>
        <w:t xml:space="preserve"> in the target market determination:</w:t>
      </w:r>
    </w:p>
    <w:p w14:paraId="24BDB6CA" w14:textId="1D7697D8" w:rsidR="00EE2EE1" w:rsidRDefault="00EE6493" w:rsidP="00155ABB">
      <w:pPr>
        <w:pStyle w:val="dotpoint"/>
      </w:pPr>
      <w:r>
        <w:t xml:space="preserve">kinds of </w:t>
      </w:r>
      <w:r w:rsidR="00EE2EE1">
        <w:t xml:space="preserve">information </w:t>
      </w:r>
      <w:r>
        <w:t>needed to enable the issuer to promptly identify review triggers or other events and circumstances that have occurred which would reasonably suggest the determination is no longer appropriate;</w:t>
      </w:r>
      <w:r w:rsidR="008A36F4">
        <w:t xml:space="preserve"> and</w:t>
      </w:r>
    </w:p>
    <w:p w14:paraId="2E1D5B5B" w14:textId="2A15FAA1" w:rsidR="0020517B" w:rsidRDefault="00EE6493" w:rsidP="00155ABB">
      <w:pPr>
        <w:pStyle w:val="dotpoint"/>
      </w:pPr>
      <w:r>
        <w:t>for each kind of information specified a</w:t>
      </w:r>
      <w:r w:rsidR="002D5D29">
        <w:t xml:space="preserve">bove, the distributors </w:t>
      </w:r>
      <w:r w:rsidR="00C103CE">
        <w:t>that should be</w:t>
      </w:r>
      <w:r>
        <w:t xml:space="preserve"> required to provide that information to</w:t>
      </w:r>
      <w:r w:rsidR="008A36F4">
        <w:t xml:space="preserve"> the issuer and the corresponding reporting periods.</w:t>
      </w:r>
      <w:r w:rsidR="00C24D52" w:rsidRPr="00710DBD" w:rsidDel="00C24D52">
        <w:rPr>
          <w:sz w:val="18"/>
        </w:rPr>
        <w:t xml:space="preserve"> </w:t>
      </w:r>
      <w:r w:rsidR="00C103CE">
        <w:rPr>
          <w:rStyle w:val="Referencingstyle"/>
        </w:rPr>
        <w:t>[Schedule 1, item 5</w:t>
      </w:r>
      <w:r w:rsidR="00C103CE" w:rsidRPr="00A24AD2">
        <w:rPr>
          <w:rStyle w:val="Referencingstyle"/>
        </w:rPr>
        <w:t xml:space="preserve">, </w:t>
      </w:r>
      <w:r w:rsidR="00C103CE">
        <w:rPr>
          <w:rStyle w:val="Referencingstyle"/>
        </w:rPr>
        <w:t xml:space="preserve">paragraphs 994B(5)(h) </w:t>
      </w:r>
      <w:r w:rsidR="00C103CE" w:rsidRPr="00A24AD2">
        <w:rPr>
          <w:rStyle w:val="Referencingstyle"/>
        </w:rPr>
        <w:t>of</w:t>
      </w:r>
      <w:r w:rsidR="00C103CE">
        <w:rPr>
          <w:rStyle w:val="Referencingstyle"/>
        </w:rPr>
        <w:t xml:space="preserve"> the Corporations</w:t>
      </w:r>
      <w:r w:rsidR="00C103CE" w:rsidRPr="00A24AD2">
        <w:rPr>
          <w:rStyle w:val="Referencingstyle"/>
        </w:rPr>
        <w:t xml:space="preserve"> Act]</w:t>
      </w:r>
    </w:p>
    <w:p w14:paraId="68EEF699" w14:textId="492F061F" w:rsidR="00576701" w:rsidRDefault="00576701">
      <w:pPr>
        <w:pStyle w:val="base-text-paragraph"/>
      </w:pPr>
      <w:r>
        <w:t>The reporting periods</w:t>
      </w:r>
      <w:r w:rsidR="008A36F4">
        <w:t xml:space="preserve"> specified by the issuers</w:t>
      </w:r>
      <w:r>
        <w:t xml:space="preserve"> must be reasonable in the circumstances. The</w:t>
      </w:r>
      <w:r w:rsidR="00A44F28">
        <w:t xml:space="preserve"> test for determining</w:t>
      </w:r>
      <w:r w:rsidR="00A915E2">
        <w:t xml:space="preserve"> the reasonableness of the reporting periods </w:t>
      </w:r>
      <w:r w:rsidR="00A44F28">
        <w:t>is the same as that described</w:t>
      </w:r>
      <w:r w:rsidR="00A915E2">
        <w:t xml:space="preserve"> in paragraph </w:t>
      </w:r>
      <w:r w:rsidR="00A915E2" w:rsidRPr="00F22DEA">
        <w:t>1.</w:t>
      </w:r>
      <w:r w:rsidRPr="00F22DEA">
        <w:t>5</w:t>
      </w:r>
      <w:r w:rsidR="0010207B" w:rsidRPr="00F22DEA">
        <w:t>9</w:t>
      </w:r>
      <w:r w:rsidR="00A915E2">
        <w:t xml:space="preserve"> </w:t>
      </w:r>
      <w:r w:rsidR="00A44F28">
        <w:t>in relation to determining</w:t>
      </w:r>
      <w:r w:rsidR="00A915E2">
        <w:t xml:space="preserve"> the reasonableness of the</w:t>
      </w:r>
      <w:r w:rsidR="0042709E">
        <w:t xml:space="preserve"> </w:t>
      </w:r>
      <w:r w:rsidR="00A44F28">
        <w:t>periods</w:t>
      </w:r>
      <w:r w:rsidR="00A915E2">
        <w:t xml:space="preserve"> applicable to</w:t>
      </w:r>
      <w:r w:rsidR="00464CA8">
        <w:t xml:space="preserve"> reviewing the</w:t>
      </w:r>
      <w:r w:rsidR="00A915E2">
        <w:t xml:space="preserve"> target market determination</w:t>
      </w:r>
      <w:r>
        <w:t xml:space="preserve">. </w:t>
      </w:r>
      <w:r w:rsidR="00185B8A">
        <w:rPr>
          <w:rStyle w:val="Referencingstyle"/>
        </w:rPr>
        <w:t>[Schedule 1, item 5</w:t>
      </w:r>
      <w:r w:rsidR="00185B8A" w:rsidRPr="00A24AD2">
        <w:rPr>
          <w:rStyle w:val="Referencingstyle"/>
        </w:rPr>
        <w:t xml:space="preserve">, </w:t>
      </w:r>
      <w:r w:rsidR="00185B8A">
        <w:rPr>
          <w:rStyle w:val="Referencingstyle"/>
        </w:rPr>
        <w:t xml:space="preserve">section 994A and subsection 994B(7) </w:t>
      </w:r>
      <w:r w:rsidR="00185B8A" w:rsidRPr="00A24AD2">
        <w:rPr>
          <w:rStyle w:val="Referencingstyle"/>
        </w:rPr>
        <w:t>of</w:t>
      </w:r>
      <w:r w:rsidR="00185B8A">
        <w:rPr>
          <w:rStyle w:val="Referencingstyle"/>
        </w:rPr>
        <w:t xml:space="preserve"> the Corporations</w:t>
      </w:r>
      <w:r w:rsidR="00185B8A" w:rsidRPr="00A24AD2">
        <w:rPr>
          <w:rStyle w:val="Referencingstyle"/>
        </w:rPr>
        <w:t xml:space="preserve"> Act]</w:t>
      </w:r>
    </w:p>
    <w:p w14:paraId="58DCF0D9" w14:textId="0E16C3AC" w:rsidR="004C5F42" w:rsidRDefault="004C5F42">
      <w:pPr>
        <w:pStyle w:val="base-text-paragraph"/>
      </w:pPr>
      <w:r>
        <w:t xml:space="preserve">Together, these requirements create a flow of information from the distributor to the issuer that will </w:t>
      </w:r>
      <w:r w:rsidR="00A915E2">
        <w:t>facilitate the issuer’s</w:t>
      </w:r>
      <w:r>
        <w:t xml:space="preserve"> review</w:t>
      </w:r>
      <w:r w:rsidR="00447AF1">
        <w:t xml:space="preserve"> obligations relating</w:t>
      </w:r>
      <w:r w:rsidR="003E0E34">
        <w:t xml:space="preserve"> to </w:t>
      </w:r>
      <w:r>
        <w:t>target market deter</w:t>
      </w:r>
      <w:r w:rsidR="00A953D4">
        <w:t>minations</w:t>
      </w:r>
      <w:r>
        <w:t xml:space="preserve">. This process is designed to help issuers ensure </w:t>
      </w:r>
      <w:r w:rsidR="00D42A15">
        <w:t xml:space="preserve">that reviews of </w:t>
      </w:r>
      <w:r>
        <w:t>target market determinations</w:t>
      </w:r>
      <w:r w:rsidR="003E0E34">
        <w:t xml:space="preserve"> can be conducted effectively</w:t>
      </w:r>
      <w:r w:rsidR="00A915E2">
        <w:t xml:space="preserve">, efficiently and with </w:t>
      </w:r>
      <w:r w:rsidR="003E0E34">
        <w:t>appropriate</w:t>
      </w:r>
      <w:r w:rsidR="00A915E2">
        <w:t xml:space="preserve"> distribution</w:t>
      </w:r>
      <w:r w:rsidR="003E0E34">
        <w:t xml:space="preserve"> information</w:t>
      </w:r>
      <w:r>
        <w:t>.</w:t>
      </w:r>
    </w:p>
    <w:p w14:paraId="6A22446C" w14:textId="40FCBEE3" w:rsidR="00240A6B" w:rsidRDefault="00240A6B">
      <w:pPr>
        <w:pStyle w:val="Heading4"/>
      </w:pPr>
      <w:r>
        <w:t>Obligation to review a target market determination</w:t>
      </w:r>
    </w:p>
    <w:p w14:paraId="1FAE4497" w14:textId="399075B8" w:rsidR="008511D9" w:rsidRDefault="00240A6B" w:rsidP="00240A6B">
      <w:pPr>
        <w:pStyle w:val="base-text-paragraph"/>
      </w:pPr>
      <w:r>
        <w:t xml:space="preserve">The </w:t>
      </w:r>
      <w:r w:rsidRPr="00236F14">
        <w:t>second</w:t>
      </w:r>
      <w:r>
        <w:t xml:space="preserve"> design obligation requires an issuer to review a</w:t>
      </w:r>
      <w:r w:rsidRPr="00CA7EB8">
        <w:t xml:space="preserve"> target ma</w:t>
      </w:r>
      <w:r>
        <w:t>rket determination</w:t>
      </w:r>
      <w:r w:rsidR="000F3E6A">
        <w:t xml:space="preserve"> for a financial product</w:t>
      </w:r>
      <w:r w:rsidR="008511D9">
        <w:t>:</w:t>
      </w:r>
    </w:p>
    <w:p w14:paraId="7B2642C3" w14:textId="1E6DC278" w:rsidR="008511D9" w:rsidRDefault="000F3E6A" w:rsidP="00155ABB">
      <w:pPr>
        <w:pStyle w:val="dotpoint"/>
      </w:pPr>
      <w:r>
        <w:t>d</w:t>
      </w:r>
      <w:r w:rsidR="008511D9">
        <w:t>uring a review per</w:t>
      </w:r>
      <w:r>
        <w:t>iod; and</w:t>
      </w:r>
    </w:p>
    <w:p w14:paraId="3E9CBF90" w14:textId="2739591A" w:rsidR="000F3E6A" w:rsidRDefault="000F3E6A" w:rsidP="00155ABB">
      <w:pPr>
        <w:pStyle w:val="dotpoint"/>
      </w:pPr>
      <w:r>
        <w:t>when a</w:t>
      </w:r>
      <w:r w:rsidR="00F859B3">
        <w:t xml:space="preserve"> review trigger occurs, or an event or circumstance occurs that would reasonably suggest that the target market dete</w:t>
      </w:r>
      <w:r w:rsidR="009C474F">
        <w:t>rmination is no longer appropriate.</w:t>
      </w:r>
      <w:r w:rsidR="00521682">
        <w:t xml:space="preserve"> </w:t>
      </w:r>
      <w:r w:rsidR="00521682">
        <w:rPr>
          <w:rStyle w:val="Referencingstyle"/>
        </w:rPr>
        <w:t>[Schedule 1, item 5</w:t>
      </w:r>
      <w:r w:rsidR="00521682" w:rsidRPr="00A24AD2">
        <w:rPr>
          <w:rStyle w:val="Referencingstyle"/>
        </w:rPr>
        <w:t xml:space="preserve">, </w:t>
      </w:r>
      <w:r w:rsidR="00C91E2A">
        <w:rPr>
          <w:rStyle w:val="Referencingstyle"/>
        </w:rPr>
        <w:t>subsections</w:t>
      </w:r>
      <w:r w:rsidR="00521682">
        <w:rPr>
          <w:rStyle w:val="Referencingstyle"/>
        </w:rPr>
        <w:t> 994C</w:t>
      </w:r>
      <w:r w:rsidR="00C91E2A">
        <w:rPr>
          <w:rStyle w:val="Referencingstyle"/>
        </w:rPr>
        <w:t>(2) and (3)</w:t>
      </w:r>
      <w:r w:rsidR="00521682">
        <w:rPr>
          <w:rStyle w:val="Referencingstyle"/>
        </w:rPr>
        <w:t xml:space="preserve"> </w:t>
      </w:r>
      <w:r w:rsidR="00521682" w:rsidRPr="00A24AD2">
        <w:rPr>
          <w:rStyle w:val="Referencingstyle"/>
        </w:rPr>
        <w:t>of</w:t>
      </w:r>
      <w:r w:rsidR="00521682">
        <w:rPr>
          <w:rStyle w:val="Referencingstyle"/>
        </w:rPr>
        <w:t xml:space="preserve"> the Corporations</w:t>
      </w:r>
      <w:r w:rsidR="00521682" w:rsidRPr="00A24AD2">
        <w:rPr>
          <w:rStyle w:val="Referencingstyle"/>
        </w:rPr>
        <w:t xml:space="preserve"> Act]</w:t>
      </w:r>
    </w:p>
    <w:p w14:paraId="33FE609F" w14:textId="3B93C391" w:rsidR="00C91E2A" w:rsidRDefault="00C014BE" w:rsidP="00240A6B">
      <w:pPr>
        <w:pStyle w:val="base-text-paragraph"/>
      </w:pPr>
      <w:r>
        <w:t xml:space="preserve">The first </w:t>
      </w:r>
      <w:r w:rsidRPr="00C014BE">
        <w:t>mentioned</w:t>
      </w:r>
      <w:r>
        <w:t xml:space="preserve"> review obligation relates to periodic reviews. In effect, it requires issues to conduct a periodic review of a target market determination, where a review has not otherwise been undertaken during a review period. </w:t>
      </w:r>
      <w:r w:rsidR="00240A6B">
        <w:t>The obligation applies to all financial products</w:t>
      </w:r>
      <w:r w:rsidR="008E782B">
        <w:t xml:space="preserve"> with a target market determination</w:t>
      </w:r>
      <w:r w:rsidR="00240A6B">
        <w:t>, but is particularly pertinent for complex products and products that are likely to be issued over an extended period of time.</w:t>
      </w:r>
      <w:r>
        <w:t xml:space="preserve"> The obligation does not apply where a product is no longer on offer for acquisition by issue, or regulated sale, to retail clients. </w:t>
      </w:r>
      <w:r>
        <w:rPr>
          <w:rStyle w:val="Referencingstyle"/>
        </w:rPr>
        <w:t>[Schedule 1, item 5</w:t>
      </w:r>
      <w:r w:rsidRPr="00A24AD2">
        <w:rPr>
          <w:rStyle w:val="Referencingstyle"/>
        </w:rPr>
        <w:t xml:space="preserve">, </w:t>
      </w:r>
      <w:r>
        <w:rPr>
          <w:rStyle w:val="Referencingstyle"/>
        </w:rPr>
        <w:t xml:space="preserve">subsection 994C(2) </w:t>
      </w:r>
      <w:r w:rsidRPr="00A24AD2">
        <w:rPr>
          <w:rStyle w:val="Referencingstyle"/>
        </w:rPr>
        <w:t>of</w:t>
      </w:r>
      <w:r>
        <w:rPr>
          <w:rStyle w:val="Referencingstyle"/>
        </w:rPr>
        <w:t xml:space="preserve"> the Corporations</w:t>
      </w:r>
      <w:r w:rsidRPr="00A24AD2">
        <w:rPr>
          <w:rStyle w:val="Referencingstyle"/>
        </w:rPr>
        <w:t xml:space="preserve"> Act]</w:t>
      </w:r>
    </w:p>
    <w:p w14:paraId="2EB1E52B" w14:textId="2C0AA922" w:rsidR="00B9625F" w:rsidRDefault="00552B24" w:rsidP="00240A6B">
      <w:pPr>
        <w:pStyle w:val="base-text-paragraph"/>
      </w:pPr>
      <w:r>
        <w:t>Th</w:t>
      </w:r>
      <w:r w:rsidR="00025B19">
        <w:t>is</w:t>
      </w:r>
      <w:r>
        <w:t xml:space="preserve"> requirement to review the target market determination during the review period ensures</w:t>
      </w:r>
      <w:r w:rsidR="00FE5973">
        <w:t xml:space="preserve"> there is</w:t>
      </w:r>
      <w:r w:rsidR="00C92A6C">
        <w:t xml:space="preserve"> a</w:t>
      </w:r>
      <w:r>
        <w:t xml:space="preserve"> periodic assessment of whether the</w:t>
      </w:r>
      <w:r w:rsidR="00C92A6C">
        <w:t xml:space="preserve"> target market determination remains appropriate. In particular, that the target market</w:t>
      </w:r>
      <w:r w:rsidR="00314FE6">
        <w:t>,</w:t>
      </w:r>
      <w:r w:rsidR="00C92A6C">
        <w:t xml:space="preserve"> distribution conditions</w:t>
      </w:r>
      <w:r w:rsidR="00314FE6">
        <w:t>, information requirements and review arrangements for the product</w:t>
      </w:r>
      <w:r w:rsidR="00C92A6C">
        <w:t xml:space="preserve"> remain appropriate. </w:t>
      </w:r>
    </w:p>
    <w:p w14:paraId="39CA8D4D" w14:textId="7F81487B" w:rsidR="00552B24" w:rsidRDefault="00025B19" w:rsidP="00240A6B">
      <w:pPr>
        <w:pStyle w:val="base-text-paragraph"/>
      </w:pPr>
      <w:r>
        <w:t>The second review obligation provides for triggered reviews. Under the obligation a review could be trigg</w:t>
      </w:r>
      <w:r w:rsidR="003205D7">
        <w:t>ered by a pre</w:t>
      </w:r>
      <w:r w:rsidR="003205D7">
        <w:noBreakHyphen/>
        <w:t>determined event or circumstance</w:t>
      </w:r>
      <w:r>
        <w:t xml:space="preserve"> identified in the target market determination or by</w:t>
      </w:r>
      <w:r w:rsidR="003205D7">
        <w:t xml:space="preserve"> any other </w:t>
      </w:r>
      <w:r w:rsidR="009C474F">
        <w:t>events or circumstances that suggest the target market determination is no longer appropriate</w:t>
      </w:r>
      <w:r w:rsidR="003205D7">
        <w:t>. This requirement ensures, for example,</w:t>
      </w:r>
      <w:r w:rsidR="008B5E49">
        <w:t xml:space="preserve"> that</w:t>
      </w:r>
      <w:r w:rsidR="003205D7">
        <w:t xml:space="preserve"> an</w:t>
      </w:r>
      <w:r w:rsidR="009C474F">
        <w:t xml:space="preserve"> assessment of whether the product is being distributed appropriately</w:t>
      </w:r>
      <w:r w:rsidR="003205D7">
        <w:t xml:space="preserve"> may be required</w:t>
      </w:r>
      <w:r w:rsidR="009C474F">
        <w:t xml:space="preserve"> </w:t>
      </w:r>
      <w:r w:rsidR="00FE5973">
        <w:t xml:space="preserve">in response to information about distribution </w:t>
      </w:r>
      <w:r w:rsidR="008B5E49">
        <w:t>the issuer receives over time</w:t>
      </w:r>
      <w:r w:rsidR="009C474F">
        <w:t xml:space="preserve">. </w:t>
      </w:r>
      <w:r w:rsidR="00CB21BE">
        <w:t xml:space="preserve">In practice, </w:t>
      </w:r>
      <w:r w:rsidR="008B5E49">
        <w:t>the issuer will be acting on</w:t>
      </w:r>
      <w:r w:rsidR="00986568">
        <w:t>:</w:t>
      </w:r>
    </w:p>
    <w:p w14:paraId="4DABF18F" w14:textId="77777777" w:rsidR="00986568" w:rsidRDefault="00986568" w:rsidP="00155ABB">
      <w:pPr>
        <w:pStyle w:val="dotpoint"/>
      </w:pPr>
      <w:r>
        <w:t>information specified by the issuer in the target market determination that is provided by distributors; and</w:t>
      </w:r>
    </w:p>
    <w:p w14:paraId="6FC48EA2" w14:textId="300736F9" w:rsidR="00236302" w:rsidRDefault="0061799B" w:rsidP="00F22DEA">
      <w:pPr>
        <w:pStyle w:val="dotpoint"/>
      </w:pPr>
      <w:r>
        <w:t xml:space="preserve">any other relevant </w:t>
      </w:r>
      <w:r w:rsidR="00986568">
        <w:t xml:space="preserve">information the issuer </w:t>
      </w:r>
      <w:r w:rsidR="009A4A63">
        <w:t>receives as part of its business activity</w:t>
      </w:r>
      <w:r w:rsidR="00B8338D">
        <w:t xml:space="preserve"> or is otherwise aware of</w:t>
      </w:r>
      <w:r w:rsidR="009A4A63">
        <w:t>.</w:t>
      </w:r>
      <w:r w:rsidR="00710DBD">
        <w:t xml:space="preserve"> </w:t>
      </w:r>
      <w:r w:rsidR="00236302">
        <w:rPr>
          <w:rStyle w:val="Referencingstyle"/>
        </w:rPr>
        <w:t>[Schedule 1, item</w:t>
      </w:r>
      <w:r w:rsidR="00C447B2">
        <w:rPr>
          <w:rStyle w:val="Referencingstyle"/>
        </w:rPr>
        <w:t> </w:t>
      </w:r>
      <w:r w:rsidR="00236302">
        <w:rPr>
          <w:rStyle w:val="Referencingstyle"/>
        </w:rPr>
        <w:t>5</w:t>
      </w:r>
      <w:r w:rsidR="00236302" w:rsidRPr="00A24AD2">
        <w:rPr>
          <w:rStyle w:val="Referencingstyle"/>
        </w:rPr>
        <w:t xml:space="preserve">, </w:t>
      </w:r>
      <w:r w:rsidR="00236302">
        <w:rPr>
          <w:rStyle w:val="Referencingstyle"/>
        </w:rPr>
        <w:t xml:space="preserve">subsection 994C(3) </w:t>
      </w:r>
      <w:r w:rsidR="00236302" w:rsidRPr="00A24AD2">
        <w:rPr>
          <w:rStyle w:val="Referencingstyle"/>
        </w:rPr>
        <w:t>of</w:t>
      </w:r>
      <w:r w:rsidR="00236302">
        <w:rPr>
          <w:rStyle w:val="Referencingstyle"/>
        </w:rPr>
        <w:t xml:space="preserve"> the Corporations</w:t>
      </w:r>
      <w:r w:rsidR="00236302" w:rsidRPr="00A24AD2">
        <w:rPr>
          <w:rStyle w:val="Referencingstyle"/>
        </w:rPr>
        <w:t xml:space="preserve"> Act]</w:t>
      </w:r>
      <w:r w:rsidR="00236302">
        <w:t xml:space="preserve">    </w:t>
      </w:r>
    </w:p>
    <w:p w14:paraId="3950887F" w14:textId="3E21FCCA" w:rsidR="00D2586B" w:rsidRDefault="001609EF" w:rsidP="001207EA">
      <w:pPr>
        <w:pStyle w:val="base-text-paragraph"/>
      </w:pPr>
      <w:r>
        <w:t xml:space="preserve">Notwithstanding the above arrangements, an issuer may review a target market determination and make a new determination at any time. </w:t>
      </w:r>
      <w:r>
        <w:rPr>
          <w:rStyle w:val="Referencingstyle"/>
        </w:rPr>
        <w:t xml:space="preserve">[Schedule 1, item </w:t>
      </w:r>
      <w:r w:rsidR="00F40CAD">
        <w:rPr>
          <w:rStyle w:val="Referencingstyle"/>
        </w:rPr>
        <w:t>5</w:t>
      </w:r>
      <w:r w:rsidRPr="00A24AD2">
        <w:rPr>
          <w:rStyle w:val="Referencingstyle"/>
        </w:rPr>
        <w:t xml:space="preserve">, </w:t>
      </w:r>
      <w:r>
        <w:rPr>
          <w:rStyle w:val="Referencingstyle"/>
        </w:rPr>
        <w:t>subsection 99</w:t>
      </w:r>
      <w:r w:rsidR="00F40CAD">
        <w:rPr>
          <w:rStyle w:val="Referencingstyle"/>
        </w:rPr>
        <w:t>4</w:t>
      </w:r>
      <w:r w:rsidRPr="00676ECE">
        <w:rPr>
          <w:rStyle w:val="Referencingstyle"/>
        </w:rPr>
        <w:t>C</w:t>
      </w:r>
      <w:r>
        <w:rPr>
          <w:rStyle w:val="Referencingstyle"/>
        </w:rPr>
        <w:t xml:space="preserve">(1) </w:t>
      </w:r>
      <w:r w:rsidRPr="00A24AD2">
        <w:rPr>
          <w:rStyle w:val="Referencingstyle"/>
        </w:rPr>
        <w:t>of</w:t>
      </w:r>
      <w:r>
        <w:rPr>
          <w:rStyle w:val="Referencingstyle"/>
        </w:rPr>
        <w:t xml:space="preserve"> the Corporations</w:t>
      </w:r>
      <w:r w:rsidRPr="00A24AD2">
        <w:rPr>
          <w:rStyle w:val="Referencingstyle"/>
        </w:rPr>
        <w:t xml:space="preserve"> Act]</w:t>
      </w:r>
      <w:r>
        <w:t xml:space="preserve"> </w:t>
      </w:r>
      <w:r w:rsidR="00F73412">
        <w:t xml:space="preserve">   </w:t>
      </w:r>
    </w:p>
    <w:p w14:paraId="6F35EBA4" w14:textId="04EA5D5E" w:rsidR="002E6499" w:rsidRDefault="00D2586B" w:rsidP="001207EA">
      <w:pPr>
        <w:pStyle w:val="base-text-paragraph"/>
      </w:pPr>
      <w:r>
        <w:t xml:space="preserve">The validity of a target market determination </w:t>
      </w:r>
      <w:r w:rsidR="00DC0776">
        <w:t>is not retrospectively affected by a review finding that it is no longer appropriate</w:t>
      </w:r>
      <w:r w:rsidR="002E6499">
        <w:t>. Similarly, that a review finds</w:t>
      </w:r>
      <w:r w:rsidR="00436A6A">
        <w:t xml:space="preserve"> </w:t>
      </w:r>
      <w:r w:rsidR="002E6499">
        <w:t>a determination no longer</w:t>
      </w:r>
      <w:r w:rsidR="00DC0776">
        <w:t xml:space="preserve"> appropriate</w:t>
      </w:r>
      <w:r w:rsidR="002E6499">
        <w:t xml:space="preserve"> is not in itself evidence that the determination may have been invalid at an earlier time. Provided such a determination complied with the requirements of the new regime, it would remain valid until</w:t>
      </w:r>
      <w:r w:rsidR="004D62CD">
        <w:t xml:space="preserve"> it was found, on review, to no longer be </w:t>
      </w:r>
      <w:r w:rsidR="002E6499">
        <w:t xml:space="preserve">appropriate. </w:t>
      </w:r>
      <w:r w:rsidR="00436A6A">
        <w:t>This is a natural consequence of the new regime</w:t>
      </w:r>
      <w:r w:rsidR="004D62CD">
        <w:t>,</w:t>
      </w:r>
      <w:r w:rsidR="00436A6A">
        <w:t xml:space="preserve"> which includes the review obligations for the very reason that </w:t>
      </w:r>
      <w:r w:rsidR="002E6499">
        <w:t>an appropriate determination may subsequently become inappropriate.</w:t>
      </w:r>
    </w:p>
    <w:p w14:paraId="416F23A4" w14:textId="77777777" w:rsidR="00E93CF7" w:rsidRDefault="00E93CF7" w:rsidP="00E93CF7">
      <w:pPr>
        <w:pStyle w:val="Heading4"/>
      </w:pPr>
      <w:r>
        <w:t>Record keeping obligation</w:t>
      </w:r>
    </w:p>
    <w:p w14:paraId="5FB72AC9" w14:textId="77777777" w:rsidR="00EA4B6C" w:rsidRDefault="00E93CF7" w:rsidP="00E93CF7">
      <w:pPr>
        <w:pStyle w:val="base-text-paragraph"/>
      </w:pPr>
      <w:r>
        <w:t xml:space="preserve">The third design obligation requires issuers to </w:t>
      </w:r>
      <w:r w:rsidR="00EA4B6C">
        <w:t>keep records of their</w:t>
      </w:r>
      <w:r w:rsidRPr="00E93CF7">
        <w:t xml:space="preserve"> decisions</w:t>
      </w:r>
      <w:r w:rsidR="00213AC3">
        <w:t xml:space="preserve"> about</w:t>
      </w:r>
      <w:r w:rsidR="00EA4B6C">
        <w:t>:</w:t>
      </w:r>
    </w:p>
    <w:p w14:paraId="10F1438E" w14:textId="3F40525D" w:rsidR="00E93CF7" w:rsidRDefault="00EA4B6C" w:rsidP="00EA4B6C">
      <w:pPr>
        <w:pStyle w:val="dotpoint"/>
      </w:pPr>
      <w:r>
        <w:t>a product’s target market determination</w:t>
      </w:r>
      <w:r w:rsidR="00380801">
        <w:t>,</w:t>
      </w:r>
      <w:r>
        <w:t xml:space="preserve"> review triggers</w:t>
      </w:r>
      <w:r w:rsidR="00380801">
        <w:t>,</w:t>
      </w:r>
      <w:r>
        <w:t xml:space="preserve"> review period</w:t>
      </w:r>
      <w:r w:rsidR="000B130E">
        <w:t>s, and other decisions relating to requirements for making target market determinations</w:t>
      </w:r>
      <w:r>
        <w:t xml:space="preserve">; and </w:t>
      </w:r>
    </w:p>
    <w:p w14:paraId="12B94C98" w14:textId="7676A42A" w:rsidR="00EA4B6C" w:rsidRDefault="00EA4B6C" w:rsidP="00EA4B6C">
      <w:pPr>
        <w:pStyle w:val="dotpoint"/>
      </w:pPr>
      <w:r>
        <w:t xml:space="preserve">the reasons for those decisions. </w:t>
      </w:r>
      <w:r>
        <w:rPr>
          <w:rStyle w:val="Referencingstyle"/>
        </w:rPr>
        <w:t xml:space="preserve">[Schedule 1, item </w:t>
      </w:r>
      <w:r w:rsidR="00FB25E5">
        <w:rPr>
          <w:rStyle w:val="Referencingstyle"/>
        </w:rPr>
        <w:t>5</w:t>
      </w:r>
      <w:r w:rsidRPr="00A24AD2">
        <w:rPr>
          <w:rStyle w:val="Referencingstyle"/>
        </w:rPr>
        <w:t xml:space="preserve">, </w:t>
      </w:r>
      <w:r>
        <w:rPr>
          <w:rStyle w:val="Referencingstyle"/>
        </w:rPr>
        <w:t>subsection 99</w:t>
      </w:r>
      <w:r w:rsidR="00FB25E5">
        <w:rPr>
          <w:rStyle w:val="Referencingstyle"/>
        </w:rPr>
        <w:t>4</w:t>
      </w:r>
      <w:r w:rsidR="00822D7E">
        <w:rPr>
          <w:rStyle w:val="Referencingstyle"/>
        </w:rPr>
        <w:t>F</w:t>
      </w:r>
      <w:r>
        <w:rPr>
          <w:rStyle w:val="Referencingstyle"/>
        </w:rPr>
        <w:t>(1)</w:t>
      </w:r>
      <w:r w:rsidR="00380801">
        <w:rPr>
          <w:rStyle w:val="Referencingstyle"/>
        </w:rPr>
        <w:t xml:space="preserve"> of the Corporations Act</w:t>
      </w:r>
      <w:r w:rsidRPr="00A24AD2">
        <w:rPr>
          <w:rStyle w:val="Referencingstyle"/>
        </w:rPr>
        <w:t>]</w:t>
      </w:r>
      <w:r>
        <w:t xml:space="preserve">     </w:t>
      </w:r>
    </w:p>
    <w:p w14:paraId="69BC2AEC" w14:textId="50B94799" w:rsidR="0082303B" w:rsidRDefault="0082303B" w:rsidP="001D259F">
      <w:pPr>
        <w:pStyle w:val="base-text-paragraph"/>
      </w:pPr>
      <w:r>
        <w:t>These</w:t>
      </w:r>
      <w:r w:rsidR="00EA4B6C">
        <w:t xml:space="preserve"> record keeping provision</w:t>
      </w:r>
      <w:r>
        <w:t>s</w:t>
      </w:r>
      <w:r w:rsidR="00EA4B6C">
        <w:t xml:space="preserve"> </w:t>
      </w:r>
      <w:r>
        <w:t>support</w:t>
      </w:r>
      <w:r w:rsidR="00EA4B6C">
        <w:t xml:space="preserve"> the effectiveness of the new regime. In particular, </w:t>
      </w:r>
      <w:r w:rsidR="0088048E">
        <w:t>they</w:t>
      </w:r>
      <w:r w:rsidR="00EA4B6C">
        <w:t xml:space="preserve"> ensure that evidence exists </w:t>
      </w:r>
      <w:r w:rsidR="00213AC3">
        <w:t>concerning an issuer’s compliance with the new obligations</w:t>
      </w:r>
      <w:r w:rsidR="00EA4B6C">
        <w:t>.</w:t>
      </w:r>
      <w:r w:rsidR="001D259F">
        <w:t xml:space="preserve"> The records </w:t>
      </w:r>
      <w:r w:rsidR="00213AC3">
        <w:t xml:space="preserve">will </w:t>
      </w:r>
      <w:r w:rsidR="001D259F">
        <w:t xml:space="preserve">assist issuers in meeting their design obligations, particularly those </w:t>
      </w:r>
      <w:r w:rsidR="00213AC3">
        <w:t xml:space="preserve">concerning the </w:t>
      </w:r>
      <w:r w:rsidR="001D259F">
        <w:t>review</w:t>
      </w:r>
      <w:r w:rsidR="00861999">
        <w:t xml:space="preserve"> </w:t>
      </w:r>
      <w:r w:rsidR="00213AC3">
        <w:t>of</w:t>
      </w:r>
      <w:r w:rsidR="001D259F">
        <w:t xml:space="preserve"> previous decisions. The records</w:t>
      </w:r>
      <w:r w:rsidR="00EA4B6C">
        <w:t xml:space="preserve"> may</w:t>
      </w:r>
      <w:r w:rsidR="001D259F">
        <w:t xml:space="preserve"> also</w:t>
      </w:r>
      <w:r w:rsidR="00EA4B6C">
        <w:t xml:space="preserve"> be requested</w:t>
      </w:r>
      <w:r w:rsidR="001D259F">
        <w:t xml:space="preserve"> by ASIC to support its </w:t>
      </w:r>
      <w:r w:rsidR="00213AC3">
        <w:t>compliance activities</w:t>
      </w:r>
      <w:r w:rsidR="001D259F">
        <w:t xml:space="preserve">. </w:t>
      </w:r>
      <w:r w:rsidR="001D259F">
        <w:rPr>
          <w:rStyle w:val="Referencingstyle"/>
        </w:rPr>
        <w:t xml:space="preserve">[Schedule 1, item </w:t>
      </w:r>
      <w:r w:rsidR="009C4224">
        <w:rPr>
          <w:rStyle w:val="Referencingstyle"/>
        </w:rPr>
        <w:t>5</w:t>
      </w:r>
      <w:r w:rsidR="001D259F" w:rsidRPr="00A24AD2">
        <w:rPr>
          <w:rStyle w:val="Referencingstyle"/>
        </w:rPr>
        <w:t xml:space="preserve">, </w:t>
      </w:r>
      <w:r w:rsidR="001D259F">
        <w:rPr>
          <w:rStyle w:val="Referencingstyle"/>
        </w:rPr>
        <w:t>section 99</w:t>
      </w:r>
      <w:r w:rsidR="009C4224">
        <w:rPr>
          <w:rStyle w:val="Referencingstyle"/>
        </w:rPr>
        <w:t>4</w:t>
      </w:r>
      <w:r w:rsidR="001D259F">
        <w:rPr>
          <w:rStyle w:val="Referencingstyle"/>
        </w:rPr>
        <w:t>H</w:t>
      </w:r>
      <w:r w:rsidR="00381892">
        <w:rPr>
          <w:rStyle w:val="Referencingstyle"/>
        </w:rPr>
        <w:t xml:space="preserve"> of the Corporations Act</w:t>
      </w:r>
      <w:r w:rsidR="001D259F" w:rsidRPr="00A24AD2">
        <w:rPr>
          <w:rStyle w:val="Referencingstyle"/>
        </w:rPr>
        <w:t>]</w:t>
      </w:r>
      <w:r w:rsidR="001D259F">
        <w:t xml:space="preserve">    </w:t>
      </w:r>
    </w:p>
    <w:p w14:paraId="72C7996A" w14:textId="14EFABB3" w:rsidR="00FA3D53" w:rsidRDefault="0082303B" w:rsidP="0082303B">
      <w:pPr>
        <w:pStyle w:val="base-text-paragraph"/>
      </w:pPr>
      <w:r>
        <w:t xml:space="preserve">The new record keeping provisions are supported by current provisions of the Corporations Act. In particular, it is </w:t>
      </w:r>
      <w:r w:rsidR="00A84A7E">
        <w:t>presently</w:t>
      </w:r>
      <w:r w:rsidR="00043378">
        <w:t xml:space="preserve"> </w:t>
      </w:r>
      <w:r>
        <w:t>an</w:t>
      </w:r>
      <w:r w:rsidRPr="0082303B">
        <w:t xml:space="preserve"> offence to destroy, conceal or falsif</w:t>
      </w:r>
      <w:r>
        <w:t xml:space="preserve">y records required to be kept </w:t>
      </w:r>
      <w:r w:rsidR="00213AC3">
        <w:t>under</w:t>
      </w:r>
      <w:r>
        <w:t xml:space="preserve"> a provision of</w:t>
      </w:r>
      <w:r w:rsidRPr="0082303B">
        <w:t xml:space="preserve"> Chapter 7</w:t>
      </w:r>
      <w:r>
        <w:t xml:space="preserve"> of the </w:t>
      </w:r>
      <w:r w:rsidR="00213AC3">
        <w:t xml:space="preserve">Corporations </w:t>
      </w:r>
      <w:r>
        <w:t>Act.</w:t>
      </w:r>
      <w:r>
        <w:rPr>
          <w:rStyle w:val="FootnoteReference"/>
        </w:rPr>
        <w:footnoteReference w:id="26"/>
      </w:r>
      <w:r>
        <w:t xml:space="preserve"> In addition,</w:t>
      </w:r>
      <w:r w:rsidR="00FA3D53">
        <w:t xml:space="preserve"> the</w:t>
      </w:r>
      <w:r>
        <w:t xml:space="preserve"> </w:t>
      </w:r>
      <w:r w:rsidR="00213AC3">
        <w:t xml:space="preserve">Corporations </w:t>
      </w:r>
      <w:r w:rsidR="00FA3D53">
        <w:t xml:space="preserve">Act currently provides that records required to be kept by a provision of </w:t>
      </w:r>
      <w:r w:rsidRPr="0082303B">
        <w:t>Chapter 7 must be preserved for 5</w:t>
      </w:r>
      <w:r w:rsidR="00FA3D53">
        <w:t> </w:t>
      </w:r>
      <w:r w:rsidRPr="0082303B">
        <w:t>years.</w:t>
      </w:r>
      <w:r>
        <w:rPr>
          <w:rStyle w:val="FootnoteReference"/>
        </w:rPr>
        <w:footnoteReference w:id="27"/>
      </w:r>
      <w:r>
        <w:t xml:space="preserve"> </w:t>
      </w:r>
      <w:r w:rsidR="00FA3D53">
        <w:t xml:space="preserve">These provisions </w:t>
      </w:r>
      <w:r>
        <w:t>apply in relation to</w:t>
      </w:r>
      <w:r w:rsidR="00FA3D53">
        <w:t xml:space="preserve"> </w:t>
      </w:r>
      <w:r w:rsidR="004A488C">
        <w:t>the new regime</w:t>
      </w:r>
      <w:r>
        <w:t>.</w:t>
      </w:r>
    </w:p>
    <w:p w14:paraId="6E55771C" w14:textId="6EFC999D" w:rsidR="00E93CF7" w:rsidRDefault="00E93CF7" w:rsidP="00FA3D53">
      <w:pPr>
        <w:pStyle w:val="Heading4"/>
      </w:pPr>
      <w:r>
        <w:t>Obligation to notify ASIC of significant dealings that are not consistent with a product’s target market determination</w:t>
      </w:r>
    </w:p>
    <w:p w14:paraId="5FC753E6" w14:textId="4F38FB9A" w:rsidR="009A2CA3" w:rsidRDefault="001D259F" w:rsidP="001D259F">
      <w:pPr>
        <w:pStyle w:val="base-text-paragraph"/>
      </w:pPr>
      <w:r>
        <w:t xml:space="preserve"> The </w:t>
      </w:r>
      <w:r w:rsidR="00213AC3">
        <w:t xml:space="preserve">fourth (and </w:t>
      </w:r>
      <w:r>
        <w:t>final</w:t>
      </w:r>
      <w:r w:rsidR="00AD6059">
        <w:t>)</w:t>
      </w:r>
      <w:r>
        <w:t xml:space="preserve"> design obligation requires issuers to notify ASIC of significant</w:t>
      </w:r>
      <w:r w:rsidR="00743E28">
        <w:t xml:space="preserve"> dealings in a product that are not consistent with the product</w:t>
      </w:r>
      <w:r w:rsidR="00470523">
        <w:t>’</w:t>
      </w:r>
      <w:r w:rsidR="00743E28">
        <w:t>s target market determination.</w:t>
      </w:r>
      <w:r w:rsidR="00381892">
        <w:t xml:space="preserve"> Should an is</w:t>
      </w:r>
      <w:r w:rsidR="00584E88">
        <w:t>s</w:t>
      </w:r>
      <w:r w:rsidR="00381892">
        <w:t xml:space="preserve">uer become aware of such a dealing they must notify ASIC in writing as soon as practicable, and in any case within 10 business days. </w:t>
      </w:r>
      <w:r w:rsidR="00381892">
        <w:rPr>
          <w:rStyle w:val="Referencingstyle"/>
        </w:rPr>
        <w:t xml:space="preserve">[Schedule 1, item </w:t>
      </w:r>
      <w:r w:rsidR="000D79E6">
        <w:rPr>
          <w:rStyle w:val="Referencingstyle"/>
        </w:rPr>
        <w:t>5</w:t>
      </w:r>
      <w:r w:rsidR="00381892" w:rsidRPr="00A24AD2">
        <w:rPr>
          <w:rStyle w:val="Referencingstyle"/>
        </w:rPr>
        <w:t xml:space="preserve">, </w:t>
      </w:r>
      <w:r w:rsidR="00381892">
        <w:rPr>
          <w:rStyle w:val="Referencingstyle"/>
        </w:rPr>
        <w:t>section 99</w:t>
      </w:r>
      <w:r w:rsidR="000D79E6">
        <w:rPr>
          <w:rStyle w:val="Referencingstyle"/>
        </w:rPr>
        <w:t>4</w:t>
      </w:r>
      <w:r w:rsidR="00381892">
        <w:rPr>
          <w:rStyle w:val="Referencingstyle"/>
        </w:rPr>
        <w:t>G of the Corporations Act</w:t>
      </w:r>
      <w:r w:rsidR="00381892" w:rsidRPr="00A24AD2">
        <w:rPr>
          <w:rStyle w:val="Referencingstyle"/>
        </w:rPr>
        <w:t>]</w:t>
      </w:r>
      <w:r w:rsidR="00381892">
        <w:t xml:space="preserve">    </w:t>
      </w:r>
    </w:p>
    <w:p w14:paraId="7CEA7997" w14:textId="77777777" w:rsidR="00381892" w:rsidRPr="003E4FAA" w:rsidRDefault="00381892" w:rsidP="00555F80">
      <w:pPr>
        <w:pStyle w:val="base-text-paragraph"/>
        <w:rPr>
          <w:rStyle w:val="Referencingstyle"/>
          <w:b w:val="0"/>
          <w:i w:val="0"/>
          <w:sz w:val="22"/>
        </w:rPr>
      </w:pPr>
      <w:r>
        <w:t>Consistent with exi</w:t>
      </w:r>
      <w:r w:rsidR="00A76040">
        <w:t>s</w:t>
      </w:r>
      <w:r>
        <w:t>ting provisions of the Corporations Act</w:t>
      </w:r>
      <w:r w:rsidR="009A2CA3">
        <w:t>, ‘significant’ is not defined for the purposes of the</w:t>
      </w:r>
      <w:r w:rsidR="00555F80">
        <w:t xml:space="preserve"> new</w:t>
      </w:r>
      <w:r w:rsidR="009A2CA3">
        <w:t xml:space="preserve"> obli</w:t>
      </w:r>
      <w:r w:rsidR="00555F80">
        <w:t>gation</w:t>
      </w:r>
      <w:r w:rsidR="009A2CA3">
        <w:t>.</w:t>
      </w:r>
      <w:r w:rsidR="00555F80">
        <w:t xml:space="preserve"> The meaning of significant is intended to take its ordinary meaning in the context of the</w:t>
      </w:r>
      <w:r w:rsidR="007052EC">
        <w:t xml:space="preserve"> new provision</w:t>
      </w:r>
      <w:r w:rsidR="00555F80">
        <w:t xml:space="preserve">. Generally, this would require an issuer to inform ASIC of dealings that would be worthy of its attention having regard to the object of the new regime and ASIC’s role as its regulator. However, ultimately whether </w:t>
      </w:r>
      <w:r w:rsidR="00730413">
        <w:t xml:space="preserve">or not </w:t>
      </w:r>
      <w:r w:rsidR="00C1192F">
        <w:t>a dealing</w:t>
      </w:r>
      <w:r w:rsidR="00555F80">
        <w:t xml:space="preserve"> is significant would be a matter to be determined in the circumstances of each case.</w:t>
      </w:r>
      <w:r>
        <w:t xml:space="preserve"> </w:t>
      </w:r>
    </w:p>
    <w:p w14:paraId="4A478A4B" w14:textId="77777777" w:rsidR="001D259F" w:rsidRPr="001D259F" w:rsidRDefault="00381892" w:rsidP="00381892">
      <w:pPr>
        <w:pStyle w:val="base-text-paragraph"/>
      </w:pPr>
      <w:r>
        <w:t xml:space="preserve">This notification obligation supports the effectiveness of the new regime. In particular, it ensures that </w:t>
      </w:r>
      <w:r w:rsidR="00A76040">
        <w:t>ASIC</w:t>
      </w:r>
      <w:r>
        <w:t xml:space="preserve"> is advised, where possible, of significant </w:t>
      </w:r>
      <w:r w:rsidRPr="00381892">
        <w:t>dealings</w:t>
      </w:r>
      <w:r>
        <w:t xml:space="preserve"> in a product that are not consistent with its target market determination. By doing so, the requirement assist</w:t>
      </w:r>
      <w:r w:rsidR="00A76040">
        <w:t>s</w:t>
      </w:r>
      <w:r>
        <w:t xml:space="preserve"> ASIC in making timely and appropriate decisions in support of the new regime. </w:t>
      </w:r>
    </w:p>
    <w:p w14:paraId="3591436D" w14:textId="77777777" w:rsidR="007A66B9" w:rsidRDefault="007A66B9" w:rsidP="007A66B9">
      <w:pPr>
        <w:pStyle w:val="Heading3"/>
      </w:pPr>
      <w:r>
        <w:t>Distribution obligations</w:t>
      </w:r>
    </w:p>
    <w:p w14:paraId="1C615752" w14:textId="4AA29FC2" w:rsidR="002C052C" w:rsidRPr="00155ABB" w:rsidRDefault="002C052C" w:rsidP="003E4FAA">
      <w:pPr>
        <w:pStyle w:val="base-text-paragraph"/>
        <w:rPr>
          <w:b/>
          <w:i/>
          <w:sz w:val="18"/>
        </w:rPr>
      </w:pPr>
      <w:r>
        <w:t>The distribution obligations apply to those people that engage with a potential investor in relation to a product. These are the people responsible for making offers, or giving advice or disclosure documents, to potential investors. They will generally be the issuer of the product (where the issuer distributes their own product) or be</w:t>
      </w:r>
      <w:r w:rsidR="009B1FA1">
        <w:t xml:space="preserve"> person</w:t>
      </w:r>
      <w:r>
        <w:t xml:space="preserve"> carrying on a financial services business in Australia. All references to ‘regulated person’ are references to a person responsible for the distribution obligations.</w:t>
      </w:r>
      <w:r>
        <w:rPr>
          <w:rStyle w:val="FootnoteReference"/>
        </w:rPr>
        <w:footnoteReference w:id="28"/>
      </w:r>
      <w:r w:rsidR="00B41B96">
        <w:t xml:space="preserve"> </w:t>
      </w:r>
      <w:r w:rsidR="00B41B96">
        <w:rPr>
          <w:rStyle w:val="Referencingstyle"/>
        </w:rPr>
        <w:t xml:space="preserve">[Schedule 1, item </w:t>
      </w:r>
      <w:r w:rsidR="00A31F75">
        <w:rPr>
          <w:rStyle w:val="Referencingstyle"/>
        </w:rPr>
        <w:t>5</w:t>
      </w:r>
      <w:r w:rsidR="00B41B96" w:rsidRPr="00A24AD2">
        <w:rPr>
          <w:rStyle w:val="Referencingstyle"/>
        </w:rPr>
        <w:t xml:space="preserve">, </w:t>
      </w:r>
      <w:r w:rsidR="00B41B96">
        <w:rPr>
          <w:rStyle w:val="Referencingstyle"/>
        </w:rPr>
        <w:t>the definition of regulated person,</w:t>
      </w:r>
      <w:r w:rsidR="00B41B96" w:rsidRPr="00A24AD2">
        <w:rPr>
          <w:rStyle w:val="Referencingstyle"/>
        </w:rPr>
        <w:t xml:space="preserve"> </w:t>
      </w:r>
      <w:r w:rsidR="00B41B96">
        <w:rPr>
          <w:rStyle w:val="Referencingstyle"/>
        </w:rPr>
        <w:t xml:space="preserve">section 994A </w:t>
      </w:r>
      <w:r w:rsidR="00B41B96" w:rsidRPr="00A24AD2">
        <w:rPr>
          <w:rStyle w:val="Referencingstyle"/>
        </w:rPr>
        <w:t>of</w:t>
      </w:r>
      <w:r w:rsidR="00B41B96">
        <w:rPr>
          <w:rStyle w:val="Referencingstyle"/>
        </w:rPr>
        <w:t xml:space="preserve"> the Corporations</w:t>
      </w:r>
      <w:r w:rsidR="00B41B96" w:rsidRPr="00A24AD2">
        <w:rPr>
          <w:rStyle w:val="Referencingstyle"/>
        </w:rPr>
        <w:t xml:space="preserve"> Act]</w:t>
      </w:r>
    </w:p>
    <w:p w14:paraId="271887B9" w14:textId="6B9DFE7D" w:rsidR="00634012" w:rsidRPr="00155ABB" w:rsidRDefault="002C052C" w:rsidP="003E4FAA">
      <w:pPr>
        <w:pStyle w:val="base-text-paragraph"/>
        <w:rPr>
          <w:b/>
          <w:i/>
          <w:sz w:val="18"/>
        </w:rPr>
      </w:pPr>
      <w:r>
        <w:t>Not all conduct of regulated persons is subject to the new</w:t>
      </w:r>
      <w:r w:rsidR="003E4FAA">
        <w:t xml:space="preserve"> </w:t>
      </w:r>
      <w:r w:rsidR="006E6B9A">
        <w:t>distribution</w:t>
      </w:r>
      <w:r w:rsidR="003E4FAA">
        <w:t xml:space="preserve"> obligations</w:t>
      </w:r>
      <w:r>
        <w:t>. The new obligations only</w:t>
      </w:r>
      <w:r w:rsidR="003E4FAA">
        <w:t xml:space="preserve"> </w:t>
      </w:r>
      <w:r w:rsidR="00AD6059">
        <w:t>apply to</w:t>
      </w:r>
      <w:r w:rsidR="006E6B9A">
        <w:t xml:space="preserve"> </w:t>
      </w:r>
      <w:r>
        <w:t xml:space="preserve">where a </w:t>
      </w:r>
      <w:r w:rsidR="00BF3864">
        <w:t>regulated</w:t>
      </w:r>
      <w:r w:rsidR="002063E9">
        <w:t xml:space="preserve"> person</w:t>
      </w:r>
      <w:r w:rsidR="00AD6059">
        <w:t xml:space="preserve"> engage</w:t>
      </w:r>
      <w:r w:rsidR="002063E9">
        <w:t>s</w:t>
      </w:r>
      <w:r w:rsidR="006E6B9A">
        <w:t xml:space="preserve"> </w:t>
      </w:r>
      <w:r w:rsidR="002063E9">
        <w:t xml:space="preserve">in ‘retail product distribution conduct’. What constitutes retail product distribution conduct is defined for the purposes of the new regime. In particular, a </w:t>
      </w:r>
      <w:r w:rsidR="00BF3864">
        <w:t xml:space="preserve">regulated </w:t>
      </w:r>
      <w:r w:rsidR="002063E9">
        <w:t>person engages in such conduct</w:t>
      </w:r>
      <w:r w:rsidR="002063E9">
        <w:rPr>
          <w:rStyle w:val="FootnoteReference"/>
        </w:rPr>
        <w:footnoteReference w:id="29"/>
      </w:r>
      <w:r w:rsidR="002063E9">
        <w:t xml:space="preserve"> if</w:t>
      </w:r>
      <w:r w:rsidR="00BF3864">
        <w:t xml:space="preserve"> they</w:t>
      </w:r>
      <w:r w:rsidR="00634012">
        <w:t>:</w:t>
      </w:r>
      <w:r w:rsidR="00E66CBC">
        <w:t xml:space="preserve"> </w:t>
      </w:r>
    </w:p>
    <w:p w14:paraId="31D76938" w14:textId="0180786F" w:rsidR="00634012" w:rsidRPr="00155ABB" w:rsidRDefault="00BF3864" w:rsidP="00155ABB">
      <w:pPr>
        <w:pStyle w:val="dotpoint"/>
        <w:rPr>
          <w:b/>
          <w:i/>
          <w:sz w:val="18"/>
        </w:rPr>
      </w:pPr>
      <w:r>
        <w:t>issue or arrange to</w:t>
      </w:r>
      <w:r w:rsidR="00634012">
        <w:t xml:space="preserve"> issue</w:t>
      </w:r>
      <w:r w:rsidR="001170DF">
        <w:t xml:space="preserve"> a financial product</w:t>
      </w:r>
      <w:r w:rsidR="00966DA6">
        <w:rPr>
          <w:rStyle w:val="FootnoteReference"/>
        </w:rPr>
        <w:footnoteReference w:id="30"/>
      </w:r>
      <w:r w:rsidR="00634012">
        <w:t>;</w:t>
      </w:r>
    </w:p>
    <w:p w14:paraId="1894EB8B" w14:textId="7F5B5594" w:rsidR="00634012" w:rsidRPr="00155ABB" w:rsidRDefault="00BF3864" w:rsidP="00155ABB">
      <w:pPr>
        <w:pStyle w:val="dotpoint"/>
        <w:rPr>
          <w:b/>
          <w:i/>
          <w:sz w:val="18"/>
        </w:rPr>
      </w:pPr>
      <w:r>
        <w:t>provide</w:t>
      </w:r>
      <w:r w:rsidR="00840751">
        <w:t xml:space="preserve"> financial product advice</w:t>
      </w:r>
      <w:r w:rsidR="00634012">
        <w:t>;</w:t>
      </w:r>
    </w:p>
    <w:p w14:paraId="7D1A02D0" w14:textId="4CEF9954" w:rsidR="00634012" w:rsidRPr="00155ABB" w:rsidRDefault="00BF3864" w:rsidP="00155ABB">
      <w:pPr>
        <w:pStyle w:val="dotpoint"/>
        <w:rPr>
          <w:b/>
          <w:i/>
          <w:sz w:val="18"/>
        </w:rPr>
      </w:pPr>
      <w:r>
        <w:t>give</w:t>
      </w:r>
      <w:r w:rsidR="00634012">
        <w:t xml:space="preserve"> a PDS or disclosure document;</w:t>
      </w:r>
      <w:r w:rsidR="001170DF">
        <w:t xml:space="preserve"> or</w:t>
      </w:r>
      <w:r w:rsidR="00634012">
        <w:t xml:space="preserve"> </w:t>
      </w:r>
    </w:p>
    <w:p w14:paraId="5067CD64" w14:textId="3898E269" w:rsidR="00807747" w:rsidRPr="00155ABB" w:rsidRDefault="00BF3864" w:rsidP="00155ABB">
      <w:pPr>
        <w:pStyle w:val="dotpoint"/>
        <w:rPr>
          <w:b/>
          <w:i/>
          <w:sz w:val="18"/>
        </w:rPr>
      </w:pPr>
      <w:r>
        <w:t>make</w:t>
      </w:r>
      <w:r w:rsidR="00634012">
        <w:t xml:space="preserve"> a recognised offer.</w:t>
      </w:r>
      <w:r w:rsidR="00901F62">
        <w:t xml:space="preserve"> </w:t>
      </w:r>
    </w:p>
    <w:p w14:paraId="2111034E" w14:textId="2738F52D" w:rsidR="008070AD" w:rsidRPr="00155ABB" w:rsidRDefault="008070AD" w:rsidP="00155ABB">
      <w:pPr>
        <w:pStyle w:val="dotpoint"/>
        <w:numPr>
          <w:ilvl w:val="0"/>
          <w:numId w:val="0"/>
        </w:numPr>
        <w:ind w:left="1984"/>
        <w:rPr>
          <w:b/>
          <w:i/>
          <w:sz w:val="18"/>
        </w:rPr>
      </w:pPr>
      <w:r>
        <w:rPr>
          <w:rStyle w:val="Referencingstyle"/>
        </w:rPr>
        <w:t>[Schedule 1, item 5</w:t>
      </w:r>
      <w:r w:rsidRPr="00A24AD2">
        <w:rPr>
          <w:rStyle w:val="Referencingstyle"/>
        </w:rPr>
        <w:t xml:space="preserve">, </w:t>
      </w:r>
      <w:r>
        <w:rPr>
          <w:rStyle w:val="Referencingstyle"/>
        </w:rPr>
        <w:t xml:space="preserve">the definition of ‘retail product distribution conduct’ in subsection 994A </w:t>
      </w:r>
      <w:r w:rsidRPr="00A24AD2">
        <w:rPr>
          <w:rStyle w:val="Referencingstyle"/>
        </w:rPr>
        <w:t>of</w:t>
      </w:r>
      <w:r>
        <w:rPr>
          <w:rStyle w:val="Referencingstyle"/>
        </w:rPr>
        <w:t xml:space="preserve"> the Corporations</w:t>
      </w:r>
      <w:r w:rsidRPr="00A24AD2">
        <w:rPr>
          <w:rStyle w:val="Referencingstyle"/>
        </w:rPr>
        <w:t xml:space="preserve"> Act]</w:t>
      </w:r>
    </w:p>
    <w:p w14:paraId="3D15B4BC" w14:textId="4F228B40" w:rsidR="00680717" w:rsidRPr="00155ABB" w:rsidRDefault="00B41B96" w:rsidP="00C348FE">
      <w:pPr>
        <w:pStyle w:val="base-text-paragraph"/>
        <w:rPr>
          <w:b/>
          <w:i/>
          <w:sz w:val="18"/>
        </w:rPr>
      </w:pPr>
      <w:r>
        <w:t>W</w:t>
      </w:r>
      <w:r w:rsidR="001170DF">
        <w:t>hile retail product distribution conduct includes providing financial</w:t>
      </w:r>
      <w:r>
        <w:t xml:space="preserve"> product</w:t>
      </w:r>
      <w:r w:rsidR="001170DF">
        <w:t xml:space="preserve"> advice, the new regime excludes personal advice and associated conduct from most of the new distribution obligations. This reflects that </w:t>
      </w:r>
      <w:r w:rsidR="00416471">
        <w:t>such conduct already involves consideration of the client’s individual circumstances and is subject to the best interest obligations under Part 7.7A of the Corporations Act.</w:t>
      </w:r>
      <w:r w:rsidR="00416471" w:rsidRPr="00416471">
        <w:rPr>
          <w:rStyle w:val="FootnoteReference"/>
        </w:rPr>
        <w:t xml:space="preserve"> </w:t>
      </w:r>
      <w:r w:rsidR="00416471">
        <w:rPr>
          <w:rStyle w:val="FootnoteReference"/>
        </w:rPr>
        <w:footnoteReference w:id="31"/>
      </w:r>
      <w:r w:rsidR="00416471">
        <w:t xml:space="preserve"> However, conduct related to personal advice is subject to the record keeping and notification obligations to ensure the effective operation of those obligations. </w:t>
      </w:r>
      <w:r w:rsidR="00BF3864">
        <w:t xml:space="preserve"> </w:t>
      </w:r>
      <w:r w:rsidR="00183A9E">
        <w:rPr>
          <w:rStyle w:val="Referencingstyle"/>
        </w:rPr>
        <w:t>[Schedule 1, item 5</w:t>
      </w:r>
      <w:r w:rsidR="00183A9E" w:rsidRPr="00A24AD2">
        <w:rPr>
          <w:rStyle w:val="Referencingstyle"/>
        </w:rPr>
        <w:t xml:space="preserve">, </w:t>
      </w:r>
      <w:r w:rsidR="00183A9E">
        <w:rPr>
          <w:rStyle w:val="Referencingstyle"/>
        </w:rPr>
        <w:t>the definition</w:t>
      </w:r>
      <w:r w:rsidR="00421635">
        <w:rPr>
          <w:rStyle w:val="Referencingstyle"/>
        </w:rPr>
        <w:t>s</w:t>
      </w:r>
      <w:r w:rsidR="00183A9E">
        <w:rPr>
          <w:rStyle w:val="Referencingstyle"/>
        </w:rPr>
        <w:t xml:space="preserve"> of ‘retail product distribution conduct’</w:t>
      </w:r>
      <w:r w:rsidR="00421635">
        <w:rPr>
          <w:rStyle w:val="Referencingstyle"/>
        </w:rPr>
        <w:t xml:space="preserve">, </w:t>
      </w:r>
      <w:r w:rsidR="00183A9E">
        <w:rPr>
          <w:rStyle w:val="Referencingstyle"/>
        </w:rPr>
        <w:t>‘dealing’</w:t>
      </w:r>
      <w:r w:rsidR="00421635">
        <w:rPr>
          <w:rStyle w:val="Referencingstyle"/>
        </w:rPr>
        <w:t xml:space="preserve">, excluded conduct’, and </w:t>
      </w:r>
      <w:r w:rsidR="00447BCC">
        <w:rPr>
          <w:rStyle w:val="Referencingstyle"/>
        </w:rPr>
        <w:t>‘</w:t>
      </w:r>
      <w:r w:rsidR="00421635">
        <w:rPr>
          <w:rStyle w:val="Referencingstyle"/>
        </w:rPr>
        <w:t xml:space="preserve">excluded dealing’, </w:t>
      </w:r>
      <w:r w:rsidR="00183A9E">
        <w:rPr>
          <w:rStyle w:val="Referencingstyle"/>
        </w:rPr>
        <w:t xml:space="preserve">subsection 994A </w:t>
      </w:r>
      <w:r w:rsidR="00183A9E" w:rsidRPr="00A24AD2">
        <w:rPr>
          <w:rStyle w:val="Referencingstyle"/>
        </w:rPr>
        <w:t>of</w:t>
      </w:r>
      <w:r w:rsidR="00183A9E">
        <w:rPr>
          <w:rStyle w:val="Referencingstyle"/>
        </w:rPr>
        <w:t xml:space="preserve"> the Corporations</w:t>
      </w:r>
      <w:r w:rsidR="00183A9E" w:rsidRPr="00A24AD2">
        <w:rPr>
          <w:rStyle w:val="Referencingstyle"/>
        </w:rPr>
        <w:t xml:space="preserve"> Act]</w:t>
      </w:r>
    </w:p>
    <w:p w14:paraId="135EB210" w14:textId="1A4B9D5B" w:rsidR="003E4FAA" w:rsidRDefault="00E57A64" w:rsidP="00E57A64">
      <w:pPr>
        <w:pStyle w:val="Heading4"/>
      </w:pPr>
      <w:r>
        <w:t xml:space="preserve">Obligation not to </w:t>
      </w:r>
      <w:r w:rsidR="001E7C74">
        <w:t>engage in retail product distribution conduct</w:t>
      </w:r>
      <w:r>
        <w:t xml:space="preserve"> unless a target market determination has been made</w:t>
      </w:r>
    </w:p>
    <w:p w14:paraId="32E1C503" w14:textId="65136434" w:rsidR="008239AB" w:rsidRPr="005A1648" w:rsidRDefault="00E57A64" w:rsidP="001207EA">
      <w:pPr>
        <w:pStyle w:val="base-text-paragraph"/>
        <w:rPr>
          <w:rStyle w:val="Referencingstyle"/>
          <w:b w:val="0"/>
          <w:i w:val="0"/>
          <w:sz w:val="22"/>
        </w:rPr>
      </w:pPr>
      <w:r>
        <w:t xml:space="preserve">The first distribution obligation </w:t>
      </w:r>
      <w:r w:rsidR="008239AB">
        <w:t xml:space="preserve">prohibits </w:t>
      </w:r>
      <w:r w:rsidR="000511C1">
        <w:t>retail product distribution conduct in relation to a</w:t>
      </w:r>
      <w:r w:rsidR="008239AB">
        <w:t xml:space="preserve"> financial product if the issuer has failed to make a target market determination for the product.</w:t>
      </w:r>
      <w:r w:rsidR="005A1648">
        <w:t xml:space="preserve"> </w:t>
      </w:r>
      <w:r w:rsidR="005A1648">
        <w:rPr>
          <w:rStyle w:val="Referencingstyle"/>
        </w:rPr>
        <w:t xml:space="preserve">[Schedule 1, item </w:t>
      </w:r>
      <w:r w:rsidR="00305ACB">
        <w:rPr>
          <w:rStyle w:val="Referencingstyle"/>
        </w:rPr>
        <w:t>5</w:t>
      </w:r>
      <w:r w:rsidR="005A1648" w:rsidRPr="00A24AD2">
        <w:rPr>
          <w:rStyle w:val="Referencingstyle"/>
        </w:rPr>
        <w:t xml:space="preserve">, </w:t>
      </w:r>
      <w:r w:rsidR="00CA5A5E">
        <w:rPr>
          <w:rStyle w:val="Referencingstyle"/>
        </w:rPr>
        <w:t>sub</w:t>
      </w:r>
      <w:r w:rsidR="005A1648">
        <w:rPr>
          <w:rStyle w:val="Referencingstyle"/>
        </w:rPr>
        <w:t>section 99</w:t>
      </w:r>
      <w:r w:rsidR="00305ACB">
        <w:rPr>
          <w:rStyle w:val="Referencingstyle"/>
        </w:rPr>
        <w:t>4</w:t>
      </w:r>
      <w:r w:rsidR="005A1648">
        <w:rPr>
          <w:rStyle w:val="Referencingstyle"/>
        </w:rPr>
        <w:t xml:space="preserve">D </w:t>
      </w:r>
      <w:r w:rsidR="005A1648" w:rsidRPr="00A24AD2">
        <w:rPr>
          <w:rStyle w:val="Referencingstyle"/>
        </w:rPr>
        <w:t>of</w:t>
      </w:r>
      <w:r w:rsidR="005A1648">
        <w:rPr>
          <w:rStyle w:val="Referencingstyle"/>
        </w:rPr>
        <w:t xml:space="preserve"> the Corporations</w:t>
      </w:r>
      <w:r w:rsidR="005A1648" w:rsidRPr="00A24AD2">
        <w:rPr>
          <w:rStyle w:val="Referencingstyle"/>
        </w:rPr>
        <w:t xml:space="preserve"> Act]</w:t>
      </w:r>
    </w:p>
    <w:p w14:paraId="1A4FDC95" w14:textId="77777777" w:rsidR="008E41B9" w:rsidRDefault="008E41B9" w:rsidP="008E41B9">
      <w:pPr>
        <w:pStyle w:val="base-text-paragraph"/>
      </w:pPr>
      <w:r>
        <w:t>This obligation promotes the effectiveness of the new regime. It ensures</w:t>
      </w:r>
      <w:r w:rsidRPr="008E41B9">
        <w:t xml:space="preserve"> the distribution of non-compliant products is minimised.</w:t>
      </w:r>
      <w:r>
        <w:t xml:space="preserve"> It also provides</w:t>
      </w:r>
      <w:r w:rsidR="00C662F5">
        <w:t xml:space="preserve"> an</w:t>
      </w:r>
      <w:r>
        <w:t xml:space="preserve"> additional incentive for issuers to comply w</w:t>
      </w:r>
      <w:r w:rsidR="00C662F5">
        <w:t>ith their obligation to make a</w:t>
      </w:r>
      <w:r>
        <w:t xml:space="preserve"> target market determination.</w:t>
      </w:r>
    </w:p>
    <w:p w14:paraId="532D6BAF" w14:textId="7B1C0A7F" w:rsidR="006969E6" w:rsidRDefault="00985F71" w:rsidP="005A1648">
      <w:pPr>
        <w:pStyle w:val="base-text-paragraph"/>
      </w:pPr>
      <w:r>
        <w:t>For the purposes of the obligation,</w:t>
      </w:r>
      <w:r w:rsidR="00562708">
        <w:t xml:space="preserve"> there is a defence</w:t>
      </w:r>
      <w:r>
        <w:t xml:space="preserve"> </w:t>
      </w:r>
      <w:r w:rsidR="000511C1">
        <w:t xml:space="preserve">if </w:t>
      </w:r>
      <w:r>
        <w:t>a</w:t>
      </w:r>
      <w:r w:rsidR="00495AE2">
        <w:t xml:space="preserve"> regulated person (</w:t>
      </w:r>
      <w:r>
        <w:t xml:space="preserve">except the issuer) </w:t>
      </w:r>
      <w:r w:rsidR="00562708">
        <w:t>makes</w:t>
      </w:r>
      <w:r w:rsidR="000511C1">
        <w:t xml:space="preserve"> all inquiries (if any) that </w:t>
      </w:r>
      <w:r w:rsidR="00562708">
        <w:t>are</w:t>
      </w:r>
      <w:r w:rsidR="000511C1">
        <w:t xml:space="preserve"> reasonable in the circumstances and believes on reasonable grounds that the determination has been</w:t>
      </w:r>
      <w:r w:rsidR="009A67E6">
        <w:t xml:space="preserve"> validly</w:t>
      </w:r>
      <w:r w:rsidR="000511C1">
        <w:t xml:space="preserve"> made or </w:t>
      </w:r>
      <w:r w:rsidR="001B2246">
        <w:t xml:space="preserve">that a determination </w:t>
      </w:r>
      <w:r w:rsidR="000511C1">
        <w:t>does not need to be made</w:t>
      </w:r>
      <w:r w:rsidR="00FD3896">
        <w:t xml:space="preserve">. </w:t>
      </w:r>
      <w:r w:rsidR="00681E49">
        <w:rPr>
          <w:rStyle w:val="Referencingstyle"/>
        </w:rPr>
        <w:t>[Schedule 1, item 5</w:t>
      </w:r>
      <w:r w:rsidR="00681E49" w:rsidRPr="00A24AD2">
        <w:rPr>
          <w:rStyle w:val="Referencingstyle"/>
        </w:rPr>
        <w:t xml:space="preserve">, </w:t>
      </w:r>
      <w:r w:rsidR="00681E49">
        <w:rPr>
          <w:rStyle w:val="Referencingstyle"/>
        </w:rPr>
        <w:t xml:space="preserve">paragraph 994D(c) </w:t>
      </w:r>
      <w:r w:rsidR="00681E49" w:rsidRPr="00A24AD2">
        <w:rPr>
          <w:rStyle w:val="Referencingstyle"/>
        </w:rPr>
        <w:t>of</w:t>
      </w:r>
      <w:r w:rsidR="00681E49">
        <w:rPr>
          <w:rStyle w:val="Referencingstyle"/>
        </w:rPr>
        <w:t xml:space="preserve"> the Corporations</w:t>
      </w:r>
      <w:r w:rsidR="00681E49" w:rsidRPr="00A24AD2">
        <w:rPr>
          <w:rStyle w:val="Referencingstyle"/>
        </w:rPr>
        <w:t xml:space="preserve"> Act]</w:t>
      </w:r>
    </w:p>
    <w:p w14:paraId="04CE0777" w14:textId="1F8F338B" w:rsidR="00985F71" w:rsidRPr="00155ABB" w:rsidRDefault="00FD3896" w:rsidP="005A1648">
      <w:pPr>
        <w:pStyle w:val="base-text-paragraph"/>
      </w:pPr>
      <w:r>
        <w:t xml:space="preserve">This </w:t>
      </w:r>
      <w:r w:rsidR="00F36061">
        <w:t>defence ensures</w:t>
      </w:r>
      <w:r>
        <w:t xml:space="preserve"> that a regulated person does not need to make undue inquiries </w:t>
      </w:r>
      <w:r w:rsidR="00A1504A">
        <w:t>as to whether or not</w:t>
      </w:r>
      <w:r>
        <w:t xml:space="preserve"> </w:t>
      </w:r>
      <w:r w:rsidR="00F36061">
        <w:t>an issuer</w:t>
      </w:r>
      <w:r w:rsidR="00A1504A">
        <w:t xml:space="preserve"> has complied</w:t>
      </w:r>
      <w:r w:rsidR="00F36061">
        <w:t xml:space="preserve"> with their</w:t>
      </w:r>
      <w:r w:rsidR="00A1504A">
        <w:t xml:space="preserve"> design obligation to make a target market determination</w:t>
      </w:r>
      <w:r w:rsidR="00F36061">
        <w:t>.</w:t>
      </w:r>
      <w:r w:rsidR="00A1504A">
        <w:t xml:space="preserve"> </w:t>
      </w:r>
      <w:r>
        <w:t>However, where reliance on a determination</w:t>
      </w:r>
      <w:r w:rsidR="001B6B75">
        <w:t xml:space="preserve"> (or lack thereof)</w:t>
      </w:r>
      <w:r>
        <w:t xml:space="preserve"> is not reasonable, for example, because it is not in writing or appears</w:t>
      </w:r>
      <w:r w:rsidR="00A82429">
        <w:t xml:space="preserve"> obviously</w:t>
      </w:r>
      <w:r>
        <w:t xml:space="preserve"> inappropriate, the regulated person must make </w:t>
      </w:r>
      <w:r w:rsidR="001B6B75">
        <w:t xml:space="preserve">further </w:t>
      </w:r>
      <w:r>
        <w:t>necessary inquiries or not distribute the product.</w:t>
      </w:r>
      <w:r w:rsidR="00CA5A5E">
        <w:t xml:space="preserve"> </w:t>
      </w:r>
    </w:p>
    <w:p w14:paraId="16EADD9A" w14:textId="77777777" w:rsidR="005F70EF" w:rsidRDefault="005F70EF" w:rsidP="005F70EF">
      <w:pPr>
        <w:pStyle w:val="Heading4"/>
      </w:pPr>
      <w:r>
        <w:t>Obligation not to distribute where target market determination may</w:t>
      </w:r>
      <w:r w:rsidR="003620BF">
        <w:t xml:space="preserve"> not</w:t>
      </w:r>
      <w:r>
        <w:t xml:space="preserve"> be appropriate</w:t>
      </w:r>
    </w:p>
    <w:p w14:paraId="4B441B5C" w14:textId="79182985" w:rsidR="00615CBE" w:rsidRDefault="003620BF" w:rsidP="006D697D">
      <w:pPr>
        <w:pStyle w:val="base-text-paragraph"/>
      </w:pPr>
      <w:r>
        <w:t>The second distri</w:t>
      </w:r>
      <w:r w:rsidR="006D697D">
        <w:t>bution</w:t>
      </w:r>
      <w:r>
        <w:t xml:space="preserve"> obligation is aimed at minimising the distribution of product</w:t>
      </w:r>
      <w:r w:rsidR="00615CBE">
        <w:t>s which</w:t>
      </w:r>
      <w:r w:rsidR="00752674">
        <w:t xml:space="preserve"> may</w:t>
      </w:r>
      <w:r w:rsidR="00615CBE">
        <w:t xml:space="preserve"> have inappropriate</w:t>
      </w:r>
      <w:r w:rsidR="006D697D">
        <w:t xml:space="preserve"> target market determinations.</w:t>
      </w:r>
      <w:r w:rsidR="00615CBE">
        <w:t xml:space="preserve"> For the purposes of the obligation, </w:t>
      </w:r>
      <w:r w:rsidR="00752674">
        <w:t xml:space="preserve">a target market determination may not be </w:t>
      </w:r>
      <w:r w:rsidR="00615CBE">
        <w:t>appropriate if: a review trigger has occurred</w:t>
      </w:r>
      <w:r w:rsidR="00752674">
        <w:t>; or, another event or circumstance has occurred that would reasonably suggest that the determination is no longer appropriate.</w:t>
      </w:r>
      <w:r w:rsidR="006D697D">
        <w:t xml:space="preserve"> </w:t>
      </w:r>
      <w:r w:rsidR="00752674">
        <w:rPr>
          <w:rStyle w:val="Referencingstyle"/>
        </w:rPr>
        <w:t xml:space="preserve">[Schedule 1, item </w:t>
      </w:r>
      <w:r w:rsidR="009853D2">
        <w:rPr>
          <w:rStyle w:val="Referencingstyle"/>
        </w:rPr>
        <w:t>5</w:t>
      </w:r>
      <w:r w:rsidR="00752674" w:rsidRPr="00A24AD2">
        <w:rPr>
          <w:rStyle w:val="Referencingstyle"/>
        </w:rPr>
        <w:t xml:space="preserve">, </w:t>
      </w:r>
      <w:r w:rsidR="00752674">
        <w:rPr>
          <w:rStyle w:val="Referencingstyle"/>
        </w:rPr>
        <w:t>subsection</w:t>
      </w:r>
      <w:r w:rsidR="009853D2">
        <w:rPr>
          <w:rStyle w:val="Referencingstyle"/>
        </w:rPr>
        <w:t>s</w:t>
      </w:r>
      <w:r w:rsidR="00752674">
        <w:rPr>
          <w:rStyle w:val="Referencingstyle"/>
        </w:rPr>
        <w:t> 99</w:t>
      </w:r>
      <w:r w:rsidR="009853D2">
        <w:rPr>
          <w:rStyle w:val="Referencingstyle"/>
        </w:rPr>
        <w:t>4</w:t>
      </w:r>
      <w:r w:rsidR="00752674">
        <w:rPr>
          <w:rStyle w:val="Referencingstyle"/>
        </w:rPr>
        <w:t>C(3)</w:t>
      </w:r>
      <w:r w:rsidR="009853D2">
        <w:rPr>
          <w:rStyle w:val="Referencingstyle"/>
        </w:rPr>
        <w:t xml:space="preserve"> and (4)</w:t>
      </w:r>
      <w:r w:rsidR="00752674">
        <w:rPr>
          <w:rStyle w:val="Referencingstyle"/>
        </w:rPr>
        <w:t xml:space="preserve"> </w:t>
      </w:r>
      <w:r w:rsidR="00752674" w:rsidRPr="00A24AD2">
        <w:rPr>
          <w:rStyle w:val="Referencingstyle"/>
        </w:rPr>
        <w:t>of</w:t>
      </w:r>
      <w:r w:rsidR="00752674">
        <w:rPr>
          <w:rStyle w:val="Referencingstyle"/>
        </w:rPr>
        <w:t xml:space="preserve"> the Corporations</w:t>
      </w:r>
      <w:r w:rsidR="00752674" w:rsidRPr="00A24AD2">
        <w:rPr>
          <w:rStyle w:val="Referencingstyle"/>
        </w:rPr>
        <w:t xml:space="preserve"> Act]</w:t>
      </w:r>
    </w:p>
    <w:p w14:paraId="0EDA7E07" w14:textId="77777777" w:rsidR="00370414" w:rsidRDefault="006D697D" w:rsidP="006D697D">
      <w:pPr>
        <w:pStyle w:val="base-text-paragraph"/>
      </w:pPr>
      <w:r>
        <w:t>To minimise th</w:t>
      </w:r>
      <w:r w:rsidR="00483A88">
        <w:t>e</w:t>
      </w:r>
      <w:r>
        <w:t xml:space="preserve"> risk</w:t>
      </w:r>
      <w:r w:rsidR="00615CBE">
        <w:t xml:space="preserve"> of distributing</w:t>
      </w:r>
      <w:r w:rsidR="00752674">
        <w:t xml:space="preserve"> a product in these circumstances</w:t>
      </w:r>
      <w:r w:rsidR="00A06B3A">
        <w:t>, the amendments implement a regime</w:t>
      </w:r>
      <w:r w:rsidR="00370414">
        <w:t xml:space="preserve"> with the following features:</w:t>
      </w:r>
    </w:p>
    <w:p w14:paraId="6F2191B4" w14:textId="6232CFE3" w:rsidR="00370414" w:rsidRDefault="00615CBE" w:rsidP="00370414">
      <w:pPr>
        <w:pStyle w:val="dotpoint"/>
      </w:pPr>
      <w:r>
        <w:t>I</w:t>
      </w:r>
      <w:r w:rsidR="00370414">
        <w:t xml:space="preserve">ssuers are prohibited </w:t>
      </w:r>
      <w:r w:rsidR="00871567">
        <w:t xml:space="preserve">from </w:t>
      </w:r>
      <w:r w:rsidR="00B142AA">
        <w:t>engaging in retail product</w:t>
      </w:r>
      <w:r w:rsidR="00D60011">
        <w:t xml:space="preserve"> distribution</w:t>
      </w:r>
      <w:r w:rsidR="00B142AA">
        <w:t xml:space="preserve"> conduct</w:t>
      </w:r>
      <w:r w:rsidR="00370414">
        <w:t xml:space="preserve"> until they have reviewed the determination and, if nece</w:t>
      </w:r>
      <w:r w:rsidR="007253F9">
        <w:t>ssary, made a new determination</w:t>
      </w:r>
      <w:r w:rsidR="00871567">
        <w:t>.</w:t>
      </w:r>
    </w:p>
    <w:p w14:paraId="75DFAB4F" w14:textId="43FC508B" w:rsidR="00A06B3A" w:rsidRDefault="00370414" w:rsidP="00370414">
      <w:pPr>
        <w:pStyle w:val="dotpoint"/>
      </w:pPr>
      <w:r>
        <w:t>Issuers must</w:t>
      </w:r>
      <w:r w:rsidR="001C6F60">
        <w:t>, as soon as practicable</w:t>
      </w:r>
      <w:r w:rsidR="00F34922">
        <w:t xml:space="preserve"> but</w:t>
      </w:r>
      <w:r w:rsidR="00F845AA">
        <w:t xml:space="preserve"> within</w:t>
      </w:r>
      <w:r w:rsidR="00F34922">
        <w:t xml:space="preserve"> 10 business days</w:t>
      </w:r>
      <w:r w:rsidR="001C6F60">
        <w:t>,</w:t>
      </w:r>
      <w:r w:rsidR="006E492C">
        <w:t xml:space="preserve"> take</w:t>
      </w:r>
      <w:r w:rsidR="00C81FBD">
        <w:t xml:space="preserve"> </w:t>
      </w:r>
      <w:r w:rsidR="006E492C">
        <w:t>reasona</w:t>
      </w:r>
      <w:r w:rsidR="00A06B3A">
        <w:t>ble steps to ensure regulated persons</w:t>
      </w:r>
      <w:r w:rsidR="006E492C">
        <w:t xml:space="preserve"> are </w:t>
      </w:r>
      <w:r w:rsidR="00C81FBD">
        <w:t xml:space="preserve">informed </w:t>
      </w:r>
      <w:r w:rsidR="006E492C">
        <w:t>not to</w:t>
      </w:r>
      <w:r w:rsidR="00EC5AE4">
        <w:t xml:space="preserve"> </w:t>
      </w:r>
      <w:r w:rsidR="00C81FBD">
        <w:t>engage in retail product distribution conduct in relation</w:t>
      </w:r>
      <w:r w:rsidR="00CE479F">
        <w:t xml:space="preserve"> to the product unless </w:t>
      </w:r>
      <w:r w:rsidR="00421635">
        <w:t xml:space="preserve">the issuer has reviewed the </w:t>
      </w:r>
      <w:r w:rsidR="00CE479F">
        <w:t xml:space="preserve"> determination and, if necessary, made a new determination</w:t>
      </w:r>
      <w:r w:rsidR="00871567">
        <w:t>.</w:t>
      </w:r>
    </w:p>
    <w:p w14:paraId="6728A167" w14:textId="7ABEF814" w:rsidR="00A06B3A" w:rsidRDefault="009C2009" w:rsidP="00155ABB">
      <w:pPr>
        <w:pStyle w:val="dotpoint"/>
      </w:pPr>
      <w:r>
        <w:t xml:space="preserve"> </w:t>
      </w:r>
      <w:r w:rsidR="00A06B3A">
        <w:t xml:space="preserve">A regulated person must </w:t>
      </w:r>
      <w:r w:rsidR="001E289E">
        <w:t>not engage in retail product distribution conduct when such steps have been taken by the issuer unless, after making all inquiries (if any) that are reasonable in the circumstances</w:t>
      </w:r>
      <w:r w:rsidR="006B341F">
        <w:t>, the person believes on reasonable grounds the determination has been review</w:t>
      </w:r>
      <w:r w:rsidR="00D60011">
        <w:t>ed</w:t>
      </w:r>
      <w:r w:rsidR="006B341F">
        <w:t xml:space="preserve"> and remade (if necessary)</w:t>
      </w:r>
      <w:r w:rsidR="00A06B3A">
        <w:t xml:space="preserve">. </w:t>
      </w:r>
      <w:r w:rsidR="00A06B3A">
        <w:rPr>
          <w:rStyle w:val="Referencingstyle"/>
        </w:rPr>
        <w:t xml:space="preserve">[Schedule 1, item </w:t>
      </w:r>
      <w:r w:rsidR="00B54DA8">
        <w:rPr>
          <w:rStyle w:val="Referencingstyle"/>
        </w:rPr>
        <w:t>5</w:t>
      </w:r>
      <w:r w:rsidR="00A06B3A" w:rsidRPr="00A24AD2">
        <w:rPr>
          <w:rStyle w:val="Referencingstyle"/>
        </w:rPr>
        <w:t xml:space="preserve">, </w:t>
      </w:r>
      <w:r w:rsidR="00A06B3A">
        <w:rPr>
          <w:rStyle w:val="Referencingstyle"/>
        </w:rPr>
        <w:t>subsection</w:t>
      </w:r>
      <w:r w:rsidR="00B54DA8">
        <w:rPr>
          <w:rStyle w:val="Referencingstyle"/>
        </w:rPr>
        <w:t>s</w:t>
      </w:r>
      <w:r w:rsidR="00A06B3A">
        <w:rPr>
          <w:rStyle w:val="Referencingstyle"/>
        </w:rPr>
        <w:t> 99</w:t>
      </w:r>
      <w:r w:rsidR="00B54DA8">
        <w:rPr>
          <w:rStyle w:val="Referencingstyle"/>
        </w:rPr>
        <w:t>4</w:t>
      </w:r>
      <w:r w:rsidR="00A06B3A">
        <w:rPr>
          <w:rStyle w:val="Referencingstyle"/>
        </w:rPr>
        <w:t>C(</w:t>
      </w:r>
      <w:r w:rsidR="00B54DA8">
        <w:rPr>
          <w:rStyle w:val="Referencingstyle"/>
        </w:rPr>
        <w:t>3</w:t>
      </w:r>
      <w:r w:rsidR="00A06B3A">
        <w:rPr>
          <w:rStyle w:val="Referencingstyle"/>
        </w:rPr>
        <w:t>),</w:t>
      </w:r>
      <w:r w:rsidR="00A06B3A" w:rsidRPr="00A06B3A">
        <w:rPr>
          <w:rStyle w:val="Referencingstyle"/>
        </w:rPr>
        <w:t xml:space="preserve"> </w:t>
      </w:r>
      <w:r w:rsidR="00A06B3A">
        <w:rPr>
          <w:rStyle w:val="Referencingstyle"/>
        </w:rPr>
        <w:t>99</w:t>
      </w:r>
      <w:r w:rsidR="00B54DA8">
        <w:rPr>
          <w:rStyle w:val="Referencingstyle"/>
        </w:rPr>
        <w:t>4</w:t>
      </w:r>
      <w:r w:rsidR="00A06B3A">
        <w:rPr>
          <w:rStyle w:val="Referencingstyle"/>
        </w:rPr>
        <w:t>C(</w:t>
      </w:r>
      <w:r w:rsidR="00B54DA8">
        <w:rPr>
          <w:rStyle w:val="Referencingstyle"/>
        </w:rPr>
        <w:t>4</w:t>
      </w:r>
      <w:r w:rsidR="00A06B3A">
        <w:rPr>
          <w:rStyle w:val="Referencingstyle"/>
        </w:rPr>
        <w:t>)</w:t>
      </w:r>
      <w:r w:rsidR="00994248">
        <w:rPr>
          <w:rStyle w:val="Referencingstyle"/>
        </w:rPr>
        <w:t xml:space="preserve">, 994C(5), </w:t>
      </w:r>
      <w:r w:rsidR="00A06B3A">
        <w:rPr>
          <w:rStyle w:val="Referencingstyle"/>
        </w:rPr>
        <w:t>99</w:t>
      </w:r>
      <w:r w:rsidR="00B54DA8">
        <w:rPr>
          <w:rStyle w:val="Referencingstyle"/>
        </w:rPr>
        <w:t>4</w:t>
      </w:r>
      <w:r w:rsidR="00A06B3A">
        <w:rPr>
          <w:rStyle w:val="Referencingstyle"/>
        </w:rPr>
        <w:t>C(</w:t>
      </w:r>
      <w:r w:rsidR="00B54DA8">
        <w:rPr>
          <w:rStyle w:val="Referencingstyle"/>
        </w:rPr>
        <w:t>6</w:t>
      </w:r>
      <w:r w:rsidR="00A06B3A">
        <w:rPr>
          <w:rStyle w:val="Referencingstyle"/>
        </w:rPr>
        <w:t>)</w:t>
      </w:r>
      <w:r w:rsidR="00B54DA8">
        <w:rPr>
          <w:rStyle w:val="Referencingstyle"/>
        </w:rPr>
        <w:t xml:space="preserve"> and 994C(7)</w:t>
      </w:r>
      <w:r w:rsidR="00A06B3A">
        <w:rPr>
          <w:rStyle w:val="Referencingstyle"/>
        </w:rPr>
        <w:t xml:space="preserve"> </w:t>
      </w:r>
      <w:r w:rsidR="00A06B3A" w:rsidRPr="00A24AD2">
        <w:rPr>
          <w:rStyle w:val="Referencingstyle"/>
        </w:rPr>
        <w:t>of</w:t>
      </w:r>
      <w:r w:rsidR="00A06B3A">
        <w:rPr>
          <w:rStyle w:val="Referencingstyle"/>
        </w:rPr>
        <w:t xml:space="preserve"> the Corporations</w:t>
      </w:r>
      <w:r w:rsidR="00A06B3A" w:rsidRPr="00A24AD2">
        <w:rPr>
          <w:rStyle w:val="Referencingstyle"/>
        </w:rPr>
        <w:t xml:space="preserve"> Act]</w:t>
      </w:r>
    </w:p>
    <w:p w14:paraId="1CC4D937" w14:textId="48FA86E0" w:rsidR="008E03F8" w:rsidRDefault="008E03F8" w:rsidP="00A06B3A">
      <w:pPr>
        <w:pStyle w:val="Heading4"/>
      </w:pPr>
      <w:r>
        <w:t xml:space="preserve">Obligation to take reasonable steps </w:t>
      </w:r>
      <w:r w:rsidR="008722B1">
        <w:t>so that distribution</w:t>
      </w:r>
      <w:r w:rsidR="00DC08CF">
        <w:t xml:space="preserve"> is consistent </w:t>
      </w:r>
      <w:r w:rsidR="0003279E">
        <w:t xml:space="preserve">with </w:t>
      </w:r>
      <w:r w:rsidR="00DC08CF">
        <w:t>the</w:t>
      </w:r>
      <w:r>
        <w:t xml:space="preserve"> target market determination</w:t>
      </w:r>
    </w:p>
    <w:p w14:paraId="6A0C8F6F" w14:textId="4E1516D1" w:rsidR="00F07B6D" w:rsidRDefault="001609EF" w:rsidP="001609EF">
      <w:pPr>
        <w:pStyle w:val="base-text-paragraph"/>
      </w:pPr>
      <w:r>
        <w:t>The third</w:t>
      </w:r>
      <w:r w:rsidR="00D8423B">
        <w:t xml:space="preserve"> distribution</w:t>
      </w:r>
      <w:r w:rsidRPr="001A5EC9">
        <w:t xml:space="preserve"> obligation require</w:t>
      </w:r>
      <w:r w:rsidR="00C815E3">
        <w:t>s</w:t>
      </w:r>
      <w:r w:rsidR="00F07B6D">
        <w:t>:</w:t>
      </w:r>
    </w:p>
    <w:p w14:paraId="103BA8F3" w14:textId="1F279F13" w:rsidR="00F07B6D" w:rsidRDefault="00941FCB" w:rsidP="00155ABB">
      <w:pPr>
        <w:pStyle w:val="dotpoint"/>
      </w:pPr>
      <w:r>
        <w:t xml:space="preserve">issuers to </w:t>
      </w:r>
      <w:r w:rsidR="004C4E2D">
        <w:t xml:space="preserve">take reasonable steps aimed at </w:t>
      </w:r>
      <w:r w:rsidR="00DC08CF">
        <w:t xml:space="preserve">making </w:t>
      </w:r>
      <w:r w:rsidR="00BE6252">
        <w:t>retail product distribution conduct</w:t>
      </w:r>
      <w:r>
        <w:t xml:space="preserve"> co</w:t>
      </w:r>
      <w:r w:rsidR="00C815E3">
        <w:t>nsistent with the target market</w:t>
      </w:r>
      <w:r>
        <w:t>; and</w:t>
      </w:r>
      <w:r w:rsidR="0009618D">
        <w:t>,</w:t>
      </w:r>
    </w:p>
    <w:p w14:paraId="28E6C752" w14:textId="523EB78E" w:rsidR="00941FCB" w:rsidRDefault="001609EF" w:rsidP="00155ABB">
      <w:pPr>
        <w:pStyle w:val="dotpoint"/>
      </w:pPr>
      <w:r>
        <w:t>regulated persons to take reasonabl</w:t>
      </w:r>
      <w:r w:rsidR="00871567">
        <w:t>e</w:t>
      </w:r>
      <w:r>
        <w:t xml:space="preserve"> steps to distribute a product in accordance with its target market determination. </w:t>
      </w:r>
      <w:r w:rsidR="005D3FE6">
        <w:rPr>
          <w:rStyle w:val="Referencingstyle"/>
        </w:rPr>
        <w:t>[Schedule 1, item 5</w:t>
      </w:r>
      <w:r w:rsidR="005D3FE6" w:rsidRPr="00A24AD2">
        <w:rPr>
          <w:rStyle w:val="Referencingstyle"/>
        </w:rPr>
        <w:t xml:space="preserve">, </w:t>
      </w:r>
      <w:r w:rsidR="005D3FE6">
        <w:rPr>
          <w:rStyle w:val="Referencingstyle"/>
        </w:rPr>
        <w:t xml:space="preserve">section 994E </w:t>
      </w:r>
      <w:r w:rsidR="005D3FE6" w:rsidRPr="00A24AD2">
        <w:rPr>
          <w:rStyle w:val="Referencingstyle"/>
        </w:rPr>
        <w:t>of</w:t>
      </w:r>
      <w:r w:rsidR="005D3FE6">
        <w:rPr>
          <w:rStyle w:val="Referencingstyle"/>
        </w:rPr>
        <w:t xml:space="preserve"> the Corporations</w:t>
      </w:r>
      <w:r w:rsidR="005D3FE6" w:rsidRPr="00A24AD2">
        <w:rPr>
          <w:rStyle w:val="Referencingstyle"/>
        </w:rPr>
        <w:t xml:space="preserve"> Act]</w:t>
      </w:r>
    </w:p>
    <w:p w14:paraId="76A4FEDA" w14:textId="2ECE68C1" w:rsidR="00F024C0" w:rsidRDefault="002B380B" w:rsidP="001609EF">
      <w:pPr>
        <w:pStyle w:val="base-text-paragraph"/>
      </w:pPr>
      <w:r>
        <w:t xml:space="preserve">The </w:t>
      </w:r>
      <w:r w:rsidR="00D4785E">
        <w:t>first requirement focuses on the interaction between the issuer of a product and</w:t>
      </w:r>
      <w:r w:rsidR="00ED1CD7">
        <w:t xml:space="preserve"> the</w:t>
      </w:r>
      <w:r w:rsidR="00D4785E">
        <w:t xml:space="preserve"> distributors of that product.</w:t>
      </w:r>
      <w:r w:rsidR="007A44FF">
        <w:t xml:space="preserve"> </w:t>
      </w:r>
      <w:r w:rsidR="00D4785E">
        <w:t>In particular, an</w:t>
      </w:r>
      <w:r w:rsidR="007A44FF">
        <w:t xml:space="preserve"> issuer must take reasonable steps that will, or are reasonably likely to, result in retail product distribution conduct in relation to the product being consisten</w:t>
      </w:r>
      <w:r w:rsidR="00F024C0">
        <w:t>t with the</w:t>
      </w:r>
      <w:r w:rsidR="00D4785E">
        <w:t xml:space="preserve"> product’s target market</w:t>
      </w:r>
      <w:r w:rsidR="00F024C0">
        <w:t xml:space="preserve"> determination. It</w:t>
      </w:r>
      <w:r w:rsidR="007A44FF">
        <w:t xml:space="preserve"> </w:t>
      </w:r>
      <w:r w:rsidR="00785FAF">
        <w:t>involves the issuer taking reasonable steps directed a</w:t>
      </w:r>
      <w:r w:rsidR="00F024C0">
        <w:t>t any</w:t>
      </w:r>
      <w:r w:rsidR="00785FAF">
        <w:t xml:space="preserve"> retail product distribution conduct </w:t>
      </w:r>
      <w:r w:rsidR="00D4785E">
        <w:t>engaged in by themselves or any</w:t>
      </w:r>
      <w:r w:rsidR="00785FAF">
        <w:t xml:space="preserve"> </w:t>
      </w:r>
      <w:r w:rsidR="00D4785E">
        <w:t>another</w:t>
      </w:r>
      <w:r w:rsidR="00785FAF">
        <w:t xml:space="preserve"> distributor. </w:t>
      </w:r>
      <w:r w:rsidR="005D3FE6">
        <w:rPr>
          <w:rStyle w:val="Referencingstyle"/>
        </w:rPr>
        <w:t>[Schedule 1, item 5</w:t>
      </w:r>
      <w:r w:rsidR="005D3FE6" w:rsidRPr="00A24AD2">
        <w:rPr>
          <w:rStyle w:val="Referencingstyle"/>
        </w:rPr>
        <w:t xml:space="preserve">, </w:t>
      </w:r>
      <w:r w:rsidR="005D3FE6">
        <w:rPr>
          <w:rStyle w:val="Referencingstyle"/>
        </w:rPr>
        <w:t xml:space="preserve">subsection 994E(1) </w:t>
      </w:r>
      <w:r w:rsidR="005D3FE6" w:rsidRPr="00A24AD2">
        <w:rPr>
          <w:rStyle w:val="Referencingstyle"/>
        </w:rPr>
        <w:t>of</w:t>
      </w:r>
      <w:r w:rsidR="005D3FE6">
        <w:rPr>
          <w:rStyle w:val="Referencingstyle"/>
        </w:rPr>
        <w:t xml:space="preserve"> the Corporations</w:t>
      </w:r>
      <w:r w:rsidR="005D3FE6" w:rsidRPr="00A24AD2">
        <w:rPr>
          <w:rStyle w:val="Referencingstyle"/>
        </w:rPr>
        <w:t xml:space="preserve"> Act]</w:t>
      </w:r>
    </w:p>
    <w:p w14:paraId="46CDE2EE" w14:textId="7B44F029" w:rsidR="001609EF" w:rsidRPr="00734727" w:rsidRDefault="003A0261" w:rsidP="00734727">
      <w:pPr>
        <w:pStyle w:val="base-text-paragraph"/>
        <w:rPr>
          <w:rStyle w:val="Referencingstyle"/>
          <w:b w:val="0"/>
          <w:i w:val="0"/>
          <w:sz w:val="22"/>
        </w:rPr>
      </w:pPr>
      <w:r>
        <w:t xml:space="preserve">The second requirement </w:t>
      </w:r>
      <w:r w:rsidR="00734727">
        <w:t>is directed at</w:t>
      </w:r>
      <w:r w:rsidR="00ED1CD7">
        <w:t xml:space="preserve"> interactions between</w:t>
      </w:r>
      <w:r w:rsidR="00734727">
        <w:t xml:space="preserve"> </w:t>
      </w:r>
      <w:r w:rsidR="002B380B">
        <w:t>distribu</w:t>
      </w:r>
      <w:r w:rsidR="009F559F">
        <w:t>tors of</w:t>
      </w:r>
      <w:r w:rsidR="00734727">
        <w:t xml:space="preserve"> </w:t>
      </w:r>
      <w:r w:rsidR="009F559F">
        <w:t>financial product</w:t>
      </w:r>
      <w:r w:rsidR="00734727">
        <w:t>s</w:t>
      </w:r>
      <w:r w:rsidR="00ED1CD7">
        <w:t xml:space="preserve"> and their clients</w:t>
      </w:r>
      <w:r w:rsidR="009F559F">
        <w:t>.</w:t>
      </w:r>
      <w:r w:rsidR="00734727">
        <w:t xml:space="preserve"> It provides that</w:t>
      </w:r>
      <w:r w:rsidR="009F559F">
        <w:t xml:space="preserve"> </w:t>
      </w:r>
      <w:r w:rsidR="001609EF">
        <w:t>a regulated person</w:t>
      </w:r>
      <w:r w:rsidR="00734727">
        <w:t xml:space="preserve"> must</w:t>
      </w:r>
      <w:r w:rsidR="00960DCD">
        <w:t xml:space="preserve"> take</w:t>
      </w:r>
      <w:r w:rsidR="00734727">
        <w:t xml:space="preserve"> </w:t>
      </w:r>
      <w:r w:rsidR="00960DCD">
        <w:t xml:space="preserve">reasonable steps </w:t>
      </w:r>
      <w:r w:rsidR="001609EF">
        <w:t xml:space="preserve">that </w:t>
      </w:r>
      <w:r w:rsidR="009532CC">
        <w:t xml:space="preserve">would result in, or would be reasonably likely to result in, retail product distribution conduct that they engage in being </w:t>
      </w:r>
      <w:r w:rsidR="001609EF">
        <w:t>consistent with</w:t>
      </w:r>
      <w:r w:rsidR="00F01309">
        <w:t xml:space="preserve"> the</w:t>
      </w:r>
      <w:r w:rsidR="001609EF">
        <w:t xml:space="preserve"> </w:t>
      </w:r>
      <w:r w:rsidR="00696F41">
        <w:t xml:space="preserve">target market </w:t>
      </w:r>
      <w:r w:rsidR="001609EF">
        <w:t>determination.</w:t>
      </w:r>
      <w:r w:rsidR="0067306C">
        <w:t xml:space="preserve"> As noted above, retail product distribution conduct, in essence, </w:t>
      </w:r>
      <w:r w:rsidR="00F9155F">
        <w:t>consists of</w:t>
      </w:r>
      <w:r w:rsidR="007642ED">
        <w:t xml:space="preserve"> the</w:t>
      </w:r>
      <w:r w:rsidR="0067306C">
        <w:t xml:space="preserve"> distributor’s interaction</w:t>
      </w:r>
      <w:r w:rsidR="00A52B86">
        <w:t>s</w:t>
      </w:r>
      <w:r w:rsidR="0067306C">
        <w:t xml:space="preserve"> with their clients</w:t>
      </w:r>
      <w:r w:rsidR="00A52B86">
        <w:t xml:space="preserve"> with respect to </w:t>
      </w:r>
      <w:r w:rsidR="00F9155F">
        <w:t>the relevant</w:t>
      </w:r>
      <w:r w:rsidR="00A52B86">
        <w:t xml:space="preserve"> product</w:t>
      </w:r>
      <w:r w:rsidR="0067306C">
        <w:t>.</w:t>
      </w:r>
      <w:r w:rsidR="001609EF">
        <w:t xml:space="preserve"> </w:t>
      </w:r>
      <w:r w:rsidR="005D3FE6">
        <w:rPr>
          <w:rStyle w:val="Referencingstyle"/>
        </w:rPr>
        <w:t>[Schedule 1, item 5</w:t>
      </w:r>
      <w:r w:rsidR="005D3FE6" w:rsidRPr="00A24AD2">
        <w:rPr>
          <w:rStyle w:val="Referencingstyle"/>
        </w:rPr>
        <w:t xml:space="preserve">, </w:t>
      </w:r>
      <w:r w:rsidR="005D3FE6">
        <w:rPr>
          <w:rStyle w:val="Referencingstyle"/>
        </w:rPr>
        <w:t xml:space="preserve">subsection 994E(3) </w:t>
      </w:r>
      <w:r w:rsidR="005D3FE6" w:rsidRPr="00A24AD2">
        <w:rPr>
          <w:rStyle w:val="Referencingstyle"/>
        </w:rPr>
        <w:t>of</w:t>
      </w:r>
      <w:r w:rsidR="005D3FE6">
        <w:rPr>
          <w:rStyle w:val="Referencingstyle"/>
        </w:rPr>
        <w:t xml:space="preserve"> the Corporations</w:t>
      </w:r>
      <w:r w:rsidR="005D3FE6" w:rsidRPr="00A24AD2">
        <w:rPr>
          <w:rStyle w:val="Referencingstyle"/>
        </w:rPr>
        <w:t xml:space="preserve"> Act]</w:t>
      </w:r>
    </w:p>
    <w:p w14:paraId="63879708" w14:textId="2BC41B32" w:rsidR="002D398E" w:rsidRDefault="002D398E" w:rsidP="005C5CE9">
      <w:pPr>
        <w:pStyle w:val="base-text-paragraph"/>
      </w:pPr>
      <w:r>
        <w:t xml:space="preserve">The </w:t>
      </w:r>
      <w:r w:rsidR="00871567">
        <w:t>new law uses</w:t>
      </w:r>
      <w:r>
        <w:t xml:space="preserve"> a risk management approach to determine what satisfies the requirement</w:t>
      </w:r>
      <w:r w:rsidR="00351743">
        <w:t xml:space="preserve"> of</w:t>
      </w:r>
      <w:r>
        <w:t xml:space="preserve"> </w:t>
      </w:r>
      <w:r w:rsidR="0044325E">
        <w:t>‘reasonable steps’ for the purposes</w:t>
      </w:r>
      <w:r>
        <w:t xml:space="preserve"> of the obligation</w:t>
      </w:r>
      <w:r w:rsidR="0044325E">
        <w:t>.</w:t>
      </w:r>
      <w:r w:rsidR="00871567">
        <w:t xml:space="preserve"> ‘R</w:t>
      </w:r>
      <w:r>
        <w:t>easonable steps</w:t>
      </w:r>
      <w:r w:rsidR="00871567">
        <w:t>’</w:t>
      </w:r>
      <w:r>
        <w:t xml:space="preserve"> means steps that are, in the circumstances, reasonably able to be taken </w:t>
      </w:r>
      <w:r w:rsidR="0008772F">
        <w:t>so</w:t>
      </w:r>
      <w:r>
        <w:t xml:space="preserve"> that </w:t>
      </w:r>
      <w:r w:rsidR="0008772F">
        <w:t>retail product distribution conduct is consistent</w:t>
      </w:r>
      <w:r>
        <w:t xml:space="preserve"> with its target market determination. In making this assessment, </w:t>
      </w:r>
      <w:r w:rsidR="007642ED">
        <w:t xml:space="preserve">issuers and </w:t>
      </w:r>
      <w:r>
        <w:t>distributors</w:t>
      </w:r>
      <w:r w:rsidR="007642ED">
        <w:t xml:space="preserve"> (as the case may be)</w:t>
      </w:r>
      <w:r>
        <w:t xml:space="preserve"> are to take into account all relevant matters</w:t>
      </w:r>
      <w:r w:rsidR="00871567">
        <w:t>,</w:t>
      </w:r>
      <w:r>
        <w:t xml:space="preserve"> including: </w:t>
      </w:r>
    </w:p>
    <w:p w14:paraId="63B9EE30" w14:textId="77777777" w:rsidR="002D398E" w:rsidRDefault="002D398E" w:rsidP="002D398E">
      <w:pPr>
        <w:pStyle w:val="dotpoint"/>
      </w:pPr>
      <w:r>
        <w:t>the likelihood of their dealings or advice resulting in a person acquiring a product otherwise than in accordance with its target market determination</w:t>
      </w:r>
      <w:r w:rsidR="00D902E9">
        <w:t xml:space="preserve"> (that is, the likelihood of the risk)</w:t>
      </w:r>
      <w:r>
        <w:t>;</w:t>
      </w:r>
    </w:p>
    <w:p w14:paraId="6EF390EF" w14:textId="77777777" w:rsidR="002D398E" w:rsidRDefault="002D398E" w:rsidP="002D398E">
      <w:pPr>
        <w:pStyle w:val="dotpoint"/>
      </w:pPr>
      <w:r>
        <w:t>the nature and degree of harm that might result from the product being issued otherwise than in accordance with</w:t>
      </w:r>
      <w:r w:rsidR="00D902E9">
        <w:t xml:space="preserve"> the determination (that is, the consequence of the risk);</w:t>
      </w:r>
    </w:p>
    <w:p w14:paraId="110C1770" w14:textId="77777777" w:rsidR="002D398E" w:rsidRDefault="002D398E" w:rsidP="00D902E9">
      <w:pPr>
        <w:pStyle w:val="dotpoint"/>
      </w:pPr>
      <w:r>
        <w:t>the availability and suitability of ways to eliminate or minimise</w:t>
      </w:r>
      <w:r w:rsidR="00D902E9">
        <w:t xml:space="preserve"> the likel</w:t>
      </w:r>
      <w:r w:rsidR="002A3C44">
        <w:t>ihood and the harm (that is, the extent to which the risk may practicably be mitigated)</w:t>
      </w:r>
      <w:r w:rsidR="00960DCD">
        <w:t>; and</w:t>
      </w:r>
    </w:p>
    <w:p w14:paraId="17EBEBD9" w14:textId="5672276C" w:rsidR="00960DCD" w:rsidRDefault="00960DCD" w:rsidP="00960DCD">
      <w:pPr>
        <w:pStyle w:val="dotpoint"/>
      </w:pPr>
      <w:r>
        <w:t>what the responsible person knows, or ought reasonably to know, about the matters referred to above (that is, the responsible person</w:t>
      </w:r>
      <w:r w:rsidR="00846684">
        <w:t>’</w:t>
      </w:r>
      <w:r>
        <w:t>s understanding of the risk and ways to mitigate it).</w:t>
      </w:r>
      <w:r w:rsidR="002B17C5">
        <w:t xml:space="preserve"> </w:t>
      </w:r>
      <w:r w:rsidR="002B17C5">
        <w:rPr>
          <w:rStyle w:val="Referencingstyle"/>
        </w:rPr>
        <w:t xml:space="preserve">[Schedule 1, item </w:t>
      </w:r>
      <w:r w:rsidR="00B05168">
        <w:rPr>
          <w:rStyle w:val="Referencingstyle"/>
        </w:rPr>
        <w:t>5</w:t>
      </w:r>
      <w:r w:rsidR="002B17C5" w:rsidRPr="00A24AD2">
        <w:rPr>
          <w:rStyle w:val="Referencingstyle"/>
        </w:rPr>
        <w:t xml:space="preserve">, </w:t>
      </w:r>
      <w:r w:rsidR="002B17C5">
        <w:rPr>
          <w:rStyle w:val="Referencingstyle"/>
        </w:rPr>
        <w:t>subsection 99</w:t>
      </w:r>
      <w:r w:rsidR="00B05168">
        <w:rPr>
          <w:rStyle w:val="Referencingstyle"/>
        </w:rPr>
        <w:t>4</w:t>
      </w:r>
      <w:r w:rsidR="002B17C5">
        <w:rPr>
          <w:rStyle w:val="Referencingstyle"/>
        </w:rPr>
        <w:t>E(</w:t>
      </w:r>
      <w:r w:rsidR="00B05168">
        <w:rPr>
          <w:rStyle w:val="Referencingstyle"/>
        </w:rPr>
        <w:t>5</w:t>
      </w:r>
      <w:r w:rsidR="002B17C5">
        <w:rPr>
          <w:rStyle w:val="Referencingstyle"/>
        </w:rPr>
        <w:t xml:space="preserve">) </w:t>
      </w:r>
      <w:r w:rsidR="002B17C5" w:rsidRPr="00A24AD2">
        <w:rPr>
          <w:rStyle w:val="Referencingstyle"/>
        </w:rPr>
        <w:t>of</w:t>
      </w:r>
      <w:r w:rsidR="002B17C5">
        <w:rPr>
          <w:rStyle w:val="Referencingstyle"/>
        </w:rPr>
        <w:t xml:space="preserve"> the Corporations</w:t>
      </w:r>
      <w:r w:rsidR="002B17C5" w:rsidRPr="00A24AD2">
        <w:rPr>
          <w:rStyle w:val="Referencingstyle"/>
        </w:rPr>
        <w:t xml:space="preserve"> Act]</w:t>
      </w:r>
    </w:p>
    <w:p w14:paraId="47A077C7" w14:textId="5B265013" w:rsidR="00F109E8" w:rsidRDefault="00CF42B2" w:rsidP="00CF42B2">
      <w:pPr>
        <w:pStyle w:val="base-text-paragraph"/>
      </w:pPr>
      <w:r>
        <w:t xml:space="preserve">A risk </w:t>
      </w:r>
      <w:r w:rsidRPr="00CF42B2">
        <w:t>management</w:t>
      </w:r>
      <w:r>
        <w:t xml:space="preserve"> </w:t>
      </w:r>
      <w:r w:rsidR="00FD4456">
        <w:t>approach</w:t>
      </w:r>
      <w:r>
        <w:t xml:space="preserve"> </w:t>
      </w:r>
      <w:r w:rsidR="00FD4456">
        <w:t>ensures the obligation is scalable according</w:t>
      </w:r>
      <w:r w:rsidR="00960DCD">
        <w:t xml:space="preserve"> to the</w:t>
      </w:r>
      <w:r>
        <w:t xml:space="preserve"> </w:t>
      </w:r>
      <w:r w:rsidR="00960DCD">
        <w:t>risk associated with</w:t>
      </w:r>
      <w:r w:rsidR="00C0099F">
        <w:t xml:space="preserve"> an </w:t>
      </w:r>
      <w:r w:rsidR="00FD4456">
        <w:t>inappropriate distribution of a</w:t>
      </w:r>
      <w:r w:rsidR="00960DCD">
        <w:t xml:space="preserve"> product</w:t>
      </w:r>
      <w:r>
        <w:t xml:space="preserve"> and the practicability of mitigating the</w:t>
      </w:r>
      <w:r w:rsidR="00FD4456">
        <w:t xml:space="preserve"> risk. </w:t>
      </w:r>
      <w:r w:rsidR="00B12556">
        <w:t xml:space="preserve">For example, </w:t>
      </w:r>
      <w:r w:rsidR="007F2A8A">
        <w:t xml:space="preserve">where </w:t>
      </w:r>
      <w:r w:rsidR="00AA6B0A">
        <w:t>a</w:t>
      </w:r>
      <w:r w:rsidR="007F2A8A">
        <w:t xml:space="preserve"> distributor</w:t>
      </w:r>
      <w:r w:rsidR="00AA6B0A">
        <w:t>’s</w:t>
      </w:r>
      <w:r w:rsidR="007F2A8A">
        <w:t xml:space="preserve"> </w:t>
      </w:r>
      <w:r w:rsidR="00AA6B0A">
        <w:t xml:space="preserve">previous conduct indicates that they may be at higher risk of engaging in conduct that is not consistent with the target market </w:t>
      </w:r>
      <w:r w:rsidR="00ED646E">
        <w:t>determination</w:t>
      </w:r>
      <w:r w:rsidR="007F2A8A">
        <w:t>,</w:t>
      </w:r>
      <w:r w:rsidR="00ED646E">
        <w:t xml:space="preserve"> issuers will need to take reasonable steps to address the risk.</w:t>
      </w:r>
      <w:r w:rsidR="00AA6B0A">
        <w:t xml:space="preserve"> </w:t>
      </w:r>
      <w:r w:rsidR="00ED646E">
        <w:t>This could include</w:t>
      </w:r>
      <w:r w:rsidR="00F25407">
        <w:t>:</w:t>
      </w:r>
      <w:r w:rsidR="00ED646E">
        <w:t xml:space="preserve"> putting in place systems and processes to more closely monitor the particular distribut</w:t>
      </w:r>
      <w:r w:rsidR="00F25407">
        <w:t>or;</w:t>
      </w:r>
      <w:r w:rsidR="00ED646E">
        <w:t xml:space="preserve"> advising the distributor of the concerns and potential </w:t>
      </w:r>
      <w:r w:rsidR="00F25407">
        <w:t>ways of addressing them; or, in extreme cases, ceasing to distribute the product through the distributor</w:t>
      </w:r>
      <w:r w:rsidR="00C0099F">
        <w:t xml:space="preserve"> where doing so is possible</w:t>
      </w:r>
      <w:r w:rsidR="00F25407">
        <w:t xml:space="preserve">. </w:t>
      </w:r>
      <w:r w:rsidR="007F2A8A">
        <w:t>Other relevant factors include the complexity and risk profile of the product</w:t>
      </w:r>
      <w:r>
        <w:t xml:space="preserve">. However, what constitutes ‘reasonable steps’ will ultimately depend upon the circumstances of each case. </w:t>
      </w:r>
    </w:p>
    <w:p w14:paraId="50C3943C" w14:textId="409CE0B5" w:rsidR="00CF42B2" w:rsidRDefault="001363AA" w:rsidP="00CF42B2">
      <w:pPr>
        <w:pStyle w:val="base-text-paragraph"/>
      </w:pPr>
      <w:r>
        <w:t xml:space="preserve">As </w:t>
      </w:r>
      <w:r w:rsidR="00996E87">
        <w:t xml:space="preserve">the determination </w:t>
      </w:r>
      <w:r w:rsidR="00702EEF">
        <w:t xml:space="preserve">of what are </w:t>
      </w:r>
      <w:r w:rsidR="009226AC">
        <w:t xml:space="preserve">reasonable steps </w:t>
      </w:r>
      <w:r w:rsidR="00B909AE">
        <w:t>depends on the ap</w:t>
      </w:r>
      <w:r w:rsidR="00702EEF">
        <w:t>plication of</w:t>
      </w:r>
      <w:r w:rsidR="00B909AE">
        <w:t xml:space="preserve"> a risk management approach to the individual circumstances of </w:t>
      </w:r>
      <w:r w:rsidR="0060105F">
        <w:t>each case</w:t>
      </w:r>
      <w:r w:rsidR="00B909AE">
        <w:t>,</w:t>
      </w:r>
      <w:r w:rsidR="00702EEF">
        <w:t xml:space="preserve"> it is possible that a retail client outside of the target market will still acquire the product. To reflect this, the amendments specifically confirm that a regulated person is not taken to have failed to take reasonable merely because th</w:t>
      </w:r>
      <w:r w:rsidR="0060105F">
        <w:t>is</w:t>
      </w:r>
      <w:r w:rsidR="00702EEF">
        <w:t xml:space="preserve"> occurs.</w:t>
      </w:r>
      <w:r w:rsidR="0007095E">
        <w:t xml:space="preserve"> </w:t>
      </w:r>
      <w:r w:rsidR="0007095E">
        <w:rPr>
          <w:rStyle w:val="Referencingstyle"/>
        </w:rPr>
        <w:t>[Schedule 1, item 5</w:t>
      </w:r>
      <w:r w:rsidR="0007095E" w:rsidRPr="00A24AD2">
        <w:rPr>
          <w:rStyle w:val="Referencingstyle"/>
        </w:rPr>
        <w:t xml:space="preserve">, </w:t>
      </w:r>
      <w:r w:rsidR="0007095E">
        <w:rPr>
          <w:rStyle w:val="Referencingstyle"/>
        </w:rPr>
        <w:t xml:space="preserve">subsection 994E(4) </w:t>
      </w:r>
      <w:r w:rsidR="0007095E" w:rsidRPr="00A24AD2">
        <w:rPr>
          <w:rStyle w:val="Referencingstyle"/>
        </w:rPr>
        <w:t>of</w:t>
      </w:r>
      <w:r w:rsidR="0007095E">
        <w:rPr>
          <w:rStyle w:val="Referencingstyle"/>
        </w:rPr>
        <w:t xml:space="preserve"> the Corporations</w:t>
      </w:r>
      <w:r w:rsidR="0007095E" w:rsidRPr="00A24AD2">
        <w:rPr>
          <w:rStyle w:val="Referencingstyle"/>
        </w:rPr>
        <w:t xml:space="preserve"> Act]</w:t>
      </w:r>
      <w:r w:rsidR="00964665">
        <w:t xml:space="preserve"> </w:t>
      </w:r>
    </w:p>
    <w:p w14:paraId="66F9FC85" w14:textId="50A27B5C" w:rsidR="005705D8" w:rsidRDefault="005705D8" w:rsidP="005705D8">
      <w:pPr>
        <w:pStyle w:val="base-text-paragraph"/>
      </w:pPr>
      <w:r>
        <w:t xml:space="preserve">Likewise, the requirement for issuers to take reasonable steps is not to be mistaken for a requirement to ensure distributors comply with a target market determination. If the issuer takes reasonable steps but retail product distribution conduct of third parties is still inconsistent with the target market determination, the issuer would not breach the requirement. </w:t>
      </w:r>
      <w:r>
        <w:rPr>
          <w:rStyle w:val="Referencingstyle"/>
        </w:rPr>
        <w:t>[Schedule 1, item 5</w:t>
      </w:r>
      <w:r w:rsidRPr="00A24AD2">
        <w:rPr>
          <w:rStyle w:val="Referencingstyle"/>
        </w:rPr>
        <w:t xml:space="preserve">, </w:t>
      </w:r>
      <w:r>
        <w:rPr>
          <w:rStyle w:val="Referencingstyle"/>
        </w:rPr>
        <w:t xml:space="preserve">paragraph 994E(2)(a) </w:t>
      </w:r>
      <w:r w:rsidRPr="00A24AD2">
        <w:rPr>
          <w:rStyle w:val="Referencingstyle"/>
        </w:rPr>
        <w:t>of</w:t>
      </w:r>
      <w:r>
        <w:rPr>
          <w:rStyle w:val="Referencingstyle"/>
        </w:rPr>
        <w:t xml:space="preserve"> the Corporations</w:t>
      </w:r>
      <w:r w:rsidRPr="00A24AD2">
        <w:rPr>
          <w:rStyle w:val="Referencingstyle"/>
        </w:rPr>
        <w:t xml:space="preserve"> Act]</w:t>
      </w:r>
      <w:r>
        <w:t xml:space="preserve">   </w:t>
      </w:r>
    </w:p>
    <w:p w14:paraId="3B0E66FE" w14:textId="147B6A46" w:rsidR="00B17F50" w:rsidRDefault="007C5FE0" w:rsidP="00AB56BD">
      <w:pPr>
        <w:pStyle w:val="base-text-paragraph"/>
      </w:pPr>
      <w:r>
        <w:t xml:space="preserve">The new regime includes amendments to clarify that conduct required to meet the above mentioned obligations does not (by itself) </w:t>
      </w:r>
      <w:r w:rsidR="0062106E">
        <w:t>constitute personal advice. This</w:t>
      </w:r>
      <w:r>
        <w:t xml:space="preserve"> clarification is required</w:t>
      </w:r>
      <w:r w:rsidR="007C54D3">
        <w:t xml:space="preserve"> </w:t>
      </w:r>
      <w:r w:rsidR="0046340E">
        <w:t>because taking reasonable steps to meet the above mentioned obligations</w:t>
      </w:r>
      <w:r w:rsidR="007C54D3">
        <w:t xml:space="preserve"> may</w:t>
      </w:r>
      <w:r w:rsidR="0062106E">
        <w:t xml:space="preserve"> </w:t>
      </w:r>
      <w:r w:rsidR="007C54D3">
        <w:t>require a</w:t>
      </w:r>
      <w:r w:rsidR="0046340E">
        <w:t xml:space="preserve"> regulated person to:</w:t>
      </w:r>
      <w:r w:rsidR="007C54D3">
        <w:t xml:space="preserve"> </w:t>
      </w:r>
      <w:r w:rsidR="0062106E">
        <w:t>ask</w:t>
      </w:r>
      <w:r w:rsidR="0046340E">
        <w:t xml:space="preserve"> a</w:t>
      </w:r>
      <w:r w:rsidR="007C54D3">
        <w:t xml:space="preserve"> </w:t>
      </w:r>
      <w:r w:rsidR="0062106E">
        <w:t>retail</w:t>
      </w:r>
      <w:r w:rsidR="00CB071C">
        <w:t xml:space="preserve"> client</w:t>
      </w:r>
      <w:r w:rsidR="0046340E">
        <w:t xml:space="preserve"> for information to determine whether or not they are in a target market; and, </w:t>
      </w:r>
      <w:r w:rsidR="00CB071C">
        <w:t>infor</w:t>
      </w:r>
      <w:r w:rsidR="0046340E">
        <w:t>m the client of the result of that determination. Either of these acts could constitute p</w:t>
      </w:r>
      <w:r w:rsidR="00CB071C">
        <w:t>ersonal advice</w:t>
      </w:r>
      <w:r w:rsidR="0046340E">
        <w:t xml:space="preserve"> under</w:t>
      </w:r>
      <w:r w:rsidR="00F63ADA">
        <w:t xml:space="preserve"> sub</w:t>
      </w:r>
      <w:r w:rsidR="0046340E">
        <w:t>section </w:t>
      </w:r>
      <w:r w:rsidR="00CB071C">
        <w:t>766B</w:t>
      </w:r>
      <w:r w:rsidR="00F63ADA">
        <w:t>(3)</w:t>
      </w:r>
      <w:r w:rsidR="00CB071C">
        <w:t xml:space="preserve"> of the Corporations Act </w:t>
      </w:r>
      <w:r w:rsidR="007C54D3">
        <w:t>as</w:t>
      </w:r>
      <w:r w:rsidR="0046340E">
        <w:t xml:space="preserve"> they may give the client an impression that their personal circumstances have been considered</w:t>
      </w:r>
      <w:r w:rsidR="00A65F97">
        <w:t xml:space="preserve"> or could</w:t>
      </w:r>
      <w:r w:rsidR="00F63ADA">
        <w:t xml:space="preserve"> be expected to</w:t>
      </w:r>
      <w:r w:rsidR="00A65F97">
        <w:t xml:space="preserve"> </w:t>
      </w:r>
      <w:r w:rsidR="00CB071C">
        <w:t>influence</w:t>
      </w:r>
      <w:r w:rsidR="00A65F97">
        <w:t xml:space="preserve"> the client’s decision</w:t>
      </w:r>
      <w:r w:rsidR="00CB071C">
        <w:t xml:space="preserve">. </w:t>
      </w:r>
      <w:r w:rsidR="00AB56BD">
        <w:t>As such, t</w:t>
      </w:r>
      <w:r w:rsidR="00CB071C">
        <w:t>he definition of personal advice has been amended to clarify that</w:t>
      </w:r>
      <w:r w:rsidR="00B17F50">
        <w:t xml:space="preserve"> the acts of</w:t>
      </w:r>
      <w:r w:rsidR="00CB071C">
        <w:t xml:space="preserve"> asking </w:t>
      </w:r>
      <w:r w:rsidR="009E31B1">
        <w:t>for</w:t>
      </w:r>
      <w:r w:rsidR="00CB071C">
        <w:t xml:space="preserve"> information solely to determine w</w:t>
      </w:r>
      <w:r w:rsidR="00B17F50">
        <w:t>hether a person is in the target market</w:t>
      </w:r>
      <w:r w:rsidR="00F63ADA">
        <w:t>,</w:t>
      </w:r>
      <w:r w:rsidR="00B17F50">
        <w:t xml:space="preserve"> and informing them of </w:t>
      </w:r>
      <w:r w:rsidR="00F63ADA">
        <w:t>the</w:t>
      </w:r>
      <w:r w:rsidR="00B17F50">
        <w:t xml:space="preserve"> result, do not, of themselves, constitute person</w:t>
      </w:r>
      <w:r w:rsidR="0074618D">
        <w:t>al</w:t>
      </w:r>
      <w:r w:rsidR="00B17F50">
        <w:t xml:space="preserve"> advice.</w:t>
      </w:r>
      <w:r w:rsidR="0094717D">
        <w:t xml:space="preserve"> </w:t>
      </w:r>
      <w:r w:rsidR="00B17F50">
        <w:rPr>
          <w:rStyle w:val="Referencingstyle"/>
        </w:rPr>
        <w:t>[Schedule 1, item 4</w:t>
      </w:r>
      <w:r w:rsidR="00B17F50" w:rsidRPr="00A24AD2">
        <w:rPr>
          <w:rStyle w:val="Referencingstyle"/>
        </w:rPr>
        <w:t xml:space="preserve">, </w:t>
      </w:r>
      <w:r w:rsidR="00B17F50">
        <w:rPr>
          <w:rStyle w:val="Referencingstyle"/>
        </w:rPr>
        <w:t xml:space="preserve">subsection 766B(3A) </w:t>
      </w:r>
      <w:r w:rsidR="00B17F50" w:rsidRPr="00A24AD2">
        <w:rPr>
          <w:rStyle w:val="Referencingstyle"/>
        </w:rPr>
        <w:t>of</w:t>
      </w:r>
      <w:r w:rsidR="00B17F50">
        <w:rPr>
          <w:rStyle w:val="Referencingstyle"/>
        </w:rPr>
        <w:t xml:space="preserve"> the Corporations</w:t>
      </w:r>
      <w:r w:rsidR="00B17F50" w:rsidRPr="00A24AD2">
        <w:rPr>
          <w:rStyle w:val="Referencingstyle"/>
        </w:rPr>
        <w:t xml:space="preserve"> Act]</w:t>
      </w:r>
    </w:p>
    <w:p w14:paraId="7A1AA8AC" w14:textId="13EE4A51" w:rsidR="0053739D" w:rsidRDefault="0053739D" w:rsidP="0053739D">
      <w:pPr>
        <w:pStyle w:val="Heading4"/>
      </w:pPr>
      <w:r>
        <w:t>Obligation to collect</w:t>
      </w:r>
      <w:r w:rsidR="005F51C5">
        <w:t>, keep and provide</w:t>
      </w:r>
      <w:r>
        <w:t xml:space="preserve"> distribution information</w:t>
      </w:r>
    </w:p>
    <w:p w14:paraId="6BC5B762" w14:textId="194D6B44" w:rsidR="00871567" w:rsidRDefault="00E91A21" w:rsidP="001B26AA">
      <w:pPr>
        <w:pStyle w:val="base-text-paragraph"/>
      </w:pPr>
      <w:r>
        <w:t xml:space="preserve">The fourth distribution </w:t>
      </w:r>
      <w:r w:rsidR="001B26AA">
        <w:t>obligation requires a distributor</w:t>
      </w:r>
      <w:r>
        <w:t xml:space="preserve"> to</w:t>
      </w:r>
      <w:r w:rsidR="003D6EBD">
        <w:t xml:space="preserve"> collect and keep</w:t>
      </w:r>
      <w:r w:rsidR="00217199">
        <w:t xml:space="preserve"> complete and accurate</w:t>
      </w:r>
      <w:r w:rsidR="003D6EBD">
        <w:t xml:space="preserve"> records of </w:t>
      </w:r>
      <w:r w:rsidR="00500D49">
        <w:t>‘</w:t>
      </w:r>
      <w:r w:rsidR="003D6EBD">
        <w:t>distribution information</w:t>
      </w:r>
      <w:r w:rsidR="00500D49">
        <w:t xml:space="preserve">’ </w:t>
      </w:r>
      <w:r w:rsidR="005F51C5">
        <w:t>and provide certain distribution information to the issuer</w:t>
      </w:r>
      <w:r w:rsidR="003D6EBD">
        <w:t>.</w:t>
      </w:r>
      <w:r w:rsidR="001B26AA">
        <w:t xml:space="preserve"> </w:t>
      </w:r>
    </w:p>
    <w:p w14:paraId="1B190FD5" w14:textId="77777777" w:rsidR="00871567" w:rsidRDefault="00871567" w:rsidP="001B26AA">
      <w:pPr>
        <w:pStyle w:val="base-text-paragraph"/>
      </w:pPr>
      <w:r>
        <w:t>‘</w:t>
      </w:r>
      <w:r w:rsidR="001B26AA">
        <w:t>Distribution information</w:t>
      </w:r>
      <w:r>
        <w:t>’</w:t>
      </w:r>
      <w:r w:rsidR="001B26AA">
        <w:t xml:space="preserve"> is defined as:</w:t>
      </w:r>
      <w:r w:rsidR="00252D5E">
        <w:t xml:space="preserve"> </w:t>
      </w:r>
    </w:p>
    <w:p w14:paraId="2B812124" w14:textId="54044549" w:rsidR="00871567" w:rsidRDefault="00516C2D" w:rsidP="00424951">
      <w:pPr>
        <w:pStyle w:val="dotpoint"/>
      </w:pPr>
      <w:r>
        <w:t>the information specified by the issuer in the target market determination</w:t>
      </w:r>
      <w:r w:rsidR="004107C3">
        <w:t xml:space="preserve"> in relation to specified distributors</w:t>
      </w:r>
      <w:r>
        <w:t xml:space="preserve"> (</w:t>
      </w:r>
      <w:r w:rsidR="004107C3">
        <w:t xml:space="preserve">being information </w:t>
      </w:r>
      <w:r>
        <w:t xml:space="preserve">which is determined on the basis that </w:t>
      </w:r>
      <w:r w:rsidR="004107C3">
        <w:t xml:space="preserve">it </w:t>
      </w:r>
      <w:r>
        <w:t>enables the issuer to promptly identify review triggers or other events or circumstances that suggest the determination is no longer appropriate)</w:t>
      </w:r>
      <w:r w:rsidR="00252D5E">
        <w:t xml:space="preserve">; </w:t>
      </w:r>
    </w:p>
    <w:p w14:paraId="13E135DA" w14:textId="2A944944" w:rsidR="00871567" w:rsidRDefault="004107C3" w:rsidP="00424951">
      <w:pPr>
        <w:pStyle w:val="dotpoint"/>
      </w:pPr>
      <w:r>
        <w:t>where the distributor is specified in relation to the information above</w:t>
      </w:r>
      <w:r w:rsidR="00072858">
        <w:t xml:space="preserve"> –</w:t>
      </w:r>
      <w:r w:rsidR="00D74413">
        <w:t xml:space="preserve"> </w:t>
      </w:r>
      <w:r w:rsidR="00252D5E">
        <w:t>the</w:t>
      </w:r>
      <w:r w:rsidR="006C0153">
        <w:t xml:space="preserve"> dates</w:t>
      </w:r>
      <w:r w:rsidR="00A6366A">
        <w:t xml:space="preserve"> on which</w:t>
      </w:r>
      <w:r w:rsidR="006C0153">
        <w:t xml:space="preserve"> </w:t>
      </w:r>
      <w:r w:rsidR="00433595">
        <w:t>the distributor provided the required</w:t>
      </w:r>
      <w:r w:rsidR="006C0153">
        <w:t xml:space="preserve"> information</w:t>
      </w:r>
      <w:r w:rsidR="00B37675">
        <w:t xml:space="preserve"> to the issuer</w:t>
      </w:r>
      <w:r w:rsidR="0003279E">
        <w:t xml:space="preserve">; </w:t>
      </w:r>
    </w:p>
    <w:p w14:paraId="7D150425" w14:textId="53987BE2" w:rsidR="00D74413" w:rsidRDefault="00B37675" w:rsidP="00424951">
      <w:pPr>
        <w:pStyle w:val="dotpoint"/>
      </w:pPr>
      <w:r>
        <w:t>t</w:t>
      </w:r>
      <w:r w:rsidR="0003279E">
        <w:t>he</w:t>
      </w:r>
      <w:r>
        <w:t xml:space="preserve"> number of complaints the </w:t>
      </w:r>
      <w:r w:rsidR="004107C3">
        <w:t>distributor</w:t>
      </w:r>
      <w:r>
        <w:t xml:space="preserve"> receives to which internal or external dispute resolution procedures apply</w:t>
      </w:r>
      <w:r w:rsidR="006300DF">
        <w:t xml:space="preserve">; </w:t>
      </w:r>
    </w:p>
    <w:p w14:paraId="41DBA285" w14:textId="4A4D58AD" w:rsidR="00871567" w:rsidRDefault="00D74413" w:rsidP="00424951">
      <w:pPr>
        <w:pStyle w:val="dotpoint"/>
      </w:pPr>
      <w:r>
        <w:t>where the distributor is not the issuer</w:t>
      </w:r>
      <w:r w:rsidR="00072858">
        <w:t xml:space="preserve"> </w:t>
      </w:r>
      <w:r>
        <w:t>– the date</w:t>
      </w:r>
      <w:r w:rsidR="00A6366A">
        <w:t xml:space="preserve">s that </w:t>
      </w:r>
      <w:r w:rsidR="00433595">
        <w:t xml:space="preserve">the distributor informed the issuer of the </w:t>
      </w:r>
      <w:r w:rsidR="00A6366A">
        <w:t>number of complaints</w:t>
      </w:r>
      <w:r w:rsidR="00433595">
        <w:t xml:space="preserve"> that they have received</w:t>
      </w:r>
      <w:r w:rsidR="004107C3">
        <w:t>;</w:t>
      </w:r>
    </w:p>
    <w:p w14:paraId="5D9439E6" w14:textId="144FC6C8" w:rsidR="004107C3" w:rsidRDefault="004107C3" w:rsidP="00424951">
      <w:pPr>
        <w:pStyle w:val="dotpoint"/>
      </w:pPr>
      <w:r>
        <w:t>where the distributor is not the issuer – the dates that</w:t>
      </w:r>
      <w:r w:rsidR="00433595">
        <w:t xml:space="preserve"> the distributor reported</w:t>
      </w:r>
      <w:r>
        <w:t xml:space="preserve"> any significant dealings to the issuer; and</w:t>
      </w:r>
    </w:p>
    <w:p w14:paraId="21F6963E" w14:textId="30BCB81E" w:rsidR="001B26AA" w:rsidRDefault="006300DF" w:rsidP="00424951">
      <w:pPr>
        <w:pStyle w:val="dotpoint"/>
      </w:pPr>
      <w:r>
        <w:t xml:space="preserve">the </w:t>
      </w:r>
      <w:r w:rsidR="0003279E">
        <w:t xml:space="preserve">steps </w:t>
      </w:r>
      <w:r w:rsidR="00912662">
        <w:t>taken</w:t>
      </w:r>
      <w:r w:rsidR="0003279E">
        <w:t xml:space="preserve"> to ensure </w:t>
      </w:r>
      <w:r w:rsidR="00912662">
        <w:t xml:space="preserve">consistency </w:t>
      </w:r>
      <w:r w:rsidR="0003279E">
        <w:t>with the product’s target market determination (th</w:t>
      </w:r>
      <w:r>
        <w:t xml:space="preserve">at is, the steps to comply with </w:t>
      </w:r>
      <w:r w:rsidR="0003279E">
        <w:t xml:space="preserve">the third distribution obligation). </w:t>
      </w:r>
      <w:r>
        <w:rPr>
          <w:rStyle w:val="Referencingstyle"/>
        </w:rPr>
        <w:t xml:space="preserve">[Schedule 1, item </w:t>
      </w:r>
      <w:r w:rsidR="004107C3">
        <w:rPr>
          <w:rStyle w:val="Referencingstyle"/>
        </w:rPr>
        <w:t>5</w:t>
      </w:r>
      <w:r w:rsidRPr="00A24AD2">
        <w:rPr>
          <w:rStyle w:val="Referencingstyle"/>
        </w:rPr>
        <w:t xml:space="preserve">, </w:t>
      </w:r>
      <w:r w:rsidR="00D474BF">
        <w:rPr>
          <w:rStyle w:val="Referencingstyle"/>
        </w:rPr>
        <w:t>section 99</w:t>
      </w:r>
      <w:r w:rsidR="004107C3">
        <w:rPr>
          <w:rStyle w:val="Referencingstyle"/>
        </w:rPr>
        <w:t>4</w:t>
      </w:r>
      <w:r w:rsidR="00D474BF">
        <w:rPr>
          <w:rStyle w:val="Referencingstyle"/>
        </w:rPr>
        <w:t xml:space="preserve">A and </w:t>
      </w:r>
      <w:r>
        <w:rPr>
          <w:rStyle w:val="Referencingstyle"/>
        </w:rPr>
        <w:t>subsection 99</w:t>
      </w:r>
      <w:r w:rsidR="004107C3">
        <w:rPr>
          <w:rStyle w:val="Referencingstyle"/>
        </w:rPr>
        <w:t>4</w:t>
      </w:r>
      <w:r>
        <w:rPr>
          <w:rStyle w:val="Referencingstyle"/>
        </w:rPr>
        <w:t xml:space="preserve">F(2)  </w:t>
      </w:r>
      <w:r w:rsidRPr="00A24AD2">
        <w:rPr>
          <w:rStyle w:val="Referencingstyle"/>
        </w:rPr>
        <w:t>of</w:t>
      </w:r>
      <w:r>
        <w:rPr>
          <w:rStyle w:val="Referencingstyle"/>
        </w:rPr>
        <w:t xml:space="preserve"> the Corporations</w:t>
      </w:r>
      <w:r w:rsidRPr="00A24AD2">
        <w:rPr>
          <w:rStyle w:val="Referencingstyle"/>
        </w:rPr>
        <w:t xml:space="preserve"> Act]</w:t>
      </w:r>
    </w:p>
    <w:p w14:paraId="33059CA9" w14:textId="35942B24" w:rsidR="004107C3" w:rsidRPr="00155ABB" w:rsidRDefault="008942D9" w:rsidP="00C07C38">
      <w:pPr>
        <w:pStyle w:val="base-text-paragraph"/>
        <w:rPr>
          <w:rStyle w:val="Referencingstyle"/>
          <w:b w:val="0"/>
          <w:i w:val="0"/>
          <w:sz w:val="22"/>
        </w:rPr>
      </w:pPr>
      <w:r>
        <w:t>The amendments provide for the timeframes in which distribution information must be provided to the issuer. In particular, a d</w:t>
      </w:r>
      <w:r w:rsidR="00D74413">
        <w:t>istributor</w:t>
      </w:r>
      <w:r>
        <w:t xml:space="preserve"> who is</w:t>
      </w:r>
      <w:r w:rsidR="004107C3">
        <w:t xml:space="preserve"> </w:t>
      </w:r>
      <w:r>
        <w:t xml:space="preserve">required to provide information must do so </w:t>
      </w:r>
      <w:r w:rsidR="004107C3">
        <w:t>as soon as practicable</w:t>
      </w:r>
      <w:r>
        <w:t>,</w:t>
      </w:r>
      <w:r w:rsidR="004107C3">
        <w:t xml:space="preserve"> and in any case within 10 business days</w:t>
      </w:r>
      <w:r>
        <w:t>, after</w:t>
      </w:r>
      <w:r w:rsidR="004107C3">
        <w:t xml:space="preserve"> the end of the reporting period specified</w:t>
      </w:r>
      <w:r>
        <w:t xml:space="preserve"> in the target market determination</w:t>
      </w:r>
      <w:r w:rsidR="00D74413">
        <w:t>.</w:t>
      </w:r>
      <w:r>
        <w:t xml:space="preserve"> This applies whether the information relates to</w:t>
      </w:r>
      <w:r w:rsidR="005D3051">
        <w:t xml:space="preserve"> a reporting requirement specified in the determination or to</w:t>
      </w:r>
      <w:r>
        <w:t xml:space="preserve"> the number of complaints the distributor has received</w:t>
      </w:r>
      <w:r w:rsidR="005D3051">
        <w:t>.</w:t>
      </w:r>
      <w:r w:rsidR="00D077DE">
        <w:t xml:space="preserve"> </w:t>
      </w:r>
      <w:r w:rsidR="00D077DE">
        <w:rPr>
          <w:rStyle w:val="Referencingstyle"/>
        </w:rPr>
        <w:t>[Schedule 1, item 5</w:t>
      </w:r>
      <w:r w:rsidR="00D077DE" w:rsidRPr="00A24AD2">
        <w:rPr>
          <w:rStyle w:val="Referencingstyle"/>
        </w:rPr>
        <w:t xml:space="preserve">, </w:t>
      </w:r>
      <w:r w:rsidR="00D077DE">
        <w:rPr>
          <w:rStyle w:val="Referencingstyle"/>
        </w:rPr>
        <w:t>subsection 994F(</w:t>
      </w:r>
      <w:r>
        <w:rPr>
          <w:rStyle w:val="Referencingstyle"/>
        </w:rPr>
        <w:t>3</w:t>
      </w:r>
      <w:r w:rsidR="00D077DE">
        <w:rPr>
          <w:rStyle w:val="Referencingstyle"/>
        </w:rPr>
        <w:t>)</w:t>
      </w:r>
      <w:r>
        <w:rPr>
          <w:rStyle w:val="Referencingstyle"/>
        </w:rPr>
        <w:t xml:space="preserve"> and 994F(4)</w:t>
      </w:r>
      <w:r w:rsidR="00D077DE">
        <w:rPr>
          <w:rStyle w:val="Referencingstyle"/>
        </w:rPr>
        <w:t xml:space="preserve"> </w:t>
      </w:r>
      <w:r w:rsidR="00D077DE" w:rsidRPr="00A24AD2">
        <w:rPr>
          <w:rStyle w:val="Referencingstyle"/>
        </w:rPr>
        <w:t>of</w:t>
      </w:r>
      <w:r w:rsidR="00D077DE">
        <w:rPr>
          <w:rStyle w:val="Referencingstyle"/>
        </w:rPr>
        <w:t xml:space="preserve"> the Corporations</w:t>
      </w:r>
      <w:r w:rsidR="00D077DE" w:rsidRPr="00A24AD2">
        <w:rPr>
          <w:rStyle w:val="Referencingstyle"/>
        </w:rPr>
        <w:t xml:space="preserve"> Act]</w:t>
      </w:r>
    </w:p>
    <w:p w14:paraId="08856D18" w14:textId="5DA8B228" w:rsidR="001C6943" w:rsidRDefault="001C6943" w:rsidP="00C07C38">
      <w:pPr>
        <w:pStyle w:val="base-text-paragraph"/>
      </w:pPr>
      <w:r>
        <w:t>Th</w:t>
      </w:r>
      <w:r w:rsidR="005716B6">
        <w:t xml:space="preserve">e new law clarifies that these </w:t>
      </w:r>
      <w:r>
        <w:t>obligation</w:t>
      </w:r>
      <w:r w:rsidR="005716B6">
        <w:t>s</w:t>
      </w:r>
      <w:r>
        <w:t xml:space="preserve"> only appl</w:t>
      </w:r>
      <w:r w:rsidR="005716B6">
        <w:t>y</w:t>
      </w:r>
      <w:r>
        <w:t xml:space="preserve"> </w:t>
      </w:r>
      <w:r w:rsidR="005716B6">
        <w:t>to a</w:t>
      </w:r>
      <w:r>
        <w:t xml:space="preserve"> product</w:t>
      </w:r>
      <w:r w:rsidR="005716B6">
        <w:t xml:space="preserve"> where it remains</w:t>
      </w:r>
      <w:r>
        <w:t xml:space="preserve"> on offer for issue (or regulated sale) to retail clients. That is, when the financial product is no longer being issued, distribution information does not need to</w:t>
      </w:r>
      <w:r w:rsidR="00D60011">
        <w:t xml:space="preserve"> continue to be collected </w:t>
      </w:r>
      <w:r>
        <w:t>and provided.</w:t>
      </w:r>
      <w:r w:rsidR="009A5C5A">
        <w:t xml:space="preserve"> </w:t>
      </w:r>
      <w:r w:rsidR="009A5C5A">
        <w:rPr>
          <w:rStyle w:val="Referencingstyle"/>
        </w:rPr>
        <w:t>[Schedule 1, item 5</w:t>
      </w:r>
      <w:r w:rsidR="009A5C5A" w:rsidRPr="00A24AD2">
        <w:rPr>
          <w:rStyle w:val="Referencingstyle"/>
        </w:rPr>
        <w:t xml:space="preserve">, </w:t>
      </w:r>
      <w:r w:rsidR="00FF158E">
        <w:rPr>
          <w:rStyle w:val="Referencingstyle"/>
        </w:rPr>
        <w:t>paragraphs</w:t>
      </w:r>
      <w:r w:rsidR="009A5C5A">
        <w:rPr>
          <w:rStyle w:val="Referencingstyle"/>
        </w:rPr>
        <w:t xml:space="preserve"> 994F(</w:t>
      </w:r>
      <w:r w:rsidR="00FF158E">
        <w:rPr>
          <w:rStyle w:val="Referencingstyle"/>
        </w:rPr>
        <w:t>2</w:t>
      </w:r>
      <w:r w:rsidR="009A5C5A">
        <w:rPr>
          <w:rStyle w:val="Referencingstyle"/>
        </w:rPr>
        <w:t>)</w:t>
      </w:r>
      <w:r w:rsidR="00FF158E">
        <w:rPr>
          <w:rStyle w:val="Referencingstyle"/>
        </w:rPr>
        <w:t>(b), (3)(b) and 4(b)</w:t>
      </w:r>
      <w:r w:rsidR="009A5C5A">
        <w:rPr>
          <w:rStyle w:val="Referencingstyle"/>
        </w:rPr>
        <w:t xml:space="preserve"> </w:t>
      </w:r>
      <w:r w:rsidR="009A5C5A" w:rsidRPr="00A24AD2">
        <w:rPr>
          <w:rStyle w:val="Referencingstyle"/>
        </w:rPr>
        <w:t>of</w:t>
      </w:r>
      <w:r w:rsidR="009A5C5A">
        <w:rPr>
          <w:rStyle w:val="Referencingstyle"/>
        </w:rPr>
        <w:t xml:space="preserve"> the Corporations</w:t>
      </w:r>
      <w:r w:rsidR="009A5C5A" w:rsidRPr="00A24AD2">
        <w:rPr>
          <w:rStyle w:val="Referencingstyle"/>
        </w:rPr>
        <w:t xml:space="preserve"> Act]</w:t>
      </w:r>
    </w:p>
    <w:p w14:paraId="012D8616" w14:textId="66B29604" w:rsidR="0097183A" w:rsidRPr="0097183A" w:rsidRDefault="003D6EBD">
      <w:pPr>
        <w:pStyle w:val="base-text-paragraph"/>
      </w:pPr>
      <w:r w:rsidRPr="006300DF">
        <w:t>These</w:t>
      </w:r>
      <w:r>
        <w:t xml:space="preserve"> record keeping provisions support the effectiveness of the new regime</w:t>
      </w:r>
      <w:r w:rsidR="006300DF">
        <w:t xml:space="preserve">. </w:t>
      </w:r>
      <w:r w:rsidR="00F95D5A">
        <w:t>In particular, t</w:t>
      </w:r>
      <w:r w:rsidR="006300DF">
        <w:t>he</w:t>
      </w:r>
      <w:r w:rsidR="00C07C38">
        <w:t>y ensure that the</w:t>
      </w:r>
      <w:r w:rsidR="006300DF">
        <w:t xml:space="preserve"> information necessary to review</w:t>
      </w:r>
      <w:r w:rsidR="00F95D5A">
        <w:t xml:space="preserve"> and remake</w:t>
      </w:r>
      <w:r w:rsidR="006300DF">
        <w:t xml:space="preserve"> a target market determination is collected</w:t>
      </w:r>
      <w:r w:rsidR="00872332">
        <w:t xml:space="preserve"> and </w:t>
      </w:r>
      <w:r w:rsidR="006300DF">
        <w:t>kept by distributors</w:t>
      </w:r>
      <w:r w:rsidR="00872332">
        <w:t xml:space="preserve"> and provided to issuers</w:t>
      </w:r>
      <w:r w:rsidR="006300DF">
        <w:t>.</w:t>
      </w:r>
      <w:r w:rsidR="00C07C38">
        <w:t xml:space="preserve"> The provisions also support compliance with the other distribution obligations by ensuring distributors have visibility of their activities with respect to the product. </w:t>
      </w:r>
      <w:r w:rsidR="00BA107E">
        <w:t>To achieve these ends, the record keeping provisions apply to</w:t>
      </w:r>
      <w:r w:rsidR="008B3FAC">
        <w:t xml:space="preserve"> all regulated persons engaging in retail product distribution conduct, including those providing personal advice or engaging in conduct associated with such advice.</w:t>
      </w:r>
    </w:p>
    <w:p w14:paraId="5C4DA1AA" w14:textId="77777777" w:rsidR="003D6EBD" w:rsidRDefault="00C07C38" w:rsidP="003D6EBD">
      <w:pPr>
        <w:pStyle w:val="base-text-paragraph"/>
      </w:pPr>
      <w:r>
        <w:t>As noted above, the</w:t>
      </w:r>
      <w:r w:rsidR="00B23727">
        <w:t xml:space="preserve"> effectiveness of the</w:t>
      </w:r>
      <w:r>
        <w:t xml:space="preserve"> </w:t>
      </w:r>
      <w:r w:rsidR="00F151E4">
        <w:t>record</w:t>
      </w:r>
      <w:r w:rsidR="000F2AC7">
        <w:t xml:space="preserve"> </w:t>
      </w:r>
      <w:r>
        <w:t xml:space="preserve">keeping provisions in the </w:t>
      </w:r>
      <w:r w:rsidR="00F151E4">
        <w:t xml:space="preserve">new law </w:t>
      </w:r>
      <w:r w:rsidR="00B23727">
        <w:t>is</w:t>
      </w:r>
      <w:r>
        <w:t xml:space="preserve"> </w:t>
      </w:r>
      <w:r w:rsidR="003D6EBD">
        <w:t>supported by current provisions of the Corporations Act. In particular, it is currently an</w:t>
      </w:r>
      <w:r w:rsidR="003D6EBD" w:rsidRPr="0082303B">
        <w:t xml:space="preserve"> offence to destroy, conceal or falsif</w:t>
      </w:r>
      <w:r w:rsidR="003D6EBD">
        <w:t>y records required to be kept by a provision of</w:t>
      </w:r>
      <w:r w:rsidR="003D6EBD" w:rsidRPr="0082303B">
        <w:t xml:space="preserve"> Chapter 7</w:t>
      </w:r>
      <w:r w:rsidR="003D6EBD">
        <w:t xml:space="preserve"> of the Act.</w:t>
      </w:r>
      <w:r w:rsidR="003D6EBD">
        <w:rPr>
          <w:rStyle w:val="FootnoteReference"/>
        </w:rPr>
        <w:footnoteReference w:id="32"/>
      </w:r>
      <w:r w:rsidR="003D6EBD">
        <w:t xml:space="preserve"> In addition, the Act </w:t>
      </w:r>
      <w:r w:rsidR="00F01309">
        <w:t>presently</w:t>
      </w:r>
      <w:r w:rsidR="00F151E4">
        <w:t xml:space="preserve"> </w:t>
      </w:r>
      <w:r w:rsidR="003D6EBD">
        <w:t xml:space="preserve">provides that records required to be kept by a provision of </w:t>
      </w:r>
      <w:r w:rsidR="003D6EBD" w:rsidRPr="0082303B">
        <w:t>Chapter 7 must be preserved for 5</w:t>
      </w:r>
      <w:r w:rsidR="003D6EBD">
        <w:t> </w:t>
      </w:r>
      <w:r w:rsidR="003D6EBD" w:rsidRPr="0082303B">
        <w:t>years.</w:t>
      </w:r>
      <w:r w:rsidR="003D6EBD">
        <w:rPr>
          <w:rStyle w:val="FootnoteReference"/>
        </w:rPr>
        <w:footnoteReference w:id="33"/>
      </w:r>
      <w:r w:rsidR="003D6EBD">
        <w:t xml:space="preserve">  These provisions app</w:t>
      </w:r>
      <w:r w:rsidR="004E3A31">
        <w:t>ly to the new record keeping provisions, as the provisions are inserted</w:t>
      </w:r>
      <w:r w:rsidR="003D6EBD">
        <w:t xml:space="preserve"> in</w:t>
      </w:r>
      <w:r w:rsidR="004E3A31">
        <w:t>to</w:t>
      </w:r>
      <w:r w:rsidR="003D6EBD">
        <w:t xml:space="preserve"> Chapter 7 of the Act.</w:t>
      </w:r>
    </w:p>
    <w:p w14:paraId="01A3D669" w14:textId="2F75A97F" w:rsidR="005F51C5" w:rsidRPr="00421635" w:rsidRDefault="00C07C38" w:rsidP="00240FEC">
      <w:pPr>
        <w:pStyle w:val="base-text-paragraph"/>
        <w:rPr>
          <w:rStyle w:val="Referencingstyle"/>
          <w:b w:val="0"/>
          <w:i w:val="0"/>
          <w:sz w:val="22"/>
        </w:rPr>
      </w:pPr>
      <w:r>
        <w:t xml:space="preserve">The regulations can impose requirements </w:t>
      </w:r>
      <w:r w:rsidR="00F151E4">
        <w:t>about</w:t>
      </w:r>
      <w:r>
        <w:t xml:space="preserve"> distribution information. This power ensures that the distribution information required to be collected and kept by regulated persons can be adjusted if necessary to support the effective operation of the new regime. </w:t>
      </w:r>
      <w:r>
        <w:rPr>
          <w:rStyle w:val="Referencingstyle"/>
        </w:rPr>
        <w:t xml:space="preserve">[Schedule 1, item </w:t>
      </w:r>
      <w:r w:rsidR="00A12B3D">
        <w:rPr>
          <w:rStyle w:val="Referencingstyle"/>
        </w:rPr>
        <w:t>5</w:t>
      </w:r>
      <w:r w:rsidRPr="00A24AD2">
        <w:rPr>
          <w:rStyle w:val="Referencingstyle"/>
        </w:rPr>
        <w:t xml:space="preserve">, </w:t>
      </w:r>
      <w:r>
        <w:rPr>
          <w:rStyle w:val="Referencingstyle"/>
        </w:rPr>
        <w:t>subsection</w:t>
      </w:r>
      <w:r w:rsidR="00E73501">
        <w:rPr>
          <w:rStyle w:val="Referencingstyle"/>
        </w:rPr>
        <w:t>s</w:t>
      </w:r>
      <w:r>
        <w:rPr>
          <w:rStyle w:val="Referencingstyle"/>
        </w:rPr>
        <w:t> 99</w:t>
      </w:r>
      <w:r w:rsidR="00A12B3D">
        <w:rPr>
          <w:rStyle w:val="Referencingstyle"/>
        </w:rPr>
        <w:t>4</w:t>
      </w:r>
      <w:r>
        <w:rPr>
          <w:rStyle w:val="Referencingstyle"/>
        </w:rPr>
        <w:t>F(</w:t>
      </w:r>
      <w:r w:rsidR="00A12B3D">
        <w:rPr>
          <w:rStyle w:val="Referencingstyle"/>
        </w:rPr>
        <w:t>6</w:t>
      </w:r>
      <w:r>
        <w:rPr>
          <w:rStyle w:val="Referencingstyle"/>
        </w:rPr>
        <w:t>)</w:t>
      </w:r>
      <w:r w:rsidR="00A12B3D">
        <w:rPr>
          <w:rStyle w:val="Referencingstyle"/>
        </w:rPr>
        <w:t xml:space="preserve"> and (7)</w:t>
      </w:r>
      <w:r>
        <w:rPr>
          <w:rStyle w:val="Referencingstyle"/>
        </w:rPr>
        <w:t xml:space="preserve"> </w:t>
      </w:r>
      <w:r w:rsidRPr="00A24AD2">
        <w:rPr>
          <w:rStyle w:val="Referencingstyle"/>
        </w:rPr>
        <w:t>of</w:t>
      </w:r>
      <w:r>
        <w:rPr>
          <w:rStyle w:val="Referencingstyle"/>
        </w:rPr>
        <w:t xml:space="preserve"> the Corporations</w:t>
      </w:r>
      <w:r w:rsidRPr="00A24AD2">
        <w:rPr>
          <w:rStyle w:val="Referencingstyle"/>
        </w:rPr>
        <w:t xml:space="preserve"> Act]</w:t>
      </w:r>
    </w:p>
    <w:p w14:paraId="110705B0" w14:textId="77777777" w:rsidR="00470523" w:rsidRDefault="007D28B3" w:rsidP="00470523">
      <w:pPr>
        <w:pStyle w:val="Heading4"/>
      </w:pPr>
      <w:r>
        <w:t>Obligation to notify issuer of significant dealings that are not consistent with a product’s target market determination</w:t>
      </w:r>
    </w:p>
    <w:p w14:paraId="5571E5E9" w14:textId="44B76D7C" w:rsidR="00470523" w:rsidRDefault="00470523" w:rsidP="00470523">
      <w:pPr>
        <w:pStyle w:val="base-text-paragraph"/>
      </w:pPr>
      <w:r>
        <w:t>The final distribution obligation requires</w:t>
      </w:r>
      <w:r w:rsidR="00EA0797">
        <w:t xml:space="preserve"> a</w:t>
      </w:r>
      <w:r>
        <w:t xml:space="preserve"> </w:t>
      </w:r>
      <w:r w:rsidR="00EA0797">
        <w:t xml:space="preserve">regulated person </w:t>
      </w:r>
      <w:r>
        <w:t>to notify a product’s issuer of significant dealings in a product that are not consistent with the product’s target market determination.</w:t>
      </w:r>
      <w:r w:rsidR="00EA0797">
        <w:t xml:space="preserve"> Should the person </w:t>
      </w:r>
      <w:r>
        <w:t>become aware of such</w:t>
      </w:r>
      <w:r w:rsidR="00EA0797">
        <w:t xml:space="preserve"> a dealing they must notify the issuer</w:t>
      </w:r>
      <w:r>
        <w:t xml:space="preserve"> in writing as soon as practicable, and in any case within 10 business days. </w:t>
      </w:r>
      <w:r>
        <w:rPr>
          <w:rStyle w:val="Referencingstyle"/>
        </w:rPr>
        <w:t xml:space="preserve">[Schedule 1, item </w:t>
      </w:r>
      <w:r w:rsidR="00240FEC">
        <w:rPr>
          <w:rStyle w:val="Referencingstyle"/>
        </w:rPr>
        <w:t>5</w:t>
      </w:r>
      <w:r w:rsidRPr="00A24AD2">
        <w:rPr>
          <w:rStyle w:val="Referencingstyle"/>
        </w:rPr>
        <w:t xml:space="preserve">, </w:t>
      </w:r>
      <w:r w:rsidR="00EA0797">
        <w:rPr>
          <w:rStyle w:val="Referencingstyle"/>
        </w:rPr>
        <w:t>subsection 99</w:t>
      </w:r>
      <w:r w:rsidR="00240FEC">
        <w:rPr>
          <w:rStyle w:val="Referencingstyle"/>
        </w:rPr>
        <w:t>4</w:t>
      </w:r>
      <w:r w:rsidR="00EA0797">
        <w:rPr>
          <w:rStyle w:val="Referencingstyle"/>
        </w:rPr>
        <w:t>F(5)</w:t>
      </w:r>
      <w:r>
        <w:rPr>
          <w:rStyle w:val="Referencingstyle"/>
        </w:rPr>
        <w:t xml:space="preserve"> of the Corporations Act</w:t>
      </w:r>
      <w:r w:rsidRPr="00A24AD2">
        <w:rPr>
          <w:rStyle w:val="Referencingstyle"/>
        </w:rPr>
        <w:t>]</w:t>
      </w:r>
      <w:r>
        <w:t xml:space="preserve">    </w:t>
      </w:r>
    </w:p>
    <w:p w14:paraId="0D8E0599" w14:textId="4BEFFF58" w:rsidR="00470523" w:rsidRPr="003E4FAA" w:rsidRDefault="00470523" w:rsidP="00470523">
      <w:pPr>
        <w:pStyle w:val="base-text-paragraph"/>
        <w:rPr>
          <w:rStyle w:val="Referencingstyle"/>
          <w:b w:val="0"/>
          <w:i w:val="0"/>
          <w:sz w:val="22"/>
        </w:rPr>
      </w:pPr>
      <w:r>
        <w:t>Consistent with exi</w:t>
      </w:r>
      <w:r w:rsidR="005A18DF">
        <w:t>s</w:t>
      </w:r>
      <w:r>
        <w:t>ting provisions of the Corporations Act, ‘significant’ is not defined for the purposes of the new obligation. The meaning of significant is intended to take its ordinary meaning in the context of the new provision. General</w:t>
      </w:r>
      <w:r w:rsidR="00EA0797">
        <w:t>ly, this would require a regulated person to inform an issuer</w:t>
      </w:r>
      <w:r>
        <w:t xml:space="preserve"> of deal</w:t>
      </w:r>
      <w:r w:rsidR="00EA0797">
        <w:t>ings that would be worthy of their</w:t>
      </w:r>
      <w:r>
        <w:t xml:space="preserve"> attention having regard to the obj</w:t>
      </w:r>
      <w:r w:rsidR="00EA0797">
        <w:t>ect of the new regime and the issuer’s role as the product’s designer</w:t>
      </w:r>
      <w:r>
        <w:t xml:space="preserve">. However, ultimately whether or not </w:t>
      </w:r>
      <w:r w:rsidR="007761A9">
        <w:t>a</w:t>
      </w:r>
      <w:r w:rsidR="008A5FC2">
        <w:t xml:space="preserve"> </w:t>
      </w:r>
      <w:r w:rsidR="007761A9">
        <w:t>dealing</w:t>
      </w:r>
      <w:r>
        <w:t xml:space="preserve"> is significant would be a matter to be determined in the circumstances of each case. </w:t>
      </w:r>
    </w:p>
    <w:p w14:paraId="1C796BEB" w14:textId="77777777" w:rsidR="00440B24" w:rsidRDefault="00470523" w:rsidP="007761A9">
      <w:pPr>
        <w:pStyle w:val="base-text-paragraph"/>
      </w:pPr>
      <w:r>
        <w:t>This notification obligation supports the effectiveness of</w:t>
      </w:r>
      <w:r w:rsidR="007761A9">
        <w:t xml:space="preserve"> the new regime. I</w:t>
      </w:r>
      <w:r>
        <w:t>t</w:t>
      </w:r>
      <w:r w:rsidR="007761A9">
        <w:t xml:space="preserve"> ensures that an issuer is advised </w:t>
      </w:r>
      <w:r>
        <w:t>of</w:t>
      </w:r>
      <w:r w:rsidR="007761A9">
        <w:t xml:space="preserve"> a</w:t>
      </w:r>
      <w:r>
        <w:t xml:space="preserve"> significant </w:t>
      </w:r>
      <w:r w:rsidR="007761A9">
        <w:t>dealing in a</w:t>
      </w:r>
      <w:r>
        <w:t xml:space="preserve"> product </w:t>
      </w:r>
      <w:r w:rsidR="007761A9">
        <w:t>that is not consistent with the product’s</w:t>
      </w:r>
      <w:r>
        <w:t xml:space="preserve"> target market determination. By doing</w:t>
      </w:r>
      <w:r w:rsidR="007761A9">
        <w:t xml:space="preserve"> so, the requirement assist issuers</w:t>
      </w:r>
      <w:r>
        <w:t xml:space="preserve"> in making timely and appropriate decisions in support of the new regime</w:t>
      </w:r>
      <w:r w:rsidR="007761A9">
        <w:t xml:space="preserve"> and in meeting their obligations to notify ASIC of significant dealings</w:t>
      </w:r>
      <w:r>
        <w:t>.</w:t>
      </w:r>
    </w:p>
    <w:p w14:paraId="2197C758" w14:textId="2BC7813F" w:rsidR="004644D1" w:rsidRDefault="003C4FF4" w:rsidP="004644D1">
      <w:pPr>
        <w:pStyle w:val="base-text-paragraph"/>
      </w:pPr>
      <w:r>
        <w:t>This</w:t>
      </w:r>
      <w:r w:rsidR="004644D1">
        <w:t xml:space="preserve"> obligation applies in relation to</w:t>
      </w:r>
      <w:r>
        <w:t xml:space="preserve"> </w:t>
      </w:r>
      <w:r w:rsidR="004644D1">
        <w:t>regulated person</w:t>
      </w:r>
      <w:r>
        <w:t>s</w:t>
      </w:r>
      <w:r w:rsidR="004644D1">
        <w:t xml:space="preserve"> that provide personal advice</w:t>
      </w:r>
      <w:r>
        <w:t>, or engage in conduct associated with such advice,</w:t>
      </w:r>
      <w:r w:rsidR="004644D1">
        <w:t xml:space="preserve"> in relation to the product. It is possible that such persons</w:t>
      </w:r>
      <w:r>
        <w:t xml:space="preserve"> may engage in conduct in</w:t>
      </w:r>
      <w:r w:rsidR="004644D1">
        <w:t xml:space="preserve"> relation to a significant dealing that is not consistent with the product’s target market determinatio</w:t>
      </w:r>
      <w:r w:rsidR="007F662A">
        <w:t>n. As such, it is necessary for the obligation to apply to them</w:t>
      </w:r>
      <w:r w:rsidR="004644D1">
        <w:t xml:space="preserve"> to ensure </w:t>
      </w:r>
      <w:r w:rsidR="007F662A">
        <w:t>that all significant dealings are appropriately notified.</w:t>
      </w:r>
    </w:p>
    <w:p w14:paraId="03DA3EF9" w14:textId="2A7AD81B" w:rsidR="00793836" w:rsidRDefault="00EF34EC" w:rsidP="00240FEC">
      <w:pPr>
        <w:pStyle w:val="base-text-paragraph"/>
      </w:pPr>
      <w:r>
        <w:t>Th</w:t>
      </w:r>
      <w:r w:rsidR="004644D1">
        <w:t>is</w:t>
      </w:r>
      <w:r>
        <w:t xml:space="preserve"> distribution obligation only applies where the product is on offer for issue (or re</w:t>
      </w:r>
      <w:r w:rsidR="00670D93">
        <w:t>gulated sale) to retail clients</w:t>
      </w:r>
      <w:r>
        <w:t>.</w:t>
      </w:r>
      <w:r w:rsidR="00240FEC">
        <w:t xml:space="preserve"> That is, when the financial product is no longer being issued, notifications are not required. </w:t>
      </w:r>
      <w:r w:rsidR="00240FEC">
        <w:rPr>
          <w:rStyle w:val="Referencingstyle"/>
        </w:rPr>
        <w:t>[Schedule 1, item 5</w:t>
      </w:r>
      <w:r w:rsidR="00240FEC" w:rsidRPr="00A24AD2">
        <w:rPr>
          <w:rStyle w:val="Referencingstyle"/>
        </w:rPr>
        <w:t xml:space="preserve">, </w:t>
      </w:r>
      <w:r w:rsidR="00806CAC">
        <w:rPr>
          <w:rStyle w:val="Referencingstyle"/>
        </w:rPr>
        <w:t xml:space="preserve">paragraph </w:t>
      </w:r>
      <w:r w:rsidR="00240FEC">
        <w:rPr>
          <w:rStyle w:val="Referencingstyle"/>
        </w:rPr>
        <w:t>994F(5)</w:t>
      </w:r>
      <w:r w:rsidR="00793836">
        <w:rPr>
          <w:rStyle w:val="Referencingstyle"/>
        </w:rPr>
        <w:t>(b)</w:t>
      </w:r>
      <w:r w:rsidR="00240FEC">
        <w:rPr>
          <w:rStyle w:val="Referencingstyle"/>
        </w:rPr>
        <w:t xml:space="preserve"> of the Corporations Act</w:t>
      </w:r>
      <w:r w:rsidR="00240FEC" w:rsidRPr="00A24AD2">
        <w:rPr>
          <w:rStyle w:val="Referencingstyle"/>
        </w:rPr>
        <w:t>]</w:t>
      </w:r>
      <w:r w:rsidR="00240FEC">
        <w:t xml:space="preserve">  </w:t>
      </w:r>
    </w:p>
    <w:p w14:paraId="792DC5B9" w14:textId="77777777" w:rsidR="00470523" w:rsidRDefault="00440B24" w:rsidP="00440B24">
      <w:pPr>
        <w:pStyle w:val="Heading3"/>
      </w:pPr>
      <w:r>
        <w:t>Promotional material must refer to target market</w:t>
      </w:r>
    </w:p>
    <w:p w14:paraId="6C07429D" w14:textId="77777777" w:rsidR="00042723" w:rsidRDefault="00042723" w:rsidP="00440B24">
      <w:pPr>
        <w:pStyle w:val="base-text-paragraph"/>
      </w:pPr>
      <w:r>
        <w:t>Currently, s</w:t>
      </w:r>
      <w:r w:rsidR="00440B24" w:rsidRPr="00440B24">
        <w:t>ection</w:t>
      </w:r>
      <w:r w:rsidR="00440B24">
        <w:t xml:space="preserve"> 1018A</w:t>
      </w:r>
      <w:r>
        <w:t xml:space="preserve"> of the Corporations Act</w:t>
      </w:r>
      <w:r w:rsidR="00440B24">
        <w:t xml:space="preserve"> requires advertising and promotional material for a financial product</w:t>
      </w:r>
      <w:r w:rsidR="00440B24" w:rsidRPr="005B119C">
        <w:t xml:space="preserve"> to refer to a product disclosure statement.</w:t>
      </w:r>
      <w:r>
        <w:t xml:space="preserve"> The new law amends section 1018A to require such advertising and promotional material to also refer to a product’s target market.</w:t>
      </w:r>
    </w:p>
    <w:p w14:paraId="6D937D57" w14:textId="77777777" w:rsidR="00042723" w:rsidRDefault="00042723" w:rsidP="00440B24">
      <w:pPr>
        <w:pStyle w:val="base-text-paragraph"/>
      </w:pPr>
      <w:r>
        <w:t xml:space="preserve">To achieve this, the new law amends two existing subsections within section 1018A so that they make appropriate reference to the new regime. </w:t>
      </w:r>
    </w:p>
    <w:p w14:paraId="4E3C59A2" w14:textId="45C14C6A" w:rsidR="00042723" w:rsidRDefault="00042723" w:rsidP="00042723">
      <w:pPr>
        <w:pStyle w:val="dotpoint"/>
      </w:pPr>
      <w:r>
        <w:t>The first amendment is to subsection 1018A(1) of the Corporations</w:t>
      </w:r>
      <w:r w:rsidR="00B530D6">
        <w:t xml:space="preserve"> Act, which applies where a financial product is available for acquisition by retail clients.</w:t>
      </w:r>
      <w:r>
        <w:t xml:space="preserve"> The amendment </w:t>
      </w:r>
      <w:r w:rsidR="00B530D6">
        <w:t>requires</w:t>
      </w:r>
      <w:r>
        <w:t xml:space="preserve"> an advertisement or published statement (that is reasonably likely to induce people to acquire the product</w:t>
      </w:r>
      <w:r w:rsidR="00B530D6">
        <w:t xml:space="preserve">) in relation to the product to describe the target market or specify where the </w:t>
      </w:r>
      <w:r w:rsidR="003F0AA0">
        <w:t>target market determination</w:t>
      </w:r>
      <w:r w:rsidR="00B530D6">
        <w:t xml:space="preserve"> is available.</w:t>
      </w:r>
      <w:r w:rsidR="00E17472" w:rsidRPr="00E17472">
        <w:rPr>
          <w:rStyle w:val="Referencingstyle"/>
        </w:rPr>
        <w:t xml:space="preserve"> </w:t>
      </w:r>
      <w:r w:rsidR="00E17472">
        <w:rPr>
          <w:rStyle w:val="Referencingstyle"/>
        </w:rPr>
        <w:t xml:space="preserve">[Schedule 1, item </w:t>
      </w:r>
      <w:r w:rsidR="0066414C">
        <w:rPr>
          <w:rStyle w:val="Referencingstyle"/>
        </w:rPr>
        <w:t>6</w:t>
      </w:r>
      <w:r w:rsidR="00E17472" w:rsidRPr="00A24AD2">
        <w:rPr>
          <w:rStyle w:val="Referencingstyle"/>
        </w:rPr>
        <w:t xml:space="preserve">, </w:t>
      </w:r>
      <w:r w:rsidR="00E17472">
        <w:rPr>
          <w:rStyle w:val="Referencingstyle"/>
        </w:rPr>
        <w:t>paragraph 1018A(1)(ca) of the Corporations Act</w:t>
      </w:r>
      <w:r w:rsidR="00E17472" w:rsidRPr="00A24AD2">
        <w:rPr>
          <w:rStyle w:val="Referencingstyle"/>
        </w:rPr>
        <w:t>]</w:t>
      </w:r>
      <w:r w:rsidR="00E17472">
        <w:t xml:space="preserve">    </w:t>
      </w:r>
    </w:p>
    <w:p w14:paraId="7C476C65" w14:textId="39056D4B" w:rsidR="00042723" w:rsidRDefault="00B530D6" w:rsidP="00042723">
      <w:pPr>
        <w:pStyle w:val="dotpoint"/>
      </w:pPr>
      <w:r>
        <w:t>The second amendment is to subsection 1018A(2) of the Corporations Act, w</w:t>
      </w:r>
      <w:r w:rsidR="00040316">
        <w:t>hich applies where a product is reasonably likely to</w:t>
      </w:r>
      <w:r>
        <w:t xml:space="preserve"> become available for acq</w:t>
      </w:r>
      <w:r w:rsidR="00040316">
        <w:t xml:space="preserve">uisition by retail clients. The amendment again requires an advertisement or published statement in relation to the product to describe the target market or specify where the description is available. </w:t>
      </w:r>
      <w:r w:rsidR="00E17472">
        <w:rPr>
          <w:rStyle w:val="Referencingstyle"/>
        </w:rPr>
        <w:t xml:space="preserve">[Schedule 1, item </w:t>
      </w:r>
      <w:r w:rsidR="0066414C">
        <w:rPr>
          <w:rStyle w:val="Referencingstyle"/>
        </w:rPr>
        <w:t>7</w:t>
      </w:r>
      <w:r w:rsidR="00E17472" w:rsidRPr="00A24AD2">
        <w:rPr>
          <w:rStyle w:val="Referencingstyle"/>
        </w:rPr>
        <w:t xml:space="preserve">, </w:t>
      </w:r>
      <w:r w:rsidR="00E17472">
        <w:rPr>
          <w:rStyle w:val="Referencingstyle"/>
        </w:rPr>
        <w:t>paragraph 1018A(2)(ca) of the Corporations Act</w:t>
      </w:r>
      <w:r w:rsidR="00E17472" w:rsidRPr="00A24AD2">
        <w:rPr>
          <w:rStyle w:val="Referencingstyle"/>
        </w:rPr>
        <w:t>]</w:t>
      </w:r>
      <w:r w:rsidR="00E17472">
        <w:t xml:space="preserve">    </w:t>
      </w:r>
      <w:r w:rsidR="00042723">
        <w:t xml:space="preserve"> </w:t>
      </w:r>
    </w:p>
    <w:p w14:paraId="5B166902" w14:textId="77777777" w:rsidR="00D84232" w:rsidRDefault="00040316" w:rsidP="00440B24">
      <w:pPr>
        <w:pStyle w:val="base-text-paragraph"/>
      </w:pPr>
      <w:r>
        <w:t>The remaining provisions of existing sectio</w:t>
      </w:r>
      <w:r w:rsidR="00D84232">
        <w:t xml:space="preserve">n 1018A are not affected by the amendments. </w:t>
      </w:r>
    </w:p>
    <w:p w14:paraId="05C75768" w14:textId="239D58B9" w:rsidR="00440B24" w:rsidRPr="00440B24" w:rsidRDefault="00040316" w:rsidP="00E17472">
      <w:pPr>
        <w:pStyle w:val="base-text-paragraph"/>
      </w:pPr>
      <w:r>
        <w:t xml:space="preserve"> </w:t>
      </w:r>
      <w:r w:rsidR="00E17472">
        <w:t xml:space="preserve">Existing section 1018A only applies in relation to products that require a product disclosure statement. Existing section </w:t>
      </w:r>
      <w:r w:rsidR="00440B24">
        <w:t>734</w:t>
      </w:r>
      <w:r w:rsidR="00E17472">
        <w:t xml:space="preserve"> of the Corporations Act generally</w:t>
      </w:r>
      <w:r w:rsidR="00440B24">
        <w:t xml:space="preserve"> prohibits advertising and </w:t>
      </w:r>
      <w:r w:rsidR="00440B24" w:rsidRPr="005B119C">
        <w:t>pr</w:t>
      </w:r>
      <w:r w:rsidR="00440B24">
        <w:t>omoting securities.</w:t>
      </w:r>
      <w:r w:rsidR="00440B24">
        <w:rPr>
          <w:rStyle w:val="FootnoteReference"/>
        </w:rPr>
        <w:footnoteReference w:id="34"/>
      </w:r>
      <w:r w:rsidR="00440B24">
        <w:t xml:space="preserve"> </w:t>
      </w:r>
    </w:p>
    <w:p w14:paraId="4B70F6EA" w14:textId="77777777" w:rsidR="009723C5" w:rsidRDefault="0082303B" w:rsidP="0082303B">
      <w:pPr>
        <w:pStyle w:val="Heading2"/>
      </w:pPr>
      <w:r>
        <w:t>ASIC’s</w:t>
      </w:r>
      <w:r w:rsidR="00E06ADC">
        <w:t xml:space="preserve"> </w:t>
      </w:r>
      <w:r>
        <w:t>powers</w:t>
      </w:r>
      <w:r w:rsidR="00F152FC">
        <w:t xml:space="preserve"> and associated matters</w:t>
      </w:r>
    </w:p>
    <w:p w14:paraId="47BD4972" w14:textId="77777777" w:rsidR="00095886" w:rsidRDefault="00F151E4" w:rsidP="00095886">
      <w:pPr>
        <w:pStyle w:val="base-text-paragraph"/>
      </w:pPr>
      <w:r>
        <w:t xml:space="preserve">The new law gives </w:t>
      </w:r>
      <w:r w:rsidR="00095886">
        <w:t xml:space="preserve">ASIC powers to support its </w:t>
      </w:r>
      <w:r w:rsidR="00E06ADC">
        <w:t>regulator</w:t>
      </w:r>
      <w:r>
        <w:t>y</w:t>
      </w:r>
      <w:r w:rsidR="00095886">
        <w:t xml:space="preserve"> role with respect to the </w:t>
      </w:r>
      <w:r>
        <w:t>new obligations</w:t>
      </w:r>
      <w:r w:rsidR="00E06ADC">
        <w:t>.</w:t>
      </w:r>
      <w:r w:rsidR="00095886">
        <w:t xml:space="preserve"> In particular, ASIC is provided with powers to: </w:t>
      </w:r>
    </w:p>
    <w:p w14:paraId="43B77D78" w14:textId="77777777" w:rsidR="00095886" w:rsidRDefault="00095886" w:rsidP="00095886">
      <w:pPr>
        <w:pStyle w:val="dotpoint"/>
      </w:pPr>
      <w:r>
        <w:t>request information relevant to its regulatory role;</w:t>
      </w:r>
    </w:p>
    <w:p w14:paraId="71554360" w14:textId="77777777" w:rsidR="00095886" w:rsidRDefault="00095886" w:rsidP="00095886">
      <w:pPr>
        <w:pStyle w:val="dotpoint"/>
      </w:pPr>
      <w:r>
        <w:t>issue stop orders in relation to suspected contraventions of the new regime; and</w:t>
      </w:r>
    </w:p>
    <w:p w14:paraId="6F06B175" w14:textId="77777777" w:rsidR="00095886" w:rsidRDefault="00095886" w:rsidP="00095886">
      <w:pPr>
        <w:pStyle w:val="dotpoint"/>
      </w:pPr>
      <w:r>
        <w:t>make exemptions and modifications to the new regime.</w:t>
      </w:r>
    </w:p>
    <w:p w14:paraId="6ED2D1CF" w14:textId="77777777" w:rsidR="00095886" w:rsidRDefault="00095886" w:rsidP="00095886">
      <w:pPr>
        <w:pStyle w:val="Heading3"/>
      </w:pPr>
      <w:r>
        <w:t>Information gathering power</w:t>
      </w:r>
    </w:p>
    <w:p w14:paraId="28C7D93A" w14:textId="66617F5B" w:rsidR="001B568D" w:rsidRDefault="00FE69E5" w:rsidP="00E06ADC">
      <w:pPr>
        <w:pStyle w:val="base-text-paragraph"/>
      </w:pPr>
      <w:r>
        <w:t xml:space="preserve">ASIC </w:t>
      </w:r>
      <w:r w:rsidR="00F151E4">
        <w:t xml:space="preserve">will have information gathering </w:t>
      </w:r>
      <w:r>
        <w:t>power</w:t>
      </w:r>
      <w:r w:rsidR="00F151E4">
        <w:t>s</w:t>
      </w:r>
      <w:r>
        <w:t xml:space="preserve"> to obtain information </w:t>
      </w:r>
      <w:r w:rsidR="00F151E4">
        <w:t>concerning</w:t>
      </w:r>
      <w:r w:rsidR="001B568D">
        <w:t xml:space="preserve">: </w:t>
      </w:r>
    </w:p>
    <w:p w14:paraId="15E5569F" w14:textId="28151F03" w:rsidR="001B568D" w:rsidRDefault="00FE69E5" w:rsidP="001B568D">
      <w:pPr>
        <w:pStyle w:val="dotpoint"/>
      </w:pPr>
      <w:r>
        <w:t>distribution information tha</w:t>
      </w:r>
      <w:r w:rsidR="001B568D">
        <w:t xml:space="preserve">t a regulated person possesses or has access to (see paragraphs </w:t>
      </w:r>
      <w:r w:rsidR="00885D63" w:rsidRPr="00F22DEA">
        <w:t>1.</w:t>
      </w:r>
      <w:r w:rsidR="000E5562" w:rsidRPr="00F22DEA">
        <w:t>9</w:t>
      </w:r>
      <w:r w:rsidR="00487338" w:rsidRPr="00F22DEA">
        <w:t>4</w:t>
      </w:r>
      <w:r w:rsidR="001B568D" w:rsidRPr="00AF58F2">
        <w:t>);</w:t>
      </w:r>
      <w:r w:rsidR="001B568D">
        <w:t xml:space="preserve"> and</w:t>
      </w:r>
    </w:p>
    <w:p w14:paraId="7DE1508D" w14:textId="48D9806E" w:rsidR="007B3332" w:rsidRDefault="001B568D" w:rsidP="00CE6699">
      <w:pPr>
        <w:pStyle w:val="dotpoint"/>
      </w:pPr>
      <w:r>
        <w:t xml:space="preserve">records the issuer must keep under the new regime (see paragraphs </w:t>
      </w:r>
      <w:r w:rsidR="00885D63" w:rsidRPr="00F22DEA">
        <w:t>1.</w:t>
      </w:r>
      <w:r w:rsidR="00487338" w:rsidRPr="00F22DEA">
        <w:t>70</w:t>
      </w:r>
      <w:r>
        <w:t xml:space="preserve">). </w:t>
      </w:r>
      <w:r w:rsidDel="00065809">
        <w:rPr>
          <w:rStyle w:val="Referencingstyle"/>
        </w:rPr>
        <w:t xml:space="preserve">[Schedule 1, item </w:t>
      </w:r>
      <w:r w:rsidR="000E5562">
        <w:rPr>
          <w:rStyle w:val="Referencingstyle"/>
        </w:rPr>
        <w:t>5</w:t>
      </w:r>
      <w:r w:rsidRPr="00A24AD2" w:rsidDel="00065809">
        <w:rPr>
          <w:rStyle w:val="Referencingstyle"/>
        </w:rPr>
        <w:t xml:space="preserve">, </w:t>
      </w:r>
      <w:r w:rsidDel="00065809">
        <w:rPr>
          <w:rStyle w:val="Referencingstyle"/>
        </w:rPr>
        <w:t>subsections 99</w:t>
      </w:r>
      <w:r w:rsidR="000E5562">
        <w:rPr>
          <w:rStyle w:val="Referencingstyle"/>
        </w:rPr>
        <w:t>4</w:t>
      </w:r>
      <w:r w:rsidDel="00065809">
        <w:rPr>
          <w:rStyle w:val="Referencingstyle"/>
        </w:rPr>
        <w:t>H(1) and 99</w:t>
      </w:r>
      <w:r w:rsidR="000E5562">
        <w:rPr>
          <w:rStyle w:val="Referencingstyle"/>
        </w:rPr>
        <w:t>4</w:t>
      </w:r>
      <w:r w:rsidDel="00065809">
        <w:rPr>
          <w:rStyle w:val="Referencingstyle"/>
        </w:rPr>
        <w:t>H(2) of the Corporations Act</w:t>
      </w:r>
      <w:r w:rsidRPr="00A24AD2" w:rsidDel="00065809">
        <w:rPr>
          <w:rStyle w:val="Referencingstyle"/>
        </w:rPr>
        <w:t>]</w:t>
      </w:r>
      <w:r w:rsidDel="00065809">
        <w:t xml:space="preserve">    </w:t>
      </w:r>
    </w:p>
    <w:p w14:paraId="10779560" w14:textId="77777777" w:rsidR="000B3873" w:rsidRDefault="001B568D" w:rsidP="00E06ADC">
      <w:pPr>
        <w:pStyle w:val="base-text-paragraph"/>
      </w:pPr>
      <w:r>
        <w:t xml:space="preserve">The </w:t>
      </w:r>
      <w:r w:rsidR="00F151E4">
        <w:t>new law sets out</w:t>
      </w:r>
      <w:r w:rsidR="000B3873">
        <w:t xml:space="preserve"> the process by which </w:t>
      </w:r>
      <w:r w:rsidR="00F151E4">
        <w:t xml:space="preserve">ASIC must request </w:t>
      </w:r>
      <w:r w:rsidR="000B3873">
        <w:t>information</w:t>
      </w:r>
      <w:r w:rsidR="00F151E4">
        <w:t xml:space="preserve"> and how it </w:t>
      </w:r>
      <w:r w:rsidR="00EE7E80">
        <w:t>ought to</w:t>
      </w:r>
      <w:r w:rsidR="00F151E4">
        <w:t xml:space="preserve"> be provided</w:t>
      </w:r>
      <w:r w:rsidR="000B3873">
        <w:t xml:space="preserve">. </w:t>
      </w:r>
      <w:r w:rsidR="00F151E4">
        <w:t>Specifically</w:t>
      </w:r>
      <w:r w:rsidR="000B3873">
        <w:t>:</w:t>
      </w:r>
    </w:p>
    <w:p w14:paraId="56AA4A02" w14:textId="77777777" w:rsidR="00606429" w:rsidRDefault="000B3873" w:rsidP="000B3873">
      <w:pPr>
        <w:pStyle w:val="dotpoint"/>
      </w:pPr>
      <w:r>
        <w:t>ASIC’s request for</w:t>
      </w:r>
      <w:r w:rsidR="00095886">
        <w:t xml:space="preserve"> the</w:t>
      </w:r>
      <w:r>
        <w:t xml:space="preserve"> information</w:t>
      </w:r>
      <w:r w:rsidR="00095886">
        <w:t xml:space="preserve"> or records</w:t>
      </w:r>
      <w:r w:rsidR="00606429">
        <w:t xml:space="preserve"> must be in writing; and</w:t>
      </w:r>
    </w:p>
    <w:p w14:paraId="5DE6092A" w14:textId="455FB135" w:rsidR="001B568D" w:rsidRDefault="00606429" w:rsidP="000B3873">
      <w:pPr>
        <w:pStyle w:val="dotpoint"/>
      </w:pPr>
      <w:r>
        <w:t>the response to</w:t>
      </w:r>
      <w:r w:rsidR="00095886">
        <w:t xml:space="preserve"> </w:t>
      </w:r>
      <w:r>
        <w:t xml:space="preserve">a request must be in writing and given to ASIC by the date specified in the request, or if no date is specified, within 10 business days after the day the person </w:t>
      </w:r>
      <w:r w:rsidR="00CE6699">
        <w:t xml:space="preserve">is notified of </w:t>
      </w:r>
      <w:r>
        <w:t xml:space="preserve">the request. </w:t>
      </w:r>
      <w:r>
        <w:rPr>
          <w:rStyle w:val="Referencingstyle"/>
        </w:rPr>
        <w:t>[Schedule 1, item 3</w:t>
      </w:r>
      <w:r w:rsidRPr="00A24AD2">
        <w:rPr>
          <w:rStyle w:val="Referencingstyle"/>
        </w:rPr>
        <w:t xml:space="preserve">, </w:t>
      </w:r>
      <w:r>
        <w:rPr>
          <w:rStyle w:val="Referencingstyle"/>
        </w:rPr>
        <w:t>section 99</w:t>
      </w:r>
      <w:r w:rsidR="00536289">
        <w:rPr>
          <w:rStyle w:val="Referencingstyle"/>
        </w:rPr>
        <w:t>4</w:t>
      </w:r>
      <w:r>
        <w:rPr>
          <w:rStyle w:val="Referencingstyle"/>
        </w:rPr>
        <w:t>H</w:t>
      </w:r>
      <w:r w:rsidR="00477B4F">
        <w:rPr>
          <w:rStyle w:val="Referencingstyle"/>
        </w:rPr>
        <w:t>(3)</w:t>
      </w:r>
      <w:r>
        <w:rPr>
          <w:rStyle w:val="Referencingstyle"/>
        </w:rPr>
        <w:t xml:space="preserve"> of the Corporations Act</w:t>
      </w:r>
      <w:r w:rsidRPr="00A24AD2">
        <w:rPr>
          <w:rStyle w:val="Referencingstyle"/>
        </w:rPr>
        <w:t>]</w:t>
      </w:r>
      <w:r>
        <w:t xml:space="preserve">    </w:t>
      </w:r>
    </w:p>
    <w:p w14:paraId="5CFA7350" w14:textId="77777777" w:rsidR="00DD1CF4" w:rsidRDefault="00DD1CF4" w:rsidP="00095886">
      <w:pPr>
        <w:pStyle w:val="Heading3"/>
      </w:pPr>
      <w:r>
        <w:t xml:space="preserve">Stop </w:t>
      </w:r>
      <w:r w:rsidR="00095886">
        <w:t>orders power</w:t>
      </w:r>
    </w:p>
    <w:p w14:paraId="0F26A2DA" w14:textId="77777777" w:rsidR="00047AEE" w:rsidRDefault="00047AEE" w:rsidP="00DD1CF4">
      <w:pPr>
        <w:pStyle w:val="base-text-paragraph"/>
      </w:pPr>
      <w:r>
        <w:t xml:space="preserve">The new law gives </w:t>
      </w:r>
      <w:r w:rsidR="00DD1CF4">
        <w:t xml:space="preserve">ASIC </w:t>
      </w:r>
      <w:r w:rsidR="00270E10">
        <w:t>the power</w:t>
      </w:r>
      <w:r w:rsidR="00DD1CF4">
        <w:t xml:space="preserve"> to make</w:t>
      </w:r>
      <w:r w:rsidR="00270E10">
        <w:t xml:space="preserve"> a stop order</w:t>
      </w:r>
      <w:r w:rsidR="00DD1CF4">
        <w:t xml:space="preserve"> with respect to certain contraventions of the new regime. The relevant contraventions</w:t>
      </w:r>
      <w:r w:rsidR="0093301A">
        <w:t xml:space="preserve"> are those relating to: </w:t>
      </w:r>
    </w:p>
    <w:p w14:paraId="5842300E" w14:textId="695DA0DA" w:rsidR="00047AEE" w:rsidRDefault="0093301A" w:rsidP="00424951">
      <w:pPr>
        <w:pStyle w:val="dotpoint"/>
      </w:pPr>
      <w:r>
        <w:t>a failure to make</w:t>
      </w:r>
      <w:r w:rsidR="00D3559F">
        <w:t xml:space="preserve"> and review</w:t>
      </w:r>
      <w:r>
        <w:t xml:space="preserve"> a target market determination; </w:t>
      </w:r>
    </w:p>
    <w:p w14:paraId="7E3A5F06" w14:textId="33197334" w:rsidR="00047AEE" w:rsidRDefault="00A34808" w:rsidP="00424951">
      <w:pPr>
        <w:pStyle w:val="dotpoint"/>
      </w:pPr>
      <w:r>
        <w:t>engaging in retail product distribution conduct</w:t>
      </w:r>
      <w:r w:rsidR="0093301A">
        <w:t xml:space="preserve"> in relation to a product without a determination</w:t>
      </w:r>
      <w:r w:rsidR="00D3559F">
        <w:t xml:space="preserve"> or with a determination that is</w:t>
      </w:r>
      <w:r w:rsidR="00702C69">
        <w:t xml:space="preserve"> no longer</w:t>
      </w:r>
      <w:r w:rsidR="00D3559F">
        <w:t xml:space="preserve"> appropriate</w:t>
      </w:r>
      <w:r w:rsidR="0093301A">
        <w:t xml:space="preserve">; and </w:t>
      </w:r>
    </w:p>
    <w:p w14:paraId="205C767F" w14:textId="726569EE" w:rsidR="00047AEE" w:rsidRDefault="0093301A" w:rsidP="00424951">
      <w:pPr>
        <w:pStyle w:val="dotpoint"/>
      </w:pPr>
      <w:r>
        <w:t xml:space="preserve">failing to take reasonable steps </w:t>
      </w:r>
      <w:r w:rsidR="008722B1">
        <w:t xml:space="preserve">so that </w:t>
      </w:r>
      <w:r w:rsidR="00A34808">
        <w:t>retail product distribution conduct</w:t>
      </w:r>
      <w:r w:rsidR="008722B1">
        <w:t xml:space="preserve"> is consistent with the target market determination</w:t>
      </w:r>
      <w:r>
        <w:t>.</w:t>
      </w:r>
      <w:r w:rsidR="00270E10">
        <w:t xml:space="preserve"> </w:t>
      </w:r>
      <w:r w:rsidR="00A34808">
        <w:rPr>
          <w:rStyle w:val="Referencingstyle"/>
        </w:rPr>
        <w:t>[Schedule 1, item 5</w:t>
      </w:r>
      <w:r w:rsidR="00A34808" w:rsidRPr="00A24AD2">
        <w:rPr>
          <w:rStyle w:val="Referencingstyle"/>
        </w:rPr>
        <w:t xml:space="preserve">, </w:t>
      </w:r>
      <w:r w:rsidR="00A34808">
        <w:rPr>
          <w:rStyle w:val="Referencingstyle"/>
        </w:rPr>
        <w:t>subsection 99</w:t>
      </w:r>
      <w:r w:rsidR="00CF2576">
        <w:rPr>
          <w:rStyle w:val="Referencingstyle"/>
        </w:rPr>
        <w:t>4</w:t>
      </w:r>
      <w:r w:rsidR="00A34808">
        <w:rPr>
          <w:rStyle w:val="Referencingstyle"/>
        </w:rPr>
        <w:t>J(1) of the Corporations Act</w:t>
      </w:r>
      <w:r w:rsidR="00A34808" w:rsidRPr="00A24AD2">
        <w:rPr>
          <w:rStyle w:val="Referencingstyle"/>
        </w:rPr>
        <w:t>]</w:t>
      </w:r>
      <w:r w:rsidR="00A34808">
        <w:t xml:space="preserve">    </w:t>
      </w:r>
    </w:p>
    <w:p w14:paraId="163AAFA5" w14:textId="1D5D50A0" w:rsidR="00DD1CF4" w:rsidRDefault="00270E10" w:rsidP="00DD1CF4">
      <w:pPr>
        <w:pStyle w:val="base-text-paragraph"/>
      </w:pPr>
      <w:r>
        <w:t>The power to make stop orders with respect to these contraventions</w:t>
      </w:r>
      <w:r w:rsidR="0093301A">
        <w:t xml:space="preserve"> </w:t>
      </w:r>
      <w:r>
        <w:t xml:space="preserve">reflects their key role in </w:t>
      </w:r>
      <w:r w:rsidR="0093301A">
        <w:t xml:space="preserve">promoting the provision of suitable financial products to consumers. </w:t>
      </w:r>
      <w:r w:rsidR="00AC5B5C">
        <w:t>The intent of stop orders in relation to the new regime is to protect retail clients from breaches of the design and distribution regime.</w:t>
      </w:r>
    </w:p>
    <w:p w14:paraId="647107AF" w14:textId="2AA6C578" w:rsidR="00E80822" w:rsidRDefault="00E80822" w:rsidP="00E80822">
      <w:pPr>
        <w:pStyle w:val="base-text-paragraph"/>
      </w:pPr>
      <w:r>
        <w:t xml:space="preserve">There are </w:t>
      </w:r>
      <w:r w:rsidR="00796B1B">
        <w:t>two</w:t>
      </w:r>
      <w:r>
        <w:t xml:space="preserve"> principal obligations associated</w:t>
      </w:r>
      <w:r w:rsidR="008605DA">
        <w:t xml:space="preserve"> with</w:t>
      </w:r>
      <w:r>
        <w:t xml:space="preserve"> a stop order. These are: </w:t>
      </w:r>
    </w:p>
    <w:p w14:paraId="5F40ADFF" w14:textId="5465434C" w:rsidR="00E80822" w:rsidRDefault="008605DA" w:rsidP="00E80822">
      <w:pPr>
        <w:pStyle w:val="dotpoint"/>
      </w:pPr>
      <w:r>
        <w:t>the person on whom the order is served, or a person who is aware of the order, must not engage in conduct contrary to the order;</w:t>
      </w:r>
      <w:r w:rsidR="00821815">
        <w:t xml:space="preserve"> and,</w:t>
      </w:r>
      <w:r>
        <w:t xml:space="preserve"> </w:t>
      </w:r>
    </w:p>
    <w:p w14:paraId="30D1395C" w14:textId="379DD0B7" w:rsidR="00E80822" w:rsidRPr="0066611F" w:rsidRDefault="008605DA" w:rsidP="00E80822">
      <w:pPr>
        <w:pStyle w:val="dotpoint"/>
      </w:pPr>
      <w:r>
        <w:t>the</w:t>
      </w:r>
      <w:r w:rsidR="00E80822">
        <w:t xml:space="preserve"> person</w:t>
      </w:r>
      <w:r>
        <w:t xml:space="preserve"> on</w:t>
      </w:r>
      <w:r w:rsidR="00E80822">
        <w:t xml:space="preserve"> who</w:t>
      </w:r>
      <w:r>
        <w:t>m</w:t>
      </w:r>
      <w:r w:rsidR="00E80822">
        <w:t xml:space="preserve"> t</w:t>
      </w:r>
      <w:r>
        <w:t xml:space="preserve">he order is served must </w:t>
      </w:r>
      <w:r w:rsidR="00E80822">
        <w:t>take reasonable steps to ensure other pe</w:t>
      </w:r>
      <w:r>
        <w:t>ople who engage in the conduct to which the order applies are aware of the order.</w:t>
      </w:r>
      <w:r w:rsidR="00E80822" w:rsidRPr="0066611F">
        <w:t xml:space="preserve"> </w:t>
      </w:r>
      <w:r w:rsidR="00E80822" w:rsidRPr="00073EDE">
        <w:rPr>
          <w:rStyle w:val="Referencingstyle"/>
        </w:rPr>
        <w:t>[Schedul</w:t>
      </w:r>
      <w:r w:rsidR="00F4547B">
        <w:rPr>
          <w:rStyle w:val="Referencingstyle"/>
        </w:rPr>
        <w:t xml:space="preserve">e 1, item </w:t>
      </w:r>
      <w:r w:rsidR="00EA1646">
        <w:rPr>
          <w:rStyle w:val="Referencingstyle"/>
        </w:rPr>
        <w:t>5</w:t>
      </w:r>
      <w:r w:rsidR="00E80822">
        <w:rPr>
          <w:rStyle w:val="Referencingstyle"/>
        </w:rPr>
        <w:t>, subsections 99</w:t>
      </w:r>
      <w:r w:rsidR="00EA1646">
        <w:rPr>
          <w:rStyle w:val="Referencingstyle"/>
        </w:rPr>
        <w:t>4</w:t>
      </w:r>
      <w:r w:rsidR="00A34808">
        <w:rPr>
          <w:rStyle w:val="Referencingstyle"/>
        </w:rPr>
        <w:t>J</w:t>
      </w:r>
      <w:r w:rsidR="00E80822">
        <w:rPr>
          <w:rStyle w:val="Referencingstyle"/>
        </w:rPr>
        <w:t>(2</w:t>
      </w:r>
      <w:r w:rsidR="00E80822" w:rsidRPr="00073EDE">
        <w:rPr>
          <w:rStyle w:val="Referencingstyle"/>
        </w:rPr>
        <w:t>)</w:t>
      </w:r>
      <w:r w:rsidR="00EA1646">
        <w:rPr>
          <w:rStyle w:val="Referencingstyle"/>
        </w:rPr>
        <w:t xml:space="preserve"> and</w:t>
      </w:r>
      <w:r>
        <w:rPr>
          <w:rStyle w:val="Referencingstyle"/>
        </w:rPr>
        <w:t xml:space="preserve"> 99</w:t>
      </w:r>
      <w:r w:rsidR="00EA1646">
        <w:rPr>
          <w:rStyle w:val="Referencingstyle"/>
        </w:rPr>
        <w:t>4</w:t>
      </w:r>
      <w:r w:rsidR="00CF2576">
        <w:rPr>
          <w:rStyle w:val="Referencingstyle"/>
        </w:rPr>
        <w:t>J</w:t>
      </w:r>
      <w:r>
        <w:rPr>
          <w:rStyle w:val="Referencingstyle"/>
        </w:rPr>
        <w:t>(</w:t>
      </w:r>
      <w:r w:rsidR="00A34808">
        <w:rPr>
          <w:rStyle w:val="Referencingstyle"/>
        </w:rPr>
        <w:t>7</w:t>
      </w:r>
      <w:r>
        <w:rPr>
          <w:rStyle w:val="Referencingstyle"/>
        </w:rPr>
        <w:t>)</w:t>
      </w:r>
      <w:r w:rsidR="00EA1646">
        <w:rPr>
          <w:rStyle w:val="Referencingstyle"/>
        </w:rPr>
        <w:t xml:space="preserve"> </w:t>
      </w:r>
      <w:r w:rsidR="00E80822" w:rsidRPr="00073EDE">
        <w:rPr>
          <w:rStyle w:val="Referencingstyle"/>
        </w:rPr>
        <w:t xml:space="preserve">of the Corporations Act]  </w:t>
      </w:r>
    </w:p>
    <w:p w14:paraId="65924DD8" w14:textId="18AA0B3A" w:rsidR="00E80822" w:rsidRPr="004B7EB7" w:rsidRDefault="008605DA" w:rsidP="00E80822">
      <w:pPr>
        <w:pStyle w:val="base-text-paragraph"/>
        <w:rPr>
          <w:rStyle w:val="Referencingstyle"/>
          <w:b w:val="0"/>
          <w:i w:val="0"/>
          <w:sz w:val="22"/>
        </w:rPr>
      </w:pPr>
      <w:r>
        <w:t>Before making a stop</w:t>
      </w:r>
      <w:r w:rsidR="00E80822">
        <w:t xml:space="preserve"> order ASIC must</w:t>
      </w:r>
      <w:r>
        <w:t xml:space="preserve"> </w:t>
      </w:r>
      <w:r w:rsidR="00E80822">
        <w:t>hold a hearing and take submissions on whether it should be made. However, if the delay from that process would be prejudicial to the public interest an interim 21 day order can be made without consultation.</w:t>
      </w:r>
      <w:r>
        <w:t xml:space="preserve"> An interim order can also be made at </w:t>
      </w:r>
      <w:r w:rsidR="00F4547B">
        <w:t>any time</w:t>
      </w:r>
      <w:r>
        <w:t xml:space="preserve"> </w:t>
      </w:r>
      <w:r w:rsidR="00F4547B">
        <w:t>during the hearing, in which case it will last until ASIC makes a final order or the interim order is revoked.</w:t>
      </w:r>
      <w:r w:rsidR="00E80822">
        <w:t xml:space="preserve"> </w:t>
      </w:r>
      <w:r w:rsidR="00E80822" w:rsidRPr="00073EDE">
        <w:rPr>
          <w:rStyle w:val="Referencingstyle"/>
        </w:rPr>
        <w:t>[Schedul</w:t>
      </w:r>
      <w:r w:rsidR="00F4547B">
        <w:rPr>
          <w:rStyle w:val="Referencingstyle"/>
        </w:rPr>
        <w:t xml:space="preserve">e 1, item </w:t>
      </w:r>
      <w:r w:rsidR="005526B2">
        <w:rPr>
          <w:rStyle w:val="Referencingstyle"/>
        </w:rPr>
        <w:t>5</w:t>
      </w:r>
      <w:r w:rsidR="00E80822">
        <w:rPr>
          <w:rStyle w:val="Referencingstyle"/>
        </w:rPr>
        <w:t>, subsections 99</w:t>
      </w:r>
      <w:r w:rsidR="005526B2">
        <w:rPr>
          <w:rStyle w:val="Referencingstyle"/>
        </w:rPr>
        <w:t>4J</w:t>
      </w:r>
      <w:r w:rsidR="00E80822">
        <w:rPr>
          <w:rStyle w:val="Referencingstyle"/>
        </w:rPr>
        <w:t>(</w:t>
      </w:r>
      <w:r w:rsidR="005526B2">
        <w:rPr>
          <w:rStyle w:val="Referencingstyle"/>
        </w:rPr>
        <w:t>3</w:t>
      </w:r>
      <w:r w:rsidR="00E80822" w:rsidRPr="00073EDE">
        <w:rPr>
          <w:rStyle w:val="Referencingstyle"/>
        </w:rPr>
        <w:t>)</w:t>
      </w:r>
      <w:r w:rsidR="00F4547B">
        <w:rPr>
          <w:rStyle w:val="Referencingstyle"/>
        </w:rPr>
        <w:t>, 99</w:t>
      </w:r>
      <w:r w:rsidR="005526B2">
        <w:rPr>
          <w:rStyle w:val="Referencingstyle"/>
        </w:rPr>
        <w:t>4J</w:t>
      </w:r>
      <w:r w:rsidR="00F4547B">
        <w:rPr>
          <w:rStyle w:val="Referencingstyle"/>
        </w:rPr>
        <w:t>(</w:t>
      </w:r>
      <w:r w:rsidR="005526B2">
        <w:rPr>
          <w:rStyle w:val="Referencingstyle"/>
        </w:rPr>
        <w:t>4</w:t>
      </w:r>
      <w:r w:rsidR="00F4547B">
        <w:rPr>
          <w:rStyle w:val="Referencingstyle"/>
        </w:rPr>
        <w:t>) and 99</w:t>
      </w:r>
      <w:r w:rsidR="005526B2">
        <w:rPr>
          <w:rStyle w:val="Referencingstyle"/>
        </w:rPr>
        <w:t>4J</w:t>
      </w:r>
      <w:r w:rsidR="00F4547B">
        <w:rPr>
          <w:rStyle w:val="Referencingstyle"/>
        </w:rPr>
        <w:t>(</w:t>
      </w:r>
      <w:r w:rsidR="005526B2">
        <w:rPr>
          <w:rStyle w:val="Referencingstyle"/>
        </w:rPr>
        <w:t>5</w:t>
      </w:r>
      <w:r w:rsidR="00F4547B">
        <w:rPr>
          <w:rStyle w:val="Referencingstyle"/>
        </w:rPr>
        <w:t>)</w:t>
      </w:r>
      <w:r w:rsidR="00E80822">
        <w:rPr>
          <w:rStyle w:val="Referencingstyle"/>
        </w:rPr>
        <w:t xml:space="preserve"> </w:t>
      </w:r>
      <w:r w:rsidR="00E80822" w:rsidRPr="00073EDE">
        <w:rPr>
          <w:rStyle w:val="Referencingstyle"/>
        </w:rPr>
        <w:t xml:space="preserve">of the Corporations Act]  </w:t>
      </w:r>
    </w:p>
    <w:p w14:paraId="38C145FD" w14:textId="25D19A62" w:rsidR="00851077" w:rsidRDefault="00DD1CF4" w:rsidP="00DD1CF4">
      <w:pPr>
        <w:pStyle w:val="base-text-paragraph"/>
        <w:tabs>
          <w:tab w:val="num" w:pos="-2156"/>
        </w:tabs>
      </w:pPr>
      <w:r>
        <w:t xml:space="preserve">ASIC </w:t>
      </w:r>
      <w:r w:rsidR="0016440D">
        <w:t>currently</w:t>
      </w:r>
      <w:r>
        <w:t xml:space="preserve"> has the powe</w:t>
      </w:r>
      <w:r w:rsidR="00270E10">
        <w:t xml:space="preserve">r to make </w:t>
      </w:r>
      <w:r w:rsidR="00477951">
        <w:t>a stop order</w:t>
      </w:r>
      <w:r w:rsidR="00270E10">
        <w:t xml:space="preserve"> in relation to contraventions of</w:t>
      </w:r>
      <w:r w:rsidR="00280ABF">
        <w:t xml:space="preserve"> key provisions</w:t>
      </w:r>
      <w:r w:rsidR="00270E10">
        <w:t xml:space="preserve"> of</w:t>
      </w:r>
      <w:r w:rsidR="00280ABF">
        <w:t xml:space="preserve"> the</w:t>
      </w:r>
      <w:r w:rsidR="00270E10">
        <w:t xml:space="preserve"> disclosure regime for financial products.</w:t>
      </w:r>
      <w:r w:rsidR="00270E10">
        <w:rPr>
          <w:rStyle w:val="FootnoteReference"/>
        </w:rPr>
        <w:footnoteReference w:id="35"/>
      </w:r>
      <w:r w:rsidR="00270E10">
        <w:t xml:space="preserve"> The amendments</w:t>
      </w:r>
      <w:r w:rsidR="00C42928">
        <w:t xml:space="preserve"> are based on</w:t>
      </w:r>
      <w:r w:rsidR="00270E10">
        <w:t xml:space="preserve"> t</w:t>
      </w:r>
      <w:r w:rsidR="00280ABF">
        <w:t>hese existing</w:t>
      </w:r>
      <w:r w:rsidR="00270E10">
        <w:t xml:space="preserve"> provisions</w:t>
      </w:r>
      <w:r w:rsidR="00477951">
        <w:t>. The principles</w:t>
      </w:r>
      <w:r w:rsidR="00851077">
        <w:t xml:space="preserve"> applicable to ASIC’s existing</w:t>
      </w:r>
      <w:r w:rsidR="00477951">
        <w:t xml:space="preserve"> stop</w:t>
      </w:r>
      <w:r w:rsidR="00851077">
        <w:t xml:space="preserve"> order powers with respect to the disclosure regime apply equally </w:t>
      </w:r>
      <w:r w:rsidR="00477951">
        <w:t>in the context of</w:t>
      </w:r>
      <w:r w:rsidR="00851077">
        <w:t xml:space="preserve"> the stop order power contained in the Bill.  </w:t>
      </w:r>
    </w:p>
    <w:p w14:paraId="69A6D1AD" w14:textId="5BCA887F" w:rsidR="008B2D19" w:rsidRDefault="008B3DFB" w:rsidP="008B3DFB">
      <w:pPr>
        <w:pStyle w:val="base-text-paragraph"/>
        <w:tabs>
          <w:tab w:val="num" w:pos="-2156"/>
        </w:tabs>
      </w:pPr>
      <w:r>
        <w:t xml:space="preserve">The </w:t>
      </w:r>
      <w:r w:rsidR="00477951">
        <w:t>amendments</w:t>
      </w:r>
      <w:r>
        <w:t xml:space="preserve"> provide that a stop order is not a legislat</w:t>
      </w:r>
      <w:r w:rsidR="00477951">
        <w:t xml:space="preserve">ive instrument. This provision is </w:t>
      </w:r>
      <w:r>
        <w:t xml:space="preserve">included only to inform readers of the </w:t>
      </w:r>
      <w:r w:rsidR="008B2D19">
        <w:t>character</w:t>
      </w:r>
      <w:r>
        <w:t xml:space="preserve"> of a stop order.</w:t>
      </w:r>
      <w:r w:rsidR="008B2D19">
        <w:t xml:space="preserve"> A stop order is non</w:t>
      </w:r>
      <w:r w:rsidR="008B2D19">
        <w:noBreakHyphen/>
        <w:t>legislative in character as it must relate to a suspected contravention of the law and therefore applies the law in a particular case.</w:t>
      </w:r>
      <w:r w:rsidR="00DB7955">
        <w:rPr>
          <w:rStyle w:val="FootnoteReference"/>
        </w:rPr>
        <w:footnoteReference w:id="36"/>
      </w:r>
      <w:r w:rsidR="008B2D19">
        <w:t xml:space="preserve"> </w:t>
      </w:r>
      <w:r w:rsidR="00477951">
        <w:rPr>
          <w:rStyle w:val="Referencingstyle"/>
        </w:rPr>
        <w:t>[Schedule 1, item 3</w:t>
      </w:r>
      <w:r w:rsidR="00477951" w:rsidRPr="00A24AD2">
        <w:rPr>
          <w:rStyle w:val="Referencingstyle"/>
        </w:rPr>
        <w:t xml:space="preserve">, </w:t>
      </w:r>
      <w:r w:rsidR="00477951">
        <w:rPr>
          <w:rStyle w:val="Referencingstyle"/>
        </w:rPr>
        <w:t>subsection 99</w:t>
      </w:r>
      <w:r w:rsidR="006A7865">
        <w:rPr>
          <w:rStyle w:val="Referencingstyle"/>
        </w:rPr>
        <w:t>4</w:t>
      </w:r>
      <w:r w:rsidR="00F52FC8">
        <w:rPr>
          <w:rStyle w:val="Referencingstyle"/>
        </w:rPr>
        <w:t>J</w:t>
      </w:r>
      <w:r w:rsidR="00477951">
        <w:rPr>
          <w:rStyle w:val="Referencingstyle"/>
        </w:rPr>
        <w:t>(2) of the Corporations Act</w:t>
      </w:r>
      <w:r w:rsidR="00477951" w:rsidRPr="00A24AD2">
        <w:rPr>
          <w:rStyle w:val="Referencingstyle"/>
        </w:rPr>
        <w:t>]</w:t>
      </w:r>
      <w:r w:rsidR="00477951">
        <w:t xml:space="preserve">    </w:t>
      </w:r>
    </w:p>
    <w:p w14:paraId="3FC6C0B9" w14:textId="77777777" w:rsidR="00DD1CF4" w:rsidRDefault="00FE69E5" w:rsidP="00FE69E5">
      <w:pPr>
        <w:pStyle w:val="Heading3"/>
      </w:pPr>
      <w:r>
        <w:t>Exemption and modification powers</w:t>
      </w:r>
    </w:p>
    <w:p w14:paraId="46DC621B" w14:textId="77777777" w:rsidR="00095886" w:rsidRDefault="00047AEE" w:rsidP="00FE69E5">
      <w:pPr>
        <w:pStyle w:val="base-text-paragraph"/>
        <w:tabs>
          <w:tab w:val="num" w:pos="-3285"/>
          <w:tab w:val="num" w:pos="-2156"/>
        </w:tabs>
      </w:pPr>
      <w:r>
        <w:t xml:space="preserve">The new law gives ASIC </w:t>
      </w:r>
      <w:r w:rsidR="00095886">
        <w:t xml:space="preserve">the power to make </w:t>
      </w:r>
      <w:r w:rsidR="000E0DA1">
        <w:t>exemptions and modifications to the new regime. In particular, ASIC may:</w:t>
      </w:r>
    </w:p>
    <w:p w14:paraId="0FAC8B0A" w14:textId="77777777" w:rsidR="00135A9B" w:rsidRDefault="00135A9B" w:rsidP="00135A9B">
      <w:pPr>
        <w:pStyle w:val="dotpoint"/>
      </w:pPr>
      <w:r>
        <w:t>exempt a person or class of persons from all or specified provisions of the new regime;</w:t>
      </w:r>
    </w:p>
    <w:p w14:paraId="695EC151" w14:textId="77777777" w:rsidR="00135A9B" w:rsidRDefault="00135A9B" w:rsidP="00135A9B">
      <w:pPr>
        <w:pStyle w:val="dotpoint"/>
      </w:pPr>
      <w:r>
        <w:t>exempt a financial product or a class of financial products from all or specified provisions of the new regime; or</w:t>
      </w:r>
    </w:p>
    <w:p w14:paraId="732B3396" w14:textId="271ECCE5" w:rsidR="000E0DA1" w:rsidRDefault="00135A9B" w:rsidP="00135A9B">
      <w:pPr>
        <w:pStyle w:val="dotpoint"/>
      </w:pPr>
      <w:r>
        <w:t>declare that the new regime applies in relation to a person or financial product (or class of person or products) as if specified provisions were omitted, modified or varied as specified in the declaration.</w:t>
      </w:r>
      <w:r w:rsidR="00AF31E7">
        <w:t xml:space="preserve"> </w:t>
      </w:r>
      <w:r w:rsidR="00AF31E7">
        <w:rPr>
          <w:rStyle w:val="Referencingstyle"/>
        </w:rPr>
        <w:t xml:space="preserve">[Schedule 1, item </w:t>
      </w:r>
      <w:r w:rsidR="00542F08">
        <w:rPr>
          <w:rStyle w:val="Referencingstyle"/>
        </w:rPr>
        <w:t>5</w:t>
      </w:r>
      <w:r w:rsidR="00AF31E7" w:rsidRPr="00A24AD2">
        <w:rPr>
          <w:rStyle w:val="Referencingstyle"/>
        </w:rPr>
        <w:t xml:space="preserve">, </w:t>
      </w:r>
      <w:r w:rsidR="00AF31E7">
        <w:rPr>
          <w:rStyle w:val="Referencingstyle"/>
        </w:rPr>
        <w:t>sections 99</w:t>
      </w:r>
      <w:r w:rsidR="00542F08">
        <w:rPr>
          <w:rStyle w:val="Referencingstyle"/>
        </w:rPr>
        <w:t>4K</w:t>
      </w:r>
      <w:r w:rsidR="00AF31E7">
        <w:rPr>
          <w:rStyle w:val="Referencingstyle"/>
        </w:rPr>
        <w:t xml:space="preserve"> and 99</w:t>
      </w:r>
      <w:r w:rsidR="00542F08">
        <w:rPr>
          <w:rStyle w:val="Referencingstyle"/>
        </w:rPr>
        <w:t>4L</w:t>
      </w:r>
      <w:r w:rsidR="00AF31E7">
        <w:rPr>
          <w:rStyle w:val="Referencingstyle"/>
        </w:rPr>
        <w:t xml:space="preserve"> of the Corporations Act</w:t>
      </w:r>
      <w:r w:rsidR="00AF31E7" w:rsidRPr="00A24AD2">
        <w:rPr>
          <w:rStyle w:val="Referencingstyle"/>
        </w:rPr>
        <w:t>]</w:t>
      </w:r>
      <w:r w:rsidR="00AF31E7">
        <w:t xml:space="preserve">    </w:t>
      </w:r>
    </w:p>
    <w:p w14:paraId="5B6708A9" w14:textId="3B9BE31F" w:rsidR="00135A9B" w:rsidRDefault="00135A9B" w:rsidP="00135A9B">
      <w:pPr>
        <w:pStyle w:val="base-text-paragraph"/>
        <w:tabs>
          <w:tab w:val="num" w:pos="-2156"/>
        </w:tabs>
      </w:pPr>
      <w:r>
        <w:t xml:space="preserve">ASIC presently has exemption and modification powers </w:t>
      </w:r>
      <w:r w:rsidR="00047AEE">
        <w:t>concerning</w:t>
      </w:r>
      <w:r>
        <w:t xml:space="preserve"> the disclosure regime for financial products.</w:t>
      </w:r>
      <w:r>
        <w:rPr>
          <w:rStyle w:val="FootnoteReference"/>
        </w:rPr>
        <w:footnoteReference w:id="37"/>
      </w:r>
      <w:r>
        <w:t xml:space="preserve"> The amendments, in effect, replicate these existing provisions</w:t>
      </w:r>
      <w:r w:rsidR="00AF31E7">
        <w:t xml:space="preserve"> and apply them as </w:t>
      </w:r>
      <w:r w:rsidR="00047AEE">
        <w:t xml:space="preserve">appropriate </w:t>
      </w:r>
      <w:r w:rsidR="00AF31E7">
        <w:t xml:space="preserve">to </w:t>
      </w:r>
      <w:r>
        <w:t>the new design and distribution regime. The principles applicable to ASI</w:t>
      </w:r>
      <w:r w:rsidR="00AF31E7">
        <w:t>C’s existing exemption and modification powers</w:t>
      </w:r>
      <w:r>
        <w:t xml:space="preserve"> with respect to the disclosure regime</w:t>
      </w:r>
      <w:r w:rsidR="00AF31E7">
        <w:t xml:space="preserve"> also</w:t>
      </w:r>
      <w:r>
        <w:t xml:space="preserve"> apply in the context of</w:t>
      </w:r>
      <w:r w:rsidR="00AF31E7">
        <w:t xml:space="preserve"> the present amendments.</w:t>
      </w:r>
      <w:r>
        <w:t xml:space="preserve">  </w:t>
      </w:r>
    </w:p>
    <w:p w14:paraId="1AC42F50" w14:textId="1E6FD057" w:rsidR="002057BF" w:rsidRDefault="00FE69E5" w:rsidP="001E17D3">
      <w:pPr>
        <w:pStyle w:val="base-text-paragraph"/>
      </w:pPr>
      <w:r w:rsidRPr="00BE6969">
        <w:t>Th</w:t>
      </w:r>
      <w:r>
        <w:t xml:space="preserve">e exemption and modification </w:t>
      </w:r>
      <w:r w:rsidR="00D4061D">
        <w:t>powers support the effective operation of the new regime.</w:t>
      </w:r>
      <w:r w:rsidR="002057BF">
        <w:t xml:space="preserve"> In particular, </w:t>
      </w:r>
      <w:r w:rsidR="00AF58F2">
        <w:t>they</w:t>
      </w:r>
      <w:r w:rsidR="00D4061D">
        <w:t xml:space="preserve"> provide ASIC with the</w:t>
      </w:r>
      <w:r w:rsidR="00C85715">
        <w:t xml:space="preserve"> flexibility</w:t>
      </w:r>
      <w:r w:rsidR="002057BF">
        <w:t xml:space="preserve"> to make exemptions </w:t>
      </w:r>
      <w:r w:rsidR="002057BF" w:rsidRPr="0053364E">
        <w:t>and</w:t>
      </w:r>
      <w:r w:rsidR="002057BF">
        <w:t xml:space="preserve"> modification to the regime should a need arise in future. For example, ASIC would be able to tailor the operation of the regime so as to avoid any unintended consequences that may arise with respect to</w:t>
      </w:r>
      <w:r w:rsidR="00F01309">
        <w:t xml:space="preserve"> a</w:t>
      </w:r>
      <w:r w:rsidR="002057BF">
        <w:t xml:space="preserve"> particular person or product</w:t>
      </w:r>
      <w:r w:rsidR="00E02056">
        <w:t>.</w:t>
      </w:r>
    </w:p>
    <w:p w14:paraId="7357C376" w14:textId="1D4A7E7D" w:rsidR="00F152FC" w:rsidRPr="00F152FC" w:rsidRDefault="002273AD" w:rsidP="00F152FC">
      <w:pPr>
        <w:pStyle w:val="base-text-paragraph"/>
        <w:rPr>
          <w:rStyle w:val="Referencingstyle"/>
          <w:b w:val="0"/>
          <w:i w:val="0"/>
          <w:sz w:val="22"/>
        </w:rPr>
      </w:pPr>
      <w:r>
        <w:t>The regulations may also provide for exemptions and modifications to the new regime. Existing section 1368 provides that the regulations may make exemptions and modifications to provisions in Chapter 6D or 7. As this new regime is part of Chapter 7, the power in section 1368 applies to it.</w:t>
      </w:r>
      <w:r w:rsidR="00F152FC">
        <w:t xml:space="preserve"> </w:t>
      </w:r>
    </w:p>
    <w:p w14:paraId="08F276F0" w14:textId="77777777" w:rsidR="00FE69E5" w:rsidRDefault="00A841C8" w:rsidP="00A841C8">
      <w:pPr>
        <w:pStyle w:val="Heading2"/>
      </w:pPr>
      <w:r>
        <w:t>Consequences of breaching the new provisions</w:t>
      </w:r>
    </w:p>
    <w:p w14:paraId="58C98C69" w14:textId="77777777" w:rsidR="00CB7118" w:rsidRDefault="00CB7118" w:rsidP="00CB7118">
      <w:pPr>
        <w:pStyle w:val="base-text-paragraph"/>
      </w:pPr>
      <w:r>
        <w:t xml:space="preserve">The consequences of breaching the new provisions fall into two </w:t>
      </w:r>
      <w:r w:rsidR="00377799">
        <w:t>main</w:t>
      </w:r>
      <w:r>
        <w:t xml:space="preserve"> categories. These are:</w:t>
      </w:r>
    </w:p>
    <w:p w14:paraId="471C6CF7" w14:textId="77777777" w:rsidR="00CB7118" w:rsidRDefault="00CB7118" w:rsidP="00CB7118">
      <w:pPr>
        <w:pStyle w:val="dotpoint"/>
      </w:pPr>
      <w:r>
        <w:t>liability to the state through civil penalty</w:t>
      </w:r>
      <w:r w:rsidR="00F135D8">
        <w:t xml:space="preserve"> proceedings</w:t>
      </w:r>
      <w:r>
        <w:t xml:space="preserve"> </w:t>
      </w:r>
      <w:r w:rsidR="00377799">
        <w:t>or</w:t>
      </w:r>
      <w:r>
        <w:t xml:space="preserve"> criminal prosecution; and</w:t>
      </w:r>
    </w:p>
    <w:p w14:paraId="288D0AE3" w14:textId="77777777" w:rsidR="00CB7118" w:rsidRDefault="00CB7118" w:rsidP="00CB7118">
      <w:pPr>
        <w:pStyle w:val="dotpoint"/>
      </w:pPr>
      <w:r>
        <w:t>liability to persons suffering loss or damage through civil action.</w:t>
      </w:r>
    </w:p>
    <w:p w14:paraId="45E7610F" w14:textId="77777777" w:rsidR="00CB7118" w:rsidRDefault="00CB7118" w:rsidP="00CB7118">
      <w:pPr>
        <w:pStyle w:val="Heading3"/>
      </w:pPr>
      <w:r>
        <w:t>Civil and criminal penalties</w:t>
      </w:r>
    </w:p>
    <w:p w14:paraId="588357EF" w14:textId="77777777" w:rsidR="00037712" w:rsidRDefault="0053364E">
      <w:pPr>
        <w:pStyle w:val="base-text-paragraph"/>
      </w:pPr>
      <w:r>
        <w:t xml:space="preserve">A contravention of every obligation in the new regime is both a civil penalty provision and an offence. </w:t>
      </w:r>
      <w:r w:rsidR="00F815D5">
        <w:t>Th</w:t>
      </w:r>
      <w:r>
        <w:t>is</w:t>
      </w:r>
      <w:r w:rsidR="00F815D5">
        <w:t xml:space="preserve"> </w:t>
      </w:r>
      <w:r>
        <w:t>allows the regulator or prosecutor (as the case may be) to take a</w:t>
      </w:r>
      <w:r w:rsidR="00F815D5">
        <w:t xml:space="preserve"> proportional approach</w:t>
      </w:r>
      <w:r>
        <w:t xml:space="preserve"> to</w:t>
      </w:r>
      <w:r w:rsidR="00184F45">
        <w:t xml:space="preserve"> the enforcement of the new regime.</w:t>
      </w:r>
    </w:p>
    <w:p w14:paraId="41D163B6" w14:textId="4DE35075" w:rsidR="00047AEE" w:rsidRPr="00424951" w:rsidRDefault="00037712" w:rsidP="001E17D3">
      <w:pPr>
        <w:pStyle w:val="base-text-paragraph"/>
      </w:pPr>
      <w:r>
        <w:t xml:space="preserve">The </w:t>
      </w:r>
      <w:r w:rsidR="00CF00FF">
        <w:t>maximum</w:t>
      </w:r>
      <w:r>
        <w:t xml:space="preserve"> penalties applicable to each obligation in the Bill are detailed in the following table</w:t>
      </w:r>
      <w:r w:rsidR="00047AEE">
        <w:t>s</w:t>
      </w:r>
      <w:r>
        <w:t>.</w:t>
      </w:r>
      <w:r w:rsidR="00047AEE">
        <w:t xml:space="preserve"> </w:t>
      </w:r>
      <w:r w:rsidR="00FD0ABC">
        <w:t>The new law gives effect to the penalties by making the necessary amendments to existing</w:t>
      </w:r>
      <w:r w:rsidR="005133C7">
        <w:t xml:space="preserve"> </w:t>
      </w:r>
      <w:r w:rsidR="00FD0ABC">
        <w:t xml:space="preserve">section 1317E of the Corporations Act (in relation to civil penalties) and Schedule 3 of the Corporations Act (in relation to criminal penalties). </w:t>
      </w:r>
      <w:r w:rsidR="00FD0ABC" w:rsidRPr="00073EDE">
        <w:rPr>
          <w:rStyle w:val="Referencingstyle"/>
        </w:rPr>
        <w:t>[Schedul</w:t>
      </w:r>
      <w:r w:rsidR="00FD0ABC">
        <w:rPr>
          <w:rStyle w:val="Referencingstyle"/>
        </w:rPr>
        <w:t xml:space="preserve">e 1, items </w:t>
      </w:r>
      <w:r w:rsidR="000A3608">
        <w:rPr>
          <w:rStyle w:val="Referencingstyle"/>
        </w:rPr>
        <w:t>8</w:t>
      </w:r>
      <w:r w:rsidR="00FD0ABC">
        <w:rPr>
          <w:rStyle w:val="Referencingstyle"/>
        </w:rPr>
        <w:t xml:space="preserve"> and </w:t>
      </w:r>
      <w:r w:rsidR="000A3608">
        <w:rPr>
          <w:rStyle w:val="Referencingstyle"/>
        </w:rPr>
        <w:t>9</w:t>
      </w:r>
      <w:r w:rsidR="00FD0ABC">
        <w:rPr>
          <w:rStyle w:val="Referencingstyle"/>
        </w:rPr>
        <w:t xml:space="preserve">, subsection 1317E(1) and Schedule 3 </w:t>
      </w:r>
      <w:r w:rsidR="00FD0ABC" w:rsidRPr="00073EDE">
        <w:rPr>
          <w:rStyle w:val="Referencingstyle"/>
        </w:rPr>
        <w:t>of the Corporations Act]</w:t>
      </w:r>
    </w:p>
    <w:p w14:paraId="18EB0893" w14:textId="77777777" w:rsidR="00047AEE" w:rsidRDefault="00340125" w:rsidP="00424951">
      <w:pPr>
        <w:pStyle w:val="TableHeadingoutsidetable"/>
      </w:pPr>
      <w:r>
        <w:t xml:space="preserve"> </w:t>
      </w:r>
      <w:r w:rsidR="00047AEE">
        <w:t>Penalties concerning obligations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037712" w:rsidRPr="004666B8" w14:paraId="6B66EF74" w14:textId="77777777" w:rsidTr="00424951">
        <w:trPr>
          <w:tblHeader/>
        </w:trPr>
        <w:tc>
          <w:tcPr>
            <w:tcW w:w="3275" w:type="dxa"/>
          </w:tcPr>
          <w:p w14:paraId="0BB49F83" w14:textId="77777777" w:rsidR="00037712" w:rsidRPr="004666B8" w:rsidRDefault="00037712" w:rsidP="00377799">
            <w:pPr>
              <w:pStyle w:val="tableheaderwithintable"/>
              <w:rPr>
                <w:lang w:val="en-US" w:eastAsia="en-US"/>
              </w:rPr>
            </w:pPr>
            <w:r>
              <w:rPr>
                <w:lang w:val="en-US" w:eastAsia="en-US"/>
              </w:rPr>
              <w:t>Obligation</w:t>
            </w:r>
          </w:p>
        </w:tc>
        <w:tc>
          <w:tcPr>
            <w:tcW w:w="3276" w:type="dxa"/>
          </w:tcPr>
          <w:p w14:paraId="2B58093B" w14:textId="77777777" w:rsidR="00037712" w:rsidRPr="004666B8" w:rsidRDefault="00037712" w:rsidP="00377799">
            <w:pPr>
              <w:pStyle w:val="tableheaderwithintable"/>
              <w:rPr>
                <w:lang w:val="en-US" w:eastAsia="en-US"/>
              </w:rPr>
            </w:pPr>
            <w:r>
              <w:rPr>
                <w:lang w:val="en-US" w:eastAsia="en-US"/>
              </w:rPr>
              <w:t>Penalty</w:t>
            </w:r>
          </w:p>
        </w:tc>
      </w:tr>
      <w:tr w:rsidR="00037712" w:rsidRPr="004666B8" w14:paraId="16AFF3DD" w14:textId="77777777" w:rsidTr="00424951">
        <w:tc>
          <w:tcPr>
            <w:tcW w:w="6551" w:type="dxa"/>
            <w:gridSpan w:val="2"/>
          </w:tcPr>
          <w:p w14:paraId="66FD18DE" w14:textId="77777777" w:rsidR="00037712" w:rsidRPr="000A7134" w:rsidRDefault="00037712" w:rsidP="00424951">
            <w:pPr>
              <w:pStyle w:val="tableheaderwithintable"/>
              <w:rPr>
                <w:lang w:val="en-US" w:eastAsia="en-US"/>
              </w:rPr>
            </w:pPr>
            <w:r w:rsidRPr="00424951">
              <w:rPr>
                <w:b w:val="0"/>
                <w:lang w:val="en-US" w:eastAsia="en-US"/>
              </w:rPr>
              <w:t>Design obligations</w:t>
            </w:r>
          </w:p>
        </w:tc>
      </w:tr>
      <w:tr w:rsidR="00037712" w:rsidRPr="004666B8" w14:paraId="507C2FF1" w14:textId="77777777" w:rsidTr="00B15814">
        <w:tc>
          <w:tcPr>
            <w:tcW w:w="3275" w:type="dxa"/>
          </w:tcPr>
          <w:p w14:paraId="772B1862" w14:textId="27E9DBBB" w:rsidR="00037712" w:rsidRPr="004666B8" w:rsidRDefault="00A23B5F" w:rsidP="00377799">
            <w:pPr>
              <w:pStyle w:val="tabletext"/>
              <w:rPr>
                <w:lang w:val="en-US" w:eastAsia="en-US"/>
              </w:rPr>
            </w:pPr>
            <w:r w:rsidRPr="00CF4FA5">
              <w:t>Determining target market for financial products</w:t>
            </w:r>
            <w:r w:rsidR="00455CBE">
              <w:t xml:space="preserve"> (and making it publicly available)</w:t>
            </w:r>
          </w:p>
        </w:tc>
        <w:tc>
          <w:tcPr>
            <w:tcW w:w="3276" w:type="dxa"/>
          </w:tcPr>
          <w:p w14:paraId="4B536328" w14:textId="77777777" w:rsidR="007643E5" w:rsidRDefault="007643E5" w:rsidP="00377799">
            <w:pPr>
              <w:pStyle w:val="tabletext"/>
            </w:pPr>
            <w:r>
              <w:t xml:space="preserve">Criminal – </w:t>
            </w:r>
            <w:r w:rsidRPr="00FE340B">
              <w:t>200 penalty units or imprisonment for 5 years, or both.</w:t>
            </w:r>
          </w:p>
          <w:p w14:paraId="519B5E44" w14:textId="7E2F68CF" w:rsidR="00037712" w:rsidRPr="004666B8" w:rsidRDefault="007643E5" w:rsidP="00377799">
            <w:pPr>
              <w:pStyle w:val="tabletext"/>
              <w:rPr>
                <w:lang w:val="en-US" w:eastAsia="en-US"/>
              </w:rPr>
            </w:pPr>
            <w:r>
              <w:t>Civil penalty</w:t>
            </w:r>
            <w:r w:rsidR="00A23B5F">
              <w:t xml:space="preserve"> – $200,000 for an individual; or 1 million for a body corporat</w:t>
            </w:r>
            <w:r w:rsidR="005133C7">
              <w:t>e</w:t>
            </w:r>
            <w:r w:rsidR="00DC59CB">
              <w:t>.</w:t>
            </w:r>
          </w:p>
        </w:tc>
      </w:tr>
      <w:tr w:rsidR="00BA7E7A" w14:paraId="47866576" w14:textId="77777777" w:rsidTr="00B15814">
        <w:tc>
          <w:tcPr>
            <w:tcW w:w="3275" w:type="dxa"/>
          </w:tcPr>
          <w:p w14:paraId="1A42E270" w14:textId="35DEE89F" w:rsidR="00BA7E7A" w:rsidRPr="00CF4FA5" w:rsidRDefault="00BA7E7A" w:rsidP="00960915">
            <w:pPr>
              <w:pStyle w:val="tabletext"/>
            </w:pPr>
            <w:r>
              <w:t>Keeping records</w:t>
            </w:r>
            <w:r w:rsidR="000B73C9">
              <w:t xml:space="preserve"> of</w:t>
            </w:r>
            <w:r>
              <w:t xml:space="preserve"> decisions and reasons for target market determination </w:t>
            </w:r>
          </w:p>
        </w:tc>
        <w:tc>
          <w:tcPr>
            <w:tcW w:w="3276" w:type="dxa"/>
          </w:tcPr>
          <w:p w14:paraId="12F5B496" w14:textId="77777777" w:rsidR="002A7AFC" w:rsidRDefault="002A7AFC" w:rsidP="002A7AFC">
            <w:pPr>
              <w:pStyle w:val="tabletext"/>
            </w:pPr>
            <w:r>
              <w:t>Criminal – 50</w:t>
            </w:r>
            <w:r w:rsidRPr="00FE340B">
              <w:t xml:space="preserve"> penalty u</w:t>
            </w:r>
            <w:r>
              <w:t>nits or imprisonment for 12 months</w:t>
            </w:r>
            <w:r w:rsidRPr="00FE340B">
              <w:t>, or both.</w:t>
            </w:r>
          </w:p>
          <w:p w14:paraId="771DA66C" w14:textId="7BD4CCB9" w:rsidR="00BA7E7A" w:rsidRDefault="002A7AFC" w:rsidP="007643E5">
            <w:pPr>
              <w:pStyle w:val="tabletext"/>
            </w:pPr>
            <w:r>
              <w:t>Civil penalty – $200,000 for an individual; or 1 million for a body corporat</w:t>
            </w:r>
            <w:r w:rsidR="005133C7">
              <w:t>e</w:t>
            </w:r>
            <w:r w:rsidR="00DC59CB">
              <w:t>.</w:t>
            </w:r>
          </w:p>
        </w:tc>
      </w:tr>
      <w:tr w:rsidR="00037712" w14:paraId="11E98B01" w14:textId="77777777" w:rsidTr="00B15814">
        <w:tc>
          <w:tcPr>
            <w:tcW w:w="3275" w:type="dxa"/>
          </w:tcPr>
          <w:p w14:paraId="09EF2CD2" w14:textId="77777777" w:rsidR="00037712" w:rsidRDefault="00436880" w:rsidP="00377799">
            <w:pPr>
              <w:pStyle w:val="tabletext"/>
              <w:rPr>
                <w:lang w:val="en-US" w:eastAsia="en-US"/>
              </w:rPr>
            </w:pPr>
            <w:r>
              <w:t>Re</w:t>
            </w:r>
            <w:r w:rsidR="00B27A08">
              <w:t>viewing</w:t>
            </w:r>
            <w:r>
              <w:t xml:space="preserve"> target market determination </w:t>
            </w:r>
            <w:r w:rsidR="008E36E4">
              <w:t xml:space="preserve">within the review period </w:t>
            </w:r>
          </w:p>
        </w:tc>
        <w:tc>
          <w:tcPr>
            <w:tcW w:w="3276" w:type="dxa"/>
          </w:tcPr>
          <w:p w14:paraId="37973CAC" w14:textId="77777777" w:rsidR="00B27A08" w:rsidRDefault="00B27A08" w:rsidP="00B27A08">
            <w:pPr>
              <w:pStyle w:val="tabletext"/>
            </w:pPr>
            <w:r>
              <w:t>Criminal – 50</w:t>
            </w:r>
            <w:r w:rsidRPr="00FE340B">
              <w:t xml:space="preserve"> penalty u</w:t>
            </w:r>
            <w:r>
              <w:t>nits or imprisonment for 12 months</w:t>
            </w:r>
            <w:r w:rsidRPr="00FE340B">
              <w:t>, or both.</w:t>
            </w:r>
          </w:p>
          <w:p w14:paraId="41D7E142" w14:textId="12B3485C" w:rsidR="00037712" w:rsidRDefault="00B27A08" w:rsidP="00377799">
            <w:pPr>
              <w:pStyle w:val="tabletext"/>
              <w:rPr>
                <w:lang w:val="en-US" w:eastAsia="en-US"/>
              </w:rPr>
            </w:pPr>
            <w:r>
              <w:t>Civil penalty – $200,000 for an individual; or 1 million for a body corporat</w:t>
            </w:r>
            <w:r w:rsidR="005133C7">
              <w:t>e</w:t>
            </w:r>
            <w:r w:rsidR="00DC59CB">
              <w:t>.</w:t>
            </w:r>
          </w:p>
        </w:tc>
      </w:tr>
      <w:tr w:rsidR="00B27A08" w14:paraId="22B16208" w14:textId="77777777" w:rsidTr="00B15814">
        <w:tc>
          <w:tcPr>
            <w:tcW w:w="3275" w:type="dxa"/>
          </w:tcPr>
          <w:p w14:paraId="478659AA" w14:textId="77777777" w:rsidR="00B27A08" w:rsidRDefault="00B27A08" w:rsidP="00301AE9">
            <w:pPr>
              <w:pStyle w:val="tabletext"/>
            </w:pPr>
            <w:r>
              <w:t xml:space="preserve">Reviewing target market </w:t>
            </w:r>
            <w:r w:rsidR="00301AE9">
              <w:t>determination in response to triggers or other events and circumstances</w:t>
            </w:r>
          </w:p>
        </w:tc>
        <w:tc>
          <w:tcPr>
            <w:tcW w:w="3276" w:type="dxa"/>
          </w:tcPr>
          <w:p w14:paraId="082AA05C" w14:textId="77777777" w:rsidR="00301AE9" w:rsidRDefault="00301AE9" w:rsidP="00301AE9">
            <w:pPr>
              <w:pStyle w:val="tabletext"/>
            </w:pPr>
            <w:r>
              <w:t xml:space="preserve">Criminal: </w:t>
            </w:r>
            <w:r w:rsidRPr="00FE340B">
              <w:t>200 penalty units or imprisonment for 5 years, or both.</w:t>
            </w:r>
          </w:p>
          <w:p w14:paraId="6656957A" w14:textId="02EBB769" w:rsidR="00B27A08" w:rsidRDefault="00301AE9" w:rsidP="00301AE9">
            <w:pPr>
              <w:pStyle w:val="tabletext"/>
              <w:rPr>
                <w:lang w:val="en-US" w:eastAsia="en-US"/>
              </w:rPr>
            </w:pPr>
            <w:r>
              <w:t>Civil penalty – $200,000 for an individual; or 1 million for a body corporat</w:t>
            </w:r>
            <w:r w:rsidR="005133C7">
              <w:t>e</w:t>
            </w:r>
            <w:r w:rsidR="00DC59CB">
              <w:t>.</w:t>
            </w:r>
          </w:p>
        </w:tc>
      </w:tr>
      <w:tr w:rsidR="002A5C2D" w14:paraId="6EE5D984" w14:textId="77777777" w:rsidTr="00B15814">
        <w:tc>
          <w:tcPr>
            <w:tcW w:w="3275" w:type="dxa"/>
          </w:tcPr>
          <w:p w14:paraId="20EC9913" w14:textId="5D4BB3CF" w:rsidR="002A5C2D" w:rsidRDefault="002A5C2D" w:rsidP="00301AE9">
            <w:pPr>
              <w:pStyle w:val="tabletext"/>
            </w:pPr>
            <w:r>
              <w:rPr>
                <w:lang w:val="en-US" w:eastAsia="en-US"/>
              </w:rPr>
              <w:t xml:space="preserve">Failure to </w:t>
            </w:r>
            <w:r w:rsidR="00E02056">
              <w:rPr>
                <w:lang w:val="en-US" w:eastAsia="en-US"/>
              </w:rPr>
              <w:t>inform</w:t>
            </w:r>
            <w:r>
              <w:rPr>
                <w:lang w:val="en-US" w:eastAsia="en-US"/>
              </w:rPr>
              <w:t xml:space="preserve"> distributors not to distribute a product where the target market determination may no longer be appropriate </w:t>
            </w:r>
          </w:p>
        </w:tc>
        <w:tc>
          <w:tcPr>
            <w:tcW w:w="3276" w:type="dxa"/>
          </w:tcPr>
          <w:p w14:paraId="4A44DE31" w14:textId="77777777" w:rsidR="002A5C2D" w:rsidRDefault="002A5C2D" w:rsidP="005B3B8C">
            <w:pPr>
              <w:pStyle w:val="tabletext"/>
            </w:pPr>
            <w:r>
              <w:t>Criminal: 200</w:t>
            </w:r>
            <w:r w:rsidRPr="00FE340B">
              <w:t xml:space="preserve"> penalty units or imprisonment for 5 years, or both.</w:t>
            </w:r>
          </w:p>
          <w:p w14:paraId="2FB932FD" w14:textId="27E7DD49" w:rsidR="002A5C2D" w:rsidRDefault="002A5C2D" w:rsidP="00301AE9">
            <w:pPr>
              <w:pStyle w:val="tabletext"/>
            </w:pPr>
            <w:r>
              <w:t>Civil penalty – $200,000 for an individual; or 1 million for a body corporat</w:t>
            </w:r>
            <w:r w:rsidR="005133C7">
              <w:t>e</w:t>
            </w:r>
            <w:r w:rsidR="00DC59CB">
              <w:t>.</w:t>
            </w:r>
          </w:p>
        </w:tc>
      </w:tr>
      <w:tr w:rsidR="002A5C2D" w14:paraId="3C3AEB6A" w14:textId="77777777" w:rsidTr="00B15814">
        <w:tc>
          <w:tcPr>
            <w:tcW w:w="3275" w:type="dxa"/>
          </w:tcPr>
          <w:p w14:paraId="0A0A984A" w14:textId="77777777" w:rsidR="002A5C2D" w:rsidRDefault="002A5C2D" w:rsidP="00301AE9">
            <w:pPr>
              <w:pStyle w:val="tabletext"/>
            </w:pPr>
            <w:r>
              <w:t>Notifying ASIC of significant dealings outside target market</w:t>
            </w:r>
          </w:p>
        </w:tc>
        <w:tc>
          <w:tcPr>
            <w:tcW w:w="3276" w:type="dxa"/>
          </w:tcPr>
          <w:p w14:paraId="5380F805" w14:textId="3C3DE3F1" w:rsidR="002A5C2D" w:rsidRDefault="002A5C2D" w:rsidP="00FC6C62">
            <w:pPr>
              <w:pStyle w:val="tabletext"/>
            </w:pPr>
            <w:r>
              <w:t>Criminal – 100</w:t>
            </w:r>
            <w:r w:rsidRPr="00FE340B">
              <w:t xml:space="preserve"> penalty u</w:t>
            </w:r>
            <w:r>
              <w:t xml:space="preserve">nits or imprisonment for 2 years, or both. </w:t>
            </w:r>
          </w:p>
          <w:p w14:paraId="418C3E32" w14:textId="320C1043" w:rsidR="002A5C2D" w:rsidRDefault="002A5C2D" w:rsidP="00301AE9">
            <w:pPr>
              <w:pStyle w:val="tabletext"/>
            </w:pPr>
            <w:r>
              <w:t>Civil penalty – $200,000 for an individual; or 1 million for a body corporat</w:t>
            </w:r>
            <w:r w:rsidR="005133C7">
              <w:t>e</w:t>
            </w:r>
            <w:r w:rsidR="00DC59CB">
              <w:t>.</w:t>
            </w:r>
          </w:p>
        </w:tc>
      </w:tr>
      <w:tr w:rsidR="002A5C2D" w14:paraId="58EEA316" w14:textId="77777777" w:rsidTr="00B15814">
        <w:tc>
          <w:tcPr>
            <w:tcW w:w="6551" w:type="dxa"/>
            <w:gridSpan w:val="2"/>
          </w:tcPr>
          <w:p w14:paraId="3B6626E3" w14:textId="77777777" w:rsidR="002A5C2D" w:rsidRDefault="002A5C2D" w:rsidP="00424951">
            <w:pPr>
              <w:pStyle w:val="tabletext"/>
              <w:jc w:val="center"/>
            </w:pPr>
            <w:r>
              <w:rPr>
                <w:i/>
                <w:lang w:val="en-US" w:eastAsia="en-US"/>
              </w:rPr>
              <w:t>Distribution</w:t>
            </w:r>
            <w:r w:rsidRPr="0069637A">
              <w:rPr>
                <w:i/>
                <w:lang w:val="en-US" w:eastAsia="en-US"/>
              </w:rPr>
              <w:t xml:space="preserve"> obligations</w:t>
            </w:r>
          </w:p>
        </w:tc>
      </w:tr>
      <w:tr w:rsidR="002A5C2D" w14:paraId="13FAE212" w14:textId="77777777" w:rsidTr="00B15814">
        <w:tc>
          <w:tcPr>
            <w:tcW w:w="3275" w:type="dxa"/>
          </w:tcPr>
          <w:p w14:paraId="55F36DEA" w14:textId="77777777" w:rsidR="002A5C2D" w:rsidRDefault="002A5C2D" w:rsidP="000B73C9">
            <w:pPr>
              <w:pStyle w:val="tabletext"/>
              <w:rPr>
                <w:lang w:val="en-US" w:eastAsia="en-US"/>
              </w:rPr>
            </w:pPr>
            <w:r>
              <w:rPr>
                <w:lang w:val="en-US" w:eastAsia="en-US"/>
              </w:rPr>
              <w:t>Distributing a financial product without a target market determination</w:t>
            </w:r>
          </w:p>
        </w:tc>
        <w:tc>
          <w:tcPr>
            <w:tcW w:w="3276" w:type="dxa"/>
          </w:tcPr>
          <w:p w14:paraId="76CC8B90" w14:textId="77777777" w:rsidR="002A5C2D" w:rsidRDefault="002A5C2D" w:rsidP="00B60547">
            <w:pPr>
              <w:pStyle w:val="tabletext"/>
            </w:pPr>
            <w:r>
              <w:t xml:space="preserve">Criminal: </w:t>
            </w:r>
            <w:r w:rsidRPr="00FE340B">
              <w:t>200 penalty units or imprisonment for 5 years, or both.</w:t>
            </w:r>
          </w:p>
          <w:p w14:paraId="20130030" w14:textId="13D8971C" w:rsidR="002A5C2D" w:rsidRDefault="002A5C2D" w:rsidP="00B60547">
            <w:pPr>
              <w:pStyle w:val="tabletext"/>
            </w:pPr>
            <w:r>
              <w:t>Civil penalty – $200,000 for an individual; or 1 million for a body corporat</w:t>
            </w:r>
            <w:r w:rsidR="005133C7">
              <w:t>e</w:t>
            </w:r>
            <w:r w:rsidR="00DC59CB">
              <w:t>.</w:t>
            </w:r>
          </w:p>
        </w:tc>
      </w:tr>
      <w:tr w:rsidR="002A5C2D" w14:paraId="68A35FB6" w14:textId="77777777" w:rsidTr="00B15814">
        <w:tc>
          <w:tcPr>
            <w:tcW w:w="3275" w:type="dxa"/>
          </w:tcPr>
          <w:p w14:paraId="1ABF7B99" w14:textId="3213C56B" w:rsidR="002A5C2D" w:rsidRDefault="002A5C2D" w:rsidP="000B73C9">
            <w:pPr>
              <w:pStyle w:val="tabletext"/>
              <w:rPr>
                <w:lang w:val="en-US" w:eastAsia="en-US"/>
              </w:rPr>
            </w:pPr>
            <w:r>
              <w:rPr>
                <w:lang w:val="en-US" w:eastAsia="en-US"/>
              </w:rPr>
              <w:t>Distributing a financial product where its target market determination may  no longer be appropriate</w:t>
            </w:r>
          </w:p>
        </w:tc>
        <w:tc>
          <w:tcPr>
            <w:tcW w:w="3276" w:type="dxa"/>
          </w:tcPr>
          <w:p w14:paraId="3EF552C1" w14:textId="33D4C351" w:rsidR="002A5C2D" w:rsidRDefault="002A5C2D" w:rsidP="00B42EDC">
            <w:pPr>
              <w:pStyle w:val="tabletext"/>
            </w:pPr>
            <w:r>
              <w:t xml:space="preserve">Criminal: </w:t>
            </w:r>
            <w:r w:rsidRPr="00FE340B">
              <w:t>200 penalty units or imprisonment for 5 years, or both.</w:t>
            </w:r>
          </w:p>
          <w:p w14:paraId="64749C77" w14:textId="7729CC8F" w:rsidR="002A5C2D" w:rsidRDefault="002A5C2D" w:rsidP="00B42EDC">
            <w:pPr>
              <w:pStyle w:val="tabletext"/>
            </w:pPr>
            <w:r>
              <w:t>Civil penalty – $200,000 for an individual; or 1 million for a body corporat</w:t>
            </w:r>
            <w:r w:rsidR="005133C7">
              <w:t>e</w:t>
            </w:r>
            <w:r w:rsidR="00DC59CB">
              <w:t>.</w:t>
            </w:r>
          </w:p>
        </w:tc>
      </w:tr>
      <w:tr w:rsidR="002A5C2D" w14:paraId="4F5FE236" w14:textId="77777777" w:rsidTr="00B15814">
        <w:tc>
          <w:tcPr>
            <w:tcW w:w="3275" w:type="dxa"/>
          </w:tcPr>
          <w:p w14:paraId="3478B0DE" w14:textId="45B466C4" w:rsidR="002A5C2D" w:rsidRDefault="002A5C2D" w:rsidP="002A5C2D">
            <w:pPr>
              <w:pStyle w:val="tabletext"/>
              <w:rPr>
                <w:lang w:val="en-US" w:eastAsia="en-US"/>
              </w:rPr>
            </w:pPr>
            <w:r>
              <w:rPr>
                <w:lang w:val="en-US" w:eastAsia="en-US"/>
              </w:rPr>
              <w:t>Failure of distributor to comply with a notification not to distribute a product where the target market determination may no longer be appropriate</w:t>
            </w:r>
          </w:p>
        </w:tc>
        <w:tc>
          <w:tcPr>
            <w:tcW w:w="3276" w:type="dxa"/>
          </w:tcPr>
          <w:p w14:paraId="15261695" w14:textId="77777777" w:rsidR="002A5C2D" w:rsidRDefault="002A5C2D" w:rsidP="00B42EDC">
            <w:pPr>
              <w:pStyle w:val="tabletext"/>
            </w:pPr>
            <w:r>
              <w:t>Criminal: 100</w:t>
            </w:r>
            <w:r w:rsidRPr="00FE340B">
              <w:t xml:space="preserve"> penalty units or imprisonment for </w:t>
            </w:r>
            <w:r>
              <w:t>2</w:t>
            </w:r>
            <w:r w:rsidRPr="00FE340B">
              <w:t xml:space="preserve"> years, or both.</w:t>
            </w:r>
          </w:p>
          <w:p w14:paraId="713D151D" w14:textId="19997D6B" w:rsidR="002A5C2D" w:rsidRDefault="002A5C2D" w:rsidP="00B42EDC">
            <w:pPr>
              <w:pStyle w:val="tabletext"/>
            </w:pPr>
            <w:r>
              <w:t>Civil penalty – $200,000 for an individual; or 1 million for a body corporat</w:t>
            </w:r>
            <w:r w:rsidR="005133C7">
              <w:t>e</w:t>
            </w:r>
            <w:r w:rsidR="00DC59CB">
              <w:t>.</w:t>
            </w:r>
          </w:p>
        </w:tc>
      </w:tr>
      <w:tr w:rsidR="002A5C2D" w14:paraId="3B4E6356" w14:textId="77777777" w:rsidTr="00B15814">
        <w:tc>
          <w:tcPr>
            <w:tcW w:w="3275" w:type="dxa"/>
          </w:tcPr>
          <w:p w14:paraId="2C760204" w14:textId="34D74BEA" w:rsidR="002A5C2D" w:rsidRDefault="002A5C2D" w:rsidP="002A5C2D">
            <w:pPr>
              <w:pStyle w:val="tabletext"/>
              <w:rPr>
                <w:lang w:val="en-US" w:eastAsia="en-US"/>
              </w:rPr>
            </w:pPr>
            <w:r>
              <w:rPr>
                <w:lang w:val="en-US" w:eastAsia="en-US"/>
              </w:rPr>
              <w:t xml:space="preserve">Failing to take reasonable steps so that distribution is consistent with a target market determination </w:t>
            </w:r>
          </w:p>
        </w:tc>
        <w:tc>
          <w:tcPr>
            <w:tcW w:w="3276" w:type="dxa"/>
          </w:tcPr>
          <w:p w14:paraId="46382979" w14:textId="77777777" w:rsidR="002A5C2D" w:rsidRDefault="002A5C2D" w:rsidP="00D47647">
            <w:pPr>
              <w:pStyle w:val="tabletext"/>
            </w:pPr>
            <w:r>
              <w:t xml:space="preserve">Criminal: </w:t>
            </w:r>
            <w:r w:rsidRPr="00FE340B">
              <w:t>200 penalty units or imprisonment for 5 years, or both.</w:t>
            </w:r>
          </w:p>
          <w:p w14:paraId="739BCE83" w14:textId="306D21E7" w:rsidR="002A5C2D" w:rsidRDefault="002A5C2D" w:rsidP="00377799">
            <w:pPr>
              <w:pStyle w:val="tabletext"/>
              <w:rPr>
                <w:lang w:val="en-US" w:eastAsia="en-US"/>
              </w:rPr>
            </w:pPr>
            <w:r>
              <w:t>Civil penalty – $200,000 for an individual; or 1 million for a body corporat</w:t>
            </w:r>
            <w:r w:rsidR="005133C7">
              <w:t>e</w:t>
            </w:r>
            <w:r w:rsidR="00DC59CB">
              <w:t>.</w:t>
            </w:r>
          </w:p>
        </w:tc>
      </w:tr>
      <w:tr w:rsidR="002A5C2D" w14:paraId="72F11CB1" w14:textId="77777777" w:rsidTr="00B15814">
        <w:tc>
          <w:tcPr>
            <w:tcW w:w="3275" w:type="dxa"/>
          </w:tcPr>
          <w:p w14:paraId="4945BBB9" w14:textId="77777777" w:rsidR="002A5C2D" w:rsidRDefault="002A5C2D" w:rsidP="00377799">
            <w:pPr>
              <w:pStyle w:val="tabletext"/>
              <w:rPr>
                <w:lang w:val="en-US" w:eastAsia="en-US"/>
              </w:rPr>
            </w:pPr>
            <w:r>
              <w:rPr>
                <w:lang w:val="en-US" w:eastAsia="en-US"/>
              </w:rPr>
              <w:t>Failing to collect and keep distribution information</w:t>
            </w:r>
          </w:p>
        </w:tc>
        <w:tc>
          <w:tcPr>
            <w:tcW w:w="3276" w:type="dxa"/>
          </w:tcPr>
          <w:p w14:paraId="133F8E1D" w14:textId="77777777" w:rsidR="002A5C2D" w:rsidRDefault="002A5C2D" w:rsidP="0088473C">
            <w:pPr>
              <w:pStyle w:val="tabletext"/>
            </w:pPr>
            <w:r>
              <w:t>Criminal – 50</w:t>
            </w:r>
            <w:r w:rsidRPr="00FE340B">
              <w:t xml:space="preserve"> penalty u</w:t>
            </w:r>
            <w:r>
              <w:t>nits or imprisonment for 12 months</w:t>
            </w:r>
            <w:r w:rsidRPr="00FE340B">
              <w:t>, or both.</w:t>
            </w:r>
          </w:p>
          <w:p w14:paraId="083BA337" w14:textId="65BA5EF3" w:rsidR="002A5C2D" w:rsidRPr="00182647" w:rsidRDefault="002A5C2D" w:rsidP="00377799">
            <w:pPr>
              <w:pStyle w:val="tabletext"/>
            </w:pPr>
            <w:r>
              <w:t>Civil penalty – $200,000 for an individual; or 1 million for a body corporat</w:t>
            </w:r>
            <w:r w:rsidR="005133C7">
              <w:t>e</w:t>
            </w:r>
            <w:r w:rsidR="00DC59CB">
              <w:t>.</w:t>
            </w:r>
          </w:p>
        </w:tc>
      </w:tr>
      <w:tr w:rsidR="002A5C2D" w14:paraId="3FBC5355" w14:textId="77777777" w:rsidTr="00B15814">
        <w:tc>
          <w:tcPr>
            <w:tcW w:w="3275" w:type="dxa"/>
          </w:tcPr>
          <w:p w14:paraId="6DC71745" w14:textId="069C8EC3" w:rsidR="002A5C2D" w:rsidRDefault="002A5C2D" w:rsidP="00377799">
            <w:pPr>
              <w:pStyle w:val="tabletext"/>
              <w:rPr>
                <w:lang w:val="en-US" w:eastAsia="en-US"/>
              </w:rPr>
            </w:pPr>
            <w:r>
              <w:rPr>
                <w:lang w:val="en-US" w:eastAsia="en-US"/>
              </w:rPr>
              <w:t>Failing to notify the issuer of distribution information</w:t>
            </w:r>
          </w:p>
        </w:tc>
        <w:tc>
          <w:tcPr>
            <w:tcW w:w="3276" w:type="dxa"/>
          </w:tcPr>
          <w:p w14:paraId="78FDC0F4" w14:textId="77777777" w:rsidR="002A5C2D" w:rsidRDefault="002A5C2D" w:rsidP="0088473C">
            <w:pPr>
              <w:pStyle w:val="tabletext"/>
            </w:pPr>
            <w:r>
              <w:t>Criminal: 50 penalty units or imprisonment for 12 months, or both</w:t>
            </w:r>
          </w:p>
          <w:p w14:paraId="09D4B1F9" w14:textId="39D98DC8" w:rsidR="002A5C2D" w:rsidRDefault="002A5C2D" w:rsidP="0088473C">
            <w:pPr>
              <w:pStyle w:val="tabletext"/>
            </w:pPr>
            <w:r>
              <w:t>Civil penalty - $200,000 for an individual; or 1 million for a body corporat</w:t>
            </w:r>
            <w:r w:rsidR="005133C7">
              <w:t>e</w:t>
            </w:r>
            <w:r w:rsidR="00DC59CB">
              <w:t>.</w:t>
            </w:r>
          </w:p>
        </w:tc>
      </w:tr>
      <w:tr w:rsidR="002A5C2D" w14:paraId="1D3FBE2E" w14:textId="77777777" w:rsidTr="00B15814">
        <w:tc>
          <w:tcPr>
            <w:tcW w:w="3275" w:type="dxa"/>
          </w:tcPr>
          <w:p w14:paraId="26E6967B" w14:textId="39E049A7" w:rsidR="002A5C2D" w:rsidRDefault="002A5C2D" w:rsidP="00182647">
            <w:pPr>
              <w:pStyle w:val="tabletext"/>
              <w:rPr>
                <w:lang w:val="en-US" w:eastAsia="en-US"/>
              </w:rPr>
            </w:pPr>
            <w:r>
              <w:rPr>
                <w:lang w:val="en-US" w:eastAsia="en-US"/>
              </w:rPr>
              <w:t>Failing to notify issuer of significant distributions that are not consistent with a product’s target market determination.</w:t>
            </w:r>
          </w:p>
        </w:tc>
        <w:tc>
          <w:tcPr>
            <w:tcW w:w="3276" w:type="dxa"/>
          </w:tcPr>
          <w:p w14:paraId="7727C0FA" w14:textId="77777777" w:rsidR="002A5C2D" w:rsidRDefault="002A5C2D" w:rsidP="00380425">
            <w:pPr>
              <w:pStyle w:val="tabletext"/>
            </w:pPr>
            <w:r>
              <w:t>Criminal – 50</w:t>
            </w:r>
            <w:r w:rsidRPr="00FE340B">
              <w:t xml:space="preserve"> penalty u</w:t>
            </w:r>
            <w:r>
              <w:t xml:space="preserve">nits </w:t>
            </w:r>
          </w:p>
          <w:p w14:paraId="4B231DEC" w14:textId="6A211502" w:rsidR="002A5C2D" w:rsidRDefault="002A5C2D" w:rsidP="0088473C">
            <w:pPr>
              <w:pStyle w:val="tabletext"/>
            </w:pPr>
            <w:r>
              <w:t>Civil penalty – $200,000 for an individual; or 1 million for a body corporat</w:t>
            </w:r>
            <w:r w:rsidR="005133C7">
              <w:t>e</w:t>
            </w:r>
            <w:r w:rsidR="00DC59CB">
              <w:t>.</w:t>
            </w:r>
          </w:p>
        </w:tc>
      </w:tr>
      <w:tr w:rsidR="002A5C2D" w14:paraId="21EF0ACB" w14:textId="77777777" w:rsidTr="00B15814">
        <w:tc>
          <w:tcPr>
            <w:tcW w:w="6551" w:type="dxa"/>
            <w:gridSpan w:val="2"/>
          </w:tcPr>
          <w:p w14:paraId="316F9D37" w14:textId="77777777" w:rsidR="002A5C2D" w:rsidRDefault="002A5C2D" w:rsidP="00F135D8">
            <w:pPr>
              <w:pStyle w:val="tabletext"/>
              <w:jc w:val="center"/>
            </w:pPr>
            <w:r w:rsidRPr="00F135D8">
              <w:rPr>
                <w:i/>
                <w:lang w:val="en-US" w:eastAsia="en-US"/>
              </w:rPr>
              <w:t>Stop orders</w:t>
            </w:r>
          </w:p>
        </w:tc>
      </w:tr>
      <w:tr w:rsidR="002A5C2D" w14:paraId="214B41A9" w14:textId="77777777" w:rsidTr="00B15814">
        <w:tc>
          <w:tcPr>
            <w:tcW w:w="3275" w:type="dxa"/>
          </w:tcPr>
          <w:p w14:paraId="6A7DCFFB" w14:textId="77777777" w:rsidR="002A5C2D" w:rsidRDefault="002A5C2D" w:rsidP="00B42EDC">
            <w:pPr>
              <w:pStyle w:val="tabletext"/>
              <w:rPr>
                <w:lang w:val="en-US" w:eastAsia="en-US"/>
              </w:rPr>
            </w:pPr>
            <w:r>
              <w:rPr>
                <w:lang w:val="en-US" w:eastAsia="en-US"/>
              </w:rPr>
              <w:t>Engaging in conduct contrary to a stop order</w:t>
            </w:r>
          </w:p>
        </w:tc>
        <w:tc>
          <w:tcPr>
            <w:tcW w:w="3276" w:type="dxa"/>
          </w:tcPr>
          <w:p w14:paraId="77A0BFE6" w14:textId="77777777" w:rsidR="002A5C2D" w:rsidRDefault="002A5C2D" w:rsidP="00B42EDC">
            <w:pPr>
              <w:pStyle w:val="tabletext"/>
            </w:pPr>
            <w:r>
              <w:t>Criminal: 100</w:t>
            </w:r>
            <w:r w:rsidRPr="00FE340B">
              <w:t xml:space="preserve"> penalty units or imprisonment for </w:t>
            </w:r>
            <w:r>
              <w:t>2</w:t>
            </w:r>
            <w:r w:rsidRPr="00FE340B">
              <w:t xml:space="preserve"> years, or both.</w:t>
            </w:r>
          </w:p>
          <w:p w14:paraId="6CEED416" w14:textId="122FE863" w:rsidR="002A5C2D" w:rsidRDefault="002A5C2D" w:rsidP="00B42EDC">
            <w:pPr>
              <w:pStyle w:val="tabletext"/>
            </w:pPr>
            <w:r>
              <w:t>Civil penalty – $200,000 for an individual; or 1 million for a body corporat</w:t>
            </w:r>
            <w:r w:rsidR="005133C7">
              <w:t>e</w:t>
            </w:r>
            <w:r w:rsidR="00DC59CB">
              <w:t>.</w:t>
            </w:r>
          </w:p>
        </w:tc>
      </w:tr>
      <w:tr w:rsidR="002A5C2D" w14:paraId="68BE0022" w14:textId="77777777" w:rsidTr="00B15814">
        <w:tc>
          <w:tcPr>
            <w:tcW w:w="3275" w:type="dxa"/>
          </w:tcPr>
          <w:p w14:paraId="5F22B900" w14:textId="77777777" w:rsidR="002A5C2D" w:rsidRDefault="002A5C2D" w:rsidP="00182647">
            <w:pPr>
              <w:pStyle w:val="tabletext"/>
              <w:rPr>
                <w:lang w:val="en-US" w:eastAsia="en-US"/>
              </w:rPr>
            </w:pPr>
            <w:r>
              <w:rPr>
                <w:lang w:val="en-US" w:eastAsia="en-US"/>
              </w:rPr>
              <w:t xml:space="preserve">Failure of person on whom stop order is served to take reasonable steps to ensure that other people who engage in the conduct are aware of the order </w:t>
            </w:r>
          </w:p>
        </w:tc>
        <w:tc>
          <w:tcPr>
            <w:tcW w:w="3276" w:type="dxa"/>
          </w:tcPr>
          <w:p w14:paraId="52200F36" w14:textId="77777777" w:rsidR="002A5C2D" w:rsidRDefault="002A5C2D" w:rsidP="00B42EDC">
            <w:pPr>
              <w:pStyle w:val="tabletext"/>
            </w:pPr>
            <w:r>
              <w:t>Criminal: 100</w:t>
            </w:r>
            <w:r w:rsidRPr="00FE340B">
              <w:t xml:space="preserve"> penalty units or imprisonment for </w:t>
            </w:r>
            <w:r>
              <w:t>2</w:t>
            </w:r>
            <w:r w:rsidRPr="00FE340B">
              <w:t xml:space="preserve"> years, or both.</w:t>
            </w:r>
          </w:p>
          <w:p w14:paraId="32F47F22" w14:textId="52F2DEB4" w:rsidR="002A5C2D" w:rsidRDefault="002A5C2D" w:rsidP="00B42EDC">
            <w:pPr>
              <w:pStyle w:val="tabletext"/>
            </w:pPr>
            <w:r>
              <w:t>Civil penalty – $200,000 for an individual; or 1 million for a body corporat</w:t>
            </w:r>
            <w:r w:rsidR="005133C7">
              <w:t>e</w:t>
            </w:r>
            <w:r w:rsidR="00DC59CB">
              <w:t>.</w:t>
            </w:r>
          </w:p>
        </w:tc>
      </w:tr>
    </w:tbl>
    <w:p w14:paraId="5C180ED0" w14:textId="3906AD8A" w:rsidR="00047AEE" w:rsidRDefault="00F135D8" w:rsidP="00F135D8">
      <w:pPr>
        <w:pStyle w:val="base-text-paragraph"/>
        <w:numPr>
          <w:ilvl w:val="0"/>
          <w:numId w:val="0"/>
        </w:numPr>
        <w:ind w:left="1134"/>
        <w:rPr>
          <w:rStyle w:val="Referencingstyle"/>
        </w:rPr>
      </w:pPr>
      <w:r w:rsidRPr="000B26E6">
        <w:rPr>
          <w:rStyle w:val="Referencingstyle"/>
        </w:rPr>
        <w:t xml:space="preserve">[Schedule 1, items </w:t>
      </w:r>
      <w:r w:rsidR="00B432A1">
        <w:rPr>
          <w:rStyle w:val="Referencingstyle"/>
        </w:rPr>
        <w:t>5</w:t>
      </w:r>
      <w:r w:rsidR="000B26E6" w:rsidRPr="000B26E6">
        <w:rPr>
          <w:rStyle w:val="Referencingstyle"/>
        </w:rPr>
        <w:t xml:space="preserve">, </w:t>
      </w:r>
      <w:r w:rsidR="00B432A1">
        <w:rPr>
          <w:rStyle w:val="Referencingstyle"/>
        </w:rPr>
        <w:t>8</w:t>
      </w:r>
      <w:r w:rsidR="000B26E6" w:rsidRPr="000B26E6">
        <w:rPr>
          <w:rStyle w:val="Referencingstyle"/>
        </w:rPr>
        <w:t xml:space="preserve"> and </w:t>
      </w:r>
      <w:r w:rsidR="00B432A1">
        <w:rPr>
          <w:rStyle w:val="Referencingstyle"/>
        </w:rPr>
        <w:t>9</w:t>
      </w:r>
      <w:r w:rsidRPr="000B26E6">
        <w:rPr>
          <w:rStyle w:val="Referencingstyle"/>
        </w:rPr>
        <w:t xml:space="preserve">, sections </w:t>
      </w:r>
      <w:r w:rsidR="00B432A1" w:rsidRPr="000B26E6">
        <w:rPr>
          <w:rStyle w:val="Referencingstyle"/>
        </w:rPr>
        <w:t>99</w:t>
      </w:r>
      <w:r w:rsidR="00B432A1">
        <w:rPr>
          <w:rStyle w:val="Referencingstyle"/>
        </w:rPr>
        <w:t>4</w:t>
      </w:r>
      <w:r w:rsidR="00B432A1" w:rsidRPr="000B26E6">
        <w:rPr>
          <w:rStyle w:val="Referencingstyle"/>
        </w:rPr>
        <w:t>B</w:t>
      </w:r>
      <w:r w:rsidRPr="000B26E6">
        <w:rPr>
          <w:rStyle w:val="Referencingstyle"/>
        </w:rPr>
        <w:t>, 99</w:t>
      </w:r>
      <w:r w:rsidR="00B432A1">
        <w:rPr>
          <w:rStyle w:val="Referencingstyle"/>
        </w:rPr>
        <w:t>4</w:t>
      </w:r>
      <w:r w:rsidRPr="000B26E6">
        <w:rPr>
          <w:rStyle w:val="Referencingstyle"/>
        </w:rPr>
        <w:t>C, 99</w:t>
      </w:r>
      <w:r w:rsidR="00B432A1">
        <w:rPr>
          <w:rStyle w:val="Referencingstyle"/>
        </w:rPr>
        <w:t>4</w:t>
      </w:r>
      <w:r w:rsidRPr="000B26E6">
        <w:rPr>
          <w:rStyle w:val="Referencingstyle"/>
        </w:rPr>
        <w:t>D, 99</w:t>
      </w:r>
      <w:r w:rsidR="00B432A1">
        <w:rPr>
          <w:rStyle w:val="Referencingstyle"/>
        </w:rPr>
        <w:t>4</w:t>
      </w:r>
      <w:r w:rsidRPr="000B26E6">
        <w:rPr>
          <w:rStyle w:val="Referencingstyle"/>
        </w:rPr>
        <w:t>E, 99</w:t>
      </w:r>
      <w:r w:rsidR="00B432A1">
        <w:rPr>
          <w:rStyle w:val="Referencingstyle"/>
        </w:rPr>
        <w:t>4</w:t>
      </w:r>
      <w:r w:rsidRPr="000B26E6">
        <w:rPr>
          <w:rStyle w:val="Referencingstyle"/>
        </w:rPr>
        <w:t>F, 99</w:t>
      </w:r>
      <w:r w:rsidR="00B432A1">
        <w:rPr>
          <w:rStyle w:val="Referencingstyle"/>
        </w:rPr>
        <w:t>4</w:t>
      </w:r>
      <w:r w:rsidRPr="000B26E6">
        <w:rPr>
          <w:rStyle w:val="Referencingstyle"/>
        </w:rPr>
        <w:t>G, 99</w:t>
      </w:r>
      <w:r w:rsidR="00B432A1">
        <w:rPr>
          <w:rStyle w:val="Referencingstyle"/>
        </w:rPr>
        <w:t>4</w:t>
      </w:r>
      <w:r w:rsidRPr="000B26E6">
        <w:rPr>
          <w:rStyle w:val="Referencingstyle"/>
        </w:rPr>
        <w:t>H, and 99</w:t>
      </w:r>
      <w:r w:rsidR="00B432A1">
        <w:rPr>
          <w:rStyle w:val="Referencingstyle"/>
        </w:rPr>
        <w:t>J</w:t>
      </w:r>
      <w:r w:rsidR="000B26E6">
        <w:rPr>
          <w:rStyle w:val="Referencingstyle"/>
        </w:rPr>
        <w:t>, table items 40A to 40A</w:t>
      </w:r>
      <w:r w:rsidR="00B432A1">
        <w:rPr>
          <w:rStyle w:val="Referencingstyle"/>
        </w:rPr>
        <w:t>N</w:t>
      </w:r>
      <w:r w:rsidR="000B26E6">
        <w:rPr>
          <w:rStyle w:val="Referencingstyle"/>
        </w:rPr>
        <w:t xml:space="preserve"> in subsection 1317(1), and table items 290CAA to 290CA</w:t>
      </w:r>
      <w:r w:rsidR="00B432A1">
        <w:rPr>
          <w:rStyle w:val="Referencingstyle"/>
        </w:rPr>
        <w:t>J</w:t>
      </w:r>
      <w:r w:rsidR="000B26E6">
        <w:rPr>
          <w:rStyle w:val="Referencingstyle"/>
        </w:rPr>
        <w:t xml:space="preserve"> in the table to Schedule 3</w:t>
      </w:r>
      <w:r w:rsidRPr="000B26E6">
        <w:rPr>
          <w:rStyle w:val="Referencingstyle"/>
        </w:rPr>
        <w:t xml:space="preserve"> of the Corporations Act] </w:t>
      </w:r>
      <w:r w:rsidRPr="00424951">
        <w:t xml:space="preserve"> </w:t>
      </w:r>
    </w:p>
    <w:p w14:paraId="15B1E635" w14:textId="14EBCCCA" w:rsidR="00C60A95" w:rsidRDefault="00184F45" w:rsidP="008259A5">
      <w:pPr>
        <w:pStyle w:val="base-text-paragraph"/>
      </w:pPr>
      <w:r>
        <w:t xml:space="preserve">The penalties applicable to each obligation are </w:t>
      </w:r>
      <w:r w:rsidR="00037712">
        <w:t xml:space="preserve">broadly consistent with </w:t>
      </w:r>
      <w:r w:rsidR="007308F4">
        <w:t>current penalties applicable to comparable provisions in the Corporations Act.</w:t>
      </w:r>
      <w:r w:rsidR="00520109">
        <w:t xml:space="preserve"> The principles set out in the </w:t>
      </w:r>
      <w:r w:rsidR="00520109" w:rsidRPr="00424951">
        <w:rPr>
          <w:i/>
        </w:rPr>
        <w:t>Guide to Framing Commonwealth Offences, Infringement Notices and Enforcement Powers</w:t>
      </w:r>
      <w:r w:rsidR="00520109">
        <w:rPr>
          <w:rStyle w:val="FootnoteReference"/>
        </w:rPr>
        <w:footnoteReference w:id="38"/>
      </w:r>
      <w:r w:rsidR="00520109">
        <w:t xml:space="preserve"> were also considered in determining the applicable penalties.</w:t>
      </w:r>
    </w:p>
    <w:p w14:paraId="0710E495" w14:textId="77777777" w:rsidR="00EE7E80" w:rsidRDefault="0053364E" w:rsidP="00AA24A9">
      <w:pPr>
        <w:pStyle w:val="Heading3"/>
      </w:pPr>
      <w:r w:rsidRPr="00AA24A9">
        <w:t>Civil liability</w:t>
      </w:r>
    </w:p>
    <w:p w14:paraId="2E1DEC04" w14:textId="77777777" w:rsidR="00606E4D" w:rsidRDefault="00606E4D" w:rsidP="001E17D3">
      <w:pPr>
        <w:pStyle w:val="base-text-paragraph"/>
      </w:pPr>
      <w:r>
        <w:t>A person who suffers loss or damage because of a relevant contravention of the new regime may recover that loss or damage by civil action. The relevant contraventions relate to:</w:t>
      </w:r>
    </w:p>
    <w:p w14:paraId="4F657B33" w14:textId="4DCE81D3" w:rsidR="000A3CC8" w:rsidRDefault="004E61D8" w:rsidP="00424951">
      <w:pPr>
        <w:pStyle w:val="dotpoint"/>
      </w:pPr>
      <w:r>
        <w:t>failing to review the target market as required and associated obligations;</w:t>
      </w:r>
    </w:p>
    <w:p w14:paraId="4CF41EA8" w14:textId="065763A8" w:rsidR="00606E4D" w:rsidRDefault="00606E4D" w:rsidP="00424951">
      <w:pPr>
        <w:pStyle w:val="dotpoint"/>
      </w:pPr>
      <w:r>
        <w:t>distributing a product without a target market determination; and</w:t>
      </w:r>
      <w:r w:rsidR="004E61D8">
        <w:t>,</w:t>
      </w:r>
    </w:p>
    <w:p w14:paraId="4C48FEA1" w14:textId="77777777" w:rsidR="00606E4D" w:rsidRDefault="00606E4D" w:rsidP="00424951">
      <w:pPr>
        <w:pStyle w:val="dotpoint"/>
      </w:pPr>
      <w:r>
        <w:t>failing to take reasonable steps to comply with a target market determination.</w:t>
      </w:r>
    </w:p>
    <w:p w14:paraId="52D8C4DB" w14:textId="33CAA798" w:rsidR="00DC59CB" w:rsidRDefault="00DC59CB" w:rsidP="00F22DEA">
      <w:pPr>
        <w:pStyle w:val="dotpoint"/>
        <w:numPr>
          <w:ilvl w:val="0"/>
          <w:numId w:val="0"/>
        </w:numPr>
        <w:ind w:left="1277"/>
      </w:pPr>
      <w:r>
        <w:t>More detail in relation to each of these situations is below.</w:t>
      </w:r>
    </w:p>
    <w:p w14:paraId="12B17E85" w14:textId="1EAAAB57" w:rsidR="002C4182" w:rsidRDefault="00606E4D" w:rsidP="001E17D3">
      <w:pPr>
        <w:pStyle w:val="base-text-paragraph"/>
      </w:pPr>
      <w:r>
        <w:t xml:space="preserve">The first </w:t>
      </w:r>
      <w:r w:rsidR="00DC59CB">
        <w:t>situation</w:t>
      </w:r>
      <w:r>
        <w:t xml:space="preserve"> arises </w:t>
      </w:r>
      <w:r w:rsidR="002C4182">
        <w:t xml:space="preserve">if any of the following contraventions take place and </w:t>
      </w:r>
      <w:r w:rsidR="00DC59CB">
        <w:t>a</w:t>
      </w:r>
      <w:r w:rsidR="002C4182">
        <w:t xml:space="preserve"> person suffers loss because of the contravention:</w:t>
      </w:r>
    </w:p>
    <w:p w14:paraId="32F8D300" w14:textId="147BF8EE" w:rsidR="002C4182" w:rsidRDefault="002C4182" w:rsidP="00155ABB">
      <w:pPr>
        <w:pStyle w:val="dotpoint"/>
      </w:pPr>
      <w:r>
        <w:t>the issuer fails to</w:t>
      </w:r>
      <w:r w:rsidR="00585F47">
        <w:t xml:space="preserve"> review</w:t>
      </w:r>
      <w:r>
        <w:t xml:space="preserve"> the target market determination during </w:t>
      </w:r>
      <w:r w:rsidR="00DC59CB">
        <w:t>a</w:t>
      </w:r>
      <w:r>
        <w:t xml:space="preserve"> review period;</w:t>
      </w:r>
    </w:p>
    <w:p w14:paraId="0C72B7C6" w14:textId="73099182" w:rsidR="00623CE6" w:rsidRDefault="002C4182" w:rsidP="00155ABB">
      <w:pPr>
        <w:pStyle w:val="dotpoint"/>
      </w:pPr>
      <w:r>
        <w:t>the issuer engages in retail product distribution conduct after failing to review the determination in response to</w:t>
      </w:r>
      <w:r w:rsidR="00DC59CB">
        <w:t xml:space="preserve"> a</w:t>
      </w:r>
      <w:r>
        <w:t xml:space="preserve"> review trigger</w:t>
      </w:r>
      <w:r w:rsidR="00DC59CB">
        <w:t>,</w:t>
      </w:r>
      <w:r>
        <w:t xml:space="preserve"> or other events or circumstances</w:t>
      </w:r>
      <w:r w:rsidR="00DC59CB">
        <w:t xml:space="preserve"> that indicate the target market determination may no longer be appropriate</w:t>
      </w:r>
      <w:r w:rsidR="00623CE6">
        <w:t>;</w:t>
      </w:r>
    </w:p>
    <w:p w14:paraId="55822528" w14:textId="411039DA" w:rsidR="00623CE6" w:rsidRDefault="00623CE6" w:rsidP="00155ABB">
      <w:pPr>
        <w:pStyle w:val="dotpoint"/>
      </w:pPr>
      <w:r>
        <w:t>the issuer fails to take reasonable steps to notify regulated persons not to distribute when a review trigger, or other</w:t>
      </w:r>
      <w:r w:rsidR="006D2796">
        <w:t xml:space="preserve"> relevant</w:t>
      </w:r>
      <w:r>
        <w:t xml:space="preserve"> event or circumstance has occurred;</w:t>
      </w:r>
      <w:r w:rsidR="002C0CC4">
        <w:t xml:space="preserve"> or</w:t>
      </w:r>
    </w:p>
    <w:p w14:paraId="6B0FF138" w14:textId="51201A44" w:rsidR="00CA4B67" w:rsidRDefault="006D2796" w:rsidP="00F22DEA">
      <w:pPr>
        <w:pStyle w:val="dotpoint"/>
      </w:pPr>
      <w:r>
        <w:t>a</w:t>
      </w:r>
      <w:r w:rsidR="009202D6">
        <w:t xml:space="preserve"> </w:t>
      </w:r>
      <w:r w:rsidR="007D08AF">
        <w:t>regulated person</w:t>
      </w:r>
      <w:r w:rsidR="009202D6">
        <w:t xml:space="preserve"> distribute</w:t>
      </w:r>
      <w:r w:rsidR="007D08AF">
        <w:t>s</w:t>
      </w:r>
      <w:r>
        <w:t xml:space="preserve"> a product</w:t>
      </w:r>
      <w:r w:rsidR="009202D6">
        <w:t xml:space="preserve"> after being</w:t>
      </w:r>
      <w:r w:rsidR="00CB25F0">
        <w:t xml:space="preserve"> notified by issuers not to </w:t>
      </w:r>
      <w:r w:rsidR="009202D6">
        <w:t>do so</w:t>
      </w:r>
      <w:r w:rsidR="00BF6018">
        <w:t>.</w:t>
      </w:r>
      <w:r w:rsidR="000D4C47">
        <w:t xml:space="preserve"> </w:t>
      </w:r>
    </w:p>
    <w:p w14:paraId="42BCF354" w14:textId="5DA5DE23" w:rsidR="00245EE1" w:rsidRDefault="000D4C47" w:rsidP="00155ABB">
      <w:pPr>
        <w:pStyle w:val="dotpoint"/>
        <w:numPr>
          <w:ilvl w:val="0"/>
          <w:numId w:val="0"/>
        </w:numPr>
        <w:ind w:left="2268"/>
      </w:pPr>
      <w:r>
        <w:rPr>
          <w:rStyle w:val="Referencingstyle"/>
        </w:rPr>
        <w:t>[Schedule 1, item 5</w:t>
      </w:r>
      <w:r w:rsidRPr="00A24AD2">
        <w:rPr>
          <w:rStyle w:val="Referencingstyle"/>
        </w:rPr>
        <w:t xml:space="preserve">, </w:t>
      </w:r>
      <w:r>
        <w:rPr>
          <w:rStyle w:val="Referencingstyle"/>
        </w:rPr>
        <w:t>subsection 994M(1)(a) of the Corporations Act</w:t>
      </w:r>
      <w:r w:rsidRPr="00A24AD2">
        <w:rPr>
          <w:rStyle w:val="Referencingstyle"/>
        </w:rPr>
        <w:t>]</w:t>
      </w:r>
      <w:r>
        <w:t xml:space="preserve">  </w:t>
      </w:r>
    </w:p>
    <w:p w14:paraId="2B1562D8" w14:textId="16B6BF6E" w:rsidR="001F2AEB" w:rsidRDefault="006C539C" w:rsidP="001E17D3">
      <w:pPr>
        <w:pStyle w:val="base-text-paragraph"/>
      </w:pPr>
      <w:r>
        <w:t xml:space="preserve">However, it should be noted that </w:t>
      </w:r>
      <w:r w:rsidR="00DB0199">
        <w:t>civil liability</w:t>
      </w:r>
      <w:r w:rsidR="001F2AEB">
        <w:t xml:space="preserve"> does not arise where the defences to</w:t>
      </w:r>
      <w:r w:rsidR="000D0A54">
        <w:t xml:space="preserve"> those</w:t>
      </w:r>
      <w:r w:rsidR="001F2AEB">
        <w:t xml:space="preserve"> contraventions are available: </w:t>
      </w:r>
    </w:p>
    <w:p w14:paraId="6867DB7F" w14:textId="035EAA86" w:rsidR="001F2AEB" w:rsidRDefault="001F2AEB" w:rsidP="00155ABB">
      <w:pPr>
        <w:pStyle w:val="dotpoint"/>
      </w:pPr>
      <w:r>
        <w:t xml:space="preserve">in relation to the issuer, this is where the review has already been </w:t>
      </w:r>
      <w:r w:rsidR="00832497">
        <w:t>conduc</w:t>
      </w:r>
      <w:r w:rsidR="00DA4E91">
        <w:t>t</w:t>
      </w:r>
      <w:r w:rsidR="00832497">
        <w:t>ed</w:t>
      </w:r>
      <w:r>
        <w:t xml:space="preserve"> and the</w:t>
      </w:r>
      <w:r w:rsidR="00932D36">
        <w:t xml:space="preserve"> target market</w:t>
      </w:r>
      <w:r>
        <w:t xml:space="preserve"> determinatio</w:t>
      </w:r>
      <w:r w:rsidR="000D0A54">
        <w:t xml:space="preserve">n has been </w:t>
      </w:r>
      <w:r w:rsidR="00832497">
        <w:t>re-</w:t>
      </w:r>
      <w:r w:rsidR="000D0A54">
        <w:t>made (if necessary); and</w:t>
      </w:r>
    </w:p>
    <w:p w14:paraId="1E3B8D9E" w14:textId="065EB8B7" w:rsidR="00794542" w:rsidRDefault="001F2AEB" w:rsidP="00155ABB">
      <w:pPr>
        <w:pStyle w:val="dotpoint"/>
      </w:pPr>
      <w:r>
        <w:t>in relation to the regulated person</w:t>
      </w:r>
      <w:r w:rsidR="000D0A54">
        <w:t xml:space="preserve">, this is where all reasonable inquiries </w:t>
      </w:r>
      <w:r w:rsidR="00DA4E91">
        <w:t>have</w:t>
      </w:r>
      <w:r w:rsidR="000D0A54">
        <w:t xml:space="preserve"> been made and the regulated person believed on reasonable grounds that the determination had been </w:t>
      </w:r>
      <w:r w:rsidR="00832497">
        <w:t>reviewed and re-made (if necessary).</w:t>
      </w:r>
      <w:r w:rsidR="000D0A54">
        <w:t xml:space="preserve"> </w:t>
      </w:r>
    </w:p>
    <w:p w14:paraId="275D3A09" w14:textId="03A47DE0" w:rsidR="00B4534E" w:rsidRDefault="002C4182" w:rsidP="001E17D3">
      <w:pPr>
        <w:pStyle w:val="base-text-paragraph"/>
      </w:pPr>
      <w:r>
        <w:t xml:space="preserve">The second </w:t>
      </w:r>
      <w:r w:rsidR="00DC59CB">
        <w:t>situation</w:t>
      </w:r>
      <w:r w:rsidR="004A40E4">
        <w:t xml:space="preserve"> arises</w:t>
      </w:r>
      <w:r>
        <w:t xml:space="preserve"> where</w:t>
      </w:r>
      <w:r w:rsidR="00CC2C75">
        <w:t xml:space="preserve"> a</w:t>
      </w:r>
      <w:r>
        <w:t xml:space="preserve"> </w:t>
      </w:r>
      <w:r w:rsidR="00B4534E">
        <w:t>product is distributed without a target market determination</w:t>
      </w:r>
      <w:r w:rsidR="00606E4D">
        <w:t>.</w:t>
      </w:r>
      <w:r w:rsidR="004A40E4">
        <w:t xml:space="preserve"> In particular,</w:t>
      </w:r>
      <w:r w:rsidR="00F64AA6">
        <w:t xml:space="preserve"> </w:t>
      </w:r>
      <w:r w:rsidR="004A40E4">
        <w:t>t</w:t>
      </w:r>
      <w:r w:rsidR="00F64AA6">
        <w:t>he amendments pro</w:t>
      </w:r>
      <w:r w:rsidR="00606E4D">
        <w:t xml:space="preserve">vide a </w:t>
      </w:r>
      <w:r w:rsidR="00F64AA6">
        <w:t>person with a cause of action</w:t>
      </w:r>
      <w:r w:rsidR="00606E4D">
        <w:t xml:space="preserve"> </w:t>
      </w:r>
      <w:r w:rsidR="00F64AA6">
        <w:t>if:</w:t>
      </w:r>
    </w:p>
    <w:p w14:paraId="3E88330D" w14:textId="587DA5D5" w:rsidR="00F64AA6" w:rsidRDefault="00F64AA6" w:rsidP="00424951">
      <w:pPr>
        <w:pStyle w:val="dotpoint"/>
      </w:pPr>
      <w:r>
        <w:t>a</w:t>
      </w:r>
      <w:r w:rsidR="00B4534E">
        <w:t xml:space="preserve"> regulated person </w:t>
      </w:r>
      <w:r w:rsidR="00585F47">
        <w:t xml:space="preserve">engages in retail product distribution conduct </w:t>
      </w:r>
      <w:r w:rsidR="00B4534E">
        <w:t>in relation to a product</w:t>
      </w:r>
      <w:r>
        <w:t xml:space="preserve"> that does not have a target market determination;</w:t>
      </w:r>
      <w:r w:rsidR="00B15814">
        <w:t xml:space="preserve"> and</w:t>
      </w:r>
    </w:p>
    <w:p w14:paraId="1F4F2ED2" w14:textId="674FC3B4" w:rsidR="00CA4B67" w:rsidRDefault="00F64AA6" w:rsidP="00424951">
      <w:pPr>
        <w:pStyle w:val="dotpoint"/>
      </w:pPr>
      <w:r>
        <w:t xml:space="preserve">the person suffers loss or damage because of </w:t>
      </w:r>
      <w:r w:rsidR="004A40E4">
        <w:t>that conduct</w:t>
      </w:r>
      <w:r w:rsidR="00B15814">
        <w:t xml:space="preserve">. </w:t>
      </w:r>
    </w:p>
    <w:p w14:paraId="0A1B5404" w14:textId="13DCFCA3" w:rsidR="00F64AA6" w:rsidRDefault="00B15814" w:rsidP="00155ABB">
      <w:pPr>
        <w:pStyle w:val="dotpoint"/>
        <w:numPr>
          <w:ilvl w:val="0"/>
          <w:numId w:val="0"/>
        </w:numPr>
        <w:ind w:left="2268"/>
      </w:pPr>
      <w:r>
        <w:rPr>
          <w:rStyle w:val="Referencingstyle"/>
        </w:rPr>
        <w:t xml:space="preserve">[Schedule 1, item </w:t>
      </w:r>
      <w:r w:rsidR="00585F47">
        <w:rPr>
          <w:rStyle w:val="Referencingstyle"/>
        </w:rPr>
        <w:t>5</w:t>
      </w:r>
      <w:r w:rsidRPr="00A24AD2">
        <w:rPr>
          <w:rStyle w:val="Referencingstyle"/>
        </w:rPr>
        <w:t xml:space="preserve">, </w:t>
      </w:r>
      <w:r>
        <w:rPr>
          <w:rStyle w:val="Referencingstyle"/>
        </w:rPr>
        <w:t>subsection 99</w:t>
      </w:r>
      <w:r w:rsidR="00585F47">
        <w:rPr>
          <w:rStyle w:val="Referencingstyle"/>
        </w:rPr>
        <w:t>4</w:t>
      </w:r>
      <w:r>
        <w:rPr>
          <w:rStyle w:val="Referencingstyle"/>
        </w:rPr>
        <w:t>M(1)</w:t>
      </w:r>
      <w:r w:rsidR="00585F47">
        <w:rPr>
          <w:rStyle w:val="Referencingstyle"/>
        </w:rPr>
        <w:t>(a)</w:t>
      </w:r>
      <w:r>
        <w:rPr>
          <w:rStyle w:val="Referencingstyle"/>
        </w:rPr>
        <w:t xml:space="preserve"> of the Corporations Act</w:t>
      </w:r>
      <w:r w:rsidRPr="00A24AD2">
        <w:rPr>
          <w:rStyle w:val="Referencingstyle"/>
        </w:rPr>
        <w:t>]</w:t>
      </w:r>
      <w:r>
        <w:t xml:space="preserve">  </w:t>
      </w:r>
    </w:p>
    <w:p w14:paraId="5572CC35" w14:textId="4E5BD587" w:rsidR="002001C7" w:rsidRDefault="000A5733" w:rsidP="002001C7">
      <w:pPr>
        <w:pStyle w:val="base-text-paragraph"/>
      </w:pPr>
      <w:r>
        <w:t>Again, this cause of action does not arise when a defence to the contravention is available. In particular, the cause of action would not arise</w:t>
      </w:r>
      <w:r w:rsidR="002405A6">
        <w:t xml:space="preserve"> if a</w:t>
      </w:r>
      <w:r w:rsidR="00F64AA6">
        <w:t xml:space="preserve"> regulated person</w:t>
      </w:r>
      <w:r w:rsidR="002405A6">
        <w:t xml:space="preserve"> (</w:t>
      </w:r>
      <w:r w:rsidR="0016440D">
        <w:t>except the issuer</w:t>
      </w:r>
      <w:r w:rsidR="002405A6">
        <w:t>)</w:t>
      </w:r>
      <w:r w:rsidR="00F64AA6">
        <w:t xml:space="preserve"> </w:t>
      </w:r>
      <w:r w:rsidR="00D238F7">
        <w:t xml:space="preserve">made all inquiries that were reasonable in the circumstances and after doing so, believed on </w:t>
      </w:r>
      <w:r w:rsidR="00F64AA6">
        <w:t>reasonabl</w:t>
      </w:r>
      <w:r w:rsidR="00D238F7">
        <w:t xml:space="preserve">e grounds that the </w:t>
      </w:r>
      <w:r w:rsidR="002405A6">
        <w:t>target market determination</w:t>
      </w:r>
      <w:r w:rsidR="00D238F7">
        <w:t xml:space="preserve"> had been validly</w:t>
      </w:r>
      <w:r w:rsidR="0016440D">
        <w:t xml:space="preserve"> made by the issuer</w:t>
      </w:r>
      <w:r w:rsidR="002405A6">
        <w:t>.</w:t>
      </w:r>
      <w:r w:rsidR="002001C7">
        <w:t xml:space="preserve"> This ensures that</w:t>
      </w:r>
      <w:r w:rsidR="0016440D">
        <w:t xml:space="preserve"> a distributor </w:t>
      </w:r>
      <w:r w:rsidR="002001C7">
        <w:t xml:space="preserve">is not liable to civil action in circumstances where any wrongdoing is ultimately attributable to the issuer. </w:t>
      </w:r>
    </w:p>
    <w:p w14:paraId="3010F448" w14:textId="7AB671D5" w:rsidR="002405A6" w:rsidRDefault="0016440D" w:rsidP="001E17D3">
      <w:pPr>
        <w:pStyle w:val="base-text-paragraph"/>
      </w:pPr>
      <w:r>
        <w:t xml:space="preserve">The </w:t>
      </w:r>
      <w:r w:rsidR="00DA4E91">
        <w:t>third</w:t>
      </w:r>
      <w:r>
        <w:t xml:space="preserve"> </w:t>
      </w:r>
      <w:r w:rsidR="006431A1">
        <w:t xml:space="preserve">situation arises </w:t>
      </w:r>
      <w:r>
        <w:t xml:space="preserve">where a person suffers loss or damage because </w:t>
      </w:r>
      <w:r w:rsidR="006C539C">
        <w:t>of a failure to take reasonable</w:t>
      </w:r>
      <w:r w:rsidR="000B485F">
        <w:t xml:space="preserve"> steps so that distribution is consistent with the</w:t>
      </w:r>
      <w:r>
        <w:t xml:space="preserve"> target market determination.</w:t>
      </w:r>
      <w:r w:rsidR="003E2438">
        <w:t xml:space="preserve"> </w:t>
      </w:r>
      <w:r w:rsidR="009C3291">
        <w:t>In particular, t</w:t>
      </w:r>
      <w:r>
        <w:t>he amendments</w:t>
      </w:r>
      <w:r w:rsidR="00CC102E">
        <w:t xml:space="preserve"> provide a cause of action if</w:t>
      </w:r>
      <w:r>
        <w:t xml:space="preserve"> </w:t>
      </w:r>
      <w:r w:rsidR="00CC102E">
        <w:t>any of the following contraventions take place and the person suffers loss because of the contravention</w:t>
      </w:r>
      <w:r>
        <w:t>:</w:t>
      </w:r>
    </w:p>
    <w:p w14:paraId="77B4E3BF" w14:textId="1765D0C5" w:rsidR="00CC102E" w:rsidRDefault="00CC102E" w:rsidP="00AC0586">
      <w:pPr>
        <w:pStyle w:val="dotpoint"/>
      </w:pPr>
      <w:r>
        <w:t xml:space="preserve">an issuer fails to take </w:t>
      </w:r>
      <w:r w:rsidR="00AC0586">
        <w:t>reasonable steps that would, or would</w:t>
      </w:r>
      <w:r>
        <w:t xml:space="preserve"> reasonably</w:t>
      </w:r>
      <w:r w:rsidR="009C7F31">
        <w:t xml:space="preserve"> be</w:t>
      </w:r>
      <w:r>
        <w:t xml:space="preserve"> likely </w:t>
      </w:r>
      <w:r w:rsidR="00AC0586">
        <w:t>to result in retail product distribution conduct being consistent with the target market determination;</w:t>
      </w:r>
    </w:p>
    <w:p w14:paraId="15783EA2" w14:textId="4B637886" w:rsidR="0016440D" w:rsidRDefault="00B15814" w:rsidP="00424951">
      <w:pPr>
        <w:pStyle w:val="dotpoint"/>
      </w:pPr>
      <w:r>
        <w:t xml:space="preserve">a regulated person </w:t>
      </w:r>
      <w:r w:rsidR="00AC0586">
        <w:t xml:space="preserve">fails to take reasonable steps that would have resulted in, or would reasonably likely have resulted in retail product distribution conduct being consistent with the target market determination. </w:t>
      </w:r>
    </w:p>
    <w:p w14:paraId="41078379" w14:textId="2D8B763A" w:rsidR="00B15814" w:rsidRDefault="00B15814" w:rsidP="00155ABB">
      <w:pPr>
        <w:pStyle w:val="dotpoint"/>
        <w:numPr>
          <w:ilvl w:val="0"/>
          <w:numId w:val="0"/>
        </w:numPr>
        <w:ind w:left="2268"/>
      </w:pPr>
      <w:r>
        <w:t xml:space="preserve"> </w:t>
      </w:r>
      <w:r>
        <w:rPr>
          <w:rStyle w:val="Referencingstyle"/>
        </w:rPr>
        <w:t xml:space="preserve">[Schedule 1, item </w:t>
      </w:r>
      <w:r w:rsidR="00BE1AE9">
        <w:rPr>
          <w:rStyle w:val="Referencingstyle"/>
        </w:rPr>
        <w:t>5</w:t>
      </w:r>
      <w:r w:rsidRPr="00A24AD2">
        <w:rPr>
          <w:rStyle w:val="Referencingstyle"/>
        </w:rPr>
        <w:t xml:space="preserve">, </w:t>
      </w:r>
      <w:r>
        <w:rPr>
          <w:rStyle w:val="Referencingstyle"/>
        </w:rPr>
        <w:t>subsection 99</w:t>
      </w:r>
      <w:r w:rsidR="006C539C">
        <w:rPr>
          <w:rStyle w:val="Referencingstyle"/>
        </w:rPr>
        <w:t>4</w:t>
      </w:r>
      <w:r>
        <w:rPr>
          <w:rStyle w:val="Referencingstyle"/>
        </w:rPr>
        <w:t>M(</w:t>
      </w:r>
      <w:r w:rsidR="00585F47">
        <w:rPr>
          <w:rStyle w:val="Referencingstyle"/>
        </w:rPr>
        <w:t>1</w:t>
      </w:r>
      <w:r>
        <w:rPr>
          <w:rStyle w:val="Referencingstyle"/>
        </w:rPr>
        <w:t>)</w:t>
      </w:r>
      <w:r w:rsidR="00585F47">
        <w:rPr>
          <w:rStyle w:val="Referencingstyle"/>
        </w:rPr>
        <w:t>(a)</w:t>
      </w:r>
      <w:r>
        <w:rPr>
          <w:rStyle w:val="Referencingstyle"/>
        </w:rPr>
        <w:t xml:space="preserve"> of the Corporations Act</w:t>
      </w:r>
      <w:r w:rsidRPr="00A24AD2">
        <w:rPr>
          <w:rStyle w:val="Referencingstyle"/>
        </w:rPr>
        <w:t>]</w:t>
      </w:r>
      <w:r>
        <w:t xml:space="preserve">  </w:t>
      </w:r>
    </w:p>
    <w:p w14:paraId="584BA2C1" w14:textId="7BFA20CA" w:rsidR="00B15814" w:rsidRDefault="00B15814" w:rsidP="00B15814">
      <w:pPr>
        <w:pStyle w:val="base-text-paragraph"/>
      </w:pPr>
      <w:r>
        <w:t>The new cause of action do</w:t>
      </w:r>
      <w:r w:rsidR="00385842">
        <w:t>es</w:t>
      </w:r>
      <w:r>
        <w:t xml:space="preserve"> not affect any liability that a person has under any other law. In addition, the causes of actions arise regardless as to whether any person has been convicted of an offence or ordered to pay a civil penalty with respect to the relevant contravention.</w:t>
      </w:r>
      <w:r w:rsidR="00054B18">
        <w:t xml:space="preserve"> </w:t>
      </w:r>
      <w:r w:rsidR="00A3312F">
        <w:rPr>
          <w:rStyle w:val="Referencingstyle"/>
        </w:rPr>
        <w:t>[Sc</w:t>
      </w:r>
      <w:r w:rsidR="00054B18" w:rsidRPr="00424951">
        <w:rPr>
          <w:rStyle w:val="Referencingstyle"/>
        </w:rPr>
        <w:t xml:space="preserve">hedule 1, </w:t>
      </w:r>
      <w:r w:rsidR="00054B18">
        <w:rPr>
          <w:rStyle w:val="Referencingstyle"/>
        </w:rPr>
        <w:t xml:space="preserve">item 3, </w:t>
      </w:r>
      <w:r w:rsidR="006C539C">
        <w:rPr>
          <w:rStyle w:val="Referencingstyle"/>
        </w:rPr>
        <w:t>paragraphs</w:t>
      </w:r>
      <w:r w:rsidR="00054B18">
        <w:rPr>
          <w:rStyle w:val="Referencingstyle"/>
        </w:rPr>
        <w:t xml:space="preserve"> </w:t>
      </w:r>
      <w:r w:rsidR="00054B18" w:rsidRPr="00424951">
        <w:rPr>
          <w:rStyle w:val="Referencingstyle"/>
        </w:rPr>
        <w:t>993DM(</w:t>
      </w:r>
      <w:r w:rsidR="003D2579">
        <w:rPr>
          <w:rStyle w:val="Referencingstyle"/>
        </w:rPr>
        <w:t>1</w:t>
      </w:r>
      <w:r w:rsidR="00054B18" w:rsidRPr="00424951">
        <w:rPr>
          <w:rStyle w:val="Referencingstyle"/>
        </w:rPr>
        <w:t>)</w:t>
      </w:r>
      <w:r w:rsidR="006C539C">
        <w:rPr>
          <w:rStyle w:val="Referencingstyle"/>
        </w:rPr>
        <w:t>(c), (d) and (e)</w:t>
      </w:r>
      <w:r w:rsidR="003D2579">
        <w:rPr>
          <w:rStyle w:val="Referencingstyle"/>
        </w:rPr>
        <w:t>,</w:t>
      </w:r>
      <w:r w:rsidR="006C539C">
        <w:rPr>
          <w:rStyle w:val="Referencingstyle"/>
        </w:rPr>
        <w:t xml:space="preserve"> and subsection</w:t>
      </w:r>
      <w:r w:rsidR="003D2579">
        <w:rPr>
          <w:rStyle w:val="Referencingstyle"/>
        </w:rPr>
        <w:t xml:space="preserve"> </w:t>
      </w:r>
      <w:r w:rsidR="006C539C" w:rsidRPr="00424951">
        <w:rPr>
          <w:rStyle w:val="Referencingstyle"/>
        </w:rPr>
        <w:t>99</w:t>
      </w:r>
      <w:r w:rsidR="006C539C">
        <w:rPr>
          <w:rStyle w:val="Referencingstyle"/>
        </w:rPr>
        <w:t>4</w:t>
      </w:r>
      <w:r w:rsidR="006C539C" w:rsidRPr="00424951">
        <w:rPr>
          <w:rStyle w:val="Referencingstyle"/>
        </w:rPr>
        <w:t>M</w:t>
      </w:r>
      <w:r w:rsidR="003D2579" w:rsidRPr="00424951">
        <w:rPr>
          <w:rStyle w:val="Referencingstyle"/>
        </w:rPr>
        <w:t>(</w:t>
      </w:r>
      <w:r w:rsidR="00CF1066">
        <w:rPr>
          <w:rStyle w:val="Referencingstyle"/>
        </w:rPr>
        <w:t>3</w:t>
      </w:r>
      <w:r w:rsidR="003D2579" w:rsidRPr="00424951">
        <w:rPr>
          <w:rStyle w:val="Referencingstyle"/>
        </w:rPr>
        <w:t>)</w:t>
      </w:r>
      <w:r w:rsidR="00054B18" w:rsidRPr="00424951">
        <w:rPr>
          <w:rStyle w:val="Referencingstyle"/>
        </w:rPr>
        <w:t xml:space="preserve">]     </w:t>
      </w:r>
    </w:p>
    <w:p w14:paraId="68AFB23C" w14:textId="45C8EC41" w:rsidR="00B15814" w:rsidRPr="00606E4D" w:rsidRDefault="00B15814" w:rsidP="00B15814">
      <w:pPr>
        <w:pStyle w:val="base-text-paragraph"/>
      </w:pPr>
      <w:r>
        <w:t xml:space="preserve">The limitation period applicable to </w:t>
      </w:r>
      <w:r w:rsidR="00385842">
        <w:t>the</w:t>
      </w:r>
      <w:r>
        <w:t xml:space="preserve"> cause of action is 6 years. The limitation period commences on </w:t>
      </w:r>
      <w:r w:rsidRPr="00606E4D">
        <w:t>the day on</w:t>
      </w:r>
      <w:r>
        <w:t xml:space="preserve"> which the cause of action arose, meaning that any action must be commenced within 6 years of that date</w:t>
      </w:r>
      <w:r w:rsidRPr="00606E4D">
        <w:t xml:space="preserve">. </w:t>
      </w:r>
      <w:r w:rsidR="00A3312F">
        <w:rPr>
          <w:rStyle w:val="Referencingstyle"/>
        </w:rPr>
        <w:t>[S</w:t>
      </w:r>
      <w:r w:rsidRPr="00424951">
        <w:rPr>
          <w:rStyle w:val="Referencingstyle"/>
        </w:rPr>
        <w:t xml:space="preserve">chedule 1, </w:t>
      </w:r>
      <w:r>
        <w:rPr>
          <w:rStyle w:val="Referencingstyle"/>
        </w:rPr>
        <w:t xml:space="preserve">item </w:t>
      </w:r>
      <w:r w:rsidR="00CB33F2">
        <w:rPr>
          <w:rStyle w:val="Referencingstyle"/>
        </w:rPr>
        <w:t>5</w:t>
      </w:r>
      <w:r>
        <w:rPr>
          <w:rStyle w:val="Referencingstyle"/>
        </w:rPr>
        <w:t xml:space="preserve">, subsection </w:t>
      </w:r>
      <w:r w:rsidRPr="00424951">
        <w:rPr>
          <w:rStyle w:val="Referencingstyle"/>
        </w:rPr>
        <w:t>99</w:t>
      </w:r>
      <w:r w:rsidR="00CB33F2">
        <w:rPr>
          <w:rStyle w:val="Referencingstyle"/>
        </w:rPr>
        <w:t>4</w:t>
      </w:r>
      <w:r w:rsidRPr="00424951">
        <w:rPr>
          <w:rStyle w:val="Referencingstyle"/>
        </w:rPr>
        <w:t>M(</w:t>
      </w:r>
      <w:r w:rsidR="00CB33F2">
        <w:rPr>
          <w:rStyle w:val="Referencingstyle"/>
        </w:rPr>
        <w:t>2</w:t>
      </w:r>
      <w:r w:rsidRPr="00424951">
        <w:rPr>
          <w:rStyle w:val="Referencingstyle"/>
        </w:rPr>
        <w:t xml:space="preserve">)]     </w:t>
      </w:r>
    </w:p>
    <w:p w14:paraId="375585C2" w14:textId="01755DEC" w:rsidR="00CF00FF" w:rsidRDefault="00AE25E1" w:rsidP="00CC5E4C">
      <w:pPr>
        <w:pStyle w:val="base-text-paragraph"/>
      </w:pPr>
      <w:r>
        <w:t xml:space="preserve">The court dealing with the new cause of action is intended to be able to </w:t>
      </w:r>
      <w:r w:rsidR="00CC5E4C">
        <w:t>make a variety of orders.</w:t>
      </w:r>
      <w:r w:rsidR="00A3312F">
        <w:t xml:space="preserve"> To ensure the court has </w:t>
      </w:r>
      <w:r w:rsidR="00CC5E4C">
        <w:t>appropriate powers, the amendments provide that</w:t>
      </w:r>
      <w:r w:rsidR="00A3312F">
        <w:t xml:space="preserve"> the</w:t>
      </w:r>
      <w:r w:rsidR="00CF00FF">
        <w:t xml:space="preserve"> court may</w:t>
      </w:r>
      <w:r w:rsidR="00A3312F">
        <w:t>, in addition to awarding loss or damage:</w:t>
      </w:r>
    </w:p>
    <w:p w14:paraId="66F934C6" w14:textId="77777777" w:rsidR="00CF00FF" w:rsidRDefault="00A3312F" w:rsidP="00A3312F">
      <w:pPr>
        <w:pStyle w:val="dotpoint"/>
      </w:pPr>
      <w:r>
        <w:t xml:space="preserve">make </w:t>
      </w:r>
      <w:r w:rsidR="00CF00FF">
        <w:t xml:space="preserve">an order declaring that a contract entered into by the person who suffered loss or damage is void; </w:t>
      </w:r>
      <w:r w:rsidR="00CC5E4C">
        <w:t>and</w:t>
      </w:r>
    </w:p>
    <w:p w14:paraId="016A6CD8" w14:textId="5D4BFCF2" w:rsidR="00CF00FF" w:rsidRDefault="00CC5E4C" w:rsidP="00CF00FF">
      <w:pPr>
        <w:pStyle w:val="dotpoint"/>
      </w:pPr>
      <w:r>
        <w:t>if it makes such an order – make such other</w:t>
      </w:r>
      <w:r w:rsidR="00A3312F">
        <w:t xml:space="preserve"> </w:t>
      </w:r>
      <w:r>
        <w:t xml:space="preserve">orders as it thinks are necessary or desirable because of that order. </w:t>
      </w:r>
      <w:r w:rsidR="00CF00FF" w:rsidRPr="00073EDE">
        <w:rPr>
          <w:rStyle w:val="Referencingstyle"/>
        </w:rPr>
        <w:t>[Schedul</w:t>
      </w:r>
      <w:r w:rsidR="00CF00FF">
        <w:rPr>
          <w:rStyle w:val="Referencingstyle"/>
        </w:rPr>
        <w:t xml:space="preserve">e 1, item </w:t>
      </w:r>
      <w:r w:rsidR="00291DA8">
        <w:rPr>
          <w:rStyle w:val="Referencingstyle"/>
        </w:rPr>
        <w:t>5</w:t>
      </w:r>
      <w:r w:rsidR="00CF00FF">
        <w:rPr>
          <w:rStyle w:val="Referencingstyle"/>
        </w:rPr>
        <w:t xml:space="preserve">, </w:t>
      </w:r>
      <w:r w:rsidR="00A3312F">
        <w:rPr>
          <w:rStyle w:val="Referencingstyle"/>
        </w:rPr>
        <w:t>sub</w:t>
      </w:r>
      <w:r w:rsidR="00CF00FF">
        <w:rPr>
          <w:rStyle w:val="Referencingstyle"/>
        </w:rPr>
        <w:t>section 99</w:t>
      </w:r>
      <w:r w:rsidR="00291DA8">
        <w:rPr>
          <w:rStyle w:val="Referencingstyle"/>
        </w:rPr>
        <w:t>4</w:t>
      </w:r>
      <w:r w:rsidR="00CF00FF">
        <w:rPr>
          <w:rStyle w:val="Referencingstyle"/>
        </w:rPr>
        <w:t>N</w:t>
      </w:r>
      <w:r w:rsidR="00A3312F">
        <w:rPr>
          <w:rStyle w:val="Referencingstyle"/>
        </w:rPr>
        <w:t>(1)</w:t>
      </w:r>
      <w:r w:rsidR="00CF00FF">
        <w:rPr>
          <w:rStyle w:val="Referencingstyle"/>
        </w:rPr>
        <w:t xml:space="preserve"> </w:t>
      </w:r>
      <w:r w:rsidR="00CF00FF" w:rsidRPr="00073EDE">
        <w:rPr>
          <w:rStyle w:val="Referencingstyle"/>
        </w:rPr>
        <w:t xml:space="preserve">of the Corporations Act]  </w:t>
      </w:r>
    </w:p>
    <w:p w14:paraId="6ADE56EF" w14:textId="4961F800" w:rsidR="00AF58F2" w:rsidRPr="00AA24A9" w:rsidRDefault="00A3312F" w:rsidP="00E51A58">
      <w:pPr>
        <w:pStyle w:val="base-text-paragraph"/>
        <w:rPr>
          <w:rStyle w:val="Referencingstyle"/>
          <w:b w:val="0"/>
          <w:i w:val="0"/>
          <w:sz w:val="22"/>
        </w:rPr>
      </w:pPr>
      <w:r>
        <w:t>There are</w:t>
      </w:r>
      <w:r w:rsidR="00385842">
        <w:t xml:space="preserve"> a variety of</w:t>
      </w:r>
      <w:r>
        <w:t xml:space="preserve"> other orders that a court may make where it has declared a contract void</w:t>
      </w:r>
      <w:r w:rsidR="00385842">
        <w:t>. These</w:t>
      </w:r>
      <w:r w:rsidR="003E2438">
        <w:t xml:space="preserve"> includ</w:t>
      </w:r>
      <w:r w:rsidR="00385842">
        <w:t>e</w:t>
      </w:r>
      <w:r w:rsidR="003E2438">
        <w:t>, for</w:t>
      </w:r>
      <w:r>
        <w:t xml:space="preserve"> example: an order for the return of money paid by a person and an order for payment of an amount of interest specified in, or calculated in accordance with, the order. </w:t>
      </w:r>
      <w:r w:rsidRPr="00073EDE">
        <w:rPr>
          <w:rStyle w:val="Referencingstyle"/>
        </w:rPr>
        <w:t>[Schedul</w:t>
      </w:r>
      <w:r>
        <w:rPr>
          <w:rStyle w:val="Referencingstyle"/>
        </w:rPr>
        <w:t xml:space="preserve">e 1, item </w:t>
      </w:r>
      <w:r w:rsidR="002C512E">
        <w:rPr>
          <w:rStyle w:val="Referencingstyle"/>
        </w:rPr>
        <w:t>5</w:t>
      </w:r>
      <w:r>
        <w:rPr>
          <w:rStyle w:val="Referencingstyle"/>
        </w:rPr>
        <w:t>, subsection 99</w:t>
      </w:r>
      <w:r w:rsidR="002C512E">
        <w:rPr>
          <w:rStyle w:val="Referencingstyle"/>
        </w:rPr>
        <w:t>4</w:t>
      </w:r>
      <w:r>
        <w:rPr>
          <w:rStyle w:val="Referencingstyle"/>
        </w:rPr>
        <w:t xml:space="preserve">N(2) </w:t>
      </w:r>
      <w:r w:rsidRPr="00073EDE">
        <w:rPr>
          <w:rStyle w:val="Referencingstyle"/>
        </w:rPr>
        <w:t xml:space="preserve">of the Corporations Act]  </w:t>
      </w:r>
    </w:p>
    <w:p w14:paraId="6EB9FF11" w14:textId="77777777" w:rsidR="00EA2300" w:rsidRDefault="00EA2300" w:rsidP="00EA2300">
      <w:pPr>
        <w:pStyle w:val="Heading2"/>
      </w:pPr>
      <w:r>
        <w:t>Consequential amendments</w:t>
      </w:r>
    </w:p>
    <w:p w14:paraId="707B184C" w14:textId="51D95DD3" w:rsidR="00EA2300" w:rsidRPr="00135DD3" w:rsidRDefault="00EA2300" w:rsidP="00AA24A9">
      <w:pPr>
        <w:pStyle w:val="base-text-paragraph"/>
        <w:numPr>
          <w:ilvl w:val="1"/>
          <w:numId w:val="35"/>
        </w:numPr>
        <w:rPr>
          <w:rStyle w:val="Referencingstyle"/>
          <w:b w:val="0"/>
          <w:i w:val="0"/>
          <w:sz w:val="22"/>
        </w:rPr>
      </w:pPr>
      <w:r>
        <w:t>The new law makes a consequential amendment to existing section 760B of the Corporations Act. The amendment updates the table in th</w:t>
      </w:r>
      <w:r w:rsidR="00DB09CD">
        <w:t>at</w:t>
      </w:r>
      <w:r>
        <w:t xml:space="preserve"> section so that it refers to the new law. Th</w:t>
      </w:r>
      <w:r w:rsidR="00DB09CD">
        <w:t>is</w:t>
      </w:r>
      <w:r>
        <w:t xml:space="preserve"> amendment ensures that the outline to Chapter 7 of the Corporations Act, which is contained in section 760B, remains current. </w:t>
      </w:r>
      <w:r w:rsidRPr="00073EDE">
        <w:rPr>
          <w:rStyle w:val="Referencingstyle"/>
        </w:rPr>
        <w:t>[Schedul</w:t>
      </w:r>
      <w:r>
        <w:rPr>
          <w:rStyle w:val="Referencingstyle"/>
        </w:rPr>
        <w:t xml:space="preserve">e 1, item 2, section 760B </w:t>
      </w:r>
      <w:r w:rsidRPr="00073EDE">
        <w:rPr>
          <w:rStyle w:val="Referencingstyle"/>
        </w:rPr>
        <w:t xml:space="preserve">of the Corporations Act]  </w:t>
      </w:r>
    </w:p>
    <w:p w14:paraId="3D6015D1" w14:textId="77777777" w:rsidR="00AF58F2" w:rsidRDefault="00B17774" w:rsidP="00AA24A9">
      <w:pPr>
        <w:pStyle w:val="Heading2"/>
      </w:pPr>
      <w:r>
        <w:t>Application and transitional provisions</w:t>
      </w:r>
      <w:r w:rsidR="001E17D3">
        <w:t xml:space="preserve"> </w:t>
      </w:r>
    </w:p>
    <w:p w14:paraId="2A31D6A8" w14:textId="37F0E7D6" w:rsidR="00E51A58" w:rsidRDefault="00E51A58" w:rsidP="00155ABB">
      <w:pPr>
        <w:pStyle w:val="base-text-paragraph"/>
      </w:pPr>
      <w:r>
        <w:t xml:space="preserve">The new </w:t>
      </w:r>
      <w:r w:rsidR="00506C82">
        <w:t>design and distribution regime</w:t>
      </w:r>
      <w:r>
        <w:t xml:space="preserve"> applies </w:t>
      </w:r>
      <w:r w:rsidR="003E2438">
        <w:t>24 </w:t>
      </w:r>
      <w:r w:rsidR="00506C82">
        <w:t xml:space="preserve">months after </w:t>
      </w:r>
      <w:r w:rsidR="00CC2C75">
        <w:t>this Bill</w:t>
      </w:r>
      <w:r>
        <w:t xml:space="preserve"> </w:t>
      </w:r>
      <w:r w:rsidR="00506C82">
        <w:t>receives the Royal Assent.</w:t>
      </w:r>
      <w:r>
        <w:t xml:space="preserve"> </w:t>
      </w:r>
      <w:r>
        <w:rPr>
          <w:rStyle w:val="Referencingstyle"/>
        </w:rPr>
        <w:t>[</w:t>
      </w:r>
      <w:r w:rsidR="007D4AA1">
        <w:rPr>
          <w:rStyle w:val="Referencingstyle"/>
        </w:rPr>
        <w:t>Section 2</w:t>
      </w:r>
      <w:r w:rsidR="007E0225">
        <w:rPr>
          <w:rStyle w:val="Referencingstyle"/>
        </w:rPr>
        <w:t xml:space="preserve"> of the Bill</w:t>
      </w:r>
      <w:r w:rsidR="00393B8E">
        <w:rPr>
          <w:rStyle w:val="Referencingstyle"/>
        </w:rPr>
        <w:t>]</w:t>
      </w:r>
      <w:r w:rsidR="007D4AA1">
        <w:rPr>
          <w:rStyle w:val="Referencingstyle"/>
        </w:rPr>
        <w:t xml:space="preserve"> </w:t>
      </w:r>
    </w:p>
    <w:p w14:paraId="31A5A055" w14:textId="77777777" w:rsidR="001E17D3" w:rsidRDefault="001E17D3" w:rsidP="005C65B4">
      <w:pPr>
        <w:pStyle w:val="Bullet"/>
        <w:rPr>
          <w:rStyle w:val="Referencingstyle"/>
          <w:b w:val="0"/>
          <w:i w:val="0"/>
          <w:sz w:val="22"/>
        </w:rPr>
        <w:sectPr w:rsidR="001E17D3" w:rsidSect="00C743D3">
          <w:footerReference w:type="even" r:id="rId33"/>
          <w:footerReference w:type="default" r:id="rId34"/>
          <w:footerReference w:type="first" r:id="rId35"/>
          <w:type w:val="oddPage"/>
          <w:pgSz w:w="9979" w:h="14175" w:code="9"/>
          <w:pgMar w:top="567" w:right="1134" w:bottom="567" w:left="1134" w:header="709" w:footer="709" w:gutter="0"/>
          <w:cols w:space="708"/>
          <w:titlePg/>
          <w:docGrid w:linePitch="360"/>
        </w:sectPr>
      </w:pPr>
    </w:p>
    <w:p w14:paraId="3A04B632" w14:textId="77777777" w:rsidR="001E17D3" w:rsidRPr="007C2B20" w:rsidRDefault="001E17D3" w:rsidP="005C65B4">
      <w:pPr>
        <w:pStyle w:val="ChapterHeading"/>
      </w:pPr>
      <w:r w:rsidRPr="000C2A9D">
        <w:br/>
      </w:r>
      <w:bookmarkStart w:id="7" w:name="_Toc500948928"/>
      <w:bookmarkStart w:id="8" w:name="_Toc500959754"/>
      <w:bookmarkStart w:id="9" w:name="_Toc501457066"/>
      <w:bookmarkStart w:id="10" w:name="_Toc501460374"/>
      <w:r>
        <w:rPr>
          <w:rStyle w:val="ChapterNameOnly"/>
        </w:rPr>
        <w:t>Product Intervention Power</w:t>
      </w:r>
      <w:bookmarkEnd w:id="7"/>
      <w:bookmarkEnd w:id="8"/>
      <w:bookmarkEnd w:id="9"/>
      <w:bookmarkEnd w:id="10"/>
    </w:p>
    <w:p w14:paraId="61CE636B" w14:textId="77777777" w:rsidR="001E17D3" w:rsidRDefault="001E17D3" w:rsidP="001E17D3">
      <w:pPr>
        <w:pStyle w:val="Heading2"/>
      </w:pPr>
      <w:r>
        <w:t>Outline of chapter</w:t>
      </w:r>
    </w:p>
    <w:p w14:paraId="45C8F61C" w14:textId="77777777" w:rsidR="001E17D3" w:rsidRDefault="001E17D3" w:rsidP="001E17D3">
      <w:pPr>
        <w:pStyle w:val="base-text-paragraph"/>
      </w:pPr>
      <w:r>
        <w:t>Schedule 2 to the Bill amends the Corporations Act and the Credit Act to introduce a product intervention power for ASIC to prevent or respond to significant consumer detriment. It sets out:</w:t>
      </w:r>
    </w:p>
    <w:p w14:paraId="49965BC6" w14:textId="77777777" w:rsidR="001E17D3" w:rsidRDefault="001E17D3" w:rsidP="001E17D3">
      <w:pPr>
        <w:pStyle w:val="dotpoint"/>
      </w:pPr>
      <w:r>
        <w:t>the new power and when it can be exercised;</w:t>
      </w:r>
    </w:p>
    <w:p w14:paraId="284B9F56" w14:textId="77777777" w:rsidR="001E17D3" w:rsidRDefault="001E17D3" w:rsidP="001E17D3">
      <w:pPr>
        <w:pStyle w:val="dotpoint"/>
      </w:pPr>
      <w:r>
        <w:t>the range of products which can be subject to the power;</w:t>
      </w:r>
    </w:p>
    <w:p w14:paraId="782C6900" w14:textId="77777777" w:rsidR="001E17D3" w:rsidRDefault="001E17D3" w:rsidP="001E17D3">
      <w:pPr>
        <w:pStyle w:val="dotpoint"/>
      </w:pPr>
      <w:r>
        <w:t>ASIC’s obligations when exercising the power; and</w:t>
      </w:r>
    </w:p>
    <w:p w14:paraId="5AC51F22" w14:textId="77777777" w:rsidR="001E17D3" w:rsidRDefault="001E17D3" w:rsidP="001E17D3">
      <w:pPr>
        <w:pStyle w:val="dotpoint"/>
      </w:pPr>
      <w:r>
        <w:t xml:space="preserve">the consequences for failing to comply with an ASIC order. </w:t>
      </w:r>
    </w:p>
    <w:p w14:paraId="57483809" w14:textId="77777777" w:rsidR="001E17D3" w:rsidRDefault="001E17D3" w:rsidP="001E17D3">
      <w:pPr>
        <w:pStyle w:val="Heading2"/>
      </w:pPr>
      <w:r>
        <w:t>Context of amendments</w:t>
      </w:r>
    </w:p>
    <w:p w14:paraId="089AA590" w14:textId="468252BB" w:rsidR="001E17D3" w:rsidRDefault="00676ECE" w:rsidP="005C65B4">
      <w:pPr>
        <w:pStyle w:val="base-text-paragraph"/>
      </w:pPr>
      <w:r>
        <w:t>The Corporations Act relies heavily on disclosure to assist consumers understand and select appropriate f</w:t>
      </w:r>
      <w:r w:rsidR="00C669B0">
        <w:t>inancial products. However, disclosure can be ineffective for a number of reasons, including consumer disengagement, complexity of documents and products, behavioural biases, misaligned interests and low financial literacy. The availability of financial advice may not be sufficient to overcome these issues. A consumer may not seek financial advice or may receive poor-quality advice.</w:t>
      </w:r>
      <w:r w:rsidR="001E17D3">
        <w:t xml:space="preserve"> </w:t>
      </w:r>
    </w:p>
    <w:p w14:paraId="2FCE3531" w14:textId="77777777" w:rsidR="001E17D3" w:rsidRPr="00726D65" w:rsidRDefault="001E17D3" w:rsidP="005C65B4">
      <w:pPr>
        <w:pStyle w:val="base-text-paragraph"/>
      </w:pPr>
      <w:r w:rsidRPr="007E59CF">
        <w:t>ASIC has power</w:t>
      </w:r>
      <w:r>
        <w:t>s</w:t>
      </w:r>
      <w:r w:rsidRPr="007E59CF">
        <w:t xml:space="preserve"> under certain parts of the Corporations Act to </w:t>
      </w:r>
      <w:r>
        <w:t>impose conditions</w:t>
      </w:r>
      <w:r w:rsidRPr="007E59CF" w:rsidDel="00BC5114">
        <w:t xml:space="preserve"> </w:t>
      </w:r>
      <w:r>
        <w:t xml:space="preserve">and take actions to rectify </w:t>
      </w:r>
      <w:r w:rsidRPr="00307333">
        <w:t>consumer detriment after a breach or suspe</w:t>
      </w:r>
      <w:r>
        <w:t>cted breach of the law</w:t>
      </w:r>
      <w:r w:rsidRPr="007E59CF">
        <w:t>. However, these powers provide ASIC with limited scope to</w:t>
      </w:r>
      <w:r>
        <w:t xml:space="preserve"> regulate proactively</w:t>
      </w:r>
      <w:r w:rsidRPr="007E59CF">
        <w:t xml:space="preserve">. </w:t>
      </w:r>
    </w:p>
    <w:p w14:paraId="14DB7544" w14:textId="77777777" w:rsidR="001E17D3" w:rsidRPr="00307333" w:rsidRDefault="001E17D3" w:rsidP="005C65B4">
      <w:pPr>
        <w:pStyle w:val="base-text-paragraph"/>
        <w:tabs>
          <w:tab w:val="num" w:pos="844"/>
        </w:tabs>
      </w:pPr>
      <w:r>
        <w:t xml:space="preserve">ASIC can only intervene in certain situations where there is a suspected contravention of the law. For example, ASIC can stop the issuance of products where the disclosure documents are defective. This limits ASIC’s ability to intervene in the distribution of products where there is no defective disclosure. </w:t>
      </w:r>
    </w:p>
    <w:p w14:paraId="422E6AB9" w14:textId="49E02F46" w:rsidR="001E17D3" w:rsidRDefault="001E17D3" w:rsidP="005C65B4">
      <w:pPr>
        <w:pStyle w:val="base-text-paragraph"/>
      </w:pPr>
      <w:r>
        <w:t>The FSI considered the scope of ASIC’s powers in the context of past situations where consumers had suffered significant consumer detriment and ASIC had exhausted its regulatory toolkit.</w:t>
      </w:r>
      <w:r>
        <w:rPr>
          <w:rStyle w:val="FootnoteReference"/>
        </w:rPr>
        <w:footnoteReference w:id="39"/>
      </w:r>
      <w:r>
        <w:t xml:space="preserve"> The FSI found that early intervention by ASIC could be more effective in reducing harm to consumers compared with waiting for a breach to occur. It recommended </w:t>
      </w:r>
      <w:r w:rsidR="001550F3">
        <w:t>providing ASIC with</w:t>
      </w:r>
      <w:r w:rsidRPr="00DB083C">
        <w:t xml:space="preserve"> a proactive </w:t>
      </w:r>
      <w:r>
        <w:t>intervention power</w:t>
      </w:r>
      <w:r w:rsidRPr="00DB083C">
        <w:t xml:space="preserve"> that would enhance the regulatory toolkit available where there is risk of significant consumer detriment.</w:t>
      </w:r>
      <w:r>
        <w:rPr>
          <w:rStyle w:val="FootnoteReference"/>
        </w:rPr>
        <w:footnoteReference w:id="40"/>
      </w:r>
    </w:p>
    <w:p w14:paraId="09C11DD1" w14:textId="77777777" w:rsidR="001E17D3" w:rsidRDefault="001E17D3" w:rsidP="005C65B4">
      <w:pPr>
        <w:pStyle w:val="base-text-paragraph"/>
      </w:pPr>
      <w:r>
        <w:t>The Government accepted the FSI recommendation to introduce an intervention power on 20 October 2015.</w:t>
      </w:r>
      <w:r>
        <w:rPr>
          <w:rStyle w:val="FootnoteReference"/>
        </w:rPr>
        <w:footnoteReference w:id="41"/>
      </w:r>
      <w:r>
        <w:t xml:space="preserve"> On 13 December 2016, the Minister for Revenue and Financial Services released a proposals paper on the implementation of the obligations.</w:t>
      </w:r>
      <w:r>
        <w:rPr>
          <w:rStyle w:val="FootnoteReference"/>
        </w:rPr>
        <w:footnoteReference w:id="42"/>
      </w:r>
    </w:p>
    <w:p w14:paraId="50A18FE6" w14:textId="77777777" w:rsidR="001E17D3" w:rsidRDefault="001E17D3" w:rsidP="005C65B4">
      <w:pPr>
        <w:pStyle w:val="base-text-paragraph"/>
      </w:pPr>
      <w:r>
        <w:t>The intervention power will allow ASIC to regulate, or if necessary, ban potentially harmful financial and credit products where there is a risk of significant consumer detriment. The power is intended to enable ASIC to take action before harm</w:t>
      </w:r>
      <w:r w:rsidR="00760DB7">
        <w:t>,</w:t>
      </w:r>
      <w:r>
        <w:t xml:space="preserve"> or further harm</w:t>
      </w:r>
      <w:r w:rsidR="00760DB7">
        <w:t>,</w:t>
      </w:r>
      <w:r>
        <w:t xml:space="preserve"> is done to consumers.</w:t>
      </w:r>
    </w:p>
    <w:p w14:paraId="611A5480" w14:textId="77777777" w:rsidR="001E17D3" w:rsidRDefault="001E17D3" w:rsidP="001E17D3">
      <w:pPr>
        <w:pStyle w:val="Heading2"/>
      </w:pPr>
      <w:r>
        <w:t>Summary of new law</w:t>
      </w:r>
    </w:p>
    <w:p w14:paraId="4A28AC8F" w14:textId="38827E0D" w:rsidR="001E17D3" w:rsidRDefault="001E17D3" w:rsidP="005C65B4">
      <w:pPr>
        <w:pStyle w:val="base-text-paragraph"/>
      </w:pPr>
      <w:r>
        <w:t xml:space="preserve">Schedule 2 to the Bill amends the Corporations Act and the Credit Act to introduce the intervention power. The intervention power allows ASIC to make a range of orders prohibiting specified conduct in relation to products regulated under those Acts. The intervention power allows ASIC to proactively reduce the risk of consumers suffering significant detriment from financial and credit products.   </w:t>
      </w:r>
    </w:p>
    <w:p w14:paraId="1570BFAC" w14:textId="77777777" w:rsidR="001E17D3" w:rsidRPr="008F726E" w:rsidRDefault="001E17D3" w:rsidP="005C65B4">
      <w:pPr>
        <w:pStyle w:val="base-text-paragraph"/>
      </w:pPr>
      <w:r>
        <w:t xml:space="preserve">To ensure appropriate accountability, ASIC must satisfy consultation and notification obligations before an intervention order is made. Affected parties will be given the opportunity to make submissions to ASIC before an intervention is made, and all interventions will be made public. </w:t>
      </w:r>
    </w:p>
    <w:p w14:paraId="2175D52B" w14:textId="77777777" w:rsidR="001E17D3" w:rsidRDefault="001E17D3" w:rsidP="005C65B4">
      <w:pPr>
        <w:pStyle w:val="base-text-paragraph"/>
      </w:pPr>
      <w:r>
        <w:t>Civil and criminal penalties apply to contraventions of the new arrangements. The combination of civil and criminal penalties allows</w:t>
      </w:r>
      <w:r w:rsidR="00133FF3">
        <w:t xml:space="preserve"> the prosecutor or</w:t>
      </w:r>
      <w:r>
        <w:t xml:space="preserve"> ASIC</w:t>
      </w:r>
      <w:r w:rsidR="00133FF3">
        <w:t xml:space="preserve"> (as may be the case)</w:t>
      </w:r>
      <w:r>
        <w:t xml:space="preserve"> to take a proportional approach when enforcing the new obligations. In addition, a person who suffers loss or damage because of a contravention of the new obligations may recover that loss by civil action. </w:t>
      </w:r>
    </w:p>
    <w:p w14:paraId="407FA87D" w14:textId="27EA4816" w:rsidR="001E17D3" w:rsidRPr="008F726E" w:rsidRDefault="001E17D3" w:rsidP="005C65B4">
      <w:pPr>
        <w:pStyle w:val="base-text-paragraph"/>
      </w:pPr>
      <w:r>
        <w:t xml:space="preserve">ASIC may only intervene in relation to products </w:t>
      </w:r>
      <w:r w:rsidRPr="002860FF">
        <w:t xml:space="preserve">that are </w:t>
      </w:r>
      <w:r>
        <w:t xml:space="preserve">made </w:t>
      </w:r>
      <w:r w:rsidRPr="002860FF">
        <w:t>available for acquisition</w:t>
      </w:r>
      <w:r>
        <w:t xml:space="preserve"> after the commencement of the new </w:t>
      </w:r>
      <w:r w:rsidR="00CF2452">
        <w:t>power</w:t>
      </w:r>
      <w:r w:rsidRPr="00D449AB">
        <w:t>.</w:t>
      </w:r>
      <w:r w:rsidR="006E02E3">
        <w:t xml:space="preserve"> In addition, an order cannot apply to a product that has already been acquired or where a contract for the acquisition of the product has already been entered into.</w:t>
      </w:r>
      <w:r w:rsidRPr="00D449AB">
        <w:t xml:space="preserve"> This ensure</w:t>
      </w:r>
      <w:r>
        <w:t>s</w:t>
      </w:r>
      <w:r w:rsidR="00CF2452">
        <w:t xml:space="preserve"> that the new power</w:t>
      </w:r>
      <w:r w:rsidRPr="00D449AB">
        <w:t xml:space="preserve"> cannot</w:t>
      </w:r>
      <w:r>
        <w:t xml:space="preserve"> interfere with existing </w:t>
      </w:r>
      <w:r w:rsidRPr="00541519">
        <w:t>arrangements</w:t>
      </w:r>
      <w:r w:rsidRPr="00D449AB">
        <w:t xml:space="preserve"> </w:t>
      </w:r>
      <w:r>
        <w:t>between consumers and providers.</w:t>
      </w:r>
    </w:p>
    <w:p w14:paraId="7C6FA364" w14:textId="77777777" w:rsidR="001E17D3" w:rsidRDefault="001E17D3" w:rsidP="001E17D3">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1E17D3" w:rsidRPr="004666B8" w14:paraId="2166FE7B" w14:textId="77777777" w:rsidTr="001E1ECE">
        <w:tc>
          <w:tcPr>
            <w:tcW w:w="3275" w:type="dxa"/>
          </w:tcPr>
          <w:p w14:paraId="61DC2751" w14:textId="77777777" w:rsidR="001E17D3" w:rsidRPr="004666B8" w:rsidRDefault="001E17D3" w:rsidP="001E1ECE">
            <w:pPr>
              <w:pStyle w:val="tableheaderwithintable"/>
              <w:rPr>
                <w:lang w:val="en-US" w:eastAsia="en-US"/>
              </w:rPr>
            </w:pPr>
            <w:r w:rsidRPr="004666B8">
              <w:rPr>
                <w:lang w:val="en-US" w:eastAsia="en-US"/>
              </w:rPr>
              <w:t>New law</w:t>
            </w:r>
          </w:p>
        </w:tc>
        <w:tc>
          <w:tcPr>
            <w:tcW w:w="3276" w:type="dxa"/>
          </w:tcPr>
          <w:p w14:paraId="55DD2F28" w14:textId="77777777" w:rsidR="001E17D3" w:rsidRPr="004666B8" w:rsidRDefault="001E17D3" w:rsidP="001E1ECE">
            <w:pPr>
              <w:pStyle w:val="tableheaderwithintable"/>
              <w:rPr>
                <w:lang w:val="en-US" w:eastAsia="en-US"/>
              </w:rPr>
            </w:pPr>
            <w:r w:rsidRPr="004666B8">
              <w:rPr>
                <w:lang w:val="en-US" w:eastAsia="en-US"/>
              </w:rPr>
              <w:t>Current law</w:t>
            </w:r>
          </w:p>
        </w:tc>
      </w:tr>
      <w:tr w:rsidR="001E17D3" w:rsidRPr="004666B8" w14:paraId="2162F02A" w14:textId="77777777" w:rsidTr="001E1ECE">
        <w:tc>
          <w:tcPr>
            <w:tcW w:w="3275" w:type="dxa"/>
          </w:tcPr>
          <w:p w14:paraId="073D6C36" w14:textId="77777777" w:rsidR="001E17D3" w:rsidRPr="004666B8" w:rsidRDefault="001E17D3" w:rsidP="001E1ECE">
            <w:pPr>
              <w:pStyle w:val="tabletext"/>
              <w:rPr>
                <w:lang w:val="en-US" w:eastAsia="en-US"/>
              </w:rPr>
            </w:pPr>
            <w:r>
              <w:rPr>
                <w:lang w:val="en-US" w:eastAsia="en-US"/>
              </w:rPr>
              <w:t>ASIC can proactively intervene in relation to financial and credit products by making orders to prohibit specified conduct related to the product.</w:t>
            </w:r>
          </w:p>
        </w:tc>
        <w:tc>
          <w:tcPr>
            <w:tcW w:w="3276" w:type="dxa"/>
          </w:tcPr>
          <w:p w14:paraId="5A6CF795" w14:textId="6AC21188" w:rsidR="001E17D3" w:rsidRPr="004666B8" w:rsidRDefault="001E17D3" w:rsidP="001E1ECE">
            <w:pPr>
              <w:pStyle w:val="tabletext"/>
              <w:rPr>
                <w:lang w:val="en-US" w:eastAsia="en-US"/>
              </w:rPr>
            </w:pPr>
            <w:r>
              <w:rPr>
                <w:lang w:val="en-US" w:eastAsia="en-US"/>
              </w:rPr>
              <w:t>ASIC can make stop orders in relation to suspected breaches of some obligations under the Corporations Act</w:t>
            </w:r>
            <w:r w:rsidR="00F2119A">
              <w:rPr>
                <w:lang w:val="en-US" w:eastAsia="en-US"/>
              </w:rPr>
              <w:t>.</w:t>
            </w:r>
          </w:p>
        </w:tc>
      </w:tr>
      <w:tr w:rsidR="001E17D3" w:rsidRPr="004666B8" w14:paraId="24239BFD" w14:textId="77777777" w:rsidTr="001E1ECE">
        <w:tc>
          <w:tcPr>
            <w:tcW w:w="3275" w:type="dxa"/>
          </w:tcPr>
          <w:p w14:paraId="6BA43759" w14:textId="77777777" w:rsidR="001E17D3" w:rsidRDefault="001E17D3" w:rsidP="001E1ECE">
            <w:pPr>
              <w:pStyle w:val="tabletext"/>
              <w:rPr>
                <w:lang w:val="en-US" w:eastAsia="en-US"/>
              </w:rPr>
            </w:pPr>
            <w:r>
              <w:rPr>
                <w:lang w:val="en-US" w:eastAsia="en-US"/>
              </w:rPr>
              <w:t>ASIC must consult affected parties before making the intervention orders and must make all orders public.</w:t>
            </w:r>
          </w:p>
        </w:tc>
        <w:tc>
          <w:tcPr>
            <w:tcW w:w="3276" w:type="dxa"/>
          </w:tcPr>
          <w:p w14:paraId="15EC4519" w14:textId="77777777" w:rsidR="001E17D3" w:rsidRDefault="001E17D3" w:rsidP="001E1ECE">
            <w:pPr>
              <w:pStyle w:val="tabletext"/>
              <w:rPr>
                <w:lang w:val="en-US" w:eastAsia="en-US"/>
              </w:rPr>
            </w:pPr>
            <w:r>
              <w:rPr>
                <w:lang w:val="en-US" w:eastAsia="en-US"/>
              </w:rPr>
              <w:t xml:space="preserve">Similar consultation requirements are in place for stop orders. However, temporary stop orders lasting for 21 days can be made without consultation taking place. </w:t>
            </w:r>
          </w:p>
        </w:tc>
      </w:tr>
      <w:tr w:rsidR="001E17D3" w:rsidRPr="004666B8" w14:paraId="1FB1A77F" w14:textId="77777777" w:rsidTr="001E1ECE">
        <w:tc>
          <w:tcPr>
            <w:tcW w:w="3275" w:type="dxa"/>
          </w:tcPr>
          <w:p w14:paraId="0523EC77" w14:textId="77777777" w:rsidR="001E17D3" w:rsidRDefault="001E17D3" w:rsidP="001E1ECE">
            <w:pPr>
              <w:pStyle w:val="tabletext"/>
              <w:rPr>
                <w:lang w:val="en-US" w:eastAsia="en-US"/>
              </w:rPr>
            </w:pPr>
            <w:r>
              <w:t>A person who suffers loss or damage because of a contravention of the design and distribution obligations may recover that loss by civil action.</w:t>
            </w:r>
          </w:p>
        </w:tc>
        <w:tc>
          <w:tcPr>
            <w:tcW w:w="3276" w:type="dxa"/>
          </w:tcPr>
          <w:p w14:paraId="4E334382" w14:textId="7C1A43DC" w:rsidR="001E17D3" w:rsidRDefault="0096730E" w:rsidP="00385928">
            <w:pPr>
              <w:pStyle w:val="tabletext"/>
              <w:rPr>
                <w:lang w:val="en-US" w:eastAsia="en-US"/>
              </w:rPr>
            </w:pPr>
            <w:r>
              <w:rPr>
                <w:lang w:val="en-US" w:eastAsia="en-US"/>
              </w:rPr>
              <w:t>S</w:t>
            </w:r>
            <w:r w:rsidR="001E17D3">
              <w:rPr>
                <w:lang w:val="en-US" w:eastAsia="en-US"/>
              </w:rPr>
              <w:t>imilar cause</w:t>
            </w:r>
            <w:r>
              <w:rPr>
                <w:lang w:val="en-US" w:eastAsia="en-US"/>
              </w:rPr>
              <w:t>s</w:t>
            </w:r>
            <w:r w:rsidR="001E17D3">
              <w:rPr>
                <w:lang w:val="en-US" w:eastAsia="en-US"/>
              </w:rPr>
              <w:t xml:space="preserve"> of action currently exist in relation to loss or damage caused</w:t>
            </w:r>
            <w:r>
              <w:rPr>
                <w:lang w:val="en-US" w:eastAsia="en-US"/>
              </w:rPr>
              <w:t xml:space="preserve"> by several breaches of the Corporations Act</w:t>
            </w:r>
            <w:r w:rsidR="00572E0C">
              <w:rPr>
                <w:lang w:val="en-US" w:eastAsia="en-US"/>
              </w:rPr>
              <w:t>, for example,</w:t>
            </w:r>
            <w:r w:rsidR="001E17D3">
              <w:rPr>
                <w:lang w:val="en-US" w:eastAsia="en-US"/>
              </w:rPr>
              <w:t xml:space="preserve"> defective disclosure. </w:t>
            </w:r>
          </w:p>
        </w:tc>
      </w:tr>
    </w:tbl>
    <w:p w14:paraId="7D7381BC" w14:textId="77777777" w:rsidR="001E17D3" w:rsidRDefault="001E17D3" w:rsidP="001E17D3">
      <w:pPr>
        <w:pStyle w:val="Heading2"/>
      </w:pPr>
      <w:r>
        <w:t>Detailed explanation of new law</w:t>
      </w:r>
    </w:p>
    <w:p w14:paraId="5344F7E4" w14:textId="77777777" w:rsidR="001E17D3" w:rsidRDefault="001E17D3" w:rsidP="005C65B4">
      <w:pPr>
        <w:pStyle w:val="base-text-paragraph"/>
      </w:pPr>
      <w:r>
        <w:t xml:space="preserve">Schedule 2 to the Bill amends the Corporations Act and the Credit Act to introduce the intervention power.  </w:t>
      </w:r>
    </w:p>
    <w:p w14:paraId="17E6C391" w14:textId="5F35CE65" w:rsidR="001E17D3" w:rsidRDefault="001E17D3" w:rsidP="005C65B4">
      <w:pPr>
        <w:pStyle w:val="base-text-paragraph"/>
      </w:pPr>
      <w:r>
        <w:t xml:space="preserve">The object of the intervention power is to give ASIC a proactive power to reduce the risk of significant detriment to consumers resulting from financial and credit products. </w:t>
      </w:r>
      <w:r>
        <w:rPr>
          <w:rStyle w:val="Referencingstyle"/>
        </w:rPr>
        <w:t>[Schedule 2</w:t>
      </w:r>
      <w:r w:rsidRPr="008506CF">
        <w:rPr>
          <w:rStyle w:val="Referencingstyle"/>
        </w:rPr>
        <w:t>, item</w:t>
      </w:r>
      <w:r>
        <w:rPr>
          <w:rStyle w:val="Referencingstyle"/>
        </w:rPr>
        <w:t xml:space="preserve">s </w:t>
      </w:r>
      <w:r w:rsidR="00EC4C6B">
        <w:rPr>
          <w:rStyle w:val="Referencingstyle"/>
        </w:rPr>
        <w:t>7</w:t>
      </w:r>
      <w:r w:rsidRPr="008506CF">
        <w:rPr>
          <w:rStyle w:val="Referencingstyle"/>
        </w:rPr>
        <w:t xml:space="preserve"> </w:t>
      </w:r>
      <w:r>
        <w:rPr>
          <w:rStyle w:val="Referencingstyle"/>
        </w:rPr>
        <w:t xml:space="preserve">and </w:t>
      </w:r>
      <w:r w:rsidR="00EC4C6B">
        <w:rPr>
          <w:rStyle w:val="Referencingstyle"/>
        </w:rPr>
        <w:t>13</w:t>
      </w:r>
      <w:r>
        <w:rPr>
          <w:rStyle w:val="Referencingstyle"/>
        </w:rPr>
        <w:t>,</w:t>
      </w:r>
      <w:r w:rsidRPr="008506CF">
        <w:rPr>
          <w:rStyle w:val="Referencingstyle"/>
        </w:rPr>
        <w:t xml:space="preserve"> </w:t>
      </w:r>
      <w:r>
        <w:rPr>
          <w:rStyle w:val="Referencingstyle"/>
        </w:rPr>
        <w:t>section</w:t>
      </w:r>
      <w:r w:rsidRPr="008506CF">
        <w:rPr>
          <w:rStyle w:val="Referencingstyle"/>
        </w:rPr>
        <w:t xml:space="preserve"> 102</w:t>
      </w:r>
      <w:r w:rsidR="00EC4C6B">
        <w:rPr>
          <w:rStyle w:val="Referencingstyle"/>
        </w:rPr>
        <w:t>3</w:t>
      </w:r>
      <w:r w:rsidRPr="008506CF">
        <w:rPr>
          <w:rStyle w:val="Referencingstyle"/>
        </w:rPr>
        <w:t>A</w:t>
      </w:r>
      <w:r>
        <w:rPr>
          <w:rStyle w:val="Referencingstyle"/>
        </w:rPr>
        <w:t xml:space="preserve"> of the Corporations Act </w:t>
      </w:r>
      <w:r w:rsidRPr="00FE6896">
        <w:rPr>
          <w:rStyle w:val="Referencingstyle"/>
        </w:rPr>
        <w:t>and section 301A of the Credit Act</w:t>
      </w:r>
      <w:r w:rsidRPr="008506CF">
        <w:rPr>
          <w:rStyle w:val="Referencingstyle"/>
        </w:rPr>
        <w:t>]</w:t>
      </w:r>
    </w:p>
    <w:p w14:paraId="0AE94E12" w14:textId="77777777" w:rsidR="001E17D3" w:rsidRDefault="001E17D3" w:rsidP="001E17D3">
      <w:pPr>
        <w:numPr>
          <w:ilvl w:val="1"/>
          <w:numId w:val="4"/>
        </w:numPr>
      </w:pPr>
      <w:r>
        <w:t>To do this the Bill inserts a new part into both the Corporations Act and Credit Act that contain</w:t>
      </w:r>
      <w:r w:rsidR="00775093">
        <w:t>s</w:t>
      </w:r>
      <w:r>
        <w:t xml:space="preserve"> the new intervention power. The new parts detail:</w:t>
      </w:r>
    </w:p>
    <w:p w14:paraId="3364CB73" w14:textId="77777777" w:rsidR="001E17D3" w:rsidRDefault="001E17D3" w:rsidP="001E17D3">
      <w:pPr>
        <w:pStyle w:val="dotpoint"/>
      </w:pPr>
      <w:r w:rsidRPr="00DD0DEC">
        <w:t>the products which can be subject to the power;</w:t>
      </w:r>
    </w:p>
    <w:p w14:paraId="3CDDDC7C" w14:textId="77777777" w:rsidR="001E17D3" w:rsidRDefault="001E17D3" w:rsidP="001E17D3">
      <w:pPr>
        <w:pStyle w:val="dotpoint"/>
      </w:pPr>
      <w:r>
        <w:t>when the power can be used;</w:t>
      </w:r>
    </w:p>
    <w:p w14:paraId="2660557E" w14:textId="77777777" w:rsidR="001E17D3" w:rsidRPr="00DD0DEC" w:rsidRDefault="001E17D3" w:rsidP="001E17D3">
      <w:pPr>
        <w:pStyle w:val="dotpoint"/>
      </w:pPr>
      <w:r>
        <w:t>the content of the power, including the types of interventions that can be made and the process for making them; and</w:t>
      </w:r>
    </w:p>
    <w:p w14:paraId="58BC9172" w14:textId="77777777" w:rsidR="001E17D3" w:rsidRPr="00DD0DEC" w:rsidRDefault="001E17D3" w:rsidP="001E17D3">
      <w:pPr>
        <w:pStyle w:val="dotpoint"/>
      </w:pPr>
      <w:r w:rsidRPr="00DD0DEC">
        <w:t>the consequences for</w:t>
      </w:r>
      <w:r>
        <w:t xml:space="preserve"> failing to comply with an intervention. </w:t>
      </w:r>
    </w:p>
    <w:p w14:paraId="5524B7FA" w14:textId="77777777" w:rsidR="001E17D3" w:rsidRDefault="001E17D3" w:rsidP="001E17D3">
      <w:pPr>
        <w:pStyle w:val="Heading3"/>
      </w:pPr>
      <w:r>
        <w:t>What products are subject to the intervention power?</w:t>
      </w:r>
    </w:p>
    <w:p w14:paraId="7CB2CB6E" w14:textId="77777777" w:rsidR="001E17D3" w:rsidRDefault="001E17D3" w:rsidP="005C65B4">
      <w:pPr>
        <w:pStyle w:val="base-text-paragraph"/>
      </w:pPr>
      <w:r>
        <w:t xml:space="preserve">The intervention power applies to products regulated under the Corporations Act and Credit Act. </w:t>
      </w:r>
    </w:p>
    <w:p w14:paraId="72334474" w14:textId="77777777" w:rsidR="001E17D3" w:rsidRDefault="001E17D3" w:rsidP="001E17D3">
      <w:pPr>
        <w:pStyle w:val="dotpoint"/>
      </w:pPr>
      <w:r>
        <w:t>In the case of the Corporations Act, the intervention power generally only applies to financial products that are, or are likely to be, available for acquisition by retail client</w:t>
      </w:r>
      <w:r w:rsidR="007B1BBE">
        <w:t>s by way of issue. However, the power also applies</w:t>
      </w:r>
      <w:r>
        <w:t xml:space="preserve"> to such products in certain anti-avoidance sale situations. </w:t>
      </w:r>
    </w:p>
    <w:p w14:paraId="33D5FBF8" w14:textId="4BB752A9" w:rsidR="001E17D3" w:rsidRPr="00503EB8" w:rsidRDefault="001E17D3" w:rsidP="001E17D3">
      <w:pPr>
        <w:pStyle w:val="dotpoint"/>
      </w:pPr>
      <w:r w:rsidRPr="009F733C">
        <w:t>In</w:t>
      </w:r>
      <w:r>
        <w:t xml:space="preserve"> the case of the Credit Act, the intervention power applies to all products that may be provided by a person in the course of engaging in a credit activity</w:t>
      </w:r>
      <w:r w:rsidR="003B2FE9">
        <w:t xml:space="preserve"> </w:t>
      </w:r>
      <w:r>
        <w:t>or proposed credit activity. Such products consist of credit contracts, mortgages and guarantees in relation to those contracts, and</w:t>
      </w:r>
      <w:r w:rsidR="003B2FE9">
        <w:t xml:space="preserve"> </w:t>
      </w:r>
      <w:r>
        <w:t xml:space="preserve">consumer leases. </w:t>
      </w:r>
      <w:r w:rsidRPr="000C6D36">
        <w:rPr>
          <w:rStyle w:val="Referencingstyle"/>
        </w:rPr>
        <w:t xml:space="preserve">[Schedule </w:t>
      </w:r>
      <w:r>
        <w:rPr>
          <w:rStyle w:val="Referencingstyle"/>
        </w:rPr>
        <w:t>2</w:t>
      </w:r>
      <w:r w:rsidRPr="000C6D36">
        <w:rPr>
          <w:rStyle w:val="Referencingstyle"/>
        </w:rPr>
        <w:t>, item</w:t>
      </w:r>
      <w:r>
        <w:rPr>
          <w:rStyle w:val="Referencingstyle"/>
        </w:rPr>
        <w:t>s</w:t>
      </w:r>
      <w:r w:rsidRPr="000C6D36">
        <w:rPr>
          <w:rStyle w:val="Referencingstyle"/>
        </w:rPr>
        <w:t xml:space="preserve"> </w:t>
      </w:r>
      <w:r w:rsidR="002E49B1">
        <w:rPr>
          <w:rStyle w:val="Referencingstyle"/>
        </w:rPr>
        <w:t>7</w:t>
      </w:r>
      <w:r>
        <w:rPr>
          <w:rStyle w:val="Referencingstyle"/>
        </w:rPr>
        <w:t xml:space="preserve"> and </w:t>
      </w:r>
      <w:r w:rsidR="002E49B1">
        <w:rPr>
          <w:rStyle w:val="Referencingstyle"/>
        </w:rPr>
        <w:t>13</w:t>
      </w:r>
      <w:r w:rsidRPr="000C6D36">
        <w:rPr>
          <w:rStyle w:val="Referencingstyle"/>
        </w:rPr>
        <w:t xml:space="preserve">, </w:t>
      </w:r>
      <w:r>
        <w:rPr>
          <w:rStyle w:val="Referencingstyle"/>
        </w:rPr>
        <w:t>paragraph</w:t>
      </w:r>
      <w:r w:rsidR="00611AC9">
        <w:rPr>
          <w:rStyle w:val="Referencingstyle"/>
        </w:rPr>
        <w:t>s</w:t>
      </w:r>
      <w:r w:rsidRPr="000C6D36">
        <w:rPr>
          <w:rStyle w:val="Referencingstyle"/>
        </w:rPr>
        <w:t xml:space="preserve"> 102</w:t>
      </w:r>
      <w:r w:rsidR="002E49B1">
        <w:rPr>
          <w:rStyle w:val="Referencingstyle"/>
        </w:rPr>
        <w:t>3D</w:t>
      </w:r>
      <w:r w:rsidRPr="000C6D36">
        <w:rPr>
          <w:rStyle w:val="Referencingstyle"/>
        </w:rPr>
        <w:t>(1)(a)</w:t>
      </w:r>
      <w:r>
        <w:rPr>
          <w:rStyle w:val="Referencingstyle"/>
        </w:rPr>
        <w:t xml:space="preserve"> </w:t>
      </w:r>
      <w:r w:rsidRPr="000C6D36">
        <w:rPr>
          <w:rStyle w:val="Referencingstyle"/>
        </w:rPr>
        <w:t>and</w:t>
      </w:r>
      <w:r>
        <w:rPr>
          <w:rStyle w:val="Referencingstyle"/>
        </w:rPr>
        <w:t xml:space="preserve"> 102</w:t>
      </w:r>
      <w:r w:rsidR="002E49B1">
        <w:rPr>
          <w:rStyle w:val="Referencingstyle"/>
        </w:rPr>
        <w:t>3D</w:t>
      </w:r>
      <w:r>
        <w:rPr>
          <w:rStyle w:val="Referencingstyle"/>
        </w:rPr>
        <w:t>(</w:t>
      </w:r>
      <w:r w:rsidR="00585A4F">
        <w:rPr>
          <w:rStyle w:val="Referencingstyle"/>
        </w:rPr>
        <w:t>3</w:t>
      </w:r>
      <w:r>
        <w:rPr>
          <w:rStyle w:val="Referencingstyle"/>
        </w:rPr>
        <w:t>)(a)</w:t>
      </w:r>
      <w:r w:rsidRPr="000C6D36">
        <w:rPr>
          <w:rStyle w:val="Referencingstyle"/>
        </w:rPr>
        <w:t xml:space="preserve"> </w:t>
      </w:r>
      <w:r w:rsidRPr="008A7729">
        <w:rPr>
          <w:rStyle w:val="Referencingstyle"/>
        </w:rPr>
        <w:t xml:space="preserve">of the Corporations </w:t>
      </w:r>
      <w:r w:rsidRPr="008D3F4C">
        <w:rPr>
          <w:rStyle w:val="Referencingstyle"/>
        </w:rPr>
        <w:t>Act and</w:t>
      </w:r>
      <w:r w:rsidR="003B2FE9">
        <w:rPr>
          <w:rStyle w:val="Referencingstyle"/>
        </w:rPr>
        <w:t xml:space="preserve"> </w:t>
      </w:r>
      <w:r w:rsidRPr="008D3F4C">
        <w:rPr>
          <w:rStyle w:val="Referencingstyle"/>
        </w:rPr>
        <w:t>paragraph</w:t>
      </w:r>
      <w:r w:rsidR="00611AC9">
        <w:rPr>
          <w:rStyle w:val="Referencingstyle"/>
        </w:rPr>
        <w:t>s</w:t>
      </w:r>
      <w:r w:rsidRPr="008D3F4C">
        <w:rPr>
          <w:rStyle w:val="Referencingstyle"/>
        </w:rPr>
        <w:t xml:space="preserve"> 301</w:t>
      </w:r>
      <w:r w:rsidR="002E49B1">
        <w:rPr>
          <w:rStyle w:val="Referencingstyle"/>
        </w:rPr>
        <w:t>D</w:t>
      </w:r>
      <w:r w:rsidRPr="008D3F4C">
        <w:rPr>
          <w:rStyle w:val="Referencingstyle"/>
        </w:rPr>
        <w:t>(1)(a)</w:t>
      </w:r>
      <w:r w:rsidR="003B2FE9">
        <w:rPr>
          <w:rStyle w:val="Referencingstyle"/>
        </w:rPr>
        <w:t xml:space="preserve"> </w:t>
      </w:r>
      <w:r w:rsidR="00585A4F">
        <w:rPr>
          <w:rStyle w:val="Referencingstyle"/>
        </w:rPr>
        <w:t>and 301D(3)(a)</w:t>
      </w:r>
      <w:r w:rsidR="003B2FE9">
        <w:rPr>
          <w:rStyle w:val="Referencingstyle"/>
        </w:rPr>
        <w:t xml:space="preserve"> of the Credit Act</w:t>
      </w:r>
      <w:r w:rsidRPr="008D3F4C">
        <w:rPr>
          <w:rStyle w:val="Referencingstyle"/>
        </w:rPr>
        <w:t>]</w:t>
      </w:r>
    </w:p>
    <w:p w14:paraId="33302D3D" w14:textId="77777777" w:rsidR="001E17D3" w:rsidRDefault="001E17D3" w:rsidP="001E17D3">
      <w:pPr>
        <w:pStyle w:val="Heading4"/>
      </w:pPr>
      <w:r>
        <w:t>Financial products</w:t>
      </w:r>
    </w:p>
    <w:p w14:paraId="5A445653" w14:textId="77777777" w:rsidR="001E17D3" w:rsidRDefault="001E17D3" w:rsidP="005C65B4">
      <w:pPr>
        <w:pStyle w:val="base-text-paragraph"/>
      </w:pPr>
      <w:r>
        <w:t>There are two main limitations on the types of financial products that can be subject to the intervention power under the Corporations Act. First, the power generally only applies in</w:t>
      </w:r>
      <w:r w:rsidR="00775093">
        <w:t xml:space="preserve"> an</w:t>
      </w:r>
      <w:r>
        <w:t xml:space="preserve"> ‘issue situation’. Second, the power only applies where a product may be made available to ‘retail clients’.</w:t>
      </w:r>
      <w:r w:rsidRPr="003D1F9F">
        <w:t xml:space="preserve"> </w:t>
      </w:r>
    </w:p>
    <w:p w14:paraId="0AB08DD7" w14:textId="52EAEDCB" w:rsidR="001E17D3" w:rsidRDefault="001E17D3" w:rsidP="005C65B4">
      <w:pPr>
        <w:pStyle w:val="base-text-paragraph"/>
      </w:pPr>
      <w:r>
        <w:t>The intervention power generally only applies to financial products that are, or are likely to be, available by way of issue. What constitutes a financial product is defined in existing Division 3 of Chapter 7 of the Act. ‘Financial product’ is a broad term that covers a range of products that meet the investment and risk management needs of investors. Examples include securities, insurance products, derivatives, and superannuation product</w:t>
      </w:r>
      <w:r w:rsidR="00775093">
        <w:t>s</w:t>
      </w:r>
      <w:r>
        <w:t xml:space="preserve">. </w:t>
      </w:r>
      <w:r w:rsidRPr="000C6D36">
        <w:rPr>
          <w:rStyle w:val="Referencingstyle"/>
        </w:rPr>
        <w:t xml:space="preserve">[Schedule </w:t>
      </w:r>
      <w:r>
        <w:rPr>
          <w:rStyle w:val="Referencingstyle"/>
        </w:rPr>
        <w:t>2</w:t>
      </w:r>
      <w:r w:rsidRPr="000C6D36">
        <w:rPr>
          <w:rStyle w:val="Referencingstyle"/>
        </w:rPr>
        <w:t xml:space="preserve">, item </w:t>
      </w:r>
      <w:r w:rsidR="002E49B1">
        <w:rPr>
          <w:rStyle w:val="Referencingstyle"/>
        </w:rPr>
        <w:t>7</w:t>
      </w:r>
      <w:r w:rsidRPr="000C6D36">
        <w:rPr>
          <w:rStyle w:val="Referencingstyle"/>
        </w:rPr>
        <w:t xml:space="preserve">, </w:t>
      </w:r>
      <w:r>
        <w:rPr>
          <w:rStyle w:val="Referencingstyle"/>
        </w:rPr>
        <w:t>paragraph</w:t>
      </w:r>
      <w:r w:rsidR="004246A9">
        <w:rPr>
          <w:rStyle w:val="Referencingstyle"/>
        </w:rPr>
        <w:t>s</w:t>
      </w:r>
      <w:r w:rsidRPr="000C6D36">
        <w:rPr>
          <w:rStyle w:val="Referencingstyle"/>
        </w:rPr>
        <w:t xml:space="preserve"> 102</w:t>
      </w:r>
      <w:r w:rsidR="002E49B1">
        <w:rPr>
          <w:rStyle w:val="Referencingstyle"/>
        </w:rPr>
        <w:t>3D</w:t>
      </w:r>
      <w:r w:rsidRPr="000C6D36">
        <w:rPr>
          <w:rStyle w:val="Referencingstyle"/>
        </w:rPr>
        <w:t>(1)(a)</w:t>
      </w:r>
      <w:r>
        <w:rPr>
          <w:rStyle w:val="Referencingstyle"/>
        </w:rPr>
        <w:t xml:space="preserve"> </w:t>
      </w:r>
      <w:r w:rsidRPr="000C6D36">
        <w:rPr>
          <w:rStyle w:val="Referencingstyle"/>
        </w:rPr>
        <w:t>and</w:t>
      </w:r>
      <w:r>
        <w:rPr>
          <w:rStyle w:val="Referencingstyle"/>
        </w:rPr>
        <w:t xml:space="preserve"> 102</w:t>
      </w:r>
      <w:r w:rsidR="002E49B1">
        <w:rPr>
          <w:rStyle w:val="Referencingstyle"/>
        </w:rPr>
        <w:t>3D</w:t>
      </w:r>
      <w:r>
        <w:rPr>
          <w:rStyle w:val="Referencingstyle"/>
        </w:rPr>
        <w:t>(3</w:t>
      </w:r>
      <w:r w:rsidR="002E49B1">
        <w:rPr>
          <w:rStyle w:val="Referencingstyle"/>
        </w:rPr>
        <w:t>)</w:t>
      </w:r>
      <w:r>
        <w:rPr>
          <w:rStyle w:val="Referencingstyle"/>
        </w:rPr>
        <w:t>(a)</w:t>
      </w:r>
      <w:r w:rsidRPr="000C6D36">
        <w:rPr>
          <w:rStyle w:val="Referencingstyle"/>
        </w:rPr>
        <w:t xml:space="preserve"> </w:t>
      </w:r>
      <w:r w:rsidRPr="008A7729">
        <w:rPr>
          <w:rStyle w:val="Referencingstyle"/>
        </w:rPr>
        <w:t xml:space="preserve">of the Corporations </w:t>
      </w:r>
      <w:r w:rsidRPr="008D3F4C">
        <w:rPr>
          <w:rStyle w:val="Referencingstyle"/>
        </w:rPr>
        <w:t>Act</w:t>
      </w:r>
      <w:r>
        <w:rPr>
          <w:rStyle w:val="Referencingstyle"/>
        </w:rPr>
        <w:t>]</w:t>
      </w:r>
    </w:p>
    <w:p w14:paraId="323E22DC" w14:textId="77777777" w:rsidR="001E17D3" w:rsidRDefault="001E17D3" w:rsidP="005C65B4">
      <w:pPr>
        <w:pStyle w:val="base-text-paragraph"/>
      </w:pPr>
      <w:r>
        <w:t xml:space="preserve">The intervention power cannot generally apply </w:t>
      </w:r>
      <w:r w:rsidRPr="0099074F">
        <w:t>to a sale of a financial product. A sale occurs when a financial product is sold by, or purchased from, a person who acquired the product at or after its issue.</w:t>
      </w:r>
      <w:r>
        <w:rPr>
          <w:rStyle w:val="FootnoteReference"/>
        </w:rPr>
        <w:footnoteReference w:id="43"/>
      </w:r>
      <w:r w:rsidRPr="0099074F">
        <w:t xml:space="preserve">  However, </w:t>
      </w:r>
      <w:r>
        <w:t xml:space="preserve">existing </w:t>
      </w:r>
      <w:r w:rsidRPr="0099074F">
        <w:t>section</w:t>
      </w:r>
      <w:r>
        <w:t>s 707 and</w:t>
      </w:r>
      <w:r w:rsidRPr="0099074F">
        <w:t xml:space="preserve"> 1012C</w:t>
      </w:r>
      <w:r>
        <w:t xml:space="preserve"> of the Corporations Act detail certain </w:t>
      </w:r>
      <w:r w:rsidRPr="0099074F">
        <w:t>sale s</w:t>
      </w:r>
      <w:r>
        <w:t xml:space="preserve">ituations which could potentially </w:t>
      </w:r>
      <w:r w:rsidRPr="0099074F">
        <w:t>be used to avoid the</w:t>
      </w:r>
      <w:r>
        <w:t xml:space="preserve"> intervention power.</w:t>
      </w:r>
      <w:r>
        <w:rPr>
          <w:rStyle w:val="FootnoteReference"/>
        </w:rPr>
        <w:footnoteReference w:id="44"/>
      </w:r>
      <w:r w:rsidRPr="0099074F">
        <w:t xml:space="preserve"> These situations include: </w:t>
      </w:r>
    </w:p>
    <w:p w14:paraId="14CC1CC7" w14:textId="77777777" w:rsidR="001E17D3" w:rsidRDefault="001E17D3" w:rsidP="001E17D3">
      <w:pPr>
        <w:pStyle w:val="dotpoint"/>
      </w:pPr>
      <w:r w:rsidRPr="0099074F">
        <w:t xml:space="preserve">off-market sales where the seller controls the issuer; </w:t>
      </w:r>
    </w:p>
    <w:p w14:paraId="7578C360" w14:textId="77777777" w:rsidR="001E17D3" w:rsidRDefault="001E17D3" w:rsidP="001E17D3">
      <w:pPr>
        <w:pStyle w:val="dotpoint"/>
      </w:pPr>
      <w:r w:rsidRPr="0099074F">
        <w:t xml:space="preserve">sales amounting to an indirect issue; and </w:t>
      </w:r>
    </w:p>
    <w:p w14:paraId="34EC25D9" w14:textId="77777777" w:rsidR="001E17D3" w:rsidRDefault="001E17D3" w:rsidP="001E17D3">
      <w:pPr>
        <w:pStyle w:val="dotpoint"/>
      </w:pPr>
      <w:r w:rsidRPr="0099074F">
        <w:t>indirect off-market sales where the seller controls the issuer.</w:t>
      </w:r>
      <w:r>
        <w:t xml:space="preserve"> </w:t>
      </w:r>
    </w:p>
    <w:p w14:paraId="6274C5EE" w14:textId="19B15AC4" w:rsidR="001E17D3" w:rsidRDefault="001E17D3" w:rsidP="005C65B4">
      <w:pPr>
        <w:pStyle w:val="base-text-paragraph"/>
      </w:pPr>
      <w:r>
        <w:t>To prevent these and similar sale situations being used to avoid the intervention power, the new law enable</w:t>
      </w:r>
      <w:r w:rsidR="00775093">
        <w:t>s</w:t>
      </w:r>
      <w:r>
        <w:t xml:space="preserve"> the power to be used in the sale situations</w:t>
      </w:r>
      <w:r w:rsidR="00985724">
        <w:t xml:space="preserve"> (‘regulated sales’)</w:t>
      </w:r>
      <w:r>
        <w:t xml:space="preserve"> detailed in sections 707 and 1012C of the Corporations Act. </w:t>
      </w:r>
      <w:r w:rsidRPr="006C5A6F">
        <w:rPr>
          <w:rStyle w:val="Referencingstyle"/>
        </w:rPr>
        <w:t>[</w:t>
      </w:r>
      <w:r w:rsidRPr="000C6D36">
        <w:rPr>
          <w:rStyle w:val="Referencingstyle"/>
        </w:rPr>
        <w:t xml:space="preserve">Schedule </w:t>
      </w:r>
      <w:r>
        <w:rPr>
          <w:rStyle w:val="Referencingstyle"/>
        </w:rPr>
        <w:t>2</w:t>
      </w:r>
      <w:r w:rsidRPr="000C6D36">
        <w:rPr>
          <w:rStyle w:val="Referencingstyle"/>
        </w:rPr>
        <w:t xml:space="preserve">, item </w:t>
      </w:r>
      <w:r w:rsidR="00294583">
        <w:rPr>
          <w:rStyle w:val="Referencingstyle"/>
        </w:rPr>
        <w:t>7</w:t>
      </w:r>
      <w:r w:rsidRPr="000C6D36">
        <w:rPr>
          <w:rStyle w:val="Referencingstyle"/>
        </w:rPr>
        <w:t>,</w:t>
      </w:r>
      <w:r w:rsidR="007450DA">
        <w:rPr>
          <w:rStyle w:val="Referencingstyle"/>
        </w:rPr>
        <w:t xml:space="preserve"> section 1023B and</w:t>
      </w:r>
      <w:r w:rsidRPr="000C6D36">
        <w:rPr>
          <w:rStyle w:val="Referencingstyle"/>
        </w:rPr>
        <w:t xml:space="preserve"> </w:t>
      </w:r>
      <w:r>
        <w:rPr>
          <w:rStyle w:val="Referencingstyle"/>
        </w:rPr>
        <w:t>paragraph</w:t>
      </w:r>
      <w:r w:rsidR="007F1DC0">
        <w:rPr>
          <w:rStyle w:val="Referencingstyle"/>
        </w:rPr>
        <w:t>s</w:t>
      </w:r>
      <w:r w:rsidRPr="000C6D36">
        <w:rPr>
          <w:rStyle w:val="Referencingstyle"/>
        </w:rPr>
        <w:t xml:space="preserve"> 102</w:t>
      </w:r>
      <w:r w:rsidR="007450DA">
        <w:rPr>
          <w:rStyle w:val="Referencingstyle"/>
        </w:rPr>
        <w:t>3D</w:t>
      </w:r>
      <w:r w:rsidRPr="000C6D36">
        <w:rPr>
          <w:rStyle w:val="Referencingstyle"/>
        </w:rPr>
        <w:t>(1)(a)</w:t>
      </w:r>
      <w:r w:rsidR="007450DA">
        <w:rPr>
          <w:rStyle w:val="Referencingstyle"/>
        </w:rPr>
        <w:t xml:space="preserve"> and 1023D(3)(a)</w:t>
      </w:r>
      <w:r w:rsidR="007450DA" w:rsidRPr="000C6D36">
        <w:rPr>
          <w:rStyle w:val="Referencingstyle"/>
        </w:rPr>
        <w:t xml:space="preserve"> </w:t>
      </w:r>
      <w:r w:rsidR="007450DA">
        <w:rPr>
          <w:rStyle w:val="Referencingstyle"/>
        </w:rPr>
        <w:t>of the Corporations Act</w:t>
      </w:r>
      <w:r>
        <w:rPr>
          <w:rStyle w:val="Referencingstyle"/>
        </w:rPr>
        <w:t>]</w:t>
      </w:r>
    </w:p>
    <w:p w14:paraId="34DA1BF8" w14:textId="43F3D8C2" w:rsidR="001E17D3" w:rsidRDefault="001E17D3" w:rsidP="005C65B4">
      <w:pPr>
        <w:pStyle w:val="base-text-paragraph"/>
      </w:pPr>
      <w:r>
        <w:t>The intervention power only applies where the relevant product may be offered to retail clients. What constitutes a retail client is defined in existing sections 761G and 761GA of the Corporations Act. The precise definition depends on a range of circumstances, but roughly captures those persons that may be considered ordinary consumers of financial products, as opposed to wholesale clients. The fact the intervention power only operates in relation to retail clients reflects its objective of enhancing consumer protections under the Act.</w:t>
      </w:r>
    </w:p>
    <w:p w14:paraId="2E6FD123" w14:textId="77777777" w:rsidR="001E17D3" w:rsidRDefault="001E17D3" w:rsidP="005C65B4">
      <w:pPr>
        <w:pStyle w:val="base-text-paragraph"/>
      </w:pPr>
      <w:r>
        <w:t xml:space="preserve">The intervention power can be used regardless as to whether or not the financial product requires disclosure under Chapter 6D or Part 7.9 of the Corporations Act. This ensures that the power is not unduly limited in its operation. </w:t>
      </w:r>
    </w:p>
    <w:p w14:paraId="12B6EF9A" w14:textId="78D525F7" w:rsidR="001E17D3" w:rsidRPr="00155ABB" w:rsidRDefault="001E17D3" w:rsidP="005C65B4">
      <w:pPr>
        <w:pStyle w:val="base-text-paragraph"/>
        <w:rPr>
          <w:rStyle w:val="Referencingstyle"/>
          <w:b w:val="0"/>
          <w:i w:val="0"/>
          <w:sz w:val="22"/>
        </w:rPr>
      </w:pPr>
      <w:r>
        <w:t xml:space="preserve">The </w:t>
      </w:r>
      <w:r w:rsidRPr="00540F38">
        <w:t>regulations</w:t>
      </w:r>
      <w:r>
        <w:t xml:space="preserve"> may exclude financial products from the operation of the new intervention power. This may be appropriate, for example, where the new power may have unintended consequences in the context of a particular product. This flexibility to exclude financial products form the new regime is therefore necessary to future-proof the new power. </w:t>
      </w:r>
      <w:r w:rsidRPr="006C5A6F">
        <w:rPr>
          <w:rStyle w:val="Referencingstyle"/>
        </w:rPr>
        <w:t>[</w:t>
      </w:r>
      <w:r w:rsidRPr="000C6D36">
        <w:rPr>
          <w:rStyle w:val="Referencingstyle"/>
        </w:rPr>
        <w:t xml:space="preserve">Schedule </w:t>
      </w:r>
      <w:r>
        <w:rPr>
          <w:rStyle w:val="Referencingstyle"/>
        </w:rPr>
        <w:t>2</w:t>
      </w:r>
      <w:r w:rsidRPr="000C6D36">
        <w:rPr>
          <w:rStyle w:val="Referencingstyle"/>
        </w:rPr>
        <w:t xml:space="preserve">, </w:t>
      </w:r>
      <w:r>
        <w:rPr>
          <w:rStyle w:val="Referencingstyle"/>
        </w:rPr>
        <w:t xml:space="preserve">item </w:t>
      </w:r>
      <w:r w:rsidR="008258E0">
        <w:rPr>
          <w:rStyle w:val="Referencingstyle"/>
        </w:rPr>
        <w:t>7</w:t>
      </w:r>
      <w:r w:rsidRPr="000C6D36">
        <w:rPr>
          <w:rStyle w:val="Referencingstyle"/>
        </w:rPr>
        <w:t xml:space="preserve">, </w:t>
      </w:r>
      <w:r w:rsidR="00070099">
        <w:rPr>
          <w:rStyle w:val="Referencingstyle"/>
        </w:rPr>
        <w:t>sub</w:t>
      </w:r>
      <w:r>
        <w:rPr>
          <w:rStyle w:val="Referencingstyle"/>
        </w:rPr>
        <w:t>section 102</w:t>
      </w:r>
      <w:r w:rsidR="00904E9E">
        <w:rPr>
          <w:rStyle w:val="Referencingstyle"/>
        </w:rPr>
        <w:t>3</w:t>
      </w:r>
      <w:r>
        <w:rPr>
          <w:rStyle w:val="Referencingstyle"/>
        </w:rPr>
        <w:t>C</w:t>
      </w:r>
      <w:r w:rsidR="00904E9E">
        <w:rPr>
          <w:rStyle w:val="Referencingstyle"/>
        </w:rPr>
        <w:t>(3)</w:t>
      </w:r>
      <w:r>
        <w:rPr>
          <w:rStyle w:val="Referencingstyle"/>
        </w:rPr>
        <w:t xml:space="preserve"> of the Corporations Act]</w:t>
      </w:r>
    </w:p>
    <w:p w14:paraId="65D2D457" w14:textId="01D35249" w:rsidR="00C01AFB" w:rsidRDefault="00A9357E" w:rsidP="00C01AFB">
      <w:pPr>
        <w:pStyle w:val="base-text-paragraph"/>
      </w:pPr>
      <w:r>
        <w:t>The r</w:t>
      </w:r>
      <w:r w:rsidR="00C01AFB">
        <w:t>egulations may also declare that anything is a financial product for the purposes of specified provisions of Chapter 7. This allows additional products</w:t>
      </w:r>
      <w:r w:rsidR="00A762A3">
        <w:t xml:space="preserve"> to</w:t>
      </w:r>
      <w:r w:rsidR="00C01AFB">
        <w:t xml:space="preserve"> be subject to this regime, and, if appropriate, </w:t>
      </w:r>
      <w:r w:rsidR="00640E15">
        <w:t xml:space="preserve">to </w:t>
      </w:r>
      <w:r w:rsidR="00C01AFB">
        <w:t>some or all of</w:t>
      </w:r>
      <w:r w:rsidR="00640E15">
        <w:t xml:space="preserve"> the</w:t>
      </w:r>
      <w:r w:rsidR="00C01AFB">
        <w:t xml:space="preserve"> other parts of Chapter 7.</w:t>
      </w:r>
      <w:r w:rsidR="00C01AFB">
        <w:rPr>
          <w:rStyle w:val="FootnoteReference"/>
        </w:rPr>
        <w:footnoteReference w:id="45"/>
      </w:r>
      <w:r w:rsidR="00C01AFB">
        <w:t xml:space="preserve"> </w:t>
      </w:r>
      <w:r>
        <w:t xml:space="preserve">Again, this amendment is directed at future proofing the new regime and the regulation of financial services and markets more generally. </w:t>
      </w:r>
      <w:r w:rsidR="00C01AFB">
        <w:rPr>
          <w:rStyle w:val="Referencingstyle"/>
        </w:rPr>
        <w:t>[Schedule 2, item 4</w:t>
      </w:r>
      <w:r w:rsidR="00C01AFB" w:rsidRPr="00A24AD2">
        <w:rPr>
          <w:rStyle w:val="Referencingstyle"/>
        </w:rPr>
        <w:t xml:space="preserve">, </w:t>
      </w:r>
      <w:r w:rsidR="00C01AFB">
        <w:rPr>
          <w:rStyle w:val="Referencingstyle"/>
        </w:rPr>
        <w:t xml:space="preserve">subsection 764A(3) </w:t>
      </w:r>
      <w:r w:rsidR="00C01AFB" w:rsidRPr="00A24AD2">
        <w:rPr>
          <w:rStyle w:val="Referencingstyle"/>
        </w:rPr>
        <w:t>of</w:t>
      </w:r>
      <w:r w:rsidR="00C01AFB">
        <w:rPr>
          <w:rStyle w:val="Referencingstyle"/>
        </w:rPr>
        <w:t xml:space="preserve"> the Corporations</w:t>
      </w:r>
      <w:r w:rsidR="00C01AFB" w:rsidRPr="00A24AD2">
        <w:rPr>
          <w:rStyle w:val="Referencingstyle"/>
        </w:rPr>
        <w:t xml:space="preserve"> Act]</w:t>
      </w:r>
    </w:p>
    <w:p w14:paraId="089E1AC8" w14:textId="55A58D03" w:rsidR="00050C03" w:rsidRDefault="00A64377" w:rsidP="005C65B4">
      <w:pPr>
        <w:pStyle w:val="base-text-paragraph"/>
      </w:pPr>
      <w:r>
        <w:t xml:space="preserve">At the outset, the Government proposes to make regulations that would apply the </w:t>
      </w:r>
      <w:r w:rsidR="00A42EE3">
        <w:t xml:space="preserve">PIP </w:t>
      </w:r>
      <w:r>
        <w:t xml:space="preserve">regime to a number of products </w:t>
      </w:r>
      <w:r w:rsidR="00E71244">
        <w:t>that are not current</w:t>
      </w:r>
      <w:r w:rsidR="002F6259">
        <w:t>ly regulated under</w:t>
      </w:r>
      <w:r w:rsidR="00E71244">
        <w:t xml:space="preserve"> </w:t>
      </w:r>
      <w:r>
        <w:t>Chapter 7 of the Corporations Act</w:t>
      </w:r>
      <w:r w:rsidR="00CF0CAD">
        <w:t xml:space="preserve"> to ensure competitive neutrality by enabling ASIC to intervene in respect of functionally similar products irrespective of the legal basis on which the provider offers those products</w:t>
      </w:r>
      <w:r>
        <w:t xml:space="preserve">. </w:t>
      </w:r>
      <w:r w:rsidR="00050C03">
        <w:t>These products are:</w:t>
      </w:r>
    </w:p>
    <w:p w14:paraId="660318DE" w14:textId="17639A75" w:rsidR="00050C03" w:rsidRDefault="00E71244" w:rsidP="00155ABB">
      <w:pPr>
        <w:pStyle w:val="dotpoint"/>
      </w:pPr>
      <w:r>
        <w:t>F</w:t>
      </w:r>
      <w:r w:rsidR="00050C03">
        <w:t>uneral expenses insurance</w:t>
      </w:r>
      <w:r>
        <w:t>.</w:t>
      </w:r>
    </w:p>
    <w:p w14:paraId="4A032E96" w14:textId="081DA3AD" w:rsidR="00192832" w:rsidRDefault="00E71244" w:rsidP="00155ABB">
      <w:pPr>
        <w:pStyle w:val="dotpoint"/>
      </w:pPr>
      <w:r>
        <w:t>C</w:t>
      </w:r>
      <w:r w:rsidR="00192832">
        <w:t xml:space="preserve">ertain </w:t>
      </w:r>
      <w:r w:rsidR="00050C03">
        <w:t>extended warranties that are functionally equivalent to</w:t>
      </w:r>
      <w:r w:rsidR="001251E4">
        <w:t xml:space="preserve"> add-on insurance</w:t>
      </w:r>
      <w:r>
        <w:t>.</w:t>
      </w:r>
      <w:r w:rsidR="008027BD">
        <w:rPr>
          <w:rStyle w:val="FootnoteReference"/>
        </w:rPr>
        <w:footnoteReference w:id="46"/>
      </w:r>
    </w:p>
    <w:p w14:paraId="7DB0E6FA" w14:textId="0236D0BA" w:rsidR="00192832" w:rsidRDefault="00E71244" w:rsidP="00155ABB">
      <w:pPr>
        <w:pStyle w:val="dotpoint"/>
      </w:pPr>
      <w:r>
        <w:t>S</w:t>
      </w:r>
      <w:r w:rsidR="00286C47">
        <w:t>hort-term credit that is currently not regulated under the Credit Act</w:t>
      </w:r>
      <w:r>
        <w:t>;</w:t>
      </w:r>
      <w:r>
        <w:rPr>
          <w:rStyle w:val="FootnoteReference"/>
        </w:rPr>
        <w:footnoteReference w:id="47"/>
      </w:r>
      <w:r>
        <w:t xml:space="preserve"> </w:t>
      </w:r>
    </w:p>
    <w:p w14:paraId="13B0323E" w14:textId="3D376C4B" w:rsidR="00985724" w:rsidRDefault="00A42EE3" w:rsidP="005C65B4">
      <w:pPr>
        <w:pStyle w:val="base-text-paragraph"/>
      </w:pPr>
      <w:r>
        <w:t>This would give ASIC the ability to proactively address consumer detriment in relation to these products.</w:t>
      </w:r>
    </w:p>
    <w:p w14:paraId="0F12B027" w14:textId="77777777" w:rsidR="001E17D3" w:rsidRPr="00A21116" w:rsidRDefault="001E17D3" w:rsidP="001E17D3">
      <w:pPr>
        <w:pStyle w:val="Heading4"/>
      </w:pPr>
      <w:r w:rsidRPr="00A21116">
        <w:t>Credit</w:t>
      </w:r>
      <w:r>
        <w:t xml:space="preserve"> </w:t>
      </w:r>
      <w:r w:rsidRPr="00A21116">
        <w:t>products</w:t>
      </w:r>
    </w:p>
    <w:p w14:paraId="5AFC8D67" w14:textId="52E5F96A" w:rsidR="001E17D3" w:rsidRDefault="001E17D3" w:rsidP="005C65B4">
      <w:pPr>
        <w:pStyle w:val="base-text-paragraph"/>
      </w:pPr>
      <w:r>
        <w:t xml:space="preserve">The intervention </w:t>
      </w:r>
      <w:r w:rsidRPr="00612CD2">
        <w:t>power</w:t>
      </w:r>
      <w:r>
        <w:t xml:space="preserve"> also applies to products that may be provided by a person who engages in a credit activity under the Credit Act. Section 6 of the Credit Act defines ‘credit activity’ to include a broad range of activities in relation to credit products. </w:t>
      </w:r>
      <w:r w:rsidRPr="006C5A6F">
        <w:rPr>
          <w:rStyle w:val="Referencingstyle"/>
        </w:rPr>
        <w:t>[</w:t>
      </w:r>
      <w:r w:rsidRPr="000C6D36">
        <w:rPr>
          <w:rStyle w:val="Referencingstyle"/>
        </w:rPr>
        <w:t xml:space="preserve">Schedule </w:t>
      </w:r>
      <w:r>
        <w:rPr>
          <w:rStyle w:val="Referencingstyle"/>
        </w:rPr>
        <w:t>2</w:t>
      </w:r>
      <w:r w:rsidRPr="000C6D36">
        <w:rPr>
          <w:rStyle w:val="Referencingstyle"/>
        </w:rPr>
        <w:t xml:space="preserve">, </w:t>
      </w:r>
      <w:r>
        <w:rPr>
          <w:rStyle w:val="Referencingstyle"/>
        </w:rPr>
        <w:t xml:space="preserve">item </w:t>
      </w:r>
      <w:r w:rsidR="00F91304">
        <w:rPr>
          <w:rStyle w:val="Referencingstyle"/>
        </w:rPr>
        <w:t>13</w:t>
      </w:r>
      <w:r w:rsidRPr="000C6D36">
        <w:rPr>
          <w:rStyle w:val="Referencingstyle"/>
        </w:rPr>
        <w:t xml:space="preserve">, </w:t>
      </w:r>
      <w:r w:rsidR="00F91304">
        <w:rPr>
          <w:rStyle w:val="Referencingstyle"/>
        </w:rPr>
        <w:t>paragraph</w:t>
      </w:r>
      <w:r w:rsidR="00F765F5">
        <w:rPr>
          <w:rStyle w:val="Referencingstyle"/>
        </w:rPr>
        <w:t>s</w:t>
      </w:r>
      <w:r w:rsidR="002359DB">
        <w:rPr>
          <w:rStyle w:val="Referencingstyle"/>
        </w:rPr>
        <w:t xml:space="preserve"> 301</w:t>
      </w:r>
      <w:r w:rsidR="00F91304">
        <w:rPr>
          <w:rStyle w:val="Referencingstyle"/>
        </w:rPr>
        <w:t>D(1)(a)</w:t>
      </w:r>
      <w:r w:rsidR="002359DB">
        <w:rPr>
          <w:rStyle w:val="Referencingstyle"/>
        </w:rPr>
        <w:t xml:space="preserve"> and</w:t>
      </w:r>
      <w:r w:rsidRPr="000C6D36">
        <w:rPr>
          <w:rStyle w:val="Referencingstyle"/>
        </w:rPr>
        <w:t xml:space="preserve"> </w:t>
      </w:r>
      <w:r>
        <w:rPr>
          <w:rStyle w:val="Referencingstyle"/>
        </w:rPr>
        <w:t>301</w:t>
      </w:r>
      <w:r w:rsidR="00F91304">
        <w:rPr>
          <w:rStyle w:val="Referencingstyle"/>
        </w:rPr>
        <w:t>D</w:t>
      </w:r>
      <w:r>
        <w:rPr>
          <w:rStyle w:val="Referencingstyle"/>
        </w:rPr>
        <w:t>(</w:t>
      </w:r>
      <w:r w:rsidR="00F91304">
        <w:rPr>
          <w:rStyle w:val="Referencingstyle"/>
        </w:rPr>
        <w:t>3</w:t>
      </w:r>
      <w:r>
        <w:rPr>
          <w:rStyle w:val="Referencingstyle"/>
        </w:rPr>
        <w:t>)(a)</w:t>
      </w:r>
      <w:r w:rsidR="00F719E0">
        <w:rPr>
          <w:rStyle w:val="Referencingstyle"/>
        </w:rPr>
        <w:t xml:space="preserve"> of the Credit Act</w:t>
      </w:r>
      <w:r>
        <w:rPr>
          <w:rStyle w:val="Referencingstyle"/>
        </w:rPr>
        <w:t>]</w:t>
      </w:r>
    </w:p>
    <w:p w14:paraId="25C97BF7" w14:textId="77777777" w:rsidR="001E17D3" w:rsidRDefault="001E17D3" w:rsidP="005C65B4">
      <w:pPr>
        <w:pStyle w:val="base-text-paragraph"/>
      </w:pPr>
      <w:r>
        <w:t>Credit products are credit contracts, consumer leases, mortgages, and guarantees. What constitutes these products is defined in the National Credit Code (the Code) at Schedule 1 of the Credit Act as follows:</w:t>
      </w:r>
    </w:p>
    <w:p w14:paraId="3DA57A83" w14:textId="77777777" w:rsidR="001E17D3" w:rsidRDefault="001E17D3" w:rsidP="001E17D3">
      <w:pPr>
        <w:pStyle w:val="dotpoint"/>
      </w:pPr>
      <w:r>
        <w:t xml:space="preserve">A ‘credit contract’ is a contract that provides credit where: </w:t>
      </w:r>
    </w:p>
    <w:p w14:paraId="1059CDE2" w14:textId="77777777" w:rsidR="001E17D3" w:rsidRPr="00A21116" w:rsidRDefault="001E17D3" w:rsidP="001E17D3">
      <w:pPr>
        <w:pStyle w:val="dotpoint2"/>
        <w:numPr>
          <w:ilvl w:val="1"/>
          <w:numId w:val="7"/>
        </w:numPr>
      </w:pPr>
      <w:r w:rsidRPr="00A21116">
        <w:t>the debtor is a consumer</w:t>
      </w:r>
      <w:r>
        <w:t xml:space="preserve"> (that is, a natural person or strata corporation);</w:t>
      </w:r>
    </w:p>
    <w:p w14:paraId="603C05DB" w14:textId="77777777" w:rsidR="001E17D3" w:rsidRDefault="001E17D3" w:rsidP="001E17D3">
      <w:pPr>
        <w:pStyle w:val="dotpoint2"/>
        <w:numPr>
          <w:ilvl w:val="1"/>
          <w:numId w:val="7"/>
        </w:numPr>
      </w:pPr>
      <w:r w:rsidRPr="00A21116">
        <w:t>the credit is intended to be used for: personal, domestic, or household purposes; or, to purchase, renovate or improve residential property for investment purposes or to refinance such credit;</w:t>
      </w:r>
    </w:p>
    <w:p w14:paraId="79B98995" w14:textId="77777777" w:rsidR="001E17D3" w:rsidRPr="00A21116" w:rsidRDefault="001E17D3" w:rsidP="001E17D3">
      <w:pPr>
        <w:pStyle w:val="dotpoint2"/>
        <w:numPr>
          <w:ilvl w:val="1"/>
          <w:numId w:val="7"/>
        </w:numPr>
      </w:pPr>
      <w:r w:rsidRPr="00A21116">
        <w:t>a charge is or may be made for providing the credit; and</w:t>
      </w:r>
    </w:p>
    <w:p w14:paraId="5DE00FF7" w14:textId="77777777" w:rsidR="001E17D3" w:rsidRPr="00A21116" w:rsidRDefault="001E17D3" w:rsidP="001E17D3">
      <w:pPr>
        <w:pStyle w:val="dotpoint2"/>
        <w:numPr>
          <w:ilvl w:val="1"/>
          <w:numId w:val="7"/>
        </w:numPr>
      </w:pPr>
      <w:r w:rsidRPr="00A21116">
        <w:t>the credit is provided in the course of a business.</w:t>
      </w:r>
      <w:r w:rsidRPr="00A21116">
        <w:rPr>
          <w:rStyle w:val="FootnoteReference"/>
        </w:rPr>
        <w:footnoteReference w:id="48"/>
      </w:r>
    </w:p>
    <w:p w14:paraId="77D153B7" w14:textId="77777777" w:rsidR="001E17D3" w:rsidRDefault="001E17D3" w:rsidP="001E17D3">
      <w:pPr>
        <w:pStyle w:val="dotpoint"/>
      </w:pPr>
      <w:r>
        <w:t xml:space="preserve">A ‘consumer lease’ is a contract for the hire of goods by a consumer under which: </w:t>
      </w:r>
    </w:p>
    <w:p w14:paraId="34857D48" w14:textId="77777777" w:rsidR="001E17D3" w:rsidRDefault="001E17D3" w:rsidP="001E17D3">
      <w:pPr>
        <w:pStyle w:val="dotpoint2"/>
        <w:numPr>
          <w:ilvl w:val="1"/>
          <w:numId w:val="7"/>
        </w:numPr>
      </w:pPr>
      <w:r>
        <w:t>the consumer does not have a right or obligation to purchase the goods;</w:t>
      </w:r>
    </w:p>
    <w:p w14:paraId="0023F8EB" w14:textId="77777777" w:rsidR="001E17D3" w:rsidRDefault="001E17D3" w:rsidP="001E17D3">
      <w:pPr>
        <w:pStyle w:val="dotpoint2"/>
        <w:numPr>
          <w:ilvl w:val="1"/>
          <w:numId w:val="7"/>
        </w:numPr>
      </w:pPr>
      <w:r>
        <w:t>the goods are hired for a personal, domestic or household purpose;</w:t>
      </w:r>
    </w:p>
    <w:p w14:paraId="7F1106F7" w14:textId="77777777" w:rsidR="001E17D3" w:rsidRDefault="001E17D3" w:rsidP="001E17D3">
      <w:pPr>
        <w:pStyle w:val="dotpoint2"/>
        <w:numPr>
          <w:ilvl w:val="1"/>
          <w:numId w:val="7"/>
        </w:numPr>
      </w:pPr>
      <w:r>
        <w:t>the hire charge exceeds the price of the goods; and</w:t>
      </w:r>
    </w:p>
    <w:p w14:paraId="4B452964" w14:textId="77777777" w:rsidR="001E17D3" w:rsidRPr="00A21116" w:rsidRDefault="001E17D3" w:rsidP="001E17D3">
      <w:pPr>
        <w:pStyle w:val="dotpoint2"/>
        <w:numPr>
          <w:ilvl w:val="1"/>
          <w:numId w:val="7"/>
        </w:numPr>
      </w:pPr>
      <w:r>
        <w:t>the lessor hires the goods in the course of a business.</w:t>
      </w:r>
      <w:r>
        <w:rPr>
          <w:rStyle w:val="FootnoteReference"/>
        </w:rPr>
        <w:footnoteReference w:id="49"/>
      </w:r>
      <w:r>
        <w:t xml:space="preserve"> </w:t>
      </w:r>
    </w:p>
    <w:p w14:paraId="3751CC8D" w14:textId="77777777" w:rsidR="001E17D3" w:rsidRDefault="001E17D3" w:rsidP="001E17D3">
      <w:pPr>
        <w:pStyle w:val="dotpoint"/>
      </w:pPr>
      <w:r>
        <w:t>A m</w:t>
      </w:r>
      <w:r w:rsidRPr="00A21116">
        <w:t>ortgage</w:t>
      </w:r>
      <w:r w:rsidR="003B2FE9">
        <w:t xml:space="preserve"> </w:t>
      </w:r>
      <w:r>
        <w:t>or</w:t>
      </w:r>
      <w:r w:rsidR="003B2FE9">
        <w:t xml:space="preserve"> </w:t>
      </w:r>
      <w:r w:rsidRPr="00A21116">
        <w:t>guarantee</w:t>
      </w:r>
      <w:r>
        <w:t xml:space="preserve"> is regulated where it is granted by a consumer and</w:t>
      </w:r>
      <w:r w:rsidR="003B2FE9">
        <w:t xml:space="preserve"> </w:t>
      </w:r>
      <w:r>
        <w:t>secures or</w:t>
      </w:r>
      <w:r w:rsidRPr="00A21116">
        <w:t xml:space="preserve"> guarantees obligations</w:t>
      </w:r>
      <w:r>
        <w:t xml:space="preserve"> under a credit contract.</w:t>
      </w:r>
      <w:r>
        <w:rPr>
          <w:rStyle w:val="FootnoteReference"/>
        </w:rPr>
        <w:footnoteReference w:id="50"/>
      </w:r>
    </w:p>
    <w:p w14:paraId="5821144A" w14:textId="5B9E3983" w:rsidR="001E17D3" w:rsidRDefault="001E17D3" w:rsidP="005C65B4">
      <w:pPr>
        <w:pStyle w:val="base-text-paragraph"/>
      </w:pPr>
      <w:r>
        <w:t>The new intervention power only appl</w:t>
      </w:r>
      <w:r w:rsidR="00FD590B">
        <w:t>ies</w:t>
      </w:r>
      <w:r>
        <w:t xml:space="preserve"> prospectively. An intervention cannot </w:t>
      </w:r>
      <w:r w:rsidR="000B00AA">
        <w:t>apply in relation to</w:t>
      </w:r>
      <w:r>
        <w:t xml:space="preserve"> any product that</w:t>
      </w:r>
      <w:r w:rsidR="007B643E">
        <w:t xml:space="preserve"> has</w:t>
      </w:r>
      <w:r>
        <w:t xml:space="preserve"> already been entered into. This ensures that while the new power can operate with respect to products yet to be acquired</w:t>
      </w:r>
      <w:r w:rsidR="003314FC">
        <w:t>,</w:t>
      </w:r>
      <w:r>
        <w:t xml:space="preserve"> it cannot operate so as to vary any existing contractual obligations or arrangements between a consumer and a credit provider, lessor, mortgagee or beneficiary of a guarantee. Likewise, the new power cannot affect any assignment of an existing right under a credit product.</w:t>
      </w:r>
      <w:r w:rsidR="00A44582">
        <w:t xml:space="preserve"> </w:t>
      </w:r>
      <w:r w:rsidR="00A44582">
        <w:rPr>
          <w:rStyle w:val="Referencingstyle"/>
        </w:rPr>
        <w:t>[Schedule 2</w:t>
      </w:r>
      <w:r w:rsidR="00A44582" w:rsidRPr="000C6D36">
        <w:rPr>
          <w:rStyle w:val="Referencingstyle"/>
        </w:rPr>
        <w:t>,</w:t>
      </w:r>
      <w:r w:rsidR="00A44582">
        <w:rPr>
          <w:rStyle w:val="Referencingstyle"/>
        </w:rPr>
        <w:t xml:space="preserve"> </w:t>
      </w:r>
      <w:r w:rsidR="00646B47">
        <w:rPr>
          <w:rStyle w:val="Referencingstyle"/>
        </w:rPr>
        <w:t>item 7 and 13, subsection 1023C(1) of the Corporations Act and subsection 301C(1) of the Credit Act</w:t>
      </w:r>
      <w:r w:rsidR="00A44582" w:rsidRPr="00AC4E55">
        <w:rPr>
          <w:rStyle w:val="Referencingstyle"/>
        </w:rPr>
        <w:t>]</w:t>
      </w:r>
    </w:p>
    <w:p w14:paraId="08143746" w14:textId="77777777" w:rsidR="001E17D3" w:rsidRDefault="001E17D3" w:rsidP="005C65B4">
      <w:pPr>
        <w:pStyle w:val="base-text-paragraph"/>
      </w:pPr>
      <w:r>
        <w:t>The term ‘product’ is used to describe any product that may be subject to the new intervention power.</w:t>
      </w:r>
    </w:p>
    <w:p w14:paraId="0A992A7C" w14:textId="77777777" w:rsidR="001E17D3" w:rsidRDefault="001E17D3" w:rsidP="001E17D3">
      <w:pPr>
        <w:pStyle w:val="Heading3"/>
      </w:pPr>
      <w:r>
        <w:t>When can the intervention power be used?</w:t>
      </w:r>
    </w:p>
    <w:p w14:paraId="30FF9769" w14:textId="601146E8" w:rsidR="001E17D3" w:rsidRDefault="001E17D3" w:rsidP="005C65B4">
      <w:pPr>
        <w:pStyle w:val="base-text-paragraph"/>
      </w:pPr>
      <w:r>
        <w:t xml:space="preserve">The new intervention power can be used where ASIC is satisfied that a product or class of products has resulted, or is likely to result, in significant detriment to relevant persons. Relevant persons are retail clients for the purposes of the new power under the Corporation Act and consumers proposing to acquire credit products for the purposes of the new power under the Credit Act. These persons will be collectively referred to as consumers unless a contrary intention is indicated. </w:t>
      </w:r>
      <w:r>
        <w:rPr>
          <w:rStyle w:val="Referencingstyle"/>
        </w:rPr>
        <w:t>[Schedule 2</w:t>
      </w:r>
      <w:r w:rsidRPr="000C6D36">
        <w:rPr>
          <w:rStyle w:val="Referencingstyle"/>
        </w:rPr>
        <w:t xml:space="preserve">, </w:t>
      </w:r>
      <w:r w:rsidRPr="00AC4E55">
        <w:rPr>
          <w:rStyle w:val="Referencingstyle"/>
        </w:rPr>
        <w:t>item</w:t>
      </w:r>
      <w:r>
        <w:rPr>
          <w:rStyle w:val="Referencingstyle"/>
        </w:rPr>
        <w:t>s</w:t>
      </w:r>
      <w:r w:rsidRPr="00AC4E55">
        <w:rPr>
          <w:rStyle w:val="Referencingstyle"/>
        </w:rPr>
        <w:t xml:space="preserve"> </w:t>
      </w:r>
      <w:r w:rsidR="00026365">
        <w:rPr>
          <w:rStyle w:val="Referencingstyle"/>
        </w:rPr>
        <w:t>7</w:t>
      </w:r>
      <w:r>
        <w:rPr>
          <w:rStyle w:val="Referencingstyle"/>
        </w:rPr>
        <w:t xml:space="preserve"> and </w:t>
      </w:r>
      <w:r w:rsidR="00026365">
        <w:rPr>
          <w:rStyle w:val="Referencingstyle"/>
        </w:rPr>
        <w:t>13</w:t>
      </w:r>
      <w:r w:rsidRPr="00AC4E55">
        <w:rPr>
          <w:rStyle w:val="Referencingstyle"/>
        </w:rPr>
        <w:t xml:space="preserve">, </w:t>
      </w:r>
      <w:r w:rsidR="00026365" w:rsidRPr="00AC4E55">
        <w:rPr>
          <w:rStyle w:val="Referencingstyle"/>
        </w:rPr>
        <w:t>sub</w:t>
      </w:r>
      <w:r w:rsidR="00026365">
        <w:rPr>
          <w:rStyle w:val="Referencingstyle"/>
        </w:rPr>
        <w:t>sections</w:t>
      </w:r>
      <w:r w:rsidR="00026365" w:rsidRPr="00AC4E55">
        <w:rPr>
          <w:rStyle w:val="Referencingstyle"/>
        </w:rPr>
        <w:t xml:space="preserve"> </w:t>
      </w:r>
      <w:r w:rsidRPr="00AC4E55">
        <w:rPr>
          <w:rStyle w:val="Referencingstyle"/>
        </w:rPr>
        <w:t>102</w:t>
      </w:r>
      <w:r w:rsidR="00026365">
        <w:rPr>
          <w:rStyle w:val="Referencingstyle"/>
        </w:rPr>
        <w:t>3D</w:t>
      </w:r>
      <w:r w:rsidRPr="00AC4E55">
        <w:rPr>
          <w:rStyle w:val="Referencingstyle"/>
        </w:rPr>
        <w:t>(1</w:t>
      </w:r>
      <w:r>
        <w:rPr>
          <w:rStyle w:val="Referencingstyle"/>
        </w:rPr>
        <w:t>)</w:t>
      </w:r>
      <w:r w:rsidRPr="00AC4E55">
        <w:rPr>
          <w:rStyle w:val="Referencingstyle"/>
        </w:rPr>
        <w:t xml:space="preserve"> and 102</w:t>
      </w:r>
      <w:r w:rsidR="00026365">
        <w:rPr>
          <w:rStyle w:val="Referencingstyle"/>
        </w:rPr>
        <w:t>3D</w:t>
      </w:r>
      <w:r w:rsidRPr="00AC4E55">
        <w:rPr>
          <w:rStyle w:val="Referencingstyle"/>
        </w:rPr>
        <w:t xml:space="preserve">(3) of the Corporations Act and </w:t>
      </w:r>
      <w:r w:rsidR="003314FC" w:rsidRPr="00AC4E55">
        <w:rPr>
          <w:rStyle w:val="Referencingstyle"/>
        </w:rPr>
        <w:t>sub</w:t>
      </w:r>
      <w:r w:rsidR="003314FC">
        <w:rPr>
          <w:rStyle w:val="Referencingstyle"/>
        </w:rPr>
        <w:t>sections</w:t>
      </w:r>
      <w:r w:rsidR="003314FC" w:rsidRPr="00AC4E55">
        <w:rPr>
          <w:rStyle w:val="Referencingstyle"/>
        </w:rPr>
        <w:t xml:space="preserve"> </w:t>
      </w:r>
      <w:r w:rsidRPr="00AC4E55">
        <w:rPr>
          <w:rStyle w:val="Referencingstyle"/>
        </w:rPr>
        <w:t>301</w:t>
      </w:r>
      <w:r w:rsidR="00CF3051">
        <w:rPr>
          <w:rStyle w:val="Referencingstyle"/>
        </w:rPr>
        <w:t>D</w:t>
      </w:r>
      <w:r w:rsidRPr="00AC4E55">
        <w:rPr>
          <w:rStyle w:val="Referencingstyle"/>
        </w:rPr>
        <w:t>(1) and 301</w:t>
      </w:r>
      <w:r w:rsidR="00CF3051">
        <w:rPr>
          <w:rStyle w:val="Referencingstyle"/>
        </w:rPr>
        <w:t>D</w:t>
      </w:r>
      <w:r w:rsidRPr="00AC4E55">
        <w:rPr>
          <w:rStyle w:val="Referencingstyle"/>
        </w:rPr>
        <w:t>(3) of the Credit Act]</w:t>
      </w:r>
    </w:p>
    <w:p w14:paraId="5860721B" w14:textId="77777777" w:rsidR="001E17D3" w:rsidRDefault="001E17D3" w:rsidP="005C65B4">
      <w:pPr>
        <w:pStyle w:val="base-text-paragraph"/>
      </w:pPr>
      <w:r>
        <w:t>Consistent with existing provisions of the Corporations Act, ‘significant’ is not defined for the purposes of the new power. The meaning of significant is intended to take its ordinary meaning in the context of the new provision. Generally, this would require the detriment to be sufficiently great to justify an intervention, having regard to the circumstances of the case and the object of the intervention power.</w:t>
      </w:r>
    </w:p>
    <w:p w14:paraId="07066348" w14:textId="77777777" w:rsidR="001E17D3" w:rsidRDefault="001E17D3" w:rsidP="005C65B4">
      <w:pPr>
        <w:pStyle w:val="base-text-paragraph"/>
      </w:pPr>
      <w:r>
        <w:t>The new law provides guidance about matters that must be considered in determining whether a detriment for the purposes of the new power is significant. These factors are:</w:t>
      </w:r>
    </w:p>
    <w:p w14:paraId="1B1B8319" w14:textId="77777777" w:rsidR="001E17D3" w:rsidRDefault="001E17D3" w:rsidP="001E17D3">
      <w:pPr>
        <w:pStyle w:val="dotpoint"/>
      </w:pPr>
      <w:r>
        <w:t xml:space="preserve">the nature and extent of the detriment, including any actual or potential financial loss to </w:t>
      </w:r>
      <w:r w:rsidRPr="00847E28">
        <w:t>consumers</w:t>
      </w:r>
      <w:r>
        <w:t xml:space="preserve">; </w:t>
      </w:r>
    </w:p>
    <w:p w14:paraId="09810391" w14:textId="77777777" w:rsidR="001E17D3" w:rsidRDefault="001E17D3" w:rsidP="001E17D3">
      <w:pPr>
        <w:pStyle w:val="dotpoint"/>
      </w:pPr>
      <w:r>
        <w:t>the impact that the detriment has had, or will or is likely to have, on consumers; and</w:t>
      </w:r>
    </w:p>
    <w:p w14:paraId="35728EF8" w14:textId="6D11DB49" w:rsidR="001E17D3" w:rsidRDefault="001E17D3" w:rsidP="001E17D3">
      <w:pPr>
        <w:pStyle w:val="dotpoint"/>
      </w:pPr>
      <w:r>
        <w:t xml:space="preserve">any other matter prescribed by the regulations. </w:t>
      </w:r>
      <w:r w:rsidRPr="000C6D36">
        <w:rPr>
          <w:rStyle w:val="Referencingstyle"/>
        </w:rPr>
        <w:t xml:space="preserve">[Schedule </w:t>
      </w:r>
      <w:r>
        <w:rPr>
          <w:rStyle w:val="Referencingstyle"/>
        </w:rPr>
        <w:t>2</w:t>
      </w:r>
      <w:r w:rsidRPr="000C6D36">
        <w:rPr>
          <w:rStyle w:val="Referencingstyle"/>
        </w:rPr>
        <w:t>, item</w:t>
      </w:r>
      <w:r>
        <w:rPr>
          <w:rStyle w:val="Referencingstyle"/>
        </w:rPr>
        <w:t>s </w:t>
      </w:r>
      <w:r w:rsidR="00A450B5">
        <w:rPr>
          <w:rStyle w:val="Referencingstyle"/>
        </w:rPr>
        <w:t>7</w:t>
      </w:r>
      <w:r>
        <w:rPr>
          <w:rStyle w:val="Referencingstyle"/>
        </w:rPr>
        <w:t xml:space="preserve"> and </w:t>
      </w:r>
      <w:r w:rsidR="00A450B5">
        <w:rPr>
          <w:rStyle w:val="Referencingstyle"/>
        </w:rPr>
        <w:t>13</w:t>
      </w:r>
      <w:r w:rsidRPr="000C6D36">
        <w:rPr>
          <w:rStyle w:val="Referencingstyle"/>
        </w:rPr>
        <w:t xml:space="preserve">, </w:t>
      </w:r>
      <w:r>
        <w:rPr>
          <w:rStyle w:val="Referencingstyle"/>
        </w:rPr>
        <w:t>section 102</w:t>
      </w:r>
      <w:r w:rsidR="007757CC">
        <w:rPr>
          <w:rStyle w:val="Referencingstyle"/>
        </w:rPr>
        <w:t>3E</w:t>
      </w:r>
      <w:r>
        <w:rPr>
          <w:rStyle w:val="Referencingstyle"/>
        </w:rPr>
        <w:t xml:space="preserve"> </w:t>
      </w:r>
      <w:r w:rsidRPr="008A7729">
        <w:rPr>
          <w:rStyle w:val="Referencingstyle"/>
        </w:rPr>
        <w:t>of the Corporati</w:t>
      </w:r>
      <w:r w:rsidRPr="001B320E">
        <w:rPr>
          <w:rStyle w:val="Referencingstyle"/>
        </w:rPr>
        <w:t xml:space="preserve">ons Act and section </w:t>
      </w:r>
      <w:r>
        <w:rPr>
          <w:rStyle w:val="Referencingstyle"/>
        </w:rPr>
        <w:t>301</w:t>
      </w:r>
      <w:r w:rsidR="007757CC">
        <w:rPr>
          <w:rStyle w:val="Referencingstyle"/>
        </w:rPr>
        <w:t>E</w:t>
      </w:r>
      <w:r w:rsidRPr="001B320E">
        <w:rPr>
          <w:rStyle w:val="Referencingstyle"/>
        </w:rPr>
        <w:t>) of the Credit Act]</w:t>
      </w:r>
    </w:p>
    <w:p w14:paraId="06E389E7" w14:textId="45A97D22" w:rsidR="001E17D3" w:rsidRDefault="001E17D3" w:rsidP="005C65B4">
      <w:pPr>
        <w:pStyle w:val="base-text-paragraph"/>
      </w:pPr>
      <w:r>
        <w:t>The factors are non-exclusive. ASIC can consider any other relevant factor when determining the significance of the relevant detriment. ASIC c</w:t>
      </w:r>
      <w:r w:rsidR="00775093">
        <w:t>an</w:t>
      </w:r>
      <w:r>
        <w:t xml:space="preserve"> take into account a range of objective </w:t>
      </w:r>
      <w:r w:rsidRPr="000B42CE">
        <w:t>and</w:t>
      </w:r>
      <w:r>
        <w:t xml:space="preserve"> subjective factors in determining whether a loss i</w:t>
      </w:r>
      <w:r w:rsidR="00FB6CEA">
        <w:t>s</w:t>
      </w:r>
      <w:r>
        <w:t xml:space="preserve"> significant. For example, objective factors could include the number of consumers affected and the total amount of the detriment. Subjective factors could include the impact of the detriment on the consumers affected by it.  </w:t>
      </w:r>
      <w:r w:rsidRPr="000C6D36">
        <w:rPr>
          <w:rStyle w:val="Referencingstyle"/>
        </w:rPr>
        <w:t xml:space="preserve">[Schedule </w:t>
      </w:r>
      <w:r>
        <w:rPr>
          <w:rStyle w:val="Referencingstyle"/>
        </w:rPr>
        <w:t>2</w:t>
      </w:r>
      <w:r w:rsidRPr="000C6D36">
        <w:rPr>
          <w:rStyle w:val="Referencingstyle"/>
        </w:rPr>
        <w:t>, item</w:t>
      </w:r>
      <w:r>
        <w:rPr>
          <w:rStyle w:val="Referencingstyle"/>
        </w:rPr>
        <w:t>s</w:t>
      </w:r>
      <w:r w:rsidRPr="000C6D36">
        <w:rPr>
          <w:rStyle w:val="Referencingstyle"/>
        </w:rPr>
        <w:t xml:space="preserve"> </w:t>
      </w:r>
      <w:r w:rsidR="00CA4F85">
        <w:rPr>
          <w:rStyle w:val="Referencingstyle"/>
        </w:rPr>
        <w:t>7</w:t>
      </w:r>
      <w:r>
        <w:rPr>
          <w:rStyle w:val="Referencingstyle"/>
        </w:rPr>
        <w:t xml:space="preserve"> and </w:t>
      </w:r>
      <w:r w:rsidR="00CA4F85">
        <w:rPr>
          <w:rStyle w:val="Referencingstyle"/>
        </w:rPr>
        <w:t>13</w:t>
      </w:r>
      <w:r w:rsidRPr="000C6D36">
        <w:rPr>
          <w:rStyle w:val="Referencingstyle"/>
        </w:rPr>
        <w:t xml:space="preserve">, </w:t>
      </w:r>
      <w:r>
        <w:rPr>
          <w:rStyle w:val="Referencingstyle"/>
        </w:rPr>
        <w:t>subsection 102</w:t>
      </w:r>
      <w:r w:rsidR="00CA4F85">
        <w:rPr>
          <w:rStyle w:val="Referencingstyle"/>
        </w:rPr>
        <w:t>3E</w:t>
      </w:r>
      <w:r>
        <w:rPr>
          <w:rStyle w:val="Referencingstyle"/>
        </w:rPr>
        <w:t>(2</w:t>
      </w:r>
      <w:r w:rsidRPr="000C6D36">
        <w:rPr>
          <w:rStyle w:val="Referencingstyle"/>
        </w:rPr>
        <w:t>)</w:t>
      </w:r>
      <w:r>
        <w:rPr>
          <w:rStyle w:val="Referencingstyle"/>
        </w:rPr>
        <w:t xml:space="preserve"> </w:t>
      </w:r>
      <w:r w:rsidRPr="008A7729">
        <w:rPr>
          <w:rStyle w:val="Referencingstyle"/>
        </w:rPr>
        <w:t>of the Corporati</w:t>
      </w:r>
      <w:r w:rsidRPr="001B320E">
        <w:rPr>
          <w:rStyle w:val="Referencingstyle"/>
        </w:rPr>
        <w:t xml:space="preserve">ons Act and subsection </w:t>
      </w:r>
      <w:r>
        <w:rPr>
          <w:rStyle w:val="Referencingstyle"/>
        </w:rPr>
        <w:t>301</w:t>
      </w:r>
      <w:r w:rsidR="00CA4F85">
        <w:rPr>
          <w:rStyle w:val="Referencingstyle"/>
        </w:rPr>
        <w:t>E</w:t>
      </w:r>
      <w:r>
        <w:rPr>
          <w:rStyle w:val="Referencingstyle"/>
        </w:rPr>
        <w:t>(2</w:t>
      </w:r>
      <w:r w:rsidRPr="001B320E">
        <w:rPr>
          <w:rStyle w:val="Referencingstyle"/>
        </w:rPr>
        <w:t>) of the Credit Act]</w:t>
      </w:r>
    </w:p>
    <w:p w14:paraId="622E132C" w14:textId="77777777" w:rsidR="001E17D3" w:rsidRDefault="001E17D3" w:rsidP="005C65B4">
      <w:pPr>
        <w:pStyle w:val="base-text-paragraph"/>
      </w:pPr>
      <w:r>
        <w:t>The new law does not define a detriment for the purposes of the new power. The meaning of detriment is intended to take its ordinary meaning in the context of the new provision. However, it is intended to cover a broad range of harm or damage that may flow from a product. The harm or damage may arise from any number of sources associated with the product, including the product’s features, defective disclosure, poor design, or inappropriate distribution.</w:t>
      </w:r>
    </w:p>
    <w:p w14:paraId="1CA257ED" w14:textId="007663DB" w:rsidR="001E17D3" w:rsidRPr="00C754AA" w:rsidRDefault="001E17D3" w:rsidP="005C65B4">
      <w:pPr>
        <w:pStyle w:val="base-text-paragraph"/>
        <w:rPr>
          <w:rStyle w:val="Referencingstyle"/>
          <w:b w:val="0"/>
          <w:i w:val="0"/>
          <w:sz w:val="22"/>
        </w:rPr>
      </w:pPr>
      <w:r>
        <w:t xml:space="preserve">A product’s compliance with existing provisions of the law may be relevant to whether it is likely to </w:t>
      </w:r>
      <w:r w:rsidRPr="0039368D">
        <w:t>cause</w:t>
      </w:r>
      <w:r>
        <w:t xml:space="preserve"> significant consumer detriment. However, a product may cause such detriment even if it complies with all applicable laws. In particular, a product may result in significant detriment to consumers even if a person has complied with all applicable disclosure requirements</w:t>
      </w:r>
      <w:r w:rsidR="001106C4">
        <w:t>, and with the person’s design and distribution obligations,</w:t>
      </w:r>
      <w:r>
        <w:t xml:space="preserve"> in relation to the product.  </w:t>
      </w:r>
      <w:r w:rsidRPr="000C6D36">
        <w:rPr>
          <w:rStyle w:val="Referencingstyle"/>
        </w:rPr>
        <w:t xml:space="preserve">[Schedule </w:t>
      </w:r>
      <w:r>
        <w:rPr>
          <w:rStyle w:val="Referencingstyle"/>
        </w:rPr>
        <w:t>2</w:t>
      </w:r>
      <w:r w:rsidRPr="000C6D36">
        <w:rPr>
          <w:rStyle w:val="Referencingstyle"/>
        </w:rPr>
        <w:t>, item</w:t>
      </w:r>
      <w:r>
        <w:rPr>
          <w:rStyle w:val="Referencingstyle"/>
        </w:rPr>
        <w:t>s</w:t>
      </w:r>
      <w:r w:rsidRPr="000C6D36">
        <w:rPr>
          <w:rStyle w:val="Referencingstyle"/>
        </w:rPr>
        <w:t xml:space="preserve"> </w:t>
      </w:r>
      <w:r w:rsidR="00C4127B">
        <w:rPr>
          <w:rStyle w:val="Referencingstyle"/>
        </w:rPr>
        <w:t>7</w:t>
      </w:r>
      <w:r>
        <w:rPr>
          <w:rStyle w:val="Referencingstyle"/>
        </w:rPr>
        <w:t xml:space="preserve"> and </w:t>
      </w:r>
      <w:r w:rsidR="00C4127B">
        <w:rPr>
          <w:rStyle w:val="Referencingstyle"/>
        </w:rPr>
        <w:t>7</w:t>
      </w:r>
      <w:r w:rsidRPr="000C6D36">
        <w:rPr>
          <w:rStyle w:val="Referencingstyle"/>
        </w:rPr>
        <w:t xml:space="preserve">, </w:t>
      </w:r>
      <w:r>
        <w:rPr>
          <w:rStyle w:val="Referencingstyle"/>
        </w:rPr>
        <w:t>subsection </w:t>
      </w:r>
      <w:r w:rsidR="00C4127B">
        <w:rPr>
          <w:rStyle w:val="Referencingstyle"/>
        </w:rPr>
        <w:t>1023E</w:t>
      </w:r>
      <w:r>
        <w:rPr>
          <w:rStyle w:val="Referencingstyle"/>
        </w:rPr>
        <w:t>(3)</w:t>
      </w:r>
      <w:r w:rsidRPr="000C6D36">
        <w:rPr>
          <w:rStyle w:val="Referencingstyle"/>
        </w:rPr>
        <w:t xml:space="preserve"> </w:t>
      </w:r>
      <w:r w:rsidRPr="008A7729">
        <w:rPr>
          <w:rStyle w:val="Referencingstyle"/>
        </w:rPr>
        <w:t xml:space="preserve">of the </w:t>
      </w:r>
      <w:r w:rsidRPr="001B320E">
        <w:rPr>
          <w:rStyle w:val="Referencingstyle"/>
        </w:rPr>
        <w:t>Corporations Act</w:t>
      </w:r>
      <w:r>
        <w:rPr>
          <w:rStyle w:val="Referencingstyle"/>
        </w:rPr>
        <w:t xml:space="preserve"> and subsection 301</w:t>
      </w:r>
      <w:r w:rsidR="00C4127B">
        <w:rPr>
          <w:rStyle w:val="Referencingstyle"/>
        </w:rPr>
        <w:t>E</w:t>
      </w:r>
      <w:r>
        <w:rPr>
          <w:rStyle w:val="Referencingstyle"/>
        </w:rPr>
        <w:t>(3) of the Credit Act</w:t>
      </w:r>
      <w:r w:rsidRPr="001B320E">
        <w:rPr>
          <w:rStyle w:val="Referencingstyle"/>
        </w:rPr>
        <w:t>]</w:t>
      </w:r>
    </w:p>
    <w:p w14:paraId="1B13E9E1" w14:textId="77777777" w:rsidR="001E17D3" w:rsidRDefault="001E17D3" w:rsidP="001E17D3">
      <w:pPr>
        <w:pStyle w:val="Heading3"/>
      </w:pPr>
      <w:r>
        <w:t>What is the content of the new intervention power and how is it exercised?</w:t>
      </w:r>
    </w:p>
    <w:p w14:paraId="66001ADA" w14:textId="45518D2A" w:rsidR="001E17D3" w:rsidRDefault="001E17D3" w:rsidP="005C65B4">
      <w:pPr>
        <w:pStyle w:val="base-text-paragraph"/>
      </w:pPr>
      <w:r>
        <w:t>The new power allows ASIC to make an intervention order that may last for up to 18 months, unless it is extended by</w:t>
      </w:r>
      <w:r w:rsidR="00FB6CEA">
        <w:t xml:space="preserve"> ASIC with approval from</w:t>
      </w:r>
      <w:r>
        <w:t xml:space="preserve"> the Minister. </w:t>
      </w:r>
    </w:p>
    <w:p w14:paraId="2D130D4A" w14:textId="77777777" w:rsidR="001E17D3" w:rsidRDefault="001E17D3" w:rsidP="001E17D3">
      <w:pPr>
        <w:pStyle w:val="Heading4"/>
      </w:pPr>
      <w:r>
        <w:t>Intervention orders</w:t>
      </w:r>
    </w:p>
    <w:p w14:paraId="7C6E78A2" w14:textId="5CC6F3E4" w:rsidR="001E17D3" w:rsidRDefault="00CF2452" w:rsidP="00155ABB">
      <w:pPr>
        <w:pStyle w:val="base-text-paragraph"/>
      </w:pPr>
      <w:r>
        <w:t>The new power</w:t>
      </w:r>
      <w:r w:rsidR="001E17D3">
        <w:t xml:space="preserve"> allow</w:t>
      </w:r>
      <w:r>
        <w:t>s</w:t>
      </w:r>
      <w:r w:rsidR="001E17D3">
        <w:t xml:space="preserve"> ASIC to make intervention orders. Under an intervention order, ASIC </w:t>
      </w:r>
      <w:r w:rsidR="001E1F5B">
        <w:t xml:space="preserve">can </w:t>
      </w:r>
      <w:r w:rsidR="00134E2C">
        <w:t>order</w:t>
      </w:r>
      <w:r w:rsidR="002B18BF">
        <w:t>, in relation to a product or class of product,</w:t>
      </w:r>
      <w:r w:rsidR="00134E2C">
        <w:t xml:space="preserve"> that conduct must not be engaged in</w:t>
      </w:r>
      <w:r w:rsidR="002B18BF">
        <w:t xml:space="preserve"> in relation to a retail client</w:t>
      </w:r>
      <w:r w:rsidR="00134E2C">
        <w:t>,</w:t>
      </w:r>
      <w:r w:rsidR="00C66C79">
        <w:t xml:space="preserve"> </w:t>
      </w:r>
      <w:r w:rsidR="00134E2C">
        <w:t>either entirely or except in a</w:t>
      </w:r>
      <w:r w:rsidR="0013575F">
        <w:t>ccordance with any conditions in specified</w:t>
      </w:r>
      <w:r w:rsidR="00134E2C">
        <w:t xml:space="preserve"> in the order.</w:t>
      </w:r>
      <w:r w:rsidR="00705739">
        <w:t xml:space="preserve"> </w:t>
      </w:r>
      <w:r w:rsidR="001E17D3">
        <w:rPr>
          <w:rStyle w:val="Referencingstyle"/>
        </w:rPr>
        <w:t>[Schedule 2</w:t>
      </w:r>
      <w:r w:rsidR="001E17D3" w:rsidRPr="000C6D36">
        <w:rPr>
          <w:rStyle w:val="Referencingstyle"/>
        </w:rPr>
        <w:t>, item</w:t>
      </w:r>
      <w:r w:rsidR="001E17D3">
        <w:rPr>
          <w:rStyle w:val="Referencingstyle"/>
        </w:rPr>
        <w:t>s</w:t>
      </w:r>
      <w:r w:rsidR="001E17D3" w:rsidRPr="000C6D36">
        <w:rPr>
          <w:rStyle w:val="Referencingstyle"/>
        </w:rPr>
        <w:t xml:space="preserve"> </w:t>
      </w:r>
      <w:r w:rsidR="002B18BF">
        <w:rPr>
          <w:rStyle w:val="Referencingstyle"/>
        </w:rPr>
        <w:t>7</w:t>
      </w:r>
      <w:r w:rsidR="001E17D3">
        <w:rPr>
          <w:rStyle w:val="Referencingstyle"/>
        </w:rPr>
        <w:t xml:space="preserve"> and </w:t>
      </w:r>
      <w:r w:rsidR="002B18BF">
        <w:rPr>
          <w:rStyle w:val="Referencingstyle"/>
        </w:rPr>
        <w:t>13</w:t>
      </w:r>
      <w:r w:rsidR="001E17D3" w:rsidRPr="000C6D36">
        <w:rPr>
          <w:rStyle w:val="Referencingstyle"/>
        </w:rPr>
        <w:t xml:space="preserve">, </w:t>
      </w:r>
      <w:r w:rsidR="002B18BF">
        <w:rPr>
          <w:rStyle w:val="Referencingstyle"/>
        </w:rPr>
        <w:t>subsections</w:t>
      </w:r>
      <w:r w:rsidR="002B18BF" w:rsidRPr="000C6D36">
        <w:rPr>
          <w:rStyle w:val="Referencingstyle"/>
        </w:rPr>
        <w:t xml:space="preserve"> </w:t>
      </w:r>
      <w:r w:rsidR="001E17D3" w:rsidRPr="000C6D36">
        <w:rPr>
          <w:rStyle w:val="Referencingstyle"/>
        </w:rPr>
        <w:t>102</w:t>
      </w:r>
      <w:r w:rsidR="002B18BF">
        <w:rPr>
          <w:rStyle w:val="Referencingstyle"/>
        </w:rPr>
        <w:t>3D</w:t>
      </w:r>
      <w:r w:rsidR="001E17D3">
        <w:rPr>
          <w:rStyle w:val="Referencingstyle"/>
        </w:rPr>
        <w:t>(1</w:t>
      </w:r>
      <w:r w:rsidR="001E17D3" w:rsidRPr="000C6D36">
        <w:rPr>
          <w:rStyle w:val="Referencingstyle"/>
        </w:rPr>
        <w:t>)</w:t>
      </w:r>
      <w:r w:rsidR="001E17D3">
        <w:rPr>
          <w:rStyle w:val="Referencingstyle"/>
        </w:rPr>
        <w:t xml:space="preserve"> and </w:t>
      </w:r>
      <w:r w:rsidR="002B18BF">
        <w:rPr>
          <w:rStyle w:val="Referencingstyle"/>
        </w:rPr>
        <w:t>1023D</w:t>
      </w:r>
      <w:r w:rsidR="001E17D3">
        <w:rPr>
          <w:rStyle w:val="Referencingstyle"/>
        </w:rPr>
        <w:t xml:space="preserve">(3) </w:t>
      </w:r>
      <w:r w:rsidR="001E17D3" w:rsidRPr="008A7729">
        <w:rPr>
          <w:rStyle w:val="Referencingstyle"/>
        </w:rPr>
        <w:t xml:space="preserve">of the Corporations </w:t>
      </w:r>
      <w:r w:rsidR="001E17D3" w:rsidRPr="00347F36">
        <w:rPr>
          <w:rStyle w:val="Referencingstyle"/>
        </w:rPr>
        <w:t xml:space="preserve">Act and </w:t>
      </w:r>
      <w:r w:rsidR="00150515" w:rsidRPr="00347F36">
        <w:rPr>
          <w:rStyle w:val="Referencingstyle"/>
        </w:rPr>
        <w:t>sub</w:t>
      </w:r>
      <w:r w:rsidR="00150515">
        <w:rPr>
          <w:rStyle w:val="Referencingstyle"/>
        </w:rPr>
        <w:t>sections</w:t>
      </w:r>
      <w:r w:rsidR="00150515" w:rsidRPr="00347F36">
        <w:rPr>
          <w:rStyle w:val="Referencingstyle"/>
        </w:rPr>
        <w:t xml:space="preserve"> </w:t>
      </w:r>
      <w:r w:rsidR="001E17D3" w:rsidRPr="00347F36">
        <w:rPr>
          <w:rStyle w:val="Referencingstyle"/>
        </w:rPr>
        <w:t>301</w:t>
      </w:r>
      <w:r w:rsidR="00150515">
        <w:rPr>
          <w:rStyle w:val="Referencingstyle"/>
        </w:rPr>
        <w:t>D</w:t>
      </w:r>
      <w:r w:rsidR="001E17D3" w:rsidRPr="00347F36">
        <w:rPr>
          <w:rStyle w:val="Referencingstyle"/>
        </w:rPr>
        <w:t>(1) and 301</w:t>
      </w:r>
      <w:r w:rsidR="00150515">
        <w:rPr>
          <w:rStyle w:val="Referencingstyle"/>
        </w:rPr>
        <w:t>D</w:t>
      </w:r>
      <w:r w:rsidR="001E17D3" w:rsidRPr="00347F36">
        <w:rPr>
          <w:rStyle w:val="Referencingstyle"/>
        </w:rPr>
        <w:t>(3) of the Credit Act]</w:t>
      </w:r>
    </w:p>
    <w:p w14:paraId="3516E38D" w14:textId="0A980B19" w:rsidR="001E17D3" w:rsidRPr="00CC1DAF" w:rsidRDefault="001E17D3" w:rsidP="005C65B4">
      <w:pPr>
        <w:pStyle w:val="base-text-paragraph"/>
        <w:rPr>
          <w:rStyle w:val="Referencingstyle"/>
          <w:b w:val="0"/>
          <w:i w:val="0"/>
          <w:sz w:val="22"/>
        </w:rPr>
      </w:pPr>
      <w:r>
        <w:t xml:space="preserve">An intervention order may generally operate in relation to any person or class of persons. However, it cannot operate in relation to a person in their capacity as a retail client. In addition, the regulations may provide </w:t>
      </w:r>
      <w:r w:rsidR="00BC7A40">
        <w:t>classes of persons</w:t>
      </w:r>
      <w:r>
        <w:t xml:space="preserve"> in relation to which an intervention order cannot be made. </w:t>
      </w:r>
      <w:r w:rsidRPr="000C6D36">
        <w:rPr>
          <w:rStyle w:val="Referencingstyle"/>
        </w:rPr>
        <w:t xml:space="preserve">[Schedule </w:t>
      </w:r>
      <w:r>
        <w:rPr>
          <w:rStyle w:val="Referencingstyle"/>
        </w:rPr>
        <w:t>2</w:t>
      </w:r>
      <w:r w:rsidRPr="000C6D36">
        <w:rPr>
          <w:rStyle w:val="Referencingstyle"/>
        </w:rPr>
        <w:t xml:space="preserve">, </w:t>
      </w:r>
      <w:r w:rsidR="00C3740F" w:rsidRPr="000C6D36">
        <w:rPr>
          <w:rStyle w:val="Referencingstyle"/>
        </w:rPr>
        <w:t>item</w:t>
      </w:r>
      <w:r w:rsidR="00C3740F">
        <w:rPr>
          <w:rStyle w:val="Referencingstyle"/>
        </w:rPr>
        <w:t>s</w:t>
      </w:r>
      <w:r w:rsidRPr="000C6D36">
        <w:rPr>
          <w:rStyle w:val="Referencingstyle"/>
        </w:rPr>
        <w:t xml:space="preserve"> </w:t>
      </w:r>
      <w:r w:rsidR="00273362">
        <w:rPr>
          <w:rStyle w:val="Referencingstyle"/>
        </w:rPr>
        <w:t>7</w:t>
      </w:r>
      <w:r w:rsidR="00C3740F">
        <w:rPr>
          <w:rStyle w:val="Referencingstyle"/>
        </w:rPr>
        <w:t xml:space="preserve"> and </w:t>
      </w:r>
      <w:r w:rsidR="00273362">
        <w:rPr>
          <w:rStyle w:val="Referencingstyle"/>
        </w:rPr>
        <w:t>13</w:t>
      </w:r>
      <w:r w:rsidR="00C3740F" w:rsidRPr="000C6D36">
        <w:rPr>
          <w:rStyle w:val="Referencingstyle"/>
        </w:rPr>
        <w:t xml:space="preserve">, </w:t>
      </w:r>
      <w:r>
        <w:rPr>
          <w:rStyle w:val="Referencingstyle"/>
        </w:rPr>
        <w:t>subsection</w:t>
      </w:r>
      <w:r w:rsidR="00273362">
        <w:rPr>
          <w:rStyle w:val="Referencingstyle"/>
        </w:rPr>
        <w:t>s</w:t>
      </w:r>
      <w:r>
        <w:rPr>
          <w:rStyle w:val="Referencingstyle"/>
        </w:rPr>
        <w:t xml:space="preserve"> 102</w:t>
      </w:r>
      <w:r w:rsidR="00273362">
        <w:rPr>
          <w:rStyle w:val="Referencingstyle"/>
        </w:rPr>
        <w:t>3</w:t>
      </w:r>
      <w:r>
        <w:rPr>
          <w:rStyle w:val="Referencingstyle"/>
        </w:rPr>
        <w:t>C(</w:t>
      </w:r>
      <w:r w:rsidR="00273362">
        <w:rPr>
          <w:rStyle w:val="Referencingstyle"/>
        </w:rPr>
        <w:t>2</w:t>
      </w:r>
      <w:r>
        <w:rPr>
          <w:rStyle w:val="Referencingstyle"/>
        </w:rPr>
        <w:t>)</w:t>
      </w:r>
      <w:r w:rsidR="00273362">
        <w:rPr>
          <w:rStyle w:val="Referencingstyle"/>
        </w:rPr>
        <w:t xml:space="preserve"> and </w:t>
      </w:r>
      <w:r w:rsidR="0067603D">
        <w:rPr>
          <w:rStyle w:val="Referencingstyle"/>
        </w:rPr>
        <w:t>1023C</w:t>
      </w:r>
      <w:r w:rsidR="00273362">
        <w:rPr>
          <w:rStyle w:val="Referencingstyle"/>
        </w:rPr>
        <w:t>(3)</w:t>
      </w:r>
      <w:r>
        <w:rPr>
          <w:rStyle w:val="Referencingstyle"/>
        </w:rPr>
        <w:t xml:space="preserve"> </w:t>
      </w:r>
      <w:r w:rsidRPr="008A7729">
        <w:rPr>
          <w:rStyle w:val="Referencingstyle"/>
        </w:rPr>
        <w:t xml:space="preserve">of the </w:t>
      </w:r>
      <w:r>
        <w:rPr>
          <w:rStyle w:val="Referencingstyle"/>
        </w:rPr>
        <w:t xml:space="preserve">Corporations Act </w:t>
      </w:r>
      <w:r w:rsidRPr="00782A99">
        <w:rPr>
          <w:rStyle w:val="Referencingstyle"/>
        </w:rPr>
        <w:t xml:space="preserve">and </w:t>
      </w:r>
      <w:r w:rsidR="00273362">
        <w:rPr>
          <w:rStyle w:val="Referencingstyle"/>
        </w:rPr>
        <w:t>sub</w:t>
      </w:r>
      <w:r w:rsidRPr="00782A99">
        <w:rPr>
          <w:rStyle w:val="Referencingstyle"/>
        </w:rPr>
        <w:t>section</w:t>
      </w:r>
      <w:r w:rsidR="00273362">
        <w:rPr>
          <w:rStyle w:val="Referencingstyle"/>
        </w:rPr>
        <w:t>s</w:t>
      </w:r>
      <w:r w:rsidRPr="00782A99">
        <w:rPr>
          <w:rStyle w:val="Referencingstyle"/>
        </w:rPr>
        <w:t xml:space="preserve"> 301C(</w:t>
      </w:r>
      <w:r w:rsidR="00273362">
        <w:rPr>
          <w:rStyle w:val="Referencingstyle"/>
        </w:rPr>
        <w:t>2</w:t>
      </w:r>
      <w:r w:rsidRPr="00782A99">
        <w:rPr>
          <w:rStyle w:val="Referencingstyle"/>
        </w:rPr>
        <w:t>)</w:t>
      </w:r>
      <w:r w:rsidR="00273362">
        <w:rPr>
          <w:rStyle w:val="Referencingstyle"/>
        </w:rPr>
        <w:t xml:space="preserve"> and </w:t>
      </w:r>
      <w:r w:rsidR="0067603D">
        <w:rPr>
          <w:rStyle w:val="Referencingstyle"/>
        </w:rPr>
        <w:t>301C</w:t>
      </w:r>
      <w:r w:rsidR="00273362">
        <w:rPr>
          <w:rStyle w:val="Referencingstyle"/>
        </w:rPr>
        <w:t>(3)</w:t>
      </w:r>
      <w:r w:rsidRPr="00782A99">
        <w:rPr>
          <w:rStyle w:val="Referencingstyle"/>
        </w:rPr>
        <w:t xml:space="preserve"> of the Credit Act]</w:t>
      </w:r>
    </w:p>
    <w:p w14:paraId="4A246613" w14:textId="11DA16D7" w:rsidR="001E17D3" w:rsidRDefault="001E17D3" w:rsidP="005C65B4">
      <w:pPr>
        <w:pStyle w:val="base-text-paragraph"/>
      </w:pPr>
      <w:r>
        <w:t>The range of orders that ASIC can make under a</w:t>
      </w:r>
      <w:r w:rsidR="006D4261">
        <w:t xml:space="preserve">n </w:t>
      </w:r>
      <w:r>
        <w:t>intervention order is extensive. Some examples of the brea</w:t>
      </w:r>
      <w:r w:rsidR="00C3740F">
        <w:t>d</w:t>
      </w:r>
      <w:r>
        <w:t xml:space="preserve">th of possible orders include: </w:t>
      </w:r>
    </w:p>
    <w:p w14:paraId="716CB62C" w14:textId="77777777" w:rsidR="001E17D3" w:rsidRPr="00C36121" w:rsidRDefault="001E17D3" w:rsidP="001E17D3">
      <w:pPr>
        <w:pStyle w:val="dotpoint"/>
      </w:pPr>
      <w:r>
        <w:t xml:space="preserve">banning a person from issuing a product or class of product to consumers; </w:t>
      </w:r>
    </w:p>
    <w:p w14:paraId="7295BCED" w14:textId="77777777" w:rsidR="001E17D3" w:rsidRPr="00C36121" w:rsidRDefault="001E17D3" w:rsidP="001E17D3">
      <w:pPr>
        <w:pStyle w:val="dotpoint"/>
      </w:pPr>
      <w:r>
        <w:t>directing that a particular product or class of product only be offered by way of issue to particular classes of consumers or in particular circumstances; and</w:t>
      </w:r>
    </w:p>
    <w:p w14:paraId="757DD58B" w14:textId="77777777" w:rsidR="001E17D3" w:rsidRDefault="001E17D3" w:rsidP="001E17D3">
      <w:pPr>
        <w:pStyle w:val="dotpoint"/>
      </w:pPr>
      <w:r>
        <w:t>directing that a product or class of product not be distributed unless accompanied by an appropriate warning or label.</w:t>
      </w:r>
    </w:p>
    <w:p w14:paraId="0A1CC6A0" w14:textId="4C97523B" w:rsidR="001E17D3" w:rsidRDefault="001E17D3" w:rsidP="005C65B4">
      <w:pPr>
        <w:pStyle w:val="base-text-paragraph"/>
      </w:pPr>
      <w:r>
        <w:t xml:space="preserve">However, the new law provides some limitations on the matters that may be subject to an intervention order. These limitations provide that an intervention order cannot: </w:t>
      </w:r>
    </w:p>
    <w:p w14:paraId="52BFF4C6" w14:textId="0C681D4F" w:rsidR="00A9091E" w:rsidRDefault="00A9091E" w:rsidP="00A9091E">
      <w:pPr>
        <w:pStyle w:val="dotpoint"/>
      </w:pPr>
      <w:r>
        <w:t>require</w:t>
      </w:r>
      <w:r w:rsidRPr="002A2C54">
        <w:t xml:space="preserve"> a person satisfy a standard of training, or meet a professional standard, other than a standard prescribed for the person by or under this Act;</w:t>
      </w:r>
    </w:p>
    <w:p w14:paraId="548AD65B" w14:textId="77777777" w:rsidR="001E17D3" w:rsidRPr="002A2C54" w:rsidRDefault="007C02B0" w:rsidP="001E17D3">
      <w:pPr>
        <w:pStyle w:val="dotpoint"/>
      </w:pPr>
      <w:r>
        <w:t>require</w:t>
      </w:r>
      <w:r w:rsidR="001E17D3" w:rsidRPr="002A2C54">
        <w:t xml:space="preserve"> a person who is not required to hold a</w:t>
      </w:r>
      <w:r w:rsidR="00775093">
        <w:t>n</w:t>
      </w:r>
      <w:r w:rsidR="001E17D3" w:rsidRPr="002A2C54">
        <w:t xml:space="preserve"> Australian financial services licence</w:t>
      </w:r>
      <w:r>
        <w:t xml:space="preserve"> to</w:t>
      </w:r>
      <w:r w:rsidR="001E17D3" w:rsidRPr="002A2C54">
        <w:t xml:space="preserve"> join an external dispute resolution scheme; or</w:t>
      </w:r>
    </w:p>
    <w:p w14:paraId="6D4E3533" w14:textId="7E9ED215" w:rsidR="001E17D3" w:rsidRPr="00CC1DAF" w:rsidRDefault="001E17D3" w:rsidP="001E17D3">
      <w:pPr>
        <w:pStyle w:val="dotpoint"/>
        <w:rPr>
          <w:szCs w:val="22"/>
        </w:rPr>
      </w:pPr>
      <w:r w:rsidRPr="002A2C54">
        <w:t>impose requirements in relation to a person’s remuneration</w:t>
      </w:r>
      <w:r>
        <w:t xml:space="preserve">, other than so much of the remuneration as is conditional on the achievement of objectives directly related to the </w:t>
      </w:r>
      <w:r w:rsidRPr="002A2C54">
        <w:t>financial product.</w:t>
      </w:r>
      <w:r w:rsidRPr="00DA1834">
        <w:rPr>
          <w:rStyle w:val="Referencingstyle"/>
        </w:rPr>
        <w:t xml:space="preserve"> </w:t>
      </w:r>
      <w:r w:rsidRPr="000229AC">
        <w:rPr>
          <w:rStyle w:val="Referencingstyle"/>
        </w:rPr>
        <w:t>[Schedule 2, item</w:t>
      </w:r>
      <w:r>
        <w:rPr>
          <w:rStyle w:val="Referencingstyle"/>
        </w:rPr>
        <w:t>s</w:t>
      </w:r>
      <w:r w:rsidRPr="000229AC">
        <w:rPr>
          <w:rStyle w:val="Referencingstyle"/>
        </w:rPr>
        <w:t xml:space="preserve"> </w:t>
      </w:r>
      <w:r w:rsidR="00BA510C">
        <w:rPr>
          <w:rStyle w:val="Referencingstyle"/>
        </w:rPr>
        <w:t>7</w:t>
      </w:r>
      <w:r>
        <w:rPr>
          <w:rStyle w:val="Referencingstyle"/>
        </w:rPr>
        <w:t xml:space="preserve"> and </w:t>
      </w:r>
      <w:r w:rsidR="00BA510C">
        <w:rPr>
          <w:rStyle w:val="Referencingstyle"/>
        </w:rPr>
        <w:t>13</w:t>
      </w:r>
      <w:r w:rsidRPr="000229AC">
        <w:rPr>
          <w:rStyle w:val="Referencingstyle"/>
        </w:rPr>
        <w:t xml:space="preserve">, </w:t>
      </w:r>
      <w:r w:rsidR="00BA510C" w:rsidRPr="000229AC">
        <w:rPr>
          <w:rStyle w:val="Referencingstyle"/>
        </w:rPr>
        <w:t>sub</w:t>
      </w:r>
      <w:r w:rsidR="00BA510C">
        <w:rPr>
          <w:rStyle w:val="Referencingstyle"/>
        </w:rPr>
        <w:t>section</w:t>
      </w:r>
      <w:r w:rsidR="00BA510C" w:rsidRPr="000229AC">
        <w:rPr>
          <w:rStyle w:val="Referencingstyle"/>
        </w:rPr>
        <w:t xml:space="preserve"> </w:t>
      </w:r>
      <w:r>
        <w:rPr>
          <w:rStyle w:val="Referencingstyle"/>
        </w:rPr>
        <w:t>102</w:t>
      </w:r>
      <w:r w:rsidR="00BA510C">
        <w:rPr>
          <w:rStyle w:val="Referencingstyle"/>
        </w:rPr>
        <w:t>3D</w:t>
      </w:r>
      <w:r>
        <w:rPr>
          <w:rStyle w:val="Referencingstyle"/>
        </w:rPr>
        <w:t>(</w:t>
      </w:r>
      <w:r w:rsidR="00BA510C">
        <w:rPr>
          <w:rStyle w:val="Referencingstyle"/>
        </w:rPr>
        <w:t>4</w:t>
      </w:r>
      <w:r w:rsidRPr="000229AC">
        <w:rPr>
          <w:rStyle w:val="Referencingstyle"/>
        </w:rPr>
        <w:t>) of the Corporations Act</w:t>
      </w:r>
      <w:r>
        <w:rPr>
          <w:rStyle w:val="Referencingstyle"/>
        </w:rPr>
        <w:t xml:space="preserve"> and subsection 301</w:t>
      </w:r>
      <w:r w:rsidR="00BA510C">
        <w:rPr>
          <w:rStyle w:val="Referencingstyle"/>
        </w:rPr>
        <w:t>D</w:t>
      </w:r>
      <w:r>
        <w:rPr>
          <w:rStyle w:val="Referencingstyle"/>
        </w:rPr>
        <w:t>(</w:t>
      </w:r>
      <w:r w:rsidR="00BA510C">
        <w:rPr>
          <w:rStyle w:val="Referencingstyle"/>
        </w:rPr>
        <w:t>4</w:t>
      </w:r>
      <w:r w:rsidRPr="00782A99">
        <w:rPr>
          <w:rStyle w:val="Referencingstyle"/>
        </w:rPr>
        <w:t>) of the Credit Act</w:t>
      </w:r>
      <w:r w:rsidRPr="000229AC">
        <w:rPr>
          <w:rStyle w:val="Referencingstyle"/>
        </w:rPr>
        <w:t>]</w:t>
      </w:r>
    </w:p>
    <w:p w14:paraId="6C5BE50E" w14:textId="27DB5AB7" w:rsidR="001E17D3" w:rsidRDefault="001E17D3" w:rsidP="005C65B4">
      <w:pPr>
        <w:pStyle w:val="base-text-paragraph"/>
      </w:pPr>
      <w:r>
        <w:t>An intervention order with respect to the above matters would not be appropriate. Existing laws already provide comprehensive regime</w:t>
      </w:r>
      <w:r w:rsidR="00F07613">
        <w:t>s</w:t>
      </w:r>
      <w:r>
        <w:t xml:space="preserve"> in relation to</w:t>
      </w:r>
      <w:r w:rsidR="00F07613">
        <w:t xml:space="preserve"> training, professional standards and</w:t>
      </w:r>
      <w:r>
        <w:t xml:space="preserve"> dispute resolution. Th</w:t>
      </w:r>
      <w:r w:rsidR="00F07613">
        <w:t>ese</w:t>
      </w:r>
      <w:r>
        <w:t xml:space="preserve"> regime</w:t>
      </w:r>
      <w:r w:rsidR="00F07613">
        <w:t>s</w:t>
      </w:r>
      <w:r>
        <w:t xml:space="preserve"> </w:t>
      </w:r>
      <w:r w:rsidR="00F07613">
        <w:t>are</w:t>
      </w:r>
      <w:r>
        <w:t xml:space="preserve"> not to be affected by the new intervention power. In addition, the new power should not generally be able to affect remuneration arrangements between parties. However, an exception is made where the remuneration arrangement is con</w:t>
      </w:r>
      <w:r w:rsidR="004F7119">
        <w:t>tingent upon</w:t>
      </w:r>
      <w:r>
        <w:t xml:space="preserve"> the achievement of objectives directly related to the financial product. In such situations, </w:t>
      </w:r>
      <w:r w:rsidR="00415CE8">
        <w:t>the</w:t>
      </w:r>
      <w:r>
        <w:t xml:space="preserve"> arrangement could promote adverse consumer outcomes. </w:t>
      </w:r>
    </w:p>
    <w:p w14:paraId="1C6F29C6" w14:textId="14711A95" w:rsidR="001E17D3" w:rsidRDefault="00CF2452" w:rsidP="005C65B4">
      <w:pPr>
        <w:pStyle w:val="base-text-paragraph"/>
      </w:pPr>
      <w:r>
        <w:t>ASIC may delegate its power</w:t>
      </w:r>
      <w:r w:rsidR="001E17D3">
        <w:t xml:space="preserve"> with respect to intervention orders to an ASIC commissioner, or a senior executive staff member of ASIC.</w:t>
      </w:r>
      <w:r w:rsidR="000A5BCA">
        <w:t xml:space="preserve"> </w:t>
      </w:r>
      <w:r w:rsidR="000A5BCA" w:rsidRPr="000229AC">
        <w:rPr>
          <w:rStyle w:val="Referencingstyle"/>
        </w:rPr>
        <w:t xml:space="preserve">[Schedule 2, </w:t>
      </w:r>
      <w:r w:rsidR="000A5BCA">
        <w:rPr>
          <w:rStyle w:val="Referencingstyle"/>
        </w:rPr>
        <w:t>item 1</w:t>
      </w:r>
      <w:r w:rsidR="00C96B3C">
        <w:rPr>
          <w:rStyle w:val="Referencingstyle"/>
        </w:rPr>
        <w:t>5</w:t>
      </w:r>
      <w:r w:rsidR="00D079B1">
        <w:rPr>
          <w:rStyle w:val="Referencingstyle"/>
        </w:rPr>
        <w:t>, subsection</w:t>
      </w:r>
      <w:r w:rsidR="000A5BCA" w:rsidRPr="000229AC">
        <w:rPr>
          <w:rStyle w:val="Referencingstyle"/>
        </w:rPr>
        <w:t xml:space="preserve"> </w:t>
      </w:r>
      <w:r w:rsidR="000A5BCA">
        <w:rPr>
          <w:rStyle w:val="Referencingstyle"/>
        </w:rPr>
        <w:t>102(2C) of the Australian Securities and Investments Commission Act 2001</w:t>
      </w:r>
      <w:r w:rsidR="000A5BCA" w:rsidRPr="000229AC">
        <w:rPr>
          <w:rStyle w:val="Referencingstyle"/>
        </w:rPr>
        <w:t>]</w:t>
      </w:r>
    </w:p>
    <w:p w14:paraId="6FA242C1" w14:textId="77777777" w:rsidR="001E17D3" w:rsidRDefault="001E17D3" w:rsidP="001E17D3">
      <w:pPr>
        <w:pStyle w:val="Heading4"/>
      </w:pPr>
      <w:r>
        <w:t>Duration of intervention order</w:t>
      </w:r>
    </w:p>
    <w:p w14:paraId="3EE7DE4C" w14:textId="0C0746A8" w:rsidR="001E17D3" w:rsidRPr="00C03674" w:rsidRDefault="001E17D3" w:rsidP="005C65B4">
      <w:pPr>
        <w:pStyle w:val="base-text-paragraph"/>
        <w:rPr>
          <w:rStyle w:val="Referencingstyle"/>
          <w:b w:val="0"/>
          <w:i w:val="0"/>
          <w:sz w:val="22"/>
        </w:rPr>
      </w:pPr>
      <w:r>
        <w:t>An intervention order made by ASIC may continue for up to 18 months (the prescribed period) unless the period is extended by</w:t>
      </w:r>
      <w:r w:rsidR="00D872AC">
        <w:t xml:space="preserve"> ASIC with</w:t>
      </w:r>
      <w:r>
        <w:t xml:space="preserve"> the</w:t>
      </w:r>
      <w:r w:rsidR="00D872AC">
        <w:t xml:space="preserve"> approval of the</w:t>
      </w:r>
      <w:r>
        <w:t xml:space="preserve"> Minister</w:t>
      </w:r>
      <w:r w:rsidR="008D7466">
        <w:t>, following a report to the Minister from ASIC on whether the extension should be made</w:t>
      </w:r>
      <w:r>
        <w:t>. In addition, if a court makes an order staying or other</w:t>
      </w:r>
      <w:r w:rsidR="00415CE8">
        <w:t>wise</w:t>
      </w:r>
      <w:r>
        <w:t xml:space="preserve"> affecting the operation or enforcement of an intervention order, the period of the court’s order is not included towards the prescribed period. </w:t>
      </w:r>
      <w:r w:rsidR="00B62AD1" w:rsidRPr="000C6D36">
        <w:rPr>
          <w:rStyle w:val="Referencingstyle"/>
        </w:rPr>
        <w:t xml:space="preserve">[Schedule </w:t>
      </w:r>
      <w:r w:rsidR="00B62AD1">
        <w:rPr>
          <w:rStyle w:val="Referencingstyle"/>
        </w:rPr>
        <w:t>2</w:t>
      </w:r>
      <w:r w:rsidR="00B62AD1" w:rsidRPr="000C6D36">
        <w:rPr>
          <w:rStyle w:val="Referencingstyle"/>
        </w:rPr>
        <w:t>, item</w:t>
      </w:r>
      <w:r w:rsidR="00B62AD1">
        <w:rPr>
          <w:rStyle w:val="Referencingstyle"/>
        </w:rPr>
        <w:t>s</w:t>
      </w:r>
      <w:r w:rsidR="00B62AD1" w:rsidRPr="000C6D36">
        <w:rPr>
          <w:rStyle w:val="Referencingstyle"/>
        </w:rPr>
        <w:t xml:space="preserve"> </w:t>
      </w:r>
      <w:r w:rsidR="00EB51C9">
        <w:rPr>
          <w:rStyle w:val="Referencingstyle"/>
        </w:rPr>
        <w:t>7</w:t>
      </w:r>
      <w:r w:rsidR="00B62AD1">
        <w:rPr>
          <w:rStyle w:val="Referencingstyle"/>
        </w:rPr>
        <w:t xml:space="preserve">and </w:t>
      </w:r>
      <w:r w:rsidR="00EB51C9">
        <w:rPr>
          <w:rStyle w:val="Referencingstyle"/>
        </w:rPr>
        <w:t>13</w:t>
      </w:r>
      <w:r w:rsidR="00B62AD1" w:rsidRPr="000C6D36">
        <w:rPr>
          <w:rStyle w:val="Referencingstyle"/>
        </w:rPr>
        <w:t xml:space="preserve">, </w:t>
      </w:r>
      <w:r w:rsidR="00EB51C9">
        <w:rPr>
          <w:rStyle w:val="Referencingstyle"/>
        </w:rPr>
        <w:t>sub</w:t>
      </w:r>
      <w:r w:rsidR="00BB367E">
        <w:rPr>
          <w:rStyle w:val="Referencingstyle"/>
        </w:rPr>
        <w:t>section 102</w:t>
      </w:r>
      <w:r w:rsidR="00EB51C9">
        <w:rPr>
          <w:rStyle w:val="Referencingstyle"/>
        </w:rPr>
        <w:t xml:space="preserve">3G(2) </w:t>
      </w:r>
      <w:r w:rsidR="00B62AD1">
        <w:rPr>
          <w:rStyle w:val="Referencingstyle"/>
        </w:rPr>
        <w:t xml:space="preserve">of the Corporations </w:t>
      </w:r>
      <w:r w:rsidR="00B62AD1" w:rsidRPr="00B05CC1">
        <w:rPr>
          <w:rStyle w:val="Referencingstyle"/>
        </w:rPr>
        <w:t xml:space="preserve">Act and </w:t>
      </w:r>
      <w:r w:rsidR="00EB51C9">
        <w:rPr>
          <w:rStyle w:val="Referencingstyle"/>
        </w:rPr>
        <w:t>sub</w:t>
      </w:r>
      <w:r w:rsidR="004C43C6">
        <w:rPr>
          <w:rStyle w:val="Referencingstyle"/>
        </w:rPr>
        <w:t>section 301B</w:t>
      </w:r>
      <w:r w:rsidR="00AD55D9">
        <w:rPr>
          <w:rStyle w:val="Referencingstyle"/>
        </w:rPr>
        <w:t xml:space="preserve"> </w:t>
      </w:r>
      <w:r w:rsidR="00B62AD1" w:rsidRPr="00B05CC1">
        <w:rPr>
          <w:rStyle w:val="Referencingstyle"/>
        </w:rPr>
        <w:t>of the Credit Act]</w:t>
      </w:r>
    </w:p>
    <w:p w14:paraId="6047F0EF" w14:textId="59AC7F1F" w:rsidR="001E17D3" w:rsidRDefault="001E17D3" w:rsidP="005C65B4">
      <w:pPr>
        <w:pStyle w:val="base-text-paragraph"/>
      </w:pPr>
      <w:r>
        <w:t xml:space="preserve"> The regulations may vary the prescribed period, but only so as to shorten the period. The regulations cannot lengthen the prescribed period beyond 18 months. An intervention order can only be lengthened beyond 18 months if </w:t>
      </w:r>
      <w:r w:rsidR="00884977">
        <w:t>ASIC</w:t>
      </w:r>
      <w:r>
        <w:t xml:space="preserve"> extends it for a set period of time or </w:t>
      </w:r>
      <w:r w:rsidR="00884977">
        <w:t>permanently (subject to any later revocation)</w:t>
      </w:r>
      <w:r w:rsidR="003900D2">
        <w:t xml:space="preserve"> after receiving approval from the Minister to do so</w:t>
      </w:r>
      <w:r>
        <w:t xml:space="preserve">. </w:t>
      </w:r>
      <w:r w:rsidR="00B62AD1" w:rsidRPr="000C6D36">
        <w:rPr>
          <w:rStyle w:val="Referencingstyle"/>
        </w:rPr>
        <w:t xml:space="preserve">[Schedule </w:t>
      </w:r>
      <w:r w:rsidR="00B62AD1">
        <w:rPr>
          <w:rStyle w:val="Referencingstyle"/>
        </w:rPr>
        <w:t>2</w:t>
      </w:r>
      <w:r w:rsidR="00B62AD1" w:rsidRPr="000C6D36">
        <w:rPr>
          <w:rStyle w:val="Referencingstyle"/>
        </w:rPr>
        <w:t>, item</w:t>
      </w:r>
      <w:r w:rsidR="00B62AD1">
        <w:rPr>
          <w:rStyle w:val="Referencingstyle"/>
        </w:rPr>
        <w:t>s</w:t>
      </w:r>
      <w:r w:rsidR="00B62AD1" w:rsidRPr="000C6D36">
        <w:rPr>
          <w:rStyle w:val="Referencingstyle"/>
        </w:rPr>
        <w:t xml:space="preserve"> </w:t>
      </w:r>
      <w:r w:rsidR="00072C13">
        <w:rPr>
          <w:rStyle w:val="Referencingstyle"/>
        </w:rPr>
        <w:t>7</w:t>
      </w:r>
      <w:r w:rsidR="00B62AD1">
        <w:rPr>
          <w:rStyle w:val="Referencingstyle"/>
        </w:rPr>
        <w:t xml:space="preserve"> and </w:t>
      </w:r>
      <w:r w:rsidR="00072C13">
        <w:rPr>
          <w:rStyle w:val="Referencingstyle"/>
        </w:rPr>
        <w:t>13</w:t>
      </w:r>
      <w:r w:rsidR="00B62AD1" w:rsidRPr="000C6D36">
        <w:rPr>
          <w:rStyle w:val="Referencingstyle"/>
        </w:rPr>
        <w:t xml:space="preserve">, </w:t>
      </w:r>
      <w:r w:rsidR="00B62AD1">
        <w:rPr>
          <w:rStyle w:val="Referencingstyle"/>
        </w:rPr>
        <w:t>section 102</w:t>
      </w:r>
      <w:r w:rsidR="00072C13">
        <w:rPr>
          <w:rStyle w:val="Referencingstyle"/>
        </w:rPr>
        <w:t>3H</w:t>
      </w:r>
      <w:r w:rsidR="00AD55D9">
        <w:rPr>
          <w:rStyle w:val="Referencingstyle"/>
        </w:rPr>
        <w:t xml:space="preserve"> </w:t>
      </w:r>
      <w:r w:rsidR="00B62AD1">
        <w:rPr>
          <w:rStyle w:val="Referencingstyle"/>
        </w:rPr>
        <w:t xml:space="preserve">of the Corporations </w:t>
      </w:r>
      <w:r w:rsidR="00B62AD1" w:rsidRPr="00B05CC1">
        <w:rPr>
          <w:rStyle w:val="Referencingstyle"/>
        </w:rPr>
        <w:t xml:space="preserve">Act and </w:t>
      </w:r>
      <w:r w:rsidR="00B62AD1">
        <w:rPr>
          <w:rStyle w:val="Referencingstyle"/>
        </w:rPr>
        <w:t>section</w:t>
      </w:r>
      <w:r w:rsidR="00A57410">
        <w:rPr>
          <w:rStyle w:val="Referencingstyle"/>
        </w:rPr>
        <w:t xml:space="preserve"> 301</w:t>
      </w:r>
      <w:r w:rsidR="00072C13">
        <w:rPr>
          <w:rStyle w:val="Referencingstyle"/>
        </w:rPr>
        <w:t>H</w:t>
      </w:r>
      <w:r w:rsidR="00AD55D9">
        <w:rPr>
          <w:rStyle w:val="Referencingstyle"/>
        </w:rPr>
        <w:t xml:space="preserve"> </w:t>
      </w:r>
      <w:r w:rsidR="00B62AD1" w:rsidRPr="00B05CC1">
        <w:rPr>
          <w:rStyle w:val="Referencingstyle"/>
        </w:rPr>
        <w:t>of the Credit Act]</w:t>
      </w:r>
    </w:p>
    <w:p w14:paraId="42F2ED2C" w14:textId="307F5C4A" w:rsidR="001E17D3" w:rsidRDefault="001E17D3" w:rsidP="005C65B4">
      <w:pPr>
        <w:pStyle w:val="base-text-paragraph"/>
      </w:pPr>
      <w:r>
        <w:t>There are strict rules relating to remaking an intervention order. In particular, if an</w:t>
      </w:r>
      <w:r w:rsidR="00C401EB">
        <w:t xml:space="preserve"> order</w:t>
      </w:r>
      <w:r>
        <w:t xml:space="preserve"> </w:t>
      </w:r>
      <w:r w:rsidR="00D608BD">
        <w:t>ceases to be in force or</w:t>
      </w:r>
      <w:r>
        <w:t xml:space="preserve"> is revoked, ASIC may not remake the order</w:t>
      </w:r>
      <w:r w:rsidR="00D608BD">
        <w:t>, or make an order</w:t>
      </w:r>
      <w:r>
        <w:t xml:space="preserve"> in substantially the same terms unless: the circumstances have materially changed from those when the order was made; or, the Minister approves the remaking of the order. </w:t>
      </w:r>
      <w:r w:rsidR="00E61BE1" w:rsidRPr="000C6D36">
        <w:rPr>
          <w:rStyle w:val="Referencingstyle"/>
        </w:rPr>
        <w:t xml:space="preserve">[Schedule </w:t>
      </w:r>
      <w:r w:rsidR="00E61BE1">
        <w:rPr>
          <w:rStyle w:val="Referencingstyle"/>
        </w:rPr>
        <w:t>2</w:t>
      </w:r>
      <w:r w:rsidR="00E61BE1" w:rsidRPr="000C6D36">
        <w:rPr>
          <w:rStyle w:val="Referencingstyle"/>
        </w:rPr>
        <w:t>, item</w:t>
      </w:r>
      <w:r w:rsidR="00E61BE1">
        <w:rPr>
          <w:rStyle w:val="Referencingstyle"/>
        </w:rPr>
        <w:t>s</w:t>
      </w:r>
      <w:r w:rsidR="00E61BE1" w:rsidRPr="000C6D36">
        <w:rPr>
          <w:rStyle w:val="Referencingstyle"/>
        </w:rPr>
        <w:t xml:space="preserve"> </w:t>
      </w:r>
      <w:r w:rsidR="00ED7D6B">
        <w:rPr>
          <w:rStyle w:val="Referencingstyle"/>
        </w:rPr>
        <w:t>7</w:t>
      </w:r>
      <w:r w:rsidR="00E61BE1">
        <w:rPr>
          <w:rStyle w:val="Referencingstyle"/>
        </w:rPr>
        <w:t xml:space="preserve"> and </w:t>
      </w:r>
      <w:r w:rsidR="00ED7D6B">
        <w:rPr>
          <w:rStyle w:val="Referencingstyle"/>
        </w:rPr>
        <w:t>13</w:t>
      </w:r>
      <w:r w:rsidR="00E61BE1" w:rsidRPr="000C6D36">
        <w:rPr>
          <w:rStyle w:val="Referencingstyle"/>
        </w:rPr>
        <w:t xml:space="preserve">, </w:t>
      </w:r>
      <w:r w:rsidR="00E61BE1">
        <w:rPr>
          <w:rStyle w:val="Referencingstyle"/>
        </w:rPr>
        <w:t>section 102</w:t>
      </w:r>
      <w:r w:rsidR="00ED7D6B">
        <w:rPr>
          <w:rStyle w:val="Referencingstyle"/>
        </w:rPr>
        <w:t>3M</w:t>
      </w:r>
      <w:r w:rsidR="00E61BE1">
        <w:rPr>
          <w:rStyle w:val="Referencingstyle"/>
        </w:rPr>
        <w:t xml:space="preserve"> of the Corporations Act and section 301</w:t>
      </w:r>
      <w:r w:rsidR="00ED7D6B">
        <w:rPr>
          <w:rStyle w:val="Referencingstyle"/>
        </w:rPr>
        <w:t>M</w:t>
      </w:r>
      <w:r w:rsidR="00E61BE1" w:rsidRPr="00B05CC1">
        <w:rPr>
          <w:rStyle w:val="Referencingstyle"/>
        </w:rPr>
        <w:t xml:space="preserve"> of the Credit Act]</w:t>
      </w:r>
    </w:p>
    <w:p w14:paraId="7C817D7C" w14:textId="77777777" w:rsidR="001E17D3" w:rsidRDefault="001E17D3" w:rsidP="001E17D3">
      <w:pPr>
        <w:pStyle w:val="Heading4"/>
      </w:pPr>
      <w:r>
        <w:t>Procedural requirements</w:t>
      </w:r>
    </w:p>
    <w:p w14:paraId="0EB7E959" w14:textId="77777777" w:rsidR="001E17D3" w:rsidRDefault="001E17D3" w:rsidP="005C65B4">
      <w:pPr>
        <w:pStyle w:val="base-text-paragraph"/>
      </w:pPr>
      <w:r>
        <w:t xml:space="preserve">ASIC must comply with two key procedural requirements prior to making an intervention order. These procedural requirements relate to consultation and the issuance of a public notice with respect to the intervention. </w:t>
      </w:r>
    </w:p>
    <w:p w14:paraId="407FB301" w14:textId="77777777" w:rsidR="001E17D3" w:rsidRDefault="001E17D3" w:rsidP="001E17D3">
      <w:pPr>
        <w:pStyle w:val="Heading5"/>
      </w:pPr>
      <w:r>
        <w:t xml:space="preserve">Consultation </w:t>
      </w:r>
    </w:p>
    <w:p w14:paraId="7E0305A0" w14:textId="77777777" w:rsidR="001E17D3" w:rsidRDefault="001E17D3" w:rsidP="005C65B4">
      <w:pPr>
        <w:pStyle w:val="base-text-paragraph"/>
      </w:pPr>
      <w:r>
        <w:t>The first procedural requirement that</w:t>
      </w:r>
      <w:r w:rsidR="00504FC9">
        <w:t xml:space="preserve"> ASIC</w:t>
      </w:r>
      <w:r>
        <w:t xml:space="preserve"> must meet prior to making an intervention order relates to consultation. There are three consultation requirements that may be applicable to the making of an intervention order. </w:t>
      </w:r>
    </w:p>
    <w:p w14:paraId="54FBCA47" w14:textId="607744C3" w:rsidR="001E17D3" w:rsidRDefault="001E17D3" w:rsidP="005C65B4">
      <w:pPr>
        <w:pStyle w:val="base-text-paragraph"/>
      </w:pPr>
      <w:r>
        <w:t>The first requirement is for ASIC</w:t>
      </w:r>
      <w:r w:rsidR="005D4DD5">
        <w:t xml:space="preserve"> </w:t>
      </w:r>
      <w:r>
        <w:t>to consult with people or entities that are likely to be affected by the order. Th</w:t>
      </w:r>
      <w:r w:rsidR="00504FC9">
        <w:t>is</w:t>
      </w:r>
      <w:r>
        <w:t xml:space="preserve"> consultation </w:t>
      </w:r>
      <w:r w:rsidR="00504FC9">
        <w:t>requirement</w:t>
      </w:r>
      <w:r>
        <w:t xml:space="preserve"> is intended to assist with the operation of the new regime. In particular, it would assist ASIC in framing an appropriate intervention (if any). It may also provide an opportunity for affected parties to</w:t>
      </w:r>
      <w:r w:rsidR="005D4DD5">
        <w:t xml:space="preserve"> </w:t>
      </w:r>
      <w:r>
        <w:t xml:space="preserve">work with ASIC to resolve ASIC’s concerns, potentially without the need for the intervention order. </w:t>
      </w:r>
      <w:r w:rsidRPr="000C6D36">
        <w:rPr>
          <w:rStyle w:val="Referencingstyle"/>
        </w:rPr>
        <w:t xml:space="preserve">[Schedule </w:t>
      </w:r>
      <w:r>
        <w:rPr>
          <w:rStyle w:val="Referencingstyle"/>
        </w:rPr>
        <w:t xml:space="preserve">2, </w:t>
      </w:r>
      <w:r w:rsidR="00706D51" w:rsidRPr="000C6D36">
        <w:rPr>
          <w:rStyle w:val="Referencingstyle"/>
        </w:rPr>
        <w:t>item</w:t>
      </w:r>
      <w:r w:rsidR="00706D51">
        <w:rPr>
          <w:rStyle w:val="Referencingstyle"/>
        </w:rPr>
        <w:t>s</w:t>
      </w:r>
      <w:r w:rsidRPr="000C6D36">
        <w:rPr>
          <w:rStyle w:val="Referencingstyle"/>
        </w:rPr>
        <w:t xml:space="preserve"> </w:t>
      </w:r>
      <w:r w:rsidR="005806D2">
        <w:rPr>
          <w:rStyle w:val="Referencingstyle"/>
        </w:rPr>
        <w:t>7</w:t>
      </w:r>
      <w:r w:rsidR="00706D51">
        <w:rPr>
          <w:rStyle w:val="Referencingstyle"/>
        </w:rPr>
        <w:t xml:space="preserve"> and </w:t>
      </w:r>
      <w:r w:rsidR="005806D2">
        <w:rPr>
          <w:rStyle w:val="Referencingstyle"/>
        </w:rPr>
        <w:t>13</w:t>
      </w:r>
      <w:r w:rsidRPr="000C6D36">
        <w:rPr>
          <w:rStyle w:val="Referencingstyle"/>
        </w:rPr>
        <w:t xml:space="preserve">, </w:t>
      </w:r>
      <w:r w:rsidR="005806D2">
        <w:rPr>
          <w:rStyle w:val="Referencingstyle"/>
        </w:rPr>
        <w:t xml:space="preserve">subsection </w:t>
      </w:r>
      <w:r>
        <w:rPr>
          <w:rStyle w:val="Referencingstyle"/>
        </w:rPr>
        <w:t>102</w:t>
      </w:r>
      <w:r w:rsidR="005806D2">
        <w:rPr>
          <w:rStyle w:val="Referencingstyle"/>
        </w:rPr>
        <w:t>3F</w:t>
      </w:r>
      <w:r w:rsidRPr="000C6D36">
        <w:rPr>
          <w:rStyle w:val="Referencingstyle"/>
        </w:rPr>
        <w:t>(1)</w:t>
      </w:r>
      <w:r>
        <w:rPr>
          <w:rStyle w:val="Referencingstyle"/>
        </w:rPr>
        <w:t xml:space="preserve"> </w:t>
      </w:r>
      <w:r w:rsidRPr="008A7729">
        <w:rPr>
          <w:rStyle w:val="Referencingstyle"/>
        </w:rPr>
        <w:t>of the Corporations Act</w:t>
      </w:r>
      <w:r>
        <w:rPr>
          <w:rStyle w:val="Referencingstyle"/>
        </w:rPr>
        <w:t xml:space="preserve"> </w:t>
      </w:r>
      <w:r w:rsidRPr="00434B64">
        <w:rPr>
          <w:rStyle w:val="Referencingstyle"/>
        </w:rPr>
        <w:t xml:space="preserve">and </w:t>
      </w:r>
      <w:r w:rsidR="005806D2" w:rsidRPr="00434B64">
        <w:rPr>
          <w:rStyle w:val="Referencingstyle"/>
        </w:rPr>
        <w:t>sub</w:t>
      </w:r>
      <w:r w:rsidR="005806D2">
        <w:rPr>
          <w:rStyle w:val="Referencingstyle"/>
        </w:rPr>
        <w:t>section</w:t>
      </w:r>
      <w:r w:rsidR="005806D2" w:rsidRPr="00434B64">
        <w:rPr>
          <w:rStyle w:val="Referencingstyle"/>
        </w:rPr>
        <w:t xml:space="preserve"> </w:t>
      </w:r>
      <w:r w:rsidRPr="00434B64">
        <w:rPr>
          <w:rStyle w:val="Referencingstyle"/>
        </w:rPr>
        <w:t>301</w:t>
      </w:r>
      <w:r w:rsidR="005806D2">
        <w:rPr>
          <w:rStyle w:val="Referencingstyle"/>
        </w:rPr>
        <w:t>F</w:t>
      </w:r>
      <w:r w:rsidRPr="00434B64">
        <w:rPr>
          <w:rStyle w:val="Referencingstyle"/>
        </w:rPr>
        <w:t xml:space="preserve">(1) of the Credit </w:t>
      </w:r>
      <w:r w:rsidRPr="00706D51">
        <w:rPr>
          <w:rStyle w:val="Referencingstyle"/>
        </w:rPr>
        <w:t>Act]</w:t>
      </w:r>
    </w:p>
    <w:p w14:paraId="5A8BE912" w14:textId="07CBC742" w:rsidR="001E17D3" w:rsidRDefault="001E17D3" w:rsidP="005C65B4">
      <w:pPr>
        <w:pStyle w:val="base-text-paragraph"/>
      </w:pPr>
      <w:r>
        <w:t>The requirement is for ASIC to consult with</w:t>
      </w:r>
      <w:r w:rsidR="009218B6">
        <w:t xml:space="preserve"> persons likely to be affected by the proposed order</w:t>
      </w:r>
      <w:r>
        <w:t>. If ASIC undertakes a targeted consultation process it must identify these parties and invite them to participate in the consultation process. However, ASIC is taken to have complied with the requirement to consult affected parties if it undertakes a public consultation process. Such a process requires ASIC: to make a proposed order, or a description of such an order</w:t>
      </w:r>
      <w:r w:rsidR="00194F40">
        <w:t>,</w:t>
      </w:r>
      <w:r>
        <w:t xml:space="preserve"> available on its website; and, to </w:t>
      </w:r>
      <w:r w:rsidR="00C3740F">
        <w:t>invite</w:t>
      </w:r>
      <w:r>
        <w:t xml:space="preserve"> public comment on the proposed order. </w:t>
      </w:r>
      <w:r w:rsidR="00522B51" w:rsidRPr="000C6D36">
        <w:rPr>
          <w:rStyle w:val="Referencingstyle"/>
        </w:rPr>
        <w:t xml:space="preserve">[Schedule </w:t>
      </w:r>
      <w:r w:rsidR="00522B51">
        <w:rPr>
          <w:rStyle w:val="Referencingstyle"/>
        </w:rPr>
        <w:t xml:space="preserve">2, </w:t>
      </w:r>
      <w:r w:rsidR="00522B51" w:rsidRPr="000C6D36">
        <w:rPr>
          <w:rStyle w:val="Referencingstyle"/>
        </w:rPr>
        <w:t>item</w:t>
      </w:r>
      <w:r w:rsidR="00522B51">
        <w:rPr>
          <w:rStyle w:val="Referencingstyle"/>
        </w:rPr>
        <w:t>s</w:t>
      </w:r>
      <w:r w:rsidR="00522B51" w:rsidRPr="000C6D36">
        <w:rPr>
          <w:rStyle w:val="Referencingstyle"/>
        </w:rPr>
        <w:t xml:space="preserve"> </w:t>
      </w:r>
      <w:r w:rsidR="00522B51">
        <w:rPr>
          <w:rStyle w:val="Referencingstyle"/>
        </w:rPr>
        <w:t>7 and 13</w:t>
      </w:r>
      <w:r w:rsidR="00522B51" w:rsidRPr="000C6D36">
        <w:rPr>
          <w:rStyle w:val="Referencingstyle"/>
        </w:rPr>
        <w:t xml:space="preserve">, </w:t>
      </w:r>
      <w:r w:rsidR="00522B51">
        <w:rPr>
          <w:rStyle w:val="Referencingstyle"/>
        </w:rPr>
        <w:t>subsection 1023F(2</w:t>
      </w:r>
      <w:r w:rsidR="00522B51" w:rsidRPr="000C6D36">
        <w:rPr>
          <w:rStyle w:val="Referencingstyle"/>
        </w:rPr>
        <w:t>)</w:t>
      </w:r>
      <w:r w:rsidR="00522B51">
        <w:rPr>
          <w:rStyle w:val="Referencingstyle"/>
        </w:rPr>
        <w:t xml:space="preserve"> </w:t>
      </w:r>
      <w:r w:rsidR="00522B51" w:rsidRPr="008A7729">
        <w:rPr>
          <w:rStyle w:val="Referencingstyle"/>
        </w:rPr>
        <w:t>of the Corporations Act</w:t>
      </w:r>
      <w:r w:rsidR="00522B51">
        <w:rPr>
          <w:rStyle w:val="Referencingstyle"/>
        </w:rPr>
        <w:t xml:space="preserve"> </w:t>
      </w:r>
      <w:r w:rsidR="00522B51" w:rsidRPr="00434B64">
        <w:rPr>
          <w:rStyle w:val="Referencingstyle"/>
        </w:rPr>
        <w:t>and sub</w:t>
      </w:r>
      <w:r w:rsidR="00522B51">
        <w:rPr>
          <w:rStyle w:val="Referencingstyle"/>
        </w:rPr>
        <w:t>section</w:t>
      </w:r>
      <w:r w:rsidR="00522B51" w:rsidRPr="00434B64">
        <w:rPr>
          <w:rStyle w:val="Referencingstyle"/>
        </w:rPr>
        <w:t xml:space="preserve"> 301</w:t>
      </w:r>
      <w:r w:rsidR="00522B51">
        <w:rPr>
          <w:rStyle w:val="Referencingstyle"/>
        </w:rPr>
        <w:t>F(2</w:t>
      </w:r>
      <w:r w:rsidR="00522B51" w:rsidRPr="00434B64">
        <w:rPr>
          <w:rStyle w:val="Referencingstyle"/>
        </w:rPr>
        <w:t xml:space="preserve">) of the Credit </w:t>
      </w:r>
      <w:r w:rsidR="00522B51" w:rsidRPr="00706D51">
        <w:rPr>
          <w:rStyle w:val="Referencingstyle"/>
        </w:rPr>
        <w:t>Act]</w:t>
      </w:r>
    </w:p>
    <w:p w14:paraId="44794B3A" w14:textId="7B3DADCA" w:rsidR="001E17D3" w:rsidRDefault="001E17D3" w:rsidP="005C65B4">
      <w:pPr>
        <w:pStyle w:val="base-text-paragraph"/>
      </w:pPr>
      <w:r>
        <w:t xml:space="preserve">The second consultation requirement is for ASIC to consult with APRA prior to making an intervention order in which APRA may have an interest. In particular, ASIC must consult with APRA on a proposed product intervention order that would apply to a body regulated by APRA. </w:t>
      </w:r>
      <w:r w:rsidR="00D3396A" w:rsidRPr="000C6D36">
        <w:rPr>
          <w:rStyle w:val="Referencingstyle"/>
        </w:rPr>
        <w:t xml:space="preserve">[Schedule </w:t>
      </w:r>
      <w:r w:rsidR="00D3396A">
        <w:rPr>
          <w:rStyle w:val="Referencingstyle"/>
        </w:rPr>
        <w:t xml:space="preserve">2, </w:t>
      </w:r>
      <w:r w:rsidR="00D3396A" w:rsidRPr="000C6D36">
        <w:rPr>
          <w:rStyle w:val="Referencingstyle"/>
        </w:rPr>
        <w:t>item</w:t>
      </w:r>
      <w:r w:rsidR="00D3396A">
        <w:rPr>
          <w:rStyle w:val="Referencingstyle"/>
        </w:rPr>
        <w:t>s</w:t>
      </w:r>
      <w:r w:rsidR="00D3396A" w:rsidRPr="000C6D36">
        <w:rPr>
          <w:rStyle w:val="Referencingstyle"/>
        </w:rPr>
        <w:t xml:space="preserve"> </w:t>
      </w:r>
      <w:r w:rsidR="00D3396A">
        <w:rPr>
          <w:rStyle w:val="Referencingstyle"/>
        </w:rPr>
        <w:t>7 and 13</w:t>
      </w:r>
      <w:r w:rsidR="00D3396A" w:rsidRPr="000C6D36">
        <w:rPr>
          <w:rStyle w:val="Referencingstyle"/>
        </w:rPr>
        <w:t xml:space="preserve">, </w:t>
      </w:r>
      <w:r w:rsidR="00D3396A">
        <w:rPr>
          <w:rStyle w:val="Referencingstyle"/>
        </w:rPr>
        <w:t>paragraph 1023F(1</w:t>
      </w:r>
      <w:r w:rsidR="00D3396A" w:rsidRPr="000C6D36">
        <w:rPr>
          <w:rStyle w:val="Referencingstyle"/>
        </w:rPr>
        <w:t>)</w:t>
      </w:r>
      <w:r w:rsidR="00D3396A">
        <w:rPr>
          <w:rStyle w:val="Referencingstyle"/>
        </w:rPr>
        <w:t xml:space="preserve">(b) </w:t>
      </w:r>
      <w:r w:rsidR="00D3396A" w:rsidRPr="008A7729">
        <w:rPr>
          <w:rStyle w:val="Referencingstyle"/>
        </w:rPr>
        <w:t>of the Corporations Act</w:t>
      </w:r>
      <w:r w:rsidR="00D3396A">
        <w:rPr>
          <w:rStyle w:val="Referencingstyle"/>
        </w:rPr>
        <w:t xml:space="preserve"> </w:t>
      </w:r>
      <w:r w:rsidR="00D3396A" w:rsidRPr="00434B64">
        <w:rPr>
          <w:rStyle w:val="Referencingstyle"/>
        </w:rPr>
        <w:t xml:space="preserve">and </w:t>
      </w:r>
      <w:r w:rsidR="00D3396A">
        <w:rPr>
          <w:rStyle w:val="Referencingstyle"/>
        </w:rPr>
        <w:t>paragraph</w:t>
      </w:r>
      <w:r w:rsidR="00D3396A" w:rsidRPr="00434B64">
        <w:rPr>
          <w:rStyle w:val="Referencingstyle"/>
        </w:rPr>
        <w:t xml:space="preserve"> 301</w:t>
      </w:r>
      <w:r w:rsidR="00D3396A">
        <w:rPr>
          <w:rStyle w:val="Referencingstyle"/>
        </w:rPr>
        <w:t>F(1</w:t>
      </w:r>
      <w:r w:rsidR="00D3396A" w:rsidRPr="00434B64">
        <w:rPr>
          <w:rStyle w:val="Referencingstyle"/>
        </w:rPr>
        <w:t>)</w:t>
      </w:r>
      <w:r w:rsidR="00D3396A">
        <w:rPr>
          <w:rStyle w:val="Referencingstyle"/>
        </w:rPr>
        <w:t>(b)</w:t>
      </w:r>
      <w:r w:rsidR="00D3396A" w:rsidRPr="00434B64">
        <w:rPr>
          <w:rStyle w:val="Referencingstyle"/>
        </w:rPr>
        <w:t xml:space="preserve"> of the Credit </w:t>
      </w:r>
      <w:r w:rsidR="00D3396A" w:rsidRPr="00706D51">
        <w:rPr>
          <w:rStyle w:val="Referencingstyle"/>
        </w:rPr>
        <w:t>Act]</w:t>
      </w:r>
    </w:p>
    <w:p w14:paraId="7C47DB4A" w14:textId="2E989C87" w:rsidR="001E17D3" w:rsidRPr="00DF5356" w:rsidRDefault="001E17D3" w:rsidP="005C65B4">
      <w:pPr>
        <w:pStyle w:val="base-text-paragraph"/>
        <w:rPr>
          <w:rStyle w:val="Referencingstyle"/>
          <w:b w:val="0"/>
          <w:i w:val="0"/>
          <w:sz w:val="22"/>
        </w:rPr>
      </w:pPr>
      <w:r>
        <w:t xml:space="preserve">Finally, ASIC must also comply with any further consultation requirements prescribed </w:t>
      </w:r>
      <w:r w:rsidR="00194F40">
        <w:t>by the</w:t>
      </w:r>
      <w:r>
        <w:t xml:space="preserve"> regulations. </w:t>
      </w:r>
      <w:r w:rsidR="002E0ED6" w:rsidRPr="000C6D36">
        <w:rPr>
          <w:rStyle w:val="Referencingstyle"/>
        </w:rPr>
        <w:t xml:space="preserve">[Schedule </w:t>
      </w:r>
      <w:r w:rsidR="002E0ED6">
        <w:rPr>
          <w:rStyle w:val="Referencingstyle"/>
        </w:rPr>
        <w:t xml:space="preserve">2, </w:t>
      </w:r>
      <w:r w:rsidR="002E0ED6" w:rsidRPr="000C6D36">
        <w:rPr>
          <w:rStyle w:val="Referencingstyle"/>
        </w:rPr>
        <w:t>item</w:t>
      </w:r>
      <w:r w:rsidR="002E0ED6">
        <w:rPr>
          <w:rStyle w:val="Referencingstyle"/>
        </w:rPr>
        <w:t>s</w:t>
      </w:r>
      <w:r w:rsidR="002E0ED6" w:rsidRPr="000C6D36">
        <w:rPr>
          <w:rStyle w:val="Referencingstyle"/>
        </w:rPr>
        <w:t xml:space="preserve"> </w:t>
      </w:r>
      <w:r w:rsidR="002E0ED6">
        <w:rPr>
          <w:rStyle w:val="Referencingstyle"/>
        </w:rPr>
        <w:t>7 and 13</w:t>
      </w:r>
      <w:r w:rsidR="002E0ED6" w:rsidRPr="000C6D36">
        <w:rPr>
          <w:rStyle w:val="Referencingstyle"/>
        </w:rPr>
        <w:t xml:space="preserve">, </w:t>
      </w:r>
      <w:r w:rsidR="002E0ED6">
        <w:rPr>
          <w:rStyle w:val="Referencingstyle"/>
        </w:rPr>
        <w:t>paragraph 1023F(1</w:t>
      </w:r>
      <w:r w:rsidR="002E0ED6" w:rsidRPr="000C6D36">
        <w:rPr>
          <w:rStyle w:val="Referencingstyle"/>
        </w:rPr>
        <w:t>)</w:t>
      </w:r>
      <w:r w:rsidR="002E0ED6">
        <w:rPr>
          <w:rStyle w:val="Referencingstyle"/>
        </w:rPr>
        <w:t xml:space="preserve">(c) </w:t>
      </w:r>
      <w:r w:rsidR="002E0ED6" w:rsidRPr="008A7729">
        <w:rPr>
          <w:rStyle w:val="Referencingstyle"/>
        </w:rPr>
        <w:t>of the Corporations Act</w:t>
      </w:r>
      <w:r w:rsidR="002E0ED6">
        <w:rPr>
          <w:rStyle w:val="Referencingstyle"/>
        </w:rPr>
        <w:t xml:space="preserve"> </w:t>
      </w:r>
      <w:r w:rsidR="002E0ED6" w:rsidRPr="00434B64">
        <w:rPr>
          <w:rStyle w:val="Referencingstyle"/>
        </w:rPr>
        <w:t xml:space="preserve">and </w:t>
      </w:r>
      <w:r w:rsidR="002E0ED6">
        <w:rPr>
          <w:rStyle w:val="Referencingstyle"/>
        </w:rPr>
        <w:t>paragraph</w:t>
      </w:r>
      <w:r w:rsidR="002E0ED6" w:rsidRPr="00434B64">
        <w:rPr>
          <w:rStyle w:val="Referencingstyle"/>
        </w:rPr>
        <w:t xml:space="preserve"> 301</w:t>
      </w:r>
      <w:r w:rsidR="002E0ED6">
        <w:rPr>
          <w:rStyle w:val="Referencingstyle"/>
        </w:rPr>
        <w:t>F(1</w:t>
      </w:r>
      <w:r w:rsidR="002E0ED6" w:rsidRPr="00434B64">
        <w:rPr>
          <w:rStyle w:val="Referencingstyle"/>
        </w:rPr>
        <w:t>)</w:t>
      </w:r>
      <w:r w:rsidR="002E0ED6">
        <w:rPr>
          <w:rStyle w:val="Referencingstyle"/>
        </w:rPr>
        <w:t>(c)</w:t>
      </w:r>
      <w:r w:rsidR="002E0ED6" w:rsidRPr="00434B64">
        <w:rPr>
          <w:rStyle w:val="Referencingstyle"/>
        </w:rPr>
        <w:t xml:space="preserve"> of the Credit </w:t>
      </w:r>
      <w:r w:rsidR="002E0ED6" w:rsidRPr="00706D51">
        <w:rPr>
          <w:rStyle w:val="Referencingstyle"/>
        </w:rPr>
        <w:t>Act]</w:t>
      </w:r>
    </w:p>
    <w:p w14:paraId="6BB4A34F" w14:textId="7909FA45" w:rsidR="001E17D3" w:rsidRPr="00385928" w:rsidRDefault="001E17D3" w:rsidP="005C65B4">
      <w:pPr>
        <w:pStyle w:val="base-text-paragraph"/>
        <w:rPr>
          <w:rStyle w:val="Referencingstyle"/>
          <w:b w:val="0"/>
          <w:i w:val="0"/>
          <w:sz w:val="22"/>
        </w:rPr>
      </w:pPr>
      <w:r>
        <w:t xml:space="preserve">This consultation process is intended to be mandatory. However, a failure to comply with the requirements does not invalidate an intervention order. This ensures that an otherwise valid intervention order is effective despite any defect in the relevant consultation process. However, ASIC must include in its annual report details of any instances where it has failed to meet the requirements. </w:t>
      </w:r>
      <w:r w:rsidR="0057679F" w:rsidRPr="000C6D36">
        <w:rPr>
          <w:rStyle w:val="Referencingstyle"/>
        </w:rPr>
        <w:t xml:space="preserve">[Schedule </w:t>
      </w:r>
      <w:r w:rsidR="0057679F">
        <w:rPr>
          <w:rStyle w:val="Referencingstyle"/>
        </w:rPr>
        <w:t xml:space="preserve">2, </w:t>
      </w:r>
      <w:r w:rsidR="0057679F" w:rsidRPr="000C6D36">
        <w:rPr>
          <w:rStyle w:val="Referencingstyle"/>
        </w:rPr>
        <w:t>item</w:t>
      </w:r>
      <w:r w:rsidR="0057679F">
        <w:rPr>
          <w:rStyle w:val="Referencingstyle"/>
        </w:rPr>
        <w:t>s</w:t>
      </w:r>
      <w:r w:rsidR="0057679F" w:rsidRPr="000C6D36">
        <w:rPr>
          <w:rStyle w:val="Referencingstyle"/>
        </w:rPr>
        <w:t xml:space="preserve"> </w:t>
      </w:r>
      <w:r w:rsidR="0057679F">
        <w:rPr>
          <w:rStyle w:val="Referencingstyle"/>
        </w:rPr>
        <w:t>7 and 13</w:t>
      </w:r>
      <w:r w:rsidR="0057679F" w:rsidRPr="000C6D36">
        <w:rPr>
          <w:rStyle w:val="Referencingstyle"/>
        </w:rPr>
        <w:t xml:space="preserve">, </w:t>
      </w:r>
      <w:r w:rsidR="0057679F">
        <w:rPr>
          <w:rStyle w:val="Referencingstyle"/>
        </w:rPr>
        <w:t xml:space="preserve">subsection 1023F(3) </w:t>
      </w:r>
      <w:r w:rsidR="0057679F" w:rsidRPr="008A7729">
        <w:rPr>
          <w:rStyle w:val="Referencingstyle"/>
        </w:rPr>
        <w:t>of the Corporations Act</w:t>
      </w:r>
      <w:r w:rsidR="0057679F">
        <w:rPr>
          <w:rStyle w:val="Referencingstyle"/>
        </w:rPr>
        <w:t xml:space="preserve"> </w:t>
      </w:r>
      <w:r w:rsidR="0057679F" w:rsidRPr="00434B64">
        <w:rPr>
          <w:rStyle w:val="Referencingstyle"/>
        </w:rPr>
        <w:t xml:space="preserve">and </w:t>
      </w:r>
      <w:r w:rsidR="0057679F">
        <w:rPr>
          <w:rStyle w:val="Referencingstyle"/>
        </w:rPr>
        <w:t>subsection</w:t>
      </w:r>
      <w:r w:rsidR="0057679F" w:rsidRPr="00434B64">
        <w:rPr>
          <w:rStyle w:val="Referencingstyle"/>
        </w:rPr>
        <w:t xml:space="preserve"> 301</w:t>
      </w:r>
      <w:r w:rsidR="0057679F">
        <w:rPr>
          <w:rStyle w:val="Referencingstyle"/>
        </w:rPr>
        <w:t>F(3)</w:t>
      </w:r>
      <w:r w:rsidR="0057679F" w:rsidRPr="00434B64">
        <w:rPr>
          <w:rStyle w:val="Referencingstyle"/>
        </w:rPr>
        <w:t xml:space="preserve"> of the Credit </w:t>
      </w:r>
      <w:r w:rsidR="0057679F" w:rsidRPr="00706D51">
        <w:rPr>
          <w:rStyle w:val="Referencingstyle"/>
        </w:rPr>
        <w:t>Act]</w:t>
      </w:r>
    </w:p>
    <w:p w14:paraId="344321C5" w14:textId="64C3657B" w:rsidR="00E54333" w:rsidRDefault="00E54333" w:rsidP="005C65B4">
      <w:pPr>
        <w:pStyle w:val="base-text-paragraph"/>
      </w:pPr>
      <w:r>
        <w:t xml:space="preserve">The law clarifies that section 17 of the </w:t>
      </w:r>
      <w:r>
        <w:rPr>
          <w:i/>
        </w:rPr>
        <w:t>Legislation Act 2003</w:t>
      </w:r>
      <w:r>
        <w:t xml:space="preserve"> does not apply to the making of an intervention order. Section 17 sets out the general consultation requirements for legislative instruments. </w:t>
      </w:r>
      <w:r w:rsidR="00526400">
        <w:t>That provision would apply</w:t>
      </w:r>
      <w:r w:rsidR="00E542F7">
        <w:t xml:space="preserve"> to all legislation instruments made under the new regime except for the making of an intervention order. The exception of section 17 in the case of making an order reflects specific needs for consultation when making an intervention order, for example, to consult with APRA where relevant.</w:t>
      </w:r>
      <w:r>
        <w:t xml:space="preserve"> </w:t>
      </w:r>
      <w:r w:rsidRPr="000C6D36">
        <w:rPr>
          <w:rStyle w:val="Referencingstyle"/>
        </w:rPr>
        <w:t xml:space="preserve">[Schedule </w:t>
      </w:r>
      <w:r>
        <w:rPr>
          <w:rStyle w:val="Referencingstyle"/>
        </w:rPr>
        <w:t xml:space="preserve">2, </w:t>
      </w:r>
      <w:r w:rsidRPr="000C6D36">
        <w:rPr>
          <w:rStyle w:val="Referencingstyle"/>
        </w:rPr>
        <w:t>item</w:t>
      </w:r>
      <w:r>
        <w:rPr>
          <w:rStyle w:val="Referencingstyle"/>
        </w:rPr>
        <w:t>s</w:t>
      </w:r>
      <w:r w:rsidRPr="000C6D36">
        <w:rPr>
          <w:rStyle w:val="Referencingstyle"/>
        </w:rPr>
        <w:t xml:space="preserve"> </w:t>
      </w:r>
      <w:r>
        <w:rPr>
          <w:rStyle w:val="Referencingstyle"/>
        </w:rPr>
        <w:t>7 and 13</w:t>
      </w:r>
      <w:r w:rsidRPr="000C6D36">
        <w:rPr>
          <w:rStyle w:val="Referencingstyle"/>
        </w:rPr>
        <w:t xml:space="preserve">, </w:t>
      </w:r>
      <w:r>
        <w:rPr>
          <w:rStyle w:val="Referencingstyle"/>
        </w:rPr>
        <w:t>subsection 1023F(4</w:t>
      </w:r>
      <w:r w:rsidRPr="000C6D36">
        <w:rPr>
          <w:rStyle w:val="Referencingstyle"/>
        </w:rPr>
        <w:t>)</w:t>
      </w:r>
      <w:r>
        <w:rPr>
          <w:rStyle w:val="Referencingstyle"/>
        </w:rPr>
        <w:t xml:space="preserve"> </w:t>
      </w:r>
      <w:r w:rsidRPr="008A7729">
        <w:rPr>
          <w:rStyle w:val="Referencingstyle"/>
        </w:rPr>
        <w:t>of the Corporations Act</w:t>
      </w:r>
      <w:r>
        <w:rPr>
          <w:rStyle w:val="Referencingstyle"/>
        </w:rPr>
        <w:t xml:space="preserve"> </w:t>
      </w:r>
      <w:r w:rsidRPr="00434B64">
        <w:rPr>
          <w:rStyle w:val="Referencingstyle"/>
        </w:rPr>
        <w:t xml:space="preserve">and </w:t>
      </w:r>
      <w:r>
        <w:rPr>
          <w:rStyle w:val="Referencingstyle"/>
        </w:rPr>
        <w:t>subsection</w:t>
      </w:r>
      <w:r w:rsidRPr="00434B64">
        <w:rPr>
          <w:rStyle w:val="Referencingstyle"/>
        </w:rPr>
        <w:t xml:space="preserve"> 301</w:t>
      </w:r>
      <w:r>
        <w:rPr>
          <w:rStyle w:val="Referencingstyle"/>
        </w:rPr>
        <w:t>F(4)</w:t>
      </w:r>
      <w:r w:rsidRPr="00434B64">
        <w:rPr>
          <w:rStyle w:val="Referencingstyle"/>
        </w:rPr>
        <w:t xml:space="preserve"> of the Credit </w:t>
      </w:r>
      <w:r w:rsidRPr="00706D51">
        <w:rPr>
          <w:rStyle w:val="Referencingstyle"/>
        </w:rPr>
        <w:t>Act]</w:t>
      </w:r>
    </w:p>
    <w:p w14:paraId="0BEA1074" w14:textId="77777777" w:rsidR="001E17D3" w:rsidRDefault="001E17D3" w:rsidP="001E17D3">
      <w:pPr>
        <w:pStyle w:val="Heading5"/>
      </w:pPr>
      <w:r>
        <w:t>Public notice of intervention orders</w:t>
      </w:r>
    </w:p>
    <w:p w14:paraId="2D85E445" w14:textId="1D70FAC6" w:rsidR="001E17D3" w:rsidRDefault="001E17D3" w:rsidP="005C65B4">
      <w:pPr>
        <w:pStyle w:val="base-text-paragraph"/>
      </w:pPr>
      <w:r>
        <w:t>The second procedural requirement that</w:t>
      </w:r>
      <w:r w:rsidR="00381CB7">
        <w:t xml:space="preserve"> ASIC</w:t>
      </w:r>
      <w:r>
        <w:t xml:space="preserve"> must meet prior to making an intervention</w:t>
      </w:r>
      <w:r w:rsidR="005156BF">
        <w:t xml:space="preserve"> involves notification. Orders must</w:t>
      </w:r>
      <w:r w:rsidR="00E7452A">
        <w:t xml:space="preserve"> be published and</w:t>
      </w:r>
      <w:r>
        <w:t xml:space="preserve"> a public notice issued in relation to the intervention. The</w:t>
      </w:r>
      <w:r w:rsidR="005156BF">
        <w:t xml:space="preserve"> order and</w:t>
      </w:r>
      <w:r>
        <w:t xml:space="preserve"> notice must be published on ASIC’s website</w:t>
      </w:r>
      <w:r w:rsidR="005156BF">
        <w:t>,</w:t>
      </w:r>
      <w:r>
        <w:t xml:space="preserve"> and</w:t>
      </w:r>
      <w:r w:rsidR="005156BF">
        <w:t xml:space="preserve"> the notice must</w:t>
      </w:r>
      <w:r>
        <w:t xml:space="preserve"> contain certain information. In particular, the notice must:</w:t>
      </w:r>
    </w:p>
    <w:p w14:paraId="146A09E6" w14:textId="4CA13584" w:rsidR="001E17D3" w:rsidRDefault="001E17D3" w:rsidP="001E17D3">
      <w:pPr>
        <w:pStyle w:val="dotpoint"/>
      </w:pPr>
      <w:r>
        <w:t>describe the significant detriment to consumers in relation to which the intervention is made;</w:t>
      </w:r>
    </w:p>
    <w:p w14:paraId="0578320D" w14:textId="03702AEA" w:rsidR="001E17D3" w:rsidRDefault="00A74098" w:rsidP="001E17D3">
      <w:pPr>
        <w:pStyle w:val="dotpoint"/>
      </w:pPr>
      <w:r>
        <w:t>i</w:t>
      </w:r>
      <w:r w:rsidR="005156BF">
        <w:t xml:space="preserve">f the order takes effect later than the day it is published, </w:t>
      </w:r>
      <w:r w:rsidR="00381CB7">
        <w:t>s</w:t>
      </w:r>
      <w:r w:rsidR="00930C67">
        <w:t>pecif</w:t>
      </w:r>
      <w:r w:rsidR="00381CB7">
        <w:t>y</w:t>
      </w:r>
      <w:r w:rsidR="001E17D3">
        <w:t xml:space="preserve"> the date the order is to take effect;</w:t>
      </w:r>
    </w:p>
    <w:p w14:paraId="6F24DBF6" w14:textId="12515154" w:rsidR="001E17D3" w:rsidRDefault="001E17D3" w:rsidP="001E17D3">
      <w:pPr>
        <w:pStyle w:val="dotpoint"/>
      </w:pPr>
      <w:r>
        <w:t>describe the consultation ASIC ha</w:t>
      </w:r>
      <w:r w:rsidR="003B5628">
        <w:t>s</w:t>
      </w:r>
      <w:r>
        <w:t xml:space="preserve"> undertaken on the order; </w:t>
      </w:r>
    </w:p>
    <w:p w14:paraId="741751E4" w14:textId="595F7B1E" w:rsidR="001E17D3" w:rsidRDefault="001E17D3" w:rsidP="001E17D3">
      <w:pPr>
        <w:pStyle w:val="dotpoint"/>
      </w:pPr>
      <w:r>
        <w:t xml:space="preserve">set out why the order is an appropriate way of reducing the significant detriment. </w:t>
      </w:r>
      <w:r w:rsidRPr="000C6D36">
        <w:rPr>
          <w:rStyle w:val="Referencingstyle"/>
        </w:rPr>
        <w:t xml:space="preserve">[Schedule </w:t>
      </w:r>
      <w:r>
        <w:rPr>
          <w:rStyle w:val="Referencingstyle"/>
        </w:rPr>
        <w:t>2</w:t>
      </w:r>
      <w:r w:rsidRPr="000C6D36">
        <w:rPr>
          <w:rStyle w:val="Referencingstyle"/>
        </w:rPr>
        <w:t>, item</w:t>
      </w:r>
      <w:r>
        <w:rPr>
          <w:rStyle w:val="Referencingstyle"/>
        </w:rPr>
        <w:t>s</w:t>
      </w:r>
      <w:r w:rsidRPr="000C6D36">
        <w:rPr>
          <w:rStyle w:val="Referencingstyle"/>
        </w:rPr>
        <w:t xml:space="preserve"> </w:t>
      </w:r>
      <w:r w:rsidR="008A2200">
        <w:rPr>
          <w:rStyle w:val="Referencingstyle"/>
        </w:rPr>
        <w:t>7</w:t>
      </w:r>
      <w:r>
        <w:rPr>
          <w:rStyle w:val="Referencingstyle"/>
        </w:rPr>
        <w:t xml:space="preserve"> and </w:t>
      </w:r>
      <w:r w:rsidR="008A2200">
        <w:rPr>
          <w:rStyle w:val="Referencingstyle"/>
        </w:rPr>
        <w:t>13</w:t>
      </w:r>
      <w:r w:rsidRPr="000C6D36">
        <w:rPr>
          <w:rStyle w:val="Referencingstyle"/>
        </w:rPr>
        <w:t xml:space="preserve">, </w:t>
      </w:r>
      <w:r>
        <w:rPr>
          <w:rStyle w:val="Referencingstyle"/>
        </w:rPr>
        <w:t>subsection</w:t>
      </w:r>
      <w:r w:rsidR="008A2200">
        <w:rPr>
          <w:rStyle w:val="Referencingstyle"/>
        </w:rPr>
        <w:t>s</w:t>
      </w:r>
      <w:r>
        <w:rPr>
          <w:rStyle w:val="Referencingstyle"/>
        </w:rPr>
        <w:t xml:space="preserve"> </w:t>
      </w:r>
      <w:r w:rsidRPr="00FE66FF">
        <w:rPr>
          <w:rStyle w:val="Referencingstyle"/>
        </w:rPr>
        <w:t>102</w:t>
      </w:r>
      <w:r w:rsidR="008A2200">
        <w:rPr>
          <w:rStyle w:val="Referencingstyle"/>
        </w:rPr>
        <w:t>3L</w:t>
      </w:r>
      <w:r>
        <w:rPr>
          <w:rStyle w:val="Referencingstyle"/>
        </w:rPr>
        <w:t>(</w:t>
      </w:r>
      <w:r w:rsidR="008A2200">
        <w:rPr>
          <w:rStyle w:val="Referencingstyle"/>
        </w:rPr>
        <w:t>2</w:t>
      </w:r>
      <w:r>
        <w:rPr>
          <w:rStyle w:val="Referencingstyle"/>
        </w:rPr>
        <w:t>)</w:t>
      </w:r>
      <w:r w:rsidR="008A2200">
        <w:rPr>
          <w:rStyle w:val="Referencingstyle"/>
        </w:rPr>
        <w:t xml:space="preserve"> and </w:t>
      </w:r>
      <w:r w:rsidR="008A2200" w:rsidRPr="00FE66FF">
        <w:rPr>
          <w:rStyle w:val="Referencingstyle"/>
        </w:rPr>
        <w:t>102</w:t>
      </w:r>
      <w:r w:rsidR="008A2200">
        <w:rPr>
          <w:rStyle w:val="Referencingstyle"/>
        </w:rPr>
        <w:t xml:space="preserve">3L(3) </w:t>
      </w:r>
      <w:r w:rsidRPr="008A7729">
        <w:rPr>
          <w:rStyle w:val="Referencingstyle"/>
        </w:rPr>
        <w:t xml:space="preserve"> of the </w:t>
      </w:r>
      <w:r>
        <w:rPr>
          <w:rStyle w:val="Referencingstyle"/>
        </w:rPr>
        <w:t xml:space="preserve">Corporations Act </w:t>
      </w:r>
      <w:r w:rsidRPr="00AC78C7">
        <w:rPr>
          <w:rStyle w:val="Referencingstyle"/>
        </w:rPr>
        <w:t xml:space="preserve">and </w:t>
      </w:r>
      <w:r w:rsidR="00184710">
        <w:rPr>
          <w:rStyle w:val="Referencingstyle"/>
        </w:rPr>
        <w:t>sub</w:t>
      </w:r>
      <w:r w:rsidRPr="00AC78C7">
        <w:rPr>
          <w:rStyle w:val="Referencingstyle"/>
        </w:rPr>
        <w:t>section</w:t>
      </w:r>
      <w:r w:rsidR="008A2200">
        <w:rPr>
          <w:rStyle w:val="Referencingstyle"/>
        </w:rPr>
        <w:t>s</w:t>
      </w:r>
      <w:r w:rsidRPr="00AC78C7">
        <w:rPr>
          <w:rStyle w:val="Referencingstyle"/>
        </w:rPr>
        <w:t xml:space="preserve"> 301</w:t>
      </w:r>
      <w:r w:rsidR="008A2200">
        <w:rPr>
          <w:rStyle w:val="Referencingstyle"/>
        </w:rPr>
        <w:t>L</w:t>
      </w:r>
      <w:r w:rsidR="00184710">
        <w:rPr>
          <w:rStyle w:val="Referencingstyle"/>
        </w:rPr>
        <w:t>(</w:t>
      </w:r>
      <w:r w:rsidR="008A2200">
        <w:rPr>
          <w:rStyle w:val="Referencingstyle"/>
        </w:rPr>
        <w:t>2</w:t>
      </w:r>
      <w:r w:rsidR="00184710">
        <w:rPr>
          <w:rStyle w:val="Referencingstyle"/>
        </w:rPr>
        <w:t>)</w:t>
      </w:r>
      <w:r w:rsidR="008A2200">
        <w:rPr>
          <w:rStyle w:val="Referencingstyle"/>
        </w:rPr>
        <w:t xml:space="preserve"> and 301L(3)</w:t>
      </w:r>
      <w:r w:rsidRPr="00AC78C7">
        <w:rPr>
          <w:rStyle w:val="Referencingstyle"/>
        </w:rPr>
        <w:t xml:space="preserve"> of the Credit Act]</w:t>
      </w:r>
    </w:p>
    <w:p w14:paraId="3DAD9CD4" w14:textId="4D313FE8" w:rsidR="001E17D3" w:rsidRDefault="001E17D3" w:rsidP="005C65B4">
      <w:pPr>
        <w:pStyle w:val="base-text-paragraph"/>
      </w:pPr>
      <w:r>
        <w:t xml:space="preserve">ASIC must make a similar public notice if an intervention order is </w:t>
      </w:r>
      <w:r w:rsidR="00FA7693">
        <w:t>amended</w:t>
      </w:r>
      <w:r>
        <w:t xml:space="preserve">. Such a notice must detail the amendment, when the amendment takes effect, the consultation undertaken with respect to the amendment and why the amendment is appropriate. </w:t>
      </w:r>
      <w:r w:rsidR="008A2200" w:rsidRPr="000C6D36">
        <w:rPr>
          <w:rStyle w:val="Referencingstyle"/>
        </w:rPr>
        <w:t xml:space="preserve">[Schedule </w:t>
      </w:r>
      <w:r w:rsidR="008A2200">
        <w:rPr>
          <w:rStyle w:val="Referencingstyle"/>
        </w:rPr>
        <w:t>2</w:t>
      </w:r>
      <w:r w:rsidR="008A2200" w:rsidRPr="000C6D36">
        <w:rPr>
          <w:rStyle w:val="Referencingstyle"/>
        </w:rPr>
        <w:t>, item</w:t>
      </w:r>
      <w:r w:rsidR="008A2200">
        <w:rPr>
          <w:rStyle w:val="Referencingstyle"/>
        </w:rPr>
        <w:t>s</w:t>
      </w:r>
      <w:r w:rsidR="008A2200" w:rsidRPr="000C6D36">
        <w:rPr>
          <w:rStyle w:val="Referencingstyle"/>
        </w:rPr>
        <w:t xml:space="preserve"> </w:t>
      </w:r>
      <w:r w:rsidR="008A2200">
        <w:rPr>
          <w:rStyle w:val="Referencingstyle"/>
        </w:rPr>
        <w:t>7 and 13</w:t>
      </w:r>
      <w:r w:rsidR="008A2200" w:rsidRPr="000C6D36">
        <w:rPr>
          <w:rStyle w:val="Referencingstyle"/>
        </w:rPr>
        <w:t xml:space="preserve">, </w:t>
      </w:r>
      <w:r w:rsidR="008A2200">
        <w:rPr>
          <w:rStyle w:val="Referencingstyle"/>
        </w:rPr>
        <w:t xml:space="preserve">subsections </w:t>
      </w:r>
      <w:r w:rsidR="008A2200" w:rsidRPr="00FE66FF">
        <w:rPr>
          <w:rStyle w:val="Referencingstyle"/>
        </w:rPr>
        <w:t>102</w:t>
      </w:r>
      <w:r w:rsidR="008A2200">
        <w:rPr>
          <w:rStyle w:val="Referencingstyle"/>
        </w:rPr>
        <w:t xml:space="preserve">3L(5) and </w:t>
      </w:r>
      <w:r w:rsidR="008A2200" w:rsidRPr="00FE66FF">
        <w:rPr>
          <w:rStyle w:val="Referencingstyle"/>
        </w:rPr>
        <w:t>102</w:t>
      </w:r>
      <w:r w:rsidR="00393B8E">
        <w:rPr>
          <w:rStyle w:val="Referencingstyle"/>
        </w:rPr>
        <w:t>3L(6)</w:t>
      </w:r>
      <w:r w:rsidR="008A2200" w:rsidRPr="008A7729">
        <w:rPr>
          <w:rStyle w:val="Referencingstyle"/>
        </w:rPr>
        <w:t xml:space="preserve"> of the </w:t>
      </w:r>
      <w:r w:rsidR="008A2200">
        <w:rPr>
          <w:rStyle w:val="Referencingstyle"/>
        </w:rPr>
        <w:t xml:space="preserve">Corporations Act </w:t>
      </w:r>
      <w:r w:rsidR="008A2200" w:rsidRPr="00AC78C7">
        <w:rPr>
          <w:rStyle w:val="Referencingstyle"/>
        </w:rPr>
        <w:t xml:space="preserve">and </w:t>
      </w:r>
      <w:r w:rsidR="008A2200">
        <w:rPr>
          <w:rStyle w:val="Referencingstyle"/>
        </w:rPr>
        <w:t>sub</w:t>
      </w:r>
      <w:r w:rsidR="008A2200" w:rsidRPr="00AC78C7">
        <w:rPr>
          <w:rStyle w:val="Referencingstyle"/>
        </w:rPr>
        <w:t>section</w:t>
      </w:r>
      <w:r w:rsidR="008A2200">
        <w:rPr>
          <w:rStyle w:val="Referencingstyle"/>
        </w:rPr>
        <w:t>s</w:t>
      </w:r>
      <w:r w:rsidR="008A2200" w:rsidRPr="00AC78C7">
        <w:rPr>
          <w:rStyle w:val="Referencingstyle"/>
        </w:rPr>
        <w:t xml:space="preserve"> 301</w:t>
      </w:r>
      <w:r w:rsidR="008A2200">
        <w:rPr>
          <w:rStyle w:val="Referencingstyle"/>
        </w:rPr>
        <w:t>L(5) and 301L(6)</w:t>
      </w:r>
      <w:r w:rsidR="008A2200" w:rsidRPr="00AC78C7">
        <w:rPr>
          <w:rStyle w:val="Referencingstyle"/>
        </w:rPr>
        <w:t xml:space="preserve"> of the Credit Act]</w:t>
      </w:r>
    </w:p>
    <w:p w14:paraId="48663460" w14:textId="049CFFCC" w:rsidR="001E17D3" w:rsidRPr="004C5F42" w:rsidRDefault="001E17D3" w:rsidP="00755402">
      <w:pPr>
        <w:pStyle w:val="base-text-paragraph"/>
        <w:rPr>
          <w:rStyle w:val="Referencingstyle"/>
          <w:b w:val="0"/>
          <w:i w:val="0"/>
          <w:sz w:val="22"/>
        </w:rPr>
      </w:pPr>
      <w:r>
        <w:t xml:space="preserve">In the case of a revocation of an intervention order, ASIC need only publish the notice of the revocation on its website. </w:t>
      </w:r>
      <w:r w:rsidR="00C37B2E" w:rsidRPr="000C6D36">
        <w:rPr>
          <w:rStyle w:val="Referencingstyle"/>
        </w:rPr>
        <w:t xml:space="preserve">[Schedule </w:t>
      </w:r>
      <w:r w:rsidR="00C37B2E">
        <w:rPr>
          <w:rStyle w:val="Referencingstyle"/>
        </w:rPr>
        <w:t>2</w:t>
      </w:r>
      <w:r w:rsidR="00C37B2E" w:rsidRPr="000C6D36">
        <w:rPr>
          <w:rStyle w:val="Referencingstyle"/>
        </w:rPr>
        <w:t>, item</w:t>
      </w:r>
      <w:r w:rsidR="00C37B2E">
        <w:rPr>
          <w:rStyle w:val="Referencingstyle"/>
        </w:rPr>
        <w:t>s</w:t>
      </w:r>
      <w:r w:rsidR="00C37B2E" w:rsidRPr="000C6D36">
        <w:rPr>
          <w:rStyle w:val="Referencingstyle"/>
        </w:rPr>
        <w:t xml:space="preserve"> </w:t>
      </w:r>
      <w:r w:rsidR="00C37B2E">
        <w:rPr>
          <w:rStyle w:val="Referencingstyle"/>
        </w:rPr>
        <w:t>7 and 13</w:t>
      </w:r>
      <w:r w:rsidR="00C37B2E" w:rsidRPr="000C6D36">
        <w:rPr>
          <w:rStyle w:val="Referencingstyle"/>
        </w:rPr>
        <w:t xml:space="preserve">, </w:t>
      </w:r>
      <w:r w:rsidR="00C37B2E">
        <w:rPr>
          <w:rStyle w:val="Referencingstyle"/>
        </w:rPr>
        <w:t xml:space="preserve">subsection </w:t>
      </w:r>
      <w:r w:rsidR="00C37B2E" w:rsidRPr="00FE66FF">
        <w:rPr>
          <w:rStyle w:val="Referencingstyle"/>
        </w:rPr>
        <w:t>102</w:t>
      </w:r>
      <w:r w:rsidR="00C37B2E">
        <w:rPr>
          <w:rStyle w:val="Referencingstyle"/>
        </w:rPr>
        <w:t xml:space="preserve">3L(7) </w:t>
      </w:r>
      <w:r w:rsidR="00C37B2E" w:rsidRPr="008A7729">
        <w:rPr>
          <w:rStyle w:val="Referencingstyle"/>
        </w:rPr>
        <w:t xml:space="preserve">of the </w:t>
      </w:r>
      <w:r w:rsidR="00C37B2E">
        <w:rPr>
          <w:rStyle w:val="Referencingstyle"/>
        </w:rPr>
        <w:t xml:space="preserve">Corporations Act </w:t>
      </w:r>
      <w:r w:rsidR="00C37B2E" w:rsidRPr="00AC78C7">
        <w:rPr>
          <w:rStyle w:val="Referencingstyle"/>
        </w:rPr>
        <w:t xml:space="preserve">and </w:t>
      </w:r>
      <w:r w:rsidR="00C37B2E">
        <w:rPr>
          <w:rStyle w:val="Referencingstyle"/>
        </w:rPr>
        <w:t>sub</w:t>
      </w:r>
      <w:r w:rsidR="00C37B2E" w:rsidRPr="00AC78C7">
        <w:rPr>
          <w:rStyle w:val="Referencingstyle"/>
        </w:rPr>
        <w:t>section 301</w:t>
      </w:r>
      <w:r w:rsidR="00C37B2E">
        <w:rPr>
          <w:rStyle w:val="Referencingstyle"/>
        </w:rPr>
        <w:t xml:space="preserve">L(7) </w:t>
      </w:r>
      <w:r w:rsidR="00C37B2E" w:rsidRPr="00AC78C7">
        <w:rPr>
          <w:rStyle w:val="Referencingstyle"/>
        </w:rPr>
        <w:t>of the Credit Act]</w:t>
      </w:r>
    </w:p>
    <w:p w14:paraId="3F5E6682" w14:textId="3611E903" w:rsidR="00FA7693" w:rsidRDefault="00FA7693" w:rsidP="00755402">
      <w:pPr>
        <w:pStyle w:val="base-text-paragraph"/>
      </w:pPr>
      <w:r>
        <w:t>For intervention orders and amendments to orders that are not legislative instruments, ASIC must also serve a copy of the order or amendment on any person to whom ASIC considers the order applies.</w:t>
      </w:r>
      <w:r w:rsidR="00C401EB">
        <w:t xml:space="preserve"> </w:t>
      </w:r>
      <w:r w:rsidR="000C332A">
        <w:t xml:space="preserve">This ensures that individuals who are directly affected by orders in relation to individual products </w:t>
      </w:r>
      <w:r w:rsidR="000F71E2">
        <w:t>know that they mu</w:t>
      </w:r>
      <w:r w:rsidR="003E7E80">
        <w:t>st</w:t>
      </w:r>
      <w:r w:rsidR="000F71E2">
        <w:t xml:space="preserve"> comply with such orders</w:t>
      </w:r>
      <w:r w:rsidR="000C332A">
        <w:t>.</w:t>
      </w:r>
      <w:r w:rsidR="00C401EB">
        <w:t xml:space="preserve"> </w:t>
      </w:r>
      <w:r w:rsidR="00C37B2E" w:rsidRPr="000C6D36">
        <w:rPr>
          <w:rStyle w:val="Referencingstyle"/>
        </w:rPr>
        <w:t xml:space="preserve">[Schedule </w:t>
      </w:r>
      <w:r w:rsidR="00C37B2E">
        <w:rPr>
          <w:rStyle w:val="Referencingstyle"/>
        </w:rPr>
        <w:t>2</w:t>
      </w:r>
      <w:r w:rsidR="00C37B2E" w:rsidRPr="000C6D36">
        <w:rPr>
          <w:rStyle w:val="Referencingstyle"/>
        </w:rPr>
        <w:t>, item</w:t>
      </w:r>
      <w:r w:rsidR="00C37B2E">
        <w:rPr>
          <w:rStyle w:val="Referencingstyle"/>
        </w:rPr>
        <w:t>s</w:t>
      </w:r>
      <w:r w:rsidR="00C37B2E" w:rsidRPr="000C6D36">
        <w:rPr>
          <w:rStyle w:val="Referencingstyle"/>
        </w:rPr>
        <w:t xml:space="preserve"> </w:t>
      </w:r>
      <w:r w:rsidR="00C37B2E">
        <w:rPr>
          <w:rStyle w:val="Referencingstyle"/>
        </w:rPr>
        <w:t>7 and 13</w:t>
      </w:r>
      <w:r w:rsidR="00C37B2E" w:rsidRPr="000C6D36">
        <w:rPr>
          <w:rStyle w:val="Referencingstyle"/>
        </w:rPr>
        <w:t xml:space="preserve">, </w:t>
      </w:r>
      <w:r w:rsidR="00C37B2E">
        <w:rPr>
          <w:rStyle w:val="Referencingstyle"/>
        </w:rPr>
        <w:t xml:space="preserve">subsections </w:t>
      </w:r>
      <w:r w:rsidR="00C37B2E" w:rsidRPr="00FE66FF">
        <w:rPr>
          <w:rStyle w:val="Referencingstyle"/>
        </w:rPr>
        <w:t>102</w:t>
      </w:r>
      <w:r w:rsidR="00C37B2E">
        <w:rPr>
          <w:rStyle w:val="Referencingstyle"/>
        </w:rPr>
        <w:t xml:space="preserve">3L(1) and </w:t>
      </w:r>
      <w:r w:rsidR="00C37B2E" w:rsidRPr="00FE66FF">
        <w:rPr>
          <w:rStyle w:val="Referencingstyle"/>
        </w:rPr>
        <w:t>102</w:t>
      </w:r>
      <w:r w:rsidR="00C37B2E">
        <w:rPr>
          <w:rStyle w:val="Referencingstyle"/>
        </w:rPr>
        <w:t xml:space="preserve">3L(4) </w:t>
      </w:r>
      <w:r w:rsidR="00C37B2E" w:rsidRPr="008A7729">
        <w:rPr>
          <w:rStyle w:val="Referencingstyle"/>
        </w:rPr>
        <w:t xml:space="preserve"> of the </w:t>
      </w:r>
      <w:r w:rsidR="00C37B2E">
        <w:rPr>
          <w:rStyle w:val="Referencingstyle"/>
        </w:rPr>
        <w:t xml:space="preserve">Corporations Act </w:t>
      </w:r>
      <w:r w:rsidR="00C37B2E" w:rsidRPr="00AC78C7">
        <w:rPr>
          <w:rStyle w:val="Referencingstyle"/>
        </w:rPr>
        <w:t xml:space="preserve">and </w:t>
      </w:r>
      <w:r w:rsidR="00C37B2E">
        <w:rPr>
          <w:rStyle w:val="Referencingstyle"/>
        </w:rPr>
        <w:t>sub</w:t>
      </w:r>
      <w:r w:rsidR="00C37B2E" w:rsidRPr="00AC78C7">
        <w:rPr>
          <w:rStyle w:val="Referencingstyle"/>
        </w:rPr>
        <w:t>section</w:t>
      </w:r>
      <w:r w:rsidR="00C37B2E">
        <w:rPr>
          <w:rStyle w:val="Referencingstyle"/>
        </w:rPr>
        <w:t>s</w:t>
      </w:r>
      <w:r w:rsidR="00C37B2E" w:rsidRPr="00AC78C7">
        <w:rPr>
          <w:rStyle w:val="Referencingstyle"/>
        </w:rPr>
        <w:t xml:space="preserve"> 301</w:t>
      </w:r>
      <w:r w:rsidR="00C37B2E">
        <w:rPr>
          <w:rStyle w:val="Referencingstyle"/>
        </w:rPr>
        <w:t>L(1) and 301L(4)</w:t>
      </w:r>
      <w:r w:rsidR="00C37B2E" w:rsidRPr="00AC78C7">
        <w:rPr>
          <w:rStyle w:val="Referencingstyle"/>
        </w:rPr>
        <w:t xml:space="preserve"> of the Credit Act]</w:t>
      </w:r>
      <w:r w:rsidR="00C37B2E">
        <w:t xml:space="preserve"> </w:t>
      </w:r>
    </w:p>
    <w:p w14:paraId="13F42C08" w14:textId="77777777" w:rsidR="001E17D3" w:rsidRDefault="001E17D3" w:rsidP="001E17D3">
      <w:pPr>
        <w:pStyle w:val="Heading4"/>
      </w:pPr>
      <w:r>
        <w:t>Commencement of intervention orders</w:t>
      </w:r>
    </w:p>
    <w:p w14:paraId="1949EAA0" w14:textId="6824DFCB" w:rsidR="001E17D3" w:rsidRDefault="001E17D3" w:rsidP="005C65B4">
      <w:pPr>
        <w:pStyle w:val="base-text-paragraph"/>
      </w:pPr>
      <w:r>
        <w:t xml:space="preserve">The commencement date of an intervention order depends on whether it is a legislative instrument or not. In </w:t>
      </w:r>
      <w:r w:rsidR="008B1301">
        <w:t>particular</w:t>
      </w:r>
      <w:r>
        <w:t>:</w:t>
      </w:r>
    </w:p>
    <w:p w14:paraId="43BACD0C" w14:textId="77777777" w:rsidR="001E17D3" w:rsidRDefault="001E17D3" w:rsidP="001E17D3">
      <w:pPr>
        <w:pStyle w:val="dotpoint"/>
      </w:pPr>
      <w:r>
        <w:t xml:space="preserve">An intervention order is a legislative instrument where it relates to a class of product or class of persons. In such a case, the order commences the day after the legislative instrument is registered. </w:t>
      </w:r>
    </w:p>
    <w:p w14:paraId="705925CA" w14:textId="692F86C8" w:rsidR="001E17D3" w:rsidRPr="00CC1DAF" w:rsidRDefault="001E17D3" w:rsidP="001E17D3">
      <w:pPr>
        <w:pStyle w:val="dotpoint"/>
        <w:rPr>
          <w:rStyle w:val="Referencingstyle"/>
          <w:b w:val="0"/>
          <w:i w:val="0"/>
          <w:sz w:val="22"/>
        </w:rPr>
      </w:pPr>
      <w:r>
        <w:t>An intervention order is not a legislative instrument if it relates to a particular person or a particular product. In such a case, the order applies</w:t>
      </w:r>
      <w:r w:rsidR="007B674F">
        <w:t xml:space="preserve"> from the date it is published or</w:t>
      </w:r>
      <w:r>
        <w:t xml:space="preserve"> from the date specified in the public notice related to the intervention. </w:t>
      </w:r>
      <w:r w:rsidR="00FB1D73" w:rsidRPr="000C6D36">
        <w:rPr>
          <w:rStyle w:val="Referencingstyle"/>
        </w:rPr>
        <w:t xml:space="preserve">[Schedule </w:t>
      </w:r>
      <w:r w:rsidR="00FB1D73">
        <w:rPr>
          <w:rStyle w:val="Referencingstyle"/>
        </w:rPr>
        <w:t>2</w:t>
      </w:r>
      <w:r w:rsidR="00FB1D73" w:rsidRPr="000C6D36">
        <w:rPr>
          <w:rStyle w:val="Referencingstyle"/>
        </w:rPr>
        <w:t>, item</w:t>
      </w:r>
      <w:r w:rsidR="00FB1D73">
        <w:rPr>
          <w:rStyle w:val="Referencingstyle"/>
        </w:rPr>
        <w:t>s</w:t>
      </w:r>
      <w:r w:rsidR="00FB1D73" w:rsidRPr="000C6D36">
        <w:rPr>
          <w:rStyle w:val="Referencingstyle"/>
        </w:rPr>
        <w:t xml:space="preserve"> </w:t>
      </w:r>
      <w:r w:rsidR="00FB1D73">
        <w:rPr>
          <w:rStyle w:val="Referencingstyle"/>
        </w:rPr>
        <w:t>7 and 13</w:t>
      </w:r>
      <w:r w:rsidR="00FB1D73" w:rsidRPr="000C6D36">
        <w:rPr>
          <w:rStyle w:val="Referencingstyle"/>
        </w:rPr>
        <w:t xml:space="preserve">, </w:t>
      </w:r>
      <w:r w:rsidR="00FB1D73">
        <w:rPr>
          <w:rStyle w:val="Referencingstyle"/>
        </w:rPr>
        <w:t xml:space="preserve">subsection </w:t>
      </w:r>
      <w:r w:rsidR="00FB1D73" w:rsidRPr="00FE66FF">
        <w:rPr>
          <w:rStyle w:val="Referencingstyle"/>
        </w:rPr>
        <w:t>102</w:t>
      </w:r>
      <w:r w:rsidR="00FB1D73">
        <w:rPr>
          <w:rStyle w:val="Referencingstyle"/>
        </w:rPr>
        <w:t xml:space="preserve">3G(1) </w:t>
      </w:r>
      <w:r w:rsidR="00FB1D73" w:rsidRPr="008A7729">
        <w:rPr>
          <w:rStyle w:val="Referencingstyle"/>
        </w:rPr>
        <w:t xml:space="preserve">of the </w:t>
      </w:r>
      <w:r w:rsidR="00FB1D73">
        <w:rPr>
          <w:rStyle w:val="Referencingstyle"/>
        </w:rPr>
        <w:t xml:space="preserve">Corporations Act </w:t>
      </w:r>
      <w:r w:rsidR="00FB1D73" w:rsidRPr="00AC78C7">
        <w:rPr>
          <w:rStyle w:val="Referencingstyle"/>
        </w:rPr>
        <w:t xml:space="preserve">and </w:t>
      </w:r>
      <w:r w:rsidR="00FB1D73">
        <w:rPr>
          <w:rStyle w:val="Referencingstyle"/>
        </w:rPr>
        <w:t>301G(1)</w:t>
      </w:r>
      <w:r w:rsidR="00FB1D73" w:rsidRPr="00AC78C7">
        <w:rPr>
          <w:rStyle w:val="Referencingstyle"/>
        </w:rPr>
        <w:t xml:space="preserve"> of the Credit Act]</w:t>
      </w:r>
    </w:p>
    <w:p w14:paraId="270BADD2" w14:textId="77777777" w:rsidR="001E17D3" w:rsidRDefault="001E17D3" w:rsidP="001E17D3">
      <w:pPr>
        <w:pStyle w:val="Heading4"/>
      </w:pPr>
      <w:r>
        <w:t>Amendment and revocation</w:t>
      </w:r>
    </w:p>
    <w:p w14:paraId="0618194D" w14:textId="2CEE142E" w:rsidR="001E17D3" w:rsidRDefault="001E17D3" w:rsidP="005C65B4">
      <w:pPr>
        <w:pStyle w:val="base-text-paragraph"/>
      </w:pPr>
      <w:r>
        <w:t>ASIC can revoke or amend intervention orders at any time.</w:t>
      </w:r>
      <w:r w:rsidR="00563B9B">
        <w:t xml:space="preserve"> ASIC cannot amend an intervention order so as to extend its operation beyond 18 months (or any shorter period specified in regulations).</w:t>
      </w:r>
      <w:r>
        <w:t xml:space="preserve"> However,</w:t>
      </w:r>
      <w:r w:rsidR="00563B9B">
        <w:t xml:space="preserve"> ASIC can, with</w:t>
      </w:r>
      <w:r>
        <w:t xml:space="preserve"> the Minister’s approval</w:t>
      </w:r>
      <w:r w:rsidR="00B54F66">
        <w:t>, given after considering a report from ASIC,</w:t>
      </w:r>
      <w:r>
        <w:t xml:space="preserve"> revoke or amend a</w:t>
      </w:r>
      <w:r w:rsidR="00B54F66">
        <w:t>n</w:t>
      </w:r>
      <w:r>
        <w:t xml:space="preserve"> order</w:t>
      </w:r>
      <w:r w:rsidR="00B54F66">
        <w:t xml:space="preserve"> that has been extended</w:t>
      </w:r>
      <w:r>
        <w:t>.</w:t>
      </w:r>
      <w:r w:rsidR="00F273E7">
        <w:t xml:space="preserve"> </w:t>
      </w:r>
      <w:r w:rsidR="00563B9B">
        <w:t xml:space="preserve"> </w:t>
      </w:r>
      <w:r w:rsidR="00820E97" w:rsidRPr="000C6D36">
        <w:rPr>
          <w:rStyle w:val="Referencingstyle"/>
        </w:rPr>
        <w:t xml:space="preserve">[Schedule </w:t>
      </w:r>
      <w:r w:rsidR="00820E97">
        <w:rPr>
          <w:rStyle w:val="Referencingstyle"/>
        </w:rPr>
        <w:t>2</w:t>
      </w:r>
      <w:r w:rsidR="00820E97" w:rsidRPr="000C6D36">
        <w:rPr>
          <w:rStyle w:val="Referencingstyle"/>
        </w:rPr>
        <w:t>, item</w:t>
      </w:r>
      <w:r w:rsidR="00820E97">
        <w:rPr>
          <w:rStyle w:val="Referencingstyle"/>
        </w:rPr>
        <w:t>s</w:t>
      </w:r>
      <w:r w:rsidR="00820E97" w:rsidRPr="000C6D36">
        <w:rPr>
          <w:rStyle w:val="Referencingstyle"/>
        </w:rPr>
        <w:t xml:space="preserve"> </w:t>
      </w:r>
      <w:r w:rsidR="00820E97">
        <w:rPr>
          <w:rStyle w:val="Referencingstyle"/>
        </w:rPr>
        <w:t>7 and 13</w:t>
      </w:r>
      <w:r w:rsidR="00820E97" w:rsidRPr="000C6D36">
        <w:rPr>
          <w:rStyle w:val="Referencingstyle"/>
        </w:rPr>
        <w:t xml:space="preserve">, </w:t>
      </w:r>
      <w:r w:rsidR="00820E97">
        <w:rPr>
          <w:rStyle w:val="Referencingstyle"/>
        </w:rPr>
        <w:t xml:space="preserve">sections </w:t>
      </w:r>
      <w:r w:rsidR="00820E97" w:rsidRPr="00FE66FF">
        <w:rPr>
          <w:rStyle w:val="Referencingstyle"/>
        </w:rPr>
        <w:t>102</w:t>
      </w:r>
      <w:r w:rsidR="00820E97">
        <w:rPr>
          <w:rStyle w:val="Referencingstyle"/>
        </w:rPr>
        <w:t xml:space="preserve">3J and </w:t>
      </w:r>
      <w:r w:rsidR="00820E97" w:rsidRPr="00FE66FF">
        <w:rPr>
          <w:rStyle w:val="Referencingstyle"/>
        </w:rPr>
        <w:t>102</w:t>
      </w:r>
      <w:r w:rsidR="00820E97">
        <w:rPr>
          <w:rStyle w:val="Referencingstyle"/>
        </w:rPr>
        <w:t>3K</w:t>
      </w:r>
      <w:r w:rsidR="00820E97" w:rsidRPr="008A7729">
        <w:rPr>
          <w:rStyle w:val="Referencingstyle"/>
        </w:rPr>
        <w:t xml:space="preserve"> of the </w:t>
      </w:r>
      <w:r w:rsidR="00820E97">
        <w:rPr>
          <w:rStyle w:val="Referencingstyle"/>
        </w:rPr>
        <w:t xml:space="preserve">Corporations Act </w:t>
      </w:r>
      <w:r w:rsidR="00820E97" w:rsidRPr="00AC78C7">
        <w:rPr>
          <w:rStyle w:val="Referencingstyle"/>
        </w:rPr>
        <w:t>and section</w:t>
      </w:r>
      <w:r w:rsidR="00820E97">
        <w:rPr>
          <w:rStyle w:val="Referencingstyle"/>
        </w:rPr>
        <w:t>s</w:t>
      </w:r>
      <w:r w:rsidR="00820E97" w:rsidRPr="00AC78C7">
        <w:rPr>
          <w:rStyle w:val="Referencingstyle"/>
        </w:rPr>
        <w:t xml:space="preserve"> 301</w:t>
      </w:r>
      <w:r w:rsidR="00820E97">
        <w:rPr>
          <w:rStyle w:val="Referencingstyle"/>
        </w:rPr>
        <w:t>J and 301K</w:t>
      </w:r>
      <w:r w:rsidR="00820E97" w:rsidRPr="00AC78C7">
        <w:rPr>
          <w:rStyle w:val="Referencingstyle"/>
        </w:rPr>
        <w:t xml:space="preserve"> of the Credit Act]</w:t>
      </w:r>
    </w:p>
    <w:p w14:paraId="43CE54CE" w14:textId="77777777" w:rsidR="001E17D3" w:rsidRDefault="001E17D3" w:rsidP="005C65B4">
      <w:pPr>
        <w:pStyle w:val="base-text-paragraph"/>
      </w:pPr>
      <w:r>
        <w:t xml:space="preserve">The character of an intervention influences the process relevant to amending or revoking the order. </w:t>
      </w:r>
    </w:p>
    <w:p w14:paraId="5D984AFC" w14:textId="77777777" w:rsidR="001E17D3" w:rsidRDefault="001E17D3" w:rsidP="001E17D3">
      <w:pPr>
        <w:pStyle w:val="dotpoint"/>
      </w:pPr>
      <w:r>
        <w:t>Orders that are legislative instruments may only be amended or revoked by legislative instrument. Such amendments commence the day after the legislative instrument is registered (unless another date is specified in the instrument).</w:t>
      </w:r>
    </w:p>
    <w:p w14:paraId="368191D2" w14:textId="4488FCB5" w:rsidR="001E17D3" w:rsidRDefault="001E17D3" w:rsidP="001E17D3">
      <w:pPr>
        <w:pStyle w:val="dotpoint"/>
      </w:pPr>
      <w:r>
        <w:t xml:space="preserve">Orders that are not legislative instruments must be amended or varied in writing. Such amendments commence from the day the amendment is published on the ASIC website (unless another day is specified in the public notice). </w:t>
      </w:r>
      <w:r w:rsidR="00820E97" w:rsidRPr="000C6D36">
        <w:rPr>
          <w:rStyle w:val="Referencingstyle"/>
        </w:rPr>
        <w:t xml:space="preserve">[Schedule </w:t>
      </w:r>
      <w:r w:rsidR="00820E97">
        <w:rPr>
          <w:rStyle w:val="Referencingstyle"/>
        </w:rPr>
        <w:t>2</w:t>
      </w:r>
      <w:r w:rsidR="00820E97" w:rsidRPr="000C6D36">
        <w:rPr>
          <w:rStyle w:val="Referencingstyle"/>
        </w:rPr>
        <w:t>, item</w:t>
      </w:r>
      <w:r w:rsidR="00820E97">
        <w:rPr>
          <w:rStyle w:val="Referencingstyle"/>
        </w:rPr>
        <w:t>s</w:t>
      </w:r>
      <w:r w:rsidR="00820E97" w:rsidRPr="000C6D36">
        <w:rPr>
          <w:rStyle w:val="Referencingstyle"/>
        </w:rPr>
        <w:t xml:space="preserve"> </w:t>
      </w:r>
      <w:r w:rsidR="00820E97">
        <w:rPr>
          <w:rStyle w:val="Referencingstyle"/>
        </w:rPr>
        <w:t>7 and 13</w:t>
      </w:r>
      <w:r w:rsidR="00820E97" w:rsidRPr="000C6D36">
        <w:rPr>
          <w:rStyle w:val="Referencingstyle"/>
        </w:rPr>
        <w:t xml:space="preserve">, </w:t>
      </w:r>
      <w:r w:rsidR="00820E97">
        <w:rPr>
          <w:rStyle w:val="Referencingstyle"/>
        </w:rPr>
        <w:t>subsections</w:t>
      </w:r>
      <w:r w:rsidR="00D2381D">
        <w:rPr>
          <w:rStyle w:val="Referencingstyle"/>
        </w:rPr>
        <w:t xml:space="preserve"> 1023G(1),</w:t>
      </w:r>
      <w:r w:rsidR="00820E97">
        <w:rPr>
          <w:rStyle w:val="Referencingstyle"/>
        </w:rPr>
        <w:t xml:space="preserve"> </w:t>
      </w:r>
      <w:r w:rsidR="00820E97" w:rsidRPr="00FE66FF">
        <w:rPr>
          <w:rStyle w:val="Referencingstyle"/>
        </w:rPr>
        <w:t>102</w:t>
      </w:r>
      <w:r w:rsidR="00820E97">
        <w:rPr>
          <w:rStyle w:val="Referencingstyle"/>
        </w:rPr>
        <w:t>3J</w:t>
      </w:r>
      <w:r w:rsidR="00D2381D">
        <w:rPr>
          <w:rStyle w:val="Referencingstyle"/>
        </w:rPr>
        <w:t xml:space="preserve">(5) and </w:t>
      </w:r>
      <w:r w:rsidR="00820E97">
        <w:rPr>
          <w:rStyle w:val="Referencingstyle"/>
        </w:rPr>
        <w:t xml:space="preserve">(6) and </w:t>
      </w:r>
      <w:r w:rsidR="00820E97" w:rsidRPr="00FE66FF">
        <w:rPr>
          <w:rStyle w:val="Referencingstyle"/>
        </w:rPr>
        <w:t>102</w:t>
      </w:r>
      <w:r w:rsidR="00820E97">
        <w:rPr>
          <w:rStyle w:val="Referencingstyle"/>
        </w:rPr>
        <w:t>3K</w:t>
      </w:r>
      <w:r w:rsidR="00D2381D">
        <w:rPr>
          <w:rStyle w:val="Referencingstyle"/>
        </w:rPr>
        <w:t>(4</w:t>
      </w:r>
      <w:r w:rsidR="00820E97">
        <w:rPr>
          <w:rStyle w:val="Referencingstyle"/>
        </w:rPr>
        <w:t>)</w:t>
      </w:r>
      <w:r w:rsidR="00820E97" w:rsidRPr="008A7729">
        <w:rPr>
          <w:rStyle w:val="Referencingstyle"/>
        </w:rPr>
        <w:t xml:space="preserve"> of the </w:t>
      </w:r>
      <w:r w:rsidR="00D2381D">
        <w:rPr>
          <w:rStyle w:val="Referencingstyle"/>
        </w:rPr>
        <w:t xml:space="preserve">Corporations Act and </w:t>
      </w:r>
      <w:r w:rsidR="00820E97">
        <w:rPr>
          <w:rStyle w:val="Referencingstyle"/>
        </w:rPr>
        <w:t>sub</w:t>
      </w:r>
      <w:r w:rsidR="00820E97" w:rsidRPr="00AC78C7">
        <w:rPr>
          <w:rStyle w:val="Referencingstyle"/>
        </w:rPr>
        <w:t>section</w:t>
      </w:r>
      <w:r w:rsidR="00820E97">
        <w:rPr>
          <w:rStyle w:val="Referencingstyle"/>
        </w:rPr>
        <w:t>s</w:t>
      </w:r>
      <w:r w:rsidR="00D2381D">
        <w:rPr>
          <w:rStyle w:val="Referencingstyle"/>
        </w:rPr>
        <w:t xml:space="preserve"> 301G(1), </w:t>
      </w:r>
      <w:r w:rsidR="00820E97" w:rsidRPr="00AC78C7">
        <w:rPr>
          <w:rStyle w:val="Referencingstyle"/>
        </w:rPr>
        <w:t>301</w:t>
      </w:r>
      <w:r w:rsidR="00820E97">
        <w:rPr>
          <w:rStyle w:val="Referencingstyle"/>
        </w:rPr>
        <w:t>J</w:t>
      </w:r>
      <w:r w:rsidR="00D2381D">
        <w:rPr>
          <w:rStyle w:val="Referencingstyle"/>
        </w:rPr>
        <w:t>(5)</w:t>
      </w:r>
      <w:r w:rsidR="00820E97">
        <w:rPr>
          <w:rStyle w:val="Referencingstyle"/>
        </w:rPr>
        <w:t xml:space="preserve"> and 301K</w:t>
      </w:r>
      <w:r w:rsidR="00D2381D">
        <w:rPr>
          <w:rStyle w:val="Referencingstyle"/>
        </w:rPr>
        <w:t>(4)</w:t>
      </w:r>
      <w:r w:rsidR="00820E97" w:rsidRPr="00AC78C7">
        <w:rPr>
          <w:rStyle w:val="Referencingstyle"/>
        </w:rPr>
        <w:t xml:space="preserve"> of the Credit Act]</w:t>
      </w:r>
    </w:p>
    <w:p w14:paraId="23C3EAD3" w14:textId="77777777" w:rsidR="001E17D3" w:rsidRDefault="001E17D3" w:rsidP="001E17D3">
      <w:pPr>
        <w:pStyle w:val="Heading4"/>
      </w:pPr>
      <w:r>
        <w:t>Obligations associated</w:t>
      </w:r>
      <w:r w:rsidR="00381CB7">
        <w:t xml:space="preserve"> with</w:t>
      </w:r>
      <w:r>
        <w:t xml:space="preserve"> intervention orders</w:t>
      </w:r>
    </w:p>
    <w:p w14:paraId="2E1469B5" w14:textId="36684F9C" w:rsidR="001E17D3" w:rsidRDefault="001E17D3" w:rsidP="005C65B4">
      <w:pPr>
        <w:pStyle w:val="base-text-paragraph"/>
      </w:pPr>
      <w:r>
        <w:t xml:space="preserve">There are three obligations associated with intervention orders. </w:t>
      </w:r>
    </w:p>
    <w:p w14:paraId="6028226A" w14:textId="565376FB" w:rsidR="001E17D3" w:rsidRDefault="001E17D3" w:rsidP="005C65B4">
      <w:pPr>
        <w:pStyle w:val="base-text-paragraph"/>
      </w:pPr>
      <w:r>
        <w:t>The first (and princip</w:t>
      </w:r>
      <w:r w:rsidR="004030D7">
        <w:t>a</w:t>
      </w:r>
      <w:r>
        <w:t xml:space="preserve">l) obligation is for a person not to engage in conduct that is contrary to the order. This obligation applies in relation to all intervention orders. </w:t>
      </w:r>
      <w:r w:rsidR="001A5270" w:rsidRPr="000C6D36">
        <w:rPr>
          <w:rStyle w:val="Referencingstyle"/>
        </w:rPr>
        <w:t xml:space="preserve">[Schedule </w:t>
      </w:r>
      <w:r w:rsidR="001A5270">
        <w:rPr>
          <w:rStyle w:val="Referencingstyle"/>
        </w:rPr>
        <w:t>2</w:t>
      </w:r>
      <w:r w:rsidR="001A5270" w:rsidRPr="000C6D36">
        <w:rPr>
          <w:rStyle w:val="Referencingstyle"/>
        </w:rPr>
        <w:t>, item</w:t>
      </w:r>
      <w:r w:rsidR="001A5270">
        <w:rPr>
          <w:rStyle w:val="Referencingstyle"/>
        </w:rPr>
        <w:t>s</w:t>
      </w:r>
      <w:r w:rsidR="001A5270" w:rsidRPr="000C6D36">
        <w:rPr>
          <w:rStyle w:val="Referencingstyle"/>
        </w:rPr>
        <w:t xml:space="preserve"> </w:t>
      </w:r>
      <w:r w:rsidR="001A5270">
        <w:rPr>
          <w:rStyle w:val="Referencingstyle"/>
        </w:rPr>
        <w:t>7 and 13</w:t>
      </w:r>
      <w:r w:rsidR="001A5270" w:rsidRPr="000C6D36">
        <w:rPr>
          <w:rStyle w:val="Referencingstyle"/>
        </w:rPr>
        <w:t xml:space="preserve">, </w:t>
      </w:r>
      <w:r w:rsidR="001A5270">
        <w:rPr>
          <w:rStyle w:val="Referencingstyle"/>
        </w:rPr>
        <w:t xml:space="preserve">subsection 1023P(1) </w:t>
      </w:r>
      <w:r w:rsidR="001A5270" w:rsidRPr="008A7729">
        <w:rPr>
          <w:rStyle w:val="Referencingstyle"/>
        </w:rPr>
        <w:t xml:space="preserve">of the </w:t>
      </w:r>
      <w:r w:rsidR="001A5270">
        <w:rPr>
          <w:rStyle w:val="Referencingstyle"/>
        </w:rPr>
        <w:t>Corporations Act and sub</w:t>
      </w:r>
      <w:r w:rsidR="001A5270" w:rsidRPr="00AC78C7">
        <w:rPr>
          <w:rStyle w:val="Referencingstyle"/>
        </w:rPr>
        <w:t>section</w:t>
      </w:r>
      <w:r w:rsidR="001A5270">
        <w:rPr>
          <w:rStyle w:val="Referencingstyle"/>
        </w:rPr>
        <w:t>s 301P(1)</w:t>
      </w:r>
      <w:r w:rsidR="001A5270" w:rsidRPr="00AC78C7">
        <w:rPr>
          <w:rStyle w:val="Referencingstyle"/>
        </w:rPr>
        <w:t xml:space="preserve"> of the Credit Act]</w:t>
      </w:r>
    </w:p>
    <w:p w14:paraId="7EBD184B" w14:textId="248446EF" w:rsidR="001E17D3" w:rsidRDefault="001E17D3" w:rsidP="005C65B4">
      <w:pPr>
        <w:pStyle w:val="base-text-paragraph"/>
      </w:pPr>
      <w:r>
        <w:t>The second obligation only arises if a person is served with an intervention order. The obligation requires the person to take reasonable steps to ensure that other persons who engage in conduct to which the order applies are aware of the order. A similar obligation applies in relation to stop orders made under existing provisions of the Corporations Act.</w:t>
      </w:r>
      <w:r>
        <w:rPr>
          <w:rStyle w:val="FootnoteReference"/>
        </w:rPr>
        <w:footnoteReference w:id="51"/>
      </w:r>
      <w:r>
        <w:t xml:space="preserve"> </w:t>
      </w:r>
      <w:r w:rsidR="001A5270" w:rsidRPr="000C6D36">
        <w:rPr>
          <w:rStyle w:val="Referencingstyle"/>
        </w:rPr>
        <w:t xml:space="preserve">[Schedule </w:t>
      </w:r>
      <w:r w:rsidR="001A5270">
        <w:rPr>
          <w:rStyle w:val="Referencingstyle"/>
        </w:rPr>
        <w:t>2</w:t>
      </w:r>
      <w:r w:rsidR="001A5270" w:rsidRPr="000C6D36">
        <w:rPr>
          <w:rStyle w:val="Referencingstyle"/>
        </w:rPr>
        <w:t>, item</w:t>
      </w:r>
      <w:r w:rsidR="001A5270">
        <w:rPr>
          <w:rStyle w:val="Referencingstyle"/>
        </w:rPr>
        <w:t>s</w:t>
      </w:r>
      <w:r w:rsidR="001A5270" w:rsidRPr="000C6D36">
        <w:rPr>
          <w:rStyle w:val="Referencingstyle"/>
        </w:rPr>
        <w:t xml:space="preserve"> </w:t>
      </w:r>
      <w:r w:rsidR="001A5270">
        <w:rPr>
          <w:rStyle w:val="Referencingstyle"/>
        </w:rPr>
        <w:t>7 and 13</w:t>
      </w:r>
      <w:r w:rsidR="001A5270" w:rsidRPr="000C6D36">
        <w:rPr>
          <w:rStyle w:val="Referencingstyle"/>
        </w:rPr>
        <w:t xml:space="preserve">, </w:t>
      </w:r>
      <w:r w:rsidR="001A5270">
        <w:rPr>
          <w:rStyle w:val="Referencingstyle"/>
        </w:rPr>
        <w:t xml:space="preserve">subsection 1023P(4) </w:t>
      </w:r>
      <w:r w:rsidR="001A5270" w:rsidRPr="008A7729">
        <w:rPr>
          <w:rStyle w:val="Referencingstyle"/>
        </w:rPr>
        <w:t xml:space="preserve">of the </w:t>
      </w:r>
      <w:r w:rsidR="001A5270">
        <w:rPr>
          <w:rStyle w:val="Referencingstyle"/>
        </w:rPr>
        <w:t>Corporations Act and sub</w:t>
      </w:r>
      <w:r w:rsidR="001A5270" w:rsidRPr="00AC78C7">
        <w:rPr>
          <w:rStyle w:val="Referencingstyle"/>
        </w:rPr>
        <w:t>section</w:t>
      </w:r>
      <w:r w:rsidR="001A5270">
        <w:rPr>
          <w:rStyle w:val="Referencingstyle"/>
        </w:rPr>
        <w:t>s 301P(6)</w:t>
      </w:r>
      <w:r w:rsidR="000D0FCF">
        <w:rPr>
          <w:rStyle w:val="Referencingstyle"/>
        </w:rPr>
        <w:t xml:space="preserve"> and 301P(7)</w:t>
      </w:r>
      <w:r w:rsidR="001A5270" w:rsidRPr="00AC78C7">
        <w:rPr>
          <w:rStyle w:val="Referencingstyle"/>
        </w:rPr>
        <w:t xml:space="preserve"> of the Credit Act]</w:t>
      </w:r>
    </w:p>
    <w:p w14:paraId="3759E2A4" w14:textId="6BCF0089" w:rsidR="001E17D3" w:rsidRDefault="00106AF7" w:rsidP="005C65B4">
      <w:pPr>
        <w:pStyle w:val="base-text-paragraph"/>
      </w:pPr>
      <w:r>
        <w:t>Service is</w:t>
      </w:r>
      <w:r w:rsidR="001E17D3">
        <w:t xml:space="preserve"> not necessary where an intervention order is made by legislative instrument. In the case of an instrument of a legislative character, a person does not need to be notified of the instrument in order to be obligated to comply with the instrument. </w:t>
      </w:r>
      <w:r w:rsidR="000D0FCF" w:rsidRPr="000C6D36">
        <w:rPr>
          <w:rStyle w:val="Referencingstyle"/>
        </w:rPr>
        <w:t xml:space="preserve">[Schedule </w:t>
      </w:r>
      <w:r w:rsidR="000D0FCF">
        <w:rPr>
          <w:rStyle w:val="Referencingstyle"/>
        </w:rPr>
        <w:t>2</w:t>
      </w:r>
      <w:r w:rsidR="000D0FCF" w:rsidRPr="000C6D36">
        <w:rPr>
          <w:rStyle w:val="Referencingstyle"/>
        </w:rPr>
        <w:t>, item</w:t>
      </w:r>
      <w:r w:rsidR="000D0FCF">
        <w:rPr>
          <w:rStyle w:val="Referencingstyle"/>
        </w:rPr>
        <w:t>s</w:t>
      </w:r>
      <w:r w:rsidR="000D0FCF" w:rsidRPr="000C6D36">
        <w:rPr>
          <w:rStyle w:val="Referencingstyle"/>
        </w:rPr>
        <w:t xml:space="preserve"> </w:t>
      </w:r>
      <w:r w:rsidR="000D0FCF">
        <w:rPr>
          <w:rStyle w:val="Referencingstyle"/>
        </w:rPr>
        <w:t>7 and 13</w:t>
      </w:r>
      <w:r w:rsidR="000D0FCF" w:rsidRPr="000C6D36">
        <w:rPr>
          <w:rStyle w:val="Referencingstyle"/>
        </w:rPr>
        <w:t xml:space="preserve">, </w:t>
      </w:r>
      <w:r w:rsidR="000D0FCF">
        <w:rPr>
          <w:rStyle w:val="Referencingstyle"/>
        </w:rPr>
        <w:t xml:space="preserve">subsection 1023P(1) </w:t>
      </w:r>
      <w:r w:rsidR="000D0FCF" w:rsidRPr="008A7729">
        <w:rPr>
          <w:rStyle w:val="Referencingstyle"/>
        </w:rPr>
        <w:t xml:space="preserve">of the </w:t>
      </w:r>
      <w:r w:rsidR="000D0FCF">
        <w:rPr>
          <w:rStyle w:val="Referencingstyle"/>
        </w:rPr>
        <w:t>Corporations Act and sub</w:t>
      </w:r>
      <w:r w:rsidR="000D0FCF" w:rsidRPr="00AC78C7">
        <w:rPr>
          <w:rStyle w:val="Referencingstyle"/>
        </w:rPr>
        <w:t>section</w:t>
      </w:r>
      <w:r w:rsidR="000D0FCF">
        <w:rPr>
          <w:rStyle w:val="Referencingstyle"/>
        </w:rPr>
        <w:t xml:space="preserve"> 301P(1)</w:t>
      </w:r>
      <w:r w:rsidR="000D0FCF" w:rsidRPr="00AC78C7">
        <w:rPr>
          <w:rStyle w:val="Referencingstyle"/>
        </w:rPr>
        <w:t xml:space="preserve"> of the Credit Act]</w:t>
      </w:r>
      <w:r w:rsidR="000D0FCF" w:rsidRPr="0069637A" w:rsidDel="001A5270">
        <w:rPr>
          <w:rStyle w:val="Referencingstyle"/>
        </w:rPr>
        <w:t xml:space="preserve"> </w:t>
      </w:r>
    </w:p>
    <w:p w14:paraId="0E588EEA" w14:textId="226F4381" w:rsidR="001E17D3" w:rsidRDefault="001E17D3" w:rsidP="005C65B4">
      <w:pPr>
        <w:pStyle w:val="base-text-paragraph"/>
      </w:pPr>
      <w:r>
        <w:t>The third (and final) obligation enables ASIC to require a person to notify their customers of an intervention order in certain circumstances. These circumstances are where: an intervention order has been made in relation to a product; and,</w:t>
      </w:r>
      <w:r w:rsidRPr="00A4240C">
        <w:t xml:space="preserve"> </w:t>
      </w:r>
      <w:r>
        <w:t>the person has dealt in, or provided financial advice in relation to, the product with respect to consumers. In these circumstances, ASIC may require the person to notify those customers of the terms of the intervention order and any other matter</w:t>
      </w:r>
      <w:r w:rsidR="00381CB7">
        <w:t>s</w:t>
      </w:r>
      <w:r>
        <w:t xml:space="preserve"> that may be prescribed in the regulations. </w:t>
      </w:r>
      <w:r w:rsidR="00221A49" w:rsidRPr="000C6D36">
        <w:rPr>
          <w:rStyle w:val="Referencingstyle"/>
        </w:rPr>
        <w:t xml:space="preserve">[Schedule </w:t>
      </w:r>
      <w:r w:rsidR="00221A49">
        <w:rPr>
          <w:rStyle w:val="Referencingstyle"/>
        </w:rPr>
        <w:t>2</w:t>
      </w:r>
      <w:r w:rsidR="00221A49" w:rsidRPr="000C6D36">
        <w:rPr>
          <w:rStyle w:val="Referencingstyle"/>
        </w:rPr>
        <w:t>, item</w:t>
      </w:r>
      <w:r w:rsidR="00221A49">
        <w:rPr>
          <w:rStyle w:val="Referencingstyle"/>
        </w:rPr>
        <w:t>s</w:t>
      </w:r>
      <w:r w:rsidR="00221A49" w:rsidRPr="000C6D36">
        <w:rPr>
          <w:rStyle w:val="Referencingstyle"/>
        </w:rPr>
        <w:t xml:space="preserve"> </w:t>
      </w:r>
      <w:r w:rsidR="00221A49">
        <w:rPr>
          <w:rStyle w:val="Referencingstyle"/>
        </w:rPr>
        <w:t>7 and 13</w:t>
      </w:r>
      <w:r w:rsidR="00221A49" w:rsidRPr="000C6D36">
        <w:rPr>
          <w:rStyle w:val="Referencingstyle"/>
        </w:rPr>
        <w:t xml:space="preserve">, </w:t>
      </w:r>
      <w:r w:rsidR="00221A49">
        <w:rPr>
          <w:rStyle w:val="Referencingstyle"/>
        </w:rPr>
        <w:t xml:space="preserve">subsection 1023N(1) and subsection 1023P(2) </w:t>
      </w:r>
      <w:r w:rsidR="00221A49" w:rsidRPr="008A7729">
        <w:rPr>
          <w:rStyle w:val="Referencingstyle"/>
        </w:rPr>
        <w:t xml:space="preserve">of the </w:t>
      </w:r>
      <w:r w:rsidR="00221A49">
        <w:rPr>
          <w:rStyle w:val="Referencingstyle"/>
        </w:rPr>
        <w:t xml:space="preserve">Corporations Act and </w:t>
      </w:r>
      <w:r w:rsidR="00221A49" w:rsidRPr="00AC78C7">
        <w:rPr>
          <w:rStyle w:val="Referencingstyle"/>
        </w:rPr>
        <w:t>section</w:t>
      </w:r>
      <w:r w:rsidR="00221A49">
        <w:rPr>
          <w:rStyle w:val="Referencingstyle"/>
        </w:rPr>
        <w:t xml:space="preserve"> 301N and subsection</w:t>
      </w:r>
      <w:r w:rsidR="009703B2">
        <w:rPr>
          <w:rStyle w:val="Referencingstyle"/>
        </w:rPr>
        <w:t>s</w:t>
      </w:r>
      <w:r w:rsidR="00221A49">
        <w:rPr>
          <w:rStyle w:val="Referencingstyle"/>
        </w:rPr>
        <w:t xml:space="preserve"> 301P(3)</w:t>
      </w:r>
      <w:r w:rsidR="009703B2">
        <w:rPr>
          <w:rStyle w:val="Referencingstyle"/>
        </w:rPr>
        <w:t xml:space="preserve"> and (4)</w:t>
      </w:r>
      <w:r w:rsidR="00221A49" w:rsidRPr="00AC78C7">
        <w:rPr>
          <w:rStyle w:val="Referencingstyle"/>
        </w:rPr>
        <w:t xml:space="preserve"> of the Credit Act]</w:t>
      </w:r>
    </w:p>
    <w:p w14:paraId="766F589B" w14:textId="5E382BE9" w:rsidR="001E17D3" w:rsidRDefault="001E17D3" w:rsidP="005C65B4">
      <w:pPr>
        <w:pStyle w:val="base-text-paragraph"/>
      </w:pPr>
      <w:r>
        <w:t xml:space="preserve">The notice ASIC provides to the person may specify the way in which the person is to notify their customers. If the </w:t>
      </w:r>
      <w:r w:rsidR="001C09ED">
        <w:t xml:space="preserve">intervention order </w:t>
      </w:r>
      <w:r>
        <w:t xml:space="preserve">is a legislative instrument, the notice must also be a legislative instrument. If the notice is not a legislative instrument, a person does not need comply with the notice if they are not aware, and could not reasonably be aware, of the notice. </w:t>
      </w:r>
      <w:r w:rsidR="000C452F" w:rsidRPr="000C6D36">
        <w:rPr>
          <w:rStyle w:val="Referencingstyle"/>
        </w:rPr>
        <w:t xml:space="preserve">[Schedule </w:t>
      </w:r>
      <w:r w:rsidR="000C452F">
        <w:rPr>
          <w:rStyle w:val="Referencingstyle"/>
        </w:rPr>
        <w:t>2</w:t>
      </w:r>
      <w:r w:rsidR="000C452F" w:rsidRPr="000C6D36">
        <w:rPr>
          <w:rStyle w:val="Referencingstyle"/>
        </w:rPr>
        <w:t>, item</w:t>
      </w:r>
      <w:r w:rsidR="000C452F">
        <w:rPr>
          <w:rStyle w:val="Referencingstyle"/>
        </w:rPr>
        <w:t>s</w:t>
      </w:r>
      <w:r w:rsidR="000C452F" w:rsidRPr="000C6D36">
        <w:rPr>
          <w:rStyle w:val="Referencingstyle"/>
        </w:rPr>
        <w:t xml:space="preserve"> </w:t>
      </w:r>
      <w:r w:rsidR="000C452F">
        <w:rPr>
          <w:rStyle w:val="Referencingstyle"/>
        </w:rPr>
        <w:t>7 and 13</w:t>
      </w:r>
      <w:r w:rsidR="000C452F" w:rsidRPr="000C6D36">
        <w:rPr>
          <w:rStyle w:val="Referencingstyle"/>
        </w:rPr>
        <w:t xml:space="preserve">, </w:t>
      </w:r>
      <w:r w:rsidR="000C452F">
        <w:rPr>
          <w:rStyle w:val="Referencingstyle"/>
        </w:rPr>
        <w:t xml:space="preserve">paragraph 1023N1(b) </w:t>
      </w:r>
      <w:r w:rsidR="000C452F" w:rsidRPr="008A7729">
        <w:rPr>
          <w:rStyle w:val="Referencingstyle"/>
        </w:rPr>
        <w:t xml:space="preserve">of the </w:t>
      </w:r>
      <w:r w:rsidR="000C452F">
        <w:rPr>
          <w:rStyle w:val="Referencingstyle"/>
        </w:rPr>
        <w:t xml:space="preserve">Corporations Act and paragraph 301N(1)(b) </w:t>
      </w:r>
      <w:r w:rsidR="000C452F" w:rsidRPr="00AC78C7">
        <w:rPr>
          <w:rStyle w:val="Referencingstyle"/>
        </w:rPr>
        <w:t>of the Credit Act]</w:t>
      </w:r>
    </w:p>
    <w:p w14:paraId="28A73BF4" w14:textId="558E58CD" w:rsidR="001E17D3" w:rsidRDefault="0087429F" w:rsidP="001E17D3">
      <w:pPr>
        <w:pStyle w:val="Heading3"/>
      </w:pPr>
      <w:r>
        <w:t>What are the c</w:t>
      </w:r>
      <w:r w:rsidR="001E17D3">
        <w:t>onsequence</w:t>
      </w:r>
      <w:r w:rsidR="00CF2452">
        <w:t xml:space="preserve">s of contravening the new </w:t>
      </w:r>
      <w:r w:rsidR="00524645">
        <w:t>regime</w:t>
      </w:r>
      <w:r w:rsidR="001E17D3">
        <w:t>?</w:t>
      </w:r>
    </w:p>
    <w:p w14:paraId="32B3CD0B" w14:textId="77777777" w:rsidR="001E17D3" w:rsidRDefault="001E17D3" w:rsidP="001E17D3">
      <w:pPr>
        <w:pStyle w:val="base-text-paragraph"/>
        <w:numPr>
          <w:ilvl w:val="1"/>
          <w:numId w:val="26"/>
        </w:numPr>
      </w:pPr>
      <w:r>
        <w:t>The consequences of breaching the new provisions fall into two main categories. These are:</w:t>
      </w:r>
    </w:p>
    <w:p w14:paraId="36CDEAD3" w14:textId="77777777" w:rsidR="001E17D3" w:rsidRDefault="001E17D3" w:rsidP="001E17D3">
      <w:pPr>
        <w:pStyle w:val="dotpoint"/>
      </w:pPr>
      <w:r>
        <w:t>liability to the state through civil penalty proceedings or criminal prosecution; and</w:t>
      </w:r>
    </w:p>
    <w:p w14:paraId="14B6739A" w14:textId="77777777" w:rsidR="001E17D3" w:rsidRDefault="001E17D3" w:rsidP="001E17D3">
      <w:pPr>
        <w:pStyle w:val="dotpoint"/>
      </w:pPr>
      <w:r>
        <w:t>liability to persons suffering loss or damage through civil action.</w:t>
      </w:r>
    </w:p>
    <w:p w14:paraId="367D9158" w14:textId="77777777" w:rsidR="001E17D3" w:rsidRDefault="001E17D3" w:rsidP="001E17D3">
      <w:pPr>
        <w:pStyle w:val="Heading4"/>
      </w:pPr>
      <w:r>
        <w:t xml:space="preserve"> </w:t>
      </w:r>
      <w:r w:rsidRPr="00680E74">
        <w:t xml:space="preserve"> </w:t>
      </w:r>
      <w:r>
        <w:t>Civil and criminal penalties</w:t>
      </w:r>
    </w:p>
    <w:p w14:paraId="0A3DB1DE" w14:textId="77777777" w:rsidR="001E17D3" w:rsidRDefault="001E17D3" w:rsidP="001E17D3">
      <w:pPr>
        <w:pStyle w:val="base-text-paragraph"/>
        <w:numPr>
          <w:ilvl w:val="1"/>
          <w:numId w:val="26"/>
        </w:numPr>
      </w:pPr>
      <w:r>
        <w:t>A contravention of every obligation in the new regime is both a civil penalty provision and an offence. This allows the regulator or prosecutor (as the case may be) to take a proportional approach to the enforcement of the new regime.</w:t>
      </w:r>
    </w:p>
    <w:p w14:paraId="7BDD3D67" w14:textId="77777777" w:rsidR="001E17D3" w:rsidRDefault="001E17D3" w:rsidP="001E17D3">
      <w:pPr>
        <w:pStyle w:val="base-text-paragraph"/>
        <w:numPr>
          <w:ilvl w:val="0"/>
          <w:numId w:val="0"/>
        </w:numPr>
        <w:ind w:left="1134"/>
      </w:pPr>
      <w:r>
        <w:t xml:space="preserve">The maximum penalties applicable to each obligation in the Bill are </w:t>
      </w:r>
      <w:r w:rsidR="00DE510D">
        <w:t>detailed in the following table</w:t>
      </w:r>
      <w:r>
        <w:t>.</w:t>
      </w:r>
    </w:p>
    <w:p w14:paraId="71899B9D" w14:textId="77777777" w:rsidR="001E17D3" w:rsidRDefault="001E17D3" w:rsidP="005C65B4">
      <w:pPr>
        <w:pStyle w:val="TableHeadingoutsidetable"/>
        <w:tabs>
          <w:tab w:val="clear" w:pos="360"/>
        </w:tabs>
        <w:ind w:left="1134"/>
      </w:pPr>
      <w:r>
        <w:t xml:space="preserve"> Penalties concerning obligations </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1E17D3" w:rsidRPr="004666B8" w14:paraId="3E5C4094" w14:textId="77777777" w:rsidTr="001E1ECE">
        <w:trPr>
          <w:tblHeader/>
        </w:trPr>
        <w:tc>
          <w:tcPr>
            <w:tcW w:w="3275" w:type="dxa"/>
          </w:tcPr>
          <w:p w14:paraId="4723D856" w14:textId="77777777" w:rsidR="001E17D3" w:rsidRPr="004666B8" w:rsidRDefault="001E17D3" w:rsidP="001E1ECE">
            <w:pPr>
              <w:pStyle w:val="tableheaderwithintable"/>
              <w:rPr>
                <w:lang w:val="en-US" w:eastAsia="en-US"/>
              </w:rPr>
            </w:pPr>
            <w:r>
              <w:rPr>
                <w:lang w:val="en-US" w:eastAsia="en-US"/>
              </w:rPr>
              <w:t>Obligation</w:t>
            </w:r>
          </w:p>
        </w:tc>
        <w:tc>
          <w:tcPr>
            <w:tcW w:w="3276" w:type="dxa"/>
          </w:tcPr>
          <w:p w14:paraId="452F3049" w14:textId="77777777" w:rsidR="001E17D3" w:rsidRPr="004666B8" w:rsidRDefault="001E17D3" w:rsidP="001E1ECE">
            <w:pPr>
              <w:pStyle w:val="tableheaderwithintable"/>
              <w:rPr>
                <w:lang w:val="en-US" w:eastAsia="en-US"/>
              </w:rPr>
            </w:pPr>
            <w:r>
              <w:rPr>
                <w:lang w:val="en-US" w:eastAsia="en-US"/>
              </w:rPr>
              <w:t>Penalty</w:t>
            </w:r>
          </w:p>
        </w:tc>
      </w:tr>
      <w:tr w:rsidR="001E17D3" w14:paraId="534C1D48" w14:textId="77777777" w:rsidTr="001E1ECE">
        <w:tc>
          <w:tcPr>
            <w:tcW w:w="3275" w:type="dxa"/>
          </w:tcPr>
          <w:p w14:paraId="7426425B" w14:textId="77777777" w:rsidR="001E17D3" w:rsidRDefault="001E17D3" w:rsidP="001E1ECE">
            <w:pPr>
              <w:pStyle w:val="tabletext"/>
              <w:rPr>
                <w:lang w:val="en-US" w:eastAsia="en-US"/>
              </w:rPr>
            </w:pPr>
            <w:r>
              <w:rPr>
                <w:lang w:val="en-US" w:eastAsia="en-US"/>
              </w:rPr>
              <w:t>Engaging in conduct contrary to an intervention order</w:t>
            </w:r>
          </w:p>
        </w:tc>
        <w:tc>
          <w:tcPr>
            <w:tcW w:w="3276" w:type="dxa"/>
          </w:tcPr>
          <w:p w14:paraId="7ACCA008" w14:textId="77777777" w:rsidR="001E17D3" w:rsidRDefault="001E17D3" w:rsidP="001E1ECE">
            <w:pPr>
              <w:pStyle w:val="tabletext"/>
            </w:pPr>
            <w:r>
              <w:t xml:space="preserve">Criminal – </w:t>
            </w:r>
            <w:r w:rsidRPr="00FE340B">
              <w:t>200 penalty units or imprisonment for 5 years, or both.</w:t>
            </w:r>
          </w:p>
          <w:p w14:paraId="64C0CB82" w14:textId="064C2604" w:rsidR="001E17D3" w:rsidRPr="00A23B5F" w:rsidRDefault="001E17D3" w:rsidP="001E1ECE">
            <w:pPr>
              <w:pStyle w:val="tabletext"/>
            </w:pPr>
            <w:r>
              <w:t>Civil penalty – $200,000 for an individual; or 1 million for a body corporat</w:t>
            </w:r>
            <w:r w:rsidR="002F6476">
              <w:t>e</w:t>
            </w:r>
          </w:p>
        </w:tc>
      </w:tr>
      <w:tr w:rsidR="001E17D3" w14:paraId="17372A3D" w14:textId="77777777" w:rsidTr="001E1ECE">
        <w:tc>
          <w:tcPr>
            <w:tcW w:w="3275" w:type="dxa"/>
          </w:tcPr>
          <w:p w14:paraId="2A0C31F1" w14:textId="77777777" w:rsidR="001E17D3" w:rsidRPr="00CF4FA5" w:rsidRDefault="001E17D3" w:rsidP="001E1ECE">
            <w:pPr>
              <w:pStyle w:val="tabletext"/>
            </w:pPr>
            <w:r>
              <w:t>Failure to take steps to ensure other persons are aware of the intervention order</w:t>
            </w:r>
          </w:p>
        </w:tc>
        <w:tc>
          <w:tcPr>
            <w:tcW w:w="3276" w:type="dxa"/>
          </w:tcPr>
          <w:p w14:paraId="30E4BBC6" w14:textId="77777777" w:rsidR="001E17D3" w:rsidRDefault="001E17D3" w:rsidP="001E1ECE">
            <w:pPr>
              <w:pStyle w:val="tabletext"/>
            </w:pPr>
            <w:r>
              <w:t xml:space="preserve">Criminal – </w:t>
            </w:r>
            <w:r w:rsidRPr="00FE340B">
              <w:t>200 penalty units or imprisonment for 5 years, or both.</w:t>
            </w:r>
          </w:p>
          <w:p w14:paraId="0F6B01F7" w14:textId="58FD79A9" w:rsidR="001E17D3" w:rsidRDefault="001E17D3" w:rsidP="001E1ECE">
            <w:pPr>
              <w:pStyle w:val="tabletext"/>
            </w:pPr>
            <w:r>
              <w:t>Civil penalty – $200,000 for an individual; or 1 million for a body corporat</w:t>
            </w:r>
            <w:r w:rsidR="003731E7">
              <w:t>e</w:t>
            </w:r>
          </w:p>
        </w:tc>
      </w:tr>
      <w:tr w:rsidR="001E17D3" w14:paraId="24A76C91" w14:textId="77777777" w:rsidTr="001E1ECE">
        <w:tc>
          <w:tcPr>
            <w:tcW w:w="3275" w:type="dxa"/>
          </w:tcPr>
          <w:p w14:paraId="3A5C20E8" w14:textId="77777777" w:rsidR="001E17D3" w:rsidRDefault="001E17D3" w:rsidP="001E1ECE">
            <w:pPr>
              <w:pStyle w:val="tabletext"/>
            </w:pPr>
            <w:r>
              <w:t>Failure to notify consumers of the intervention order</w:t>
            </w:r>
          </w:p>
        </w:tc>
        <w:tc>
          <w:tcPr>
            <w:tcW w:w="3276" w:type="dxa"/>
          </w:tcPr>
          <w:p w14:paraId="7B672757" w14:textId="77777777" w:rsidR="001E17D3" w:rsidRDefault="001E17D3" w:rsidP="001E1ECE">
            <w:pPr>
              <w:pStyle w:val="tabletext"/>
            </w:pPr>
            <w:r>
              <w:t xml:space="preserve">Criminal – </w:t>
            </w:r>
            <w:r w:rsidRPr="00FE340B">
              <w:t>200 penalty units or imprisonment for 5 years, or both.</w:t>
            </w:r>
          </w:p>
          <w:p w14:paraId="73447773" w14:textId="198707A9" w:rsidR="001E17D3" w:rsidRDefault="001E17D3" w:rsidP="001E1ECE">
            <w:pPr>
              <w:pStyle w:val="tabletext"/>
            </w:pPr>
            <w:r>
              <w:t>Civil penalty – $200,000 for an individual; or 1 million for a body corporat</w:t>
            </w:r>
            <w:r w:rsidR="003731E7">
              <w:t>e</w:t>
            </w:r>
          </w:p>
        </w:tc>
      </w:tr>
    </w:tbl>
    <w:p w14:paraId="0C31C826" w14:textId="73C21C45" w:rsidR="001E17D3" w:rsidRDefault="001E17D3" w:rsidP="005C65B4">
      <w:pPr>
        <w:pStyle w:val="base-text-paragraph"/>
      </w:pPr>
      <w:r>
        <w:t xml:space="preserve">The penalties applicable to each obligation are broadly consistent with current penalties applicable to comparable provisions in the Corporations Act. The criminal penalties applicable to breaching an intervention order are, however, greater than those applicable to breaching a stop order made under an existing provision of the Corporations Act. The difference reflects the broader range of orders that can be made under the new power and that an intervention order can only be made where consumers may suffer significant detriment. The principles set out in the </w:t>
      </w:r>
      <w:r w:rsidRPr="004C1DFE">
        <w:rPr>
          <w:i/>
        </w:rPr>
        <w:t>Guide to Framing Commonwealth Offences, Infringement Notices and Enforcement Powers</w:t>
      </w:r>
      <w:r>
        <w:rPr>
          <w:rStyle w:val="FootnoteReference"/>
        </w:rPr>
        <w:footnoteReference w:id="52"/>
      </w:r>
      <w:r>
        <w:t xml:space="preserve"> were also considered in determining the applicable penalties.  </w:t>
      </w:r>
    </w:p>
    <w:p w14:paraId="3EDDDF71" w14:textId="77777777" w:rsidR="006135E3" w:rsidRPr="00F22DEA" w:rsidRDefault="001E17D3" w:rsidP="00155ABB">
      <w:pPr>
        <w:pStyle w:val="base-text-paragraph"/>
        <w:rPr>
          <w:b/>
          <w:i/>
          <w:sz w:val="18"/>
        </w:rPr>
      </w:pPr>
      <w:r w:rsidRPr="005C65B4">
        <w:t xml:space="preserve">The way the law gives effect to the penalties varies between the Corporations Act and the Credit Act. In the case of the Corporations Act, the penalties are given effect to by making the necessary amendments to existing subsection 1317E of the Corporations Act (in relation to civil penalties) and Schedule 3 of the Corporations Act (in relation to criminal penalties). In the case of the Credit Act, the penalties are specified in the provisions that create the offence. </w:t>
      </w:r>
    </w:p>
    <w:p w14:paraId="12E303B4" w14:textId="21FB0FCC" w:rsidR="00024373" w:rsidRDefault="00024373" w:rsidP="00F22DEA">
      <w:pPr>
        <w:pStyle w:val="base-text-paragraph"/>
        <w:numPr>
          <w:ilvl w:val="0"/>
          <w:numId w:val="0"/>
        </w:numPr>
        <w:ind w:left="1277"/>
        <w:rPr>
          <w:rStyle w:val="Referencingstyle"/>
        </w:rPr>
      </w:pPr>
      <w:r w:rsidRPr="00024373">
        <w:rPr>
          <w:rStyle w:val="Referencingstyle"/>
        </w:rPr>
        <w:t xml:space="preserve">[Schedule 2, items 7, 11, 12 13, sections 1023N and 1023P, table items 40P to 40R in subsection 1317E(1) and table item 309AG in Schedule 3 of the Corporations Act, and sections 301N and 301P  of the Credit Act]  </w:t>
      </w:r>
    </w:p>
    <w:p w14:paraId="39767E53" w14:textId="77777777" w:rsidR="001E17D3" w:rsidRDefault="001E17D3" w:rsidP="001E17D3">
      <w:pPr>
        <w:pStyle w:val="Heading4"/>
      </w:pPr>
      <w:r>
        <w:t>Civil liability</w:t>
      </w:r>
    </w:p>
    <w:p w14:paraId="11D91B62" w14:textId="77777777" w:rsidR="001E17D3" w:rsidRDefault="001E17D3" w:rsidP="001E17D3">
      <w:pPr>
        <w:pStyle w:val="base-text-paragraph"/>
        <w:numPr>
          <w:ilvl w:val="1"/>
          <w:numId w:val="25"/>
        </w:numPr>
      </w:pPr>
      <w:r>
        <w:t xml:space="preserve">A </w:t>
      </w:r>
      <w:r w:rsidRPr="00005807">
        <w:t>person</w:t>
      </w:r>
      <w:r>
        <w:t xml:space="preserve"> who suffers loss or damage because of a contravention of an intervention order may recover that loss or damage by civil action. </w:t>
      </w:r>
      <w:r w:rsidRPr="00385928">
        <w:t>In particular, the amendments provide a consumer with a cause of action if:</w:t>
      </w:r>
    </w:p>
    <w:p w14:paraId="50FC4149" w14:textId="77777777" w:rsidR="001E17D3" w:rsidRDefault="001E17D3" w:rsidP="001E17D3">
      <w:pPr>
        <w:pStyle w:val="dotpoint"/>
      </w:pPr>
      <w:r>
        <w:t xml:space="preserve">a person is required to comply with an intervention order and contravenes the order; and  </w:t>
      </w:r>
    </w:p>
    <w:p w14:paraId="786180AE" w14:textId="1E3980BA" w:rsidR="001E17D3" w:rsidRDefault="001E17D3" w:rsidP="001E17D3">
      <w:pPr>
        <w:pStyle w:val="dotpoint"/>
      </w:pPr>
      <w:r>
        <w:t xml:space="preserve">the consumer suffers loss or damage because of the other </w:t>
      </w:r>
      <w:r w:rsidR="00F92845">
        <w:t>person’s</w:t>
      </w:r>
      <w:r>
        <w:t xml:space="preserve"> contravention of the order.  </w:t>
      </w:r>
      <w:r w:rsidRPr="00073EDE">
        <w:rPr>
          <w:rStyle w:val="Referencingstyle"/>
        </w:rPr>
        <w:t>[Schedul</w:t>
      </w:r>
      <w:r>
        <w:rPr>
          <w:rStyle w:val="Referencingstyle"/>
        </w:rPr>
        <w:t>e 2</w:t>
      </w:r>
      <w:r w:rsidRPr="000C6D36">
        <w:rPr>
          <w:rStyle w:val="Referencingstyle"/>
        </w:rPr>
        <w:t>,</w:t>
      </w:r>
      <w:r>
        <w:rPr>
          <w:rStyle w:val="Referencingstyle"/>
        </w:rPr>
        <w:t xml:space="preserve"> item </w:t>
      </w:r>
      <w:r w:rsidR="005A68A7">
        <w:rPr>
          <w:rStyle w:val="Referencingstyle"/>
        </w:rPr>
        <w:t>7</w:t>
      </w:r>
      <w:r>
        <w:rPr>
          <w:rStyle w:val="Referencingstyle"/>
        </w:rPr>
        <w:t>, subsection 102</w:t>
      </w:r>
      <w:r w:rsidR="005A68A7">
        <w:rPr>
          <w:rStyle w:val="Referencingstyle"/>
        </w:rPr>
        <w:t>3Q</w:t>
      </w:r>
      <w:r>
        <w:rPr>
          <w:rStyle w:val="Referencingstyle"/>
        </w:rPr>
        <w:t>(1)</w:t>
      </w:r>
      <w:r w:rsidRPr="00541519">
        <w:rPr>
          <w:rStyle w:val="Referencingstyle"/>
        </w:rPr>
        <w:t>]</w:t>
      </w:r>
    </w:p>
    <w:p w14:paraId="4F929A62" w14:textId="2DDBDE2E" w:rsidR="001E17D3" w:rsidRPr="00434B64" w:rsidRDefault="001E17D3" w:rsidP="00F22DEA">
      <w:pPr>
        <w:pStyle w:val="base-text-paragraph"/>
        <w:ind w:left="1134"/>
      </w:pPr>
      <w:r>
        <w:t xml:space="preserve">The new cause of action does not affect any liability that the person who contravenes the intervention order has under any other law. In addition, the cause of action arises regardless as to whether or not the person who contravenes the order has been convicted of an offence or ordered to pay a civil penalty with respect to the relevant contravention. </w:t>
      </w:r>
      <w:r>
        <w:rPr>
          <w:rStyle w:val="Referencingstyle"/>
        </w:rPr>
        <w:t>[Schedule 2</w:t>
      </w:r>
      <w:r w:rsidRPr="000C6D36">
        <w:rPr>
          <w:rStyle w:val="Referencingstyle"/>
        </w:rPr>
        <w:t xml:space="preserve">, </w:t>
      </w:r>
      <w:r>
        <w:rPr>
          <w:rStyle w:val="Referencingstyle"/>
        </w:rPr>
        <w:t xml:space="preserve"> item </w:t>
      </w:r>
      <w:r w:rsidR="005A68A7">
        <w:rPr>
          <w:rStyle w:val="Referencingstyle"/>
        </w:rPr>
        <w:t>7</w:t>
      </w:r>
      <w:r>
        <w:rPr>
          <w:rStyle w:val="Referencingstyle"/>
        </w:rPr>
        <w:t>, subsection 102</w:t>
      </w:r>
      <w:r w:rsidR="005A68A7">
        <w:rPr>
          <w:rStyle w:val="Referencingstyle"/>
        </w:rPr>
        <w:t>3Q</w:t>
      </w:r>
      <w:r>
        <w:rPr>
          <w:rStyle w:val="Referencingstyle"/>
        </w:rPr>
        <w:t>(3) of the Corporations Act</w:t>
      </w:r>
      <w:r w:rsidRPr="0012077A">
        <w:rPr>
          <w:rStyle w:val="Referencingstyle"/>
        </w:rPr>
        <w:t>]</w:t>
      </w:r>
    </w:p>
    <w:p w14:paraId="46396F27" w14:textId="51FB9595" w:rsidR="001E17D3" w:rsidRDefault="001E17D3" w:rsidP="001E17D3">
      <w:pPr>
        <w:pStyle w:val="base-text-paragraph"/>
        <w:numPr>
          <w:ilvl w:val="1"/>
          <w:numId w:val="25"/>
        </w:numPr>
      </w:pPr>
      <w:r>
        <w:t xml:space="preserve">The limitation period applicable to the cause of action is 6 years. The limitation period commences on </w:t>
      </w:r>
      <w:r w:rsidRPr="00606E4D">
        <w:t>the day on</w:t>
      </w:r>
      <w:r>
        <w:t xml:space="preserve"> which the cause of action arose, meaning that any action must be commenced within 6 years of that date</w:t>
      </w:r>
      <w:r w:rsidRPr="00606E4D">
        <w:t xml:space="preserve">. </w:t>
      </w:r>
      <w:r>
        <w:rPr>
          <w:rStyle w:val="Referencingstyle"/>
        </w:rPr>
        <w:t>[Schedule 2</w:t>
      </w:r>
      <w:r w:rsidRPr="000C6D36">
        <w:rPr>
          <w:rStyle w:val="Referencingstyle"/>
        </w:rPr>
        <w:t xml:space="preserve">, </w:t>
      </w:r>
      <w:r>
        <w:rPr>
          <w:rStyle w:val="Referencingstyle"/>
        </w:rPr>
        <w:t xml:space="preserve"> item </w:t>
      </w:r>
      <w:r w:rsidR="006B26FC">
        <w:rPr>
          <w:rStyle w:val="Referencingstyle"/>
        </w:rPr>
        <w:t>7</w:t>
      </w:r>
      <w:r>
        <w:rPr>
          <w:rStyle w:val="Referencingstyle"/>
        </w:rPr>
        <w:t>, subsection 102</w:t>
      </w:r>
      <w:r w:rsidR="006B26FC">
        <w:rPr>
          <w:rStyle w:val="Referencingstyle"/>
        </w:rPr>
        <w:t>3Q</w:t>
      </w:r>
      <w:r>
        <w:rPr>
          <w:rStyle w:val="Referencingstyle"/>
        </w:rPr>
        <w:t>(2) of the Corporations Act</w:t>
      </w:r>
      <w:r w:rsidRPr="00541519">
        <w:rPr>
          <w:rStyle w:val="Referencingstyle"/>
        </w:rPr>
        <w:t>]</w:t>
      </w:r>
      <w:r w:rsidRPr="00606E4D">
        <w:t xml:space="preserve"> </w:t>
      </w:r>
    </w:p>
    <w:p w14:paraId="246A04EF" w14:textId="77777777" w:rsidR="001E17D3" w:rsidRDefault="001E17D3" w:rsidP="001E17D3">
      <w:pPr>
        <w:pStyle w:val="base-text-paragraph"/>
        <w:numPr>
          <w:ilvl w:val="1"/>
          <w:numId w:val="26"/>
        </w:numPr>
      </w:pPr>
      <w:r>
        <w:t>The court dealing with the new cause of action is intended to be able to make a variety of orders. To ensure the court has appropriate powers, the amendments provide that the court may, in addition to awarding loss or damage:</w:t>
      </w:r>
    </w:p>
    <w:p w14:paraId="124C0F88" w14:textId="77777777" w:rsidR="001E17D3" w:rsidRDefault="001E17D3" w:rsidP="001E17D3">
      <w:pPr>
        <w:pStyle w:val="dotpoint"/>
      </w:pPr>
      <w:r>
        <w:t>make an order declaring that a contract entered into by the person who suffered loss or damage is void; and</w:t>
      </w:r>
    </w:p>
    <w:p w14:paraId="0AFC8B8F" w14:textId="77777777" w:rsidR="001E17D3" w:rsidRDefault="001E17D3" w:rsidP="001E17D3">
      <w:pPr>
        <w:pStyle w:val="dotpoint"/>
      </w:pPr>
      <w:r>
        <w:t>if it makes such an order – make such other orders as it thinks are necessary or desirable because of that order.</w:t>
      </w:r>
    </w:p>
    <w:p w14:paraId="15829470" w14:textId="0C2CCABC" w:rsidR="001E17D3" w:rsidRDefault="001E17D3" w:rsidP="00F22DEA">
      <w:pPr>
        <w:pStyle w:val="base-text-paragraph"/>
        <w:ind w:left="1134"/>
      </w:pPr>
      <w:r>
        <w:t>There are</w:t>
      </w:r>
      <w:r w:rsidR="00BC3C9C">
        <w:t xml:space="preserve"> a range of</w:t>
      </w:r>
      <w:r>
        <w:t xml:space="preserve"> orders that a court may make where it has declared a contract void</w:t>
      </w:r>
      <w:r w:rsidR="00BC3C9C">
        <w:t>. These include</w:t>
      </w:r>
      <w:r>
        <w:t>, for example</w:t>
      </w:r>
      <w:r w:rsidR="00D84322">
        <w:t>,</w:t>
      </w:r>
      <w:r>
        <w:t xml:space="preserve"> an order for the return of money paid by a person and an order for payment of an amount of interest specified in, or calculated in accordance with, the order.</w:t>
      </w:r>
      <w:r w:rsidDel="00F3321E">
        <w:t xml:space="preserve"> </w:t>
      </w:r>
      <w:r w:rsidRPr="00073EDE">
        <w:rPr>
          <w:rStyle w:val="Referencingstyle"/>
        </w:rPr>
        <w:t>[Schedul</w:t>
      </w:r>
      <w:r>
        <w:rPr>
          <w:rStyle w:val="Referencingstyle"/>
        </w:rPr>
        <w:t>e 2</w:t>
      </w:r>
      <w:r w:rsidRPr="000C6D36">
        <w:rPr>
          <w:rStyle w:val="Referencingstyle"/>
        </w:rPr>
        <w:t>,</w:t>
      </w:r>
      <w:r>
        <w:rPr>
          <w:rStyle w:val="Referencingstyle"/>
        </w:rPr>
        <w:t xml:space="preserve"> item </w:t>
      </w:r>
      <w:r w:rsidR="006B26FC">
        <w:rPr>
          <w:rStyle w:val="Referencingstyle"/>
        </w:rPr>
        <w:t>7</w:t>
      </w:r>
      <w:r>
        <w:rPr>
          <w:rStyle w:val="Referencingstyle"/>
        </w:rPr>
        <w:t>, section 102</w:t>
      </w:r>
      <w:r w:rsidR="006B26FC">
        <w:rPr>
          <w:rStyle w:val="Referencingstyle"/>
        </w:rPr>
        <w:t>3R</w:t>
      </w:r>
      <w:r>
        <w:rPr>
          <w:rStyle w:val="Referencingstyle"/>
        </w:rPr>
        <w:t xml:space="preserve"> </w:t>
      </w:r>
      <w:r w:rsidRPr="00073EDE">
        <w:rPr>
          <w:rStyle w:val="Referencingstyle"/>
        </w:rPr>
        <w:t>of the Corporations Act</w:t>
      </w:r>
      <w:r w:rsidRPr="009067DB">
        <w:rPr>
          <w:rStyle w:val="Referencingstyle"/>
        </w:rPr>
        <w:t>]</w:t>
      </w:r>
    </w:p>
    <w:p w14:paraId="4D855BF6" w14:textId="77777777" w:rsidR="001E17D3" w:rsidRDefault="001E17D3" w:rsidP="001E17D3">
      <w:pPr>
        <w:pStyle w:val="base-text-paragraph"/>
        <w:numPr>
          <w:ilvl w:val="1"/>
          <w:numId w:val="25"/>
        </w:numPr>
      </w:pPr>
      <w:r>
        <w:t>The Bill only creates a new cause of action for a contravention of an intervention order when the order is made under Part 7.9A of the Corporations Act. Equivalent amendments are not required in relation to intervention orders made under the Credit Act. The Credit Act currently contains arrangements for compensating consumers for loss or damage resulting from a contravention of a civil penalty provision or the commission of an offence against the Act. In particular, Part 4-2 of the Credit Act currently provides the court with powers to grant a range</w:t>
      </w:r>
      <w:r w:rsidR="00402679">
        <w:t xml:space="preserve"> of</w:t>
      </w:r>
      <w:r>
        <w:t xml:space="preserve"> remedies in such circumstances, including compensation orders. The existing provisions in Part 4-2 apply in relation to a contravention of an intervention order made under the Credit Act, as such a contravention is both a civil penalty provisions and an offence. </w:t>
      </w:r>
    </w:p>
    <w:p w14:paraId="1025CCF4" w14:textId="77777777" w:rsidR="001E17D3" w:rsidRDefault="001E17D3" w:rsidP="001E17D3">
      <w:pPr>
        <w:pStyle w:val="Heading2"/>
      </w:pPr>
      <w:r>
        <w:t>Consequential amendments</w:t>
      </w:r>
    </w:p>
    <w:p w14:paraId="1534654A" w14:textId="60D195F2" w:rsidR="001E17D3" w:rsidRPr="00D06CB2" w:rsidRDefault="001E17D3" w:rsidP="005C65B4">
      <w:pPr>
        <w:pStyle w:val="base-text-paragraph"/>
      </w:pPr>
      <w:r>
        <w:t>The new law makes a consequential amendment to existing section 760B of the Corporations Act. The amendment updates the table in th</w:t>
      </w:r>
      <w:r w:rsidR="007E1B96">
        <w:t>at</w:t>
      </w:r>
      <w:r>
        <w:t xml:space="preserve"> section so that it refers to the new law. Th</w:t>
      </w:r>
      <w:r w:rsidR="00183442">
        <w:t>is</w:t>
      </w:r>
      <w:r>
        <w:t xml:space="preserve"> amendment ensures that the outline to Chapter 7 of the Corporations Act, which is contained in section 760B, remains current. </w:t>
      </w:r>
      <w:r w:rsidRPr="00073EDE">
        <w:rPr>
          <w:rStyle w:val="Referencingstyle"/>
        </w:rPr>
        <w:t>[Schedul</w:t>
      </w:r>
      <w:r>
        <w:rPr>
          <w:rStyle w:val="Referencingstyle"/>
        </w:rPr>
        <w:t xml:space="preserve">e 2, item 1, section 760B </w:t>
      </w:r>
      <w:r w:rsidRPr="00073EDE">
        <w:rPr>
          <w:rStyle w:val="Referencingstyle"/>
        </w:rPr>
        <w:t xml:space="preserve">of the Corporations Act]  </w:t>
      </w:r>
    </w:p>
    <w:p w14:paraId="161E87A6" w14:textId="77777777" w:rsidR="001E17D3" w:rsidRDefault="001E17D3" w:rsidP="001E17D3">
      <w:pPr>
        <w:pStyle w:val="Heading2"/>
      </w:pPr>
      <w:r>
        <w:t>Application and commencement provisions</w:t>
      </w:r>
    </w:p>
    <w:p w14:paraId="2C46B4E3" w14:textId="77777777" w:rsidR="001E17D3" w:rsidRDefault="001E17D3" w:rsidP="005C65B4">
      <w:pPr>
        <w:pStyle w:val="base-text-paragraph"/>
      </w:pPr>
      <w:r>
        <w:t xml:space="preserve">Schedule 2 of the Bill commences on the day after the Royal Assent. </w:t>
      </w:r>
      <w:r w:rsidRPr="00073EDE">
        <w:rPr>
          <w:rStyle w:val="Referencingstyle"/>
        </w:rPr>
        <w:t>[</w:t>
      </w:r>
      <w:r>
        <w:rPr>
          <w:rStyle w:val="Referencingstyle"/>
        </w:rPr>
        <w:t>Table item 3 of section 2 to the Bill</w:t>
      </w:r>
      <w:r w:rsidRPr="00073EDE">
        <w:rPr>
          <w:rStyle w:val="Referencingstyle"/>
        </w:rPr>
        <w:t xml:space="preserve">]  </w:t>
      </w:r>
    </w:p>
    <w:p w14:paraId="2F962A2E" w14:textId="0EE8F4A2" w:rsidR="001E17D3" w:rsidRDefault="001E17D3" w:rsidP="005C65B4">
      <w:pPr>
        <w:pStyle w:val="base-text-paragraph"/>
      </w:pPr>
      <w:r>
        <w:t xml:space="preserve">The power applies from the day after the Royal Assent. However, the power is not retrospective. It only applies in relation to products that </w:t>
      </w:r>
      <w:r w:rsidR="0065272F">
        <w:t>may be</w:t>
      </w:r>
      <w:r>
        <w:t xml:space="preserve"> acquired by consumers on or after the commencement date. </w:t>
      </w:r>
    </w:p>
    <w:p w14:paraId="2EDCE5A7" w14:textId="77777777" w:rsidR="001E17D3" w:rsidRDefault="001E17D3" w:rsidP="001E17D3">
      <w:pPr>
        <w:spacing w:before="0" w:after="160" w:line="259" w:lineRule="auto"/>
      </w:pPr>
    </w:p>
    <w:p w14:paraId="6B630152" w14:textId="77777777" w:rsidR="00174362" w:rsidRDefault="00174362" w:rsidP="00B17774">
      <w:pPr>
        <w:sectPr w:rsidR="00174362" w:rsidSect="00E74E50">
          <w:footerReference w:type="even" r:id="rId36"/>
          <w:footerReference w:type="default" r:id="rId37"/>
          <w:footerReference w:type="first" r:id="rId38"/>
          <w:type w:val="oddPage"/>
          <w:pgSz w:w="9979" w:h="14175" w:code="9"/>
          <w:pgMar w:top="567" w:right="1134" w:bottom="567" w:left="1134" w:header="709" w:footer="709" w:gutter="0"/>
          <w:cols w:space="708"/>
          <w:titlePg/>
          <w:docGrid w:linePitch="360"/>
        </w:sectPr>
      </w:pPr>
    </w:p>
    <w:p w14:paraId="503695D5" w14:textId="77777777" w:rsidR="00174362" w:rsidRDefault="00174362" w:rsidP="00B17774">
      <w:pPr>
        <w:pStyle w:val="Hiddentext"/>
      </w:pPr>
    </w:p>
    <w:p w14:paraId="591EED8F" w14:textId="77777777" w:rsidR="00174362" w:rsidRPr="007C2B20" w:rsidRDefault="00174362" w:rsidP="00174362">
      <w:pPr>
        <w:pStyle w:val="ChapterHeading"/>
        <w:numPr>
          <w:ilvl w:val="0"/>
          <w:numId w:val="28"/>
        </w:numPr>
      </w:pPr>
      <w:r w:rsidRPr="000C2A9D">
        <w:br/>
      </w:r>
      <w:bookmarkStart w:id="11" w:name="_Toc501457067"/>
      <w:bookmarkStart w:id="12" w:name="_Toc501460375"/>
      <w:r>
        <w:rPr>
          <w:rStyle w:val="ChapterNameOnly"/>
        </w:rPr>
        <w:t>Regulation Impact Statement</w:t>
      </w:r>
      <w:bookmarkEnd w:id="11"/>
      <w:bookmarkEnd w:id="12"/>
    </w:p>
    <w:p w14:paraId="128C7758" w14:textId="77777777" w:rsidR="00174362" w:rsidRDefault="00174362" w:rsidP="00B17774">
      <w:pPr>
        <w:pStyle w:val="Heading2"/>
      </w:pPr>
      <w:r>
        <w:t>Outline of chapter</w:t>
      </w:r>
    </w:p>
    <w:p w14:paraId="31CB3021" w14:textId="19FDA9F2" w:rsidR="00174362" w:rsidRPr="00BA660D" w:rsidRDefault="00174362" w:rsidP="00174362">
      <w:pPr>
        <w:pStyle w:val="base-text-paragraph"/>
        <w:numPr>
          <w:ilvl w:val="1"/>
          <w:numId w:val="28"/>
        </w:numPr>
      </w:pPr>
      <w:r>
        <w:t>On 20 October 2015, as part of its response to the F</w:t>
      </w:r>
      <w:r w:rsidR="000B5E3D">
        <w:t>SI</w:t>
      </w:r>
      <w:r>
        <w:t xml:space="preserve">, the Government agreed with the recommendation that the government should introduce </w:t>
      </w:r>
      <w:r w:rsidRPr="00BA660D">
        <w:t>targeted and principles</w:t>
      </w:r>
      <w:r w:rsidR="00D84322">
        <w:t xml:space="preserve"> </w:t>
      </w:r>
      <w:r w:rsidRPr="00BA660D">
        <w:t>based product design and distribution obligation</w:t>
      </w:r>
      <w:r>
        <w:t xml:space="preserve">s and </w:t>
      </w:r>
      <w:r w:rsidR="00B67EEA">
        <w:t>a</w:t>
      </w:r>
      <w:r>
        <w:t xml:space="preserve"> product intervention power</w:t>
      </w:r>
      <w:r w:rsidRPr="00BA660D">
        <w:t>.</w:t>
      </w:r>
      <w:r>
        <w:t xml:space="preserve"> In committing to these objectives </w:t>
      </w:r>
      <w:r w:rsidRPr="00BA660D">
        <w:t xml:space="preserve">and subsequent decisions on the details of the legislative amendment package, the Government was informed of the regulatory impacts of various reform options by the findings of </w:t>
      </w:r>
      <w:r>
        <w:t xml:space="preserve">the </w:t>
      </w:r>
      <w:r w:rsidR="000B5E3D">
        <w:t>FSI</w:t>
      </w:r>
      <w:r>
        <w:t xml:space="preserve"> </w:t>
      </w:r>
      <w:r w:rsidRPr="00BA660D">
        <w:t>and targeted consultations with industry stakeholders.</w:t>
      </w:r>
    </w:p>
    <w:p w14:paraId="5B022E90" w14:textId="77777777" w:rsidR="00174362" w:rsidRDefault="00174362" w:rsidP="00174362">
      <w:pPr>
        <w:pStyle w:val="base-text-paragraph"/>
        <w:numPr>
          <w:ilvl w:val="1"/>
          <w:numId w:val="28"/>
        </w:numPr>
      </w:pPr>
      <w:r>
        <w:t>The Australian Government Guide to Regulation identifies seven questions that a RIS should address. Following is a summary of the analysis of these questions that occurred as part of the independent reviews and stakeholder consultation process.</w:t>
      </w:r>
    </w:p>
    <w:p w14:paraId="7DC13C93" w14:textId="77777777" w:rsidR="00174362" w:rsidRDefault="00174362" w:rsidP="00F273E7">
      <w:pPr>
        <w:pStyle w:val="Heading2with18pointafter"/>
      </w:pPr>
      <w:r>
        <w:t>Consultation</w:t>
      </w:r>
    </w:p>
    <w:p w14:paraId="793DD3AD" w14:textId="77777777" w:rsidR="00174362" w:rsidRDefault="00174362" w:rsidP="00174362">
      <w:pPr>
        <w:pStyle w:val="base-text-paragraph"/>
        <w:numPr>
          <w:ilvl w:val="1"/>
          <w:numId w:val="28"/>
        </w:numPr>
      </w:pPr>
      <w:r>
        <w:t xml:space="preserve">The </w:t>
      </w:r>
      <w:r w:rsidR="000B5E3D">
        <w:t>FSI</w:t>
      </w:r>
      <w:r>
        <w:t xml:space="preserve"> received over 180 submissions, complemented by extensive stakeholder engagement through meetings and roundtables.</w:t>
      </w:r>
    </w:p>
    <w:p w14:paraId="09B270C7" w14:textId="74026C9A" w:rsidR="00691F60" w:rsidRDefault="006A7598" w:rsidP="00174362">
      <w:pPr>
        <w:pStyle w:val="base-text-paragraph"/>
        <w:numPr>
          <w:ilvl w:val="1"/>
          <w:numId w:val="28"/>
        </w:numPr>
      </w:pPr>
      <w:r>
        <w:t>A</w:t>
      </w:r>
      <w:r w:rsidR="00174362">
        <w:t xml:space="preserve"> range of relevant industry and consumer group stakeholders </w:t>
      </w:r>
      <w:r>
        <w:t>have participated in the consultation process</w:t>
      </w:r>
      <w:r w:rsidR="00691F60">
        <w:t>. The December 2016 consultation paper and December 2017 exposure draft each received 38 submissions, four of which were confidential.</w:t>
      </w:r>
    </w:p>
    <w:p w14:paraId="7DEC859A" w14:textId="1C0D3E51" w:rsidR="006A7598" w:rsidRDefault="00691F60" w:rsidP="00582191">
      <w:pPr>
        <w:pStyle w:val="base-text-paragraph"/>
        <w:numPr>
          <w:ilvl w:val="1"/>
          <w:numId w:val="28"/>
        </w:numPr>
      </w:pPr>
      <w:r>
        <w:t xml:space="preserve">Treasury also </w:t>
      </w:r>
      <w:r w:rsidRPr="009413AB">
        <w:t xml:space="preserve">met with key industry </w:t>
      </w:r>
      <w:r>
        <w:t xml:space="preserve">stakeholders </w:t>
      </w:r>
      <w:r w:rsidRPr="009413AB">
        <w:t>and consumer groups</w:t>
      </w:r>
      <w:r>
        <w:t xml:space="preserve"> as a part of these consultation processes</w:t>
      </w:r>
      <w:r w:rsidRPr="009413AB">
        <w:t>.</w:t>
      </w:r>
    </w:p>
    <w:p w14:paraId="184A26C7" w14:textId="23D4D345" w:rsidR="006A7598" w:rsidRPr="00787971" w:rsidRDefault="006262B5" w:rsidP="00787971">
      <w:pPr>
        <w:pStyle w:val="base-text-paragraph"/>
        <w:numPr>
          <w:ilvl w:val="1"/>
          <w:numId w:val="28"/>
        </w:numPr>
      </w:pPr>
      <w:r w:rsidRPr="00787971">
        <w:t>As a result of these consultation processes, the regulation impact costing</w:t>
      </w:r>
      <w:r w:rsidRPr="005D0738">
        <w:t xml:space="preserve"> </w:t>
      </w:r>
      <w:r w:rsidR="00787971" w:rsidRPr="00155ABB">
        <w:t>for the design and distribution obligations</w:t>
      </w:r>
      <w:r w:rsidRPr="00787971">
        <w:t xml:space="preserve"> was adjusted to reflect stakeholder feedback on the expected system changes and number of affected businesses; and policy changes to allow desired policy outcomes to be achieved in a more efficient manner.</w:t>
      </w:r>
    </w:p>
    <w:p w14:paraId="02848A8B" w14:textId="77777777" w:rsidR="00174362" w:rsidRDefault="00174362" w:rsidP="00B17774">
      <w:pPr>
        <w:pStyle w:val="Heading2"/>
      </w:pPr>
      <w:r>
        <w:t>Design and Distribution Obligations</w:t>
      </w:r>
    </w:p>
    <w:p w14:paraId="31C3A5B4" w14:textId="77777777" w:rsidR="00174362" w:rsidRDefault="00174362" w:rsidP="00F273E7">
      <w:pPr>
        <w:pStyle w:val="Heading3"/>
      </w:pPr>
      <w:r>
        <w:t>The problem</w:t>
      </w:r>
    </w:p>
    <w:p w14:paraId="39B8AE81" w14:textId="77777777" w:rsidR="00174362" w:rsidRDefault="00174362" w:rsidP="00174362">
      <w:pPr>
        <w:pStyle w:val="base-text-paragraph"/>
        <w:numPr>
          <w:ilvl w:val="1"/>
          <w:numId w:val="28"/>
        </w:numPr>
      </w:pPr>
      <w:r>
        <w:t xml:space="preserve">The </w:t>
      </w:r>
      <w:r w:rsidR="00517BAD">
        <w:t>FSI</w:t>
      </w:r>
      <w:r>
        <w:t xml:space="preserve"> found that the existing regulatory framework governing financial products relies heavily on disclosure, financial advice and financial literacy. However, disclosure can be ineffective for a number of reasons, including consumer disengagement, complexity of documents and products, behavioural biases, misaligned interests and low financial literacy. Many consumers do not seek advice, and those who do may receive poor-quality advice. Many products are also distributed directly to consumers.</w:t>
      </w:r>
    </w:p>
    <w:p w14:paraId="7D0B599C" w14:textId="77777777" w:rsidR="00174362" w:rsidRDefault="00174362" w:rsidP="00174362">
      <w:pPr>
        <w:pStyle w:val="base-text-paragraph"/>
        <w:numPr>
          <w:ilvl w:val="1"/>
          <w:numId w:val="28"/>
        </w:numPr>
      </w:pPr>
      <w:r>
        <w:t>Such issues contributed to consumer detriment from financial investment failures, such as Storm Financial, Opes Prime, Westpoint, agribusiness schemes and unlisted debentures, which affected more than 80,000 consumers. Losses from these failures totalled more than $5 </w:t>
      </w:r>
      <w:r w:rsidR="00DC1671">
        <w:t>billion</w:t>
      </w:r>
      <w:r>
        <w:t xml:space="preserve"> or $4 billion after compensation and liquidator recoveries. Although these losses have a number of contributing causes, poor product design and distribution practices that disregarded consumer behavioural biases and information imbalances played a significant role. </w:t>
      </w:r>
    </w:p>
    <w:p w14:paraId="3779B234" w14:textId="77777777" w:rsidR="00174362" w:rsidRDefault="00174362" w:rsidP="00174362">
      <w:pPr>
        <w:pStyle w:val="base-text-paragraph"/>
        <w:numPr>
          <w:ilvl w:val="1"/>
          <w:numId w:val="28"/>
        </w:numPr>
      </w:pPr>
      <w:r>
        <w:t>The quality of product design and distribution controls was found to be variable. ASIC’s report on Regulating Complex Products observed that some consumers acquire structured products that are riskier than they realise. For example:</w:t>
      </w:r>
    </w:p>
    <w:p w14:paraId="52B64A62" w14:textId="77777777" w:rsidR="00174362" w:rsidRDefault="00174362" w:rsidP="00F273E7">
      <w:pPr>
        <w:pStyle w:val="dotpoint"/>
      </w:pPr>
      <w:r>
        <w:t>Insufficient information provided in the disclosure documents, advertising and seminars relating to over</w:t>
      </w:r>
      <w:r>
        <w:noBreakHyphen/>
        <w:t>the</w:t>
      </w:r>
      <w:r>
        <w:noBreakHyphen/>
        <w:t>counter contracts for difference (CFD) made it difficult for retail consumers to make informed investment decisions.</w:t>
      </w:r>
    </w:p>
    <w:p w14:paraId="3650751B" w14:textId="77777777" w:rsidR="00174362" w:rsidRDefault="00174362" w:rsidP="00F273E7">
      <w:pPr>
        <w:pStyle w:val="dotpoint"/>
      </w:pPr>
      <w:r>
        <w:t>Some firms distributing hybrid securities included sales information in addition to, or inconsistent with, the information in the prospectus. This information tended to emphasise high yield while downplaying risk.</w:t>
      </w:r>
    </w:p>
    <w:p w14:paraId="47A96F0A" w14:textId="77777777" w:rsidR="00174362" w:rsidRDefault="00174362" w:rsidP="00174362">
      <w:pPr>
        <w:pStyle w:val="base-text-paragraph"/>
        <w:numPr>
          <w:ilvl w:val="1"/>
          <w:numId w:val="28"/>
        </w:numPr>
      </w:pPr>
      <w:r>
        <w:t xml:space="preserve">The </w:t>
      </w:r>
      <w:r w:rsidR="00517BAD">
        <w:t>FSI</w:t>
      </w:r>
      <w:r>
        <w:t xml:space="preserve"> was also concerned that certain less complex add-on insurance products may not meet the needs of some consumers. For example, an ASIC report revealed that Consumer Credit Insurance (CCI) products were being bought by consumers whose situation made them ineligible to claim under the policy. </w:t>
      </w:r>
    </w:p>
    <w:p w14:paraId="4A15B17E" w14:textId="77777777" w:rsidR="00174362" w:rsidRDefault="00174362" w:rsidP="00174362">
      <w:pPr>
        <w:pStyle w:val="base-text-paragraph"/>
        <w:numPr>
          <w:ilvl w:val="1"/>
          <w:numId w:val="28"/>
        </w:numPr>
      </w:pPr>
      <w:r>
        <w:t>The financial services industry had already attempted to address this problem through broader risk management processes and specific initiatives. For example, the Australian Financial Markets Association (AFMA) developed product approval principles for retail structured finance products. However, they do not cover all issuers and distributors, and, in any event, are not enforceable. Government intervention is required to ensure that ASIC has the necessary toolkit to prevent consumer detriment by subjecting product issuers and distributors to more positive obligations in regard to the appropriateness of its products to their end consumer.</w:t>
      </w:r>
    </w:p>
    <w:p w14:paraId="3D4706F7" w14:textId="77777777" w:rsidR="00174362" w:rsidRDefault="00174362" w:rsidP="00F273E7">
      <w:pPr>
        <w:pStyle w:val="Heading3"/>
      </w:pPr>
      <w:r>
        <w:t>Policy options and net benefits</w:t>
      </w:r>
    </w:p>
    <w:p w14:paraId="68E3038D" w14:textId="77777777" w:rsidR="00174362" w:rsidRDefault="00174362" w:rsidP="00174362">
      <w:pPr>
        <w:pStyle w:val="base-text-paragraph"/>
        <w:numPr>
          <w:ilvl w:val="1"/>
          <w:numId w:val="28"/>
        </w:numPr>
      </w:pPr>
      <w:r>
        <w:t xml:space="preserve">The </w:t>
      </w:r>
      <w:r w:rsidR="00FF7C19">
        <w:t>FSI</w:t>
      </w:r>
      <w:r>
        <w:t xml:space="preserve"> considered a range of policy options to </w:t>
      </w:r>
      <w:r w:rsidRPr="009C4106">
        <w:t>reduce the number of consumers buying product</w:t>
      </w:r>
      <w:r>
        <w:t xml:space="preserve">s that do not match their needs. These included: </w:t>
      </w:r>
    </w:p>
    <w:p w14:paraId="680C1F8C" w14:textId="77777777" w:rsidR="00174362" w:rsidRPr="009C4106" w:rsidRDefault="00174362" w:rsidP="00F273E7">
      <w:pPr>
        <w:pStyle w:val="dotpoint"/>
      </w:pPr>
      <w:r>
        <w:t>i</w:t>
      </w:r>
      <w:r w:rsidRPr="009C4106">
        <w:t>ntr</w:t>
      </w:r>
      <w:r>
        <w:t>oducing</w:t>
      </w:r>
      <w:r w:rsidRPr="009C4106">
        <w:t xml:space="preserve"> individual appropriateness test</w:t>
      </w:r>
      <w:r>
        <w:t>s</w:t>
      </w:r>
      <w:r w:rsidRPr="009C4106">
        <w:t xml:space="preserve"> at poi</w:t>
      </w:r>
      <w:r>
        <w:t>nt of sale for complex products; and</w:t>
      </w:r>
    </w:p>
    <w:p w14:paraId="34232A35" w14:textId="77777777" w:rsidR="00174362" w:rsidRPr="009C4106" w:rsidRDefault="00174362" w:rsidP="00F273E7">
      <w:pPr>
        <w:pStyle w:val="dotpoint"/>
      </w:pPr>
      <w:r>
        <w:t>i</w:t>
      </w:r>
      <w:r w:rsidRPr="009C4106">
        <w:t>mplement</w:t>
      </w:r>
      <w:r>
        <w:t>ing</w:t>
      </w:r>
      <w:r w:rsidRPr="009C4106">
        <w:t xml:space="preserve"> a new </w:t>
      </w:r>
      <w:r>
        <w:t>obligation through a fully self</w:t>
      </w:r>
      <w:r>
        <w:noBreakHyphen/>
      </w:r>
      <w:r w:rsidRPr="009C4106">
        <w:t>regulatory approach by setting expectations for industry and monitoring their progress, with regulatory follow-up if progress is not made.</w:t>
      </w:r>
    </w:p>
    <w:p w14:paraId="4416FFC1" w14:textId="336D5A25" w:rsidR="00174362" w:rsidRDefault="00174362" w:rsidP="00174362">
      <w:pPr>
        <w:pStyle w:val="base-text-paragraph"/>
        <w:numPr>
          <w:ilvl w:val="1"/>
          <w:numId w:val="28"/>
        </w:numPr>
      </w:pPr>
      <w:r>
        <w:t xml:space="preserve">An individual appropriateness test requires the assessment of some of an individual’s personal circumstances before making the product available to them. An individual appropriateness test, where no personal advice is provided, would introduce significant costs for issuers and distributors due to necessary changes to the sales process. Appropriateness tests are also open to manipulation. The </w:t>
      </w:r>
      <w:r w:rsidR="00FF7C19">
        <w:t xml:space="preserve">FSI </w:t>
      </w:r>
      <w:r>
        <w:t>found that the objective can be achieved by taking a principles</w:t>
      </w:r>
      <w:r w:rsidR="00D84322">
        <w:t xml:space="preserve"> </w:t>
      </w:r>
      <w:r>
        <w:t>based approach to product design and distribution that is less prescriptive.</w:t>
      </w:r>
    </w:p>
    <w:p w14:paraId="415E7A69" w14:textId="77777777" w:rsidR="00174362" w:rsidRDefault="00174362" w:rsidP="00174362">
      <w:pPr>
        <w:pStyle w:val="base-text-paragraph"/>
        <w:numPr>
          <w:ilvl w:val="1"/>
          <w:numId w:val="28"/>
        </w:numPr>
      </w:pPr>
      <w:r>
        <w:t>Implementing a new obligation through a self-regulatory approach would build on work of AFMA, rely on the financial services industry to monitor how standards are applied and take relevant disciplinary action if required. However, experience with industry self</w:t>
      </w:r>
      <w:r>
        <w:noBreakHyphen/>
        <w:t>regulation in the financial sector suggested that improving the design and distribution of products for consumers would not be achieved by self</w:t>
      </w:r>
      <w:r>
        <w:noBreakHyphen/>
        <w:t>regulation alone.</w:t>
      </w:r>
    </w:p>
    <w:p w14:paraId="608AEC2E" w14:textId="77777777" w:rsidR="00174362" w:rsidRPr="008F726E" w:rsidRDefault="00174362" w:rsidP="00174362">
      <w:pPr>
        <w:pStyle w:val="base-text-paragraph"/>
        <w:numPr>
          <w:ilvl w:val="1"/>
          <w:numId w:val="28"/>
        </w:numPr>
      </w:pPr>
      <w:r>
        <w:t xml:space="preserve">The </w:t>
      </w:r>
      <w:r w:rsidR="00FF7C19">
        <w:t xml:space="preserve">FSI </w:t>
      </w:r>
      <w:r>
        <w:t>found that past industry-led standards have not been sufficient by themselves to address serious conduct issues; for example, managing conflicts in financial advice driven by remuneration. Despite efforts over many years, the financial advice industry failed to improve financial advisers’ conduct, leaving it unable to prevent or reduce the effect of recent serious cases of poor advice. Self-regulation alone would also fail to underscore the importance of this recommendation to improve consumer outcomes.</w:t>
      </w:r>
    </w:p>
    <w:p w14:paraId="4C9378FA" w14:textId="77777777" w:rsidR="00174362" w:rsidRDefault="00174362" w:rsidP="00F273E7">
      <w:pPr>
        <w:pStyle w:val="Heading3"/>
      </w:pPr>
      <w:r>
        <w:t>Agreed Option</w:t>
      </w:r>
    </w:p>
    <w:p w14:paraId="5094E79C" w14:textId="77777777" w:rsidR="00174362" w:rsidRDefault="00174362" w:rsidP="00174362">
      <w:pPr>
        <w:pStyle w:val="base-text-paragraph"/>
        <w:numPr>
          <w:ilvl w:val="1"/>
          <w:numId w:val="28"/>
        </w:numPr>
      </w:pPr>
      <w:r>
        <w:t xml:space="preserve">As part of its response to the </w:t>
      </w:r>
      <w:r w:rsidR="00FF7C19">
        <w:t>FSI</w:t>
      </w:r>
      <w:r>
        <w:t xml:space="preserve">, the Government announced its agreement to creating targeted and principles-based financial product design and distribution obligations. </w:t>
      </w:r>
    </w:p>
    <w:p w14:paraId="7B862EE0" w14:textId="77777777" w:rsidR="00174362" w:rsidRDefault="00174362" w:rsidP="00174362">
      <w:pPr>
        <w:pStyle w:val="base-text-paragraph"/>
        <w:numPr>
          <w:ilvl w:val="1"/>
          <w:numId w:val="28"/>
        </w:numPr>
      </w:pPr>
      <w:r>
        <w:t xml:space="preserve">Increasing the accountability of product issuers and distributors in this way boosts consumer confidence and trust in the system. This view was supported in submissions to the </w:t>
      </w:r>
      <w:r w:rsidR="005E18DD">
        <w:t>FSI</w:t>
      </w:r>
      <w:r>
        <w:t xml:space="preserve"> by many consumer groups and financial advice groups. However, industry submissions noted that many firms already have sophisticated controls in place, and regulatory intervention would increase product costs or decrease product offerings for consumers. Submissions from issuers, distributors and industry groups also raised concerns about the difficulty for product issuers in determining the suitability of products and the additional compliance cost involved with introducing new obligations. Firms believed their processes would need to be reviewed even if they already have controls in place.</w:t>
      </w:r>
    </w:p>
    <w:p w14:paraId="38595860" w14:textId="0527FDE2" w:rsidR="00174362" w:rsidRDefault="00174362" w:rsidP="00155ABB">
      <w:pPr>
        <w:pStyle w:val="base-text-paragraph"/>
        <w:numPr>
          <w:ilvl w:val="1"/>
          <w:numId w:val="28"/>
        </w:numPr>
      </w:pPr>
      <w:r>
        <w:t xml:space="preserve">Nevertheless, the </w:t>
      </w:r>
      <w:r w:rsidR="005E18DD">
        <w:t>FSI</w:t>
      </w:r>
      <w:r>
        <w:t xml:space="preserve"> noted that the obligations are likely to have substantial benefits for consumers. As discussed earlier, in conjunction with other measures, product issuer and distributor obligations are intended to reduce the incidence of cases such as</w:t>
      </w:r>
      <w:r w:rsidR="006262B5">
        <w:t xml:space="preserve"> </w:t>
      </w:r>
      <w:r>
        <w:t>Opes Prime, where complex securities lending arrangements were not understood by consumers. As a result, hundreds of clients, many of whom were retail consumers, faced close to $400 million net losses.</w:t>
      </w:r>
    </w:p>
    <w:p w14:paraId="56A036A9" w14:textId="6A4382AB" w:rsidR="00174362" w:rsidRDefault="00174362" w:rsidP="00174362">
      <w:pPr>
        <w:pStyle w:val="base-text-paragraph"/>
        <w:numPr>
          <w:ilvl w:val="1"/>
          <w:numId w:val="28"/>
        </w:numPr>
      </w:pPr>
      <w:r>
        <w:t xml:space="preserve">The </w:t>
      </w:r>
      <w:r w:rsidR="004B3C90">
        <w:t>FSI</w:t>
      </w:r>
      <w:r>
        <w:t xml:space="preserve"> considered that industry concerns about implementation costs could be dealt with by ensuring the obligation builds on good practice, is principles</w:t>
      </w:r>
      <w:r w:rsidR="00D84322">
        <w:t xml:space="preserve"> </w:t>
      </w:r>
      <w:r>
        <w:t xml:space="preserve">based and is applied on a scaled basis, allowing scope for firms to adapt their existing practices. Thus, the new obligation imposes minimal costs on firms with existing good practices. Some incremental costs for industry may include client categorisation, record keeping, updating documentation and staff training, as well as monitoring changes in the external environment. </w:t>
      </w:r>
    </w:p>
    <w:p w14:paraId="5B5DDECA" w14:textId="77777777" w:rsidR="00174362" w:rsidRDefault="00174362" w:rsidP="00174362">
      <w:pPr>
        <w:pStyle w:val="base-text-paragraph"/>
        <w:numPr>
          <w:ilvl w:val="1"/>
          <w:numId w:val="28"/>
        </w:numPr>
      </w:pPr>
      <w:r>
        <w:t xml:space="preserve">Some stakeholders suggested that a new obligation of this kind should be limited to the design and distribution of complex products. Although many of the cases of concern leading up to the </w:t>
      </w:r>
      <w:r w:rsidR="00B74946">
        <w:t>FSI</w:t>
      </w:r>
      <w:r>
        <w:t xml:space="preserve"> involve distribution of complex products to retail clients, examples of concern have also included distribution of less complex products such as add-on insurance and debentures. There were ASIC Enforceable Undertakings that raised concerns with the quality of distribution plans for credit cards. The </w:t>
      </w:r>
      <w:r w:rsidR="00DC1671">
        <w:t>FSI</w:t>
      </w:r>
      <w:r>
        <w:t>’s view was that the obligations should not be restricted. As such, the obligations are broad in its nature and scalable in line with the nature of the product.</w:t>
      </w:r>
    </w:p>
    <w:p w14:paraId="3B38CCB7" w14:textId="77777777" w:rsidR="00174362" w:rsidRDefault="00174362" w:rsidP="00174362">
      <w:pPr>
        <w:pStyle w:val="base-text-paragraph"/>
        <w:numPr>
          <w:ilvl w:val="1"/>
          <w:numId w:val="28"/>
        </w:numPr>
      </w:pPr>
      <w:r>
        <w:t>This option delivers benefits to industry, including strengthening internal risk management for product design, which may mitigate future problems, as well as signalling a higher level of customer focus. This approach also avoids new, more complex and interventionist regulation in the future, promoting efficiency in the financial system overall.</w:t>
      </w:r>
    </w:p>
    <w:p w14:paraId="0D126073" w14:textId="77777777" w:rsidR="00174362" w:rsidRPr="00A824F2" w:rsidRDefault="00174362" w:rsidP="00174362">
      <w:pPr>
        <w:pStyle w:val="base-text-paragraph"/>
        <w:numPr>
          <w:ilvl w:val="1"/>
          <w:numId w:val="28"/>
        </w:numPr>
      </w:pPr>
      <w:r w:rsidRPr="00A824F2">
        <w:t xml:space="preserve">A regulatory costing has been prepared, consistent with the Government’s Regulatory Burden Measurement Framework. </w:t>
      </w:r>
    </w:p>
    <w:p w14:paraId="150AD8B2" w14:textId="77777777" w:rsidR="00174362" w:rsidRDefault="00174362" w:rsidP="00174362">
      <w:pPr>
        <w:pStyle w:val="base-text-paragraph"/>
        <w:numPr>
          <w:ilvl w:val="1"/>
          <w:numId w:val="28"/>
        </w:numPr>
      </w:pPr>
      <w:r w:rsidRPr="00A824F2">
        <w:t>For product issuers and distributors, implementation and ongoing costs are associated with</w:t>
      </w:r>
      <w:r>
        <w:t>:</w:t>
      </w:r>
    </w:p>
    <w:p w14:paraId="5C27F1FD" w14:textId="77777777" w:rsidR="00174362" w:rsidRDefault="00174362" w:rsidP="00F273E7">
      <w:pPr>
        <w:pStyle w:val="dotpoint"/>
      </w:pPr>
      <w:r w:rsidRPr="00A824F2">
        <w:t>developing policies and procedures to ensure that they are complying with the new requirements</w:t>
      </w:r>
      <w:r>
        <w:t>;</w:t>
      </w:r>
    </w:p>
    <w:p w14:paraId="037B6223" w14:textId="77777777" w:rsidR="00174362" w:rsidRDefault="00174362" w:rsidP="00F273E7">
      <w:pPr>
        <w:pStyle w:val="dotpoint"/>
      </w:pPr>
      <w:r>
        <w:t>changing</w:t>
      </w:r>
      <w:r w:rsidRPr="00A824F2">
        <w:t xml:space="preserve"> product review and distribution standards</w:t>
      </w:r>
      <w:r>
        <w:t>;</w:t>
      </w:r>
      <w:r w:rsidRPr="00A824F2">
        <w:t xml:space="preserve"> and </w:t>
      </w:r>
    </w:p>
    <w:p w14:paraId="2F70896B" w14:textId="77777777" w:rsidR="00174362" w:rsidRDefault="00174362" w:rsidP="00F273E7">
      <w:pPr>
        <w:pStyle w:val="dotpoint"/>
      </w:pPr>
      <w:r>
        <w:t>communicating</w:t>
      </w:r>
      <w:r w:rsidRPr="00A824F2">
        <w:t xml:space="preserve"> with other distributors and issuers</w:t>
      </w:r>
      <w:r>
        <w:t xml:space="preserve"> as relevant</w:t>
      </w:r>
      <w:r w:rsidRPr="00A824F2">
        <w:t xml:space="preserve">. </w:t>
      </w:r>
    </w:p>
    <w:p w14:paraId="0B54AA43" w14:textId="47C54652" w:rsidR="00174362" w:rsidRPr="00A824F2" w:rsidRDefault="00174362" w:rsidP="00174362">
      <w:pPr>
        <w:pStyle w:val="base-text-paragraph"/>
        <w:numPr>
          <w:ilvl w:val="1"/>
          <w:numId w:val="28"/>
        </w:numPr>
      </w:pPr>
      <w:r>
        <w:t xml:space="preserve">The costs </w:t>
      </w:r>
      <w:r w:rsidR="0068102D">
        <w:t>also</w:t>
      </w:r>
      <w:r>
        <w:t xml:space="preserve"> include </w:t>
      </w:r>
      <w:r w:rsidRPr="00A824F2">
        <w:t>updating IT systems to ensure that existing systems are compliant with requi</w:t>
      </w:r>
      <w:r>
        <w:t>rements</w:t>
      </w:r>
      <w:r w:rsidRPr="00A824F2">
        <w:t xml:space="preserve"> and that they will be able to monitor products and customers on an ongoing basis. </w:t>
      </w:r>
    </w:p>
    <w:p w14:paraId="4A147E64" w14:textId="68DF2A14" w:rsidR="00174362" w:rsidRPr="00A824F2" w:rsidRDefault="00174362" w:rsidP="00174362">
      <w:pPr>
        <w:pStyle w:val="base-text-paragraph"/>
        <w:numPr>
          <w:ilvl w:val="1"/>
          <w:numId w:val="28"/>
        </w:numPr>
      </w:pPr>
      <w:r w:rsidRPr="00A824F2">
        <w:t>It is estimated that the increase in annual compliance costs for the industry as a whole will amount to $</w:t>
      </w:r>
      <w:r w:rsidR="0068102D">
        <w:t>94.7</w:t>
      </w:r>
      <w:r w:rsidRPr="00A824F2">
        <w:t xml:space="preserve"> million.</w:t>
      </w:r>
    </w:p>
    <w:p w14:paraId="0F41A90F" w14:textId="77777777" w:rsidR="00174362" w:rsidRPr="00A824F2" w:rsidRDefault="00174362" w:rsidP="00174362">
      <w:pPr>
        <w:pStyle w:val="TableHeadingoutsidetable"/>
        <w:numPr>
          <w:ilvl w:val="4"/>
          <w:numId w:val="28"/>
        </w:numPr>
        <w:tabs>
          <w:tab w:val="num" w:pos="360"/>
        </w:tabs>
      </w:pPr>
      <w:r w:rsidRPr="00A824F2">
        <w:t>: Regulatory burden estimate table</w:t>
      </w:r>
    </w:p>
    <w:tbl>
      <w:tblPr>
        <w:tblStyle w:val="LightGrid-Accent2"/>
        <w:tblW w:w="417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gulatory burden estimate table"/>
        <w:tblDescription w:val="Template for the Regulatory burden estimate table"/>
      </w:tblPr>
      <w:tblGrid>
        <w:gridCol w:w="1861"/>
        <w:gridCol w:w="974"/>
        <w:gridCol w:w="1416"/>
        <w:gridCol w:w="1136"/>
        <w:gridCol w:w="1238"/>
      </w:tblGrid>
      <w:tr w:rsidR="00174362" w:rsidRPr="00A824F2" w14:paraId="10665304" w14:textId="77777777" w:rsidTr="00F273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pct"/>
            <w:tcBorders>
              <w:top w:val="single" w:sz="4" w:space="0" w:color="auto"/>
              <w:left w:val="single" w:sz="4" w:space="0" w:color="auto"/>
              <w:bottom w:val="single" w:sz="4" w:space="0" w:color="auto"/>
              <w:right w:val="single" w:sz="4" w:space="0" w:color="auto"/>
            </w:tcBorders>
            <w:noWrap/>
            <w:hideMark/>
          </w:tcPr>
          <w:p w14:paraId="64FF590C" w14:textId="77777777" w:rsidR="00174362" w:rsidRPr="00A824F2" w:rsidRDefault="00174362">
            <w:pPr>
              <w:pStyle w:val="tableheaderwithintable"/>
            </w:pPr>
            <w:r w:rsidRPr="00A824F2">
              <w:rPr>
                <w:b/>
              </w:rPr>
              <w:t>Change in costs ($ million)</w:t>
            </w:r>
          </w:p>
        </w:tc>
        <w:tc>
          <w:tcPr>
            <w:tcW w:w="735" w:type="pct"/>
            <w:tcBorders>
              <w:top w:val="single" w:sz="4" w:space="0" w:color="auto"/>
              <w:left w:val="single" w:sz="4" w:space="0" w:color="auto"/>
              <w:bottom w:val="single" w:sz="4" w:space="0" w:color="auto"/>
              <w:right w:val="single" w:sz="4" w:space="0" w:color="auto"/>
            </w:tcBorders>
            <w:noWrap/>
            <w:hideMark/>
          </w:tcPr>
          <w:p w14:paraId="33080ED5" w14:textId="77777777" w:rsidR="00174362" w:rsidRPr="00A824F2" w:rsidRDefault="00174362">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Business</w:t>
            </w:r>
          </w:p>
        </w:tc>
        <w:tc>
          <w:tcPr>
            <w:tcW w:w="1069" w:type="pct"/>
            <w:tcBorders>
              <w:top w:val="single" w:sz="4" w:space="0" w:color="auto"/>
              <w:left w:val="single" w:sz="4" w:space="0" w:color="auto"/>
              <w:bottom w:val="single" w:sz="4" w:space="0" w:color="auto"/>
              <w:right w:val="single" w:sz="4" w:space="0" w:color="auto"/>
            </w:tcBorders>
            <w:noWrap/>
            <w:hideMark/>
          </w:tcPr>
          <w:p w14:paraId="572DC351" w14:textId="77777777" w:rsidR="00174362" w:rsidRPr="00A824F2" w:rsidRDefault="00174362">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Community organisations</w:t>
            </w:r>
          </w:p>
        </w:tc>
        <w:tc>
          <w:tcPr>
            <w:tcW w:w="857" w:type="pct"/>
            <w:tcBorders>
              <w:top w:val="single" w:sz="4" w:space="0" w:color="auto"/>
              <w:left w:val="single" w:sz="4" w:space="0" w:color="auto"/>
              <w:bottom w:val="single" w:sz="4" w:space="0" w:color="auto"/>
              <w:right w:val="single" w:sz="4" w:space="0" w:color="auto"/>
            </w:tcBorders>
            <w:noWrap/>
            <w:hideMark/>
          </w:tcPr>
          <w:p w14:paraId="11AACE46" w14:textId="77777777" w:rsidR="00174362" w:rsidRPr="00A824F2" w:rsidRDefault="00174362">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Individuals</w:t>
            </w:r>
          </w:p>
        </w:tc>
        <w:tc>
          <w:tcPr>
            <w:tcW w:w="934" w:type="pct"/>
            <w:tcBorders>
              <w:top w:val="single" w:sz="4" w:space="0" w:color="auto"/>
              <w:left w:val="single" w:sz="4" w:space="0" w:color="auto"/>
              <w:bottom w:val="single" w:sz="4" w:space="0" w:color="auto"/>
              <w:right w:val="single" w:sz="4" w:space="0" w:color="auto"/>
            </w:tcBorders>
            <w:noWrap/>
            <w:hideMark/>
          </w:tcPr>
          <w:p w14:paraId="60B810B8" w14:textId="77777777" w:rsidR="00174362" w:rsidRPr="00A824F2" w:rsidRDefault="00174362">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Total change in costs</w:t>
            </w:r>
          </w:p>
        </w:tc>
      </w:tr>
      <w:tr w:rsidR="00174362" w:rsidRPr="00A824F2" w14:paraId="182FD35E" w14:textId="77777777" w:rsidTr="00F273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pct"/>
            <w:tcBorders>
              <w:top w:val="single" w:sz="4" w:space="0" w:color="auto"/>
              <w:left w:val="single" w:sz="4" w:space="0" w:color="auto"/>
              <w:bottom w:val="single" w:sz="4" w:space="0" w:color="auto"/>
              <w:right w:val="single" w:sz="4" w:space="0" w:color="auto"/>
            </w:tcBorders>
            <w:noWrap/>
            <w:hideMark/>
          </w:tcPr>
          <w:p w14:paraId="408B70B5" w14:textId="77777777" w:rsidR="00174362" w:rsidRPr="00A824F2" w:rsidRDefault="00174362">
            <w:pPr>
              <w:pStyle w:val="tableheaderwithintable"/>
            </w:pPr>
            <w:r w:rsidRPr="00A824F2">
              <w:rPr>
                <w:b/>
              </w:rPr>
              <w:t>Total, by sector</w:t>
            </w:r>
          </w:p>
        </w:tc>
        <w:tc>
          <w:tcPr>
            <w:tcW w:w="735" w:type="pct"/>
            <w:tcBorders>
              <w:top w:val="single" w:sz="4" w:space="0" w:color="auto"/>
              <w:left w:val="single" w:sz="4" w:space="0" w:color="auto"/>
              <w:bottom w:val="single" w:sz="4" w:space="0" w:color="auto"/>
              <w:right w:val="single" w:sz="4" w:space="0" w:color="auto"/>
            </w:tcBorders>
            <w:noWrap/>
            <w:hideMark/>
          </w:tcPr>
          <w:p w14:paraId="406FA8B2" w14:textId="545E2D89" w:rsidR="00174362" w:rsidRPr="00A824F2" w:rsidRDefault="00174362" w:rsidP="00F273E7">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w:t>
            </w:r>
            <w:r w:rsidR="0068102D">
              <w:rPr>
                <w:rFonts w:eastAsiaTheme="majorEastAsia" w:cstheme="majorBidi"/>
                <w:bCs/>
                <w:i/>
              </w:rPr>
              <w:t>94.7</w:t>
            </w:r>
          </w:p>
        </w:tc>
        <w:tc>
          <w:tcPr>
            <w:tcW w:w="1069" w:type="pct"/>
            <w:tcBorders>
              <w:top w:val="single" w:sz="4" w:space="0" w:color="auto"/>
              <w:left w:val="single" w:sz="4" w:space="0" w:color="auto"/>
              <w:bottom w:val="single" w:sz="4" w:space="0" w:color="auto"/>
              <w:right w:val="single" w:sz="4" w:space="0" w:color="auto"/>
            </w:tcBorders>
            <w:noWrap/>
            <w:hideMark/>
          </w:tcPr>
          <w:p w14:paraId="16A77F72" w14:textId="77777777" w:rsidR="00174362" w:rsidRPr="00A824F2" w:rsidRDefault="00174362">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$0</w:t>
            </w:r>
          </w:p>
        </w:tc>
        <w:tc>
          <w:tcPr>
            <w:tcW w:w="857" w:type="pct"/>
            <w:tcBorders>
              <w:top w:val="single" w:sz="4" w:space="0" w:color="auto"/>
              <w:left w:val="single" w:sz="4" w:space="0" w:color="auto"/>
              <w:bottom w:val="single" w:sz="4" w:space="0" w:color="auto"/>
              <w:right w:val="single" w:sz="4" w:space="0" w:color="auto"/>
            </w:tcBorders>
            <w:noWrap/>
            <w:hideMark/>
          </w:tcPr>
          <w:p w14:paraId="32D0F688" w14:textId="77777777" w:rsidR="00174362" w:rsidRPr="00A824F2" w:rsidRDefault="00174362">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$0</w:t>
            </w:r>
          </w:p>
        </w:tc>
        <w:tc>
          <w:tcPr>
            <w:tcW w:w="934" w:type="pct"/>
            <w:tcBorders>
              <w:top w:val="single" w:sz="4" w:space="0" w:color="auto"/>
              <w:left w:val="single" w:sz="4" w:space="0" w:color="auto"/>
              <w:bottom w:val="single" w:sz="4" w:space="0" w:color="auto"/>
              <w:right w:val="single" w:sz="4" w:space="0" w:color="auto"/>
            </w:tcBorders>
            <w:noWrap/>
            <w:hideMark/>
          </w:tcPr>
          <w:p w14:paraId="158E8923" w14:textId="4589852D" w:rsidR="00174362" w:rsidRPr="00A824F2" w:rsidRDefault="00174362">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Pr>
                <w:rFonts w:eastAsiaTheme="majorEastAsia" w:cstheme="majorBidi"/>
                <w:bCs/>
                <w:i/>
              </w:rPr>
              <w:t>$</w:t>
            </w:r>
            <w:r w:rsidR="0068102D">
              <w:rPr>
                <w:rFonts w:eastAsiaTheme="majorEastAsia" w:cstheme="majorBidi"/>
                <w:bCs/>
                <w:i/>
              </w:rPr>
              <w:t>94.7</w:t>
            </w:r>
          </w:p>
        </w:tc>
      </w:tr>
    </w:tbl>
    <w:p w14:paraId="7DCC73D8" w14:textId="77777777" w:rsidR="00174362" w:rsidRPr="00653748" w:rsidRDefault="00174362" w:rsidP="00F273E7">
      <w:pPr>
        <w:pStyle w:val="Heading2"/>
        <w:rPr>
          <w:b w:val="0"/>
        </w:rPr>
      </w:pPr>
      <w:r w:rsidRPr="00653748">
        <w:rPr>
          <w:szCs w:val="26"/>
        </w:rPr>
        <w:t>Product</w:t>
      </w:r>
      <w:r w:rsidRPr="00653748">
        <w:rPr>
          <w:b w:val="0"/>
        </w:rPr>
        <w:t xml:space="preserve"> </w:t>
      </w:r>
      <w:r w:rsidRPr="00653748">
        <w:t>Intervention Power</w:t>
      </w:r>
    </w:p>
    <w:p w14:paraId="2785163D" w14:textId="77777777" w:rsidR="00174362" w:rsidRPr="000B75B4" w:rsidRDefault="00174362" w:rsidP="00F273E7">
      <w:pPr>
        <w:pStyle w:val="Heading3"/>
      </w:pPr>
      <w:r>
        <w:t>The problem</w:t>
      </w:r>
    </w:p>
    <w:p w14:paraId="37B2E3E0" w14:textId="77777777" w:rsidR="00174362" w:rsidRDefault="00174362" w:rsidP="00174362">
      <w:pPr>
        <w:pStyle w:val="base-text-paragraph"/>
      </w:pPr>
      <w:r>
        <w:t xml:space="preserve">The </w:t>
      </w:r>
      <w:r w:rsidR="00B74946">
        <w:t>FSI</w:t>
      </w:r>
      <w:r>
        <w:t xml:space="preserve"> identified that ASIC lacked a broad regulatory toolkit to respond effectively and in a timely way to an emerging risk of significant consumer detriment. </w:t>
      </w:r>
    </w:p>
    <w:p w14:paraId="64DCC750" w14:textId="77777777" w:rsidR="00174362" w:rsidRDefault="00174362" w:rsidP="00174362">
      <w:pPr>
        <w:pStyle w:val="base-text-paragraph"/>
      </w:pPr>
      <w:r>
        <w:t>Australia</w:t>
      </w:r>
      <w:r w:rsidDel="00432BED">
        <w:t xml:space="preserve"> </w:t>
      </w:r>
      <w:r>
        <w:t>had cases of significant consumer detriment where ASIC had exhausted its current regulatory toolkit and where there was no clear basis to take enforcement action. These include:</w:t>
      </w:r>
    </w:p>
    <w:p w14:paraId="04D73816" w14:textId="77777777" w:rsidR="00174362" w:rsidRDefault="00174362" w:rsidP="00174362">
      <w:pPr>
        <w:pStyle w:val="Bullet"/>
        <w:numPr>
          <w:ilvl w:val="0"/>
          <w:numId w:val="30"/>
        </w:numPr>
        <w:tabs>
          <w:tab w:val="clear" w:pos="520"/>
          <w:tab w:val="num" w:pos="2268"/>
        </w:tabs>
        <w:ind w:left="2268" w:hanging="283"/>
      </w:pPr>
      <w:r>
        <w:t>Mortgage managed investment schemes (MISs), where close to 100 were frozen in the market downturn during the global financial crisis. More than 4,000 consumers received hardship relief, indicating that many did not expect an investment of this type to be illiquid.</w:t>
      </w:r>
    </w:p>
    <w:p w14:paraId="4F8F464F" w14:textId="77777777" w:rsidR="00174362" w:rsidRDefault="00174362" w:rsidP="00174362">
      <w:pPr>
        <w:pStyle w:val="Bullet"/>
        <w:numPr>
          <w:ilvl w:val="0"/>
          <w:numId w:val="30"/>
        </w:numPr>
        <w:tabs>
          <w:tab w:val="clear" w:pos="520"/>
          <w:tab w:val="num" w:pos="2268"/>
        </w:tabs>
        <w:ind w:left="2268" w:hanging="283"/>
      </w:pPr>
      <w:r>
        <w:t>Unlisted debenture investments, such as Banksia Securities, where many consumers thought the products they bought were similar to bank term deposits. More than 1,500 consumers lost more than $100 million after recoveries. Prior to the collapses, ASIC took action to stop a number of individual pieces of marketing, but that did not correct consumers’ overall impressions about the level of risk involved.</w:t>
      </w:r>
    </w:p>
    <w:p w14:paraId="468925E2" w14:textId="77777777" w:rsidR="00174362" w:rsidRPr="005F21D2" w:rsidRDefault="00174362" w:rsidP="00174362">
      <w:pPr>
        <w:pStyle w:val="base-text-paragraph"/>
      </w:pPr>
      <w:r w:rsidRPr="005F21D2">
        <w:rPr>
          <w:shd w:val="clear" w:color="auto" w:fill="FFFFFF"/>
        </w:rPr>
        <w:t>In both cases, ASIC responded to the emerging risk of significant consumer detriment by providing guidance on the nature of disclosure that should accompany these products. However, ASIC did not have power to impose such disclosure requirements, instead seeking to create an expectation on firms to provide clearer disclosure that outlined the risk and central features of the products.</w:t>
      </w:r>
    </w:p>
    <w:p w14:paraId="167F1922" w14:textId="77777777" w:rsidR="00174362" w:rsidRDefault="00174362" w:rsidP="00174362">
      <w:pPr>
        <w:pStyle w:val="base-text-paragraph"/>
      </w:pPr>
      <w:r>
        <w:t>There have also been cases where ASIC lacked a broad toolkit to respond effectively and in a timely way to an emerging risk of significant consumer detriment. For example, the following cases involving leveraged investment strategies that exacerbated the loss for many consumers:</w:t>
      </w:r>
    </w:p>
    <w:p w14:paraId="24F3F283" w14:textId="77777777" w:rsidR="00174362" w:rsidRDefault="00174362" w:rsidP="00F273E7">
      <w:pPr>
        <w:pStyle w:val="dotpoint"/>
      </w:pPr>
      <w:r>
        <w:t>Agribusiness schemes did not perform in the way that consumers were led to believe. This included schemes relying on ongoing sales to fund their operations. Many consumers did not understand the potential risk of borrowing to invest in these products. In total, more than 65,000 consumers invested and lost close to $3 billion.</w:t>
      </w:r>
    </w:p>
    <w:p w14:paraId="3DAB582B" w14:textId="77777777" w:rsidR="00174362" w:rsidRPr="005F21D2" w:rsidRDefault="00174362" w:rsidP="00F273E7">
      <w:pPr>
        <w:pStyle w:val="dotpoint"/>
      </w:pPr>
      <w:r>
        <w:t>Financial collapses, such as Storm Financial and Opes Prime,</w:t>
      </w:r>
      <w:r w:rsidDel="00974D79">
        <w:t xml:space="preserve"> </w:t>
      </w:r>
      <w:r>
        <w:t>involved poor distribution practices</w:t>
      </w:r>
      <w:r w:rsidR="00F92845">
        <w:t>.</w:t>
      </w:r>
      <w:r>
        <w:t xml:space="preserve"> More than 3,000 consumers lost more than $1.4 billion, of which around half was recovered.</w:t>
      </w:r>
    </w:p>
    <w:p w14:paraId="71623585" w14:textId="77777777" w:rsidR="00174362" w:rsidRPr="005F21D2" w:rsidRDefault="00174362" w:rsidP="00174362">
      <w:pPr>
        <w:pStyle w:val="base-text-paragraph"/>
      </w:pPr>
      <w:r>
        <w:rPr>
          <w:color w:val="333333"/>
          <w:shd w:val="clear" w:color="auto" w:fill="FFFFFF"/>
        </w:rPr>
        <w:t xml:space="preserve">The </w:t>
      </w:r>
      <w:r w:rsidR="00B74946">
        <w:rPr>
          <w:color w:val="333333"/>
          <w:shd w:val="clear" w:color="auto" w:fill="FFFFFF"/>
        </w:rPr>
        <w:t>FSI</w:t>
      </w:r>
      <w:r>
        <w:rPr>
          <w:color w:val="333333"/>
          <w:shd w:val="clear" w:color="auto" w:fill="FFFFFF"/>
        </w:rPr>
        <w:t xml:space="preserve"> found that recent c</w:t>
      </w:r>
      <w:r w:rsidRPr="005F21D2">
        <w:rPr>
          <w:color w:val="333333"/>
          <w:shd w:val="clear" w:color="auto" w:fill="FFFFFF"/>
        </w:rPr>
        <w:t xml:space="preserve">hanges in technology </w:t>
      </w:r>
      <w:r>
        <w:rPr>
          <w:color w:val="333333"/>
          <w:shd w:val="clear" w:color="auto" w:fill="FFFFFF"/>
        </w:rPr>
        <w:t>have meant</w:t>
      </w:r>
      <w:r w:rsidRPr="005F21D2">
        <w:rPr>
          <w:color w:val="333333"/>
          <w:shd w:val="clear" w:color="auto" w:fill="FFFFFF"/>
        </w:rPr>
        <w:t xml:space="preserve"> that consumers have </w:t>
      </w:r>
      <w:r>
        <w:rPr>
          <w:color w:val="333333"/>
          <w:shd w:val="clear" w:color="auto" w:fill="FFFFFF"/>
        </w:rPr>
        <w:t xml:space="preserve">had </w:t>
      </w:r>
      <w:r w:rsidRPr="005F21D2">
        <w:rPr>
          <w:color w:val="333333"/>
          <w:shd w:val="clear" w:color="auto" w:fill="FFFFFF"/>
        </w:rPr>
        <w:t>increasing access to complex products, which can involve complicated structures and heightened risk. These products may be difficult for consumers to understand, testing the limits of the disclosure</w:t>
      </w:r>
      <w:r>
        <w:rPr>
          <w:color w:val="333333"/>
          <w:shd w:val="clear" w:color="auto" w:fill="FFFFFF"/>
        </w:rPr>
        <w:noBreakHyphen/>
      </w:r>
      <w:r w:rsidRPr="005F21D2">
        <w:rPr>
          <w:color w:val="333333"/>
          <w:shd w:val="clear" w:color="auto" w:fill="FFFFFF"/>
        </w:rPr>
        <w:t>based regulatory regime</w:t>
      </w:r>
      <w:r>
        <w:rPr>
          <w:color w:val="333333"/>
          <w:shd w:val="clear" w:color="auto" w:fill="FFFFFF"/>
        </w:rPr>
        <w:t xml:space="preserve">. </w:t>
      </w:r>
    </w:p>
    <w:p w14:paraId="5FAC2F98" w14:textId="77777777" w:rsidR="00174362" w:rsidRPr="005F21D2" w:rsidRDefault="00174362" w:rsidP="00F273E7">
      <w:pPr>
        <w:pStyle w:val="dotpoint"/>
      </w:pPr>
      <w:r w:rsidRPr="005F21D2">
        <w:rPr>
          <w:shd w:val="clear" w:color="auto" w:fill="FFFFFF"/>
        </w:rPr>
        <w:t>For example, some structured products have a high degree of risk, but are labelled, described and promoted in a way that suggests they have lower risk. In such cases, consumers may still not understand the risk/return trade-off or the central features of the financial product or strategy, even where they are accurately disclosed.</w:t>
      </w:r>
    </w:p>
    <w:p w14:paraId="6BAAB2DB" w14:textId="77777777" w:rsidR="00174362" w:rsidRDefault="00174362" w:rsidP="00174362">
      <w:pPr>
        <w:pStyle w:val="base-text-paragraph"/>
      </w:pPr>
      <w:r>
        <w:t xml:space="preserve">The </w:t>
      </w:r>
      <w:r w:rsidR="00210C42">
        <w:t>FSI</w:t>
      </w:r>
      <w:r>
        <w:t xml:space="preserve"> found that:</w:t>
      </w:r>
    </w:p>
    <w:p w14:paraId="0E9C7732" w14:textId="77777777" w:rsidR="00174362" w:rsidRDefault="00174362" w:rsidP="00F273E7">
      <w:pPr>
        <w:pStyle w:val="dotpoint"/>
      </w:pPr>
      <w:r>
        <w:t>a</w:t>
      </w:r>
      <w:r w:rsidRPr="005F21D2">
        <w:t>lthough complexity does not necessarily correlate to higher risk, complex features make it particularly difficult for consumers to assess the risk and appropriate pricing of higher-risk products</w:t>
      </w:r>
      <w:r>
        <w:t xml:space="preserve"> – </w:t>
      </w:r>
      <w:r w:rsidRPr="005F21D2">
        <w:t>ASIC found that 71 per cent of survey respondents, including industry participants, consumers and financial literacy specialists, believe that Australian consumers do not understand the risk involved with complex products</w:t>
      </w:r>
      <w:r>
        <w:t>;</w:t>
      </w:r>
    </w:p>
    <w:p w14:paraId="23956167" w14:textId="77777777" w:rsidR="00174362" w:rsidRDefault="00174362" w:rsidP="00F273E7">
      <w:pPr>
        <w:pStyle w:val="dotpoint"/>
      </w:pPr>
      <w:r w:rsidRPr="005F21D2">
        <w:t>complex products are particularly influenced by behavioural biases</w:t>
      </w:r>
      <w:r>
        <w:t xml:space="preserve"> – </w:t>
      </w:r>
      <w:r w:rsidRPr="005F21D2">
        <w:t>people respond automatically and unconsciously to try to simplify the decision-making process, leading to poor financial decisions.</w:t>
      </w:r>
    </w:p>
    <w:p w14:paraId="34C674A6" w14:textId="77777777" w:rsidR="00174362" w:rsidRDefault="00174362" w:rsidP="00174362">
      <w:pPr>
        <w:pStyle w:val="base-text-paragraph"/>
      </w:pPr>
      <w:r>
        <w:t xml:space="preserve">The </w:t>
      </w:r>
      <w:r w:rsidR="009E6187">
        <w:t>FSI</w:t>
      </w:r>
      <w:r>
        <w:t xml:space="preserve"> noted, however, that the</w:t>
      </w:r>
      <w:r w:rsidRPr="005F21D2">
        <w:t xml:space="preserve"> risk of consumer confusion about risk and features is not limited to complex products. Past case studies involving margin loans, mortgage schemes and debentures indicate consumers may also misunderstand less complex products and their core features and risk. Many consumers find information imbalances or behavioural biases hard to overcome. Some current product distribution strategies also hamper understanding. </w:t>
      </w:r>
    </w:p>
    <w:p w14:paraId="3C75E20A" w14:textId="77777777" w:rsidR="00174362" w:rsidRPr="000B75B4" w:rsidRDefault="00174362" w:rsidP="00174362">
      <w:pPr>
        <w:pStyle w:val="base-text-paragraph"/>
      </w:pPr>
      <w:r>
        <w:t xml:space="preserve">The </w:t>
      </w:r>
      <w:r w:rsidR="00605D0F">
        <w:t>FSI</w:t>
      </w:r>
      <w:r>
        <w:t xml:space="preserve">’s recommendation also took into account </w:t>
      </w:r>
      <w:r w:rsidRPr="005F21D2">
        <w:t>the Senate Economics References Committee’s report on ASIC’s performance. The Senate Committee suggested that urgent attention should be given to providing ASIC with the necessary toolkit to prevent consumer detriment through allowing ASIC to intervene and prohibit the issue of certain products in retail markets</w:t>
      </w:r>
      <w:r>
        <w:t>.</w:t>
      </w:r>
    </w:p>
    <w:p w14:paraId="116D7C64" w14:textId="77777777" w:rsidR="00174362" w:rsidRDefault="00174362" w:rsidP="00F273E7">
      <w:pPr>
        <w:pStyle w:val="Heading3"/>
      </w:pPr>
      <w:r>
        <w:t>Policy options and net benefits</w:t>
      </w:r>
    </w:p>
    <w:p w14:paraId="3049CB3E" w14:textId="77777777" w:rsidR="00174362" w:rsidRDefault="00174362" w:rsidP="00174362">
      <w:pPr>
        <w:pStyle w:val="base-text-paragraph"/>
        <w:numPr>
          <w:ilvl w:val="1"/>
          <w:numId w:val="28"/>
        </w:numPr>
      </w:pPr>
      <w:r>
        <w:t xml:space="preserve">The </w:t>
      </w:r>
      <w:r w:rsidR="00FF7D33">
        <w:t>FSI</w:t>
      </w:r>
      <w:r>
        <w:t xml:space="preserve"> considered a range of policy options to </w:t>
      </w:r>
      <w:r w:rsidRPr="009C4106">
        <w:t xml:space="preserve">reduce </w:t>
      </w:r>
      <w:r>
        <w:t>instances of consumer detriment, including:</w:t>
      </w:r>
    </w:p>
    <w:p w14:paraId="1A06C4DF" w14:textId="77777777" w:rsidR="00174362" w:rsidRDefault="00174362" w:rsidP="00174362">
      <w:pPr>
        <w:pStyle w:val="Bullet"/>
        <w:numPr>
          <w:ilvl w:val="0"/>
          <w:numId w:val="30"/>
        </w:numPr>
        <w:tabs>
          <w:tab w:val="clear" w:pos="520"/>
          <w:tab w:val="num" w:pos="2268"/>
        </w:tabs>
        <w:ind w:left="2268" w:hanging="283"/>
      </w:pPr>
      <w:r>
        <w:t>introducing default products for a range of basic financial needs; for example, deposits, home and contents insurance and basic investments; and</w:t>
      </w:r>
    </w:p>
    <w:p w14:paraId="10BB4D19" w14:textId="77777777" w:rsidR="00174362" w:rsidRDefault="00174362" w:rsidP="00174362">
      <w:pPr>
        <w:pStyle w:val="Bullet"/>
        <w:numPr>
          <w:ilvl w:val="0"/>
          <w:numId w:val="30"/>
        </w:numPr>
        <w:tabs>
          <w:tab w:val="clear" w:pos="520"/>
          <w:tab w:val="num" w:pos="2268"/>
        </w:tabs>
        <w:ind w:left="2268" w:hanging="283"/>
      </w:pPr>
      <w:r>
        <w:t>prohibiting the distribution of certain classes of non</w:t>
      </w:r>
      <w:r>
        <w:noBreakHyphen/>
        <w:t>mainstream products to retail clients.</w:t>
      </w:r>
    </w:p>
    <w:p w14:paraId="7C896064" w14:textId="77777777" w:rsidR="00174362" w:rsidRDefault="00174362" w:rsidP="00174362">
      <w:pPr>
        <w:pStyle w:val="base-text-paragraph"/>
        <w:numPr>
          <w:ilvl w:val="1"/>
          <w:numId w:val="28"/>
        </w:numPr>
      </w:pPr>
      <w:r w:rsidRPr="000B75B4">
        <w:t xml:space="preserve">Introducing default products would involve significant new powers and require considerable resources and skilled personnel. Although some areas may need default products, such as superannuation, where consumers are compelled to participate, the </w:t>
      </w:r>
      <w:r w:rsidR="00AE5626">
        <w:t>FSI</w:t>
      </w:r>
      <w:r w:rsidRPr="000B75B4">
        <w:t xml:space="preserve"> d</w:t>
      </w:r>
      <w:r>
        <w:t>id</w:t>
      </w:r>
      <w:r w:rsidRPr="000B75B4">
        <w:t xml:space="preserve"> not believe this rationale extend</w:t>
      </w:r>
      <w:r>
        <w:t>ed</w:t>
      </w:r>
      <w:r w:rsidRPr="000B75B4">
        <w:t xml:space="preserve"> to other product types. </w:t>
      </w:r>
      <w:r>
        <w:t>They thought that w</w:t>
      </w:r>
      <w:r w:rsidRPr="000B75B4">
        <w:t>idening the pool of default products may risk significantly limiting innovation and reducing competition.</w:t>
      </w:r>
    </w:p>
    <w:p w14:paraId="3D43D1E4" w14:textId="77777777" w:rsidR="00174362" w:rsidRDefault="00174362" w:rsidP="00174362">
      <w:pPr>
        <w:pStyle w:val="base-text-paragraph"/>
        <w:numPr>
          <w:ilvl w:val="1"/>
          <w:numId w:val="28"/>
        </w:numPr>
      </w:pPr>
      <w:r>
        <w:t xml:space="preserve">In relation to prohibiting the distribution of products, some </w:t>
      </w:r>
      <w:r w:rsidRPr="001017D7">
        <w:t xml:space="preserve">international jurisdictions have prohibited the distribution of certain classes of product to retail consumers. </w:t>
      </w:r>
    </w:p>
    <w:p w14:paraId="6DD7F184" w14:textId="77777777" w:rsidR="00ED1CC3" w:rsidRDefault="00174362" w:rsidP="00AA24A9">
      <w:pPr>
        <w:pStyle w:val="base-text-paragraph"/>
        <w:numPr>
          <w:ilvl w:val="1"/>
          <w:numId w:val="28"/>
        </w:numPr>
      </w:pPr>
      <w:r w:rsidRPr="001017D7">
        <w:t xml:space="preserve">Although such measures may reduce the risk of detriment, they take a broad approach and remove choice across a range of products for consumers who may understand the risk involved. For this reason, the </w:t>
      </w:r>
      <w:r w:rsidR="00AE5626">
        <w:t>FSI</w:t>
      </w:r>
      <w:r>
        <w:t xml:space="preserve"> did </w:t>
      </w:r>
      <w:r w:rsidRPr="001017D7">
        <w:t>not recommend them.</w:t>
      </w:r>
    </w:p>
    <w:p w14:paraId="10593F0E" w14:textId="77777777" w:rsidR="00174362" w:rsidRDefault="00174362" w:rsidP="00F273E7">
      <w:pPr>
        <w:pStyle w:val="Heading3"/>
      </w:pPr>
      <w:r>
        <w:t>Agreed Option</w:t>
      </w:r>
    </w:p>
    <w:p w14:paraId="4AD4B75B" w14:textId="77777777" w:rsidR="00174362" w:rsidRDefault="00174362" w:rsidP="00174362">
      <w:pPr>
        <w:pStyle w:val="base-text-paragraph"/>
        <w:numPr>
          <w:ilvl w:val="1"/>
          <w:numId w:val="28"/>
        </w:numPr>
      </w:pPr>
      <w:r>
        <w:t xml:space="preserve">As part of its response to the </w:t>
      </w:r>
      <w:r w:rsidR="00FF7D33">
        <w:t>FSI</w:t>
      </w:r>
      <w:r>
        <w:t>, the Government announced that it supported amending the law to provide ASIC with a product intervention power in conjunction with new design and distribution obligations for financial products.</w:t>
      </w:r>
      <w:r w:rsidDel="002025FE">
        <w:t xml:space="preserve"> </w:t>
      </w:r>
      <w:r>
        <w:t>This will allow ASIC to take a more proactive approach to reducing the risk of significant detriment to consumers through more timely and targeted intervention.</w:t>
      </w:r>
      <w:r w:rsidRPr="009C07CF">
        <w:t xml:space="preserve"> </w:t>
      </w:r>
    </w:p>
    <w:p w14:paraId="5D8AEB88" w14:textId="77777777" w:rsidR="00174362" w:rsidRPr="00A2139A" w:rsidRDefault="00174362" w:rsidP="00174362">
      <w:pPr>
        <w:pStyle w:val="base-text-paragraph"/>
        <w:numPr>
          <w:ilvl w:val="1"/>
          <w:numId w:val="28"/>
        </w:numPr>
      </w:pPr>
      <w:r w:rsidRPr="00A2139A">
        <w:t>This power</w:t>
      </w:r>
      <w:r w:rsidRPr="00A2139A" w:rsidDel="00064EFF">
        <w:t xml:space="preserve"> </w:t>
      </w:r>
      <w:r>
        <w:t>can</w:t>
      </w:r>
      <w:r w:rsidRPr="00A2139A">
        <w:t xml:space="preserve"> be used as a last resort or pre-emptive measure where there is risk of significant detriment to a class of consumers</w:t>
      </w:r>
      <w:r>
        <w:t xml:space="preserve">. </w:t>
      </w:r>
      <w:r w:rsidRPr="009C07CF">
        <w:t xml:space="preserve">This power </w:t>
      </w:r>
      <w:r>
        <w:t xml:space="preserve">also </w:t>
      </w:r>
      <w:r w:rsidRPr="009C07CF">
        <w:t>enable</w:t>
      </w:r>
      <w:r>
        <w:t>s</w:t>
      </w:r>
      <w:r w:rsidRPr="009C07CF">
        <w:t xml:space="preserve"> intervention without a demonstrated or suspected breach of the law. </w:t>
      </w:r>
      <w:r>
        <w:t xml:space="preserve">However, consistent with </w:t>
      </w:r>
      <w:r w:rsidRPr="009C07CF" w:rsidDel="002952E6">
        <w:t xml:space="preserve">the </w:t>
      </w:r>
      <w:r w:rsidR="00E650FA">
        <w:t>FSI</w:t>
      </w:r>
      <w:r>
        <w:t>, ASIC is</w:t>
      </w:r>
      <w:r w:rsidRPr="009C07CF" w:rsidDel="00C701A2">
        <w:t xml:space="preserve"> </w:t>
      </w:r>
      <w:r w:rsidRPr="009C07CF">
        <w:t>held to a high level of accountability for its use</w:t>
      </w:r>
      <w:r>
        <w:t>, g</w:t>
      </w:r>
      <w:r w:rsidRPr="009C07CF">
        <w:t>iven the potential significant comme</w:t>
      </w:r>
      <w:r>
        <w:t>rcial impact of this power</w:t>
      </w:r>
      <w:r w:rsidRPr="009C07CF">
        <w:t>.</w:t>
      </w:r>
      <w:r w:rsidRPr="00A2139A">
        <w:rPr>
          <w:rFonts w:ascii="Arial" w:hAnsi="Arial" w:cs="Arial"/>
          <w:color w:val="333333"/>
          <w:shd w:val="clear" w:color="auto" w:fill="FFFFFF"/>
        </w:rPr>
        <w:t xml:space="preserve"> </w:t>
      </w:r>
    </w:p>
    <w:p w14:paraId="357AB991" w14:textId="77777777" w:rsidR="00174362" w:rsidRDefault="00174362" w:rsidP="00174362">
      <w:pPr>
        <w:pStyle w:val="base-text-paragraph"/>
        <w:numPr>
          <w:ilvl w:val="1"/>
          <w:numId w:val="28"/>
        </w:numPr>
      </w:pPr>
      <w:r>
        <w:t>The</w:t>
      </w:r>
      <w:r w:rsidRPr="009C07CF">
        <w:t xml:space="preserve"> power is not intended to address problems with pricing of retail financial products, where consumers might be paying more than expected for a particular product or where a large number of consumers have incurred a small detriment.</w:t>
      </w:r>
    </w:p>
    <w:p w14:paraId="402DBE80" w14:textId="77777777" w:rsidR="00174362" w:rsidRDefault="00174362" w:rsidP="00174362">
      <w:pPr>
        <w:pStyle w:val="base-text-paragraph"/>
        <w:numPr>
          <w:ilvl w:val="1"/>
          <w:numId w:val="28"/>
        </w:numPr>
      </w:pPr>
      <w:r w:rsidRPr="007176AA">
        <w:t xml:space="preserve">The </w:t>
      </w:r>
      <w:r w:rsidR="00E650FA">
        <w:t>FSI</w:t>
      </w:r>
      <w:r w:rsidRPr="007176AA">
        <w:t xml:space="preserve"> </w:t>
      </w:r>
      <w:r>
        <w:t>noted</w:t>
      </w:r>
      <w:r w:rsidRPr="007176AA">
        <w:t xml:space="preserve"> that targeted early intervention would be more effective in reducing harm to consumers than waiting until</w:t>
      </w:r>
      <w:r>
        <w:t xml:space="preserve"> detriment has occurred. </w:t>
      </w:r>
      <w:r w:rsidRPr="007176AA">
        <w:t>The regulator should be able to be proactive in its supervision and enforcement. Significant consumer detriment could be reduced if ASIC had the power to stop a product from being sold or, where the product had already been sold, to prevent the problem from affecting a larger group of consumers.</w:t>
      </w:r>
      <w:r>
        <w:t xml:space="preserve"> </w:t>
      </w:r>
    </w:p>
    <w:p w14:paraId="35F211A3" w14:textId="77777777" w:rsidR="00174362" w:rsidRPr="00A824F2" w:rsidRDefault="00174362" w:rsidP="00174362">
      <w:pPr>
        <w:pStyle w:val="base-text-paragraph"/>
        <w:numPr>
          <w:ilvl w:val="1"/>
          <w:numId w:val="28"/>
        </w:numPr>
      </w:pPr>
      <w:r w:rsidRPr="00A824F2">
        <w:t xml:space="preserve">A regulatory costing has been prepared, consistent with the Government’s Regulatory Burden Measurement Framework. </w:t>
      </w:r>
    </w:p>
    <w:p w14:paraId="229B6B97" w14:textId="77777777" w:rsidR="00174362" w:rsidRDefault="00174362" w:rsidP="00174362">
      <w:pPr>
        <w:pStyle w:val="base-text-paragraph"/>
        <w:numPr>
          <w:ilvl w:val="1"/>
          <w:numId w:val="28"/>
        </w:numPr>
      </w:pPr>
      <w:r w:rsidRPr="00A824F2">
        <w:t>For product issuers and distributors, implementation and ongoing costs are associated with</w:t>
      </w:r>
      <w:r>
        <w:t>:</w:t>
      </w:r>
    </w:p>
    <w:p w14:paraId="3F7B3D5F" w14:textId="25A98625" w:rsidR="00174362" w:rsidRDefault="00174362" w:rsidP="00F273E7">
      <w:pPr>
        <w:pStyle w:val="dotpoint"/>
      </w:pPr>
      <w:r>
        <w:t>changing their marketing materials for a particular product;</w:t>
      </w:r>
    </w:p>
    <w:p w14:paraId="75EE4438" w14:textId="78D983E7" w:rsidR="00174362" w:rsidRDefault="00174362" w:rsidP="00F273E7">
      <w:pPr>
        <w:pStyle w:val="dotpoint"/>
      </w:pPr>
      <w:r>
        <w:t>infrequent instances of a product being banned; and</w:t>
      </w:r>
    </w:p>
    <w:p w14:paraId="50BC08F6" w14:textId="77777777" w:rsidR="00174362" w:rsidRDefault="00174362" w:rsidP="00F273E7">
      <w:pPr>
        <w:pStyle w:val="dotpoint"/>
      </w:pPr>
      <w:r>
        <w:t>changing the way products are distributed to clients.</w:t>
      </w:r>
    </w:p>
    <w:p w14:paraId="58B09F81" w14:textId="3E0143E1" w:rsidR="00174362" w:rsidRPr="00A824F2" w:rsidRDefault="00AD5BE2" w:rsidP="00174362">
      <w:pPr>
        <w:pStyle w:val="base-text-paragraph"/>
        <w:numPr>
          <w:ilvl w:val="1"/>
          <w:numId w:val="28"/>
        </w:numPr>
      </w:pPr>
      <w:r>
        <w:t>It is not expected that the introduction of the product intervention power will result in an increase in annual compliance costs for industry</w:t>
      </w:r>
      <w:r w:rsidR="00247A25">
        <w:t>. A</w:t>
      </w:r>
      <w:r>
        <w:t>ny intervention made by ASIC</w:t>
      </w:r>
      <w:r w:rsidR="00460066">
        <w:t xml:space="preserve"> </w:t>
      </w:r>
      <w:r w:rsidR="00273DDC">
        <w:t xml:space="preserve">as a result of </w:t>
      </w:r>
      <w:r w:rsidR="00213E5F" w:rsidRPr="00213E5F">
        <w:t>it taking</w:t>
      </w:r>
      <w:r w:rsidR="00247A25">
        <w:t xml:space="preserve"> </w:t>
      </w:r>
      <w:r w:rsidR="00460066">
        <w:t>enforcement action</w:t>
      </w:r>
      <w:r>
        <w:t xml:space="preserve"> will be subject to its own regulatory impact assessment.</w:t>
      </w:r>
      <w:r w:rsidR="00213E5F" w:rsidRPr="00213E5F">
        <w:t> </w:t>
      </w:r>
    </w:p>
    <w:p w14:paraId="0AE40569" w14:textId="77777777" w:rsidR="00174362" w:rsidRDefault="00174362" w:rsidP="00F273E7"/>
    <w:p w14:paraId="68B0560C" w14:textId="77777777" w:rsidR="00174362" w:rsidRPr="00A824F2" w:rsidRDefault="00174362" w:rsidP="00174362">
      <w:pPr>
        <w:pStyle w:val="TableHeadingoutsidetable"/>
        <w:numPr>
          <w:ilvl w:val="4"/>
          <w:numId w:val="28"/>
        </w:numPr>
        <w:tabs>
          <w:tab w:val="num" w:pos="360"/>
        </w:tabs>
      </w:pPr>
      <w:r w:rsidRPr="00A824F2">
        <w:t>: Regulatory burden estimate table</w:t>
      </w:r>
    </w:p>
    <w:tbl>
      <w:tblPr>
        <w:tblStyle w:val="LightGrid-Accent2"/>
        <w:tblW w:w="417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gulatory burden estimate table"/>
        <w:tblDescription w:val="Template for the Regulatory burden estimate table"/>
      </w:tblPr>
      <w:tblGrid>
        <w:gridCol w:w="1861"/>
        <w:gridCol w:w="974"/>
        <w:gridCol w:w="1416"/>
        <w:gridCol w:w="1136"/>
        <w:gridCol w:w="1238"/>
      </w:tblGrid>
      <w:tr w:rsidR="00174362" w:rsidRPr="00A824F2" w14:paraId="615713D1" w14:textId="77777777" w:rsidTr="00F273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pct"/>
            <w:tcBorders>
              <w:top w:val="single" w:sz="4" w:space="0" w:color="auto"/>
              <w:left w:val="single" w:sz="4" w:space="0" w:color="auto"/>
              <w:bottom w:val="single" w:sz="4" w:space="0" w:color="auto"/>
              <w:right w:val="single" w:sz="4" w:space="0" w:color="auto"/>
            </w:tcBorders>
            <w:noWrap/>
            <w:hideMark/>
          </w:tcPr>
          <w:p w14:paraId="4FE20072" w14:textId="77777777" w:rsidR="00174362" w:rsidRPr="00A824F2" w:rsidRDefault="00174362" w:rsidP="00F273E7">
            <w:pPr>
              <w:pStyle w:val="tableheaderwithintable"/>
            </w:pPr>
            <w:r w:rsidRPr="00A824F2">
              <w:rPr>
                <w:b/>
              </w:rPr>
              <w:t>Change in costs ($ million)</w:t>
            </w:r>
          </w:p>
        </w:tc>
        <w:tc>
          <w:tcPr>
            <w:tcW w:w="735" w:type="pct"/>
            <w:tcBorders>
              <w:top w:val="single" w:sz="4" w:space="0" w:color="auto"/>
              <w:left w:val="single" w:sz="4" w:space="0" w:color="auto"/>
              <w:bottom w:val="single" w:sz="4" w:space="0" w:color="auto"/>
              <w:right w:val="single" w:sz="4" w:space="0" w:color="auto"/>
            </w:tcBorders>
            <w:noWrap/>
            <w:hideMark/>
          </w:tcPr>
          <w:p w14:paraId="2C37F972" w14:textId="77777777" w:rsidR="00174362" w:rsidRPr="00A824F2" w:rsidRDefault="00174362" w:rsidP="00F273E7">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Business</w:t>
            </w:r>
          </w:p>
        </w:tc>
        <w:tc>
          <w:tcPr>
            <w:tcW w:w="1069" w:type="pct"/>
            <w:tcBorders>
              <w:top w:val="single" w:sz="4" w:space="0" w:color="auto"/>
              <w:left w:val="single" w:sz="4" w:space="0" w:color="auto"/>
              <w:bottom w:val="single" w:sz="4" w:space="0" w:color="auto"/>
              <w:right w:val="single" w:sz="4" w:space="0" w:color="auto"/>
            </w:tcBorders>
            <w:noWrap/>
            <w:hideMark/>
          </w:tcPr>
          <w:p w14:paraId="7A6950B2" w14:textId="77777777" w:rsidR="00174362" w:rsidRPr="00A824F2" w:rsidRDefault="00174362" w:rsidP="00F273E7">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Community organisations</w:t>
            </w:r>
          </w:p>
        </w:tc>
        <w:tc>
          <w:tcPr>
            <w:tcW w:w="857" w:type="pct"/>
            <w:tcBorders>
              <w:top w:val="single" w:sz="4" w:space="0" w:color="auto"/>
              <w:left w:val="single" w:sz="4" w:space="0" w:color="auto"/>
              <w:bottom w:val="single" w:sz="4" w:space="0" w:color="auto"/>
              <w:right w:val="single" w:sz="4" w:space="0" w:color="auto"/>
            </w:tcBorders>
            <w:noWrap/>
            <w:hideMark/>
          </w:tcPr>
          <w:p w14:paraId="3549A50A" w14:textId="77777777" w:rsidR="00174362" w:rsidRPr="00A824F2" w:rsidRDefault="00174362" w:rsidP="00F273E7">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Individuals</w:t>
            </w:r>
          </w:p>
        </w:tc>
        <w:tc>
          <w:tcPr>
            <w:tcW w:w="934" w:type="pct"/>
            <w:tcBorders>
              <w:top w:val="single" w:sz="4" w:space="0" w:color="auto"/>
              <w:left w:val="single" w:sz="4" w:space="0" w:color="auto"/>
              <w:bottom w:val="single" w:sz="4" w:space="0" w:color="auto"/>
              <w:right w:val="single" w:sz="4" w:space="0" w:color="auto"/>
            </w:tcBorders>
            <w:noWrap/>
            <w:hideMark/>
          </w:tcPr>
          <w:p w14:paraId="654D4B85" w14:textId="77777777" w:rsidR="00174362" w:rsidRPr="00A824F2" w:rsidRDefault="00174362" w:rsidP="00F273E7">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Total change in costs</w:t>
            </w:r>
          </w:p>
        </w:tc>
      </w:tr>
      <w:tr w:rsidR="00174362" w:rsidRPr="00A824F2" w14:paraId="29E47F26" w14:textId="77777777" w:rsidTr="00F273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pct"/>
            <w:tcBorders>
              <w:top w:val="single" w:sz="4" w:space="0" w:color="auto"/>
              <w:left w:val="single" w:sz="4" w:space="0" w:color="auto"/>
              <w:bottom w:val="single" w:sz="4" w:space="0" w:color="auto"/>
              <w:right w:val="single" w:sz="4" w:space="0" w:color="auto"/>
            </w:tcBorders>
            <w:noWrap/>
            <w:hideMark/>
          </w:tcPr>
          <w:p w14:paraId="64A02558" w14:textId="77777777" w:rsidR="00174362" w:rsidRPr="00A824F2" w:rsidRDefault="00174362" w:rsidP="00F273E7">
            <w:pPr>
              <w:pStyle w:val="tableheaderwithintable"/>
            </w:pPr>
            <w:r w:rsidRPr="00A824F2">
              <w:rPr>
                <w:b/>
              </w:rPr>
              <w:t>Total, by sector</w:t>
            </w:r>
          </w:p>
        </w:tc>
        <w:tc>
          <w:tcPr>
            <w:tcW w:w="735" w:type="pct"/>
            <w:tcBorders>
              <w:top w:val="single" w:sz="4" w:space="0" w:color="auto"/>
              <w:left w:val="single" w:sz="4" w:space="0" w:color="auto"/>
              <w:bottom w:val="single" w:sz="4" w:space="0" w:color="auto"/>
              <w:right w:val="single" w:sz="4" w:space="0" w:color="auto"/>
            </w:tcBorders>
            <w:noWrap/>
            <w:hideMark/>
          </w:tcPr>
          <w:p w14:paraId="6EC59ACD" w14:textId="5195E6C7" w:rsidR="00174362" w:rsidRPr="00A824F2" w:rsidRDefault="00174362" w:rsidP="00F273E7">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w:t>
            </w:r>
            <w:r w:rsidR="00466DC1">
              <w:rPr>
                <w:rFonts w:eastAsiaTheme="majorEastAsia" w:cstheme="majorBidi"/>
                <w:bCs/>
                <w:i/>
              </w:rPr>
              <w:t>0</w:t>
            </w:r>
          </w:p>
        </w:tc>
        <w:tc>
          <w:tcPr>
            <w:tcW w:w="1069" w:type="pct"/>
            <w:tcBorders>
              <w:top w:val="single" w:sz="4" w:space="0" w:color="auto"/>
              <w:left w:val="single" w:sz="4" w:space="0" w:color="auto"/>
              <w:bottom w:val="single" w:sz="4" w:space="0" w:color="auto"/>
              <w:right w:val="single" w:sz="4" w:space="0" w:color="auto"/>
            </w:tcBorders>
            <w:noWrap/>
            <w:hideMark/>
          </w:tcPr>
          <w:p w14:paraId="2DD091A6" w14:textId="77777777" w:rsidR="00174362" w:rsidRPr="00A824F2" w:rsidRDefault="00174362" w:rsidP="00F273E7">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$0</w:t>
            </w:r>
          </w:p>
        </w:tc>
        <w:tc>
          <w:tcPr>
            <w:tcW w:w="857" w:type="pct"/>
            <w:tcBorders>
              <w:top w:val="single" w:sz="4" w:space="0" w:color="auto"/>
              <w:left w:val="single" w:sz="4" w:space="0" w:color="auto"/>
              <w:bottom w:val="single" w:sz="4" w:space="0" w:color="auto"/>
              <w:right w:val="single" w:sz="4" w:space="0" w:color="auto"/>
            </w:tcBorders>
            <w:noWrap/>
            <w:hideMark/>
          </w:tcPr>
          <w:p w14:paraId="35706BCA" w14:textId="77777777" w:rsidR="00174362" w:rsidRPr="00A824F2" w:rsidRDefault="00174362" w:rsidP="00F273E7">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$0</w:t>
            </w:r>
          </w:p>
        </w:tc>
        <w:tc>
          <w:tcPr>
            <w:tcW w:w="934" w:type="pct"/>
            <w:tcBorders>
              <w:top w:val="single" w:sz="4" w:space="0" w:color="auto"/>
              <w:left w:val="single" w:sz="4" w:space="0" w:color="auto"/>
              <w:bottom w:val="single" w:sz="4" w:space="0" w:color="auto"/>
              <w:right w:val="single" w:sz="4" w:space="0" w:color="auto"/>
            </w:tcBorders>
            <w:noWrap/>
            <w:hideMark/>
          </w:tcPr>
          <w:p w14:paraId="34E40019" w14:textId="250F7FB4" w:rsidR="00174362" w:rsidRPr="00A824F2" w:rsidRDefault="00174362" w:rsidP="006A30A7">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w:t>
            </w:r>
            <w:r w:rsidR="006A30A7">
              <w:rPr>
                <w:rFonts w:eastAsiaTheme="majorEastAsia" w:cstheme="majorBidi"/>
                <w:bCs/>
                <w:i/>
              </w:rPr>
              <w:t>0</w:t>
            </w:r>
          </w:p>
        </w:tc>
      </w:tr>
    </w:tbl>
    <w:p w14:paraId="3DEE93E5" w14:textId="77777777" w:rsidR="00174362" w:rsidRDefault="00174362" w:rsidP="00F273E7">
      <w:pPr>
        <w:pStyle w:val="Heading2"/>
      </w:pPr>
      <w:r>
        <w:t>Implementation and evaluation</w:t>
      </w:r>
    </w:p>
    <w:p w14:paraId="04AC8FC9" w14:textId="29B96A8B" w:rsidR="00174362" w:rsidRDefault="00832AE1" w:rsidP="00155ABB">
      <w:pPr>
        <w:pStyle w:val="base-text-paragraph"/>
        <w:ind w:left="1134"/>
      </w:pPr>
      <w:r>
        <w:t>This Bill will</w:t>
      </w:r>
      <w:r w:rsidR="00174362">
        <w:t xml:space="preserve"> introduce </w:t>
      </w:r>
      <w:r w:rsidR="00174362" w:rsidRPr="00BA660D">
        <w:t>a targeted and principles-based product design and distribution</w:t>
      </w:r>
      <w:r>
        <w:t xml:space="preserve"> regime</w:t>
      </w:r>
      <w:r w:rsidR="00F36BA4">
        <w:t xml:space="preserve"> and a product intervention power</w:t>
      </w:r>
      <w:r>
        <w:t>.</w:t>
      </w:r>
      <w:r w:rsidR="00174362" w:rsidRPr="00BA660D">
        <w:t xml:space="preserve"> </w:t>
      </w:r>
    </w:p>
    <w:p w14:paraId="6B14D275" w14:textId="49391A28" w:rsidR="00174362" w:rsidRDefault="00832AE1" w:rsidP="00174362">
      <w:pPr>
        <w:pStyle w:val="base-text-paragraph"/>
        <w:numPr>
          <w:ilvl w:val="1"/>
          <w:numId w:val="28"/>
        </w:numPr>
      </w:pPr>
      <w:r>
        <w:t>It makes</w:t>
      </w:r>
      <w:r w:rsidR="00174362">
        <w:t xml:space="preserve"> amendments to legislation including the </w:t>
      </w:r>
      <w:r w:rsidR="00174362">
        <w:rPr>
          <w:i/>
        </w:rPr>
        <w:t>Corporations Act 2001</w:t>
      </w:r>
      <w:r w:rsidR="00174362">
        <w:t xml:space="preserve"> and the </w:t>
      </w:r>
      <w:r w:rsidR="00174362" w:rsidRPr="00ED1F1B">
        <w:rPr>
          <w:i/>
        </w:rPr>
        <w:t xml:space="preserve">National </w:t>
      </w:r>
      <w:r w:rsidR="00174362">
        <w:rPr>
          <w:i/>
        </w:rPr>
        <w:t>Consumer Credit Protection Act 2009</w:t>
      </w:r>
      <w:r w:rsidR="00174362">
        <w:t>.</w:t>
      </w:r>
    </w:p>
    <w:p w14:paraId="18DAB470" w14:textId="77777777" w:rsidR="00174362" w:rsidRPr="00E21B40" w:rsidRDefault="00174362" w:rsidP="00174362">
      <w:pPr>
        <w:pStyle w:val="base-text-paragraph"/>
        <w:numPr>
          <w:ilvl w:val="1"/>
          <w:numId w:val="28"/>
        </w:numPr>
      </w:pPr>
      <w:r>
        <w:t>Given the significant nature of the reforms, the Government will review them after five years to ensure that they are operating effectively.</w:t>
      </w:r>
    </w:p>
    <w:p w14:paraId="1948EFC0" w14:textId="77777777" w:rsidR="00424951" w:rsidRPr="0027479B" w:rsidRDefault="00424951" w:rsidP="00424951">
      <w:pPr>
        <w:pStyle w:val="base-text-paragraph"/>
        <w:numPr>
          <w:ilvl w:val="0"/>
          <w:numId w:val="0"/>
        </w:numPr>
        <w:ind w:left="1134"/>
        <w:rPr>
          <w:rStyle w:val="Referencingstyle"/>
          <w:b w:val="0"/>
          <w:i w:val="0"/>
          <w:sz w:val="22"/>
        </w:rPr>
      </w:pPr>
    </w:p>
    <w:sectPr w:rsidR="00424951" w:rsidRPr="0027479B" w:rsidSect="00C743D3">
      <w:footerReference w:type="even" r:id="rId39"/>
      <w:footerReference w:type="default" r:id="rId40"/>
      <w:footerReference w:type="first" r:id="rId4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2A39C" w14:textId="77777777" w:rsidR="00CC34B7" w:rsidRDefault="00CC34B7" w:rsidP="00E679CA">
      <w:pPr>
        <w:spacing w:before="0" w:after="0"/>
      </w:pPr>
      <w:r>
        <w:separator/>
      </w:r>
    </w:p>
  </w:endnote>
  <w:endnote w:type="continuationSeparator" w:id="0">
    <w:p w14:paraId="464403F0" w14:textId="77777777" w:rsidR="00CC34B7" w:rsidRDefault="00CC34B7" w:rsidP="00E679CA">
      <w:pPr>
        <w:spacing w:before="0" w:after="0"/>
      </w:pPr>
      <w:r>
        <w:continuationSeparator/>
      </w:r>
    </w:p>
  </w:endnote>
  <w:endnote w:type="continuationNotice" w:id="1">
    <w:p w14:paraId="5C166790" w14:textId="77777777" w:rsidR="00CC34B7" w:rsidRDefault="00CC34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B73BE" w14:textId="77777777" w:rsidR="00CC34B7" w:rsidRDefault="00CC34B7" w:rsidP="00F83604">
    <w:pPr>
      <w:pStyle w:val="leftfooter"/>
      <w:rPr>
        <w:noProof/>
      </w:rP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AD7BD" w14:textId="77777777" w:rsidR="00CC34B7" w:rsidRDefault="00CC34B7" w:rsidP="00F83604">
    <w:pPr>
      <w:pStyle w:val="rightfooter"/>
      <w:rPr>
        <w:noProof/>
      </w:rPr>
    </w:pPr>
    <w:r>
      <w:fldChar w:fldCharType="begin"/>
    </w:r>
    <w:r>
      <w:instrText xml:space="preserve"> PAGE   \* MERGEFORMAT </w:instrText>
    </w:r>
    <w:r>
      <w:fldChar w:fldCharType="separate"/>
    </w:r>
    <w:r>
      <w:rPr>
        <w:noProof/>
      </w:rPr>
      <w:t>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C5A" w14:textId="77777777" w:rsidR="00CC34B7" w:rsidRDefault="00CC34B7" w:rsidP="00F83604">
    <w:pPr>
      <w:pStyle w:val="rightfooter"/>
      <w:rPr>
        <w:noProof/>
      </w:rPr>
    </w:pPr>
    <w:r>
      <w:fldChar w:fldCharType="begin"/>
    </w:r>
    <w:r>
      <w:instrText xml:space="preserve"> PAGE  \* Arabic  \* MERGEFORMAT </w:instrText>
    </w:r>
    <w:r>
      <w:fldChar w:fldCharType="separate"/>
    </w:r>
    <w:r w:rsidR="007B0177">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66711" w14:textId="77777777" w:rsidR="00CC34B7" w:rsidRDefault="00CC34B7" w:rsidP="00F83604">
    <w:pPr>
      <w:pStyle w:val="leftfooter"/>
      <w:rPr>
        <w:noProof/>
      </w:rPr>
    </w:pPr>
    <w:r>
      <w:fldChar w:fldCharType="begin"/>
    </w:r>
    <w:r>
      <w:instrText xml:space="preserve"> PAGE   \* MERGEFORMAT </w:instrText>
    </w:r>
    <w:r>
      <w:fldChar w:fldCharType="separate"/>
    </w:r>
    <w:r w:rsidR="00BA1269">
      <w:rPr>
        <w:noProof/>
      </w:rPr>
      <w:t>38</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216C7" w14:textId="77777777" w:rsidR="00CC34B7" w:rsidRDefault="00CC34B7" w:rsidP="00F83604">
    <w:pPr>
      <w:pStyle w:val="rightfooter"/>
      <w:rPr>
        <w:noProof/>
      </w:rPr>
    </w:pPr>
    <w:r>
      <w:fldChar w:fldCharType="begin"/>
    </w:r>
    <w:r>
      <w:instrText xml:space="preserve"> PAGE   \* MERGEFORMAT </w:instrText>
    </w:r>
    <w:r>
      <w:fldChar w:fldCharType="separate"/>
    </w:r>
    <w:r w:rsidR="00BA1269">
      <w:rPr>
        <w:noProof/>
      </w:rPr>
      <w:t>39</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E30A0" w14:textId="77777777" w:rsidR="00CC34B7" w:rsidRDefault="00CC34B7" w:rsidP="00F83604">
    <w:pPr>
      <w:pStyle w:val="rightfooter"/>
      <w:rPr>
        <w:noProof/>
      </w:rPr>
    </w:pPr>
    <w:r>
      <w:fldChar w:fldCharType="begin"/>
    </w:r>
    <w:r>
      <w:instrText xml:space="preserve"> PAGE  \* Arabic  \* MERGEFORMAT </w:instrText>
    </w:r>
    <w:r>
      <w:fldChar w:fldCharType="separate"/>
    </w:r>
    <w:r w:rsidR="007B0177">
      <w:rPr>
        <w:noProof/>
      </w:rPr>
      <w:t>5</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474E1" w14:textId="77777777" w:rsidR="00CC34B7" w:rsidRDefault="00CC34B7" w:rsidP="00F273E7">
    <w:pPr>
      <w:pStyle w:val="leftfooter"/>
      <w:rPr>
        <w:noProof/>
      </w:rPr>
    </w:pPr>
    <w:r>
      <w:fldChar w:fldCharType="begin"/>
    </w:r>
    <w:r>
      <w:instrText xml:space="preserve"> PAGE   \* MERGEFORMAT </w:instrText>
    </w:r>
    <w:r>
      <w:fldChar w:fldCharType="separate"/>
    </w:r>
    <w:r w:rsidR="00BA1269">
      <w:rPr>
        <w:noProof/>
      </w:rPr>
      <w:t>56</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A77F5" w14:textId="77777777" w:rsidR="00CC34B7" w:rsidRDefault="00CC34B7" w:rsidP="00F273E7">
    <w:pPr>
      <w:pStyle w:val="rightfooter"/>
      <w:rPr>
        <w:noProof/>
      </w:rPr>
    </w:pPr>
    <w:r>
      <w:fldChar w:fldCharType="begin"/>
    </w:r>
    <w:r>
      <w:instrText xml:space="preserve"> PAGE   \* MERGEFORMAT </w:instrText>
    </w:r>
    <w:r>
      <w:fldChar w:fldCharType="separate"/>
    </w:r>
    <w:r w:rsidR="00BA1269">
      <w:rPr>
        <w:noProof/>
      </w:rPr>
      <w:t>57</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A76F5" w14:textId="77777777" w:rsidR="00CC34B7" w:rsidRDefault="00CC34B7" w:rsidP="00F273E7">
    <w:pPr>
      <w:pStyle w:val="rightfooter"/>
      <w:rPr>
        <w:noProof/>
      </w:rPr>
    </w:pPr>
    <w:r>
      <w:fldChar w:fldCharType="begin"/>
    </w:r>
    <w:r>
      <w:instrText xml:space="preserve"> PAGE  \* Arabic  \* MERGEFORMAT </w:instrText>
    </w:r>
    <w:r>
      <w:fldChar w:fldCharType="separate"/>
    </w:r>
    <w:r w:rsidR="00BA1269">
      <w:rPr>
        <w:noProof/>
      </w:rPr>
      <w:t>41</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08CBC" w14:textId="77777777" w:rsidR="00CC34B7" w:rsidRDefault="00CC34B7" w:rsidP="001E1ECE">
    <w:pPr>
      <w:pStyle w:val="leftfooter"/>
      <w:rPr>
        <w:noProof/>
      </w:rPr>
    </w:pPr>
    <w:r>
      <w:fldChar w:fldCharType="begin"/>
    </w:r>
    <w:r>
      <w:instrText xml:space="preserve"> PAGE   \* MERGEFORMAT </w:instrText>
    </w:r>
    <w:r>
      <w:fldChar w:fldCharType="separate"/>
    </w:r>
    <w:r w:rsidR="00BA1269">
      <w:rPr>
        <w:noProof/>
      </w:rPr>
      <w:t>66</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62B7A" w14:textId="77777777" w:rsidR="00CC34B7" w:rsidRDefault="00CC34B7" w:rsidP="001E1ECE">
    <w:pPr>
      <w:pStyle w:val="rightfooter"/>
      <w:rPr>
        <w:noProof/>
      </w:rPr>
    </w:pPr>
    <w:r>
      <w:fldChar w:fldCharType="begin"/>
    </w:r>
    <w:r>
      <w:instrText xml:space="preserve"> PAGE   \* MERGEFORMAT </w:instrText>
    </w:r>
    <w:r>
      <w:fldChar w:fldCharType="separate"/>
    </w:r>
    <w:r w:rsidR="00BA1269">
      <w:rPr>
        <w:noProof/>
      </w:rPr>
      <w:t>67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952" w14:textId="77777777" w:rsidR="00CC34B7" w:rsidRDefault="00CC34B7" w:rsidP="00F83604">
    <w:pPr>
      <w:pStyle w:val="rightfooter"/>
      <w:rPr>
        <w:noProof/>
      </w:rP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6BE9D" w14:textId="77777777" w:rsidR="00CC34B7" w:rsidRDefault="00CC34B7" w:rsidP="001E1ECE">
    <w:pPr>
      <w:pStyle w:val="rightfooter"/>
      <w:rPr>
        <w:noProof/>
      </w:rPr>
    </w:pPr>
    <w:r>
      <w:fldChar w:fldCharType="begin"/>
    </w:r>
    <w:r>
      <w:instrText xml:space="preserve"> PAGE  \* Arabic  \* MERGEFORMAT </w:instrText>
    </w:r>
    <w:r>
      <w:fldChar w:fldCharType="separate"/>
    </w:r>
    <w:r w:rsidR="00BA1269">
      <w:rPr>
        <w:noProof/>
      </w:rPr>
      <w:t>59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F3DDA" w14:textId="77777777" w:rsidR="00CC34B7" w:rsidRDefault="00CC34B7" w:rsidP="00F83604">
    <w:pPr>
      <w:pStyle w:val="leftfooter"/>
      <w:rPr>
        <w:noProof/>
      </w:rP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EFB37" w14:textId="77777777" w:rsidR="00CC34B7" w:rsidRDefault="00CC34B7" w:rsidP="00F83604">
    <w:pPr>
      <w:pStyle w:val="rightfooter"/>
      <w:rPr>
        <w:noProof/>
      </w:rP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5EECD" w14:textId="77777777" w:rsidR="00CC34B7" w:rsidRDefault="00CC34B7" w:rsidP="00F836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4F4B8" w14:textId="77777777" w:rsidR="00CC34B7" w:rsidRDefault="00CC34B7" w:rsidP="00F83604">
    <w:pPr>
      <w:pStyle w:val="leftfooter"/>
      <w:rPr>
        <w:noProof/>
      </w:rP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5F81A" w14:textId="77777777" w:rsidR="00CC34B7" w:rsidRDefault="00CC34B7" w:rsidP="00F83604">
    <w:pPr>
      <w:pStyle w:val="rightfooter"/>
      <w:rPr>
        <w:noProof/>
      </w:rP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B556E" w14:textId="77777777" w:rsidR="00CC34B7" w:rsidRDefault="00CC34B7" w:rsidP="00F83604">
    <w:pPr>
      <w:pStyle w:val="rightfooter"/>
      <w:rPr>
        <w:noProof/>
      </w:rPr>
    </w:pPr>
    <w:r>
      <w:fldChar w:fldCharType="begin"/>
    </w:r>
    <w:r>
      <w:instrText xml:space="preserve"> PAGE  \* Arabic  \* MERGEFORMAT </w:instrText>
    </w:r>
    <w:r>
      <w:fldChar w:fldCharType="separate"/>
    </w:r>
    <w:r w:rsidR="007B0177">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4444" w14:textId="77777777" w:rsidR="00CC34B7" w:rsidRDefault="00CC34B7" w:rsidP="00F83604">
    <w:pPr>
      <w:pStyle w:val="leftfooter"/>
      <w:rPr>
        <w:noProof/>
      </w:rP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2B148" w14:textId="77777777" w:rsidR="00CC34B7" w:rsidRDefault="00CC34B7" w:rsidP="00E679CA">
      <w:pPr>
        <w:spacing w:before="0" w:after="0"/>
      </w:pPr>
      <w:r>
        <w:separator/>
      </w:r>
    </w:p>
  </w:footnote>
  <w:footnote w:type="continuationSeparator" w:id="0">
    <w:p w14:paraId="1A4397AA" w14:textId="77777777" w:rsidR="00CC34B7" w:rsidRDefault="00CC34B7" w:rsidP="00E679CA">
      <w:pPr>
        <w:spacing w:before="0" w:after="0"/>
      </w:pPr>
      <w:r>
        <w:continuationSeparator/>
      </w:r>
    </w:p>
  </w:footnote>
  <w:footnote w:type="continuationNotice" w:id="1">
    <w:p w14:paraId="53C6B998" w14:textId="77777777" w:rsidR="00CC34B7" w:rsidRDefault="00CC34B7">
      <w:pPr>
        <w:spacing w:before="0" w:after="0"/>
      </w:pPr>
    </w:p>
  </w:footnote>
  <w:footnote w:id="2">
    <w:p w14:paraId="103FC9F3" w14:textId="5C73BED7" w:rsidR="00CC34B7" w:rsidRDefault="00CC34B7" w:rsidP="0093246D">
      <w:pPr>
        <w:pStyle w:val="FootnoteText"/>
      </w:pPr>
      <w:r>
        <w:rPr>
          <w:rStyle w:val="FootnoteReference"/>
        </w:rPr>
        <w:footnoteRef/>
      </w:r>
      <w:r>
        <w:t xml:space="preserve"> </w:t>
      </w:r>
      <w:r>
        <w:tab/>
        <w:t>Financial System Inquiry (Final Report), November 2014, at p.199.</w:t>
      </w:r>
    </w:p>
  </w:footnote>
  <w:footnote w:id="3">
    <w:p w14:paraId="7A333AE0" w14:textId="73567679" w:rsidR="00CC34B7" w:rsidRDefault="00CC34B7">
      <w:pPr>
        <w:pStyle w:val="FootnoteText"/>
      </w:pPr>
      <w:r>
        <w:rPr>
          <w:rStyle w:val="FootnoteReference"/>
        </w:rPr>
        <w:footnoteRef/>
      </w:r>
      <w:r>
        <w:t xml:space="preserve"> </w:t>
      </w:r>
      <w:r>
        <w:tab/>
        <w:t xml:space="preserve">Recommendation 21 of the Financial System Inquiry (Final Report), November 2014, at p.198. </w:t>
      </w:r>
    </w:p>
  </w:footnote>
  <w:footnote w:id="4">
    <w:p w14:paraId="1A66AE25" w14:textId="77777777" w:rsidR="00CC34B7" w:rsidRDefault="00CC34B7">
      <w:pPr>
        <w:pStyle w:val="FootnoteText"/>
      </w:pPr>
      <w:r>
        <w:rPr>
          <w:rStyle w:val="FootnoteReference"/>
        </w:rPr>
        <w:footnoteRef/>
      </w:r>
      <w:r>
        <w:t xml:space="preserve"> </w:t>
      </w:r>
      <w:r>
        <w:tab/>
        <w:t xml:space="preserve">Improving Australia’s financial system, Government response to the Financial System Inquiry, December 2016, at pp.7 and 19. </w:t>
      </w:r>
    </w:p>
  </w:footnote>
  <w:footnote w:id="5">
    <w:p w14:paraId="70338433" w14:textId="77777777" w:rsidR="00CC34B7" w:rsidRDefault="00CC34B7">
      <w:pPr>
        <w:pStyle w:val="FootnoteText"/>
      </w:pPr>
      <w:r>
        <w:rPr>
          <w:rStyle w:val="FootnoteReference"/>
        </w:rPr>
        <w:footnoteRef/>
      </w:r>
      <w:r>
        <w:t xml:space="preserve"> </w:t>
      </w:r>
      <w:r>
        <w:tab/>
        <w:t xml:space="preserve">Design and Distribution Obligations and Product Intervention Powers, Proposals Paper, December 2016. </w:t>
      </w:r>
    </w:p>
  </w:footnote>
  <w:footnote w:id="6">
    <w:p w14:paraId="036392AA" w14:textId="77777777" w:rsidR="00CC34B7" w:rsidRDefault="00CC34B7" w:rsidP="00706C10">
      <w:pPr>
        <w:pStyle w:val="FootnoteText"/>
      </w:pPr>
      <w:r>
        <w:rPr>
          <w:rStyle w:val="FootnoteReference"/>
        </w:rPr>
        <w:footnoteRef/>
      </w:r>
      <w:r>
        <w:t xml:space="preserve"> </w:t>
      </w:r>
      <w:r>
        <w:tab/>
        <w:t xml:space="preserve">See Chapter 8 of the Corporations Act and Part 8.1 of the </w:t>
      </w:r>
      <w:r w:rsidRPr="00424951">
        <w:rPr>
          <w:i/>
        </w:rPr>
        <w:t>Corporations Regulations 2001</w:t>
      </w:r>
      <w:r>
        <w:t>.</w:t>
      </w:r>
    </w:p>
  </w:footnote>
  <w:footnote w:id="7">
    <w:p w14:paraId="295832E6" w14:textId="3C91FE9F" w:rsidR="00CC34B7" w:rsidRDefault="00CC34B7" w:rsidP="00A965FB">
      <w:pPr>
        <w:pStyle w:val="FootnoteText"/>
      </w:pPr>
      <w:r>
        <w:rPr>
          <w:rStyle w:val="FootnoteReference"/>
        </w:rPr>
        <w:footnoteRef/>
      </w:r>
      <w:r>
        <w:t xml:space="preserve">    In addition to the definition of a financial product in Division 3, this </w:t>
      </w:r>
      <w:r w:rsidRPr="00D9722F">
        <w:t>include</w:t>
      </w:r>
      <w:r>
        <w:t>s, for example</w:t>
      </w:r>
      <w:r w:rsidRPr="00155ABB">
        <w:t>:</w:t>
      </w:r>
      <w:r w:rsidRPr="00D9722F">
        <w:t xml:space="preserve"> </w:t>
      </w:r>
      <w:r w:rsidRPr="00155ABB">
        <w:t xml:space="preserve"> when two or more arrangements</w:t>
      </w:r>
      <w:r>
        <w:t xml:space="preserve"> are</w:t>
      </w:r>
      <w:r w:rsidRPr="00D9722F">
        <w:t xml:space="preserve"> together</w:t>
      </w:r>
      <w:r w:rsidRPr="00155ABB">
        <w:t xml:space="preserve"> treated as a single arrangement: see section 761B; when a financial product is part of a broader facility: see section 762B; and</w:t>
      </w:r>
      <w:r>
        <w:t>,</w:t>
      </w:r>
      <w:r w:rsidRPr="00155ABB">
        <w:t xml:space="preserve"> when a financial product is ‘incidental’: see section 763E</w:t>
      </w:r>
      <w:r>
        <w:t>. ASIC has exemption and modification powers to address situations where the application of disclosure rules to the myriad of financial products results in unintended consequences: exemption and modification powers are discussed further below.</w:t>
      </w:r>
    </w:p>
  </w:footnote>
  <w:footnote w:id="8">
    <w:p w14:paraId="1DFE3A15" w14:textId="77777777" w:rsidR="00CC34B7" w:rsidRDefault="00CC34B7" w:rsidP="0099074F">
      <w:pPr>
        <w:pStyle w:val="FootnoteText"/>
      </w:pPr>
      <w:r>
        <w:rPr>
          <w:rStyle w:val="FootnoteReference"/>
        </w:rPr>
        <w:footnoteRef/>
      </w:r>
      <w:r>
        <w:t xml:space="preserve"> </w:t>
      </w:r>
      <w:r>
        <w:tab/>
        <w:t>Financial Product is defined in Division 3 of Chapter 7 of the Corporations Act.</w:t>
      </w:r>
    </w:p>
  </w:footnote>
  <w:footnote w:id="9">
    <w:p w14:paraId="3D07058E" w14:textId="77777777" w:rsidR="00CC34B7" w:rsidRDefault="00CC34B7" w:rsidP="0099074F">
      <w:pPr>
        <w:pStyle w:val="FootnoteText"/>
      </w:pPr>
      <w:r>
        <w:rPr>
          <w:rStyle w:val="FootnoteReference"/>
        </w:rPr>
        <w:footnoteRef/>
      </w:r>
      <w:r>
        <w:t xml:space="preserve"> </w:t>
      </w:r>
      <w:r>
        <w:tab/>
        <w:t>Regulated person</w:t>
      </w:r>
      <w:r w:rsidRPr="0099074F">
        <w:t xml:space="preserve"> is defined in section 1011B of the Corporations Act as: the issuer of a financial product; any person required to hold a financial services license or who is exempt from holding such a licence by a specified provision; any authorised representative of such a licensee; and sellers of financial products where the sale requires a PDS.</w:t>
      </w:r>
    </w:p>
  </w:footnote>
  <w:footnote w:id="10">
    <w:p w14:paraId="516CEED4" w14:textId="77777777" w:rsidR="00CC34B7" w:rsidRDefault="00CC34B7">
      <w:pPr>
        <w:pStyle w:val="FootnoteText"/>
      </w:pPr>
      <w:r>
        <w:rPr>
          <w:rStyle w:val="FootnoteReference"/>
        </w:rPr>
        <w:footnoteRef/>
      </w:r>
      <w:r>
        <w:t xml:space="preserve"> </w:t>
      </w:r>
      <w:r>
        <w:tab/>
        <w:t>See section 1010C of the Corporations Act.</w:t>
      </w:r>
    </w:p>
  </w:footnote>
  <w:footnote w:id="11">
    <w:p w14:paraId="5B13177A" w14:textId="77777777" w:rsidR="00CC34B7" w:rsidRDefault="00CC34B7">
      <w:pPr>
        <w:pStyle w:val="FootnoteText"/>
      </w:pPr>
      <w:r>
        <w:rPr>
          <w:rStyle w:val="FootnoteReference"/>
        </w:rPr>
        <w:footnoteRef/>
      </w:r>
      <w:r>
        <w:t xml:space="preserve"> </w:t>
      </w:r>
      <w:r>
        <w:tab/>
        <w:t>The</w:t>
      </w:r>
      <w:r w:rsidRPr="00D0124F">
        <w:t xml:space="preserve"> legislative framework</w:t>
      </w:r>
      <w:r>
        <w:t xml:space="preserve"> in Part 7.9 of the Corporations Act</w:t>
      </w:r>
      <w:r w:rsidRPr="00D0124F">
        <w:t xml:space="preserve"> is</w:t>
      </w:r>
      <w:r>
        <w:t xml:space="preserve"> generally</w:t>
      </w:r>
      <w:r w:rsidRPr="00D0124F">
        <w:t xml:space="preserve"> consistent with the policy in</w:t>
      </w:r>
      <w:r>
        <w:t>tent behind the new regime. For example, it: has appropriate exclusions, including for issuances to wholesale clients or not in the course of business; and, has appropriate anti-avoidance provisions and rules for complex products such as derivatives.</w:t>
      </w:r>
    </w:p>
  </w:footnote>
  <w:footnote w:id="12">
    <w:p w14:paraId="067882B5" w14:textId="77777777" w:rsidR="00CC34B7" w:rsidRDefault="00CC34B7">
      <w:pPr>
        <w:pStyle w:val="FootnoteText"/>
      </w:pPr>
      <w:r>
        <w:rPr>
          <w:rStyle w:val="FootnoteReference"/>
        </w:rPr>
        <w:footnoteRef/>
      </w:r>
      <w:r>
        <w:t xml:space="preserve"> </w:t>
      </w:r>
      <w:r>
        <w:tab/>
        <w:t>Margin lending facility is defined in section 761EA of the Corporations Act.</w:t>
      </w:r>
    </w:p>
  </w:footnote>
  <w:footnote w:id="13">
    <w:p w14:paraId="583B15FF" w14:textId="2EAD4B32" w:rsidR="00CC34B7" w:rsidRDefault="00CC34B7" w:rsidP="00000E70">
      <w:pPr>
        <w:pStyle w:val="FootnoteText"/>
      </w:pPr>
      <w:r>
        <w:rPr>
          <w:rStyle w:val="FootnoteReference"/>
        </w:rPr>
        <w:footnoteRef/>
      </w:r>
      <w:r>
        <w:t xml:space="preserve"> </w:t>
      </w:r>
      <w:r>
        <w:tab/>
        <w:t xml:space="preserve">For similar reasons, the regime does not apply to products regulated under the Credit Act. Products regulated under that Act are already subject to specific rules such as the responsible lending provisions in that Act. </w:t>
      </w:r>
    </w:p>
  </w:footnote>
  <w:footnote w:id="14">
    <w:p w14:paraId="6DC7B2F9" w14:textId="77777777" w:rsidR="00CC34B7" w:rsidRDefault="00CC34B7" w:rsidP="0085568E">
      <w:pPr>
        <w:pStyle w:val="FootnoteText"/>
      </w:pPr>
      <w:r>
        <w:rPr>
          <w:rStyle w:val="FootnoteReference"/>
        </w:rPr>
        <w:footnoteRef/>
      </w:r>
      <w:r>
        <w:t xml:space="preserve"> </w:t>
      </w:r>
      <w:r>
        <w:tab/>
        <w:t>See section 1010A of the Corporations Act.</w:t>
      </w:r>
    </w:p>
  </w:footnote>
  <w:footnote w:id="15">
    <w:p w14:paraId="2129E468" w14:textId="77777777" w:rsidR="00CC34B7" w:rsidRDefault="00CC34B7" w:rsidP="0085568E">
      <w:pPr>
        <w:pStyle w:val="FootnoteText"/>
      </w:pPr>
      <w:r>
        <w:rPr>
          <w:rStyle w:val="FootnoteReference"/>
        </w:rPr>
        <w:footnoteRef/>
      </w:r>
      <w:r>
        <w:t xml:space="preserve"> </w:t>
      </w:r>
      <w:r>
        <w:tab/>
        <w:t>See sections 700 and 761A of the Corporations Act.</w:t>
      </w:r>
    </w:p>
  </w:footnote>
  <w:footnote w:id="16">
    <w:p w14:paraId="5F2C3D79" w14:textId="77777777" w:rsidR="00CC34B7" w:rsidRDefault="00CC34B7" w:rsidP="00034829">
      <w:pPr>
        <w:pStyle w:val="FootnoteText"/>
      </w:pPr>
      <w:r>
        <w:rPr>
          <w:rStyle w:val="FootnoteReference"/>
        </w:rPr>
        <w:footnoteRef/>
      </w:r>
      <w:r>
        <w:t xml:space="preserve"> </w:t>
      </w:r>
      <w:r>
        <w:tab/>
        <w:t>See section 66A of the Corporations Act.</w:t>
      </w:r>
    </w:p>
  </w:footnote>
  <w:footnote w:id="17">
    <w:p w14:paraId="3F3F470A" w14:textId="44CF6998" w:rsidR="00CC34B7" w:rsidRDefault="00CC34B7" w:rsidP="00151D0B">
      <w:pPr>
        <w:pStyle w:val="FootnoteText"/>
      </w:pPr>
      <w:r>
        <w:rPr>
          <w:rStyle w:val="FootnoteReference"/>
        </w:rPr>
        <w:footnoteRef/>
      </w:r>
      <w:r>
        <w:t xml:space="preserve"> </w:t>
      </w:r>
      <w:r>
        <w:tab/>
      </w:r>
      <w:r>
        <w:rPr>
          <w:bCs/>
          <w:lang w:val="en-GB"/>
        </w:rPr>
        <w:t xml:space="preserve">Ordinary share is not defined in the Corporations Act. Consistent with existing practice, the term is to take </w:t>
      </w:r>
      <w:r w:rsidRPr="00012881">
        <w:rPr>
          <w:bCs/>
          <w:lang w:val="en-GB"/>
        </w:rPr>
        <w:t>its ordin</w:t>
      </w:r>
      <w:r>
        <w:rPr>
          <w:bCs/>
          <w:lang w:val="en-GB"/>
        </w:rPr>
        <w:t>ary meaning having regard to the</w:t>
      </w:r>
      <w:r w:rsidRPr="00012881">
        <w:rPr>
          <w:bCs/>
          <w:lang w:val="en-GB"/>
        </w:rPr>
        <w:t xml:space="preserve"> legislative context</w:t>
      </w:r>
      <w:r>
        <w:rPr>
          <w:bCs/>
          <w:lang w:val="en-GB"/>
        </w:rPr>
        <w:t xml:space="preserve"> in which it is used</w:t>
      </w:r>
      <w:r w:rsidRPr="00012881">
        <w:rPr>
          <w:bCs/>
          <w:lang w:val="en-GB"/>
        </w:rPr>
        <w:t xml:space="preserve"> and </w:t>
      </w:r>
      <w:r>
        <w:rPr>
          <w:bCs/>
          <w:lang w:val="en-GB"/>
        </w:rPr>
        <w:t xml:space="preserve">the purpose of the new regime. However, the use of the term ‘ordinary share’ is intended to distinguish such shares from other types of shares, particularly preference shares. </w:t>
      </w:r>
    </w:p>
  </w:footnote>
  <w:footnote w:id="18">
    <w:p w14:paraId="76C7D234" w14:textId="516754C7" w:rsidR="00CC34B7" w:rsidRDefault="00CC34B7">
      <w:pPr>
        <w:pStyle w:val="FootnoteText"/>
      </w:pPr>
      <w:r>
        <w:rPr>
          <w:rStyle w:val="FootnoteReference"/>
        </w:rPr>
        <w:footnoteRef/>
      </w:r>
      <w:r>
        <w:t xml:space="preserve"> Where a security is issued both under an employee scheme as well as in other circumstances, only the securities issued under the scheme are exempt from the regime.</w:t>
      </w:r>
    </w:p>
  </w:footnote>
  <w:footnote w:id="19">
    <w:p w14:paraId="79951CAD" w14:textId="77777777" w:rsidR="00CC34B7" w:rsidRDefault="00CC34B7" w:rsidP="005D0857">
      <w:pPr>
        <w:pStyle w:val="FootnoteText"/>
      </w:pPr>
      <w:r>
        <w:rPr>
          <w:rStyle w:val="FootnoteReference"/>
        </w:rPr>
        <w:footnoteRef/>
      </w:r>
      <w:r>
        <w:t xml:space="preserve"> </w:t>
      </w:r>
      <w:r>
        <w:tab/>
        <w:t>See the definition of Employee Share Scheme in section 9 of the Corporations Act.</w:t>
      </w:r>
    </w:p>
  </w:footnote>
  <w:footnote w:id="20">
    <w:p w14:paraId="687A1514" w14:textId="77777777" w:rsidR="00CC34B7" w:rsidRDefault="00CC34B7">
      <w:pPr>
        <w:pStyle w:val="FootnoteText"/>
      </w:pPr>
      <w:r>
        <w:rPr>
          <w:rStyle w:val="FootnoteReference"/>
        </w:rPr>
        <w:footnoteRef/>
      </w:r>
      <w:r>
        <w:t xml:space="preserve"> </w:t>
      </w:r>
      <w:r>
        <w:tab/>
      </w:r>
      <w:r>
        <w:rPr>
          <w:lang w:val="en-GB"/>
        </w:rPr>
        <w:t>Section 254G provides that a company may convert an ordinary share into a preference share (except a redeemable preference share) in certain circumstances.</w:t>
      </w:r>
    </w:p>
  </w:footnote>
  <w:footnote w:id="21">
    <w:p w14:paraId="2E878040" w14:textId="77777777" w:rsidR="00CC34B7" w:rsidRDefault="00CC34B7">
      <w:pPr>
        <w:pStyle w:val="FootnoteText"/>
      </w:pPr>
      <w:r>
        <w:rPr>
          <w:rStyle w:val="FootnoteReference"/>
        </w:rPr>
        <w:footnoteRef/>
      </w:r>
      <w:r>
        <w:t xml:space="preserve"> </w:t>
      </w:r>
      <w:r>
        <w:tab/>
        <w:t xml:space="preserve">See Parts 8.1 and 8.2 of the </w:t>
      </w:r>
      <w:r>
        <w:rPr>
          <w:i/>
        </w:rPr>
        <w:t>Corporations Regulations 2001</w:t>
      </w:r>
      <w:r>
        <w:t xml:space="preserve">. </w:t>
      </w:r>
    </w:p>
  </w:footnote>
  <w:footnote w:id="22">
    <w:p w14:paraId="1F4FE4E1" w14:textId="77777777" w:rsidR="00CC34B7" w:rsidRDefault="00CC34B7" w:rsidP="00F07BD6">
      <w:pPr>
        <w:pStyle w:val="FootnoteText"/>
      </w:pPr>
      <w:r>
        <w:rPr>
          <w:rStyle w:val="FootnoteReference"/>
        </w:rPr>
        <w:footnoteRef/>
      </w:r>
      <w:r>
        <w:t xml:space="preserve"> </w:t>
      </w:r>
      <w:r>
        <w:tab/>
        <w:t>Note that the issuer of a financial product may also be a distributor of the product.</w:t>
      </w:r>
    </w:p>
  </w:footnote>
  <w:footnote w:id="23">
    <w:p w14:paraId="570C461B" w14:textId="21038052" w:rsidR="00CC34B7" w:rsidRDefault="00CC34B7" w:rsidP="00F07BD6">
      <w:pPr>
        <w:pStyle w:val="FootnoteText"/>
      </w:pPr>
      <w:r>
        <w:rPr>
          <w:rStyle w:val="FootnoteReference"/>
        </w:rPr>
        <w:footnoteRef/>
      </w:r>
      <w:r>
        <w:t xml:space="preserve"> </w:t>
      </w:r>
      <w:r>
        <w:tab/>
        <w:t>The disclosure document may be required by Part 7.9 or Chapter 6D of the Corporations Act.</w:t>
      </w:r>
    </w:p>
  </w:footnote>
  <w:footnote w:id="24">
    <w:p w14:paraId="0CEA66C2" w14:textId="746FBB44" w:rsidR="00CC34B7" w:rsidRDefault="00CC34B7">
      <w:pPr>
        <w:pStyle w:val="FootnoteText"/>
      </w:pPr>
      <w:r>
        <w:rPr>
          <w:rStyle w:val="FootnoteReference"/>
        </w:rPr>
        <w:footnoteRef/>
      </w:r>
      <w:r>
        <w:t xml:space="preserve">   Under the new regime as enacted, the person required to make a target market determination for a financial product is the issuer of the product (except in regulated sale situations, in which case it is the seller). As the person who owes the obligations under the product or the body issuing the securities, the issuer would generally be best placed to make the determination. However, it is possible for a regulation made for the purposes of subsection 994B(1)(c) to impose the obligation on someone other than the legal issuer of a product, if necessary. In the case of recognised offers (described below), the person who makes the offer is responsible for making the target market determination.</w:t>
      </w:r>
    </w:p>
  </w:footnote>
  <w:footnote w:id="25">
    <w:p w14:paraId="1774D800" w14:textId="580D5B3A" w:rsidR="00CC34B7" w:rsidRDefault="00CC34B7">
      <w:pPr>
        <w:pStyle w:val="FootnoteText"/>
      </w:pPr>
      <w:r>
        <w:rPr>
          <w:rStyle w:val="FootnoteReference"/>
        </w:rPr>
        <w:footnoteRef/>
      </w:r>
      <w:r>
        <w:t xml:space="preserve">  </w:t>
      </w:r>
      <w:r>
        <w:tab/>
        <w:t>Subsection 994B(5)(c) provides that the distribution conditions do not include any such conditions or restrictions imposed by or under the Corporations Act.</w:t>
      </w:r>
    </w:p>
  </w:footnote>
  <w:footnote w:id="26">
    <w:p w14:paraId="788F4253" w14:textId="77777777" w:rsidR="00CC34B7" w:rsidRDefault="00CC34B7">
      <w:pPr>
        <w:pStyle w:val="FootnoteText"/>
      </w:pPr>
      <w:r>
        <w:rPr>
          <w:rStyle w:val="FootnoteReference"/>
        </w:rPr>
        <w:footnoteRef/>
      </w:r>
      <w:r>
        <w:t xml:space="preserve"> </w:t>
      </w:r>
      <w:r>
        <w:tab/>
        <w:t>S</w:t>
      </w:r>
      <w:r w:rsidRPr="0082303B">
        <w:t>ee section</w:t>
      </w:r>
      <w:r>
        <w:t>s</w:t>
      </w:r>
      <w:r w:rsidRPr="0082303B">
        <w:t xml:space="preserve"> 1101C, 1101E and 1101F</w:t>
      </w:r>
      <w:r>
        <w:t xml:space="preserve"> of the Corporations Act, respectively</w:t>
      </w:r>
      <w:r w:rsidRPr="0082303B">
        <w:t>.</w:t>
      </w:r>
    </w:p>
  </w:footnote>
  <w:footnote w:id="27">
    <w:p w14:paraId="2AF0718D" w14:textId="77777777" w:rsidR="00CC34B7" w:rsidRDefault="00CC34B7">
      <w:pPr>
        <w:pStyle w:val="FootnoteText"/>
      </w:pPr>
      <w:r>
        <w:rPr>
          <w:rStyle w:val="FootnoteReference"/>
        </w:rPr>
        <w:footnoteRef/>
      </w:r>
      <w:r>
        <w:t xml:space="preserve">  </w:t>
      </w:r>
      <w:r>
        <w:tab/>
        <w:t>See s</w:t>
      </w:r>
      <w:r w:rsidRPr="0082303B">
        <w:t>ection 1101C</w:t>
      </w:r>
      <w:r>
        <w:t xml:space="preserve"> of the Corporations Act.</w:t>
      </w:r>
    </w:p>
  </w:footnote>
  <w:footnote w:id="28">
    <w:p w14:paraId="5A76924A" w14:textId="77777777" w:rsidR="00CC34B7" w:rsidRDefault="00CC34B7" w:rsidP="002C052C">
      <w:pPr>
        <w:pStyle w:val="FootnoteText"/>
      </w:pPr>
      <w:r>
        <w:rPr>
          <w:rStyle w:val="FootnoteReference"/>
        </w:rPr>
        <w:footnoteRef/>
      </w:r>
      <w:r>
        <w:t xml:space="preserve"> </w:t>
      </w:r>
      <w:r>
        <w:tab/>
        <w:t>Note that persons who are merely</w:t>
      </w:r>
      <w:r w:rsidRPr="002B4620">
        <w:t xml:space="preserve"> engaged to s</w:t>
      </w:r>
      <w:r>
        <w:t>upport a regulated person (</w:t>
      </w:r>
      <w:r w:rsidRPr="002B4620">
        <w:t xml:space="preserve">for example, media companies, legal advisers and search </w:t>
      </w:r>
      <w:r>
        <w:t>engines) do not owe the obligations.</w:t>
      </w:r>
    </w:p>
  </w:footnote>
  <w:footnote w:id="29">
    <w:p w14:paraId="2099AD80" w14:textId="00DD2F32" w:rsidR="00CC34B7" w:rsidRPr="00155ABB" w:rsidRDefault="00CC34B7" w:rsidP="00BF3864">
      <w:pPr>
        <w:pStyle w:val="FootnoteText"/>
        <w:rPr>
          <w:b/>
          <w:i/>
          <w:sz w:val="18"/>
        </w:rPr>
      </w:pPr>
      <w:r>
        <w:rPr>
          <w:rStyle w:val="FootnoteReference"/>
        </w:rPr>
        <w:footnoteRef/>
      </w:r>
      <w:r>
        <w:t xml:space="preserve"> </w:t>
      </w:r>
      <w:r w:rsidRPr="002063E9">
        <w:t>Those engaging in retail product distribution conduct are generally the people responsible for giving disclosure documents to potential acquirers of the product.</w:t>
      </w:r>
      <w:r>
        <w:t xml:space="preserve"> </w:t>
      </w:r>
    </w:p>
  </w:footnote>
  <w:footnote w:id="30">
    <w:p w14:paraId="521C1C95" w14:textId="04724FE6" w:rsidR="00CC34B7" w:rsidRDefault="00CC34B7" w:rsidP="00D9722F">
      <w:pPr>
        <w:pStyle w:val="FootnoteText"/>
      </w:pPr>
      <w:r>
        <w:rPr>
          <w:rStyle w:val="FootnoteReference"/>
        </w:rPr>
        <w:footnoteRef/>
      </w:r>
      <w:r>
        <w:t xml:space="preserve">   Or equivalent secondary sale activity that requires disclosure: see the definition of regulated sale in section 994A.</w:t>
      </w:r>
    </w:p>
  </w:footnote>
  <w:footnote w:id="31">
    <w:p w14:paraId="02755D1E" w14:textId="13719BE6" w:rsidR="00CC34B7" w:rsidRDefault="00CC34B7" w:rsidP="00416471">
      <w:pPr>
        <w:pStyle w:val="FootnoteText"/>
      </w:pPr>
      <w:r>
        <w:rPr>
          <w:rStyle w:val="FootnoteReference"/>
        </w:rPr>
        <w:footnoteRef/>
      </w:r>
      <w:r>
        <w:t xml:space="preserve">   Personal advice and closely related conduct is defined in the new regime as ‘excluded conduct’. Excluded conduct, in turn, includes ‘excluded dealings’ which is defined as arranging for the issue of a product for the purpose of implementing the personal advice, whether by the advisor or their associate: see section 994A.</w:t>
      </w:r>
    </w:p>
  </w:footnote>
  <w:footnote w:id="32">
    <w:p w14:paraId="066CD2B4" w14:textId="77777777" w:rsidR="00CC34B7" w:rsidRDefault="00CC34B7" w:rsidP="003D6EBD">
      <w:pPr>
        <w:pStyle w:val="FootnoteText"/>
      </w:pPr>
      <w:r>
        <w:rPr>
          <w:rStyle w:val="FootnoteReference"/>
        </w:rPr>
        <w:footnoteRef/>
      </w:r>
      <w:r>
        <w:t xml:space="preserve"> </w:t>
      </w:r>
      <w:r>
        <w:tab/>
        <w:t>S</w:t>
      </w:r>
      <w:r w:rsidRPr="0082303B">
        <w:t>ee section</w:t>
      </w:r>
      <w:r>
        <w:t>s</w:t>
      </w:r>
      <w:r w:rsidRPr="0082303B">
        <w:t xml:space="preserve"> 1101C, 1101E and 1101F</w:t>
      </w:r>
      <w:r>
        <w:t xml:space="preserve"> of the Corporations Act, respectively</w:t>
      </w:r>
      <w:r w:rsidRPr="0082303B">
        <w:t>.</w:t>
      </w:r>
    </w:p>
  </w:footnote>
  <w:footnote w:id="33">
    <w:p w14:paraId="17DBE4BD" w14:textId="77777777" w:rsidR="00CC34B7" w:rsidRDefault="00CC34B7" w:rsidP="003D6EBD">
      <w:pPr>
        <w:pStyle w:val="FootnoteText"/>
      </w:pPr>
      <w:r>
        <w:rPr>
          <w:rStyle w:val="FootnoteReference"/>
        </w:rPr>
        <w:footnoteRef/>
      </w:r>
      <w:r>
        <w:t xml:space="preserve">  </w:t>
      </w:r>
      <w:r>
        <w:tab/>
        <w:t>See s</w:t>
      </w:r>
      <w:r w:rsidRPr="0082303B">
        <w:t>ection 1101C</w:t>
      </w:r>
      <w:r>
        <w:t xml:space="preserve"> of the Corporations Act.</w:t>
      </w:r>
    </w:p>
  </w:footnote>
  <w:footnote w:id="34">
    <w:p w14:paraId="69E2D39D" w14:textId="77777777" w:rsidR="00CC34B7" w:rsidRDefault="00CC34B7" w:rsidP="00440B24">
      <w:pPr>
        <w:pStyle w:val="FootnoteText"/>
      </w:pPr>
      <w:r>
        <w:rPr>
          <w:rStyle w:val="FootnoteReference"/>
        </w:rPr>
        <w:footnoteRef/>
      </w:r>
      <w:r>
        <w:t xml:space="preserve"> </w:t>
      </w:r>
      <w:r>
        <w:tab/>
        <w:t>There are limited exceptions and ASIC has provided some relief in relation to this prohibition, see ASIC Regulatory Guide 254.</w:t>
      </w:r>
    </w:p>
  </w:footnote>
  <w:footnote w:id="35">
    <w:p w14:paraId="3DDD2DA3" w14:textId="77777777" w:rsidR="00CC34B7" w:rsidRDefault="00CC34B7">
      <w:pPr>
        <w:pStyle w:val="FootnoteText"/>
      </w:pPr>
      <w:r>
        <w:rPr>
          <w:rStyle w:val="FootnoteReference"/>
        </w:rPr>
        <w:footnoteRef/>
      </w:r>
      <w:r>
        <w:t xml:space="preserve"> </w:t>
      </w:r>
      <w:r>
        <w:tab/>
        <w:t>See sections 739 and1020E of the Corporations Act.</w:t>
      </w:r>
    </w:p>
  </w:footnote>
  <w:footnote w:id="36">
    <w:p w14:paraId="692CACDD" w14:textId="77777777" w:rsidR="00CC34B7" w:rsidRDefault="00CC34B7">
      <w:pPr>
        <w:pStyle w:val="FootnoteText"/>
      </w:pPr>
      <w:r>
        <w:rPr>
          <w:rStyle w:val="FootnoteReference"/>
        </w:rPr>
        <w:footnoteRef/>
      </w:r>
      <w:r>
        <w:t xml:space="preserve"> </w:t>
      </w:r>
      <w:r>
        <w:tab/>
        <w:t xml:space="preserve">See section 5 of the </w:t>
      </w:r>
      <w:r w:rsidRPr="00DB7955">
        <w:rPr>
          <w:i/>
        </w:rPr>
        <w:t>Legislative Instruments Act 2003</w:t>
      </w:r>
      <w:r>
        <w:t>.</w:t>
      </w:r>
    </w:p>
  </w:footnote>
  <w:footnote w:id="37">
    <w:p w14:paraId="71F094A4" w14:textId="77777777" w:rsidR="00CC34B7" w:rsidRDefault="00CC34B7" w:rsidP="00135A9B">
      <w:pPr>
        <w:pStyle w:val="FootnoteText"/>
      </w:pPr>
      <w:r>
        <w:rPr>
          <w:rStyle w:val="FootnoteReference"/>
        </w:rPr>
        <w:footnoteRef/>
      </w:r>
      <w:r>
        <w:t xml:space="preserve"> </w:t>
      </w:r>
      <w:r>
        <w:tab/>
        <w:t>See sections 741 and 1020F of the Corporations Act.</w:t>
      </w:r>
    </w:p>
  </w:footnote>
  <w:footnote w:id="38">
    <w:p w14:paraId="3583492C" w14:textId="77777777" w:rsidR="00CC34B7" w:rsidRDefault="00CC34B7">
      <w:pPr>
        <w:pStyle w:val="FootnoteText"/>
      </w:pPr>
      <w:r>
        <w:rPr>
          <w:rStyle w:val="FootnoteReference"/>
        </w:rPr>
        <w:footnoteRef/>
      </w:r>
      <w:r>
        <w:t xml:space="preserve"> </w:t>
      </w:r>
      <w:r>
        <w:tab/>
        <w:t>Attorney-General’s Department, September 2011 edition.</w:t>
      </w:r>
    </w:p>
  </w:footnote>
  <w:footnote w:id="39">
    <w:p w14:paraId="3858783A" w14:textId="7D701663" w:rsidR="00CC34B7" w:rsidRDefault="00CC34B7" w:rsidP="001E17D3">
      <w:pPr>
        <w:pStyle w:val="FootnoteText"/>
      </w:pPr>
      <w:r>
        <w:rPr>
          <w:rStyle w:val="FootnoteReference"/>
        </w:rPr>
        <w:footnoteRef/>
      </w:r>
      <w:r>
        <w:t xml:space="preserve">   Financial System Inquiry (Final Report), November 2014, at p 207 and 208.</w:t>
      </w:r>
    </w:p>
  </w:footnote>
  <w:footnote w:id="40">
    <w:p w14:paraId="35091AF8" w14:textId="77777777" w:rsidR="00CC34B7" w:rsidRDefault="00CC34B7" w:rsidP="001E17D3">
      <w:pPr>
        <w:pStyle w:val="FootnoteText"/>
      </w:pPr>
      <w:r>
        <w:rPr>
          <w:rStyle w:val="FootnoteReference"/>
        </w:rPr>
        <w:footnoteRef/>
      </w:r>
      <w:r>
        <w:t xml:space="preserve"> </w:t>
      </w:r>
      <w:r>
        <w:tab/>
        <w:t>Financial System Inquiry (Final Report), November 2014, at p.206.</w:t>
      </w:r>
    </w:p>
  </w:footnote>
  <w:footnote w:id="41">
    <w:p w14:paraId="395C6407" w14:textId="77777777" w:rsidR="00CC34B7" w:rsidRDefault="00CC34B7" w:rsidP="001E17D3">
      <w:pPr>
        <w:pStyle w:val="FootnoteText"/>
      </w:pPr>
      <w:r>
        <w:rPr>
          <w:rStyle w:val="FootnoteReference"/>
        </w:rPr>
        <w:footnoteRef/>
      </w:r>
      <w:r>
        <w:t xml:space="preserve"> </w:t>
      </w:r>
      <w:r>
        <w:tab/>
        <w:t xml:space="preserve">Improving Australia’s financial system, Government response to the Financial System Inquiry, December 2016, at pp.7 and 19. </w:t>
      </w:r>
    </w:p>
  </w:footnote>
  <w:footnote w:id="42">
    <w:p w14:paraId="28762268" w14:textId="77777777" w:rsidR="00CC34B7" w:rsidRDefault="00CC34B7" w:rsidP="001E17D3">
      <w:pPr>
        <w:pStyle w:val="FootnoteText"/>
      </w:pPr>
      <w:r>
        <w:rPr>
          <w:rStyle w:val="FootnoteReference"/>
        </w:rPr>
        <w:footnoteRef/>
      </w:r>
      <w:r>
        <w:t xml:space="preserve"> </w:t>
      </w:r>
      <w:r>
        <w:tab/>
        <w:t xml:space="preserve">Design and Distribution Obligations and Product Intervention Powers, Proposals Paper, December 2016. </w:t>
      </w:r>
    </w:p>
  </w:footnote>
  <w:footnote w:id="43">
    <w:p w14:paraId="5712BCA8" w14:textId="77777777" w:rsidR="00CC34B7" w:rsidRDefault="00CC34B7" w:rsidP="001E17D3">
      <w:pPr>
        <w:pStyle w:val="FootnoteText"/>
      </w:pPr>
      <w:r>
        <w:rPr>
          <w:rStyle w:val="FootnoteReference"/>
        </w:rPr>
        <w:footnoteRef/>
      </w:r>
      <w:r>
        <w:t xml:space="preserve"> </w:t>
      </w:r>
      <w:r>
        <w:tab/>
        <w:t>See section 1010C of the Corporations Act.</w:t>
      </w:r>
    </w:p>
  </w:footnote>
  <w:footnote w:id="44">
    <w:p w14:paraId="04DC60D0" w14:textId="77777777" w:rsidR="00CC34B7" w:rsidRDefault="00CC34B7" w:rsidP="001E17D3">
      <w:pPr>
        <w:pStyle w:val="FootnoteText"/>
      </w:pPr>
      <w:r>
        <w:rPr>
          <w:rStyle w:val="FootnoteReference"/>
        </w:rPr>
        <w:footnoteRef/>
      </w:r>
      <w:r>
        <w:t xml:space="preserve"> </w:t>
      </w:r>
      <w:r>
        <w:tab/>
        <w:t xml:space="preserve">Sections 707 and 1012C of the Corporations Act are anti-avoidance provisions that aim to ensure that the requirement to provide disclosure in relation to a financial product cannot be avoided by an arrangement that utilises certain sale situations. </w:t>
      </w:r>
    </w:p>
  </w:footnote>
  <w:footnote w:id="45">
    <w:p w14:paraId="4218836E" w14:textId="5017C960" w:rsidR="00CC34B7" w:rsidRDefault="00CC34B7">
      <w:pPr>
        <w:pStyle w:val="FootnoteText"/>
      </w:pPr>
      <w:r>
        <w:rPr>
          <w:rStyle w:val="FootnoteReference"/>
        </w:rPr>
        <w:footnoteRef/>
      </w:r>
      <w:r>
        <w:t xml:space="preserve">  The provision could also be used to declare something as a financial product for the purposes of the design and distribution obligations, and, if appropriate, some or all of other parts of Chapter 7.</w:t>
      </w:r>
    </w:p>
  </w:footnote>
  <w:footnote w:id="46">
    <w:p w14:paraId="741CDA18" w14:textId="360F37F0" w:rsidR="00CC34B7" w:rsidRDefault="00CC34B7">
      <w:pPr>
        <w:pStyle w:val="FootnoteText"/>
      </w:pPr>
      <w:r>
        <w:rPr>
          <w:rStyle w:val="FootnoteReference"/>
        </w:rPr>
        <w:footnoteRef/>
      </w:r>
      <w:r>
        <w:t xml:space="preserve">  These warranties can avoid being treated as a financial product by falling within an exception in section 763E of the Corporations Act for ‘incidental products’.</w:t>
      </w:r>
    </w:p>
  </w:footnote>
  <w:footnote w:id="47">
    <w:p w14:paraId="0BF21929" w14:textId="7C521ABD" w:rsidR="00CC34B7" w:rsidRDefault="00CC34B7">
      <w:pPr>
        <w:pStyle w:val="FootnoteText"/>
      </w:pPr>
      <w:r>
        <w:rPr>
          <w:rStyle w:val="FootnoteReference"/>
        </w:rPr>
        <w:footnoteRef/>
      </w:r>
      <w:r>
        <w:t xml:space="preserve">  </w:t>
      </w:r>
      <w:r w:rsidRPr="008027BD">
        <w:t>This is a credit contract under which:</w:t>
      </w:r>
      <w:r>
        <w:t xml:space="preserve"> </w:t>
      </w:r>
      <w:r w:rsidRPr="008027BD">
        <w:t>the provision of credit is limited to a total period that does not exceed 62 days;</w:t>
      </w:r>
      <w:r>
        <w:t xml:space="preserve"> </w:t>
      </w:r>
      <w:r w:rsidRPr="008027BD">
        <w:t>the maximum amount of credit fees and charges that may be imposed or provided for does not exceed 5% of the amount of credit; and</w:t>
      </w:r>
      <w:r>
        <w:t xml:space="preserve"> </w:t>
      </w:r>
      <w:r w:rsidRPr="008027BD">
        <w:t>the maximum amount of interest charges that may be imposed or provided for does not exceed an amount equal to the amount payable if the annual percentage rate were 24% per annum.</w:t>
      </w:r>
      <w:r>
        <w:t xml:space="preserve"> See subsection 6(1) of the Credit Act and subsection 6(1) of Schedule 1 to the Credit Act. </w:t>
      </w:r>
    </w:p>
  </w:footnote>
  <w:footnote w:id="48">
    <w:p w14:paraId="157AAEA2" w14:textId="77777777" w:rsidR="00CC34B7" w:rsidRDefault="00CC34B7" w:rsidP="001E17D3">
      <w:pPr>
        <w:pStyle w:val="FootnoteText"/>
      </w:pPr>
      <w:r>
        <w:rPr>
          <w:rStyle w:val="FootnoteReference"/>
        </w:rPr>
        <w:footnoteRef/>
      </w:r>
      <w:r>
        <w:t xml:space="preserve"> </w:t>
      </w:r>
      <w:r>
        <w:tab/>
        <w:t>See sections 4 and 5 of the Code.</w:t>
      </w:r>
    </w:p>
  </w:footnote>
  <w:footnote w:id="49">
    <w:p w14:paraId="1E8A30A1" w14:textId="77777777" w:rsidR="00CC34B7" w:rsidRDefault="00CC34B7" w:rsidP="001E17D3">
      <w:pPr>
        <w:pStyle w:val="FootnoteText"/>
      </w:pPr>
      <w:r>
        <w:rPr>
          <w:rStyle w:val="FootnoteReference"/>
        </w:rPr>
        <w:footnoteRef/>
      </w:r>
      <w:r>
        <w:t xml:space="preserve"> </w:t>
      </w:r>
      <w:r>
        <w:tab/>
        <w:t>See sections 169 and 170 of the Code.</w:t>
      </w:r>
    </w:p>
  </w:footnote>
  <w:footnote w:id="50">
    <w:p w14:paraId="367857AC" w14:textId="77777777" w:rsidR="00CC34B7" w:rsidRDefault="00CC34B7" w:rsidP="001E17D3">
      <w:pPr>
        <w:pStyle w:val="FootnoteText"/>
      </w:pPr>
      <w:r>
        <w:rPr>
          <w:rStyle w:val="FootnoteReference"/>
        </w:rPr>
        <w:footnoteRef/>
      </w:r>
      <w:r>
        <w:t xml:space="preserve"> </w:t>
      </w:r>
      <w:r>
        <w:tab/>
        <w:t>See sections 7 and 8 of the Code.</w:t>
      </w:r>
    </w:p>
  </w:footnote>
  <w:footnote w:id="51">
    <w:p w14:paraId="41C82A64" w14:textId="3434751A" w:rsidR="00CC34B7" w:rsidRDefault="00CC34B7" w:rsidP="001E17D3">
      <w:pPr>
        <w:pStyle w:val="FootnoteText"/>
      </w:pPr>
      <w:r>
        <w:rPr>
          <w:rStyle w:val="FootnoteReference"/>
        </w:rPr>
        <w:footnoteRef/>
      </w:r>
      <w:r>
        <w:t xml:space="preserve"> </w:t>
      </w:r>
      <w:r>
        <w:tab/>
        <w:t>See, for example, existing section 1020E of the Corporations Act.</w:t>
      </w:r>
    </w:p>
  </w:footnote>
  <w:footnote w:id="52">
    <w:p w14:paraId="370F0E0D" w14:textId="77777777" w:rsidR="00CC34B7" w:rsidRDefault="00CC34B7" w:rsidP="001E17D3">
      <w:pPr>
        <w:pStyle w:val="FootnoteText"/>
      </w:pPr>
      <w:r>
        <w:rPr>
          <w:rStyle w:val="FootnoteReference"/>
        </w:rPr>
        <w:footnoteRef/>
      </w:r>
      <w:r>
        <w:t xml:space="preserve"> </w:t>
      </w:r>
      <w:r>
        <w:tab/>
        <w:t>Attorney-General’s Department, September 2011 edition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2DA37" w14:textId="77777777" w:rsidR="00CC34B7" w:rsidRDefault="00CC34B7" w:rsidP="00F83604">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A2916" w14:textId="77777777" w:rsidR="00CC34B7" w:rsidRDefault="00CC34B7" w:rsidP="00F83604">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44A9D" w14:textId="77777777" w:rsidR="00CC34B7" w:rsidRPr="00204DA8" w:rsidRDefault="00CC34B7" w:rsidP="00204D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F1060" w14:textId="77777777" w:rsidR="00CC34B7" w:rsidRPr="00204DA8" w:rsidRDefault="00CC34B7" w:rsidP="00204DA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3FC3E" w14:textId="77777777" w:rsidR="00CC34B7" w:rsidRPr="00204DA8" w:rsidRDefault="00CC34B7" w:rsidP="00204DA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867F0" w14:textId="77777777" w:rsidR="00CC34B7" w:rsidRPr="005827CD" w:rsidRDefault="00CC34B7" w:rsidP="00422FA2">
    <w:pPr>
      <w:pStyle w:val="leftheader"/>
      <w:rPr>
        <w:smallCaps/>
      </w:rPr>
    </w:pPr>
    <w:r w:rsidRPr="005827CD">
      <w:rPr>
        <w:smallCaps/>
      </w:rPr>
      <w:fldChar w:fldCharType="begin"/>
    </w:r>
    <w:r w:rsidRPr="005827CD">
      <w:rPr>
        <w:smallCaps/>
      </w:rPr>
      <w:instrText xml:space="preserve"> STYLEREF  "Bill Name"  \* MERGEFORMAT </w:instrText>
    </w:r>
    <w:r w:rsidRPr="005827CD">
      <w:rPr>
        <w:smallCaps/>
      </w:rPr>
      <w:fldChar w:fldCharType="separate"/>
    </w:r>
    <w:r w:rsidR="00BA1269">
      <w:rPr>
        <w:smallCaps/>
        <w:noProof/>
      </w:rPr>
      <w:t>treasury laws amendment (design and distribution obligations and product intervention powers) bill 2018</w:t>
    </w:r>
    <w:r w:rsidRPr="005827CD">
      <w:rPr>
        <w:smallCaps/>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C1A10" w14:textId="77777777" w:rsidR="00CC34B7" w:rsidRDefault="007B0177" w:rsidP="00F83604">
    <w:pPr>
      <w:pStyle w:val="rightheader"/>
    </w:pPr>
    <w:r>
      <w:fldChar w:fldCharType="begin"/>
    </w:r>
    <w:r>
      <w:instrText xml:space="preserve"> STYLEREF  "ChapterNameOnly"  \* MERGEFORMAT </w:instrText>
    </w:r>
    <w:r>
      <w:fldChar w:fldCharType="separate"/>
    </w:r>
    <w:r w:rsidR="00BA1269">
      <w:rPr>
        <w:noProof/>
      </w:rPr>
      <w:t>Regulation Impact Statement</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071394"/>
    <w:multiLevelType w:val="multilevel"/>
    <w:tmpl w:val="68F4EE0A"/>
    <w:name w:val="StandardBulletedList"/>
    <w:lvl w:ilvl="0">
      <w:start w:val="1"/>
      <w:numFmt w:val="bullet"/>
      <w:pStyle w:val="Bullet"/>
      <w:lvlText w:val="•"/>
      <w:lvlJc w:val="left"/>
      <w:pPr>
        <w:tabs>
          <w:tab w:val="num" w:pos="2480"/>
        </w:tabs>
        <w:ind w:left="2480" w:hanging="520"/>
      </w:pPr>
      <w:rPr>
        <w:rFonts w:ascii="Times New Roman" w:hAnsi="Times New Roman" w:cs="Times New Roman"/>
      </w:rPr>
    </w:lvl>
    <w:lvl w:ilvl="1">
      <w:start w:val="1"/>
      <w:numFmt w:val="bullet"/>
      <w:pStyle w:val="Dash"/>
      <w:lvlText w:val="–"/>
      <w:lvlJc w:val="left"/>
      <w:pPr>
        <w:tabs>
          <w:tab w:val="num" w:pos="3000"/>
        </w:tabs>
        <w:ind w:left="3000" w:hanging="520"/>
      </w:pPr>
      <w:rPr>
        <w:rFonts w:ascii="Times New Roman" w:hAnsi="Times New Roman" w:cs="Times New Roman"/>
      </w:rPr>
    </w:lvl>
    <w:lvl w:ilvl="2">
      <w:start w:val="1"/>
      <w:numFmt w:val="bullet"/>
      <w:pStyle w:val="DoubleDot"/>
      <w:lvlText w:val=":"/>
      <w:lvlJc w:val="left"/>
      <w:pPr>
        <w:tabs>
          <w:tab w:val="num" w:pos="3520"/>
        </w:tabs>
        <w:ind w:left="3520" w:hanging="520"/>
      </w:pPr>
      <w:rPr>
        <w:rFonts w:ascii="Times New Roman" w:hAnsi="Times New Roman" w:cs="Times New Roman"/>
      </w:rPr>
    </w:lvl>
    <w:lvl w:ilvl="3">
      <w:start w:val="1"/>
      <w:numFmt w:val="decimal"/>
      <w:lvlText w:val="(%4)"/>
      <w:lvlJc w:val="left"/>
      <w:pPr>
        <w:ind w:left="3400" w:hanging="360"/>
      </w:pPr>
    </w:lvl>
    <w:lvl w:ilvl="4">
      <w:start w:val="1"/>
      <w:numFmt w:val="lowerLetter"/>
      <w:lvlText w:val="(%5)"/>
      <w:lvlJc w:val="left"/>
      <w:pPr>
        <w:ind w:left="3760" w:hanging="360"/>
      </w:pPr>
    </w:lvl>
    <w:lvl w:ilvl="5">
      <w:start w:val="1"/>
      <w:numFmt w:val="lowerRoman"/>
      <w:lvlText w:val="(%6)"/>
      <w:lvlJc w:val="left"/>
      <w:pPr>
        <w:ind w:left="4120" w:hanging="360"/>
      </w:pPr>
    </w:lvl>
    <w:lvl w:ilvl="6">
      <w:start w:val="1"/>
      <w:numFmt w:val="decimal"/>
      <w:lvlText w:val="%7."/>
      <w:lvlJc w:val="left"/>
      <w:pPr>
        <w:ind w:left="4480" w:hanging="360"/>
      </w:pPr>
    </w:lvl>
    <w:lvl w:ilvl="7">
      <w:start w:val="1"/>
      <w:numFmt w:val="lowerLetter"/>
      <w:lvlText w:val="%8."/>
      <w:lvlJc w:val="left"/>
      <w:pPr>
        <w:ind w:left="4840" w:hanging="360"/>
      </w:pPr>
    </w:lvl>
    <w:lvl w:ilvl="8">
      <w:start w:val="1"/>
      <w:numFmt w:val="lowerRoman"/>
      <w:lvlText w:val="%9."/>
      <w:lvlJc w:val="left"/>
      <w:pPr>
        <w:ind w:left="5200" w:hanging="360"/>
      </w:p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4">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FBC7E8D"/>
    <w:multiLevelType w:val="singleLevel"/>
    <w:tmpl w:val="206AEFD2"/>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0">
    <w:nsid w:val="65DF6494"/>
    <w:multiLevelType w:val="multilevel"/>
    <w:tmpl w:val="A316FE50"/>
    <w:numStyleLink w:val="ChapterList"/>
  </w:abstractNum>
  <w:abstractNum w:abstractNumId="21">
    <w:nsid w:val="6C3B5425"/>
    <w:multiLevelType w:val="multilevel"/>
    <w:tmpl w:val="46FED2E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4"/>
  </w:num>
  <w:num w:numId="2">
    <w:abstractNumId w:val="22"/>
  </w:num>
  <w:num w:numId="3">
    <w:abstractNumId w:val="23"/>
  </w:num>
  <w:num w:numId="4">
    <w:abstractNumId w:val="20"/>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5"/>
  </w:num>
  <w:num w:numId="6">
    <w:abstractNumId w:val="16"/>
  </w:num>
  <w:num w:numId="7">
    <w:abstractNumId w:val="17"/>
  </w:num>
  <w:num w:numId="8">
    <w:abstractNumId w:val="17"/>
  </w:num>
  <w:num w:numId="9">
    <w:abstractNumId w:val="18"/>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0"/>
  </w:num>
  <w:num w:numId="23">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993"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84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5"/>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6"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6"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1"/>
  </w:num>
  <w:num w:numId="3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6"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3"/>
  </w:num>
  <w:num w:numId="43">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5">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6">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8">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abstractNumId w:val="16"/>
  </w:num>
  <w:num w:numId="63">
    <w:abstractNumId w:val="16"/>
  </w:num>
  <w:num w:numId="64">
    <w:abstractNumId w:val="16"/>
  </w:num>
  <w:num w:numId="65">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8">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0">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6"/>
  </w:num>
  <w:num w:numId="73">
    <w:abstractNumId w:val="16"/>
  </w:num>
  <w:num w:numId="74">
    <w:abstractNumId w:val="16"/>
  </w:num>
  <w:num w:numId="75">
    <w:abstractNumId w:val="16"/>
  </w:num>
  <w:num w:numId="76">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8">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0">
    <w:abstractNumId w:val="16"/>
  </w:num>
  <w:num w:numId="8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2">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3">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4">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trackRevisions/>
  <w:defaultTabStop w:val="720"/>
  <w:evenAndOddHeaders/>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3655D8"/>
    <w:rsid w:val="00000B75"/>
    <w:rsid w:val="00000C3D"/>
    <w:rsid w:val="00000E70"/>
    <w:rsid w:val="00000EAC"/>
    <w:rsid w:val="00002E6F"/>
    <w:rsid w:val="00003529"/>
    <w:rsid w:val="0000756B"/>
    <w:rsid w:val="0001259D"/>
    <w:rsid w:val="0001315A"/>
    <w:rsid w:val="00014648"/>
    <w:rsid w:val="00015512"/>
    <w:rsid w:val="000158C7"/>
    <w:rsid w:val="00016FA2"/>
    <w:rsid w:val="00017CCE"/>
    <w:rsid w:val="0002054A"/>
    <w:rsid w:val="00020920"/>
    <w:rsid w:val="000211BF"/>
    <w:rsid w:val="00021342"/>
    <w:rsid w:val="000221E5"/>
    <w:rsid w:val="0002341F"/>
    <w:rsid w:val="00024373"/>
    <w:rsid w:val="000250A0"/>
    <w:rsid w:val="00025279"/>
    <w:rsid w:val="0002534A"/>
    <w:rsid w:val="00025AA5"/>
    <w:rsid w:val="00025B19"/>
    <w:rsid w:val="00026365"/>
    <w:rsid w:val="00026CF5"/>
    <w:rsid w:val="00027F08"/>
    <w:rsid w:val="00030A40"/>
    <w:rsid w:val="00031255"/>
    <w:rsid w:val="0003279E"/>
    <w:rsid w:val="00033060"/>
    <w:rsid w:val="00033A66"/>
    <w:rsid w:val="00034720"/>
    <w:rsid w:val="00034829"/>
    <w:rsid w:val="00034830"/>
    <w:rsid w:val="000348CB"/>
    <w:rsid w:val="00035434"/>
    <w:rsid w:val="00035707"/>
    <w:rsid w:val="00036098"/>
    <w:rsid w:val="0003664C"/>
    <w:rsid w:val="00037712"/>
    <w:rsid w:val="00040316"/>
    <w:rsid w:val="00040BAA"/>
    <w:rsid w:val="00041112"/>
    <w:rsid w:val="000418FE"/>
    <w:rsid w:val="00041AC4"/>
    <w:rsid w:val="00041F04"/>
    <w:rsid w:val="0004268E"/>
    <w:rsid w:val="00042723"/>
    <w:rsid w:val="000432C0"/>
    <w:rsid w:val="00043378"/>
    <w:rsid w:val="0004432A"/>
    <w:rsid w:val="00044C36"/>
    <w:rsid w:val="00045002"/>
    <w:rsid w:val="000463A1"/>
    <w:rsid w:val="00046F6E"/>
    <w:rsid w:val="00047AEE"/>
    <w:rsid w:val="00050C03"/>
    <w:rsid w:val="000510B8"/>
    <w:rsid w:val="000511C1"/>
    <w:rsid w:val="00052065"/>
    <w:rsid w:val="00053E4D"/>
    <w:rsid w:val="00053FBB"/>
    <w:rsid w:val="00054B18"/>
    <w:rsid w:val="00055064"/>
    <w:rsid w:val="000555A4"/>
    <w:rsid w:val="0005664D"/>
    <w:rsid w:val="00057B58"/>
    <w:rsid w:val="000608D8"/>
    <w:rsid w:val="00060912"/>
    <w:rsid w:val="00061820"/>
    <w:rsid w:val="000641BB"/>
    <w:rsid w:val="00064857"/>
    <w:rsid w:val="00064C27"/>
    <w:rsid w:val="00064CBE"/>
    <w:rsid w:val="00064F9E"/>
    <w:rsid w:val="00065809"/>
    <w:rsid w:val="000659B5"/>
    <w:rsid w:val="00066700"/>
    <w:rsid w:val="0006718F"/>
    <w:rsid w:val="00070099"/>
    <w:rsid w:val="00070229"/>
    <w:rsid w:val="0007094A"/>
    <w:rsid w:val="0007095E"/>
    <w:rsid w:val="00071195"/>
    <w:rsid w:val="00071905"/>
    <w:rsid w:val="00072557"/>
    <w:rsid w:val="000726C0"/>
    <w:rsid w:val="00072858"/>
    <w:rsid w:val="000729C1"/>
    <w:rsid w:val="00072C13"/>
    <w:rsid w:val="00073EDE"/>
    <w:rsid w:val="000741C6"/>
    <w:rsid w:val="00074324"/>
    <w:rsid w:val="00074AE8"/>
    <w:rsid w:val="00074CAA"/>
    <w:rsid w:val="000755D5"/>
    <w:rsid w:val="0007637B"/>
    <w:rsid w:val="000826DA"/>
    <w:rsid w:val="0008338F"/>
    <w:rsid w:val="0008353F"/>
    <w:rsid w:val="000838BC"/>
    <w:rsid w:val="000838D8"/>
    <w:rsid w:val="00084434"/>
    <w:rsid w:val="000847DC"/>
    <w:rsid w:val="00085FB8"/>
    <w:rsid w:val="00086879"/>
    <w:rsid w:val="00086DD5"/>
    <w:rsid w:val="00086DE1"/>
    <w:rsid w:val="00086EC9"/>
    <w:rsid w:val="00087076"/>
    <w:rsid w:val="000873A9"/>
    <w:rsid w:val="00087477"/>
    <w:rsid w:val="0008772F"/>
    <w:rsid w:val="00087BF0"/>
    <w:rsid w:val="00090EB9"/>
    <w:rsid w:val="0009210B"/>
    <w:rsid w:val="00092D3E"/>
    <w:rsid w:val="000937DB"/>
    <w:rsid w:val="00095886"/>
    <w:rsid w:val="0009618D"/>
    <w:rsid w:val="000966EB"/>
    <w:rsid w:val="00096ADE"/>
    <w:rsid w:val="00097843"/>
    <w:rsid w:val="000A01FA"/>
    <w:rsid w:val="000A02D0"/>
    <w:rsid w:val="000A0633"/>
    <w:rsid w:val="000A11DF"/>
    <w:rsid w:val="000A12F7"/>
    <w:rsid w:val="000A2150"/>
    <w:rsid w:val="000A2201"/>
    <w:rsid w:val="000A263F"/>
    <w:rsid w:val="000A3608"/>
    <w:rsid w:val="000A36A0"/>
    <w:rsid w:val="000A38AC"/>
    <w:rsid w:val="000A3CC8"/>
    <w:rsid w:val="000A5733"/>
    <w:rsid w:val="000A5A6A"/>
    <w:rsid w:val="000A5BCA"/>
    <w:rsid w:val="000A6B6A"/>
    <w:rsid w:val="000A7134"/>
    <w:rsid w:val="000A7C74"/>
    <w:rsid w:val="000A7CBC"/>
    <w:rsid w:val="000B00AA"/>
    <w:rsid w:val="000B08F9"/>
    <w:rsid w:val="000B090D"/>
    <w:rsid w:val="000B0D67"/>
    <w:rsid w:val="000B130E"/>
    <w:rsid w:val="000B20FC"/>
    <w:rsid w:val="000B2247"/>
    <w:rsid w:val="000B26E6"/>
    <w:rsid w:val="000B3036"/>
    <w:rsid w:val="000B3205"/>
    <w:rsid w:val="000B3873"/>
    <w:rsid w:val="000B38D6"/>
    <w:rsid w:val="000B485F"/>
    <w:rsid w:val="000B5B56"/>
    <w:rsid w:val="000B5E3D"/>
    <w:rsid w:val="000B6342"/>
    <w:rsid w:val="000B6E2A"/>
    <w:rsid w:val="000B73C9"/>
    <w:rsid w:val="000B7981"/>
    <w:rsid w:val="000B7E20"/>
    <w:rsid w:val="000C03B9"/>
    <w:rsid w:val="000C100B"/>
    <w:rsid w:val="000C134E"/>
    <w:rsid w:val="000C1DC8"/>
    <w:rsid w:val="000C21EF"/>
    <w:rsid w:val="000C2727"/>
    <w:rsid w:val="000C2A9D"/>
    <w:rsid w:val="000C332A"/>
    <w:rsid w:val="000C44D7"/>
    <w:rsid w:val="000C452F"/>
    <w:rsid w:val="000C4965"/>
    <w:rsid w:val="000C4C16"/>
    <w:rsid w:val="000C5275"/>
    <w:rsid w:val="000C5470"/>
    <w:rsid w:val="000C5BF2"/>
    <w:rsid w:val="000C6428"/>
    <w:rsid w:val="000C71F6"/>
    <w:rsid w:val="000C7F7F"/>
    <w:rsid w:val="000D04A2"/>
    <w:rsid w:val="000D0A54"/>
    <w:rsid w:val="000D0FCF"/>
    <w:rsid w:val="000D1316"/>
    <w:rsid w:val="000D2A1E"/>
    <w:rsid w:val="000D32A5"/>
    <w:rsid w:val="000D3953"/>
    <w:rsid w:val="000D3FF1"/>
    <w:rsid w:val="000D4327"/>
    <w:rsid w:val="000D4AF0"/>
    <w:rsid w:val="000D4C47"/>
    <w:rsid w:val="000D4FB5"/>
    <w:rsid w:val="000D5E32"/>
    <w:rsid w:val="000D79E6"/>
    <w:rsid w:val="000D7C67"/>
    <w:rsid w:val="000E0DA1"/>
    <w:rsid w:val="000E105F"/>
    <w:rsid w:val="000E12B9"/>
    <w:rsid w:val="000E17DA"/>
    <w:rsid w:val="000E272F"/>
    <w:rsid w:val="000E2D0F"/>
    <w:rsid w:val="000E3E9C"/>
    <w:rsid w:val="000E453E"/>
    <w:rsid w:val="000E4B50"/>
    <w:rsid w:val="000E5562"/>
    <w:rsid w:val="000E59FA"/>
    <w:rsid w:val="000E638A"/>
    <w:rsid w:val="000E70D0"/>
    <w:rsid w:val="000E7FCB"/>
    <w:rsid w:val="000F1527"/>
    <w:rsid w:val="000F17DE"/>
    <w:rsid w:val="000F1A7A"/>
    <w:rsid w:val="000F1F48"/>
    <w:rsid w:val="000F2675"/>
    <w:rsid w:val="000F26EA"/>
    <w:rsid w:val="000F2896"/>
    <w:rsid w:val="000F2AC7"/>
    <w:rsid w:val="000F2B25"/>
    <w:rsid w:val="000F3E6A"/>
    <w:rsid w:val="000F3E8D"/>
    <w:rsid w:val="000F41B6"/>
    <w:rsid w:val="000F4C3C"/>
    <w:rsid w:val="000F4D04"/>
    <w:rsid w:val="000F671D"/>
    <w:rsid w:val="000F6C3D"/>
    <w:rsid w:val="000F71E2"/>
    <w:rsid w:val="000F73A5"/>
    <w:rsid w:val="00100516"/>
    <w:rsid w:val="00100CB8"/>
    <w:rsid w:val="0010119C"/>
    <w:rsid w:val="00101980"/>
    <w:rsid w:val="0010207B"/>
    <w:rsid w:val="00103C76"/>
    <w:rsid w:val="001042B1"/>
    <w:rsid w:val="0010571F"/>
    <w:rsid w:val="00106186"/>
    <w:rsid w:val="00106AF7"/>
    <w:rsid w:val="001077AB"/>
    <w:rsid w:val="001106C4"/>
    <w:rsid w:val="00110E2B"/>
    <w:rsid w:val="00111583"/>
    <w:rsid w:val="00111D79"/>
    <w:rsid w:val="001145CE"/>
    <w:rsid w:val="00114621"/>
    <w:rsid w:val="00114B09"/>
    <w:rsid w:val="00114CB0"/>
    <w:rsid w:val="001170DF"/>
    <w:rsid w:val="00117E5D"/>
    <w:rsid w:val="00117E99"/>
    <w:rsid w:val="001207EA"/>
    <w:rsid w:val="00120D55"/>
    <w:rsid w:val="00121435"/>
    <w:rsid w:val="001215CD"/>
    <w:rsid w:val="00121B0D"/>
    <w:rsid w:val="001227E1"/>
    <w:rsid w:val="00122905"/>
    <w:rsid w:val="00122A09"/>
    <w:rsid w:val="00123B9E"/>
    <w:rsid w:val="0012493B"/>
    <w:rsid w:val="00124A41"/>
    <w:rsid w:val="001251E4"/>
    <w:rsid w:val="00125C16"/>
    <w:rsid w:val="00127AFC"/>
    <w:rsid w:val="00127BE8"/>
    <w:rsid w:val="0013016B"/>
    <w:rsid w:val="00130494"/>
    <w:rsid w:val="001304BE"/>
    <w:rsid w:val="001319E8"/>
    <w:rsid w:val="00132008"/>
    <w:rsid w:val="00132249"/>
    <w:rsid w:val="00132472"/>
    <w:rsid w:val="00132A13"/>
    <w:rsid w:val="001337F7"/>
    <w:rsid w:val="00133FF3"/>
    <w:rsid w:val="00134374"/>
    <w:rsid w:val="0013446F"/>
    <w:rsid w:val="001346F7"/>
    <w:rsid w:val="00134E2C"/>
    <w:rsid w:val="00134FEC"/>
    <w:rsid w:val="0013575F"/>
    <w:rsid w:val="00135A9B"/>
    <w:rsid w:val="00135B9B"/>
    <w:rsid w:val="00135DD3"/>
    <w:rsid w:val="001363AA"/>
    <w:rsid w:val="00137FB1"/>
    <w:rsid w:val="00140649"/>
    <w:rsid w:val="00141454"/>
    <w:rsid w:val="001416E1"/>
    <w:rsid w:val="001442AF"/>
    <w:rsid w:val="00146BEA"/>
    <w:rsid w:val="001470B0"/>
    <w:rsid w:val="00147468"/>
    <w:rsid w:val="001475FD"/>
    <w:rsid w:val="00150515"/>
    <w:rsid w:val="00151734"/>
    <w:rsid w:val="00151AA7"/>
    <w:rsid w:val="00151D0B"/>
    <w:rsid w:val="001525CD"/>
    <w:rsid w:val="0015283E"/>
    <w:rsid w:val="0015302B"/>
    <w:rsid w:val="00153947"/>
    <w:rsid w:val="00154A5F"/>
    <w:rsid w:val="001550F3"/>
    <w:rsid w:val="001554B5"/>
    <w:rsid w:val="00155ABB"/>
    <w:rsid w:val="00155B63"/>
    <w:rsid w:val="001575F6"/>
    <w:rsid w:val="00157E36"/>
    <w:rsid w:val="00157F59"/>
    <w:rsid w:val="00160059"/>
    <w:rsid w:val="0016022A"/>
    <w:rsid w:val="00160307"/>
    <w:rsid w:val="001609EF"/>
    <w:rsid w:val="00160A0E"/>
    <w:rsid w:val="00160BD9"/>
    <w:rsid w:val="00161B81"/>
    <w:rsid w:val="0016292C"/>
    <w:rsid w:val="001635F2"/>
    <w:rsid w:val="00163A2D"/>
    <w:rsid w:val="0016440D"/>
    <w:rsid w:val="00164673"/>
    <w:rsid w:val="001648B9"/>
    <w:rsid w:val="00164D8A"/>
    <w:rsid w:val="001656CD"/>
    <w:rsid w:val="00166FD3"/>
    <w:rsid w:val="001672DA"/>
    <w:rsid w:val="00167E14"/>
    <w:rsid w:val="00170AF0"/>
    <w:rsid w:val="00170C8F"/>
    <w:rsid w:val="00171CD7"/>
    <w:rsid w:val="00172824"/>
    <w:rsid w:val="001729B1"/>
    <w:rsid w:val="00173331"/>
    <w:rsid w:val="00174362"/>
    <w:rsid w:val="001749BA"/>
    <w:rsid w:val="00174B90"/>
    <w:rsid w:val="001753F4"/>
    <w:rsid w:val="00177D96"/>
    <w:rsid w:val="00180091"/>
    <w:rsid w:val="00180AD6"/>
    <w:rsid w:val="00180B54"/>
    <w:rsid w:val="00180EAF"/>
    <w:rsid w:val="00181B9A"/>
    <w:rsid w:val="00181C4B"/>
    <w:rsid w:val="00181F56"/>
    <w:rsid w:val="0018201E"/>
    <w:rsid w:val="00182647"/>
    <w:rsid w:val="00183442"/>
    <w:rsid w:val="00183A9E"/>
    <w:rsid w:val="0018419D"/>
    <w:rsid w:val="001844BE"/>
    <w:rsid w:val="00184710"/>
    <w:rsid w:val="00184F45"/>
    <w:rsid w:val="00185431"/>
    <w:rsid w:val="0018599A"/>
    <w:rsid w:val="00185B8A"/>
    <w:rsid w:val="00185DDE"/>
    <w:rsid w:val="00186630"/>
    <w:rsid w:val="0018674B"/>
    <w:rsid w:val="0018784D"/>
    <w:rsid w:val="00187EE5"/>
    <w:rsid w:val="0019000E"/>
    <w:rsid w:val="00190B9E"/>
    <w:rsid w:val="00191D05"/>
    <w:rsid w:val="0019257C"/>
    <w:rsid w:val="00192832"/>
    <w:rsid w:val="001929F4"/>
    <w:rsid w:val="00192D24"/>
    <w:rsid w:val="00193FEE"/>
    <w:rsid w:val="00193FEF"/>
    <w:rsid w:val="001949BE"/>
    <w:rsid w:val="00194F40"/>
    <w:rsid w:val="001957A6"/>
    <w:rsid w:val="00196602"/>
    <w:rsid w:val="00196A62"/>
    <w:rsid w:val="001970B5"/>
    <w:rsid w:val="001974DF"/>
    <w:rsid w:val="001A05EE"/>
    <w:rsid w:val="001A3B1E"/>
    <w:rsid w:val="001A3B75"/>
    <w:rsid w:val="001A5270"/>
    <w:rsid w:val="001A67FC"/>
    <w:rsid w:val="001A699E"/>
    <w:rsid w:val="001A6E9B"/>
    <w:rsid w:val="001A7407"/>
    <w:rsid w:val="001A7703"/>
    <w:rsid w:val="001B085D"/>
    <w:rsid w:val="001B0F19"/>
    <w:rsid w:val="001B17A6"/>
    <w:rsid w:val="001B2246"/>
    <w:rsid w:val="001B26AA"/>
    <w:rsid w:val="001B32A7"/>
    <w:rsid w:val="001B3A16"/>
    <w:rsid w:val="001B48D2"/>
    <w:rsid w:val="001B568D"/>
    <w:rsid w:val="001B6468"/>
    <w:rsid w:val="001B6523"/>
    <w:rsid w:val="001B69B1"/>
    <w:rsid w:val="001B6B75"/>
    <w:rsid w:val="001B71FC"/>
    <w:rsid w:val="001B7A52"/>
    <w:rsid w:val="001B7AC5"/>
    <w:rsid w:val="001B7D1B"/>
    <w:rsid w:val="001C0017"/>
    <w:rsid w:val="001C09ED"/>
    <w:rsid w:val="001C0AED"/>
    <w:rsid w:val="001C1751"/>
    <w:rsid w:val="001C1EE8"/>
    <w:rsid w:val="001C2982"/>
    <w:rsid w:val="001C34EF"/>
    <w:rsid w:val="001C45FC"/>
    <w:rsid w:val="001C5C1D"/>
    <w:rsid w:val="001C6943"/>
    <w:rsid w:val="001C69BA"/>
    <w:rsid w:val="001C6F60"/>
    <w:rsid w:val="001C73E1"/>
    <w:rsid w:val="001C78D5"/>
    <w:rsid w:val="001D22E0"/>
    <w:rsid w:val="001D2378"/>
    <w:rsid w:val="001D259F"/>
    <w:rsid w:val="001D497E"/>
    <w:rsid w:val="001D4DE1"/>
    <w:rsid w:val="001D5598"/>
    <w:rsid w:val="001D62A4"/>
    <w:rsid w:val="001D7C81"/>
    <w:rsid w:val="001E0CB1"/>
    <w:rsid w:val="001E17D3"/>
    <w:rsid w:val="001E1ECE"/>
    <w:rsid w:val="001E1F5B"/>
    <w:rsid w:val="001E289E"/>
    <w:rsid w:val="001E3100"/>
    <w:rsid w:val="001E313C"/>
    <w:rsid w:val="001E3CFE"/>
    <w:rsid w:val="001E43F5"/>
    <w:rsid w:val="001E4D65"/>
    <w:rsid w:val="001E5BA8"/>
    <w:rsid w:val="001E62F9"/>
    <w:rsid w:val="001E70F7"/>
    <w:rsid w:val="001E72C1"/>
    <w:rsid w:val="001E7B2E"/>
    <w:rsid w:val="001E7C2E"/>
    <w:rsid w:val="001E7C74"/>
    <w:rsid w:val="001E7DD2"/>
    <w:rsid w:val="001F026D"/>
    <w:rsid w:val="001F1941"/>
    <w:rsid w:val="001F1EDF"/>
    <w:rsid w:val="001F2482"/>
    <w:rsid w:val="001F27D5"/>
    <w:rsid w:val="001F28D6"/>
    <w:rsid w:val="001F2AEB"/>
    <w:rsid w:val="001F350C"/>
    <w:rsid w:val="001F3F01"/>
    <w:rsid w:val="001F4860"/>
    <w:rsid w:val="001F53B5"/>
    <w:rsid w:val="001F55B8"/>
    <w:rsid w:val="001F6C44"/>
    <w:rsid w:val="001F7792"/>
    <w:rsid w:val="001F7BD1"/>
    <w:rsid w:val="002001C7"/>
    <w:rsid w:val="002026D7"/>
    <w:rsid w:val="002026EE"/>
    <w:rsid w:val="0020363F"/>
    <w:rsid w:val="002040B4"/>
    <w:rsid w:val="00204C53"/>
    <w:rsid w:val="00204DA8"/>
    <w:rsid w:val="0020517B"/>
    <w:rsid w:val="002057BF"/>
    <w:rsid w:val="002063E9"/>
    <w:rsid w:val="00206D65"/>
    <w:rsid w:val="002075EB"/>
    <w:rsid w:val="0020799B"/>
    <w:rsid w:val="00207AD1"/>
    <w:rsid w:val="00210C42"/>
    <w:rsid w:val="002116A9"/>
    <w:rsid w:val="002124C3"/>
    <w:rsid w:val="002125E3"/>
    <w:rsid w:val="0021309C"/>
    <w:rsid w:val="00213AC3"/>
    <w:rsid w:val="00213E5F"/>
    <w:rsid w:val="002140BC"/>
    <w:rsid w:val="0021434E"/>
    <w:rsid w:val="00214C3C"/>
    <w:rsid w:val="00215795"/>
    <w:rsid w:val="00215AF8"/>
    <w:rsid w:val="00215DE4"/>
    <w:rsid w:val="0021641D"/>
    <w:rsid w:val="002168FF"/>
    <w:rsid w:val="00216B7C"/>
    <w:rsid w:val="002170D2"/>
    <w:rsid w:val="00217199"/>
    <w:rsid w:val="002175C5"/>
    <w:rsid w:val="002179CB"/>
    <w:rsid w:val="00217A45"/>
    <w:rsid w:val="00220042"/>
    <w:rsid w:val="00220B4C"/>
    <w:rsid w:val="00221A49"/>
    <w:rsid w:val="00222BF9"/>
    <w:rsid w:val="00223F6A"/>
    <w:rsid w:val="002243CD"/>
    <w:rsid w:val="002252B7"/>
    <w:rsid w:val="002252CC"/>
    <w:rsid w:val="0022580E"/>
    <w:rsid w:val="00226032"/>
    <w:rsid w:val="002263CB"/>
    <w:rsid w:val="002264E5"/>
    <w:rsid w:val="00226570"/>
    <w:rsid w:val="00226D56"/>
    <w:rsid w:val="002273AD"/>
    <w:rsid w:val="0023005A"/>
    <w:rsid w:val="0023181F"/>
    <w:rsid w:val="00231FAB"/>
    <w:rsid w:val="0023259F"/>
    <w:rsid w:val="00232808"/>
    <w:rsid w:val="00232A0F"/>
    <w:rsid w:val="00232B7D"/>
    <w:rsid w:val="00232CB6"/>
    <w:rsid w:val="002339F1"/>
    <w:rsid w:val="00233C7C"/>
    <w:rsid w:val="0023489E"/>
    <w:rsid w:val="002351C8"/>
    <w:rsid w:val="002359DB"/>
    <w:rsid w:val="00236302"/>
    <w:rsid w:val="00236F14"/>
    <w:rsid w:val="002378CE"/>
    <w:rsid w:val="002379B1"/>
    <w:rsid w:val="002405A6"/>
    <w:rsid w:val="00240A6B"/>
    <w:rsid w:val="00240FEC"/>
    <w:rsid w:val="00241CAE"/>
    <w:rsid w:val="00241ED4"/>
    <w:rsid w:val="0024259A"/>
    <w:rsid w:val="0024263A"/>
    <w:rsid w:val="002428ED"/>
    <w:rsid w:val="00244515"/>
    <w:rsid w:val="00244601"/>
    <w:rsid w:val="002454F0"/>
    <w:rsid w:val="00245EE1"/>
    <w:rsid w:val="00246D28"/>
    <w:rsid w:val="00247234"/>
    <w:rsid w:val="002475DF"/>
    <w:rsid w:val="00247A25"/>
    <w:rsid w:val="00250230"/>
    <w:rsid w:val="00250469"/>
    <w:rsid w:val="0025049D"/>
    <w:rsid w:val="00252D5E"/>
    <w:rsid w:val="00254372"/>
    <w:rsid w:val="002566E4"/>
    <w:rsid w:val="002602B1"/>
    <w:rsid w:val="00260456"/>
    <w:rsid w:val="0026074C"/>
    <w:rsid w:val="00260D91"/>
    <w:rsid w:val="002620B8"/>
    <w:rsid w:val="00262310"/>
    <w:rsid w:val="00262F02"/>
    <w:rsid w:val="00263A47"/>
    <w:rsid w:val="00263C21"/>
    <w:rsid w:val="00263C9B"/>
    <w:rsid w:val="00263E82"/>
    <w:rsid w:val="00263FB3"/>
    <w:rsid w:val="00264205"/>
    <w:rsid w:val="00264B08"/>
    <w:rsid w:val="00264F0F"/>
    <w:rsid w:val="00265C48"/>
    <w:rsid w:val="00265F4D"/>
    <w:rsid w:val="00267271"/>
    <w:rsid w:val="00267848"/>
    <w:rsid w:val="00267EA8"/>
    <w:rsid w:val="00270A40"/>
    <w:rsid w:val="00270BA2"/>
    <w:rsid w:val="00270E10"/>
    <w:rsid w:val="0027116D"/>
    <w:rsid w:val="00271702"/>
    <w:rsid w:val="00272322"/>
    <w:rsid w:val="00272A1C"/>
    <w:rsid w:val="00272F01"/>
    <w:rsid w:val="00273362"/>
    <w:rsid w:val="0027387F"/>
    <w:rsid w:val="00273C47"/>
    <w:rsid w:val="00273DDC"/>
    <w:rsid w:val="0027479B"/>
    <w:rsid w:val="00274FBC"/>
    <w:rsid w:val="0027568E"/>
    <w:rsid w:val="00276045"/>
    <w:rsid w:val="00277EBD"/>
    <w:rsid w:val="00280ABF"/>
    <w:rsid w:val="002812BF"/>
    <w:rsid w:val="002815BE"/>
    <w:rsid w:val="002816AA"/>
    <w:rsid w:val="00281968"/>
    <w:rsid w:val="00281E75"/>
    <w:rsid w:val="0028232D"/>
    <w:rsid w:val="00282684"/>
    <w:rsid w:val="002826DF"/>
    <w:rsid w:val="0028282A"/>
    <w:rsid w:val="00282830"/>
    <w:rsid w:val="00282CFB"/>
    <w:rsid w:val="0028487C"/>
    <w:rsid w:val="00284C7B"/>
    <w:rsid w:val="00286C47"/>
    <w:rsid w:val="0028770F"/>
    <w:rsid w:val="00287CD5"/>
    <w:rsid w:val="002901AB"/>
    <w:rsid w:val="002904F4"/>
    <w:rsid w:val="00290901"/>
    <w:rsid w:val="002909A1"/>
    <w:rsid w:val="002910FD"/>
    <w:rsid w:val="002915A6"/>
    <w:rsid w:val="002915D2"/>
    <w:rsid w:val="00291A7E"/>
    <w:rsid w:val="00291BA4"/>
    <w:rsid w:val="00291DA8"/>
    <w:rsid w:val="0029280C"/>
    <w:rsid w:val="00293266"/>
    <w:rsid w:val="00293397"/>
    <w:rsid w:val="002941B3"/>
    <w:rsid w:val="002944A8"/>
    <w:rsid w:val="00294583"/>
    <w:rsid w:val="00295080"/>
    <w:rsid w:val="00295ABD"/>
    <w:rsid w:val="00295BFB"/>
    <w:rsid w:val="00296A02"/>
    <w:rsid w:val="00296BEB"/>
    <w:rsid w:val="002A0007"/>
    <w:rsid w:val="002A1467"/>
    <w:rsid w:val="002A16E9"/>
    <w:rsid w:val="002A1DBD"/>
    <w:rsid w:val="002A2B1D"/>
    <w:rsid w:val="002A355E"/>
    <w:rsid w:val="002A35CA"/>
    <w:rsid w:val="002A3C44"/>
    <w:rsid w:val="002A41D1"/>
    <w:rsid w:val="002A493A"/>
    <w:rsid w:val="002A4C00"/>
    <w:rsid w:val="002A4E5F"/>
    <w:rsid w:val="002A56C3"/>
    <w:rsid w:val="002A59CC"/>
    <w:rsid w:val="002A5C2D"/>
    <w:rsid w:val="002A66F7"/>
    <w:rsid w:val="002A7AFC"/>
    <w:rsid w:val="002B0765"/>
    <w:rsid w:val="002B07D2"/>
    <w:rsid w:val="002B1378"/>
    <w:rsid w:val="002B17C5"/>
    <w:rsid w:val="002B18BF"/>
    <w:rsid w:val="002B2BA0"/>
    <w:rsid w:val="002B380B"/>
    <w:rsid w:val="002B3F98"/>
    <w:rsid w:val="002B4620"/>
    <w:rsid w:val="002B4B40"/>
    <w:rsid w:val="002B4BBA"/>
    <w:rsid w:val="002B5249"/>
    <w:rsid w:val="002B59B0"/>
    <w:rsid w:val="002B7113"/>
    <w:rsid w:val="002B7B32"/>
    <w:rsid w:val="002B7C3A"/>
    <w:rsid w:val="002C052C"/>
    <w:rsid w:val="002C0536"/>
    <w:rsid w:val="002C0A03"/>
    <w:rsid w:val="002C0B76"/>
    <w:rsid w:val="002C0CC4"/>
    <w:rsid w:val="002C14BC"/>
    <w:rsid w:val="002C2033"/>
    <w:rsid w:val="002C2A17"/>
    <w:rsid w:val="002C377F"/>
    <w:rsid w:val="002C3B20"/>
    <w:rsid w:val="002C4182"/>
    <w:rsid w:val="002C457E"/>
    <w:rsid w:val="002C512E"/>
    <w:rsid w:val="002C517F"/>
    <w:rsid w:val="002C5C20"/>
    <w:rsid w:val="002C6CB7"/>
    <w:rsid w:val="002C6FDA"/>
    <w:rsid w:val="002D09F6"/>
    <w:rsid w:val="002D0B7C"/>
    <w:rsid w:val="002D0C20"/>
    <w:rsid w:val="002D2667"/>
    <w:rsid w:val="002D398E"/>
    <w:rsid w:val="002D4098"/>
    <w:rsid w:val="002D528A"/>
    <w:rsid w:val="002D5D29"/>
    <w:rsid w:val="002D5EE3"/>
    <w:rsid w:val="002D653A"/>
    <w:rsid w:val="002D661C"/>
    <w:rsid w:val="002D77C5"/>
    <w:rsid w:val="002E0A5D"/>
    <w:rsid w:val="002E0E77"/>
    <w:rsid w:val="002E0ED6"/>
    <w:rsid w:val="002E13DD"/>
    <w:rsid w:val="002E174E"/>
    <w:rsid w:val="002E1BDE"/>
    <w:rsid w:val="002E2060"/>
    <w:rsid w:val="002E2186"/>
    <w:rsid w:val="002E26F9"/>
    <w:rsid w:val="002E401C"/>
    <w:rsid w:val="002E4599"/>
    <w:rsid w:val="002E49B1"/>
    <w:rsid w:val="002E4F41"/>
    <w:rsid w:val="002E4FEC"/>
    <w:rsid w:val="002E55D3"/>
    <w:rsid w:val="002E6499"/>
    <w:rsid w:val="002E650C"/>
    <w:rsid w:val="002E66A3"/>
    <w:rsid w:val="002E6F4B"/>
    <w:rsid w:val="002F01AF"/>
    <w:rsid w:val="002F0D2B"/>
    <w:rsid w:val="002F39BB"/>
    <w:rsid w:val="002F4630"/>
    <w:rsid w:val="002F4DDB"/>
    <w:rsid w:val="002F4DDF"/>
    <w:rsid w:val="002F584D"/>
    <w:rsid w:val="002F5853"/>
    <w:rsid w:val="002F5A80"/>
    <w:rsid w:val="002F5CD9"/>
    <w:rsid w:val="002F60CF"/>
    <w:rsid w:val="002F6259"/>
    <w:rsid w:val="002F6476"/>
    <w:rsid w:val="002F6529"/>
    <w:rsid w:val="002F6629"/>
    <w:rsid w:val="002F68B6"/>
    <w:rsid w:val="002F6E95"/>
    <w:rsid w:val="002F7724"/>
    <w:rsid w:val="002F7999"/>
    <w:rsid w:val="002F79BD"/>
    <w:rsid w:val="002F7D0F"/>
    <w:rsid w:val="0030035D"/>
    <w:rsid w:val="00300B4C"/>
    <w:rsid w:val="00301AE9"/>
    <w:rsid w:val="00302959"/>
    <w:rsid w:val="00304BF1"/>
    <w:rsid w:val="00305133"/>
    <w:rsid w:val="0030552F"/>
    <w:rsid w:val="00305ACB"/>
    <w:rsid w:val="00305CC5"/>
    <w:rsid w:val="0030664D"/>
    <w:rsid w:val="00307165"/>
    <w:rsid w:val="00307DEF"/>
    <w:rsid w:val="003104D6"/>
    <w:rsid w:val="00310B7F"/>
    <w:rsid w:val="00310DBC"/>
    <w:rsid w:val="00311ABC"/>
    <w:rsid w:val="00311E1F"/>
    <w:rsid w:val="00311FE5"/>
    <w:rsid w:val="0031316A"/>
    <w:rsid w:val="0031333C"/>
    <w:rsid w:val="003133CA"/>
    <w:rsid w:val="00313C18"/>
    <w:rsid w:val="00313C53"/>
    <w:rsid w:val="003147A9"/>
    <w:rsid w:val="00314FE6"/>
    <w:rsid w:val="00315120"/>
    <w:rsid w:val="00315414"/>
    <w:rsid w:val="00315593"/>
    <w:rsid w:val="00315AA8"/>
    <w:rsid w:val="00315D98"/>
    <w:rsid w:val="00316172"/>
    <w:rsid w:val="00316A3A"/>
    <w:rsid w:val="003175C6"/>
    <w:rsid w:val="00317FC2"/>
    <w:rsid w:val="003205D7"/>
    <w:rsid w:val="003209C2"/>
    <w:rsid w:val="003220DB"/>
    <w:rsid w:val="00322C59"/>
    <w:rsid w:val="00322DF6"/>
    <w:rsid w:val="003236A4"/>
    <w:rsid w:val="00323D6C"/>
    <w:rsid w:val="00323FA8"/>
    <w:rsid w:val="00324189"/>
    <w:rsid w:val="003246F4"/>
    <w:rsid w:val="0032638B"/>
    <w:rsid w:val="003263DA"/>
    <w:rsid w:val="00330B2E"/>
    <w:rsid w:val="0033106C"/>
    <w:rsid w:val="003314FC"/>
    <w:rsid w:val="003318DA"/>
    <w:rsid w:val="00331C5B"/>
    <w:rsid w:val="00331F42"/>
    <w:rsid w:val="003320C8"/>
    <w:rsid w:val="0033261E"/>
    <w:rsid w:val="00332A3B"/>
    <w:rsid w:val="00332A65"/>
    <w:rsid w:val="00332ED5"/>
    <w:rsid w:val="0033390F"/>
    <w:rsid w:val="00333C18"/>
    <w:rsid w:val="0033410D"/>
    <w:rsid w:val="0033513B"/>
    <w:rsid w:val="00335296"/>
    <w:rsid w:val="00337ED9"/>
    <w:rsid w:val="00340125"/>
    <w:rsid w:val="00341517"/>
    <w:rsid w:val="0034219F"/>
    <w:rsid w:val="00342B11"/>
    <w:rsid w:val="003430C1"/>
    <w:rsid w:val="003449B0"/>
    <w:rsid w:val="00345D2C"/>
    <w:rsid w:val="00347076"/>
    <w:rsid w:val="00347647"/>
    <w:rsid w:val="0035046F"/>
    <w:rsid w:val="00351743"/>
    <w:rsid w:val="00352D09"/>
    <w:rsid w:val="003542DA"/>
    <w:rsid w:val="003546CC"/>
    <w:rsid w:val="003547FF"/>
    <w:rsid w:val="00354BDF"/>
    <w:rsid w:val="00355443"/>
    <w:rsid w:val="00356682"/>
    <w:rsid w:val="00360305"/>
    <w:rsid w:val="003611F0"/>
    <w:rsid w:val="003619CC"/>
    <w:rsid w:val="003620BF"/>
    <w:rsid w:val="003643DE"/>
    <w:rsid w:val="00364DA7"/>
    <w:rsid w:val="003655D8"/>
    <w:rsid w:val="003656A2"/>
    <w:rsid w:val="00366AA7"/>
    <w:rsid w:val="003671E2"/>
    <w:rsid w:val="003703F8"/>
    <w:rsid w:val="00370414"/>
    <w:rsid w:val="00370CE5"/>
    <w:rsid w:val="00371651"/>
    <w:rsid w:val="003717D3"/>
    <w:rsid w:val="00371A85"/>
    <w:rsid w:val="003731E7"/>
    <w:rsid w:val="00373885"/>
    <w:rsid w:val="00373A07"/>
    <w:rsid w:val="00373A96"/>
    <w:rsid w:val="00374B34"/>
    <w:rsid w:val="00374F10"/>
    <w:rsid w:val="003751B8"/>
    <w:rsid w:val="00375EE7"/>
    <w:rsid w:val="00375F1D"/>
    <w:rsid w:val="0037627D"/>
    <w:rsid w:val="00377799"/>
    <w:rsid w:val="00380425"/>
    <w:rsid w:val="0038056E"/>
    <w:rsid w:val="00380801"/>
    <w:rsid w:val="003808E7"/>
    <w:rsid w:val="00380A63"/>
    <w:rsid w:val="0038170A"/>
    <w:rsid w:val="00381892"/>
    <w:rsid w:val="00381CB7"/>
    <w:rsid w:val="003823DF"/>
    <w:rsid w:val="00383AB6"/>
    <w:rsid w:val="00384884"/>
    <w:rsid w:val="00385842"/>
    <w:rsid w:val="00385928"/>
    <w:rsid w:val="00385CBD"/>
    <w:rsid w:val="0038685C"/>
    <w:rsid w:val="00386E6B"/>
    <w:rsid w:val="00387C08"/>
    <w:rsid w:val="003900D2"/>
    <w:rsid w:val="003906B8"/>
    <w:rsid w:val="003912A1"/>
    <w:rsid w:val="0039165A"/>
    <w:rsid w:val="00392CE2"/>
    <w:rsid w:val="003934FE"/>
    <w:rsid w:val="00393B8E"/>
    <w:rsid w:val="00393E1D"/>
    <w:rsid w:val="003943E1"/>
    <w:rsid w:val="00394B62"/>
    <w:rsid w:val="00394FEC"/>
    <w:rsid w:val="00395339"/>
    <w:rsid w:val="0039672A"/>
    <w:rsid w:val="0039693E"/>
    <w:rsid w:val="0039698A"/>
    <w:rsid w:val="00397610"/>
    <w:rsid w:val="00397A4C"/>
    <w:rsid w:val="00397D81"/>
    <w:rsid w:val="003A00BB"/>
    <w:rsid w:val="003A0153"/>
    <w:rsid w:val="003A0261"/>
    <w:rsid w:val="003A0651"/>
    <w:rsid w:val="003A0965"/>
    <w:rsid w:val="003A18B9"/>
    <w:rsid w:val="003A2046"/>
    <w:rsid w:val="003A2D91"/>
    <w:rsid w:val="003A2F3E"/>
    <w:rsid w:val="003A3C39"/>
    <w:rsid w:val="003A45FA"/>
    <w:rsid w:val="003A4BB5"/>
    <w:rsid w:val="003A578D"/>
    <w:rsid w:val="003A5A46"/>
    <w:rsid w:val="003A6272"/>
    <w:rsid w:val="003A657F"/>
    <w:rsid w:val="003A664B"/>
    <w:rsid w:val="003A7F89"/>
    <w:rsid w:val="003B0133"/>
    <w:rsid w:val="003B0486"/>
    <w:rsid w:val="003B0A11"/>
    <w:rsid w:val="003B0ABA"/>
    <w:rsid w:val="003B0E1C"/>
    <w:rsid w:val="003B0FDF"/>
    <w:rsid w:val="003B141C"/>
    <w:rsid w:val="003B20D8"/>
    <w:rsid w:val="003B2FE9"/>
    <w:rsid w:val="003B3536"/>
    <w:rsid w:val="003B389D"/>
    <w:rsid w:val="003B512C"/>
    <w:rsid w:val="003B5628"/>
    <w:rsid w:val="003B59C9"/>
    <w:rsid w:val="003B6277"/>
    <w:rsid w:val="003B6B47"/>
    <w:rsid w:val="003B6E23"/>
    <w:rsid w:val="003B71E5"/>
    <w:rsid w:val="003B77F0"/>
    <w:rsid w:val="003C0C35"/>
    <w:rsid w:val="003C1863"/>
    <w:rsid w:val="003C1FB8"/>
    <w:rsid w:val="003C2A50"/>
    <w:rsid w:val="003C2BB0"/>
    <w:rsid w:val="003C3405"/>
    <w:rsid w:val="003C4266"/>
    <w:rsid w:val="003C474B"/>
    <w:rsid w:val="003C4DA1"/>
    <w:rsid w:val="003C4FF4"/>
    <w:rsid w:val="003C5C23"/>
    <w:rsid w:val="003C65B6"/>
    <w:rsid w:val="003C70D6"/>
    <w:rsid w:val="003C772F"/>
    <w:rsid w:val="003C7DAF"/>
    <w:rsid w:val="003D0AC5"/>
    <w:rsid w:val="003D13C3"/>
    <w:rsid w:val="003D1911"/>
    <w:rsid w:val="003D1C9B"/>
    <w:rsid w:val="003D2041"/>
    <w:rsid w:val="003D2579"/>
    <w:rsid w:val="003D3728"/>
    <w:rsid w:val="003D378B"/>
    <w:rsid w:val="003D3AF9"/>
    <w:rsid w:val="003D5666"/>
    <w:rsid w:val="003D623B"/>
    <w:rsid w:val="003D6EBD"/>
    <w:rsid w:val="003D7924"/>
    <w:rsid w:val="003D79A3"/>
    <w:rsid w:val="003D7B24"/>
    <w:rsid w:val="003E068F"/>
    <w:rsid w:val="003E0E34"/>
    <w:rsid w:val="003E2438"/>
    <w:rsid w:val="003E2DB6"/>
    <w:rsid w:val="003E3748"/>
    <w:rsid w:val="003E39FB"/>
    <w:rsid w:val="003E43E8"/>
    <w:rsid w:val="003E4FAA"/>
    <w:rsid w:val="003E536F"/>
    <w:rsid w:val="003E5502"/>
    <w:rsid w:val="003E597B"/>
    <w:rsid w:val="003E5AB0"/>
    <w:rsid w:val="003E6268"/>
    <w:rsid w:val="003E63BF"/>
    <w:rsid w:val="003E63DC"/>
    <w:rsid w:val="003E6813"/>
    <w:rsid w:val="003E7AB0"/>
    <w:rsid w:val="003E7E80"/>
    <w:rsid w:val="003F0902"/>
    <w:rsid w:val="003F0AA0"/>
    <w:rsid w:val="003F0E35"/>
    <w:rsid w:val="003F29B6"/>
    <w:rsid w:val="003F2B7F"/>
    <w:rsid w:val="003F323B"/>
    <w:rsid w:val="003F3560"/>
    <w:rsid w:val="003F3643"/>
    <w:rsid w:val="003F3C25"/>
    <w:rsid w:val="003F58B7"/>
    <w:rsid w:val="003F5B02"/>
    <w:rsid w:val="003F750B"/>
    <w:rsid w:val="00400C0B"/>
    <w:rsid w:val="004017DE"/>
    <w:rsid w:val="00402679"/>
    <w:rsid w:val="0040284D"/>
    <w:rsid w:val="00402BF0"/>
    <w:rsid w:val="004030D7"/>
    <w:rsid w:val="0040374E"/>
    <w:rsid w:val="00404C47"/>
    <w:rsid w:val="00404DFC"/>
    <w:rsid w:val="0040505D"/>
    <w:rsid w:val="00405981"/>
    <w:rsid w:val="00405B6F"/>
    <w:rsid w:val="00406E28"/>
    <w:rsid w:val="0040727B"/>
    <w:rsid w:val="004107C3"/>
    <w:rsid w:val="00410E3A"/>
    <w:rsid w:val="00411859"/>
    <w:rsid w:val="00411D1E"/>
    <w:rsid w:val="0041243B"/>
    <w:rsid w:val="004140B5"/>
    <w:rsid w:val="00414960"/>
    <w:rsid w:val="00415610"/>
    <w:rsid w:val="00415CE8"/>
    <w:rsid w:val="00415E6F"/>
    <w:rsid w:val="004162E2"/>
    <w:rsid w:val="00416471"/>
    <w:rsid w:val="00416997"/>
    <w:rsid w:val="00417EE4"/>
    <w:rsid w:val="004209D4"/>
    <w:rsid w:val="00420BC6"/>
    <w:rsid w:val="00421635"/>
    <w:rsid w:val="00421B70"/>
    <w:rsid w:val="00422579"/>
    <w:rsid w:val="00422FA2"/>
    <w:rsid w:val="0042409B"/>
    <w:rsid w:val="004246A9"/>
    <w:rsid w:val="00424951"/>
    <w:rsid w:val="00424F92"/>
    <w:rsid w:val="00426035"/>
    <w:rsid w:val="0042709E"/>
    <w:rsid w:val="004325DD"/>
    <w:rsid w:val="00432B4F"/>
    <w:rsid w:val="00433595"/>
    <w:rsid w:val="0043611C"/>
    <w:rsid w:val="00436880"/>
    <w:rsid w:val="00436923"/>
    <w:rsid w:val="00436A6A"/>
    <w:rsid w:val="00436C77"/>
    <w:rsid w:val="004370CE"/>
    <w:rsid w:val="0043745A"/>
    <w:rsid w:val="004377F2"/>
    <w:rsid w:val="00440B24"/>
    <w:rsid w:val="00441135"/>
    <w:rsid w:val="00441B07"/>
    <w:rsid w:val="00441F5A"/>
    <w:rsid w:val="00442F28"/>
    <w:rsid w:val="0044325E"/>
    <w:rsid w:val="004432E7"/>
    <w:rsid w:val="00443592"/>
    <w:rsid w:val="00443ACE"/>
    <w:rsid w:val="00445080"/>
    <w:rsid w:val="00445E64"/>
    <w:rsid w:val="00445F63"/>
    <w:rsid w:val="004464FF"/>
    <w:rsid w:val="00446D88"/>
    <w:rsid w:val="00447AF1"/>
    <w:rsid w:val="00447BCC"/>
    <w:rsid w:val="00447F6E"/>
    <w:rsid w:val="004509C7"/>
    <w:rsid w:val="004518E6"/>
    <w:rsid w:val="00453A47"/>
    <w:rsid w:val="00453AF1"/>
    <w:rsid w:val="004557D9"/>
    <w:rsid w:val="00455CBE"/>
    <w:rsid w:val="0045621C"/>
    <w:rsid w:val="00456973"/>
    <w:rsid w:val="00456B99"/>
    <w:rsid w:val="00456D42"/>
    <w:rsid w:val="00460066"/>
    <w:rsid w:val="00460367"/>
    <w:rsid w:val="00460A30"/>
    <w:rsid w:val="00460B3F"/>
    <w:rsid w:val="00461414"/>
    <w:rsid w:val="0046340E"/>
    <w:rsid w:val="00463C18"/>
    <w:rsid w:val="00463FD8"/>
    <w:rsid w:val="004644D1"/>
    <w:rsid w:val="00464CA8"/>
    <w:rsid w:val="00464ECF"/>
    <w:rsid w:val="004652C1"/>
    <w:rsid w:val="004663D4"/>
    <w:rsid w:val="0046645C"/>
    <w:rsid w:val="0046647B"/>
    <w:rsid w:val="00466C70"/>
    <w:rsid w:val="00466DC1"/>
    <w:rsid w:val="00466F80"/>
    <w:rsid w:val="004673E2"/>
    <w:rsid w:val="004703DE"/>
    <w:rsid w:val="00470523"/>
    <w:rsid w:val="004715D9"/>
    <w:rsid w:val="004720F8"/>
    <w:rsid w:val="00474885"/>
    <w:rsid w:val="00474ECC"/>
    <w:rsid w:val="004754C3"/>
    <w:rsid w:val="00475C8A"/>
    <w:rsid w:val="004777AC"/>
    <w:rsid w:val="00477951"/>
    <w:rsid w:val="00477B4F"/>
    <w:rsid w:val="00477F6F"/>
    <w:rsid w:val="004800D7"/>
    <w:rsid w:val="0048015F"/>
    <w:rsid w:val="00481069"/>
    <w:rsid w:val="0048110A"/>
    <w:rsid w:val="00481519"/>
    <w:rsid w:val="00482269"/>
    <w:rsid w:val="0048295E"/>
    <w:rsid w:val="00483159"/>
    <w:rsid w:val="00483176"/>
    <w:rsid w:val="0048354E"/>
    <w:rsid w:val="00483A88"/>
    <w:rsid w:val="00483BE1"/>
    <w:rsid w:val="00483D48"/>
    <w:rsid w:val="004847EE"/>
    <w:rsid w:val="00484EB9"/>
    <w:rsid w:val="00485043"/>
    <w:rsid w:val="00485D40"/>
    <w:rsid w:val="00485E3D"/>
    <w:rsid w:val="00485F7A"/>
    <w:rsid w:val="00486450"/>
    <w:rsid w:val="0048665A"/>
    <w:rsid w:val="00486E05"/>
    <w:rsid w:val="00486F25"/>
    <w:rsid w:val="00487338"/>
    <w:rsid w:val="00487381"/>
    <w:rsid w:val="00490661"/>
    <w:rsid w:val="00491105"/>
    <w:rsid w:val="0049162A"/>
    <w:rsid w:val="00492720"/>
    <w:rsid w:val="00493403"/>
    <w:rsid w:val="00494F6F"/>
    <w:rsid w:val="00495803"/>
    <w:rsid w:val="004959CC"/>
    <w:rsid w:val="00495AE2"/>
    <w:rsid w:val="00496F79"/>
    <w:rsid w:val="004978DB"/>
    <w:rsid w:val="00497E39"/>
    <w:rsid w:val="004A1814"/>
    <w:rsid w:val="004A18F3"/>
    <w:rsid w:val="004A1CAD"/>
    <w:rsid w:val="004A37D7"/>
    <w:rsid w:val="004A3CA9"/>
    <w:rsid w:val="004A40E4"/>
    <w:rsid w:val="004A488C"/>
    <w:rsid w:val="004A5170"/>
    <w:rsid w:val="004A6B59"/>
    <w:rsid w:val="004A6E3E"/>
    <w:rsid w:val="004A740B"/>
    <w:rsid w:val="004B054F"/>
    <w:rsid w:val="004B160D"/>
    <w:rsid w:val="004B18C5"/>
    <w:rsid w:val="004B2CD5"/>
    <w:rsid w:val="004B3394"/>
    <w:rsid w:val="004B3C90"/>
    <w:rsid w:val="004B41C0"/>
    <w:rsid w:val="004B6AA3"/>
    <w:rsid w:val="004B74AF"/>
    <w:rsid w:val="004B74C3"/>
    <w:rsid w:val="004B7A1D"/>
    <w:rsid w:val="004B7EB7"/>
    <w:rsid w:val="004C0D8F"/>
    <w:rsid w:val="004C121D"/>
    <w:rsid w:val="004C1572"/>
    <w:rsid w:val="004C15D4"/>
    <w:rsid w:val="004C2FA7"/>
    <w:rsid w:val="004C4170"/>
    <w:rsid w:val="004C42EE"/>
    <w:rsid w:val="004C43C6"/>
    <w:rsid w:val="004C4C40"/>
    <w:rsid w:val="004C4E2D"/>
    <w:rsid w:val="004C5683"/>
    <w:rsid w:val="004C58A6"/>
    <w:rsid w:val="004C5F42"/>
    <w:rsid w:val="004D066E"/>
    <w:rsid w:val="004D0DF4"/>
    <w:rsid w:val="004D14EA"/>
    <w:rsid w:val="004D28FC"/>
    <w:rsid w:val="004D332E"/>
    <w:rsid w:val="004D3EF3"/>
    <w:rsid w:val="004D61B1"/>
    <w:rsid w:val="004D62CD"/>
    <w:rsid w:val="004D6A9A"/>
    <w:rsid w:val="004D6FE7"/>
    <w:rsid w:val="004E03CB"/>
    <w:rsid w:val="004E158E"/>
    <w:rsid w:val="004E16D2"/>
    <w:rsid w:val="004E21D7"/>
    <w:rsid w:val="004E38B0"/>
    <w:rsid w:val="004E3A31"/>
    <w:rsid w:val="004E61D8"/>
    <w:rsid w:val="004E633B"/>
    <w:rsid w:val="004E65E7"/>
    <w:rsid w:val="004E6BD0"/>
    <w:rsid w:val="004E6E24"/>
    <w:rsid w:val="004F07CC"/>
    <w:rsid w:val="004F1192"/>
    <w:rsid w:val="004F16D7"/>
    <w:rsid w:val="004F1BDC"/>
    <w:rsid w:val="004F1D4D"/>
    <w:rsid w:val="004F292D"/>
    <w:rsid w:val="004F3C00"/>
    <w:rsid w:val="004F3E89"/>
    <w:rsid w:val="004F3E8E"/>
    <w:rsid w:val="004F4EDA"/>
    <w:rsid w:val="004F5C9C"/>
    <w:rsid w:val="004F6E55"/>
    <w:rsid w:val="004F7119"/>
    <w:rsid w:val="004F7340"/>
    <w:rsid w:val="004F78DA"/>
    <w:rsid w:val="00500D49"/>
    <w:rsid w:val="00501B1D"/>
    <w:rsid w:val="005020D9"/>
    <w:rsid w:val="00503EE0"/>
    <w:rsid w:val="0050442D"/>
    <w:rsid w:val="00504FC9"/>
    <w:rsid w:val="00505111"/>
    <w:rsid w:val="00506C82"/>
    <w:rsid w:val="00507255"/>
    <w:rsid w:val="00507A11"/>
    <w:rsid w:val="00510661"/>
    <w:rsid w:val="00511218"/>
    <w:rsid w:val="00511B41"/>
    <w:rsid w:val="005120E5"/>
    <w:rsid w:val="00512D10"/>
    <w:rsid w:val="00512E59"/>
    <w:rsid w:val="00512F39"/>
    <w:rsid w:val="005133C7"/>
    <w:rsid w:val="00513D67"/>
    <w:rsid w:val="005154E2"/>
    <w:rsid w:val="005156BF"/>
    <w:rsid w:val="00515911"/>
    <w:rsid w:val="0051630D"/>
    <w:rsid w:val="005167FA"/>
    <w:rsid w:val="00516C2D"/>
    <w:rsid w:val="00516EE7"/>
    <w:rsid w:val="005174B6"/>
    <w:rsid w:val="00517BAD"/>
    <w:rsid w:val="00520109"/>
    <w:rsid w:val="005212A9"/>
    <w:rsid w:val="00521682"/>
    <w:rsid w:val="00522B51"/>
    <w:rsid w:val="0052311C"/>
    <w:rsid w:val="00523E94"/>
    <w:rsid w:val="00523F1F"/>
    <w:rsid w:val="00523F20"/>
    <w:rsid w:val="005242E9"/>
    <w:rsid w:val="00524389"/>
    <w:rsid w:val="00524645"/>
    <w:rsid w:val="00524CF8"/>
    <w:rsid w:val="00524F16"/>
    <w:rsid w:val="00526400"/>
    <w:rsid w:val="00526721"/>
    <w:rsid w:val="00526CE4"/>
    <w:rsid w:val="00527436"/>
    <w:rsid w:val="00527712"/>
    <w:rsid w:val="00527A51"/>
    <w:rsid w:val="005302E4"/>
    <w:rsid w:val="00531662"/>
    <w:rsid w:val="00531AFE"/>
    <w:rsid w:val="00532533"/>
    <w:rsid w:val="0053364E"/>
    <w:rsid w:val="005342DE"/>
    <w:rsid w:val="00534A4A"/>
    <w:rsid w:val="0053567F"/>
    <w:rsid w:val="0053584F"/>
    <w:rsid w:val="00535E07"/>
    <w:rsid w:val="00535ECF"/>
    <w:rsid w:val="00535F17"/>
    <w:rsid w:val="00536289"/>
    <w:rsid w:val="0053684F"/>
    <w:rsid w:val="0053739D"/>
    <w:rsid w:val="00537B26"/>
    <w:rsid w:val="00542C27"/>
    <w:rsid w:val="00542D96"/>
    <w:rsid w:val="00542F08"/>
    <w:rsid w:val="005436A5"/>
    <w:rsid w:val="0054407D"/>
    <w:rsid w:val="00545131"/>
    <w:rsid w:val="005452A4"/>
    <w:rsid w:val="00545954"/>
    <w:rsid w:val="00545FF8"/>
    <w:rsid w:val="005476DC"/>
    <w:rsid w:val="0055055B"/>
    <w:rsid w:val="0055086F"/>
    <w:rsid w:val="005512CA"/>
    <w:rsid w:val="00551665"/>
    <w:rsid w:val="005524A1"/>
    <w:rsid w:val="005526B2"/>
    <w:rsid w:val="00552B24"/>
    <w:rsid w:val="005536F4"/>
    <w:rsid w:val="00553784"/>
    <w:rsid w:val="00553EB5"/>
    <w:rsid w:val="00554567"/>
    <w:rsid w:val="00555F80"/>
    <w:rsid w:val="00556231"/>
    <w:rsid w:val="00557263"/>
    <w:rsid w:val="005576D6"/>
    <w:rsid w:val="00562708"/>
    <w:rsid w:val="00562C94"/>
    <w:rsid w:val="00563260"/>
    <w:rsid w:val="0056388B"/>
    <w:rsid w:val="00563B9B"/>
    <w:rsid w:val="00564181"/>
    <w:rsid w:val="00564713"/>
    <w:rsid w:val="00566604"/>
    <w:rsid w:val="00566CC8"/>
    <w:rsid w:val="0056704E"/>
    <w:rsid w:val="00567421"/>
    <w:rsid w:val="00567602"/>
    <w:rsid w:val="005700E2"/>
    <w:rsid w:val="005705D8"/>
    <w:rsid w:val="00570D7C"/>
    <w:rsid w:val="00570E9A"/>
    <w:rsid w:val="005716B6"/>
    <w:rsid w:val="00571878"/>
    <w:rsid w:val="00571887"/>
    <w:rsid w:val="00572BBD"/>
    <w:rsid w:val="00572E0C"/>
    <w:rsid w:val="00574515"/>
    <w:rsid w:val="00574CA0"/>
    <w:rsid w:val="0057558E"/>
    <w:rsid w:val="00575CFA"/>
    <w:rsid w:val="00576701"/>
    <w:rsid w:val="0057679F"/>
    <w:rsid w:val="00576DC8"/>
    <w:rsid w:val="00580482"/>
    <w:rsid w:val="005806D2"/>
    <w:rsid w:val="005820DC"/>
    <w:rsid w:val="00582191"/>
    <w:rsid w:val="00582681"/>
    <w:rsid w:val="005827CD"/>
    <w:rsid w:val="0058296A"/>
    <w:rsid w:val="0058428C"/>
    <w:rsid w:val="005847F7"/>
    <w:rsid w:val="0058480C"/>
    <w:rsid w:val="00584810"/>
    <w:rsid w:val="005848D1"/>
    <w:rsid w:val="00584E88"/>
    <w:rsid w:val="00585528"/>
    <w:rsid w:val="00585A4F"/>
    <w:rsid w:val="00585F47"/>
    <w:rsid w:val="00586431"/>
    <w:rsid w:val="00586F90"/>
    <w:rsid w:val="00587046"/>
    <w:rsid w:val="0058780B"/>
    <w:rsid w:val="00587BE3"/>
    <w:rsid w:val="0059074C"/>
    <w:rsid w:val="0059178F"/>
    <w:rsid w:val="00592009"/>
    <w:rsid w:val="00592212"/>
    <w:rsid w:val="00592B22"/>
    <w:rsid w:val="00592E8C"/>
    <w:rsid w:val="005932C6"/>
    <w:rsid w:val="0059414B"/>
    <w:rsid w:val="00594828"/>
    <w:rsid w:val="00594D11"/>
    <w:rsid w:val="005951E0"/>
    <w:rsid w:val="0059645D"/>
    <w:rsid w:val="00596A7D"/>
    <w:rsid w:val="00596CFC"/>
    <w:rsid w:val="00597017"/>
    <w:rsid w:val="005A162E"/>
    <w:rsid w:val="005A1648"/>
    <w:rsid w:val="005A1886"/>
    <w:rsid w:val="005A18DE"/>
    <w:rsid w:val="005A18DF"/>
    <w:rsid w:val="005A2B91"/>
    <w:rsid w:val="005A496E"/>
    <w:rsid w:val="005A4B4E"/>
    <w:rsid w:val="005A4DEA"/>
    <w:rsid w:val="005A5308"/>
    <w:rsid w:val="005A539D"/>
    <w:rsid w:val="005A5781"/>
    <w:rsid w:val="005A5980"/>
    <w:rsid w:val="005A68A7"/>
    <w:rsid w:val="005A6CA9"/>
    <w:rsid w:val="005A7AAA"/>
    <w:rsid w:val="005B0072"/>
    <w:rsid w:val="005B07FC"/>
    <w:rsid w:val="005B090D"/>
    <w:rsid w:val="005B182F"/>
    <w:rsid w:val="005B2209"/>
    <w:rsid w:val="005B2EB5"/>
    <w:rsid w:val="005B3B8C"/>
    <w:rsid w:val="005B4DC2"/>
    <w:rsid w:val="005B59E5"/>
    <w:rsid w:val="005B5F35"/>
    <w:rsid w:val="005B66B4"/>
    <w:rsid w:val="005B6E38"/>
    <w:rsid w:val="005C11A1"/>
    <w:rsid w:val="005C177D"/>
    <w:rsid w:val="005C2277"/>
    <w:rsid w:val="005C2C15"/>
    <w:rsid w:val="005C313F"/>
    <w:rsid w:val="005C32BB"/>
    <w:rsid w:val="005C33F5"/>
    <w:rsid w:val="005C3921"/>
    <w:rsid w:val="005C4AD3"/>
    <w:rsid w:val="005C4E03"/>
    <w:rsid w:val="005C557A"/>
    <w:rsid w:val="005C5CE9"/>
    <w:rsid w:val="005C6222"/>
    <w:rsid w:val="005C65B4"/>
    <w:rsid w:val="005C6B3E"/>
    <w:rsid w:val="005D0738"/>
    <w:rsid w:val="005D0857"/>
    <w:rsid w:val="005D15CA"/>
    <w:rsid w:val="005D3051"/>
    <w:rsid w:val="005D37B5"/>
    <w:rsid w:val="005D3F45"/>
    <w:rsid w:val="005D3FE6"/>
    <w:rsid w:val="005D41D2"/>
    <w:rsid w:val="005D491D"/>
    <w:rsid w:val="005D497C"/>
    <w:rsid w:val="005D4DD5"/>
    <w:rsid w:val="005D6023"/>
    <w:rsid w:val="005D6B55"/>
    <w:rsid w:val="005D7A10"/>
    <w:rsid w:val="005E100E"/>
    <w:rsid w:val="005E1058"/>
    <w:rsid w:val="005E1531"/>
    <w:rsid w:val="005E15AC"/>
    <w:rsid w:val="005E1758"/>
    <w:rsid w:val="005E18DD"/>
    <w:rsid w:val="005E1E02"/>
    <w:rsid w:val="005E2222"/>
    <w:rsid w:val="005E2452"/>
    <w:rsid w:val="005E2E7F"/>
    <w:rsid w:val="005E33DA"/>
    <w:rsid w:val="005E3647"/>
    <w:rsid w:val="005E3B48"/>
    <w:rsid w:val="005E42FA"/>
    <w:rsid w:val="005E4850"/>
    <w:rsid w:val="005E48C2"/>
    <w:rsid w:val="005E537D"/>
    <w:rsid w:val="005E664F"/>
    <w:rsid w:val="005E6FC9"/>
    <w:rsid w:val="005E7F4F"/>
    <w:rsid w:val="005F143D"/>
    <w:rsid w:val="005F3011"/>
    <w:rsid w:val="005F3836"/>
    <w:rsid w:val="005F3B63"/>
    <w:rsid w:val="005F3E22"/>
    <w:rsid w:val="005F51C5"/>
    <w:rsid w:val="005F547E"/>
    <w:rsid w:val="005F564A"/>
    <w:rsid w:val="005F6811"/>
    <w:rsid w:val="005F704F"/>
    <w:rsid w:val="005F70EF"/>
    <w:rsid w:val="005F7426"/>
    <w:rsid w:val="005F79C9"/>
    <w:rsid w:val="0060105F"/>
    <w:rsid w:val="00601344"/>
    <w:rsid w:val="00601AC9"/>
    <w:rsid w:val="00601EDE"/>
    <w:rsid w:val="00602A02"/>
    <w:rsid w:val="00602A0D"/>
    <w:rsid w:val="006042A8"/>
    <w:rsid w:val="0060579B"/>
    <w:rsid w:val="006057FE"/>
    <w:rsid w:val="00605D0F"/>
    <w:rsid w:val="00606429"/>
    <w:rsid w:val="00606ABB"/>
    <w:rsid w:val="00606E49"/>
    <w:rsid w:val="00606E4D"/>
    <w:rsid w:val="006072F2"/>
    <w:rsid w:val="0060764A"/>
    <w:rsid w:val="0061001C"/>
    <w:rsid w:val="006116D1"/>
    <w:rsid w:val="006116ED"/>
    <w:rsid w:val="00611AC9"/>
    <w:rsid w:val="0061358E"/>
    <w:rsid w:val="006135E3"/>
    <w:rsid w:val="00613E45"/>
    <w:rsid w:val="00614450"/>
    <w:rsid w:val="00614A14"/>
    <w:rsid w:val="00614A22"/>
    <w:rsid w:val="00614B98"/>
    <w:rsid w:val="006155CE"/>
    <w:rsid w:val="00615CBE"/>
    <w:rsid w:val="00615DB9"/>
    <w:rsid w:val="00615DC3"/>
    <w:rsid w:val="006168B0"/>
    <w:rsid w:val="0061799B"/>
    <w:rsid w:val="00617AD4"/>
    <w:rsid w:val="006208B4"/>
    <w:rsid w:val="00620CAC"/>
    <w:rsid w:val="00620F67"/>
    <w:rsid w:val="0062106E"/>
    <w:rsid w:val="00621123"/>
    <w:rsid w:val="00621C5D"/>
    <w:rsid w:val="00621FF7"/>
    <w:rsid w:val="00623CE6"/>
    <w:rsid w:val="00624073"/>
    <w:rsid w:val="00624C4A"/>
    <w:rsid w:val="00624F8F"/>
    <w:rsid w:val="00625C88"/>
    <w:rsid w:val="006262B5"/>
    <w:rsid w:val="00626681"/>
    <w:rsid w:val="006266C6"/>
    <w:rsid w:val="00626807"/>
    <w:rsid w:val="00626EBA"/>
    <w:rsid w:val="00627711"/>
    <w:rsid w:val="006300DF"/>
    <w:rsid w:val="0063021B"/>
    <w:rsid w:val="0063127E"/>
    <w:rsid w:val="00631480"/>
    <w:rsid w:val="00631C00"/>
    <w:rsid w:val="00632D55"/>
    <w:rsid w:val="0063328C"/>
    <w:rsid w:val="00634012"/>
    <w:rsid w:val="00634377"/>
    <w:rsid w:val="0063530D"/>
    <w:rsid w:val="006365FC"/>
    <w:rsid w:val="00636B32"/>
    <w:rsid w:val="00637D2A"/>
    <w:rsid w:val="00640080"/>
    <w:rsid w:val="00640E15"/>
    <w:rsid w:val="006431A1"/>
    <w:rsid w:val="00643CD9"/>
    <w:rsid w:val="00644E5E"/>
    <w:rsid w:val="006458E0"/>
    <w:rsid w:val="00646B47"/>
    <w:rsid w:val="0064731E"/>
    <w:rsid w:val="00651CAE"/>
    <w:rsid w:val="0065272F"/>
    <w:rsid w:val="00652BB4"/>
    <w:rsid w:val="006537FE"/>
    <w:rsid w:val="00653E7E"/>
    <w:rsid w:val="0065473B"/>
    <w:rsid w:val="00654985"/>
    <w:rsid w:val="00654DA5"/>
    <w:rsid w:val="00654EAB"/>
    <w:rsid w:val="00655CA8"/>
    <w:rsid w:val="00657908"/>
    <w:rsid w:val="00660224"/>
    <w:rsid w:val="006608C1"/>
    <w:rsid w:val="00660DAD"/>
    <w:rsid w:val="0066162F"/>
    <w:rsid w:val="00661F1E"/>
    <w:rsid w:val="00663242"/>
    <w:rsid w:val="0066414C"/>
    <w:rsid w:val="00664304"/>
    <w:rsid w:val="00664A7E"/>
    <w:rsid w:val="00664D01"/>
    <w:rsid w:val="00664D10"/>
    <w:rsid w:val="006655F3"/>
    <w:rsid w:val="0066611F"/>
    <w:rsid w:val="00666BA5"/>
    <w:rsid w:val="00667690"/>
    <w:rsid w:val="00670419"/>
    <w:rsid w:val="00670A85"/>
    <w:rsid w:val="00670C6E"/>
    <w:rsid w:val="00670D63"/>
    <w:rsid w:val="00670D93"/>
    <w:rsid w:val="00670DF1"/>
    <w:rsid w:val="0067306C"/>
    <w:rsid w:val="006744BE"/>
    <w:rsid w:val="00675C45"/>
    <w:rsid w:val="0067603D"/>
    <w:rsid w:val="0067631B"/>
    <w:rsid w:val="00676845"/>
    <w:rsid w:val="00676BD3"/>
    <w:rsid w:val="00676ECE"/>
    <w:rsid w:val="0067737E"/>
    <w:rsid w:val="006800A2"/>
    <w:rsid w:val="00680717"/>
    <w:rsid w:val="0068102D"/>
    <w:rsid w:val="00681165"/>
    <w:rsid w:val="006811E4"/>
    <w:rsid w:val="00681451"/>
    <w:rsid w:val="00681E49"/>
    <w:rsid w:val="00682ADE"/>
    <w:rsid w:val="00683C45"/>
    <w:rsid w:val="00684D75"/>
    <w:rsid w:val="00686357"/>
    <w:rsid w:val="006870CB"/>
    <w:rsid w:val="00687690"/>
    <w:rsid w:val="00690B1F"/>
    <w:rsid w:val="00691F60"/>
    <w:rsid w:val="00692C80"/>
    <w:rsid w:val="0069334B"/>
    <w:rsid w:val="00693682"/>
    <w:rsid w:val="00693FFC"/>
    <w:rsid w:val="00694818"/>
    <w:rsid w:val="0069492A"/>
    <w:rsid w:val="006949E6"/>
    <w:rsid w:val="00695E5F"/>
    <w:rsid w:val="00695ED8"/>
    <w:rsid w:val="006969E6"/>
    <w:rsid w:val="00696F41"/>
    <w:rsid w:val="006A05D6"/>
    <w:rsid w:val="006A05E1"/>
    <w:rsid w:val="006A07F5"/>
    <w:rsid w:val="006A084E"/>
    <w:rsid w:val="006A1C3A"/>
    <w:rsid w:val="006A30A7"/>
    <w:rsid w:val="006A3672"/>
    <w:rsid w:val="006A4362"/>
    <w:rsid w:val="006A48D2"/>
    <w:rsid w:val="006A57C3"/>
    <w:rsid w:val="006A593D"/>
    <w:rsid w:val="006A59D9"/>
    <w:rsid w:val="006A5A7B"/>
    <w:rsid w:val="006A61E2"/>
    <w:rsid w:val="006A64A3"/>
    <w:rsid w:val="006A65C8"/>
    <w:rsid w:val="006A65D0"/>
    <w:rsid w:val="006A6714"/>
    <w:rsid w:val="006A6718"/>
    <w:rsid w:val="006A72CB"/>
    <w:rsid w:val="006A7598"/>
    <w:rsid w:val="006A76A9"/>
    <w:rsid w:val="006A7865"/>
    <w:rsid w:val="006B180D"/>
    <w:rsid w:val="006B26FC"/>
    <w:rsid w:val="006B2FC7"/>
    <w:rsid w:val="006B341F"/>
    <w:rsid w:val="006B3C0B"/>
    <w:rsid w:val="006B3D10"/>
    <w:rsid w:val="006B3EE7"/>
    <w:rsid w:val="006B40D0"/>
    <w:rsid w:val="006B46ED"/>
    <w:rsid w:val="006B5232"/>
    <w:rsid w:val="006B614F"/>
    <w:rsid w:val="006B6801"/>
    <w:rsid w:val="006B71CB"/>
    <w:rsid w:val="006B77AC"/>
    <w:rsid w:val="006B7908"/>
    <w:rsid w:val="006B7D7C"/>
    <w:rsid w:val="006C0153"/>
    <w:rsid w:val="006C03F2"/>
    <w:rsid w:val="006C0723"/>
    <w:rsid w:val="006C16FE"/>
    <w:rsid w:val="006C17D5"/>
    <w:rsid w:val="006C1C18"/>
    <w:rsid w:val="006C1D69"/>
    <w:rsid w:val="006C21DC"/>
    <w:rsid w:val="006C2CBF"/>
    <w:rsid w:val="006C2FCC"/>
    <w:rsid w:val="006C3156"/>
    <w:rsid w:val="006C539C"/>
    <w:rsid w:val="006C5D71"/>
    <w:rsid w:val="006C6AF9"/>
    <w:rsid w:val="006C7076"/>
    <w:rsid w:val="006C7D83"/>
    <w:rsid w:val="006C7FAE"/>
    <w:rsid w:val="006D113F"/>
    <w:rsid w:val="006D1860"/>
    <w:rsid w:val="006D2214"/>
    <w:rsid w:val="006D2459"/>
    <w:rsid w:val="006D2796"/>
    <w:rsid w:val="006D3424"/>
    <w:rsid w:val="006D385D"/>
    <w:rsid w:val="006D40FD"/>
    <w:rsid w:val="006D413A"/>
    <w:rsid w:val="006D4261"/>
    <w:rsid w:val="006D4B95"/>
    <w:rsid w:val="006D4D98"/>
    <w:rsid w:val="006D50A5"/>
    <w:rsid w:val="006D5F66"/>
    <w:rsid w:val="006D697D"/>
    <w:rsid w:val="006D766F"/>
    <w:rsid w:val="006E016E"/>
    <w:rsid w:val="006E01EF"/>
    <w:rsid w:val="006E02E3"/>
    <w:rsid w:val="006E079F"/>
    <w:rsid w:val="006E179E"/>
    <w:rsid w:val="006E3578"/>
    <w:rsid w:val="006E38A5"/>
    <w:rsid w:val="006E492C"/>
    <w:rsid w:val="006E4E02"/>
    <w:rsid w:val="006E61EA"/>
    <w:rsid w:val="006E6268"/>
    <w:rsid w:val="006E6B9A"/>
    <w:rsid w:val="006E78CD"/>
    <w:rsid w:val="006F00AF"/>
    <w:rsid w:val="006F153D"/>
    <w:rsid w:val="006F1C0E"/>
    <w:rsid w:val="006F233D"/>
    <w:rsid w:val="006F32F2"/>
    <w:rsid w:val="006F38FE"/>
    <w:rsid w:val="006F3F67"/>
    <w:rsid w:val="006F4E4E"/>
    <w:rsid w:val="006F5EF4"/>
    <w:rsid w:val="006F6BF6"/>
    <w:rsid w:val="006F6F4A"/>
    <w:rsid w:val="006F7B05"/>
    <w:rsid w:val="0070061B"/>
    <w:rsid w:val="00700D8F"/>
    <w:rsid w:val="007014BE"/>
    <w:rsid w:val="007019EA"/>
    <w:rsid w:val="00701EF6"/>
    <w:rsid w:val="007027C5"/>
    <w:rsid w:val="00702C69"/>
    <w:rsid w:val="00702EEF"/>
    <w:rsid w:val="00704CFD"/>
    <w:rsid w:val="007052EC"/>
    <w:rsid w:val="00705739"/>
    <w:rsid w:val="00705878"/>
    <w:rsid w:val="00706C10"/>
    <w:rsid w:val="00706CE0"/>
    <w:rsid w:val="00706D51"/>
    <w:rsid w:val="007070BD"/>
    <w:rsid w:val="007073BB"/>
    <w:rsid w:val="00710A6D"/>
    <w:rsid w:val="00710DBD"/>
    <w:rsid w:val="007114B2"/>
    <w:rsid w:val="00711A2E"/>
    <w:rsid w:val="00713223"/>
    <w:rsid w:val="007139D5"/>
    <w:rsid w:val="00713D6A"/>
    <w:rsid w:val="00713F85"/>
    <w:rsid w:val="00715AFF"/>
    <w:rsid w:val="00715CF4"/>
    <w:rsid w:val="00716032"/>
    <w:rsid w:val="007163CB"/>
    <w:rsid w:val="007166B2"/>
    <w:rsid w:val="0071684B"/>
    <w:rsid w:val="0071770C"/>
    <w:rsid w:val="007177C1"/>
    <w:rsid w:val="00717AB8"/>
    <w:rsid w:val="007209E7"/>
    <w:rsid w:val="00722334"/>
    <w:rsid w:val="00723BA0"/>
    <w:rsid w:val="00723EE3"/>
    <w:rsid w:val="007249F5"/>
    <w:rsid w:val="00724ABF"/>
    <w:rsid w:val="00724CDF"/>
    <w:rsid w:val="007253F9"/>
    <w:rsid w:val="00725455"/>
    <w:rsid w:val="00725DE0"/>
    <w:rsid w:val="007274D3"/>
    <w:rsid w:val="00727B51"/>
    <w:rsid w:val="00730201"/>
    <w:rsid w:val="00730240"/>
    <w:rsid w:val="00730413"/>
    <w:rsid w:val="0073042F"/>
    <w:rsid w:val="007308F4"/>
    <w:rsid w:val="00731D3A"/>
    <w:rsid w:val="00732E8A"/>
    <w:rsid w:val="00733CE0"/>
    <w:rsid w:val="00734141"/>
    <w:rsid w:val="00734727"/>
    <w:rsid w:val="00734B86"/>
    <w:rsid w:val="00734B87"/>
    <w:rsid w:val="00734F84"/>
    <w:rsid w:val="00735100"/>
    <w:rsid w:val="00735928"/>
    <w:rsid w:val="00735A4F"/>
    <w:rsid w:val="00736811"/>
    <w:rsid w:val="00736DFA"/>
    <w:rsid w:val="00736F2D"/>
    <w:rsid w:val="007375D7"/>
    <w:rsid w:val="00737AA4"/>
    <w:rsid w:val="007403B4"/>
    <w:rsid w:val="00740911"/>
    <w:rsid w:val="00740F93"/>
    <w:rsid w:val="00742304"/>
    <w:rsid w:val="00742E02"/>
    <w:rsid w:val="007430A7"/>
    <w:rsid w:val="00743E28"/>
    <w:rsid w:val="007447E0"/>
    <w:rsid w:val="007450DA"/>
    <w:rsid w:val="007451B2"/>
    <w:rsid w:val="007454FE"/>
    <w:rsid w:val="00745961"/>
    <w:rsid w:val="0074618D"/>
    <w:rsid w:val="00747A03"/>
    <w:rsid w:val="007500F2"/>
    <w:rsid w:val="007503AC"/>
    <w:rsid w:val="00750D4D"/>
    <w:rsid w:val="00751950"/>
    <w:rsid w:val="00751EDA"/>
    <w:rsid w:val="00751FE3"/>
    <w:rsid w:val="00752474"/>
    <w:rsid w:val="00752674"/>
    <w:rsid w:val="00752FCF"/>
    <w:rsid w:val="0075380F"/>
    <w:rsid w:val="00755402"/>
    <w:rsid w:val="00755F2D"/>
    <w:rsid w:val="0075666D"/>
    <w:rsid w:val="00756E94"/>
    <w:rsid w:val="00757296"/>
    <w:rsid w:val="00760538"/>
    <w:rsid w:val="00760DB7"/>
    <w:rsid w:val="00761285"/>
    <w:rsid w:val="00761E97"/>
    <w:rsid w:val="00763576"/>
    <w:rsid w:val="00763EE0"/>
    <w:rsid w:val="00764285"/>
    <w:rsid w:val="007642ED"/>
    <w:rsid w:val="007643E5"/>
    <w:rsid w:val="00764B28"/>
    <w:rsid w:val="0076537F"/>
    <w:rsid w:val="00765B13"/>
    <w:rsid w:val="00765BB2"/>
    <w:rsid w:val="007704F3"/>
    <w:rsid w:val="0077087B"/>
    <w:rsid w:val="00770A6A"/>
    <w:rsid w:val="00771335"/>
    <w:rsid w:val="007714B7"/>
    <w:rsid w:val="0077301E"/>
    <w:rsid w:val="00773B68"/>
    <w:rsid w:val="00774A61"/>
    <w:rsid w:val="00774BBA"/>
    <w:rsid w:val="00774D0D"/>
    <w:rsid w:val="00775093"/>
    <w:rsid w:val="007753D5"/>
    <w:rsid w:val="007757CC"/>
    <w:rsid w:val="00775AAC"/>
    <w:rsid w:val="007761A9"/>
    <w:rsid w:val="00776BEB"/>
    <w:rsid w:val="00777F3F"/>
    <w:rsid w:val="0078041D"/>
    <w:rsid w:val="00780E1C"/>
    <w:rsid w:val="00780F69"/>
    <w:rsid w:val="0078137C"/>
    <w:rsid w:val="007816B7"/>
    <w:rsid w:val="00781806"/>
    <w:rsid w:val="0078188D"/>
    <w:rsid w:val="007832F7"/>
    <w:rsid w:val="00784100"/>
    <w:rsid w:val="007842C3"/>
    <w:rsid w:val="007846CF"/>
    <w:rsid w:val="00785B2E"/>
    <w:rsid w:val="00785BAE"/>
    <w:rsid w:val="00785FAF"/>
    <w:rsid w:val="00786A05"/>
    <w:rsid w:val="00786D08"/>
    <w:rsid w:val="00787971"/>
    <w:rsid w:val="00787A69"/>
    <w:rsid w:val="00787EFD"/>
    <w:rsid w:val="00790940"/>
    <w:rsid w:val="00791A0B"/>
    <w:rsid w:val="00791B1B"/>
    <w:rsid w:val="00791F90"/>
    <w:rsid w:val="00792733"/>
    <w:rsid w:val="00792EF3"/>
    <w:rsid w:val="00793836"/>
    <w:rsid w:val="00794083"/>
    <w:rsid w:val="00794542"/>
    <w:rsid w:val="00794B5A"/>
    <w:rsid w:val="00794F13"/>
    <w:rsid w:val="00795A45"/>
    <w:rsid w:val="00795FC1"/>
    <w:rsid w:val="0079659E"/>
    <w:rsid w:val="00796B1B"/>
    <w:rsid w:val="00797587"/>
    <w:rsid w:val="007A0092"/>
    <w:rsid w:val="007A1C1D"/>
    <w:rsid w:val="007A2A03"/>
    <w:rsid w:val="007A336B"/>
    <w:rsid w:val="007A424C"/>
    <w:rsid w:val="007A444C"/>
    <w:rsid w:val="007A44FF"/>
    <w:rsid w:val="007A4C3C"/>
    <w:rsid w:val="007A56DB"/>
    <w:rsid w:val="007A57BA"/>
    <w:rsid w:val="007A589C"/>
    <w:rsid w:val="007A5BD4"/>
    <w:rsid w:val="007A5ED8"/>
    <w:rsid w:val="007A643C"/>
    <w:rsid w:val="007A6664"/>
    <w:rsid w:val="007A66B9"/>
    <w:rsid w:val="007A6D59"/>
    <w:rsid w:val="007A795C"/>
    <w:rsid w:val="007B0177"/>
    <w:rsid w:val="007B1307"/>
    <w:rsid w:val="007B1BBE"/>
    <w:rsid w:val="007B1CB0"/>
    <w:rsid w:val="007B3332"/>
    <w:rsid w:val="007B36B0"/>
    <w:rsid w:val="007B38BE"/>
    <w:rsid w:val="007B3E17"/>
    <w:rsid w:val="007B4A5D"/>
    <w:rsid w:val="007B51FC"/>
    <w:rsid w:val="007B5CB3"/>
    <w:rsid w:val="007B643E"/>
    <w:rsid w:val="007B64B0"/>
    <w:rsid w:val="007B674F"/>
    <w:rsid w:val="007B67DA"/>
    <w:rsid w:val="007C02B0"/>
    <w:rsid w:val="007C0F78"/>
    <w:rsid w:val="007C2083"/>
    <w:rsid w:val="007C2588"/>
    <w:rsid w:val="007C2B20"/>
    <w:rsid w:val="007C2BB3"/>
    <w:rsid w:val="007C2E16"/>
    <w:rsid w:val="007C4A25"/>
    <w:rsid w:val="007C4BEC"/>
    <w:rsid w:val="007C54D3"/>
    <w:rsid w:val="007C5726"/>
    <w:rsid w:val="007C5F95"/>
    <w:rsid w:val="007C5FE0"/>
    <w:rsid w:val="007C5FF6"/>
    <w:rsid w:val="007C72BC"/>
    <w:rsid w:val="007C77C6"/>
    <w:rsid w:val="007C7FF9"/>
    <w:rsid w:val="007D0045"/>
    <w:rsid w:val="007D08AF"/>
    <w:rsid w:val="007D148C"/>
    <w:rsid w:val="007D1A61"/>
    <w:rsid w:val="007D28B3"/>
    <w:rsid w:val="007D2D0B"/>
    <w:rsid w:val="007D3ACD"/>
    <w:rsid w:val="007D44F2"/>
    <w:rsid w:val="007D4AA1"/>
    <w:rsid w:val="007D4F4B"/>
    <w:rsid w:val="007D5E54"/>
    <w:rsid w:val="007D68EE"/>
    <w:rsid w:val="007D735F"/>
    <w:rsid w:val="007D75C7"/>
    <w:rsid w:val="007D782B"/>
    <w:rsid w:val="007E0225"/>
    <w:rsid w:val="007E1330"/>
    <w:rsid w:val="007E1467"/>
    <w:rsid w:val="007E17A7"/>
    <w:rsid w:val="007E1B96"/>
    <w:rsid w:val="007E3FA9"/>
    <w:rsid w:val="007E451D"/>
    <w:rsid w:val="007E4CA0"/>
    <w:rsid w:val="007E4CFE"/>
    <w:rsid w:val="007E5347"/>
    <w:rsid w:val="007E5360"/>
    <w:rsid w:val="007E5377"/>
    <w:rsid w:val="007E57CF"/>
    <w:rsid w:val="007F0D34"/>
    <w:rsid w:val="007F1DC0"/>
    <w:rsid w:val="007F2207"/>
    <w:rsid w:val="007F23F9"/>
    <w:rsid w:val="007F2617"/>
    <w:rsid w:val="007F2A8A"/>
    <w:rsid w:val="007F2CAE"/>
    <w:rsid w:val="007F3F9B"/>
    <w:rsid w:val="007F5D46"/>
    <w:rsid w:val="007F603F"/>
    <w:rsid w:val="007F662A"/>
    <w:rsid w:val="007F6B58"/>
    <w:rsid w:val="007F77C2"/>
    <w:rsid w:val="007F7B51"/>
    <w:rsid w:val="008013DF"/>
    <w:rsid w:val="008027BD"/>
    <w:rsid w:val="00802D70"/>
    <w:rsid w:val="008036EC"/>
    <w:rsid w:val="008038E2"/>
    <w:rsid w:val="00803B3F"/>
    <w:rsid w:val="00803DE4"/>
    <w:rsid w:val="00804C1C"/>
    <w:rsid w:val="00804E35"/>
    <w:rsid w:val="00805140"/>
    <w:rsid w:val="00805774"/>
    <w:rsid w:val="0080610B"/>
    <w:rsid w:val="00806CAC"/>
    <w:rsid w:val="00806D8D"/>
    <w:rsid w:val="008070AD"/>
    <w:rsid w:val="00807747"/>
    <w:rsid w:val="00810FEB"/>
    <w:rsid w:val="0081206E"/>
    <w:rsid w:val="00812074"/>
    <w:rsid w:val="00812AC3"/>
    <w:rsid w:val="008131FD"/>
    <w:rsid w:val="00813A51"/>
    <w:rsid w:val="00814386"/>
    <w:rsid w:val="008161ED"/>
    <w:rsid w:val="008168B7"/>
    <w:rsid w:val="008177AD"/>
    <w:rsid w:val="00817C35"/>
    <w:rsid w:val="00817DE1"/>
    <w:rsid w:val="00820E97"/>
    <w:rsid w:val="00821815"/>
    <w:rsid w:val="00822D7E"/>
    <w:rsid w:val="0082303B"/>
    <w:rsid w:val="008239AB"/>
    <w:rsid w:val="008246CC"/>
    <w:rsid w:val="008247F5"/>
    <w:rsid w:val="00824BEF"/>
    <w:rsid w:val="008258E0"/>
    <w:rsid w:val="008259A5"/>
    <w:rsid w:val="0082653A"/>
    <w:rsid w:val="0082699D"/>
    <w:rsid w:val="00826C0B"/>
    <w:rsid w:val="0082719E"/>
    <w:rsid w:val="00830403"/>
    <w:rsid w:val="00830DBD"/>
    <w:rsid w:val="00831D22"/>
    <w:rsid w:val="00832497"/>
    <w:rsid w:val="00832AE1"/>
    <w:rsid w:val="00832D49"/>
    <w:rsid w:val="00832E16"/>
    <w:rsid w:val="0083459C"/>
    <w:rsid w:val="0083580C"/>
    <w:rsid w:val="0083594A"/>
    <w:rsid w:val="00836233"/>
    <w:rsid w:val="00836B1E"/>
    <w:rsid w:val="008371B1"/>
    <w:rsid w:val="00840701"/>
    <w:rsid w:val="00840751"/>
    <w:rsid w:val="0084214C"/>
    <w:rsid w:val="008436F8"/>
    <w:rsid w:val="008450AE"/>
    <w:rsid w:val="00845339"/>
    <w:rsid w:val="0084598F"/>
    <w:rsid w:val="00846684"/>
    <w:rsid w:val="008467B5"/>
    <w:rsid w:val="00846CAB"/>
    <w:rsid w:val="00847876"/>
    <w:rsid w:val="00847B9F"/>
    <w:rsid w:val="00850E04"/>
    <w:rsid w:val="00851077"/>
    <w:rsid w:val="008511D9"/>
    <w:rsid w:val="00851706"/>
    <w:rsid w:val="00851777"/>
    <w:rsid w:val="00852C84"/>
    <w:rsid w:val="00852D16"/>
    <w:rsid w:val="008543A9"/>
    <w:rsid w:val="0085545C"/>
    <w:rsid w:val="0085552C"/>
    <w:rsid w:val="0085568E"/>
    <w:rsid w:val="00855698"/>
    <w:rsid w:val="00855C68"/>
    <w:rsid w:val="00856555"/>
    <w:rsid w:val="00857AB1"/>
    <w:rsid w:val="00860175"/>
    <w:rsid w:val="008605DA"/>
    <w:rsid w:val="008615F9"/>
    <w:rsid w:val="00861999"/>
    <w:rsid w:val="00862F6A"/>
    <w:rsid w:val="00863591"/>
    <w:rsid w:val="00864024"/>
    <w:rsid w:val="00864839"/>
    <w:rsid w:val="00864D2D"/>
    <w:rsid w:val="00864FE4"/>
    <w:rsid w:val="00865617"/>
    <w:rsid w:val="00865FB3"/>
    <w:rsid w:val="00867992"/>
    <w:rsid w:val="00867B88"/>
    <w:rsid w:val="00871567"/>
    <w:rsid w:val="008722B1"/>
    <w:rsid w:val="00872332"/>
    <w:rsid w:val="00873607"/>
    <w:rsid w:val="0087429F"/>
    <w:rsid w:val="008744DE"/>
    <w:rsid w:val="00874611"/>
    <w:rsid w:val="00874B66"/>
    <w:rsid w:val="0087655F"/>
    <w:rsid w:val="00876679"/>
    <w:rsid w:val="008769D3"/>
    <w:rsid w:val="008775C3"/>
    <w:rsid w:val="00877E86"/>
    <w:rsid w:val="00877FC6"/>
    <w:rsid w:val="008801E5"/>
    <w:rsid w:val="0088048E"/>
    <w:rsid w:val="00880537"/>
    <w:rsid w:val="008827B2"/>
    <w:rsid w:val="00883153"/>
    <w:rsid w:val="0088328E"/>
    <w:rsid w:val="008835C0"/>
    <w:rsid w:val="00883770"/>
    <w:rsid w:val="00883A49"/>
    <w:rsid w:val="00883B84"/>
    <w:rsid w:val="00883D92"/>
    <w:rsid w:val="0088473C"/>
    <w:rsid w:val="00884977"/>
    <w:rsid w:val="00884FA9"/>
    <w:rsid w:val="008855BF"/>
    <w:rsid w:val="00885D63"/>
    <w:rsid w:val="008875C9"/>
    <w:rsid w:val="0088781F"/>
    <w:rsid w:val="00887E45"/>
    <w:rsid w:val="00890246"/>
    <w:rsid w:val="008907BA"/>
    <w:rsid w:val="00890B04"/>
    <w:rsid w:val="00890B40"/>
    <w:rsid w:val="00891003"/>
    <w:rsid w:val="00891752"/>
    <w:rsid w:val="00892B67"/>
    <w:rsid w:val="008942D9"/>
    <w:rsid w:val="008943E9"/>
    <w:rsid w:val="00894963"/>
    <w:rsid w:val="00895C1E"/>
    <w:rsid w:val="008965E0"/>
    <w:rsid w:val="008965EE"/>
    <w:rsid w:val="00896651"/>
    <w:rsid w:val="00897930"/>
    <w:rsid w:val="00897B57"/>
    <w:rsid w:val="008A17FA"/>
    <w:rsid w:val="008A196A"/>
    <w:rsid w:val="008A2200"/>
    <w:rsid w:val="008A251F"/>
    <w:rsid w:val="008A258F"/>
    <w:rsid w:val="008A2A60"/>
    <w:rsid w:val="008A2A61"/>
    <w:rsid w:val="008A2ADE"/>
    <w:rsid w:val="008A36F4"/>
    <w:rsid w:val="008A3B01"/>
    <w:rsid w:val="008A4421"/>
    <w:rsid w:val="008A5073"/>
    <w:rsid w:val="008A5FC2"/>
    <w:rsid w:val="008A6F85"/>
    <w:rsid w:val="008B0C28"/>
    <w:rsid w:val="008B0C4C"/>
    <w:rsid w:val="008B1301"/>
    <w:rsid w:val="008B277E"/>
    <w:rsid w:val="008B2D19"/>
    <w:rsid w:val="008B3825"/>
    <w:rsid w:val="008B3DFB"/>
    <w:rsid w:val="008B3FAC"/>
    <w:rsid w:val="008B4CF1"/>
    <w:rsid w:val="008B5E49"/>
    <w:rsid w:val="008B5FC1"/>
    <w:rsid w:val="008B6144"/>
    <w:rsid w:val="008B68AB"/>
    <w:rsid w:val="008B6F7B"/>
    <w:rsid w:val="008C0A7B"/>
    <w:rsid w:val="008C162C"/>
    <w:rsid w:val="008C1978"/>
    <w:rsid w:val="008C1A4C"/>
    <w:rsid w:val="008C2401"/>
    <w:rsid w:val="008C2893"/>
    <w:rsid w:val="008C31BB"/>
    <w:rsid w:val="008C3A7B"/>
    <w:rsid w:val="008C46F9"/>
    <w:rsid w:val="008C5363"/>
    <w:rsid w:val="008C538A"/>
    <w:rsid w:val="008C5463"/>
    <w:rsid w:val="008C5CDF"/>
    <w:rsid w:val="008C6220"/>
    <w:rsid w:val="008C62E2"/>
    <w:rsid w:val="008C6504"/>
    <w:rsid w:val="008C698A"/>
    <w:rsid w:val="008C6D18"/>
    <w:rsid w:val="008C6E51"/>
    <w:rsid w:val="008C6FFE"/>
    <w:rsid w:val="008C7305"/>
    <w:rsid w:val="008D0E3E"/>
    <w:rsid w:val="008D1070"/>
    <w:rsid w:val="008D1505"/>
    <w:rsid w:val="008D1668"/>
    <w:rsid w:val="008D19D0"/>
    <w:rsid w:val="008D2E8B"/>
    <w:rsid w:val="008D33DD"/>
    <w:rsid w:val="008D3E9D"/>
    <w:rsid w:val="008D4F94"/>
    <w:rsid w:val="008D5D15"/>
    <w:rsid w:val="008D5E43"/>
    <w:rsid w:val="008D6226"/>
    <w:rsid w:val="008D64EC"/>
    <w:rsid w:val="008D679C"/>
    <w:rsid w:val="008D7206"/>
    <w:rsid w:val="008D7466"/>
    <w:rsid w:val="008D78FA"/>
    <w:rsid w:val="008E00E3"/>
    <w:rsid w:val="008E03F8"/>
    <w:rsid w:val="008E0C96"/>
    <w:rsid w:val="008E1377"/>
    <w:rsid w:val="008E16D7"/>
    <w:rsid w:val="008E1E06"/>
    <w:rsid w:val="008E2261"/>
    <w:rsid w:val="008E24F1"/>
    <w:rsid w:val="008E26B8"/>
    <w:rsid w:val="008E2726"/>
    <w:rsid w:val="008E2ED2"/>
    <w:rsid w:val="008E32C4"/>
    <w:rsid w:val="008E36E4"/>
    <w:rsid w:val="008E41B9"/>
    <w:rsid w:val="008E4431"/>
    <w:rsid w:val="008E46CE"/>
    <w:rsid w:val="008E5BAB"/>
    <w:rsid w:val="008E6E38"/>
    <w:rsid w:val="008E72A8"/>
    <w:rsid w:val="008E770C"/>
    <w:rsid w:val="008E782B"/>
    <w:rsid w:val="008E7C92"/>
    <w:rsid w:val="008F0A10"/>
    <w:rsid w:val="008F17FA"/>
    <w:rsid w:val="008F1DA4"/>
    <w:rsid w:val="008F2750"/>
    <w:rsid w:val="008F2898"/>
    <w:rsid w:val="008F3124"/>
    <w:rsid w:val="008F481E"/>
    <w:rsid w:val="008F494A"/>
    <w:rsid w:val="008F4CA6"/>
    <w:rsid w:val="008F6309"/>
    <w:rsid w:val="008F63F1"/>
    <w:rsid w:val="008F6C28"/>
    <w:rsid w:val="008F7271"/>
    <w:rsid w:val="008F72AB"/>
    <w:rsid w:val="0090172B"/>
    <w:rsid w:val="00901F62"/>
    <w:rsid w:val="00902034"/>
    <w:rsid w:val="00904625"/>
    <w:rsid w:val="00904C04"/>
    <w:rsid w:val="00904E9E"/>
    <w:rsid w:val="00905714"/>
    <w:rsid w:val="00905B08"/>
    <w:rsid w:val="009060A0"/>
    <w:rsid w:val="00906C8A"/>
    <w:rsid w:val="00906FC7"/>
    <w:rsid w:val="009110F3"/>
    <w:rsid w:val="00912662"/>
    <w:rsid w:val="00912AE6"/>
    <w:rsid w:val="009137C0"/>
    <w:rsid w:val="00914A62"/>
    <w:rsid w:val="00914F12"/>
    <w:rsid w:val="0091552E"/>
    <w:rsid w:val="00915E50"/>
    <w:rsid w:val="009162D9"/>
    <w:rsid w:val="00917E4D"/>
    <w:rsid w:val="00920217"/>
    <w:rsid w:val="009202D6"/>
    <w:rsid w:val="009202DD"/>
    <w:rsid w:val="00920615"/>
    <w:rsid w:val="00920AA2"/>
    <w:rsid w:val="00920FCC"/>
    <w:rsid w:val="009218B6"/>
    <w:rsid w:val="009226AC"/>
    <w:rsid w:val="0092366F"/>
    <w:rsid w:val="00923A45"/>
    <w:rsid w:val="00924344"/>
    <w:rsid w:val="0092446B"/>
    <w:rsid w:val="00924747"/>
    <w:rsid w:val="00927883"/>
    <w:rsid w:val="00927B2A"/>
    <w:rsid w:val="00930C67"/>
    <w:rsid w:val="00930C71"/>
    <w:rsid w:val="00930CBB"/>
    <w:rsid w:val="0093246D"/>
    <w:rsid w:val="00932856"/>
    <w:rsid w:val="00932D36"/>
    <w:rsid w:val="00932F22"/>
    <w:rsid w:val="0093301A"/>
    <w:rsid w:val="0093363A"/>
    <w:rsid w:val="009355DB"/>
    <w:rsid w:val="009359DE"/>
    <w:rsid w:val="00936CE4"/>
    <w:rsid w:val="009373C7"/>
    <w:rsid w:val="009373E6"/>
    <w:rsid w:val="009375A0"/>
    <w:rsid w:val="00937BD3"/>
    <w:rsid w:val="00941FCB"/>
    <w:rsid w:val="00941FFE"/>
    <w:rsid w:val="0094232A"/>
    <w:rsid w:val="009425A0"/>
    <w:rsid w:val="00942EF1"/>
    <w:rsid w:val="00943295"/>
    <w:rsid w:val="00943C34"/>
    <w:rsid w:val="009440CA"/>
    <w:rsid w:val="00946037"/>
    <w:rsid w:val="0094678B"/>
    <w:rsid w:val="00946B26"/>
    <w:rsid w:val="0094717D"/>
    <w:rsid w:val="0094728E"/>
    <w:rsid w:val="00947307"/>
    <w:rsid w:val="00947CCB"/>
    <w:rsid w:val="00950305"/>
    <w:rsid w:val="0095071E"/>
    <w:rsid w:val="009516DF"/>
    <w:rsid w:val="009526E8"/>
    <w:rsid w:val="00952920"/>
    <w:rsid w:val="00952ED1"/>
    <w:rsid w:val="009532CC"/>
    <w:rsid w:val="009543DF"/>
    <w:rsid w:val="009550E8"/>
    <w:rsid w:val="009553A5"/>
    <w:rsid w:val="00957609"/>
    <w:rsid w:val="00960915"/>
    <w:rsid w:val="00960AA2"/>
    <w:rsid w:val="00960DCD"/>
    <w:rsid w:val="00960E6F"/>
    <w:rsid w:val="00961570"/>
    <w:rsid w:val="009617D8"/>
    <w:rsid w:val="00961D3C"/>
    <w:rsid w:val="00962D3C"/>
    <w:rsid w:val="00962E95"/>
    <w:rsid w:val="009635B4"/>
    <w:rsid w:val="009641F9"/>
    <w:rsid w:val="00964665"/>
    <w:rsid w:val="0096485C"/>
    <w:rsid w:val="0096554C"/>
    <w:rsid w:val="00965A0D"/>
    <w:rsid w:val="00966DA6"/>
    <w:rsid w:val="0096730E"/>
    <w:rsid w:val="00967405"/>
    <w:rsid w:val="0096773C"/>
    <w:rsid w:val="00967A2E"/>
    <w:rsid w:val="009703B2"/>
    <w:rsid w:val="009704F1"/>
    <w:rsid w:val="0097072D"/>
    <w:rsid w:val="0097183A"/>
    <w:rsid w:val="00971BF6"/>
    <w:rsid w:val="009723C5"/>
    <w:rsid w:val="0097241C"/>
    <w:rsid w:val="00972D86"/>
    <w:rsid w:val="00973EC4"/>
    <w:rsid w:val="00973F9E"/>
    <w:rsid w:val="00974B20"/>
    <w:rsid w:val="009770C9"/>
    <w:rsid w:val="009770F6"/>
    <w:rsid w:val="00977880"/>
    <w:rsid w:val="00977B79"/>
    <w:rsid w:val="00977C1F"/>
    <w:rsid w:val="00980F73"/>
    <w:rsid w:val="0098134F"/>
    <w:rsid w:val="00981670"/>
    <w:rsid w:val="009817FA"/>
    <w:rsid w:val="0098192C"/>
    <w:rsid w:val="00983749"/>
    <w:rsid w:val="009853D2"/>
    <w:rsid w:val="00985724"/>
    <w:rsid w:val="00985C05"/>
    <w:rsid w:val="00985F71"/>
    <w:rsid w:val="00986568"/>
    <w:rsid w:val="00986590"/>
    <w:rsid w:val="00990279"/>
    <w:rsid w:val="0099074F"/>
    <w:rsid w:val="00990E5A"/>
    <w:rsid w:val="009919F9"/>
    <w:rsid w:val="00991D46"/>
    <w:rsid w:val="009933FC"/>
    <w:rsid w:val="00993EA7"/>
    <w:rsid w:val="00994248"/>
    <w:rsid w:val="00996E87"/>
    <w:rsid w:val="0099720B"/>
    <w:rsid w:val="009973D8"/>
    <w:rsid w:val="009A0E8C"/>
    <w:rsid w:val="009A1799"/>
    <w:rsid w:val="009A1E8D"/>
    <w:rsid w:val="009A2CA3"/>
    <w:rsid w:val="009A2F3F"/>
    <w:rsid w:val="009A3FF8"/>
    <w:rsid w:val="009A4A63"/>
    <w:rsid w:val="009A55B6"/>
    <w:rsid w:val="009A5BEC"/>
    <w:rsid w:val="009A5C5A"/>
    <w:rsid w:val="009A61E7"/>
    <w:rsid w:val="009A6524"/>
    <w:rsid w:val="009A663F"/>
    <w:rsid w:val="009A67E6"/>
    <w:rsid w:val="009A6FB1"/>
    <w:rsid w:val="009B0D5C"/>
    <w:rsid w:val="009B1FA1"/>
    <w:rsid w:val="009B1FC9"/>
    <w:rsid w:val="009B26EE"/>
    <w:rsid w:val="009B314B"/>
    <w:rsid w:val="009B42EA"/>
    <w:rsid w:val="009B55F2"/>
    <w:rsid w:val="009B5793"/>
    <w:rsid w:val="009B5D45"/>
    <w:rsid w:val="009B5E73"/>
    <w:rsid w:val="009B608B"/>
    <w:rsid w:val="009B63EB"/>
    <w:rsid w:val="009B6862"/>
    <w:rsid w:val="009B6CC4"/>
    <w:rsid w:val="009B6D29"/>
    <w:rsid w:val="009B6DAD"/>
    <w:rsid w:val="009B7640"/>
    <w:rsid w:val="009B7E42"/>
    <w:rsid w:val="009C00C8"/>
    <w:rsid w:val="009C0117"/>
    <w:rsid w:val="009C0441"/>
    <w:rsid w:val="009C0F8C"/>
    <w:rsid w:val="009C131D"/>
    <w:rsid w:val="009C198D"/>
    <w:rsid w:val="009C1E59"/>
    <w:rsid w:val="009C2009"/>
    <w:rsid w:val="009C268A"/>
    <w:rsid w:val="009C2FC2"/>
    <w:rsid w:val="009C3291"/>
    <w:rsid w:val="009C4030"/>
    <w:rsid w:val="009C4224"/>
    <w:rsid w:val="009C46FE"/>
    <w:rsid w:val="009C474F"/>
    <w:rsid w:val="009C4916"/>
    <w:rsid w:val="009C5A83"/>
    <w:rsid w:val="009C746E"/>
    <w:rsid w:val="009C7628"/>
    <w:rsid w:val="009C7F31"/>
    <w:rsid w:val="009D0348"/>
    <w:rsid w:val="009D0618"/>
    <w:rsid w:val="009D09B9"/>
    <w:rsid w:val="009D1A52"/>
    <w:rsid w:val="009D2020"/>
    <w:rsid w:val="009D3441"/>
    <w:rsid w:val="009D3A56"/>
    <w:rsid w:val="009D419C"/>
    <w:rsid w:val="009D503D"/>
    <w:rsid w:val="009D5510"/>
    <w:rsid w:val="009D5BD9"/>
    <w:rsid w:val="009D7ECD"/>
    <w:rsid w:val="009E113E"/>
    <w:rsid w:val="009E1C3B"/>
    <w:rsid w:val="009E1C80"/>
    <w:rsid w:val="009E2290"/>
    <w:rsid w:val="009E31B1"/>
    <w:rsid w:val="009E3BBD"/>
    <w:rsid w:val="009E6187"/>
    <w:rsid w:val="009E6C1D"/>
    <w:rsid w:val="009F07E6"/>
    <w:rsid w:val="009F0CA9"/>
    <w:rsid w:val="009F1372"/>
    <w:rsid w:val="009F216F"/>
    <w:rsid w:val="009F2B88"/>
    <w:rsid w:val="009F2F42"/>
    <w:rsid w:val="009F3AE1"/>
    <w:rsid w:val="009F3C2F"/>
    <w:rsid w:val="009F4B26"/>
    <w:rsid w:val="009F4E4B"/>
    <w:rsid w:val="009F53E8"/>
    <w:rsid w:val="009F559F"/>
    <w:rsid w:val="009F5C84"/>
    <w:rsid w:val="009F5D00"/>
    <w:rsid w:val="009F62D3"/>
    <w:rsid w:val="009F732C"/>
    <w:rsid w:val="009F774D"/>
    <w:rsid w:val="009F7B7A"/>
    <w:rsid w:val="009F7CE8"/>
    <w:rsid w:val="00A00FC0"/>
    <w:rsid w:val="00A01093"/>
    <w:rsid w:val="00A010FF"/>
    <w:rsid w:val="00A014FB"/>
    <w:rsid w:val="00A01BBC"/>
    <w:rsid w:val="00A01D8A"/>
    <w:rsid w:val="00A02ED0"/>
    <w:rsid w:val="00A02FB7"/>
    <w:rsid w:val="00A03D0E"/>
    <w:rsid w:val="00A044D1"/>
    <w:rsid w:val="00A0456D"/>
    <w:rsid w:val="00A04984"/>
    <w:rsid w:val="00A05744"/>
    <w:rsid w:val="00A05BC6"/>
    <w:rsid w:val="00A0617F"/>
    <w:rsid w:val="00A062D4"/>
    <w:rsid w:val="00A0653F"/>
    <w:rsid w:val="00A06B3A"/>
    <w:rsid w:val="00A07EAD"/>
    <w:rsid w:val="00A106EB"/>
    <w:rsid w:val="00A10A8B"/>
    <w:rsid w:val="00A11180"/>
    <w:rsid w:val="00A1215A"/>
    <w:rsid w:val="00A12B3D"/>
    <w:rsid w:val="00A13610"/>
    <w:rsid w:val="00A14E53"/>
    <w:rsid w:val="00A1504A"/>
    <w:rsid w:val="00A15686"/>
    <w:rsid w:val="00A1599E"/>
    <w:rsid w:val="00A15C64"/>
    <w:rsid w:val="00A1668F"/>
    <w:rsid w:val="00A17337"/>
    <w:rsid w:val="00A179F6"/>
    <w:rsid w:val="00A206BC"/>
    <w:rsid w:val="00A2086D"/>
    <w:rsid w:val="00A20FD7"/>
    <w:rsid w:val="00A22F77"/>
    <w:rsid w:val="00A2308B"/>
    <w:rsid w:val="00A23B5F"/>
    <w:rsid w:val="00A24876"/>
    <w:rsid w:val="00A24AD2"/>
    <w:rsid w:val="00A25F10"/>
    <w:rsid w:val="00A260B7"/>
    <w:rsid w:val="00A26323"/>
    <w:rsid w:val="00A30091"/>
    <w:rsid w:val="00A310CC"/>
    <w:rsid w:val="00A31F75"/>
    <w:rsid w:val="00A32382"/>
    <w:rsid w:val="00A3312F"/>
    <w:rsid w:val="00A33958"/>
    <w:rsid w:val="00A33A70"/>
    <w:rsid w:val="00A34808"/>
    <w:rsid w:val="00A34E48"/>
    <w:rsid w:val="00A35E70"/>
    <w:rsid w:val="00A37663"/>
    <w:rsid w:val="00A403AA"/>
    <w:rsid w:val="00A41423"/>
    <w:rsid w:val="00A41EDC"/>
    <w:rsid w:val="00A42AB4"/>
    <w:rsid w:val="00A42CA7"/>
    <w:rsid w:val="00A42EE3"/>
    <w:rsid w:val="00A438E5"/>
    <w:rsid w:val="00A43CA3"/>
    <w:rsid w:val="00A44582"/>
    <w:rsid w:val="00A44F28"/>
    <w:rsid w:val="00A450B5"/>
    <w:rsid w:val="00A4536B"/>
    <w:rsid w:val="00A45546"/>
    <w:rsid w:val="00A45BED"/>
    <w:rsid w:val="00A4633F"/>
    <w:rsid w:val="00A472E6"/>
    <w:rsid w:val="00A47742"/>
    <w:rsid w:val="00A50225"/>
    <w:rsid w:val="00A50345"/>
    <w:rsid w:val="00A51A56"/>
    <w:rsid w:val="00A5204E"/>
    <w:rsid w:val="00A52B86"/>
    <w:rsid w:val="00A52DE0"/>
    <w:rsid w:val="00A531B9"/>
    <w:rsid w:val="00A53EE9"/>
    <w:rsid w:val="00A548EC"/>
    <w:rsid w:val="00A55985"/>
    <w:rsid w:val="00A563BB"/>
    <w:rsid w:val="00A568EA"/>
    <w:rsid w:val="00A5698E"/>
    <w:rsid w:val="00A56CCB"/>
    <w:rsid w:val="00A57410"/>
    <w:rsid w:val="00A57EA9"/>
    <w:rsid w:val="00A60578"/>
    <w:rsid w:val="00A6366A"/>
    <w:rsid w:val="00A636D2"/>
    <w:rsid w:val="00A63CA9"/>
    <w:rsid w:val="00A6401E"/>
    <w:rsid w:val="00A64377"/>
    <w:rsid w:val="00A6471C"/>
    <w:rsid w:val="00A64B50"/>
    <w:rsid w:val="00A654BA"/>
    <w:rsid w:val="00A65644"/>
    <w:rsid w:val="00A65E01"/>
    <w:rsid w:val="00A65F97"/>
    <w:rsid w:val="00A66924"/>
    <w:rsid w:val="00A6770C"/>
    <w:rsid w:val="00A679EE"/>
    <w:rsid w:val="00A67C44"/>
    <w:rsid w:val="00A7018C"/>
    <w:rsid w:val="00A702C1"/>
    <w:rsid w:val="00A7048A"/>
    <w:rsid w:val="00A70AE8"/>
    <w:rsid w:val="00A71C17"/>
    <w:rsid w:val="00A7251D"/>
    <w:rsid w:val="00A7304E"/>
    <w:rsid w:val="00A74098"/>
    <w:rsid w:val="00A75FAC"/>
    <w:rsid w:val="00A76040"/>
    <w:rsid w:val="00A762A3"/>
    <w:rsid w:val="00A7637A"/>
    <w:rsid w:val="00A76C5A"/>
    <w:rsid w:val="00A774F6"/>
    <w:rsid w:val="00A774FD"/>
    <w:rsid w:val="00A7773C"/>
    <w:rsid w:val="00A77951"/>
    <w:rsid w:val="00A8006F"/>
    <w:rsid w:val="00A80D4D"/>
    <w:rsid w:val="00A8159C"/>
    <w:rsid w:val="00A818BF"/>
    <w:rsid w:val="00A82429"/>
    <w:rsid w:val="00A828AF"/>
    <w:rsid w:val="00A832D5"/>
    <w:rsid w:val="00A8376D"/>
    <w:rsid w:val="00A841C8"/>
    <w:rsid w:val="00A84395"/>
    <w:rsid w:val="00A84A7E"/>
    <w:rsid w:val="00A84CBD"/>
    <w:rsid w:val="00A85226"/>
    <w:rsid w:val="00A85326"/>
    <w:rsid w:val="00A85C7C"/>
    <w:rsid w:val="00A90454"/>
    <w:rsid w:val="00A9091E"/>
    <w:rsid w:val="00A90A62"/>
    <w:rsid w:val="00A9127E"/>
    <w:rsid w:val="00A915E2"/>
    <w:rsid w:val="00A925A4"/>
    <w:rsid w:val="00A92EA8"/>
    <w:rsid w:val="00A9357E"/>
    <w:rsid w:val="00A945F1"/>
    <w:rsid w:val="00A953D4"/>
    <w:rsid w:val="00A965FB"/>
    <w:rsid w:val="00AA1BA1"/>
    <w:rsid w:val="00AA24A9"/>
    <w:rsid w:val="00AA6B0A"/>
    <w:rsid w:val="00AA6F43"/>
    <w:rsid w:val="00AA78A3"/>
    <w:rsid w:val="00AA7BEC"/>
    <w:rsid w:val="00AA7D3B"/>
    <w:rsid w:val="00AB06C8"/>
    <w:rsid w:val="00AB08A4"/>
    <w:rsid w:val="00AB10AB"/>
    <w:rsid w:val="00AB13EB"/>
    <w:rsid w:val="00AB22E8"/>
    <w:rsid w:val="00AB25AB"/>
    <w:rsid w:val="00AB2A31"/>
    <w:rsid w:val="00AB3CCB"/>
    <w:rsid w:val="00AB3E45"/>
    <w:rsid w:val="00AB3F95"/>
    <w:rsid w:val="00AB54A5"/>
    <w:rsid w:val="00AB56BD"/>
    <w:rsid w:val="00AB6C27"/>
    <w:rsid w:val="00AC00FC"/>
    <w:rsid w:val="00AC0586"/>
    <w:rsid w:val="00AC1297"/>
    <w:rsid w:val="00AC2400"/>
    <w:rsid w:val="00AC33E3"/>
    <w:rsid w:val="00AC3A4F"/>
    <w:rsid w:val="00AC4416"/>
    <w:rsid w:val="00AC4C3F"/>
    <w:rsid w:val="00AC5314"/>
    <w:rsid w:val="00AC591C"/>
    <w:rsid w:val="00AC5972"/>
    <w:rsid w:val="00AC5B5C"/>
    <w:rsid w:val="00AC5EA3"/>
    <w:rsid w:val="00AC6717"/>
    <w:rsid w:val="00AC6B22"/>
    <w:rsid w:val="00AC6DDD"/>
    <w:rsid w:val="00AC7545"/>
    <w:rsid w:val="00AC75E2"/>
    <w:rsid w:val="00AD125C"/>
    <w:rsid w:val="00AD1990"/>
    <w:rsid w:val="00AD1A48"/>
    <w:rsid w:val="00AD21DB"/>
    <w:rsid w:val="00AD32B9"/>
    <w:rsid w:val="00AD3303"/>
    <w:rsid w:val="00AD3F3B"/>
    <w:rsid w:val="00AD55D9"/>
    <w:rsid w:val="00AD5B62"/>
    <w:rsid w:val="00AD5BE2"/>
    <w:rsid w:val="00AD5EF6"/>
    <w:rsid w:val="00AD5F50"/>
    <w:rsid w:val="00AD6059"/>
    <w:rsid w:val="00AE0487"/>
    <w:rsid w:val="00AE0ECF"/>
    <w:rsid w:val="00AE1FA9"/>
    <w:rsid w:val="00AE2012"/>
    <w:rsid w:val="00AE25E1"/>
    <w:rsid w:val="00AE3F8F"/>
    <w:rsid w:val="00AE42A3"/>
    <w:rsid w:val="00AE5626"/>
    <w:rsid w:val="00AE57A7"/>
    <w:rsid w:val="00AE584F"/>
    <w:rsid w:val="00AE591C"/>
    <w:rsid w:val="00AE5CF3"/>
    <w:rsid w:val="00AE5D7F"/>
    <w:rsid w:val="00AE5E96"/>
    <w:rsid w:val="00AE614E"/>
    <w:rsid w:val="00AE630E"/>
    <w:rsid w:val="00AE693D"/>
    <w:rsid w:val="00AE78ED"/>
    <w:rsid w:val="00AE79F3"/>
    <w:rsid w:val="00AF028F"/>
    <w:rsid w:val="00AF1D33"/>
    <w:rsid w:val="00AF31B3"/>
    <w:rsid w:val="00AF31E7"/>
    <w:rsid w:val="00AF3B90"/>
    <w:rsid w:val="00AF42A9"/>
    <w:rsid w:val="00AF47FB"/>
    <w:rsid w:val="00AF4856"/>
    <w:rsid w:val="00AF506E"/>
    <w:rsid w:val="00AF58F2"/>
    <w:rsid w:val="00AF67DD"/>
    <w:rsid w:val="00AF6C55"/>
    <w:rsid w:val="00AF726D"/>
    <w:rsid w:val="00AF7302"/>
    <w:rsid w:val="00AF7676"/>
    <w:rsid w:val="00AF7A58"/>
    <w:rsid w:val="00B01E10"/>
    <w:rsid w:val="00B02DCC"/>
    <w:rsid w:val="00B02F1C"/>
    <w:rsid w:val="00B03139"/>
    <w:rsid w:val="00B04076"/>
    <w:rsid w:val="00B040B3"/>
    <w:rsid w:val="00B0432D"/>
    <w:rsid w:val="00B05168"/>
    <w:rsid w:val="00B051AD"/>
    <w:rsid w:val="00B05BF9"/>
    <w:rsid w:val="00B077C2"/>
    <w:rsid w:val="00B07FF0"/>
    <w:rsid w:val="00B10FB4"/>
    <w:rsid w:val="00B1122C"/>
    <w:rsid w:val="00B12556"/>
    <w:rsid w:val="00B1291F"/>
    <w:rsid w:val="00B137C4"/>
    <w:rsid w:val="00B14191"/>
    <w:rsid w:val="00B142AA"/>
    <w:rsid w:val="00B14A3B"/>
    <w:rsid w:val="00B156AE"/>
    <w:rsid w:val="00B15814"/>
    <w:rsid w:val="00B15EAA"/>
    <w:rsid w:val="00B168F6"/>
    <w:rsid w:val="00B17774"/>
    <w:rsid w:val="00B17F50"/>
    <w:rsid w:val="00B20EED"/>
    <w:rsid w:val="00B20F3F"/>
    <w:rsid w:val="00B21204"/>
    <w:rsid w:val="00B21BE2"/>
    <w:rsid w:val="00B22494"/>
    <w:rsid w:val="00B2277D"/>
    <w:rsid w:val="00B22801"/>
    <w:rsid w:val="00B2284F"/>
    <w:rsid w:val="00B22C27"/>
    <w:rsid w:val="00B23727"/>
    <w:rsid w:val="00B2374F"/>
    <w:rsid w:val="00B24D56"/>
    <w:rsid w:val="00B25C9F"/>
    <w:rsid w:val="00B26002"/>
    <w:rsid w:val="00B273FB"/>
    <w:rsid w:val="00B276CF"/>
    <w:rsid w:val="00B27A08"/>
    <w:rsid w:val="00B27A3B"/>
    <w:rsid w:val="00B3008B"/>
    <w:rsid w:val="00B31738"/>
    <w:rsid w:val="00B33085"/>
    <w:rsid w:val="00B333E4"/>
    <w:rsid w:val="00B3386E"/>
    <w:rsid w:val="00B35044"/>
    <w:rsid w:val="00B374FF"/>
    <w:rsid w:val="00B37675"/>
    <w:rsid w:val="00B3795B"/>
    <w:rsid w:val="00B40C1A"/>
    <w:rsid w:val="00B41B96"/>
    <w:rsid w:val="00B42EDC"/>
    <w:rsid w:val="00B432A1"/>
    <w:rsid w:val="00B43780"/>
    <w:rsid w:val="00B43E21"/>
    <w:rsid w:val="00B440BB"/>
    <w:rsid w:val="00B44B73"/>
    <w:rsid w:val="00B4534E"/>
    <w:rsid w:val="00B46530"/>
    <w:rsid w:val="00B46644"/>
    <w:rsid w:val="00B46A9B"/>
    <w:rsid w:val="00B46CB5"/>
    <w:rsid w:val="00B501B7"/>
    <w:rsid w:val="00B506B5"/>
    <w:rsid w:val="00B516F9"/>
    <w:rsid w:val="00B5280F"/>
    <w:rsid w:val="00B529D6"/>
    <w:rsid w:val="00B530D6"/>
    <w:rsid w:val="00B54DA8"/>
    <w:rsid w:val="00B54EFE"/>
    <w:rsid w:val="00B54F66"/>
    <w:rsid w:val="00B556FB"/>
    <w:rsid w:val="00B56319"/>
    <w:rsid w:val="00B56612"/>
    <w:rsid w:val="00B5681C"/>
    <w:rsid w:val="00B572CF"/>
    <w:rsid w:val="00B60344"/>
    <w:rsid w:val="00B60547"/>
    <w:rsid w:val="00B60E1D"/>
    <w:rsid w:val="00B61377"/>
    <w:rsid w:val="00B619F2"/>
    <w:rsid w:val="00B61A1B"/>
    <w:rsid w:val="00B62AD1"/>
    <w:rsid w:val="00B62FDA"/>
    <w:rsid w:val="00B63235"/>
    <w:rsid w:val="00B63353"/>
    <w:rsid w:val="00B63B33"/>
    <w:rsid w:val="00B63E5F"/>
    <w:rsid w:val="00B64481"/>
    <w:rsid w:val="00B650D9"/>
    <w:rsid w:val="00B652C2"/>
    <w:rsid w:val="00B65AFF"/>
    <w:rsid w:val="00B66A9B"/>
    <w:rsid w:val="00B67EEA"/>
    <w:rsid w:val="00B715FD"/>
    <w:rsid w:val="00B7258F"/>
    <w:rsid w:val="00B7366E"/>
    <w:rsid w:val="00B73D5F"/>
    <w:rsid w:val="00B744FC"/>
    <w:rsid w:val="00B74946"/>
    <w:rsid w:val="00B756D3"/>
    <w:rsid w:val="00B75D9B"/>
    <w:rsid w:val="00B765A0"/>
    <w:rsid w:val="00B768C0"/>
    <w:rsid w:val="00B76EFA"/>
    <w:rsid w:val="00B774B6"/>
    <w:rsid w:val="00B775AF"/>
    <w:rsid w:val="00B77D8F"/>
    <w:rsid w:val="00B8022E"/>
    <w:rsid w:val="00B808BF"/>
    <w:rsid w:val="00B8246A"/>
    <w:rsid w:val="00B82BA3"/>
    <w:rsid w:val="00B82DD2"/>
    <w:rsid w:val="00B82E97"/>
    <w:rsid w:val="00B8338D"/>
    <w:rsid w:val="00B840AD"/>
    <w:rsid w:val="00B85069"/>
    <w:rsid w:val="00B85309"/>
    <w:rsid w:val="00B85375"/>
    <w:rsid w:val="00B856A0"/>
    <w:rsid w:val="00B85F9A"/>
    <w:rsid w:val="00B86C03"/>
    <w:rsid w:val="00B87067"/>
    <w:rsid w:val="00B8742F"/>
    <w:rsid w:val="00B87694"/>
    <w:rsid w:val="00B87A72"/>
    <w:rsid w:val="00B90765"/>
    <w:rsid w:val="00B909AE"/>
    <w:rsid w:val="00B90F28"/>
    <w:rsid w:val="00B9147A"/>
    <w:rsid w:val="00B91CB9"/>
    <w:rsid w:val="00B9286C"/>
    <w:rsid w:val="00B94B98"/>
    <w:rsid w:val="00B954BB"/>
    <w:rsid w:val="00B95731"/>
    <w:rsid w:val="00B95B03"/>
    <w:rsid w:val="00B9625F"/>
    <w:rsid w:val="00B966B6"/>
    <w:rsid w:val="00B969E1"/>
    <w:rsid w:val="00B96C7C"/>
    <w:rsid w:val="00B96FD7"/>
    <w:rsid w:val="00BA107E"/>
    <w:rsid w:val="00BA1269"/>
    <w:rsid w:val="00BA2D46"/>
    <w:rsid w:val="00BA33B4"/>
    <w:rsid w:val="00BA3FD2"/>
    <w:rsid w:val="00BA4881"/>
    <w:rsid w:val="00BA49CA"/>
    <w:rsid w:val="00BA4D92"/>
    <w:rsid w:val="00BA50DC"/>
    <w:rsid w:val="00BA510C"/>
    <w:rsid w:val="00BA5561"/>
    <w:rsid w:val="00BA5BB4"/>
    <w:rsid w:val="00BA651C"/>
    <w:rsid w:val="00BA6E2E"/>
    <w:rsid w:val="00BA74A3"/>
    <w:rsid w:val="00BA7904"/>
    <w:rsid w:val="00BA7E23"/>
    <w:rsid w:val="00BA7E7A"/>
    <w:rsid w:val="00BB0090"/>
    <w:rsid w:val="00BB0C09"/>
    <w:rsid w:val="00BB1301"/>
    <w:rsid w:val="00BB13C8"/>
    <w:rsid w:val="00BB1882"/>
    <w:rsid w:val="00BB1D86"/>
    <w:rsid w:val="00BB35BA"/>
    <w:rsid w:val="00BB367E"/>
    <w:rsid w:val="00BB43E1"/>
    <w:rsid w:val="00BB453D"/>
    <w:rsid w:val="00BB4687"/>
    <w:rsid w:val="00BB5427"/>
    <w:rsid w:val="00BB61F2"/>
    <w:rsid w:val="00BB72FC"/>
    <w:rsid w:val="00BC11F5"/>
    <w:rsid w:val="00BC120B"/>
    <w:rsid w:val="00BC181E"/>
    <w:rsid w:val="00BC18A1"/>
    <w:rsid w:val="00BC1BA7"/>
    <w:rsid w:val="00BC1D4E"/>
    <w:rsid w:val="00BC2E37"/>
    <w:rsid w:val="00BC3763"/>
    <w:rsid w:val="00BC3C9C"/>
    <w:rsid w:val="00BC445C"/>
    <w:rsid w:val="00BC45C1"/>
    <w:rsid w:val="00BC45FC"/>
    <w:rsid w:val="00BC4F2F"/>
    <w:rsid w:val="00BC5128"/>
    <w:rsid w:val="00BC6579"/>
    <w:rsid w:val="00BC7029"/>
    <w:rsid w:val="00BC758F"/>
    <w:rsid w:val="00BC7712"/>
    <w:rsid w:val="00BC7A40"/>
    <w:rsid w:val="00BD0481"/>
    <w:rsid w:val="00BD240B"/>
    <w:rsid w:val="00BD2434"/>
    <w:rsid w:val="00BD4227"/>
    <w:rsid w:val="00BD4E74"/>
    <w:rsid w:val="00BD51DF"/>
    <w:rsid w:val="00BD670A"/>
    <w:rsid w:val="00BD6BD8"/>
    <w:rsid w:val="00BD6EB0"/>
    <w:rsid w:val="00BD746B"/>
    <w:rsid w:val="00BD791C"/>
    <w:rsid w:val="00BE03BE"/>
    <w:rsid w:val="00BE1AE9"/>
    <w:rsid w:val="00BE2765"/>
    <w:rsid w:val="00BE27C2"/>
    <w:rsid w:val="00BE2FE4"/>
    <w:rsid w:val="00BE4CDE"/>
    <w:rsid w:val="00BE5F8E"/>
    <w:rsid w:val="00BE6021"/>
    <w:rsid w:val="00BE6252"/>
    <w:rsid w:val="00BE6E6C"/>
    <w:rsid w:val="00BE71FE"/>
    <w:rsid w:val="00BE783A"/>
    <w:rsid w:val="00BE7A1A"/>
    <w:rsid w:val="00BE7EA5"/>
    <w:rsid w:val="00BF1E20"/>
    <w:rsid w:val="00BF22B7"/>
    <w:rsid w:val="00BF2CAE"/>
    <w:rsid w:val="00BF3540"/>
    <w:rsid w:val="00BF3864"/>
    <w:rsid w:val="00BF4BB7"/>
    <w:rsid w:val="00BF4C79"/>
    <w:rsid w:val="00BF5599"/>
    <w:rsid w:val="00BF5DA2"/>
    <w:rsid w:val="00BF5ECA"/>
    <w:rsid w:val="00BF6018"/>
    <w:rsid w:val="00BF64A3"/>
    <w:rsid w:val="00BF6C79"/>
    <w:rsid w:val="00BF72EE"/>
    <w:rsid w:val="00BF7B7F"/>
    <w:rsid w:val="00BF7D98"/>
    <w:rsid w:val="00C0015C"/>
    <w:rsid w:val="00C0099F"/>
    <w:rsid w:val="00C00B13"/>
    <w:rsid w:val="00C014BE"/>
    <w:rsid w:val="00C01AFB"/>
    <w:rsid w:val="00C01B4D"/>
    <w:rsid w:val="00C02D58"/>
    <w:rsid w:val="00C04119"/>
    <w:rsid w:val="00C042B3"/>
    <w:rsid w:val="00C060B7"/>
    <w:rsid w:val="00C06234"/>
    <w:rsid w:val="00C07615"/>
    <w:rsid w:val="00C07668"/>
    <w:rsid w:val="00C07C38"/>
    <w:rsid w:val="00C07E50"/>
    <w:rsid w:val="00C103CE"/>
    <w:rsid w:val="00C10C75"/>
    <w:rsid w:val="00C10FDF"/>
    <w:rsid w:val="00C1192F"/>
    <w:rsid w:val="00C136D9"/>
    <w:rsid w:val="00C145E1"/>
    <w:rsid w:val="00C1465C"/>
    <w:rsid w:val="00C14992"/>
    <w:rsid w:val="00C14EC2"/>
    <w:rsid w:val="00C14FC1"/>
    <w:rsid w:val="00C153BC"/>
    <w:rsid w:val="00C15CC8"/>
    <w:rsid w:val="00C15DE1"/>
    <w:rsid w:val="00C1767C"/>
    <w:rsid w:val="00C217AB"/>
    <w:rsid w:val="00C219F1"/>
    <w:rsid w:val="00C21E71"/>
    <w:rsid w:val="00C226E9"/>
    <w:rsid w:val="00C24D52"/>
    <w:rsid w:val="00C251CF"/>
    <w:rsid w:val="00C25EFF"/>
    <w:rsid w:val="00C27A0B"/>
    <w:rsid w:val="00C27C54"/>
    <w:rsid w:val="00C30649"/>
    <w:rsid w:val="00C322D6"/>
    <w:rsid w:val="00C32443"/>
    <w:rsid w:val="00C33C4B"/>
    <w:rsid w:val="00C33F81"/>
    <w:rsid w:val="00C348FE"/>
    <w:rsid w:val="00C36483"/>
    <w:rsid w:val="00C3675A"/>
    <w:rsid w:val="00C370CD"/>
    <w:rsid w:val="00C3740F"/>
    <w:rsid w:val="00C37B2E"/>
    <w:rsid w:val="00C37C02"/>
    <w:rsid w:val="00C37D6A"/>
    <w:rsid w:val="00C37DE7"/>
    <w:rsid w:val="00C401EB"/>
    <w:rsid w:val="00C40A88"/>
    <w:rsid w:val="00C4127B"/>
    <w:rsid w:val="00C4141F"/>
    <w:rsid w:val="00C419D0"/>
    <w:rsid w:val="00C42928"/>
    <w:rsid w:val="00C431D8"/>
    <w:rsid w:val="00C4335B"/>
    <w:rsid w:val="00C433FB"/>
    <w:rsid w:val="00C4358F"/>
    <w:rsid w:val="00C438CD"/>
    <w:rsid w:val="00C44501"/>
    <w:rsid w:val="00C447B2"/>
    <w:rsid w:val="00C447C6"/>
    <w:rsid w:val="00C45329"/>
    <w:rsid w:val="00C45F35"/>
    <w:rsid w:val="00C461E2"/>
    <w:rsid w:val="00C463CA"/>
    <w:rsid w:val="00C4737B"/>
    <w:rsid w:val="00C51B62"/>
    <w:rsid w:val="00C52F23"/>
    <w:rsid w:val="00C53C9F"/>
    <w:rsid w:val="00C5436A"/>
    <w:rsid w:val="00C55A0B"/>
    <w:rsid w:val="00C567A5"/>
    <w:rsid w:val="00C56902"/>
    <w:rsid w:val="00C60A95"/>
    <w:rsid w:val="00C625A4"/>
    <w:rsid w:val="00C62E01"/>
    <w:rsid w:val="00C63819"/>
    <w:rsid w:val="00C662F5"/>
    <w:rsid w:val="00C666A9"/>
    <w:rsid w:val="00C669B0"/>
    <w:rsid w:val="00C66C79"/>
    <w:rsid w:val="00C66CE3"/>
    <w:rsid w:val="00C67053"/>
    <w:rsid w:val="00C6795A"/>
    <w:rsid w:val="00C67DFF"/>
    <w:rsid w:val="00C67EFF"/>
    <w:rsid w:val="00C704EE"/>
    <w:rsid w:val="00C70FD2"/>
    <w:rsid w:val="00C71713"/>
    <w:rsid w:val="00C719F0"/>
    <w:rsid w:val="00C72070"/>
    <w:rsid w:val="00C7365E"/>
    <w:rsid w:val="00C743D3"/>
    <w:rsid w:val="00C74621"/>
    <w:rsid w:val="00C74819"/>
    <w:rsid w:val="00C74C3A"/>
    <w:rsid w:val="00C74CB5"/>
    <w:rsid w:val="00C753FD"/>
    <w:rsid w:val="00C7662C"/>
    <w:rsid w:val="00C771D7"/>
    <w:rsid w:val="00C80329"/>
    <w:rsid w:val="00C8132A"/>
    <w:rsid w:val="00C815E3"/>
    <w:rsid w:val="00C81BAE"/>
    <w:rsid w:val="00C81EDE"/>
    <w:rsid w:val="00C81FBD"/>
    <w:rsid w:val="00C824C3"/>
    <w:rsid w:val="00C8310B"/>
    <w:rsid w:val="00C8357A"/>
    <w:rsid w:val="00C83C05"/>
    <w:rsid w:val="00C83CBC"/>
    <w:rsid w:val="00C83E56"/>
    <w:rsid w:val="00C83EC4"/>
    <w:rsid w:val="00C843E1"/>
    <w:rsid w:val="00C8445D"/>
    <w:rsid w:val="00C84704"/>
    <w:rsid w:val="00C84775"/>
    <w:rsid w:val="00C84D85"/>
    <w:rsid w:val="00C85715"/>
    <w:rsid w:val="00C858B5"/>
    <w:rsid w:val="00C86C67"/>
    <w:rsid w:val="00C874F2"/>
    <w:rsid w:val="00C91B46"/>
    <w:rsid w:val="00C91E2A"/>
    <w:rsid w:val="00C925E4"/>
    <w:rsid w:val="00C92A6C"/>
    <w:rsid w:val="00C92AB6"/>
    <w:rsid w:val="00C93384"/>
    <w:rsid w:val="00C933E1"/>
    <w:rsid w:val="00C947FD"/>
    <w:rsid w:val="00C954C8"/>
    <w:rsid w:val="00C95A5D"/>
    <w:rsid w:val="00C95DAB"/>
    <w:rsid w:val="00C96B3C"/>
    <w:rsid w:val="00CA0BB9"/>
    <w:rsid w:val="00CA1F55"/>
    <w:rsid w:val="00CA2B50"/>
    <w:rsid w:val="00CA33E5"/>
    <w:rsid w:val="00CA3448"/>
    <w:rsid w:val="00CA358B"/>
    <w:rsid w:val="00CA3998"/>
    <w:rsid w:val="00CA3C19"/>
    <w:rsid w:val="00CA3E44"/>
    <w:rsid w:val="00CA447F"/>
    <w:rsid w:val="00CA4A8D"/>
    <w:rsid w:val="00CA4B67"/>
    <w:rsid w:val="00CA4F85"/>
    <w:rsid w:val="00CA5A52"/>
    <w:rsid w:val="00CA5A5E"/>
    <w:rsid w:val="00CA5DD8"/>
    <w:rsid w:val="00CA5FB4"/>
    <w:rsid w:val="00CA6408"/>
    <w:rsid w:val="00CA6845"/>
    <w:rsid w:val="00CA7EB8"/>
    <w:rsid w:val="00CA7F35"/>
    <w:rsid w:val="00CB0585"/>
    <w:rsid w:val="00CB071C"/>
    <w:rsid w:val="00CB11C9"/>
    <w:rsid w:val="00CB21BE"/>
    <w:rsid w:val="00CB25F0"/>
    <w:rsid w:val="00CB33F2"/>
    <w:rsid w:val="00CB5207"/>
    <w:rsid w:val="00CB6261"/>
    <w:rsid w:val="00CB6618"/>
    <w:rsid w:val="00CB7118"/>
    <w:rsid w:val="00CC0CD0"/>
    <w:rsid w:val="00CC102E"/>
    <w:rsid w:val="00CC1F1C"/>
    <w:rsid w:val="00CC237F"/>
    <w:rsid w:val="00CC2C75"/>
    <w:rsid w:val="00CC2E09"/>
    <w:rsid w:val="00CC34B7"/>
    <w:rsid w:val="00CC4568"/>
    <w:rsid w:val="00CC4F73"/>
    <w:rsid w:val="00CC50FE"/>
    <w:rsid w:val="00CC51B2"/>
    <w:rsid w:val="00CC5861"/>
    <w:rsid w:val="00CC5C10"/>
    <w:rsid w:val="00CC5E4C"/>
    <w:rsid w:val="00CC69E3"/>
    <w:rsid w:val="00CC6F57"/>
    <w:rsid w:val="00CC7F80"/>
    <w:rsid w:val="00CD0926"/>
    <w:rsid w:val="00CD1112"/>
    <w:rsid w:val="00CD22D6"/>
    <w:rsid w:val="00CD2313"/>
    <w:rsid w:val="00CD35DF"/>
    <w:rsid w:val="00CD3FE2"/>
    <w:rsid w:val="00CD4128"/>
    <w:rsid w:val="00CD4604"/>
    <w:rsid w:val="00CD4EF1"/>
    <w:rsid w:val="00CD5074"/>
    <w:rsid w:val="00CD57A9"/>
    <w:rsid w:val="00CD58E8"/>
    <w:rsid w:val="00CD59BF"/>
    <w:rsid w:val="00CD7E43"/>
    <w:rsid w:val="00CE16F5"/>
    <w:rsid w:val="00CE1FBF"/>
    <w:rsid w:val="00CE2FAF"/>
    <w:rsid w:val="00CE3394"/>
    <w:rsid w:val="00CE3D10"/>
    <w:rsid w:val="00CE3E9A"/>
    <w:rsid w:val="00CE46A9"/>
    <w:rsid w:val="00CE479F"/>
    <w:rsid w:val="00CE4B19"/>
    <w:rsid w:val="00CE5A16"/>
    <w:rsid w:val="00CE6699"/>
    <w:rsid w:val="00CE670C"/>
    <w:rsid w:val="00CE67D3"/>
    <w:rsid w:val="00CE70CC"/>
    <w:rsid w:val="00CF00FF"/>
    <w:rsid w:val="00CF0CAD"/>
    <w:rsid w:val="00CF1066"/>
    <w:rsid w:val="00CF1475"/>
    <w:rsid w:val="00CF15C1"/>
    <w:rsid w:val="00CF2452"/>
    <w:rsid w:val="00CF2576"/>
    <w:rsid w:val="00CF280F"/>
    <w:rsid w:val="00CF3051"/>
    <w:rsid w:val="00CF426F"/>
    <w:rsid w:val="00CF42B2"/>
    <w:rsid w:val="00CF4524"/>
    <w:rsid w:val="00CF452B"/>
    <w:rsid w:val="00CF4CFA"/>
    <w:rsid w:val="00CF4E56"/>
    <w:rsid w:val="00CF4FA5"/>
    <w:rsid w:val="00CF5592"/>
    <w:rsid w:val="00CF5D28"/>
    <w:rsid w:val="00CF5D6D"/>
    <w:rsid w:val="00CF60C5"/>
    <w:rsid w:val="00CF6AE3"/>
    <w:rsid w:val="00CF72AA"/>
    <w:rsid w:val="00D0124F"/>
    <w:rsid w:val="00D01715"/>
    <w:rsid w:val="00D027D2"/>
    <w:rsid w:val="00D02AFA"/>
    <w:rsid w:val="00D02C3B"/>
    <w:rsid w:val="00D02FE3"/>
    <w:rsid w:val="00D03440"/>
    <w:rsid w:val="00D052B5"/>
    <w:rsid w:val="00D05552"/>
    <w:rsid w:val="00D057DA"/>
    <w:rsid w:val="00D05A7A"/>
    <w:rsid w:val="00D05BFC"/>
    <w:rsid w:val="00D06CB2"/>
    <w:rsid w:val="00D077DE"/>
    <w:rsid w:val="00D079A3"/>
    <w:rsid w:val="00D079B1"/>
    <w:rsid w:val="00D10914"/>
    <w:rsid w:val="00D10ADA"/>
    <w:rsid w:val="00D11363"/>
    <w:rsid w:val="00D146F7"/>
    <w:rsid w:val="00D1528E"/>
    <w:rsid w:val="00D2014C"/>
    <w:rsid w:val="00D2187A"/>
    <w:rsid w:val="00D21AF0"/>
    <w:rsid w:val="00D22154"/>
    <w:rsid w:val="00D22C8E"/>
    <w:rsid w:val="00D2381D"/>
    <w:rsid w:val="00D238F7"/>
    <w:rsid w:val="00D2399A"/>
    <w:rsid w:val="00D23B1C"/>
    <w:rsid w:val="00D243D5"/>
    <w:rsid w:val="00D24598"/>
    <w:rsid w:val="00D246FF"/>
    <w:rsid w:val="00D2586B"/>
    <w:rsid w:val="00D26CCF"/>
    <w:rsid w:val="00D277DA"/>
    <w:rsid w:val="00D27BFD"/>
    <w:rsid w:val="00D301CE"/>
    <w:rsid w:val="00D30B00"/>
    <w:rsid w:val="00D31402"/>
    <w:rsid w:val="00D31449"/>
    <w:rsid w:val="00D32C79"/>
    <w:rsid w:val="00D32D70"/>
    <w:rsid w:val="00D3312F"/>
    <w:rsid w:val="00D3396A"/>
    <w:rsid w:val="00D33BDD"/>
    <w:rsid w:val="00D34A91"/>
    <w:rsid w:val="00D3559F"/>
    <w:rsid w:val="00D35C61"/>
    <w:rsid w:val="00D400DB"/>
    <w:rsid w:val="00D4061D"/>
    <w:rsid w:val="00D409AF"/>
    <w:rsid w:val="00D409C5"/>
    <w:rsid w:val="00D416B4"/>
    <w:rsid w:val="00D41C30"/>
    <w:rsid w:val="00D41C42"/>
    <w:rsid w:val="00D42100"/>
    <w:rsid w:val="00D42A15"/>
    <w:rsid w:val="00D43EF1"/>
    <w:rsid w:val="00D442AB"/>
    <w:rsid w:val="00D459DE"/>
    <w:rsid w:val="00D46961"/>
    <w:rsid w:val="00D46A1C"/>
    <w:rsid w:val="00D471E3"/>
    <w:rsid w:val="00D474BF"/>
    <w:rsid w:val="00D47647"/>
    <w:rsid w:val="00D4785E"/>
    <w:rsid w:val="00D47B10"/>
    <w:rsid w:val="00D47D6B"/>
    <w:rsid w:val="00D522D6"/>
    <w:rsid w:val="00D52AEF"/>
    <w:rsid w:val="00D53936"/>
    <w:rsid w:val="00D539A6"/>
    <w:rsid w:val="00D543B7"/>
    <w:rsid w:val="00D545DC"/>
    <w:rsid w:val="00D55114"/>
    <w:rsid w:val="00D570DE"/>
    <w:rsid w:val="00D57770"/>
    <w:rsid w:val="00D57D59"/>
    <w:rsid w:val="00D60011"/>
    <w:rsid w:val="00D60358"/>
    <w:rsid w:val="00D608BD"/>
    <w:rsid w:val="00D611C7"/>
    <w:rsid w:val="00D6157E"/>
    <w:rsid w:val="00D629BE"/>
    <w:rsid w:val="00D62E66"/>
    <w:rsid w:val="00D62EDD"/>
    <w:rsid w:val="00D62F88"/>
    <w:rsid w:val="00D63275"/>
    <w:rsid w:val="00D636DC"/>
    <w:rsid w:val="00D640DD"/>
    <w:rsid w:val="00D64349"/>
    <w:rsid w:val="00D64A49"/>
    <w:rsid w:val="00D65988"/>
    <w:rsid w:val="00D65EF9"/>
    <w:rsid w:val="00D67FE0"/>
    <w:rsid w:val="00D70421"/>
    <w:rsid w:val="00D70F31"/>
    <w:rsid w:val="00D713A4"/>
    <w:rsid w:val="00D71FA5"/>
    <w:rsid w:val="00D7204C"/>
    <w:rsid w:val="00D72834"/>
    <w:rsid w:val="00D72D96"/>
    <w:rsid w:val="00D739E7"/>
    <w:rsid w:val="00D741DF"/>
    <w:rsid w:val="00D74413"/>
    <w:rsid w:val="00D7487C"/>
    <w:rsid w:val="00D74FEC"/>
    <w:rsid w:val="00D7525C"/>
    <w:rsid w:val="00D75362"/>
    <w:rsid w:val="00D75E0A"/>
    <w:rsid w:val="00D76069"/>
    <w:rsid w:val="00D76A99"/>
    <w:rsid w:val="00D76E01"/>
    <w:rsid w:val="00D770EB"/>
    <w:rsid w:val="00D812D2"/>
    <w:rsid w:val="00D81329"/>
    <w:rsid w:val="00D82408"/>
    <w:rsid w:val="00D82DC8"/>
    <w:rsid w:val="00D83B96"/>
    <w:rsid w:val="00D83DA8"/>
    <w:rsid w:val="00D83E67"/>
    <w:rsid w:val="00D84232"/>
    <w:rsid w:val="00D8423B"/>
    <w:rsid w:val="00D84322"/>
    <w:rsid w:val="00D84433"/>
    <w:rsid w:val="00D84BC8"/>
    <w:rsid w:val="00D84D3B"/>
    <w:rsid w:val="00D850AE"/>
    <w:rsid w:val="00D85732"/>
    <w:rsid w:val="00D872AC"/>
    <w:rsid w:val="00D879F2"/>
    <w:rsid w:val="00D87BFB"/>
    <w:rsid w:val="00D902E9"/>
    <w:rsid w:val="00D904FC"/>
    <w:rsid w:val="00D9096B"/>
    <w:rsid w:val="00D90FD3"/>
    <w:rsid w:val="00D91BBE"/>
    <w:rsid w:val="00D92152"/>
    <w:rsid w:val="00D928F2"/>
    <w:rsid w:val="00D92A7D"/>
    <w:rsid w:val="00D9353C"/>
    <w:rsid w:val="00D95A57"/>
    <w:rsid w:val="00D960A1"/>
    <w:rsid w:val="00D96433"/>
    <w:rsid w:val="00D9676F"/>
    <w:rsid w:val="00D96AB1"/>
    <w:rsid w:val="00D96CE0"/>
    <w:rsid w:val="00D9722F"/>
    <w:rsid w:val="00D97763"/>
    <w:rsid w:val="00D97F02"/>
    <w:rsid w:val="00DA05B3"/>
    <w:rsid w:val="00DA10D1"/>
    <w:rsid w:val="00DA1D45"/>
    <w:rsid w:val="00DA2F2E"/>
    <w:rsid w:val="00DA3274"/>
    <w:rsid w:val="00DA3B18"/>
    <w:rsid w:val="00DA4E91"/>
    <w:rsid w:val="00DA4FF8"/>
    <w:rsid w:val="00DA53DE"/>
    <w:rsid w:val="00DA5F39"/>
    <w:rsid w:val="00DA76AE"/>
    <w:rsid w:val="00DA7B9B"/>
    <w:rsid w:val="00DB00AE"/>
    <w:rsid w:val="00DB0199"/>
    <w:rsid w:val="00DB09CD"/>
    <w:rsid w:val="00DB1504"/>
    <w:rsid w:val="00DB3590"/>
    <w:rsid w:val="00DB3864"/>
    <w:rsid w:val="00DB3D37"/>
    <w:rsid w:val="00DB3D94"/>
    <w:rsid w:val="00DB4A71"/>
    <w:rsid w:val="00DB5252"/>
    <w:rsid w:val="00DB570D"/>
    <w:rsid w:val="00DB5A27"/>
    <w:rsid w:val="00DB5A86"/>
    <w:rsid w:val="00DB6085"/>
    <w:rsid w:val="00DB70D0"/>
    <w:rsid w:val="00DB7955"/>
    <w:rsid w:val="00DC0776"/>
    <w:rsid w:val="00DC08CF"/>
    <w:rsid w:val="00DC138A"/>
    <w:rsid w:val="00DC1671"/>
    <w:rsid w:val="00DC1C4E"/>
    <w:rsid w:val="00DC20C9"/>
    <w:rsid w:val="00DC334E"/>
    <w:rsid w:val="00DC4D85"/>
    <w:rsid w:val="00DC59CB"/>
    <w:rsid w:val="00DC5F27"/>
    <w:rsid w:val="00DC6C54"/>
    <w:rsid w:val="00DC7D6E"/>
    <w:rsid w:val="00DD0567"/>
    <w:rsid w:val="00DD1021"/>
    <w:rsid w:val="00DD1902"/>
    <w:rsid w:val="00DD1CF4"/>
    <w:rsid w:val="00DD261A"/>
    <w:rsid w:val="00DD2C41"/>
    <w:rsid w:val="00DD2C9D"/>
    <w:rsid w:val="00DD2F72"/>
    <w:rsid w:val="00DD3EE0"/>
    <w:rsid w:val="00DD4735"/>
    <w:rsid w:val="00DD4BF9"/>
    <w:rsid w:val="00DD4F48"/>
    <w:rsid w:val="00DD5254"/>
    <w:rsid w:val="00DD5BA8"/>
    <w:rsid w:val="00DD5BD3"/>
    <w:rsid w:val="00DD5F25"/>
    <w:rsid w:val="00DD6E89"/>
    <w:rsid w:val="00DD7A1E"/>
    <w:rsid w:val="00DD7FD5"/>
    <w:rsid w:val="00DE1CE2"/>
    <w:rsid w:val="00DE2CF8"/>
    <w:rsid w:val="00DE2EEF"/>
    <w:rsid w:val="00DE32F4"/>
    <w:rsid w:val="00DE3960"/>
    <w:rsid w:val="00DE3D70"/>
    <w:rsid w:val="00DE4DE6"/>
    <w:rsid w:val="00DE510D"/>
    <w:rsid w:val="00DE55A3"/>
    <w:rsid w:val="00DE55C2"/>
    <w:rsid w:val="00DE5EFE"/>
    <w:rsid w:val="00DE6687"/>
    <w:rsid w:val="00DE7843"/>
    <w:rsid w:val="00DF043F"/>
    <w:rsid w:val="00DF0A32"/>
    <w:rsid w:val="00DF1F61"/>
    <w:rsid w:val="00DF20B2"/>
    <w:rsid w:val="00DF2704"/>
    <w:rsid w:val="00DF3174"/>
    <w:rsid w:val="00DF3BFD"/>
    <w:rsid w:val="00DF4D1D"/>
    <w:rsid w:val="00DF4ED2"/>
    <w:rsid w:val="00DF619D"/>
    <w:rsid w:val="00DF631D"/>
    <w:rsid w:val="00DF6FA8"/>
    <w:rsid w:val="00DF74D8"/>
    <w:rsid w:val="00DF7A71"/>
    <w:rsid w:val="00E002AD"/>
    <w:rsid w:val="00E00C89"/>
    <w:rsid w:val="00E02056"/>
    <w:rsid w:val="00E04BAC"/>
    <w:rsid w:val="00E05B54"/>
    <w:rsid w:val="00E06ADC"/>
    <w:rsid w:val="00E109BB"/>
    <w:rsid w:val="00E113E8"/>
    <w:rsid w:val="00E1180A"/>
    <w:rsid w:val="00E1183D"/>
    <w:rsid w:val="00E11D72"/>
    <w:rsid w:val="00E1305E"/>
    <w:rsid w:val="00E15DEF"/>
    <w:rsid w:val="00E15E1B"/>
    <w:rsid w:val="00E16AD0"/>
    <w:rsid w:val="00E16CA9"/>
    <w:rsid w:val="00E17472"/>
    <w:rsid w:val="00E2010A"/>
    <w:rsid w:val="00E21081"/>
    <w:rsid w:val="00E211FE"/>
    <w:rsid w:val="00E218D8"/>
    <w:rsid w:val="00E22C22"/>
    <w:rsid w:val="00E23376"/>
    <w:rsid w:val="00E2364F"/>
    <w:rsid w:val="00E23E14"/>
    <w:rsid w:val="00E243C7"/>
    <w:rsid w:val="00E2546D"/>
    <w:rsid w:val="00E279F9"/>
    <w:rsid w:val="00E33CC6"/>
    <w:rsid w:val="00E33EB4"/>
    <w:rsid w:val="00E34CC4"/>
    <w:rsid w:val="00E35B16"/>
    <w:rsid w:val="00E3602D"/>
    <w:rsid w:val="00E37CD9"/>
    <w:rsid w:val="00E37D38"/>
    <w:rsid w:val="00E40699"/>
    <w:rsid w:val="00E409FC"/>
    <w:rsid w:val="00E40D20"/>
    <w:rsid w:val="00E40D7E"/>
    <w:rsid w:val="00E40F59"/>
    <w:rsid w:val="00E4103A"/>
    <w:rsid w:val="00E435CD"/>
    <w:rsid w:val="00E436C3"/>
    <w:rsid w:val="00E43D2D"/>
    <w:rsid w:val="00E44183"/>
    <w:rsid w:val="00E454F0"/>
    <w:rsid w:val="00E45B6A"/>
    <w:rsid w:val="00E46269"/>
    <w:rsid w:val="00E46651"/>
    <w:rsid w:val="00E47977"/>
    <w:rsid w:val="00E507F5"/>
    <w:rsid w:val="00E50CE5"/>
    <w:rsid w:val="00E51418"/>
    <w:rsid w:val="00E515A2"/>
    <w:rsid w:val="00E51A58"/>
    <w:rsid w:val="00E5385B"/>
    <w:rsid w:val="00E542F7"/>
    <w:rsid w:val="00E54333"/>
    <w:rsid w:val="00E54A70"/>
    <w:rsid w:val="00E5652B"/>
    <w:rsid w:val="00E566C0"/>
    <w:rsid w:val="00E56A6F"/>
    <w:rsid w:val="00E56CDD"/>
    <w:rsid w:val="00E57A64"/>
    <w:rsid w:val="00E57B9E"/>
    <w:rsid w:val="00E60F20"/>
    <w:rsid w:val="00E60F79"/>
    <w:rsid w:val="00E60FFD"/>
    <w:rsid w:val="00E61BE1"/>
    <w:rsid w:val="00E61C09"/>
    <w:rsid w:val="00E624EA"/>
    <w:rsid w:val="00E6312D"/>
    <w:rsid w:val="00E6392C"/>
    <w:rsid w:val="00E64D52"/>
    <w:rsid w:val="00E650FA"/>
    <w:rsid w:val="00E65647"/>
    <w:rsid w:val="00E663C4"/>
    <w:rsid w:val="00E66655"/>
    <w:rsid w:val="00E66CBC"/>
    <w:rsid w:val="00E671BC"/>
    <w:rsid w:val="00E67605"/>
    <w:rsid w:val="00E679CA"/>
    <w:rsid w:val="00E7019E"/>
    <w:rsid w:val="00E70B66"/>
    <w:rsid w:val="00E70CAB"/>
    <w:rsid w:val="00E71244"/>
    <w:rsid w:val="00E71D25"/>
    <w:rsid w:val="00E71EF7"/>
    <w:rsid w:val="00E72C34"/>
    <w:rsid w:val="00E730D2"/>
    <w:rsid w:val="00E73492"/>
    <w:rsid w:val="00E734DF"/>
    <w:rsid w:val="00E73501"/>
    <w:rsid w:val="00E7452A"/>
    <w:rsid w:val="00E74965"/>
    <w:rsid w:val="00E74E50"/>
    <w:rsid w:val="00E75D5E"/>
    <w:rsid w:val="00E760B4"/>
    <w:rsid w:val="00E761CA"/>
    <w:rsid w:val="00E762BE"/>
    <w:rsid w:val="00E76335"/>
    <w:rsid w:val="00E7669E"/>
    <w:rsid w:val="00E76F24"/>
    <w:rsid w:val="00E7707B"/>
    <w:rsid w:val="00E771CC"/>
    <w:rsid w:val="00E8035A"/>
    <w:rsid w:val="00E80822"/>
    <w:rsid w:val="00E80CA2"/>
    <w:rsid w:val="00E811F1"/>
    <w:rsid w:val="00E817B2"/>
    <w:rsid w:val="00E82394"/>
    <w:rsid w:val="00E824B4"/>
    <w:rsid w:val="00E82AB3"/>
    <w:rsid w:val="00E839EF"/>
    <w:rsid w:val="00E83A1A"/>
    <w:rsid w:val="00E83CDD"/>
    <w:rsid w:val="00E84091"/>
    <w:rsid w:val="00E843FE"/>
    <w:rsid w:val="00E84569"/>
    <w:rsid w:val="00E84DB0"/>
    <w:rsid w:val="00E84FD7"/>
    <w:rsid w:val="00E85334"/>
    <w:rsid w:val="00E85450"/>
    <w:rsid w:val="00E8595F"/>
    <w:rsid w:val="00E85C5C"/>
    <w:rsid w:val="00E86CCD"/>
    <w:rsid w:val="00E87ACA"/>
    <w:rsid w:val="00E9007F"/>
    <w:rsid w:val="00E90670"/>
    <w:rsid w:val="00E90ED5"/>
    <w:rsid w:val="00E91A21"/>
    <w:rsid w:val="00E91DE0"/>
    <w:rsid w:val="00E92C00"/>
    <w:rsid w:val="00E92C3F"/>
    <w:rsid w:val="00E93316"/>
    <w:rsid w:val="00E93617"/>
    <w:rsid w:val="00E93B68"/>
    <w:rsid w:val="00E93CF7"/>
    <w:rsid w:val="00E9422E"/>
    <w:rsid w:val="00E94453"/>
    <w:rsid w:val="00E947C2"/>
    <w:rsid w:val="00E94B27"/>
    <w:rsid w:val="00E9580B"/>
    <w:rsid w:val="00E95E59"/>
    <w:rsid w:val="00E967A9"/>
    <w:rsid w:val="00E9710B"/>
    <w:rsid w:val="00E9793A"/>
    <w:rsid w:val="00EA020A"/>
    <w:rsid w:val="00EA032A"/>
    <w:rsid w:val="00EA0797"/>
    <w:rsid w:val="00EA0EA7"/>
    <w:rsid w:val="00EA10E7"/>
    <w:rsid w:val="00EA1646"/>
    <w:rsid w:val="00EA2300"/>
    <w:rsid w:val="00EA2374"/>
    <w:rsid w:val="00EA3041"/>
    <w:rsid w:val="00EA32EB"/>
    <w:rsid w:val="00EA375E"/>
    <w:rsid w:val="00EA4148"/>
    <w:rsid w:val="00EA46E9"/>
    <w:rsid w:val="00EA48E3"/>
    <w:rsid w:val="00EA4A62"/>
    <w:rsid w:val="00EA4B6C"/>
    <w:rsid w:val="00EA5616"/>
    <w:rsid w:val="00EA581F"/>
    <w:rsid w:val="00EA59CB"/>
    <w:rsid w:val="00EA5BB7"/>
    <w:rsid w:val="00EA662B"/>
    <w:rsid w:val="00EB0259"/>
    <w:rsid w:val="00EB293B"/>
    <w:rsid w:val="00EB298C"/>
    <w:rsid w:val="00EB360A"/>
    <w:rsid w:val="00EB4694"/>
    <w:rsid w:val="00EB4C26"/>
    <w:rsid w:val="00EB50B1"/>
    <w:rsid w:val="00EB51C9"/>
    <w:rsid w:val="00EB6459"/>
    <w:rsid w:val="00EB72A7"/>
    <w:rsid w:val="00EC0305"/>
    <w:rsid w:val="00EC04DD"/>
    <w:rsid w:val="00EC0F5E"/>
    <w:rsid w:val="00EC1C2C"/>
    <w:rsid w:val="00EC3E64"/>
    <w:rsid w:val="00EC45D2"/>
    <w:rsid w:val="00EC47E9"/>
    <w:rsid w:val="00EC4C6B"/>
    <w:rsid w:val="00EC5821"/>
    <w:rsid w:val="00EC5AE4"/>
    <w:rsid w:val="00EC61B7"/>
    <w:rsid w:val="00EC6212"/>
    <w:rsid w:val="00EC6BA6"/>
    <w:rsid w:val="00EC720D"/>
    <w:rsid w:val="00ED1653"/>
    <w:rsid w:val="00ED177B"/>
    <w:rsid w:val="00ED1CC3"/>
    <w:rsid w:val="00ED1CD7"/>
    <w:rsid w:val="00ED2078"/>
    <w:rsid w:val="00ED264D"/>
    <w:rsid w:val="00ED2D92"/>
    <w:rsid w:val="00ED42F3"/>
    <w:rsid w:val="00ED5A7A"/>
    <w:rsid w:val="00ED646E"/>
    <w:rsid w:val="00ED7120"/>
    <w:rsid w:val="00ED7D6B"/>
    <w:rsid w:val="00ED7FE7"/>
    <w:rsid w:val="00EE130A"/>
    <w:rsid w:val="00EE1764"/>
    <w:rsid w:val="00EE205A"/>
    <w:rsid w:val="00EE2190"/>
    <w:rsid w:val="00EE26D4"/>
    <w:rsid w:val="00EE2D15"/>
    <w:rsid w:val="00EE2EE1"/>
    <w:rsid w:val="00EE33B9"/>
    <w:rsid w:val="00EE33EB"/>
    <w:rsid w:val="00EE5B7C"/>
    <w:rsid w:val="00EE5F1B"/>
    <w:rsid w:val="00EE60D6"/>
    <w:rsid w:val="00EE6493"/>
    <w:rsid w:val="00EE6C1E"/>
    <w:rsid w:val="00EE6CD2"/>
    <w:rsid w:val="00EE7029"/>
    <w:rsid w:val="00EE778C"/>
    <w:rsid w:val="00EE7862"/>
    <w:rsid w:val="00EE7E80"/>
    <w:rsid w:val="00EF01EE"/>
    <w:rsid w:val="00EF1A8C"/>
    <w:rsid w:val="00EF2398"/>
    <w:rsid w:val="00EF2897"/>
    <w:rsid w:val="00EF34EC"/>
    <w:rsid w:val="00EF3A64"/>
    <w:rsid w:val="00EF421C"/>
    <w:rsid w:val="00EF4631"/>
    <w:rsid w:val="00EF4782"/>
    <w:rsid w:val="00EF4801"/>
    <w:rsid w:val="00EF4CE4"/>
    <w:rsid w:val="00EF4EBF"/>
    <w:rsid w:val="00EF53CF"/>
    <w:rsid w:val="00EF5532"/>
    <w:rsid w:val="00EF59FE"/>
    <w:rsid w:val="00EF6017"/>
    <w:rsid w:val="00EF6AC0"/>
    <w:rsid w:val="00EF74C4"/>
    <w:rsid w:val="00EF7829"/>
    <w:rsid w:val="00F00E27"/>
    <w:rsid w:val="00F00EA4"/>
    <w:rsid w:val="00F01164"/>
    <w:rsid w:val="00F01309"/>
    <w:rsid w:val="00F0193A"/>
    <w:rsid w:val="00F01E4C"/>
    <w:rsid w:val="00F024C0"/>
    <w:rsid w:val="00F02576"/>
    <w:rsid w:val="00F025EF"/>
    <w:rsid w:val="00F031C7"/>
    <w:rsid w:val="00F03265"/>
    <w:rsid w:val="00F0429B"/>
    <w:rsid w:val="00F04B52"/>
    <w:rsid w:val="00F05511"/>
    <w:rsid w:val="00F05BEA"/>
    <w:rsid w:val="00F05E65"/>
    <w:rsid w:val="00F05F21"/>
    <w:rsid w:val="00F05FBC"/>
    <w:rsid w:val="00F06F49"/>
    <w:rsid w:val="00F07001"/>
    <w:rsid w:val="00F0743C"/>
    <w:rsid w:val="00F07613"/>
    <w:rsid w:val="00F07B6D"/>
    <w:rsid w:val="00F07BD6"/>
    <w:rsid w:val="00F109E8"/>
    <w:rsid w:val="00F10D2B"/>
    <w:rsid w:val="00F12237"/>
    <w:rsid w:val="00F135D8"/>
    <w:rsid w:val="00F14779"/>
    <w:rsid w:val="00F151E4"/>
    <w:rsid w:val="00F15278"/>
    <w:rsid w:val="00F152FC"/>
    <w:rsid w:val="00F16DCC"/>
    <w:rsid w:val="00F16F83"/>
    <w:rsid w:val="00F17247"/>
    <w:rsid w:val="00F178A4"/>
    <w:rsid w:val="00F203A0"/>
    <w:rsid w:val="00F207ED"/>
    <w:rsid w:val="00F20D80"/>
    <w:rsid w:val="00F2119A"/>
    <w:rsid w:val="00F22057"/>
    <w:rsid w:val="00F22756"/>
    <w:rsid w:val="00F22DEA"/>
    <w:rsid w:val="00F25407"/>
    <w:rsid w:val="00F25CF9"/>
    <w:rsid w:val="00F26187"/>
    <w:rsid w:val="00F26247"/>
    <w:rsid w:val="00F262C5"/>
    <w:rsid w:val="00F26CEC"/>
    <w:rsid w:val="00F26E3F"/>
    <w:rsid w:val="00F26EB6"/>
    <w:rsid w:val="00F273D1"/>
    <w:rsid w:val="00F273E7"/>
    <w:rsid w:val="00F2758C"/>
    <w:rsid w:val="00F3031C"/>
    <w:rsid w:val="00F30F8F"/>
    <w:rsid w:val="00F31C17"/>
    <w:rsid w:val="00F31E59"/>
    <w:rsid w:val="00F32816"/>
    <w:rsid w:val="00F3298D"/>
    <w:rsid w:val="00F3302F"/>
    <w:rsid w:val="00F338EB"/>
    <w:rsid w:val="00F34922"/>
    <w:rsid w:val="00F34F4A"/>
    <w:rsid w:val="00F35030"/>
    <w:rsid w:val="00F352EB"/>
    <w:rsid w:val="00F3558D"/>
    <w:rsid w:val="00F35BDD"/>
    <w:rsid w:val="00F35DAA"/>
    <w:rsid w:val="00F36061"/>
    <w:rsid w:val="00F3633C"/>
    <w:rsid w:val="00F36BA4"/>
    <w:rsid w:val="00F371CD"/>
    <w:rsid w:val="00F37B3D"/>
    <w:rsid w:val="00F40AB6"/>
    <w:rsid w:val="00F40CAD"/>
    <w:rsid w:val="00F412C3"/>
    <w:rsid w:val="00F4180E"/>
    <w:rsid w:val="00F419C3"/>
    <w:rsid w:val="00F41E3D"/>
    <w:rsid w:val="00F4371D"/>
    <w:rsid w:val="00F453BD"/>
    <w:rsid w:val="00F453E4"/>
    <w:rsid w:val="00F4540C"/>
    <w:rsid w:val="00F4547B"/>
    <w:rsid w:val="00F46D06"/>
    <w:rsid w:val="00F479B1"/>
    <w:rsid w:val="00F5074E"/>
    <w:rsid w:val="00F507A5"/>
    <w:rsid w:val="00F50FFA"/>
    <w:rsid w:val="00F51652"/>
    <w:rsid w:val="00F524A4"/>
    <w:rsid w:val="00F52FC8"/>
    <w:rsid w:val="00F53C95"/>
    <w:rsid w:val="00F53DEF"/>
    <w:rsid w:val="00F548F0"/>
    <w:rsid w:val="00F54D63"/>
    <w:rsid w:val="00F60F68"/>
    <w:rsid w:val="00F61835"/>
    <w:rsid w:val="00F62A25"/>
    <w:rsid w:val="00F63ADA"/>
    <w:rsid w:val="00F63D56"/>
    <w:rsid w:val="00F643A3"/>
    <w:rsid w:val="00F64AA6"/>
    <w:rsid w:val="00F65CAC"/>
    <w:rsid w:val="00F66E57"/>
    <w:rsid w:val="00F67F1F"/>
    <w:rsid w:val="00F712D9"/>
    <w:rsid w:val="00F71323"/>
    <w:rsid w:val="00F719E0"/>
    <w:rsid w:val="00F723D6"/>
    <w:rsid w:val="00F72EEE"/>
    <w:rsid w:val="00F73412"/>
    <w:rsid w:val="00F756CA"/>
    <w:rsid w:val="00F75E55"/>
    <w:rsid w:val="00F765F5"/>
    <w:rsid w:val="00F77696"/>
    <w:rsid w:val="00F80460"/>
    <w:rsid w:val="00F80ABA"/>
    <w:rsid w:val="00F815D5"/>
    <w:rsid w:val="00F82FD9"/>
    <w:rsid w:val="00F83301"/>
    <w:rsid w:val="00F835AE"/>
    <w:rsid w:val="00F83604"/>
    <w:rsid w:val="00F837DB"/>
    <w:rsid w:val="00F83B70"/>
    <w:rsid w:val="00F844B0"/>
    <w:rsid w:val="00F845AA"/>
    <w:rsid w:val="00F85821"/>
    <w:rsid w:val="00F859B3"/>
    <w:rsid w:val="00F862D8"/>
    <w:rsid w:val="00F8657B"/>
    <w:rsid w:val="00F90523"/>
    <w:rsid w:val="00F91304"/>
    <w:rsid w:val="00F91433"/>
    <w:rsid w:val="00F9155F"/>
    <w:rsid w:val="00F9194F"/>
    <w:rsid w:val="00F92845"/>
    <w:rsid w:val="00F92E73"/>
    <w:rsid w:val="00F9382B"/>
    <w:rsid w:val="00F93937"/>
    <w:rsid w:val="00F944F6"/>
    <w:rsid w:val="00F95D5A"/>
    <w:rsid w:val="00F96590"/>
    <w:rsid w:val="00F977F2"/>
    <w:rsid w:val="00F97963"/>
    <w:rsid w:val="00F979C5"/>
    <w:rsid w:val="00F97A1D"/>
    <w:rsid w:val="00FA13F7"/>
    <w:rsid w:val="00FA201B"/>
    <w:rsid w:val="00FA28BE"/>
    <w:rsid w:val="00FA2A6B"/>
    <w:rsid w:val="00FA2AFC"/>
    <w:rsid w:val="00FA3D53"/>
    <w:rsid w:val="00FA4431"/>
    <w:rsid w:val="00FA4B47"/>
    <w:rsid w:val="00FA4CDE"/>
    <w:rsid w:val="00FA532F"/>
    <w:rsid w:val="00FA704D"/>
    <w:rsid w:val="00FA7693"/>
    <w:rsid w:val="00FB02A9"/>
    <w:rsid w:val="00FB1489"/>
    <w:rsid w:val="00FB1C2C"/>
    <w:rsid w:val="00FB1D73"/>
    <w:rsid w:val="00FB1F58"/>
    <w:rsid w:val="00FB2051"/>
    <w:rsid w:val="00FB2337"/>
    <w:rsid w:val="00FB25E5"/>
    <w:rsid w:val="00FB4D08"/>
    <w:rsid w:val="00FB57D2"/>
    <w:rsid w:val="00FB5FFC"/>
    <w:rsid w:val="00FB61FD"/>
    <w:rsid w:val="00FB6CEA"/>
    <w:rsid w:val="00FC0930"/>
    <w:rsid w:val="00FC39D0"/>
    <w:rsid w:val="00FC450B"/>
    <w:rsid w:val="00FC6C62"/>
    <w:rsid w:val="00FC7A6C"/>
    <w:rsid w:val="00FC7AA3"/>
    <w:rsid w:val="00FC7CCB"/>
    <w:rsid w:val="00FD037B"/>
    <w:rsid w:val="00FD06A7"/>
    <w:rsid w:val="00FD07EE"/>
    <w:rsid w:val="00FD0ABC"/>
    <w:rsid w:val="00FD14C9"/>
    <w:rsid w:val="00FD2552"/>
    <w:rsid w:val="00FD3896"/>
    <w:rsid w:val="00FD3DEE"/>
    <w:rsid w:val="00FD4456"/>
    <w:rsid w:val="00FD590B"/>
    <w:rsid w:val="00FD67F5"/>
    <w:rsid w:val="00FD6E64"/>
    <w:rsid w:val="00FD6EC3"/>
    <w:rsid w:val="00FD7244"/>
    <w:rsid w:val="00FD793F"/>
    <w:rsid w:val="00FD7D47"/>
    <w:rsid w:val="00FD7E2D"/>
    <w:rsid w:val="00FE009E"/>
    <w:rsid w:val="00FE0619"/>
    <w:rsid w:val="00FE0E96"/>
    <w:rsid w:val="00FE28C6"/>
    <w:rsid w:val="00FE2DF9"/>
    <w:rsid w:val="00FE2F75"/>
    <w:rsid w:val="00FE340B"/>
    <w:rsid w:val="00FE3728"/>
    <w:rsid w:val="00FE403E"/>
    <w:rsid w:val="00FE5266"/>
    <w:rsid w:val="00FE5973"/>
    <w:rsid w:val="00FE6108"/>
    <w:rsid w:val="00FE6270"/>
    <w:rsid w:val="00FE69E5"/>
    <w:rsid w:val="00FF047E"/>
    <w:rsid w:val="00FF08FC"/>
    <w:rsid w:val="00FF12E9"/>
    <w:rsid w:val="00FF158E"/>
    <w:rsid w:val="00FF297B"/>
    <w:rsid w:val="00FF301F"/>
    <w:rsid w:val="00FF33BF"/>
    <w:rsid w:val="00FF481B"/>
    <w:rsid w:val="00FF4847"/>
    <w:rsid w:val="00FF4FC5"/>
    <w:rsid w:val="00FF503F"/>
    <w:rsid w:val="00FF592F"/>
    <w:rsid w:val="00FF7790"/>
    <w:rsid w:val="00FF7C19"/>
    <w:rsid w:val="00FF7D33"/>
    <w:rsid w:val="00FF7F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68D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qFormat="1"/>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3"/>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3"/>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3"/>
      </w:numPr>
      <w:spacing w:before="0" w:after="0"/>
    </w:pPr>
    <w:rPr>
      <w:b/>
    </w:rPr>
  </w:style>
  <w:style w:type="paragraph" w:customStyle="1" w:styleId="dotpoint">
    <w:name w:val="dot point"/>
    <w:basedOn w:val="Normal"/>
    <w:qFormat/>
    <w:rsid w:val="00E56A6F"/>
    <w:pPr>
      <w:numPr>
        <w:numId w:val="6"/>
      </w:numPr>
    </w:pPr>
  </w:style>
  <w:style w:type="paragraph" w:customStyle="1" w:styleId="dotpoint2">
    <w:name w:val="dot point 2"/>
    <w:basedOn w:val="Normal"/>
    <w:qFormat/>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3"/>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3"/>
      </w:numPr>
      <w:tabs>
        <w:tab w:val="num" w:pos="360"/>
      </w:tabs>
      <w:ind w:left="1844"/>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aliases w:val="b,b1,b + line,level 1,Body,Bullet + line"/>
    <w:basedOn w:val="Normal"/>
    <w:link w:val="BulletChar"/>
    <w:qFormat/>
    <w:rsid w:val="00A77951"/>
    <w:pPr>
      <w:numPr>
        <w:numId w:val="22"/>
      </w:numPr>
    </w:pPr>
  </w:style>
  <w:style w:type="character" w:customStyle="1" w:styleId="BulletChar">
    <w:name w:val="Bullet Char"/>
    <w:aliases w:val="b Char,b + line Char Char,b Char Char,b1 Char,b + line Char,Body Char,level 1 Char"/>
    <w:basedOn w:val="base-text-paragraphChar"/>
    <w:link w:val="Bullet"/>
    <w:rsid w:val="00A77951"/>
    <w:rPr>
      <w:rFonts w:ascii="Times New Roman" w:eastAsia="Times New Roman" w:hAnsi="Times New Roman" w:cs="Times New Roman"/>
      <w:szCs w:val="20"/>
      <w:lang w:eastAsia="en-AU"/>
    </w:rPr>
  </w:style>
  <w:style w:type="paragraph" w:customStyle="1" w:styleId="Dash">
    <w:name w:val="Dash"/>
    <w:basedOn w:val="Normal"/>
    <w:link w:val="DashChar"/>
    <w:qFormat/>
    <w:rsid w:val="00A77951"/>
    <w:pPr>
      <w:numPr>
        <w:ilvl w:val="1"/>
        <w:numId w:val="22"/>
      </w:numPr>
    </w:pPr>
  </w:style>
  <w:style w:type="character" w:customStyle="1" w:styleId="DashChar">
    <w:name w:val="Dash Char"/>
    <w:basedOn w:val="base-text-paragraphChar"/>
    <w:link w:val="Dash"/>
    <w:rsid w:val="00A77951"/>
    <w:rPr>
      <w:rFonts w:ascii="Times New Roman" w:eastAsia="Times New Roman" w:hAnsi="Times New Roman" w:cs="Times New Roman"/>
      <w:szCs w:val="20"/>
      <w:lang w:eastAsia="en-AU"/>
    </w:rPr>
  </w:style>
  <w:style w:type="paragraph" w:customStyle="1" w:styleId="DoubleDot">
    <w:name w:val="Double Dot"/>
    <w:basedOn w:val="Normal"/>
    <w:link w:val="DoubleDotChar"/>
    <w:qFormat/>
    <w:rsid w:val="00A77951"/>
    <w:pPr>
      <w:numPr>
        <w:ilvl w:val="2"/>
        <w:numId w:val="22"/>
      </w:numPr>
    </w:pPr>
  </w:style>
  <w:style w:type="character" w:customStyle="1" w:styleId="DoubleDotChar">
    <w:name w:val="Double Dot Char"/>
    <w:basedOn w:val="base-text-paragraphChar"/>
    <w:link w:val="DoubleDot"/>
    <w:rsid w:val="00A77951"/>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830DBD"/>
    <w:rPr>
      <w:sz w:val="16"/>
      <w:szCs w:val="16"/>
    </w:rPr>
  </w:style>
  <w:style w:type="paragraph" w:styleId="CommentText">
    <w:name w:val="annotation text"/>
    <w:basedOn w:val="Normal"/>
    <w:link w:val="CommentTextChar"/>
    <w:uiPriority w:val="99"/>
    <w:unhideWhenUsed/>
    <w:rsid w:val="00830DBD"/>
    <w:rPr>
      <w:sz w:val="20"/>
    </w:rPr>
  </w:style>
  <w:style w:type="character" w:customStyle="1" w:styleId="CommentTextChar">
    <w:name w:val="Comment Text Char"/>
    <w:basedOn w:val="DefaultParagraphFont"/>
    <w:link w:val="CommentText"/>
    <w:uiPriority w:val="99"/>
    <w:rsid w:val="00830DB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30DBD"/>
    <w:rPr>
      <w:b/>
      <w:bCs/>
    </w:rPr>
  </w:style>
  <w:style w:type="character" w:customStyle="1" w:styleId="CommentSubjectChar">
    <w:name w:val="Comment Subject Char"/>
    <w:basedOn w:val="CommentTextChar"/>
    <w:link w:val="CommentSubject"/>
    <w:uiPriority w:val="99"/>
    <w:semiHidden/>
    <w:rsid w:val="00830DB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30DB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DBD"/>
    <w:rPr>
      <w:rFonts w:ascii="Tahoma" w:eastAsia="Times New Roman" w:hAnsi="Tahoma" w:cs="Tahoma"/>
      <w:sz w:val="16"/>
      <w:szCs w:val="16"/>
      <w:lang w:eastAsia="en-AU"/>
    </w:rPr>
  </w:style>
  <w:style w:type="character" w:styleId="FootnoteReference">
    <w:name w:val="footnote reference"/>
    <w:basedOn w:val="DefaultParagraphFont"/>
    <w:unhideWhenUsed/>
    <w:rsid w:val="0093246D"/>
    <w:rPr>
      <w:vertAlign w:val="superscript"/>
    </w:rPr>
  </w:style>
  <w:style w:type="paragraph" w:customStyle="1" w:styleId="paragraphsub">
    <w:name w:val="paragraph(sub)"/>
    <w:aliases w:val="aa"/>
    <w:basedOn w:val="Normal"/>
    <w:rsid w:val="00EA48E3"/>
    <w:pPr>
      <w:tabs>
        <w:tab w:val="right" w:pos="1985"/>
      </w:tabs>
      <w:spacing w:before="40" w:after="0"/>
      <w:ind w:left="2098" w:hanging="2098"/>
    </w:pPr>
  </w:style>
  <w:style w:type="character" w:customStyle="1" w:styleId="paragraphChar">
    <w:name w:val="paragraph Char"/>
    <w:aliases w:val="a Char"/>
    <w:link w:val="paragraph"/>
    <w:locked/>
    <w:rsid w:val="00135A9B"/>
    <w:rPr>
      <w:rFonts w:ascii="Times New Roman" w:eastAsia="Times New Roman" w:hAnsi="Times New Roman" w:cs="Times New Roman"/>
    </w:rPr>
  </w:style>
  <w:style w:type="paragraph" w:customStyle="1" w:styleId="paragraph">
    <w:name w:val="paragraph"/>
    <w:aliases w:val="a"/>
    <w:basedOn w:val="Normal"/>
    <w:link w:val="paragraphChar"/>
    <w:rsid w:val="00135A9B"/>
    <w:pPr>
      <w:tabs>
        <w:tab w:val="right" w:pos="1531"/>
      </w:tabs>
      <w:spacing w:before="40" w:after="0"/>
      <w:ind w:left="1644" w:hanging="1644"/>
    </w:pPr>
    <w:rPr>
      <w:szCs w:val="22"/>
      <w:lang w:eastAsia="en-US"/>
    </w:rPr>
  </w:style>
  <w:style w:type="paragraph" w:styleId="Revision">
    <w:name w:val="Revision"/>
    <w:hidden/>
    <w:uiPriority w:val="99"/>
    <w:semiHidden/>
    <w:rsid w:val="00BA2D46"/>
    <w:pPr>
      <w:spacing w:after="0" w:line="240" w:lineRule="auto"/>
    </w:pPr>
    <w:rPr>
      <w:rFonts w:ascii="Times New Roman" w:eastAsia="Times New Roman" w:hAnsi="Times New Roman" w:cs="Times New Roman"/>
      <w:szCs w:val="20"/>
      <w:lang w:eastAsia="en-AU"/>
    </w:rPr>
  </w:style>
  <w:style w:type="table" w:styleId="LightGrid-Accent2">
    <w:name w:val="Light Grid Accent 2"/>
    <w:basedOn w:val="TableNormal"/>
    <w:uiPriority w:val="62"/>
    <w:rsid w:val="003D623B"/>
    <w:pPr>
      <w:spacing w:after="0" w:line="240" w:lineRule="auto"/>
    </w:p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SecurityClassificationHeader">
    <w:name w:val="Security Classification Header"/>
    <w:link w:val="SecurityClassificationHeaderChar"/>
    <w:rsid w:val="00204DA8"/>
    <w:pPr>
      <w:spacing w:before="240" w:after="60"/>
      <w:jc w:val="center"/>
    </w:pPr>
    <w:rPr>
      <w:rFonts w:ascii="Calibri" w:eastAsia="Times New Roman" w:hAnsi="Calibri" w:cs="Times New Roman"/>
      <w:b/>
      <w:caps/>
      <w:sz w:val="24"/>
      <w:szCs w:val="20"/>
      <w:lang w:eastAsia="en-AU"/>
    </w:rPr>
  </w:style>
  <w:style w:type="character" w:customStyle="1" w:styleId="SecurityClassificationHeaderChar">
    <w:name w:val="Security Classification Header Char"/>
    <w:basedOn w:val="HeaderChar"/>
    <w:link w:val="SecurityClassificationHeader"/>
    <w:rsid w:val="00204DA8"/>
    <w:rPr>
      <w:rFonts w:ascii="Calibri" w:eastAsia="Times New Roman" w:hAnsi="Calibri" w:cs="Times New Roman"/>
      <w:b/>
      <w:caps/>
      <w:sz w:val="24"/>
      <w:szCs w:val="20"/>
      <w:lang w:eastAsia="en-AU"/>
    </w:rPr>
  </w:style>
  <w:style w:type="paragraph" w:customStyle="1" w:styleId="SecurityClassificationFooter">
    <w:name w:val="Security Classification Footer"/>
    <w:link w:val="SecurityClassificationFooterChar"/>
    <w:rsid w:val="00204DA8"/>
    <w:pPr>
      <w:spacing w:before="60" w:after="240"/>
      <w:jc w:val="center"/>
    </w:pPr>
    <w:rPr>
      <w:rFonts w:ascii="Calibri" w:eastAsia="Times New Roman" w:hAnsi="Calibri" w:cs="Times New Roman"/>
      <w:b/>
      <w:caps/>
      <w:sz w:val="24"/>
      <w:szCs w:val="20"/>
      <w:lang w:eastAsia="en-AU"/>
    </w:rPr>
  </w:style>
  <w:style w:type="character" w:customStyle="1" w:styleId="SecurityClassificationFooterChar">
    <w:name w:val="Security Classification Footer Char"/>
    <w:basedOn w:val="HeaderChar"/>
    <w:link w:val="SecurityClassificationFooter"/>
    <w:rsid w:val="00204DA8"/>
    <w:rPr>
      <w:rFonts w:ascii="Calibri" w:eastAsia="Times New Roman" w:hAnsi="Calibri" w:cs="Times New Roman"/>
      <w:b/>
      <w:caps/>
      <w:sz w:val="24"/>
      <w:szCs w:val="20"/>
      <w:lang w:eastAsia="en-AU"/>
    </w:rPr>
  </w:style>
  <w:style w:type="paragraph" w:customStyle="1" w:styleId="DLMSecurityHeader">
    <w:name w:val="DLM Security Header"/>
    <w:link w:val="DLMSecurityHeaderChar"/>
    <w:rsid w:val="00204DA8"/>
    <w:pPr>
      <w:spacing w:before="60" w:after="240"/>
      <w:jc w:val="center"/>
    </w:pPr>
    <w:rPr>
      <w:rFonts w:ascii="Calibri" w:eastAsia="Times New Roman" w:hAnsi="Calibri" w:cs="Times New Roman"/>
      <w:b/>
      <w:caps/>
      <w:sz w:val="24"/>
      <w:szCs w:val="20"/>
      <w:lang w:eastAsia="en-AU"/>
    </w:rPr>
  </w:style>
  <w:style w:type="character" w:customStyle="1" w:styleId="DLMSecurityHeaderChar">
    <w:name w:val="DLM Security Header Char"/>
    <w:basedOn w:val="HeaderChar"/>
    <w:link w:val="DLMSecurityHeader"/>
    <w:rsid w:val="00204DA8"/>
    <w:rPr>
      <w:rFonts w:ascii="Calibri" w:eastAsia="Times New Roman" w:hAnsi="Calibri" w:cs="Times New Roman"/>
      <w:b/>
      <w:caps/>
      <w:sz w:val="24"/>
      <w:szCs w:val="20"/>
      <w:lang w:eastAsia="en-AU"/>
    </w:rPr>
  </w:style>
  <w:style w:type="paragraph" w:customStyle="1" w:styleId="DLMSecurityFooter">
    <w:name w:val="DLM Security Footer"/>
    <w:link w:val="DLMSecurityFooterChar"/>
    <w:rsid w:val="00204DA8"/>
    <w:pPr>
      <w:spacing w:before="240" w:after="60"/>
      <w:jc w:val="center"/>
    </w:pPr>
    <w:rPr>
      <w:rFonts w:ascii="Calibri" w:eastAsia="Times New Roman" w:hAnsi="Calibri" w:cs="Times New Roman"/>
      <w:b/>
      <w:caps/>
      <w:sz w:val="24"/>
      <w:szCs w:val="20"/>
      <w:lang w:eastAsia="en-AU"/>
    </w:rPr>
  </w:style>
  <w:style w:type="character" w:customStyle="1" w:styleId="DLMSecurityFooterChar">
    <w:name w:val="DLM Security Footer Char"/>
    <w:basedOn w:val="HeaderChar"/>
    <w:link w:val="DLMSecurityFooter"/>
    <w:rsid w:val="00204DA8"/>
    <w:rPr>
      <w:rFonts w:ascii="Calibri" w:eastAsia="Times New Roman" w:hAnsi="Calibri" w:cs="Times New Roman"/>
      <w:b/>
      <w:caps/>
      <w:sz w:val="24"/>
      <w:szCs w:val="20"/>
      <w:lang w:eastAsia="en-AU"/>
    </w:rPr>
  </w:style>
  <w:style w:type="paragraph" w:customStyle="1" w:styleId="Dot1">
    <w:name w:val="Dot1"/>
    <w:aliases w:val="DOT"/>
    <w:basedOn w:val="Normal"/>
    <w:link w:val="Dot1Char"/>
    <w:uiPriority w:val="2"/>
    <w:qFormat/>
    <w:rsid w:val="00E71244"/>
    <w:pPr>
      <w:numPr>
        <w:ilvl w:val="1"/>
        <w:numId w:val="42"/>
      </w:numPr>
      <w:spacing w:before="0" w:after="140" w:line="280" w:lineRule="atLeast"/>
    </w:pPr>
    <w:rPr>
      <w:rFonts w:ascii="Arial" w:hAnsi="Arial" w:cs="Arial"/>
      <w:szCs w:val="22"/>
    </w:rPr>
  </w:style>
  <w:style w:type="character" w:customStyle="1" w:styleId="Dot1Char">
    <w:name w:val="Dot1 Char"/>
    <w:aliases w:val="DOT Char"/>
    <w:basedOn w:val="DefaultParagraphFont"/>
    <w:link w:val="Dot1"/>
    <w:uiPriority w:val="2"/>
    <w:rsid w:val="00E71244"/>
    <w:rPr>
      <w:rFonts w:ascii="Arial" w:eastAsia="Times New Roman" w:hAnsi="Arial" w:cs="Arial"/>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qFormat="1"/>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3"/>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3"/>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3"/>
      </w:numPr>
      <w:spacing w:before="0" w:after="0"/>
    </w:pPr>
    <w:rPr>
      <w:b/>
    </w:rPr>
  </w:style>
  <w:style w:type="paragraph" w:customStyle="1" w:styleId="dotpoint">
    <w:name w:val="dot point"/>
    <w:basedOn w:val="Normal"/>
    <w:qFormat/>
    <w:rsid w:val="00E56A6F"/>
    <w:pPr>
      <w:numPr>
        <w:numId w:val="6"/>
      </w:numPr>
    </w:pPr>
  </w:style>
  <w:style w:type="paragraph" w:customStyle="1" w:styleId="dotpoint2">
    <w:name w:val="dot point 2"/>
    <w:basedOn w:val="Normal"/>
    <w:qFormat/>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3"/>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3"/>
      </w:numPr>
      <w:tabs>
        <w:tab w:val="num" w:pos="360"/>
      </w:tabs>
      <w:ind w:left="1844"/>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aliases w:val="b,b1,b + line,level 1,Body,Bullet + line"/>
    <w:basedOn w:val="Normal"/>
    <w:link w:val="BulletChar"/>
    <w:qFormat/>
    <w:rsid w:val="00A77951"/>
    <w:pPr>
      <w:numPr>
        <w:numId w:val="22"/>
      </w:numPr>
    </w:pPr>
  </w:style>
  <w:style w:type="character" w:customStyle="1" w:styleId="BulletChar">
    <w:name w:val="Bullet Char"/>
    <w:aliases w:val="b Char,b + line Char Char,b Char Char,b1 Char,b + line Char,Body Char,level 1 Char"/>
    <w:basedOn w:val="base-text-paragraphChar"/>
    <w:link w:val="Bullet"/>
    <w:rsid w:val="00A77951"/>
    <w:rPr>
      <w:rFonts w:ascii="Times New Roman" w:eastAsia="Times New Roman" w:hAnsi="Times New Roman" w:cs="Times New Roman"/>
      <w:szCs w:val="20"/>
      <w:lang w:eastAsia="en-AU"/>
    </w:rPr>
  </w:style>
  <w:style w:type="paragraph" w:customStyle="1" w:styleId="Dash">
    <w:name w:val="Dash"/>
    <w:basedOn w:val="Normal"/>
    <w:link w:val="DashChar"/>
    <w:qFormat/>
    <w:rsid w:val="00A77951"/>
    <w:pPr>
      <w:numPr>
        <w:ilvl w:val="1"/>
        <w:numId w:val="22"/>
      </w:numPr>
    </w:pPr>
  </w:style>
  <w:style w:type="character" w:customStyle="1" w:styleId="DashChar">
    <w:name w:val="Dash Char"/>
    <w:basedOn w:val="base-text-paragraphChar"/>
    <w:link w:val="Dash"/>
    <w:rsid w:val="00A77951"/>
    <w:rPr>
      <w:rFonts w:ascii="Times New Roman" w:eastAsia="Times New Roman" w:hAnsi="Times New Roman" w:cs="Times New Roman"/>
      <w:szCs w:val="20"/>
      <w:lang w:eastAsia="en-AU"/>
    </w:rPr>
  </w:style>
  <w:style w:type="paragraph" w:customStyle="1" w:styleId="DoubleDot">
    <w:name w:val="Double Dot"/>
    <w:basedOn w:val="Normal"/>
    <w:link w:val="DoubleDotChar"/>
    <w:qFormat/>
    <w:rsid w:val="00A77951"/>
    <w:pPr>
      <w:numPr>
        <w:ilvl w:val="2"/>
        <w:numId w:val="22"/>
      </w:numPr>
    </w:pPr>
  </w:style>
  <w:style w:type="character" w:customStyle="1" w:styleId="DoubleDotChar">
    <w:name w:val="Double Dot Char"/>
    <w:basedOn w:val="base-text-paragraphChar"/>
    <w:link w:val="DoubleDot"/>
    <w:rsid w:val="00A77951"/>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830DBD"/>
    <w:rPr>
      <w:sz w:val="16"/>
      <w:szCs w:val="16"/>
    </w:rPr>
  </w:style>
  <w:style w:type="paragraph" w:styleId="CommentText">
    <w:name w:val="annotation text"/>
    <w:basedOn w:val="Normal"/>
    <w:link w:val="CommentTextChar"/>
    <w:uiPriority w:val="99"/>
    <w:unhideWhenUsed/>
    <w:rsid w:val="00830DBD"/>
    <w:rPr>
      <w:sz w:val="20"/>
    </w:rPr>
  </w:style>
  <w:style w:type="character" w:customStyle="1" w:styleId="CommentTextChar">
    <w:name w:val="Comment Text Char"/>
    <w:basedOn w:val="DefaultParagraphFont"/>
    <w:link w:val="CommentText"/>
    <w:uiPriority w:val="99"/>
    <w:rsid w:val="00830DB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30DBD"/>
    <w:rPr>
      <w:b/>
      <w:bCs/>
    </w:rPr>
  </w:style>
  <w:style w:type="character" w:customStyle="1" w:styleId="CommentSubjectChar">
    <w:name w:val="Comment Subject Char"/>
    <w:basedOn w:val="CommentTextChar"/>
    <w:link w:val="CommentSubject"/>
    <w:uiPriority w:val="99"/>
    <w:semiHidden/>
    <w:rsid w:val="00830DB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30DB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DBD"/>
    <w:rPr>
      <w:rFonts w:ascii="Tahoma" w:eastAsia="Times New Roman" w:hAnsi="Tahoma" w:cs="Tahoma"/>
      <w:sz w:val="16"/>
      <w:szCs w:val="16"/>
      <w:lang w:eastAsia="en-AU"/>
    </w:rPr>
  </w:style>
  <w:style w:type="character" w:styleId="FootnoteReference">
    <w:name w:val="footnote reference"/>
    <w:basedOn w:val="DefaultParagraphFont"/>
    <w:unhideWhenUsed/>
    <w:rsid w:val="0093246D"/>
    <w:rPr>
      <w:vertAlign w:val="superscript"/>
    </w:rPr>
  </w:style>
  <w:style w:type="paragraph" w:customStyle="1" w:styleId="paragraphsub">
    <w:name w:val="paragraph(sub)"/>
    <w:aliases w:val="aa"/>
    <w:basedOn w:val="Normal"/>
    <w:rsid w:val="00EA48E3"/>
    <w:pPr>
      <w:tabs>
        <w:tab w:val="right" w:pos="1985"/>
      </w:tabs>
      <w:spacing w:before="40" w:after="0"/>
      <w:ind w:left="2098" w:hanging="2098"/>
    </w:pPr>
  </w:style>
  <w:style w:type="character" w:customStyle="1" w:styleId="paragraphChar">
    <w:name w:val="paragraph Char"/>
    <w:aliases w:val="a Char"/>
    <w:link w:val="paragraph"/>
    <w:locked/>
    <w:rsid w:val="00135A9B"/>
    <w:rPr>
      <w:rFonts w:ascii="Times New Roman" w:eastAsia="Times New Roman" w:hAnsi="Times New Roman" w:cs="Times New Roman"/>
    </w:rPr>
  </w:style>
  <w:style w:type="paragraph" w:customStyle="1" w:styleId="paragraph">
    <w:name w:val="paragraph"/>
    <w:aliases w:val="a"/>
    <w:basedOn w:val="Normal"/>
    <w:link w:val="paragraphChar"/>
    <w:rsid w:val="00135A9B"/>
    <w:pPr>
      <w:tabs>
        <w:tab w:val="right" w:pos="1531"/>
      </w:tabs>
      <w:spacing w:before="40" w:after="0"/>
      <w:ind w:left="1644" w:hanging="1644"/>
    </w:pPr>
    <w:rPr>
      <w:szCs w:val="22"/>
      <w:lang w:eastAsia="en-US"/>
    </w:rPr>
  </w:style>
  <w:style w:type="paragraph" w:styleId="Revision">
    <w:name w:val="Revision"/>
    <w:hidden/>
    <w:uiPriority w:val="99"/>
    <w:semiHidden/>
    <w:rsid w:val="00BA2D46"/>
    <w:pPr>
      <w:spacing w:after="0" w:line="240" w:lineRule="auto"/>
    </w:pPr>
    <w:rPr>
      <w:rFonts w:ascii="Times New Roman" w:eastAsia="Times New Roman" w:hAnsi="Times New Roman" w:cs="Times New Roman"/>
      <w:szCs w:val="20"/>
      <w:lang w:eastAsia="en-AU"/>
    </w:rPr>
  </w:style>
  <w:style w:type="table" w:styleId="LightGrid-Accent2">
    <w:name w:val="Light Grid Accent 2"/>
    <w:basedOn w:val="TableNormal"/>
    <w:uiPriority w:val="62"/>
    <w:rsid w:val="003D623B"/>
    <w:pPr>
      <w:spacing w:after="0" w:line="240" w:lineRule="auto"/>
    </w:p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SecurityClassificationHeader">
    <w:name w:val="Security Classification Header"/>
    <w:link w:val="SecurityClassificationHeaderChar"/>
    <w:rsid w:val="00204DA8"/>
    <w:pPr>
      <w:spacing w:before="240" w:after="60"/>
      <w:jc w:val="center"/>
    </w:pPr>
    <w:rPr>
      <w:rFonts w:ascii="Calibri" w:eastAsia="Times New Roman" w:hAnsi="Calibri" w:cs="Times New Roman"/>
      <w:b/>
      <w:caps/>
      <w:sz w:val="24"/>
      <w:szCs w:val="20"/>
      <w:lang w:eastAsia="en-AU"/>
    </w:rPr>
  </w:style>
  <w:style w:type="character" w:customStyle="1" w:styleId="SecurityClassificationHeaderChar">
    <w:name w:val="Security Classification Header Char"/>
    <w:basedOn w:val="HeaderChar"/>
    <w:link w:val="SecurityClassificationHeader"/>
    <w:rsid w:val="00204DA8"/>
    <w:rPr>
      <w:rFonts w:ascii="Calibri" w:eastAsia="Times New Roman" w:hAnsi="Calibri" w:cs="Times New Roman"/>
      <w:b/>
      <w:caps/>
      <w:sz w:val="24"/>
      <w:szCs w:val="20"/>
      <w:lang w:eastAsia="en-AU"/>
    </w:rPr>
  </w:style>
  <w:style w:type="paragraph" w:customStyle="1" w:styleId="SecurityClassificationFooter">
    <w:name w:val="Security Classification Footer"/>
    <w:link w:val="SecurityClassificationFooterChar"/>
    <w:rsid w:val="00204DA8"/>
    <w:pPr>
      <w:spacing w:before="60" w:after="240"/>
      <w:jc w:val="center"/>
    </w:pPr>
    <w:rPr>
      <w:rFonts w:ascii="Calibri" w:eastAsia="Times New Roman" w:hAnsi="Calibri" w:cs="Times New Roman"/>
      <w:b/>
      <w:caps/>
      <w:sz w:val="24"/>
      <w:szCs w:val="20"/>
      <w:lang w:eastAsia="en-AU"/>
    </w:rPr>
  </w:style>
  <w:style w:type="character" w:customStyle="1" w:styleId="SecurityClassificationFooterChar">
    <w:name w:val="Security Classification Footer Char"/>
    <w:basedOn w:val="HeaderChar"/>
    <w:link w:val="SecurityClassificationFooter"/>
    <w:rsid w:val="00204DA8"/>
    <w:rPr>
      <w:rFonts w:ascii="Calibri" w:eastAsia="Times New Roman" w:hAnsi="Calibri" w:cs="Times New Roman"/>
      <w:b/>
      <w:caps/>
      <w:sz w:val="24"/>
      <w:szCs w:val="20"/>
      <w:lang w:eastAsia="en-AU"/>
    </w:rPr>
  </w:style>
  <w:style w:type="paragraph" w:customStyle="1" w:styleId="DLMSecurityHeader">
    <w:name w:val="DLM Security Header"/>
    <w:link w:val="DLMSecurityHeaderChar"/>
    <w:rsid w:val="00204DA8"/>
    <w:pPr>
      <w:spacing w:before="60" w:after="240"/>
      <w:jc w:val="center"/>
    </w:pPr>
    <w:rPr>
      <w:rFonts w:ascii="Calibri" w:eastAsia="Times New Roman" w:hAnsi="Calibri" w:cs="Times New Roman"/>
      <w:b/>
      <w:caps/>
      <w:sz w:val="24"/>
      <w:szCs w:val="20"/>
      <w:lang w:eastAsia="en-AU"/>
    </w:rPr>
  </w:style>
  <w:style w:type="character" w:customStyle="1" w:styleId="DLMSecurityHeaderChar">
    <w:name w:val="DLM Security Header Char"/>
    <w:basedOn w:val="HeaderChar"/>
    <w:link w:val="DLMSecurityHeader"/>
    <w:rsid w:val="00204DA8"/>
    <w:rPr>
      <w:rFonts w:ascii="Calibri" w:eastAsia="Times New Roman" w:hAnsi="Calibri" w:cs="Times New Roman"/>
      <w:b/>
      <w:caps/>
      <w:sz w:val="24"/>
      <w:szCs w:val="20"/>
      <w:lang w:eastAsia="en-AU"/>
    </w:rPr>
  </w:style>
  <w:style w:type="paragraph" w:customStyle="1" w:styleId="DLMSecurityFooter">
    <w:name w:val="DLM Security Footer"/>
    <w:link w:val="DLMSecurityFooterChar"/>
    <w:rsid w:val="00204DA8"/>
    <w:pPr>
      <w:spacing w:before="240" w:after="60"/>
      <w:jc w:val="center"/>
    </w:pPr>
    <w:rPr>
      <w:rFonts w:ascii="Calibri" w:eastAsia="Times New Roman" w:hAnsi="Calibri" w:cs="Times New Roman"/>
      <w:b/>
      <w:caps/>
      <w:sz w:val="24"/>
      <w:szCs w:val="20"/>
      <w:lang w:eastAsia="en-AU"/>
    </w:rPr>
  </w:style>
  <w:style w:type="character" w:customStyle="1" w:styleId="DLMSecurityFooterChar">
    <w:name w:val="DLM Security Footer Char"/>
    <w:basedOn w:val="HeaderChar"/>
    <w:link w:val="DLMSecurityFooter"/>
    <w:rsid w:val="00204DA8"/>
    <w:rPr>
      <w:rFonts w:ascii="Calibri" w:eastAsia="Times New Roman" w:hAnsi="Calibri" w:cs="Times New Roman"/>
      <w:b/>
      <w:caps/>
      <w:sz w:val="24"/>
      <w:szCs w:val="20"/>
      <w:lang w:eastAsia="en-AU"/>
    </w:rPr>
  </w:style>
  <w:style w:type="paragraph" w:customStyle="1" w:styleId="Dot1">
    <w:name w:val="Dot1"/>
    <w:aliases w:val="DOT"/>
    <w:basedOn w:val="Normal"/>
    <w:link w:val="Dot1Char"/>
    <w:uiPriority w:val="2"/>
    <w:qFormat/>
    <w:rsid w:val="00E71244"/>
    <w:pPr>
      <w:numPr>
        <w:ilvl w:val="1"/>
        <w:numId w:val="42"/>
      </w:numPr>
      <w:spacing w:before="0" w:after="140" w:line="280" w:lineRule="atLeast"/>
    </w:pPr>
    <w:rPr>
      <w:rFonts w:ascii="Arial" w:hAnsi="Arial" w:cs="Arial"/>
      <w:szCs w:val="22"/>
    </w:rPr>
  </w:style>
  <w:style w:type="character" w:customStyle="1" w:styleId="Dot1Char">
    <w:name w:val="Dot1 Char"/>
    <w:aliases w:val="DOT Char"/>
    <w:basedOn w:val="DefaultParagraphFont"/>
    <w:link w:val="Dot1"/>
    <w:uiPriority w:val="2"/>
    <w:rsid w:val="00E71244"/>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750907">
      <w:bodyDiv w:val="1"/>
      <w:marLeft w:val="30"/>
      <w:marRight w:val="30"/>
      <w:marTop w:val="0"/>
      <w:marBottom w:val="0"/>
      <w:divBdr>
        <w:top w:val="none" w:sz="0" w:space="0" w:color="auto"/>
        <w:left w:val="none" w:sz="0" w:space="0" w:color="auto"/>
        <w:bottom w:val="none" w:sz="0" w:space="0" w:color="auto"/>
        <w:right w:val="none" w:sz="0" w:space="0" w:color="auto"/>
      </w:divBdr>
      <w:divsChild>
        <w:div w:id="81687311">
          <w:marLeft w:val="0"/>
          <w:marRight w:val="0"/>
          <w:marTop w:val="0"/>
          <w:marBottom w:val="0"/>
          <w:divBdr>
            <w:top w:val="none" w:sz="0" w:space="0" w:color="auto"/>
            <w:left w:val="none" w:sz="0" w:space="0" w:color="auto"/>
            <w:bottom w:val="none" w:sz="0" w:space="0" w:color="auto"/>
            <w:right w:val="none" w:sz="0" w:space="0" w:color="auto"/>
          </w:divBdr>
          <w:divsChild>
            <w:div w:id="1259099540">
              <w:marLeft w:val="0"/>
              <w:marRight w:val="0"/>
              <w:marTop w:val="0"/>
              <w:marBottom w:val="0"/>
              <w:divBdr>
                <w:top w:val="none" w:sz="0" w:space="0" w:color="auto"/>
                <w:left w:val="none" w:sz="0" w:space="0" w:color="auto"/>
                <w:bottom w:val="none" w:sz="0" w:space="0" w:color="auto"/>
                <w:right w:val="none" w:sz="0" w:space="0" w:color="auto"/>
              </w:divBdr>
            </w:div>
            <w:div w:id="847789597">
              <w:marLeft w:val="0"/>
              <w:marRight w:val="0"/>
              <w:marTop w:val="0"/>
              <w:marBottom w:val="0"/>
              <w:divBdr>
                <w:top w:val="none" w:sz="0" w:space="0" w:color="auto"/>
                <w:left w:val="none" w:sz="0" w:space="0" w:color="auto"/>
                <w:bottom w:val="none" w:sz="0" w:space="0" w:color="auto"/>
                <w:right w:val="none" w:sz="0" w:space="0" w:color="auto"/>
              </w:divBdr>
              <w:divsChild>
                <w:div w:id="1253704192">
                  <w:marLeft w:val="180"/>
                  <w:marRight w:val="0"/>
                  <w:marTop w:val="0"/>
                  <w:marBottom w:val="0"/>
                  <w:divBdr>
                    <w:top w:val="none" w:sz="0" w:space="0" w:color="auto"/>
                    <w:left w:val="none" w:sz="0" w:space="0" w:color="auto"/>
                    <w:bottom w:val="none" w:sz="0" w:space="0" w:color="auto"/>
                    <w:right w:val="none" w:sz="0" w:space="0" w:color="auto"/>
                  </w:divBdr>
                  <w:divsChild>
                    <w:div w:id="5767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05182">
      <w:bodyDiv w:val="1"/>
      <w:marLeft w:val="0"/>
      <w:marRight w:val="0"/>
      <w:marTop w:val="0"/>
      <w:marBottom w:val="0"/>
      <w:divBdr>
        <w:top w:val="none" w:sz="0" w:space="0" w:color="auto"/>
        <w:left w:val="none" w:sz="0" w:space="0" w:color="auto"/>
        <w:bottom w:val="none" w:sz="0" w:space="0" w:color="auto"/>
        <w:right w:val="none" w:sz="0" w:space="0" w:color="auto"/>
      </w:divBdr>
    </w:div>
    <w:div w:id="1145470008">
      <w:bodyDiv w:val="1"/>
      <w:marLeft w:val="0"/>
      <w:marRight w:val="0"/>
      <w:marTop w:val="0"/>
      <w:marBottom w:val="0"/>
      <w:divBdr>
        <w:top w:val="none" w:sz="0" w:space="0" w:color="auto"/>
        <w:left w:val="none" w:sz="0" w:space="0" w:color="auto"/>
        <w:bottom w:val="none" w:sz="0" w:space="0" w:color="auto"/>
        <w:right w:val="none" w:sz="0" w:space="0" w:color="auto"/>
      </w:divBdr>
    </w:div>
    <w:div w:id="201275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footer" Target="footer1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3.xm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oter" Target="footer12.xml"/><Relationship Id="rId38"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oter" Target="footer11.xml"/><Relationship Id="rId37" Type="http://schemas.openxmlformats.org/officeDocument/2006/relationships/footer" Target="footer16.xml"/><Relationship Id="rId40" Type="http://schemas.openxmlformats.org/officeDocument/2006/relationships/footer" Target="footer1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footer" Target="footer15.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4.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h\AppData\Roaming\Microsoft\Templates\NEW%20EM%20B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2018MG-93-31262</_dlc_DocId>
    <TaxCatchAll xmlns="d4dd4adf-ddb3-46a3-8d7c-fab3fb2a6bc7">
      <Value>7</Value>
    </TaxCatchAll>
    <_dlc_DocIdUrl xmlns="d4dd4adf-ddb3-46a3-8d7c-fab3fb2a6bc7">
      <Url>http://tweb/sites/mg/fsd/_layouts/15/DocIdRedir.aspx?ID=2018MG-93-31262</Url>
      <Description>2018MG-93-31262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12806" ma:contentTypeDescription=" " ma:contentTypeScope="" ma:versionID="c9833a6f4ef260e1195c58cfb19ea23c">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94F5-C95D-4D90-9E4B-E36C2C05285A}">
  <ds:schemaRefs>
    <ds:schemaRef ds:uri="http://schemas.microsoft.com/sharepoint/v3/contenttype/forms"/>
  </ds:schemaRefs>
</ds:datastoreItem>
</file>

<file path=customXml/itemProps2.xml><?xml version="1.0" encoding="utf-8"?>
<ds:datastoreItem xmlns:ds="http://schemas.openxmlformats.org/officeDocument/2006/customXml" ds:itemID="{18EC15A8-97A8-43FC-8AA9-8B5655ACD62F}">
  <ds:schemaRefs>
    <ds:schemaRef ds:uri="http://schemas.microsoft.com/office/2006/documentManagement/types"/>
    <ds:schemaRef ds:uri="http://purl.org/dc/elements/1.1/"/>
    <ds:schemaRef ds:uri="http://schemas.microsoft.com/office/2006/metadata/properties"/>
    <ds:schemaRef ds:uri="507a8a59-704d-43cf-b103-02b0cd527a9d"/>
    <ds:schemaRef ds:uri="http://schemas.microsoft.com/office/infopath/2007/PartnerControls"/>
    <ds:schemaRef ds:uri="http://schemas.openxmlformats.org/package/2006/metadata/core-properties"/>
    <ds:schemaRef ds:uri="http://purl.org/dc/dcmitype/"/>
    <ds:schemaRef ds:uri="http://purl.org/dc/terms/"/>
    <ds:schemaRef ds:uri="http://schemas.microsoft.com/sharepoint/v4"/>
    <ds:schemaRef ds:uri="9f7bc583-7cbe-45b9-a2bd-8bbb6543b37e"/>
    <ds:schemaRef ds:uri="http://schemas.microsoft.com/sharepoint/v3"/>
    <ds:schemaRef ds:uri="http://www.w3.org/XML/1998/namespace"/>
    <ds:schemaRef ds:uri="d4dd4adf-ddb3-46a3-8d7c-fab3fb2a6bc7"/>
  </ds:schemaRefs>
</ds:datastoreItem>
</file>

<file path=customXml/itemProps3.xml><?xml version="1.0" encoding="utf-8"?>
<ds:datastoreItem xmlns:ds="http://schemas.openxmlformats.org/officeDocument/2006/customXml" ds:itemID="{04A81D22-7345-4AB6-B2F1-F9DF1C2B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929C9-BF6A-4E67-86F6-77D981CBC0BB}">
  <ds:schemaRefs>
    <ds:schemaRef ds:uri="http://schemas.microsoft.com/sharepoint/events"/>
  </ds:schemaRefs>
</ds:datastoreItem>
</file>

<file path=customXml/itemProps5.xml><?xml version="1.0" encoding="utf-8"?>
<ds:datastoreItem xmlns:ds="http://schemas.openxmlformats.org/officeDocument/2006/customXml" ds:itemID="{EBFA44EB-5C17-4341-A27F-26871B5D9000}">
  <ds:schemaRefs>
    <ds:schemaRef ds:uri="http://schemas.microsoft.com/sharepoint/events"/>
  </ds:schemaRefs>
</ds:datastoreItem>
</file>

<file path=customXml/itemProps6.xml><?xml version="1.0" encoding="utf-8"?>
<ds:datastoreItem xmlns:ds="http://schemas.openxmlformats.org/officeDocument/2006/customXml" ds:itemID="{9BF433FE-E4EE-4209-A563-D241F3B498E1}">
  <ds:schemaRefs>
    <ds:schemaRef ds:uri="office.server.policy"/>
  </ds:schemaRefs>
</ds:datastoreItem>
</file>

<file path=customXml/itemProps7.xml><?xml version="1.0" encoding="utf-8"?>
<ds:datastoreItem xmlns:ds="http://schemas.openxmlformats.org/officeDocument/2006/customXml" ds:itemID="{7E3836A0-8E92-4FD4-A081-B01F5939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EM B5.dotx</Template>
  <TotalTime>343</TotalTime>
  <Pages>10</Pages>
  <Words>20163</Words>
  <Characters>109402</Characters>
  <Application>Microsoft Office Word</Application>
  <DocSecurity>0</DocSecurity>
  <Lines>2364</Lines>
  <Paragraphs>673</Paragraphs>
  <ScaleCrop>false</ScaleCrop>
  <HeadingPairs>
    <vt:vector size="2" baseType="variant">
      <vt:variant>
        <vt:lpstr>Title</vt:lpstr>
      </vt:variant>
      <vt:variant>
        <vt:i4>1</vt:i4>
      </vt:variant>
    </vt:vector>
  </HeadingPairs>
  <TitlesOfParts>
    <vt:vector size="1" baseType="lpstr">
      <vt:lpstr>Treasury Laws Amendment (Design and Distribution Obligations and Product Intervention Powers) Bill 2018</vt:lpstr>
    </vt:vector>
  </TitlesOfParts>
  <Company>Australian Government - The Treasury</Company>
  <LinksUpToDate>false</LinksUpToDate>
  <CharactersWithSpaces>129428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(Design and Distribution Obligations and Product Intervention Powers) Bill 2018</dc:title>
  <dc:subject>Exposure Draft Explanatory Memorandum</dc:subject>
  <dc:creator>The Treasury</dc:creator>
  <cp:lastModifiedBy>Hill, Christine</cp:lastModifiedBy>
  <cp:revision>156</cp:revision>
  <cp:lastPrinted>2018-07-04T10:54:00Z</cp:lastPrinted>
  <dcterms:created xsi:type="dcterms:W3CDTF">2018-07-06T05:34:00Z</dcterms:created>
  <dcterms:modified xsi:type="dcterms:W3CDTF">2018-07-19T07:48:00Z</dcterms:modified>
</cp:coreProperties>
</file>