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B1778" w14:textId="77777777" w:rsidR="00D1187D" w:rsidRDefault="00D1187D" w:rsidP="00B17774">
      <w:pPr>
        <w:pStyle w:val="Baseparagraphcentred"/>
      </w:pPr>
    </w:p>
    <w:p w14:paraId="27625B34" w14:textId="77777777" w:rsidR="00D1187D" w:rsidRDefault="00D1187D" w:rsidP="00B17774">
      <w:pPr>
        <w:pStyle w:val="Baseparagraphcentred"/>
      </w:pPr>
    </w:p>
    <w:p w14:paraId="6E97338E" w14:textId="77777777" w:rsidR="00D1187D" w:rsidRDefault="00D1187D" w:rsidP="00B17774">
      <w:pPr>
        <w:pStyle w:val="Baseparagraphcentred"/>
      </w:pPr>
    </w:p>
    <w:p w14:paraId="0C062C69" w14:textId="77777777" w:rsidR="00D1187D" w:rsidRDefault="00D1187D" w:rsidP="00B17774">
      <w:pPr>
        <w:pStyle w:val="Baseparagraphcentred"/>
      </w:pPr>
    </w:p>
    <w:p w14:paraId="01D152B8" w14:textId="77777777" w:rsidR="00D1187D" w:rsidRDefault="00D1187D" w:rsidP="00B17774">
      <w:pPr>
        <w:pStyle w:val="Baseparagraphcentred"/>
      </w:pPr>
    </w:p>
    <w:p w14:paraId="1991797D" w14:textId="77777777" w:rsidR="00D1187D" w:rsidRDefault="00D1187D" w:rsidP="00B17774">
      <w:pPr>
        <w:pStyle w:val="Baseparagraphcentred"/>
      </w:pPr>
    </w:p>
    <w:p w14:paraId="6440A1AE" w14:textId="77777777" w:rsidR="00D1187D" w:rsidRDefault="00D1187D" w:rsidP="00B17774">
      <w:pPr>
        <w:pStyle w:val="Baseparagraphcentred"/>
      </w:pPr>
    </w:p>
    <w:p w14:paraId="5120CB2A" w14:textId="77777777" w:rsidR="00D1187D" w:rsidRDefault="00D1187D" w:rsidP="00B17774">
      <w:pPr>
        <w:pStyle w:val="Baseparagraphcentred"/>
      </w:pPr>
    </w:p>
    <w:p w14:paraId="5360CCEE" w14:textId="1E878C5F" w:rsidR="00B17774" w:rsidRDefault="00B17774" w:rsidP="00B17774">
      <w:pPr>
        <w:pStyle w:val="Baseparagraphcentred"/>
      </w:pPr>
    </w:p>
    <w:p w14:paraId="5360CCEF" w14:textId="77777777" w:rsidR="00B17774" w:rsidRDefault="00B17774" w:rsidP="00B17774">
      <w:pPr>
        <w:pStyle w:val="Baseparagraphcentred"/>
      </w:pPr>
    </w:p>
    <w:p w14:paraId="564772B0" w14:textId="167FDC03" w:rsidR="00B17774" w:rsidRDefault="00185D14" w:rsidP="00E85C70">
      <w:pPr>
        <w:pStyle w:val="BillName"/>
      </w:pPr>
      <w:bookmarkStart w:id="0" w:name="BillName"/>
      <w:bookmarkEnd w:id="0"/>
      <w:r>
        <w:t xml:space="preserve">Commonwealth </w:t>
      </w:r>
      <w:r w:rsidR="0083142A">
        <w:t>R</w:t>
      </w:r>
      <w:r>
        <w:t xml:space="preserve">egisters </w:t>
      </w:r>
      <w:r w:rsidR="0083142A">
        <w:t>B</w:t>
      </w:r>
      <w:r>
        <w:t>ill 2018</w:t>
      </w:r>
      <w:r w:rsidR="00E85C70">
        <w:br/>
      </w:r>
      <w:r w:rsidR="006843DD">
        <w:t xml:space="preserve">Treasury </w:t>
      </w:r>
      <w:r w:rsidR="0083142A">
        <w:t>L</w:t>
      </w:r>
      <w:r w:rsidR="006843DD">
        <w:t xml:space="preserve">aws </w:t>
      </w:r>
      <w:r w:rsidR="0083142A">
        <w:t>A</w:t>
      </w:r>
      <w:r w:rsidR="006843DD">
        <w:t>mendment (</w:t>
      </w:r>
      <w:r w:rsidR="0083142A">
        <w:t>R</w:t>
      </w:r>
      <w:r w:rsidR="006843DD">
        <w:t xml:space="preserve">egistries </w:t>
      </w:r>
      <w:r w:rsidR="0083142A">
        <w:t>M</w:t>
      </w:r>
      <w:r w:rsidR="006843DD">
        <w:t xml:space="preserve">odernisation and </w:t>
      </w:r>
      <w:r w:rsidR="0083142A">
        <w:t>O</w:t>
      </w:r>
      <w:r w:rsidR="006843DD">
        <w:t xml:space="preserve">ther </w:t>
      </w:r>
      <w:r w:rsidR="0083142A">
        <w:t>M</w:t>
      </w:r>
      <w:r w:rsidR="006843DD">
        <w:t>easures) Bill 2018</w:t>
      </w:r>
    </w:p>
    <w:p w14:paraId="5360CCF1" w14:textId="77777777" w:rsidR="00B17774" w:rsidRDefault="00B17774" w:rsidP="00B17774">
      <w:pPr>
        <w:pStyle w:val="Baseparagraphcentred"/>
      </w:pPr>
    </w:p>
    <w:p w14:paraId="5360CCF2" w14:textId="77777777" w:rsidR="00B17774" w:rsidRDefault="00B17774" w:rsidP="00B17774">
      <w:pPr>
        <w:pStyle w:val="Baseparagraphcentred"/>
      </w:pPr>
    </w:p>
    <w:p w14:paraId="5360CCF3" w14:textId="77777777" w:rsidR="00B17774" w:rsidRDefault="00B17774" w:rsidP="00B17774">
      <w:pPr>
        <w:pStyle w:val="Baseparagraphcentred"/>
      </w:pPr>
    </w:p>
    <w:p w14:paraId="5360CCF4" w14:textId="77777777" w:rsidR="00B17774" w:rsidRDefault="00B17774" w:rsidP="00B17774">
      <w:pPr>
        <w:pStyle w:val="Baseparagraphcentred"/>
      </w:pPr>
    </w:p>
    <w:p w14:paraId="24EAF2B9" w14:textId="77777777" w:rsidR="00D1187D" w:rsidRDefault="00D1187D" w:rsidP="00B17774">
      <w:pPr>
        <w:pStyle w:val="Baseparagraphcentred"/>
      </w:pPr>
      <w:r>
        <w:t>EXPOSURE DRAFT EXPLANATORY MATERIALS</w:t>
      </w:r>
    </w:p>
    <w:p w14:paraId="5360CCF6" w14:textId="721EDC00" w:rsidR="00B17774" w:rsidRDefault="00B17774" w:rsidP="00B17774">
      <w:pPr>
        <w:pStyle w:val="Baseparagraphcentred"/>
      </w:pPr>
    </w:p>
    <w:p w14:paraId="5360CCF7" w14:textId="77777777" w:rsidR="00B17774" w:rsidRDefault="00B17774" w:rsidP="00B17774">
      <w:pPr>
        <w:pStyle w:val="Baseparagraphcentred"/>
      </w:pPr>
    </w:p>
    <w:p w14:paraId="5360CCF8" w14:textId="77777777" w:rsidR="00B17774" w:rsidRDefault="00B17774" w:rsidP="00B17774">
      <w:pPr>
        <w:pStyle w:val="Baseparagraphcentred"/>
      </w:pPr>
    </w:p>
    <w:p w14:paraId="7B646230" w14:textId="77777777" w:rsidR="00D1187D" w:rsidRDefault="00D1187D" w:rsidP="000D0F18">
      <w:pPr>
        <w:pStyle w:val="ParaCentredNoSpacing"/>
      </w:pPr>
    </w:p>
    <w:p w14:paraId="0A514255" w14:textId="77777777" w:rsidR="00D1187D" w:rsidRDefault="00D1187D" w:rsidP="00773B68">
      <w:pPr>
        <w:pStyle w:val="ParaCentredNoSpacing"/>
      </w:pPr>
    </w:p>
    <w:p w14:paraId="5722AF74" w14:textId="5517BA41" w:rsidR="00773B68" w:rsidRDefault="00773B68" w:rsidP="00773B68">
      <w:pPr>
        <w:pStyle w:val="ParaCentredNoSpacing"/>
      </w:pPr>
    </w:p>
    <w:p w14:paraId="5360CCFB" w14:textId="77777777" w:rsidR="00773B68" w:rsidRDefault="00773B68" w:rsidP="00773B68">
      <w:pPr>
        <w:pStyle w:val="ParaCentredNoSpacing"/>
      </w:pPr>
    </w:p>
    <w:p w14:paraId="5360CCFC" w14:textId="77777777" w:rsidR="00B17774" w:rsidRDefault="00B17774" w:rsidP="00B17774"/>
    <w:p w14:paraId="5360CCFD" w14:textId="77777777" w:rsidR="00813A51" w:rsidRDefault="00813A51" w:rsidP="00B17774">
      <w:pPr>
        <w:sectPr w:rsidR="00813A51" w:rsidSect="00353F39">
          <w:headerReference w:type="even" r:id="rId14"/>
          <w:headerReference w:type="default" r:id="rId15"/>
          <w:footerReference w:type="even" r:id="rId16"/>
          <w:footerReference w:type="default" r:id="rId17"/>
          <w:headerReference w:type="first" r:id="rId18"/>
          <w:pgSz w:w="11907" w:h="16839" w:code="9"/>
          <w:pgMar w:top="567" w:right="1134" w:bottom="567" w:left="1134" w:header="709" w:footer="709" w:gutter="0"/>
          <w:cols w:space="708"/>
          <w:titlePg/>
          <w:docGrid w:linePitch="360"/>
        </w:sectPr>
      </w:pPr>
    </w:p>
    <w:p w14:paraId="5360CCFE" w14:textId="77777777" w:rsidR="00B17774" w:rsidRPr="003E0794" w:rsidRDefault="00B17774" w:rsidP="00B17774">
      <w:pPr>
        <w:pStyle w:val="TOCHeading"/>
      </w:pPr>
      <w:r w:rsidRPr="003E0794">
        <w:lastRenderedPageBreak/>
        <w:t>Table of contents</w:t>
      </w:r>
    </w:p>
    <w:p w14:paraId="40527131" w14:textId="77777777" w:rsidR="00D1187D"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D1187D">
        <w:t>Glossary</w:t>
      </w:r>
      <w:r w:rsidR="00D1187D">
        <w:tab/>
      </w:r>
      <w:r w:rsidR="00D1187D">
        <w:fldChar w:fldCharType="begin"/>
      </w:r>
      <w:r w:rsidR="00D1187D">
        <w:instrText xml:space="preserve"> PAGEREF _Toc527364001 \h </w:instrText>
      </w:r>
      <w:r w:rsidR="00D1187D">
        <w:fldChar w:fldCharType="separate"/>
      </w:r>
      <w:r w:rsidR="00F3492D">
        <w:t>1</w:t>
      </w:r>
      <w:r w:rsidR="00D1187D">
        <w:fldChar w:fldCharType="end"/>
      </w:r>
    </w:p>
    <w:p w14:paraId="35CD4ADB" w14:textId="77777777" w:rsidR="00D1187D" w:rsidRDefault="00D1187D">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Modernisation of Commonwealth registers</w:t>
      </w:r>
      <w:r>
        <w:rPr>
          <w:noProof/>
        </w:rPr>
        <w:tab/>
      </w:r>
      <w:r>
        <w:rPr>
          <w:noProof/>
        </w:rPr>
        <w:fldChar w:fldCharType="begin"/>
      </w:r>
      <w:r>
        <w:rPr>
          <w:noProof/>
        </w:rPr>
        <w:instrText xml:space="preserve"> PAGEREF _Toc527364002 \h </w:instrText>
      </w:r>
      <w:r>
        <w:rPr>
          <w:noProof/>
        </w:rPr>
      </w:r>
      <w:r>
        <w:rPr>
          <w:noProof/>
        </w:rPr>
        <w:fldChar w:fldCharType="separate"/>
      </w:r>
      <w:r w:rsidR="00F3492D">
        <w:rPr>
          <w:noProof/>
        </w:rPr>
        <w:t>3</w:t>
      </w:r>
      <w:r>
        <w:rPr>
          <w:noProof/>
        </w:rPr>
        <w:fldChar w:fldCharType="end"/>
      </w:r>
    </w:p>
    <w:p w14:paraId="1FBD762C" w14:textId="77777777" w:rsidR="00D1187D" w:rsidRDefault="00D1187D">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Director identification number</w:t>
      </w:r>
      <w:r>
        <w:rPr>
          <w:noProof/>
        </w:rPr>
        <w:tab/>
      </w:r>
      <w:r>
        <w:rPr>
          <w:noProof/>
        </w:rPr>
        <w:fldChar w:fldCharType="begin"/>
      </w:r>
      <w:r>
        <w:rPr>
          <w:noProof/>
        </w:rPr>
        <w:instrText xml:space="preserve"> PAGEREF _Toc527364003 \h </w:instrText>
      </w:r>
      <w:r>
        <w:rPr>
          <w:noProof/>
        </w:rPr>
      </w:r>
      <w:r>
        <w:rPr>
          <w:noProof/>
        </w:rPr>
        <w:fldChar w:fldCharType="separate"/>
      </w:r>
      <w:r w:rsidR="00F3492D">
        <w:rPr>
          <w:noProof/>
        </w:rPr>
        <w:t>25</w:t>
      </w:r>
      <w:r>
        <w:rPr>
          <w:noProof/>
        </w:rPr>
        <w:fldChar w:fldCharType="end"/>
      </w:r>
    </w:p>
    <w:p w14:paraId="426B3BD1" w14:textId="77777777" w:rsidR="00D1187D" w:rsidRDefault="00D1187D">
      <w:pPr>
        <w:pStyle w:val="TOC1"/>
        <w:rPr>
          <w:rFonts w:asciiTheme="minorHAnsi" w:eastAsiaTheme="minorEastAsia" w:hAnsiTheme="minorHAnsi" w:cstheme="minorBidi"/>
          <w:noProof/>
          <w:sz w:val="22"/>
          <w:szCs w:val="22"/>
        </w:rPr>
      </w:pPr>
      <w:r>
        <w:rPr>
          <w:noProof/>
        </w:rPr>
        <w:t>Appendix</w:t>
      </w:r>
      <w:r>
        <w:rPr>
          <w:rFonts w:asciiTheme="minorHAnsi" w:eastAsiaTheme="minorEastAsia" w:hAnsiTheme="minorHAnsi" w:cstheme="minorBidi"/>
          <w:noProof/>
          <w:sz w:val="22"/>
          <w:szCs w:val="22"/>
        </w:rPr>
        <w:tab/>
      </w:r>
      <w:r>
        <w:rPr>
          <w:noProof/>
        </w:rPr>
        <w:t>Consequential amendments</w:t>
      </w:r>
      <w:r>
        <w:rPr>
          <w:noProof/>
        </w:rPr>
        <w:tab/>
      </w:r>
      <w:r>
        <w:rPr>
          <w:noProof/>
        </w:rPr>
        <w:fldChar w:fldCharType="begin"/>
      </w:r>
      <w:r>
        <w:rPr>
          <w:noProof/>
        </w:rPr>
        <w:instrText xml:space="preserve"> PAGEREF _Toc527364004 \h </w:instrText>
      </w:r>
      <w:r>
        <w:rPr>
          <w:noProof/>
        </w:rPr>
      </w:r>
      <w:r>
        <w:rPr>
          <w:noProof/>
        </w:rPr>
        <w:fldChar w:fldCharType="separate"/>
      </w:r>
      <w:r w:rsidR="00F3492D">
        <w:rPr>
          <w:noProof/>
        </w:rPr>
        <w:t>47</w:t>
      </w:r>
      <w:r>
        <w:rPr>
          <w:noProof/>
        </w:rPr>
        <w:fldChar w:fldCharType="end"/>
      </w:r>
    </w:p>
    <w:p w14:paraId="5360CD03" w14:textId="77777777" w:rsidR="00E5385B" w:rsidRDefault="00734F84" w:rsidP="00295ABD">
      <w:pPr>
        <w:rPr>
          <w:rFonts w:ascii="Helvetica" w:hAnsi="Helvetica"/>
          <w:noProof/>
          <w:sz w:val="24"/>
        </w:rPr>
      </w:pPr>
      <w:r>
        <w:rPr>
          <w:rFonts w:ascii="Helvetica" w:hAnsi="Helvetica"/>
          <w:noProof/>
          <w:sz w:val="24"/>
        </w:rPr>
        <w:fldChar w:fldCharType="end"/>
      </w:r>
    </w:p>
    <w:p w14:paraId="5360CD04" w14:textId="77777777" w:rsidR="00B17774" w:rsidRDefault="00B17774" w:rsidP="00B17774">
      <w:pPr>
        <w:pStyle w:val="Hiddentext"/>
      </w:pPr>
    </w:p>
    <w:p w14:paraId="5360CD05"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5360CD06" w14:textId="77777777" w:rsidR="00B17774" w:rsidRPr="00567602" w:rsidRDefault="00B17774" w:rsidP="00567602">
      <w:pPr>
        <w:pStyle w:val="Chapterheadingsubdocument"/>
      </w:pPr>
      <w:bookmarkStart w:id="1" w:name="_Toc524732029"/>
      <w:bookmarkStart w:id="2" w:name="_Toc527364001"/>
      <w:r w:rsidRPr="00567602">
        <w:rPr>
          <w:rStyle w:val="ChapterNameOnly"/>
        </w:rPr>
        <w:lastRenderedPageBreak/>
        <w:t>Glossary</w:t>
      </w:r>
      <w:bookmarkEnd w:id="1"/>
      <w:bookmarkEnd w:id="2"/>
    </w:p>
    <w:p w14:paraId="5360CD07"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360CD0A" w14:textId="77777777" w:rsidTr="005E52FA">
        <w:tc>
          <w:tcPr>
            <w:tcW w:w="2721" w:type="dxa"/>
          </w:tcPr>
          <w:p w14:paraId="5360CD08" w14:textId="77777777" w:rsidR="00B17774" w:rsidRPr="00123D96" w:rsidRDefault="00B17774" w:rsidP="005E52FA">
            <w:pPr>
              <w:pStyle w:val="tableheaderwithintable"/>
            </w:pPr>
            <w:r w:rsidRPr="00123D96">
              <w:t>Abbreviation</w:t>
            </w:r>
          </w:p>
        </w:tc>
        <w:tc>
          <w:tcPr>
            <w:tcW w:w="3885" w:type="dxa"/>
          </w:tcPr>
          <w:p w14:paraId="5360CD09" w14:textId="77777777" w:rsidR="00B17774" w:rsidRPr="00123D96" w:rsidRDefault="00B17774" w:rsidP="005E52FA">
            <w:pPr>
              <w:pStyle w:val="tableheaderwithintable"/>
            </w:pPr>
            <w:r w:rsidRPr="00123D96">
              <w:t>Definition</w:t>
            </w:r>
          </w:p>
        </w:tc>
      </w:tr>
      <w:tr w:rsidR="00BC11C4" w:rsidRPr="002C43E8" w14:paraId="5360CD0D" w14:textId="77777777" w:rsidTr="005E52FA">
        <w:tc>
          <w:tcPr>
            <w:tcW w:w="2721" w:type="dxa"/>
          </w:tcPr>
          <w:p w14:paraId="5360CD0B" w14:textId="77777777" w:rsidR="00BC11C4" w:rsidRDefault="00BC11C4" w:rsidP="005E52FA">
            <w:pPr>
              <w:pStyle w:val="Glossarytabletext"/>
              <w:rPr>
                <w:lang w:val="en-US" w:eastAsia="en-US"/>
              </w:rPr>
            </w:pPr>
            <w:r>
              <w:rPr>
                <w:lang w:val="en-US" w:eastAsia="en-US"/>
              </w:rPr>
              <w:t>ABN Act</w:t>
            </w:r>
          </w:p>
        </w:tc>
        <w:tc>
          <w:tcPr>
            <w:tcW w:w="3885" w:type="dxa"/>
          </w:tcPr>
          <w:p w14:paraId="5360CD0C" w14:textId="77777777" w:rsidR="00BC11C4" w:rsidRDefault="00BC11C4" w:rsidP="005E52FA">
            <w:pPr>
              <w:pStyle w:val="Glossarytabletext"/>
              <w:rPr>
                <w:lang w:val="en-US" w:eastAsia="en-US"/>
              </w:rPr>
            </w:pPr>
            <w:r w:rsidRPr="00BC11C4">
              <w:rPr>
                <w:i/>
              </w:rPr>
              <w:t>A New Tax System (Australian Business Number) Act 1999</w:t>
            </w:r>
          </w:p>
        </w:tc>
      </w:tr>
      <w:tr w:rsidR="00B17774" w:rsidRPr="002C43E8" w14:paraId="5360CD10" w14:textId="77777777" w:rsidTr="005E52FA">
        <w:tc>
          <w:tcPr>
            <w:tcW w:w="2721" w:type="dxa"/>
          </w:tcPr>
          <w:p w14:paraId="5360CD0E" w14:textId="77777777" w:rsidR="00B17774" w:rsidRPr="002C43E8" w:rsidRDefault="005E494F" w:rsidP="005E52FA">
            <w:pPr>
              <w:pStyle w:val="Glossarytabletext"/>
              <w:rPr>
                <w:lang w:val="en-US" w:eastAsia="en-US"/>
              </w:rPr>
            </w:pPr>
            <w:bookmarkStart w:id="3" w:name="GlossaryTableStart"/>
            <w:bookmarkEnd w:id="3"/>
            <w:r>
              <w:rPr>
                <w:lang w:val="en-US" w:eastAsia="en-US"/>
              </w:rPr>
              <w:t>ASIC</w:t>
            </w:r>
          </w:p>
        </w:tc>
        <w:tc>
          <w:tcPr>
            <w:tcW w:w="3885" w:type="dxa"/>
          </w:tcPr>
          <w:p w14:paraId="5360CD0F" w14:textId="77777777" w:rsidR="00B17774" w:rsidRPr="002C43E8" w:rsidRDefault="005E494F" w:rsidP="005E52FA">
            <w:pPr>
              <w:pStyle w:val="Glossarytabletext"/>
              <w:rPr>
                <w:lang w:val="en-US" w:eastAsia="en-US"/>
              </w:rPr>
            </w:pPr>
            <w:r>
              <w:rPr>
                <w:lang w:val="en-US" w:eastAsia="en-US"/>
              </w:rPr>
              <w:t>Australian Securities and Investments Commission</w:t>
            </w:r>
          </w:p>
        </w:tc>
      </w:tr>
      <w:tr w:rsidR="00BC11C4" w:rsidRPr="002C43E8" w14:paraId="5360CD13" w14:textId="77777777" w:rsidTr="005E52FA">
        <w:tc>
          <w:tcPr>
            <w:tcW w:w="2721" w:type="dxa"/>
          </w:tcPr>
          <w:p w14:paraId="5360CD11" w14:textId="77777777" w:rsidR="00BC11C4" w:rsidRDefault="00BC11C4" w:rsidP="005E52FA">
            <w:pPr>
              <w:pStyle w:val="Glossarytabletext"/>
              <w:rPr>
                <w:lang w:val="en-US" w:eastAsia="en-US"/>
              </w:rPr>
            </w:pPr>
            <w:r w:rsidRPr="00BC11C4">
              <w:t>Business Names Act</w:t>
            </w:r>
          </w:p>
        </w:tc>
        <w:tc>
          <w:tcPr>
            <w:tcW w:w="3885" w:type="dxa"/>
          </w:tcPr>
          <w:p w14:paraId="5360CD12" w14:textId="77777777" w:rsidR="00BC11C4" w:rsidRPr="0004332E" w:rsidRDefault="0004332E" w:rsidP="005E494F">
            <w:pPr>
              <w:pStyle w:val="Glossarytabletext"/>
              <w:rPr>
                <w:lang w:val="en-US" w:eastAsia="en-US"/>
              </w:rPr>
            </w:pPr>
            <w:r>
              <w:t xml:space="preserve">The </w:t>
            </w:r>
            <w:r w:rsidR="00BC11C4" w:rsidRPr="0004332E">
              <w:rPr>
                <w:i/>
              </w:rPr>
              <w:t>Business</w:t>
            </w:r>
            <w:r w:rsidR="00BC11C4" w:rsidRPr="00BC11C4">
              <w:rPr>
                <w:i/>
              </w:rPr>
              <w:t xml:space="preserve"> Names Registration Act 2011</w:t>
            </w:r>
            <w:r>
              <w:t xml:space="preserve"> and the </w:t>
            </w:r>
            <w:r w:rsidRPr="007A14CA">
              <w:rPr>
                <w:i/>
              </w:rPr>
              <w:t>Business Names Registration (Transitional and Consequential Provisions) Act 2011</w:t>
            </w:r>
          </w:p>
        </w:tc>
      </w:tr>
      <w:tr w:rsidR="00B17774" w:rsidRPr="002C43E8" w14:paraId="5360CD16" w14:textId="77777777" w:rsidTr="005E52FA">
        <w:tc>
          <w:tcPr>
            <w:tcW w:w="2721" w:type="dxa"/>
          </w:tcPr>
          <w:p w14:paraId="5360CD14" w14:textId="77777777" w:rsidR="00B17774" w:rsidRPr="002C43E8" w:rsidRDefault="005E494F" w:rsidP="005E52FA">
            <w:pPr>
              <w:pStyle w:val="Glossarytabletext"/>
              <w:rPr>
                <w:lang w:val="en-US" w:eastAsia="en-US"/>
              </w:rPr>
            </w:pPr>
            <w:r>
              <w:rPr>
                <w:lang w:val="en-US" w:eastAsia="en-US"/>
              </w:rPr>
              <w:t>Commissioner</w:t>
            </w:r>
          </w:p>
        </w:tc>
        <w:tc>
          <w:tcPr>
            <w:tcW w:w="3885" w:type="dxa"/>
          </w:tcPr>
          <w:p w14:paraId="5360CD15" w14:textId="77777777" w:rsidR="00B17774" w:rsidRPr="002C43E8" w:rsidRDefault="005E494F" w:rsidP="005E494F">
            <w:pPr>
              <w:pStyle w:val="Glossarytabletext"/>
              <w:rPr>
                <w:lang w:val="en-US" w:eastAsia="en-US"/>
              </w:rPr>
            </w:pPr>
            <w:r>
              <w:rPr>
                <w:lang w:val="en-US" w:eastAsia="en-US"/>
              </w:rPr>
              <w:t>Commissioner of Taxation</w:t>
            </w:r>
          </w:p>
        </w:tc>
      </w:tr>
      <w:tr w:rsidR="00B17774" w:rsidRPr="002C43E8" w14:paraId="5360CD19" w14:textId="77777777" w:rsidTr="005E52FA">
        <w:tc>
          <w:tcPr>
            <w:tcW w:w="2721" w:type="dxa"/>
          </w:tcPr>
          <w:p w14:paraId="5360CD17" w14:textId="77777777" w:rsidR="00B17774" w:rsidRPr="002C43E8" w:rsidRDefault="005E494F" w:rsidP="005E52FA">
            <w:pPr>
              <w:pStyle w:val="Glossarytabletext"/>
              <w:rPr>
                <w:lang w:val="en-US" w:eastAsia="en-US"/>
              </w:rPr>
            </w:pPr>
            <w:r>
              <w:rPr>
                <w:lang w:val="en-US" w:eastAsia="en-US"/>
              </w:rPr>
              <w:t>Corporations Act</w:t>
            </w:r>
          </w:p>
        </w:tc>
        <w:tc>
          <w:tcPr>
            <w:tcW w:w="3885" w:type="dxa"/>
          </w:tcPr>
          <w:p w14:paraId="5360CD18" w14:textId="77777777" w:rsidR="00B17774" w:rsidRPr="005E494F" w:rsidRDefault="005E494F" w:rsidP="005E52FA">
            <w:pPr>
              <w:pStyle w:val="Glossarytabletext"/>
              <w:rPr>
                <w:i/>
                <w:lang w:val="en-US" w:eastAsia="en-US"/>
              </w:rPr>
            </w:pPr>
            <w:r w:rsidRPr="005E494F">
              <w:rPr>
                <w:i/>
                <w:lang w:val="en-US" w:eastAsia="en-US"/>
              </w:rPr>
              <w:t>Corporations Act 2001</w:t>
            </w:r>
          </w:p>
        </w:tc>
      </w:tr>
      <w:tr w:rsidR="00474FAA" w:rsidRPr="002C43E8" w14:paraId="5360CD1C" w14:textId="77777777" w:rsidTr="005E52FA">
        <w:tc>
          <w:tcPr>
            <w:tcW w:w="2721" w:type="dxa"/>
          </w:tcPr>
          <w:p w14:paraId="5360CD1A" w14:textId="77777777" w:rsidR="00474FAA" w:rsidRDefault="00474FAA" w:rsidP="005E52FA">
            <w:pPr>
              <w:pStyle w:val="Glossarytabletext"/>
              <w:rPr>
                <w:lang w:val="en-US" w:eastAsia="en-US"/>
              </w:rPr>
            </w:pPr>
            <w:r>
              <w:rPr>
                <w:lang w:val="en-US" w:eastAsia="en-US"/>
              </w:rPr>
              <w:t>Corporations Regulations</w:t>
            </w:r>
          </w:p>
        </w:tc>
        <w:tc>
          <w:tcPr>
            <w:tcW w:w="3885" w:type="dxa"/>
          </w:tcPr>
          <w:p w14:paraId="5360CD1B" w14:textId="77777777" w:rsidR="00474FAA" w:rsidRPr="005E494F" w:rsidRDefault="00474FAA" w:rsidP="005E52FA">
            <w:pPr>
              <w:pStyle w:val="Glossarytabletext"/>
              <w:rPr>
                <w:i/>
                <w:lang w:val="en-US" w:eastAsia="en-US"/>
              </w:rPr>
            </w:pPr>
            <w:r>
              <w:rPr>
                <w:i/>
              </w:rPr>
              <w:t>Corporations Regulations 2001</w:t>
            </w:r>
          </w:p>
        </w:tc>
      </w:tr>
      <w:tr w:rsidR="00B17774" w:rsidRPr="002C43E8" w14:paraId="5360CD1F" w14:textId="77777777" w:rsidTr="005E52FA">
        <w:tc>
          <w:tcPr>
            <w:tcW w:w="2721" w:type="dxa"/>
          </w:tcPr>
          <w:p w14:paraId="5360CD1D" w14:textId="77777777" w:rsidR="00B17774" w:rsidRPr="002C43E8" w:rsidRDefault="00BC11C4" w:rsidP="005E52FA">
            <w:pPr>
              <w:pStyle w:val="Glossarytabletext"/>
              <w:rPr>
                <w:lang w:val="en-US" w:eastAsia="en-US"/>
              </w:rPr>
            </w:pPr>
            <w:r>
              <w:rPr>
                <w:lang w:val="en-US" w:eastAsia="en-US"/>
              </w:rPr>
              <w:t>Credit Act</w:t>
            </w:r>
          </w:p>
        </w:tc>
        <w:tc>
          <w:tcPr>
            <w:tcW w:w="3885" w:type="dxa"/>
          </w:tcPr>
          <w:p w14:paraId="5360CD1E" w14:textId="77777777" w:rsidR="00B17774" w:rsidRPr="002C43E8" w:rsidRDefault="00BC11C4" w:rsidP="005E52FA">
            <w:pPr>
              <w:pStyle w:val="Glossarytabletext"/>
              <w:rPr>
                <w:lang w:val="en-US" w:eastAsia="en-US"/>
              </w:rPr>
            </w:pPr>
            <w:r w:rsidRPr="00BC11C4">
              <w:rPr>
                <w:i/>
              </w:rPr>
              <w:t>National Consumer Credit Protection Act 2009</w:t>
            </w:r>
          </w:p>
        </w:tc>
      </w:tr>
      <w:tr w:rsidR="00BC2488" w:rsidRPr="002C43E8" w14:paraId="5360CD22" w14:textId="77777777" w:rsidTr="005E52FA">
        <w:tc>
          <w:tcPr>
            <w:tcW w:w="2721" w:type="dxa"/>
          </w:tcPr>
          <w:p w14:paraId="5360CD20" w14:textId="77777777" w:rsidR="00BC2488" w:rsidRDefault="00BC2488" w:rsidP="005E52FA">
            <w:pPr>
              <w:pStyle w:val="Glossarytabletext"/>
              <w:rPr>
                <w:lang w:val="en-US" w:eastAsia="en-US"/>
              </w:rPr>
            </w:pPr>
            <w:r>
              <w:rPr>
                <w:lang w:val="en-US" w:eastAsia="en-US"/>
              </w:rPr>
              <w:t>Credit Regulations</w:t>
            </w:r>
          </w:p>
        </w:tc>
        <w:tc>
          <w:tcPr>
            <w:tcW w:w="3885" w:type="dxa"/>
          </w:tcPr>
          <w:p w14:paraId="5360CD21" w14:textId="77777777" w:rsidR="00BC2488" w:rsidRPr="00BC11C4" w:rsidRDefault="00BC2488" w:rsidP="005E52FA">
            <w:pPr>
              <w:pStyle w:val="Glossarytabletext"/>
              <w:rPr>
                <w:i/>
              </w:rPr>
            </w:pPr>
            <w:r>
              <w:rPr>
                <w:i/>
              </w:rPr>
              <w:t>National Consumer Credit Protection Regulations 2010</w:t>
            </w:r>
          </w:p>
        </w:tc>
      </w:tr>
      <w:tr w:rsidR="00B17774" w:rsidRPr="002C43E8" w14:paraId="5360CD25" w14:textId="77777777" w:rsidTr="005E52FA">
        <w:tc>
          <w:tcPr>
            <w:tcW w:w="2721" w:type="dxa"/>
          </w:tcPr>
          <w:p w14:paraId="5360CD23" w14:textId="77777777" w:rsidR="00B17774" w:rsidRPr="002C43E8" w:rsidRDefault="00BC11C4" w:rsidP="005E52FA">
            <w:pPr>
              <w:pStyle w:val="Glossarytabletext"/>
              <w:rPr>
                <w:lang w:val="en-US" w:eastAsia="en-US"/>
              </w:rPr>
            </w:pPr>
            <w:r>
              <w:t>Fees Acts</w:t>
            </w:r>
          </w:p>
        </w:tc>
        <w:tc>
          <w:tcPr>
            <w:tcW w:w="3885" w:type="dxa"/>
          </w:tcPr>
          <w:p w14:paraId="5360CD24" w14:textId="77777777" w:rsidR="00B17774" w:rsidRPr="002C43E8" w:rsidRDefault="003755A4" w:rsidP="005E52FA">
            <w:pPr>
              <w:pStyle w:val="Glossarytabletext"/>
              <w:rPr>
                <w:lang w:val="en-US" w:eastAsia="en-US"/>
              </w:rPr>
            </w:pPr>
            <w:r w:rsidRPr="007A14CA">
              <w:rPr>
                <w:i/>
                <w:lang w:val="en-US" w:eastAsia="en-US"/>
              </w:rPr>
              <w:t>Business Names Registration (Fees) Act 2011</w:t>
            </w:r>
            <w:r>
              <w:rPr>
                <w:lang w:val="en-US" w:eastAsia="en-US"/>
              </w:rPr>
              <w:t xml:space="preserve">; </w:t>
            </w:r>
            <w:r w:rsidRPr="007A14CA">
              <w:rPr>
                <w:i/>
                <w:lang w:val="en-US" w:eastAsia="en-US"/>
              </w:rPr>
              <w:t>Business Names Registration (Fees) Act 2011</w:t>
            </w:r>
            <w:r>
              <w:rPr>
                <w:lang w:val="en-US" w:eastAsia="en-US"/>
              </w:rPr>
              <w:t xml:space="preserve">; </w:t>
            </w:r>
            <w:r w:rsidRPr="007A14CA">
              <w:rPr>
                <w:i/>
                <w:lang w:val="en-US" w:eastAsia="en-US"/>
              </w:rPr>
              <w:t>National Consumer Credit Protection (Fees) Act 2009</w:t>
            </w:r>
            <w:r>
              <w:rPr>
                <w:lang w:val="en-US" w:eastAsia="en-US"/>
              </w:rPr>
              <w:t xml:space="preserve">; </w:t>
            </w:r>
            <w:r w:rsidRPr="007A14CA">
              <w:rPr>
                <w:i/>
                <w:lang w:val="en-US" w:eastAsia="en-US"/>
              </w:rPr>
              <w:t>Superannuation Auditor Registration Imposition Act 2012</w:t>
            </w:r>
            <w:r w:rsidRPr="003755A4">
              <w:rPr>
                <w:lang w:val="en-US" w:eastAsia="en-US"/>
              </w:rPr>
              <w:t xml:space="preserve"> </w:t>
            </w:r>
          </w:p>
        </w:tc>
      </w:tr>
      <w:tr w:rsidR="00C462F9" w:rsidRPr="002C43E8" w14:paraId="5360CD28" w14:textId="77777777" w:rsidTr="005E52FA">
        <w:tc>
          <w:tcPr>
            <w:tcW w:w="2721" w:type="dxa"/>
          </w:tcPr>
          <w:p w14:paraId="5360CD26" w14:textId="6B51EEEA" w:rsidR="00C462F9" w:rsidRDefault="00AA58C5" w:rsidP="005E52FA">
            <w:pPr>
              <w:pStyle w:val="Glossarytabletext"/>
            </w:pPr>
            <w:r>
              <w:rPr>
                <w:lang w:val="en-US" w:eastAsia="en-US"/>
              </w:rPr>
              <w:t>n</w:t>
            </w:r>
            <w:r w:rsidR="00C462F9">
              <w:rPr>
                <w:lang w:val="en-US" w:eastAsia="en-US"/>
              </w:rPr>
              <w:t>ew Act</w:t>
            </w:r>
          </w:p>
        </w:tc>
        <w:tc>
          <w:tcPr>
            <w:tcW w:w="3885" w:type="dxa"/>
          </w:tcPr>
          <w:p w14:paraId="5360CD27" w14:textId="68B1DF63" w:rsidR="00C462F9" w:rsidRPr="00353F39" w:rsidRDefault="00C462F9" w:rsidP="005E52FA">
            <w:pPr>
              <w:pStyle w:val="Glossarytabletext"/>
            </w:pPr>
            <w:r>
              <w:rPr>
                <w:lang w:val="en-US" w:eastAsia="en-US"/>
              </w:rPr>
              <w:t xml:space="preserve">The provisions of the </w:t>
            </w:r>
            <w:r w:rsidRPr="00353F39">
              <w:rPr>
                <w:i/>
                <w:lang w:val="en-US" w:eastAsia="en-US"/>
              </w:rPr>
              <w:t>Commonwealth Registers Bill 2018</w:t>
            </w:r>
            <w:r w:rsidR="00416AF8" w:rsidRPr="00353F39">
              <w:rPr>
                <w:i/>
                <w:lang w:val="en-US" w:eastAsia="en-US"/>
              </w:rPr>
              <w:t xml:space="preserve"> </w:t>
            </w:r>
            <w:r w:rsidR="00416AF8">
              <w:rPr>
                <w:lang w:val="en-US" w:eastAsia="en-US"/>
              </w:rPr>
              <w:t>together with the amendments</w:t>
            </w:r>
            <w:r w:rsidR="00D14F27">
              <w:rPr>
                <w:lang w:val="en-US" w:eastAsia="en-US"/>
              </w:rPr>
              <w:t xml:space="preserve"> in Part 1 of Schedule 1 of the </w:t>
            </w:r>
            <w:r w:rsidR="00D14F27" w:rsidRPr="00353F39">
              <w:rPr>
                <w:i/>
                <w:lang w:eastAsia="en-US"/>
              </w:rPr>
              <w:t>Treasury Laws Amendment (Registries Modernisation and Other Measures) Bill 2018</w:t>
            </w:r>
            <w:r w:rsidR="00D14F27">
              <w:rPr>
                <w:rStyle w:val="FootnoteReference"/>
                <w:lang w:val="en-US" w:eastAsia="en-US"/>
              </w:rPr>
              <w:footnoteReference w:id="2"/>
            </w:r>
          </w:p>
        </w:tc>
      </w:tr>
      <w:tr w:rsidR="00D4784E" w:rsidRPr="002C43E8" w14:paraId="5360CD2B" w14:textId="77777777" w:rsidTr="005E52FA">
        <w:tc>
          <w:tcPr>
            <w:tcW w:w="2721" w:type="dxa"/>
          </w:tcPr>
          <w:p w14:paraId="5360CD29" w14:textId="77777777" w:rsidR="00D4784E" w:rsidRDefault="00AA58C5" w:rsidP="005E52FA">
            <w:pPr>
              <w:pStyle w:val="Glossarytabletext"/>
              <w:rPr>
                <w:lang w:val="en-US" w:eastAsia="en-US"/>
              </w:rPr>
            </w:pPr>
            <w:r>
              <w:rPr>
                <w:lang w:val="en-US" w:eastAsia="en-US"/>
              </w:rPr>
              <w:t>r</w:t>
            </w:r>
            <w:r w:rsidR="00D4784E">
              <w:rPr>
                <w:lang w:val="en-US" w:eastAsia="en-US"/>
              </w:rPr>
              <w:t>egistrar</w:t>
            </w:r>
          </w:p>
        </w:tc>
        <w:tc>
          <w:tcPr>
            <w:tcW w:w="3885" w:type="dxa"/>
          </w:tcPr>
          <w:p w14:paraId="5360CD2A" w14:textId="6BB706DA" w:rsidR="00D4784E" w:rsidRDefault="00D4784E" w:rsidP="004E49BA">
            <w:pPr>
              <w:pStyle w:val="Glossarytabletext"/>
              <w:rPr>
                <w:lang w:val="en-US" w:eastAsia="en-US"/>
              </w:rPr>
            </w:pPr>
            <w:r>
              <w:rPr>
                <w:lang w:val="en-US" w:eastAsia="en-US"/>
              </w:rPr>
              <w:t xml:space="preserve">The Commonwealth body appointed to administer the new registry regime under </w:t>
            </w:r>
            <w:r w:rsidR="006843DD">
              <w:rPr>
                <w:lang w:val="en-US" w:eastAsia="en-US"/>
              </w:rPr>
              <w:t xml:space="preserve">the </w:t>
            </w:r>
            <w:r w:rsidR="00617E6D">
              <w:rPr>
                <w:lang w:val="en-US" w:eastAsia="en-US"/>
              </w:rPr>
              <w:t>new Act</w:t>
            </w:r>
          </w:p>
        </w:tc>
      </w:tr>
      <w:tr w:rsidR="00C462F9" w:rsidRPr="002C43E8" w14:paraId="5360CD2E" w14:textId="77777777" w:rsidTr="005E52FA">
        <w:tc>
          <w:tcPr>
            <w:tcW w:w="2721" w:type="dxa"/>
          </w:tcPr>
          <w:p w14:paraId="5360CD2C" w14:textId="77777777" w:rsidR="00C462F9" w:rsidRDefault="00C462F9" w:rsidP="005E52FA">
            <w:pPr>
              <w:pStyle w:val="Glossarytabletext"/>
              <w:rPr>
                <w:lang w:val="en-US" w:eastAsia="en-US"/>
              </w:rPr>
            </w:pPr>
            <w:r>
              <w:rPr>
                <w:lang w:val="en-US" w:eastAsia="en-US"/>
              </w:rPr>
              <w:t>SMSF</w:t>
            </w:r>
          </w:p>
        </w:tc>
        <w:tc>
          <w:tcPr>
            <w:tcW w:w="3885" w:type="dxa"/>
          </w:tcPr>
          <w:p w14:paraId="5360CD2D" w14:textId="77777777" w:rsidR="00C462F9" w:rsidRPr="00BC11C4" w:rsidRDefault="00D529DA" w:rsidP="005E52FA">
            <w:pPr>
              <w:pStyle w:val="Glossarytabletext"/>
              <w:rPr>
                <w:i/>
              </w:rPr>
            </w:pPr>
            <w:r>
              <w:t>S</w:t>
            </w:r>
            <w:r w:rsidR="00C462F9">
              <w:t>elf</w:t>
            </w:r>
            <w:r>
              <w:t>-</w:t>
            </w:r>
            <w:r w:rsidR="00C462F9">
              <w:t>managed superannuation fund</w:t>
            </w:r>
          </w:p>
        </w:tc>
      </w:tr>
      <w:tr w:rsidR="00C462F9" w:rsidRPr="002C43E8" w14:paraId="5360CD31" w14:textId="77777777" w:rsidTr="005E52FA">
        <w:tc>
          <w:tcPr>
            <w:tcW w:w="2721" w:type="dxa"/>
          </w:tcPr>
          <w:p w14:paraId="5360CD2F" w14:textId="77777777" w:rsidR="00C462F9" w:rsidRPr="002C43E8" w:rsidRDefault="00C462F9" w:rsidP="005E52FA">
            <w:pPr>
              <w:pStyle w:val="Glossarytabletext"/>
              <w:rPr>
                <w:lang w:val="en-US" w:eastAsia="en-US"/>
              </w:rPr>
            </w:pPr>
            <w:r>
              <w:rPr>
                <w:lang w:val="en-US" w:eastAsia="en-US"/>
              </w:rPr>
              <w:lastRenderedPageBreak/>
              <w:t>SIS Act</w:t>
            </w:r>
          </w:p>
        </w:tc>
        <w:tc>
          <w:tcPr>
            <w:tcW w:w="3885" w:type="dxa"/>
          </w:tcPr>
          <w:p w14:paraId="5360CD30" w14:textId="77777777" w:rsidR="00C462F9" w:rsidRPr="002C43E8" w:rsidRDefault="00C462F9" w:rsidP="005E52FA">
            <w:pPr>
              <w:pStyle w:val="Glossarytabletext"/>
              <w:rPr>
                <w:lang w:val="en-US" w:eastAsia="en-US"/>
              </w:rPr>
            </w:pPr>
            <w:r w:rsidRPr="00BC11C4">
              <w:rPr>
                <w:i/>
              </w:rPr>
              <w:t>Superannuation Industry (Supervision) Act 1993</w:t>
            </w:r>
          </w:p>
        </w:tc>
      </w:tr>
    </w:tbl>
    <w:p w14:paraId="5360CD41" w14:textId="77777777" w:rsidR="00E5385B" w:rsidRDefault="00E5385B" w:rsidP="00B17774"/>
    <w:p w14:paraId="5360CD42" w14:textId="77777777" w:rsidR="00B17774" w:rsidRDefault="00B17774" w:rsidP="00B17774"/>
    <w:p w14:paraId="5360CD43"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5360CD5E" w14:textId="77777777" w:rsidR="00B17774" w:rsidRPr="007C2B20" w:rsidRDefault="00840701" w:rsidP="000C2A9D">
      <w:pPr>
        <w:pStyle w:val="ChapterHeading"/>
      </w:pPr>
      <w:r w:rsidRPr="000C2A9D">
        <w:lastRenderedPageBreak/>
        <w:br/>
      </w:r>
      <w:bookmarkStart w:id="4" w:name="_Toc524732031"/>
      <w:bookmarkStart w:id="5" w:name="_Toc527364002"/>
      <w:r w:rsidR="00E778A4">
        <w:rPr>
          <w:rStyle w:val="ChapterNameOnly"/>
        </w:rPr>
        <w:t>Modernisation of Commonwealth registers</w:t>
      </w:r>
      <w:bookmarkEnd w:id="4"/>
      <w:bookmarkEnd w:id="5"/>
    </w:p>
    <w:p w14:paraId="5360CD5F" w14:textId="77777777" w:rsidR="00B17774" w:rsidRDefault="00B17774" w:rsidP="00B17774">
      <w:pPr>
        <w:pStyle w:val="Heading2"/>
      </w:pPr>
      <w:r>
        <w:t>Outline of chapter</w:t>
      </w:r>
    </w:p>
    <w:p w14:paraId="5360CD60" w14:textId="1F7C2D55" w:rsidR="00B17774" w:rsidRDefault="003E7566" w:rsidP="0081453B">
      <w:pPr>
        <w:numPr>
          <w:ilvl w:val="1"/>
          <w:numId w:val="4"/>
        </w:numPr>
      </w:pPr>
      <w:r>
        <w:t>The legislative package</w:t>
      </w:r>
      <w:r w:rsidR="00282A7D">
        <w:t xml:space="preserve"> creates a new Act</w:t>
      </w:r>
      <w:r w:rsidR="005E494F">
        <w:t xml:space="preserve"> </w:t>
      </w:r>
      <w:r w:rsidR="00282A7D">
        <w:t xml:space="preserve">called the </w:t>
      </w:r>
      <w:r w:rsidR="00282A7D" w:rsidRPr="00282A7D">
        <w:rPr>
          <w:i/>
        </w:rPr>
        <w:t>Commonwealth Registers Act 2018</w:t>
      </w:r>
      <w:r w:rsidR="00282A7D">
        <w:rPr>
          <w:i/>
        </w:rPr>
        <w:t xml:space="preserve"> </w:t>
      </w:r>
      <w:r w:rsidR="00C462F9">
        <w:t>(the new Act</w:t>
      </w:r>
      <w:r w:rsidR="00282A7D">
        <w:t>)</w:t>
      </w:r>
      <w:r>
        <w:t xml:space="preserve"> and makes</w:t>
      </w:r>
      <w:r w:rsidR="00C462F9">
        <w:t xml:space="preserve"> </w:t>
      </w:r>
      <w:r w:rsidR="000F2339">
        <w:t>related</w:t>
      </w:r>
      <w:r w:rsidR="00C462F9">
        <w:t xml:space="preserve"> amend</w:t>
      </w:r>
      <w:r w:rsidR="00191AE7">
        <w:t>ments</w:t>
      </w:r>
      <w:r w:rsidR="004A4DA5">
        <w:rPr>
          <w:rStyle w:val="FootnoteReference"/>
        </w:rPr>
        <w:footnoteReference w:id="3"/>
      </w:r>
      <w:r w:rsidR="00191AE7">
        <w:t xml:space="preserve"> to a suite of existing laws</w:t>
      </w:r>
      <w:r w:rsidR="00282A7D">
        <w:t xml:space="preserve"> to</w:t>
      </w:r>
      <w:r w:rsidR="00191AE7">
        <w:t xml:space="preserve"> create a new</w:t>
      </w:r>
      <w:r w:rsidR="00420953">
        <w:t xml:space="preserve"> Commonw</w:t>
      </w:r>
      <w:r w:rsidR="00191AE7">
        <w:t>ealth business registry regime</w:t>
      </w:r>
      <w:r w:rsidR="00282A7D">
        <w:t xml:space="preserve">. </w:t>
      </w:r>
      <w:r w:rsidR="00C462F9">
        <w:t>It sets out</w:t>
      </w:r>
      <w:r w:rsidR="00282A7D">
        <w:t>:</w:t>
      </w:r>
    </w:p>
    <w:p w14:paraId="5360CD61" w14:textId="77777777" w:rsidR="00047967" w:rsidRDefault="00047967" w:rsidP="00047967">
      <w:pPr>
        <w:pStyle w:val="dotpoint"/>
      </w:pPr>
      <w:r>
        <w:t>what information is subject to the new regime</w:t>
      </w:r>
      <w:r w:rsidR="00D529DA">
        <w:t>;</w:t>
      </w:r>
    </w:p>
    <w:p w14:paraId="5360CD62" w14:textId="32C778B2" w:rsidR="00282A7D" w:rsidRDefault="00CF015C" w:rsidP="00282A7D">
      <w:pPr>
        <w:pStyle w:val="dotpoint"/>
      </w:pPr>
      <w:r>
        <w:t>who</w:t>
      </w:r>
      <w:r w:rsidR="00555FA6">
        <w:t xml:space="preserve"> may be appointed to</w:t>
      </w:r>
      <w:r>
        <w:t xml:space="preserve"> administer the new</w:t>
      </w:r>
      <w:r w:rsidR="00B0413C">
        <w:t xml:space="preserve"> regime</w:t>
      </w:r>
      <w:r>
        <w:t xml:space="preserve"> as its </w:t>
      </w:r>
      <w:r w:rsidR="00D529DA">
        <w:t>registrar</w:t>
      </w:r>
      <w:r w:rsidR="00B0413C">
        <w:t>;</w:t>
      </w:r>
    </w:p>
    <w:p w14:paraId="5360CD63" w14:textId="77777777" w:rsidR="00282A7D" w:rsidRDefault="00826F8A" w:rsidP="00282A7D">
      <w:pPr>
        <w:pStyle w:val="dotpoint"/>
      </w:pPr>
      <w:r>
        <w:t>t</w:t>
      </w:r>
      <w:r w:rsidR="00282A7D">
        <w:t xml:space="preserve">he </w:t>
      </w:r>
      <w:r>
        <w:t>functions</w:t>
      </w:r>
      <w:r w:rsidR="00B0413C">
        <w:t xml:space="preserve"> and powers of the </w:t>
      </w:r>
      <w:r w:rsidR="00D529DA">
        <w:t>registrar</w:t>
      </w:r>
      <w:r w:rsidR="007E665B">
        <w:t>;</w:t>
      </w:r>
    </w:p>
    <w:p w14:paraId="5360CD64" w14:textId="77777777" w:rsidR="00826F8A" w:rsidRDefault="00826F8A" w:rsidP="00282A7D">
      <w:pPr>
        <w:pStyle w:val="dotpoint"/>
      </w:pPr>
      <w:r>
        <w:t xml:space="preserve">how the </w:t>
      </w:r>
      <w:r w:rsidR="00D529DA">
        <w:t>registrar</w:t>
      </w:r>
      <w:r w:rsidR="00ED587D">
        <w:t xml:space="preserve"> </w:t>
      </w:r>
      <w:r w:rsidR="00B0413C">
        <w:t>perform</w:t>
      </w:r>
      <w:r w:rsidR="00ED587D">
        <w:t>s</w:t>
      </w:r>
      <w:r>
        <w:t xml:space="preserve"> </w:t>
      </w:r>
      <w:r w:rsidR="00B0413C">
        <w:t>its</w:t>
      </w:r>
      <w:r>
        <w:t xml:space="preserve"> functions</w:t>
      </w:r>
      <w:r w:rsidR="00B0413C">
        <w:t xml:space="preserve"> and exercise</w:t>
      </w:r>
      <w:r w:rsidR="00ED587D">
        <w:t xml:space="preserve">s </w:t>
      </w:r>
      <w:r w:rsidR="00B0413C">
        <w:t>its</w:t>
      </w:r>
      <w:r w:rsidR="007E665B">
        <w:t xml:space="preserve"> powers;</w:t>
      </w:r>
    </w:p>
    <w:p w14:paraId="5360CD65" w14:textId="77777777" w:rsidR="00826F8A" w:rsidRDefault="00ED587D" w:rsidP="00282A7D">
      <w:pPr>
        <w:pStyle w:val="dotpoint"/>
      </w:pPr>
      <w:r>
        <w:t xml:space="preserve">the framework for protecting and disclosing information held by the </w:t>
      </w:r>
      <w:r w:rsidR="00D529DA">
        <w:t>registrar</w:t>
      </w:r>
      <w:r>
        <w:t>; and</w:t>
      </w:r>
    </w:p>
    <w:p w14:paraId="5360CD66" w14:textId="77777777" w:rsidR="003E7566" w:rsidRDefault="00826F8A" w:rsidP="003E7566">
      <w:pPr>
        <w:pStyle w:val="dotpoint"/>
      </w:pPr>
      <w:proofErr w:type="gramStart"/>
      <w:r>
        <w:t>other</w:t>
      </w:r>
      <w:proofErr w:type="gramEnd"/>
      <w:r>
        <w:t xml:space="preserve"> matters that support the new regime</w:t>
      </w:r>
      <w:r w:rsidR="007E665B">
        <w:t>.</w:t>
      </w:r>
    </w:p>
    <w:p w14:paraId="5360CD67" w14:textId="77777777" w:rsidR="00B17774" w:rsidRDefault="00B17774" w:rsidP="00B17774">
      <w:pPr>
        <w:pStyle w:val="Heading2"/>
      </w:pPr>
      <w:r>
        <w:t>Context of amendments</w:t>
      </w:r>
    </w:p>
    <w:p w14:paraId="5360CD68" w14:textId="77777777" w:rsidR="00420953" w:rsidRPr="00353F39" w:rsidRDefault="00420953" w:rsidP="00A46E26">
      <w:pPr>
        <w:numPr>
          <w:ilvl w:val="1"/>
          <w:numId w:val="4"/>
        </w:numPr>
      </w:pPr>
      <w:r w:rsidRPr="00353F39">
        <w:t xml:space="preserve">The Australian </w:t>
      </w:r>
      <w:r w:rsidRPr="00420953">
        <w:t>Government</w:t>
      </w:r>
      <w:r w:rsidRPr="00353F39">
        <w:t xml:space="preserve"> has committed to simplifying its </w:t>
      </w:r>
      <w:r w:rsidRPr="00A46E26">
        <w:t>interactions</w:t>
      </w:r>
      <w:r w:rsidRPr="00353F39">
        <w:t xml:space="preserve"> with business to support growth, innovation and employment. </w:t>
      </w:r>
    </w:p>
    <w:p w14:paraId="5360CD69" w14:textId="77777777" w:rsidR="00420953" w:rsidRPr="00420953" w:rsidRDefault="00420953" w:rsidP="00A46E26">
      <w:pPr>
        <w:numPr>
          <w:ilvl w:val="1"/>
          <w:numId w:val="4"/>
        </w:numPr>
      </w:pPr>
      <w:r w:rsidRPr="00353F39">
        <w:t xml:space="preserve">The National Business Simplification Initiative, announced in 2016, aims to reduce the time that businesses spend complying with regulations and interacting with government so that they can focus on growing their business, creating more jobs, and developing new products and market opportunities. The Initiative is a Commonwealth led </w:t>
      </w:r>
      <w:r w:rsidRPr="004E49BA">
        <w:t>agreement</w:t>
      </w:r>
      <w:r w:rsidRPr="00353F39">
        <w:t xml:space="preserve"> between federal, state and territory governments to work together to make it simpler to do business in Australia.</w:t>
      </w:r>
    </w:p>
    <w:p w14:paraId="5360CD6A" w14:textId="296E2373" w:rsidR="00B17774" w:rsidRDefault="00420953" w:rsidP="00A46E26">
      <w:pPr>
        <w:numPr>
          <w:ilvl w:val="1"/>
          <w:numId w:val="4"/>
        </w:numPr>
      </w:pPr>
      <w:r w:rsidRPr="00353F39">
        <w:t>As part of the Initiative, the Government is</w:t>
      </w:r>
      <w:r w:rsidR="00D31DBF" w:rsidRPr="00353F39">
        <w:t xml:space="preserve"> developing a modern approach to managing Commonwealth</w:t>
      </w:r>
      <w:r w:rsidR="00373495" w:rsidRPr="00353F39">
        <w:t xml:space="preserve"> registers</w:t>
      </w:r>
      <w:r w:rsidR="005E494F" w:rsidRPr="00353F39">
        <w:t xml:space="preserve"> </w:t>
      </w:r>
      <w:r w:rsidRPr="00353F39">
        <w:t>to provide</w:t>
      </w:r>
      <w:r w:rsidR="00D31DBF" w:rsidRPr="00353F39">
        <w:t xml:space="preserve"> more user-friendly and streamlined</w:t>
      </w:r>
      <w:r w:rsidRPr="00353F39">
        <w:t xml:space="preserve"> registry services. The initial </w:t>
      </w:r>
      <w:r w:rsidR="00373495" w:rsidRPr="00353F39">
        <w:t>focus</w:t>
      </w:r>
      <w:r w:rsidR="005E494F" w:rsidRPr="00353F39">
        <w:t xml:space="preserve"> of this modernisation process is on the registers kept by ASIC a</w:t>
      </w:r>
      <w:r w:rsidR="006E6000" w:rsidRPr="00353F39">
        <w:t>s well as</w:t>
      </w:r>
      <w:r w:rsidR="005E494F" w:rsidRPr="00353F39">
        <w:t xml:space="preserve"> the</w:t>
      </w:r>
      <w:r w:rsidRPr="00353F39">
        <w:t xml:space="preserve"> </w:t>
      </w:r>
      <w:r w:rsidRPr="00A46E26">
        <w:t>Australian</w:t>
      </w:r>
      <w:r w:rsidRPr="00353F39">
        <w:t xml:space="preserve"> Business Register, which is kept by </w:t>
      </w:r>
      <w:r w:rsidR="005E494F" w:rsidRPr="00353F39">
        <w:t>the Commissioner</w:t>
      </w:r>
      <w:r w:rsidR="009B6BE8" w:rsidRPr="00353F39">
        <w:t xml:space="preserve"> of Taxation (Commissioner)</w:t>
      </w:r>
      <w:r w:rsidRPr="00353F39">
        <w:t>.</w:t>
      </w:r>
    </w:p>
    <w:p w14:paraId="5360CD6B" w14:textId="77777777" w:rsidR="00B17774" w:rsidRDefault="00B17774" w:rsidP="00B17774">
      <w:pPr>
        <w:pStyle w:val="Heading2"/>
      </w:pPr>
      <w:r>
        <w:t>Summary of new law</w:t>
      </w:r>
    </w:p>
    <w:p w14:paraId="5360CD6C" w14:textId="77777777" w:rsidR="00B17774" w:rsidRPr="00353F39" w:rsidRDefault="000B048D" w:rsidP="00A46E26">
      <w:pPr>
        <w:numPr>
          <w:ilvl w:val="1"/>
          <w:numId w:val="4"/>
        </w:numPr>
      </w:pPr>
      <w:r w:rsidRPr="004E49BA">
        <w:t>T</w:t>
      </w:r>
      <w:r w:rsidR="0030115E" w:rsidRPr="00353F39">
        <w:t>he new law facilitates a modern government registry regime that is flexible, technology neutral and governance neutral.</w:t>
      </w:r>
      <w:r w:rsidRPr="00353F39">
        <w:t xml:space="preserve"> </w:t>
      </w:r>
      <w:r w:rsidR="009D7838" w:rsidRPr="00353F39">
        <w:t>T</w:t>
      </w:r>
      <w:r w:rsidRPr="00353F39">
        <w:t>he regime</w:t>
      </w:r>
      <w:r w:rsidR="009D7838" w:rsidRPr="00353F39">
        <w:t xml:space="preserve"> initially</w:t>
      </w:r>
      <w:r w:rsidR="00AB4BF9" w:rsidRPr="00353F39">
        <w:t xml:space="preserve"> applies to the business registers administered by</w:t>
      </w:r>
      <w:r w:rsidRPr="00353F39">
        <w:t xml:space="preserve"> ASIC and the </w:t>
      </w:r>
      <w:r w:rsidR="009D7838" w:rsidRPr="00353F39">
        <w:t xml:space="preserve">Australian Business Register. </w:t>
      </w:r>
      <w:r w:rsidR="0030115E" w:rsidRPr="00353F39">
        <w:t>A</w:t>
      </w:r>
      <w:r w:rsidR="009D7838" w:rsidRPr="00353F39">
        <w:t>dditional</w:t>
      </w:r>
      <w:r w:rsidR="00081EA7" w:rsidRPr="00353F39">
        <w:t xml:space="preserve"> government</w:t>
      </w:r>
      <w:r w:rsidR="009D7838" w:rsidRPr="00353F39">
        <w:t xml:space="preserve"> registers may be brought into the regime by</w:t>
      </w:r>
      <w:r w:rsidR="007A14CA" w:rsidRPr="00353F39">
        <w:t xml:space="preserve"> future legislative reforms.</w:t>
      </w:r>
    </w:p>
    <w:p w14:paraId="5360CD6D" w14:textId="77777777" w:rsidR="00102F26" w:rsidRPr="00353F39" w:rsidRDefault="00102F26" w:rsidP="00A46E26">
      <w:pPr>
        <w:numPr>
          <w:ilvl w:val="1"/>
          <w:numId w:val="4"/>
        </w:numPr>
      </w:pPr>
      <w:r w:rsidRPr="00353F39">
        <w:lastRenderedPageBreak/>
        <w:t>Under the new regime the Minister appoints an existi</w:t>
      </w:r>
      <w:r w:rsidR="00BC11C4" w:rsidRPr="00353F39">
        <w:t>ng Commonwealth body to be the r</w:t>
      </w:r>
      <w:r w:rsidRPr="00353F39">
        <w:t>egistrar. Different registrars can be appointed for different</w:t>
      </w:r>
      <w:r w:rsidR="00281594" w:rsidRPr="00353F39">
        <w:t xml:space="preserve"> functions or powers of the r</w:t>
      </w:r>
      <w:r w:rsidRPr="00353F39">
        <w:t>egistrar.</w:t>
      </w:r>
    </w:p>
    <w:p w14:paraId="5360CD6E" w14:textId="77777777" w:rsidR="00971425" w:rsidRPr="00353F39" w:rsidRDefault="00102F26" w:rsidP="00A46E26">
      <w:pPr>
        <w:numPr>
          <w:ilvl w:val="1"/>
          <w:numId w:val="4"/>
        </w:numPr>
      </w:pPr>
      <w:r w:rsidRPr="00353F39">
        <w:t>The functions and powers</w:t>
      </w:r>
      <w:r w:rsidR="00281594" w:rsidRPr="00353F39">
        <w:t xml:space="preserve"> of the r</w:t>
      </w:r>
      <w:r w:rsidRPr="00353F39">
        <w:t>egistrar are lar</w:t>
      </w:r>
      <w:r w:rsidR="00BC11C4" w:rsidRPr="00353F39">
        <w:t xml:space="preserve">gely set out in </w:t>
      </w:r>
      <w:r w:rsidR="0030115E" w:rsidRPr="00353F39">
        <w:t>existing</w:t>
      </w:r>
      <w:r w:rsidRPr="00353F39">
        <w:t xml:space="preserve"> Commonwealt</w:t>
      </w:r>
      <w:r w:rsidR="00BC11C4" w:rsidRPr="00353F39">
        <w:t xml:space="preserve">h laws. In particular, most powers and functions are set out in the Commonwealth </w:t>
      </w:r>
      <w:r w:rsidR="00D529DA" w:rsidRPr="00353F39">
        <w:t>acts</w:t>
      </w:r>
      <w:r w:rsidRPr="00353F39">
        <w:t xml:space="preserve"> that</w:t>
      </w:r>
      <w:r w:rsidR="00BC11C4" w:rsidRPr="00353F39">
        <w:t xml:space="preserve"> </w:t>
      </w:r>
      <w:r w:rsidR="009F0631" w:rsidRPr="00353F39">
        <w:t>contain the registers</w:t>
      </w:r>
      <w:r w:rsidR="00730140" w:rsidRPr="00353F39">
        <w:t xml:space="preserve"> being</w:t>
      </w:r>
      <w:r w:rsidR="009F0631" w:rsidRPr="00353F39">
        <w:t xml:space="preserve"> brought in</w:t>
      </w:r>
      <w:r w:rsidR="00BC11C4" w:rsidRPr="00353F39">
        <w:t xml:space="preserve">to the new regime. These </w:t>
      </w:r>
      <w:r w:rsidR="00D529DA" w:rsidRPr="00353F39">
        <w:t xml:space="preserve">acts </w:t>
      </w:r>
      <w:r w:rsidR="00BC11C4" w:rsidRPr="00353F39">
        <w:t>include the</w:t>
      </w:r>
      <w:r w:rsidR="00BF4083" w:rsidRPr="00353F39">
        <w:t>:</w:t>
      </w:r>
      <w:r w:rsidR="00BC11C4" w:rsidRPr="00353F39">
        <w:t xml:space="preserve"> Corporations Act</w:t>
      </w:r>
      <w:r w:rsidR="00BF4083" w:rsidRPr="00353F39">
        <w:t>;</w:t>
      </w:r>
      <w:r w:rsidR="00BC11C4" w:rsidRPr="00353F39">
        <w:t xml:space="preserve"> </w:t>
      </w:r>
      <w:r w:rsidR="00BF4083" w:rsidRPr="00353F39">
        <w:t xml:space="preserve">the </w:t>
      </w:r>
      <w:r w:rsidR="00BC11C4" w:rsidRPr="00353F39">
        <w:t>ABN Act;</w:t>
      </w:r>
      <w:r w:rsidR="00281594" w:rsidRPr="00353F39">
        <w:t xml:space="preserve"> </w:t>
      </w:r>
      <w:r w:rsidR="00BF4083" w:rsidRPr="004E49BA">
        <w:t xml:space="preserve">the </w:t>
      </w:r>
      <w:r w:rsidR="00BC11C4" w:rsidRPr="00353F39">
        <w:t>Business Names Act; the Credit Act; and</w:t>
      </w:r>
      <w:r w:rsidR="00BF4083" w:rsidRPr="00353F39">
        <w:t>,</w:t>
      </w:r>
      <w:r w:rsidR="00BC11C4" w:rsidRPr="00353F39">
        <w:t xml:space="preserve"> the SIS Act</w:t>
      </w:r>
      <w:r w:rsidR="00971425" w:rsidRPr="00353F39">
        <w:t xml:space="preserve">. </w:t>
      </w:r>
    </w:p>
    <w:p w14:paraId="5360CD6F" w14:textId="77777777" w:rsidR="00971425" w:rsidRPr="00353F39" w:rsidRDefault="00971425" w:rsidP="00A46E26">
      <w:pPr>
        <w:numPr>
          <w:ilvl w:val="1"/>
          <w:numId w:val="4"/>
        </w:numPr>
      </w:pPr>
      <w:r w:rsidRPr="00353F39">
        <w:t xml:space="preserve">The registrar performs its functions and exercises its powers in accordance with the data standards and other Commonwealth laws. The data standards are disallowable instruments made by the </w:t>
      </w:r>
      <w:r w:rsidR="00D529DA" w:rsidRPr="00353F39">
        <w:t>registrar</w:t>
      </w:r>
      <w:r w:rsidRPr="00353F39">
        <w:t>. They may deal with a va</w:t>
      </w:r>
      <w:r w:rsidR="00281594" w:rsidRPr="00353F39">
        <w:t>riety of matters including</w:t>
      </w:r>
      <w:r w:rsidR="00635044" w:rsidRPr="00353F39">
        <w:t xml:space="preserve"> what information may be collected for the purposes of performing the registrar’</w:t>
      </w:r>
      <w:r w:rsidR="00695B84" w:rsidRPr="00353F39">
        <w:t xml:space="preserve">s functions, </w:t>
      </w:r>
      <w:r w:rsidR="00281594" w:rsidRPr="00353F39">
        <w:t>how</w:t>
      </w:r>
      <w:r w:rsidR="00635044" w:rsidRPr="00353F39">
        <w:t xml:space="preserve"> such</w:t>
      </w:r>
      <w:r w:rsidR="009F0631" w:rsidRPr="00353F39">
        <w:t xml:space="preserve"> </w:t>
      </w:r>
      <w:r w:rsidR="00281594" w:rsidRPr="00353F39">
        <w:t>information is</w:t>
      </w:r>
      <w:r w:rsidR="00635044" w:rsidRPr="00353F39">
        <w:t xml:space="preserve"> to be</w:t>
      </w:r>
      <w:r w:rsidR="00281594" w:rsidRPr="00353F39">
        <w:t xml:space="preserve"> given to the registrar</w:t>
      </w:r>
      <w:r w:rsidR="00125662" w:rsidRPr="00353F39">
        <w:t>, and how</w:t>
      </w:r>
      <w:r w:rsidR="00695B84" w:rsidRPr="00353F39">
        <w:t xml:space="preserve"> information </w:t>
      </w:r>
      <w:r w:rsidR="00125662" w:rsidRPr="00353F39">
        <w:t>held by the registrar is</w:t>
      </w:r>
      <w:r w:rsidR="00695B84" w:rsidRPr="00353F39">
        <w:t xml:space="preserve"> to be stored.</w:t>
      </w:r>
    </w:p>
    <w:p w14:paraId="5360CD70" w14:textId="77777777" w:rsidR="00281594" w:rsidRPr="00353F39" w:rsidRDefault="00281594" w:rsidP="00A46E26">
      <w:pPr>
        <w:numPr>
          <w:ilvl w:val="1"/>
          <w:numId w:val="4"/>
        </w:numPr>
      </w:pPr>
      <w:r w:rsidRPr="00353F39">
        <w:t xml:space="preserve">The new law provides for the protection and disclosure of information held by the registrar. </w:t>
      </w:r>
      <w:r w:rsidR="00FA5E28" w:rsidRPr="00353F39">
        <w:t>It is</w:t>
      </w:r>
      <w:r w:rsidR="002E5250" w:rsidRPr="00353F39">
        <w:t xml:space="preserve"> an offence for an official to</w:t>
      </w:r>
      <w:r w:rsidR="00FA5E28" w:rsidRPr="00353F39">
        <w:t xml:space="preserve"> disclose information </w:t>
      </w:r>
      <w:r w:rsidR="002E5250" w:rsidRPr="00353F39">
        <w:t xml:space="preserve">held by the registrar unless the disclosure is authorised. </w:t>
      </w:r>
      <w:r w:rsidR="00730140" w:rsidRPr="00353F39">
        <w:t>A</w:t>
      </w:r>
      <w:r w:rsidR="002E5250" w:rsidRPr="00353F39">
        <w:t xml:space="preserve"> disclosure is authorised where</w:t>
      </w:r>
      <w:r w:rsidR="00730140" w:rsidRPr="00353F39">
        <w:t>:</w:t>
      </w:r>
      <w:r w:rsidR="002E5250" w:rsidRPr="00353F39">
        <w:t xml:space="preserve"> it is for the purposes of the new</w:t>
      </w:r>
      <w:r w:rsidR="00EC7F97" w:rsidRPr="00353F39">
        <w:t xml:space="preserve"> registry</w:t>
      </w:r>
      <w:r w:rsidR="002E5250" w:rsidRPr="00353F39">
        <w:t xml:space="preserve"> regime</w:t>
      </w:r>
      <w:r w:rsidR="00730140" w:rsidRPr="00353F39">
        <w:t xml:space="preserve">; </w:t>
      </w:r>
      <w:r w:rsidR="0004332E" w:rsidRPr="00353F39">
        <w:t xml:space="preserve">it </w:t>
      </w:r>
      <w:r w:rsidR="00730140" w:rsidRPr="00353F39">
        <w:t>happens in the course of the performance of an official’s duties;</w:t>
      </w:r>
      <w:r w:rsidR="00EC7F97" w:rsidRPr="00353F39">
        <w:t xml:space="preserve"> each person to whom the information relates</w:t>
      </w:r>
      <w:r w:rsidR="00730140" w:rsidRPr="00353F39">
        <w:t xml:space="preserve"> consents to the disclosure;</w:t>
      </w:r>
      <w:r w:rsidR="0030115E" w:rsidRPr="00353F39">
        <w:t xml:space="preserve"> the information is disclosed to a government agency for the performance of its </w:t>
      </w:r>
      <w:r w:rsidR="00730140" w:rsidRPr="00353F39">
        <w:t>functions;</w:t>
      </w:r>
      <w:r w:rsidR="00125662" w:rsidRPr="00353F39">
        <w:t xml:space="preserve"> or</w:t>
      </w:r>
      <w:r w:rsidR="00730140" w:rsidRPr="00353F39">
        <w:t>,</w:t>
      </w:r>
      <w:r w:rsidR="00125662" w:rsidRPr="00353F39">
        <w:t xml:space="preserve"> the benefits associated with the disclosure outweigh the</w:t>
      </w:r>
      <w:r w:rsidR="0030115E" w:rsidRPr="00353F39">
        <w:t xml:space="preserve"> risks (including privacy risks) after those risks have been mitigated.</w:t>
      </w:r>
    </w:p>
    <w:p w14:paraId="5360CD71" w14:textId="77777777" w:rsidR="002D2065" w:rsidRPr="00353F39" w:rsidRDefault="00281594" w:rsidP="00A46E26">
      <w:pPr>
        <w:numPr>
          <w:ilvl w:val="1"/>
          <w:numId w:val="4"/>
        </w:numPr>
      </w:pPr>
      <w:r w:rsidRPr="00353F39">
        <w:t>All decisions made by the registrar</w:t>
      </w:r>
      <w:r w:rsidR="00A55015" w:rsidRPr="00353F39">
        <w:t xml:space="preserve"> under the new Act</w:t>
      </w:r>
      <w:r w:rsidR="002D2065" w:rsidRPr="00353F39">
        <w:t xml:space="preserve"> are reviewable by the Administrative Appeals Tribunal except </w:t>
      </w:r>
      <w:r w:rsidR="00060C78" w:rsidRPr="00353F39">
        <w:t>those</w:t>
      </w:r>
      <w:r w:rsidR="002D2065" w:rsidRPr="00353F39">
        <w:t xml:space="preserve"> made by disallowable instrument.</w:t>
      </w:r>
    </w:p>
    <w:p w14:paraId="5360CD72" w14:textId="77777777" w:rsidR="00043848" w:rsidRDefault="00043848" w:rsidP="00043848">
      <w:pPr>
        <w:pStyle w:val="Heading2"/>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5360CD75" w14:textId="77777777" w:rsidTr="005E52FA">
        <w:tc>
          <w:tcPr>
            <w:tcW w:w="3275" w:type="dxa"/>
          </w:tcPr>
          <w:p w14:paraId="5360CD73" w14:textId="77777777" w:rsidR="00B17774" w:rsidRPr="004666B8" w:rsidRDefault="00B17774" w:rsidP="005E52FA">
            <w:pPr>
              <w:pStyle w:val="tableheaderwithintable"/>
              <w:rPr>
                <w:lang w:val="en-US" w:eastAsia="en-US"/>
              </w:rPr>
            </w:pPr>
            <w:r w:rsidRPr="004666B8">
              <w:rPr>
                <w:lang w:val="en-US" w:eastAsia="en-US"/>
              </w:rPr>
              <w:t>New law</w:t>
            </w:r>
          </w:p>
        </w:tc>
        <w:tc>
          <w:tcPr>
            <w:tcW w:w="3276" w:type="dxa"/>
          </w:tcPr>
          <w:p w14:paraId="5360CD74" w14:textId="77777777" w:rsidR="00B17774" w:rsidRPr="004666B8" w:rsidRDefault="00B17774" w:rsidP="005E52FA">
            <w:pPr>
              <w:pStyle w:val="tableheaderwithintable"/>
              <w:rPr>
                <w:lang w:val="en-US" w:eastAsia="en-US"/>
              </w:rPr>
            </w:pPr>
            <w:r w:rsidRPr="004666B8">
              <w:rPr>
                <w:lang w:val="en-US" w:eastAsia="en-US"/>
              </w:rPr>
              <w:t>Current law</w:t>
            </w:r>
          </w:p>
        </w:tc>
      </w:tr>
      <w:tr w:rsidR="00B17774" w:rsidRPr="004666B8" w14:paraId="5360CD78" w14:textId="77777777" w:rsidTr="005E52FA">
        <w:tc>
          <w:tcPr>
            <w:tcW w:w="3275" w:type="dxa"/>
          </w:tcPr>
          <w:p w14:paraId="5360CD76" w14:textId="77777777" w:rsidR="00B17774" w:rsidRPr="004666B8" w:rsidRDefault="009F0F01" w:rsidP="009F0F01">
            <w:pPr>
              <w:pStyle w:val="tabletext"/>
              <w:rPr>
                <w:lang w:val="en-US" w:eastAsia="en-US"/>
              </w:rPr>
            </w:pPr>
            <w:r>
              <w:rPr>
                <w:lang w:val="en-US" w:eastAsia="en-US"/>
              </w:rPr>
              <w:t>Registry information is held by the Government body which is appointed by the Minister as registrar. The information is subject to uniform rules that are flexible, technology neutral and governance neutral</w:t>
            </w:r>
            <w:r w:rsidR="001F741A">
              <w:rPr>
                <w:lang w:val="en-US" w:eastAsia="en-US"/>
              </w:rPr>
              <w:t>.</w:t>
            </w:r>
          </w:p>
        </w:tc>
        <w:tc>
          <w:tcPr>
            <w:tcW w:w="3276" w:type="dxa"/>
          </w:tcPr>
          <w:p w14:paraId="5360CD77" w14:textId="77777777" w:rsidR="00B17774" w:rsidRPr="004666B8" w:rsidRDefault="009F0F01" w:rsidP="002747DF">
            <w:pPr>
              <w:pStyle w:val="tabletext"/>
              <w:rPr>
                <w:lang w:val="en-US" w:eastAsia="en-US"/>
              </w:rPr>
            </w:pPr>
            <w:r>
              <w:rPr>
                <w:lang w:val="en-US" w:eastAsia="en-US"/>
              </w:rPr>
              <w:t xml:space="preserve">There </w:t>
            </w:r>
            <w:r w:rsidR="00D529DA">
              <w:rPr>
                <w:lang w:val="en-US" w:eastAsia="en-US"/>
              </w:rPr>
              <w:t>are</w:t>
            </w:r>
            <w:r>
              <w:rPr>
                <w:lang w:val="en-US" w:eastAsia="en-US"/>
              </w:rPr>
              <w:t xml:space="preserve"> a series of specific registers</w:t>
            </w:r>
            <w:r w:rsidR="00F543BE">
              <w:rPr>
                <w:lang w:val="en-US" w:eastAsia="en-US"/>
              </w:rPr>
              <w:t xml:space="preserve"> held by ASIC and the Commission</w:t>
            </w:r>
            <w:r w:rsidR="00BB05F1">
              <w:rPr>
                <w:lang w:val="en-US" w:eastAsia="en-US"/>
              </w:rPr>
              <w:t>er</w:t>
            </w:r>
            <w:r>
              <w:rPr>
                <w:lang w:val="en-US" w:eastAsia="en-US"/>
              </w:rPr>
              <w:t>. The rules applying to these registers</w:t>
            </w:r>
            <w:r w:rsidR="00F543BE">
              <w:rPr>
                <w:lang w:val="en-US" w:eastAsia="en-US"/>
              </w:rPr>
              <w:t xml:space="preserve"> </w:t>
            </w:r>
            <w:r>
              <w:rPr>
                <w:lang w:val="en-US" w:eastAsia="en-US"/>
              </w:rPr>
              <w:t>are</w:t>
            </w:r>
            <w:r w:rsidR="00F543BE">
              <w:rPr>
                <w:lang w:val="en-US" w:eastAsia="en-US"/>
              </w:rPr>
              <w:t xml:space="preserve"> </w:t>
            </w:r>
            <w:r>
              <w:rPr>
                <w:lang w:val="en-US" w:eastAsia="en-US"/>
              </w:rPr>
              <w:t>prescriptive</w:t>
            </w:r>
            <w:r w:rsidR="00F543BE">
              <w:rPr>
                <w:lang w:val="en-US" w:eastAsia="en-US"/>
              </w:rPr>
              <w:t xml:space="preserve"> and are </w:t>
            </w:r>
            <w:r w:rsidR="00366793">
              <w:rPr>
                <w:lang w:val="en-US" w:eastAsia="en-US"/>
              </w:rPr>
              <w:t>not uniform</w:t>
            </w:r>
            <w:r w:rsidR="002747DF">
              <w:rPr>
                <w:lang w:val="en-US" w:eastAsia="en-US"/>
              </w:rPr>
              <w:t>, technology neutral or</w:t>
            </w:r>
            <w:r>
              <w:rPr>
                <w:lang w:val="en-US" w:eastAsia="en-US"/>
              </w:rPr>
              <w:t xml:space="preserve"> governance neutral.</w:t>
            </w:r>
          </w:p>
        </w:tc>
      </w:tr>
    </w:tbl>
    <w:p w14:paraId="5360CD79" w14:textId="77777777" w:rsidR="00B17774" w:rsidRDefault="00B17774" w:rsidP="00B17774">
      <w:pPr>
        <w:pStyle w:val="Heading2"/>
      </w:pPr>
      <w:r>
        <w:t>Detailed explanation of new law</w:t>
      </w:r>
    </w:p>
    <w:p w14:paraId="5360CD7A" w14:textId="77777777" w:rsidR="00047967" w:rsidRDefault="00047967" w:rsidP="00047967">
      <w:pPr>
        <w:numPr>
          <w:ilvl w:val="1"/>
          <w:numId w:val="4"/>
        </w:numPr>
      </w:pPr>
      <w:r>
        <w:t>The legislative package creates the new Act and makes consequential amendments to a suite of existing laws to create a new Commonwealth business registry regime. It sets out:</w:t>
      </w:r>
    </w:p>
    <w:p w14:paraId="5360CD7B" w14:textId="035FB110" w:rsidR="00047967" w:rsidRDefault="00047967" w:rsidP="00047967">
      <w:pPr>
        <w:pStyle w:val="dotpoint"/>
      </w:pPr>
      <w:r>
        <w:t>what</w:t>
      </w:r>
      <w:r w:rsidR="008B4D2F">
        <w:t xml:space="preserve"> information is subject to new </w:t>
      </w:r>
      <w:r>
        <w:t>regime</w:t>
      </w:r>
      <w:r w:rsidR="009B6BE8">
        <w:t>;</w:t>
      </w:r>
    </w:p>
    <w:p w14:paraId="5360CD7C" w14:textId="0152C401" w:rsidR="00047967" w:rsidRDefault="00047967" w:rsidP="00047967">
      <w:pPr>
        <w:pStyle w:val="dotpoint"/>
      </w:pPr>
      <w:r>
        <w:t>who</w:t>
      </w:r>
      <w:r w:rsidR="00C03F8B">
        <w:t xml:space="preserve"> may be appointed to</w:t>
      </w:r>
      <w:r>
        <w:t xml:space="preserve"> administer the new regime as its </w:t>
      </w:r>
      <w:r w:rsidR="00D529DA">
        <w:t>registrar</w:t>
      </w:r>
      <w:r>
        <w:t>;</w:t>
      </w:r>
    </w:p>
    <w:p w14:paraId="5360CD7D" w14:textId="77777777" w:rsidR="00047967" w:rsidRDefault="00047967" w:rsidP="00047967">
      <w:pPr>
        <w:pStyle w:val="dotpoint"/>
      </w:pPr>
      <w:r>
        <w:t xml:space="preserve">the functions and powers of the </w:t>
      </w:r>
      <w:r w:rsidR="00D529DA">
        <w:t>registrar</w:t>
      </w:r>
      <w:r>
        <w:t>;</w:t>
      </w:r>
    </w:p>
    <w:p w14:paraId="5360CD7E" w14:textId="77777777" w:rsidR="00047967" w:rsidRDefault="00047967" w:rsidP="00047967">
      <w:pPr>
        <w:pStyle w:val="dotpoint"/>
      </w:pPr>
      <w:r>
        <w:t xml:space="preserve">how the </w:t>
      </w:r>
      <w:r w:rsidR="00D529DA">
        <w:t>registrar</w:t>
      </w:r>
      <w:r>
        <w:t xml:space="preserve"> performs its functions and exercises its powers;</w:t>
      </w:r>
    </w:p>
    <w:p w14:paraId="5360CD7F" w14:textId="77777777" w:rsidR="00047967" w:rsidRDefault="00047967" w:rsidP="00047967">
      <w:pPr>
        <w:pStyle w:val="dotpoint"/>
      </w:pPr>
      <w:r>
        <w:t xml:space="preserve">the framework for protecting and disclosing information held by the </w:t>
      </w:r>
      <w:r w:rsidR="00D529DA">
        <w:t>registrar</w:t>
      </w:r>
      <w:r>
        <w:t>; and</w:t>
      </w:r>
    </w:p>
    <w:p w14:paraId="5360CD80" w14:textId="77777777" w:rsidR="00047967" w:rsidRDefault="00047967" w:rsidP="00047967">
      <w:pPr>
        <w:pStyle w:val="dotpoint"/>
      </w:pPr>
      <w:proofErr w:type="gramStart"/>
      <w:r>
        <w:t>other</w:t>
      </w:r>
      <w:proofErr w:type="gramEnd"/>
      <w:r>
        <w:t xml:space="preserve"> matters that support the new regime.</w:t>
      </w:r>
    </w:p>
    <w:p w14:paraId="5360CD81" w14:textId="628FF938" w:rsidR="00700E7F" w:rsidRPr="00323628" w:rsidRDefault="00465BD0" w:rsidP="00A46E26">
      <w:pPr>
        <w:numPr>
          <w:ilvl w:val="1"/>
          <w:numId w:val="4"/>
        </w:numPr>
        <w:rPr>
          <w:rStyle w:val="Referencingstyle"/>
          <w:b w:val="0"/>
          <w:i w:val="0"/>
          <w:sz w:val="22"/>
        </w:rPr>
      </w:pPr>
      <w:r>
        <w:t xml:space="preserve">The </w:t>
      </w:r>
      <w:r w:rsidR="008B4D2F">
        <w:t>objective of the new regime is to facilitate a modern government registry regime that is flexible, technology neutral and governance neutral.</w:t>
      </w:r>
      <w:r w:rsidR="005C3CF6">
        <w:t xml:space="preserve"> </w:t>
      </w:r>
      <w:r w:rsidR="00A7225D">
        <w:t>T</w:t>
      </w:r>
      <w:r w:rsidR="005C3CF6">
        <w:t>he new Act incl</w:t>
      </w:r>
      <w:r w:rsidR="00A7225D">
        <w:t>udes a simplified outline</w:t>
      </w:r>
      <w:r w:rsidR="00D0446D">
        <w:t xml:space="preserve"> of its contents</w:t>
      </w:r>
      <w:r w:rsidR="00A7225D">
        <w:t xml:space="preserve"> to assist readers understand the new regime.</w:t>
      </w:r>
      <w:r w:rsidR="005C3CF6">
        <w:t xml:space="preserve"> </w:t>
      </w:r>
      <w:r w:rsidR="001F741A">
        <w:rPr>
          <w:rStyle w:val="Referencingstyle"/>
        </w:rPr>
        <w:t>[</w:t>
      </w:r>
      <w:r w:rsidR="008E04F7">
        <w:rPr>
          <w:rStyle w:val="Referencingstyle"/>
        </w:rPr>
        <w:t>Clauses</w:t>
      </w:r>
      <w:r w:rsidR="001F741A">
        <w:rPr>
          <w:rStyle w:val="Referencingstyle"/>
        </w:rPr>
        <w:t xml:space="preserve"> 3 and 4</w:t>
      </w:r>
      <w:r w:rsidR="001F741A" w:rsidRPr="001F741A">
        <w:rPr>
          <w:rStyle w:val="Referencingstyle"/>
        </w:rPr>
        <w:t xml:space="preserve"> of</w:t>
      </w:r>
      <w:r w:rsidR="001F741A">
        <w:rPr>
          <w:rStyle w:val="Referencingstyle"/>
        </w:rPr>
        <w:t xml:space="preserve"> the Commonwealth Registers Bill 2018</w:t>
      </w:r>
      <w:r w:rsidR="00700E7F">
        <w:rPr>
          <w:rStyle w:val="Referencingstyle"/>
        </w:rPr>
        <w:t>]</w:t>
      </w:r>
    </w:p>
    <w:p w14:paraId="5360CD82" w14:textId="77777777" w:rsidR="007B29FF" w:rsidRDefault="00043848" w:rsidP="007B29FF">
      <w:pPr>
        <w:pStyle w:val="Heading3"/>
      </w:pPr>
      <w:r>
        <w:lastRenderedPageBreak/>
        <w:t xml:space="preserve">What </w:t>
      </w:r>
      <w:r w:rsidR="008B4D2F">
        <w:t>information is subject to the</w:t>
      </w:r>
      <w:r w:rsidR="00047967">
        <w:t xml:space="preserve"> new regime</w:t>
      </w:r>
      <w:r>
        <w:t>?</w:t>
      </w:r>
    </w:p>
    <w:p w14:paraId="5360CD83" w14:textId="77777777" w:rsidR="00043848" w:rsidRDefault="008B4D2F" w:rsidP="008B4D2F">
      <w:pPr>
        <w:pStyle w:val="base-text-paragraph"/>
      </w:pPr>
      <w:r>
        <w:t xml:space="preserve">Initially, information related to 35 existing business registers would be subject to the new registry regime. </w:t>
      </w:r>
      <w:r w:rsidR="002071B5">
        <w:t>Th</w:t>
      </w:r>
      <w:r w:rsidR="00807338">
        <w:t>e existing business registers</w:t>
      </w:r>
      <w:r w:rsidR="002071B5">
        <w:t xml:space="preserve"> comp</w:t>
      </w:r>
      <w:r w:rsidR="003B445A">
        <w:t>rise 34 registers currently</w:t>
      </w:r>
      <w:r w:rsidR="002071B5">
        <w:t xml:space="preserve"> kept by ASIC and the</w:t>
      </w:r>
      <w:r w:rsidR="00043848">
        <w:t xml:space="preserve"> Australian Business Register, which</w:t>
      </w:r>
      <w:r w:rsidR="003B445A">
        <w:t xml:space="preserve"> is currently</w:t>
      </w:r>
      <w:r w:rsidR="002071B5">
        <w:t xml:space="preserve"> kept by the </w:t>
      </w:r>
      <w:r w:rsidR="00043848">
        <w:t xml:space="preserve">Commissioner. </w:t>
      </w:r>
      <w:r w:rsidR="003B445A">
        <w:t xml:space="preserve">Table 1.1 </w:t>
      </w:r>
      <w:r w:rsidR="005669B0">
        <w:t>lists the registers being brought into the new regime</w:t>
      </w:r>
      <w:r>
        <w:t xml:space="preserve"> and the </w:t>
      </w:r>
      <w:r w:rsidR="00700E7F">
        <w:t>current</w:t>
      </w:r>
      <w:r w:rsidR="00E14428">
        <w:t xml:space="preserve"> legislative</w:t>
      </w:r>
      <w:r>
        <w:t xml:space="preserve"> provision(s) that establish </w:t>
      </w:r>
      <w:r w:rsidR="00E14428">
        <w:t>the</w:t>
      </w:r>
      <w:r w:rsidR="0074477B">
        <w:t xml:space="preserve"> register</w:t>
      </w:r>
      <w:r w:rsidR="005669B0">
        <w:t>.</w:t>
      </w:r>
    </w:p>
    <w:p w14:paraId="5360CD84" w14:textId="77777777" w:rsidR="002071B5" w:rsidRPr="00043848" w:rsidRDefault="002071B5" w:rsidP="002071B5">
      <w:pPr>
        <w:pStyle w:val="TableHeadingoutsidetable"/>
      </w:pPr>
      <w:r>
        <w:t xml:space="preserve"> – Registers</w:t>
      </w:r>
      <w:r w:rsidR="005669B0">
        <w:t xml:space="preserve"> being </w:t>
      </w:r>
      <w:r>
        <w:t>brought into the new regime</w:t>
      </w:r>
    </w:p>
    <w:tbl>
      <w:tblPr>
        <w:tblW w:w="6670" w:type="dxa"/>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3072"/>
        <w:gridCol w:w="3073"/>
      </w:tblGrid>
      <w:tr w:rsidR="007B29FF" w:rsidRPr="004666B8" w14:paraId="5360CD88" w14:textId="77777777" w:rsidTr="00AF76AA">
        <w:tc>
          <w:tcPr>
            <w:tcW w:w="525" w:type="dxa"/>
          </w:tcPr>
          <w:p w14:paraId="5360CD85" w14:textId="77777777" w:rsidR="007B29FF" w:rsidRPr="004666B8" w:rsidRDefault="00AF76AA" w:rsidP="00AF76AA">
            <w:pPr>
              <w:pStyle w:val="tableheaderwithintable"/>
              <w:rPr>
                <w:lang w:val="en-US" w:eastAsia="en-US"/>
              </w:rPr>
            </w:pPr>
            <w:r>
              <w:t>No.</w:t>
            </w:r>
          </w:p>
        </w:tc>
        <w:tc>
          <w:tcPr>
            <w:tcW w:w="3072" w:type="dxa"/>
          </w:tcPr>
          <w:p w14:paraId="5360CD86" w14:textId="77777777" w:rsidR="007B29FF" w:rsidRPr="004666B8" w:rsidRDefault="007B29FF" w:rsidP="007B29FF">
            <w:pPr>
              <w:pStyle w:val="tableheaderwithintable"/>
              <w:rPr>
                <w:lang w:val="en-US" w:eastAsia="en-US"/>
              </w:rPr>
            </w:pPr>
            <w:r>
              <w:t>Current provision(s)</w:t>
            </w:r>
          </w:p>
        </w:tc>
        <w:tc>
          <w:tcPr>
            <w:tcW w:w="3073" w:type="dxa"/>
          </w:tcPr>
          <w:p w14:paraId="5360CD87" w14:textId="77777777" w:rsidR="007B29FF" w:rsidRPr="004666B8" w:rsidRDefault="00817F8E" w:rsidP="007B29FF">
            <w:pPr>
              <w:pStyle w:val="tableheaderwithintable"/>
              <w:rPr>
                <w:lang w:val="en-US" w:eastAsia="en-US"/>
              </w:rPr>
            </w:pPr>
            <w:r>
              <w:rPr>
                <w:lang w:val="en-US" w:eastAsia="en-US"/>
              </w:rPr>
              <w:t>Register</w:t>
            </w:r>
          </w:p>
        </w:tc>
      </w:tr>
      <w:tr w:rsidR="007B29FF" w:rsidRPr="004666B8" w14:paraId="5360CD8A" w14:textId="77777777" w:rsidTr="007B29FF">
        <w:tc>
          <w:tcPr>
            <w:tcW w:w="6670" w:type="dxa"/>
            <w:gridSpan w:val="3"/>
          </w:tcPr>
          <w:p w14:paraId="5360CD89" w14:textId="77777777" w:rsidR="007B29FF" w:rsidRPr="0081453B" w:rsidRDefault="007B29FF" w:rsidP="007B29FF">
            <w:pPr>
              <w:pStyle w:val="tabletext"/>
              <w:rPr>
                <w:b/>
                <w:lang w:val="en-US" w:eastAsia="en-US"/>
              </w:rPr>
            </w:pPr>
            <w:r w:rsidRPr="0081453B">
              <w:rPr>
                <w:b/>
              </w:rPr>
              <w:t>Entity name/identifier/information registers</w:t>
            </w:r>
          </w:p>
        </w:tc>
      </w:tr>
      <w:tr w:rsidR="007B29FF" w:rsidRPr="004666B8" w14:paraId="5360CD8E" w14:textId="77777777" w:rsidTr="00AF76AA">
        <w:tc>
          <w:tcPr>
            <w:tcW w:w="525" w:type="dxa"/>
          </w:tcPr>
          <w:p w14:paraId="5360CD8B" w14:textId="77777777" w:rsidR="007B29FF" w:rsidRPr="0081453B" w:rsidRDefault="007B29FF" w:rsidP="008E0CB2">
            <w:pPr>
              <w:pStyle w:val="base-text-paragraph"/>
              <w:numPr>
                <w:ilvl w:val="0"/>
                <w:numId w:val="23"/>
              </w:numPr>
              <w:tabs>
                <w:tab w:val="left" w:pos="233"/>
              </w:tabs>
              <w:spacing w:before="40" w:after="40"/>
              <w:ind w:left="91" w:hanging="142"/>
            </w:pPr>
          </w:p>
        </w:tc>
        <w:tc>
          <w:tcPr>
            <w:tcW w:w="3072" w:type="dxa"/>
          </w:tcPr>
          <w:p w14:paraId="5360CD8C" w14:textId="77777777" w:rsidR="007B29FF" w:rsidRPr="004666B8" w:rsidRDefault="007B29FF" w:rsidP="00807338">
            <w:pPr>
              <w:pStyle w:val="tabletext"/>
              <w:rPr>
                <w:lang w:val="en-US" w:eastAsia="en-US"/>
              </w:rPr>
            </w:pPr>
            <w:r>
              <w:t>Section 24 of the</w:t>
            </w:r>
            <w:r w:rsidR="00807338">
              <w:t xml:space="preserve"> ABN Act</w:t>
            </w:r>
            <w:r>
              <w:t xml:space="preserve"> </w:t>
            </w:r>
          </w:p>
        </w:tc>
        <w:tc>
          <w:tcPr>
            <w:tcW w:w="3073" w:type="dxa"/>
          </w:tcPr>
          <w:p w14:paraId="5360CD8D" w14:textId="77777777" w:rsidR="007B29FF" w:rsidRPr="004666B8" w:rsidRDefault="007B29FF" w:rsidP="007B29FF">
            <w:pPr>
              <w:pStyle w:val="tabletext"/>
              <w:rPr>
                <w:lang w:val="en-US" w:eastAsia="en-US"/>
              </w:rPr>
            </w:pPr>
            <w:r>
              <w:t>Australian Business Register</w:t>
            </w:r>
          </w:p>
        </w:tc>
      </w:tr>
      <w:tr w:rsidR="007B29FF" w:rsidRPr="004666B8" w14:paraId="5360CD92" w14:textId="77777777" w:rsidTr="00AF76AA">
        <w:tc>
          <w:tcPr>
            <w:tcW w:w="525" w:type="dxa"/>
          </w:tcPr>
          <w:p w14:paraId="5360CD8F"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90" w14:textId="77777777" w:rsidR="007B29FF" w:rsidRPr="004666B8" w:rsidRDefault="007B29FF" w:rsidP="00807338">
            <w:pPr>
              <w:pStyle w:val="tabletext"/>
              <w:rPr>
                <w:lang w:val="en-US" w:eastAsia="en-US"/>
              </w:rPr>
            </w:pPr>
            <w:r>
              <w:t xml:space="preserve">Sections 118, 601DB and 1378 of the </w:t>
            </w:r>
            <w:r w:rsidR="00807338">
              <w:t>Corporations Act</w:t>
            </w:r>
          </w:p>
        </w:tc>
        <w:tc>
          <w:tcPr>
            <w:tcW w:w="3073" w:type="dxa"/>
          </w:tcPr>
          <w:p w14:paraId="5360CD91" w14:textId="1FB940C6" w:rsidR="007B29FF" w:rsidRPr="004666B8" w:rsidRDefault="007B29FF" w:rsidP="007B29FF">
            <w:pPr>
              <w:pStyle w:val="tabletext"/>
              <w:rPr>
                <w:lang w:val="en-US" w:eastAsia="en-US"/>
              </w:rPr>
            </w:pPr>
            <w:r>
              <w:t>ACN register</w:t>
            </w:r>
            <w:r w:rsidR="004D45FC">
              <w:rPr>
                <w:rStyle w:val="FootnoteReference"/>
              </w:rPr>
              <w:footnoteReference w:id="4"/>
            </w:r>
          </w:p>
        </w:tc>
      </w:tr>
      <w:tr w:rsidR="007B29FF" w:rsidRPr="004666B8" w14:paraId="5360CD96" w14:textId="77777777" w:rsidTr="00AF76AA">
        <w:tc>
          <w:tcPr>
            <w:tcW w:w="525" w:type="dxa"/>
          </w:tcPr>
          <w:p w14:paraId="5360CD93"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94" w14:textId="77777777" w:rsidR="007B29FF" w:rsidRPr="004666B8" w:rsidRDefault="007B29FF" w:rsidP="00807338">
            <w:pPr>
              <w:pStyle w:val="tabletext"/>
              <w:rPr>
                <w:lang w:val="en-US" w:eastAsia="en-US"/>
              </w:rPr>
            </w:pPr>
            <w:r>
              <w:t xml:space="preserve">Section 22 of the </w:t>
            </w:r>
            <w:r w:rsidR="00807338">
              <w:t>Business Names Act</w:t>
            </w:r>
          </w:p>
        </w:tc>
        <w:tc>
          <w:tcPr>
            <w:tcW w:w="3073" w:type="dxa"/>
          </w:tcPr>
          <w:p w14:paraId="5360CD95" w14:textId="77777777" w:rsidR="007B29FF" w:rsidRPr="004666B8" w:rsidRDefault="007B29FF" w:rsidP="007B29FF">
            <w:pPr>
              <w:pStyle w:val="tabletext"/>
              <w:rPr>
                <w:lang w:val="en-US" w:eastAsia="en-US"/>
              </w:rPr>
            </w:pPr>
            <w:r>
              <w:t>Business Names Register</w:t>
            </w:r>
          </w:p>
        </w:tc>
      </w:tr>
      <w:tr w:rsidR="007B29FF" w:rsidRPr="004666B8" w14:paraId="5360CD9A" w14:textId="77777777" w:rsidTr="00AF76AA">
        <w:tc>
          <w:tcPr>
            <w:tcW w:w="525" w:type="dxa"/>
          </w:tcPr>
          <w:p w14:paraId="5360CD97"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98" w14:textId="77777777" w:rsidR="007B29FF" w:rsidRPr="004666B8" w:rsidRDefault="00730140" w:rsidP="00730140">
            <w:pPr>
              <w:pStyle w:val="tabletext"/>
              <w:rPr>
                <w:lang w:val="en-US" w:eastAsia="en-US"/>
              </w:rPr>
            </w:pPr>
            <w:r>
              <w:t>Sectio</w:t>
            </w:r>
            <w:r w:rsidR="00966BEB">
              <w:t>n 601CB</w:t>
            </w:r>
            <w:r>
              <w:t xml:space="preserve"> of the Corporations Act</w:t>
            </w:r>
          </w:p>
        </w:tc>
        <w:tc>
          <w:tcPr>
            <w:tcW w:w="3073" w:type="dxa"/>
          </w:tcPr>
          <w:p w14:paraId="5360CD99" w14:textId="77777777" w:rsidR="007B29FF" w:rsidRPr="00730140" w:rsidRDefault="007B29FF" w:rsidP="007B29FF">
            <w:pPr>
              <w:pStyle w:val="tabletext"/>
            </w:pPr>
            <w:r>
              <w:t>Australian registrable bodies register</w:t>
            </w:r>
            <w:r w:rsidR="00966BEB">
              <w:t xml:space="preserve"> – Australian bodies</w:t>
            </w:r>
          </w:p>
        </w:tc>
      </w:tr>
      <w:tr w:rsidR="00966BEB" w:rsidRPr="004666B8" w14:paraId="5360CD9E" w14:textId="77777777" w:rsidTr="00AF76AA">
        <w:tc>
          <w:tcPr>
            <w:tcW w:w="525" w:type="dxa"/>
          </w:tcPr>
          <w:p w14:paraId="5360CD9B" w14:textId="77777777" w:rsidR="00966BEB" w:rsidRPr="0081453B" w:rsidRDefault="00966BEB" w:rsidP="008E0CB2">
            <w:pPr>
              <w:pStyle w:val="base-text-paragraph"/>
              <w:numPr>
                <w:ilvl w:val="0"/>
                <w:numId w:val="23"/>
              </w:numPr>
              <w:tabs>
                <w:tab w:val="left" w:pos="233"/>
              </w:tabs>
              <w:ind w:left="91" w:hanging="142"/>
            </w:pPr>
          </w:p>
        </w:tc>
        <w:tc>
          <w:tcPr>
            <w:tcW w:w="3072" w:type="dxa"/>
          </w:tcPr>
          <w:p w14:paraId="5360CD9C" w14:textId="77777777" w:rsidR="00966BEB" w:rsidRDefault="00966BEB" w:rsidP="00730140">
            <w:pPr>
              <w:pStyle w:val="tabletext"/>
            </w:pPr>
            <w:r>
              <w:t>Section 601CE of the Corporations Act</w:t>
            </w:r>
          </w:p>
        </w:tc>
        <w:tc>
          <w:tcPr>
            <w:tcW w:w="3073" w:type="dxa"/>
          </w:tcPr>
          <w:p w14:paraId="5360CD9D" w14:textId="77777777" w:rsidR="00966BEB" w:rsidRDefault="00966BEB" w:rsidP="00966BEB">
            <w:pPr>
              <w:pStyle w:val="tabletext"/>
            </w:pPr>
            <w:r>
              <w:t>Australian registrable bodies register – Foreign companies</w:t>
            </w:r>
          </w:p>
        </w:tc>
      </w:tr>
      <w:tr w:rsidR="007B29FF" w:rsidRPr="004666B8" w14:paraId="5360CDA2" w14:textId="77777777" w:rsidTr="00AF76AA">
        <w:tc>
          <w:tcPr>
            <w:tcW w:w="525" w:type="dxa"/>
          </w:tcPr>
          <w:p w14:paraId="5360CD9F"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A0" w14:textId="77777777" w:rsidR="007B29FF" w:rsidRPr="004666B8" w:rsidRDefault="007B29FF" w:rsidP="007B29FF">
            <w:pPr>
              <w:pStyle w:val="tabletext"/>
              <w:rPr>
                <w:lang w:val="en-US" w:eastAsia="en-US"/>
              </w:rPr>
            </w:pPr>
            <w:r>
              <w:t xml:space="preserve">Section 152 of the </w:t>
            </w:r>
            <w:r w:rsidRPr="00966BEB">
              <w:t>Corporations Act</w:t>
            </w:r>
          </w:p>
        </w:tc>
        <w:tc>
          <w:tcPr>
            <w:tcW w:w="3073" w:type="dxa"/>
          </w:tcPr>
          <w:p w14:paraId="5360CDA1" w14:textId="77777777" w:rsidR="007B29FF" w:rsidRPr="004666B8" w:rsidRDefault="007B29FF" w:rsidP="007B29FF">
            <w:pPr>
              <w:pStyle w:val="tabletext"/>
              <w:rPr>
                <w:lang w:val="en-US" w:eastAsia="en-US"/>
              </w:rPr>
            </w:pPr>
            <w:r>
              <w:t>Reserved names register</w:t>
            </w:r>
          </w:p>
        </w:tc>
      </w:tr>
      <w:tr w:rsidR="007B29FF" w:rsidRPr="004666B8" w14:paraId="5360CDA6" w14:textId="77777777" w:rsidTr="00AF76AA">
        <w:tc>
          <w:tcPr>
            <w:tcW w:w="525" w:type="dxa"/>
          </w:tcPr>
          <w:p w14:paraId="5360CDA3"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A4" w14:textId="77777777" w:rsidR="007B29FF" w:rsidRPr="004666B8" w:rsidRDefault="007B29FF" w:rsidP="007B29FF">
            <w:pPr>
              <w:pStyle w:val="tabletext"/>
              <w:rPr>
                <w:lang w:val="en-US" w:eastAsia="en-US"/>
              </w:rPr>
            </w:pPr>
            <w:r>
              <w:t xml:space="preserve">Section 601EB of the </w:t>
            </w:r>
            <w:r w:rsidR="00966BEB">
              <w:t>Corporations Act</w:t>
            </w:r>
          </w:p>
        </w:tc>
        <w:tc>
          <w:tcPr>
            <w:tcW w:w="3073" w:type="dxa"/>
          </w:tcPr>
          <w:p w14:paraId="5360CDA5" w14:textId="77777777" w:rsidR="007B29FF" w:rsidRPr="004666B8" w:rsidRDefault="007B29FF" w:rsidP="007B29FF">
            <w:pPr>
              <w:pStyle w:val="tabletext"/>
              <w:rPr>
                <w:lang w:val="en-US" w:eastAsia="en-US"/>
              </w:rPr>
            </w:pPr>
            <w:r>
              <w:t>Managed investment scheme register</w:t>
            </w:r>
          </w:p>
        </w:tc>
      </w:tr>
      <w:tr w:rsidR="007B29FF" w:rsidRPr="004666B8" w14:paraId="5360CDAA" w14:textId="77777777" w:rsidTr="00AF76AA">
        <w:tc>
          <w:tcPr>
            <w:tcW w:w="525" w:type="dxa"/>
          </w:tcPr>
          <w:p w14:paraId="5360CDA7"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A8" w14:textId="77777777" w:rsidR="007B29FF" w:rsidRPr="005E5889" w:rsidRDefault="007B29FF" w:rsidP="005E5889">
            <w:pPr>
              <w:pStyle w:val="tabletext"/>
            </w:pPr>
            <w:r>
              <w:t xml:space="preserve">Part 10.13 of the </w:t>
            </w:r>
            <w:r w:rsidRPr="005E5889">
              <w:t>Corporations Act</w:t>
            </w:r>
            <w:r>
              <w:rPr>
                <w:i/>
              </w:rPr>
              <w:t xml:space="preserve"> </w:t>
            </w:r>
            <w:r>
              <w:t>(preserving the operation of the repealed Chapter 2K of that Act)</w:t>
            </w:r>
            <w:r w:rsidR="005E5889">
              <w:rPr>
                <w:rStyle w:val="FootnoteReference"/>
              </w:rPr>
              <w:footnoteReference w:id="5"/>
            </w:r>
          </w:p>
        </w:tc>
        <w:tc>
          <w:tcPr>
            <w:tcW w:w="3073" w:type="dxa"/>
          </w:tcPr>
          <w:p w14:paraId="5360CDA9" w14:textId="77777777" w:rsidR="007B29FF" w:rsidRPr="005E5889" w:rsidRDefault="007B29FF" w:rsidP="007B29FF">
            <w:pPr>
              <w:pStyle w:val="tabletext"/>
            </w:pPr>
            <w:r>
              <w:t>Company charges register</w:t>
            </w:r>
            <w:r w:rsidR="005E5889">
              <w:t>*</w:t>
            </w:r>
          </w:p>
        </w:tc>
      </w:tr>
      <w:tr w:rsidR="007B29FF" w:rsidRPr="004666B8" w14:paraId="5360CDAE" w14:textId="77777777" w:rsidTr="00AF76AA">
        <w:tc>
          <w:tcPr>
            <w:tcW w:w="525" w:type="dxa"/>
          </w:tcPr>
          <w:p w14:paraId="5360CDAB"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AC" w14:textId="77777777" w:rsidR="007B29FF" w:rsidRPr="00BC2488" w:rsidRDefault="00BC2488" w:rsidP="00807338">
            <w:pPr>
              <w:pStyle w:val="tabletext"/>
            </w:pPr>
            <w:r>
              <w:t>Section 213 of the Credit Act and subregulation 29(1)</w:t>
            </w:r>
            <w:r w:rsidR="007B29FF">
              <w:t xml:space="preserve"> of the </w:t>
            </w:r>
            <w:r>
              <w:t>Credit Regulations</w:t>
            </w:r>
          </w:p>
        </w:tc>
        <w:tc>
          <w:tcPr>
            <w:tcW w:w="3073" w:type="dxa"/>
          </w:tcPr>
          <w:p w14:paraId="5360CDAD" w14:textId="77777777" w:rsidR="007B29FF" w:rsidRPr="004666B8" w:rsidRDefault="007B29FF" w:rsidP="00BC2488">
            <w:pPr>
              <w:pStyle w:val="tabletext"/>
              <w:rPr>
                <w:lang w:val="en-US" w:eastAsia="en-US"/>
              </w:rPr>
            </w:pPr>
            <w:r>
              <w:t>Credit register</w:t>
            </w:r>
            <w:r w:rsidR="00BC2488">
              <w:t>s – Licensees</w:t>
            </w:r>
          </w:p>
        </w:tc>
      </w:tr>
      <w:tr w:rsidR="00BC2488" w:rsidRPr="004666B8" w14:paraId="5360CDB2" w14:textId="77777777" w:rsidTr="00AF76AA">
        <w:tc>
          <w:tcPr>
            <w:tcW w:w="525" w:type="dxa"/>
          </w:tcPr>
          <w:p w14:paraId="5360CDAF" w14:textId="77777777" w:rsidR="00BC2488" w:rsidRPr="0081453B" w:rsidRDefault="00BC2488" w:rsidP="008E0CB2">
            <w:pPr>
              <w:pStyle w:val="base-text-paragraph"/>
              <w:numPr>
                <w:ilvl w:val="0"/>
                <w:numId w:val="23"/>
              </w:numPr>
              <w:tabs>
                <w:tab w:val="left" w:pos="233"/>
              </w:tabs>
              <w:ind w:left="91" w:hanging="142"/>
            </w:pPr>
          </w:p>
        </w:tc>
        <w:tc>
          <w:tcPr>
            <w:tcW w:w="3072" w:type="dxa"/>
          </w:tcPr>
          <w:p w14:paraId="5360CDB0" w14:textId="77777777" w:rsidR="00BC2488" w:rsidRDefault="00BC2488" w:rsidP="00BC2488">
            <w:pPr>
              <w:pStyle w:val="tabletext"/>
            </w:pPr>
            <w:r>
              <w:t>Section 213 of the Credit Act and subregulation 29(3) of the Credit Regulations</w:t>
            </w:r>
          </w:p>
        </w:tc>
        <w:tc>
          <w:tcPr>
            <w:tcW w:w="3073" w:type="dxa"/>
          </w:tcPr>
          <w:p w14:paraId="5360CDB1" w14:textId="77777777" w:rsidR="00BC2488" w:rsidRDefault="00BC2488" w:rsidP="00BC2488">
            <w:pPr>
              <w:pStyle w:val="tabletext"/>
            </w:pPr>
            <w:r>
              <w:t>Credit registers –</w:t>
            </w:r>
            <w:r w:rsidR="00583E42">
              <w:t>C</w:t>
            </w:r>
            <w:r>
              <w:t>redit representatives</w:t>
            </w:r>
          </w:p>
        </w:tc>
      </w:tr>
      <w:tr w:rsidR="00BC2488" w:rsidRPr="004666B8" w14:paraId="5360CDB6" w14:textId="77777777" w:rsidTr="00AF76AA">
        <w:tc>
          <w:tcPr>
            <w:tcW w:w="525" w:type="dxa"/>
          </w:tcPr>
          <w:p w14:paraId="5360CDB3" w14:textId="77777777" w:rsidR="00BC2488" w:rsidRDefault="00BC2488" w:rsidP="008E0CB2">
            <w:pPr>
              <w:pStyle w:val="base-text-paragraph"/>
              <w:numPr>
                <w:ilvl w:val="0"/>
                <w:numId w:val="23"/>
              </w:numPr>
              <w:tabs>
                <w:tab w:val="left" w:pos="233"/>
              </w:tabs>
              <w:ind w:left="91" w:hanging="142"/>
            </w:pPr>
          </w:p>
        </w:tc>
        <w:tc>
          <w:tcPr>
            <w:tcW w:w="3072" w:type="dxa"/>
          </w:tcPr>
          <w:p w14:paraId="5360CDB4" w14:textId="77777777" w:rsidR="00BC2488" w:rsidRDefault="00BC2488" w:rsidP="00BC2488">
            <w:pPr>
              <w:pStyle w:val="tabletext"/>
            </w:pPr>
            <w:r>
              <w:t>Section 213 of the Credit Act and subregulation 29(4) of the Credit Regulations</w:t>
            </w:r>
          </w:p>
        </w:tc>
        <w:tc>
          <w:tcPr>
            <w:tcW w:w="3073" w:type="dxa"/>
          </w:tcPr>
          <w:p w14:paraId="5360CDB5" w14:textId="77777777" w:rsidR="00BC2488" w:rsidRDefault="00BC2488" w:rsidP="00BC2488">
            <w:pPr>
              <w:pStyle w:val="tabletext"/>
            </w:pPr>
            <w:r>
              <w:t xml:space="preserve">Credit registers – </w:t>
            </w:r>
            <w:r w:rsidR="00583E42">
              <w:t>R</w:t>
            </w:r>
            <w:r>
              <w:t>egistered persons</w:t>
            </w:r>
          </w:p>
        </w:tc>
      </w:tr>
      <w:tr w:rsidR="007B29FF" w:rsidRPr="004666B8" w14:paraId="5360CDBA" w14:textId="77777777" w:rsidTr="00AF76AA">
        <w:tc>
          <w:tcPr>
            <w:tcW w:w="525" w:type="dxa"/>
          </w:tcPr>
          <w:p w14:paraId="5360CDB7"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B8" w14:textId="77777777" w:rsidR="007B29FF" w:rsidRPr="004666B8" w:rsidRDefault="00675AF9" w:rsidP="00675AF9">
            <w:pPr>
              <w:pStyle w:val="tabletext"/>
              <w:rPr>
                <w:lang w:val="en-US" w:eastAsia="en-US"/>
              </w:rPr>
            </w:pPr>
            <w:r>
              <w:t xml:space="preserve">Section 213 of the Credit Act and </w:t>
            </w:r>
            <w:r w:rsidR="007B29FF">
              <w:t xml:space="preserve">Regulation 30A of the </w:t>
            </w:r>
            <w:r w:rsidR="007B29FF" w:rsidRPr="007A14CA">
              <w:t xml:space="preserve">Credit </w:t>
            </w:r>
            <w:r w:rsidRPr="007A14CA">
              <w:t>Regulations</w:t>
            </w:r>
          </w:p>
        </w:tc>
        <w:tc>
          <w:tcPr>
            <w:tcW w:w="3073" w:type="dxa"/>
          </w:tcPr>
          <w:p w14:paraId="5360CDB9" w14:textId="77777777" w:rsidR="007B29FF" w:rsidRPr="004666B8" w:rsidRDefault="007B29FF" w:rsidP="007B29FF">
            <w:pPr>
              <w:pStyle w:val="tabletext"/>
              <w:rPr>
                <w:lang w:val="en-US" w:eastAsia="en-US"/>
              </w:rPr>
            </w:pPr>
            <w:r>
              <w:t>Credit register of unlicensed carried over instrument lenders</w:t>
            </w:r>
          </w:p>
        </w:tc>
      </w:tr>
      <w:tr w:rsidR="007B29FF" w:rsidRPr="004666B8" w14:paraId="5360CDBC" w14:textId="77777777" w:rsidTr="007B29FF">
        <w:tc>
          <w:tcPr>
            <w:tcW w:w="6670" w:type="dxa"/>
            <w:gridSpan w:val="3"/>
          </w:tcPr>
          <w:p w14:paraId="5360CDBB" w14:textId="77777777" w:rsidR="007B29FF" w:rsidRPr="005E52FA" w:rsidRDefault="007B29FF" w:rsidP="007B29FF">
            <w:pPr>
              <w:pStyle w:val="tabletext"/>
              <w:rPr>
                <w:b/>
                <w:lang w:val="en-US" w:eastAsia="en-US"/>
              </w:rPr>
            </w:pPr>
            <w:r w:rsidRPr="005E52FA">
              <w:rPr>
                <w:b/>
              </w:rPr>
              <w:t>Registers of banned or disqualified persons</w:t>
            </w:r>
          </w:p>
        </w:tc>
      </w:tr>
      <w:tr w:rsidR="007B29FF" w:rsidRPr="004666B8" w14:paraId="5360CDC0" w14:textId="77777777" w:rsidTr="00AF76AA">
        <w:tc>
          <w:tcPr>
            <w:tcW w:w="525" w:type="dxa"/>
          </w:tcPr>
          <w:p w14:paraId="5360CDBD"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BE" w14:textId="77777777" w:rsidR="007B29FF" w:rsidRPr="004666B8" w:rsidRDefault="007B29FF" w:rsidP="007B29FF">
            <w:pPr>
              <w:pStyle w:val="tabletext"/>
              <w:rPr>
                <w:lang w:val="en-US" w:eastAsia="en-US"/>
              </w:rPr>
            </w:pPr>
            <w:r>
              <w:t xml:space="preserve">Section 1274AA of the </w:t>
            </w:r>
            <w:r w:rsidRPr="007A14CA">
              <w:t>Corporations Act 2001</w:t>
            </w:r>
          </w:p>
        </w:tc>
        <w:tc>
          <w:tcPr>
            <w:tcW w:w="3073" w:type="dxa"/>
          </w:tcPr>
          <w:p w14:paraId="5360CDBF" w14:textId="77777777" w:rsidR="007B29FF" w:rsidRPr="004666B8" w:rsidRDefault="007B29FF" w:rsidP="007B29FF">
            <w:pPr>
              <w:pStyle w:val="tabletext"/>
              <w:rPr>
                <w:lang w:val="en-US" w:eastAsia="en-US"/>
              </w:rPr>
            </w:pPr>
            <w:r>
              <w:t>Register of disqualified company directors and other officers</w:t>
            </w:r>
          </w:p>
        </w:tc>
      </w:tr>
      <w:tr w:rsidR="007B29FF" w:rsidRPr="004666B8" w14:paraId="5360CDC4" w14:textId="77777777" w:rsidTr="00AF76AA">
        <w:tc>
          <w:tcPr>
            <w:tcW w:w="525" w:type="dxa"/>
          </w:tcPr>
          <w:p w14:paraId="5360CDC1"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C2" w14:textId="77777777" w:rsidR="007B29FF" w:rsidRPr="004666B8" w:rsidRDefault="00474FAA" w:rsidP="007B29FF">
            <w:pPr>
              <w:pStyle w:val="tabletext"/>
              <w:rPr>
                <w:lang w:val="en-US" w:eastAsia="en-US"/>
              </w:rPr>
            </w:pPr>
            <w:r>
              <w:t>Section 92AA of the Corporations Act and s</w:t>
            </w:r>
            <w:r w:rsidR="007B29FF">
              <w:t xml:space="preserve">ubregulation 7.6.06(1) of the </w:t>
            </w:r>
            <w:r w:rsidR="007B29FF" w:rsidRPr="007A14CA">
              <w:t>Corporations Regulations</w:t>
            </w:r>
            <w:r w:rsidR="007B29FF">
              <w:rPr>
                <w:i/>
              </w:rPr>
              <w:t> </w:t>
            </w:r>
          </w:p>
        </w:tc>
        <w:tc>
          <w:tcPr>
            <w:tcW w:w="3073" w:type="dxa"/>
          </w:tcPr>
          <w:p w14:paraId="5360CDC3" w14:textId="77777777" w:rsidR="007B29FF" w:rsidRPr="00F50191" w:rsidRDefault="007B29FF" w:rsidP="00F50191">
            <w:pPr>
              <w:pStyle w:val="tabletext"/>
            </w:pPr>
            <w:r>
              <w:t>Register</w:t>
            </w:r>
            <w:r w:rsidR="00F50191">
              <w:t xml:space="preserve"> of</w:t>
            </w:r>
            <w:r>
              <w:t xml:space="preserve"> banning order</w:t>
            </w:r>
            <w:r w:rsidR="00F50191">
              <w:t>s</w:t>
            </w:r>
            <w:r>
              <w:t xml:space="preserve"> under Division 8 of Part 7.6</w:t>
            </w:r>
            <w:r w:rsidR="00F50191">
              <w:t xml:space="preserve"> </w:t>
            </w:r>
            <w:r>
              <w:t xml:space="preserve">of the </w:t>
            </w:r>
            <w:r w:rsidR="00F50191">
              <w:t xml:space="preserve">Corporations Act </w:t>
            </w:r>
          </w:p>
        </w:tc>
      </w:tr>
      <w:tr w:rsidR="007B29FF" w:rsidRPr="004666B8" w14:paraId="5360CDC8" w14:textId="77777777" w:rsidTr="00AF76AA">
        <w:tc>
          <w:tcPr>
            <w:tcW w:w="525" w:type="dxa"/>
          </w:tcPr>
          <w:p w14:paraId="5360CDC5"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C6" w14:textId="77777777" w:rsidR="007B29FF" w:rsidRPr="004666B8" w:rsidRDefault="00474FAA" w:rsidP="00474FAA">
            <w:pPr>
              <w:pStyle w:val="tabletext"/>
              <w:rPr>
                <w:lang w:val="en-US" w:eastAsia="en-US"/>
              </w:rPr>
            </w:pPr>
            <w:r>
              <w:t>Section 92AA of the Corporations Act and s</w:t>
            </w:r>
            <w:r w:rsidR="007B29FF">
              <w:t xml:space="preserve">ubregulation 7.6.06(2) of </w:t>
            </w:r>
            <w:r w:rsidR="007B29FF">
              <w:lastRenderedPageBreak/>
              <w:t xml:space="preserve">the </w:t>
            </w:r>
            <w:r w:rsidRPr="00474FAA">
              <w:t>Corporations Regulations</w:t>
            </w:r>
          </w:p>
        </w:tc>
        <w:tc>
          <w:tcPr>
            <w:tcW w:w="3073" w:type="dxa"/>
          </w:tcPr>
          <w:p w14:paraId="5360CDC7" w14:textId="77777777" w:rsidR="007B29FF" w:rsidRPr="004666B8" w:rsidRDefault="007B29FF" w:rsidP="002361EF">
            <w:pPr>
              <w:pStyle w:val="tabletext"/>
              <w:rPr>
                <w:lang w:val="en-US" w:eastAsia="en-US"/>
              </w:rPr>
            </w:pPr>
            <w:r>
              <w:lastRenderedPageBreak/>
              <w:t>Register of disqualification order</w:t>
            </w:r>
            <w:r w:rsidR="002361EF">
              <w:t>s</w:t>
            </w:r>
            <w:r>
              <w:t xml:space="preserve"> under Division 8 of Part 7.6 of the </w:t>
            </w:r>
            <w:r w:rsidR="00474FAA" w:rsidRPr="00474FAA">
              <w:lastRenderedPageBreak/>
              <w:t>Corporations Act</w:t>
            </w:r>
          </w:p>
        </w:tc>
      </w:tr>
      <w:tr w:rsidR="007B29FF" w:rsidRPr="004666B8" w14:paraId="5360CDCC" w14:textId="77777777" w:rsidTr="00AF76AA">
        <w:tc>
          <w:tcPr>
            <w:tcW w:w="525" w:type="dxa"/>
          </w:tcPr>
          <w:p w14:paraId="5360CDC9"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CA" w14:textId="77777777" w:rsidR="007B29FF" w:rsidRPr="004666B8" w:rsidRDefault="007B29FF" w:rsidP="001B4CEB">
            <w:pPr>
              <w:pStyle w:val="tabletext"/>
              <w:rPr>
                <w:lang w:val="en-US" w:eastAsia="en-US"/>
              </w:rPr>
            </w:pPr>
            <w:r>
              <w:t xml:space="preserve">Regulation 10.2.96 of the </w:t>
            </w:r>
            <w:r w:rsidR="00C96572" w:rsidRPr="00C96572">
              <w:t>Corporations Regulations</w:t>
            </w:r>
            <w:r w:rsidR="00A628AA" w:rsidRPr="007A14CA">
              <w:rPr>
                <w:rStyle w:val="FootnoteReference"/>
              </w:rPr>
              <w:footnoteReference w:id="6"/>
            </w:r>
          </w:p>
        </w:tc>
        <w:tc>
          <w:tcPr>
            <w:tcW w:w="3073" w:type="dxa"/>
          </w:tcPr>
          <w:p w14:paraId="5360CDCB" w14:textId="77777777" w:rsidR="007B29FF" w:rsidRPr="004666B8" w:rsidRDefault="007B29FF" w:rsidP="007B29FF">
            <w:pPr>
              <w:pStyle w:val="tabletext"/>
              <w:rPr>
                <w:lang w:val="en-US" w:eastAsia="en-US"/>
              </w:rPr>
            </w:pPr>
            <w:r>
              <w:t>Banned secu</w:t>
            </w:r>
            <w:r w:rsidR="002361EF">
              <w:t>rities represen</w:t>
            </w:r>
            <w:r w:rsidR="005E5889">
              <w:t>tatives register</w:t>
            </w:r>
            <w:r w:rsidR="00FB5157">
              <w:t>*</w:t>
            </w:r>
          </w:p>
        </w:tc>
      </w:tr>
      <w:tr w:rsidR="007B29FF" w:rsidRPr="004666B8" w14:paraId="5360CDD0" w14:textId="77777777" w:rsidTr="00AF76AA">
        <w:tc>
          <w:tcPr>
            <w:tcW w:w="525" w:type="dxa"/>
          </w:tcPr>
          <w:p w14:paraId="5360CDCD"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CE" w14:textId="77777777" w:rsidR="007B29FF" w:rsidRPr="004666B8" w:rsidRDefault="00C96572" w:rsidP="00C96572">
            <w:pPr>
              <w:pStyle w:val="tabletext"/>
              <w:rPr>
                <w:lang w:val="en-US" w:eastAsia="en-US"/>
              </w:rPr>
            </w:pPr>
            <w:r>
              <w:t xml:space="preserve">Regulation 10.2.96 of the </w:t>
            </w:r>
            <w:r w:rsidRPr="00C96572">
              <w:t>Corporations Regulations</w:t>
            </w:r>
            <w:r w:rsidRPr="007A14CA">
              <w:rPr>
                <w:rStyle w:val="FootnoteReference"/>
              </w:rPr>
              <w:footnoteReference w:id="7"/>
            </w:r>
          </w:p>
        </w:tc>
        <w:tc>
          <w:tcPr>
            <w:tcW w:w="3073" w:type="dxa"/>
          </w:tcPr>
          <w:p w14:paraId="5360CDCF" w14:textId="77777777" w:rsidR="007B29FF" w:rsidRPr="004666B8" w:rsidRDefault="007B29FF" w:rsidP="007B29FF">
            <w:pPr>
              <w:pStyle w:val="tabletext"/>
              <w:rPr>
                <w:lang w:val="en-US" w:eastAsia="en-US"/>
              </w:rPr>
            </w:pPr>
            <w:r>
              <w:t>Banned f</w:t>
            </w:r>
            <w:r w:rsidR="00C96572">
              <w:t>utures representatives register*</w:t>
            </w:r>
          </w:p>
        </w:tc>
      </w:tr>
      <w:tr w:rsidR="007B29FF" w:rsidRPr="004666B8" w14:paraId="5360CDD4" w14:textId="77777777" w:rsidTr="00AF76AA">
        <w:tc>
          <w:tcPr>
            <w:tcW w:w="525" w:type="dxa"/>
          </w:tcPr>
          <w:p w14:paraId="5360CDD1"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D2" w14:textId="77777777" w:rsidR="007B29FF" w:rsidRPr="004666B8" w:rsidRDefault="00070A7E" w:rsidP="00070A7E">
            <w:pPr>
              <w:pStyle w:val="tabletext"/>
              <w:rPr>
                <w:lang w:val="en-US" w:eastAsia="en-US"/>
              </w:rPr>
            </w:pPr>
            <w:r>
              <w:t>Section 213 of the Credit Act and s</w:t>
            </w:r>
            <w:r w:rsidR="007B29FF">
              <w:t>ubregulation 30(1) of the</w:t>
            </w:r>
            <w:r>
              <w:t xml:space="preserve"> Credit Regulations</w:t>
            </w:r>
          </w:p>
        </w:tc>
        <w:tc>
          <w:tcPr>
            <w:tcW w:w="3073" w:type="dxa"/>
          </w:tcPr>
          <w:p w14:paraId="5360CDD3" w14:textId="77777777" w:rsidR="007B29FF" w:rsidRPr="004666B8" w:rsidRDefault="007B29FF" w:rsidP="007B29FF">
            <w:pPr>
              <w:pStyle w:val="tabletext"/>
              <w:rPr>
                <w:lang w:val="en-US" w:eastAsia="en-US"/>
              </w:rPr>
            </w:pPr>
            <w:r>
              <w:t>Credit register of persons against whom a banning order is made</w:t>
            </w:r>
          </w:p>
        </w:tc>
      </w:tr>
      <w:tr w:rsidR="007B29FF" w:rsidRPr="004666B8" w14:paraId="5360CDD8" w14:textId="77777777" w:rsidTr="00AF76AA">
        <w:tc>
          <w:tcPr>
            <w:tcW w:w="525" w:type="dxa"/>
          </w:tcPr>
          <w:p w14:paraId="5360CDD5"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D6" w14:textId="77777777" w:rsidR="007B29FF" w:rsidRPr="004666B8" w:rsidRDefault="00070A7E" w:rsidP="007B29FF">
            <w:pPr>
              <w:pStyle w:val="tabletext"/>
              <w:rPr>
                <w:lang w:val="en-US" w:eastAsia="en-US"/>
              </w:rPr>
            </w:pPr>
            <w:r>
              <w:t>Section 213 of the Credit Act and s</w:t>
            </w:r>
            <w:r w:rsidR="007B29FF">
              <w:t xml:space="preserve">ubregulation 30(2) of the </w:t>
            </w:r>
            <w:r>
              <w:t>Credit Regulations</w:t>
            </w:r>
          </w:p>
        </w:tc>
        <w:tc>
          <w:tcPr>
            <w:tcW w:w="3073" w:type="dxa"/>
          </w:tcPr>
          <w:p w14:paraId="5360CDD7" w14:textId="77777777" w:rsidR="007B29FF" w:rsidRPr="004666B8" w:rsidRDefault="007B29FF" w:rsidP="007B29FF">
            <w:pPr>
              <w:pStyle w:val="tabletext"/>
              <w:rPr>
                <w:lang w:val="en-US" w:eastAsia="en-US"/>
              </w:rPr>
            </w:pPr>
            <w:r>
              <w:t>Credit register of persons against whom a disqualification order is made</w:t>
            </w:r>
          </w:p>
        </w:tc>
      </w:tr>
      <w:tr w:rsidR="007B29FF" w:rsidRPr="004666B8" w14:paraId="5360CDDC" w14:textId="77777777" w:rsidTr="00AF76AA">
        <w:tc>
          <w:tcPr>
            <w:tcW w:w="525" w:type="dxa"/>
          </w:tcPr>
          <w:p w14:paraId="5360CDD9"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DA" w14:textId="77777777" w:rsidR="007B29FF" w:rsidRPr="004666B8" w:rsidRDefault="00070A7E" w:rsidP="00070A7E">
            <w:pPr>
              <w:pStyle w:val="tabletext"/>
              <w:rPr>
                <w:lang w:val="en-US" w:eastAsia="en-US"/>
              </w:rPr>
            </w:pPr>
            <w:r>
              <w:t>Section 213 of the Credit Act and s</w:t>
            </w:r>
            <w:r w:rsidR="007B29FF">
              <w:t>ubregulation 30(3) of the</w:t>
            </w:r>
            <w:r>
              <w:t xml:space="preserve"> Credit Regulations</w:t>
            </w:r>
          </w:p>
        </w:tc>
        <w:tc>
          <w:tcPr>
            <w:tcW w:w="3073" w:type="dxa"/>
          </w:tcPr>
          <w:p w14:paraId="5360CDDB" w14:textId="77777777" w:rsidR="007B29FF" w:rsidRPr="004666B8" w:rsidRDefault="007B29FF" w:rsidP="007B29FF">
            <w:pPr>
              <w:pStyle w:val="tabletext"/>
              <w:rPr>
                <w:lang w:val="en-US" w:eastAsia="en-US"/>
              </w:rPr>
            </w:pPr>
            <w:r>
              <w:t>Credit register of persons who are banned under a law of a State or Territory</w:t>
            </w:r>
          </w:p>
        </w:tc>
      </w:tr>
      <w:tr w:rsidR="007B29FF" w:rsidRPr="004666B8" w14:paraId="5360CDE0" w14:textId="77777777" w:rsidTr="00AF76AA">
        <w:tc>
          <w:tcPr>
            <w:tcW w:w="525" w:type="dxa"/>
          </w:tcPr>
          <w:p w14:paraId="5360CDDD"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DE" w14:textId="77777777" w:rsidR="007B29FF" w:rsidRPr="004666B8" w:rsidRDefault="007B29FF" w:rsidP="00070A7E">
            <w:pPr>
              <w:pStyle w:val="tabletext"/>
              <w:rPr>
                <w:lang w:val="en-US" w:eastAsia="en-US"/>
              </w:rPr>
            </w:pPr>
            <w:r>
              <w:t>Section 128K of the</w:t>
            </w:r>
            <w:r w:rsidR="00070A7E">
              <w:t xml:space="preserve"> SIS Act</w:t>
            </w:r>
          </w:p>
        </w:tc>
        <w:tc>
          <w:tcPr>
            <w:tcW w:w="3073" w:type="dxa"/>
          </w:tcPr>
          <w:p w14:paraId="5360CDDF" w14:textId="5F3609F1" w:rsidR="007B29FF" w:rsidRPr="004666B8" w:rsidRDefault="00E82E02" w:rsidP="007B29FF">
            <w:pPr>
              <w:pStyle w:val="tabletext"/>
              <w:rPr>
                <w:lang w:val="en-US" w:eastAsia="en-US"/>
              </w:rPr>
            </w:pPr>
            <w:r>
              <w:t>Register of Disqualified self</w:t>
            </w:r>
            <w:r w:rsidR="00C03F8B">
              <w:t>-</w:t>
            </w:r>
            <w:r>
              <w:t>managed superannuation fund (S</w:t>
            </w:r>
            <w:r w:rsidR="007B29FF">
              <w:t>MSF</w:t>
            </w:r>
            <w:r>
              <w:t>)</w:t>
            </w:r>
            <w:r w:rsidR="00FA2A20">
              <w:t xml:space="preserve"> a</w:t>
            </w:r>
            <w:r w:rsidR="007B29FF">
              <w:t>uditors</w:t>
            </w:r>
          </w:p>
        </w:tc>
      </w:tr>
      <w:tr w:rsidR="007B29FF" w:rsidRPr="004666B8" w14:paraId="5360CDE2" w14:textId="77777777" w:rsidTr="007B29FF">
        <w:tc>
          <w:tcPr>
            <w:tcW w:w="6670" w:type="dxa"/>
            <w:gridSpan w:val="3"/>
          </w:tcPr>
          <w:p w14:paraId="5360CDE1" w14:textId="77777777" w:rsidR="007B29FF" w:rsidRPr="005E52FA" w:rsidRDefault="007B29FF" w:rsidP="007B29FF">
            <w:pPr>
              <w:pStyle w:val="tabletext"/>
              <w:rPr>
                <w:b/>
                <w:lang w:val="en-US" w:eastAsia="en-US"/>
              </w:rPr>
            </w:pPr>
            <w:r w:rsidRPr="005E52FA">
              <w:rPr>
                <w:b/>
              </w:rPr>
              <w:t>Professional registers</w:t>
            </w:r>
          </w:p>
        </w:tc>
      </w:tr>
      <w:tr w:rsidR="007B29FF" w:rsidRPr="004666B8" w14:paraId="5360CDE6" w14:textId="77777777" w:rsidTr="00AF76AA">
        <w:tc>
          <w:tcPr>
            <w:tcW w:w="525" w:type="dxa"/>
          </w:tcPr>
          <w:p w14:paraId="5360CDE3"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E4" w14:textId="77777777" w:rsidR="007B29FF" w:rsidRPr="004666B8" w:rsidRDefault="007B29FF" w:rsidP="00FD529A">
            <w:pPr>
              <w:pStyle w:val="tabletext"/>
              <w:rPr>
                <w:lang w:val="en-US" w:eastAsia="en-US"/>
              </w:rPr>
            </w:pPr>
            <w:r>
              <w:t>Section 922A of the</w:t>
            </w:r>
            <w:r w:rsidRPr="00FD529A">
              <w:t xml:space="preserve"> </w:t>
            </w:r>
            <w:r w:rsidR="00FD529A" w:rsidRPr="00FD529A">
              <w:t>Corporations Act</w:t>
            </w:r>
            <w:r w:rsidR="00FD529A">
              <w:rPr>
                <w:i/>
              </w:rPr>
              <w:t xml:space="preserve"> </w:t>
            </w:r>
            <w:r>
              <w:t xml:space="preserve">and subregulation 7.6.05(1) of the </w:t>
            </w:r>
            <w:r w:rsidR="00FD529A" w:rsidRPr="00FD529A">
              <w:t>Corporations Regulations</w:t>
            </w:r>
          </w:p>
        </w:tc>
        <w:tc>
          <w:tcPr>
            <w:tcW w:w="3073" w:type="dxa"/>
          </w:tcPr>
          <w:p w14:paraId="5360CDE5" w14:textId="77777777" w:rsidR="007B29FF" w:rsidRPr="004666B8" w:rsidRDefault="007B29FF" w:rsidP="007B29FF">
            <w:pPr>
              <w:pStyle w:val="tabletext"/>
              <w:rPr>
                <w:lang w:val="en-US" w:eastAsia="en-US"/>
              </w:rPr>
            </w:pPr>
            <w:r>
              <w:t>Register of financial services licensees</w:t>
            </w:r>
          </w:p>
        </w:tc>
      </w:tr>
      <w:tr w:rsidR="007B29FF" w:rsidRPr="004666B8" w14:paraId="5360CDEA" w14:textId="77777777" w:rsidTr="00AF76AA">
        <w:tc>
          <w:tcPr>
            <w:tcW w:w="525" w:type="dxa"/>
          </w:tcPr>
          <w:p w14:paraId="5360CDE7"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E8" w14:textId="77777777" w:rsidR="007B29FF" w:rsidRPr="004666B8" w:rsidRDefault="00FD529A" w:rsidP="007B29FF">
            <w:pPr>
              <w:pStyle w:val="tabletext"/>
              <w:rPr>
                <w:lang w:val="en-US" w:eastAsia="en-US"/>
              </w:rPr>
            </w:pPr>
            <w:r>
              <w:t>Section 922A of the</w:t>
            </w:r>
            <w:r w:rsidRPr="00FD529A">
              <w:t xml:space="preserve"> Corporations Act</w:t>
            </w:r>
            <w:r>
              <w:rPr>
                <w:i/>
              </w:rPr>
              <w:t xml:space="preserve"> </w:t>
            </w:r>
            <w:r>
              <w:t xml:space="preserve">and subregulation 7.6.05(2) of the </w:t>
            </w:r>
            <w:r w:rsidRPr="00FD529A">
              <w:t>Corporations Regulations</w:t>
            </w:r>
          </w:p>
        </w:tc>
        <w:tc>
          <w:tcPr>
            <w:tcW w:w="3073" w:type="dxa"/>
          </w:tcPr>
          <w:p w14:paraId="5360CDE9" w14:textId="77777777" w:rsidR="007B29FF" w:rsidRPr="004666B8" w:rsidRDefault="007B29FF" w:rsidP="007B29FF">
            <w:pPr>
              <w:pStyle w:val="tabletext"/>
              <w:rPr>
                <w:lang w:val="en-US" w:eastAsia="en-US"/>
              </w:rPr>
            </w:pPr>
            <w:r>
              <w:t>Register of authorised representatives of financial services licensees</w:t>
            </w:r>
          </w:p>
        </w:tc>
      </w:tr>
      <w:tr w:rsidR="007B29FF" w:rsidRPr="004666B8" w14:paraId="5360CDEE" w14:textId="77777777" w:rsidTr="00AF76AA">
        <w:tc>
          <w:tcPr>
            <w:tcW w:w="525" w:type="dxa"/>
          </w:tcPr>
          <w:p w14:paraId="5360CDEB"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EC" w14:textId="77777777" w:rsidR="007B29FF" w:rsidRPr="001F244E" w:rsidRDefault="007B29FF" w:rsidP="001F244E">
            <w:pPr>
              <w:pStyle w:val="Tabletext0"/>
            </w:pPr>
            <w:r>
              <w:t xml:space="preserve">Section 922Q of the </w:t>
            </w:r>
            <w:r w:rsidR="001F244E" w:rsidRPr="00FD529A">
              <w:t>Corporations Act</w:t>
            </w:r>
          </w:p>
        </w:tc>
        <w:tc>
          <w:tcPr>
            <w:tcW w:w="3073" w:type="dxa"/>
          </w:tcPr>
          <w:p w14:paraId="5360CDED" w14:textId="77777777" w:rsidR="007B29FF" w:rsidRPr="004666B8" w:rsidRDefault="001F244E" w:rsidP="001F244E">
            <w:pPr>
              <w:pStyle w:val="tabletext"/>
              <w:rPr>
                <w:lang w:val="en-US" w:eastAsia="en-US"/>
              </w:rPr>
            </w:pPr>
            <w:r>
              <w:t>Register of financial advisers</w:t>
            </w:r>
            <w:r>
              <w:rPr>
                <w:rStyle w:val="FootnoteReference"/>
              </w:rPr>
              <w:footnoteReference w:id="8"/>
            </w:r>
          </w:p>
        </w:tc>
      </w:tr>
      <w:tr w:rsidR="007B29FF" w:rsidRPr="004666B8" w14:paraId="5360CDF2" w14:textId="77777777" w:rsidTr="00AF76AA">
        <w:tc>
          <w:tcPr>
            <w:tcW w:w="525" w:type="dxa"/>
          </w:tcPr>
          <w:p w14:paraId="5360CDEF" w14:textId="77777777" w:rsidR="007B29FF" w:rsidRPr="009D4B25" w:rsidRDefault="007B29FF" w:rsidP="008E0CB2">
            <w:pPr>
              <w:pStyle w:val="base-text-paragraph"/>
              <w:numPr>
                <w:ilvl w:val="0"/>
                <w:numId w:val="23"/>
              </w:numPr>
              <w:tabs>
                <w:tab w:val="left" w:pos="233"/>
              </w:tabs>
              <w:ind w:left="91" w:hanging="142"/>
            </w:pPr>
          </w:p>
        </w:tc>
        <w:tc>
          <w:tcPr>
            <w:tcW w:w="3072" w:type="dxa"/>
          </w:tcPr>
          <w:p w14:paraId="5360CDF0" w14:textId="77777777" w:rsidR="007B29FF" w:rsidRPr="009D4B25" w:rsidRDefault="007B29FF" w:rsidP="007B29FF">
            <w:pPr>
              <w:pStyle w:val="tabletext"/>
              <w:rPr>
                <w:lang w:val="en-US" w:eastAsia="en-US"/>
              </w:rPr>
            </w:pPr>
            <w:r w:rsidRPr="009D4B25">
              <w:t xml:space="preserve">Section 1285 of the </w:t>
            </w:r>
            <w:r w:rsidR="00171574" w:rsidRPr="009D4B25">
              <w:t>Corporations Act</w:t>
            </w:r>
          </w:p>
        </w:tc>
        <w:tc>
          <w:tcPr>
            <w:tcW w:w="3073" w:type="dxa"/>
          </w:tcPr>
          <w:p w14:paraId="5360CDF1" w14:textId="77777777" w:rsidR="007B29FF" w:rsidRPr="009D4B25" w:rsidRDefault="00FA2A20" w:rsidP="007B29FF">
            <w:pPr>
              <w:pStyle w:val="tabletext"/>
              <w:rPr>
                <w:lang w:val="en-US" w:eastAsia="en-US"/>
              </w:rPr>
            </w:pPr>
            <w:r>
              <w:t>Register of a</w:t>
            </w:r>
            <w:r w:rsidR="007B29FF" w:rsidRPr="009D4B25">
              <w:t>uditors</w:t>
            </w:r>
          </w:p>
        </w:tc>
      </w:tr>
      <w:tr w:rsidR="007B29FF" w:rsidRPr="004666B8" w14:paraId="5360CDF6" w14:textId="77777777" w:rsidTr="00AF76AA">
        <w:tc>
          <w:tcPr>
            <w:tcW w:w="525" w:type="dxa"/>
          </w:tcPr>
          <w:p w14:paraId="5360CDF3"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F4" w14:textId="77777777" w:rsidR="007B29FF" w:rsidRPr="0011378F" w:rsidRDefault="007B29FF" w:rsidP="0011378F">
            <w:pPr>
              <w:pStyle w:val="Tabletext0"/>
            </w:pPr>
            <w:r>
              <w:t>Section 15</w:t>
            </w:r>
            <w:r>
              <w:noBreakHyphen/>
              <w:t xml:space="preserve">1 of Schedule 2 to the </w:t>
            </w:r>
            <w:r w:rsidR="00171574" w:rsidRPr="00FD529A">
              <w:t>Corporations Act</w:t>
            </w:r>
            <w:r w:rsidR="009D4B25">
              <w:rPr>
                <w:rStyle w:val="FootnoteReference"/>
              </w:rPr>
              <w:footnoteReference w:id="9"/>
            </w:r>
          </w:p>
        </w:tc>
        <w:tc>
          <w:tcPr>
            <w:tcW w:w="3073" w:type="dxa"/>
          </w:tcPr>
          <w:p w14:paraId="5360CDF5" w14:textId="77777777" w:rsidR="007B29FF" w:rsidRPr="004666B8" w:rsidRDefault="00FA2A20" w:rsidP="007B29FF">
            <w:pPr>
              <w:pStyle w:val="tabletext"/>
              <w:rPr>
                <w:lang w:val="en-US" w:eastAsia="en-US"/>
              </w:rPr>
            </w:pPr>
            <w:r>
              <w:t>Register of l</w:t>
            </w:r>
            <w:r w:rsidR="007B29FF">
              <w:t>iquidators</w:t>
            </w:r>
          </w:p>
        </w:tc>
      </w:tr>
      <w:tr w:rsidR="007B29FF" w:rsidRPr="004666B8" w14:paraId="5360CDFA" w14:textId="77777777" w:rsidTr="00AF76AA">
        <w:tc>
          <w:tcPr>
            <w:tcW w:w="525" w:type="dxa"/>
          </w:tcPr>
          <w:p w14:paraId="5360CDF7"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F8" w14:textId="77777777" w:rsidR="007B29FF" w:rsidRPr="004666B8" w:rsidRDefault="007B29FF" w:rsidP="007B29FF">
            <w:pPr>
              <w:pStyle w:val="tabletext"/>
              <w:rPr>
                <w:lang w:val="en-US" w:eastAsia="en-US"/>
              </w:rPr>
            </w:pPr>
            <w:r>
              <w:t xml:space="preserve">Section 283BCA of the </w:t>
            </w:r>
            <w:r w:rsidR="00171574" w:rsidRPr="00FD529A">
              <w:t>Corporations Act</w:t>
            </w:r>
          </w:p>
        </w:tc>
        <w:tc>
          <w:tcPr>
            <w:tcW w:w="3073" w:type="dxa"/>
          </w:tcPr>
          <w:p w14:paraId="5360CDF9" w14:textId="77777777" w:rsidR="007B29FF" w:rsidRPr="0002647C" w:rsidRDefault="007B29FF" w:rsidP="0002647C">
            <w:pPr>
              <w:pStyle w:val="Tabletext0"/>
            </w:pPr>
            <w:r w:rsidRPr="0002647C">
              <w:t>Register relating to trustees for debenture holders</w:t>
            </w:r>
          </w:p>
        </w:tc>
      </w:tr>
      <w:tr w:rsidR="007B29FF" w:rsidRPr="004666B8" w14:paraId="5360CDFE" w14:textId="77777777" w:rsidTr="00AF76AA">
        <w:tc>
          <w:tcPr>
            <w:tcW w:w="525" w:type="dxa"/>
          </w:tcPr>
          <w:p w14:paraId="5360CDFB"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DFC" w14:textId="77777777" w:rsidR="007B29FF" w:rsidRPr="0002647C" w:rsidRDefault="007B29FF" w:rsidP="0002647C">
            <w:pPr>
              <w:pStyle w:val="tabletext"/>
              <w:rPr>
                <w:lang w:val="en-US" w:eastAsia="en-US"/>
              </w:rPr>
            </w:pPr>
            <w:r w:rsidRPr="0002647C">
              <w:t xml:space="preserve">Section 128J of the </w:t>
            </w:r>
            <w:r w:rsidR="0002647C" w:rsidRPr="0002647C">
              <w:t>SIS Act</w:t>
            </w:r>
          </w:p>
        </w:tc>
        <w:tc>
          <w:tcPr>
            <w:tcW w:w="3073" w:type="dxa"/>
          </w:tcPr>
          <w:p w14:paraId="5360CDFD" w14:textId="77777777" w:rsidR="007B29FF" w:rsidRPr="004666B8" w:rsidRDefault="00FA2A20" w:rsidP="007B29FF">
            <w:pPr>
              <w:pStyle w:val="tabletext"/>
              <w:rPr>
                <w:lang w:val="en-US" w:eastAsia="en-US"/>
              </w:rPr>
            </w:pPr>
            <w:r>
              <w:t>Register of approved SMSF a</w:t>
            </w:r>
            <w:r w:rsidR="007B29FF">
              <w:t>uditors</w:t>
            </w:r>
          </w:p>
        </w:tc>
      </w:tr>
      <w:tr w:rsidR="007B29FF" w:rsidRPr="004666B8" w14:paraId="5360CE02" w14:textId="77777777" w:rsidTr="00AF76AA">
        <w:tc>
          <w:tcPr>
            <w:tcW w:w="525" w:type="dxa"/>
          </w:tcPr>
          <w:p w14:paraId="5360CDFF"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E00" w14:textId="77777777" w:rsidR="007B29FF" w:rsidRPr="00AD1A22" w:rsidRDefault="00FA2A20" w:rsidP="00FA2A20">
            <w:pPr>
              <w:pStyle w:val="Tabletext0"/>
            </w:pPr>
            <w:r>
              <w:t>Section 1274 of the Corporations Act and r</w:t>
            </w:r>
            <w:r w:rsidR="007B29FF">
              <w:t>egulation 7.6.02AGA of the</w:t>
            </w:r>
            <w:r>
              <w:t xml:space="preserve"> Corporations Regulations</w:t>
            </w:r>
            <w:r w:rsidR="007B29FF">
              <w:t xml:space="preserve"> </w:t>
            </w:r>
          </w:p>
        </w:tc>
        <w:tc>
          <w:tcPr>
            <w:tcW w:w="3073" w:type="dxa"/>
          </w:tcPr>
          <w:p w14:paraId="5360CE01" w14:textId="77777777" w:rsidR="007B29FF" w:rsidRPr="00AD1A22" w:rsidRDefault="0006648B" w:rsidP="007B29FF">
            <w:pPr>
              <w:pStyle w:val="Tabletext0"/>
            </w:pPr>
            <w:r>
              <w:t>Carbon r</w:t>
            </w:r>
            <w:r w:rsidR="007B29FF">
              <w:t>egistrants register</w:t>
            </w:r>
          </w:p>
        </w:tc>
      </w:tr>
      <w:tr w:rsidR="007B29FF" w:rsidRPr="004666B8" w14:paraId="5360CE06" w14:textId="77777777" w:rsidTr="00AF76AA">
        <w:tc>
          <w:tcPr>
            <w:tcW w:w="525" w:type="dxa"/>
          </w:tcPr>
          <w:p w14:paraId="5360CE03"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E04" w14:textId="77777777" w:rsidR="007B29FF" w:rsidRPr="004666B8" w:rsidRDefault="00FA2A20" w:rsidP="007B29FF">
            <w:pPr>
              <w:pStyle w:val="tabletext"/>
              <w:rPr>
                <w:lang w:val="en-US" w:eastAsia="en-US"/>
              </w:rPr>
            </w:pPr>
            <w:r>
              <w:t>R</w:t>
            </w:r>
            <w:r w:rsidR="007B29FF">
              <w:t xml:space="preserve">egulation 10.2.96 of the </w:t>
            </w:r>
            <w:r>
              <w:t>Corporations Regulations</w:t>
            </w:r>
            <w:r>
              <w:rPr>
                <w:rStyle w:val="FootnoteReference"/>
              </w:rPr>
              <w:footnoteReference w:id="10"/>
            </w:r>
          </w:p>
        </w:tc>
        <w:tc>
          <w:tcPr>
            <w:tcW w:w="3073" w:type="dxa"/>
          </w:tcPr>
          <w:p w14:paraId="5360CE05" w14:textId="77777777" w:rsidR="007B29FF" w:rsidRPr="004666B8" w:rsidRDefault="00FA2A20" w:rsidP="007B29FF">
            <w:pPr>
              <w:pStyle w:val="tabletext"/>
              <w:rPr>
                <w:lang w:val="en-US" w:eastAsia="en-US"/>
              </w:rPr>
            </w:pPr>
            <w:r>
              <w:t>Register of futures l</w:t>
            </w:r>
            <w:r w:rsidR="007B29FF">
              <w:t>icensees</w:t>
            </w:r>
            <w:r>
              <w:t>*</w:t>
            </w:r>
          </w:p>
        </w:tc>
      </w:tr>
      <w:tr w:rsidR="007B29FF" w:rsidRPr="004666B8" w14:paraId="5360CE0A" w14:textId="77777777" w:rsidTr="00AF76AA">
        <w:tc>
          <w:tcPr>
            <w:tcW w:w="525" w:type="dxa"/>
          </w:tcPr>
          <w:p w14:paraId="5360CE07"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E08" w14:textId="77777777" w:rsidR="007B29FF" w:rsidRPr="0006648B" w:rsidRDefault="00FA2A20" w:rsidP="007B29FF">
            <w:pPr>
              <w:pStyle w:val="tabletext"/>
            </w:pPr>
            <w:r>
              <w:t>Regulation 10.2.96 of the Corporations Regulations</w:t>
            </w:r>
            <w:r>
              <w:rPr>
                <w:rStyle w:val="FootnoteReference"/>
              </w:rPr>
              <w:footnoteReference w:id="11"/>
            </w:r>
          </w:p>
        </w:tc>
        <w:tc>
          <w:tcPr>
            <w:tcW w:w="3073" w:type="dxa"/>
          </w:tcPr>
          <w:p w14:paraId="5360CE09" w14:textId="77777777" w:rsidR="007B29FF" w:rsidRPr="004666B8" w:rsidRDefault="00526EF2" w:rsidP="007B29FF">
            <w:pPr>
              <w:pStyle w:val="tabletext"/>
              <w:rPr>
                <w:lang w:val="en-US" w:eastAsia="en-US"/>
              </w:rPr>
            </w:pPr>
            <w:r>
              <w:t>Register of licence h</w:t>
            </w:r>
            <w:r w:rsidR="007B29FF">
              <w:t>olders</w:t>
            </w:r>
            <w:r w:rsidR="0006648B">
              <w:t>*</w:t>
            </w:r>
          </w:p>
        </w:tc>
      </w:tr>
      <w:tr w:rsidR="007B29FF" w:rsidRPr="004666B8" w14:paraId="5360CE0E" w14:textId="77777777" w:rsidTr="00AF76AA">
        <w:tc>
          <w:tcPr>
            <w:tcW w:w="525" w:type="dxa"/>
          </w:tcPr>
          <w:p w14:paraId="5360CE0B"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E0C" w14:textId="77777777" w:rsidR="007B29FF" w:rsidRPr="004666B8" w:rsidRDefault="0038616B" w:rsidP="0038616B">
            <w:pPr>
              <w:pStyle w:val="tabletext"/>
              <w:rPr>
                <w:lang w:val="en-US" w:eastAsia="en-US"/>
              </w:rPr>
            </w:pPr>
            <w:r w:rsidRPr="0063102F">
              <w:t>Regulation 10.2.96 of the Corporations Regulations</w:t>
            </w:r>
            <w:r w:rsidRPr="0063102F">
              <w:rPr>
                <w:rStyle w:val="FootnoteReference"/>
              </w:rPr>
              <w:footnoteReference w:id="12"/>
            </w:r>
          </w:p>
        </w:tc>
        <w:tc>
          <w:tcPr>
            <w:tcW w:w="3073" w:type="dxa"/>
          </w:tcPr>
          <w:p w14:paraId="5360CE0D" w14:textId="77777777" w:rsidR="007B29FF" w:rsidRPr="004666B8" w:rsidRDefault="002A63CB" w:rsidP="007B29FF">
            <w:pPr>
              <w:pStyle w:val="tabletext"/>
              <w:rPr>
                <w:lang w:val="en-US" w:eastAsia="en-US"/>
              </w:rPr>
            </w:pPr>
            <w:r>
              <w:t>R</w:t>
            </w:r>
            <w:r w:rsidR="0006648B">
              <w:t>egister of securities r</w:t>
            </w:r>
            <w:r w:rsidR="007B29FF">
              <w:t>epresentatives</w:t>
            </w:r>
            <w:r w:rsidR="0006648B">
              <w:t>*</w:t>
            </w:r>
          </w:p>
        </w:tc>
      </w:tr>
      <w:tr w:rsidR="007B29FF" w:rsidRPr="004666B8" w14:paraId="5360CE12" w14:textId="77777777" w:rsidTr="00AF76AA">
        <w:tc>
          <w:tcPr>
            <w:tcW w:w="525" w:type="dxa"/>
          </w:tcPr>
          <w:p w14:paraId="5360CE0F"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E10" w14:textId="77777777" w:rsidR="007B29FF" w:rsidRPr="00AB4BF9" w:rsidRDefault="00AB4BF9" w:rsidP="00AB4BF9">
            <w:pPr>
              <w:pStyle w:val="tabletext"/>
            </w:pPr>
            <w:r>
              <w:t>Regulation 10.2.96 of the Corporations Regulations</w:t>
            </w:r>
            <w:r>
              <w:rPr>
                <w:rStyle w:val="FootnoteReference"/>
              </w:rPr>
              <w:footnoteReference w:id="13"/>
            </w:r>
          </w:p>
        </w:tc>
        <w:tc>
          <w:tcPr>
            <w:tcW w:w="3073" w:type="dxa"/>
          </w:tcPr>
          <w:p w14:paraId="5360CE11" w14:textId="77777777" w:rsidR="007B29FF" w:rsidRPr="004666B8" w:rsidRDefault="007B29FF" w:rsidP="007B29FF">
            <w:pPr>
              <w:pStyle w:val="tabletext"/>
              <w:rPr>
                <w:lang w:val="en-US" w:eastAsia="en-US"/>
              </w:rPr>
            </w:pPr>
            <w:r>
              <w:rPr>
                <w:szCs w:val="22"/>
              </w:rPr>
              <w:t xml:space="preserve">Register of </w:t>
            </w:r>
            <w:r w:rsidR="00583E42">
              <w:rPr>
                <w:szCs w:val="22"/>
              </w:rPr>
              <w:t>f</w:t>
            </w:r>
            <w:r>
              <w:rPr>
                <w:szCs w:val="22"/>
              </w:rPr>
              <w:t xml:space="preserve">oreign </w:t>
            </w:r>
            <w:r w:rsidR="00583E42">
              <w:rPr>
                <w:szCs w:val="22"/>
              </w:rPr>
              <w:t>i</w:t>
            </w:r>
            <w:r>
              <w:rPr>
                <w:szCs w:val="22"/>
              </w:rPr>
              <w:t xml:space="preserve">nsurance </w:t>
            </w:r>
            <w:r w:rsidR="00583E42">
              <w:rPr>
                <w:szCs w:val="22"/>
              </w:rPr>
              <w:t>a</w:t>
            </w:r>
            <w:r>
              <w:rPr>
                <w:szCs w:val="22"/>
              </w:rPr>
              <w:t>gents</w:t>
            </w:r>
            <w:r w:rsidR="00526EF2">
              <w:rPr>
                <w:szCs w:val="22"/>
              </w:rPr>
              <w:t>*</w:t>
            </w:r>
          </w:p>
        </w:tc>
      </w:tr>
      <w:tr w:rsidR="007B29FF" w:rsidRPr="004666B8" w14:paraId="5360CE16" w14:textId="77777777" w:rsidTr="00AF76AA">
        <w:tc>
          <w:tcPr>
            <w:tcW w:w="525" w:type="dxa"/>
          </w:tcPr>
          <w:p w14:paraId="5360CE13" w14:textId="77777777" w:rsidR="007B29FF" w:rsidRPr="0081453B" w:rsidRDefault="007B29FF" w:rsidP="008E0CB2">
            <w:pPr>
              <w:pStyle w:val="base-text-paragraph"/>
              <w:numPr>
                <w:ilvl w:val="0"/>
                <w:numId w:val="23"/>
              </w:numPr>
              <w:tabs>
                <w:tab w:val="left" w:pos="233"/>
              </w:tabs>
              <w:ind w:left="91" w:hanging="142"/>
            </w:pPr>
          </w:p>
        </w:tc>
        <w:tc>
          <w:tcPr>
            <w:tcW w:w="3072" w:type="dxa"/>
          </w:tcPr>
          <w:p w14:paraId="5360CE14" w14:textId="77777777" w:rsidR="007B29FF" w:rsidRPr="00AB4BF9" w:rsidRDefault="00AB4BF9" w:rsidP="007B29FF">
            <w:pPr>
              <w:pStyle w:val="tabletext"/>
            </w:pPr>
            <w:r>
              <w:t>Regulation 10.2.96 of the Corporations Regulations</w:t>
            </w:r>
            <w:r>
              <w:rPr>
                <w:rStyle w:val="FootnoteReference"/>
              </w:rPr>
              <w:footnoteReference w:id="14"/>
            </w:r>
          </w:p>
        </w:tc>
        <w:tc>
          <w:tcPr>
            <w:tcW w:w="3073" w:type="dxa"/>
          </w:tcPr>
          <w:p w14:paraId="5360CE15" w14:textId="77777777" w:rsidR="007B29FF" w:rsidRPr="004666B8" w:rsidRDefault="007B29FF" w:rsidP="007B29FF">
            <w:pPr>
              <w:pStyle w:val="tabletext"/>
              <w:rPr>
                <w:lang w:val="en-US" w:eastAsia="en-US"/>
              </w:rPr>
            </w:pPr>
            <w:r>
              <w:rPr>
                <w:szCs w:val="22"/>
              </w:rPr>
              <w:t>Regist</w:t>
            </w:r>
            <w:r w:rsidR="00526EF2">
              <w:rPr>
                <w:szCs w:val="22"/>
              </w:rPr>
              <w:t xml:space="preserve">er of </w:t>
            </w:r>
            <w:r w:rsidR="00583E42">
              <w:rPr>
                <w:szCs w:val="22"/>
              </w:rPr>
              <w:t>g</w:t>
            </w:r>
            <w:r w:rsidR="00526EF2">
              <w:rPr>
                <w:szCs w:val="22"/>
              </w:rPr>
              <w:t xml:space="preserve">eneral </w:t>
            </w:r>
            <w:r w:rsidR="00583E42">
              <w:rPr>
                <w:szCs w:val="22"/>
              </w:rPr>
              <w:t>i</w:t>
            </w:r>
            <w:r w:rsidR="00526EF2">
              <w:rPr>
                <w:szCs w:val="22"/>
              </w:rPr>
              <w:t xml:space="preserve">nsurance </w:t>
            </w:r>
            <w:r w:rsidR="00583E42">
              <w:rPr>
                <w:szCs w:val="22"/>
              </w:rPr>
              <w:t>b</w:t>
            </w:r>
            <w:r w:rsidR="00526EF2">
              <w:rPr>
                <w:szCs w:val="22"/>
              </w:rPr>
              <w:t>rokers*</w:t>
            </w:r>
          </w:p>
        </w:tc>
      </w:tr>
      <w:tr w:rsidR="007B29FF" w:rsidRPr="004666B8" w14:paraId="5360CE1A" w14:textId="77777777" w:rsidTr="00AF76AA">
        <w:tc>
          <w:tcPr>
            <w:tcW w:w="525" w:type="dxa"/>
            <w:tcBorders>
              <w:bottom w:val="single" w:sz="4" w:space="0" w:color="auto"/>
            </w:tcBorders>
          </w:tcPr>
          <w:p w14:paraId="5360CE17" w14:textId="77777777" w:rsidR="007B29FF" w:rsidRPr="0081453B" w:rsidRDefault="007B29FF" w:rsidP="008E0CB2">
            <w:pPr>
              <w:pStyle w:val="base-text-paragraph"/>
              <w:numPr>
                <w:ilvl w:val="0"/>
                <w:numId w:val="23"/>
              </w:numPr>
              <w:tabs>
                <w:tab w:val="left" w:pos="233"/>
              </w:tabs>
              <w:ind w:left="91" w:hanging="142"/>
            </w:pPr>
          </w:p>
        </w:tc>
        <w:tc>
          <w:tcPr>
            <w:tcW w:w="3072" w:type="dxa"/>
            <w:tcBorders>
              <w:bottom w:val="single" w:sz="4" w:space="0" w:color="auto"/>
            </w:tcBorders>
          </w:tcPr>
          <w:p w14:paraId="5360CE18" w14:textId="77777777" w:rsidR="007B29FF" w:rsidRPr="004666B8" w:rsidRDefault="00AB4BF9" w:rsidP="00AB4BF9">
            <w:pPr>
              <w:pStyle w:val="tabletext"/>
              <w:rPr>
                <w:lang w:val="en-US" w:eastAsia="en-US"/>
              </w:rPr>
            </w:pPr>
            <w:r>
              <w:t>Regulation 10.2.96 of the Corporations Regulations</w:t>
            </w:r>
            <w:r>
              <w:rPr>
                <w:rStyle w:val="FootnoteReference"/>
              </w:rPr>
              <w:footnoteReference w:id="15"/>
            </w:r>
          </w:p>
        </w:tc>
        <w:tc>
          <w:tcPr>
            <w:tcW w:w="3073" w:type="dxa"/>
            <w:tcBorders>
              <w:bottom w:val="single" w:sz="4" w:space="0" w:color="auto"/>
            </w:tcBorders>
          </w:tcPr>
          <w:p w14:paraId="5360CE19" w14:textId="77777777" w:rsidR="007B29FF" w:rsidRPr="004666B8" w:rsidRDefault="00AB4BF9" w:rsidP="007B29FF">
            <w:pPr>
              <w:pStyle w:val="tabletext"/>
              <w:rPr>
                <w:lang w:val="en-US" w:eastAsia="en-US"/>
              </w:rPr>
            </w:pPr>
            <w:r>
              <w:rPr>
                <w:szCs w:val="22"/>
              </w:rPr>
              <w:t>Register of life insurance b</w:t>
            </w:r>
            <w:r w:rsidR="007B29FF">
              <w:rPr>
                <w:szCs w:val="22"/>
              </w:rPr>
              <w:t>rokers</w:t>
            </w:r>
            <w:r>
              <w:rPr>
                <w:szCs w:val="22"/>
              </w:rPr>
              <w:t>*</w:t>
            </w:r>
          </w:p>
        </w:tc>
      </w:tr>
      <w:tr w:rsidR="00966BEB" w:rsidRPr="004666B8" w14:paraId="5360CE1C" w14:textId="77777777" w:rsidTr="00966BEB">
        <w:tc>
          <w:tcPr>
            <w:tcW w:w="6670" w:type="dxa"/>
            <w:gridSpan w:val="3"/>
            <w:tcBorders>
              <w:top w:val="single" w:sz="4" w:space="0" w:color="auto"/>
              <w:left w:val="nil"/>
              <w:bottom w:val="nil"/>
              <w:right w:val="nil"/>
            </w:tcBorders>
          </w:tcPr>
          <w:p w14:paraId="5360CE1B" w14:textId="7CD968B2" w:rsidR="006C4EA5" w:rsidRPr="00BC4367" w:rsidRDefault="00966BEB" w:rsidP="004D45FC">
            <w:pPr>
              <w:pStyle w:val="base-text-paragraph"/>
              <w:numPr>
                <w:ilvl w:val="0"/>
                <w:numId w:val="0"/>
              </w:numPr>
              <w:tabs>
                <w:tab w:val="left" w:pos="233"/>
              </w:tabs>
              <w:rPr>
                <w:sz w:val="18"/>
                <w:szCs w:val="18"/>
              </w:rPr>
            </w:pPr>
            <w:r w:rsidRPr="00BC4367">
              <w:rPr>
                <w:sz w:val="18"/>
                <w:szCs w:val="18"/>
              </w:rPr>
              <w:t>* Historical registe</w:t>
            </w:r>
            <w:r w:rsidR="00AB4BF9">
              <w:rPr>
                <w:sz w:val="18"/>
                <w:szCs w:val="18"/>
              </w:rPr>
              <w:t>r. Registrar holds the information contained in the register</w:t>
            </w:r>
            <w:r w:rsidR="00930CCD" w:rsidRPr="00BC4367">
              <w:rPr>
                <w:sz w:val="18"/>
                <w:szCs w:val="18"/>
              </w:rPr>
              <w:t xml:space="preserve"> and may exercise any functions and powers preserved by transitional arrangements</w:t>
            </w:r>
            <w:r w:rsidR="004D32BB" w:rsidRPr="00BC4367">
              <w:rPr>
                <w:sz w:val="18"/>
                <w:szCs w:val="18"/>
              </w:rPr>
              <w:t>.</w:t>
            </w:r>
          </w:p>
        </w:tc>
      </w:tr>
    </w:tbl>
    <w:p w14:paraId="5360CE1D" w14:textId="77777777" w:rsidR="00F253A2" w:rsidRPr="00323628" w:rsidRDefault="00F253A2" w:rsidP="00A46E26">
      <w:pPr>
        <w:numPr>
          <w:ilvl w:val="1"/>
          <w:numId w:val="4"/>
        </w:numPr>
        <w:rPr>
          <w:rStyle w:val="Referencingstyle"/>
          <w:b w:val="0"/>
          <w:i w:val="0"/>
          <w:sz w:val="22"/>
        </w:rPr>
      </w:pPr>
      <w:r>
        <w:t>Additional registers may be brought into the new regime by</w:t>
      </w:r>
      <w:r w:rsidR="00F43C22">
        <w:t xml:space="preserve"> future legislative reforms.</w:t>
      </w:r>
    </w:p>
    <w:p w14:paraId="5360CE1E" w14:textId="449E7757" w:rsidR="00F253A2" w:rsidRDefault="00450067" w:rsidP="00F253A2">
      <w:pPr>
        <w:pStyle w:val="Heading3"/>
      </w:pPr>
      <w:r>
        <w:t>Who may be appointed</w:t>
      </w:r>
      <w:r w:rsidR="00F031A6">
        <w:t xml:space="preserve"> </w:t>
      </w:r>
      <w:r w:rsidR="009B6BE8">
        <w:t>registrar</w:t>
      </w:r>
      <w:r w:rsidR="00817F24">
        <w:t>?</w:t>
      </w:r>
    </w:p>
    <w:p w14:paraId="5360CE1F" w14:textId="77777777" w:rsidR="00F031A6" w:rsidRDefault="00F031A6" w:rsidP="00A46E26">
      <w:pPr>
        <w:numPr>
          <w:ilvl w:val="1"/>
          <w:numId w:val="4"/>
        </w:numPr>
      </w:pPr>
      <w:r w:rsidRPr="00F031A6">
        <w:t>Under the new regime the Minister</w:t>
      </w:r>
      <w:r>
        <w:t xml:space="preserve"> may, by notifiable instrument, appoint</w:t>
      </w:r>
      <w:r w:rsidRPr="00F031A6">
        <w:t xml:space="preserve"> an</w:t>
      </w:r>
      <w:r>
        <w:t>y</w:t>
      </w:r>
      <w:r w:rsidRPr="00F031A6">
        <w:t xml:space="preserve"> existi</w:t>
      </w:r>
      <w:r>
        <w:t xml:space="preserve">ng Commonwealth body to be the </w:t>
      </w:r>
      <w:r w:rsidR="00717AA8">
        <w:t>r</w:t>
      </w:r>
      <w:r w:rsidRPr="00F031A6">
        <w:t>egistrar.</w:t>
      </w:r>
      <w:r>
        <w:t xml:space="preserve"> </w:t>
      </w:r>
      <w:r w:rsidRPr="00F031A6">
        <w:rPr>
          <w:b/>
        </w:rPr>
        <w:t>Commonwealth body</w:t>
      </w:r>
      <w:r>
        <w:t xml:space="preserve"> is a defined term.</w:t>
      </w:r>
      <w:r w:rsidR="009A64FC">
        <w:t xml:space="preserve"> </w:t>
      </w:r>
      <w:r w:rsidR="00C32CEE">
        <w:t>I</w:t>
      </w:r>
      <w:r w:rsidR="009A64FC">
        <w:t>t is defined as meaning:</w:t>
      </w:r>
    </w:p>
    <w:p w14:paraId="5360CE20" w14:textId="77777777" w:rsidR="009A64FC" w:rsidRDefault="009A64FC" w:rsidP="009A64FC">
      <w:pPr>
        <w:pStyle w:val="dotpoint"/>
        <w:rPr>
          <w:sz w:val="16"/>
          <w:szCs w:val="16"/>
        </w:rPr>
      </w:pPr>
      <w:r w:rsidRPr="009A64FC">
        <w:t xml:space="preserve">an Agency (within the meaning of the </w:t>
      </w:r>
      <w:r w:rsidRPr="009A64FC">
        <w:rPr>
          <w:i/>
          <w:iCs/>
        </w:rPr>
        <w:t>Public Service Act</w:t>
      </w:r>
      <w:r w:rsidRPr="009A64FC">
        <w:rPr>
          <w:sz w:val="16"/>
          <w:szCs w:val="16"/>
        </w:rPr>
        <w:t xml:space="preserve"> </w:t>
      </w:r>
      <w:r w:rsidRPr="009A64FC">
        <w:rPr>
          <w:i/>
          <w:iCs/>
        </w:rPr>
        <w:t>1999</w:t>
      </w:r>
      <w:r>
        <w:t>)</w:t>
      </w:r>
      <w:r>
        <w:rPr>
          <w:rStyle w:val="FootnoteReference"/>
        </w:rPr>
        <w:footnoteReference w:id="16"/>
      </w:r>
      <w:r>
        <w:t>;</w:t>
      </w:r>
      <w:r w:rsidRPr="009A64FC">
        <w:rPr>
          <w:sz w:val="16"/>
          <w:szCs w:val="16"/>
        </w:rPr>
        <w:t xml:space="preserve"> </w:t>
      </w:r>
    </w:p>
    <w:p w14:paraId="5360CE21" w14:textId="77777777" w:rsidR="009A64FC" w:rsidRPr="009A64FC" w:rsidRDefault="009A64FC" w:rsidP="009A64FC">
      <w:pPr>
        <w:pStyle w:val="dotpoint"/>
        <w:rPr>
          <w:sz w:val="16"/>
          <w:szCs w:val="16"/>
        </w:rPr>
      </w:pPr>
      <w:r w:rsidRPr="009A64FC">
        <w:rPr>
          <w:rFonts w:eastAsiaTheme="minorHAnsi"/>
          <w:color w:val="000000"/>
          <w:szCs w:val="22"/>
          <w:lang w:eastAsia="en-US"/>
        </w:rPr>
        <w:t>a body, whether incorporated or not, established for a public purpose by or under a law of the Commonwealth;</w:t>
      </w:r>
      <w:r w:rsidR="00D529DA">
        <w:rPr>
          <w:rFonts w:eastAsiaTheme="minorHAnsi"/>
          <w:color w:val="000000"/>
          <w:szCs w:val="22"/>
          <w:lang w:eastAsia="en-US"/>
        </w:rPr>
        <w:t xml:space="preserve"> and</w:t>
      </w:r>
    </w:p>
    <w:p w14:paraId="5360CE22" w14:textId="17850800" w:rsidR="0073248E" w:rsidRPr="0073248E" w:rsidRDefault="009A64FC" w:rsidP="0073248E">
      <w:pPr>
        <w:pStyle w:val="dotpoint"/>
        <w:rPr>
          <w:rStyle w:val="Referencingstyle"/>
          <w:b w:val="0"/>
          <w:i w:val="0"/>
          <w:sz w:val="16"/>
          <w:szCs w:val="16"/>
        </w:rPr>
      </w:pPr>
      <w:proofErr w:type="gramStart"/>
      <w:r>
        <w:rPr>
          <w:rFonts w:eastAsiaTheme="minorHAnsi"/>
          <w:color w:val="000000"/>
          <w:szCs w:val="22"/>
          <w:lang w:eastAsia="en-US"/>
        </w:rPr>
        <w:t>a</w:t>
      </w:r>
      <w:proofErr w:type="gramEnd"/>
      <w:r>
        <w:rPr>
          <w:rFonts w:eastAsiaTheme="minorHAnsi"/>
          <w:color w:val="000000"/>
          <w:szCs w:val="22"/>
          <w:lang w:eastAsia="en-US"/>
        </w:rPr>
        <w:t xml:space="preserve"> person:</w:t>
      </w:r>
      <w:r w:rsidRPr="009A64FC">
        <w:rPr>
          <w:rFonts w:eastAsiaTheme="minorHAnsi"/>
          <w:color w:val="000000"/>
          <w:szCs w:val="22"/>
          <w:lang w:eastAsia="en-US"/>
        </w:rPr>
        <w:t xml:space="preserve"> holding or performing the </w:t>
      </w:r>
      <w:r>
        <w:rPr>
          <w:rFonts w:eastAsiaTheme="minorHAnsi"/>
          <w:color w:val="000000"/>
          <w:szCs w:val="22"/>
          <w:lang w:eastAsia="en-US"/>
        </w:rPr>
        <w:t>duties of an office established</w:t>
      </w:r>
      <w:r w:rsidRPr="009A64FC">
        <w:rPr>
          <w:rFonts w:eastAsiaTheme="minorHAnsi"/>
          <w:color w:val="000000"/>
          <w:sz w:val="16"/>
          <w:szCs w:val="16"/>
          <w:lang w:eastAsia="en-US"/>
        </w:rPr>
        <w:t xml:space="preserve"> </w:t>
      </w:r>
      <w:r w:rsidRPr="009A64FC">
        <w:rPr>
          <w:rFonts w:eastAsiaTheme="minorHAnsi"/>
          <w:color w:val="000000"/>
          <w:szCs w:val="22"/>
          <w:lang w:eastAsia="en-US"/>
        </w:rPr>
        <w:t>by or under a law of the Commonwealth; or</w:t>
      </w:r>
      <w:r w:rsidRPr="009A64FC">
        <w:rPr>
          <w:rFonts w:eastAsiaTheme="minorHAnsi"/>
          <w:color w:val="000000"/>
          <w:sz w:val="16"/>
          <w:szCs w:val="16"/>
          <w:lang w:eastAsia="en-US"/>
        </w:rPr>
        <w:t xml:space="preserve"> </w:t>
      </w:r>
      <w:r w:rsidRPr="009A64FC">
        <w:rPr>
          <w:rFonts w:eastAsiaTheme="minorHAnsi"/>
          <w:color w:val="000000"/>
          <w:szCs w:val="22"/>
          <w:lang w:eastAsia="en-US"/>
        </w:rPr>
        <w:t>holding an appointment made under a law of the</w:t>
      </w:r>
      <w:r>
        <w:rPr>
          <w:rFonts w:eastAsiaTheme="minorHAnsi"/>
          <w:color w:val="000000"/>
          <w:szCs w:val="22"/>
          <w:lang w:eastAsia="en-US"/>
        </w:rPr>
        <w:t xml:space="preserve"> </w:t>
      </w:r>
      <w:r w:rsidRPr="009A64FC">
        <w:rPr>
          <w:rFonts w:eastAsiaTheme="minorHAnsi"/>
          <w:color w:val="000000"/>
          <w:szCs w:val="22"/>
          <w:lang w:eastAsia="en-US"/>
        </w:rPr>
        <w:t>Commonwealth.</w:t>
      </w:r>
      <w:r w:rsidR="0073248E">
        <w:rPr>
          <w:sz w:val="16"/>
          <w:szCs w:val="16"/>
        </w:rPr>
        <w:t xml:space="preserve"> </w:t>
      </w:r>
      <w:r w:rsidR="0073248E">
        <w:rPr>
          <w:rStyle w:val="Referencingstyle"/>
        </w:rPr>
        <w:t>[</w:t>
      </w:r>
      <w:r w:rsidR="00717AA8">
        <w:rPr>
          <w:rStyle w:val="Referencingstyle"/>
        </w:rPr>
        <w:t>D</w:t>
      </w:r>
      <w:r w:rsidR="0073248E">
        <w:rPr>
          <w:rStyle w:val="Referencingstyle"/>
        </w:rPr>
        <w:t>efinition of ‘Commonwealth body’</w:t>
      </w:r>
      <w:r w:rsidR="00C012E4">
        <w:rPr>
          <w:rStyle w:val="Referencingstyle"/>
        </w:rPr>
        <w:t>, Clause</w:t>
      </w:r>
      <w:r w:rsidR="00717AA8">
        <w:rPr>
          <w:rStyle w:val="Referencingstyle"/>
        </w:rPr>
        <w:t xml:space="preserve"> 5,</w:t>
      </w:r>
      <w:r w:rsidR="0073248E">
        <w:rPr>
          <w:rStyle w:val="Referencingstyle"/>
        </w:rPr>
        <w:t xml:space="preserve"> and </w:t>
      </w:r>
      <w:r w:rsidR="00717AA8">
        <w:rPr>
          <w:rStyle w:val="Referencingstyle"/>
        </w:rPr>
        <w:t>s</w:t>
      </w:r>
      <w:r w:rsidR="0073248E">
        <w:rPr>
          <w:rStyle w:val="Referencingstyle"/>
        </w:rPr>
        <w:t xml:space="preserve">ubclause </w:t>
      </w:r>
      <w:r w:rsidR="00346302">
        <w:rPr>
          <w:rStyle w:val="Referencingstyle"/>
        </w:rPr>
        <w:t>6</w:t>
      </w:r>
      <w:r w:rsidR="0073248E">
        <w:rPr>
          <w:rStyle w:val="Referencingstyle"/>
        </w:rPr>
        <w:t>(1) of the Commonwealth Registers Bill 2018</w:t>
      </w:r>
      <w:r w:rsidR="009A737D">
        <w:rPr>
          <w:rStyle w:val="Referencingstyle"/>
        </w:rPr>
        <w:t>, items 1,5, 8, 10, 14, 16</w:t>
      </w:r>
      <w:r w:rsidR="00B34381">
        <w:rPr>
          <w:rStyle w:val="Referencingstyle"/>
        </w:rPr>
        <w:t xml:space="preserve"> of the Treasury Laws Amendment (Registries Modernisation and Other Measures) Bill</w:t>
      </w:r>
      <w:r w:rsidR="00B1444A">
        <w:rPr>
          <w:rStyle w:val="Referencingstyle"/>
        </w:rPr>
        <w:t>, section</w:t>
      </w:r>
      <w:r w:rsidR="00992361">
        <w:rPr>
          <w:rStyle w:val="Referencingstyle"/>
        </w:rPr>
        <w:t xml:space="preserve"> 3 and</w:t>
      </w:r>
      <w:r w:rsidR="00B1444A">
        <w:rPr>
          <w:rStyle w:val="Referencingstyle"/>
        </w:rPr>
        <w:t xml:space="preserve"> paragraphs</w:t>
      </w:r>
      <w:r w:rsidR="00992361">
        <w:rPr>
          <w:rStyle w:val="Referencingstyle"/>
        </w:rPr>
        <w:t xml:space="preserve"> 62A</w:t>
      </w:r>
      <w:r w:rsidR="00B1444A">
        <w:rPr>
          <w:rStyle w:val="Referencingstyle"/>
        </w:rPr>
        <w:t>(a)</w:t>
      </w:r>
      <w:r w:rsidR="00992361">
        <w:rPr>
          <w:rStyle w:val="Referencingstyle"/>
        </w:rPr>
        <w:t xml:space="preserve"> of the Business Names</w:t>
      </w:r>
      <w:r w:rsidR="009A737D">
        <w:rPr>
          <w:rStyle w:val="Referencingstyle"/>
        </w:rPr>
        <w:t xml:space="preserve"> Act, </w:t>
      </w:r>
      <w:r w:rsidR="00B1444A">
        <w:rPr>
          <w:rStyle w:val="Referencingstyle"/>
        </w:rPr>
        <w:t>section</w:t>
      </w:r>
      <w:r w:rsidR="00B34381">
        <w:rPr>
          <w:rStyle w:val="Referencingstyle"/>
        </w:rPr>
        <w:t xml:space="preserve"> 9 and </w:t>
      </w:r>
      <w:r w:rsidR="00B1444A">
        <w:rPr>
          <w:rStyle w:val="Referencingstyle"/>
        </w:rPr>
        <w:t xml:space="preserve">subsection </w:t>
      </w:r>
      <w:r w:rsidR="00B34381">
        <w:rPr>
          <w:rStyle w:val="Referencingstyle"/>
        </w:rPr>
        <w:t>1250</w:t>
      </w:r>
      <w:r w:rsidR="00B1444A">
        <w:rPr>
          <w:rStyle w:val="Referencingstyle"/>
        </w:rPr>
        <w:t>(1)</w:t>
      </w:r>
      <w:r w:rsidR="00B34381">
        <w:rPr>
          <w:rStyle w:val="Referencingstyle"/>
        </w:rPr>
        <w:t xml:space="preserve"> of the Corporations Act, and</w:t>
      </w:r>
      <w:r w:rsidR="001B468A">
        <w:rPr>
          <w:rStyle w:val="Referencingstyle"/>
        </w:rPr>
        <w:t xml:space="preserve"> section </w:t>
      </w:r>
      <w:r w:rsidR="00B34381">
        <w:rPr>
          <w:rStyle w:val="Referencingstyle"/>
        </w:rPr>
        <w:t xml:space="preserve">5 and </w:t>
      </w:r>
      <w:r w:rsidR="00B1444A">
        <w:rPr>
          <w:rStyle w:val="Referencingstyle"/>
        </w:rPr>
        <w:t xml:space="preserve">paragraph </w:t>
      </w:r>
      <w:r w:rsidR="00B34381">
        <w:rPr>
          <w:rStyle w:val="Referencingstyle"/>
        </w:rPr>
        <w:t>16A</w:t>
      </w:r>
      <w:r w:rsidR="00B1444A">
        <w:rPr>
          <w:rStyle w:val="Referencingstyle"/>
        </w:rPr>
        <w:t>(a)</w:t>
      </w:r>
      <w:r w:rsidR="00B34381">
        <w:rPr>
          <w:rStyle w:val="Referencingstyle"/>
        </w:rPr>
        <w:t xml:space="preserve"> of the Credit Act</w:t>
      </w:r>
      <w:r w:rsidR="0073248E">
        <w:rPr>
          <w:rStyle w:val="Referencingstyle"/>
        </w:rPr>
        <w:t>]</w:t>
      </w:r>
    </w:p>
    <w:p w14:paraId="5360CE23" w14:textId="77777777" w:rsidR="009A64FC" w:rsidRDefault="00896CEE" w:rsidP="00A46E26">
      <w:pPr>
        <w:numPr>
          <w:ilvl w:val="1"/>
          <w:numId w:val="4"/>
        </w:numPr>
      </w:pPr>
      <w:r>
        <w:t>Only a Commonwealth b</w:t>
      </w:r>
      <w:r w:rsidR="009A64FC">
        <w:t>ody can be appointed as</w:t>
      </w:r>
      <w:r w:rsidR="00A5361B">
        <w:t xml:space="preserve"> the</w:t>
      </w:r>
      <w:r w:rsidR="009A64FC">
        <w:t xml:space="preserve"> </w:t>
      </w:r>
      <w:r w:rsidR="00717AA8">
        <w:t>r</w:t>
      </w:r>
      <w:r w:rsidR="009A64FC">
        <w:t xml:space="preserve">egistrar. </w:t>
      </w:r>
      <w:r w:rsidR="00DA49A3">
        <w:t>Other bodies, such as</w:t>
      </w:r>
      <w:r>
        <w:t xml:space="preserve"> a state government body or a private body</w:t>
      </w:r>
      <w:r w:rsidR="00DA49A3">
        <w:t>, cannot be appointed</w:t>
      </w:r>
      <w:r w:rsidR="00A5361B">
        <w:t xml:space="preserve"> as the</w:t>
      </w:r>
      <w:r w:rsidR="00DA49A3">
        <w:t xml:space="preserve"> </w:t>
      </w:r>
      <w:r w:rsidR="00717AA8">
        <w:t>r</w:t>
      </w:r>
      <w:r w:rsidR="00DA49A3">
        <w:t>egistrar.</w:t>
      </w:r>
      <w:r w:rsidR="00AE6A19">
        <w:t xml:space="preserve"> </w:t>
      </w:r>
    </w:p>
    <w:p w14:paraId="5360CE24" w14:textId="4ECE45CF" w:rsidR="00F031A6" w:rsidRPr="00817F24" w:rsidRDefault="00F031A6" w:rsidP="00A46E26">
      <w:pPr>
        <w:numPr>
          <w:ilvl w:val="1"/>
          <w:numId w:val="4"/>
        </w:numPr>
        <w:rPr>
          <w:rStyle w:val="Referencingstyle"/>
          <w:b w:val="0"/>
          <w:i w:val="0"/>
          <w:sz w:val="22"/>
        </w:rPr>
      </w:pPr>
      <w:r w:rsidRPr="00F031A6">
        <w:t>Different</w:t>
      </w:r>
      <w:r w:rsidR="00DA49A3">
        <w:t xml:space="preserve"> Commonwealth</w:t>
      </w:r>
      <w:r w:rsidRPr="00F031A6">
        <w:t xml:space="preserve"> bodies can be appointed</w:t>
      </w:r>
      <w:r w:rsidR="00450067">
        <w:t xml:space="preserve"> </w:t>
      </w:r>
      <w:r w:rsidR="00717AA8">
        <w:t>r</w:t>
      </w:r>
      <w:r w:rsidR="00450067">
        <w:t>egistrar</w:t>
      </w:r>
      <w:r w:rsidRPr="00F031A6">
        <w:t xml:space="preserve"> for differ</w:t>
      </w:r>
      <w:r w:rsidR="00A5361B">
        <w:t xml:space="preserve">ent functions of the </w:t>
      </w:r>
      <w:r w:rsidR="00422522">
        <w:t>r</w:t>
      </w:r>
      <w:r w:rsidR="00DA49A3">
        <w:t>egistrar.</w:t>
      </w:r>
      <w:r w:rsidR="00DF2059">
        <w:t xml:space="preserve"> </w:t>
      </w:r>
      <w:r w:rsidR="00164278">
        <w:t>Where this occurs, a</w:t>
      </w:r>
      <w:bookmarkStart w:id="6" w:name="_GoBack"/>
      <w:bookmarkEnd w:id="6"/>
      <w:r w:rsidR="00164278">
        <w:t xml:space="preserve"> reference to ‘</w:t>
      </w:r>
      <w:r w:rsidR="00717AA8">
        <w:t>r</w:t>
      </w:r>
      <w:r w:rsidR="00164278">
        <w:t xml:space="preserve">egistrar’ in the new regime that does not relate to particular functions or powers of the </w:t>
      </w:r>
      <w:r w:rsidR="00422522">
        <w:t>r</w:t>
      </w:r>
      <w:r w:rsidR="00164278">
        <w:t>egistrar is taken to be a reference to each</w:t>
      </w:r>
      <w:r w:rsidR="00450067">
        <w:t xml:space="preserve"> body appointed as </w:t>
      </w:r>
      <w:r w:rsidR="00422522">
        <w:t>r</w:t>
      </w:r>
      <w:r w:rsidR="00164278">
        <w:t>egistrar</w:t>
      </w:r>
      <w:r w:rsidR="00450067">
        <w:t>.</w:t>
      </w:r>
      <w:r w:rsidR="00164278">
        <w:t xml:space="preserve"> This</w:t>
      </w:r>
      <w:r w:rsidRPr="00F031A6">
        <w:t xml:space="preserve"> enables a shared services approach to </w:t>
      </w:r>
      <w:r w:rsidR="00A5361B">
        <w:t>be adopted where such an approach would facilitate the efficient and effective administration</w:t>
      </w:r>
      <w:r w:rsidR="00164278">
        <w:t xml:space="preserve"> of the new regime</w:t>
      </w:r>
      <w:r w:rsidR="00A5361B">
        <w:t>.</w:t>
      </w:r>
      <w:r w:rsidR="00AE6A19">
        <w:t xml:space="preserve"> </w:t>
      </w:r>
      <w:r w:rsidR="00AE6A19">
        <w:rPr>
          <w:rStyle w:val="Referencingstyle"/>
        </w:rPr>
        <w:t xml:space="preserve">[Subclauses </w:t>
      </w:r>
      <w:r w:rsidR="00B1444A">
        <w:rPr>
          <w:rStyle w:val="Referencingstyle"/>
        </w:rPr>
        <w:t>6</w:t>
      </w:r>
      <w:r w:rsidR="00AE6A19">
        <w:rPr>
          <w:rStyle w:val="Referencingstyle"/>
        </w:rPr>
        <w:t xml:space="preserve">(2) and </w:t>
      </w:r>
      <w:r w:rsidR="00B1444A">
        <w:rPr>
          <w:rStyle w:val="Referencingstyle"/>
        </w:rPr>
        <w:t>6</w:t>
      </w:r>
      <w:r w:rsidR="00AE6A19">
        <w:rPr>
          <w:rStyle w:val="Referencingstyle"/>
        </w:rPr>
        <w:t>(3) of the Commonwealth Registers Bill 2018</w:t>
      </w:r>
      <w:r w:rsidR="00B1444A">
        <w:rPr>
          <w:rStyle w:val="Referencingstyle"/>
        </w:rPr>
        <w:t>, items 5, 10 and 16 of the Treasury Laws Amendment (Registries Modernisation and Other Measures) Bill, paragraph</w:t>
      </w:r>
      <w:r w:rsidR="008A12FB">
        <w:rPr>
          <w:rStyle w:val="Referencingstyle"/>
        </w:rPr>
        <w:t>s</w:t>
      </w:r>
      <w:r w:rsidR="00B1444A">
        <w:rPr>
          <w:rStyle w:val="Referencingstyle"/>
        </w:rPr>
        <w:t xml:space="preserve"> 62A</w:t>
      </w:r>
      <w:r w:rsidR="008A12FB">
        <w:rPr>
          <w:rStyle w:val="Referencingstyle"/>
        </w:rPr>
        <w:t xml:space="preserve">(b) and </w:t>
      </w:r>
      <w:r w:rsidR="00B1444A">
        <w:rPr>
          <w:rStyle w:val="Referencingstyle"/>
        </w:rPr>
        <w:t>(c) of the Business Names Act, subsection</w:t>
      </w:r>
      <w:r w:rsidR="008A12FB">
        <w:rPr>
          <w:rStyle w:val="Referencingstyle"/>
        </w:rPr>
        <w:t>s</w:t>
      </w:r>
      <w:r w:rsidR="00B1444A">
        <w:rPr>
          <w:rStyle w:val="Referencingstyle"/>
        </w:rPr>
        <w:t xml:space="preserve"> 1250(</w:t>
      </w:r>
      <w:r w:rsidR="008A12FB">
        <w:rPr>
          <w:rStyle w:val="Referencingstyle"/>
        </w:rPr>
        <w:t>2</w:t>
      </w:r>
      <w:r w:rsidR="00B1444A">
        <w:rPr>
          <w:rStyle w:val="Referencingstyle"/>
        </w:rPr>
        <w:t>)</w:t>
      </w:r>
      <w:r w:rsidR="008A12FB">
        <w:rPr>
          <w:rStyle w:val="Referencingstyle"/>
        </w:rPr>
        <w:t xml:space="preserve"> and (3)</w:t>
      </w:r>
      <w:r w:rsidR="00B1444A">
        <w:rPr>
          <w:rStyle w:val="Referencingstyle"/>
        </w:rPr>
        <w:t xml:space="preserve"> of the Corporations Act, and paragraph</w:t>
      </w:r>
      <w:r w:rsidR="008A12FB">
        <w:rPr>
          <w:rStyle w:val="Referencingstyle"/>
        </w:rPr>
        <w:t>s</w:t>
      </w:r>
      <w:r w:rsidR="00B1444A">
        <w:rPr>
          <w:rStyle w:val="Referencingstyle"/>
        </w:rPr>
        <w:t xml:space="preserve"> 16A(</w:t>
      </w:r>
      <w:r w:rsidR="008A12FB">
        <w:rPr>
          <w:rStyle w:val="Referencingstyle"/>
        </w:rPr>
        <w:t>b</w:t>
      </w:r>
      <w:r w:rsidR="00B1444A">
        <w:rPr>
          <w:rStyle w:val="Referencingstyle"/>
        </w:rPr>
        <w:t>)</w:t>
      </w:r>
      <w:r w:rsidR="008A12FB">
        <w:rPr>
          <w:rStyle w:val="Referencingstyle"/>
        </w:rPr>
        <w:t xml:space="preserve"> and (c)</w:t>
      </w:r>
      <w:r w:rsidR="00B1444A">
        <w:rPr>
          <w:rStyle w:val="Referencingstyle"/>
        </w:rPr>
        <w:t xml:space="preserve"> of the Credit Act</w:t>
      </w:r>
      <w:r w:rsidR="00AE6A19">
        <w:rPr>
          <w:rStyle w:val="Referencingstyle"/>
        </w:rPr>
        <w:t>]</w:t>
      </w:r>
    </w:p>
    <w:p w14:paraId="5360CE25" w14:textId="77777777" w:rsidR="00817F24" w:rsidRDefault="006B67B6" w:rsidP="006B67B6">
      <w:pPr>
        <w:pStyle w:val="Heading3"/>
      </w:pPr>
      <w:r>
        <w:t>W</w:t>
      </w:r>
      <w:r w:rsidR="00817F24">
        <w:t>hat</w:t>
      </w:r>
      <w:r>
        <w:t xml:space="preserve"> are the functions and</w:t>
      </w:r>
      <w:r w:rsidR="00817F24">
        <w:t xml:space="preserve"> </w:t>
      </w:r>
      <w:r w:rsidR="00817F24" w:rsidRPr="006B67B6">
        <w:t>powers</w:t>
      </w:r>
      <w:r>
        <w:t xml:space="preserve"> of the </w:t>
      </w:r>
      <w:r w:rsidR="00422522">
        <w:t>r</w:t>
      </w:r>
      <w:r>
        <w:t>egistrar</w:t>
      </w:r>
      <w:r w:rsidR="00817F24">
        <w:t>?</w:t>
      </w:r>
    </w:p>
    <w:p w14:paraId="5360CE26" w14:textId="77777777" w:rsidR="0053380D" w:rsidRDefault="00C10279" w:rsidP="00A46E26">
      <w:pPr>
        <w:numPr>
          <w:ilvl w:val="1"/>
          <w:numId w:val="4"/>
        </w:numPr>
      </w:pPr>
      <w:r>
        <w:t>The new law sets out</w:t>
      </w:r>
      <w:r w:rsidR="00450067">
        <w:t xml:space="preserve"> the functions and powers of the </w:t>
      </w:r>
      <w:r w:rsidR="00422522">
        <w:t>r</w:t>
      </w:r>
      <w:r w:rsidR="00450067">
        <w:t>egistrar</w:t>
      </w:r>
      <w:r w:rsidR="00DF34CE">
        <w:t>.</w:t>
      </w:r>
    </w:p>
    <w:p w14:paraId="5360CE27" w14:textId="77777777" w:rsidR="009B1396" w:rsidRDefault="00457120" w:rsidP="00A46E26">
      <w:pPr>
        <w:numPr>
          <w:ilvl w:val="1"/>
          <w:numId w:val="4"/>
        </w:numPr>
      </w:pPr>
      <w:r>
        <w:t>A body’s f</w:t>
      </w:r>
      <w:r w:rsidR="006F7B9C">
        <w:t>unctions</w:t>
      </w:r>
      <w:r>
        <w:t xml:space="preserve"> comprise</w:t>
      </w:r>
      <w:r w:rsidR="009B1396">
        <w:t xml:space="preserve"> those</w:t>
      </w:r>
      <w:r w:rsidR="009B1396" w:rsidRPr="0053380D">
        <w:t xml:space="preserve"> actions or activities that are pro</w:t>
      </w:r>
      <w:r>
        <w:t xml:space="preserve">perly performed by the body. </w:t>
      </w:r>
      <w:r w:rsidR="0053380D">
        <w:t xml:space="preserve">The new law provides that the functions of the </w:t>
      </w:r>
      <w:r w:rsidR="00422522">
        <w:t>r</w:t>
      </w:r>
      <w:r w:rsidR="0053380D">
        <w:t>egistrar are:</w:t>
      </w:r>
    </w:p>
    <w:p w14:paraId="5360CE28" w14:textId="77777777" w:rsidR="0053380D" w:rsidRDefault="0053380D" w:rsidP="009B1396">
      <w:pPr>
        <w:pStyle w:val="dotpoint"/>
      </w:pPr>
      <w:r>
        <w:lastRenderedPageBreak/>
        <w:t xml:space="preserve">such functions as are conferred on the </w:t>
      </w:r>
      <w:r w:rsidR="00386634">
        <w:t>r</w:t>
      </w:r>
      <w:r>
        <w:t>egistrar by</w:t>
      </w:r>
      <w:r w:rsidR="001F115D">
        <w:t xml:space="preserve"> a law of the Commonwealth</w:t>
      </w:r>
      <w:r>
        <w:t>;</w:t>
      </w:r>
    </w:p>
    <w:p w14:paraId="5360CE29" w14:textId="77777777" w:rsidR="0053380D" w:rsidRDefault="0053380D" w:rsidP="009B1396">
      <w:pPr>
        <w:pStyle w:val="dotpoint"/>
      </w:pPr>
      <w:r>
        <w:t>such functions as may be prescribed by rules made by the Minister; and</w:t>
      </w:r>
    </w:p>
    <w:p w14:paraId="5360CE2A" w14:textId="1EF6D0F6" w:rsidR="0053380D" w:rsidRPr="00457120" w:rsidRDefault="0053380D" w:rsidP="00457120">
      <w:pPr>
        <w:pStyle w:val="dotpoint"/>
        <w:rPr>
          <w:rStyle w:val="Referencingstyle"/>
          <w:b w:val="0"/>
          <w:i w:val="0"/>
          <w:sz w:val="22"/>
        </w:rPr>
      </w:pPr>
      <w:proofErr w:type="gramStart"/>
      <w:r>
        <w:t>such</w:t>
      </w:r>
      <w:proofErr w:type="gramEnd"/>
      <w:r>
        <w:t xml:space="preserve"> functions as are incidental to the functions mentioned above.</w:t>
      </w:r>
      <w:r w:rsidR="00457120">
        <w:t xml:space="preserve"> </w:t>
      </w:r>
      <w:r w:rsidR="00457120">
        <w:rPr>
          <w:rStyle w:val="Referencingstyle"/>
        </w:rPr>
        <w:t xml:space="preserve">[Clause </w:t>
      </w:r>
      <w:r w:rsidR="00346302">
        <w:rPr>
          <w:rStyle w:val="Referencingstyle"/>
        </w:rPr>
        <w:t>7</w:t>
      </w:r>
      <w:r w:rsidR="00457120">
        <w:rPr>
          <w:rStyle w:val="Referencingstyle"/>
        </w:rPr>
        <w:t xml:space="preserve"> of the Commonwealth Registers Bill 2018</w:t>
      </w:r>
      <w:r w:rsidR="00992361">
        <w:rPr>
          <w:rStyle w:val="Referencingstyle"/>
        </w:rPr>
        <w:t>, items 5, 10 and 16 of the Treasury Laws Amendment (Registries Modernisation and Other Measures) Bill, section 62B of the Business Names Act, section 1251 of the Corporations Act</w:t>
      </w:r>
      <w:r w:rsidR="008A12FB">
        <w:rPr>
          <w:rStyle w:val="Referencingstyle"/>
        </w:rPr>
        <w:t xml:space="preserve"> and section 211B of the Credit Act</w:t>
      </w:r>
      <w:r w:rsidR="00457120">
        <w:rPr>
          <w:rStyle w:val="Referencingstyle"/>
        </w:rPr>
        <w:t>]</w:t>
      </w:r>
    </w:p>
    <w:p w14:paraId="5360CE2B" w14:textId="77777777" w:rsidR="001F115D" w:rsidRDefault="001F115D" w:rsidP="00A46E26">
      <w:pPr>
        <w:numPr>
          <w:ilvl w:val="1"/>
          <w:numId w:val="4"/>
        </w:numPr>
      </w:pPr>
      <w:r>
        <w:t>A power is something a body can do</w:t>
      </w:r>
      <w:r w:rsidR="00D305F7">
        <w:t xml:space="preserve">. </w:t>
      </w:r>
      <w:r>
        <w:t>The new law</w:t>
      </w:r>
      <w:r w:rsidR="002C37C3">
        <w:t xml:space="preserve"> ties the powers of the </w:t>
      </w:r>
      <w:r w:rsidR="00CD1CA2">
        <w:t>r</w:t>
      </w:r>
      <w:r w:rsidR="002C37C3">
        <w:t>egistrar to its functions. In particular, it</w:t>
      </w:r>
      <w:r>
        <w:t xml:space="preserve"> provides that the powers of the registrar include:</w:t>
      </w:r>
    </w:p>
    <w:p w14:paraId="5360CE2C" w14:textId="77777777" w:rsidR="001F115D" w:rsidRDefault="001F115D" w:rsidP="001F115D">
      <w:pPr>
        <w:pStyle w:val="dotpoint"/>
      </w:pPr>
      <w:r>
        <w:t xml:space="preserve">such powers as are conferred on the </w:t>
      </w:r>
      <w:r w:rsidR="00CD1CA2">
        <w:t>r</w:t>
      </w:r>
      <w:r>
        <w:t>egistrar in relation to its functions by a law of the Commonwealth; and</w:t>
      </w:r>
    </w:p>
    <w:p w14:paraId="5360CE2D" w14:textId="1D543F31" w:rsidR="00DF34CE" w:rsidRDefault="001F115D" w:rsidP="002C37C3">
      <w:pPr>
        <w:pStyle w:val="dotpoint"/>
      </w:pPr>
      <w:proofErr w:type="gramStart"/>
      <w:r>
        <w:t>the</w:t>
      </w:r>
      <w:proofErr w:type="gramEnd"/>
      <w:r>
        <w:t xml:space="preserve"> power to do all things necessary or convenient to be done for or in connection with the performance of those functions.</w:t>
      </w:r>
      <w:r w:rsidR="001849CB" w:rsidRPr="001849CB">
        <w:rPr>
          <w:rStyle w:val="Referencingstyle"/>
        </w:rPr>
        <w:t xml:space="preserve"> </w:t>
      </w:r>
      <w:r w:rsidR="001849CB">
        <w:rPr>
          <w:rStyle w:val="Referencingstyle"/>
        </w:rPr>
        <w:t xml:space="preserve">[Clause </w:t>
      </w:r>
      <w:r w:rsidR="00346302">
        <w:rPr>
          <w:rStyle w:val="Referencingstyle"/>
        </w:rPr>
        <w:t>8</w:t>
      </w:r>
      <w:r w:rsidR="001849CB">
        <w:rPr>
          <w:rStyle w:val="Referencingstyle"/>
        </w:rPr>
        <w:t xml:space="preserve"> of the Commonwealth Registers Bill 2018</w:t>
      </w:r>
      <w:r w:rsidR="008A12FB">
        <w:rPr>
          <w:rStyle w:val="Referencingstyle"/>
        </w:rPr>
        <w:t>, items 5, 10 and 16 of the Treasury Laws Amendment (Registries Modernisation and Other Measures) Bill, section 62C of the Business Names Act, section 1252 of the Corporations Act and section 211C</w:t>
      </w:r>
      <w:r w:rsidR="00604499">
        <w:rPr>
          <w:rStyle w:val="Referencingstyle"/>
        </w:rPr>
        <w:t xml:space="preserve"> of the Credit Act</w:t>
      </w:r>
      <w:r w:rsidR="001849CB">
        <w:rPr>
          <w:rStyle w:val="Referencingstyle"/>
        </w:rPr>
        <w:t>]</w:t>
      </w:r>
      <w:r>
        <w:t xml:space="preserve"> </w:t>
      </w:r>
    </w:p>
    <w:p w14:paraId="5360CE2E" w14:textId="77777777" w:rsidR="00E355E7" w:rsidRDefault="00E355E7" w:rsidP="00E355E7">
      <w:pPr>
        <w:pStyle w:val="Heading4"/>
      </w:pPr>
      <w:r>
        <w:t>Most functions and powers are set out in existing laws</w:t>
      </w:r>
    </w:p>
    <w:p w14:paraId="5360CE2F" w14:textId="77777777" w:rsidR="00770F41" w:rsidRDefault="00450067" w:rsidP="00A46E26">
      <w:pPr>
        <w:numPr>
          <w:ilvl w:val="1"/>
          <w:numId w:val="4"/>
        </w:numPr>
      </w:pPr>
      <w:r>
        <w:t>The functions and powers</w:t>
      </w:r>
      <w:r w:rsidR="002C37C3">
        <w:t xml:space="preserve"> of the </w:t>
      </w:r>
      <w:r w:rsidR="008815C3">
        <w:t>r</w:t>
      </w:r>
      <w:r w:rsidR="002C37C3">
        <w:t>egistrar</w:t>
      </w:r>
      <w:r>
        <w:t xml:space="preserve"> are largely set out in existing Commonwealth laws</w:t>
      </w:r>
      <w:r w:rsidR="002C37C3">
        <w:t>.</w:t>
      </w:r>
      <w:r w:rsidR="000A21CF">
        <w:t xml:space="preserve"> </w:t>
      </w:r>
      <w:r w:rsidR="002C37C3">
        <w:t xml:space="preserve">In particular, most </w:t>
      </w:r>
      <w:r w:rsidR="000A21CF" w:rsidRPr="000A21CF">
        <w:t xml:space="preserve">are </w:t>
      </w:r>
      <w:r w:rsidR="006D34A3">
        <w:t>set out in</w:t>
      </w:r>
      <w:r w:rsidR="000D039C">
        <w:t xml:space="preserve"> the</w:t>
      </w:r>
      <w:r w:rsidR="006D34A3">
        <w:t xml:space="preserve"> existing provisions of primary and subordinate legislation that relate to the registers being brought into the</w:t>
      </w:r>
      <w:r w:rsidR="000D039C">
        <w:t xml:space="preserve"> new</w:t>
      </w:r>
      <w:r w:rsidR="006D34A3">
        <w:t xml:space="preserve"> regime (see Table 1.1). These provisions are contained in various parts of</w:t>
      </w:r>
      <w:r w:rsidR="000A21CF">
        <w:t xml:space="preserve"> the Corporations Act, the Corporations Regulations, </w:t>
      </w:r>
      <w:r w:rsidR="000A21CF">
        <w:rPr>
          <w:lang w:val="en"/>
        </w:rPr>
        <w:t xml:space="preserve">the </w:t>
      </w:r>
      <w:r w:rsidR="000A21CF" w:rsidRPr="000A21CF">
        <w:rPr>
          <w:lang w:val="en"/>
        </w:rPr>
        <w:t>ABN Act</w:t>
      </w:r>
      <w:r w:rsidR="000A21CF">
        <w:rPr>
          <w:lang w:val="en"/>
        </w:rPr>
        <w:t>,</w:t>
      </w:r>
      <w:r w:rsidR="000A21CF" w:rsidRPr="000A21CF">
        <w:rPr>
          <w:lang w:val="en"/>
        </w:rPr>
        <w:t xml:space="preserve"> the</w:t>
      </w:r>
      <w:r w:rsidR="000A21CF">
        <w:rPr>
          <w:lang w:val="en"/>
        </w:rPr>
        <w:t xml:space="preserve"> </w:t>
      </w:r>
      <w:r w:rsidR="000A21CF" w:rsidRPr="00BC11C4">
        <w:t>Business Names Act</w:t>
      </w:r>
      <w:r w:rsidR="000A21CF">
        <w:t>, the Credit Act, the Credit Regulations,</w:t>
      </w:r>
      <w:r w:rsidR="002C37C3">
        <w:t xml:space="preserve"> and the SIS Act.</w:t>
      </w:r>
      <w:r w:rsidR="00770F41">
        <w:t xml:space="preserve"> </w:t>
      </w:r>
    </w:p>
    <w:p w14:paraId="5360CE30" w14:textId="77777777" w:rsidR="009F4E9E" w:rsidRDefault="002B5D6B" w:rsidP="00A46E26">
      <w:pPr>
        <w:numPr>
          <w:ilvl w:val="1"/>
          <w:numId w:val="4"/>
        </w:numPr>
      </w:pPr>
      <w:r>
        <w:t>It is not practicable</w:t>
      </w:r>
      <w:r w:rsidR="00770F41">
        <w:t xml:space="preserve"> to comprehensive</w:t>
      </w:r>
      <w:r w:rsidR="008815C3">
        <w:t>ly</w:t>
      </w:r>
      <w:r w:rsidR="00770F41">
        <w:t xml:space="preserve"> list all </w:t>
      </w:r>
      <w:r w:rsidR="00B94EC3">
        <w:t xml:space="preserve">of </w:t>
      </w:r>
      <w:r w:rsidR="00770F41">
        <w:t>the</w:t>
      </w:r>
      <w:r>
        <w:t xml:space="preserve"> functions and the powers that have been transferred to the</w:t>
      </w:r>
      <w:r w:rsidR="00770F41">
        <w:t xml:space="preserve"> </w:t>
      </w:r>
      <w:r w:rsidR="008815C3">
        <w:t>r</w:t>
      </w:r>
      <w:r w:rsidR="00770F41">
        <w:t>egistrar</w:t>
      </w:r>
      <w:r w:rsidR="009F4E9E">
        <w:t xml:space="preserve"> through amendments to</w:t>
      </w:r>
      <w:r w:rsidR="00C35C84">
        <w:t xml:space="preserve"> existing legislation</w:t>
      </w:r>
      <w:r>
        <w:t xml:space="preserve">. </w:t>
      </w:r>
      <w:r w:rsidR="009B0E69">
        <w:t>They are set out in</w:t>
      </w:r>
      <w:r w:rsidR="001B781B">
        <w:t xml:space="preserve"> hundreds of</w:t>
      </w:r>
      <w:r w:rsidR="009B0E69">
        <w:t xml:space="preserve"> </w:t>
      </w:r>
      <w:r>
        <w:t>consequential amendments</w:t>
      </w:r>
      <w:r w:rsidR="00C35C84">
        <w:t xml:space="preserve"> that </w:t>
      </w:r>
      <w:r w:rsidR="009F4E9E">
        <w:t xml:space="preserve">are made to support </w:t>
      </w:r>
      <w:r w:rsidR="00C35C84">
        <w:t>the new regime</w:t>
      </w:r>
      <w:r w:rsidR="009B0E69">
        <w:t>.</w:t>
      </w:r>
      <w:r>
        <w:t xml:space="preserve"> </w:t>
      </w:r>
      <w:r w:rsidR="00C35C84">
        <w:t>However, t</w:t>
      </w:r>
      <w:r w:rsidR="009F1ECE">
        <w:t>he amended functions and powers relate to</w:t>
      </w:r>
      <w:r w:rsidR="009F4E9E">
        <w:t xml:space="preserve"> registry matters such as:</w:t>
      </w:r>
      <w:r w:rsidR="00770F41">
        <w:t xml:space="preserve"> </w:t>
      </w:r>
    </w:p>
    <w:p w14:paraId="5360CE31" w14:textId="77777777" w:rsidR="009F4E9E" w:rsidRDefault="00770F41" w:rsidP="009F4E9E">
      <w:pPr>
        <w:pStyle w:val="dotpoint"/>
      </w:pPr>
      <w:r>
        <w:t xml:space="preserve">the subject matters for which the </w:t>
      </w:r>
      <w:r w:rsidR="004B1E31">
        <w:t>r</w:t>
      </w:r>
      <w:r>
        <w:t>eg</w:t>
      </w:r>
      <w:r w:rsidR="009F4E9E">
        <w:t>istrar can collect information</w:t>
      </w:r>
      <w:r w:rsidR="002B480B">
        <w:t>;</w:t>
      </w:r>
    </w:p>
    <w:p w14:paraId="5360CE32" w14:textId="77777777" w:rsidR="009F4E9E" w:rsidRDefault="004B1E31" w:rsidP="009F4E9E">
      <w:pPr>
        <w:pStyle w:val="dotpoint"/>
      </w:pPr>
      <w:r>
        <w:t>how</w:t>
      </w:r>
      <w:r w:rsidR="00770F41">
        <w:t xml:space="preserve"> perso</w:t>
      </w:r>
      <w:r w:rsidR="00C35C84">
        <w:t xml:space="preserve">ns make applications to the </w:t>
      </w:r>
      <w:r>
        <w:t>r</w:t>
      </w:r>
      <w:r w:rsidR="00C35C84">
        <w:t>egistrar</w:t>
      </w:r>
      <w:r w:rsidR="00770F41">
        <w:t xml:space="preserve"> for certain things (for example,</w:t>
      </w:r>
      <w:r w:rsidR="009F4E9E">
        <w:t xml:space="preserve"> the allocation of an Australian Business Number);</w:t>
      </w:r>
      <w:r w:rsidR="00C35C84">
        <w:t xml:space="preserve"> </w:t>
      </w:r>
    </w:p>
    <w:p w14:paraId="5360CE33" w14:textId="77777777" w:rsidR="009F4E9E" w:rsidRDefault="00C35C84" w:rsidP="009F4E9E">
      <w:pPr>
        <w:pStyle w:val="dotpoint"/>
      </w:pPr>
      <w:r>
        <w:t xml:space="preserve">the ability of the </w:t>
      </w:r>
      <w:r w:rsidR="004B1E31">
        <w:t>r</w:t>
      </w:r>
      <w:r>
        <w:t xml:space="preserve">egistrar </w:t>
      </w:r>
      <w:r w:rsidR="009F4E9E">
        <w:t>to assess those applications;</w:t>
      </w:r>
      <w:r>
        <w:t xml:space="preserve"> and </w:t>
      </w:r>
    </w:p>
    <w:p w14:paraId="5360CE34" w14:textId="77777777" w:rsidR="009F4E9E" w:rsidRDefault="00C35C84" w:rsidP="009F4E9E">
      <w:pPr>
        <w:pStyle w:val="dotpoint"/>
      </w:pPr>
      <w:proofErr w:type="gramStart"/>
      <w:r>
        <w:t>the</w:t>
      </w:r>
      <w:proofErr w:type="gramEnd"/>
      <w:r>
        <w:t xml:space="preserve"> ability of the </w:t>
      </w:r>
      <w:r w:rsidR="004B1E31">
        <w:t>r</w:t>
      </w:r>
      <w:r>
        <w:t>egistrar to hold information.</w:t>
      </w:r>
      <w:r w:rsidR="009F4E9E">
        <w:t xml:space="preserve"> </w:t>
      </w:r>
    </w:p>
    <w:p w14:paraId="5360CE35" w14:textId="77777777" w:rsidR="002B480B" w:rsidRDefault="009F1ECE" w:rsidP="00A46E26">
      <w:pPr>
        <w:numPr>
          <w:ilvl w:val="1"/>
          <w:numId w:val="4"/>
        </w:numPr>
      </w:pPr>
      <w:r>
        <w:t>The consequenti</w:t>
      </w:r>
      <w:r w:rsidR="00361445">
        <w:t xml:space="preserve">al amendments do not create </w:t>
      </w:r>
      <w:r>
        <w:t xml:space="preserve">new functions and powers. Rather, they transfer existing functions and powers, which are currently allocated to specific regulators, to the </w:t>
      </w:r>
      <w:r w:rsidR="004B1E31">
        <w:t>r</w:t>
      </w:r>
      <w:r>
        <w:t xml:space="preserve">egistrar. </w:t>
      </w:r>
      <w:r w:rsidR="0071319C">
        <w:t xml:space="preserve">Paragraphs </w:t>
      </w:r>
      <w:r w:rsidR="0071319C">
        <w:fldChar w:fldCharType="begin"/>
      </w:r>
      <w:r w:rsidR="0071319C">
        <w:instrText xml:space="preserve"> REF _Ref525282973 \r \h </w:instrText>
      </w:r>
      <w:r w:rsidR="0071319C">
        <w:fldChar w:fldCharType="separate"/>
      </w:r>
      <w:r w:rsidR="00F3492D">
        <w:t>1.88</w:t>
      </w:r>
      <w:r w:rsidR="0071319C">
        <w:fldChar w:fldCharType="end"/>
      </w:r>
      <w:r w:rsidR="0071319C">
        <w:t xml:space="preserve"> to </w:t>
      </w:r>
      <w:r w:rsidR="0071319C">
        <w:fldChar w:fldCharType="begin"/>
      </w:r>
      <w:r w:rsidR="0071319C">
        <w:instrText xml:space="preserve"> REF _Ref525283006 \r \h </w:instrText>
      </w:r>
      <w:r w:rsidR="0071319C">
        <w:fldChar w:fldCharType="separate"/>
      </w:r>
      <w:r w:rsidR="00F3492D">
        <w:t>1.100</w:t>
      </w:r>
      <w:r w:rsidR="0071319C">
        <w:fldChar w:fldCharType="end"/>
      </w:r>
      <w:r w:rsidR="00E33A81">
        <w:t xml:space="preserve"> of this</w:t>
      </w:r>
      <w:r w:rsidR="0071319C">
        <w:t xml:space="preserve"> explanatory memorandum provide</w:t>
      </w:r>
      <w:r w:rsidR="00E33A81">
        <w:t xml:space="preserve"> further information in relation to the consequential amendments.</w:t>
      </w:r>
    </w:p>
    <w:p w14:paraId="5360CE36" w14:textId="77777777" w:rsidR="00E355E7" w:rsidRDefault="00E355E7" w:rsidP="00E355E7">
      <w:pPr>
        <w:pStyle w:val="Heading4"/>
      </w:pPr>
      <w:r>
        <w:t>Core functions and powers are set out in the new Act</w:t>
      </w:r>
    </w:p>
    <w:p w14:paraId="5360CE37" w14:textId="37B26FD3" w:rsidR="00721DB0" w:rsidRDefault="000D039C" w:rsidP="00A46E26">
      <w:pPr>
        <w:numPr>
          <w:ilvl w:val="1"/>
          <w:numId w:val="4"/>
        </w:numPr>
      </w:pPr>
      <w:r>
        <w:t>F</w:t>
      </w:r>
      <w:r w:rsidR="006D34A3">
        <w:t xml:space="preserve">unctions and powers of </w:t>
      </w:r>
      <w:r>
        <w:t xml:space="preserve">the </w:t>
      </w:r>
      <w:r w:rsidR="00A31F71">
        <w:t>r</w:t>
      </w:r>
      <w:r>
        <w:t>egistrar are also set out</w:t>
      </w:r>
      <w:r w:rsidR="006871F5">
        <w:t xml:space="preserve"> in the</w:t>
      </w:r>
      <w:r w:rsidR="006D34A3">
        <w:t xml:space="preserve"> new Act</w:t>
      </w:r>
      <w:r w:rsidR="006871F5">
        <w:t xml:space="preserve"> which</w:t>
      </w:r>
      <w:r w:rsidR="006D34A3">
        <w:t xml:space="preserve"> contains the core provisions of the new regime</w:t>
      </w:r>
      <w:r w:rsidR="006871F5">
        <w:t xml:space="preserve">. </w:t>
      </w:r>
      <w:r w:rsidR="001142F4">
        <w:t>These</w:t>
      </w:r>
      <w:r w:rsidR="00C00C07">
        <w:t xml:space="preserve"> functions and powers</w:t>
      </w:r>
      <w:r w:rsidR="006D34A3">
        <w:t xml:space="preserve"> ap</w:t>
      </w:r>
      <w:r w:rsidR="00E71F5A">
        <w:t>ply to all infor</w:t>
      </w:r>
      <w:r w:rsidR="00C00C07">
        <w:t xml:space="preserve">mation subject to the new regime. They are designed </w:t>
      </w:r>
      <w:r w:rsidR="004445B1">
        <w:t xml:space="preserve">to enable the </w:t>
      </w:r>
      <w:r w:rsidR="00C00C07">
        <w:t>regime to apply in a holistic, consistent and flexible manner</w:t>
      </w:r>
      <w:r w:rsidR="004445B1">
        <w:t xml:space="preserve"> </w:t>
      </w:r>
      <w:r w:rsidR="00531364">
        <w:t>regardless of the information it contains. Examples of such functions and powers include</w:t>
      </w:r>
      <w:r w:rsidR="00721DB0">
        <w:t>:</w:t>
      </w:r>
      <w:r w:rsidR="00531364">
        <w:t xml:space="preserve"> the </w:t>
      </w:r>
      <w:r w:rsidR="001E3CC4">
        <w:t>r</w:t>
      </w:r>
      <w:r w:rsidR="00721DB0">
        <w:t>egistrar’s</w:t>
      </w:r>
      <w:r w:rsidR="00531364">
        <w:t xml:space="preserve"> </w:t>
      </w:r>
      <w:r w:rsidR="00721DB0">
        <w:t>ability to</w:t>
      </w:r>
      <w:r w:rsidR="00531364">
        <w:t xml:space="preserve"> make data standards relating </w:t>
      </w:r>
      <w:r w:rsidR="00721DB0">
        <w:t>to the performance of its functions and powers; and the Registrar’s ability to make a disclosure framework relating to the disclosure of protected information.</w:t>
      </w:r>
    </w:p>
    <w:p w14:paraId="5360CE38" w14:textId="77777777" w:rsidR="00F253A2" w:rsidRDefault="000B2980" w:rsidP="00A46E26">
      <w:pPr>
        <w:numPr>
          <w:ilvl w:val="1"/>
          <w:numId w:val="4"/>
        </w:numPr>
      </w:pPr>
      <w:r>
        <w:t>Several benefits derive from the functions and powers contained in the new Act.</w:t>
      </w:r>
      <w:r w:rsidR="00721DB0">
        <w:t xml:space="preserve"> In particular,</w:t>
      </w:r>
      <w:r>
        <w:t xml:space="preserve"> </w:t>
      </w:r>
      <w:r w:rsidR="001C22A4">
        <w:t>they</w:t>
      </w:r>
      <w:r w:rsidR="00721DB0">
        <w:t xml:space="preserve"> overcome several undesirable</w:t>
      </w:r>
      <w:r w:rsidR="00F253A2">
        <w:t xml:space="preserve"> features o</w:t>
      </w:r>
      <w:r w:rsidR="00721DB0">
        <w:t>f the</w:t>
      </w:r>
      <w:r>
        <w:t xml:space="preserve"> </w:t>
      </w:r>
      <w:r w:rsidR="001C22A4">
        <w:t xml:space="preserve">current </w:t>
      </w:r>
      <w:r>
        <w:t>registries regime</w:t>
      </w:r>
      <w:r w:rsidR="006C0FBB">
        <w:t>. These features include</w:t>
      </w:r>
      <w:r w:rsidR="00F253A2">
        <w:t>:</w:t>
      </w:r>
    </w:p>
    <w:p w14:paraId="5360CE39" w14:textId="77777777" w:rsidR="00F253A2" w:rsidRDefault="00F253A2" w:rsidP="00F253A2">
      <w:pPr>
        <w:pStyle w:val="dotpoint"/>
      </w:pPr>
      <w:r>
        <w:lastRenderedPageBreak/>
        <w:t>registers being maintained separately from each other despite</w:t>
      </w:r>
      <w:r w:rsidR="000B2980">
        <w:t xml:space="preserve"> </w:t>
      </w:r>
      <w:r w:rsidR="00DD50AF">
        <w:t>sometimes holding similar</w:t>
      </w:r>
      <w:r>
        <w:t xml:space="preserve"> information</w:t>
      </w:r>
      <w:r w:rsidR="00DD50AF">
        <w:t xml:space="preserve"> – resulting in clients having </w:t>
      </w:r>
      <w:r>
        <w:t>to provide the same information several times</w:t>
      </w:r>
      <w:r w:rsidR="000B2980">
        <w:t xml:space="preserve"> in relation to different registers</w:t>
      </w:r>
      <w:r>
        <w:t>;</w:t>
      </w:r>
    </w:p>
    <w:p w14:paraId="5360CE3A" w14:textId="77777777" w:rsidR="00F253A2" w:rsidRDefault="00F253A2" w:rsidP="00F253A2">
      <w:pPr>
        <w:pStyle w:val="dotpoint"/>
      </w:pPr>
      <w:r>
        <w:t>regulators having limited abilities to determine what information is required for each register</w:t>
      </w:r>
      <w:r w:rsidR="001C22A4">
        <w:t xml:space="preserve"> </w:t>
      </w:r>
      <w:r w:rsidR="00DD50AF">
        <w:t xml:space="preserve">– </w:t>
      </w:r>
      <w:r w:rsidR="001C22A4">
        <w:t>resulting in registers becoming</w:t>
      </w:r>
      <w:r w:rsidR="00DD50AF">
        <w:t xml:space="preserve"> outdated</w:t>
      </w:r>
      <w:r>
        <w:t>;</w:t>
      </w:r>
    </w:p>
    <w:p w14:paraId="5360CE3B" w14:textId="77777777" w:rsidR="00F253A2" w:rsidRDefault="00F253A2" w:rsidP="00DD50AF">
      <w:pPr>
        <w:pStyle w:val="dotpoint"/>
      </w:pPr>
      <w:r>
        <w:t>regulators having varying abilities to determine the manner and form in which registry information is collected and the business rules assoc</w:t>
      </w:r>
      <w:r w:rsidR="00DD50AF">
        <w:t>iated with such collections – resulting in inefficiencies, including an inability to make full use of technolo</w:t>
      </w:r>
      <w:r w:rsidR="006C0FBB">
        <w:t>gy</w:t>
      </w:r>
      <w:r w:rsidR="00DD50AF">
        <w:t xml:space="preserve"> (for example, email and the internet)</w:t>
      </w:r>
      <w:r w:rsidR="006C0FBB">
        <w:t xml:space="preserve"> and to consistently and flexibly deal with incomplete or defective applications</w:t>
      </w:r>
      <w:r>
        <w:t>;</w:t>
      </w:r>
      <w:r w:rsidR="001C22A4">
        <w:t xml:space="preserve"> and</w:t>
      </w:r>
    </w:p>
    <w:p w14:paraId="5360CE3C" w14:textId="77777777" w:rsidR="00F253A2" w:rsidRDefault="00F253A2" w:rsidP="001C22A4">
      <w:pPr>
        <w:pStyle w:val="dotpoint"/>
      </w:pPr>
      <w:proofErr w:type="gramStart"/>
      <w:r>
        <w:t>different</w:t>
      </w:r>
      <w:proofErr w:type="gramEnd"/>
      <w:r>
        <w:t xml:space="preserve"> and</w:t>
      </w:r>
      <w:r w:rsidR="000B2980">
        <w:t xml:space="preserve"> sometimes</w:t>
      </w:r>
      <w:r>
        <w:t xml:space="preserve"> inconsistent rules applying to the ma</w:t>
      </w:r>
      <w:r w:rsidR="00F74523">
        <w:t xml:space="preserve">nagement and use of registers – </w:t>
      </w:r>
      <w:r w:rsidR="001C22A4">
        <w:t>resulting in Government failing to</w:t>
      </w:r>
      <w:r w:rsidR="00F74523">
        <w:t xml:space="preserve"> make best use of registry data.</w:t>
      </w:r>
    </w:p>
    <w:p w14:paraId="5360CE3D" w14:textId="77777777" w:rsidR="009A64FC" w:rsidRPr="00361445" w:rsidRDefault="00E355E7" w:rsidP="00361445">
      <w:pPr>
        <w:pStyle w:val="Heading4"/>
      </w:pPr>
      <w:r>
        <w:t xml:space="preserve">Additional </w:t>
      </w:r>
      <w:r w:rsidR="009F7CB6">
        <w:t>functions may be prescribed by the r</w:t>
      </w:r>
      <w:r>
        <w:t>ules</w:t>
      </w:r>
    </w:p>
    <w:p w14:paraId="5360CE3E" w14:textId="5DDA7B80" w:rsidR="009F7CB6" w:rsidRDefault="00361445" w:rsidP="00A46E26">
      <w:pPr>
        <w:numPr>
          <w:ilvl w:val="1"/>
          <w:numId w:val="4"/>
        </w:numPr>
      </w:pPr>
      <w:r>
        <w:t xml:space="preserve">The Minister may prescribe additional functions for the </w:t>
      </w:r>
      <w:r w:rsidR="00102DB0">
        <w:t>r</w:t>
      </w:r>
      <w:r>
        <w:t xml:space="preserve">egistrar </w:t>
      </w:r>
      <w:r w:rsidR="009F7CB6">
        <w:t>by rules made for this purpose. This ability is supported by a rule making power that enables the Minister, by legislative instrument, to make rules prescribing matters: required or permitted by th</w:t>
      </w:r>
      <w:r w:rsidR="00C248C7">
        <w:t>e new</w:t>
      </w:r>
      <w:r w:rsidR="009F7CB6">
        <w:t xml:space="preserve"> Act to be prescribed by the rules; or, necessary or convenient to be prescribed for carrying out or giving effect to th</w:t>
      </w:r>
      <w:r w:rsidR="00C248C7">
        <w:t>e new</w:t>
      </w:r>
      <w:r w:rsidR="009F7CB6">
        <w:t xml:space="preserve"> Act. </w:t>
      </w:r>
      <w:r w:rsidR="009F7CB6">
        <w:rPr>
          <w:rStyle w:val="Referencingstyle"/>
        </w:rPr>
        <w:t xml:space="preserve">[Paragraph </w:t>
      </w:r>
      <w:r w:rsidR="00346302">
        <w:rPr>
          <w:rStyle w:val="Referencingstyle"/>
        </w:rPr>
        <w:t>7</w:t>
      </w:r>
      <w:r w:rsidR="009F7CB6">
        <w:rPr>
          <w:rStyle w:val="Referencingstyle"/>
        </w:rPr>
        <w:t xml:space="preserve">(c) and subclause </w:t>
      </w:r>
      <w:r w:rsidR="00346302">
        <w:rPr>
          <w:rStyle w:val="Referencingstyle"/>
        </w:rPr>
        <w:t>25</w:t>
      </w:r>
      <w:r w:rsidR="009F7CB6">
        <w:rPr>
          <w:rStyle w:val="Referencingstyle"/>
        </w:rPr>
        <w:t>(1) of the Commonwealth Registers Bill 2018</w:t>
      </w:r>
      <w:r w:rsidR="00604499">
        <w:rPr>
          <w:rStyle w:val="Referencingstyle"/>
        </w:rPr>
        <w:t>, items 5, 10 and 16 of the Treasury Laws Amendment (Registries Modernisation and Other Measures) Bill, paragraph 62B(b)</w:t>
      </w:r>
      <w:r w:rsidR="004348C1">
        <w:rPr>
          <w:rStyle w:val="Referencingstyle"/>
        </w:rPr>
        <w:t xml:space="preserve"> and subsection 62U(1)</w:t>
      </w:r>
      <w:r w:rsidR="00604499">
        <w:rPr>
          <w:rStyle w:val="Referencingstyle"/>
        </w:rPr>
        <w:t xml:space="preserve"> of the Business Names Act, paragraph 1251(b)</w:t>
      </w:r>
      <w:r w:rsidR="004348C1">
        <w:rPr>
          <w:rStyle w:val="Referencingstyle"/>
        </w:rPr>
        <w:t xml:space="preserve"> and subsection 1268(1)</w:t>
      </w:r>
      <w:r w:rsidR="00604499">
        <w:rPr>
          <w:rStyle w:val="Referencingstyle"/>
        </w:rPr>
        <w:t xml:space="preserve"> of the Corporations Act and </w:t>
      </w:r>
      <w:r w:rsidR="009722BD">
        <w:rPr>
          <w:rStyle w:val="Referencingstyle"/>
        </w:rPr>
        <w:t xml:space="preserve">paragraph </w:t>
      </w:r>
      <w:r w:rsidR="00604499">
        <w:rPr>
          <w:rStyle w:val="Referencingstyle"/>
        </w:rPr>
        <w:t>211B</w:t>
      </w:r>
      <w:r w:rsidR="009722BD">
        <w:rPr>
          <w:rStyle w:val="Referencingstyle"/>
        </w:rPr>
        <w:t>(b)</w:t>
      </w:r>
      <w:r w:rsidR="004348C1">
        <w:rPr>
          <w:rStyle w:val="Referencingstyle"/>
        </w:rPr>
        <w:t xml:space="preserve"> and subsection 211U(1)</w:t>
      </w:r>
      <w:r w:rsidR="00604499">
        <w:rPr>
          <w:rStyle w:val="Referencingstyle"/>
        </w:rPr>
        <w:t xml:space="preserve"> of the Credit Act</w:t>
      </w:r>
      <w:r w:rsidR="009F7CB6">
        <w:rPr>
          <w:rStyle w:val="Referencingstyle"/>
        </w:rPr>
        <w:t>]</w:t>
      </w:r>
    </w:p>
    <w:p w14:paraId="5360CE3F" w14:textId="580761C7" w:rsidR="003749E7" w:rsidRDefault="006B26D6" w:rsidP="00A46E26">
      <w:pPr>
        <w:numPr>
          <w:ilvl w:val="1"/>
          <w:numId w:val="4"/>
        </w:numPr>
      </w:pPr>
      <w:r>
        <w:t>This power</w:t>
      </w:r>
      <w:r w:rsidR="0008123C">
        <w:t xml:space="preserve"> </w:t>
      </w:r>
      <w:r w:rsidR="00412BE3">
        <w:t>is inte</w:t>
      </w:r>
      <w:r w:rsidR="005C32C4">
        <w:t xml:space="preserve">nded to provide flexibility </w:t>
      </w:r>
      <w:r w:rsidR="00AA00B5">
        <w:t>for</w:t>
      </w:r>
      <w:r w:rsidR="005C32C4">
        <w:t xml:space="preserve"> the new regime, particularly with respect to the</w:t>
      </w:r>
      <w:r w:rsidR="00741D93" w:rsidRPr="00D0508A">
        <w:t xml:space="preserve"> </w:t>
      </w:r>
      <w:r w:rsidR="00102DB0">
        <w:t>r</w:t>
      </w:r>
      <w:r w:rsidR="00741D93" w:rsidRPr="00D0508A">
        <w:t xml:space="preserve">egistrar’s functions. </w:t>
      </w:r>
      <w:r w:rsidR="00D0508A" w:rsidRPr="00D0508A">
        <w:t xml:space="preserve">Examples of additional functions that could be prescribed by </w:t>
      </w:r>
      <w:r w:rsidR="00412BE3">
        <w:t xml:space="preserve">the Minister include </w:t>
      </w:r>
      <w:r w:rsidR="00D0508A" w:rsidRPr="00D0508A">
        <w:t xml:space="preserve">functions regarding the management of Commonwealth data </w:t>
      </w:r>
      <w:r w:rsidR="00412BE3">
        <w:t>or functions</w:t>
      </w:r>
      <w:r w:rsidR="00D0508A" w:rsidRPr="00D0508A">
        <w:t xml:space="preserve"> around educating the public about data resources and</w:t>
      </w:r>
      <w:r w:rsidR="00412BE3">
        <w:t xml:space="preserve"> data</w:t>
      </w:r>
      <w:r w:rsidR="00D0508A" w:rsidRPr="00D0508A">
        <w:t xml:space="preserve"> security.</w:t>
      </w:r>
      <w:r w:rsidR="005C32C4">
        <w:t xml:space="preserve"> While functions </w:t>
      </w:r>
      <w:r w:rsidR="003749E7">
        <w:t xml:space="preserve">permitting </w:t>
      </w:r>
      <w:r w:rsidR="005C32C4">
        <w:t xml:space="preserve">the collection of additional data could be prescribed, </w:t>
      </w:r>
      <w:r w:rsidR="003749E7">
        <w:t>such collections could only proceed</w:t>
      </w:r>
      <w:r w:rsidR="005C32C4">
        <w:t xml:space="preserve"> on a voluntary</w:t>
      </w:r>
      <w:r w:rsidR="003749E7">
        <w:t xml:space="preserve"> basis as there is no provision for penalties for non-compliance. </w:t>
      </w:r>
    </w:p>
    <w:p w14:paraId="5360CE40" w14:textId="77777777" w:rsidR="00FB28B1" w:rsidRDefault="00FB28B1" w:rsidP="00A46E26">
      <w:pPr>
        <w:numPr>
          <w:ilvl w:val="1"/>
          <w:numId w:val="4"/>
        </w:numPr>
      </w:pPr>
      <w:r>
        <w:t>Further information regarding the new rule making power more generall</w:t>
      </w:r>
      <w:r w:rsidR="009C675A">
        <w:t xml:space="preserve">y is contained in paragraphs </w:t>
      </w:r>
      <w:r w:rsidR="009C675A">
        <w:fldChar w:fldCharType="begin"/>
      </w:r>
      <w:r w:rsidR="009C675A">
        <w:instrText xml:space="preserve"> REF _Ref524731675 \n \h </w:instrText>
      </w:r>
      <w:r w:rsidR="009C675A">
        <w:fldChar w:fldCharType="separate"/>
      </w:r>
      <w:r w:rsidR="00F3492D">
        <w:t>1.82</w:t>
      </w:r>
      <w:r w:rsidR="009C675A">
        <w:fldChar w:fldCharType="end"/>
      </w:r>
      <w:r w:rsidR="009C675A">
        <w:t xml:space="preserve"> to </w:t>
      </w:r>
      <w:r w:rsidR="009C675A">
        <w:fldChar w:fldCharType="begin"/>
      </w:r>
      <w:r w:rsidR="009C675A">
        <w:instrText xml:space="preserve"> REF _Ref524731681 \n \h </w:instrText>
      </w:r>
      <w:r w:rsidR="009C675A">
        <w:fldChar w:fldCharType="separate"/>
      </w:r>
      <w:r w:rsidR="00F3492D">
        <w:t>1.87</w:t>
      </w:r>
      <w:r w:rsidR="009C675A">
        <w:fldChar w:fldCharType="end"/>
      </w:r>
      <w:r w:rsidR="009C675A">
        <w:t xml:space="preserve"> </w:t>
      </w:r>
      <w:r>
        <w:t xml:space="preserve">of this memorandum. For present purposes, it is noted that any rules made using this power (including rules prescribing additional functions for the registrar) are legislative instruments and are subject to parliamentary oversight through the disallowance process set out in the </w:t>
      </w:r>
      <w:r w:rsidRPr="00FB28B1">
        <w:rPr>
          <w:i/>
        </w:rPr>
        <w:t>Legislation Act 2003</w:t>
      </w:r>
      <w:r>
        <w:t>.</w:t>
      </w:r>
    </w:p>
    <w:p w14:paraId="5360CE41" w14:textId="77777777" w:rsidR="007B29FF" w:rsidRDefault="00F253A2" w:rsidP="00F253A2">
      <w:pPr>
        <w:pStyle w:val="Heading3"/>
      </w:pPr>
      <w:r>
        <w:t xml:space="preserve">How does the </w:t>
      </w:r>
      <w:r w:rsidR="00102DB0">
        <w:t>r</w:t>
      </w:r>
      <w:r>
        <w:t>egistrar perform its functions</w:t>
      </w:r>
      <w:r w:rsidR="00F5277D">
        <w:t xml:space="preserve"> and powers</w:t>
      </w:r>
      <w:r>
        <w:t>?</w:t>
      </w:r>
    </w:p>
    <w:p w14:paraId="5360CE42" w14:textId="4F10698D" w:rsidR="00C1553C" w:rsidRDefault="00F5277D" w:rsidP="00A46E26">
      <w:pPr>
        <w:numPr>
          <w:ilvl w:val="1"/>
          <w:numId w:val="4"/>
        </w:numPr>
      </w:pPr>
      <w:r>
        <w:t xml:space="preserve">The </w:t>
      </w:r>
      <w:r w:rsidR="00102DB0">
        <w:t>r</w:t>
      </w:r>
      <w:r w:rsidR="00C1553C" w:rsidRPr="00C1553C">
        <w:t>egistrar performs its functions</w:t>
      </w:r>
      <w:r w:rsidR="00484343">
        <w:t xml:space="preserve"> and powers</w:t>
      </w:r>
      <w:r w:rsidR="00C1553C" w:rsidRPr="00C1553C">
        <w:t xml:space="preserve"> in accord</w:t>
      </w:r>
      <w:r w:rsidR="00484343">
        <w:t xml:space="preserve">ance with the </w:t>
      </w:r>
      <w:r w:rsidR="00C1553C">
        <w:t>data standards and</w:t>
      </w:r>
      <w:r w:rsidR="00C10DD8">
        <w:t xml:space="preserve"> other</w:t>
      </w:r>
      <w:r w:rsidR="00C1553C" w:rsidRPr="00C1553C">
        <w:t xml:space="preserve"> Commonwealth laws. </w:t>
      </w:r>
      <w:r w:rsidR="002A063E">
        <w:rPr>
          <w:rStyle w:val="Referencingstyle"/>
        </w:rPr>
        <w:t xml:space="preserve">[Clause </w:t>
      </w:r>
      <w:r w:rsidR="00346302">
        <w:rPr>
          <w:rStyle w:val="Referencingstyle"/>
        </w:rPr>
        <w:t xml:space="preserve">15 </w:t>
      </w:r>
      <w:r w:rsidR="002A063E">
        <w:rPr>
          <w:rStyle w:val="Referencingstyle"/>
        </w:rPr>
        <w:t>of the Commonwealth Registers Bill 2018</w:t>
      </w:r>
      <w:r w:rsidR="003D5878">
        <w:rPr>
          <w:rStyle w:val="Referencingstyle"/>
        </w:rPr>
        <w:t>, items 5, 10 and 16 of the Treasury Laws Amendment (Registries Modernisation and Other Measures) Bill, section 62K of the Business Names Act, section 1259 of the Corporations Act and section 211K of the Credit Act</w:t>
      </w:r>
      <w:r w:rsidR="002A063E">
        <w:rPr>
          <w:rStyle w:val="Referencingstyle"/>
        </w:rPr>
        <w:t>]</w:t>
      </w:r>
    </w:p>
    <w:p w14:paraId="5360CE43" w14:textId="77777777" w:rsidR="00C1553C" w:rsidRDefault="00C1553C" w:rsidP="00C1553C">
      <w:pPr>
        <w:pStyle w:val="Heading4"/>
      </w:pPr>
      <w:r>
        <w:t>Data standards</w:t>
      </w:r>
    </w:p>
    <w:p w14:paraId="5360CE44" w14:textId="0FB95A3B" w:rsidR="00484343" w:rsidRPr="008D6895" w:rsidRDefault="008A33C1" w:rsidP="00A46E26">
      <w:pPr>
        <w:numPr>
          <w:ilvl w:val="1"/>
          <w:numId w:val="4"/>
        </w:numPr>
        <w:rPr>
          <w:rStyle w:val="Referencingstyle"/>
          <w:b w:val="0"/>
          <w:i w:val="0"/>
          <w:sz w:val="22"/>
        </w:rPr>
      </w:pPr>
      <w:bookmarkStart w:id="7" w:name="_Ref524870386"/>
      <w:r>
        <w:t>The new law</w:t>
      </w:r>
      <w:r w:rsidR="00C1553C">
        <w:t xml:space="preserve"> allows the </w:t>
      </w:r>
      <w:r w:rsidR="00102DB0">
        <w:t>r</w:t>
      </w:r>
      <w:r w:rsidR="00C1553C">
        <w:t xml:space="preserve">egistrar to make data standards on matters relating to the performance of the </w:t>
      </w:r>
      <w:r w:rsidR="00102DB0">
        <w:t>r</w:t>
      </w:r>
      <w:r w:rsidR="00C1553C">
        <w:t>egist</w:t>
      </w:r>
      <w:r w:rsidR="00102DB0">
        <w:t>ra</w:t>
      </w:r>
      <w:r w:rsidR="00C1553C">
        <w:t xml:space="preserve">r’s functions and the exercise of the </w:t>
      </w:r>
      <w:r w:rsidR="00102DB0">
        <w:t>r</w:t>
      </w:r>
      <w:r w:rsidR="00C1553C">
        <w:t>egist</w:t>
      </w:r>
      <w:r w:rsidR="00102DB0">
        <w:t>ra</w:t>
      </w:r>
      <w:r w:rsidR="00C1553C">
        <w:t>r</w:t>
      </w:r>
      <w:r w:rsidR="00102DB0">
        <w:t>’s</w:t>
      </w:r>
      <w:r w:rsidR="00C1553C">
        <w:t xml:space="preserve"> powers. </w:t>
      </w:r>
      <w:r w:rsidR="00484343">
        <w:t>The data standards may d</w:t>
      </w:r>
      <w:r w:rsidR="00C1553C" w:rsidRPr="00C1553C">
        <w:t>eal with a variety of</w:t>
      </w:r>
      <w:r w:rsidR="00CB3F8D">
        <w:t xml:space="preserve"> registry related matters</w:t>
      </w:r>
      <w:r w:rsidR="00C1553C" w:rsidRPr="00C1553C">
        <w:t xml:space="preserve"> </w:t>
      </w:r>
      <w:r w:rsidR="00CB3F8D">
        <w:t>that are c</w:t>
      </w:r>
      <w:r w:rsidR="00C1553C" w:rsidRPr="00C1553C">
        <w:t>urrently dealt with by prescriptive rules in primary legislation that are not uniform, technology neutral or governance neutral.</w:t>
      </w:r>
      <w:r w:rsidR="00484343">
        <w:t xml:space="preserve"> </w:t>
      </w:r>
      <w:r w:rsidR="00484343">
        <w:rPr>
          <w:rStyle w:val="Referencingstyle"/>
        </w:rPr>
        <w:t xml:space="preserve">[Subclause </w:t>
      </w:r>
      <w:r w:rsidR="00346302">
        <w:rPr>
          <w:rStyle w:val="Referencingstyle"/>
        </w:rPr>
        <w:t>13</w:t>
      </w:r>
      <w:r w:rsidR="00484343">
        <w:rPr>
          <w:rStyle w:val="Referencingstyle"/>
        </w:rPr>
        <w:t>(1) of the Commonwealth Registers Bill 2018</w:t>
      </w:r>
      <w:r w:rsidR="00114BC6">
        <w:rPr>
          <w:rStyle w:val="Referencingstyle"/>
        </w:rPr>
        <w:t>, items 5, 10 and 16 of the Treasury Laws Amendment (Registries Modernisation and Other Measures) Bill, subsection 62H(1) of the Business Names Act, subsection 1257(1) of the Corporations Act and subsection 211H(1) of the Credit Act</w:t>
      </w:r>
      <w:r w:rsidR="00484343">
        <w:rPr>
          <w:rStyle w:val="Referencingstyle"/>
        </w:rPr>
        <w:t>]</w:t>
      </w:r>
      <w:bookmarkEnd w:id="7"/>
    </w:p>
    <w:p w14:paraId="5360CE45" w14:textId="77777777" w:rsidR="00CB3F8D" w:rsidRDefault="008D6895" w:rsidP="00A46E26">
      <w:pPr>
        <w:numPr>
          <w:ilvl w:val="1"/>
          <w:numId w:val="4"/>
        </w:numPr>
      </w:pPr>
      <w:r>
        <w:t xml:space="preserve">To assist readers </w:t>
      </w:r>
      <w:r w:rsidR="00E07EBA">
        <w:t xml:space="preserve">to </w:t>
      </w:r>
      <w:r>
        <w:t>understand the role of</w:t>
      </w:r>
      <w:r w:rsidR="00CB3F8D">
        <w:t xml:space="preserve"> the</w:t>
      </w:r>
      <w:r>
        <w:t xml:space="preserve"> data standards, the new Act provides examples of what the data standards may</w:t>
      </w:r>
      <w:r w:rsidR="00CB3F8D">
        <w:t xml:space="preserve"> cover.</w:t>
      </w:r>
      <w:r w:rsidR="00974944">
        <w:t xml:space="preserve"> These examples clarify that the data standards may provide for</w:t>
      </w:r>
      <w:r w:rsidR="00FA1087">
        <w:t xml:space="preserve"> matte</w:t>
      </w:r>
      <w:r w:rsidR="00E07EBA">
        <w:t>r</w:t>
      </w:r>
      <w:r w:rsidR="00FA1087">
        <w:t>s such as the</w:t>
      </w:r>
      <w:r w:rsidR="00974944">
        <w:t xml:space="preserve"> following:</w:t>
      </w:r>
    </w:p>
    <w:p w14:paraId="5360CE46" w14:textId="77777777" w:rsidR="00974944" w:rsidRDefault="00974944" w:rsidP="00CB3F8D">
      <w:pPr>
        <w:pStyle w:val="dotpoint"/>
      </w:pPr>
      <w:r>
        <w:t xml:space="preserve">what information may be collected for the purposes of the performance of the </w:t>
      </w:r>
      <w:r w:rsidR="005D4B08">
        <w:t>registrar’s</w:t>
      </w:r>
      <w:r>
        <w:t xml:space="preserve"> functions and the exercise of the </w:t>
      </w:r>
      <w:r w:rsidR="005D4B08">
        <w:t>registrar’s</w:t>
      </w:r>
      <w:r>
        <w:t xml:space="preserve"> powers;</w:t>
      </w:r>
    </w:p>
    <w:p w14:paraId="5360CE47" w14:textId="77777777" w:rsidR="00974944" w:rsidRDefault="00974944" w:rsidP="00CB3F8D">
      <w:pPr>
        <w:pStyle w:val="dotpoint"/>
      </w:pPr>
      <w:r>
        <w:lastRenderedPageBreak/>
        <w:t>how such information may be collected;</w:t>
      </w:r>
    </w:p>
    <w:p w14:paraId="5360CE48" w14:textId="77777777" w:rsidR="00974944" w:rsidRDefault="00974944" w:rsidP="00CB3F8D">
      <w:pPr>
        <w:pStyle w:val="dotpoint"/>
      </w:pPr>
      <w:r>
        <w:t xml:space="preserve">the manner and form in which such information is given to the </w:t>
      </w:r>
      <w:r w:rsidR="005D4B08">
        <w:t>registrar</w:t>
      </w:r>
      <w:r>
        <w:t>;</w:t>
      </w:r>
    </w:p>
    <w:p w14:paraId="5360CE49" w14:textId="77777777" w:rsidR="00974944" w:rsidRDefault="00974944" w:rsidP="00CB3F8D">
      <w:pPr>
        <w:pStyle w:val="dotpoint"/>
      </w:pPr>
      <w:r>
        <w:t xml:space="preserve">when information is to be given to the </w:t>
      </w:r>
      <w:r w:rsidR="005D4B08">
        <w:t>registrar</w:t>
      </w:r>
    </w:p>
    <w:p w14:paraId="5360CE4A" w14:textId="77777777" w:rsidR="00C73D9D" w:rsidRDefault="008D6895" w:rsidP="00CB3F8D">
      <w:pPr>
        <w:pStyle w:val="dotpoint"/>
      </w:pPr>
      <w:r>
        <w:t xml:space="preserve">how information held by the </w:t>
      </w:r>
      <w:r w:rsidR="005D4B08">
        <w:t>registrar</w:t>
      </w:r>
      <w:r>
        <w:t xml:space="preserve"> is to be authenticated, verified or validated;</w:t>
      </w:r>
      <w:r w:rsidR="00CB3F8D">
        <w:t xml:space="preserve"> </w:t>
      </w:r>
    </w:p>
    <w:p w14:paraId="5360CE4B" w14:textId="77777777" w:rsidR="00974944" w:rsidRDefault="00974944" w:rsidP="00CB3F8D">
      <w:pPr>
        <w:pStyle w:val="dotpoint"/>
      </w:pPr>
      <w:r>
        <w:t xml:space="preserve">how information held by the </w:t>
      </w:r>
      <w:r w:rsidR="005D4B08">
        <w:t>registrar</w:t>
      </w:r>
      <w:r>
        <w:t xml:space="preserve"> is to be stored;</w:t>
      </w:r>
    </w:p>
    <w:p w14:paraId="5360CE4C" w14:textId="77777777" w:rsidR="00974944" w:rsidRDefault="00E07EBA" w:rsidP="00CB3F8D">
      <w:pPr>
        <w:pStyle w:val="dotpoint"/>
      </w:pPr>
      <w:r>
        <w:t xml:space="preserve">the </w:t>
      </w:r>
      <w:r w:rsidR="00974944">
        <w:t xml:space="preserve">correction of information held by the </w:t>
      </w:r>
      <w:r w:rsidR="005D4B08">
        <w:t>registrar</w:t>
      </w:r>
      <w:r w:rsidR="00974944">
        <w:t>;</w:t>
      </w:r>
    </w:p>
    <w:p w14:paraId="5360CE4D" w14:textId="1C487613" w:rsidR="008D6895" w:rsidRDefault="00CB3F8D" w:rsidP="00CB3F8D">
      <w:pPr>
        <w:pStyle w:val="dotpoint"/>
      </w:pPr>
      <w:r>
        <w:t xml:space="preserve">the manner and form of communication between the </w:t>
      </w:r>
      <w:r w:rsidR="005D4B08">
        <w:t>registrar</w:t>
      </w:r>
      <w:r>
        <w:t xml:space="preserve"> and persons who give information to the </w:t>
      </w:r>
      <w:r w:rsidR="005D4B08">
        <w:t>registrar</w:t>
      </w:r>
      <w:r>
        <w:t xml:space="preserve"> or seek to access</w:t>
      </w:r>
      <w:r w:rsidR="001C0CF9">
        <w:t xml:space="preserve"> to</w:t>
      </w:r>
      <w:r>
        <w:t xml:space="preserve"> information held by the </w:t>
      </w:r>
      <w:r w:rsidR="005D4B08">
        <w:t>registrar</w:t>
      </w:r>
      <w:r>
        <w:t>; and</w:t>
      </w:r>
      <w:r w:rsidR="001C0CF9">
        <w:t>;</w:t>
      </w:r>
    </w:p>
    <w:p w14:paraId="5360CE4E" w14:textId="2FC7BCF3" w:rsidR="00CB3F8D" w:rsidRDefault="00CB3F8D" w:rsidP="00CB3F8D">
      <w:pPr>
        <w:pStyle w:val="dotpoint"/>
      </w:pPr>
      <w:proofErr w:type="gramStart"/>
      <w:r>
        <w:t>integrating</w:t>
      </w:r>
      <w:proofErr w:type="gramEnd"/>
      <w:r>
        <w:t xml:space="preserve"> or linking information held by the </w:t>
      </w:r>
      <w:r w:rsidR="00FA4B3C">
        <w:t>registrar</w:t>
      </w:r>
      <w:r>
        <w:t>.</w:t>
      </w:r>
      <w:r w:rsidR="002A063E">
        <w:rPr>
          <w:rStyle w:val="FootnoteReference"/>
        </w:rPr>
        <w:footnoteReference w:id="17"/>
      </w:r>
      <w:r w:rsidR="00974944">
        <w:t xml:space="preserve"> </w:t>
      </w:r>
      <w:r w:rsidR="00974944">
        <w:rPr>
          <w:rStyle w:val="Referencingstyle"/>
        </w:rPr>
        <w:t xml:space="preserve">[Subclause </w:t>
      </w:r>
      <w:r w:rsidR="00346302">
        <w:rPr>
          <w:rStyle w:val="Referencingstyle"/>
        </w:rPr>
        <w:t>13</w:t>
      </w:r>
      <w:r w:rsidR="00974944">
        <w:rPr>
          <w:rStyle w:val="Referencingstyle"/>
        </w:rPr>
        <w:t>(2) of the Commonwealth Registers Bill 2018</w:t>
      </w:r>
      <w:r w:rsidR="000C2761">
        <w:rPr>
          <w:rStyle w:val="Referencingstyle"/>
        </w:rPr>
        <w:t>, items 5, 10 and 16 of the Treasury Laws Amendment (Registries Modernisation and Other Measures) Bill, subsection 62H</w:t>
      </w:r>
      <w:r w:rsidR="008C1667">
        <w:rPr>
          <w:rStyle w:val="Referencingstyle"/>
        </w:rPr>
        <w:t>(2</w:t>
      </w:r>
      <w:r w:rsidR="000C2761">
        <w:rPr>
          <w:rStyle w:val="Referencingstyle"/>
        </w:rPr>
        <w:t>) of the Business Names Act, subsection 125</w:t>
      </w:r>
      <w:r w:rsidR="008C1667">
        <w:rPr>
          <w:rStyle w:val="Referencingstyle"/>
        </w:rPr>
        <w:t>7(2</w:t>
      </w:r>
      <w:r w:rsidR="000C2761">
        <w:rPr>
          <w:rStyle w:val="Referencingstyle"/>
        </w:rPr>
        <w:t>) of the Corporations Act and subsection 211</w:t>
      </w:r>
      <w:r w:rsidR="008C1667">
        <w:rPr>
          <w:rStyle w:val="Referencingstyle"/>
        </w:rPr>
        <w:t>H(2</w:t>
      </w:r>
      <w:r w:rsidR="000C2761">
        <w:rPr>
          <w:rStyle w:val="Referencingstyle"/>
        </w:rPr>
        <w:t>) of the Credit Act</w:t>
      </w:r>
      <w:r w:rsidR="00974944">
        <w:rPr>
          <w:rStyle w:val="Referencingstyle"/>
        </w:rPr>
        <w:t>]</w:t>
      </w:r>
    </w:p>
    <w:p w14:paraId="5360CE4F" w14:textId="3E05D5BA" w:rsidR="00974944" w:rsidRDefault="00361ECF" w:rsidP="00A46E26">
      <w:pPr>
        <w:numPr>
          <w:ilvl w:val="1"/>
          <w:numId w:val="4"/>
        </w:numPr>
      </w:pPr>
      <w:r>
        <w:t>These examples are just an</w:t>
      </w:r>
      <w:r w:rsidR="00974944">
        <w:t xml:space="preserve"> inclusive list of the matters that may be dealt with by the data standards</w:t>
      </w:r>
      <w:r>
        <w:t>.</w:t>
      </w:r>
      <w:r w:rsidR="00CB3F8D">
        <w:t xml:space="preserve"> The</w:t>
      </w:r>
      <w:r>
        <w:t xml:space="preserve">ir inclusion in the new Act is not intended </w:t>
      </w:r>
      <w:r w:rsidR="00CB3F8D">
        <w:t xml:space="preserve">to limit the matters that may </w:t>
      </w:r>
      <w:r>
        <w:t>properly be dealt with by</w:t>
      </w:r>
      <w:r w:rsidR="009F47A6">
        <w:t xml:space="preserve"> the data standards.</w:t>
      </w:r>
      <w:r w:rsidR="00CB3F8D">
        <w:t xml:space="preserve"> </w:t>
      </w:r>
      <w:r w:rsidR="00974944">
        <w:rPr>
          <w:rStyle w:val="Referencingstyle"/>
        </w:rPr>
        <w:t xml:space="preserve">[Subclause </w:t>
      </w:r>
      <w:r w:rsidR="00346302">
        <w:rPr>
          <w:rStyle w:val="Referencingstyle"/>
        </w:rPr>
        <w:t>13</w:t>
      </w:r>
      <w:r w:rsidR="00974944">
        <w:rPr>
          <w:rStyle w:val="Referencingstyle"/>
        </w:rPr>
        <w:t>(</w:t>
      </w:r>
      <w:r>
        <w:rPr>
          <w:rStyle w:val="Referencingstyle"/>
        </w:rPr>
        <w:t>2</w:t>
      </w:r>
      <w:r w:rsidR="00974944">
        <w:rPr>
          <w:rStyle w:val="Referencingstyle"/>
        </w:rPr>
        <w:t>) of the Commonwealth Registers Bill 2018</w:t>
      </w:r>
      <w:r w:rsidR="008C1667">
        <w:rPr>
          <w:rStyle w:val="Referencingstyle"/>
        </w:rPr>
        <w:t>, items 5, 10 and 16 of the Treasury Laws Amendment (Registries Modernisation and Other Measures) Bill, subsection 62H(2) of the Business Names Act, subsection 1257(2) of the Corporations Act and subsection 211H(2) of the Credit Act</w:t>
      </w:r>
      <w:r w:rsidR="00974944">
        <w:rPr>
          <w:rStyle w:val="Referencingstyle"/>
        </w:rPr>
        <w:t>]</w:t>
      </w:r>
    </w:p>
    <w:p w14:paraId="5360CE50" w14:textId="4EDE72E5" w:rsidR="00FA1087" w:rsidRDefault="00FA1087" w:rsidP="00A46E26">
      <w:pPr>
        <w:numPr>
          <w:ilvl w:val="1"/>
          <w:numId w:val="4"/>
        </w:numPr>
      </w:pPr>
      <w:r>
        <w:t xml:space="preserve">The new Act clarifies that the data standards may include different provisions relating to different functions or powers of the </w:t>
      </w:r>
      <w:r w:rsidR="00570BAA">
        <w:t>registrar</w:t>
      </w:r>
      <w:r>
        <w:t xml:space="preserve">. </w:t>
      </w:r>
      <w:r w:rsidR="0072290D">
        <w:t>T</w:t>
      </w:r>
      <w:r w:rsidR="009027EE">
        <w:t xml:space="preserve">his </w:t>
      </w:r>
      <w:r w:rsidR="0072290D">
        <w:t xml:space="preserve">ensures that the data standards do not need to adopt a ‘one size fits all’ approach to the administration of registry functions and powers. </w:t>
      </w:r>
      <w:r w:rsidR="009027EE">
        <w:t>The</w:t>
      </w:r>
      <w:r w:rsidR="00335A4F">
        <w:t xml:space="preserve"> variety of functions and powers given to the </w:t>
      </w:r>
      <w:r w:rsidR="005D4B08">
        <w:t>registrar</w:t>
      </w:r>
      <w:r w:rsidR="00335A4F">
        <w:t xml:space="preserve"> </w:t>
      </w:r>
      <w:r w:rsidR="009027EE">
        <w:t>nece</w:t>
      </w:r>
      <w:r w:rsidR="00C73D9D">
        <w:t xml:space="preserve">ssitates that the </w:t>
      </w:r>
      <w:r w:rsidR="005D4B08">
        <w:t>registrar</w:t>
      </w:r>
      <w:r w:rsidR="00335A4F">
        <w:t xml:space="preserve"> be able to tailor data standards so that they are appropriate for the different purposes for which they may be made.</w:t>
      </w:r>
      <w:r w:rsidR="009027EE">
        <w:t xml:space="preserve"> </w:t>
      </w:r>
      <w:r w:rsidR="009027EE">
        <w:rPr>
          <w:rStyle w:val="Referencingstyle"/>
        </w:rPr>
        <w:t xml:space="preserve">[Subclause </w:t>
      </w:r>
      <w:r w:rsidR="00346302">
        <w:rPr>
          <w:rStyle w:val="Referencingstyle"/>
        </w:rPr>
        <w:t>13</w:t>
      </w:r>
      <w:r w:rsidR="009027EE">
        <w:rPr>
          <w:rStyle w:val="Referencingstyle"/>
        </w:rPr>
        <w:t>(3) of the Commonwealth Registers Bill 2018</w:t>
      </w:r>
      <w:r w:rsidR="00174A38">
        <w:rPr>
          <w:rStyle w:val="Referencingstyle"/>
        </w:rPr>
        <w:t>, items 5, 10 and 16 of the Treasury Laws Amendment (Registries Modernisation and Other Measures) Bill, subsection 62H(3) of the Business Names Act, subsection 1257(3) of the Corporations Act and subsection 211H(3) of the Credit Act</w:t>
      </w:r>
      <w:r w:rsidR="009027EE">
        <w:rPr>
          <w:rStyle w:val="Referencingstyle"/>
        </w:rPr>
        <w:t>]</w:t>
      </w:r>
    </w:p>
    <w:p w14:paraId="5360CE51" w14:textId="77777777" w:rsidR="00646EE0" w:rsidRDefault="0072290D" w:rsidP="00A46E26">
      <w:pPr>
        <w:numPr>
          <w:ilvl w:val="1"/>
          <w:numId w:val="4"/>
        </w:numPr>
      </w:pPr>
      <w:r>
        <w:t xml:space="preserve">This approach of enabling the </w:t>
      </w:r>
      <w:r w:rsidR="005D4B08">
        <w:t>registrar</w:t>
      </w:r>
      <w:r>
        <w:t xml:space="preserve"> to make data standards</w:t>
      </w:r>
      <w:r w:rsidR="00C1553C" w:rsidRPr="00C1553C">
        <w:t xml:space="preserve"> facilitates the efficient</w:t>
      </w:r>
      <w:r w:rsidR="00484343">
        <w:t xml:space="preserve"> and effective</w:t>
      </w:r>
      <w:r w:rsidR="00C1553C" w:rsidRPr="00C1553C">
        <w:t xml:space="preserve"> administration of registry services. Data standards can be readily amended over time to keep up with changes in</w:t>
      </w:r>
      <w:r w:rsidR="00F85A14">
        <w:t xml:space="preserve"> </w:t>
      </w:r>
      <w:r w:rsidR="008F4782">
        <w:t>best practice, industry</w:t>
      </w:r>
      <w:r w:rsidR="00C1553C" w:rsidRPr="00C1553C">
        <w:t xml:space="preserve"> preference, the needs of those using registry services, and technology. The flexibility offered also enables a ‘tell us once’ approach to the collection of information, minimising the number of interactions clients have with the </w:t>
      </w:r>
      <w:r w:rsidR="005D4B08">
        <w:t>r</w:t>
      </w:r>
      <w:r w:rsidR="005D4B08" w:rsidRPr="00C1553C">
        <w:t>egistrar</w:t>
      </w:r>
      <w:r w:rsidR="00C1553C" w:rsidRPr="00C1553C">
        <w:t>.</w:t>
      </w:r>
      <w:r w:rsidR="00BC0185">
        <w:t xml:space="preserve"> Currently, a reporting entity may have to provide the same information to multiple registers increasing regulatory burden and the cost of administering registry services.</w:t>
      </w:r>
    </w:p>
    <w:p w14:paraId="5360CE52" w14:textId="5495503E" w:rsidR="00F85A14" w:rsidRDefault="005950C7" w:rsidP="00A46E26">
      <w:pPr>
        <w:numPr>
          <w:ilvl w:val="1"/>
          <w:numId w:val="4"/>
        </w:numPr>
      </w:pPr>
      <w:r>
        <w:t xml:space="preserve">To ensure these benefits can be realised the new </w:t>
      </w:r>
      <w:r w:rsidR="00D05C64">
        <w:t xml:space="preserve">law includes provisions that ensure </w:t>
      </w:r>
      <w:r w:rsidR="008B3FDB">
        <w:t>the data standards may request information in a wide variety of ways that make best use of available technology. In particular, the new law expressly clarifies</w:t>
      </w:r>
      <w:r w:rsidR="008F4782">
        <w:t xml:space="preserve"> that</w:t>
      </w:r>
      <w:r w:rsidR="008B3FDB">
        <w:t>:</w:t>
      </w:r>
    </w:p>
    <w:p w14:paraId="5360CE53" w14:textId="66141DF1" w:rsidR="008B3FDB" w:rsidRDefault="008F4782" w:rsidP="008B3FDB">
      <w:pPr>
        <w:pStyle w:val="dotpoint"/>
      </w:pPr>
      <w:r>
        <w:t>t</w:t>
      </w:r>
      <w:r w:rsidR="008B3FDB">
        <w:t xml:space="preserve">he data standards may provide that information is to be given to the </w:t>
      </w:r>
      <w:r w:rsidR="005D4B08">
        <w:t>registrar</w:t>
      </w:r>
      <w:r w:rsidR="008B3FDB">
        <w:t xml:space="preserve"> in electronic form, or any other specified form; and</w:t>
      </w:r>
      <w:r w:rsidR="007B7BB0">
        <w:t>,</w:t>
      </w:r>
    </w:p>
    <w:p w14:paraId="5360CE54" w14:textId="5A590278" w:rsidR="008B3FDB" w:rsidRDefault="008F4782" w:rsidP="008B3FDB">
      <w:pPr>
        <w:pStyle w:val="dotpoint"/>
      </w:pPr>
      <w:r>
        <w:t>a</w:t>
      </w:r>
      <w:r w:rsidR="008B3FDB">
        <w:t xml:space="preserve"> requirement under a law that information is to be provided to the </w:t>
      </w:r>
      <w:r w:rsidR="005D4B08">
        <w:t>registrar</w:t>
      </w:r>
      <w:r w:rsidR="008B3FDB">
        <w:t xml:space="preserve"> in a particular form or manner (however described), including a requirement that information is to be “lodged” or “furnished”, is not taken to restrict by implication what the data standards may provide in relation to</w:t>
      </w:r>
      <w:r>
        <w:t xml:space="preserve"> that</w:t>
      </w:r>
      <w:r w:rsidR="008B3FDB">
        <w:t xml:space="preserve"> information. </w:t>
      </w:r>
      <w:r w:rsidR="008B3FDB">
        <w:rPr>
          <w:rStyle w:val="Referencingstyle"/>
        </w:rPr>
        <w:t xml:space="preserve">[Clause </w:t>
      </w:r>
      <w:r w:rsidR="00346302">
        <w:rPr>
          <w:rStyle w:val="Referencingstyle"/>
        </w:rPr>
        <w:t>14</w:t>
      </w:r>
      <w:r w:rsidR="008B3FDB">
        <w:rPr>
          <w:rStyle w:val="Referencingstyle"/>
        </w:rPr>
        <w:t xml:space="preserve"> of </w:t>
      </w:r>
      <w:r>
        <w:rPr>
          <w:rStyle w:val="Referencingstyle"/>
        </w:rPr>
        <w:t>the Commonwealth Registers Bill </w:t>
      </w:r>
      <w:r w:rsidR="008B3FDB">
        <w:rPr>
          <w:rStyle w:val="Referencingstyle"/>
        </w:rPr>
        <w:t>2018</w:t>
      </w:r>
      <w:r w:rsidR="00EA24EC">
        <w:rPr>
          <w:rStyle w:val="Referencingstyle"/>
        </w:rPr>
        <w:t>, items 5, 10 and 16 of the Treasury Laws Amendment (Registries Modernisation and Other Measures) Bill, section 62J of the Business Names Act, section 1258 of the Corporations Act and section 211J of the Credit Act</w:t>
      </w:r>
      <w:r w:rsidR="008B3FDB">
        <w:rPr>
          <w:rStyle w:val="Referencingstyle"/>
        </w:rPr>
        <w:t>]</w:t>
      </w:r>
    </w:p>
    <w:p w14:paraId="5360CE55" w14:textId="23C0A17E" w:rsidR="00F02D88" w:rsidRDefault="008B3FDB" w:rsidP="00A46E26">
      <w:pPr>
        <w:numPr>
          <w:ilvl w:val="1"/>
          <w:numId w:val="4"/>
        </w:numPr>
      </w:pPr>
      <w:r>
        <w:lastRenderedPageBreak/>
        <w:t>T</w:t>
      </w:r>
      <w:r w:rsidR="009E37AF">
        <w:t xml:space="preserve">he new law includes provisions designed to promote the smooth transition of registry functions and powers from one </w:t>
      </w:r>
      <w:r w:rsidR="00FF7966">
        <w:t xml:space="preserve">registrar </w:t>
      </w:r>
      <w:r w:rsidR="009E37AF">
        <w:t xml:space="preserve">to another. As already noted, under the new regime the Minister may appoint any government body as </w:t>
      </w:r>
      <w:r w:rsidR="00FF7966">
        <w:t xml:space="preserve">registrar </w:t>
      </w:r>
      <w:r w:rsidR="009E37AF">
        <w:t>for particular functions and powers and may change the appo</w:t>
      </w:r>
      <w:r w:rsidR="00F02D88">
        <w:t>inted body at any time. Should</w:t>
      </w:r>
      <w:r w:rsidR="00E159F0">
        <w:t xml:space="preserve"> the body appointed as </w:t>
      </w:r>
      <w:r w:rsidR="00FF7966">
        <w:t xml:space="preserve">registrar </w:t>
      </w:r>
      <w:r w:rsidR="00E159F0">
        <w:t>for particular functions and powers change,</w:t>
      </w:r>
      <w:r w:rsidR="009E37AF">
        <w:t xml:space="preserve"> </w:t>
      </w:r>
      <w:r w:rsidR="000D1784">
        <w:t xml:space="preserve">the new law provides that </w:t>
      </w:r>
      <w:r w:rsidR="009E37AF">
        <w:t>any</w:t>
      </w:r>
      <w:r w:rsidR="00F02D88">
        <w:t xml:space="preserve"> existing data standards </w:t>
      </w:r>
      <w:r w:rsidR="009438CC">
        <w:t xml:space="preserve">continue to apply </w:t>
      </w:r>
      <w:r w:rsidR="00F02D88">
        <w:t xml:space="preserve">until the new </w:t>
      </w:r>
      <w:r w:rsidR="00FF7966">
        <w:t xml:space="preserve">registrar </w:t>
      </w:r>
      <w:r w:rsidR="00F02D88">
        <w:t>has</w:t>
      </w:r>
      <w:r w:rsidR="00EC178F">
        <w:t xml:space="preserve"> prepared</w:t>
      </w:r>
      <w:r w:rsidR="00F02D88">
        <w:t xml:space="preserve"> </w:t>
      </w:r>
      <w:r w:rsidR="00EC178F">
        <w:t>replacement</w:t>
      </w:r>
      <w:r w:rsidR="00F02D88">
        <w:t xml:space="preserve"> standards</w:t>
      </w:r>
      <w:r w:rsidR="00EC178F">
        <w:t>.</w:t>
      </w:r>
      <w:r w:rsidR="00E159F0">
        <w:t xml:space="preserve"> </w:t>
      </w:r>
      <w:r w:rsidR="00E159F0">
        <w:rPr>
          <w:rStyle w:val="Referencingstyle"/>
        </w:rPr>
        <w:t xml:space="preserve">[Subclauses </w:t>
      </w:r>
      <w:r w:rsidR="00346302">
        <w:rPr>
          <w:rStyle w:val="Referencingstyle"/>
        </w:rPr>
        <w:t>13</w:t>
      </w:r>
      <w:r w:rsidR="00E159F0">
        <w:rPr>
          <w:rStyle w:val="Referencingstyle"/>
        </w:rPr>
        <w:t>(4) of the Commonwealth Registers Bill 2018</w:t>
      </w:r>
      <w:r w:rsidR="0088463D">
        <w:rPr>
          <w:rStyle w:val="Referencingstyle"/>
        </w:rPr>
        <w:t>, items 5, 10 and 16 of the Treasury Laws Amendment (Registries Modernisation and Other Measures) Bill, subsection 62H(4) of the Business Names Act, subsection 1257(4) of the Corporations Act and subsection 211H(4) of the Credit Act]</w:t>
      </w:r>
    </w:p>
    <w:p w14:paraId="5360CE56" w14:textId="77777777" w:rsidR="00C1553C" w:rsidRDefault="008C43A0" w:rsidP="00A46E26">
      <w:pPr>
        <w:numPr>
          <w:ilvl w:val="1"/>
          <w:numId w:val="4"/>
        </w:numPr>
      </w:pPr>
      <w:bookmarkStart w:id="8" w:name="_Ref524870435"/>
      <w:r>
        <w:t>D</w:t>
      </w:r>
      <w:r w:rsidR="00C1553C" w:rsidRPr="00C1553C">
        <w:t xml:space="preserve">ata standards are disallowable instruments </w:t>
      </w:r>
      <w:r>
        <w:t xml:space="preserve">for the purposes of the </w:t>
      </w:r>
      <w:r w:rsidRPr="001850C1">
        <w:rPr>
          <w:i/>
        </w:rPr>
        <w:t>Legislation Act 2003</w:t>
      </w:r>
      <w:r>
        <w:t>. Under that Act, legislative instruments and their explanatory statements must be tabled in both Hou</w:t>
      </w:r>
      <w:r w:rsidR="00A221CD">
        <w:t>ses of the Parliament within six</w:t>
      </w:r>
      <w:r>
        <w:t xml:space="preserve"> sitting days </w:t>
      </w:r>
      <w:r w:rsidR="00571FD5">
        <w:t xml:space="preserve">after </w:t>
      </w:r>
      <w:r>
        <w:t xml:space="preserve">the date of registration of the instrument on the Federal Register of Legislation. Once tabled, the instruments will be subject to the same level of parliamentary scrutiny as regulations (including consideration by the Senate Standing Committee on Regulations and Ordinances), and </w:t>
      </w:r>
      <w:r w:rsidR="00571FD5">
        <w:t xml:space="preserve">notice of </w:t>
      </w:r>
      <w:r>
        <w:t xml:space="preserve">a motion to disallow the instruments may be </w:t>
      </w:r>
      <w:r w:rsidR="00571FD5">
        <w:t xml:space="preserve">given </w:t>
      </w:r>
      <w:r>
        <w:t xml:space="preserve">in either House of the Parliament within 15 sitting days </w:t>
      </w:r>
      <w:r w:rsidR="00571FD5">
        <w:t xml:space="preserve">after </w:t>
      </w:r>
      <w:r>
        <w:t>the date the instruments are tabled.</w:t>
      </w:r>
      <w:bookmarkEnd w:id="8"/>
    </w:p>
    <w:p w14:paraId="5360CE57" w14:textId="77777777" w:rsidR="00C1553C" w:rsidRDefault="00C10DD8" w:rsidP="00C1553C">
      <w:pPr>
        <w:pStyle w:val="Heading4"/>
      </w:pPr>
      <w:r>
        <w:t>Other</w:t>
      </w:r>
      <w:r w:rsidR="00C1553C">
        <w:t xml:space="preserve"> Commonwealth laws</w:t>
      </w:r>
    </w:p>
    <w:p w14:paraId="5360CE58" w14:textId="5C0F5897" w:rsidR="000C0888" w:rsidRDefault="000C0888" w:rsidP="00A46E26">
      <w:pPr>
        <w:numPr>
          <w:ilvl w:val="1"/>
          <w:numId w:val="4"/>
        </w:numPr>
      </w:pPr>
      <w:bookmarkStart w:id="9" w:name="_Ref524871738"/>
      <w:r>
        <w:t xml:space="preserve">The </w:t>
      </w:r>
      <w:r w:rsidR="00FF7966">
        <w:t xml:space="preserve">registrar </w:t>
      </w:r>
      <w:r>
        <w:t>must also perform its functions and exercise its powers in compliance with any other applicable law of the Commonwealth. These laws fall into two broad categories.</w:t>
      </w:r>
      <w:r w:rsidR="00D461F0">
        <w:t xml:space="preserve"> </w:t>
      </w:r>
      <w:r w:rsidR="00D461F0">
        <w:rPr>
          <w:rStyle w:val="Referencingstyle"/>
        </w:rPr>
        <w:t>[Clause</w:t>
      </w:r>
      <w:r w:rsidR="00D461F0" w:rsidDel="00E60FFC">
        <w:rPr>
          <w:rStyle w:val="Referencingstyle"/>
        </w:rPr>
        <w:t xml:space="preserve"> </w:t>
      </w:r>
      <w:r w:rsidR="00E60FFC">
        <w:rPr>
          <w:rStyle w:val="Referencingstyle"/>
        </w:rPr>
        <w:t>15</w:t>
      </w:r>
      <w:r w:rsidR="00D461F0">
        <w:rPr>
          <w:rStyle w:val="Referencingstyle"/>
        </w:rPr>
        <w:t xml:space="preserve"> of the Commonwealth Registers Bill 2018</w:t>
      </w:r>
      <w:r w:rsidR="00AA1D54">
        <w:rPr>
          <w:rStyle w:val="Referencingstyle"/>
        </w:rPr>
        <w:t>, items 5, 10 and 16 of the Treasury Laws Amendment (Registries Modernisation and Other Measures) Bill, section 62K of the Business Names Act, section 1259 of the Corporations Act and section 211K of the Credit Act</w:t>
      </w:r>
      <w:r w:rsidR="00D461F0">
        <w:rPr>
          <w:rStyle w:val="Referencingstyle"/>
        </w:rPr>
        <w:t>]</w:t>
      </w:r>
      <w:bookmarkEnd w:id="9"/>
    </w:p>
    <w:p w14:paraId="5360CE59" w14:textId="6EE7DA00" w:rsidR="008B7814" w:rsidRDefault="008B7814" w:rsidP="00A46E26">
      <w:pPr>
        <w:numPr>
          <w:ilvl w:val="1"/>
          <w:numId w:val="4"/>
        </w:numPr>
      </w:pPr>
      <w:r>
        <w:t>The first category</w:t>
      </w:r>
      <w:r w:rsidR="000C0888">
        <w:t xml:space="preserve"> relates to current laws governing the registers being brought into the new regime. These laws will continue to apply in relation to functions and powers assigned to the </w:t>
      </w:r>
      <w:r w:rsidR="00FF7966">
        <w:t xml:space="preserve">registrar </w:t>
      </w:r>
      <w:r w:rsidR="000C0888">
        <w:t>until such time as data standards are made in relation to them. This ensures the smooth transition of functions and powers into the new registry regime in circumstances where data standards in relation to those functions and powers do not yet exist. In particular, it avoids any possibility</w:t>
      </w:r>
      <w:r>
        <w:t xml:space="preserve"> of a situation arising where there is an absence of law in relation to how registry functions and powers are performed.</w:t>
      </w:r>
      <w:r w:rsidR="00D461F0">
        <w:t xml:space="preserve"> </w:t>
      </w:r>
      <w:r w:rsidR="00D461F0">
        <w:rPr>
          <w:rStyle w:val="Referencingstyle"/>
        </w:rPr>
        <w:t xml:space="preserve">[Subclause </w:t>
      </w:r>
      <w:r w:rsidR="00E60FFC">
        <w:rPr>
          <w:rStyle w:val="Referencingstyle"/>
        </w:rPr>
        <w:t>15</w:t>
      </w:r>
      <w:r w:rsidR="00D461F0">
        <w:rPr>
          <w:rStyle w:val="Referencingstyle"/>
        </w:rPr>
        <w:t>(1) of the Commonwealth Registers Bill 2018</w:t>
      </w:r>
      <w:r w:rsidR="008D2BFC">
        <w:rPr>
          <w:rStyle w:val="Referencingstyle"/>
        </w:rPr>
        <w:t>, items 5, 10 and 16 of the Treasury Laws Amendment (Registries Modernisation and Other Measures) Bill, subsection 62K(1) of the Business Names Act, subsection 1259(1) of the Corporations Act and subsection 211K(1) of the Credit Act</w:t>
      </w:r>
      <w:r w:rsidR="00D461F0">
        <w:rPr>
          <w:rStyle w:val="Referencingstyle"/>
        </w:rPr>
        <w:t>]</w:t>
      </w:r>
    </w:p>
    <w:p w14:paraId="5360CE5A" w14:textId="4622F763" w:rsidR="00D461F0" w:rsidRDefault="008B7814" w:rsidP="00A46E26">
      <w:pPr>
        <w:numPr>
          <w:ilvl w:val="1"/>
          <w:numId w:val="4"/>
        </w:numPr>
      </w:pPr>
      <w:bookmarkStart w:id="10" w:name="_Ref525248386"/>
      <w:r>
        <w:t xml:space="preserve">The second category relates to other laws of the Commonwealth that properly apply to the </w:t>
      </w:r>
      <w:r w:rsidR="003C631B">
        <w:t>registrar</w:t>
      </w:r>
      <w:r>
        <w:t xml:space="preserve">. These </w:t>
      </w:r>
      <w:r w:rsidR="00571FD5">
        <w:t>include</w:t>
      </w:r>
      <w:r>
        <w:t xml:space="preserve"> laws of general applica</w:t>
      </w:r>
      <w:r w:rsidR="00D1119B">
        <w:t xml:space="preserve">tion </w:t>
      </w:r>
      <w:r>
        <w:t>such as those relating to freedom of information, ar</w:t>
      </w:r>
      <w:r w:rsidR="00D1119B">
        <w:t>chiving of commonwealth records, good governance, and the management of financial resources.</w:t>
      </w:r>
      <w:r w:rsidR="00D461F0" w:rsidRPr="00D461F0">
        <w:rPr>
          <w:rStyle w:val="Referencingstyle"/>
        </w:rPr>
        <w:t xml:space="preserve"> </w:t>
      </w:r>
      <w:r w:rsidR="00D461F0">
        <w:rPr>
          <w:rStyle w:val="Referencingstyle"/>
        </w:rPr>
        <w:t xml:space="preserve">[Subclause </w:t>
      </w:r>
      <w:r w:rsidR="00E60FFC">
        <w:rPr>
          <w:rStyle w:val="Referencingstyle"/>
        </w:rPr>
        <w:t>15</w:t>
      </w:r>
      <w:r w:rsidR="00D461F0">
        <w:rPr>
          <w:rStyle w:val="Referencingstyle"/>
        </w:rPr>
        <w:t>(2) of the Commonwealth Registers Bill 2018</w:t>
      </w:r>
      <w:r w:rsidR="00481832">
        <w:rPr>
          <w:rStyle w:val="Referencingstyle"/>
        </w:rPr>
        <w:t>, items 5, 10 and 16 of the Treasury Laws Amendment (Registries Modernisation and Other Measures) Bill, subsection 62K(2) of the Business Names Act, subsection 1259(2) of the Corporations Act and subsection 211K(2) of the Credit Act</w:t>
      </w:r>
      <w:r w:rsidR="00D461F0">
        <w:rPr>
          <w:rStyle w:val="Referencingstyle"/>
        </w:rPr>
        <w:t>]</w:t>
      </w:r>
      <w:bookmarkEnd w:id="10"/>
    </w:p>
    <w:p w14:paraId="5360CE5B" w14:textId="77777777" w:rsidR="00582CAB" w:rsidRDefault="00F253A2" w:rsidP="00582CAB">
      <w:pPr>
        <w:pStyle w:val="Heading3"/>
      </w:pPr>
      <w:r w:rsidRPr="00A21872">
        <w:t xml:space="preserve">How </w:t>
      </w:r>
      <w:r w:rsidR="00C20562">
        <w:t xml:space="preserve">is </w:t>
      </w:r>
      <w:r w:rsidRPr="00F253A2">
        <w:t>information</w:t>
      </w:r>
      <w:r w:rsidR="00C20562">
        <w:t xml:space="preserve"> held by the registrar protected and</w:t>
      </w:r>
      <w:r w:rsidRPr="00A21872">
        <w:t xml:space="preserve"> d</w:t>
      </w:r>
      <w:r w:rsidR="00B04946">
        <w:t>isclosed?</w:t>
      </w:r>
    </w:p>
    <w:p w14:paraId="5360CE5C" w14:textId="77777777" w:rsidR="00C20562" w:rsidRDefault="00C20562" w:rsidP="00A46E26">
      <w:pPr>
        <w:numPr>
          <w:ilvl w:val="1"/>
          <w:numId w:val="4"/>
        </w:numPr>
      </w:pPr>
      <w:r w:rsidRPr="00C20562">
        <w:t>The new law provides for the protection and disclosure of information held by the reg</w:t>
      </w:r>
      <w:r w:rsidR="00582CAB">
        <w:t>istrar</w:t>
      </w:r>
      <w:r w:rsidR="00FE261F">
        <w:t xml:space="preserve">, including disclosure via a disclosure framework made by the </w:t>
      </w:r>
      <w:r w:rsidR="003C631B">
        <w:t>registrar</w:t>
      </w:r>
      <w:r w:rsidR="00582CAB">
        <w:t>.</w:t>
      </w:r>
    </w:p>
    <w:p w14:paraId="5360CE5D" w14:textId="77777777" w:rsidR="00582CAB" w:rsidRDefault="00582CAB" w:rsidP="00582CAB">
      <w:pPr>
        <w:pStyle w:val="Heading4"/>
      </w:pPr>
      <w:r>
        <w:t>Protection of registry information</w:t>
      </w:r>
    </w:p>
    <w:p w14:paraId="5360CE5E" w14:textId="77777777" w:rsidR="00C20562" w:rsidRDefault="00C20562" w:rsidP="00A46E26">
      <w:pPr>
        <w:numPr>
          <w:ilvl w:val="1"/>
          <w:numId w:val="4"/>
        </w:numPr>
      </w:pPr>
      <w:r w:rsidRPr="00C20562">
        <w:t>It is an offence for an official to</w:t>
      </w:r>
      <w:r w:rsidR="00582CAB">
        <w:t xml:space="preserve"> record or</w:t>
      </w:r>
      <w:r w:rsidRPr="00C20562">
        <w:t xml:space="preserve"> di</w:t>
      </w:r>
      <w:r w:rsidR="0070233C">
        <w:t xml:space="preserve">sclose information held by the </w:t>
      </w:r>
      <w:r w:rsidR="003C631B">
        <w:t>r</w:t>
      </w:r>
      <w:r w:rsidR="003C631B" w:rsidRPr="00C20562">
        <w:t xml:space="preserve">egistrar </w:t>
      </w:r>
      <w:r w:rsidRPr="00C20562">
        <w:t>unles</w:t>
      </w:r>
      <w:r>
        <w:t>s the</w:t>
      </w:r>
      <w:r w:rsidR="00582CAB">
        <w:t xml:space="preserve"> recording or disclosure is authorised</w:t>
      </w:r>
      <w:r>
        <w:t>. In particular,</w:t>
      </w:r>
      <w:r w:rsidR="00582CAB">
        <w:t xml:space="preserve"> unless </w:t>
      </w:r>
      <w:r>
        <w:t>authorised</w:t>
      </w:r>
      <w:r w:rsidR="00571FD5">
        <w:t>,</w:t>
      </w:r>
      <w:r>
        <w:t xml:space="preserve"> a person commits an offence if:</w:t>
      </w:r>
    </w:p>
    <w:p w14:paraId="5360CE5F" w14:textId="77777777" w:rsidR="00C20562" w:rsidRDefault="00EC46FA" w:rsidP="00EC46FA">
      <w:pPr>
        <w:pStyle w:val="dotpoint"/>
      </w:pPr>
      <w:r>
        <w:t>the person is, or has been, in official employment</w:t>
      </w:r>
      <w:r w:rsidR="001113AB">
        <w:rPr>
          <w:rStyle w:val="FootnoteReference"/>
        </w:rPr>
        <w:footnoteReference w:id="18"/>
      </w:r>
      <w:r>
        <w:t>;</w:t>
      </w:r>
    </w:p>
    <w:p w14:paraId="5360CE60" w14:textId="77777777" w:rsidR="00EC46FA" w:rsidRDefault="00571FD5" w:rsidP="00050728">
      <w:pPr>
        <w:pStyle w:val="dotpoint"/>
      </w:pPr>
      <w:r>
        <w:lastRenderedPageBreak/>
        <w:t xml:space="preserve">the </w:t>
      </w:r>
      <w:r w:rsidR="00EC46FA">
        <w:t>person makes a record of information, or discloses information to another person; and</w:t>
      </w:r>
    </w:p>
    <w:p w14:paraId="5360CE61" w14:textId="300027D4" w:rsidR="001F3CD4" w:rsidRDefault="00571FD5" w:rsidP="006F2367">
      <w:pPr>
        <w:pStyle w:val="dotpoint"/>
      </w:pPr>
      <w:proofErr w:type="gramStart"/>
      <w:r>
        <w:t>the</w:t>
      </w:r>
      <w:proofErr w:type="gramEnd"/>
      <w:r>
        <w:t xml:space="preserve"> </w:t>
      </w:r>
      <w:r w:rsidR="00601510">
        <w:t>information is protected information</w:t>
      </w:r>
      <w:r w:rsidR="00050728">
        <w:rPr>
          <w:rStyle w:val="FootnoteReference"/>
        </w:rPr>
        <w:footnoteReference w:id="19"/>
      </w:r>
      <w:r w:rsidR="00601510">
        <w:t xml:space="preserve"> that was obtained by the person in the course of their official employment.</w:t>
      </w:r>
      <w:r w:rsidR="00227DFC">
        <w:t xml:space="preserve"> </w:t>
      </w:r>
      <w:r w:rsidR="00084BA3">
        <w:rPr>
          <w:rStyle w:val="Referencingstyle"/>
        </w:rPr>
        <w:t>[Cl</w:t>
      </w:r>
      <w:r w:rsidR="005D4B08">
        <w:rPr>
          <w:rStyle w:val="Referencingstyle"/>
        </w:rPr>
        <w:t>a</w:t>
      </w:r>
      <w:r w:rsidR="00084BA3">
        <w:rPr>
          <w:rStyle w:val="Referencingstyle"/>
        </w:rPr>
        <w:t>use 5</w:t>
      </w:r>
      <w:r w:rsidR="00CE047A">
        <w:rPr>
          <w:rStyle w:val="Referencingstyle"/>
        </w:rPr>
        <w:t>,</w:t>
      </w:r>
      <w:r w:rsidR="00084BA3">
        <w:rPr>
          <w:rStyle w:val="Referencingstyle"/>
        </w:rPr>
        <w:t xml:space="preserve"> definitions of ‘official employment’ and ‘protected information’</w:t>
      </w:r>
      <w:r w:rsidR="00CE047A">
        <w:rPr>
          <w:rStyle w:val="Referencingstyle"/>
        </w:rPr>
        <w:t xml:space="preserve">, </w:t>
      </w:r>
      <w:r w:rsidR="00084BA3">
        <w:rPr>
          <w:rStyle w:val="Referencingstyle"/>
        </w:rPr>
        <w:t xml:space="preserve">and subclause </w:t>
      </w:r>
      <w:r w:rsidR="00E60FFC">
        <w:rPr>
          <w:rStyle w:val="Referencingstyle"/>
        </w:rPr>
        <w:t>17</w:t>
      </w:r>
      <w:r w:rsidR="00084BA3">
        <w:rPr>
          <w:rStyle w:val="Referencingstyle"/>
        </w:rPr>
        <w:t>(1) of the Commonwealth Registers Bill 2018</w:t>
      </w:r>
      <w:r w:rsidR="00907950">
        <w:rPr>
          <w:rStyle w:val="Referencingstyle"/>
        </w:rPr>
        <w:t>, items 1,5, 8, 10, 14, 16 of the Treasury Laws Amendment (Registries Modernisation and Other Measures) Bill, section 3 and subsection 62M(1) of the Business Names Act, section 9 and subsection 1261(1) of the Corporations Act, an</w:t>
      </w:r>
      <w:r w:rsidR="00A572D8">
        <w:rPr>
          <w:rStyle w:val="Referencingstyle"/>
        </w:rPr>
        <w:t>d section 5 and subsection 211M(1)</w:t>
      </w:r>
      <w:r w:rsidR="00907950">
        <w:rPr>
          <w:rStyle w:val="Referencingstyle"/>
        </w:rPr>
        <w:t xml:space="preserve"> of the Credit Act</w:t>
      </w:r>
      <w:r w:rsidR="00084BA3">
        <w:rPr>
          <w:rStyle w:val="Referencingstyle"/>
        </w:rPr>
        <w:t>]</w:t>
      </w:r>
    </w:p>
    <w:p w14:paraId="5360CE62" w14:textId="6D444834" w:rsidR="006F2367" w:rsidRPr="0065105A" w:rsidRDefault="006F2367" w:rsidP="00A46E26">
      <w:pPr>
        <w:numPr>
          <w:ilvl w:val="1"/>
          <w:numId w:val="4"/>
        </w:numPr>
        <w:rPr>
          <w:b/>
          <w:i/>
        </w:rPr>
      </w:pPr>
      <w:r w:rsidRPr="001F3CD4">
        <w:t xml:space="preserve">The </w:t>
      </w:r>
      <w:r>
        <w:t>maximum penalty for disclosing registry information in breach of this offence provision is imprisonment for two years. The penalty is consistent with comparable provisions in other Acts, including the ASIC Act</w:t>
      </w:r>
      <w:r w:rsidR="00571FD5">
        <w:rPr>
          <w:rStyle w:val="FootnoteReference"/>
        </w:rPr>
        <w:footnoteReference w:id="20"/>
      </w:r>
      <w:r>
        <w:t>, the ABN Act</w:t>
      </w:r>
      <w:r>
        <w:rPr>
          <w:rStyle w:val="FootnoteReference"/>
        </w:rPr>
        <w:footnoteReference w:id="21"/>
      </w:r>
      <w:r>
        <w:t xml:space="preserve"> and the </w:t>
      </w:r>
      <w:r w:rsidRPr="001F3CD4">
        <w:rPr>
          <w:i/>
        </w:rPr>
        <w:t>Tax</w:t>
      </w:r>
      <w:r w:rsidR="002B70E3">
        <w:rPr>
          <w:i/>
        </w:rPr>
        <w:t>ation</w:t>
      </w:r>
      <w:r w:rsidRPr="001F3CD4">
        <w:rPr>
          <w:i/>
        </w:rPr>
        <w:t xml:space="preserve"> Administration Act 1953</w:t>
      </w:r>
      <w:r>
        <w:rPr>
          <w:rStyle w:val="FootnoteReference"/>
        </w:rPr>
        <w:footnoteReference w:id="22"/>
      </w:r>
      <w:r>
        <w:t xml:space="preserve">. The principles set out in the </w:t>
      </w:r>
      <w:r w:rsidRPr="001F3CD4">
        <w:rPr>
          <w:i/>
        </w:rPr>
        <w:t xml:space="preserve">Guide to Framing Commonwealth Offences, Infringement Notices and Enforcement </w:t>
      </w:r>
      <w:r w:rsidR="002B70E3">
        <w:rPr>
          <w:i/>
        </w:rPr>
        <w:t>P</w:t>
      </w:r>
      <w:r w:rsidR="002B70E3" w:rsidRPr="001F3CD4">
        <w:rPr>
          <w:i/>
        </w:rPr>
        <w:t>owers</w:t>
      </w:r>
      <w:r w:rsidRPr="007A14CA">
        <w:rPr>
          <w:rStyle w:val="FootnoteReference"/>
        </w:rPr>
        <w:footnoteReference w:id="23"/>
      </w:r>
      <w:r>
        <w:t xml:space="preserve"> were also considered in determining the applicable penalty. </w:t>
      </w:r>
      <w:r>
        <w:rPr>
          <w:rStyle w:val="Referencingstyle"/>
        </w:rPr>
        <w:t xml:space="preserve">[Subclause </w:t>
      </w:r>
      <w:r w:rsidR="00E60FFC">
        <w:rPr>
          <w:rStyle w:val="Referencingstyle"/>
        </w:rPr>
        <w:t>17</w:t>
      </w:r>
      <w:r>
        <w:rPr>
          <w:rStyle w:val="Referencingstyle"/>
        </w:rPr>
        <w:t>(1) of the Commonwealth Registers Bill 2018</w:t>
      </w:r>
      <w:r w:rsidR="00A572D8">
        <w:rPr>
          <w:rStyle w:val="Referencingstyle"/>
        </w:rPr>
        <w:t>, items 5, 10 and 16 of the Treasury Laws Amendment (Registries Modernisation and Other Measures) Bill, subsection 62M(1) of the Business Names Act, subsection 1261(1) of the Corporations Act and subsection 211M(1) of the Credit Act</w:t>
      </w:r>
      <w:r>
        <w:rPr>
          <w:rStyle w:val="Referencingstyle"/>
        </w:rPr>
        <w:t>]</w:t>
      </w:r>
    </w:p>
    <w:p w14:paraId="5360CE63" w14:textId="77777777" w:rsidR="00582CAB" w:rsidRDefault="0070233C" w:rsidP="00582CAB">
      <w:pPr>
        <w:pStyle w:val="Heading4"/>
      </w:pPr>
      <w:r>
        <w:t>D</w:t>
      </w:r>
      <w:r w:rsidR="00582CAB">
        <w:t>isclosure of registry information</w:t>
      </w:r>
    </w:p>
    <w:p w14:paraId="5360CE64" w14:textId="77777777" w:rsidR="003F22AD" w:rsidRDefault="003F22AD" w:rsidP="00A46E26">
      <w:pPr>
        <w:numPr>
          <w:ilvl w:val="1"/>
          <w:numId w:val="4"/>
        </w:numPr>
      </w:pPr>
      <w:bookmarkStart w:id="11" w:name="_Ref524295428"/>
      <w:r>
        <w:t>As mentioned above,</w:t>
      </w:r>
      <w:r w:rsidR="00582CAB">
        <w:t xml:space="preserve"> the prohibition against r</w:t>
      </w:r>
      <w:r w:rsidR="0070233C">
        <w:t>ecording and disclosing registry</w:t>
      </w:r>
      <w:r w:rsidR="00582CAB">
        <w:t xml:space="preserve"> information does not apply </w:t>
      </w:r>
      <w:r>
        <w:t xml:space="preserve">where the recording or disclosure is authorised. </w:t>
      </w:r>
      <w:r w:rsidR="0070233C">
        <w:t>A</w:t>
      </w:r>
      <w:r>
        <w:t xml:space="preserve"> recording or disclosure is authorised if:</w:t>
      </w:r>
      <w:bookmarkEnd w:id="11"/>
    </w:p>
    <w:p w14:paraId="5360CE65" w14:textId="45E668F9" w:rsidR="003F22AD" w:rsidRDefault="003F22AD" w:rsidP="003F22AD">
      <w:pPr>
        <w:pStyle w:val="dotpoint"/>
      </w:pPr>
      <w:r>
        <w:t xml:space="preserve">the recording </w:t>
      </w:r>
      <w:r w:rsidR="007F7431">
        <w:t>or</w:t>
      </w:r>
      <w:r>
        <w:t xml:space="preserve"> disclosure is for the purposes of the new Act or happens in the course of the performance of the duties of a person’s official employment;</w:t>
      </w:r>
    </w:p>
    <w:p w14:paraId="5360CE66" w14:textId="77777777" w:rsidR="003F22AD" w:rsidRDefault="003F22AD" w:rsidP="003F22AD">
      <w:pPr>
        <w:pStyle w:val="dotpoint"/>
      </w:pPr>
      <w:r>
        <w:t>the disclosure is to another person for use, in the course of the performance of the duties of the other person’s official employment, in relation to the performance of the functions</w:t>
      </w:r>
      <w:r w:rsidR="00B273F0">
        <w:t xml:space="preserve"> of a </w:t>
      </w:r>
      <w:r w:rsidR="00B273F0" w:rsidRPr="00353F39">
        <w:t>government entity</w:t>
      </w:r>
      <w:r w:rsidR="00B273F0">
        <w:rPr>
          <w:rStyle w:val="FootnoteReference"/>
        </w:rPr>
        <w:footnoteReference w:id="24"/>
      </w:r>
      <w:r>
        <w:t>;</w:t>
      </w:r>
    </w:p>
    <w:p w14:paraId="5360CE67" w14:textId="77777777" w:rsidR="003F22AD" w:rsidRDefault="003F22AD" w:rsidP="003F22AD">
      <w:pPr>
        <w:pStyle w:val="dotpoint"/>
      </w:pPr>
      <w:r>
        <w:t>each person to whom the information relates consents to the disclosure; or</w:t>
      </w:r>
    </w:p>
    <w:p w14:paraId="5360CE68" w14:textId="42B135E8" w:rsidR="003F22AD" w:rsidRDefault="003F22AD" w:rsidP="003F22AD">
      <w:pPr>
        <w:pStyle w:val="dotpoint"/>
      </w:pPr>
      <w:proofErr w:type="gramStart"/>
      <w:r>
        <w:t>the</w:t>
      </w:r>
      <w:proofErr w:type="gramEnd"/>
      <w:r>
        <w:t xml:space="preserve"> disclosure is in accordance with the disclosure framework. </w:t>
      </w:r>
      <w:r w:rsidR="00B273F0">
        <w:rPr>
          <w:rStyle w:val="Referencingstyle"/>
        </w:rPr>
        <w:t>[Cl</w:t>
      </w:r>
      <w:r w:rsidR="00931B7C">
        <w:rPr>
          <w:rStyle w:val="Referencingstyle"/>
        </w:rPr>
        <w:t>a</w:t>
      </w:r>
      <w:r w:rsidR="00B273F0">
        <w:rPr>
          <w:rStyle w:val="Referencingstyle"/>
        </w:rPr>
        <w:t>use 5</w:t>
      </w:r>
      <w:r w:rsidR="00150BF2">
        <w:rPr>
          <w:rStyle w:val="Referencingstyle"/>
        </w:rPr>
        <w:t xml:space="preserve">, </w:t>
      </w:r>
      <w:r w:rsidR="00B273F0">
        <w:rPr>
          <w:rStyle w:val="Referencingstyle"/>
        </w:rPr>
        <w:t>definition of ‘government entity’</w:t>
      </w:r>
      <w:r w:rsidR="00150BF2">
        <w:rPr>
          <w:rStyle w:val="Referencingstyle"/>
        </w:rPr>
        <w:t>,</w:t>
      </w:r>
      <w:r w:rsidR="00B273F0">
        <w:rPr>
          <w:rStyle w:val="Referencingstyle"/>
        </w:rPr>
        <w:t xml:space="preserve"> and subclause </w:t>
      </w:r>
      <w:r w:rsidR="00E60FFC">
        <w:rPr>
          <w:rStyle w:val="Referencingstyle"/>
        </w:rPr>
        <w:t>17</w:t>
      </w:r>
      <w:r w:rsidR="00B273F0">
        <w:rPr>
          <w:rStyle w:val="Referencingstyle"/>
        </w:rPr>
        <w:t>(2) of the Commonwealth Registers Bill 2018</w:t>
      </w:r>
      <w:r w:rsidR="00C947B7">
        <w:rPr>
          <w:rStyle w:val="Referencingstyle"/>
        </w:rPr>
        <w:t>, items 1,5, 8, 10, 14, 16 of the Treasury Laws Amendment (Registries Modernisation and Other Measures) Bill, section 3 and subsection 62M(2) of the Business Names Act, section 9 and subsection 1261(2) of the Corporations Act, and section 5 and subsection 211M(2) of the Credit Act</w:t>
      </w:r>
      <w:r w:rsidR="00B273F0">
        <w:rPr>
          <w:rStyle w:val="Referencingstyle"/>
        </w:rPr>
        <w:t>]</w:t>
      </w:r>
    </w:p>
    <w:p w14:paraId="5360CE69" w14:textId="77777777" w:rsidR="003443FA" w:rsidRPr="001E7813" w:rsidRDefault="003443FA" w:rsidP="00A46E26">
      <w:pPr>
        <w:numPr>
          <w:ilvl w:val="1"/>
          <w:numId w:val="4"/>
        </w:numPr>
        <w:rPr>
          <w:rStyle w:val="Referencingstyle"/>
          <w:b w:val="0"/>
          <w:i w:val="0"/>
          <w:sz w:val="22"/>
        </w:rPr>
      </w:pPr>
      <w:r>
        <w:t xml:space="preserve">A defendant carries an evidential burden for establishing that a </w:t>
      </w:r>
      <w:r w:rsidR="00782F64">
        <w:t xml:space="preserve">recording or </w:t>
      </w:r>
      <w:r>
        <w:t>disclosure of registry</w:t>
      </w:r>
      <w:r w:rsidR="00782F64">
        <w:t xml:space="preserve"> information was authorised. To satisfy this eventual burden the defendant must </w:t>
      </w:r>
      <w:r>
        <w:t>adduce or point to evidence that suggests a reasonable possibility that the</w:t>
      </w:r>
      <w:r w:rsidR="00782F64">
        <w:t xml:space="preserve"> recording or</w:t>
      </w:r>
      <w:r>
        <w:t xml:space="preserve"> </w:t>
      </w:r>
      <w:r>
        <w:lastRenderedPageBreak/>
        <w:t>disclosure was authorised.</w:t>
      </w:r>
      <w:r>
        <w:rPr>
          <w:rStyle w:val="FootnoteReference"/>
        </w:rPr>
        <w:footnoteReference w:id="25"/>
      </w:r>
      <w:r>
        <w:t xml:space="preserve"> Once this is done, the prosecution bears the burden of proof. </w:t>
      </w:r>
      <w:r>
        <w:rPr>
          <w:rStyle w:val="Referencingstyle"/>
        </w:rPr>
        <w:t xml:space="preserve">[Subclause </w:t>
      </w:r>
      <w:r w:rsidR="00E60FFC">
        <w:rPr>
          <w:rStyle w:val="Referencingstyle"/>
        </w:rPr>
        <w:t>17</w:t>
      </w:r>
      <w:r>
        <w:rPr>
          <w:rStyle w:val="Referencingstyle"/>
        </w:rPr>
        <w:t>(2) of the Commonwealth Registers Bill 2018]</w:t>
      </w:r>
    </w:p>
    <w:p w14:paraId="66EDC567" w14:textId="548DC342" w:rsidR="005A6734" w:rsidRDefault="005A6734" w:rsidP="005A6734">
      <w:pPr>
        <w:pStyle w:val="base-text-paragraph"/>
        <w:numPr>
          <w:ilvl w:val="1"/>
          <w:numId w:val="4"/>
        </w:numPr>
      </w:pPr>
      <w:r>
        <w:t xml:space="preserve">The new law expressly authorises disclosure to a government entity in relation to the performance or exercise of its functions or powers. The intent of this authorisation is </w:t>
      </w:r>
      <w:proofErr w:type="gramStart"/>
      <w:r>
        <w:t>to,</w:t>
      </w:r>
      <w:proofErr w:type="gramEnd"/>
      <w:r>
        <w:t xml:space="preserve"> for example, ensure ASIC has real-time access to all the registry information it requires in order to exercise its regulatory functions or powers. </w:t>
      </w:r>
      <w:r w:rsidRPr="001D6947">
        <w:rPr>
          <w:rStyle w:val="Referencingstyle"/>
          <w:szCs w:val="18"/>
        </w:rPr>
        <w:t>[Subclause 17(2) of the Commonwealth Registers Bill 2018</w:t>
      </w:r>
      <w:r w:rsidR="00631DF8">
        <w:rPr>
          <w:rStyle w:val="Referencingstyle"/>
        </w:rPr>
        <w:t>, items 5, 10 and 16 of the Treasury Laws Amendment (Registries Modernisation and Other Measures) Bill, subsection 62M(2) of the Business Names Act, subsection 1261(2) of the Corporations Act and subsection 211M(2) of the Credit Act</w:t>
      </w:r>
      <w:r w:rsidRPr="001D6947">
        <w:rPr>
          <w:rStyle w:val="Referencingstyle"/>
          <w:szCs w:val="18"/>
        </w:rPr>
        <w:t>]</w:t>
      </w:r>
    </w:p>
    <w:p w14:paraId="5360CE6A" w14:textId="77777777" w:rsidR="00272121" w:rsidRDefault="00782F64" w:rsidP="00A46E26">
      <w:pPr>
        <w:numPr>
          <w:ilvl w:val="1"/>
          <w:numId w:val="4"/>
        </w:numPr>
      </w:pPr>
      <w:r>
        <w:t>The new law clarifies how its protection and disclosure regime relates to other secrecy</w:t>
      </w:r>
      <w:r w:rsidR="00272121">
        <w:t xml:space="preserve"> provisions in Commonwealth law. The effect of the new law is </w:t>
      </w:r>
      <w:r w:rsidR="002E09FC">
        <w:t>that other Commonwealth secrecy provisions</w:t>
      </w:r>
      <w:r w:rsidR="002B7C53">
        <w:rPr>
          <w:rStyle w:val="FootnoteReference"/>
        </w:rPr>
        <w:footnoteReference w:id="26"/>
      </w:r>
      <w:r w:rsidR="002E09FC">
        <w:t xml:space="preserve"> do not </w:t>
      </w:r>
      <w:r w:rsidR="00272121">
        <w:t>apply in addition to the new law’s protection and disclosure regime unless expressly designated. The following secrecy provisions have been designated for this purpose:</w:t>
      </w:r>
    </w:p>
    <w:p w14:paraId="5360CE6B" w14:textId="77777777" w:rsidR="00272121" w:rsidRDefault="00272121" w:rsidP="00272121">
      <w:pPr>
        <w:pStyle w:val="dotpoint"/>
      </w:pPr>
      <w:r>
        <w:t xml:space="preserve">sections 18, 18A, 18B and 92 of the </w:t>
      </w:r>
      <w:r w:rsidRPr="007A14CA">
        <w:rPr>
          <w:i/>
        </w:rPr>
        <w:t>Australian Security Intelligence Organisation Act 1979</w:t>
      </w:r>
      <w:r>
        <w:t>;</w:t>
      </w:r>
    </w:p>
    <w:p w14:paraId="5360CE6C" w14:textId="77777777" w:rsidR="00272121" w:rsidRDefault="00272121" w:rsidP="00272121">
      <w:pPr>
        <w:pStyle w:val="dotpoint"/>
      </w:pPr>
      <w:r>
        <w:t xml:space="preserve">section 34 of the </w:t>
      </w:r>
      <w:r w:rsidRPr="007A14CA">
        <w:rPr>
          <w:i/>
        </w:rPr>
        <w:t>Inspector-General of Intelligence and Security Act 1986</w:t>
      </w:r>
      <w:r>
        <w:t>;</w:t>
      </w:r>
    </w:p>
    <w:p w14:paraId="5360CE6D" w14:textId="77777777" w:rsidR="00272121" w:rsidRDefault="00272121" w:rsidP="00272121">
      <w:pPr>
        <w:pStyle w:val="dotpoint"/>
      </w:pPr>
      <w:r>
        <w:t xml:space="preserve">sections 39, 39A, 40, 40A to 40M and 41 of the </w:t>
      </w:r>
      <w:r w:rsidRPr="007A14CA">
        <w:rPr>
          <w:i/>
        </w:rPr>
        <w:t>Intelligence Services Act 2001</w:t>
      </w:r>
      <w:r>
        <w:t>;</w:t>
      </w:r>
    </w:p>
    <w:p w14:paraId="5360CE6E" w14:textId="2AEAA4D3" w:rsidR="00272121" w:rsidRDefault="00272121" w:rsidP="00272121">
      <w:pPr>
        <w:pStyle w:val="dotpoint"/>
      </w:pPr>
      <w:r>
        <w:t xml:space="preserve">a provision of a law of the Commonwealth prescribed by the rules; </w:t>
      </w:r>
    </w:p>
    <w:p w14:paraId="5360CE6F" w14:textId="06C1F378" w:rsidR="00272121" w:rsidRDefault="00272121" w:rsidP="00272121">
      <w:pPr>
        <w:pStyle w:val="dotpoint"/>
      </w:pPr>
      <w:r>
        <w:t xml:space="preserve">a provision of a </w:t>
      </w:r>
      <w:r w:rsidR="00536A64">
        <w:t xml:space="preserve">law </w:t>
      </w:r>
      <w:r>
        <w:t>of the Commonwealth of a kind prescribed by the rules; and</w:t>
      </w:r>
      <w:r w:rsidR="00124B22">
        <w:t>,</w:t>
      </w:r>
    </w:p>
    <w:p w14:paraId="5360CE70" w14:textId="278E13B9" w:rsidR="00272121" w:rsidRDefault="00272121" w:rsidP="00272121">
      <w:pPr>
        <w:pStyle w:val="dotpoint"/>
      </w:pPr>
      <w:proofErr w:type="gramStart"/>
      <w:r>
        <w:t>section</w:t>
      </w:r>
      <w:proofErr w:type="gramEnd"/>
      <w:r>
        <w:t xml:space="preserve"> 8WB of the </w:t>
      </w:r>
      <w:r w:rsidRPr="00353F39">
        <w:rPr>
          <w:i/>
        </w:rPr>
        <w:t>Taxation Administration Act 1953</w:t>
      </w:r>
      <w:r>
        <w:t xml:space="preserve"> (which contains special rules relating to the disclosure of tax file numbers)</w:t>
      </w:r>
      <w:r>
        <w:rPr>
          <w:rStyle w:val="FootnoteReference"/>
        </w:rPr>
        <w:footnoteReference w:id="27"/>
      </w:r>
      <w:r w:rsidR="00931B7C">
        <w:t>.</w:t>
      </w:r>
      <w:r w:rsidR="002B7C53">
        <w:t xml:space="preserve"> </w:t>
      </w:r>
      <w:r w:rsidR="002B7C53">
        <w:rPr>
          <w:rStyle w:val="Referencingstyle"/>
        </w:rPr>
        <w:t>[Clause</w:t>
      </w:r>
      <w:r w:rsidR="002B7C53" w:rsidDel="00E60FFC">
        <w:rPr>
          <w:rStyle w:val="Referencingstyle"/>
        </w:rPr>
        <w:t xml:space="preserve"> </w:t>
      </w:r>
      <w:r w:rsidR="00E60FFC">
        <w:rPr>
          <w:rStyle w:val="Referencingstyle"/>
        </w:rPr>
        <w:t>18</w:t>
      </w:r>
      <w:r w:rsidR="002B7C53">
        <w:rPr>
          <w:rStyle w:val="Referencingstyle"/>
        </w:rPr>
        <w:t xml:space="preserve"> of the Commonwealth Registers Bill 2018</w:t>
      </w:r>
      <w:r w:rsidR="00CC714C">
        <w:rPr>
          <w:rStyle w:val="Referencingstyle"/>
        </w:rPr>
        <w:t>, items 5, 10 and 16 of the Treasury Laws Amendment (Registries Modernisation and Other Measures) Bill, section 62N of the Business Names Act, section 1262 of the Corporations Act and section 211N of the Credit Act</w:t>
      </w:r>
      <w:r w:rsidR="002B7C53">
        <w:rPr>
          <w:rStyle w:val="Referencingstyle"/>
        </w:rPr>
        <w:t>]</w:t>
      </w:r>
    </w:p>
    <w:p w14:paraId="5360CE71" w14:textId="1104CDAE" w:rsidR="00A33D52" w:rsidRDefault="002E09FC" w:rsidP="00A46E26">
      <w:pPr>
        <w:numPr>
          <w:ilvl w:val="1"/>
          <w:numId w:val="4"/>
        </w:numPr>
      </w:pPr>
      <w:r>
        <w:t>The intent</w:t>
      </w:r>
      <w:r w:rsidR="00A33D52">
        <w:t xml:space="preserve"> of the new</w:t>
      </w:r>
      <w:r w:rsidR="00536A64">
        <w:t xml:space="preserve"> law</w:t>
      </w:r>
      <w:r w:rsidR="00A33D52">
        <w:t xml:space="preserve"> in this regard</w:t>
      </w:r>
      <w:r>
        <w:t xml:space="preserve"> is to avoid unnecessary overlap in the operation of secrecy provisions in relation to registry information.</w:t>
      </w:r>
      <w:r w:rsidR="00A33D52">
        <w:t xml:space="preserve"> </w:t>
      </w:r>
      <w:r w:rsidR="009348BD">
        <w:t>I</w:t>
      </w:r>
      <w:r w:rsidR="00356928">
        <w:t xml:space="preserve">t is not </w:t>
      </w:r>
      <w:r w:rsidR="001E7813" w:rsidRPr="001F3CD4">
        <w:t>optimal for multiple secrecy provisions to</w:t>
      </w:r>
      <w:r w:rsidR="00356928">
        <w:t xml:space="preserve"> unnecessarily</w:t>
      </w:r>
      <w:r w:rsidR="001E7813" w:rsidRPr="001F3CD4">
        <w:t xml:space="preserve"> apply to the same piece of information.</w:t>
      </w:r>
      <w:r w:rsidR="00356928">
        <w:t xml:space="preserve"> For example, t</w:t>
      </w:r>
      <w:r w:rsidR="001E7813" w:rsidRPr="001F3CD4">
        <w:t>he</w:t>
      </w:r>
      <w:r w:rsidR="00DF4642">
        <w:t xml:space="preserve"> Productivity</w:t>
      </w:r>
      <w:r w:rsidR="001E7813" w:rsidRPr="001F3CD4">
        <w:t xml:space="preserve"> Commission identified over 500 d</w:t>
      </w:r>
      <w:r w:rsidR="00DF4642">
        <w:t>ifferent secrecy provisions and found that they</w:t>
      </w:r>
      <w:r w:rsidR="001E7813" w:rsidRPr="001F3CD4">
        <w:t xml:space="preserve"> often interacted in a way that lead</w:t>
      </w:r>
      <w:r w:rsidR="006945BA">
        <w:t>s</w:t>
      </w:r>
      <w:r w:rsidR="001E7813" w:rsidRPr="001F3CD4">
        <w:t xml:space="preserve"> to undesirable complexity</w:t>
      </w:r>
      <w:r w:rsidR="00DF4642">
        <w:t>,</w:t>
      </w:r>
      <w:r w:rsidR="0027475F">
        <w:t xml:space="preserve"> </w:t>
      </w:r>
      <w:r w:rsidR="002D7442">
        <w:t>resulting</w:t>
      </w:r>
      <w:r w:rsidR="0027475F">
        <w:t xml:space="preserve"> in unnecessary barriers to data</w:t>
      </w:r>
      <w:r w:rsidR="002D7442">
        <w:t xml:space="preserve"> access that stifle</w:t>
      </w:r>
      <w:r w:rsidR="00356928">
        <w:t>s</w:t>
      </w:r>
      <w:r w:rsidR="002D7442">
        <w:t xml:space="preserve"> socially beneficial activities.</w:t>
      </w:r>
      <w:r w:rsidR="002D14A0">
        <w:rPr>
          <w:rStyle w:val="FootnoteReference"/>
        </w:rPr>
        <w:footnoteReference w:id="28"/>
      </w:r>
      <w:r w:rsidR="00356928">
        <w:t xml:space="preserve"> </w:t>
      </w:r>
    </w:p>
    <w:p w14:paraId="5360CE72" w14:textId="1F5D5773" w:rsidR="00356928" w:rsidRDefault="00782F64" w:rsidP="00A46E26">
      <w:pPr>
        <w:numPr>
          <w:ilvl w:val="1"/>
          <w:numId w:val="4"/>
        </w:numPr>
      </w:pPr>
      <w:r>
        <w:t>Similarly,</w:t>
      </w:r>
      <w:r w:rsidR="00356928">
        <w:t xml:space="preserve"> the new regime’s disclosure framework is expressly authorised for the purposes of paragraph 6.2(b) of the </w:t>
      </w:r>
      <w:r w:rsidR="00356928" w:rsidRPr="00356928">
        <w:rPr>
          <w:i/>
        </w:rPr>
        <w:t>Privacy Act 1988</w:t>
      </w:r>
      <w:r w:rsidR="00356928">
        <w:t xml:space="preserve">. </w:t>
      </w:r>
      <w:r w:rsidR="0029665E">
        <w:t xml:space="preserve"> Paragraph 6.2(b) of the </w:t>
      </w:r>
      <w:r w:rsidR="0029665E" w:rsidRPr="007A14CA">
        <w:rPr>
          <w:i/>
        </w:rPr>
        <w:t>Privacy Act</w:t>
      </w:r>
      <w:r w:rsidR="006945BA" w:rsidRPr="007A14CA">
        <w:rPr>
          <w:i/>
        </w:rPr>
        <w:t xml:space="preserve"> 1988</w:t>
      </w:r>
      <w:r w:rsidR="0029665E">
        <w:t xml:space="preserve"> allows disclosure of personal information where it is authorised by an Australian law. As the new disclosure framework is such an Australian law, this provision </w:t>
      </w:r>
      <w:r w:rsidR="004E2311">
        <w:t>simply clarifies the</w:t>
      </w:r>
      <w:r w:rsidR="0029665E">
        <w:t xml:space="preserve"> operation of the current law. </w:t>
      </w:r>
      <w:r w:rsidR="007A0B40">
        <w:rPr>
          <w:rStyle w:val="Referencingstyle"/>
        </w:rPr>
        <w:t xml:space="preserve">[Clause </w:t>
      </w:r>
      <w:r w:rsidR="00E60FFC">
        <w:rPr>
          <w:rStyle w:val="Referencingstyle"/>
        </w:rPr>
        <w:t>20</w:t>
      </w:r>
      <w:r w:rsidR="007A0B40">
        <w:rPr>
          <w:rStyle w:val="Referencingstyle"/>
        </w:rPr>
        <w:t xml:space="preserve"> </w:t>
      </w:r>
      <w:r w:rsidR="0029665E">
        <w:rPr>
          <w:rStyle w:val="Referencingstyle"/>
        </w:rPr>
        <w:t>of the Commonwealth Registers Bill 2018</w:t>
      </w:r>
      <w:r w:rsidR="00205CAA">
        <w:rPr>
          <w:rStyle w:val="Referencingstyle"/>
        </w:rPr>
        <w:t>, items 5, 10 and 16 of the Treasury Laws Amendment (Registries Modernisation and Other Measures) Bill, section 62Q of the Business Names Act, section 1264 of the Corporations Act and section 211Q of the Credit Act</w:t>
      </w:r>
      <w:r w:rsidR="0029665E">
        <w:rPr>
          <w:rStyle w:val="Referencingstyle"/>
        </w:rPr>
        <w:t>]</w:t>
      </w:r>
    </w:p>
    <w:p w14:paraId="5360CE73" w14:textId="005341A4" w:rsidR="00D7767B" w:rsidRPr="00CD6FE3" w:rsidRDefault="0065105A" w:rsidP="00A46E26">
      <w:pPr>
        <w:numPr>
          <w:ilvl w:val="1"/>
          <w:numId w:val="4"/>
        </w:numPr>
      </w:pPr>
      <w:r>
        <w:t>The</w:t>
      </w:r>
      <w:r w:rsidR="00E3507B">
        <w:t xml:space="preserve"> new</w:t>
      </w:r>
      <w:r>
        <w:t xml:space="preserve"> regime </w:t>
      </w:r>
      <w:r w:rsidR="00E3507B">
        <w:t>exempts a person</w:t>
      </w:r>
      <w:r w:rsidR="00B513FE">
        <w:t xml:space="preserve"> from being required to provide</w:t>
      </w:r>
      <w:r>
        <w:t xml:space="preserve"> registry </w:t>
      </w:r>
      <w:r w:rsidR="00B513FE">
        <w:t>information</w:t>
      </w:r>
      <w:r w:rsidR="00E3507B">
        <w:t xml:space="preserve"> to a court except where the disclosure is necessary for giving effect to a taxation law or a</w:t>
      </w:r>
      <w:r w:rsidR="00D7767B">
        <w:t>n Australian</w:t>
      </w:r>
      <w:r w:rsidR="00E3507B">
        <w:t xml:space="preserve"> business law. What constitutes a</w:t>
      </w:r>
      <w:r w:rsidR="00E3507B" w:rsidRPr="00D7767B">
        <w:rPr>
          <w:b/>
        </w:rPr>
        <w:t xml:space="preserve"> taxation la</w:t>
      </w:r>
      <w:r w:rsidR="00E3507B" w:rsidRPr="00E3507B">
        <w:rPr>
          <w:b/>
        </w:rPr>
        <w:t>w</w:t>
      </w:r>
      <w:r w:rsidR="00D7767B">
        <w:t xml:space="preserve"> is defined in section 995</w:t>
      </w:r>
      <w:r w:rsidR="006945BA">
        <w:t>-</w:t>
      </w:r>
      <w:r w:rsidR="00D7767B">
        <w:t>1 of the</w:t>
      </w:r>
      <w:r w:rsidR="00D7767B" w:rsidRPr="00D7767B">
        <w:rPr>
          <w:i/>
        </w:rPr>
        <w:t xml:space="preserve"> Income Tax Assessment Act 199</w:t>
      </w:r>
      <w:r w:rsidR="00D7767B">
        <w:rPr>
          <w:i/>
        </w:rPr>
        <w:t>7</w:t>
      </w:r>
      <w:r w:rsidR="00D7767B">
        <w:t xml:space="preserve"> to include: a provision of an Act for which the Commissioner has general administration; legislative instruments made under such a provision; or the</w:t>
      </w:r>
      <w:r w:rsidR="00D7767B" w:rsidRPr="00D7767B">
        <w:rPr>
          <w:i/>
        </w:rPr>
        <w:t xml:space="preserve"> Tax Agent Services Act 2009</w:t>
      </w:r>
      <w:r w:rsidR="00D7767B">
        <w:t xml:space="preserve"> or regulations made under that Act. The new law defines</w:t>
      </w:r>
      <w:r w:rsidR="00D7767B" w:rsidRPr="00D7767B">
        <w:rPr>
          <w:b/>
        </w:rPr>
        <w:t xml:space="preserve"> Australian business law</w:t>
      </w:r>
      <w:r w:rsidR="00D7767B">
        <w:t xml:space="preserve"> to mean a law of the </w:t>
      </w:r>
      <w:proofErr w:type="gramStart"/>
      <w:r w:rsidR="00D7767B">
        <w:t>Commonwealth,</w:t>
      </w:r>
      <w:proofErr w:type="gramEnd"/>
      <w:r w:rsidR="00D7767B">
        <w:t xml:space="preserve"> or of a State or Territory, that is a law </w:t>
      </w:r>
      <w:r w:rsidR="00D7767B" w:rsidRPr="00CD6FE3">
        <w:t xml:space="preserve">that </w:t>
      </w:r>
      <w:r w:rsidR="00D7767B" w:rsidRPr="00CD6FE3">
        <w:lastRenderedPageBreak/>
        <w:t>regulates, or relates to the regulation of, business or persons engaged in business.</w:t>
      </w:r>
      <w:r w:rsidR="00D7767B">
        <w:t xml:space="preserve"> This definition is based on the definition of </w:t>
      </w:r>
      <w:r w:rsidR="0010043D">
        <w:t>‘</w:t>
      </w:r>
      <w:r w:rsidR="00D7767B">
        <w:t>business law</w:t>
      </w:r>
      <w:r w:rsidR="0010043D">
        <w:t>’</w:t>
      </w:r>
      <w:r w:rsidR="00D7767B">
        <w:t xml:space="preserve"> in section 3 of the </w:t>
      </w:r>
      <w:r w:rsidR="00D7767B" w:rsidRPr="00D7767B">
        <w:rPr>
          <w:i/>
        </w:rPr>
        <w:t>Mutual Assistance in Business Regulation Act 1992</w:t>
      </w:r>
      <w:r w:rsidR="0010043D">
        <w:t>.</w:t>
      </w:r>
      <w:r w:rsidR="0010043D">
        <w:rPr>
          <w:rStyle w:val="FootnoteReference"/>
        </w:rPr>
        <w:footnoteReference w:id="29"/>
      </w:r>
      <w:r w:rsidR="00D7767B">
        <w:t xml:space="preserve"> </w:t>
      </w:r>
      <w:r w:rsidR="00B513FE">
        <w:rPr>
          <w:rStyle w:val="Referencingstyle"/>
        </w:rPr>
        <w:t xml:space="preserve">[Clause </w:t>
      </w:r>
      <w:r w:rsidR="00E60FFC">
        <w:rPr>
          <w:rStyle w:val="Referencingstyle"/>
        </w:rPr>
        <w:t>2</w:t>
      </w:r>
      <w:r w:rsidR="002A12CF">
        <w:rPr>
          <w:rStyle w:val="Referencingstyle"/>
        </w:rPr>
        <w:t>1</w:t>
      </w:r>
      <w:r w:rsidR="00E60FFC">
        <w:rPr>
          <w:rStyle w:val="Referencingstyle"/>
        </w:rPr>
        <w:t xml:space="preserve"> </w:t>
      </w:r>
      <w:r w:rsidR="00B513FE">
        <w:rPr>
          <w:rStyle w:val="Referencingstyle"/>
        </w:rPr>
        <w:t>of the Commonwealth Registers Bill 2018</w:t>
      </w:r>
      <w:r w:rsidR="002A12CF">
        <w:rPr>
          <w:rStyle w:val="Referencingstyle"/>
        </w:rPr>
        <w:t>, items 5, 10 and 16 of the Treasury Laws Amendment (Registries Modernisation and Other Measures) Bill, section 62R of the Business Names Act, section 1265 of the Corporations Act and section 211R of the Credit Act</w:t>
      </w:r>
      <w:r w:rsidR="00B513FE">
        <w:rPr>
          <w:rStyle w:val="Referencingstyle"/>
        </w:rPr>
        <w:t>]</w:t>
      </w:r>
    </w:p>
    <w:p w14:paraId="5360CE74" w14:textId="77777777" w:rsidR="003216AA" w:rsidRPr="003216AA" w:rsidRDefault="002C7019" w:rsidP="00A46E26">
      <w:pPr>
        <w:numPr>
          <w:ilvl w:val="1"/>
          <w:numId w:val="4"/>
        </w:numPr>
        <w:rPr>
          <w:b/>
          <w:i/>
        </w:rPr>
      </w:pPr>
      <w:r>
        <w:t>The new law</w:t>
      </w:r>
      <w:r w:rsidR="003216AA">
        <w:t xml:space="preserve"> in this respect</w:t>
      </w:r>
      <w:r>
        <w:t xml:space="preserve"> </w:t>
      </w:r>
      <w:r w:rsidR="00D7767B">
        <w:t>is based on</w:t>
      </w:r>
      <w:r>
        <w:t xml:space="preserve"> </w:t>
      </w:r>
      <w:r w:rsidR="00D7767B">
        <w:t xml:space="preserve">existing </w:t>
      </w:r>
      <w:r>
        <w:t>s</w:t>
      </w:r>
      <w:r w:rsidR="0010043D">
        <w:t>ub</w:t>
      </w:r>
      <w:r w:rsidR="00D7767B">
        <w:t>section 30(5) of the ABN Act</w:t>
      </w:r>
      <w:r w:rsidR="003216AA">
        <w:t>, which is being repealed by the new law</w:t>
      </w:r>
      <w:r w:rsidR="0010043D">
        <w:t>.</w:t>
      </w:r>
      <w:r>
        <w:t xml:space="preserve"> That subsection</w:t>
      </w:r>
      <w:r w:rsidR="003216AA">
        <w:t xml:space="preserve"> currently </w:t>
      </w:r>
      <w:r>
        <w:t>exempts a person from having to provide protected documents or information</w:t>
      </w:r>
      <w:r w:rsidR="003216AA">
        <w:t xml:space="preserve"> (as defined in the ABN Act)</w:t>
      </w:r>
      <w:r>
        <w:t xml:space="preserve"> to a court </w:t>
      </w:r>
      <w:r w:rsidR="003216AA">
        <w:t>except where the proceedings relate</w:t>
      </w:r>
      <w:r>
        <w:t xml:space="preserve"> to a taxation law.</w:t>
      </w:r>
      <w:r w:rsidR="00E306DD">
        <w:t xml:space="preserve"> The provision guard</w:t>
      </w:r>
      <w:r w:rsidR="00753A23">
        <w:t>s</w:t>
      </w:r>
      <w:r w:rsidR="00E306DD">
        <w:t xml:space="preserve"> against registry information being required to be produced for purposes unrelated to its collection.</w:t>
      </w:r>
    </w:p>
    <w:p w14:paraId="5360CE75" w14:textId="77777777" w:rsidR="003443FA" w:rsidRDefault="00FE261F" w:rsidP="00FE261F">
      <w:pPr>
        <w:pStyle w:val="Heading4"/>
      </w:pPr>
      <w:r>
        <w:t>The disclosure framework</w:t>
      </w:r>
    </w:p>
    <w:p w14:paraId="5360CE76" w14:textId="7A3603BB" w:rsidR="00DA797B" w:rsidRDefault="00D737EA" w:rsidP="00A46E26">
      <w:pPr>
        <w:numPr>
          <w:ilvl w:val="1"/>
          <w:numId w:val="4"/>
        </w:numPr>
      </w:pPr>
      <w:bookmarkStart w:id="12" w:name="_Ref524638046"/>
      <w:r>
        <w:t xml:space="preserve">The new law provides that the </w:t>
      </w:r>
      <w:r w:rsidR="00FF7966">
        <w:t xml:space="preserve">registrar </w:t>
      </w:r>
      <w:r>
        <w:t>may make</w:t>
      </w:r>
      <w:r w:rsidR="00DD0CCE">
        <w:t xml:space="preserve"> the disclosure framework refer</w:t>
      </w:r>
      <w:r w:rsidR="00B830D6">
        <w:t>red to in the final dot</w:t>
      </w:r>
      <w:r w:rsidR="00FE261F">
        <w:t xml:space="preserve"> point of paragraph </w:t>
      </w:r>
      <w:r w:rsidR="00FE261F">
        <w:fldChar w:fldCharType="begin"/>
      </w:r>
      <w:r w:rsidR="00FE261F">
        <w:instrText xml:space="preserve"> REF _Ref524295428 \n \h </w:instrText>
      </w:r>
      <w:r w:rsidR="00FE261F">
        <w:fldChar w:fldCharType="separate"/>
      </w:r>
      <w:r w:rsidR="00F3492D">
        <w:t>1.44</w:t>
      </w:r>
      <w:r w:rsidR="00FE261F">
        <w:fldChar w:fldCharType="end"/>
      </w:r>
      <w:r w:rsidR="00DD0CCE">
        <w:t>.</w:t>
      </w:r>
      <w:r w:rsidR="00345EF5">
        <w:t xml:space="preserve"> </w:t>
      </w:r>
      <w:r w:rsidR="00FE261F">
        <w:t>Under the disclosure</w:t>
      </w:r>
      <w:r w:rsidR="00345EF5">
        <w:t xml:space="preserve"> framework</w:t>
      </w:r>
      <w:r w:rsidR="00FE261F">
        <w:t xml:space="preserve"> the </w:t>
      </w:r>
      <w:r w:rsidR="00FF7966">
        <w:t xml:space="preserve">registrar </w:t>
      </w:r>
      <w:r w:rsidR="00FE261F">
        <w:t>may authorise the disclosure of registry</w:t>
      </w:r>
      <w:r w:rsidR="00345EF5">
        <w:t xml:space="preserve"> information wh</w:t>
      </w:r>
      <w:r w:rsidR="00DA797B">
        <w:t>ere it is satisfied that the</w:t>
      </w:r>
      <w:r w:rsidR="00FE261F">
        <w:t xml:space="preserve"> benefits of</w:t>
      </w:r>
      <w:r w:rsidR="00DD0CCE" w:rsidRPr="00894CB6">
        <w:t xml:space="preserve"> disclosure outweigh the </w:t>
      </w:r>
      <w:r w:rsidR="00345EF5">
        <w:t>risks</w:t>
      </w:r>
      <w:r w:rsidR="008172AD">
        <w:t xml:space="preserve">, </w:t>
      </w:r>
      <w:r w:rsidR="00DD0CCE" w:rsidRPr="00894CB6">
        <w:t>after those risks have been mitigat</w:t>
      </w:r>
      <w:r w:rsidR="005B571B">
        <w:t>ed.</w:t>
      </w:r>
      <w:r w:rsidR="005B571B" w:rsidRPr="005B571B">
        <w:rPr>
          <w:rStyle w:val="Referencingstyle"/>
        </w:rPr>
        <w:t xml:space="preserve"> </w:t>
      </w:r>
      <w:r w:rsidR="005B571B">
        <w:rPr>
          <w:rStyle w:val="Referencingstyle"/>
        </w:rPr>
        <w:t xml:space="preserve">[Subclauses </w:t>
      </w:r>
      <w:r w:rsidR="00E60FFC">
        <w:rPr>
          <w:rStyle w:val="Referencingstyle"/>
        </w:rPr>
        <w:t>16</w:t>
      </w:r>
      <w:r w:rsidR="005B571B">
        <w:rPr>
          <w:rStyle w:val="Referencingstyle"/>
        </w:rPr>
        <w:t xml:space="preserve">(1) and </w:t>
      </w:r>
      <w:r w:rsidR="00E60FFC">
        <w:rPr>
          <w:rStyle w:val="Referencingstyle"/>
        </w:rPr>
        <w:t>16</w:t>
      </w:r>
      <w:r w:rsidR="005B571B">
        <w:rPr>
          <w:rStyle w:val="Referencingstyle"/>
        </w:rPr>
        <w:t>(4) of the Commonwealth Registers Bill 2018</w:t>
      </w:r>
      <w:r w:rsidR="00E41615">
        <w:rPr>
          <w:rStyle w:val="Referencingstyle"/>
        </w:rPr>
        <w:t>, items 5, 10 and 16 of the Treasury Laws Amendment (Registries Modernisation and Other Measures) Bill, subsections 62L(1) and 62L(4) of the Business Names Act, subsections 1260(1) and 1260(4) of the Corporations Act and subsections 211L(1) and 211L(4) of the Credit Act</w:t>
      </w:r>
      <w:r w:rsidR="005B571B">
        <w:rPr>
          <w:rStyle w:val="Referencingstyle"/>
        </w:rPr>
        <w:t>]</w:t>
      </w:r>
      <w:bookmarkEnd w:id="12"/>
    </w:p>
    <w:p w14:paraId="5360CE77" w14:textId="77777777" w:rsidR="006D6D40" w:rsidRDefault="006D6D40" w:rsidP="00A46E26">
      <w:pPr>
        <w:numPr>
          <w:ilvl w:val="1"/>
          <w:numId w:val="4"/>
        </w:numPr>
      </w:pPr>
      <w:r>
        <w:t>The disclosure framework may provide for any matter related to the disclosure of registry information. For example, the disclosure framework may provide for matters such as:</w:t>
      </w:r>
    </w:p>
    <w:p w14:paraId="5360CE78" w14:textId="77777777" w:rsidR="006D6D40" w:rsidRPr="0059435B" w:rsidRDefault="006D6D40" w:rsidP="006D6D40">
      <w:pPr>
        <w:pStyle w:val="dotpoint"/>
      </w:pPr>
      <w:r>
        <w:t xml:space="preserve">the </w:t>
      </w:r>
      <w:r w:rsidRPr="0059435B">
        <w:t>circumstances in which information must not be disclosed without the consent of the person to whom it relates;</w:t>
      </w:r>
    </w:p>
    <w:p w14:paraId="5360CE79" w14:textId="77777777" w:rsidR="006D6D40" w:rsidRPr="0059435B" w:rsidRDefault="006D6D40" w:rsidP="006D6D40">
      <w:pPr>
        <w:pStyle w:val="dotpoint"/>
      </w:pPr>
      <w:r>
        <w:t xml:space="preserve">the </w:t>
      </w:r>
      <w:r w:rsidRPr="0059435B">
        <w:t>circumstances in which de</w:t>
      </w:r>
      <w:r>
        <w:t>-</w:t>
      </w:r>
      <w:r w:rsidRPr="0059435B">
        <w:t>identified information may be disclosed;</w:t>
      </w:r>
    </w:p>
    <w:p w14:paraId="5360CE7A" w14:textId="77777777" w:rsidR="006D6D40" w:rsidRPr="0059435B" w:rsidRDefault="006D6D40" w:rsidP="006D6D40">
      <w:pPr>
        <w:pStyle w:val="dotpoint"/>
      </w:pPr>
      <w:r>
        <w:t xml:space="preserve">the </w:t>
      </w:r>
      <w:r w:rsidRPr="0059435B">
        <w:t>circumstances in which information may be disclosed to the general public;</w:t>
      </w:r>
    </w:p>
    <w:p w14:paraId="5360CE7B" w14:textId="77777777" w:rsidR="006D6D40" w:rsidRPr="0059435B" w:rsidRDefault="0029355D" w:rsidP="006D6D40">
      <w:pPr>
        <w:pStyle w:val="dotpoint"/>
      </w:pPr>
      <w:r>
        <w:t>t</w:t>
      </w:r>
      <w:r w:rsidR="006D6D40">
        <w:t xml:space="preserve">he </w:t>
      </w:r>
      <w:r w:rsidR="006D6D40" w:rsidRPr="0059435B">
        <w:t>circumstances in which confidentiality agreements are required for the disclosure of information;</w:t>
      </w:r>
      <w:r w:rsidR="006D6D40">
        <w:t xml:space="preserve"> and</w:t>
      </w:r>
    </w:p>
    <w:p w14:paraId="5360CE7C" w14:textId="73D0BF3C" w:rsidR="002F566F" w:rsidRDefault="004C6529" w:rsidP="002F566F">
      <w:pPr>
        <w:pStyle w:val="dotpoint"/>
      </w:pPr>
      <w:proofErr w:type="gramStart"/>
      <w:r>
        <w:t>the</w:t>
      </w:r>
      <w:proofErr w:type="gramEnd"/>
      <w:r>
        <w:t xml:space="preserve"> imposition of</w:t>
      </w:r>
      <w:r w:rsidRPr="0059435B">
        <w:t xml:space="preserve"> </w:t>
      </w:r>
      <w:r w:rsidR="006D6D40" w:rsidRPr="0059435B">
        <w:t>conditions on disclosure of information.</w:t>
      </w:r>
      <w:r w:rsidR="006D6D40">
        <w:t xml:space="preserve"> </w:t>
      </w:r>
      <w:r w:rsidR="006D6D40">
        <w:rPr>
          <w:rStyle w:val="Referencingstyle"/>
        </w:rPr>
        <w:t>[</w:t>
      </w:r>
      <w:r>
        <w:rPr>
          <w:rStyle w:val="Referencingstyle"/>
        </w:rPr>
        <w:t xml:space="preserve">Subclause </w:t>
      </w:r>
      <w:r w:rsidR="00E60FFC">
        <w:rPr>
          <w:rStyle w:val="Referencingstyle"/>
        </w:rPr>
        <w:t>16</w:t>
      </w:r>
      <w:r w:rsidR="006D6D40">
        <w:rPr>
          <w:rStyle w:val="Referencingstyle"/>
        </w:rPr>
        <w:t>(2) of the Commonwealth Registers Bill 2018</w:t>
      </w:r>
      <w:r w:rsidR="00F5554B">
        <w:rPr>
          <w:rStyle w:val="Referencingstyle"/>
        </w:rPr>
        <w:t>, items 5, 10 and 16 of the Treasury Laws Amendment (Registries Modernisation and Other Measures) Bill, subsection 62L(2) of the Business Names Act, subsection 1260(2) of the Corporations Act and subsection 211L(2) of the Credit Act</w:t>
      </w:r>
      <w:r w:rsidR="006D6D40">
        <w:rPr>
          <w:rStyle w:val="Referencingstyle"/>
        </w:rPr>
        <w:t>]</w:t>
      </w:r>
    </w:p>
    <w:p w14:paraId="5360CE7D" w14:textId="5ADAC475" w:rsidR="002F566F" w:rsidRDefault="002F566F" w:rsidP="00A46E26">
      <w:pPr>
        <w:numPr>
          <w:ilvl w:val="1"/>
          <w:numId w:val="4"/>
        </w:numPr>
      </w:pPr>
      <w:r>
        <w:t xml:space="preserve">In addition, the new law clarifies that the disclosure framework may include different provisions relating to different functions or powers of the </w:t>
      </w:r>
      <w:r w:rsidR="00FF7966">
        <w:t>registrar</w:t>
      </w:r>
      <w:r>
        <w:t>. This ensures that the disclosure framework can be tail</w:t>
      </w:r>
      <w:r w:rsidR="004C6529">
        <w:t>or</w:t>
      </w:r>
      <w:r>
        <w:t xml:space="preserve">ed to particular functions and powers of the </w:t>
      </w:r>
      <w:r w:rsidR="00FF7966">
        <w:t>registrar</w:t>
      </w:r>
      <w:r>
        <w:t xml:space="preserve">. </w:t>
      </w:r>
      <w:r>
        <w:rPr>
          <w:rStyle w:val="Referencingstyle"/>
        </w:rPr>
        <w:t xml:space="preserve">[Subclause </w:t>
      </w:r>
      <w:r w:rsidR="00E60FFC">
        <w:rPr>
          <w:rStyle w:val="Referencingstyle"/>
        </w:rPr>
        <w:t>16</w:t>
      </w:r>
      <w:r>
        <w:rPr>
          <w:rStyle w:val="Referencingstyle"/>
        </w:rPr>
        <w:t>(3) of the Commonwealth Registers Bill 2018</w:t>
      </w:r>
      <w:r w:rsidR="00325B74">
        <w:rPr>
          <w:rStyle w:val="Referencingstyle"/>
        </w:rPr>
        <w:t>, items 5, 10 and 16 of the Treasury Laws Amendment (Registries Modernisation and Other Measures) Bill, subsection 62L(3) of the Business Names Act, subsection 1260(3) of the Corporations Act and subsection 211L(3) of the Credit Act</w:t>
      </w:r>
      <w:r>
        <w:rPr>
          <w:rStyle w:val="Referencingstyle"/>
        </w:rPr>
        <w:t>]</w:t>
      </w:r>
    </w:p>
    <w:p w14:paraId="5360CE7E" w14:textId="77777777" w:rsidR="008172AD" w:rsidRDefault="00F960FA" w:rsidP="00A46E26">
      <w:pPr>
        <w:numPr>
          <w:ilvl w:val="1"/>
          <w:numId w:val="4"/>
        </w:numPr>
      </w:pPr>
      <w:r>
        <w:t>This</w:t>
      </w:r>
      <w:r w:rsidR="00DA797B">
        <w:t xml:space="preserve"> approach</w:t>
      </w:r>
      <w:r w:rsidR="006D6D40">
        <w:t xml:space="preserve"> to disclosure</w:t>
      </w:r>
      <w:r w:rsidR="00DD0CCE" w:rsidRPr="00894CB6">
        <w:t xml:space="preserve"> aligns with the Productivity Commission’s 2017 recommendation to take a more principled approach to</w:t>
      </w:r>
      <w:r w:rsidR="00DA797B">
        <w:t xml:space="preserve"> the release of Government data. </w:t>
      </w:r>
      <w:r w:rsidR="008172AD">
        <w:t xml:space="preserve">In particular, the Commission recommended that Government data be able to be released publically where the benefits of the release outweigh the risks involved (including privacy risks) after those risks have been mitigated to the extent practicable. The intention </w:t>
      </w:r>
      <w:r w:rsidR="004C6529">
        <w:t xml:space="preserve">of this recommendation was </w:t>
      </w:r>
      <w:r w:rsidR="008172AD">
        <w:t>to capture</w:t>
      </w:r>
      <w:r w:rsidR="00DD0CCE" w:rsidRPr="00894CB6">
        <w:t xml:space="preserve"> the benefits of ‘big data’ while managing all risks of disclosure, not just those relating to personal information. </w:t>
      </w:r>
    </w:p>
    <w:p w14:paraId="5360CE7F" w14:textId="77777777" w:rsidR="000B3ECC" w:rsidRDefault="006D6D40" w:rsidP="00A46E26">
      <w:pPr>
        <w:numPr>
          <w:ilvl w:val="1"/>
          <w:numId w:val="4"/>
        </w:numPr>
      </w:pPr>
      <w:r>
        <w:t xml:space="preserve">It is </w:t>
      </w:r>
      <w:r w:rsidR="0029355D">
        <w:t xml:space="preserve">envisaged that the ability to make a disclosure framework will provide the </w:t>
      </w:r>
      <w:r w:rsidR="00FF7966">
        <w:t xml:space="preserve">registrar </w:t>
      </w:r>
      <w:r w:rsidR="0029355D">
        <w:t xml:space="preserve">with </w:t>
      </w:r>
      <w:r>
        <w:t>flexibility</w:t>
      </w:r>
      <w:r w:rsidR="0029355D">
        <w:t xml:space="preserve"> regarding the release</w:t>
      </w:r>
      <w:r>
        <w:t xml:space="preserve"> of registry information. </w:t>
      </w:r>
      <w:r w:rsidR="009712A1" w:rsidRPr="00894CB6">
        <w:t>For example, the framework</w:t>
      </w:r>
      <w:r w:rsidR="0029355D">
        <w:t xml:space="preserve"> could allow a trusted user (for </w:t>
      </w:r>
      <w:r w:rsidR="00F960FA">
        <w:t>instance</w:t>
      </w:r>
      <w:r w:rsidR="0029355D">
        <w:t xml:space="preserve"> a university</w:t>
      </w:r>
      <w:r w:rsidR="009712A1" w:rsidRPr="00894CB6">
        <w:t xml:space="preserve"> whose IT systems, processes and staff have been vetted</w:t>
      </w:r>
      <w:r w:rsidR="0029355D">
        <w:t>)</w:t>
      </w:r>
      <w:r w:rsidR="009712A1" w:rsidRPr="00894CB6">
        <w:t xml:space="preserve"> to access information that may not be appropriate for wider dissemination where a social benefit exists and app</w:t>
      </w:r>
      <w:r w:rsidR="000B3ECC">
        <w:t>ropriate undertakings are made.</w:t>
      </w:r>
    </w:p>
    <w:p w14:paraId="5360CE80" w14:textId="1418DC41" w:rsidR="00BC4E72" w:rsidRDefault="00490140" w:rsidP="00A46E26">
      <w:pPr>
        <w:numPr>
          <w:ilvl w:val="1"/>
          <w:numId w:val="4"/>
        </w:numPr>
      </w:pPr>
      <w:r>
        <w:lastRenderedPageBreak/>
        <w:t>As is the case with respect to data standards</w:t>
      </w:r>
      <w:r w:rsidR="00AD6F27">
        <w:t>, t</w:t>
      </w:r>
      <w:r w:rsidR="00644F5E">
        <w:t>he new law</w:t>
      </w:r>
      <w:r w:rsidR="00BC4E72">
        <w:t xml:space="preserve"> includes provisions designed to promote the smooth transition of registry functions and powers from one </w:t>
      </w:r>
      <w:r w:rsidR="00FF7966">
        <w:t xml:space="preserve">registrar </w:t>
      </w:r>
      <w:r w:rsidR="00BC4E72">
        <w:t xml:space="preserve">to another. Should the body appointed as </w:t>
      </w:r>
      <w:r w:rsidR="00FF7966">
        <w:t xml:space="preserve">registrar </w:t>
      </w:r>
      <w:r w:rsidR="00BC4E72">
        <w:t xml:space="preserve">for particular functions and powers change, the new law provides that any existing disclosure framework continues to apply until the new </w:t>
      </w:r>
      <w:r w:rsidR="00FF7966">
        <w:t xml:space="preserve">registrar </w:t>
      </w:r>
      <w:r w:rsidR="00BC4E72">
        <w:t xml:space="preserve">has prepared a replacement framework. </w:t>
      </w:r>
      <w:r w:rsidR="00BC4E72">
        <w:rPr>
          <w:rStyle w:val="Referencingstyle"/>
        </w:rPr>
        <w:t xml:space="preserve">[Subclause </w:t>
      </w:r>
      <w:r w:rsidR="00E60FFC">
        <w:rPr>
          <w:rStyle w:val="Referencingstyle"/>
        </w:rPr>
        <w:t>16</w:t>
      </w:r>
      <w:r w:rsidR="00BC4E72">
        <w:rPr>
          <w:rStyle w:val="Referencingstyle"/>
        </w:rPr>
        <w:t>(6) of the Commonwealth Registers Bill 2018</w:t>
      </w:r>
      <w:r w:rsidR="001A2F31">
        <w:rPr>
          <w:rStyle w:val="Referencingstyle"/>
        </w:rPr>
        <w:t>, items 5, 10 and 16 of the Treasury Laws Amendment (Registries Modernisation and Other Measures) Bill, subsection 62L(6) of the Business Names Act, subsection 1260(6) of the Corporations Act and subsection 211L(6) of the Credit Act</w:t>
      </w:r>
      <w:r w:rsidR="00BC4E72">
        <w:rPr>
          <w:rStyle w:val="Referencingstyle"/>
        </w:rPr>
        <w:t>]</w:t>
      </w:r>
    </w:p>
    <w:p w14:paraId="5360CE81" w14:textId="7995AF72" w:rsidR="006D6D40" w:rsidRDefault="006D6D40" w:rsidP="00A46E26">
      <w:pPr>
        <w:numPr>
          <w:ilvl w:val="1"/>
          <w:numId w:val="4"/>
        </w:numPr>
      </w:pPr>
      <w:r>
        <w:t>The disclosure framework is a disallowable instrument</w:t>
      </w:r>
      <w:r w:rsidRPr="00C1553C">
        <w:t xml:space="preserve"> </w:t>
      </w:r>
      <w:r>
        <w:t xml:space="preserve">for the purposes of the </w:t>
      </w:r>
      <w:r w:rsidRPr="00B830D6">
        <w:rPr>
          <w:i/>
        </w:rPr>
        <w:t>Legislation Act 2003</w:t>
      </w:r>
      <w:r>
        <w:t xml:space="preserve">. Under that Act, legislative instruments and their explanatory statements must be tabled in both Houses of the Parliament within six sitting days </w:t>
      </w:r>
      <w:r w:rsidR="004C6529">
        <w:t xml:space="preserve">after </w:t>
      </w:r>
      <w:r>
        <w:t xml:space="preserve">the date of registration of the instrument on the Federal Register of Legislation. Once tabled, the instruments will be subject to the same level of parliamentary scrutiny as regulations (including consideration by the Senate Standing Committee on Regulations and Ordinances), and </w:t>
      </w:r>
      <w:r w:rsidR="004C6529">
        <w:t xml:space="preserve">notice of </w:t>
      </w:r>
      <w:r>
        <w:t xml:space="preserve">a motion to disallow the instruments may be </w:t>
      </w:r>
      <w:r w:rsidR="004C6529">
        <w:t xml:space="preserve">given </w:t>
      </w:r>
      <w:r>
        <w:t xml:space="preserve">in either House of the Parliament within 15 sitting days </w:t>
      </w:r>
      <w:r w:rsidR="004C6529">
        <w:t xml:space="preserve">after </w:t>
      </w:r>
      <w:r>
        <w:t xml:space="preserve">the date the instruments are tabled. In addition to parliamentary oversight, the disclosure framework is subject to a privacy impact assessment under the </w:t>
      </w:r>
      <w:r w:rsidRPr="00345EF5">
        <w:rPr>
          <w:i/>
        </w:rPr>
        <w:t>Privacy Act 1988</w:t>
      </w:r>
      <w:r>
        <w:t xml:space="preserve"> and the consultation requirements contained in the </w:t>
      </w:r>
      <w:r w:rsidRPr="007A14CA">
        <w:rPr>
          <w:i/>
        </w:rPr>
        <w:t>Legislation Act</w:t>
      </w:r>
      <w:r w:rsidR="009737F7">
        <w:t xml:space="preserve"> </w:t>
      </w:r>
      <w:r w:rsidR="009737F7">
        <w:rPr>
          <w:i/>
        </w:rPr>
        <w:t>2003</w:t>
      </w:r>
      <w:r>
        <w:t xml:space="preserve">. </w:t>
      </w:r>
      <w:r w:rsidR="0029355D">
        <w:rPr>
          <w:rStyle w:val="Referencingstyle"/>
        </w:rPr>
        <w:t>[Subclause</w:t>
      </w:r>
      <w:r w:rsidR="006E4F2B">
        <w:rPr>
          <w:rStyle w:val="Referencingstyle"/>
        </w:rPr>
        <w:t> </w:t>
      </w:r>
      <w:r w:rsidR="00E60FFC">
        <w:rPr>
          <w:rStyle w:val="Referencingstyle"/>
        </w:rPr>
        <w:t>16</w:t>
      </w:r>
      <w:r w:rsidR="0029355D">
        <w:rPr>
          <w:rStyle w:val="Referencingstyle"/>
        </w:rPr>
        <w:t>(1) of the Commonwealth Registers Bill 2018</w:t>
      </w:r>
      <w:r w:rsidR="00F7628A">
        <w:rPr>
          <w:rStyle w:val="Referencingstyle"/>
        </w:rPr>
        <w:t>, items 5, 10 and 16 of the Treasury Laws Amendment (Registries Modernisation and Other Measures) Bill, subsection 62L(1) of the Business Names Act, subsection 1260(1) of the Corporations Act and subsection 211L(1) of the Credit Act</w:t>
      </w:r>
      <w:r w:rsidR="0029355D">
        <w:rPr>
          <w:rStyle w:val="Referencingstyle"/>
        </w:rPr>
        <w:t>]</w:t>
      </w:r>
    </w:p>
    <w:p w14:paraId="5360CE82" w14:textId="4A28B782" w:rsidR="00B06757" w:rsidRDefault="006E4F2B" w:rsidP="00A46E26">
      <w:pPr>
        <w:numPr>
          <w:ilvl w:val="1"/>
          <w:numId w:val="4"/>
        </w:numPr>
      </w:pPr>
      <w:bookmarkStart w:id="13" w:name="_Ref524871727"/>
      <w:r>
        <w:t>T</w:t>
      </w:r>
      <w:r w:rsidR="00F960FA">
        <w:t>he new law</w:t>
      </w:r>
      <w:r>
        <w:t xml:space="preserve"> also</w:t>
      </w:r>
      <w:r w:rsidR="00F960FA">
        <w:t xml:space="preserve"> allows a person to apply</w:t>
      </w:r>
      <w:r>
        <w:t xml:space="preserve"> to the </w:t>
      </w:r>
      <w:r w:rsidR="00FF7966">
        <w:t xml:space="preserve">registrar </w:t>
      </w:r>
      <w:r>
        <w:t>to prevent an</w:t>
      </w:r>
      <w:r w:rsidR="00F960FA">
        <w:t xml:space="preserve"> inappropriate disclosure of registry information</w:t>
      </w:r>
      <w:r>
        <w:t xml:space="preserve"> that relates to them</w:t>
      </w:r>
      <w:r w:rsidR="00F960FA">
        <w:t xml:space="preserve">. </w:t>
      </w:r>
      <w:r>
        <w:t xml:space="preserve">The data standards may provide for how such applications are to be made and decided. However, where the </w:t>
      </w:r>
      <w:r w:rsidR="00FF7966">
        <w:t xml:space="preserve">registrar </w:t>
      </w:r>
      <w:r>
        <w:t xml:space="preserve">is satisfied that the disclosure is not appropriate, the disclosure is taken </w:t>
      </w:r>
      <w:r w:rsidR="009737F7">
        <w:t xml:space="preserve">to </w:t>
      </w:r>
      <w:r>
        <w:t>not be in accordance with the disclosure framework.</w:t>
      </w:r>
      <w:r>
        <w:rPr>
          <w:rStyle w:val="FootnoteReference"/>
        </w:rPr>
        <w:footnoteReference w:id="30"/>
      </w:r>
      <w:r>
        <w:t xml:space="preserve"> </w:t>
      </w:r>
      <w:r>
        <w:rPr>
          <w:rStyle w:val="Referencingstyle"/>
        </w:rPr>
        <w:t>[Clause </w:t>
      </w:r>
      <w:r w:rsidR="00E60FFC">
        <w:rPr>
          <w:rStyle w:val="Referencingstyle"/>
        </w:rPr>
        <w:t>19</w:t>
      </w:r>
      <w:r>
        <w:rPr>
          <w:rStyle w:val="Referencingstyle"/>
        </w:rPr>
        <w:t xml:space="preserve"> of the Commonwealth Registers Bill 2018</w:t>
      </w:r>
      <w:r w:rsidR="0081139B">
        <w:rPr>
          <w:rStyle w:val="Referencingstyle"/>
        </w:rPr>
        <w:t>, items 5, 10 and 16 of the Treasury Laws Amendment (Registries Modernisation and Other Measures) Bill, section 62P of the Business Names Act, section 1263 of the Corporations Act and section 211P of the Credit Act</w:t>
      </w:r>
      <w:r>
        <w:rPr>
          <w:rStyle w:val="Referencingstyle"/>
        </w:rPr>
        <w:t>]</w:t>
      </w:r>
      <w:bookmarkEnd w:id="13"/>
    </w:p>
    <w:p w14:paraId="5360CE83" w14:textId="77777777" w:rsidR="007B29FF" w:rsidRPr="00A21872" w:rsidRDefault="00AE5162" w:rsidP="00A21872">
      <w:pPr>
        <w:pStyle w:val="Heading3"/>
      </w:pPr>
      <w:r>
        <w:t>What other matters does the new law provide for</w:t>
      </w:r>
      <w:r w:rsidR="00A21872" w:rsidRPr="00A21872">
        <w:t>?</w:t>
      </w:r>
    </w:p>
    <w:p w14:paraId="5360CE84" w14:textId="77777777" w:rsidR="00267327" w:rsidRDefault="00267327" w:rsidP="00267327">
      <w:pPr>
        <w:numPr>
          <w:ilvl w:val="1"/>
          <w:numId w:val="4"/>
        </w:numPr>
      </w:pPr>
      <w:r>
        <w:t>The n</w:t>
      </w:r>
      <w:r w:rsidR="00946C35">
        <w:t>ew law also provides</w:t>
      </w:r>
      <w:r w:rsidR="00127200">
        <w:t xml:space="preserve"> for other</w:t>
      </w:r>
      <w:r w:rsidR="00946C35">
        <w:t xml:space="preserve"> matters designed to support the effectiveness and efficiency of the</w:t>
      </w:r>
      <w:r w:rsidR="00A10BA7">
        <w:t xml:space="preserve"> registry</w:t>
      </w:r>
      <w:r w:rsidR="00946C35">
        <w:t xml:space="preserve"> regime. In this respect, the new regime provides</w:t>
      </w:r>
      <w:r w:rsidR="00A10BA7">
        <w:t xml:space="preserve"> for</w:t>
      </w:r>
      <w:r w:rsidR="00946C35">
        <w:t>:</w:t>
      </w:r>
    </w:p>
    <w:p w14:paraId="5360CE85" w14:textId="77777777" w:rsidR="00946C35" w:rsidRDefault="00A10BA7" w:rsidP="00946C35">
      <w:pPr>
        <w:pStyle w:val="dotpoint"/>
      </w:pPr>
      <w:r>
        <w:t xml:space="preserve">when the </w:t>
      </w:r>
      <w:r w:rsidR="00EA57AD">
        <w:t>Minister</w:t>
      </w:r>
      <w:r>
        <w:t xml:space="preserve"> can direct the registrar</w:t>
      </w:r>
      <w:r w:rsidR="00946C35">
        <w:t>;</w:t>
      </w:r>
    </w:p>
    <w:p w14:paraId="5360CE86" w14:textId="77777777" w:rsidR="00946C35" w:rsidRDefault="00A10BA7" w:rsidP="00946C35">
      <w:pPr>
        <w:pStyle w:val="dotpoint"/>
      </w:pPr>
      <w:r>
        <w:t>the circumstances in which, and to whom, the registrar may delegate its functions and powers</w:t>
      </w:r>
      <w:r w:rsidR="00946C35">
        <w:t>;</w:t>
      </w:r>
    </w:p>
    <w:p w14:paraId="5360CE87" w14:textId="77777777" w:rsidR="00946C35" w:rsidRDefault="00A10BA7" w:rsidP="00946C35">
      <w:pPr>
        <w:pStyle w:val="dotpoint"/>
      </w:pPr>
      <w:r>
        <w:t xml:space="preserve">the use of </w:t>
      </w:r>
      <w:r w:rsidR="00946C35">
        <w:t>assisted decision making</w:t>
      </w:r>
      <w:r>
        <w:t xml:space="preserve"> process</w:t>
      </w:r>
      <w:r w:rsidR="00EA57AD">
        <w:t>es</w:t>
      </w:r>
      <w:r>
        <w:t xml:space="preserve"> by the registrar;</w:t>
      </w:r>
    </w:p>
    <w:p w14:paraId="5360CE88" w14:textId="77777777" w:rsidR="00A10BA7" w:rsidRDefault="00A10BA7" w:rsidP="00946C35">
      <w:pPr>
        <w:pStyle w:val="dotpoint"/>
      </w:pPr>
      <w:r>
        <w:t xml:space="preserve">review rights with respect to decisions made by the registrar; </w:t>
      </w:r>
    </w:p>
    <w:p w14:paraId="5360CE89" w14:textId="77777777" w:rsidR="00A10BA7" w:rsidRDefault="00A10BA7" w:rsidP="00946C35">
      <w:pPr>
        <w:pStyle w:val="dotpoint"/>
      </w:pPr>
      <w:r>
        <w:t>the extent to which the registrar and associated persons may be liable for damages in con</w:t>
      </w:r>
      <w:r w:rsidR="00FB6218">
        <w:t>nection with the new regime;</w:t>
      </w:r>
    </w:p>
    <w:p w14:paraId="5360CE8A" w14:textId="77777777" w:rsidR="00A10BA7" w:rsidRDefault="00A10BA7" w:rsidP="00946C35">
      <w:pPr>
        <w:pStyle w:val="dotpoint"/>
      </w:pPr>
      <w:r>
        <w:t>the admissibility of registry i</w:t>
      </w:r>
      <w:r w:rsidR="00FB6218">
        <w:t xml:space="preserve">nformation in court proceedings; </w:t>
      </w:r>
    </w:p>
    <w:p w14:paraId="5360CE8B" w14:textId="77777777" w:rsidR="00FB6218" w:rsidRDefault="00FB6218" w:rsidP="00946C35">
      <w:pPr>
        <w:pStyle w:val="dotpoint"/>
      </w:pPr>
      <w:r>
        <w:t>the information that must be included in the registrar’s annual report about the operation of the new regime</w:t>
      </w:r>
      <w:r w:rsidR="00EA57AD">
        <w:t>; and</w:t>
      </w:r>
    </w:p>
    <w:p w14:paraId="5360CE8C" w14:textId="77777777" w:rsidR="0008123C" w:rsidRDefault="0008123C" w:rsidP="00946C35">
      <w:pPr>
        <w:pStyle w:val="dotpoint"/>
      </w:pPr>
      <w:proofErr w:type="gramStart"/>
      <w:r>
        <w:t>what</w:t>
      </w:r>
      <w:proofErr w:type="gramEnd"/>
      <w:r>
        <w:t xml:space="preserve"> rules may be made by the </w:t>
      </w:r>
      <w:r w:rsidR="00EA57AD">
        <w:t>Minister</w:t>
      </w:r>
      <w:r>
        <w:t xml:space="preserve"> for the purposes of the new regime.</w:t>
      </w:r>
    </w:p>
    <w:p w14:paraId="5360CE8D" w14:textId="77777777" w:rsidR="00646EE0" w:rsidRDefault="0063102F" w:rsidP="007A14CA">
      <w:pPr>
        <w:pStyle w:val="Heading4"/>
        <w:ind w:left="414" w:firstLine="720"/>
      </w:pPr>
      <w:r>
        <w:t>Directions by the Minister</w:t>
      </w:r>
    </w:p>
    <w:p w14:paraId="5360CE8E" w14:textId="44511EEF" w:rsidR="0063102F" w:rsidRDefault="00127200" w:rsidP="0063102F">
      <w:pPr>
        <w:pStyle w:val="base-text-paragraph"/>
      </w:pPr>
      <w:r>
        <w:t>The new law</w:t>
      </w:r>
      <w:r w:rsidR="0063102F">
        <w:t xml:space="preserve"> </w:t>
      </w:r>
      <w:r w:rsidR="0063102F" w:rsidRPr="00077B2C">
        <w:t>enable</w:t>
      </w:r>
      <w:r w:rsidR="0063102F">
        <w:t>s</w:t>
      </w:r>
      <w:r w:rsidR="0063102F" w:rsidRPr="00077B2C">
        <w:t xml:space="preserve"> the Minister to give binding directions of a general nature to the </w:t>
      </w:r>
      <w:r w:rsidR="00967C34">
        <w:t>r</w:t>
      </w:r>
      <w:r w:rsidR="0063102F" w:rsidRPr="00077B2C">
        <w:t>egistrar</w:t>
      </w:r>
      <w:r w:rsidR="0063102F">
        <w:t xml:space="preserve"> about the performance </w:t>
      </w:r>
      <w:r w:rsidR="00B623B1">
        <w:t xml:space="preserve">of its functions and powers. Similar directions powers exist in </w:t>
      </w:r>
      <w:r w:rsidR="00B623B1">
        <w:lastRenderedPageBreak/>
        <w:t>current laws of the Commonwealth.</w:t>
      </w:r>
      <w:r w:rsidR="00B623B1">
        <w:rPr>
          <w:rStyle w:val="FootnoteReference"/>
        </w:rPr>
        <w:footnoteReference w:id="31"/>
      </w:r>
      <w:r w:rsidR="0063102F" w:rsidRPr="00077B2C">
        <w:t xml:space="preserve"> </w:t>
      </w:r>
      <w:r w:rsidR="00BC0C47">
        <w:rPr>
          <w:rStyle w:val="Referencingstyle"/>
        </w:rPr>
        <w:t>[Subclause</w:t>
      </w:r>
      <w:r w:rsidR="00F273DE">
        <w:rPr>
          <w:rStyle w:val="Referencingstyle"/>
        </w:rPr>
        <w:t>s </w:t>
      </w:r>
      <w:r w:rsidR="00E60FFC">
        <w:rPr>
          <w:rStyle w:val="Referencingstyle"/>
        </w:rPr>
        <w:t>9</w:t>
      </w:r>
      <w:r w:rsidR="00F273DE">
        <w:rPr>
          <w:rStyle w:val="Referencingstyle"/>
        </w:rPr>
        <w:t xml:space="preserve">(1), </w:t>
      </w:r>
      <w:r w:rsidR="00E60FFC">
        <w:rPr>
          <w:rStyle w:val="Referencingstyle"/>
        </w:rPr>
        <w:t>9</w:t>
      </w:r>
      <w:r w:rsidR="00F273DE">
        <w:rPr>
          <w:rStyle w:val="Referencingstyle"/>
        </w:rPr>
        <w:t xml:space="preserve">(3) and </w:t>
      </w:r>
      <w:r w:rsidR="00E60FFC">
        <w:rPr>
          <w:rStyle w:val="Referencingstyle"/>
        </w:rPr>
        <w:t>9</w:t>
      </w:r>
      <w:r w:rsidR="00F273DE">
        <w:rPr>
          <w:rStyle w:val="Referencingstyle"/>
        </w:rPr>
        <w:t>(5)</w:t>
      </w:r>
      <w:r w:rsidR="00BC0C47">
        <w:rPr>
          <w:rStyle w:val="Referencingstyle"/>
        </w:rPr>
        <w:t xml:space="preserve"> of the Commonwealth Registers Bill 2018</w:t>
      </w:r>
      <w:r w:rsidR="00F30B18">
        <w:rPr>
          <w:rStyle w:val="Referencingstyle"/>
        </w:rPr>
        <w:t>, items 5, 10 and 16 of the Treasury Laws Amendment (Registries Modernisation and Other Measures) Bill, subsections 62D(1), 62D(3)  and 62D(5)  of the Business Names Act, subsection 1253(1), 1253(3) and 1253(5)  of the Corporations Act and subsections 211D(1) , 211D(3)  and 211D(5) of the Credit Act</w:t>
      </w:r>
      <w:r w:rsidR="00BC0C47">
        <w:rPr>
          <w:rStyle w:val="Referencingstyle"/>
        </w:rPr>
        <w:t>]</w:t>
      </w:r>
    </w:p>
    <w:p w14:paraId="5360CE8F" w14:textId="59A5FAA4" w:rsidR="005D0277" w:rsidRDefault="00B623B1" w:rsidP="00BC0C47">
      <w:pPr>
        <w:pStyle w:val="base-text-paragraph"/>
      </w:pPr>
      <w:r>
        <w:t>This direction power promotes the effective and efficient operation of the new regime.</w:t>
      </w:r>
      <w:r w:rsidR="0063102F">
        <w:t xml:space="preserve"> </w:t>
      </w:r>
      <w:r>
        <w:t>In particular, the power ensures a coordinated approach to the performance of the registrar’s functions and powers given that those functions and powers may be dispersed across several government bodies.</w:t>
      </w:r>
      <w:r w:rsidR="004B3E22">
        <w:t xml:space="preserve"> Fo</w:t>
      </w:r>
      <w:r w:rsidR="005D0277">
        <w:t>r instance</w:t>
      </w:r>
      <w:r w:rsidR="004B3E22">
        <w:t>, where functions and powers are dispersed the Minister could direct that all registry information be stored on</w:t>
      </w:r>
      <w:r w:rsidR="00F273DE">
        <w:t xml:space="preserve"> a</w:t>
      </w:r>
      <w:r w:rsidR="004B3E22">
        <w:t xml:space="preserve"> central IT platform rather than on individual </w:t>
      </w:r>
      <w:r w:rsidR="00CB10C0">
        <w:t xml:space="preserve">databases </w:t>
      </w:r>
      <w:r w:rsidR="004B3E22">
        <w:t xml:space="preserve">maintained by appointed bodies. </w:t>
      </w:r>
      <w:r w:rsidR="005D0277">
        <w:t>T</w:t>
      </w:r>
      <w:r w:rsidR="0063102F">
        <w:t>he power could</w:t>
      </w:r>
      <w:r w:rsidR="005D0277">
        <w:t xml:space="preserve"> also</w:t>
      </w:r>
      <w:r w:rsidR="0063102F">
        <w:t xml:space="preserve"> be used, </w:t>
      </w:r>
      <w:r w:rsidR="005D0277">
        <w:t>for example</w:t>
      </w:r>
      <w:r w:rsidR="0063102F">
        <w:t>, to</w:t>
      </w:r>
      <w:r w:rsidR="00BC0C47">
        <w:t>:</w:t>
      </w:r>
      <w:r w:rsidR="0063102F">
        <w:t xml:space="preserve"> </w:t>
      </w:r>
    </w:p>
    <w:p w14:paraId="5360CE90" w14:textId="77777777" w:rsidR="005D0277" w:rsidRDefault="005D0277" w:rsidP="005D0277">
      <w:pPr>
        <w:pStyle w:val="dotpoint"/>
      </w:pPr>
      <w:r>
        <w:t xml:space="preserve">make directions that </w:t>
      </w:r>
      <w:r w:rsidR="0063102F">
        <w:t>promote business conti</w:t>
      </w:r>
      <w:r>
        <w:t>nuity and minimise disruption where</w:t>
      </w:r>
      <w:r w:rsidR="0063102F">
        <w:t xml:space="preserve"> there is a change in the </w:t>
      </w:r>
      <w:r w:rsidR="00F273DE">
        <w:t>body to which particular</w:t>
      </w:r>
      <w:r>
        <w:t xml:space="preserve"> registry</w:t>
      </w:r>
      <w:r w:rsidR="00F273DE">
        <w:t xml:space="preserve"> functions and powers are</w:t>
      </w:r>
      <w:r>
        <w:t xml:space="preserve"> assigned;</w:t>
      </w:r>
    </w:p>
    <w:p w14:paraId="5360CE91" w14:textId="77777777" w:rsidR="00F273DE" w:rsidRDefault="005D0277" w:rsidP="005D0277">
      <w:pPr>
        <w:pStyle w:val="dotpoint"/>
      </w:pPr>
      <w:r>
        <w:t>direct the registrar to comply with particular</w:t>
      </w:r>
      <w:r w:rsidR="00F273DE">
        <w:t xml:space="preserve"> standards</w:t>
      </w:r>
      <w:r>
        <w:t>, for example</w:t>
      </w:r>
      <w:r w:rsidR="004F5D12">
        <w:t xml:space="preserve"> this could include any current or future whole of government standards relating to data management</w:t>
      </w:r>
      <w:r w:rsidR="00602FAF">
        <w:t>;</w:t>
      </w:r>
    </w:p>
    <w:p w14:paraId="5360CE92" w14:textId="77777777" w:rsidR="00F273DE" w:rsidRDefault="004F5D12" w:rsidP="004F5D12">
      <w:pPr>
        <w:pStyle w:val="dotpoint"/>
      </w:pPr>
      <w:r>
        <w:t>direct</w:t>
      </w:r>
      <w:r w:rsidR="00F273DE">
        <w:t xml:space="preserve"> that forms are to include warnings</w:t>
      </w:r>
      <w:r>
        <w:t xml:space="preserve"> or notices about certain things, for examples</w:t>
      </w:r>
      <w:r w:rsidR="00F273DE">
        <w:t xml:space="preserve"> penalties for making false state</w:t>
      </w:r>
      <w:r w:rsidR="00602FAF">
        <w:t>ments; or</w:t>
      </w:r>
    </w:p>
    <w:p w14:paraId="5360CE93" w14:textId="719ABB38" w:rsidR="00602FAF" w:rsidRDefault="00602FAF" w:rsidP="004F5D12">
      <w:pPr>
        <w:pStyle w:val="dotpoint"/>
      </w:pPr>
      <w:proofErr w:type="gramStart"/>
      <w:r>
        <w:t>direct</w:t>
      </w:r>
      <w:proofErr w:type="gramEnd"/>
      <w:r>
        <w:t xml:space="preserve"> as to consultation processes</w:t>
      </w:r>
      <w:r w:rsidR="000849E6">
        <w:t xml:space="preserve"> that are</w:t>
      </w:r>
      <w:r>
        <w:t xml:space="preserve"> to be followed prior to making data standards or the disclosure framework (any such requirements would be in addition to those required by the </w:t>
      </w:r>
      <w:r w:rsidRPr="00602FAF">
        <w:rPr>
          <w:i/>
        </w:rPr>
        <w:t>Legislation Act 2003</w:t>
      </w:r>
      <w:r>
        <w:t xml:space="preserve">). </w:t>
      </w:r>
      <w:r>
        <w:rPr>
          <w:rStyle w:val="Referencingstyle"/>
        </w:rPr>
        <w:t>[Subclauses </w:t>
      </w:r>
      <w:r w:rsidR="00E60FFC">
        <w:rPr>
          <w:rStyle w:val="Referencingstyle"/>
        </w:rPr>
        <w:t>9</w:t>
      </w:r>
      <w:r>
        <w:rPr>
          <w:rStyle w:val="Referencingstyle"/>
        </w:rPr>
        <w:t xml:space="preserve">(1), </w:t>
      </w:r>
      <w:r w:rsidR="00E60FFC">
        <w:rPr>
          <w:rStyle w:val="Referencingstyle"/>
        </w:rPr>
        <w:t>9</w:t>
      </w:r>
      <w:r>
        <w:rPr>
          <w:rStyle w:val="Referencingstyle"/>
        </w:rPr>
        <w:t xml:space="preserve">(2), </w:t>
      </w:r>
      <w:r w:rsidR="00E60FFC">
        <w:rPr>
          <w:rStyle w:val="Referencingstyle"/>
        </w:rPr>
        <w:t>9</w:t>
      </w:r>
      <w:r>
        <w:rPr>
          <w:rStyle w:val="Referencingstyle"/>
        </w:rPr>
        <w:t xml:space="preserve">(3) and </w:t>
      </w:r>
      <w:r w:rsidR="00E60FFC">
        <w:rPr>
          <w:rStyle w:val="Referencingstyle"/>
        </w:rPr>
        <w:t>9</w:t>
      </w:r>
      <w:r>
        <w:rPr>
          <w:rStyle w:val="Referencingstyle"/>
        </w:rPr>
        <w:t>(5) of the Commonwealth Registers Bill 2018</w:t>
      </w:r>
      <w:r w:rsidR="008932F6">
        <w:rPr>
          <w:rStyle w:val="Referencingstyle"/>
        </w:rPr>
        <w:t>, items 5, 10 and 16 of the Treasury Laws Amendment (Registries Modernisation and Other Measures) Bill, subsections 62D(1), 62D(2), 62D(3)  and 62D(5)  of the Business Names Act, subsection 1253(1), 1253(2), 1253(3) and 1253(5)  of the Corporations Act and subsections 211D(1) ,</w:t>
      </w:r>
      <w:r w:rsidR="008932F6" w:rsidRPr="008932F6">
        <w:rPr>
          <w:rStyle w:val="Referencingstyle"/>
        </w:rPr>
        <w:t xml:space="preserve"> </w:t>
      </w:r>
      <w:r w:rsidR="008932F6">
        <w:rPr>
          <w:rStyle w:val="Referencingstyle"/>
        </w:rPr>
        <w:t>211D(2), 211D(3)  and 211D(5) of the Credit Act</w:t>
      </w:r>
      <w:r>
        <w:rPr>
          <w:rStyle w:val="Referencingstyle"/>
        </w:rPr>
        <w:t>]</w:t>
      </w:r>
    </w:p>
    <w:p w14:paraId="5360CE94" w14:textId="5FD205A6" w:rsidR="00BD2BA4" w:rsidRDefault="00BD2BA4" w:rsidP="00646EE0">
      <w:pPr>
        <w:pStyle w:val="base-text-paragraph"/>
      </w:pPr>
      <w:r>
        <w:t>The new law also</w:t>
      </w:r>
      <w:r w:rsidR="00646EE0">
        <w:t xml:space="preserve"> </w:t>
      </w:r>
      <w:r w:rsidR="00432F79">
        <w:t>enables</w:t>
      </w:r>
      <w:r w:rsidR="00646EE0">
        <w:t xml:space="preserve"> the Minister to</w:t>
      </w:r>
      <w:r w:rsidR="004A2137">
        <w:t xml:space="preserve"> direct the </w:t>
      </w:r>
      <w:r w:rsidR="000849E6">
        <w:t>r</w:t>
      </w:r>
      <w:r w:rsidR="004A2137">
        <w:t xml:space="preserve">egistrar as to </w:t>
      </w:r>
      <w:r>
        <w:t>particular matter</w:t>
      </w:r>
      <w:r w:rsidR="004A2137">
        <w:t>s</w:t>
      </w:r>
      <w:r>
        <w:t xml:space="preserve"> to be dealt with in the data standards or disclosure framework. For example, the Min</w:t>
      </w:r>
      <w:r w:rsidR="00EA57AD">
        <w:t>i</w:t>
      </w:r>
      <w:r>
        <w:t xml:space="preserve">ster could direct that </w:t>
      </w:r>
      <w:r w:rsidR="005727D8">
        <w:t xml:space="preserve">the </w:t>
      </w:r>
      <w:r>
        <w:t>disclosure framework provide for the provision of specified information to a particular government body that requires the information.</w:t>
      </w:r>
      <w:r w:rsidR="004A2137">
        <w:t xml:space="preserve"> Where the M</w:t>
      </w:r>
      <w:r w:rsidR="00B57970">
        <w:t>inister make</w:t>
      </w:r>
      <w:r w:rsidR="004A2137">
        <w:t>s</w:t>
      </w:r>
      <w:r w:rsidR="00445AC4">
        <w:t xml:space="preserve"> such a</w:t>
      </w:r>
      <w:r>
        <w:t xml:space="preserve"> direction, the</w:t>
      </w:r>
      <w:r w:rsidR="00445AC4">
        <w:t xml:space="preserve"> registrar </w:t>
      </w:r>
      <w:r w:rsidR="005727D8">
        <w:t>must include the matter in its</w:t>
      </w:r>
      <w:r w:rsidR="00445AC4">
        <w:t xml:space="preserve"> disclosure framework whether or not they are satisfied of the matters set out in paragraph </w:t>
      </w:r>
      <w:r w:rsidR="00445AC4">
        <w:fldChar w:fldCharType="begin"/>
      </w:r>
      <w:r w:rsidR="00445AC4">
        <w:instrText xml:space="preserve"> REF _Ref524638046 \n \h </w:instrText>
      </w:r>
      <w:r w:rsidR="00445AC4">
        <w:fldChar w:fldCharType="separate"/>
      </w:r>
      <w:r w:rsidR="00F3492D">
        <w:t>1.52</w:t>
      </w:r>
      <w:r w:rsidR="00445AC4">
        <w:fldChar w:fldCharType="end"/>
      </w:r>
      <w:r w:rsidR="00445AC4">
        <w:t xml:space="preserve"> of this memorandum. </w:t>
      </w:r>
      <w:r>
        <w:t>However, the</w:t>
      </w:r>
      <w:r w:rsidR="00445AC4">
        <w:t xml:space="preserve"> Minister cannot direct</w:t>
      </w:r>
      <w:r>
        <w:t xml:space="preserve"> the </w:t>
      </w:r>
      <w:r w:rsidR="000849E6">
        <w:t>r</w:t>
      </w:r>
      <w:r>
        <w:t>egistrar</w:t>
      </w:r>
      <w:r w:rsidR="00445AC4">
        <w:t xml:space="preserve"> as to</w:t>
      </w:r>
      <w:r w:rsidR="004A2137">
        <w:t xml:space="preserve"> how they are to</w:t>
      </w:r>
      <w:r>
        <w:t xml:space="preserve"> apply the data standards or disclosure framework in a particular case</w:t>
      </w:r>
      <w:r w:rsidR="00445AC4">
        <w:t>.</w:t>
      </w:r>
      <w:r w:rsidR="009479B0">
        <w:t xml:space="preserve"> </w:t>
      </w:r>
      <w:r w:rsidR="009479B0">
        <w:rPr>
          <w:rStyle w:val="Referencingstyle"/>
        </w:rPr>
        <w:t>[Subclauses </w:t>
      </w:r>
      <w:r w:rsidR="00E60FFC">
        <w:rPr>
          <w:rStyle w:val="Referencingstyle"/>
        </w:rPr>
        <w:t>9</w:t>
      </w:r>
      <w:r w:rsidR="005727D8">
        <w:rPr>
          <w:rStyle w:val="Referencingstyle"/>
        </w:rPr>
        <w:t xml:space="preserve">(2), </w:t>
      </w:r>
      <w:r w:rsidR="00E60FFC">
        <w:rPr>
          <w:rStyle w:val="Referencingstyle"/>
        </w:rPr>
        <w:t>9</w:t>
      </w:r>
      <w:r w:rsidR="009479B0">
        <w:rPr>
          <w:rStyle w:val="Referencingstyle"/>
        </w:rPr>
        <w:t>(</w:t>
      </w:r>
      <w:r w:rsidR="005727D8">
        <w:rPr>
          <w:rStyle w:val="Referencingstyle"/>
        </w:rPr>
        <w:t>4</w:t>
      </w:r>
      <w:r w:rsidR="009479B0">
        <w:rPr>
          <w:rStyle w:val="Referencingstyle"/>
        </w:rPr>
        <w:t xml:space="preserve">) and </w:t>
      </w:r>
      <w:r w:rsidR="00E60FFC">
        <w:rPr>
          <w:rStyle w:val="Referencingstyle"/>
        </w:rPr>
        <w:t>9</w:t>
      </w:r>
      <w:r w:rsidR="009479B0">
        <w:rPr>
          <w:rStyle w:val="Referencingstyle"/>
        </w:rPr>
        <w:t>(5) of the Commonwealth Registers Bill 2018</w:t>
      </w:r>
      <w:r w:rsidR="005E6A6B">
        <w:rPr>
          <w:rStyle w:val="Referencingstyle"/>
        </w:rPr>
        <w:t>, items 5, 10 and 16 of the Treasury Laws Amendment (Registries Modernisation and Other Measures) Bill, subsections 62D(2), 62D(4)  and 62D(5)  of the Business Names Act, subsection 1253(2), 1253(4) and 1253(5)  of the Corporations Act and subsections 211D(2) , 211D(4)  and 211D(5) of the Credit Act</w:t>
      </w:r>
      <w:r w:rsidR="009479B0">
        <w:rPr>
          <w:rStyle w:val="Referencingstyle"/>
        </w:rPr>
        <w:t>]</w:t>
      </w:r>
    </w:p>
    <w:p w14:paraId="5360CE95" w14:textId="0838DF47" w:rsidR="004A2137" w:rsidRDefault="005727D8" w:rsidP="004A2137">
      <w:pPr>
        <w:numPr>
          <w:ilvl w:val="1"/>
          <w:numId w:val="4"/>
        </w:numPr>
      </w:pPr>
      <w:r>
        <w:t>All directions by the Minister must be in writing and are</w:t>
      </w:r>
      <w:r w:rsidR="004A2137" w:rsidRPr="00C1553C">
        <w:t xml:space="preserve"> disallowable instruments </w:t>
      </w:r>
      <w:r w:rsidR="004A2137">
        <w:t xml:space="preserve">for the purposes of the </w:t>
      </w:r>
      <w:r w:rsidR="004A2137" w:rsidRPr="001850C1">
        <w:rPr>
          <w:i/>
        </w:rPr>
        <w:t>Legislation Act 2003</w:t>
      </w:r>
      <w:r w:rsidR="004A2137">
        <w:t>. Under that Act, legislative instruments and their explanatory statements must be tabled in both Houses of the Parliament within six sitting days after the date of registration of the instrument on the Federal Register of Legislation. Once tabled, the instruments will be subject to the same level of parliamentary scrutiny as regulations (including consideration by the Senate Standing Committee on Regulations and Ordinances), and notice of a motion to disallow the instruments may be given in either House of the Parliament within 15 sitting days after the date the instruments are tabled.</w:t>
      </w:r>
      <w:r>
        <w:t xml:space="preserve"> </w:t>
      </w:r>
      <w:r>
        <w:rPr>
          <w:rStyle w:val="Referencingstyle"/>
        </w:rPr>
        <w:t>[Subclause </w:t>
      </w:r>
      <w:r w:rsidR="00E60FFC">
        <w:rPr>
          <w:rStyle w:val="Referencingstyle"/>
        </w:rPr>
        <w:t>9</w:t>
      </w:r>
      <w:r>
        <w:rPr>
          <w:rStyle w:val="Referencingstyle"/>
        </w:rPr>
        <w:t>(1) of the Commonwealth Registers Bill 2018</w:t>
      </w:r>
      <w:r w:rsidR="00431E9A">
        <w:rPr>
          <w:rStyle w:val="Referencingstyle"/>
        </w:rPr>
        <w:t>, items 5, 10 and 16 of the Treasury Laws Amendment (Registries Modernisation and Other Measures) Bill, subsection 62D(1) of the Business Names Act, subsection 1253(1) of the Corporations Act and subsections 211D(1) of the Credit Act</w:t>
      </w:r>
      <w:r>
        <w:rPr>
          <w:rStyle w:val="Referencingstyle"/>
        </w:rPr>
        <w:t>]</w:t>
      </w:r>
    </w:p>
    <w:p w14:paraId="5360CE96" w14:textId="77777777" w:rsidR="00B35A26" w:rsidRPr="00646EE0" w:rsidRDefault="00B35A26" w:rsidP="00B35A26">
      <w:pPr>
        <w:pStyle w:val="Heading4"/>
      </w:pPr>
      <w:r>
        <w:t>Delegation by the registrar</w:t>
      </w:r>
    </w:p>
    <w:p w14:paraId="5360CE97" w14:textId="30FCA5C1" w:rsidR="007E2B65" w:rsidRDefault="007E2B65" w:rsidP="00B35A26">
      <w:pPr>
        <w:pStyle w:val="base-text-paragraph"/>
      </w:pPr>
      <w:r>
        <w:t>The new registers regime</w:t>
      </w:r>
      <w:r w:rsidR="00B35A26">
        <w:t xml:space="preserve"> includes a </w:t>
      </w:r>
      <w:r>
        <w:t xml:space="preserve">delegation power that can be used by the registrar to assist them in the performance of their functions and powers. The power provides that the </w:t>
      </w:r>
      <w:r w:rsidR="00967C34">
        <w:lastRenderedPageBreak/>
        <w:t>r</w:t>
      </w:r>
      <w:r>
        <w:t>egistrar may delegate all or any of its functions or power (other than the power to make data standards or the disclosure framework) to any person to whom it may delegate any of its other functions, as a Commonwealth body, under Commonwealth law.</w:t>
      </w:r>
      <w:r w:rsidR="00EE4C4C">
        <w:t xml:space="preserve"> </w:t>
      </w:r>
      <w:r w:rsidR="00EC57DB">
        <w:rPr>
          <w:rStyle w:val="Referencingstyle"/>
        </w:rPr>
        <w:t>[Paragraph </w:t>
      </w:r>
      <w:r w:rsidR="00E60FFC">
        <w:rPr>
          <w:rStyle w:val="Referencingstyle"/>
        </w:rPr>
        <w:t>10</w:t>
      </w:r>
      <w:r w:rsidR="00EC57DB">
        <w:rPr>
          <w:rStyle w:val="Referencingstyle"/>
        </w:rPr>
        <w:t>(1)(a) of the Commonwealth Registers Bill 2018</w:t>
      </w:r>
      <w:r w:rsidR="00103A9D">
        <w:rPr>
          <w:rStyle w:val="Referencingstyle"/>
        </w:rPr>
        <w:t xml:space="preserve">, items 5, 10 and 16 of the Treasury Laws Amendment (Registries Modernisation and Other Measures) Bill, paragraph 62E(1)(a) of the Business Names Act, </w:t>
      </w:r>
      <w:r w:rsidR="002F1A7A">
        <w:rPr>
          <w:rStyle w:val="Referencingstyle"/>
        </w:rPr>
        <w:t>paragraph</w:t>
      </w:r>
      <w:r w:rsidR="00103A9D">
        <w:rPr>
          <w:rStyle w:val="Referencingstyle"/>
        </w:rPr>
        <w:t xml:space="preserve"> 12</w:t>
      </w:r>
      <w:r w:rsidR="002F1A7A">
        <w:rPr>
          <w:rStyle w:val="Referencingstyle"/>
        </w:rPr>
        <w:t>54</w:t>
      </w:r>
      <w:r w:rsidR="00103A9D">
        <w:rPr>
          <w:rStyle w:val="Referencingstyle"/>
        </w:rPr>
        <w:t>(1)</w:t>
      </w:r>
      <w:r w:rsidR="002F1A7A">
        <w:rPr>
          <w:rStyle w:val="Referencingstyle"/>
        </w:rPr>
        <w:t>(a)</w:t>
      </w:r>
      <w:r w:rsidR="00103A9D">
        <w:rPr>
          <w:rStyle w:val="Referencingstyle"/>
        </w:rPr>
        <w:t xml:space="preserve"> of the Corporations Act and paragraph 211E(1)(a) of the Credit Act</w:t>
      </w:r>
      <w:r w:rsidR="00EC57DB">
        <w:rPr>
          <w:rStyle w:val="Referencingstyle"/>
        </w:rPr>
        <w:t>]</w:t>
      </w:r>
    </w:p>
    <w:p w14:paraId="5360CE98" w14:textId="77777777" w:rsidR="007E2B65" w:rsidRDefault="00EE4C4C" w:rsidP="007E2B65">
      <w:pPr>
        <w:pStyle w:val="base-text-paragraph"/>
      </w:pPr>
      <w:r>
        <w:t>The new law therefore</w:t>
      </w:r>
      <w:r w:rsidR="009F5413">
        <w:t xml:space="preserve"> effectively</w:t>
      </w:r>
      <w:r>
        <w:t xml:space="preserve"> adopts the existing delegation regime (if any) applicable to the body appointed as Registrar. This </w:t>
      </w:r>
      <w:r w:rsidR="009F5413">
        <w:t>should</w:t>
      </w:r>
      <w:r>
        <w:t xml:space="preserve"> in practice allow any existing delegations, with respect to functions and powers being transferred to the Registrar, to remain in place should the </w:t>
      </w:r>
      <w:r w:rsidR="00967C34">
        <w:t>r</w:t>
      </w:r>
      <w:r>
        <w:t>egistrar</w:t>
      </w:r>
      <w:r w:rsidR="00967C34">
        <w:t xml:space="preserve"> so</w:t>
      </w:r>
      <w:r>
        <w:t xml:space="preserve"> desire. As already noted, the</w:t>
      </w:r>
      <w:r w:rsidR="009F5413">
        <w:t>se functions and powers may generally</w:t>
      </w:r>
      <w:r>
        <w:t xml:space="preserve"> be describ</w:t>
      </w:r>
      <w:r w:rsidR="009F5413">
        <w:t>ed as registry in nature (as opposed to being regulatory in nature).</w:t>
      </w:r>
    </w:p>
    <w:p w14:paraId="5360CE99" w14:textId="5AE440AA" w:rsidR="00EC57DB" w:rsidRDefault="009F5413" w:rsidP="007E2B65">
      <w:pPr>
        <w:pStyle w:val="base-text-paragraph"/>
      </w:pPr>
      <w:r>
        <w:t>The new law also permits the registrar to delegate its functions and powers to any person of a kind specif</w:t>
      </w:r>
      <w:r w:rsidR="00EC57DB">
        <w:t xml:space="preserve">ied in the rules. This allows the rules to rectify a situation </w:t>
      </w:r>
      <w:r>
        <w:t>where</w:t>
      </w:r>
      <w:r w:rsidR="00EC57DB">
        <w:t xml:space="preserve"> the above mentioned delegation arrangements are not sufficient to facilitate the effective and efficient administration of the new regime. Any such rules are legislative instruments and are therefore subject to requirements of the </w:t>
      </w:r>
      <w:r w:rsidR="00EC57DB" w:rsidRPr="00EC57DB">
        <w:rPr>
          <w:i/>
        </w:rPr>
        <w:t>Legislation Act 2003</w:t>
      </w:r>
      <w:r w:rsidR="00EC57DB">
        <w:t>, including parliamentary oversight through the disallowance process and appropriate consultation.</w:t>
      </w:r>
      <w:r w:rsidR="00103C71">
        <w:rPr>
          <w:rStyle w:val="FootnoteReference"/>
        </w:rPr>
        <w:footnoteReference w:id="32"/>
      </w:r>
      <w:r w:rsidR="00EC57DB">
        <w:t xml:space="preserve"> </w:t>
      </w:r>
      <w:r w:rsidR="00EC57DB">
        <w:rPr>
          <w:rStyle w:val="Referencingstyle"/>
        </w:rPr>
        <w:t>[Paragraph </w:t>
      </w:r>
      <w:r w:rsidR="00C90AF4">
        <w:rPr>
          <w:rStyle w:val="Referencingstyle"/>
        </w:rPr>
        <w:t>10</w:t>
      </w:r>
      <w:r w:rsidR="00EC57DB">
        <w:rPr>
          <w:rStyle w:val="Referencingstyle"/>
        </w:rPr>
        <w:t>(1)(b) of the Commonwealth Registers Bill 2018</w:t>
      </w:r>
      <w:r w:rsidR="006168F4">
        <w:rPr>
          <w:rStyle w:val="Referencingstyle"/>
        </w:rPr>
        <w:t>, items 5, 10 and 16 of the Treasury Laws Amendment (Registries Modernisation and Other Measures) Bill, paragraph 62E(1)(b) of the Business Names Act, paragraph 1254(1)(b) of the Corporations Act and paragraph 211E(1)(b) of the Credit Act</w:t>
      </w:r>
      <w:r w:rsidR="00EC57DB">
        <w:rPr>
          <w:rStyle w:val="Referencingstyle"/>
        </w:rPr>
        <w:t>]</w:t>
      </w:r>
    </w:p>
    <w:p w14:paraId="5360CE9A" w14:textId="77777777" w:rsidR="00B152E0" w:rsidRPr="004F08D5" w:rsidRDefault="008C4C18" w:rsidP="00B152E0">
      <w:pPr>
        <w:pStyle w:val="Heading4"/>
      </w:pPr>
      <w:bookmarkStart w:id="14" w:name="_Ref428551252"/>
      <w:bookmarkStart w:id="15" w:name="_Ref428799949"/>
      <w:bookmarkStart w:id="16" w:name="_Ref429035881"/>
      <w:bookmarkStart w:id="17" w:name="_Ref429035898"/>
      <w:bookmarkStart w:id="18" w:name="_Toc432405757"/>
      <w:r>
        <w:t>Assisted</w:t>
      </w:r>
      <w:r w:rsidR="00B152E0">
        <w:t xml:space="preserve"> decision making</w:t>
      </w:r>
    </w:p>
    <w:p w14:paraId="5360CE9B" w14:textId="4ABA6FF1" w:rsidR="008C4C18" w:rsidRDefault="008C4C18" w:rsidP="0098085B">
      <w:pPr>
        <w:pStyle w:val="base-text-paragraph"/>
      </w:pPr>
      <w:r>
        <w:t>The new law allows the registrar to use processes to assist it</w:t>
      </w:r>
      <w:r w:rsidR="00967C34">
        <w:t xml:space="preserve"> to</w:t>
      </w:r>
      <w:r>
        <w:t xml:space="preserve"> make decisions. In particular, the new law permits the registrar to </w:t>
      </w:r>
      <w:r w:rsidR="0098085B">
        <w:t>arrange for the use, under the r</w:t>
      </w:r>
      <w:r>
        <w:t xml:space="preserve">egistrar’s control, of </w:t>
      </w:r>
      <w:r w:rsidR="00967C34">
        <w:t xml:space="preserve">a </w:t>
      </w:r>
      <w:r>
        <w:t>process to assist decision making</w:t>
      </w:r>
      <w:r w:rsidR="0098085B">
        <w:t xml:space="preserve"> for any purpose for which the r</w:t>
      </w:r>
      <w:r>
        <w:t xml:space="preserve">egistrar may make </w:t>
      </w:r>
      <w:r w:rsidR="00967C34">
        <w:t xml:space="preserve">a </w:t>
      </w:r>
      <w:r>
        <w:t>decision, other than decisions reviewing</w:t>
      </w:r>
      <w:r w:rsidR="006F053D">
        <w:t xml:space="preserve"> other decisions. The new law enables the registrar to use a wide variety of process and technologies</w:t>
      </w:r>
      <w:r w:rsidR="005127F8">
        <w:t xml:space="preserve"> for this purpose (</w:t>
      </w:r>
      <w:r w:rsidR="006F053D">
        <w:t>including computer</w:t>
      </w:r>
      <w:r w:rsidR="005127F8">
        <w:t xml:space="preserve"> applications and systems) and a decision made using such a process is taken to be a decision of the registrar </w:t>
      </w:r>
      <w:r w:rsidR="006F053D">
        <w:rPr>
          <w:rStyle w:val="Referencingstyle"/>
        </w:rPr>
        <w:t>[Subclause </w:t>
      </w:r>
      <w:r w:rsidR="00C90AF4">
        <w:rPr>
          <w:rStyle w:val="Referencingstyle"/>
        </w:rPr>
        <w:t>11</w:t>
      </w:r>
      <w:r w:rsidR="006F053D">
        <w:rPr>
          <w:rStyle w:val="Referencingstyle"/>
        </w:rPr>
        <w:t>(1)</w:t>
      </w:r>
      <w:r w:rsidR="005127F8">
        <w:rPr>
          <w:rStyle w:val="Referencingstyle"/>
        </w:rPr>
        <w:t xml:space="preserve"> and </w:t>
      </w:r>
      <w:r w:rsidR="00C90AF4">
        <w:rPr>
          <w:rStyle w:val="Referencingstyle"/>
        </w:rPr>
        <w:t>11</w:t>
      </w:r>
      <w:r w:rsidR="005127F8">
        <w:rPr>
          <w:rStyle w:val="Referencingstyle"/>
        </w:rPr>
        <w:t>(2)</w:t>
      </w:r>
      <w:r w:rsidR="006F053D">
        <w:rPr>
          <w:rStyle w:val="Referencingstyle"/>
        </w:rPr>
        <w:t xml:space="preserve"> of the Commonwealth Registers Bill 2018</w:t>
      </w:r>
      <w:r w:rsidR="001F0342">
        <w:rPr>
          <w:rStyle w:val="Referencingstyle"/>
        </w:rPr>
        <w:t>, items 5, 10 and 16 of the Treasury Laws Amendment (Registries Modernisation and Other Measures) Bill, subsection 62</w:t>
      </w:r>
      <w:r w:rsidR="00C15730">
        <w:rPr>
          <w:rStyle w:val="Referencingstyle"/>
        </w:rPr>
        <w:t>E</w:t>
      </w:r>
      <w:r w:rsidR="001F0342">
        <w:rPr>
          <w:rStyle w:val="Referencingstyle"/>
        </w:rPr>
        <w:t>(1)</w:t>
      </w:r>
      <w:r w:rsidR="00C15730">
        <w:rPr>
          <w:rStyle w:val="Referencingstyle"/>
        </w:rPr>
        <w:t xml:space="preserve"> and 62E(3)</w:t>
      </w:r>
      <w:r w:rsidR="001F0342">
        <w:rPr>
          <w:rStyle w:val="Referencingstyle"/>
        </w:rPr>
        <w:t xml:space="preserve"> of the Business Names Act, subsection 1253(1)</w:t>
      </w:r>
      <w:r w:rsidR="00F57ADC">
        <w:rPr>
          <w:rStyle w:val="Referencingstyle"/>
        </w:rPr>
        <w:t xml:space="preserve"> and 1253(3)</w:t>
      </w:r>
      <w:r w:rsidR="001F0342">
        <w:rPr>
          <w:rStyle w:val="Referencingstyle"/>
        </w:rPr>
        <w:t xml:space="preserve"> of the Corporations Act and subsections 211</w:t>
      </w:r>
      <w:r w:rsidR="00C15730">
        <w:rPr>
          <w:rStyle w:val="Referencingstyle"/>
        </w:rPr>
        <w:t>E</w:t>
      </w:r>
      <w:r w:rsidR="001F0342">
        <w:rPr>
          <w:rStyle w:val="Referencingstyle"/>
        </w:rPr>
        <w:t xml:space="preserve">(1) </w:t>
      </w:r>
      <w:r w:rsidR="00C15730">
        <w:rPr>
          <w:rStyle w:val="Referencingstyle"/>
        </w:rPr>
        <w:t>and 211E(3)</w:t>
      </w:r>
      <w:r w:rsidR="00241C36">
        <w:rPr>
          <w:rStyle w:val="Referencingstyle"/>
        </w:rPr>
        <w:t xml:space="preserve"> </w:t>
      </w:r>
      <w:r w:rsidR="001F0342">
        <w:rPr>
          <w:rStyle w:val="Referencingstyle"/>
        </w:rPr>
        <w:t>of the Credit Act</w:t>
      </w:r>
      <w:r w:rsidR="006F053D">
        <w:rPr>
          <w:rStyle w:val="Referencingstyle"/>
        </w:rPr>
        <w:t>]</w:t>
      </w:r>
    </w:p>
    <w:p w14:paraId="5360CE9C" w14:textId="77777777" w:rsidR="005127F8" w:rsidRPr="005127F8" w:rsidRDefault="00A5565A" w:rsidP="0098085B">
      <w:pPr>
        <w:pStyle w:val="base-text-paragraph"/>
      </w:pPr>
      <w:r>
        <w:t>The administration of functions and powers being transferred to the registrar require</w:t>
      </w:r>
      <w:r w:rsidR="00C72E25">
        <w:t>s</w:t>
      </w:r>
      <w:r>
        <w:t xml:space="preserve"> it </w:t>
      </w:r>
      <w:r w:rsidR="005127F8" w:rsidRPr="005127F8">
        <w:t>to make a larg</w:t>
      </w:r>
      <w:r>
        <w:t xml:space="preserve">e number of decisions. </w:t>
      </w:r>
      <w:r w:rsidR="005127F8" w:rsidRPr="005127F8">
        <w:t>The use of</w:t>
      </w:r>
      <w:r>
        <w:t xml:space="preserve"> assisted decision making processes, including computer automated</w:t>
      </w:r>
      <w:r w:rsidR="005127F8" w:rsidRPr="005127F8">
        <w:t xml:space="preserve"> and computer-assisted decision making</w:t>
      </w:r>
      <w:r>
        <w:t>,</w:t>
      </w:r>
      <w:r w:rsidR="005127F8" w:rsidRPr="005127F8">
        <w:t xml:space="preserve"> will improve the timeliness and accuracy of dec</w:t>
      </w:r>
      <w:r w:rsidR="0098085B">
        <w:t>ision making and enable the r</w:t>
      </w:r>
      <w:r>
        <w:t>egistrar to deliver a high standard of service in</w:t>
      </w:r>
      <w:r w:rsidR="00C72E25">
        <w:t xml:space="preserve"> an</w:t>
      </w:r>
      <w:r>
        <w:t xml:space="preserve"> effective and efficient</w:t>
      </w:r>
      <w:r w:rsidR="00177097">
        <w:t xml:space="preserve"> manner. The new law provides a sound legislative basis to ensure these benefits can be realised.</w:t>
      </w:r>
    </w:p>
    <w:p w14:paraId="5360CE9D" w14:textId="77777777" w:rsidR="00177097" w:rsidRDefault="00177097" w:rsidP="0098085B">
      <w:pPr>
        <w:pStyle w:val="base-text-paragraph"/>
      </w:pPr>
      <w:r>
        <w:t>The new law includes provisions to promote the appropriate use of assis</w:t>
      </w:r>
      <w:r w:rsidR="00767E75">
        <w:t xml:space="preserve">ted decision making processes. </w:t>
      </w:r>
      <w:r w:rsidR="0098085B">
        <w:t>For example:</w:t>
      </w:r>
    </w:p>
    <w:p w14:paraId="5360CE9E" w14:textId="77777777" w:rsidR="005127F8" w:rsidRDefault="00177097" w:rsidP="00177097">
      <w:pPr>
        <w:pStyle w:val="dotpoint"/>
      </w:pPr>
      <w:r>
        <w:t>the use of such processes must be arranged by the Registrar and used under its control;</w:t>
      </w:r>
    </w:p>
    <w:p w14:paraId="5360CE9F" w14:textId="77777777" w:rsidR="005127F8" w:rsidRDefault="00177097" w:rsidP="00177097">
      <w:pPr>
        <w:pStyle w:val="dotpoint"/>
      </w:pPr>
      <w:proofErr w:type="gramStart"/>
      <w:r w:rsidRPr="00177097">
        <w:t>any</w:t>
      </w:r>
      <w:proofErr w:type="gramEnd"/>
      <w:r w:rsidRPr="00177097">
        <w:t xml:space="preserve"> d</w:t>
      </w:r>
      <w:r>
        <w:t xml:space="preserve">ecision made by such processes </w:t>
      </w:r>
      <w:r w:rsidR="005127F8" w:rsidRPr="00177097">
        <w:t>must comply with all o</w:t>
      </w:r>
      <w:r>
        <w:t>f the requirements of the</w:t>
      </w:r>
      <w:r w:rsidR="005127F8" w:rsidRPr="00177097">
        <w:t xml:space="preserve"> legislative provisions</w:t>
      </w:r>
      <w:r>
        <w:t xml:space="preserve"> under which the decision was made. This means</w:t>
      </w:r>
      <w:r w:rsidR="0098085B">
        <w:t>, for instance,</w:t>
      </w:r>
      <w:r>
        <w:t xml:space="preserve"> that any review mechanism applicable to the decision remains in place</w:t>
      </w:r>
      <w:r w:rsidR="0098085B">
        <w:t>; and</w:t>
      </w:r>
    </w:p>
    <w:p w14:paraId="5360CEA0" w14:textId="6D655FE4" w:rsidR="005127F8" w:rsidRPr="005127F8" w:rsidRDefault="005127F8" w:rsidP="0098085B">
      <w:pPr>
        <w:pStyle w:val="dotpoint"/>
      </w:pPr>
      <w:proofErr w:type="gramStart"/>
      <w:r w:rsidRPr="005127F8">
        <w:t>the</w:t>
      </w:r>
      <w:proofErr w:type="gramEnd"/>
      <w:r w:rsidRPr="005127F8">
        <w:t xml:space="preserve"> </w:t>
      </w:r>
      <w:r w:rsidR="0098085B">
        <w:t>registrar may change a decision made by an assisted decision making process if it is satisfied that the decision is wrong. In this circumstance, a person</w:t>
      </w:r>
      <w:r w:rsidRPr="005127F8">
        <w:t xml:space="preserve"> would not need to request a review of</w:t>
      </w:r>
      <w:r w:rsidR="0098085B">
        <w:t xml:space="preserve"> the incorrect decision </w:t>
      </w:r>
      <w:r w:rsidRPr="005127F8">
        <w:t xml:space="preserve">because the </w:t>
      </w:r>
      <w:r>
        <w:t>registrar</w:t>
      </w:r>
      <w:r w:rsidR="00C72E25">
        <w:t xml:space="preserve"> is</w:t>
      </w:r>
      <w:r w:rsidR="0098085B">
        <w:t xml:space="preserve"> able to change the decision</w:t>
      </w:r>
      <w:r w:rsidR="00C72E25">
        <w:t xml:space="preserve"> on its own motion.</w:t>
      </w:r>
      <w:r w:rsidR="00300506">
        <w:t xml:space="preserve"> </w:t>
      </w:r>
      <w:r w:rsidR="00300506">
        <w:rPr>
          <w:rStyle w:val="Referencingstyle"/>
        </w:rPr>
        <w:t>[Subclause</w:t>
      </w:r>
      <w:r w:rsidR="00967C34">
        <w:rPr>
          <w:rStyle w:val="Referencingstyle"/>
        </w:rPr>
        <w:t>s</w:t>
      </w:r>
      <w:r w:rsidR="00300506">
        <w:rPr>
          <w:rStyle w:val="Referencingstyle"/>
        </w:rPr>
        <w:t> </w:t>
      </w:r>
      <w:r w:rsidR="00C90AF4">
        <w:rPr>
          <w:rStyle w:val="Referencingstyle"/>
        </w:rPr>
        <w:t>11</w:t>
      </w:r>
      <w:r w:rsidR="00300506">
        <w:rPr>
          <w:rStyle w:val="Referencingstyle"/>
        </w:rPr>
        <w:t xml:space="preserve">(1) and </w:t>
      </w:r>
      <w:r w:rsidR="00C90AF4">
        <w:rPr>
          <w:rStyle w:val="Referencingstyle"/>
        </w:rPr>
        <w:t>11</w:t>
      </w:r>
      <w:r w:rsidR="00300506">
        <w:rPr>
          <w:rStyle w:val="Referencingstyle"/>
        </w:rPr>
        <w:t>(3) of the Commonwealth Registers Bill 2018</w:t>
      </w:r>
      <w:r w:rsidR="007E35E6">
        <w:rPr>
          <w:rStyle w:val="Referencingstyle"/>
        </w:rPr>
        <w:t xml:space="preserve">, items 5, 10 and 16 of the Treasury Laws Amendment (Registries Modernisation and Other Measures) Bill, subsection 62F(1) and 62F(3) of the Business Names Act, subsection </w:t>
      </w:r>
      <w:r w:rsidR="007E35E6">
        <w:rPr>
          <w:rStyle w:val="Referencingstyle"/>
        </w:rPr>
        <w:lastRenderedPageBreak/>
        <w:t xml:space="preserve">1255(1) </w:t>
      </w:r>
      <w:r w:rsidR="00F57ADC">
        <w:rPr>
          <w:rStyle w:val="Referencingstyle"/>
        </w:rPr>
        <w:t xml:space="preserve">and 1255(3) </w:t>
      </w:r>
      <w:r w:rsidR="007E35E6">
        <w:rPr>
          <w:rStyle w:val="Referencingstyle"/>
        </w:rPr>
        <w:t>of the Corporations Act and subsections 211F(1) and 211F(3) of the Credit Act</w:t>
      </w:r>
      <w:r w:rsidR="00300506">
        <w:rPr>
          <w:rStyle w:val="Referencingstyle"/>
        </w:rPr>
        <w:t>]</w:t>
      </w:r>
    </w:p>
    <w:p w14:paraId="5360CEA1" w14:textId="77777777" w:rsidR="00077B2C" w:rsidRPr="00B8521D" w:rsidRDefault="00077B2C" w:rsidP="00AD30F2">
      <w:pPr>
        <w:pStyle w:val="Heading4"/>
      </w:pPr>
      <w:r w:rsidRPr="00646EE0">
        <w:t>Review</w:t>
      </w:r>
      <w:r w:rsidR="00AD30F2">
        <w:t xml:space="preserve"> r</w:t>
      </w:r>
      <w:r>
        <w:t xml:space="preserve">ights </w:t>
      </w:r>
      <w:bookmarkEnd w:id="14"/>
      <w:bookmarkEnd w:id="15"/>
      <w:bookmarkEnd w:id="16"/>
      <w:bookmarkEnd w:id="17"/>
      <w:bookmarkEnd w:id="18"/>
    </w:p>
    <w:p w14:paraId="5360CEA2" w14:textId="20467B35" w:rsidR="0057501A" w:rsidRDefault="00EB307B" w:rsidP="00C036E7">
      <w:pPr>
        <w:pStyle w:val="base-text-paragraph"/>
      </w:pPr>
      <w:r>
        <w:t>A</w:t>
      </w:r>
      <w:r w:rsidR="0057501A">
        <w:t>ll decisions made by the registrar under the new regime are subject to merits review by the Administrative Appeals Tribunal, except decisions made by legislative instrument. This includes decisions made</w:t>
      </w:r>
      <w:r w:rsidR="00642FCB">
        <w:t xml:space="preserve"> by the registrar</w:t>
      </w:r>
      <w:r w:rsidR="0057501A">
        <w:t xml:space="preserve"> under the data standards or disclosure framework. Decisions made by legislative instrument are subject to the processes applicable to such instruments, including parliamentary oversight via the disallowance process, rather than merits review.</w:t>
      </w:r>
      <w:r w:rsidR="0057501A">
        <w:rPr>
          <w:rStyle w:val="FootnoteReference"/>
        </w:rPr>
        <w:footnoteReference w:id="33"/>
      </w:r>
      <w:r w:rsidR="00642FCB">
        <w:t xml:space="preserve"> </w:t>
      </w:r>
      <w:r w:rsidR="00642FCB">
        <w:rPr>
          <w:rStyle w:val="Referencingstyle"/>
        </w:rPr>
        <w:t>[Clause </w:t>
      </w:r>
      <w:r w:rsidR="00C90AF4">
        <w:rPr>
          <w:rStyle w:val="Referencingstyle"/>
        </w:rPr>
        <w:t xml:space="preserve">22 </w:t>
      </w:r>
      <w:r w:rsidR="00642FCB">
        <w:rPr>
          <w:rStyle w:val="Referencingstyle"/>
        </w:rPr>
        <w:t>of the Commonwealth Registers Bill 2018</w:t>
      </w:r>
      <w:r w:rsidR="0035221E">
        <w:rPr>
          <w:rStyle w:val="Referencingstyle"/>
        </w:rPr>
        <w:t xml:space="preserve">, items 4, 12 and </w:t>
      </w:r>
      <w:r w:rsidR="00824D13">
        <w:rPr>
          <w:rStyle w:val="Referencingstyle"/>
        </w:rPr>
        <w:t>17</w:t>
      </w:r>
      <w:r w:rsidR="0035221E">
        <w:rPr>
          <w:rStyle w:val="Referencingstyle"/>
        </w:rPr>
        <w:t xml:space="preserve"> of the Treasury Laws Amendment (Registries Modernisation and Other Measures) Bill, subsection 56(2) of the Business Names Act, subsection 1317B(1) of the Corporations Act and subsection </w:t>
      </w:r>
      <w:r w:rsidR="00824D13">
        <w:rPr>
          <w:rStyle w:val="Referencingstyle"/>
        </w:rPr>
        <w:t>327(1)</w:t>
      </w:r>
      <w:r w:rsidR="0035221E">
        <w:rPr>
          <w:rStyle w:val="Referencingstyle"/>
        </w:rPr>
        <w:t xml:space="preserve"> of the Credit Act</w:t>
      </w:r>
      <w:r w:rsidR="00642FCB">
        <w:rPr>
          <w:rStyle w:val="Referencingstyle"/>
        </w:rPr>
        <w:t>]</w:t>
      </w:r>
    </w:p>
    <w:p w14:paraId="5360CEA3" w14:textId="77777777" w:rsidR="0035275A" w:rsidRPr="00B8521D" w:rsidRDefault="00770FFB" w:rsidP="00AD30F2">
      <w:pPr>
        <w:pStyle w:val="Heading4"/>
      </w:pPr>
      <w:r>
        <w:t>Statutory immunity</w:t>
      </w:r>
    </w:p>
    <w:p w14:paraId="5360CEA4" w14:textId="27A92D95" w:rsidR="00A7723D" w:rsidRDefault="00A7723D" w:rsidP="00C036E7">
      <w:pPr>
        <w:pStyle w:val="base-text-paragraph"/>
        <w:rPr>
          <w:szCs w:val="22"/>
        </w:rPr>
      </w:pPr>
      <w:r>
        <w:rPr>
          <w:szCs w:val="22"/>
        </w:rPr>
        <w:t>The new law</w:t>
      </w:r>
      <w:r w:rsidR="002D65FB">
        <w:rPr>
          <w:szCs w:val="22"/>
        </w:rPr>
        <w:t xml:space="preserve"> provides statutory immunity for acts done in good faith in </w:t>
      </w:r>
      <w:r w:rsidR="002D65FB" w:rsidRPr="00C036E7">
        <w:t>connection</w:t>
      </w:r>
      <w:r w:rsidR="002D65FB">
        <w:rPr>
          <w:szCs w:val="22"/>
        </w:rPr>
        <w:t xml:space="preserve"> with the new registry regime. The provision operates with respect to </w:t>
      </w:r>
      <w:r w:rsidR="00132F94">
        <w:rPr>
          <w:szCs w:val="22"/>
        </w:rPr>
        <w:t>persons</w:t>
      </w:r>
      <w:r w:rsidR="007E48D9">
        <w:rPr>
          <w:szCs w:val="22"/>
        </w:rPr>
        <w:t xml:space="preserve"> </w:t>
      </w:r>
      <w:r w:rsidR="00EA57AD">
        <w:rPr>
          <w:szCs w:val="22"/>
        </w:rPr>
        <w:t>who</w:t>
      </w:r>
      <w:r w:rsidR="007E48D9">
        <w:rPr>
          <w:szCs w:val="22"/>
        </w:rPr>
        <w:t xml:space="preserve"> may be</w:t>
      </w:r>
      <w:r w:rsidR="00132F94">
        <w:rPr>
          <w:szCs w:val="22"/>
        </w:rPr>
        <w:t xml:space="preserve"> </w:t>
      </w:r>
      <w:r w:rsidR="00EE052D">
        <w:rPr>
          <w:szCs w:val="22"/>
        </w:rPr>
        <w:t xml:space="preserve">involved in </w:t>
      </w:r>
      <w:r w:rsidR="00132F94">
        <w:rPr>
          <w:szCs w:val="22"/>
        </w:rPr>
        <w:t>the performance of functions and powers</w:t>
      </w:r>
      <w:r w:rsidR="002D65FB">
        <w:rPr>
          <w:szCs w:val="22"/>
        </w:rPr>
        <w:t xml:space="preserve"> </w:t>
      </w:r>
      <w:r w:rsidR="00132F94">
        <w:rPr>
          <w:szCs w:val="22"/>
        </w:rPr>
        <w:t>under</w:t>
      </w:r>
      <w:r w:rsidR="002D65FB">
        <w:rPr>
          <w:szCs w:val="22"/>
        </w:rPr>
        <w:t xml:space="preserve"> the new regime. These include: the </w:t>
      </w:r>
      <w:r w:rsidR="00EA57AD">
        <w:rPr>
          <w:szCs w:val="22"/>
        </w:rPr>
        <w:t>Minister</w:t>
      </w:r>
      <w:r w:rsidR="002D65FB">
        <w:rPr>
          <w:szCs w:val="22"/>
        </w:rPr>
        <w:t>; the registrar, including its staff and members; a delegate of the registrar, including its staff</w:t>
      </w:r>
      <w:r w:rsidR="00132F94">
        <w:rPr>
          <w:szCs w:val="22"/>
        </w:rPr>
        <w:t>; and</w:t>
      </w:r>
      <w:r w:rsidR="00EA57AD">
        <w:rPr>
          <w:szCs w:val="22"/>
        </w:rPr>
        <w:t>,</w:t>
      </w:r>
      <w:r w:rsidR="00132F94">
        <w:rPr>
          <w:szCs w:val="22"/>
        </w:rPr>
        <w:t xml:space="preserve"> </w:t>
      </w:r>
      <w:r w:rsidR="002D65FB">
        <w:rPr>
          <w:szCs w:val="22"/>
        </w:rPr>
        <w:t>employees and officers of</w:t>
      </w:r>
      <w:r w:rsidR="00132F94">
        <w:rPr>
          <w:szCs w:val="22"/>
        </w:rPr>
        <w:t xml:space="preserve"> </w:t>
      </w:r>
      <w:r w:rsidR="002D65FB">
        <w:rPr>
          <w:szCs w:val="22"/>
        </w:rPr>
        <w:t>Commonwealth</w:t>
      </w:r>
      <w:r w:rsidR="00132F94">
        <w:rPr>
          <w:szCs w:val="22"/>
        </w:rPr>
        <w:t xml:space="preserve"> bodies</w:t>
      </w:r>
      <w:r w:rsidR="002D65FB">
        <w:rPr>
          <w:szCs w:val="22"/>
        </w:rPr>
        <w:t>.</w:t>
      </w:r>
      <w:r w:rsidR="007E48D9">
        <w:rPr>
          <w:szCs w:val="22"/>
        </w:rPr>
        <w:t xml:space="preserve"> Such </w:t>
      </w:r>
      <w:r w:rsidR="001078B3">
        <w:rPr>
          <w:szCs w:val="22"/>
        </w:rPr>
        <w:t>persons</w:t>
      </w:r>
      <w:r w:rsidR="007E48D9">
        <w:rPr>
          <w:szCs w:val="22"/>
        </w:rPr>
        <w:t xml:space="preserve"> are immune from an action or other proceeding for damages for or in relation to an act done, or omitted to be done, in good faith in performance</w:t>
      </w:r>
      <w:r w:rsidR="001078B3">
        <w:rPr>
          <w:szCs w:val="22"/>
        </w:rPr>
        <w:t xml:space="preserve"> of any function,</w:t>
      </w:r>
      <w:r w:rsidR="007E48D9">
        <w:rPr>
          <w:szCs w:val="22"/>
        </w:rPr>
        <w:t xml:space="preserve"> or</w:t>
      </w:r>
      <w:r w:rsidR="001078B3">
        <w:rPr>
          <w:szCs w:val="22"/>
        </w:rPr>
        <w:t xml:space="preserve"> in the exercise or purported exercise of any</w:t>
      </w:r>
      <w:r w:rsidR="007E48D9">
        <w:rPr>
          <w:szCs w:val="22"/>
        </w:rPr>
        <w:t xml:space="preserve"> power, under the new law. </w:t>
      </w:r>
      <w:r w:rsidR="007E48D9">
        <w:rPr>
          <w:rStyle w:val="Referencingstyle"/>
        </w:rPr>
        <w:t>[Clause </w:t>
      </w:r>
      <w:r w:rsidR="00C90AF4">
        <w:rPr>
          <w:rStyle w:val="Referencingstyle"/>
        </w:rPr>
        <w:t>12</w:t>
      </w:r>
      <w:r w:rsidR="007E48D9">
        <w:rPr>
          <w:rStyle w:val="Referencingstyle"/>
        </w:rPr>
        <w:t xml:space="preserve"> of the Commonwealth Registers Bill 2018</w:t>
      </w:r>
      <w:r w:rsidR="00245E34">
        <w:rPr>
          <w:rStyle w:val="Referencingstyle"/>
        </w:rPr>
        <w:t>, items 5, 10 and 16 of the Treasury Laws Amendment (Registries Modernisation and Other Measures) Bill, section 62G of the Business Names Act, section 1256 of the Corporations Act and section 211G of the Credit Act</w:t>
      </w:r>
      <w:r w:rsidR="007E48D9">
        <w:rPr>
          <w:rStyle w:val="Referencingstyle"/>
        </w:rPr>
        <w:t>]</w:t>
      </w:r>
    </w:p>
    <w:p w14:paraId="5360CEA5" w14:textId="77777777" w:rsidR="00B90D6B" w:rsidRDefault="007E48D9" w:rsidP="00C036E7">
      <w:pPr>
        <w:pStyle w:val="base-text-paragraph"/>
      </w:pPr>
      <w:r>
        <w:t xml:space="preserve">This immunity is necessary to ensure that persons involved in the performance of functions or powers </w:t>
      </w:r>
      <w:r w:rsidR="00B90D6B">
        <w:t>of the registrar</w:t>
      </w:r>
      <w:r>
        <w:t xml:space="preserve"> can carry out their duties in good faith with</w:t>
      </w:r>
      <w:r w:rsidR="00C7778E">
        <w:t>out the risk of incurring personal liability.</w:t>
      </w:r>
      <w:r w:rsidR="001078B3">
        <w:t xml:space="preserve"> In the absence of </w:t>
      </w:r>
      <w:r w:rsidR="00F35274">
        <w:t>this immunity such persons may be concerned that their</w:t>
      </w:r>
      <w:r w:rsidR="00B90D6B">
        <w:t xml:space="preserve"> duties</w:t>
      </w:r>
      <w:r w:rsidR="00F35274">
        <w:t>, which may</w:t>
      </w:r>
      <w:r w:rsidR="00B90D6B">
        <w:t xml:space="preserve"> involve a large number of decisions </w:t>
      </w:r>
      <w:r w:rsidR="00F35274">
        <w:t>(</w:t>
      </w:r>
      <w:r w:rsidR="00B90D6B">
        <w:t xml:space="preserve">such as whether to </w:t>
      </w:r>
      <w:r w:rsidR="00EA57AD">
        <w:t>register</w:t>
      </w:r>
      <w:r w:rsidR="00B90D6B">
        <w:t xml:space="preserve"> a company</w:t>
      </w:r>
      <w:r w:rsidR="00F35274">
        <w:t>) and the maintenance</w:t>
      </w:r>
      <w:r w:rsidR="00B90D6B">
        <w:t xml:space="preserve"> of</w:t>
      </w:r>
      <w:r w:rsidR="00F35274">
        <w:t xml:space="preserve"> large amounts of </w:t>
      </w:r>
      <w:r w:rsidR="00B90D6B">
        <w:t>data</w:t>
      </w:r>
      <w:r w:rsidR="00F35274">
        <w:t xml:space="preserve"> </w:t>
      </w:r>
      <w:r w:rsidR="00B90D6B">
        <w:t>related to corporations and businesses</w:t>
      </w:r>
      <w:r w:rsidR="00F35274">
        <w:t>, may expose them to undue personal liability</w:t>
      </w:r>
      <w:r w:rsidR="00B90D6B">
        <w:t xml:space="preserve">. </w:t>
      </w:r>
    </w:p>
    <w:p w14:paraId="5360CEA6" w14:textId="77777777" w:rsidR="00C7778E" w:rsidRPr="00166A03" w:rsidRDefault="007E48D9" w:rsidP="00C036E7">
      <w:pPr>
        <w:pStyle w:val="base-text-paragraph"/>
      </w:pPr>
      <w:r>
        <w:t>This statutory immunity would not be absolute.  It w</w:t>
      </w:r>
      <w:r w:rsidR="00C7778E">
        <w:t>ould only apply in relation to acts or omissions carried out in good faith in connection with the new regime.</w:t>
      </w:r>
      <w:r w:rsidR="001078B3">
        <w:t xml:space="preserve"> In addition, the new provision</w:t>
      </w:r>
      <w:r w:rsidR="00F35274">
        <w:t xml:space="preserve"> does not</w:t>
      </w:r>
      <w:r w:rsidR="00C7778E" w:rsidRPr="00166A03">
        <w:t xml:space="preserve"> affect the</w:t>
      </w:r>
      <w:r w:rsidR="001078B3">
        <w:t xml:space="preserve"> ability of the registrar or an associated person</w:t>
      </w:r>
      <w:r w:rsidR="00C7778E">
        <w:t xml:space="preserve"> </w:t>
      </w:r>
      <w:r w:rsidR="008A3DD1">
        <w:t xml:space="preserve">to incur </w:t>
      </w:r>
      <w:r w:rsidR="00C7778E" w:rsidRPr="00166A03">
        <w:t>contractual liability</w:t>
      </w:r>
      <w:r w:rsidR="00C7778E">
        <w:t>.</w:t>
      </w:r>
      <w:r w:rsidR="00C7778E" w:rsidRPr="00166A03">
        <w:t xml:space="preserve"> </w:t>
      </w:r>
      <w:r w:rsidR="00C7778E">
        <w:t>F</w:t>
      </w:r>
      <w:r w:rsidR="00C7778E" w:rsidRPr="00166A03">
        <w:t>or example</w:t>
      </w:r>
      <w:r w:rsidR="001078B3">
        <w:t>, the provision</w:t>
      </w:r>
      <w:r w:rsidR="00C7778E">
        <w:t xml:space="preserve"> do</w:t>
      </w:r>
      <w:r w:rsidR="001078B3">
        <w:t>es</w:t>
      </w:r>
      <w:r w:rsidR="00F35274">
        <w:t xml:space="preserve"> not extend to</w:t>
      </w:r>
      <w:r w:rsidR="00C7778E">
        <w:t xml:space="preserve"> contractual arrangements entere</w:t>
      </w:r>
      <w:r w:rsidR="001078B3">
        <w:t>d into by the registrar or an associated person.</w:t>
      </w:r>
    </w:p>
    <w:p w14:paraId="5360CEA7" w14:textId="77777777" w:rsidR="0035275A" w:rsidRPr="0064562C" w:rsidRDefault="00D57B61" w:rsidP="00C036E7">
      <w:pPr>
        <w:pStyle w:val="base-text-paragraph"/>
        <w:rPr>
          <w:szCs w:val="22"/>
        </w:rPr>
      </w:pPr>
      <w:r>
        <w:t xml:space="preserve">Similar provisions currently existing in related laws. For example, </w:t>
      </w:r>
      <w:r w:rsidR="00EA57AD">
        <w:t>sub</w:t>
      </w:r>
      <w:r>
        <w:t>s</w:t>
      </w:r>
      <w:r w:rsidR="0035275A" w:rsidRPr="00C77E61">
        <w:t>ection 246(1) of the ASIC Act provides for statutory immunity for particular persons, including ASIC, ASIC members, ASIC staff and delegates. In particular, it provides that relevant people are not liable to an action or other proceeding for damages for or in relation to an act done or omitted in good faith in performance or purported performance of any function, or in exercise or purported exercise of any power, conferred or expressed to be conferred by or under the corporations legislation, or a prescribed law of the Commonwealth, a State or a Territory.</w:t>
      </w:r>
      <w:r w:rsidR="0035275A">
        <w:t xml:space="preserve"> </w:t>
      </w:r>
      <w:r w:rsidR="0035275A" w:rsidRPr="00B8521D">
        <w:t>ASIC and its members and staff are also provided with statutory immunity under section 78 of the</w:t>
      </w:r>
      <w:r w:rsidR="0035275A" w:rsidRPr="0064562C">
        <w:rPr>
          <w:i/>
        </w:rPr>
        <w:t xml:space="preserve"> </w:t>
      </w:r>
      <w:r w:rsidR="0035275A" w:rsidRPr="00D57B61">
        <w:t>Business Names Act</w:t>
      </w:r>
      <w:r w:rsidR="0035275A" w:rsidRPr="0064562C">
        <w:rPr>
          <w:i/>
        </w:rPr>
        <w:t xml:space="preserve"> </w:t>
      </w:r>
      <w:r w:rsidR="0035275A" w:rsidRPr="00B8521D">
        <w:t>on similar terms.</w:t>
      </w:r>
    </w:p>
    <w:p w14:paraId="5360CEA8" w14:textId="77777777" w:rsidR="00AD30F2" w:rsidRDefault="00AD30F2" w:rsidP="00AD30F2">
      <w:pPr>
        <w:pStyle w:val="Heading4"/>
      </w:pPr>
      <w:r>
        <w:t>Admissibility of registry information</w:t>
      </w:r>
    </w:p>
    <w:p w14:paraId="5360CEA9" w14:textId="5FBD54CB" w:rsidR="00B95FC8" w:rsidRDefault="00C036E7" w:rsidP="00A46BC8">
      <w:pPr>
        <w:pStyle w:val="base-text-paragraph"/>
      </w:pPr>
      <w:r>
        <w:t xml:space="preserve">The new law inserts a provision </w:t>
      </w:r>
      <w:r w:rsidR="00901551" w:rsidRPr="00C036E7">
        <w:t>dealing with the use in court proceed</w:t>
      </w:r>
      <w:r w:rsidR="00D949D4">
        <w:t>ings of information held by the registrar</w:t>
      </w:r>
      <w:r w:rsidR="00901551" w:rsidRPr="00C036E7">
        <w:t xml:space="preserve">. </w:t>
      </w:r>
      <w:r w:rsidR="00A46BC8">
        <w:t>The purpose of the provision is</w:t>
      </w:r>
      <w:r w:rsidR="00901551" w:rsidRPr="00C036E7">
        <w:t xml:space="preserve"> to enable a document</w:t>
      </w:r>
      <w:r w:rsidR="00A46BC8">
        <w:t>, or a copy of a document,</w:t>
      </w:r>
      <w:r w:rsidR="00901551" w:rsidRPr="00C036E7">
        <w:t xml:space="preserve"> that purports to</w:t>
      </w:r>
      <w:r w:rsidR="00A46BC8">
        <w:t xml:space="preserve"> be an extr</w:t>
      </w:r>
      <w:r w:rsidR="002A1B9B">
        <w:t>act of information held by the r</w:t>
      </w:r>
      <w:r w:rsidR="00A46BC8">
        <w:t>egistrar,</w:t>
      </w:r>
      <w:r w:rsidR="00901551" w:rsidRPr="00C036E7">
        <w:t xml:space="preserve"> to be admissible as prima facie </w:t>
      </w:r>
      <w:r w:rsidR="00C63DF3">
        <w:t>evidence of the information</w:t>
      </w:r>
      <w:r w:rsidR="008A3DD1">
        <w:t xml:space="preserve"> stated in it (</w:t>
      </w:r>
      <w:r w:rsidR="00C63DF3">
        <w:t xml:space="preserve">without the need for certification or any further proof of, or </w:t>
      </w:r>
      <w:r w:rsidR="008A3DD1">
        <w:t>the production of, the original</w:t>
      </w:r>
      <w:r w:rsidR="00B95FC8">
        <w:t>).</w:t>
      </w:r>
      <w:r w:rsidR="00E00337">
        <w:t xml:space="preserve"> That is, the document, or copy of the document, is proof, in the absence of evidence to the contrary, of any information </w:t>
      </w:r>
      <w:r w:rsidR="00E00337">
        <w:lastRenderedPageBreak/>
        <w:t xml:space="preserve">stated in it that purports to be </w:t>
      </w:r>
      <w:r w:rsidR="00D949D4">
        <w:t>held by the registrar</w:t>
      </w:r>
      <w:r w:rsidR="00E00337">
        <w:t>.</w:t>
      </w:r>
      <w:r w:rsidR="00B95FC8">
        <w:t xml:space="preserve"> </w:t>
      </w:r>
      <w:r w:rsidR="008A3DD1">
        <w:t>However, the document is not so admissible if</w:t>
      </w:r>
      <w:r w:rsidR="00E00337">
        <w:t xml:space="preserve"> it</w:t>
      </w:r>
      <w:r w:rsidR="002A1B9B">
        <w:t xml:space="preserve"> appears to the c</w:t>
      </w:r>
      <w:r w:rsidR="008A3DD1">
        <w:t>ourt to have been revised or tampered with in a way that affects, or is likely to affect the information.</w:t>
      </w:r>
      <w:r w:rsidR="00E00337">
        <w:t xml:space="preserve"> </w:t>
      </w:r>
      <w:r w:rsidR="00E00337">
        <w:rPr>
          <w:rStyle w:val="Referencingstyle"/>
        </w:rPr>
        <w:t>[Subclause </w:t>
      </w:r>
      <w:r w:rsidR="00C90AF4">
        <w:rPr>
          <w:rStyle w:val="Referencingstyle"/>
        </w:rPr>
        <w:t>23</w:t>
      </w:r>
      <w:r w:rsidR="00E00337">
        <w:rPr>
          <w:rStyle w:val="Referencingstyle"/>
        </w:rPr>
        <w:t>(1) of the Commonwealth Registers Bill 2018</w:t>
      </w:r>
      <w:r w:rsidR="00831DFF">
        <w:rPr>
          <w:rStyle w:val="Referencingstyle"/>
        </w:rPr>
        <w:t xml:space="preserve">, items 5, 10 and 16 of the Treasury Laws Amendment (Registries Modernisation and Other Measures) Bill, </w:t>
      </w:r>
      <w:r w:rsidR="006A1120">
        <w:rPr>
          <w:rStyle w:val="Referencingstyle"/>
        </w:rPr>
        <w:t>sub</w:t>
      </w:r>
      <w:r w:rsidR="00831DFF">
        <w:rPr>
          <w:rStyle w:val="Referencingstyle"/>
        </w:rPr>
        <w:t>section 62S</w:t>
      </w:r>
      <w:r w:rsidR="006A1120">
        <w:rPr>
          <w:rStyle w:val="Referencingstyle"/>
        </w:rPr>
        <w:t>(1)</w:t>
      </w:r>
      <w:r w:rsidR="00831DFF">
        <w:rPr>
          <w:rStyle w:val="Referencingstyle"/>
        </w:rPr>
        <w:t xml:space="preserve"> of the Business Names Act, </w:t>
      </w:r>
      <w:r w:rsidR="006A1120">
        <w:rPr>
          <w:rStyle w:val="Referencingstyle"/>
        </w:rPr>
        <w:t>sub</w:t>
      </w:r>
      <w:r w:rsidR="00831DFF">
        <w:rPr>
          <w:rStyle w:val="Referencingstyle"/>
        </w:rPr>
        <w:t>section 1266</w:t>
      </w:r>
      <w:r w:rsidR="006A1120">
        <w:rPr>
          <w:rStyle w:val="Referencingstyle"/>
        </w:rPr>
        <w:t>(1)</w:t>
      </w:r>
      <w:r w:rsidR="00831DFF">
        <w:rPr>
          <w:rStyle w:val="Referencingstyle"/>
        </w:rPr>
        <w:t xml:space="preserve"> of the Corporations Act and </w:t>
      </w:r>
      <w:r w:rsidR="006A1120">
        <w:rPr>
          <w:rStyle w:val="Referencingstyle"/>
        </w:rPr>
        <w:t>sub</w:t>
      </w:r>
      <w:r w:rsidR="00831DFF">
        <w:rPr>
          <w:rStyle w:val="Referencingstyle"/>
        </w:rPr>
        <w:t>section 211S</w:t>
      </w:r>
      <w:r w:rsidR="006A1120">
        <w:rPr>
          <w:rStyle w:val="Referencingstyle"/>
        </w:rPr>
        <w:t>(1)</w:t>
      </w:r>
      <w:r w:rsidR="00831DFF">
        <w:rPr>
          <w:rStyle w:val="Referencingstyle"/>
        </w:rPr>
        <w:t xml:space="preserve"> of the Credit Act</w:t>
      </w:r>
      <w:r w:rsidR="00E00337">
        <w:rPr>
          <w:rStyle w:val="Referencingstyle"/>
        </w:rPr>
        <w:t>]</w:t>
      </w:r>
    </w:p>
    <w:p w14:paraId="5360CEAA" w14:textId="77777777" w:rsidR="00901551" w:rsidRDefault="006E21D7" w:rsidP="00E00337">
      <w:pPr>
        <w:pStyle w:val="base-text-paragraph"/>
      </w:pPr>
      <w:r>
        <w:t xml:space="preserve">This provision assists </w:t>
      </w:r>
      <w:r w:rsidR="0050749A">
        <w:t>the a</w:t>
      </w:r>
      <w:r>
        <w:t xml:space="preserve">dministration of justice and </w:t>
      </w:r>
      <w:r w:rsidR="0050749A">
        <w:t>reduce</w:t>
      </w:r>
      <w:r>
        <w:t xml:space="preserve">s </w:t>
      </w:r>
      <w:r w:rsidR="00EA57AD">
        <w:t>the</w:t>
      </w:r>
      <w:r>
        <w:t xml:space="preserve"> </w:t>
      </w:r>
      <w:r w:rsidR="0050749A">
        <w:t xml:space="preserve">administrative burden on the registrar. </w:t>
      </w:r>
      <w:r w:rsidR="00901551" w:rsidRPr="00C036E7">
        <w:t>The</w:t>
      </w:r>
      <w:r>
        <w:t xml:space="preserve"> provision means that any information held by the registrar</w:t>
      </w:r>
      <w:r w:rsidR="002E26E6">
        <w:t xml:space="preserve"> </w:t>
      </w:r>
      <w:r>
        <w:t>can be taken as correct unless proven otherwise and can be relied upon as such in any court proceedings.</w:t>
      </w:r>
      <w:r w:rsidR="0050749A">
        <w:t xml:space="preserve"> </w:t>
      </w:r>
      <w:r>
        <w:t>It also minimises</w:t>
      </w:r>
      <w:r w:rsidR="00C036E7">
        <w:t xml:space="preserve"> the </w:t>
      </w:r>
      <w:r w:rsidR="00901551" w:rsidRPr="00C036E7">
        <w:t>cir</w:t>
      </w:r>
      <w:r>
        <w:t xml:space="preserve">cumstances in which the registrar must </w:t>
      </w:r>
      <w:r w:rsidR="00901551" w:rsidRPr="00C036E7">
        <w:t>formal</w:t>
      </w:r>
      <w:r>
        <w:t>ly certify documents</w:t>
      </w:r>
      <w:r w:rsidR="00901551" w:rsidRPr="00C036E7">
        <w:t xml:space="preserve"> </w:t>
      </w:r>
      <w:r>
        <w:t xml:space="preserve">in support of </w:t>
      </w:r>
      <w:r w:rsidR="00901551" w:rsidRPr="00C036E7">
        <w:t xml:space="preserve">proceedings. </w:t>
      </w:r>
    </w:p>
    <w:p w14:paraId="5360CEAB" w14:textId="6EC2BAD2" w:rsidR="006019BD" w:rsidRDefault="002E26E6" w:rsidP="00C036E7">
      <w:pPr>
        <w:pStyle w:val="base-text-paragraph"/>
      </w:pPr>
      <w:r>
        <w:t>Notwithstan</w:t>
      </w:r>
      <w:r w:rsidR="002A1B9B">
        <w:t xml:space="preserve">ding the above, the new law </w:t>
      </w:r>
      <w:r>
        <w:t>enable</w:t>
      </w:r>
      <w:r w:rsidR="003C7DCE">
        <w:t>s</w:t>
      </w:r>
      <w:r>
        <w:t xml:space="preserve"> the registrar to give a person a certified copy of, or extract from, the information held</w:t>
      </w:r>
      <w:r w:rsidR="00A717D9">
        <w:t xml:space="preserve"> by the</w:t>
      </w:r>
      <w:r w:rsidR="002A1B9B">
        <w:t xml:space="preserve"> registrar. Such a certified copy</w:t>
      </w:r>
      <w:r w:rsidR="00A717D9">
        <w:t xml:space="preserve"> is</w:t>
      </w:r>
      <w:r w:rsidR="003C7DCE">
        <w:t xml:space="preserve"> also</w:t>
      </w:r>
      <w:r w:rsidR="00A717D9">
        <w:t xml:space="preserve"> admissible as</w:t>
      </w:r>
      <w:r w:rsidR="003C7DCE">
        <w:t xml:space="preserve"> prima facie</w:t>
      </w:r>
      <w:r w:rsidR="00A717D9">
        <w:t xml:space="preserve"> proof of</w:t>
      </w:r>
      <w:r w:rsidR="00DD6AD3">
        <w:t xml:space="preserve"> the</w:t>
      </w:r>
      <w:r w:rsidR="00A717D9">
        <w:t xml:space="preserve"> information that is stated in it and that purports to be held by the</w:t>
      </w:r>
      <w:r w:rsidR="003C7DCE">
        <w:t xml:space="preserve"> registrar. However, where both a certified copy and </w:t>
      </w:r>
      <w:r w:rsidR="002A1B9B">
        <w:t>uncertified copy of information</w:t>
      </w:r>
      <w:r w:rsidR="00A717D9">
        <w:t xml:space="preserve"> </w:t>
      </w:r>
      <w:r w:rsidR="003C7DCE">
        <w:t>are inconsistent with each other, the certified copy prevails.</w:t>
      </w:r>
      <w:r w:rsidR="00D949D4">
        <w:t xml:space="preserve"> </w:t>
      </w:r>
      <w:r w:rsidR="00D949D4">
        <w:rPr>
          <w:rStyle w:val="Referencingstyle"/>
        </w:rPr>
        <w:t>[Subclauses </w:t>
      </w:r>
      <w:r w:rsidR="00C90AF4">
        <w:rPr>
          <w:rStyle w:val="Referencingstyle"/>
        </w:rPr>
        <w:t>23</w:t>
      </w:r>
      <w:r w:rsidR="00D949D4">
        <w:rPr>
          <w:rStyle w:val="Referencingstyle"/>
        </w:rPr>
        <w:t xml:space="preserve">(2) and </w:t>
      </w:r>
      <w:r w:rsidR="00C90AF4">
        <w:rPr>
          <w:rStyle w:val="Referencingstyle"/>
        </w:rPr>
        <w:t>23</w:t>
      </w:r>
      <w:r w:rsidR="00D949D4">
        <w:rPr>
          <w:rStyle w:val="Referencingstyle"/>
        </w:rPr>
        <w:t>(3) of the Commonwealth Registers Bill 2018</w:t>
      </w:r>
      <w:r w:rsidR="00E91EF2">
        <w:rPr>
          <w:rStyle w:val="Referencingstyle"/>
        </w:rPr>
        <w:t>, items 5, 10 and 16 of the Treasury Laws Amendment (Registries Modernisation and Other Measures) Bill, subsections 62S(2) and 62S(3) of the Business Names Act, subsections 1266(1) and 1266(3) of the Corporations Act and subsections 211S(1) and 211S(3) of the Credit Act</w:t>
      </w:r>
      <w:r w:rsidR="00D949D4">
        <w:rPr>
          <w:rStyle w:val="Referencingstyle"/>
        </w:rPr>
        <w:t>]</w:t>
      </w:r>
      <w:r w:rsidR="006019BD">
        <w:t xml:space="preserve"> </w:t>
      </w:r>
    </w:p>
    <w:p w14:paraId="5360CEAC" w14:textId="6F3DB54F" w:rsidR="00A717D9" w:rsidRDefault="006019BD" w:rsidP="00C036E7">
      <w:pPr>
        <w:pStyle w:val="base-text-paragraph"/>
      </w:pPr>
      <w:r>
        <w:t>The new law enables the rules to prescribe a fee for</w:t>
      </w:r>
      <w:r w:rsidR="00D949D4">
        <w:t xml:space="preserve"> obtaining</w:t>
      </w:r>
      <w:r>
        <w:t xml:space="preserve"> certifi</w:t>
      </w:r>
      <w:r w:rsidR="00D949D4">
        <w:t>ed</w:t>
      </w:r>
      <w:r>
        <w:t xml:space="preserve"> information</w:t>
      </w:r>
      <w:r w:rsidR="00D949D4">
        <w:t xml:space="preserve"> from the registrar. Where </w:t>
      </w:r>
      <w:r>
        <w:t>a fee is prescrib</w:t>
      </w:r>
      <w:r w:rsidR="00D949D4">
        <w:t xml:space="preserve">ed it must be paid before the registrar can provide the certified information. </w:t>
      </w:r>
      <w:r w:rsidR="00D949D4">
        <w:rPr>
          <w:rStyle w:val="Referencingstyle"/>
        </w:rPr>
        <w:t>[Subclause </w:t>
      </w:r>
      <w:r w:rsidR="00C90AF4">
        <w:rPr>
          <w:rStyle w:val="Referencingstyle"/>
        </w:rPr>
        <w:t>23</w:t>
      </w:r>
      <w:r w:rsidR="00D949D4">
        <w:rPr>
          <w:rStyle w:val="Referencingstyle"/>
        </w:rPr>
        <w:t>(2) of the Commonwealth Registers Bill 2018</w:t>
      </w:r>
      <w:r w:rsidR="006F31CE">
        <w:rPr>
          <w:rStyle w:val="Referencingstyle"/>
        </w:rPr>
        <w:t xml:space="preserve">,  items 5, 10 and 16 of the Treasury Laws Amendment (Registries Modernisation and Other Measures) Bill, </w:t>
      </w:r>
      <w:r w:rsidR="00F23019">
        <w:rPr>
          <w:rStyle w:val="Referencingstyle"/>
        </w:rPr>
        <w:t>sub</w:t>
      </w:r>
      <w:r w:rsidR="006F31CE">
        <w:rPr>
          <w:rStyle w:val="Referencingstyle"/>
        </w:rPr>
        <w:t>section 62S</w:t>
      </w:r>
      <w:r w:rsidR="00F23019">
        <w:rPr>
          <w:rStyle w:val="Referencingstyle"/>
        </w:rPr>
        <w:t>(2)</w:t>
      </w:r>
      <w:r w:rsidR="006F31CE">
        <w:rPr>
          <w:rStyle w:val="Referencingstyle"/>
        </w:rPr>
        <w:t xml:space="preserve"> of the Business Names Act, </w:t>
      </w:r>
      <w:r w:rsidR="00F23019">
        <w:rPr>
          <w:rStyle w:val="Referencingstyle"/>
        </w:rPr>
        <w:t>sub</w:t>
      </w:r>
      <w:r w:rsidR="006F31CE">
        <w:rPr>
          <w:rStyle w:val="Referencingstyle"/>
        </w:rPr>
        <w:t>section 1266</w:t>
      </w:r>
      <w:r w:rsidR="00F23019">
        <w:rPr>
          <w:rStyle w:val="Referencingstyle"/>
        </w:rPr>
        <w:t>(2)</w:t>
      </w:r>
      <w:r w:rsidR="006F31CE">
        <w:rPr>
          <w:rStyle w:val="Referencingstyle"/>
        </w:rPr>
        <w:t xml:space="preserve"> of the Corporations Act and </w:t>
      </w:r>
      <w:r w:rsidR="00F23019">
        <w:rPr>
          <w:rStyle w:val="Referencingstyle"/>
        </w:rPr>
        <w:t>sub</w:t>
      </w:r>
      <w:r w:rsidR="006F31CE">
        <w:rPr>
          <w:rStyle w:val="Referencingstyle"/>
        </w:rPr>
        <w:t>section 211S</w:t>
      </w:r>
      <w:r w:rsidR="00F23019">
        <w:rPr>
          <w:rStyle w:val="Referencingstyle"/>
        </w:rPr>
        <w:t>(2)</w:t>
      </w:r>
      <w:r w:rsidR="006F31CE">
        <w:rPr>
          <w:rStyle w:val="Referencingstyle"/>
        </w:rPr>
        <w:t xml:space="preserve"> of the Credit Act</w:t>
      </w:r>
      <w:r w:rsidR="00D949D4">
        <w:rPr>
          <w:rStyle w:val="Referencingstyle"/>
        </w:rPr>
        <w:t>]</w:t>
      </w:r>
    </w:p>
    <w:p w14:paraId="5360CEAD" w14:textId="24DE77B5" w:rsidR="00901551" w:rsidRPr="00E771ED" w:rsidRDefault="00D949D4" w:rsidP="00901551">
      <w:pPr>
        <w:pStyle w:val="base-text-paragraph"/>
        <w:rPr>
          <w:rStyle w:val="Referencingstyle"/>
          <w:b w:val="0"/>
          <w:i w:val="0"/>
          <w:sz w:val="22"/>
        </w:rPr>
      </w:pPr>
      <w:r>
        <w:t xml:space="preserve">These new rules regarding the admissibility of registry information are not intended to otherwise affect the rules of evidence. In particular, the new rules do not limit the manner in which evidence may be adduced, or the admissibility of evidence, under the </w:t>
      </w:r>
      <w:r w:rsidRPr="00D949D4">
        <w:rPr>
          <w:i/>
        </w:rPr>
        <w:t>Evidence Act 1995</w:t>
      </w:r>
      <w:r>
        <w:t xml:space="preserve">. </w:t>
      </w:r>
      <w:r>
        <w:rPr>
          <w:rStyle w:val="Referencingstyle"/>
        </w:rPr>
        <w:t>[Subclause </w:t>
      </w:r>
      <w:r w:rsidR="00C90AF4">
        <w:rPr>
          <w:rStyle w:val="Referencingstyle"/>
        </w:rPr>
        <w:t>23</w:t>
      </w:r>
      <w:r>
        <w:rPr>
          <w:rStyle w:val="Referencingstyle"/>
        </w:rPr>
        <w:t>(4) of the Commonwealth Registers Bill 2018</w:t>
      </w:r>
      <w:r w:rsidR="00F23019">
        <w:rPr>
          <w:rStyle w:val="Referencingstyle"/>
        </w:rPr>
        <w:t>, items 5, 10 and 16 of the Treasury Laws Amendment (Registries Modernisation and Other Measures) Bill, subsection 62S(4) of the Business Names Act, subsection 1266(4) of the Corporations Act and subsection 211S(4) of the Credit Act</w:t>
      </w:r>
      <w:r>
        <w:rPr>
          <w:rStyle w:val="Referencingstyle"/>
        </w:rPr>
        <w:t>]</w:t>
      </w:r>
    </w:p>
    <w:p w14:paraId="5360CEAE" w14:textId="77777777" w:rsidR="00E771ED" w:rsidRDefault="00E771ED" w:rsidP="00E771ED">
      <w:pPr>
        <w:pStyle w:val="Heading4"/>
      </w:pPr>
      <w:r w:rsidRPr="00E771ED">
        <w:t>Information to be included in the registrar’s annual report</w:t>
      </w:r>
    </w:p>
    <w:p w14:paraId="5360CEAF" w14:textId="0DA33CFE" w:rsidR="00B61275" w:rsidRPr="0008123C" w:rsidRDefault="00E771ED" w:rsidP="00E771ED">
      <w:pPr>
        <w:pStyle w:val="base-text-paragraph"/>
        <w:rPr>
          <w:rStyle w:val="Referencingstyle"/>
          <w:b w:val="0"/>
          <w:i w:val="0"/>
          <w:sz w:val="22"/>
        </w:rPr>
      </w:pPr>
      <w:r>
        <w:t xml:space="preserve">The new law provides that each annual report prepared by the registrar must include information about the performance of the registrar’s functions and exercise of the registrar’s power during that period. The new law does not itself require any government body appointed registrar </w:t>
      </w:r>
      <w:r w:rsidR="00B92370">
        <w:t>to prepare an annual report. Any such requirement is specified by existing law</w:t>
      </w:r>
      <w:r w:rsidR="00BF6299">
        <w:t>s</w:t>
      </w:r>
      <w:r w:rsidR="00B92370">
        <w:t xml:space="preserve"> where appropriate. </w:t>
      </w:r>
      <w:r w:rsidR="00B61275">
        <w:t xml:space="preserve">The new law simply requires that the annual report include information </w:t>
      </w:r>
      <w:r w:rsidR="00742350">
        <w:t>about the body’s</w:t>
      </w:r>
      <w:r w:rsidR="00B61275">
        <w:t xml:space="preserve"> role as registrar.</w:t>
      </w:r>
      <w:r w:rsidR="00B92370">
        <w:t xml:space="preserve"> </w:t>
      </w:r>
      <w:r w:rsidR="00B92370">
        <w:rPr>
          <w:rStyle w:val="Referencingstyle"/>
        </w:rPr>
        <w:t>[Clause </w:t>
      </w:r>
      <w:r w:rsidR="00C90AF4">
        <w:rPr>
          <w:rStyle w:val="Referencingstyle"/>
        </w:rPr>
        <w:t>24</w:t>
      </w:r>
      <w:r w:rsidR="00B92370">
        <w:rPr>
          <w:rStyle w:val="Referencingstyle"/>
        </w:rPr>
        <w:t xml:space="preserve"> of the Commonwealth Registers Bill 2018</w:t>
      </w:r>
      <w:r w:rsidR="006A1120">
        <w:rPr>
          <w:rStyle w:val="Referencingstyle"/>
        </w:rPr>
        <w:t>, items 5, 10 and 16 of the Treasury Laws Amendment (Registries Modernisation and Other Measures) Bill, section 62T of the Business Names Act, section 1267 of the Corporations Act and section 211T of the Credit Act</w:t>
      </w:r>
      <w:r w:rsidR="00B92370">
        <w:rPr>
          <w:rStyle w:val="Referencingstyle"/>
        </w:rPr>
        <w:t>]</w:t>
      </w:r>
    </w:p>
    <w:p w14:paraId="5360CEB0" w14:textId="77777777" w:rsidR="0008123C" w:rsidRDefault="0008123C" w:rsidP="00E95CB8">
      <w:pPr>
        <w:pStyle w:val="Heading4"/>
      </w:pPr>
      <w:r>
        <w:t>Rules</w:t>
      </w:r>
      <w:r w:rsidR="002C0F8C">
        <w:t xml:space="preserve"> made by the </w:t>
      </w:r>
      <w:r w:rsidR="00EA57AD">
        <w:t>Minister</w:t>
      </w:r>
    </w:p>
    <w:p w14:paraId="5360CEB1" w14:textId="7F151487" w:rsidR="002C0F8C" w:rsidRDefault="008F1FC9" w:rsidP="002C0F8C">
      <w:pPr>
        <w:numPr>
          <w:ilvl w:val="1"/>
          <w:numId w:val="4"/>
        </w:numPr>
      </w:pPr>
      <w:bookmarkStart w:id="19" w:name="_Ref524731675"/>
      <w:r>
        <w:t xml:space="preserve">The new </w:t>
      </w:r>
      <w:r w:rsidR="00900D5C">
        <w:t xml:space="preserve">law </w:t>
      </w:r>
      <w:r w:rsidR="00D7737E">
        <w:t xml:space="preserve">provides the </w:t>
      </w:r>
      <w:r w:rsidR="00EA57AD">
        <w:t>Minister</w:t>
      </w:r>
      <w:r w:rsidR="00D7737E">
        <w:t xml:space="preserve"> with a rul</w:t>
      </w:r>
      <w:r w:rsidR="00D73C40">
        <w:t xml:space="preserve">e making power. In particular, the </w:t>
      </w:r>
      <w:r w:rsidR="00EA57AD">
        <w:t>Minister</w:t>
      </w:r>
      <w:r w:rsidR="00D73C40">
        <w:t xml:space="preserve"> may, by legislative instrument, make rules prescribing matters: required or permitted by the new regime to be prescribed by the rules; or, necessary or convenient to be prescribed for carrying out or giving effect to the new Act. </w:t>
      </w:r>
      <w:r w:rsidR="00D73C40">
        <w:rPr>
          <w:rStyle w:val="Referencingstyle"/>
        </w:rPr>
        <w:t>[subclause </w:t>
      </w:r>
      <w:r w:rsidR="00C90AF4">
        <w:rPr>
          <w:rStyle w:val="Referencingstyle"/>
        </w:rPr>
        <w:t>25</w:t>
      </w:r>
      <w:r w:rsidR="007E0882">
        <w:rPr>
          <w:rStyle w:val="Referencingstyle"/>
        </w:rPr>
        <w:t>(1)</w:t>
      </w:r>
      <w:r w:rsidR="00D73C40">
        <w:rPr>
          <w:rStyle w:val="Referencingstyle"/>
        </w:rPr>
        <w:t xml:space="preserve"> of the Commonwealth Registers Bill 2018</w:t>
      </w:r>
      <w:r w:rsidR="006A1120">
        <w:rPr>
          <w:rStyle w:val="Referencingstyle"/>
        </w:rPr>
        <w:t>, items 5, 10 and 16 of the Treasury Laws Amendment (Registries Modernisation and Other Measures) Bill, subsection 62U(1) of the Business Names Act, subsec</w:t>
      </w:r>
      <w:r w:rsidR="009D3570">
        <w:rPr>
          <w:rStyle w:val="Referencingstyle"/>
        </w:rPr>
        <w:t>tion 1268</w:t>
      </w:r>
      <w:r w:rsidR="006A1120">
        <w:rPr>
          <w:rStyle w:val="Referencingstyle"/>
        </w:rPr>
        <w:t>(1) of the Corporations Act and subsection 211U(1) of the Credit Act</w:t>
      </w:r>
      <w:r w:rsidR="00D73C40">
        <w:rPr>
          <w:rStyle w:val="Referencingstyle"/>
        </w:rPr>
        <w:t>]</w:t>
      </w:r>
      <w:bookmarkEnd w:id="19"/>
    </w:p>
    <w:p w14:paraId="5360CEB2" w14:textId="77777777" w:rsidR="002C0F8C" w:rsidRDefault="002C0F8C" w:rsidP="002C0F8C">
      <w:pPr>
        <w:numPr>
          <w:ilvl w:val="1"/>
          <w:numId w:val="4"/>
        </w:numPr>
      </w:pPr>
      <w:r>
        <w:t>Dealing with these matters in instruments rather than regulations accords with the Office of Parliamentary Counsel’s (OPC) Drafting Direction No. 3.8 – Subordinate legislation. That Drafting Direction states that ‘OPC’s starting point is that subordinate instruments should be made in the form of legislative instruments (as distinct from regulations) unless there is good reason not to do so’.</w:t>
      </w:r>
    </w:p>
    <w:p w14:paraId="5360CEB3" w14:textId="77777777" w:rsidR="002C0F8C" w:rsidRDefault="002C0F8C" w:rsidP="002C0F8C">
      <w:pPr>
        <w:numPr>
          <w:ilvl w:val="1"/>
          <w:numId w:val="4"/>
        </w:numPr>
      </w:pPr>
      <w:r>
        <w:t>Consistent with the Drafting Direction, the approach of dealing with these matters in instruments (rather than regulations) has a number of advantages including:</w:t>
      </w:r>
    </w:p>
    <w:p w14:paraId="5360CEB4" w14:textId="77777777" w:rsidR="002C0F8C" w:rsidRDefault="002C0F8C" w:rsidP="002C0F8C">
      <w:pPr>
        <w:pStyle w:val="dotpoint"/>
      </w:pPr>
      <w:r>
        <w:lastRenderedPageBreak/>
        <w:t>it facilitates the use of a single type of legislative instrument (or a reduced number of types of instruments) being needed for the Act;</w:t>
      </w:r>
    </w:p>
    <w:p w14:paraId="5360CEB5" w14:textId="77777777" w:rsidR="002C0F8C" w:rsidRDefault="002C0F8C" w:rsidP="002C0F8C">
      <w:pPr>
        <w:pStyle w:val="dotpoint"/>
      </w:pPr>
      <w:r>
        <w:t>it enables the number and content of the legislative instruments under the Act to be rationalised;</w:t>
      </w:r>
    </w:p>
    <w:p w14:paraId="5360CEB6" w14:textId="77777777" w:rsidR="002C0F8C" w:rsidRDefault="002C0F8C" w:rsidP="002C0F8C">
      <w:pPr>
        <w:pStyle w:val="dotpoint"/>
      </w:pPr>
      <w:r>
        <w:t>it simplifies the language and structure of the provisions in the Act that provide the authority for the legislative instruments; and</w:t>
      </w:r>
    </w:p>
    <w:p w14:paraId="5360CEB7" w14:textId="77777777" w:rsidR="002C0F8C" w:rsidRDefault="002C0F8C" w:rsidP="002C0F8C">
      <w:pPr>
        <w:pStyle w:val="dotpoint"/>
      </w:pPr>
      <w:proofErr w:type="gramStart"/>
      <w:r>
        <w:t>it</w:t>
      </w:r>
      <w:proofErr w:type="gramEnd"/>
      <w:r>
        <w:t xml:space="preserve"> shortens the Act.</w:t>
      </w:r>
    </w:p>
    <w:p w14:paraId="5360CEB8" w14:textId="77777777" w:rsidR="002C0F8C" w:rsidRDefault="002C0F8C" w:rsidP="002C0F8C">
      <w:pPr>
        <w:numPr>
          <w:ilvl w:val="1"/>
          <w:numId w:val="4"/>
        </w:numPr>
      </w:pPr>
      <w:r>
        <w:t>Due to these advantages, the Drafting Direction states that drafters should adopt this approach where appropriate with new Acts.</w:t>
      </w:r>
    </w:p>
    <w:p w14:paraId="5360CEB9" w14:textId="079E2012" w:rsidR="002C0F8C" w:rsidRDefault="002C0F8C" w:rsidP="002C0F8C">
      <w:pPr>
        <w:numPr>
          <w:ilvl w:val="1"/>
          <w:numId w:val="4"/>
        </w:numPr>
      </w:pPr>
      <w:r>
        <w:t xml:space="preserve">The Drafting Direction states that matters such as compliance and enforcement, the imposition of taxes, setting amounts to be appropriated, and amendments to the text </w:t>
      </w:r>
      <w:r w:rsidRPr="00AF1175">
        <w:t>of an</w:t>
      </w:r>
      <w:r>
        <w:t xml:space="preserve"> Act, should be included in regulations unless there is a strong justification otherwise. The new Act does not enable instruments to provide for any of these matters. This is clarified by a provision that specifically prevents instruments from </w:t>
      </w:r>
      <w:r w:rsidR="00BF6299">
        <w:t xml:space="preserve">covering </w:t>
      </w:r>
      <w:r>
        <w:t xml:space="preserve">these types of matters. </w:t>
      </w:r>
      <w:r>
        <w:rPr>
          <w:rStyle w:val="Referencingstyle"/>
        </w:rPr>
        <w:t xml:space="preserve">[Subclause </w:t>
      </w:r>
      <w:r w:rsidR="00C90AF4">
        <w:rPr>
          <w:rStyle w:val="Referencingstyle"/>
        </w:rPr>
        <w:t>25</w:t>
      </w:r>
      <w:r>
        <w:rPr>
          <w:rStyle w:val="Referencingstyle"/>
        </w:rPr>
        <w:t>(2) of the Commonwealth Registers Bill 2018</w:t>
      </w:r>
      <w:r w:rsidR="0037019E">
        <w:rPr>
          <w:rStyle w:val="Referencingstyle"/>
        </w:rPr>
        <w:t>, items 5, 10 and 16 of the Treasury Laws Amendment (Registries Modernisation and Other Measures) Bill, subsection 62U</w:t>
      </w:r>
      <w:r w:rsidR="00D32959">
        <w:rPr>
          <w:rStyle w:val="Referencingstyle"/>
        </w:rPr>
        <w:t>(2</w:t>
      </w:r>
      <w:r w:rsidR="0037019E">
        <w:rPr>
          <w:rStyle w:val="Referencingstyle"/>
        </w:rPr>
        <w:t>) of the Bus</w:t>
      </w:r>
      <w:r w:rsidR="009D3570">
        <w:rPr>
          <w:rStyle w:val="Referencingstyle"/>
        </w:rPr>
        <w:t>iness Names Act, subsection 1268</w:t>
      </w:r>
      <w:r w:rsidR="00D32959">
        <w:rPr>
          <w:rStyle w:val="Referencingstyle"/>
        </w:rPr>
        <w:t>(2</w:t>
      </w:r>
      <w:r w:rsidR="0037019E">
        <w:rPr>
          <w:rStyle w:val="Referencingstyle"/>
        </w:rPr>
        <w:t>) of the Corporations Act and subsection 211U</w:t>
      </w:r>
      <w:r w:rsidR="00D32959">
        <w:rPr>
          <w:rStyle w:val="Referencingstyle"/>
        </w:rPr>
        <w:t>(2</w:t>
      </w:r>
      <w:r w:rsidR="0037019E">
        <w:rPr>
          <w:rStyle w:val="Referencingstyle"/>
        </w:rPr>
        <w:t>) of the Credit Act</w:t>
      </w:r>
      <w:r>
        <w:rPr>
          <w:rStyle w:val="Referencingstyle"/>
        </w:rPr>
        <w:t>]</w:t>
      </w:r>
    </w:p>
    <w:p w14:paraId="5360CEBA" w14:textId="5B98B96C" w:rsidR="002C0F8C" w:rsidRDefault="00D73C40" w:rsidP="002C0F8C">
      <w:pPr>
        <w:numPr>
          <w:ilvl w:val="1"/>
          <w:numId w:val="4"/>
        </w:numPr>
      </w:pPr>
      <w:bookmarkStart w:id="20" w:name="_Ref524731681"/>
      <w:r>
        <w:t>The new law</w:t>
      </w:r>
      <w:r w:rsidR="002C0F8C">
        <w:t xml:space="preserve"> also clarifies that a rule made under this power is a legislative instrument for the purposes of the </w:t>
      </w:r>
      <w:r w:rsidR="002C0F8C" w:rsidRPr="001850C1">
        <w:rPr>
          <w:i/>
        </w:rPr>
        <w:t>Legislation Act 2003</w:t>
      </w:r>
      <w:r w:rsidR="002C0F8C">
        <w:t xml:space="preserve">. Under that Act, legislative instruments and their explanatory statements must be tabled in both Houses of the Parliament within 6 sitting days after the registration of the instrument on the Federal Register of Legislation. Once tabled, the instruments will be subject to the same level of parliamentary scrutiny as regulations (including consideration by the Senate Standing Committee on Regulations and Ordinances), and notice of a motion to disallow the instruments may be given in either House of the Parliament within 15 sitting days after the date the instruments are tabled. </w:t>
      </w:r>
      <w:r w:rsidR="007E0882">
        <w:rPr>
          <w:rStyle w:val="Referencingstyle"/>
        </w:rPr>
        <w:t>[subclause </w:t>
      </w:r>
      <w:r w:rsidR="00C90AF4">
        <w:rPr>
          <w:rStyle w:val="Referencingstyle"/>
        </w:rPr>
        <w:t>25</w:t>
      </w:r>
      <w:r w:rsidR="007E0882">
        <w:rPr>
          <w:rStyle w:val="Referencingstyle"/>
        </w:rPr>
        <w:t>(1) of the Commonwealth Registers Bill 2018</w:t>
      </w:r>
      <w:r w:rsidR="00185BF1">
        <w:rPr>
          <w:rStyle w:val="Referencingstyle"/>
        </w:rPr>
        <w:t>, items 5, 10 and 16 of the Treasury Laws Amendment (Registries Modernisation and Other Measures) Bill, subsection 62U(1) of the Business Names Act, subsection 1268(1) of the Corporations Act and subsection 211U(1) of the Credit Act</w:t>
      </w:r>
      <w:r w:rsidR="007E0882">
        <w:rPr>
          <w:rStyle w:val="Referencingstyle"/>
        </w:rPr>
        <w:t>]</w:t>
      </w:r>
      <w:bookmarkEnd w:id="20"/>
    </w:p>
    <w:p w14:paraId="5360CEBB" w14:textId="77777777" w:rsidR="00B17774" w:rsidRDefault="00B17774" w:rsidP="00B17774">
      <w:pPr>
        <w:pStyle w:val="Heading2"/>
      </w:pPr>
      <w:r>
        <w:t>Consequential amendments</w:t>
      </w:r>
    </w:p>
    <w:p w14:paraId="5360CEBC" w14:textId="4F8D3A52" w:rsidR="00DA1BA7" w:rsidRDefault="00DA1BA7" w:rsidP="00DA1BA7">
      <w:pPr>
        <w:pStyle w:val="base-text-paragraph"/>
        <w:numPr>
          <w:ilvl w:val="1"/>
          <w:numId w:val="42"/>
        </w:numPr>
        <w:ind w:left="1134"/>
      </w:pPr>
      <w:bookmarkStart w:id="21" w:name="_Ref525282973"/>
      <w:r>
        <w:t>The 35 business registers are brought into the modernised regime through consequential amendments to the legislation u</w:t>
      </w:r>
      <w:r w:rsidR="008259BB">
        <w:t>nder which th</w:t>
      </w:r>
      <w:r w:rsidR="007A388B">
        <w:t>ose registers</w:t>
      </w:r>
      <w:r>
        <w:t xml:space="preserve"> are administered.</w:t>
      </w:r>
      <w:r w:rsidR="003E2EFE">
        <w:rPr>
          <w:rStyle w:val="FootnoteReference"/>
        </w:rPr>
        <w:footnoteReference w:id="34"/>
      </w:r>
      <w:r w:rsidR="00144076">
        <w:t xml:space="preserve"> </w:t>
      </w:r>
      <w:r>
        <w:t>The</w:t>
      </w:r>
      <w:r w:rsidR="003E2EFE">
        <w:t>se</w:t>
      </w:r>
      <w:r>
        <w:t xml:space="preserve"> consequential amendments:</w:t>
      </w:r>
      <w:bookmarkEnd w:id="21"/>
    </w:p>
    <w:p w14:paraId="5360CEBD" w14:textId="77777777" w:rsidR="00DA1BA7" w:rsidRDefault="00DA1BA7" w:rsidP="00DA1BA7">
      <w:pPr>
        <w:pStyle w:val="dotpoint"/>
      </w:pPr>
      <w:r>
        <w:t>make the registrar responsible</w:t>
      </w:r>
      <w:r w:rsidR="000B6B9E">
        <w:t xml:space="preserve"> for administering the functions and powers that make up the registers</w:t>
      </w:r>
      <w:r>
        <w:t xml:space="preserve">; </w:t>
      </w:r>
    </w:p>
    <w:p w14:paraId="5360CEBE" w14:textId="77777777" w:rsidR="00DA1BA7" w:rsidRDefault="00DA1BA7" w:rsidP="00E81EFA">
      <w:pPr>
        <w:pStyle w:val="dotpoint"/>
      </w:pPr>
      <w:r>
        <w:t>replace prescription of various matters with the requirements of the data standards</w:t>
      </w:r>
      <w:r w:rsidR="008D49ED">
        <w:t xml:space="preserve"> and disclosure framework</w:t>
      </w:r>
      <w:r w:rsidR="00253102">
        <w:t>;</w:t>
      </w:r>
    </w:p>
    <w:p w14:paraId="5360CEBF" w14:textId="77777777" w:rsidR="00DA1BA7" w:rsidRDefault="00DA1BA7" w:rsidP="00DA1BA7">
      <w:pPr>
        <w:pStyle w:val="dotpoint"/>
      </w:pPr>
      <w:r>
        <w:t>remove other aspects of the registers that are displaced by the new regime; and</w:t>
      </w:r>
    </w:p>
    <w:p w14:paraId="5360CEC0" w14:textId="77777777" w:rsidR="00DA1BA7" w:rsidRDefault="00DA1BA7" w:rsidP="00DA1BA7">
      <w:pPr>
        <w:pStyle w:val="dotpoint"/>
      </w:pPr>
      <w:proofErr w:type="gramStart"/>
      <w:r>
        <w:t>allow</w:t>
      </w:r>
      <w:proofErr w:type="gramEnd"/>
      <w:r>
        <w:t xml:space="preserve"> the registrar to collect fees relating to the registers.</w:t>
      </w:r>
    </w:p>
    <w:p w14:paraId="5360CEC1" w14:textId="77777777" w:rsidR="00C80529" w:rsidRDefault="00C80529" w:rsidP="00DA1BA7">
      <w:pPr>
        <w:pStyle w:val="base-text-paragraph"/>
        <w:numPr>
          <w:ilvl w:val="1"/>
          <w:numId w:val="42"/>
        </w:numPr>
        <w:ind w:left="1134"/>
      </w:pPr>
      <w:r>
        <w:t>Each</w:t>
      </w:r>
      <w:r w:rsidR="001D4B14">
        <w:t xml:space="preserve"> of these categories of</w:t>
      </w:r>
      <w:r>
        <w:t xml:space="preserve"> </w:t>
      </w:r>
      <w:r w:rsidR="00253102">
        <w:t xml:space="preserve">consequential amendments </w:t>
      </w:r>
      <w:r w:rsidR="001D4B14">
        <w:t xml:space="preserve">is explained </w:t>
      </w:r>
      <w:r w:rsidR="00253102">
        <w:t>below</w:t>
      </w:r>
      <w:r w:rsidR="001D4B14">
        <w:t>.</w:t>
      </w:r>
    </w:p>
    <w:p w14:paraId="5360CEC2" w14:textId="77777777" w:rsidR="00732D99" w:rsidRDefault="00732D99" w:rsidP="00DA1BA7">
      <w:pPr>
        <w:pStyle w:val="base-text-paragraph"/>
        <w:numPr>
          <w:ilvl w:val="1"/>
          <w:numId w:val="42"/>
        </w:numPr>
        <w:ind w:left="1134"/>
      </w:pPr>
      <w:r>
        <w:t>It should be noted at the outset that o</w:t>
      </w:r>
      <w:r w:rsidR="00DA1BA7">
        <w:t>nly ‘registry’ aspects of</w:t>
      </w:r>
      <w:r w:rsidR="00380B4F">
        <w:t xml:space="preserve"> the</w:t>
      </w:r>
      <w:r w:rsidR="00DA1BA7">
        <w:t xml:space="preserve"> </w:t>
      </w:r>
      <w:r>
        <w:t>current law are brought into the new registry regime</w:t>
      </w:r>
      <w:r w:rsidR="00DA1BA7">
        <w:t xml:space="preserve"> and</w:t>
      </w:r>
      <w:r w:rsidR="00DA0EF1">
        <w:t xml:space="preserve"> </w:t>
      </w:r>
      <w:r w:rsidR="00A336B3">
        <w:t>therefore</w:t>
      </w:r>
      <w:r>
        <w:t xml:space="preserve"> affected by the present amendments</w:t>
      </w:r>
      <w:r w:rsidR="00DA1BA7">
        <w:t xml:space="preserve">. </w:t>
      </w:r>
      <w:r w:rsidR="0095487B">
        <w:t>‘Regulatory’ functions and powers are not</w:t>
      </w:r>
      <w:r w:rsidR="007A1C45">
        <w:t xml:space="preserve"> affected by the new </w:t>
      </w:r>
      <w:r w:rsidR="0095487B">
        <w:t>law and</w:t>
      </w:r>
      <w:r w:rsidR="00DA1BA7">
        <w:t xml:space="preserve"> </w:t>
      </w:r>
      <w:r w:rsidR="0095487B">
        <w:t>continue to be administered by the body</w:t>
      </w:r>
      <w:r>
        <w:t xml:space="preserve"> that currently administers those functions and powers</w:t>
      </w:r>
      <w:r w:rsidR="0095487B">
        <w:t>. This means</w:t>
      </w:r>
      <w:r>
        <w:t xml:space="preserve"> that for regulatory functions and powers</w:t>
      </w:r>
      <w:r w:rsidR="00DA1BA7">
        <w:t xml:space="preserve"> there is no change to</w:t>
      </w:r>
      <w:r>
        <w:t xml:space="preserve"> the way in which the </w:t>
      </w:r>
      <w:r w:rsidR="00380B4F">
        <w:t xml:space="preserve">present law </w:t>
      </w:r>
      <w:r w:rsidR="00380B4F">
        <w:lastRenderedPageBreak/>
        <w:t>operates, including how the relevant regulator</w:t>
      </w:r>
      <w:r>
        <w:t xml:space="preserve"> interact</w:t>
      </w:r>
      <w:r w:rsidR="00380B4F">
        <w:t>s with the entities it</w:t>
      </w:r>
      <w:r>
        <w:t xml:space="preserve"> regulate</w:t>
      </w:r>
      <w:r w:rsidR="00380B4F">
        <w:t>s or how</w:t>
      </w:r>
      <w:r>
        <w:t xml:space="preserve"> information flows between them.</w:t>
      </w:r>
      <w:r w:rsidR="00DA1BA7">
        <w:t xml:space="preserve"> </w:t>
      </w:r>
    </w:p>
    <w:p w14:paraId="5360CEC3" w14:textId="77777777" w:rsidR="00DD0EC1" w:rsidDel="00DD0EC1" w:rsidRDefault="00654D17" w:rsidP="00E81EFA">
      <w:pPr>
        <w:pStyle w:val="base-text-paragraph"/>
        <w:numPr>
          <w:ilvl w:val="1"/>
          <w:numId w:val="42"/>
        </w:numPr>
        <w:ind w:left="1134"/>
      </w:pPr>
      <w:r>
        <w:t xml:space="preserve">Whether a provision </w:t>
      </w:r>
      <w:r w:rsidR="00380B4F">
        <w:t xml:space="preserve">of the relevant law is </w:t>
      </w:r>
      <w:r>
        <w:t>‘registry’ or ‘regulatory’</w:t>
      </w:r>
      <w:r w:rsidR="00B346A8">
        <w:t xml:space="preserve"> depends on its nature. </w:t>
      </w:r>
      <w:r w:rsidR="00231A8C">
        <w:t>R</w:t>
      </w:r>
      <w:r w:rsidR="00B346A8">
        <w:t>elevant factors include the purpose of the provision</w:t>
      </w:r>
      <w:r w:rsidR="00231A8C">
        <w:t xml:space="preserve"> and the extent to which it</w:t>
      </w:r>
      <w:r w:rsidR="00B346A8">
        <w:t xml:space="preserve"> in</w:t>
      </w:r>
      <w:r w:rsidR="00231A8C">
        <w:t>volves the exercise of discretion or regulatory powers (such as monitoring, investigation, and enforcement powers). While all relevant factors need to be considered and balanced, generally the greater the extent of discretion and regulatory powers involved the more likely a provision is regulatory. In practice</w:t>
      </w:r>
      <w:r w:rsidR="002718EB">
        <w:t xml:space="preserve"> registry provisions tend to relate to</w:t>
      </w:r>
      <w:r w:rsidR="00DD0EC1">
        <w:t xml:space="preserve"> the</w:t>
      </w:r>
      <w:r w:rsidR="002718EB">
        <w:t xml:space="preserve"> </w:t>
      </w:r>
      <w:r w:rsidR="00DD0EC1">
        <w:t xml:space="preserve">establishment, maintenance and use of registers while regulatory provisions tend to relate to things such as monitoring and enforcing the law and licencing and registering </w:t>
      </w:r>
      <w:r w:rsidR="00BC36CD">
        <w:t>market operators and financial service provide</w:t>
      </w:r>
      <w:r w:rsidR="00380B4F">
        <w:t>r</w:t>
      </w:r>
      <w:r w:rsidR="00BC36CD">
        <w:t>s</w:t>
      </w:r>
      <w:r w:rsidR="00DD0EC1">
        <w:t>.</w:t>
      </w:r>
      <w:r w:rsidR="00B15F40">
        <w:rPr>
          <w:rStyle w:val="FootnoteReference"/>
        </w:rPr>
        <w:footnoteReference w:id="35"/>
      </w:r>
    </w:p>
    <w:p w14:paraId="5360CEC4" w14:textId="77777777" w:rsidR="00DA1BA7" w:rsidRDefault="00DA1BA7" w:rsidP="00DA1BA7">
      <w:pPr>
        <w:pStyle w:val="Heading3"/>
      </w:pPr>
      <w:r>
        <w:t xml:space="preserve">The registrar is </w:t>
      </w:r>
      <w:r w:rsidR="006E2597">
        <w:t>now</w:t>
      </w:r>
      <w:r>
        <w:t xml:space="preserve"> responsible for administering </w:t>
      </w:r>
      <w:r w:rsidR="006E2597">
        <w:t>registry provisions</w:t>
      </w:r>
    </w:p>
    <w:p w14:paraId="5360CEC5" w14:textId="77777777" w:rsidR="00682D52" w:rsidRDefault="00DA1BA7" w:rsidP="00DA1BA7">
      <w:pPr>
        <w:pStyle w:val="base-text-paragraph"/>
        <w:numPr>
          <w:ilvl w:val="1"/>
          <w:numId w:val="42"/>
        </w:numPr>
        <w:ind w:left="1134"/>
      </w:pPr>
      <w:r>
        <w:t>The consequential amendments change</w:t>
      </w:r>
      <w:r w:rsidR="000B6B9E">
        <w:t xml:space="preserve"> the</w:t>
      </w:r>
      <w:r>
        <w:t xml:space="preserve"> registry provisions</w:t>
      </w:r>
      <w:r w:rsidR="000B6B9E">
        <w:t xml:space="preserve"> of</w:t>
      </w:r>
      <w:r>
        <w:t xml:space="preserve"> the 35 business registers </w:t>
      </w:r>
      <w:r w:rsidR="00253102">
        <w:t>transferred into the new regime</w:t>
      </w:r>
      <w:r>
        <w:t xml:space="preserve"> so that the</w:t>
      </w:r>
      <w:r w:rsidR="00253102">
        <w:t>y are administered by</w:t>
      </w:r>
      <w:r>
        <w:t xml:space="preserve"> the registrar</w:t>
      </w:r>
      <w:r w:rsidR="009C0C37">
        <w:t xml:space="preserve"> </w:t>
      </w:r>
      <w:r w:rsidR="00004156">
        <w:t>rather than ASIC</w:t>
      </w:r>
      <w:r w:rsidR="00253102">
        <w:t>.</w:t>
      </w:r>
      <w:r>
        <w:t xml:space="preserve"> </w:t>
      </w:r>
      <w:r w:rsidR="00004156">
        <w:t>To achieve this, the new law replaces relevant</w:t>
      </w:r>
      <w:r>
        <w:t xml:space="preserve"> references to ASIC </w:t>
      </w:r>
      <w:r w:rsidR="00004156">
        <w:t>in the current law</w:t>
      </w:r>
      <w:r w:rsidR="00461C49">
        <w:t xml:space="preserve"> with </w:t>
      </w:r>
      <w:r w:rsidR="00EA57AD">
        <w:t xml:space="preserve">references to </w:t>
      </w:r>
      <w:r w:rsidR="00461C49">
        <w:t>the registrar</w:t>
      </w:r>
      <w:r w:rsidR="00004156">
        <w:t>. These changes make</w:t>
      </w:r>
      <w:r w:rsidR="00461C49">
        <w:t xml:space="preserve"> </w:t>
      </w:r>
      <w:r w:rsidR="009F531D">
        <w:t xml:space="preserve">the registrar responsible for </w:t>
      </w:r>
      <w:r w:rsidR="00004156">
        <w:t xml:space="preserve">administering </w:t>
      </w:r>
      <w:r w:rsidR="009F531D">
        <w:t xml:space="preserve">registry </w:t>
      </w:r>
      <w:r w:rsidR="000B6B9E" w:rsidRPr="00004156">
        <w:t>functions</w:t>
      </w:r>
      <w:r w:rsidR="00004156">
        <w:t xml:space="preserve"> and powers </w:t>
      </w:r>
      <w:r w:rsidR="009F531D">
        <w:t>instead of ASIC</w:t>
      </w:r>
      <w:r w:rsidR="00004156">
        <w:t xml:space="preserve"> in</w:t>
      </w:r>
      <w:r w:rsidR="00682D52">
        <w:t xml:space="preserve"> the amended legislation that is currently administered by ASIC. Equivalent amendments are not required to transfer functions and powers from the Commission to the registrar under the ABN Act. That Act already allocates relevant functions and powers to a registrar, which is separately defined to be the Commissioner.</w:t>
      </w:r>
    </w:p>
    <w:p w14:paraId="5360CEC6" w14:textId="77777777" w:rsidR="00DA1BA7" w:rsidRDefault="000F6793" w:rsidP="00DA1BA7">
      <w:pPr>
        <w:pStyle w:val="base-text-paragraph"/>
        <w:numPr>
          <w:ilvl w:val="1"/>
          <w:numId w:val="42"/>
        </w:numPr>
        <w:ind w:left="1134"/>
      </w:pPr>
      <w:r>
        <w:t>Key registry functions</w:t>
      </w:r>
      <w:r w:rsidR="000B6B9E">
        <w:t xml:space="preserve"> and powers</w:t>
      </w:r>
      <w:r>
        <w:t xml:space="preserve"> that </w:t>
      </w:r>
      <w:r w:rsidR="00682D52">
        <w:t xml:space="preserve">are being transferred to </w:t>
      </w:r>
      <w:r>
        <w:t xml:space="preserve">the registrar </w:t>
      </w:r>
      <w:r w:rsidR="00682D52">
        <w:t>under this category of consequential amendments</w:t>
      </w:r>
      <w:r>
        <w:t xml:space="preserve"> include</w:t>
      </w:r>
      <w:r w:rsidR="00DA1BA7">
        <w:t>:</w:t>
      </w:r>
    </w:p>
    <w:p w14:paraId="5360CEC7" w14:textId="77777777" w:rsidR="009F531D" w:rsidRDefault="000F6793" w:rsidP="00DA1BA7">
      <w:pPr>
        <w:pStyle w:val="dotpoint"/>
      </w:pPr>
      <w:r>
        <w:t xml:space="preserve">receiving registry information </w:t>
      </w:r>
      <w:r w:rsidR="00FC5605">
        <w:t>(including information contained in applications for registration)</w:t>
      </w:r>
      <w:r>
        <w:t xml:space="preserve"> from registrants</w:t>
      </w:r>
      <w:r w:rsidR="009F531D">
        <w:t>;</w:t>
      </w:r>
    </w:p>
    <w:p w14:paraId="5360CEC8" w14:textId="77777777" w:rsidR="009F531D" w:rsidRDefault="000F6793" w:rsidP="00DA1BA7">
      <w:pPr>
        <w:pStyle w:val="dotpoint"/>
      </w:pPr>
      <w:r>
        <w:t>recording</w:t>
      </w:r>
      <w:r w:rsidR="009F531D">
        <w:t xml:space="preserve"> that information</w:t>
      </w:r>
      <w:r>
        <w:t xml:space="preserve"> (and telling</w:t>
      </w:r>
      <w:r w:rsidR="009F531D">
        <w:t xml:space="preserve"> the registrant when that </w:t>
      </w:r>
      <w:r>
        <w:t>record has been made</w:t>
      </w:r>
      <w:r w:rsidR="009F531D">
        <w:t xml:space="preserve">); </w:t>
      </w:r>
    </w:p>
    <w:p w14:paraId="5360CEC9" w14:textId="77777777" w:rsidR="00DA1BA7" w:rsidRDefault="000F6793" w:rsidP="00DA1BA7">
      <w:pPr>
        <w:pStyle w:val="dotpoint"/>
      </w:pPr>
      <w:r>
        <w:t>receiving updates of</w:t>
      </w:r>
      <w:r w:rsidR="009F531D">
        <w:t xml:space="preserve"> registry information </w:t>
      </w:r>
      <w:r>
        <w:t>from registrants</w:t>
      </w:r>
      <w:r w:rsidR="00585C90">
        <w:t>, inclu</w:t>
      </w:r>
      <w:r w:rsidR="001E1820">
        <w:t>ding through the in</w:t>
      </w:r>
      <w:r w:rsidR="00585C90">
        <w:t>i</w:t>
      </w:r>
      <w:r w:rsidR="001E1820">
        <w:t>ti</w:t>
      </w:r>
      <w:r w:rsidR="00585C90">
        <w:t>ation of processes, such a</w:t>
      </w:r>
      <w:r w:rsidR="001E1820">
        <w:t>s annual reviews, to update registry</w:t>
      </w:r>
      <w:r w:rsidR="00585C90">
        <w:t xml:space="preserve"> information; and</w:t>
      </w:r>
    </w:p>
    <w:p w14:paraId="5360CECA" w14:textId="77777777" w:rsidR="00121AFC" w:rsidRDefault="00585C90" w:rsidP="00DA1BA7">
      <w:pPr>
        <w:pStyle w:val="dotpoint"/>
      </w:pPr>
      <w:proofErr w:type="gramStart"/>
      <w:r>
        <w:t>making</w:t>
      </w:r>
      <w:proofErr w:type="gramEnd"/>
      <w:r>
        <w:t xml:space="preserve"> decisions about registry information, including the remov</w:t>
      </w:r>
      <w:r w:rsidR="00121AFC">
        <w:t>ing of records, and associated</w:t>
      </w:r>
      <w:r w:rsidR="00E56169">
        <w:t xml:space="preserve"> internal review of those decisions.</w:t>
      </w:r>
    </w:p>
    <w:p w14:paraId="5360CECB" w14:textId="4BDE3D38" w:rsidR="00585C90" w:rsidRDefault="00121AFC" w:rsidP="0092530E">
      <w:pPr>
        <w:pStyle w:val="dotpoint"/>
        <w:numPr>
          <w:ilvl w:val="0"/>
          <w:numId w:val="0"/>
        </w:numPr>
        <w:ind w:left="1984"/>
      </w:pPr>
      <w:r>
        <w:rPr>
          <w:rStyle w:val="Referencingstyle"/>
        </w:rPr>
        <w:t>[S</w:t>
      </w:r>
      <w:r w:rsidR="00F303BF">
        <w:rPr>
          <w:rStyle w:val="Referencingstyle"/>
        </w:rPr>
        <w:t>ee Appendix table A1</w:t>
      </w:r>
      <w:r w:rsidRPr="00375F1D">
        <w:rPr>
          <w:rStyle w:val="Referencingstyle"/>
        </w:rPr>
        <w:t>]</w:t>
      </w:r>
    </w:p>
    <w:p w14:paraId="5360CECC" w14:textId="77777777" w:rsidR="00585C90" w:rsidRDefault="00900960" w:rsidP="00585C90">
      <w:pPr>
        <w:pStyle w:val="Heading3"/>
      </w:pPr>
      <w:r>
        <w:t>Removal of p</w:t>
      </w:r>
      <w:r w:rsidR="00585C90">
        <w:t>rescriptive requirements</w:t>
      </w:r>
      <w:r w:rsidR="00A37938">
        <w:t xml:space="preserve"> from registry provisions</w:t>
      </w:r>
    </w:p>
    <w:p w14:paraId="5360CECD" w14:textId="77777777" w:rsidR="00585C90" w:rsidRDefault="007808FB" w:rsidP="00323AA8">
      <w:pPr>
        <w:pStyle w:val="base-text-paragraph"/>
      </w:pPr>
      <w:r>
        <w:t>The consequentia</w:t>
      </w:r>
      <w:r w:rsidR="00E823DD">
        <w:t xml:space="preserve">l amendments </w:t>
      </w:r>
      <w:r w:rsidR="002878F2">
        <w:t>repeal</w:t>
      </w:r>
      <w:r w:rsidR="00E823DD">
        <w:t xml:space="preserve"> prescriptive</w:t>
      </w:r>
      <w:r w:rsidR="006014B6">
        <w:t xml:space="preserve"> requirements</w:t>
      </w:r>
      <w:r>
        <w:t xml:space="preserve"> </w:t>
      </w:r>
      <w:r w:rsidR="00E823DD">
        <w:t xml:space="preserve">in registry </w:t>
      </w:r>
      <w:r w:rsidR="00A37938">
        <w:t>provisions</w:t>
      </w:r>
      <w:r w:rsidR="00E823DD">
        <w:t xml:space="preserve"> that </w:t>
      </w:r>
      <w:r w:rsidR="002878F2">
        <w:t xml:space="preserve">relate to matters </w:t>
      </w:r>
      <w:r w:rsidR="00E823DD">
        <w:t xml:space="preserve">that </w:t>
      </w:r>
      <w:r w:rsidR="008B69F6">
        <w:t>are</w:t>
      </w:r>
      <w:r w:rsidR="00E823DD">
        <w:t xml:space="preserve"> </w:t>
      </w:r>
      <w:r w:rsidR="002878F2">
        <w:t xml:space="preserve">dealt with by the data standards </w:t>
      </w:r>
      <w:r w:rsidR="00E823DD">
        <w:t>under the new regime</w:t>
      </w:r>
      <w:r>
        <w:t>.</w:t>
      </w:r>
      <w:r w:rsidR="00834264">
        <w:t xml:space="preserve"> </w:t>
      </w:r>
      <w:r w:rsidR="00A37938">
        <w:t>For example, t</w:t>
      </w:r>
      <w:r w:rsidR="008B69F6">
        <w:t>he</w:t>
      </w:r>
      <w:r w:rsidR="006014B6">
        <w:t xml:space="preserve"> l</w:t>
      </w:r>
      <w:r w:rsidR="00834264">
        <w:t xml:space="preserve">aws under which the 35 </w:t>
      </w:r>
      <w:r w:rsidR="001848D2">
        <w:t xml:space="preserve">business </w:t>
      </w:r>
      <w:r w:rsidR="00834264">
        <w:t xml:space="preserve">registers are </w:t>
      </w:r>
      <w:r w:rsidR="008B69F6" w:rsidDel="00024863">
        <w:t>currently</w:t>
      </w:r>
      <w:r w:rsidR="00636790">
        <w:t xml:space="preserve"> </w:t>
      </w:r>
      <w:r w:rsidR="00834264">
        <w:t xml:space="preserve">administered </w:t>
      </w:r>
      <w:r w:rsidR="006014B6">
        <w:t>typically</w:t>
      </w:r>
      <w:r w:rsidR="00834264">
        <w:t xml:space="preserve"> </w:t>
      </w:r>
      <w:r w:rsidR="008B69F6">
        <w:t>prescribe</w:t>
      </w:r>
      <w:r w:rsidR="00A37938">
        <w:t xml:space="preserve"> matters such as: </w:t>
      </w:r>
      <w:r w:rsidR="00D27783">
        <w:t>what information ha</w:t>
      </w:r>
      <w:r w:rsidR="00A37938">
        <w:t>s</w:t>
      </w:r>
      <w:r w:rsidR="00D27783">
        <w:t xml:space="preserve"> to</w:t>
      </w:r>
      <w:r w:rsidR="00834264">
        <w:t xml:space="preserve"> b</w:t>
      </w:r>
      <w:r w:rsidR="006014B6">
        <w:t xml:space="preserve">e provided by registrants to ASIC and the Australian Business Registrar (the Commissioner of </w:t>
      </w:r>
      <w:r w:rsidR="00EA57AD">
        <w:t>T</w:t>
      </w:r>
      <w:r w:rsidR="006014B6">
        <w:t>axation);</w:t>
      </w:r>
      <w:r w:rsidR="00D27783">
        <w:t xml:space="preserve"> and</w:t>
      </w:r>
      <w:r w:rsidR="00636790">
        <w:t xml:space="preserve">, </w:t>
      </w:r>
      <w:r w:rsidR="006014B6">
        <w:t xml:space="preserve">the manner and form in which </w:t>
      </w:r>
      <w:r w:rsidR="00A37938">
        <w:t>such information</w:t>
      </w:r>
      <w:r w:rsidR="006014B6">
        <w:t xml:space="preserve"> ha</w:t>
      </w:r>
      <w:r w:rsidR="00A37938">
        <w:t>s</w:t>
      </w:r>
      <w:r w:rsidR="006014B6">
        <w:t xml:space="preserve"> to be provided</w:t>
      </w:r>
      <w:r w:rsidR="00D27783">
        <w:t xml:space="preserve">. </w:t>
      </w:r>
    </w:p>
    <w:p w14:paraId="5360CECE" w14:textId="223971CE" w:rsidR="00585C90" w:rsidRDefault="001848D2" w:rsidP="00DA1BA7">
      <w:pPr>
        <w:pStyle w:val="base-text-paragraph"/>
        <w:numPr>
          <w:ilvl w:val="1"/>
          <w:numId w:val="42"/>
        </w:numPr>
        <w:ind w:left="1134"/>
      </w:pPr>
      <w:r>
        <w:t>T</w:t>
      </w:r>
      <w:r w:rsidR="00D27783">
        <w:t>he</w:t>
      </w:r>
      <w:r w:rsidR="00E92F95">
        <w:t xml:space="preserve"> consequential amendments remove </w:t>
      </w:r>
      <w:r w:rsidR="009E6295">
        <w:t>such</w:t>
      </w:r>
      <w:r w:rsidR="00E92F95">
        <w:t xml:space="preserve"> prescript</w:t>
      </w:r>
      <w:r w:rsidR="009E6295">
        <w:t>ive requirements from registry provisions</w:t>
      </w:r>
      <w:r w:rsidR="00E92F95">
        <w:t xml:space="preserve"> and replace </w:t>
      </w:r>
      <w:r w:rsidR="00F36863">
        <w:t>them</w:t>
      </w:r>
      <w:r w:rsidR="00E92F95">
        <w:t xml:space="preserve"> with </w:t>
      </w:r>
      <w:r w:rsidR="009E6295">
        <w:t>an</w:t>
      </w:r>
      <w:r w:rsidR="00E92F95">
        <w:t xml:space="preserve"> obligation to meet </w:t>
      </w:r>
      <w:r w:rsidR="009E6295">
        <w:t>the</w:t>
      </w:r>
      <w:r w:rsidR="00E92F95">
        <w:t xml:space="preserve"> requirements of the data standards.</w:t>
      </w:r>
      <w:r w:rsidR="000E7AFF">
        <w:t xml:space="preserve"> </w:t>
      </w:r>
      <w:r w:rsidR="009E6295">
        <w:t xml:space="preserve">As discussed in paragraphs </w:t>
      </w:r>
      <w:r w:rsidR="009E6295">
        <w:fldChar w:fldCharType="begin"/>
      </w:r>
      <w:r w:rsidR="009E6295">
        <w:instrText xml:space="preserve"> REF _Ref524870386 \r \h </w:instrText>
      </w:r>
      <w:r w:rsidR="009E6295">
        <w:fldChar w:fldCharType="separate"/>
      </w:r>
      <w:r w:rsidR="00F3492D">
        <w:t>1.30</w:t>
      </w:r>
      <w:r w:rsidR="009E6295">
        <w:fldChar w:fldCharType="end"/>
      </w:r>
      <w:r w:rsidR="009E6295">
        <w:t xml:space="preserve"> to </w:t>
      </w:r>
      <w:r w:rsidR="009E6295">
        <w:fldChar w:fldCharType="begin"/>
      </w:r>
      <w:r w:rsidR="009E6295">
        <w:instrText xml:space="preserve"> REF _Ref524870435 \r \h </w:instrText>
      </w:r>
      <w:r w:rsidR="009E6295">
        <w:fldChar w:fldCharType="separate"/>
      </w:r>
      <w:r w:rsidR="00F3492D">
        <w:t>1.37</w:t>
      </w:r>
      <w:r w:rsidR="009E6295">
        <w:fldChar w:fldCharType="end"/>
      </w:r>
      <w:r w:rsidR="009E6295">
        <w:t xml:space="preserve"> of this memorandum, t</w:t>
      </w:r>
      <w:r w:rsidR="000E7AFF">
        <w:t>his allow</w:t>
      </w:r>
      <w:r w:rsidR="00F36863">
        <w:t>s</w:t>
      </w:r>
      <w:r w:rsidR="000E7AFF">
        <w:t xml:space="preserve"> the data standards to </w:t>
      </w:r>
      <w:r w:rsidR="000E7AFF">
        <w:lastRenderedPageBreak/>
        <w:t xml:space="preserve">flexibly provide for </w:t>
      </w:r>
      <w:r w:rsidR="009E6295">
        <w:t>matters such as</w:t>
      </w:r>
      <w:r w:rsidR="000E7AFF">
        <w:t xml:space="preserve"> what information the registrar needs </w:t>
      </w:r>
      <w:r w:rsidR="009E6295">
        <w:t>in relation to its functions and powers</w:t>
      </w:r>
      <w:r w:rsidR="000E7AFF">
        <w:t xml:space="preserve"> and how that information </w:t>
      </w:r>
      <w:r w:rsidR="009E6295">
        <w:t>is to</w:t>
      </w:r>
      <w:r w:rsidR="000E7AFF">
        <w:t xml:space="preserve"> be provided. </w:t>
      </w:r>
      <w:r w:rsidR="007140FD">
        <w:rPr>
          <w:rStyle w:val="Referencingstyle"/>
        </w:rPr>
        <w:t>[</w:t>
      </w:r>
      <w:r w:rsidR="00920BBC">
        <w:rPr>
          <w:rStyle w:val="Referencingstyle"/>
        </w:rPr>
        <w:t>See Appendix table A2</w:t>
      </w:r>
      <w:r w:rsidR="007140FD" w:rsidRPr="00375F1D">
        <w:rPr>
          <w:rStyle w:val="Referencingstyle"/>
        </w:rPr>
        <w:t>]</w:t>
      </w:r>
    </w:p>
    <w:p w14:paraId="5360CECF" w14:textId="775F3BF5" w:rsidR="00515824" w:rsidRDefault="00EB1692" w:rsidP="00515824">
      <w:pPr>
        <w:pStyle w:val="Heading3"/>
      </w:pPr>
      <w:r>
        <w:t>D</w:t>
      </w:r>
      <w:r w:rsidR="007140FD">
        <w:t xml:space="preserve">isplaced </w:t>
      </w:r>
      <w:r>
        <w:t>registry provisions are repealed</w:t>
      </w:r>
      <w:r w:rsidR="003A616B">
        <w:t xml:space="preserve"> and registry function is harmonised</w:t>
      </w:r>
    </w:p>
    <w:p w14:paraId="5360CED0" w14:textId="77777777" w:rsidR="0013053B" w:rsidRDefault="002778CA" w:rsidP="0092530E">
      <w:pPr>
        <w:pStyle w:val="base-text-paragraph"/>
      </w:pPr>
      <w:r>
        <w:t>This category of c</w:t>
      </w:r>
      <w:r w:rsidR="007F6616">
        <w:t>onsequential amendments</w:t>
      </w:r>
      <w:r>
        <w:t xml:space="preserve"> repeals registry provisions</w:t>
      </w:r>
      <w:r w:rsidR="00DE1B8D">
        <w:t xml:space="preserve"> in the current law that are made redundant by, or are inconsistent or duplicative of, provisions in the new law. These amendments ensure that where the new law deals with a matter it applies exclusively and uniformly to all functions and powers transferred to the registrar. Under the current law there are different rules applying to different registry functions</w:t>
      </w:r>
      <w:r w:rsidR="00D833AC">
        <w:t xml:space="preserve"> and powers</w:t>
      </w:r>
      <w:r w:rsidR="00826F64">
        <w:t xml:space="preserve"> and i</w:t>
      </w:r>
      <w:r w:rsidR="00BD3244">
        <w:t>n some instances there are multiple overlapping la</w:t>
      </w:r>
      <w:r w:rsidR="00D833AC">
        <w:t xml:space="preserve">ws relating to the same </w:t>
      </w:r>
      <w:r w:rsidR="00BD3244">
        <w:t xml:space="preserve">matter. </w:t>
      </w:r>
    </w:p>
    <w:p w14:paraId="5360CED1" w14:textId="77777777" w:rsidR="00E77358" w:rsidRDefault="009E126E" w:rsidP="0092530E">
      <w:pPr>
        <w:pStyle w:val="base-text-paragraph"/>
        <w:numPr>
          <w:ilvl w:val="1"/>
          <w:numId w:val="42"/>
        </w:numPr>
        <w:ind w:left="1134"/>
      </w:pPr>
      <w:r>
        <w:t>The</w:t>
      </w:r>
      <w:r w:rsidR="00721147">
        <w:t xml:space="preserve"> matters the new </w:t>
      </w:r>
      <w:r>
        <w:t>law</w:t>
      </w:r>
      <w:r w:rsidR="00721147">
        <w:t xml:space="preserve"> is intended to cover exclusively</w:t>
      </w:r>
      <w:r w:rsidR="00276C66">
        <w:t>,</w:t>
      </w:r>
      <w:r w:rsidR="00721147">
        <w:t xml:space="preserve"> and apply uniformly across registry functions and powers</w:t>
      </w:r>
      <w:r w:rsidR="00276C66">
        <w:t>,</w:t>
      </w:r>
      <w:r w:rsidR="00721147">
        <w:t xml:space="preserve"> include:</w:t>
      </w:r>
    </w:p>
    <w:p w14:paraId="5360CED2" w14:textId="77777777" w:rsidR="00E77358" w:rsidRDefault="00E77358" w:rsidP="00E77358">
      <w:pPr>
        <w:pStyle w:val="dotpoint"/>
      </w:pPr>
      <w:r>
        <w:t>the use of assisted decision making process by the registrar;</w:t>
      </w:r>
    </w:p>
    <w:p w14:paraId="5360CED3" w14:textId="77777777" w:rsidR="00E77358" w:rsidRDefault="00E77358" w:rsidP="00E77358">
      <w:pPr>
        <w:pStyle w:val="dotpoint"/>
      </w:pPr>
      <w:r>
        <w:t>the extent to which the registrar and associated persons may be liable for damages in connection with the new regime;</w:t>
      </w:r>
    </w:p>
    <w:p w14:paraId="5360CED4" w14:textId="77777777" w:rsidR="002878F2" w:rsidRDefault="002878F2" w:rsidP="0092530E">
      <w:pPr>
        <w:pStyle w:val="dotpoint"/>
      </w:pPr>
      <w:r>
        <w:t xml:space="preserve">the </w:t>
      </w:r>
      <w:r w:rsidR="00E77358">
        <w:t>admissibility of registry infor</w:t>
      </w:r>
      <w:r w:rsidR="009E126E">
        <w:t>mation in court proceedings</w:t>
      </w:r>
      <w:r w:rsidR="00276C66">
        <w:t>;</w:t>
      </w:r>
    </w:p>
    <w:p w14:paraId="5360CED5" w14:textId="77777777" w:rsidR="00276C66" w:rsidRDefault="00276C66" w:rsidP="00276C66">
      <w:pPr>
        <w:pStyle w:val="dotpoint"/>
      </w:pPr>
      <w:r>
        <w:t>how registry information is to be collected and maintained;</w:t>
      </w:r>
      <w:r>
        <w:rPr>
          <w:rStyle w:val="FootnoteReference"/>
        </w:rPr>
        <w:footnoteReference w:id="36"/>
      </w:r>
      <w:r>
        <w:t xml:space="preserve"> and</w:t>
      </w:r>
    </w:p>
    <w:p w14:paraId="5360CED6" w14:textId="77777777" w:rsidR="002878F2" w:rsidRDefault="00276C66" w:rsidP="0092530E">
      <w:pPr>
        <w:pStyle w:val="dotpoint"/>
      </w:pPr>
      <w:proofErr w:type="gramStart"/>
      <w:r>
        <w:t>the</w:t>
      </w:r>
      <w:proofErr w:type="gramEnd"/>
      <w:r>
        <w:t xml:space="preserve"> protection and disclosure of registry information.</w:t>
      </w:r>
    </w:p>
    <w:p w14:paraId="5360CED7" w14:textId="0A027C03" w:rsidR="00CD378C" w:rsidRDefault="00CD378C" w:rsidP="0092530E">
      <w:pPr>
        <w:pStyle w:val="dotpoint"/>
        <w:numPr>
          <w:ilvl w:val="0"/>
          <w:numId w:val="0"/>
        </w:numPr>
        <w:ind w:left="1984"/>
      </w:pPr>
      <w:r>
        <w:rPr>
          <w:rStyle w:val="Referencingstyle"/>
        </w:rPr>
        <w:t>[</w:t>
      </w:r>
      <w:r w:rsidR="00920BBC">
        <w:rPr>
          <w:rStyle w:val="Referencingstyle"/>
        </w:rPr>
        <w:t>See appendix table A3</w:t>
      </w:r>
      <w:r w:rsidRPr="00375F1D">
        <w:rPr>
          <w:rStyle w:val="Referencingstyle"/>
        </w:rPr>
        <w:t>]</w:t>
      </w:r>
    </w:p>
    <w:p w14:paraId="5360CED8" w14:textId="77777777" w:rsidR="00DA1BA7" w:rsidRDefault="007A388B" w:rsidP="006A1DCC">
      <w:pPr>
        <w:pStyle w:val="Heading3"/>
      </w:pPr>
      <w:r>
        <w:t>The registrar collects fees relating to regist</w:t>
      </w:r>
      <w:r w:rsidR="003F6D62">
        <w:t>ry functions and powers</w:t>
      </w:r>
    </w:p>
    <w:p w14:paraId="5360CED9" w14:textId="77777777" w:rsidR="00E51F5B" w:rsidRDefault="00AB7F79" w:rsidP="0092530E">
      <w:pPr>
        <w:pStyle w:val="base-text-paragraph"/>
      </w:pPr>
      <w:r>
        <w:t>Th</w:t>
      </w:r>
      <w:r w:rsidR="00380B4F">
        <w:t>is category of</w:t>
      </w:r>
      <w:r>
        <w:t xml:space="preserve"> consequential amendments make</w:t>
      </w:r>
      <w:r w:rsidR="00380B4F">
        <w:t>s</w:t>
      </w:r>
      <w:r>
        <w:t xml:space="preserve"> the registrar the entity responsible for collecting fees relating to</w:t>
      </w:r>
      <w:r w:rsidR="00380B4F">
        <w:t xml:space="preserve"> its functions and powers under the new law.</w:t>
      </w:r>
      <w:r w:rsidR="006E42AC">
        <w:t xml:space="preserve"> </w:t>
      </w:r>
      <w:r w:rsidR="00380B4F">
        <w:t>Currently, t</w:t>
      </w:r>
      <w:r w:rsidR="006E42AC">
        <w:t xml:space="preserve">he Fees Acts provide </w:t>
      </w:r>
      <w:r w:rsidR="00875EC6">
        <w:t>for the recovery of fees by ASIC and the Australian Business Registrar for various</w:t>
      </w:r>
      <w:r w:rsidR="00043C86">
        <w:t xml:space="preserve"> activities related to administering </w:t>
      </w:r>
      <w:r w:rsidR="00380B4F">
        <w:t>the present regime of business registers</w:t>
      </w:r>
      <w:r w:rsidR="00043C86">
        <w:t>.</w:t>
      </w:r>
      <w:r w:rsidR="00240A91">
        <w:t xml:space="preserve"> </w:t>
      </w:r>
      <w:r w:rsidR="00E51F5B">
        <w:t xml:space="preserve">Under the new law, the registrar collects any </w:t>
      </w:r>
      <w:r w:rsidR="003F6D62">
        <w:t>fee related to the performance of a registry function or the exercise of a registry power.</w:t>
      </w:r>
    </w:p>
    <w:p w14:paraId="5360CEDA" w14:textId="77777777" w:rsidR="009A30BF" w:rsidRDefault="00395E1C" w:rsidP="0092530E">
      <w:pPr>
        <w:pStyle w:val="base-text-paragraph"/>
      </w:pPr>
      <w:r>
        <w:t>As noted above, t</w:t>
      </w:r>
      <w:r w:rsidR="00515F0E">
        <w:t xml:space="preserve">he Fees Acts </w:t>
      </w:r>
      <w:r>
        <w:t>currently permit</w:t>
      </w:r>
      <w:r w:rsidR="00515F0E">
        <w:t xml:space="preserve"> fees to be charged </w:t>
      </w:r>
      <w:r>
        <w:t>in connection with certain registry services.</w:t>
      </w:r>
      <w:r w:rsidR="00515F0E">
        <w:t xml:space="preserve"> </w:t>
      </w:r>
      <w:r>
        <w:t>R</w:t>
      </w:r>
      <w:r w:rsidR="00515F0E">
        <w:t>egulations made under the</w:t>
      </w:r>
      <w:r>
        <w:t>se</w:t>
      </w:r>
      <w:r w:rsidR="00515F0E">
        <w:t xml:space="preserve"> </w:t>
      </w:r>
      <w:r w:rsidR="00564DDD">
        <w:t>A</w:t>
      </w:r>
      <w:r w:rsidR="00515F0E">
        <w:t xml:space="preserve">cts prescribe the particular fees for chargeable matters. </w:t>
      </w:r>
      <w:r w:rsidR="000535F3">
        <w:t xml:space="preserve">Common </w:t>
      </w:r>
      <w:r w:rsidR="009A30BF">
        <w:t>fees</w:t>
      </w:r>
      <w:r w:rsidR="000535F3">
        <w:t xml:space="preserve"> include</w:t>
      </w:r>
      <w:r w:rsidR="009A30BF">
        <w:t>:</w:t>
      </w:r>
    </w:p>
    <w:p w14:paraId="5360CEDB" w14:textId="77777777" w:rsidR="009A30BF" w:rsidRDefault="00395E1C" w:rsidP="0092530E">
      <w:pPr>
        <w:pStyle w:val="dotpoint"/>
      </w:pPr>
      <w:r>
        <w:t xml:space="preserve">fees for applying for the </w:t>
      </w:r>
      <w:r w:rsidR="000535F3">
        <w:t>r</w:t>
      </w:r>
      <w:r w:rsidR="009A30BF">
        <w:t>egistration</w:t>
      </w:r>
      <w:r>
        <w:t xml:space="preserve"> of an entity</w:t>
      </w:r>
      <w:r w:rsidR="000535F3">
        <w:t>;</w:t>
      </w:r>
    </w:p>
    <w:p w14:paraId="5360CEDC" w14:textId="77777777" w:rsidR="000535F3" w:rsidRDefault="00395E1C" w:rsidP="0092530E">
      <w:pPr>
        <w:pStyle w:val="dotpoint"/>
      </w:pPr>
      <w:r>
        <w:t>Fees for applying to</w:t>
      </w:r>
      <w:r w:rsidR="000535F3">
        <w:t xml:space="preserve"> </w:t>
      </w:r>
      <w:r>
        <w:t>deregister an entity</w:t>
      </w:r>
      <w:r w:rsidR="000535F3">
        <w:t>;</w:t>
      </w:r>
    </w:p>
    <w:p w14:paraId="5360CEDD" w14:textId="77777777" w:rsidR="000535F3" w:rsidRDefault="000535F3" w:rsidP="0092530E">
      <w:pPr>
        <w:pStyle w:val="dotpoint"/>
      </w:pPr>
      <w:r>
        <w:t>annual review fees</w:t>
      </w:r>
      <w:r w:rsidR="00564DDD">
        <w:t>;</w:t>
      </w:r>
    </w:p>
    <w:p w14:paraId="5360CEDE" w14:textId="77777777" w:rsidR="000535F3" w:rsidRDefault="000535F3" w:rsidP="0092530E">
      <w:pPr>
        <w:pStyle w:val="dotpoint"/>
      </w:pPr>
      <w:r>
        <w:t>business name registration and renewal fees;</w:t>
      </w:r>
      <w:r w:rsidR="00564DDD">
        <w:t xml:space="preserve"> and</w:t>
      </w:r>
    </w:p>
    <w:p w14:paraId="5360CEDF" w14:textId="77777777" w:rsidR="00564DDD" w:rsidRDefault="000535F3">
      <w:pPr>
        <w:pStyle w:val="dotpoint"/>
      </w:pPr>
      <w:proofErr w:type="gramStart"/>
      <w:r>
        <w:t>late</w:t>
      </w:r>
      <w:proofErr w:type="gramEnd"/>
      <w:r>
        <w:t xml:space="preserve"> fees</w:t>
      </w:r>
      <w:r w:rsidR="00564DDD">
        <w:t>.</w:t>
      </w:r>
    </w:p>
    <w:p w14:paraId="5360CEE1" w14:textId="520BED71" w:rsidR="007A388B" w:rsidRDefault="00741B55" w:rsidP="00751240">
      <w:pPr>
        <w:pStyle w:val="base-text-paragraph"/>
      </w:pPr>
      <w:bookmarkStart w:id="22" w:name="_Ref525283006"/>
      <w:bookmarkStart w:id="23" w:name="_Ref527327951"/>
      <w:r>
        <w:t>These consequential amendments do not affect how the fee regime operates or the amount payable for particular fees. The amendments only affect the government body that collects the fees payable in connection with those functions and powers allocated to the registrar.</w:t>
      </w:r>
      <w:bookmarkEnd w:id="22"/>
      <w:r w:rsidR="001C2717">
        <w:rPr>
          <w:rStyle w:val="Referencingstyle"/>
        </w:rPr>
        <w:t xml:space="preserve"> </w:t>
      </w:r>
      <w:r w:rsidR="00751240">
        <w:rPr>
          <w:rStyle w:val="Referencingstyle"/>
        </w:rPr>
        <w:t>[S</w:t>
      </w:r>
      <w:r w:rsidR="000E2B00">
        <w:rPr>
          <w:rStyle w:val="Referencingstyle"/>
        </w:rPr>
        <w:t>ee Appendix table A4</w:t>
      </w:r>
      <w:r w:rsidR="00751240" w:rsidRPr="00375F1D">
        <w:rPr>
          <w:rStyle w:val="Referencingstyle"/>
        </w:rPr>
        <w:t>]</w:t>
      </w:r>
      <w:bookmarkEnd w:id="23"/>
    </w:p>
    <w:p w14:paraId="5360CEE2" w14:textId="77777777" w:rsidR="00E73F05" w:rsidRDefault="00333D65" w:rsidP="00E73F05">
      <w:pPr>
        <w:pStyle w:val="Heading2"/>
      </w:pPr>
      <w:r>
        <w:lastRenderedPageBreak/>
        <w:t xml:space="preserve">Commencement </w:t>
      </w:r>
      <w:r w:rsidR="00E73F05">
        <w:t xml:space="preserve">and </w:t>
      </w:r>
      <w:r>
        <w:t>application pr</w:t>
      </w:r>
      <w:r w:rsidR="00E73F05">
        <w:t>ovisions</w:t>
      </w:r>
    </w:p>
    <w:p w14:paraId="5360CEE3" w14:textId="2136C6CE" w:rsidR="00D80256" w:rsidRDefault="00D965D6" w:rsidP="0092530E">
      <w:pPr>
        <w:pStyle w:val="base-text-paragraph"/>
      </w:pPr>
      <w:r>
        <w:t xml:space="preserve">The </w:t>
      </w:r>
      <w:r w:rsidRPr="00353F39">
        <w:rPr>
          <w:i/>
        </w:rPr>
        <w:t>Commonwealth Registers Bill 2018</w:t>
      </w:r>
      <w:r>
        <w:t xml:space="preserve"> com</w:t>
      </w:r>
      <w:r w:rsidR="00D7013D">
        <w:t>mences the day after Royal Assent. The remainder</w:t>
      </w:r>
      <w:r>
        <w:t xml:space="preserve"> of the</w:t>
      </w:r>
      <w:r w:rsidR="00D7013D">
        <w:t xml:space="preserve"> new</w:t>
      </w:r>
      <w:r w:rsidR="00D80256" w:rsidRPr="00353F39">
        <w:t xml:space="preserve"> </w:t>
      </w:r>
      <w:r w:rsidR="00252F39">
        <w:t>registry regime</w:t>
      </w:r>
      <w:r w:rsidR="007948D4">
        <w:t xml:space="preserve"> commence</w:t>
      </w:r>
      <w:r w:rsidR="00C22836">
        <w:t>s</w:t>
      </w:r>
      <w:r w:rsidR="007948D4">
        <w:t xml:space="preserve"> </w:t>
      </w:r>
      <w:r w:rsidR="00995A4C">
        <w:t>o</w:t>
      </w:r>
      <w:r w:rsidR="007230E9">
        <w:t>n a date set b</w:t>
      </w:r>
      <w:r w:rsidR="00995A4C">
        <w:t xml:space="preserve">y proclamation. This mechanism is used so that a commencement date can be set when administrative arrangements supporting the new regime are in place. </w:t>
      </w:r>
      <w:r w:rsidR="00415708">
        <w:t>These arra</w:t>
      </w:r>
      <w:r w:rsidR="00E41B79">
        <w:t>ngements include the use</w:t>
      </w:r>
      <w:r w:rsidR="00415708">
        <w:t xml:space="preserve"> of</w:t>
      </w:r>
      <w:r w:rsidR="00252F39">
        <w:t xml:space="preserve"> a</w:t>
      </w:r>
      <w:r w:rsidR="00415708">
        <w:t xml:space="preserve"> new information technology platform and the development of systems and process to support the new regime’s operation. </w:t>
      </w:r>
      <w:r w:rsidR="004F4055">
        <w:t>However, i</w:t>
      </w:r>
      <w:r w:rsidR="00995A4C">
        <w:t>f</w:t>
      </w:r>
      <w:r w:rsidR="00252F39">
        <w:t xml:space="preserve"> any provisions do not commence within</w:t>
      </w:r>
      <w:r w:rsidR="00995A4C">
        <w:t xml:space="preserve"> 24 months of the Bill</w:t>
      </w:r>
      <w:r w:rsidR="00C204BF">
        <w:t>s</w:t>
      </w:r>
      <w:r w:rsidR="00995A4C">
        <w:t xml:space="preserve"> receiving Royal Assent</w:t>
      </w:r>
      <w:r w:rsidR="00252F39">
        <w:t xml:space="preserve">, </w:t>
      </w:r>
      <w:r w:rsidR="00995A4C">
        <w:t>the</w:t>
      </w:r>
      <w:r w:rsidR="00252F39">
        <w:t xml:space="preserve">y automatically commence the day after the end of that period. </w:t>
      </w:r>
      <w:r w:rsidR="000E058C">
        <w:t>Automatic commencement after a designated period is a</w:t>
      </w:r>
      <w:r w:rsidR="004F4055">
        <w:t xml:space="preserve"> standard </w:t>
      </w:r>
      <w:r w:rsidR="000E058C">
        <w:t xml:space="preserve">feature of provisions that provide for commencement by proclamation. Automatic commencement </w:t>
      </w:r>
      <w:r w:rsidR="004F4055">
        <w:t xml:space="preserve">ensures that laws </w:t>
      </w:r>
      <w:r w:rsidR="000E058C">
        <w:t xml:space="preserve">do </w:t>
      </w:r>
      <w:r w:rsidR="004F4055">
        <w:t>not sit</w:t>
      </w:r>
      <w:r w:rsidR="000E058C">
        <w:t xml:space="preserve"> </w:t>
      </w:r>
      <w:r w:rsidR="00684598">
        <w:t>dormant</w:t>
      </w:r>
      <w:r w:rsidR="004F4055">
        <w:t xml:space="preserve"> on the statute books indefinitel</w:t>
      </w:r>
      <w:r w:rsidR="00EA2A44">
        <w:t>y.</w:t>
      </w:r>
      <w:r w:rsidR="00D046C8">
        <w:t xml:space="preserve"> </w:t>
      </w:r>
      <w:r w:rsidR="00C27BC0">
        <w:rPr>
          <w:rStyle w:val="Referencingstyle"/>
        </w:rPr>
        <w:t>[Section 2 of the</w:t>
      </w:r>
      <w:r w:rsidR="00621262">
        <w:rPr>
          <w:rStyle w:val="Referencingstyle"/>
        </w:rPr>
        <w:t xml:space="preserve"> Commonwealth Registers</w:t>
      </w:r>
      <w:r w:rsidR="00C27BC0">
        <w:rPr>
          <w:rStyle w:val="Referencingstyle"/>
        </w:rPr>
        <w:t xml:space="preserve"> Bill</w:t>
      </w:r>
      <w:r w:rsidR="00621262">
        <w:rPr>
          <w:rStyle w:val="Referencingstyle"/>
        </w:rPr>
        <w:t>, Section 2 of the</w:t>
      </w:r>
      <w:r w:rsidR="00273D37">
        <w:rPr>
          <w:rStyle w:val="Referencingstyle"/>
        </w:rPr>
        <w:t xml:space="preserve"> </w:t>
      </w:r>
      <w:r w:rsidR="00621262">
        <w:rPr>
          <w:rStyle w:val="Referencingstyle"/>
        </w:rPr>
        <w:t>Treasury Laws Amendment (Registries M</w:t>
      </w:r>
      <w:r w:rsidR="0039035A">
        <w:rPr>
          <w:rStyle w:val="Referencingstyle"/>
        </w:rPr>
        <w:t>odernisation and Other Measures</w:t>
      </w:r>
      <w:r w:rsidR="008C21C7">
        <w:rPr>
          <w:rStyle w:val="Referencingstyle"/>
        </w:rPr>
        <w:t>)</w:t>
      </w:r>
      <w:r w:rsidR="00621262">
        <w:rPr>
          <w:rStyle w:val="Referencingstyle"/>
        </w:rPr>
        <w:t xml:space="preserve"> Bill</w:t>
      </w:r>
      <w:r w:rsidR="00C27BC0" w:rsidRPr="00375F1D">
        <w:rPr>
          <w:rStyle w:val="Referencingstyle"/>
        </w:rPr>
        <w:t>]</w:t>
      </w:r>
    </w:p>
    <w:p w14:paraId="5360CEE4" w14:textId="3706F6CC" w:rsidR="002E4AFB" w:rsidRDefault="00E94625" w:rsidP="0092530E">
      <w:pPr>
        <w:pStyle w:val="base-text-paragraph"/>
      </w:pPr>
      <w:r>
        <w:t>There are application rules that apply in relation to the consequential amendments</w:t>
      </w:r>
      <w:r w:rsidR="004775BD">
        <w:t xml:space="preserve"> made in support the new registry regime</w:t>
      </w:r>
      <w:r>
        <w:t>. In particular</w:t>
      </w:r>
      <w:r w:rsidR="00285189">
        <w:t xml:space="preserve">, </w:t>
      </w:r>
      <w:r w:rsidR="00D046C8">
        <w:t>each</w:t>
      </w:r>
      <w:r w:rsidR="00285189">
        <w:t xml:space="preserve"> consequential </w:t>
      </w:r>
      <w:r w:rsidR="00027AB8">
        <w:t>a</w:t>
      </w:r>
      <w:r w:rsidR="00285189">
        <w:t>mendment</w:t>
      </w:r>
      <w:r w:rsidR="00D046C8">
        <w:t xml:space="preserve"> related to a particular function or power do</w:t>
      </w:r>
      <w:r w:rsidR="00CB57C8">
        <w:t>es</w:t>
      </w:r>
      <w:r w:rsidR="00D046C8">
        <w:t xml:space="preserve"> not apply until a</w:t>
      </w:r>
      <w:r w:rsidR="00285189">
        <w:t xml:space="preserve"> registrar is appointed</w:t>
      </w:r>
      <w:r w:rsidR="00D046C8">
        <w:t xml:space="preserve"> with respect to that function or power. </w:t>
      </w:r>
      <w:r w:rsidR="00D9719F">
        <w:t>Th</w:t>
      </w:r>
      <w:r w:rsidR="00CB57C8">
        <w:t xml:space="preserve">is ensures that a </w:t>
      </w:r>
      <w:r w:rsidR="003217CF">
        <w:t>r</w:t>
      </w:r>
      <w:r w:rsidR="00CB57C8">
        <w:t>egistry function or power continues to be</w:t>
      </w:r>
      <w:r w:rsidR="003217CF">
        <w:t xml:space="preserve"> </w:t>
      </w:r>
      <w:r w:rsidR="00D9719F">
        <w:t>administered un</w:t>
      </w:r>
      <w:r w:rsidR="003217CF">
        <w:t>der the current law until it is allocated by the Minister</w:t>
      </w:r>
      <w:r w:rsidR="00D9719F">
        <w:t xml:space="preserve"> to </w:t>
      </w:r>
      <w:r w:rsidR="003217CF">
        <w:t>the</w:t>
      </w:r>
      <w:r w:rsidR="00D9719F">
        <w:t xml:space="preserve"> registrar</w:t>
      </w:r>
      <w:r w:rsidR="00B22C87">
        <w:t xml:space="preserve"> under the new law</w:t>
      </w:r>
      <w:r w:rsidR="00D9719F">
        <w:t>.</w:t>
      </w:r>
      <w:r w:rsidR="00027AB8">
        <w:t xml:space="preserve"> </w:t>
      </w:r>
      <w:r w:rsidR="00341C92">
        <w:rPr>
          <w:rStyle w:val="Referencingstyle"/>
        </w:rPr>
        <w:t>[</w:t>
      </w:r>
      <w:r w:rsidR="008C21C7">
        <w:rPr>
          <w:rStyle w:val="Referencingstyle"/>
        </w:rPr>
        <w:t xml:space="preserve">Tranche 1 of exposure draft legislation: </w:t>
      </w:r>
      <w:r w:rsidR="005E4678">
        <w:rPr>
          <w:rStyle w:val="Referencingstyle"/>
        </w:rPr>
        <w:t>Schedule 1, items 359, 819,</w:t>
      </w:r>
      <w:r w:rsidR="00341C92" w:rsidRPr="00375F1D">
        <w:rPr>
          <w:rStyle w:val="Referencingstyle"/>
        </w:rPr>
        <w:t xml:space="preserve"> </w:t>
      </w:r>
      <w:r w:rsidR="0039035A">
        <w:rPr>
          <w:rStyle w:val="Referencingstyle"/>
        </w:rPr>
        <w:t>870 and 871</w:t>
      </w:r>
      <w:r w:rsidR="005E4678">
        <w:rPr>
          <w:rStyle w:val="Referencingstyle"/>
        </w:rPr>
        <w:t xml:space="preserve"> </w:t>
      </w:r>
      <w:r w:rsidR="0039035A">
        <w:rPr>
          <w:rStyle w:val="Referencingstyle"/>
        </w:rPr>
        <w:t>of the</w:t>
      </w:r>
      <w:r w:rsidR="00341C92" w:rsidRPr="00375F1D">
        <w:rPr>
          <w:rStyle w:val="Referencingstyle"/>
        </w:rPr>
        <w:t xml:space="preserve"> of </w:t>
      </w:r>
      <w:r w:rsidR="0039035A">
        <w:rPr>
          <w:rStyle w:val="Referencingstyle"/>
        </w:rPr>
        <w:t>the Treasury Laws Amendment (Registries Modernisation and Other Measures</w:t>
      </w:r>
      <w:r w:rsidR="008C21C7">
        <w:rPr>
          <w:rStyle w:val="Referencingstyle"/>
        </w:rPr>
        <w:t>)</w:t>
      </w:r>
      <w:r w:rsidR="0039035A">
        <w:rPr>
          <w:rStyle w:val="Referencingstyle"/>
        </w:rPr>
        <w:t xml:space="preserve"> Bill</w:t>
      </w:r>
      <w:r w:rsidR="008C21C7">
        <w:rPr>
          <w:rStyle w:val="Referencingstyle"/>
        </w:rPr>
        <w:t>; Tranche 2 of exposure draft legislation: Schedule 1, item 521 of the</w:t>
      </w:r>
      <w:r w:rsidR="008C21C7" w:rsidRPr="00375F1D">
        <w:rPr>
          <w:rStyle w:val="Referencingstyle"/>
        </w:rPr>
        <w:t xml:space="preserve"> of </w:t>
      </w:r>
      <w:r w:rsidR="008C21C7">
        <w:rPr>
          <w:rStyle w:val="Referencingstyle"/>
        </w:rPr>
        <w:t>the Treasury Laws Amendment (Registries Modernisation and Other Measures) Bill</w:t>
      </w:r>
      <w:r w:rsidR="00341C92" w:rsidRPr="00375F1D">
        <w:rPr>
          <w:rStyle w:val="Referencingstyle"/>
        </w:rPr>
        <w:t>]</w:t>
      </w:r>
    </w:p>
    <w:p w14:paraId="5360CEE5" w14:textId="77777777" w:rsidR="00054888" w:rsidRDefault="00054888" w:rsidP="00B17774">
      <w:pPr>
        <w:sectPr w:rsidR="00054888" w:rsidSect="00E33D9C">
          <w:footerReference w:type="even" r:id="rId30"/>
          <w:footerReference w:type="default" r:id="rId31"/>
          <w:footerReference w:type="first" r:id="rId32"/>
          <w:type w:val="oddPage"/>
          <w:pgSz w:w="11907" w:h="16839" w:code="9"/>
          <w:pgMar w:top="567" w:right="1134" w:bottom="567" w:left="1134" w:header="709" w:footer="709" w:gutter="0"/>
          <w:cols w:space="708"/>
          <w:titlePg/>
          <w:docGrid w:linePitch="360"/>
        </w:sectPr>
      </w:pPr>
    </w:p>
    <w:p w14:paraId="5360CEE6" w14:textId="77777777" w:rsidR="00E778A4" w:rsidRPr="007C2B20" w:rsidRDefault="00E778A4" w:rsidP="0092530E">
      <w:pPr>
        <w:pStyle w:val="ChapterHeading"/>
      </w:pPr>
      <w:r w:rsidRPr="000C2A9D">
        <w:lastRenderedPageBreak/>
        <w:br/>
      </w:r>
      <w:bookmarkStart w:id="24" w:name="_Toc524732032"/>
      <w:bookmarkStart w:id="25" w:name="_Toc527364003"/>
      <w:r w:rsidRPr="0092530E">
        <w:t>Director identification number</w:t>
      </w:r>
      <w:bookmarkEnd w:id="24"/>
      <w:bookmarkEnd w:id="25"/>
    </w:p>
    <w:p w14:paraId="5360CEE7" w14:textId="77777777" w:rsidR="00E778A4" w:rsidRDefault="00E778A4" w:rsidP="00B17774">
      <w:pPr>
        <w:pStyle w:val="Heading2"/>
      </w:pPr>
      <w:r>
        <w:t>Outline of chapter</w:t>
      </w:r>
    </w:p>
    <w:p w14:paraId="5360CEE8" w14:textId="744E275E" w:rsidR="00443248" w:rsidRDefault="00443248" w:rsidP="0092530E">
      <w:pPr>
        <w:pStyle w:val="base-text-paragraph"/>
      </w:pPr>
      <w:r>
        <w:t xml:space="preserve">Schedule </w:t>
      </w:r>
      <w:r w:rsidR="0092530E">
        <w:t>2</w:t>
      </w:r>
      <w:r>
        <w:t xml:space="preserve"> </w:t>
      </w:r>
      <w:r w:rsidR="002A5B3D">
        <w:t>of</w:t>
      </w:r>
      <w:r>
        <w:t xml:space="preserve"> the</w:t>
      </w:r>
      <w:r w:rsidRPr="00353F39">
        <w:rPr>
          <w:lang w:val="en-US"/>
        </w:rPr>
        <w:t xml:space="preserve"> </w:t>
      </w:r>
      <w:r w:rsidR="002A5B3D">
        <w:rPr>
          <w:lang w:eastAsia="en-US"/>
        </w:rPr>
        <w:t>Treasury Laws Amendment (R</w:t>
      </w:r>
      <w:r w:rsidR="002A5B3D" w:rsidRPr="00416AF8">
        <w:rPr>
          <w:lang w:eastAsia="en-US"/>
        </w:rPr>
        <w:t xml:space="preserve">egistries Modernisation and </w:t>
      </w:r>
      <w:r w:rsidR="002A5B3D">
        <w:rPr>
          <w:lang w:eastAsia="en-US"/>
        </w:rPr>
        <w:t xml:space="preserve">Other Measures) </w:t>
      </w:r>
      <w:r>
        <w:t>Bill</w:t>
      </w:r>
      <w:r w:rsidR="002A5B3D">
        <w:rPr>
          <w:lang w:eastAsia="en-US"/>
        </w:rPr>
        <w:t> </w:t>
      </w:r>
      <w:r w:rsidR="002A5B3D" w:rsidRPr="00416AF8">
        <w:rPr>
          <w:lang w:eastAsia="en-US"/>
        </w:rPr>
        <w:t>2018</w:t>
      </w:r>
      <w:r>
        <w:t xml:space="preserve"> amends the Corporations Act and the </w:t>
      </w:r>
      <w:r w:rsidRPr="005F6180">
        <w:rPr>
          <w:i/>
        </w:rPr>
        <w:t>Corporations (Aboriginal and Torres Strait Islander) Act 2006</w:t>
      </w:r>
      <w:r w:rsidRPr="005F6180">
        <w:t xml:space="preserve"> (CATSI Act)</w:t>
      </w:r>
      <w:r>
        <w:t xml:space="preserve"> to </w:t>
      </w:r>
      <w:r w:rsidR="00472CDA">
        <w:t>introduce a director identification number (DIN) r</w:t>
      </w:r>
      <w:r w:rsidR="001E5A83">
        <w:t>equirement</w:t>
      </w:r>
      <w:r w:rsidR="00472CDA">
        <w:t>. It sets out:</w:t>
      </w:r>
    </w:p>
    <w:p w14:paraId="5360CEE9" w14:textId="77777777" w:rsidR="00A848E0" w:rsidRDefault="00A848E0" w:rsidP="00A848E0">
      <w:pPr>
        <w:pStyle w:val="dotpoint"/>
      </w:pPr>
      <w:r>
        <w:t xml:space="preserve">the persons to which the new </w:t>
      </w:r>
      <w:r w:rsidR="001E5A83">
        <w:t>requirement</w:t>
      </w:r>
      <w:r>
        <w:t xml:space="preserve"> applies;</w:t>
      </w:r>
    </w:p>
    <w:p w14:paraId="5360CEEA" w14:textId="77777777" w:rsidR="00A848E0" w:rsidRDefault="00A848E0" w:rsidP="00A848E0">
      <w:pPr>
        <w:pStyle w:val="dotpoint"/>
      </w:pPr>
      <w:r>
        <w:t xml:space="preserve">the obligations associated with the new </w:t>
      </w:r>
      <w:r w:rsidR="001E5A83">
        <w:t>requirement</w:t>
      </w:r>
      <w:r>
        <w:t>;</w:t>
      </w:r>
    </w:p>
    <w:p w14:paraId="5360CEEB" w14:textId="77777777" w:rsidR="005405CB" w:rsidRDefault="00A848E0" w:rsidP="00A848E0">
      <w:pPr>
        <w:pStyle w:val="dotpoint"/>
      </w:pPr>
      <w:r>
        <w:t xml:space="preserve">how the new </w:t>
      </w:r>
      <w:r w:rsidR="001E5A83">
        <w:t>requirement</w:t>
      </w:r>
      <w:r w:rsidDel="001E5A83">
        <w:t xml:space="preserve"> </w:t>
      </w:r>
      <w:r>
        <w:t>is administered</w:t>
      </w:r>
      <w:r w:rsidR="005405CB">
        <w:t>; and</w:t>
      </w:r>
    </w:p>
    <w:p w14:paraId="5360CEEC" w14:textId="77777777" w:rsidR="00A848E0" w:rsidRDefault="005405CB" w:rsidP="00A848E0">
      <w:pPr>
        <w:pStyle w:val="dotpoint"/>
      </w:pPr>
      <w:proofErr w:type="gramStart"/>
      <w:r>
        <w:t>the</w:t>
      </w:r>
      <w:proofErr w:type="gramEnd"/>
      <w:r>
        <w:t xml:space="preserve"> consequences of contravening the new law</w:t>
      </w:r>
      <w:r w:rsidR="00A848E0">
        <w:t xml:space="preserve">. </w:t>
      </w:r>
    </w:p>
    <w:p w14:paraId="5360CEED" w14:textId="754943BF" w:rsidR="00E778A4" w:rsidRDefault="00E778A4" w:rsidP="00B17774">
      <w:pPr>
        <w:pStyle w:val="Heading2"/>
      </w:pPr>
      <w:r>
        <w:t>Context of amendments</w:t>
      </w:r>
    </w:p>
    <w:p w14:paraId="5360CEEE" w14:textId="77777777" w:rsidR="008A77C0" w:rsidRDefault="008A77C0" w:rsidP="0092530E">
      <w:pPr>
        <w:pStyle w:val="base-text-paragraph"/>
      </w:pPr>
      <w:proofErr w:type="spellStart"/>
      <w:r>
        <w:t>Phoenixing</w:t>
      </w:r>
      <w:proofErr w:type="spellEnd"/>
      <w:r>
        <w:t xml:space="preserve"> occurs when the controllers of a company deliberately avoid paying liabilities by shutting down an indebted company and </w:t>
      </w:r>
      <w:r w:rsidR="004762CF">
        <w:t xml:space="preserve">transferring </w:t>
      </w:r>
      <w:r>
        <w:t xml:space="preserve">its assets to another company. </w:t>
      </w:r>
      <w:proofErr w:type="gramStart"/>
      <w:r>
        <w:t>This impacts</w:t>
      </w:r>
      <w:proofErr w:type="gramEnd"/>
      <w:r>
        <w:t xml:space="preserve"> on creditors </w:t>
      </w:r>
      <w:r w:rsidR="00BA25E0">
        <w:t>who fail to</w:t>
      </w:r>
      <w:r>
        <w:t xml:space="preserve"> receiv</w:t>
      </w:r>
      <w:r w:rsidR="00BA25E0">
        <w:t>e</w:t>
      </w:r>
      <w:r>
        <w:t xml:space="preserve"> payments for goods and services, employees through lost wages and/or superannuation entitlements and the general public through lost revenue to the Government. The total cost of </w:t>
      </w:r>
      <w:proofErr w:type="spellStart"/>
      <w:r>
        <w:t>phoenixing</w:t>
      </w:r>
      <w:proofErr w:type="spellEnd"/>
      <w:r>
        <w:t xml:space="preserve"> to the Australian economy is estimated to be between $2.9</w:t>
      </w:r>
      <w:r w:rsidR="00BA25E0">
        <w:t> </w:t>
      </w:r>
      <w:r>
        <w:t>billion and $5.1 billion annually.</w:t>
      </w:r>
    </w:p>
    <w:p w14:paraId="5360CEEF" w14:textId="77777777" w:rsidR="008835E7" w:rsidRDefault="008835E7" w:rsidP="0092530E">
      <w:pPr>
        <w:pStyle w:val="base-text-paragraph"/>
      </w:pPr>
      <w:r>
        <w:t xml:space="preserve">The Commonwealth Government currently has a number of initiatives underway to deter and penalise phoenix activity in order to protect those </w:t>
      </w:r>
      <w:r w:rsidR="00BA25E0">
        <w:t>who</w:t>
      </w:r>
      <w:r>
        <w:t xml:space="preserve"> are negatively affected by such fraudulent behaviour. One initiative is the introduction of a DIN, which the Government announced on 12 September 2017. </w:t>
      </w:r>
    </w:p>
    <w:p w14:paraId="5360CEF0" w14:textId="77777777" w:rsidR="008835E7" w:rsidRDefault="008835E7" w:rsidP="0092530E">
      <w:pPr>
        <w:pStyle w:val="base-text-paragraph"/>
      </w:pPr>
      <w:r>
        <w:t>The DIN will require all directors to confirm their identity and it will be a unique identifier for each person who consents to be</w:t>
      </w:r>
      <w:r w:rsidR="008E4432">
        <w:t>ing</w:t>
      </w:r>
      <w:r>
        <w:t xml:space="preserve"> a director. The person will keep</w:t>
      </w:r>
      <w:r w:rsidR="00AD1DA6">
        <w:t xml:space="preserve"> that unique identifier</w:t>
      </w:r>
      <w:r>
        <w:t xml:space="preserve"> even if their directorship w</w:t>
      </w:r>
      <w:r w:rsidR="00AD1DA6">
        <w:t>ith a particular company ceases</w:t>
      </w:r>
      <w:r>
        <w:t xml:space="preserve">. As such, the DIN will provide traceability of a director’s relationships across companies, enabling better tracking of directors of failed companies and </w:t>
      </w:r>
      <w:r w:rsidR="00033A4A">
        <w:t>will</w:t>
      </w:r>
      <w:r>
        <w:t xml:space="preserve"> prevent the use of fictitious identities. This will assist regulators and external administrators </w:t>
      </w:r>
      <w:r w:rsidR="00BA25E0">
        <w:t xml:space="preserve">to </w:t>
      </w:r>
      <w:r>
        <w:t>investigate a director’s involvement in what may be repeated unlawful activity including illegal phoenix activity.</w:t>
      </w:r>
    </w:p>
    <w:p w14:paraId="5360CEF1" w14:textId="77777777" w:rsidR="008835E7" w:rsidRDefault="008835E7" w:rsidP="0092530E">
      <w:pPr>
        <w:pStyle w:val="base-text-paragraph"/>
      </w:pPr>
      <w:r>
        <w:lastRenderedPageBreak/>
        <w:t xml:space="preserve">To date, although the law has required that directors’ details be lodged with ASIC, it has not required the regulator to verify the identity of directors. This verification aspect of the DIN will improve the integrity of the data and help with enforcement action associated with </w:t>
      </w:r>
      <w:proofErr w:type="spellStart"/>
      <w:r>
        <w:t>phoenixing</w:t>
      </w:r>
      <w:proofErr w:type="spellEnd"/>
      <w:r>
        <w:t>.</w:t>
      </w:r>
    </w:p>
    <w:p w14:paraId="5360CEF2" w14:textId="77777777" w:rsidR="008835E7" w:rsidRDefault="008835E7" w:rsidP="0092530E">
      <w:pPr>
        <w:pStyle w:val="base-text-paragraph"/>
      </w:pPr>
      <w:r>
        <w:t xml:space="preserve">The </w:t>
      </w:r>
      <w:r w:rsidR="008A77C0">
        <w:t>new DIN regime</w:t>
      </w:r>
      <w:r>
        <w:t xml:space="preserve"> will also offer benefits beyond combating </w:t>
      </w:r>
      <w:proofErr w:type="spellStart"/>
      <w:r>
        <w:t>phoen</w:t>
      </w:r>
      <w:r w:rsidR="00BA25E0">
        <w:t>i</w:t>
      </w:r>
      <w:r>
        <w:t>xing</w:t>
      </w:r>
      <w:proofErr w:type="spellEnd"/>
      <w:r>
        <w:t>. For instance, simpler more effective tracking of directors and their corporate history will reduce time and cost for administrators and liquidators</w:t>
      </w:r>
      <w:r w:rsidR="008A77C0">
        <w:t>,</w:t>
      </w:r>
      <w:r>
        <w:t xml:space="preserve"> </w:t>
      </w:r>
      <w:r w:rsidR="00D443D1">
        <w:t>thereby</w:t>
      </w:r>
      <w:r>
        <w:t xml:space="preserve"> improving the efficiency of the insolvency process. </w:t>
      </w:r>
      <w:r w:rsidR="005840CE">
        <w:t>In addition, the new regime will</w:t>
      </w:r>
      <w:r w:rsidR="006126D8">
        <w:t xml:space="preserve"> improve data integrity</w:t>
      </w:r>
      <w:r w:rsidR="005840CE">
        <w:t xml:space="preserve"> and security, including by allowing directors to be identified by a number rather than by other more personally identifiable information such as their name and address.</w:t>
      </w:r>
    </w:p>
    <w:p w14:paraId="5360CEF3" w14:textId="77777777" w:rsidR="008835E7" w:rsidRDefault="008835E7" w:rsidP="00634011">
      <w:pPr>
        <w:pStyle w:val="base-text-paragraph"/>
      </w:pPr>
      <w:r>
        <w:t xml:space="preserve">The introduction of a DIN was recommended by the Productivity Commission in </w:t>
      </w:r>
      <w:r w:rsidR="00FF1F77">
        <w:t xml:space="preserve">its </w:t>
      </w:r>
      <w:r>
        <w:t xml:space="preserve">September 2015 </w:t>
      </w:r>
      <w:r w:rsidR="00FF1F77">
        <w:t>final report into</w:t>
      </w:r>
      <w:r>
        <w:t xml:space="preserve"> </w:t>
      </w:r>
      <w:r w:rsidRPr="0071319C">
        <w:rPr>
          <w:i/>
        </w:rPr>
        <w:t>Business Set-up, Transfer and Closure</w:t>
      </w:r>
      <w:r>
        <w:t>.</w:t>
      </w:r>
      <w:r w:rsidR="008A77C0">
        <w:rPr>
          <w:rStyle w:val="FootnoteReference"/>
        </w:rPr>
        <w:footnoteReference w:id="37"/>
      </w:r>
      <w:r>
        <w:t xml:space="preserve"> In the report, the Productivity Commission noted its confidence that the introduction of a DIN would likely be of significant net benefit to the community as a whole.</w:t>
      </w:r>
    </w:p>
    <w:p w14:paraId="5360CEF4" w14:textId="77777777" w:rsidR="00E778A4" w:rsidRDefault="00E778A4" w:rsidP="00B17774">
      <w:pPr>
        <w:pStyle w:val="Heading2"/>
      </w:pPr>
      <w:r>
        <w:t>Summary of new law</w:t>
      </w:r>
    </w:p>
    <w:p w14:paraId="5360CEF5" w14:textId="0274A942" w:rsidR="00077B2C" w:rsidRDefault="0057797D" w:rsidP="0092530E">
      <w:pPr>
        <w:pStyle w:val="base-text-paragraph"/>
      </w:pPr>
      <w:r>
        <w:t>The new law</w:t>
      </w:r>
      <w:r w:rsidR="00D4784E">
        <w:t xml:space="preserve"> amends the Corporations Act and the CATSI Act to introduce a DIN </w:t>
      </w:r>
      <w:r w:rsidR="00EC6E25">
        <w:t>requirement</w:t>
      </w:r>
      <w:r w:rsidR="00D4784E">
        <w:t xml:space="preserve">. </w:t>
      </w:r>
      <w:r w:rsidR="00311946">
        <w:t xml:space="preserve">The new </w:t>
      </w:r>
      <w:r w:rsidR="00EC6E25">
        <w:t>requirement</w:t>
      </w:r>
      <w:r w:rsidR="00077B2C">
        <w:t xml:space="preserve"> assist</w:t>
      </w:r>
      <w:r w:rsidR="005968C2">
        <w:t>s</w:t>
      </w:r>
      <w:r w:rsidR="00077B2C">
        <w:t xml:space="preserve"> regulators to better detect, deter and di</w:t>
      </w:r>
      <w:r w:rsidR="00311946">
        <w:t xml:space="preserve">srupt </w:t>
      </w:r>
      <w:proofErr w:type="spellStart"/>
      <w:r w:rsidR="00D4784E">
        <w:t>phoenixing</w:t>
      </w:r>
      <w:proofErr w:type="spellEnd"/>
      <w:r w:rsidR="00D4784E">
        <w:t xml:space="preserve"> and </w:t>
      </w:r>
      <w:r w:rsidR="00311946">
        <w:t>improve</w:t>
      </w:r>
      <w:r w:rsidR="00D4784E">
        <w:t>s</w:t>
      </w:r>
      <w:r w:rsidR="00311946">
        <w:t xml:space="preserve"> the integrity of corporate data</w:t>
      </w:r>
      <w:r w:rsidR="00D4784E">
        <w:t xml:space="preserve"> maintained by the </w:t>
      </w:r>
      <w:r w:rsidR="008F7B46">
        <w:t>registrar</w:t>
      </w:r>
      <w:r w:rsidR="00D4784E">
        <w:t>.</w:t>
      </w:r>
    </w:p>
    <w:p w14:paraId="5360CEF6" w14:textId="77777777" w:rsidR="00D4784E" w:rsidRDefault="00D4784E" w:rsidP="0092530E">
      <w:pPr>
        <w:pStyle w:val="base-text-paragraph"/>
      </w:pPr>
      <w:r>
        <w:t>Unde</w:t>
      </w:r>
      <w:r w:rsidR="00D25A5F">
        <w:t>r the new re</w:t>
      </w:r>
      <w:r w:rsidR="00EC6E25">
        <w:t>quirement</w:t>
      </w:r>
      <w:r w:rsidR="00D25A5F">
        <w:t xml:space="preserve"> a person appointed as a </w:t>
      </w:r>
      <w:r>
        <w:t xml:space="preserve">director of a body corporate registered under the Corporations Act or the CATSI Act must apply to the registrar for </w:t>
      </w:r>
      <w:r w:rsidR="00DF543A">
        <w:t>a</w:t>
      </w:r>
      <w:r>
        <w:t xml:space="preserve"> DIN.</w:t>
      </w:r>
      <w:r w:rsidR="00D25A5F">
        <w:t xml:space="preserve"> The person has 28 days to apply</w:t>
      </w:r>
      <w:r w:rsidR="00DF543A">
        <w:t xml:space="preserve"> </w:t>
      </w:r>
      <w:r w:rsidR="008F7B46">
        <w:t>from the date</w:t>
      </w:r>
      <w:r w:rsidR="00185B2A">
        <w:t xml:space="preserve"> they are appointed a director</w:t>
      </w:r>
      <w:r w:rsidR="00D25A5F">
        <w:t xml:space="preserve"> unless they are provided an exemption or </w:t>
      </w:r>
      <w:r w:rsidR="00185B2A">
        <w:t>extension</w:t>
      </w:r>
      <w:r w:rsidR="00D25A5F">
        <w:t xml:space="preserve"> by the registrar.</w:t>
      </w:r>
      <w:r w:rsidR="00236614">
        <w:t xml:space="preserve"> After receiving</w:t>
      </w:r>
      <w:r w:rsidR="00E60D66">
        <w:t xml:space="preserve"> an application, the </w:t>
      </w:r>
      <w:r>
        <w:t>regi</w:t>
      </w:r>
      <w:r w:rsidR="00E60D66">
        <w:t xml:space="preserve">strar must provide the director with </w:t>
      </w:r>
      <w:r>
        <w:t>a DIN if</w:t>
      </w:r>
      <w:r w:rsidR="00E60D66">
        <w:t xml:space="preserve"> the </w:t>
      </w:r>
      <w:r w:rsidR="00D443D1">
        <w:t>registrar</w:t>
      </w:r>
      <w:r w:rsidR="00E60D66">
        <w:t xml:space="preserve"> is</w:t>
      </w:r>
      <w:r>
        <w:t xml:space="preserve"> satisfied</w:t>
      </w:r>
      <w:r w:rsidR="00053552">
        <w:t xml:space="preserve"> that the director’s</w:t>
      </w:r>
      <w:r>
        <w:t xml:space="preserve"> identity has been established.</w:t>
      </w:r>
    </w:p>
    <w:p w14:paraId="5360CEF7" w14:textId="77777777" w:rsidR="00D4784E" w:rsidRPr="00E60D66" w:rsidRDefault="00D25A5F" w:rsidP="0092530E">
      <w:pPr>
        <w:pStyle w:val="base-text-paragraph"/>
      </w:pPr>
      <w:r w:rsidRPr="0092530E">
        <w:t>The</w:t>
      </w:r>
      <w:r>
        <w:rPr>
          <w:lang w:val="en-US" w:eastAsia="en-US"/>
        </w:rPr>
        <w:t xml:space="preserve"> </w:t>
      </w:r>
      <w:r w:rsidR="00D443D1">
        <w:rPr>
          <w:lang w:val="en-US" w:eastAsia="en-US"/>
        </w:rPr>
        <w:t>registrar</w:t>
      </w:r>
      <w:r>
        <w:rPr>
          <w:lang w:val="en-US" w:eastAsia="en-US"/>
        </w:rPr>
        <w:t xml:space="preserve"> is provided with powers to administer the new </w:t>
      </w:r>
      <w:r w:rsidR="00EC6E25">
        <w:rPr>
          <w:lang w:val="en-US" w:eastAsia="en-US"/>
        </w:rPr>
        <w:t>requirement</w:t>
      </w:r>
      <w:r>
        <w:rPr>
          <w:lang w:val="en-US" w:eastAsia="en-US"/>
        </w:rPr>
        <w:t>. These include</w:t>
      </w:r>
      <w:r w:rsidR="00053552">
        <w:rPr>
          <w:lang w:val="en-US" w:eastAsia="en-US"/>
        </w:rPr>
        <w:t xml:space="preserve"> powers to: issue DINs; keep necessary record</w:t>
      </w:r>
      <w:r w:rsidR="00D443D1">
        <w:rPr>
          <w:lang w:val="en-US" w:eastAsia="en-US"/>
        </w:rPr>
        <w:t>s</w:t>
      </w:r>
      <w:r w:rsidR="00053552">
        <w:rPr>
          <w:lang w:val="en-US" w:eastAsia="en-US"/>
        </w:rPr>
        <w:t>; cancel and reissue DINs;</w:t>
      </w:r>
      <w:r>
        <w:rPr>
          <w:lang w:val="en-US" w:eastAsia="en-US"/>
        </w:rPr>
        <w:t xml:space="preserve"> dete</w:t>
      </w:r>
      <w:r w:rsidR="00053552">
        <w:rPr>
          <w:lang w:val="en-US" w:eastAsia="en-US"/>
        </w:rPr>
        <w:t xml:space="preserve">rmine the numbering plan for the new </w:t>
      </w:r>
      <w:r w:rsidR="00EC6E25">
        <w:rPr>
          <w:lang w:val="en-US" w:eastAsia="en-US"/>
        </w:rPr>
        <w:t>requirement</w:t>
      </w:r>
      <w:r w:rsidR="00053552">
        <w:rPr>
          <w:lang w:val="en-US" w:eastAsia="en-US"/>
        </w:rPr>
        <w:t>;</w:t>
      </w:r>
      <w:r>
        <w:rPr>
          <w:lang w:val="en-US" w:eastAsia="en-US"/>
        </w:rPr>
        <w:t xml:space="preserve"> and</w:t>
      </w:r>
      <w:r w:rsidR="00053552">
        <w:rPr>
          <w:lang w:val="en-US" w:eastAsia="en-US"/>
        </w:rPr>
        <w:t>, determine</w:t>
      </w:r>
      <w:r>
        <w:rPr>
          <w:lang w:val="en-US" w:eastAsia="en-US"/>
        </w:rPr>
        <w:t xml:space="preserve"> how directors are to establish their identity. The </w:t>
      </w:r>
      <w:r w:rsidR="00D443D1">
        <w:rPr>
          <w:lang w:val="en-US" w:eastAsia="en-US"/>
        </w:rPr>
        <w:t>registrar</w:t>
      </w:r>
      <w:r>
        <w:rPr>
          <w:lang w:val="en-US" w:eastAsia="en-US"/>
        </w:rPr>
        <w:t xml:space="preserve"> may make data standards, </w:t>
      </w:r>
      <w:r w:rsidR="00B13A74">
        <w:rPr>
          <w:lang w:val="en-US" w:eastAsia="en-US"/>
        </w:rPr>
        <w:t>by way of legislative instrument</w:t>
      </w:r>
      <w:r>
        <w:rPr>
          <w:lang w:val="en-US" w:eastAsia="en-US"/>
        </w:rPr>
        <w:t>, in relation to these and other matters</w:t>
      </w:r>
      <w:r w:rsidR="00D443D1">
        <w:rPr>
          <w:lang w:val="en-US" w:eastAsia="en-US"/>
        </w:rPr>
        <w:t>.</w:t>
      </w:r>
    </w:p>
    <w:p w14:paraId="5360CEF8" w14:textId="77777777" w:rsidR="00C649B1" w:rsidRDefault="00C649B1" w:rsidP="0092530E">
      <w:pPr>
        <w:pStyle w:val="base-text-paragraph"/>
      </w:pPr>
      <w:r>
        <w:t xml:space="preserve">There are </w:t>
      </w:r>
      <w:r w:rsidR="0012124B">
        <w:t>civil and</w:t>
      </w:r>
      <w:r>
        <w:t xml:space="preserve"> criminal penalties for directors that fail to apply for a DIN within the applicable timeframe.</w:t>
      </w:r>
      <w:r w:rsidR="00897674">
        <w:t xml:space="preserve"> The registrar, or a senior </w:t>
      </w:r>
      <w:r w:rsidR="00897674">
        <w:lastRenderedPageBreak/>
        <w:t>member of its staff, may also issue infringement notice</w:t>
      </w:r>
      <w:r w:rsidR="00012F2A">
        <w:t>s</w:t>
      </w:r>
      <w:r w:rsidR="00897674">
        <w:t xml:space="preserve"> in relation to such conduct.</w:t>
      </w:r>
      <w:r w:rsidR="000329C8">
        <w:t xml:space="preserve"> There are</w:t>
      </w:r>
      <w:r w:rsidR="007C56D2">
        <w:t xml:space="preserve"> also</w:t>
      </w:r>
      <w:r w:rsidR="0012124B">
        <w:t xml:space="preserve"> civil and</w:t>
      </w:r>
      <w:r w:rsidR="007C56D2">
        <w:t xml:space="preserve"> criminal penalties which apply to conduct</w:t>
      </w:r>
      <w:r>
        <w:t xml:space="preserve"> that would</w:t>
      </w:r>
      <w:r w:rsidR="0050368F">
        <w:t xml:space="preserve"> otherwise undermine the new </w:t>
      </w:r>
      <w:r w:rsidR="00012F2A">
        <w:t xml:space="preserve">DIN </w:t>
      </w:r>
      <w:r w:rsidR="00EC6E25">
        <w:t>requirement</w:t>
      </w:r>
      <w:r w:rsidR="0050368F">
        <w:t>. For example, there are criminal penalties for</w:t>
      </w:r>
      <w:r>
        <w:t xml:space="preserve"> </w:t>
      </w:r>
      <w:r w:rsidR="00CF32CE">
        <w:t>deliberately providing</w:t>
      </w:r>
      <w:r w:rsidR="000329C8">
        <w:t xml:space="preserve"> false</w:t>
      </w:r>
      <w:r w:rsidR="007C56D2">
        <w:t xml:space="preserve"> identity </w:t>
      </w:r>
      <w:r w:rsidR="000329C8">
        <w:t>information</w:t>
      </w:r>
      <w:r w:rsidR="0050368F">
        <w:t xml:space="preserve"> to the registrar, intentionally providing a false DIN to a Government body or relevant body corporate, and</w:t>
      </w:r>
      <w:r w:rsidR="000329C8">
        <w:t xml:space="preserve"> </w:t>
      </w:r>
      <w:r>
        <w:t>intentionally applying for multiple DINs.</w:t>
      </w:r>
    </w:p>
    <w:p w14:paraId="5360CEF9" w14:textId="77777777" w:rsidR="00053552" w:rsidRDefault="0050368F" w:rsidP="0092530E">
      <w:pPr>
        <w:pStyle w:val="base-text-paragraph"/>
      </w:pPr>
      <w:r>
        <w:t xml:space="preserve">The new </w:t>
      </w:r>
      <w:r w:rsidR="00EC6E25">
        <w:t>requirement</w:t>
      </w:r>
      <w:r>
        <w:t xml:space="preserve"> contains transitional provisions that apply in relation to a person that is currently appointed as a director at the time the</w:t>
      </w:r>
      <w:r w:rsidR="00236614">
        <w:t xml:space="preserve"> new</w:t>
      </w:r>
      <w:r>
        <w:t xml:space="preserve"> </w:t>
      </w:r>
      <w:r w:rsidR="00EC6E25">
        <w:t>requirement</w:t>
      </w:r>
      <w:r>
        <w:t xml:space="preserve"> starts to apply. Such a person has</w:t>
      </w:r>
      <w:r w:rsidR="00236614">
        <w:t xml:space="preserve"> 15 month</w:t>
      </w:r>
      <w:r w:rsidR="00A64DB6">
        <w:t>s</w:t>
      </w:r>
      <w:r w:rsidR="00236614">
        <w:t xml:space="preserve"> to apply</w:t>
      </w:r>
      <w:r>
        <w:t xml:space="preserve"> for a DIN</w:t>
      </w:r>
      <w:r w:rsidR="00236614">
        <w:t xml:space="preserve"> from the application day of the new </w:t>
      </w:r>
      <w:r w:rsidR="00EC6E25">
        <w:t>requirement</w:t>
      </w:r>
      <w:r>
        <w:t>.</w:t>
      </w:r>
    </w:p>
    <w:p w14:paraId="5360CEFA" w14:textId="77777777" w:rsidR="00E778A4" w:rsidRDefault="00E778A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E778A4" w:rsidRPr="004666B8" w14:paraId="5360CEFD" w14:textId="77777777" w:rsidTr="005E52FA">
        <w:tc>
          <w:tcPr>
            <w:tcW w:w="3275" w:type="dxa"/>
          </w:tcPr>
          <w:p w14:paraId="5360CEFB" w14:textId="77777777" w:rsidR="00E778A4" w:rsidRPr="004666B8" w:rsidRDefault="00E778A4" w:rsidP="005E52FA">
            <w:pPr>
              <w:pStyle w:val="tableheaderwithintable"/>
              <w:rPr>
                <w:lang w:val="en-US" w:eastAsia="en-US"/>
              </w:rPr>
            </w:pPr>
            <w:r w:rsidRPr="004666B8">
              <w:rPr>
                <w:lang w:val="en-US" w:eastAsia="en-US"/>
              </w:rPr>
              <w:t>New law</w:t>
            </w:r>
          </w:p>
        </w:tc>
        <w:tc>
          <w:tcPr>
            <w:tcW w:w="3276" w:type="dxa"/>
          </w:tcPr>
          <w:p w14:paraId="5360CEFC" w14:textId="77777777" w:rsidR="00E778A4" w:rsidRPr="004666B8" w:rsidRDefault="00E778A4" w:rsidP="005E52FA">
            <w:pPr>
              <w:pStyle w:val="tableheaderwithintable"/>
              <w:rPr>
                <w:lang w:val="en-US" w:eastAsia="en-US"/>
              </w:rPr>
            </w:pPr>
            <w:r w:rsidRPr="004666B8">
              <w:rPr>
                <w:lang w:val="en-US" w:eastAsia="en-US"/>
              </w:rPr>
              <w:t>Current law</w:t>
            </w:r>
          </w:p>
        </w:tc>
      </w:tr>
      <w:tr w:rsidR="00E778A4" w:rsidRPr="004666B8" w14:paraId="5360CF00" w14:textId="77777777" w:rsidTr="005E52FA">
        <w:tc>
          <w:tcPr>
            <w:tcW w:w="3275" w:type="dxa"/>
          </w:tcPr>
          <w:p w14:paraId="5360CEFE" w14:textId="77777777" w:rsidR="00E778A4" w:rsidRPr="004666B8" w:rsidRDefault="00311946" w:rsidP="005E52FA">
            <w:pPr>
              <w:pStyle w:val="tabletext"/>
              <w:rPr>
                <w:lang w:val="en-US" w:eastAsia="en-US"/>
              </w:rPr>
            </w:pPr>
            <w:r>
              <w:rPr>
                <w:lang w:val="en-US" w:eastAsia="en-US"/>
              </w:rPr>
              <w:t>A</w:t>
            </w:r>
            <w:r w:rsidR="002160F4">
              <w:rPr>
                <w:lang w:val="en-US" w:eastAsia="en-US"/>
              </w:rPr>
              <w:t xml:space="preserve"> director of a</w:t>
            </w:r>
            <w:r>
              <w:rPr>
                <w:lang w:val="en-US" w:eastAsia="en-US"/>
              </w:rPr>
              <w:t xml:space="preserve"> body corporate registered under the Corporations Act or the CATSI Act must</w:t>
            </w:r>
            <w:r w:rsidR="002160F4">
              <w:rPr>
                <w:lang w:val="en-US" w:eastAsia="en-US"/>
              </w:rPr>
              <w:t xml:space="preserve"> apply</w:t>
            </w:r>
            <w:r w:rsidR="00EB722E">
              <w:rPr>
                <w:lang w:val="en-US" w:eastAsia="en-US"/>
              </w:rPr>
              <w:t xml:space="preserve"> </w:t>
            </w:r>
            <w:r>
              <w:rPr>
                <w:lang w:val="en-US" w:eastAsia="en-US"/>
              </w:rPr>
              <w:t>for a DIN</w:t>
            </w:r>
            <w:r w:rsidR="00EB722E">
              <w:rPr>
                <w:lang w:val="en-US" w:eastAsia="en-US"/>
              </w:rPr>
              <w:t xml:space="preserve"> within 28 days of becoming a director</w:t>
            </w:r>
            <w:r w:rsidR="00AD1DA6">
              <w:rPr>
                <w:lang w:val="en-US" w:eastAsia="en-US"/>
              </w:rPr>
              <w:t xml:space="preserve"> (existing directors have 15</w:t>
            </w:r>
            <w:r w:rsidR="002160F4">
              <w:rPr>
                <w:lang w:val="en-US" w:eastAsia="en-US"/>
              </w:rPr>
              <w:t xml:space="preserve"> m</w:t>
            </w:r>
            <w:r w:rsidR="00BC63ED">
              <w:rPr>
                <w:lang w:val="en-US" w:eastAsia="en-US"/>
              </w:rPr>
              <w:t>onths to apply from the date</w:t>
            </w:r>
            <w:r w:rsidR="002160F4">
              <w:rPr>
                <w:lang w:val="en-US" w:eastAsia="en-US"/>
              </w:rPr>
              <w:t xml:space="preserve"> the new </w:t>
            </w:r>
            <w:r w:rsidR="00EC6E25">
              <w:rPr>
                <w:lang w:val="en-US" w:eastAsia="en-US"/>
              </w:rPr>
              <w:t>requirement</w:t>
            </w:r>
            <w:r w:rsidR="00BC63ED">
              <w:rPr>
                <w:lang w:val="en-US" w:eastAsia="en-US"/>
              </w:rPr>
              <w:t xml:space="preserve"> starts</w:t>
            </w:r>
            <w:r w:rsidR="002160F4">
              <w:rPr>
                <w:lang w:val="en-US" w:eastAsia="en-US"/>
              </w:rPr>
              <w:t>)</w:t>
            </w:r>
            <w:r w:rsidR="00012F2A">
              <w:rPr>
                <w:lang w:val="en-US" w:eastAsia="en-US"/>
              </w:rPr>
              <w:t>.</w:t>
            </w:r>
          </w:p>
        </w:tc>
        <w:tc>
          <w:tcPr>
            <w:tcW w:w="3276" w:type="dxa"/>
          </w:tcPr>
          <w:p w14:paraId="5360CEFF" w14:textId="77777777" w:rsidR="00E778A4" w:rsidRPr="00323AA8" w:rsidRDefault="00311946" w:rsidP="00077B2C">
            <w:pPr>
              <w:pStyle w:val="OutlineNumbered1"/>
              <w:numPr>
                <w:ilvl w:val="0"/>
                <w:numId w:val="0"/>
              </w:numPr>
              <w:rPr>
                <w:sz w:val="20"/>
                <w:lang w:val="en-US" w:eastAsia="en-US"/>
              </w:rPr>
            </w:pPr>
            <w:r w:rsidRPr="00323AA8">
              <w:rPr>
                <w:sz w:val="20"/>
                <w:lang w:val="en-US" w:eastAsia="en-US"/>
              </w:rPr>
              <w:t>No equivalent.</w:t>
            </w:r>
          </w:p>
        </w:tc>
      </w:tr>
      <w:tr w:rsidR="00311946" w:rsidRPr="004666B8" w14:paraId="5360CF03" w14:textId="77777777" w:rsidTr="005E52FA">
        <w:tc>
          <w:tcPr>
            <w:tcW w:w="3275" w:type="dxa"/>
          </w:tcPr>
          <w:p w14:paraId="5360CF01" w14:textId="77777777" w:rsidR="00311946" w:rsidRDefault="00311946" w:rsidP="00D4784E">
            <w:pPr>
              <w:pStyle w:val="tabletext"/>
              <w:rPr>
                <w:lang w:val="en-US" w:eastAsia="en-US"/>
              </w:rPr>
            </w:pPr>
            <w:r>
              <w:rPr>
                <w:lang w:val="en-US" w:eastAsia="en-US"/>
              </w:rPr>
              <w:t xml:space="preserve">The </w:t>
            </w:r>
            <w:r w:rsidR="00012F2A">
              <w:rPr>
                <w:lang w:val="en-US" w:eastAsia="en-US"/>
              </w:rPr>
              <w:t xml:space="preserve">registrar </w:t>
            </w:r>
            <w:r w:rsidR="00D4784E">
              <w:rPr>
                <w:lang w:val="en-US" w:eastAsia="en-US"/>
              </w:rPr>
              <w:t>must give an applicant director</w:t>
            </w:r>
            <w:r w:rsidR="00286E51">
              <w:rPr>
                <w:lang w:val="en-US" w:eastAsia="en-US"/>
              </w:rPr>
              <w:t xml:space="preserve"> a DIN if</w:t>
            </w:r>
            <w:r w:rsidR="00EB722E">
              <w:rPr>
                <w:lang w:val="en-US" w:eastAsia="en-US"/>
              </w:rPr>
              <w:t xml:space="preserve"> satisfie</w:t>
            </w:r>
            <w:r w:rsidR="00D4784E">
              <w:rPr>
                <w:lang w:val="en-US" w:eastAsia="en-US"/>
              </w:rPr>
              <w:t xml:space="preserve">d that their </w:t>
            </w:r>
            <w:r w:rsidR="00286E51">
              <w:rPr>
                <w:lang w:val="en-US" w:eastAsia="en-US"/>
              </w:rPr>
              <w:t>identity has been</w:t>
            </w:r>
            <w:r w:rsidR="003828C5">
              <w:rPr>
                <w:lang w:val="en-US" w:eastAsia="en-US"/>
              </w:rPr>
              <w:t xml:space="preserve"> established.</w:t>
            </w:r>
          </w:p>
        </w:tc>
        <w:tc>
          <w:tcPr>
            <w:tcW w:w="3276" w:type="dxa"/>
          </w:tcPr>
          <w:p w14:paraId="5360CF02" w14:textId="77777777" w:rsidR="00311946" w:rsidRPr="00323AA8" w:rsidRDefault="00EB722E" w:rsidP="00077B2C">
            <w:pPr>
              <w:pStyle w:val="OutlineNumbered1"/>
              <w:numPr>
                <w:ilvl w:val="0"/>
                <w:numId w:val="0"/>
              </w:numPr>
              <w:rPr>
                <w:sz w:val="20"/>
                <w:lang w:val="en-US" w:eastAsia="en-US"/>
              </w:rPr>
            </w:pPr>
            <w:r w:rsidRPr="00323AA8">
              <w:rPr>
                <w:sz w:val="20"/>
                <w:lang w:val="en-US" w:eastAsia="en-US"/>
              </w:rPr>
              <w:t>No equivalent.</w:t>
            </w:r>
          </w:p>
        </w:tc>
      </w:tr>
      <w:tr w:rsidR="00BC63ED" w:rsidRPr="004666B8" w14:paraId="5360CF06" w14:textId="77777777" w:rsidTr="005E52FA">
        <w:tc>
          <w:tcPr>
            <w:tcW w:w="3275" w:type="dxa"/>
          </w:tcPr>
          <w:p w14:paraId="5360CF04" w14:textId="77777777" w:rsidR="00BC63ED" w:rsidRDefault="00BC63ED" w:rsidP="00BC63ED">
            <w:pPr>
              <w:pStyle w:val="tabletext"/>
              <w:rPr>
                <w:lang w:val="en-US" w:eastAsia="en-US"/>
              </w:rPr>
            </w:pPr>
            <w:r>
              <w:rPr>
                <w:lang w:val="en-US" w:eastAsia="en-US"/>
              </w:rPr>
              <w:t>The registrar may exempt a person from needing to obtain a DIN or provide them with addition</w:t>
            </w:r>
            <w:r w:rsidR="008A3F07">
              <w:rPr>
                <w:lang w:val="en-US" w:eastAsia="en-US"/>
              </w:rPr>
              <w:t>al</w:t>
            </w:r>
            <w:r>
              <w:rPr>
                <w:lang w:val="en-US" w:eastAsia="en-US"/>
              </w:rPr>
              <w:t xml:space="preserve"> time in which to apply for a DIN. </w:t>
            </w:r>
          </w:p>
        </w:tc>
        <w:tc>
          <w:tcPr>
            <w:tcW w:w="3276" w:type="dxa"/>
          </w:tcPr>
          <w:p w14:paraId="5360CF05" w14:textId="77777777" w:rsidR="00BC63ED" w:rsidRPr="00323AA8" w:rsidRDefault="00BC63ED" w:rsidP="00077B2C">
            <w:pPr>
              <w:pStyle w:val="OutlineNumbered1"/>
              <w:numPr>
                <w:ilvl w:val="0"/>
                <w:numId w:val="0"/>
              </w:numPr>
              <w:rPr>
                <w:sz w:val="20"/>
                <w:lang w:val="en-US" w:eastAsia="en-US"/>
              </w:rPr>
            </w:pPr>
            <w:r w:rsidRPr="00323AA8">
              <w:rPr>
                <w:sz w:val="20"/>
                <w:lang w:val="en-US" w:eastAsia="en-US"/>
              </w:rPr>
              <w:t>No equivalent.</w:t>
            </w:r>
          </w:p>
        </w:tc>
      </w:tr>
      <w:tr w:rsidR="003828C5" w:rsidRPr="004666B8" w14:paraId="5360CF09" w14:textId="77777777" w:rsidTr="005E52FA">
        <w:tc>
          <w:tcPr>
            <w:tcW w:w="3275" w:type="dxa"/>
          </w:tcPr>
          <w:p w14:paraId="5360CF07" w14:textId="77777777" w:rsidR="003828C5" w:rsidRDefault="003828C5" w:rsidP="00BC63ED">
            <w:pPr>
              <w:pStyle w:val="tabletext"/>
              <w:rPr>
                <w:lang w:val="en-US" w:eastAsia="en-US"/>
              </w:rPr>
            </w:pPr>
            <w:r>
              <w:rPr>
                <w:lang w:val="en-US" w:eastAsia="en-US"/>
              </w:rPr>
              <w:t xml:space="preserve">The </w:t>
            </w:r>
            <w:r w:rsidR="00012F2A">
              <w:rPr>
                <w:lang w:val="en-US" w:eastAsia="en-US"/>
              </w:rPr>
              <w:t>registrar</w:t>
            </w:r>
            <w:r>
              <w:rPr>
                <w:lang w:val="en-US" w:eastAsia="en-US"/>
              </w:rPr>
              <w:t xml:space="preserve"> is provided with powers to administer the new </w:t>
            </w:r>
            <w:r w:rsidR="00EC6E25">
              <w:rPr>
                <w:lang w:val="en-US" w:eastAsia="en-US"/>
              </w:rPr>
              <w:t>requirement</w:t>
            </w:r>
            <w:r w:rsidR="00BC63ED">
              <w:rPr>
                <w:lang w:val="en-US" w:eastAsia="en-US"/>
              </w:rPr>
              <w:t xml:space="preserve"> including</w:t>
            </w:r>
            <w:r w:rsidR="006126D8">
              <w:rPr>
                <w:lang w:val="en-US" w:eastAsia="en-US"/>
              </w:rPr>
              <w:t xml:space="preserve"> powers</w:t>
            </w:r>
            <w:r>
              <w:rPr>
                <w:lang w:val="en-US" w:eastAsia="en-US"/>
              </w:rPr>
              <w:t xml:space="preserve"> to</w:t>
            </w:r>
            <w:r w:rsidR="00BC63ED">
              <w:rPr>
                <w:lang w:val="en-US" w:eastAsia="en-US"/>
              </w:rPr>
              <w:t xml:space="preserve"> record DINs, cancel and reissue DINs,</w:t>
            </w:r>
            <w:r>
              <w:rPr>
                <w:lang w:val="en-US" w:eastAsia="en-US"/>
              </w:rPr>
              <w:t xml:space="preserve"> determine the numbering plan for the</w:t>
            </w:r>
            <w:r w:rsidR="00BC63ED">
              <w:rPr>
                <w:lang w:val="en-US" w:eastAsia="en-US"/>
              </w:rPr>
              <w:t xml:space="preserve"> new </w:t>
            </w:r>
            <w:r w:rsidR="00EC6E25">
              <w:rPr>
                <w:lang w:val="en-US" w:eastAsia="en-US"/>
              </w:rPr>
              <w:t>requirement</w:t>
            </w:r>
            <w:r w:rsidR="00BC63ED">
              <w:rPr>
                <w:lang w:val="en-US" w:eastAsia="en-US"/>
              </w:rPr>
              <w:t>,</w:t>
            </w:r>
            <w:r>
              <w:rPr>
                <w:lang w:val="en-US" w:eastAsia="en-US"/>
              </w:rPr>
              <w:t xml:space="preserve"> and</w:t>
            </w:r>
            <w:r w:rsidR="00BC63ED">
              <w:rPr>
                <w:lang w:val="en-US" w:eastAsia="en-US"/>
              </w:rPr>
              <w:t xml:space="preserve"> determine</w:t>
            </w:r>
            <w:r w:rsidR="006126D8">
              <w:rPr>
                <w:lang w:val="en-US" w:eastAsia="en-US"/>
              </w:rPr>
              <w:t xml:space="preserve"> how directors are to establish their identity</w:t>
            </w:r>
            <w:r w:rsidR="00BC63ED">
              <w:rPr>
                <w:lang w:val="en-US" w:eastAsia="en-US"/>
              </w:rPr>
              <w:t>.</w:t>
            </w:r>
          </w:p>
        </w:tc>
        <w:tc>
          <w:tcPr>
            <w:tcW w:w="3276" w:type="dxa"/>
          </w:tcPr>
          <w:p w14:paraId="5360CF08" w14:textId="77777777" w:rsidR="003828C5" w:rsidRPr="00323AA8" w:rsidRDefault="006126D8" w:rsidP="00077B2C">
            <w:pPr>
              <w:pStyle w:val="OutlineNumbered1"/>
              <w:numPr>
                <w:ilvl w:val="0"/>
                <w:numId w:val="0"/>
              </w:numPr>
              <w:rPr>
                <w:sz w:val="20"/>
                <w:lang w:val="en-US" w:eastAsia="en-US"/>
              </w:rPr>
            </w:pPr>
            <w:r w:rsidRPr="00323AA8">
              <w:rPr>
                <w:sz w:val="20"/>
                <w:lang w:val="en-US" w:eastAsia="en-US"/>
              </w:rPr>
              <w:t>No equivalent.</w:t>
            </w:r>
          </w:p>
        </w:tc>
      </w:tr>
      <w:tr w:rsidR="00897674" w:rsidRPr="004666B8" w14:paraId="5360CF0C" w14:textId="77777777" w:rsidTr="005E52FA">
        <w:tc>
          <w:tcPr>
            <w:tcW w:w="3275" w:type="dxa"/>
          </w:tcPr>
          <w:p w14:paraId="5360CF0A" w14:textId="77777777" w:rsidR="00897674" w:rsidRDefault="00897674" w:rsidP="00EB722E">
            <w:pPr>
              <w:pStyle w:val="tabletext"/>
              <w:rPr>
                <w:lang w:val="en-US" w:eastAsia="en-US"/>
              </w:rPr>
            </w:pPr>
            <w:r>
              <w:rPr>
                <w:lang w:val="en-US" w:eastAsia="en-US"/>
              </w:rPr>
              <w:t xml:space="preserve">A person must not engage in certain conduct that would undermine the new </w:t>
            </w:r>
            <w:r w:rsidR="00EC6E25">
              <w:rPr>
                <w:lang w:val="en-US" w:eastAsia="en-US"/>
              </w:rPr>
              <w:t>requirement</w:t>
            </w:r>
            <w:r>
              <w:rPr>
                <w:lang w:val="en-US" w:eastAsia="en-US"/>
              </w:rPr>
              <w:t xml:space="preserve"> including deliberately providing false information to the registrar, intentionally providing a false DIN to a Commonwealth body or registered body corporate, or intentionally </w:t>
            </w:r>
            <w:r>
              <w:rPr>
                <w:lang w:val="en-US" w:eastAsia="en-US"/>
              </w:rPr>
              <w:lastRenderedPageBreak/>
              <w:t>applying for multiple DINs.</w:t>
            </w:r>
          </w:p>
        </w:tc>
        <w:tc>
          <w:tcPr>
            <w:tcW w:w="3276" w:type="dxa"/>
          </w:tcPr>
          <w:p w14:paraId="5360CF0B" w14:textId="77777777" w:rsidR="00897674" w:rsidRDefault="00717B66" w:rsidP="00077B2C">
            <w:pPr>
              <w:pStyle w:val="OutlineNumbered1"/>
              <w:numPr>
                <w:ilvl w:val="0"/>
                <w:numId w:val="0"/>
              </w:numPr>
            </w:pPr>
            <w:r w:rsidRPr="00323AA8">
              <w:rPr>
                <w:sz w:val="20"/>
                <w:lang w:val="en-US" w:eastAsia="en-US"/>
              </w:rPr>
              <w:lastRenderedPageBreak/>
              <w:t>There are existing penalties in the Criminal Code that relate to providing false information to the Commonwealth. These offences are relied upon by the new law where appropriate.</w:t>
            </w:r>
          </w:p>
        </w:tc>
      </w:tr>
    </w:tbl>
    <w:p w14:paraId="5360CF0D" w14:textId="77777777" w:rsidR="00E778A4" w:rsidRDefault="00E778A4" w:rsidP="00B17774">
      <w:pPr>
        <w:pStyle w:val="Heading2"/>
      </w:pPr>
      <w:r>
        <w:lastRenderedPageBreak/>
        <w:t>Detailed explanation of new law</w:t>
      </w:r>
    </w:p>
    <w:p w14:paraId="5360CF0E" w14:textId="508DF063" w:rsidR="00717B66" w:rsidRDefault="00717B66" w:rsidP="0092530E">
      <w:pPr>
        <w:pStyle w:val="base-text-paragraph"/>
      </w:pPr>
      <w:r>
        <w:t xml:space="preserve">Schedule </w:t>
      </w:r>
      <w:r w:rsidR="00AA58C5">
        <w:t>2</w:t>
      </w:r>
      <w:r>
        <w:t xml:space="preserve"> </w:t>
      </w:r>
      <w:r w:rsidR="00FC26DD">
        <w:t>of</w:t>
      </w:r>
      <w:r>
        <w:t xml:space="preserve"> the</w:t>
      </w:r>
      <w:r w:rsidRPr="00353F39">
        <w:rPr>
          <w:lang w:val="en-US"/>
        </w:rPr>
        <w:t xml:space="preserve"> </w:t>
      </w:r>
      <w:r w:rsidR="00FC26DD">
        <w:rPr>
          <w:lang w:eastAsia="en-US"/>
        </w:rPr>
        <w:t>Treasury Laws Amendment (R</w:t>
      </w:r>
      <w:r w:rsidR="00FC26DD" w:rsidRPr="00416AF8">
        <w:rPr>
          <w:lang w:eastAsia="en-US"/>
        </w:rPr>
        <w:t xml:space="preserve">egistries Modernisation and </w:t>
      </w:r>
      <w:r w:rsidR="00FC26DD">
        <w:rPr>
          <w:lang w:eastAsia="en-US"/>
        </w:rPr>
        <w:t xml:space="preserve">Other Measures) </w:t>
      </w:r>
      <w:r>
        <w:t>Bill</w:t>
      </w:r>
      <w:r w:rsidR="00FC26DD">
        <w:rPr>
          <w:lang w:eastAsia="en-US"/>
        </w:rPr>
        <w:t> </w:t>
      </w:r>
      <w:r w:rsidR="00FC26DD" w:rsidRPr="00416AF8">
        <w:rPr>
          <w:lang w:eastAsia="en-US"/>
        </w:rPr>
        <w:t>2018</w:t>
      </w:r>
      <w:r>
        <w:t xml:space="preserve"> amends the Corporations Act and the </w:t>
      </w:r>
      <w:r w:rsidR="00DF543A">
        <w:t>CATSI Act</w:t>
      </w:r>
      <w:r>
        <w:t xml:space="preserve"> to intro</w:t>
      </w:r>
      <w:r w:rsidR="00CB008A">
        <w:t xml:space="preserve">duce a DIN </w:t>
      </w:r>
      <w:r w:rsidR="00EC6E25">
        <w:t>requirement</w:t>
      </w:r>
      <w:r>
        <w:t xml:space="preserve">. </w:t>
      </w:r>
    </w:p>
    <w:p w14:paraId="5360CF0F" w14:textId="77777777" w:rsidR="00717B66" w:rsidRDefault="00717B66" w:rsidP="0092530E">
      <w:pPr>
        <w:pStyle w:val="base-text-paragraph"/>
      </w:pPr>
      <w:r>
        <w:t>The</w:t>
      </w:r>
      <w:r w:rsidR="00821719">
        <w:t xml:space="preserve"> </w:t>
      </w:r>
      <w:r>
        <w:t xml:space="preserve">objective of the </w:t>
      </w:r>
      <w:r w:rsidR="00EC6E25">
        <w:t>new</w:t>
      </w:r>
      <w:r w:rsidDel="00EC6E25">
        <w:t xml:space="preserve"> </w:t>
      </w:r>
      <w:r w:rsidR="00EC6E25">
        <w:t>requirement</w:t>
      </w:r>
      <w:r w:rsidR="00821719">
        <w:t xml:space="preserve"> is to promote good corporate conduct</w:t>
      </w:r>
      <w:r w:rsidR="003F3407">
        <w:t xml:space="preserve">. </w:t>
      </w:r>
      <w:r w:rsidR="00CB008A">
        <w:t xml:space="preserve">In particular, the new </w:t>
      </w:r>
      <w:r w:rsidR="00EC6E25">
        <w:t>requirement</w:t>
      </w:r>
      <w:r w:rsidR="003F3407">
        <w:t xml:space="preserve"> </w:t>
      </w:r>
      <w:r w:rsidR="005023D0">
        <w:t>assist</w:t>
      </w:r>
      <w:r w:rsidR="00CB008A">
        <w:t>s</w:t>
      </w:r>
      <w:r w:rsidR="003F3407">
        <w:t xml:space="preserve"> </w:t>
      </w:r>
      <w:r w:rsidR="00821719">
        <w:t>regulators to detect and address</w:t>
      </w:r>
      <w:r w:rsidR="00CB008A">
        <w:t xml:space="preserve"> unlawful </w:t>
      </w:r>
      <w:r w:rsidR="00B53BF1">
        <w:t>behaviour</w:t>
      </w:r>
      <w:r w:rsidR="003F3407">
        <w:t xml:space="preserve"> and, through doing so, </w:t>
      </w:r>
      <w:r w:rsidR="00DF543A">
        <w:t>deter</w:t>
      </w:r>
      <w:r w:rsidR="003F3407">
        <w:t xml:space="preserve"> such </w:t>
      </w:r>
      <w:r w:rsidR="00B53BF1">
        <w:t>behaviour</w:t>
      </w:r>
      <w:r w:rsidR="00DF543A">
        <w:t xml:space="preserve">. It does so by requiring each appointed director of </w:t>
      </w:r>
      <w:r w:rsidR="00E03014">
        <w:t xml:space="preserve">a </w:t>
      </w:r>
      <w:r w:rsidR="00DF543A">
        <w:t>registered body corporate to obtain a unique identification number</w:t>
      </w:r>
      <w:r w:rsidR="003F3407">
        <w:t>.</w:t>
      </w:r>
    </w:p>
    <w:p w14:paraId="5360CF10" w14:textId="77777777" w:rsidR="00717B66" w:rsidRDefault="003F3407" w:rsidP="0092530E">
      <w:pPr>
        <w:pStyle w:val="base-text-paragraph"/>
      </w:pPr>
      <w:r>
        <w:t xml:space="preserve">To </w:t>
      </w:r>
      <w:r w:rsidR="00DF543A">
        <w:t xml:space="preserve">implement the DIN </w:t>
      </w:r>
      <w:r w:rsidR="00EC6E25">
        <w:t>requirement</w:t>
      </w:r>
      <w:r w:rsidR="008E4432">
        <w:t>,</w:t>
      </w:r>
      <w:r w:rsidR="00DF543A">
        <w:t xml:space="preserve"> the Bill</w:t>
      </w:r>
      <w:r>
        <w:t xml:space="preserve"> insert</w:t>
      </w:r>
      <w:r w:rsidR="00CB008A">
        <w:t>s</w:t>
      </w:r>
      <w:r>
        <w:t xml:space="preserve"> a new part into</w:t>
      </w:r>
      <w:r w:rsidR="00CB008A">
        <w:t xml:space="preserve"> both</w:t>
      </w:r>
      <w:r>
        <w:t xml:space="preserve"> the Corporations Act and the CATSI Act</w:t>
      </w:r>
      <w:r w:rsidR="00DF543A">
        <w:t>.</w:t>
      </w:r>
      <w:r>
        <w:t xml:space="preserve"> The new parts detail</w:t>
      </w:r>
      <w:r w:rsidR="00717B66">
        <w:t>:</w:t>
      </w:r>
    </w:p>
    <w:p w14:paraId="5360CF11" w14:textId="77777777" w:rsidR="00AF4EB8" w:rsidRDefault="00AF4EB8" w:rsidP="00AF4EB8">
      <w:pPr>
        <w:pStyle w:val="dotpoint"/>
      </w:pPr>
      <w:r>
        <w:t>the persons to which the new requirement applies;</w:t>
      </w:r>
    </w:p>
    <w:p w14:paraId="5360CF12" w14:textId="77777777" w:rsidR="00AF4EB8" w:rsidRDefault="00AF4EB8" w:rsidP="00AF4EB8">
      <w:pPr>
        <w:pStyle w:val="dotpoint"/>
      </w:pPr>
      <w:r>
        <w:t>the obligations associated with the new requirement;</w:t>
      </w:r>
    </w:p>
    <w:p w14:paraId="5360CF13" w14:textId="77777777" w:rsidR="005405CB" w:rsidRDefault="005405CB" w:rsidP="005405CB">
      <w:pPr>
        <w:pStyle w:val="dotpoint"/>
      </w:pPr>
      <w:r>
        <w:t>how the new requirement is administered; and</w:t>
      </w:r>
    </w:p>
    <w:p w14:paraId="5360CF14" w14:textId="77777777" w:rsidR="005405CB" w:rsidRDefault="005405CB" w:rsidP="005405CB">
      <w:pPr>
        <w:pStyle w:val="dotpoint"/>
      </w:pPr>
      <w:proofErr w:type="gramStart"/>
      <w:r>
        <w:t>the</w:t>
      </w:r>
      <w:proofErr w:type="gramEnd"/>
      <w:r>
        <w:t xml:space="preserve"> consequences of contravening the new law. </w:t>
      </w:r>
    </w:p>
    <w:p w14:paraId="5360CF15" w14:textId="77777777" w:rsidR="00EE1858" w:rsidRDefault="00AF4EB8" w:rsidP="00EE1858">
      <w:pPr>
        <w:pStyle w:val="Heading3"/>
      </w:pPr>
      <w:r>
        <w:t xml:space="preserve"> </w:t>
      </w:r>
      <w:r w:rsidR="00A848E0">
        <w:t xml:space="preserve">To whom does the new </w:t>
      </w:r>
      <w:r w:rsidR="001E5A83">
        <w:t>requirement apply</w:t>
      </w:r>
      <w:r w:rsidR="00A848E0">
        <w:t>?</w:t>
      </w:r>
    </w:p>
    <w:p w14:paraId="5360CF16" w14:textId="77777777" w:rsidR="00805E13" w:rsidRDefault="00805E13" w:rsidP="0092530E">
      <w:pPr>
        <w:pStyle w:val="base-text-paragraph"/>
      </w:pPr>
      <w:r>
        <w:t xml:space="preserve">The new law is drafted so that the requirement to obtain a DIN applies in relation </w:t>
      </w:r>
      <w:r w:rsidR="00BF0FA9">
        <w:t>to</w:t>
      </w:r>
      <w:r w:rsidR="00957DFE">
        <w:t xml:space="preserve"> body corporates</w:t>
      </w:r>
      <w:r>
        <w:t xml:space="preserve"> registered </w:t>
      </w:r>
      <w:r w:rsidR="00957DFE">
        <w:t>under the Corporations</w:t>
      </w:r>
      <w:r w:rsidR="00E03014">
        <w:t> </w:t>
      </w:r>
      <w:r w:rsidR="00957DFE">
        <w:t xml:space="preserve">Act or the CATSI Act (a </w:t>
      </w:r>
      <w:r w:rsidR="00972C1B">
        <w:t xml:space="preserve">registered </w:t>
      </w:r>
      <w:r w:rsidR="00957DFE">
        <w:t>body).</w:t>
      </w:r>
    </w:p>
    <w:p w14:paraId="5360CF17" w14:textId="77777777" w:rsidR="00805E13" w:rsidRDefault="00805E13" w:rsidP="0092530E">
      <w:pPr>
        <w:pStyle w:val="Heading4"/>
      </w:pPr>
      <w:r>
        <w:t xml:space="preserve">Who is an eligible </w:t>
      </w:r>
      <w:r w:rsidR="00972C1B">
        <w:t>officer?</w:t>
      </w:r>
    </w:p>
    <w:p w14:paraId="5360CF18" w14:textId="77777777" w:rsidR="00043E74" w:rsidRDefault="00043E74" w:rsidP="0092530E">
      <w:pPr>
        <w:pStyle w:val="base-text-paragraph"/>
      </w:pPr>
      <w:r>
        <w:t>The new law defines who is an</w:t>
      </w:r>
      <w:r w:rsidR="00972C1B">
        <w:t xml:space="preserve"> </w:t>
      </w:r>
      <w:r w:rsidRPr="0092530E">
        <w:rPr>
          <w:b/>
        </w:rPr>
        <w:t>eligible</w:t>
      </w:r>
      <w:r w:rsidR="00972C1B" w:rsidRPr="0092530E">
        <w:rPr>
          <w:b/>
        </w:rPr>
        <w:t xml:space="preserve"> officer</w:t>
      </w:r>
      <w:r>
        <w:t xml:space="preserve"> for the purposes of the new </w:t>
      </w:r>
      <w:r w:rsidR="00EC6E25">
        <w:t>requirement</w:t>
      </w:r>
      <w:r>
        <w:t xml:space="preserve">. </w:t>
      </w:r>
      <w:r w:rsidR="00E03014">
        <w:t>A</w:t>
      </w:r>
      <w:r>
        <w:t>n eligible officer is a director of a registered body who:</w:t>
      </w:r>
    </w:p>
    <w:p w14:paraId="5360CF19" w14:textId="77777777" w:rsidR="00043E74" w:rsidRDefault="00043E74" w:rsidP="0092530E">
      <w:pPr>
        <w:pStyle w:val="dotpoint"/>
      </w:pPr>
      <w:r>
        <w:t>is appointed to the position of director, or is appointed to the position of an alternate director and is ac</w:t>
      </w:r>
      <w:r w:rsidR="00971DFB">
        <w:t>t</w:t>
      </w:r>
      <w:r>
        <w:t>ing in that capacity (regardless of the name that is given to that position); or</w:t>
      </w:r>
    </w:p>
    <w:p w14:paraId="5360CF1A" w14:textId="4D5DE6CB" w:rsidR="00972C1B" w:rsidRDefault="00043E74" w:rsidP="0092530E">
      <w:pPr>
        <w:pStyle w:val="dotpoint"/>
      </w:pPr>
      <w:proofErr w:type="gramStart"/>
      <w:r>
        <w:t>any</w:t>
      </w:r>
      <w:proofErr w:type="gramEnd"/>
      <w:r>
        <w:t xml:space="preserve"> other officer of the registered body who is an officer of a kind prescribed by the regulations.</w:t>
      </w:r>
      <w:r w:rsidR="001E4D58">
        <w:t xml:space="preserve"> </w:t>
      </w:r>
      <w:r w:rsidR="001E4D58">
        <w:rPr>
          <w:rStyle w:val="Referencingstyle"/>
        </w:rPr>
        <w:t>[</w:t>
      </w:r>
      <w:r w:rsidR="00E5661A">
        <w:rPr>
          <w:rStyle w:val="Referencingstyle"/>
        </w:rPr>
        <w:t>Schedule 2</w:t>
      </w:r>
      <w:r w:rsidR="00273D37">
        <w:rPr>
          <w:rStyle w:val="Referencingstyle"/>
        </w:rPr>
        <w:t xml:space="preserve"> of the Treasury Laws Amendment (Registries Modernisation and Other Measures Bill</w:t>
      </w:r>
      <w:r w:rsidR="001E4D58">
        <w:rPr>
          <w:rStyle w:val="Referencingstyle"/>
        </w:rPr>
        <w:t>,</w:t>
      </w:r>
      <w:r w:rsidR="00E5661A">
        <w:rPr>
          <w:rStyle w:val="Referencingstyle"/>
        </w:rPr>
        <w:t xml:space="preserve"> items 1 and 7,</w:t>
      </w:r>
      <w:r w:rsidR="001E4D58">
        <w:rPr>
          <w:rStyle w:val="Referencingstyle"/>
        </w:rPr>
        <w:t xml:space="preserve"> section 308-15 of the CATSI Act</w:t>
      </w:r>
      <w:r w:rsidR="002A0334">
        <w:rPr>
          <w:rStyle w:val="Referencingstyle"/>
        </w:rPr>
        <w:t xml:space="preserve"> and section 1232</w:t>
      </w:r>
      <w:r w:rsidR="001E4D58">
        <w:rPr>
          <w:rStyle w:val="Referencingstyle"/>
        </w:rPr>
        <w:t xml:space="preserve"> of the Corporations Act]</w:t>
      </w:r>
    </w:p>
    <w:p w14:paraId="5360CF1B" w14:textId="77777777" w:rsidR="001108C2" w:rsidRDefault="006D6109" w:rsidP="0092530E">
      <w:pPr>
        <w:pStyle w:val="base-text-paragraph"/>
      </w:pPr>
      <w:r>
        <w:lastRenderedPageBreak/>
        <w:t>The DIN requirement therefore initially operates with respect to only appointed directors and acting alternate directors. It does not, at least initially, extend to what are commonly referred to as de facto</w:t>
      </w:r>
      <w:r>
        <w:rPr>
          <w:rStyle w:val="FootnoteReference"/>
        </w:rPr>
        <w:footnoteReference w:id="38"/>
      </w:r>
      <w:r>
        <w:t xml:space="preserve"> or shadow directors</w:t>
      </w:r>
      <w:r>
        <w:rPr>
          <w:rStyle w:val="FootnoteReference"/>
        </w:rPr>
        <w:footnoteReference w:id="39"/>
      </w:r>
      <w:r>
        <w:t>.</w:t>
      </w:r>
      <w:r w:rsidR="001108C2">
        <w:t xml:space="preserve"> This reflects</w:t>
      </w:r>
      <w:r w:rsidR="0071129C">
        <w:t xml:space="preserve"> that</w:t>
      </w:r>
      <w:r w:rsidR="001108C2">
        <w:t xml:space="preserve"> the operation of the broader registry regime </w:t>
      </w:r>
      <w:r w:rsidR="00B94452">
        <w:t xml:space="preserve">is </w:t>
      </w:r>
      <w:r w:rsidR="001108C2">
        <w:t>applicable to registered bodies</w:t>
      </w:r>
      <w:r w:rsidR="00B94452">
        <w:t>,</w:t>
      </w:r>
      <w:r w:rsidR="001108C2">
        <w:t xml:space="preserve"> which does not generally extend to de</w:t>
      </w:r>
      <w:r w:rsidR="00B94452">
        <w:t> </w:t>
      </w:r>
      <w:r w:rsidR="001108C2">
        <w:t>facto and shadow directors.</w:t>
      </w:r>
      <w:r w:rsidR="00DD3CF0">
        <w:t xml:space="preserve"> </w:t>
      </w:r>
    </w:p>
    <w:p w14:paraId="5360CF1C" w14:textId="77777777" w:rsidR="000B3BBE" w:rsidRDefault="00DD3CF0" w:rsidP="0092530E">
      <w:pPr>
        <w:pStyle w:val="base-text-paragraph"/>
      </w:pPr>
      <w:r>
        <w:t>As noted above, the definition of eligible officer may be extended by regulation to any</w:t>
      </w:r>
      <w:r w:rsidR="002108C5">
        <w:t xml:space="preserve"> other</w:t>
      </w:r>
      <w:r>
        <w:t xml:space="preserve"> officer</w:t>
      </w:r>
      <w:r w:rsidR="002108C5">
        <w:t>s</w:t>
      </w:r>
      <w:r>
        <w:t xml:space="preserve"> of a registered body</w:t>
      </w:r>
      <w:r w:rsidR="002C6F6C">
        <w:t xml:space="preserve">. </w:t>
      </w:r>
      <w:r w:rsidR="000B3BBE">
        <w:t xml:space="preserve">The term ‘officer’ in relation to a registered body is defined in section 9 of the Corporations Act and section </w:t>
      </w:r>
      <w:r w:rsidR="000B3BBE">
        <w:rPr>
          <w:lang w:val="en"/>
        </w:rPr>
        <w:t>683-1 of the CATSI Act.</w:t>
      </w:r>
      <w:r w:rsidR="000B3BBE">
        <w:t xml:space="preserve"> </w:t>
      </w:r>
      <w:r w:rsidR="009E2B27">
        <w:t>Those sections define the term to mean</w:t>
      </w:r>
      <w:r w:rsidR="000B3BBE">
        <w:t xml:space="preserve"> a director</w:t>
      </w:r>
      <w:r w:rsidR="009E2B27">
        <w:t xml:space="preserve"> (including a de facto or shadow director)</w:t>
      </w:r>
      <w:r w:rsidR="000B3BBE">
        <w:t>, a secretary, and a range of other persons that may a</w:t>
      </w:r>
      <w:r w:rsidR="009E2B27">
        <w:t>ffect the business of a registered</w:t>
      </w:r>
      <w:r w:rsidR="000B3BBE">
        <w:t xml:space="preserve"> body, including administrators, receivers and liquidators.</w:t>
      </w:r>
    </w:p>
    <w:p w14:paraId="5360CF1D" w14:textId="77777777" w:rsidR="002C6F6C" w:rsidRDefault="002C6F6C" w:rsidP="0092530E">
      <w:pPr>
        <w:pStyle w:val="base-text-paragraph"/>
      </w:pPr>
      <w:r>
        <w:t>Th</w:t>
      </w:r>
      <w:r w:rsidR="009E2B27">
        <w:t>e effect of this</w:t>
      </w:r>
      <w:r w:rsidR="000B3BBE">
        <w:t xml:space="preserve"> regulation making power</w:t>
      </w:r>
      <w:r w:rsidR="009E2B27">
        <w:t xml:space="preserve"> is to allow</w:t>
      </w:r>
      <w:r>
        <w:t xml:space="preserve"> the DIN</w:t>
      </w:r>
      <w:r w:rsidR="009E2B27">
        <w:t xml:space="preserve"> to be extended </w:t>
      </w:r>
      <w:r w:rsidR="00752205">
        <w:t>to</w:t>
      </w:r>
      <w:r w:rsidR="009E2B27">
        <w:t xml:space="preserve"> any such</w:t>
      </w:r>
      <w:r>
        <w:t xml:space="preserve"> of</w:t>
      </w:r>
      <w:r w:rsidR="009E2B27">
        <w:t xml:space="preserve">ficer of a registered body if doing so is appropriate. </w:t>
      </w:r>
      <w:r>
        <w:t xml:space="preserve">This ability provides the flexibility necessary to future-proof the new </w:t>
      </w:r>
      <w:r w:rsidR="00EC6E25">
        <w:t>requirement</w:t>
      </w:r>
      <w:r>
        <w:t xml:space="preserve"> to ensur</w:t>
      </w:r>
      <w:r w:rsidR="000B3BBE">
        <w:t>e its ongoing effectiveness. Any such</w:t>
      </w:r>
      <w:r>
        <w:t xml:space="preserve"> regulations will be subject to parliamentary scrutiny through the disallowance procedures of the </w:t>
      </w:r>
      <w:r w:rsidRPr="0092530E">
        <w:rPr>
          <w:i/>
        </w:rPr>
        <w:t>Legislation Act 2003</w:t>
      </w:r>
      <w:r>
        <w:t>.</w:t>
      </w:r>
    </w:p>
    <w:p w14:paraId="5360CF1E" w14:textId="1D2D785D" w:rsidR="009E2B27" w:rsidRDefault="009E2B27" w:rsidP="0092530E">
      <w:pPr>
        <w:pStyle w:val="base-text-paragraph"/>
      </w:pPr>
      <w:r>
        <w:t xml:space="preserve">The new law also gives the registrar the power to </w:t>
      </w:r>
      <w:r w:rsidR="00693B3E">
        <w:t>exempt</w:t>
      </w:r>
      <w:r>
        <w:t xml:space="preserve"> a person or class of person</w:t>
      </w:r>
      <w:r w:rsidR="00752205">
        <w:t xml:space="preserve"> from being an eligible officer.</w:t>
      </w:r>
      <w:r w:rsidR="00B4515F">
        <w:t xml:space="preserve"> This allows the registrar to respond where the imposition of the requirement would have unintended consequences or would otherwise be unsuitable for a particular person or class of persons. Any exemption that relates to a class of persons is a legislative in</w:t>
      </w:r>
      <w:r w:rsidR="00374E2C">
        <w:t>strument and is therefore</w:t>
      </w:r>
      <w:r w:rsidR="00B4515F">
        <w:t xml:space="preserve"> subject to parliamentary scrutiny through the disallowance procedures of the </w:t>
      </w:r>
      <w:r w:rsidR="00B4515F" w:rsidRPr="0092530E">
        <w:rPr>
          <w:i/>
        </w:rPr>
        <w:t>Legislation Act 2003</w:t>
      </w:r>
      <w:r w:rsidR="00B4515F">
        <w:t>.</w:t>
      </w:r>
      <w:r w:rsidR="00C417DF">
        <w:rPr>
          <w:rStyle w:val="FootnoteReference"/>
        </w:rPr>
        <w:footnoteReference w:id="40"/>
      </w:r>
      <w:r w:rsidR="00B4515F">
        <w:t xml:space="preserve"> An </w:t>
      </w:r>
      <w:r w:rsidR="00374E2C">
        <w:t>exemption in re</w:t>
      </w:r>
      <w:r w:rsidR="00C417DF">
        <w:t>lation to a particular person would not be by way of</w:t>
      </w:r>
      <w:r w:rsidR="00374E2C">
        <w:t xml:space="preserve"> legislative</w:t>
      </w:r>
      <w:r w:rsidR="00572867">
        <w:t xml:space="preserve"> instrument because </w:t>
      </w:r>
      <w:r w:rsidR="00C417DF">
        <w:t>any such decision would be of an</w:t>
      </w:r>
      <w:r w:rsidR="00374E2C">
        <w:t xml:space="preserve"> administrative character</w:t>
      </w:r>
      <w:r w:rsidR="004F2F4F">
        <w:t xml:space="preserve"> – that is, determining particular cases in which the la</w:t>
      </w:r>
      <w:r w:rsidR="00BF5CA7">
        <w:t>w</w:t>
      </w:r>
      <w:r w:rsidR="004F2F4F">
        <w:t xml:space="preserve"> is not to apply.</w:t>
      </w:r>
      <w:r w:rsidR="004F2F4F">
        <w:rPr>
          <w:rStyle w:val="FootnoteReference"/>
        </w:rPr>
        <w:footnoteReference w:id="41"/>
      </w:r>
      <w:r w:rsidR="00BF5CA7">
        <w:t xml:space="preserve"> As these decisions are not made by legislative instrument, the registrar must notify the relevant person of the exemption. </w:t>
      </w:r>
      <w:r w:rsidR="00BF5CA7">
        <w:rPr>
          <w:rStyle w:val="Referencingstyle"/>
        </w:rPr>
        <w:t>[</w:t>
      </w:r>
      <w:r w:rsidR="00E5661A">
        <w:rPr>
          <w:rStyle w:val="Referencingstyle"/>
        </w:rPr>
        <w:t xml:space="preserve">Schedule </w:t>
      </w:r>
      <w:r w:rsidR="00BF5CA7">
        <w:rPr>
          <w:rStyle w:val="Referencingstyle"/>
        </w:rPr>
        <w:t>2</w:t>
      </w:r>
      <w:r w:rsidR="00273D37">
        <w:rPr>
          <w:rStyle w:val="Referencingstyle"/>
        </w:rPr>
        <w:t xml:space="preserve"> of the Treasury Laws Amendment (Registries </w:t>
      </w:r>
      <w:r w:rsidR="00273D37">
        <w:rPr>
          <w:rStyle w:val="Referencingstyle"/>
        </w:rPr>
        <w:lastRenderedPageBreak/>
        <w:t>Modernisation and Other Measures Bill</w:t>
      </w:r>
      <w:r w:rsidR="00E5661A">
        <w:rPr>
          <w:rStyle w:val="Referencingstyle"/>
        </w:rPr>
        <w:t>, items 1</w:t>
      </w:r>
      <w:r w:rsidR="00BF5CA7">
        <w:rPr>
          <w:rStyle w:val="Referencingstyle"/>
        </w:rPr>
        <w:t xml:space="preserve"> and </w:t>
      </w:r>
      <w:r w:rsidR="00E5661A">
        <w:rPr>
          <w:rStyle w:val="Referencingstyle"/>
        </w:rPr>
        <w:t>7</w:t>
      </w:r>
      <w:r w:rsidR="00BF5CA7">
        <w:rPr>
          <w:rStyle w:val="Referencingstyle"/>
        </w:rPr>
        <w:t>,</w:t>
      </w:r>
      <w:r w:rsidR="00E5661A">
        <w:rPr>
          <w:rStyle w:val="Referencingstyle"/>
        </w:rPr>
        <w:t xml:space="preserve"> </w:t>
      </w:r>
      <w:r w:rsidR="00D41E35">
        <w:rPr>
          <w:rStyle w:val="Referencingstyle"/>
        </w:rPr>
        <w:t>section 308-15 of the CATSI Act and section 1232</w:t>
      </w:r>
      <w:r w:rsidR="00BF5CA7">
        <w:rPr>
          <w:rStyle w:val="Referencingstyle"/>
        </w:rPr>
        <w:t xml:space="preserve"> of the Corporations Act]</w:t>
      </w:r>
    </w:p>
    <w:p w14:paraId="5360CF1F" w14:textId="77777777" w:rsidR="00693B3E" w:rsidRDefault="00693B3E" w:rsidP="0092530E">
      <w:pPr>
        <w:pStyle w:val="base-text-paragraph"/>
      </w:pPr>
      <w:r>
        <w:t>All references to ‘director’ are references to a person to which the new DIN requirement applies unless indicated otherwise.</w:t>
      </w:r>
    </w:p>
    <w:p w14:paraId="5360CF20" w14:textId="77777777" w:rsidR="007B5DB2" w:rsidRDefault="009E2B27" w:rsidP="007B5DB2">
      <w:pPr>
        <w:pStyle w:val="Heading4"/>
      </w:pPr>
      <w:r>
        <w:t>What is a registered body?</w:t>
      </w:r>
    </w:p>
    <w:p w14:paraId="5360CF21" w14:textId="77777777" w:rsidR="00AE5701" w:rsidRDefault="00957DFE" w:rsidP="0092530E">
      <w:pPr>
        <w:pStyle w:val="base-text-paragraph"/>
      </w:pPr>
      <w:r>
        <w:t>For the new DIN requir</w:t>
      </w:r>
      <w:r w:rsidR="00AE5701">
        <w:t>ement to apply to a person</w:t>
      </w:r>
      <w:r w:rsidR="00D86B47">
        <w:t>, the person</w:t>
      </w:r>
      <w:r w:rsidR="00AE5701">
        <w:t xml:space="preserve"> </w:t>
      </w:r>
      <w:r>
        <w:t xml:space="preserve">must be a </w:t>
      </w:r>
      <w:r w:rsidR="00693B3E">
        <w:t>director</w:t>
      </w:r>
      <w:r>
        <w:t xml:space="preserve"> of a registered body. </w:t>
      </w:r>
      <w:r w:rsidR="004F05E1">
        <w:t>For the purposes of the new law, a registered body is</w:t>
      </w:r>
      <w:r w:rsidR="00AE5701">
        <w:t>:</w:t>
      </w:r>
    </w:p>
    <w:p w14:paraId="5360CF22" w14:textId="77777777" w:rsidR="00AE5701" w:rsidRDefault="004F05E1" w:rsidP="0092530E">
      <w:pPr>
        <w:pStyle w:val="dotpoint"/>
      </w:pPr>
      <w:r>
        <w:t>a</w:t>
      </w:r>
      <w:r w:rsidR="00957DFE">
        <w:t xml:space="preserve"> </w:t>
      </w:r>
      <w:r>
        <w:t xml:space="preserve">company, </w:t>
      </w:r>
      <w:r w:rsidR="002A78FE">
        <w:t xml:space="preserve">registered </w:t>
      </w:r>
      <w:r>
        <w:t>foreign company</w:t>
      </w:r>
      <w:r w:rsidR="00AE5701">
        <w:t xml:space="preserve"> or</w:t>
      </w:r>
      <w:r>
        <w:t xml:space="preserve"> registered Australian body</w:t>
      </w:r>
      <w:r w:rsidR="00AE5701">
        <w:t xml:space="preserve"> (which are registered under the Corporations Act); or</w:t>
      </w:r>
    </w:p>
    <w:p w14:paraId="5360CF23" w14:textId="77777777" w:rsidR="007B5DB2" w:rsidRDefault="004F05E1" w:rsidP="0092530E">
      <w:pPr>
        <w:pStyle w:val="dotpoint"/>
      </w:pPr>
      <w:proofErr w:type="gramStart"/>
      <w:r>
        <w:t>an</w:t>
      </w:r>
      <w:proofErr w:type="gramEnd"/>
      <w:r>
        <w:t xml:space="preserve"> </w:t>
      </w:r>
      <w:r w:rsidR="00957DFE">
        <w:t>Aboriginal and Torres Strait Islander corporation</w:t>
      </w:r>
      <w:r w:rsidR="00AE5701">
        <w:t xml:space="preserve"> (which are registered under the CATSI Act)</w:t>
      </w:r>
      <w:r w:rsidR="00957DFE">
        <w:t xml:space="preserve">. </w:t>
      </w:r>
    </w:p>
    <w:p w14:paraId="5360CF24" w14:textId="77777777" w:rsidR="00DD22E8" w:rsidRDefault="00DD22E8" w:rsidP="0092530E">
      <w:pPr>
        <w:pStyle w:val="Heading5"/>
      </w:pPr>
      <w:r>
        <w:t>Companies</w:t>
      </w:r>
    </w:p>
    <w:p w14:paraId="5360CF25" w14:textId="77777777" w:rsidR="00693B3E" w:rsidRDefault="00AE5701" w:rsidP="003938DE">
      <w:pPr>
        <w:pStyle w:val="base-text-paragraph"/>
      </w:pPr>
      <w:r>
        <w:t xml:space="preserve">The </w:t>
      </w:r>
      <w:r w:rsidR="00693B3E">
        <w:t>meaning of</w:t>
      </w:r>
      <w:r w:rsidR="001C5842">
        <w:t xml:space="preserve"> ‘c</w:t>
      </w:r>
      <w:r w:rsidR="003938DE" w:rsidRPr="003938DE">
        <w:t>ompany</w:t>
      </w:r>
      <w:r w:rsidR="001C5842">
        <w:t>’</w:t>
      </w:r>
      <w:r w:rsidR="003938DE" w:rsidRPr="003938DE">
        <w:t xml:space="preserve"> is defined in section 9 </w:t>
      </w:r>
      <w:r w:rsidR="00DD22E8">
        <w:t>of the Corporations Act</w:t>
      </w:r>
      <w:r w:rsidR="00693B3E">
        <w:t>. That section defines company</w:t>
      </w:r>
      <w:r w:rsidR="003938DE" w:rsidRPr="003938DE">
        <w:t xml:space="preserve"> as meaning a company registered under the </w:t>
      </w:r>
      <w:r w:rsidR="00693B3E">
        <w:t>Corporations</w:t>
      </w:r>
      <w:r w:rsidR="003938DE" w:rsidRPr="003938DE">
        <w:t xml:space="preserve"> Act. Chapter 2A </w:t>
      </w:r>
      <w:r w:rsidR="00693B3E">
        <w:t>of the Act</w:t>
      </w:r>
      <w:r w:rsidR="003938DE" w:rsidRPr="003938DE">
        <w:t xml:space="preserve"> deals with </w:t>
      </w:r>
      <w:r w:rsidR="00693B3E">
        <w:t>the registration of companies</w:t>
      </w:r>
      <w:r w:rsidR="003938DE" w:rsidRPr="003938DE">
        <w:t>, including what types of companies can be registered</w:t>
      </w:r>
      <w:r w:rsidR="00693B3E">
        <w:rPr>
          <w:rStyle w:val="FootnoteReference"/>
        </w:rPr>
        <w:footnoteReference w:id="42"/>
      </w:r>
      <w:r w:rsidR="003938DE" w:rsidRPr="003938DE">
        <w:t xml:space="preserve"> and how a company is registered</w:t>
      </w:r>
      <w:r w:rsidR="00693B3E">
        <w:rPr>
          <w:rStyle w:val="FootnoteReference"/>
        </w:rPr>
        <w:footnoteReference w:id="43"/>
      </w:r>
      <w:r w:rsidR="00693B3E">
        <w:t>.</w:t>
      </w:r>
    </w:p>
    <w:p w14:paraId="5360CF26" w14:textId="4E58EDAF" w:rsidR="00DE56B9" w:rsidRPr="00EE1858" w:rsidRDefault="00DE56B9" w:rsidP="0092530E">
      <w:pPr>
        <w:pStyle w:val="base-text-paragraph"/>
      </w:pPr>
      <w:r w:rsidRPr="00EE1858">
        <w:t xml:space="preserve">Applying </w:t>
      </w:r>
      <w:r w:rsidR="00693B3E">
        <w:t>the</w:t>
      </w:r>
      <w:r w:rsidRPr="00EE1858">
        <w:t xml:space="preserve"> DIN </w:t>
      </w:r>
      <w:r w:rsidR="00693B3E">
        <w:t xml:space="preserve">in relation to </w:t>
      </w:r>
      <w:r w:rsidRPr="00EE1858">
        <w:t xml:space="preserve">companies ensures that directors of all Australian companies </w:t>
      </w:r>
      <w:r w:rsidR="00693B3E">
        <w:t>are subject to the new DIN requirement.</w:t>
      </w:r>
      <w:r w:rsidRPr="00EE1858" w:rsidDel="00693B3E">
        <w:t xml:space="preserve"> </w:t>
      </w:r>
      <w:r w:rsidRPr="00EE1858">
        <w:t>This includes director</w:t>
      </w:r>
      <w:r w:rsidR="004346BB">
        <w:t>s</w:t>
      </w:r>
      <w:r w:rsidRPr="00EE1858">
        <w:t xml:space="preserve"> </w:t>
      </w:r>
      <w:r w:rsidR="00693B3E" w:rsidRPr="00EE1858">
        <w:t>of</w:t>
      </w:r>
      <w:r w:rsidR="008F6DFD">
        <w:t xml:space="preserve"> </w:t>
      </w:r>
      <w:r w:rsidR="00446C36">
        <w:t>companies</w:t>
      </w:r>
      <w:r w:rsidR="008F6DFD">
        <w:t xml:space="preserve"> that are responsible for</w:t>
      </w:r>
      <w:r w:rsidR="00693B3E">
        <w:t xml:space="preserve"> </w:t>
      </w:r>
      <w:r w:rsidRPr="00EE1858">
        <w:t>managed investment schemes</w:t>
      </w:r>
      <w:r w:rsidR="00E80312">
        <w:rPr>
          <w:rStyle w:val="FootnoteReference"/>
        </w:rPr>
        <w:footnoteReference w:id="44"/>
      </w:r>
      <w:r w:rsidR="00E80312">
        <w:t xml:space="preserve"> and registered charities</w:t>
      </w:r>
      <w:r w:rsidR="00E80312">
        <w:rPr>
          <w:rStyle w:val="FootnoteReference"/>
        </w:rPr>
        <w:footnoteReference w:id="45"/>
      </w:r>
      <w:r w:rsidR="00693B3E">
        <w:t xml:space="preserve">. It also includes </w:t>
      </w:r>
      <w:r w:rsidR="004346BB">
        <w:t xml:space="preserve">directors of companies that are preserved by transitional provisions in Chapter 10 of the </w:t>
      </w:r>
      <w:r w:rsidR="00D86B47">
        <w:t xml:space="preserve">Corporations </w:t>
      </w:r>
      <w:r w:rsidR="004346BB">
        <w:t>Act.</w:t>
      </w:r>
      <w:r w:rsidR="004346BB">
        <w:rPr>
          <w:rStyle w:val="FootnoteReference"/>
        </w:rPr>
        <w:footnoteReference w:id="46"/>
      </w:r>
    </w:p>
    <w:p w14:paraId="5360CF27" w14:textId="77777777" w:rsidR="004346BB" w:rsidRDefault="002A78FE" w:rsidP="003938DE">
      <w:pPr>
        <w:pStyle w:val="Heading4"/>
      </w:pPr>
      <w:r w:rsidRPr="000E7D5B">
        <w:rPr>
          <w:b w:val="0"/>
          <w:bCs/>
          <w:iCs/>
        </w:rPr>
        <w:t>Registered f</w:t>
      </w:r>
      <w:r w:rsidR="004346BB" w:rsidRPr="000E7D5B">
        <w:rPr>
          <w:b w:val="0"/>
          <w:bCs/>
          <w:iCs/>
        </w:rPr>
        <w:t>oreign companies</w:t>
      </w:r>
    </w:p>
    <w:p w14:paraId="5360CF28" w14:textId="77777777" w:rsidR="00F373B9" w:rsidRDefault="00F373B9" w:rsidP="0092530E">
      <w:pPr>
        <w:pStyle w:val="base-text-paragraph"/>
      </w:pPr>
      <w:r>
        <w:t xml:space="preserve">Registered foreign company is defined in Section 9 of the Corporations Act as meaning a foreign company that is registered under Division 2 of Part 5B.2 of the Corporations Act. That division prohibits a </w:t>
      </w:r>
      <w:r>
        <w:lastRenderedPageBreak/>
        <w:t>foreign company from carrying on business</w:t>
      </w:r>
      <w:r w:rsidRPr="005913B7">
        <w:rPr>
          <w:vertAlign w:val="superscript"/>
        </w:rPr>
        <w:footnoteReference w:id="47"/>
      </w:r>
      <w:r>
        <w:t xml:space="preserve"> in Australia</w:t>
      </w:r>
      <w:r w:rsidRPr="005913B7">
        <w:rPr>
          <w:vertAlign w:val="superscript"/>
        </w:rPr>
        <w:footnoteReference w:id="48"/>
      </w:r>
      <w:r w:rsidRPr="005913B7">
        <w:t xml:space="preserve"> </w:t>
      </w:r>
      <w:r>
        <w:t>unless it is registered or its application for registration is pending</w:t>
      </w:r>
      <w:r>
        <w:rPr>
          <w:rStyle w:val="FootnoteReference"/>
        </w:rPr>
        <w:footnoteReference w:id="49"/>
      </w:r>
      <w:r w:rsidR="00990127">
        <w:t>, and sets out the requirements for registration</w:t>
      </w:r>
      <w:r w:rsidR="00990127">
        <w:rPr>
          <w:rStyle w:val="FootnoteReference"/>
        </w:rPr>
        <w:footnoteReference w:id="50"/>
      </w:r>
      <w:r w:rsidR="00990127">
        <w:t>.</w:t>
      </w:r>
    </w:p>
    <w:p w14:paraId="5360CF29" w14:textId="6A1ECC90" w:rsidR="00FB2AC4" w:rsidRDefault="00FB2AC4" w:rsidP="0092530E">
      <w:pPr>
        <w:pStyle w:val="base-text-paragraph"/>
      </w:pPr>
      <w:r>
        <w:t>By virtue of the definition of ‘foreign company’</w:t>
      </w:r>
      <w:r>
        <w:rPr>
          <w:rStyle w:val="FootnoteReference"/>
        </w:rPr>
        <w:footnoteReference w:id="51"/>
      </w:r>
      <w:r>
        <w:t xml:space="preserve">, a registered foreign company may in some instances be an unincorporated body. </w:t>
      </w:r>
      <w:r w:rsidR="00A705EC">
        <w:t>However, the DIN requirement does not operate in relation to these unincorporated bodies</w:t>
      </w:r>
      <w:r w:rsidR="00D92EAB">
        <w:t xml:space="preserve"> as they cannot hold property in their own name and are therefore</w:t>
      </w:r>
      <w:r w:rsidR="006176AA">
        <w:t xml:space="preserve"> not</w:t>
      </w:r>
      <w:r w:rsidR="00D92EAB">
        <w:t xml:space="preserve"> prone to issues such as </w:t>
      </w:r>
      <w:proofErr w:type="spellStart"/>
      <w:r w:rsidR="00D92EAB">
        <w:t>phoenixing</w:t>
      </w:r>
      <w:proofErr w:type="spellEnd"/>
      <w:r w:rsidR="00D92EAB">
        <w:t xml:space="preserve"> activity</w:t>
      </w:r>
      <w:r w:rsidR="00A705EC">
        <w:t xml:space="preserve">. </w:t>
      </w:r>
      <w:r w:rsidR="00D92EAB">
        <w:t>For this reason and for consistency with the new requirement’s operation with respect to Australian bodies, t</w:t>
      </w:r>
      <w:r w:rsidR="00A705EC">
        <w:t>he</w:t>
      </w:r>
      <w:r w:rsidR="00D92EAB">
        <w:t xml:space="preserve"> </w:t>
      </w:r>
      <w:r w:rsidR="00A705EC">
        <w:t>requirement only operates with respect to registered foreign companies that are body corporates.</w:t>
      </w:r>
      <w:r w:rsidR="00A75C73">
        <w:t xml:space="preserve"> </w:t>
      </w:r>
      <w:r w:rsidR="00A75C73">
        <w:rPr>
          <w:rStyle w:val="Referencingstyle"/>
        </w:rPr>
        <w:t>[</w:t>
      </w:r>
      <w:r w:rsidR="0002538C">
        <w:rPr>
          <w:rStyle w:val="Referencingstyle"/>
        </w:rPr>
        <w:t>Schedule 2</w:t>
      </w:r>
      <w:r w:rsidR="00273D37" w:rsidRPr="00273D37">
        <w:rPr>
          <w:rStyle w:val="Referencingstyle"/>
        </w:rPr>
        <w:t xml:space="preserve"> </w:t>
      </w:r>
      <w:r w:rsidR="00273D37">
        <w:rPr>
          <w:rStyle w:val="Referencingstyle"/>
        </w:rPr>
        <w:t>of the Treasury Laws Amendment (Registries Modernisation and Other Measures Bill</w:t>
      </w:r>
      <w:r w:rsidR="00A75C73">
        <w:rPr>
          <w:rStyle w:val="Referencingstyle"/>
        </w:rPr>
        <w:t>,</w:t>
      </w:r>
      <w:r w:rsidR="0002538C">
        <w:rPr>
          <w:rStyle w:val="Referencingstyle"/>
        </w:rPr>
        <w:t xml:space="preserve"> item 7,</w:t>
      </w:r>
      <w:r w:rsidR="00A75C73">
        <w:rPr>
          <w:rStyle w:val="Referencingstyle"/>
        </w:rPr>
        <w:t xml:space="preserve"> paragraphs 12</w:t>
      </w:r>
      <w:r w:rsidR="0002538C">
        <w:rPr>
          <w:rStyle w:val="Referencingstyle"/>
        </w:rPr>
        <w:t>3</w:t>
      </w:r>
      <w:r w:rsidR="00A75C73">
        <w:rPr>
          <w:rStyle w:val="Referencingstyle"/>
        </w:rPr>
        <w:t>2(1)(a) and 12</w:t>
      </w:r>
      <w:r w:rsidR="0002538C">
        <w:rPr>
          <w:rStyle w:val="Referencingstyle"/>
        </w:rPr>
        <w:t>3</w:t>
      </w:r>
      <w:r w:rsidR="00A75C73">
        <w:rPr>
          <w:rStyle w:val="Referencingstyle"/>
        </w:rPr>
        <w:t>2(1)(b) of the Corporations Act]</w:t>
      </w:r>
    </w:p>
    <w:p w14:paraId="5360CF2A" w14:textId="3D99E328" w:rsidR="00EC6E25" w:rsidRPr="00262F69" w:rsidRDefault="00990127" w:rsidP="0092530E">
      <w:pPr>
        <w:pStyle w:val="base-text-paragraph"/>
      </w:pPr>
      <w:r w:rsidRPr="00262F69">
        <w:t>Applying the DIN</w:t>
      </w:r>
      <w:r>
        <w:t xml:space="preserve"> requirement</w:t>
      </w:r>
      <w:r w:rsidRPr="00262F69">
        <w:t xml:space="preserve"> to foreign companies that are body corporates</w:t>
      </w:r>
      <w:r w:rsidR="00054888">
        <w:t xml:space="preserve"> </w:t>
      </w:r>
      <w:r w:rsidRPr="00262F69">
        <w:t>ensures that</w:t>
      </w:r>
      <w:r>
        <w:t xml:space="preserve"> the requirement operates in a jurisdictionally neutral manner. In particular, it ensures that the requirement</w:t>
      </w:r>
      <w:r w:rsidRPr="00262F69">
        <w:t xml:space="preserve"> applies to body corporates incorporated in an external territory or otherwise outside Australia, where those bodies carry on business in Australia. </w:t>
      </w:r>
      <w:r w:rsidR="00EC6E25">
        <w:t>This ensures that the new requirement operates consistently, regardless as to where a registered body is incorporated.</w:t>
      </w:r>
      <w:r w:rsidR="00984015">
        <w:t xml:space="preserve"> </w:t>
      </w:r>
      <w:r w:rsidR="00984015">
        <w:rPr>
          <w:rStyle w:val="Referencingstyle"/>
        </w:rPr>
        <w:t>[</w:t>
      </w:r>
      <w:r w:rsidR="00225808">
        <w:rPr>
          <w:rStyle w:val="Referencingstyle"/>
        </w:rPr>
        <w:t>Schedule 2</w:t>
      </w:r>
      <w:r w:rsidR="00273D37" w:rsidRPr="00273D37">
        <w:rPr>
          <w:rStyle w:val="Referencingstyle"/>
        </w:rPr>
        <w:t xml:space="preserve"> </w:t>
      </w:r>
      <w:r w:rsidR="00273D37">
        <w:rPr>
          <w:rStyle w:val="Referencingstyle"/>
        </w:rPr>
        <w:t>of the Treasury Laws Amendment (Registries Modernisation and Other Measures Bill</w:t>
      </w:r>
      <w:r w:rsidR="00225808">
        <w:rPr>
          <w:rStyle w:val="Referencingstyle"/>
        </w:rPr>
        <w:t>, item 7</w:t>
      </w:r>
      <w:r w:rsidR="00984015">
        <w:rPr>
          <w:rStyle w:val="Referencingstyle"/>
        </w:rPr>
        <w:t xml:space="preserve">, subsection </w:t>
      </w:r>
      <w:r w:rsidR="00BF2AAE">
        <w:rPr>
          <w:rStyle w:val="Referencingstyle"/>
        </w:rPr>
        <w:t>1232</w:t>
      </w:r>
      <w:r w:rsidR="00984015">
        <w:rPr>
          <w:rStyle w:val="Referencingstyle"/>
        </w:rPr>
        <w:t>(1) of the Corporations Act]</w:t>
      </w:r>
    </w:p>
    <w:p w14:paraId="5360CF2B" w14:textId="77777777" w:rsidR="00F373B9" w:rsidRPr="00C60ECB" w:rsidRDefault="00F373B9" w:rsidP="0092530E">
      <w:pPr>
        <w:pStyle w:val="base-text-paragraph"/>
        <w:numPr>
          <w:ilvl w:val="0"/>
          <w:numId w:val="0"/>
        </w:numPr>
        <w:ind w:left="1134"/>
        <w:rPr>
          <w:i/>
        </w:rPr>
      </w:pPr>
      <w:r w:rsidRPr="0092530E">
        <w:rPr>
          <w:i/>
        </w:rPr>
        <w:t>Registered Australian Body</w:t>
      </w:r>
    </w:p>
    <w:p w14:paraId="5360CF2C" w14:textId="77777777" w:rsidR="00A942BD" w:rsidRPr="0092530E" w:rsidRDefault="001E5A83" w:rsidP="0092530E">
      <w:pPr>
        <w:pStyle w:val="base-text-paragraph"/>
        <w:rPr>
          <w:lang w:val="en"/>
        </w:rPr>
      </w:pPr>
      <w:r w:rsidRPr="00054888">
        <w:t>R</w:t>
      </w:r>
      <w:r w:rsidR="00F373B9" w:rsidRPr="00054888">
        <w:t>egistered</w:t>
      </w:r>
      <w:r w:rsidR="00F373B9" w:rsidRPr="0092530E">
        <w:rPr>
          <w:lang w:val="en"/>
        </w:rPr>
        <w:t xml:space="preserve"> Australian body</w:t>
      </w:r>
      <w:r w:rsidRPr="0092530E">
        <w:rPr>
          <w:lang w:val="en"/>
        </w:rPr>
        <w:t xml:space="preserve"> is defined in section 9 of the Corporations Act as </w:t>
      </w:r>
      <w:r>
        <w:rPr>
          <w:lang w:val="en"/>
        </w:rPr>
        <w:t xml:space="preserve">a </w:t>
      </w:r>
      <w:r w:rsidR="0049403F">
        <w:rPr>
          <w:lang w:val="en"/>
        </w:rPr>
        <w:t>‘</w:t>
      </w:r>
      <w:r>
        <w:rPr>
          <w:lang w:val="en"/>
        </w:rPr>
        <w:t>registrable Australian body</w:t>
      </w:r>
      <w:r w:rsidR="0049403F">
        <w:rPr>
          <w:lang w:val="en"/>
        </w:rPr>
        <w:t>’</w:t>
      </w:r>
      <w:r w:rsidR="0049403F">
        <w:rPr>
          <w:rStyle w:val="FootnoteReference"/>
        </w:rPr>
        <w:footnoteReference w:id="52"/>
      </w:r>
      <w:r>
        <w:rPr>
          <w:lang w:val="en"/>
        </w:rPr>
        <w:t xml:space="preserve"> that is </w:t>
      </w:r>
      <w:hyperlink r:id="rId33" w:anchor="registered" w:history="1">
        <w:r w:rsidRPr="0092530E">
          <w:t>registered</w:t>
        </w:r>
      </w:hyperlink>
      <w:r>
        <w:rPr>
          <w:lang w:val="en"/>
        </w:rPr>
        <w:t xml:space="preserve"> under Division 1 of Part 5B.2</w:t>
      </w:r>
      <w:r w:rsidR="00A942BD">
        <w:rPr>
          <w:lang w:val="en"/>
        </w:rPr>
        <w:t xml:space="preserve"> of the Corporations Act</w:t>
      </w:r>
      <w:r>
        <w:rPr>
          <w:lang w:val="en"/>
        </w:rPr>
        <w:t>.</w:t>
      </w:r>
      <w:r w:rsidR="00A942BD">
        <w:rPr>
          <w:lang w:val="en"/>
        </w:rPr>
        <w:t xml:space="preserve"> </w:t>
      </w:r>
      <w:r w:rsidR="00A942BD" w:rsidRPr="00EE1858">
        <w:t>Section 601CA</w:t>
      </w:r>
      <w:r w:rsidR="00A942BD">
        <w:t xml:space="preserve"> of that Act</w:t>
      </w:r>
      <w:r w:rsidR="00A942BD" w:rsidRPr="00EE1858">
        <w:t xml:space="preserve"> provides that a registrable Australian body must not carry on business in a</w:t>
      </w:r>
      <w:r w:rsidR="00A942BD">
        <w:t xml:space="preserve"> state or territory unless:</w:t>
      </w:r>
    </w:p>
    <w:p w14:paraId="5360CF2D" w14:textId="77777777" w:rsidR="00A942BD" w:rsidRPr="0092530E" w:rsidRDefault="00A942BD" w:rsidP="00A942BD">
      <w:pPr>
        <w:pStyle w:val="dotpoint"/>
        <w:rPr>
          <w:lang w:val="en"/>
        </w:rPr>
      </w:pPr>
      <w:r w:rsidRPr="00EE1858">
        <w:t xml:space="preserve">that state or </w:t>
      </w:r>
      <w:r w:rsidR="0071129C">
        <w:t>t</w:t>
      </w:r>
      <w:r w:rsidRPr="00EE1858">
        <w:t>erritor</w:t>
      </w:r>
      <w:r>
        <w:t>y is its place of origin;</w:t>
      </w:r>
    </w:p>
    <w:p w14:paraId="5360CF2E" w14:textId="77777777" w:rsidR="00A942BD" w:rsidRPr="0092530E" w:rsidRDefault="00A942BD" w:rsidP="00A942BD">
      <w:pPr>
        <w:pStyle w:val="dotpoint"/>
        <w:rPr>
          <w:lang w:val="en"/>
        </w:rPr>
      </w:pPr>
      <w:r w:rsidRPr="00EE1858">
        <w:lastRenderedPageBreak/>
        <w:t xml:space="preserve">it has its head office or principle place of business in </w:t>
      </w:r>
      <w:r>
        <w:t xml:space="preserve">that state or </w:t>
      </w:r>
      <w:r w:rsidR="0071129C">
        <w:t>t</w:t>
      </w:r>
      <w:r>
        <w:t xml:space="preserve">erritory; or </w:t>
      </w:r>
    </w:p>
    <w:p w14:paraId="5360CF2F" w14:textId="77777777" w:rsidR="00F373B9" w:rsidRPr="0092530E" w:rsidRDefault="00A942BD" w:rsidP="00A942BD">
      <w:pPr>
        <w:pStyle w:val="dotpoint"/>
        <w:rPr>
          <w:lang w:val="en"/>
        </w:rPr>
      </w:pPr>
      <w:proofErr w:type="gramStart"/>
      <w:r w:rsidRPr="00EE1858">
        <w:t>it</w:t>
      </w:r>
      <w:proofErr w:type="gramEnd"/>
      <w:r w:rsidRPr="00EE1858">
        <w:t xml:space="preserve"> is registered under Division</w:t>
      </w:r>
      <w:r>
        <w:t xml:space="preserve"> 1 of Part 5B.2</w:t>
      </w:r>
      <w:r w:rsidRPr="00EE1858">
        <w:t xml:space="preserve"> or its application for registration is yet to be dealt with.</w:t>
      </w:r>
    </w:p>
    <w:p w14:paraId="5360CF30" w14:textId="4E7176AF" w:rsidR="0071129C" w:rsidRPr="0092530E" w:rsidRDefault="00B04494" w:rsidP="0092530E">
      <w:pPr>
        <w:pStyle w:val="base-text-paragraph"/>
        <w:rPr>
          <w:lang w:val="en"/>
        </w:rPr>
      </w:pPr>
      <w:r w:rsidRPr="0092530E">
        <w:rPr>
          <w:lang w:val="en"/>
        </w:rPr>
        <w:t xml:space="preserve">Applying </w:t>
      </w:r>
      <w:r w:rsidR="009A7548">
        <w:rPr>
          <w:lang w:val="en"/>
        </w:rPr>
        <w:t xml:space="preserve">the </w:t>
      </w:r>
      <w:r w:rsidRPr="0092530E">
        <w:rPr>
          <w:lang w:val="en"/>
        </w:rPr>
        <w:t xml:space="preserve">DIN </w:t>
      </w:r>
      <w:r w:rsidR="009A7548">
        <w:rPr>
          <w:lang w:val="en"/>
        </w:rPr>
        <w:t>requirement</w:t>
      </w:r>
      <w:r w:rsidR="00301BD6">
        <w:rPr>
          <w:lang w:val="en"/>
        </w:rPr>
        <w:t xml:space="preserve"> to registered</w:t>
      </w:r>
      <w:r w:rsidRPr="0092530E">
        <w:rPr>
          <w:lang w:val="en"/>
        </w:rPr>
        <w:t xml:space="preserve"> Australian </w:t>
      </w:r>
      <w:r w:rsidR="0071129C">
        <w:rPr>
          <w:lang w:val="en"/>
        </w:rPr>
        <w:t>bodies</w:t>
      </w:r>
      <w:r w:rsidRPr="0092530E">
        <w:rPr>
          <w:lang w:val="en"/>
        </w:rPr>
        <w:t xml:space="preserve"> ensures that the regime applies in relation to body corpor</w:t>
      </w:r>
      <w:r>
        <w:rPr>
          <w:lang w:val="en"/>
        </w:rPr>
        <w:t>ates that are not companies, but which</w:t>
      </w:r>
      <w:r w:rsidRPr="0092530E">
        <w:rPr>
          <w:lang w:val="en"/>
        </w:rPr>
        <w:t xml:space="preserve"> carry on business in one or more states or territories </w:t>
      </w:r>
      <w:r>
        <w:rPr>
          <w:lang w:val="en"/>
        </w:rPr>
        <w:t xml:space="preserve">other than </w:t>
      </w:r>
      <w:r w:rsidR="0071129C">
        <w:rPr>
          <w:lang w:val="en"/>
        </w:rPr>
        <w:t>their</w:t>
      </w:r>
      <w:r w:rsidRPr="00B04494">
        <w:rPr>
          <w:lang w:val="en"/>
        </w:rPr>
        <w:t xml:space="preserve"> home jurisdiction</w:t>
      </w:r>
      <w:r w:rsidRPr="0092530E">
        <w:rPr>
          <w:lang w:val="en"/>
        </w:rPr>
        <w:t>.</w:t>
      </w:r>
      <w:r>
        <w:rPr>
          <w:lang w:val="en"/>
        </w:rPr>
        <w:t xml:space="preserve"> As with </w:t>
      </w:r>
      <w:r w:rsidR="003A242F">
        <w:rPr>
          <w:lang w:val="en"/>
        </w:rPr>
        <w:t>registered</w:t>
      </w:r>
      <w:r w:rsidR="002B6F93">
        <w:rPr>
          <w:lang w:val="en"/>
        </w:rPr>
        <w:t xml:space="preserve"> foreign companies, some registered Australian bodies are unincorporated. However, the new requirement does not operate in relation to these bodies</w:t>
      </w:r>
      <w:r w:rsidR="00682445">
        <w:rPr>
          <w:lang w:val="en"/>
        </w:rPr>
        <w:t xml:space="preserve"> </w:t>
      </w:r>
      <w:r w:rsidR="00682445">
        <w:t xml:space="preserve">as they cannot hold property in their own name and are therefore not prone to issues such as </w:t>
      </w:r>
      <w:proofErr w:type="spellStart"/>
      <w:r w:rsidR="00682445">
        <w:t>phoenixing</w:t>
      </w:r>
      <w:proofErr w:type="spellEnd"/>
      <w:r w:rsidR="00682445">
        <w:t xml:space="preserve"> activity</w:t>
      </w:r>
      <w:r w:rsidR="00B53BF1">
        <w:rPr>
          <w:lang w:val="en"/>
        </w:rPr>
        <w:t>. The new requirement</w:t>
      </w:r>
      <w:r w:rsidR="002B6F93">
        <w:rPr>
          <w:lang w:val="en"/>
        </w:rPr>
        <w:t xml:space="preserve"> only applies in relation to registered Australian bodies that are body corporates.</w:t>
      </w:r>
      <w:r>
        <w:rPr>
          <w:lang w:val="en"/>
        </w:rPr>
        <w:t xml:space="preserve"> </w:t>
      </w:r>
      <w:r w:rsidR="00A75C73">
        <w:rPr>
          <w:rStyle w:val="Referencingstyle"/>
        </w:rPr>
        <w:t>[</w:t>
      </w:r>
      <w:r w:rsidR="00BF2AAE">
        <w:rPr>
          <w:rStyle w:val="Referencingstyle"/>
        </w:rPr>
        <w:t>Schedule 2</w:t>
      </w:r>
      <w:r w:rsidR="00273D37" w:rsidRPr="00273D37">
        <w:rPr>
          <w:rStyle w:val="Referencingstyle"/>
        </w:rPr>
        <w:t xml:space="preserve"> </w:t>
      </w:r>
      <w:r w:rsidR="00273D37">
        <w:rPr>
          <w:rStyle w:val="Referencingstyle"/>
        </w:rPr>
        <w:t>of the Treasury Laws Amendment (Registries Modernisation and Other Measures Bill</w:t>
      </w:r>
      <w:r w:rsidR="00BF2AAE">
        <w:rPr>
          <w:rStyle w:val="Referencingstyle"/>
        </w:rPr>
        <w:t>, item</w:t>
      </w:r>
      <w:r w:rsidR="00321D60">
        <w:rPr>
          <w:rStyle w:val="Referencingstyle"/>
        </w:rPr>
        <w:t> </w:t>
      </w:r>
      <w:r w:rsidR="00BF2AAE">
        <w:rPr>
          <w:rStyle w:val="Referencingstyle"/>
        </w:rPr>
        <w:t>7,</w:t>
      </w:r>
      <w:r w:rsidR="00A75C73">
        <w:rPr>
          <w:rStyle w:val="Referencingstyle"/>
        </w:rPr>
        <w:t xml:space="preserve"> subsection</w:t>
      </w:r>
      <w:r w:rsidR="00321D60">
        <w:rPr>
          <w:rStyle w:val="Referencingstyle"/>
        </w:rPr>
        <w:t> </w:t>
      </w:r>
      <w:r w:rsidR="00BF2AAE">
        <w:rPr>
          <w:rStyle w:val="Referencingstyle"/>
        </w:rPr>
        <w:t>1232</w:t>
      </w:r>
      <w:r w:rsidR="00A75C73">
        <w:rPr>
          <w:rStyle w:val="Referencingstyle"/>
        </w:rPr>
        <w:t>(1) of the Corporations</w:t>
      </w:r>
      <w:r w:rsidR="00984015">
        <w:rPr>
          <w:rStyle w:val="Referencingstyle"/>
        </w:rPr>
        <w:t xml:space="preserve"> Act]</w:t>
      </w:r>
    </w:p>
    <w:p w14:paraId="5360CF31" w14:textId="77777777" w:rsidR="003938DE" w:rsidRPr="003D6E88" w:rsidRDefault="003D6E88" w:rsidP="003D6E88">
      <w:pPr>
        <w:pStyle w:val="base-text-paragraph"/>
        <w:numPr>
          <w:ilvl w:val="0"/>
          <w:numId w:val="0"/>
        </w:numPr>
        <w:ind w:left="1134"/>
        <w:rPr>
          <w:i/>
        </w:rPr>
      </w:pPr>
      <w:r w:rsidRPr="003D6E88">
        <w:rPr>
          <w:bCs/>
          <w:i/>
          <w:iCs/>
        </w:rPr>
        <w:t xml:space="preserve">Aboriginal and Torres Strait Islander </w:t>
      </w:r>
      <w:r>
        <w:rPr>
          <w:bCs/>
          <w:i/>
          <w:iCs/>
        </w:rPr>
        <w:t>c</w:t>
      </w:r>
      <w:r w:rsidRPr="003D6E88">
        <w:rPr>
          <w:bCs/>
          <w:i/>
          <w:iCs/>
        </w:rPr>
        <w:t>orporation</w:t>
      </w:r>
      <w:r>
        <w:rPr>
          <w:bCs/>
          <w:i/>
          <w:iCs/>
        </w:rPr>
        <w:t>s</w:t>
      </w:r>
    </w:p>
    <w:p w14:paraId="5360CF32" w14:textId="73F4F35C" w:rsidR="003D6E88" w:rsidRPr="003D6E88" w:rsidRDefault="003D6E88" w:rsidP="003D6E88">
      <w:pPr>
        <w:pStyle w:val="base-text-paragraph"/>
        <w:rPr>
          <w:lang w:val="en"/>
        </w:rPr>
      </w:pPr>
      <w:r w:rsidRPr="003D6E88">
        <w:rPr>
          <w:lang w:val="en"/>
        </w:rPr>
        <w:t>The CATSI Act is the law that establishes the role of the Registrar of Indigenous Corporations and allows Aboriginal and Torres Strait Islander groups to form corporations. Registration under the CATSI</w:t>
      </w:r>
      <w:r w:rsidR="000B2FEE">
        <w:rPr>
          <w:lang w:val="en"/>
        </w:rPr>
        <w:t> </w:t>
      </w:r>
      <w:r w:rsidRPr="003D6E88">
        <w:rPr>
          <w:lang w:val="en"/>
        </w:rPr>
        <w:t xml:space="preserve">Act is mostly voluntary. However, some corporations—for example, ‘prescribed bodies corporate’ set up under the </w:t>
      </w:r>
      <w:hyperlink r:id="rId34" w:tgtFrame="_blank" w:tooltip="Native Title Act 1993" w:history="1">
        <w:r w:rsidRPr="00E81EFA">
          <w:rPr>
            <w:i/>
            <w:lang w:val="en"/>
          </w:rPr>
          <w:t>Native Title Act 1993</w:t>
        </w:r>
      </w:hyperlink>
      <w:r w:rsidRPr="003D6E88">
        <w:rPr>
          <w:lang w:val="en"/>
        </w:rPr>
        <w:t>—are required to register under the</w:t>
      </w:r>
      <w:r w:rsidR="00CC3430">
        <w:rPr>
          <w:lang w:val="en"/>
        </w:rPr>
        <w:t xml:space="preserve"> CATSI</w:t>
      </w:r>
      <w:r w:rsidRPr="003D6E88">
        <w:rPr>
          <w:lang w:val="en"/>
        </w:rPr>
        <w:t xml:space="preserve"> Act.</w:t>
      </w:r>
    </w:p>
    <w:p w14:paraId="5360CF33" w14:textId="1728FD85" w:rsidR="003D6E88" w:rsidRPr="00C60ECB" w:rsidRDefault="0010227E" w:rsidP="003D6E88">
      <w:pPr>
        <w:pStyle w:val="base-text-paragraph"/>
        <w:rPr>
          <w:bCs/>
          <w:i/>
          <w:iCs/>
        </w:rPr>
      </w:pPr>
      <w:r>
        <w:rPr>
          <w:lang w:val="en"/>
        </w:rPr>
        <w:t xml:space="preserve">The CATSI Act sets out the meaning of Aboriginal and Torres Strait Islander </w:t>
      </w:r>
      <w:proofErr w:type="gramStart"/>
      <w:r>
        <w:rPr>
          <w:lang w:val="en"/>
        </w:rPr>
        <w:t>corporation</w:t>
      </w:r>
      <w:proofErr w:type="gramEnd"/>
      <w:r>
        <w:rPr>
          <w:lang w:val="en"/>
        </w:rPr>
        <w:t xml:space="preserve"> and how such corporations are registered. Section 16-5 of the CATSI Act </w:t>
      </w:r>
      <w:r w:rsidR="003D6E88">
        <w:rPr>
          <w:lang w:val="en"/>
        </w:rPr>
        <w:t xml:space="preserve">provides that an Aboriginal and Torres </w:t>
      </w:r>
      <w:r>
        <w:rPr>
          <w:lang w:val="en"/>
        </w:rPr>
        <w:t>Strait</w:t>
      </w:r>
      <w:r w:rsidR="003D6E88">
        <w:rPr>
          <w:lang w:val="en"/>
        </w:rPr>
        <w:t xml:space="preserve"> Islander</w:t>
      </w:r>
      <w:r>
        <w:rPr>
          <w:lang w:val="en"/>
        </w:rPr>
        <w:t xml:space="preserve"> corporation is a corporation registered under the CATSI</w:t>
      </w:r>
      <w:r w:rsidR="000B2FEE">
        <w:rPr>
          <w:lang w:val="en"/>
        </w:rPr>
        <w:t> </w:t>
      </w:r>
      <w:r>
        <w:rPr>
          <w:lang w:val="en"/>
        </w:rPr>
        <w:t xml:space="preserve">Act. </w:t>
      </w:r>
      <w:r w:rsidR="003D6E88" w:rsidRPr="00EE1858">
        <w:rPr>
          <w:lang w:val="en"/>
        </w:rPr>
        <w:t>Part 2-2</w:t>
      </w:r>
      <w:r>
        <w:rPr>
          <w:lang w:val="en"/>
        </w:rPr>
        <w:t xml:space="preserve"> of the Act</w:t>
      </w:r>
      <w:r w:rsidR="003D6E88" w:rsidRPr="00EE1858">
        <w:rPr>
          <w:lang w:val="en"/>
        </w:rPr>
        <w:t xml:space="preserve"> deals with applications for registration.</w:t>
      </w:r>
      <w:r w:rsidR="003D6E88" w:rsidRPr="00EE1858">
        <w:t xml:space="preserve"> </w:t>
      </w:r>
      <w:r>
        <w:t xml:space="preserve">In particular, </w:t>
      </w:r>
      <w:r>
        <w:rPr>
          <w:lang w:val="en"/>
        </w:rPr>
        <w:t>s</w:t>
      </w:r>
      <w:r w:rsidR="003D6E88" w:rsidRPr="00EE1858">
        <w:rPr>
          <w:lang w:val="en"/>
        </w:rPr>
        <w:t>ection 42</w:t>
      </w:r>
      <w:r w:rsidR="00682445">
        <w:rPr>
          <w:lang w:val="en"/>
        </w:rPr>
        <w:t>-</w:t>
      </w:r>
      <w:r w:rsidR="003D6E88" w:rsidRPr="00EE1858">
        <w:rPr>
          <w:lang w:val="en"/>
        </w:rPr>
        <w:t>1 provides that a corporation comes into existence on registration u</w:t>
      </w:r>
      <w:r>
        <w:rPr>
          <w:lang w:val="en"/>
        </w:rPr>
        <w:t>nder the CATSI Act.</w:t>
      </w:r>
    </w:p>
    <w:p w14:paraId="5360CF34" w14:textId="6373DB0A" w:rsidR="0095232C" w:rsidRDefault="00C60ECB" w:rsidP="00A26551">
      <w:pPr>
        <w:pStyle w:val="base-text-paragraph"/>
      </w:pPr>
      <w:r w:rsidRPr="00A26551">
        <w:rPr>
          <w:lang w:val="en"/>
        </w:rPr>
        <w:t>Applying</w:t>
      </w:r>
      <w:r w:rsidRPr="00EE1858">
        <w:t xml:space="preserve"> the DIN</w:t>
      </w:r>
      <w:r w:rsidR="00A26551">
        <w:t xml:space="preserve"> requirement to directors of Aboriginal and Torres Strait Islander</w:t>
      </w:r>
      <w:r w:rsidRPr="00EE1858">
        <w:t xml:space="preserve"> cor</w:t>
      </w:r>
      <w:r w:rsidR="00A26551">
        <w:t>porations ensures that these</w:t>
      </w:r>
      <w:r w:rsidR="0095232C">
        <w:t xml:space="preserve"> directors are treated equivalently to those of registered bodies under the Corporations Act. It also ensures that </w:t>
      </w:r>
      <w:r w:rsidR="00963AE0">
        <w:t xml:space="preserve">the members and creditors of all registered bodies may </w:t>
      </w:r>
      <w:r w:rsidR="0095232C">
        <w:t>benefit from</w:t>
      </w:r>
      <w:r w:rsidR="00963AE0">
        <w:t xml:space="preserve"> the regime, in particular </w:t>
      </w:r>
      <w:r w:rsidR="00682445">
        <w:t>the</w:t>
      </w:r>
      <w:r w:rsidR="00963AE0">
        <w:t xml:space="preserve"> promotion of good corporate conduct.</w:t>
      </w:r>
      <w:r w:rsidR="00984015">
        <w:t xml:space="preserve"> </w:t>
      </w:r>
      <w:r w:rsidR="00984015">
        <w:rPr>
          <w:rStyle w:val="Referencingstyle"/>
        </w:rPr>
        <w:t>[</w:t>
      </w:r>
      <w:r w:rsidR="000B2FEE">
        <w:rPr>
          <w:rStyle w:val="Referencingstyle"/>
        </w:rPr>
        <w:t>Schedule 2</w:t>
      </w:r>
      <w:r w:rsidR="00273D37" w:rsidRPr="00273D37">
        <w:rPr>
          <w:rStyle w:val="Referencingstyle"/>
        </w:rPr>
        <w:t xml:space="preserve"> </w:t>
      </w:r>
      <w:r w:rsidR="00273D37">
        <w:rPr>
          <w:rStyle w:val="Referencingstyle"/>
        </w:rPr>
        <w:t>of the Treasury Laws Amendment (Registries Modernisation and Other Measures Bill</w:t>
      </w:r>
      <w:r w:rsidR="00984015">
        <w:rPr>
          <w:rStyle w:val="Referencingstyle"/>
        </w:rPr>
        <w:t>,</w:t>
      </w:r>
      <w:r w:rsidR="000B2FEE">
        <w:rPr>
          <w:rStyle w:val="Referencingstyle"/>
        </w:rPr>
        <w:t xml:space="preserve"> </w:t>
      </w:r>
      <w:r w:rsidR="00321D60">
        <w:rPr>
          <w:rStyle w:val="Referencingstyle"/>
        </w:rPr>
        <w:t>item 1,</w:t>
      </w:r>
      <w:r w:rsidR="00984015">
        <w:rPr>
          <w:rStyle w:val="Referencingstyle"/>
        </w:rPr>
        <w:t xml:space="preserve"> subsection 308-15(1) of the CATSI Act]</w:t>
      </w:r>
    </w:p>
    <w:p w14:paraId="5360CF35" w14:textId="77777777" w:rsidR="00EE1858" w:rsidRDefault="00EE1858" w:rsidP="00EE1858">
      <w:pPr>
        <w:pStyle w:val="Heading3"/>
      </w:pPr>
      <w:bookmarkStart w:id="26" w:name="msonormaltable"/>
      <w:bookmarkEnd w:id="26"/>
      <w:r>
        <w:t xml:space="preserve">What </w:t>
      </w:r>
      <w:r w:rsidR="009C0282">
        <w:t xml:space="preserve">obligations are associated with the new DIN </w:t>
      </w:r>
      <w:r w:rsidR="00C36F64">
        <w:t>requirement</w:t>
      </w:r>
      <w:r>
        <w:t>?</w:t>
      </w:r>
    </w:p>
    <w:p w14:paraId="5360CF36" w14:textId="77777777" w:rsidR="00C36F64" w:rsidRDefault="00C36F64" w:rsidP="00752205">
      <w:pPr>
        <w:pStyle w:val="base-text-paragraph"/>
      </w:pPr>
      <w:r>
        <w:t>The ne</w:t>
      </w:r>
      <w:r w:rsidR="002F7FF1">
        <w:t>w law inserts four</w:t>
      </w:r>
      <w:r>
        <w:t xml:space="preserve"> obligations in relation to the new requirement. These obligations:</w:t>
      </w:r>
    </w:p>
    <w:p w14:paraId="5360CF37" w14:textId="77777777" w:rsidR="00AF4EB8" w:rsidRDefault="00C36F64" w:rsidP="00353F39">
      <w:pPr>
        <w:pStyle w:val="dotpoint"/>
      </w:pPr>
      <w:r>
        <w:t>require a director to apply for a DIN within 28 days of being appointed as a director;</w:t>
      </w:r>
    </w:p>
    <w:p w14:paraId="5360CF38" w14:textId="77777777" w:rsidR="00C36F64" w:rsidRDefault="00C36F64" w:rsidP="00353F39">
      <w:pPr>
        <w:pStyle w:val="dotpoint"/>
      </w:pPr>
      <w:r>
        <w:lastRenderedPageBreak/>
        <w:t>require a director to apply for a DIN within 28 days of being directed by the registrar to apply for a DIN;</w:t>
      </w:r>
    </w:p>
    <w:p w14:paraId="5360CF39" w14:textId="77777777" w:rsidR="00C36F64" w:rsidRDefault="00C36F64" w:rsidP="00353F39">
      <w:pPr>
        <w:pStyle w:val="dotpoint"/>
      </w:pPr>
      <w:r>
        <w:t xml:space="preserve">prohibit a person from knowingly applying for multiple DINs; and </w:t>
      </w:r>
    </w:p>
    <w:p w14:paraId="5360CF3A" w14:textId="77777777" w:rsidR="00C36F64" w:rsidRDefault="00C36F64" w:rsidP="00353F39">
      <w:pPr>
        <w:pStyle w:val="dotpoint"/>
      </w:pPr>
      <w:proofErr w:type="gramStart"/>
      <w:r>
        <w:t>prohi</w:t>
      </w:r>
      <w:r w:rsidR="002F7FF1">
        <w:t>bit</w:t>
      </w:r>
      <w:proofErr w:type="gramEnd"/>
      <w:r w:rsidR="002F7FF1">
        <w:t xml:space="preserve"> a person fr</w:t>
      </w:r>
      <w:r w:rsidR="00C3007D">
        <w:t>o</w:t>
      </w:r>
      <w:r w:rsidR="002F7FF1">
        <w:t>m misrepresenting a</w:t>
      </w:r>
      <w:r>
        <w:t xml:space="preserve"> DIN to a government body or registered body.</w:t>
      </w:r>
    </w:p>
    <w:p w14:paraId="5360CF3B" w14:textId="77777777" w:rsidR="002F7FF1" w:rsidRDefault="002F7FF1" w:rsidP="00E81EFA">
      <w:pPr>
        <w:pStyle w:val="Heading4"/>
      </w:pPr>
      <w:r>
        <w:t xml:space="preserve">Directors must apply for a DIN within 28 days of being </w:t>
      </w:r>
      <w:r w:rsidR="00C3007D">
        <w:t>appointed</w:t>
      </w:r>
    </w:p>
    <w:p w14:paraId="5360CF3C" w14:textId="6C1379B9" w:rsidR="009D078A" w:rsidRDefault="004C121F" w:rsidP="00E81EFA">
      <w:pPr>
        <w:pStyle w:val="base-text-paragraph"/>
      </w:pPr>
      <w:bookmarkStart w:id="27" w:name="_Ref525255916"/>
      <w:r>
        <w:t xml:space="preserve">The first obligation requires a director to apply for a DIN within 28 days of being appointed as a director. </w:t>
      </w:r>
      <w:r w:rsidR="0052202E">
        <w:t>W</w:t>
      </w:r>
      <w:r>
        <w:t>hile the new law requires that all directors have a DIN, it is a defence if the director applied to the registrar for a DIN within 28 days of being first appointed as a director of any registered body</w:t>
      </w:r>
      <w:r w:rsidR="00DF0CA3">
        <w:t xml:space="preserve"> and the application </w:t>
      </w:r>
      <w:r w:rsidR="002414F9">
        <w:t>has not yet been dealt with</w:t>
      </w:r>
      <w:r>
        <w:t>.</w:t>
      </w:r>
      <w:r w:rsidR="00A645C6">
        <w:rPr>
          <w:rStyle w:val="FootnoteReference"/>
        </w:rPr>
        <w:footnoteReference w:id="53"/>
      </w:r>
      <w:r>
        <w:t xml:space="preserve"> </w:t>
      </w:r>
      <w:r w:rsidR="009D078A">
        <w:rPr>
          <w:rStyle w:val="Referencingstyle"/>
        </w:rPr>
        <w:t>[</w:t>
      </w:r>
      <w:r w:rsidR="00406AA4">
        <w:rPr>
          <w:rStyle w:val="Referencingstyle"/>
        </w:rPr>
        <w:t>Schedule 2</w:t>
      </w:r>
      <w:r w:rsidR="00273D37" w:rsidRPr="00273D37">
        <w:rPr>
          <w:rStyle w:val="Referencingstyle"/>
        </w:rPr>
        <w:t xml:space="preserve"> </w:t>
      </w:r>
      <w:r w:rsidR="00273D37">
        <w:rPr>
          <w:rStyle w:val="Referencingstyle"/>
        </w:rPr>
        <w:t>of the Treasury Laws Amendment (Registries Modernisation and Other Measures Bill</w:t>
      </w:r>
      <w:r w:rsidR="009D078A">
        <w:rPr>
          <w:rStyle w:val="Referencingstyle"/>
        </w:rPr>
        <w:t>,</w:t>
      </w:r>
      <w:r w:rsidR="00406AA4">
        <w:rPr>
          <w:rStyle w:val="Referencingstyle"/>
        </w:rPr>
        <w:t xml:space="preserve"> items 1 and 7,</w:t>
      </w:r>
      <w:r w:rsidR="009D078A">
        <w:rPr>
          <w:rStyle w:val="Referencingstyle"/>
        </w:rPr>
        <w:t xml:space="preserve"> subsections 308-20(1) and 308-20(2) of the CATSI</w:t>
      </w:r>
      <w:r w:rsidR="00406AA4">
        <w:rPr>
          <w:rStyle w:val="Referencingstyle"/>
        </w:rPr>
        <w:t xml:space="preserve"> Act</w:t>
      </w:r>
      <w:r w:rsidR="008A0247">
        <w:rPr>
          <w:rStyle w:val="Referencingstyle"/>
        </w:rPr>
        <w:t xml:space="preserve"> and</w:t>
      </w:r>
      <w:r w:rsidR="00406AA4">
        <w:rPr>
          <w:rStyle w:val="Referencingstyle"/>
        </w:rPr>
        <w:t xml:space="preserve"> </w:t>
      </w:r>
      <w:r w:rsidR="009D078A">
        <w:rPr>
          <w:rStyle w:val="Referencingstyle"/>
        </w:rPr>
        <w:t xml:space="preserve">subsections </w:t>
      </w:r>
      <w:r w:rsidR="00406AA4">
        <w:rPr>
          <w:rStyle w:val="Referencingstyle"/>
        </w:rPr>
        <w:t>1233</w:t>
      </w:r>
      <w:r w:rsidR="009D078A">
        <w:rPr>
          <w:rStyle w:val="Referencingstyle"/>
        </w:rPr>
        <w:t xml:space="preserve">(1) and </w:t>
      </w:r>
      <w:r w:rsidR="00406AA4">
        <w:rPr>
          <w:rStyle w:val="Referencingstyle"/>
        </w:rPr>
        <w:t>1233</w:t>
      </w:r>
      <w:r w:rsidR="009D078A">
        <w:rPr>
          <w:rStyle w:val="Referencingstyle"/>
        </w:rPr>
        <w:t>(2) of the Corporations Act]</w:t>
      </w:r>
      <w:bookmarkEnd w:id="27"/>
    </w:p>
    <w:p w14:paraId="5360CF3D" w14:textId="7CB22DC3" w:rsidR="00752205" w:rsidRDefault="009967D9" w:rsidP="00E81EFA">
      <w:pPr>
        <w:pStyle w:val="base-text-paragraph"/>
      </w:pPr>
      <w:bookmarkStart w:id="28" w:name="_Ref525156263"/>
      <w:r>
        <w:t>T</w:t>
      </w:r>
      <w:r w:rsidR="004C121F">
        <w:t>h</w:t>
      </w:r>
      <w:r w:rsidR="009D078A">
        <w:t>e</w:t>
      </w:r>
      <w:r w:rsidR="004C121F">
        <w:t xml:space="preserve"> 28 day</w:t>
      </w:r>
      <w:r w:rsidR="009D078A">
        <w:t xml:space="preserve"> period ap</w:t>
      </w:r>
      <w:r w:rsidR="007D3B58">
        <w:t>plicable</w:t>
      </w:r>
      <w:r w:rsidR="009D078A">
        <w:t xml:space="preserve"> to the above mentioned defence may be extended by the registrar for a particular director or for a specified</w:t>
      </w:r>
      <w:r w:rsidR="007D3B58">
        <w:t xml:space="preserve"> class of directors</w:t>
      </w:r>
      <w:r w:rsidR="009D078A">
        <w:t>. For a particular director, the</w:t>
      </w:r>
      <w:r w:rsidR="004C121F">
        <w:t xml:space="preserve"> period </w:t>
      </w:r>
      <w:r w:rsidR="009D078A">
        <w:t>may be extended on application by the</w:t>
      </w:r>
      <w:r>
        <w:t xml:space="preserve"> director for the period specified in the application or for such other period as the registrar considers reasonable</w:t>
      </w:r>
      <w:r w:rsidR="004C121F">
        <w:t>.</w:t>
      </w:r>
      <w:r w:rsidR="009D078A">
        <w:t xml:space="preserve"> As such an </w:t>
      </w:r>
      <w:r w:rsidR="003B59E3">
        <w:t>extension</w:t>
      </w:r>
      <w:r w:rsidR="009D078A">
        <w:t xml:space="preserve"> applies the laws to a particular </w:t>
      </w:r>
      <w:proofErr w:type="gramStart"/>
      <w:r w:rsidR="003B59E3">
        <w:t>case</w:t>
      </w:r>
      <w:r w:rsidR="003A389F">
        <w:t>,</w:t>
      </w:r>
      <w:proofErr w:type="gramEnd"/>
      <w:r w:rsidR="009D078A">
        <w:t xml:space="preserve"> it is of an administrative character. </w:t>
      </w:r>
      <w:r w:rsidR="003B59E3">
        <w:t xml:space="preserve">An extension relating to a class of persons, however, must be made by legislative instrument as such an extension is legislative in character. As such, any class extensions are subject to parliamentary oversight through the disallowance process under the </w:t>
      </w:r>
      <w:r w:rsidR="002E520C" w:rsidRPr="002E520C">
        <w:rPr>
          <w:i/>
        </w:rPr>
        <w:t>Legislation Act</w:t>
      </w:r>
      <w:r w:rsidR="002E520C">
        <w:rPr>
          <w:i/>
        </w:rPr>
        <w:t> </w:t>
      </w:r>
      <w:r w:rsidR="003B59E3" w:rsidRPr="00E81EFA">
        <w:rPr>
          <w:i/>
        </w:rPr>
        <w:t>2003</w:t>
      </w:r>
      <w:r w:rsidR="003B59E3">
        <w:t>. The ability to grant extensions</w:t>
      </w:r>
      <w:r w:rsidR="009D078A">
        <w:t xml:space="preserve"> provides the registrar with discretion to extend the period for compliance where </w:t>
      </w:r>
      <w:r w:rsidR="003B59E3">
        <w:t>warranted</w:t>
      </w:r>
      <w:r w:rsidR="009D078A">
        <w:t>.</w:t>
      </w:r>
      <w:r w:rsidR="003B59E3">
        <w:rPr>
          <w:rStyle w:val="FootnoteReference"/>
        </w:rPr>
        <w:footnoteReference w:id="54"/>
      </w:r>
      <w:r w:rsidR="003B59E3">
        <w:t xml:space="preserve"> </w:t>
      </w:r>
      <w:r w:rsidR="00DF0CA3">
        <w:rPr>
          <w:rStyle w:val="Referencingstyle"/>
        </w:rPr>
        <w:t>[</w:t>
      </w:r>
      <w:r w:rsidR="0068713F">
        <w:rPr>
          <w:rStyle w:val="Referencingstyle"/>
        </w:rPr>
        <w:t>Schedule 2</w:t>
      </w:r>
      <w:r w:rsidR="00273D37" w:rsidRPr="00273D37">
        <w:rPr>
          <w:rStyle w:val="Referencingstyle"/>
        </w:rPr>
        <w:t xml:space="preserve"> </w:t>
      </w:r>
      <w:r w:rsidR="00273D37">
        <w:rPr>
          <w:rStyle w:val="Referencingstyle"/>
        </w:rPr>
        <w:t>of the Treasury Laws Amendment (Registries Modernisation and Other Measures Bill</w:t>
      </w:r>
      <w:r w:rsidR="00DF0CA3">
        <w:rPr>
          <w:rStyle w:val="Referencingstyle"/>
        </w:rPr>
        <w:t>,</w:t>
      </w:r>
      <w:r w:rsidR="0068713F">
        <w:rPr>
          <w:rStyle w:val="Referencingstyle"/>
        </w:rPr>
        <w:t xml:space="preserve"> items 1 and 7,</w:t>
      </w:r>
      <w:r w:rsidR="009D078A">
        <w:rPr>
          <w:rStyle w:val="Referencingstyle"/>
        </w:rPr>
        <w:t xml:space="preserve"> section</w:t>
      </w:r>
      <w:r w:rsidR="007D3B58">
        <w:rPr>
          <w:rStyle w:val="Referencingstyle"/>
        </w:rPr>
        <w:t xml:space="preserve"> 308-30</w:t>
      </w:r>
      <w:r w:rsidR="009D078A">
        <w:rPr>
          <w:rStyle w:val="Referencingstyle"/>
        </w:rPr>
        <w:t xml:space="preserve"> </w:t>
      </w:r>
      <w:r w:rsidR="008062C8">
        <w:rPr>
          <w:rStyle w:val="Referencingstyle"/>
        </w:rPr>
        <w:t>of the CATSI</w:t>
      </w:r>
      <w:r w:rsidR="008D10B2">
        <w:rPr>
          <w:rStyle w:val="Referencingstyle"/>
        </w:rPr>
        <w:t xml:space="preserve"> Act and </w:t>
      </w:r>
      <w:r w:rsidR="009D078A">
        <w:rPr>
          <w:rStyle w:val="Referencingstyle"/>
        </w:rPr>
        <w:t>section </w:t>
      </w:r>
      <w:r w:rsidR="008D10B2">
        <w:rPr>
          <w:rStyle w:val="Referencingstyle"/>
        </w:rPr>
        <w:t xml:space="preserve">1235 </w:t>
      </w:r>
      <w:r w:rsidR="008062C8">
        <w:rPr>
          <w:rStyle w:val="Referencingstyle"/>
        </w:rPr>
        <w:t>of the Corporations Act]</w:t>
      </w:r>
      <w:bookmarkEnd w:id="28"/>
    </w:p>
    <w:p w14:paraId="5360CF3E" w14:textId="7C67C9C3" w:rsidR="009428EF" w:rsidRDefault="008062C8" w:rsidP="00E81EFA">
      <w:pPr>
        <w:pStyle w:val="base-text-paragraph"/>
      </w:pPr>
      <w:r>
        <w:t xml:space="preserve">It is also a defence </w:t>
      </w:r>
      <w:r w:rsidR="006C5B51">
        <w:t>in relation to this obligation if the director was appointed without their knowledge. This defence is ai</w:t>
      </w:r>
      <w:r w:rsidR="009E5D38">
        <w:t>med at ensuring that a person does not breach the obligation because of the wrong doing of another, for example, due to identity theft</w:t>
      </w:r>
      <w:r w:rsidR="009428EF">
        <w:t xml:space="preserve"> or forgery</w:t>
      </w:r>
      <w:r w:rsidR="009E5D38">
        <w:t xml:space="preserve">. </w:t>
      </w:r>
      <w:r w:rsidR="009428EF">
        <w:t>In such a situation it would be more appropriate for the regulator to explore other options, for example, investigating whether a company has breached section 201D of the Corporations Act</w:t>
      </w:r>
      <w:r w:rsidR="003A389F">
        <w:t>,</w:t>
      </w:r>
      <w:r w:rsidR="009428EF">
        <w:t xml:space="preserve"> which requires a person to consent to being a </w:t>
      </w:r>
      <w:r w:rsidR="009428EF">
        <w:lastRenderedPageBreak/>
        <w:t xml:space="preserve">director. </w:t>
      </w:r>
      <w:r w:rsidR="009428EF">
        <w:rPr>
          <w:rStyle w:val="Referencingstyle"/>
        </w:rPr>
        <w:t>[</w:t>
      </w:r>
      <w:r w:rsidR="008D10B2">
        <w:rPr>
          <w:rStyle w:val="Referencingstyle"/>
        </w:rPr>
        <w:t>Schedule 2</w:t>
      </w:r>
      <w:r w:rsidR="00BA09E0" w:rsidRPr="00BA09E0">
        <w:rPr>
          <w:rStyle w:val="Referencingstyle"/>
        </w:rPr>
        <w:t xml:space="preserve"> </w:t>
      </w:r>
      <w:r w:rsidR="00BA09E0">
        <w:rPr>
          <w:rStyle w:val="Referencingstyle"/>
        </w:rPr>
        <w:t>of the Treasury Laws Amendment (Registries Modernisation and Other Measures Bill</w:t>
      </w:r>
      <w:r w:rsidR="009428EF">
        <w:rPr>
          <w:rStyle w:val="Referencingstyle"/>
        </w:rPr>
        <w:t>,</w:t>
      </w:r>
      <w:r w:rsidR="008D10B2">
        <w:rPr>
          <w:rStyle w:val="Referencingstyle"/>
        </w:rPr>
        <w:t xml:space="preserve"> items 1 and 7,</w:t>
      </w:r>
      <w:r w:rsidR="009428EF">
        <w:rPr>
          <w:rStyle w:val="Referencingstyle"/>
        </w:rPr>
        <w:t xml:space="preserve"> subsection 308-20(3) of the CATSI</w:t>
      </w:r>
      <w:r w:rsidR="008D10B2">
        <w:rPr>
          <w:rStyle w:val="Referencingstyle"/>
        </w:rPr>
        <w:t xml:space="preserve"> Act</w:t>
      </w:r>
      <w:r w:rsidR="00EA2D7C">
        <w:rPr>
          <w:rStyle w:val="Referencingstyle"/>
        </w:rPr>
        <w:t xml:space="preserve"> and</w:t>
      </w:r>
      <w:r w:rsidR="008D10B2">
        <w:rPr>
          <w:rStyle w:val="Referencingstyle"/>
        </w:rPr>
        <w:t xml:space="preserve"> </w:t>
      </w:r>
      <w:r w:rsidR="009428EF">
        <w:rPr>
          <w:rStyle w:val="Referencingstyle"/>
        </w:rPr>
        <w:t>subsection 12</w:t>
      </w:r>
      <w:r w:rsidR="008D10B2">
        <w:rPr>
          <w:rStyle w:val="Referencingstyle"/>
        </w:rPr>
        <w:t>3</w:t>
      </w:r>
      <w:r w:rsidR="009428EF">
        <w:rPr>
          <w:rStyle w:val="Referencingstyle"/>
        </w:rPr>
        <w:t>3(</w:t>
      </w:r>
      <w:r w:rsidR="008D10B2">
        <w:rPr>
          <w:rStyle w:val="Referencingstyle"/>
        </w:rPr>
        <w:t>2</w:t>
      </w:r>
      <w:r w:rsidR="009428EF">
        <w:rPr>
          <w:rStyle w:val="Referencingstyle"/>
        </w:rPr>
        <w:t>) of the Corporations Act]</w:t>
      </w:r>
    </w:p>
    <w:p w14:paraId="5360CF3F" w14:textId="77777777" w:rsidR="008062C8" w:rsidRDefault="008062C8" w:rsidP="00E81EFA">
      <w:pPr>
        <w:pStyle w:val="base-text-paragraph"/>
      </w:pPr>
      <w:bookmarkStart w:id="29" w:name="_Ref525160096"/>
      <w:r>
        <w:t>A defendant carries an evi</w:t>
      </w:r>
      <w:r w:rsidR="00BB5130">
        <w:t>dential burden for establishing both</w:t>
      </w:r>
      <w:r w:rsidR="00FF23CE">
        <w:t xml:space="preserve"> defences related to this obligation.</w:t>
      </w:r>
      <w:r w:rsidR="00BB5130">
        <w:t xml:space="preserve"> The evidential burden in these defences has been reversed because the subject of the defence</w:t>
      </w:r>
      <w:r w:rsidR="002E520C">
        <w:t>s</w:t>
      </w:r>
      <w:r w:rsidR="00BB5130">
        <w:t xml:space="preserve"> is peculiarly within the knowledge of the defendant and is significantly more difficult and costly for the prosecution to disprove than for the defence to establish.</w:t>
      </w:r>
      <w:r w:rsidR="00927649">
        <w:t xml:space="preserve"> The burden of proof on the defendant is an evidential burden. </w:t>
      </w:r>
      <w:r>
        <w:t xml:space="preserve">To satisfy </w:t>
      </w:r>
      <w:r w:rsidR="00927649">
        <w:t xml:space="preserve">this eventual </w:t>
      </w:r>
      <w:r>
        <w:t>burden the defendant must adduce or point to evidence that suggests a reasonable possibility that the</w:t>
      </w:r>
      <w:r w:rsidR="00927649">
        <w:t xml:space="preserve"> defence exists.</w:t>
      </w:r>
      <w:r>
        <w:rPr>
          <w:rStyle w:val="FootnoteReference"/>
        </w:rPr>
        <w:footnoteReference w:id="55"/>
      </w:r>
      <w:r>
        <w:t xml:space="preserve"> Once this is done, the prosecution bears the burden of proof.</w:t>
      </w:r>
      <w:bookmarkEnd w:id="29"/>
    </w:p>
    <w:p w14:paraId="5360CF40" w14:textId="77777777" w:rsidR="00FD4618" w:rsidRDefault="002113DD" w:rsidP="00E81EFA">
      <w:pPr>
        <w:pStyle w:val="base-text-paragraph"/>
      </w:pPr>
      <w:r>
        <w:t>This</w:t>
      </w:r>
      <w:r w:rsidR="008062C8">
        <w:t xml:space="preserve"> obligation is designed to ensure</w:t>
      </w:r>
      <w:r w:rsidR="001E1855">
        <w:t xml:space="preserve"> the effectiveness of the new requirement and that it does not</w:t>
      </w:r>
      <w:r w:rsidR="00080237">
        <w:t xml:space="preserve"> have unintended consequences.</w:t>
      </w:r>
      <w:r w:rsidR="001E1855">
        <w:t xml:space="preserve"> In partic</w:t>
      </w:r>
      <w:r w:rsidR="00FD4618">
        <w:t xml:space="preserve">ular: </w:t>
      </w:r>
    </w:p>
    <w:p w14:paraId="5360CF41" w14:textId="77777777" w:rsidR="00080237" w:rsidRDefault="00080237" w:rsidP="00E81EFA">
      <w:pPr>
        <w:pStyle w:val="dotpoint"/>
      </w:pPr>
      <w:r>
        <w:t>the obligation’s</w:t>
      </w:r>
      <w:r w:rsidR="00FD4618">
        <w:t xml:space="preserve"> compulsory nature ensures that all directors (except those granted an exemption) apply for a DIN</w:t>
      </w:r>
      <w:r>
        <w:t>,</w:t>
      </w:r>
      <w:r w:rsidR="00FD4618">
        <w:t xml:space="preserve"> which is essential for the new requirement to achieve its object</w:t>
      </w:r>
      <w:r>
        <w:t xml:space="preserve">ive; </w:t>
      </w:r>
    </w:p>
    <w:p w14:paraId="5360CF42" w14:textId="77777777" w:rsidR="00080237" w:rsidRDefault="00080237" w:rsidP="00E81EFA">
      <w:pPr>
        <w:pStyle w:val="dotpoint"/>
      </w:pPr>
      <w:r>
        <w:t>t</w:t>
      </w:r>
      <w:r w:rsidR="001E1855" w:rsidRPr="00EE1858">
        <w:t xml:space="preserve">he 28 day application period </w:t>
      </w:r>
      <w:r>
        <w:t>ensures that the regime does not delay the appointment of directors or the creation of new registered bodies, and that a director does not breach the obligation where there is a delay in processing an application for reasons beyond their control</w:t>
      </w:r>
      <w:r>
        <w:rPr>
          <w:rStyle w:val="FootnoteReference"/>
        </w:rPr>
        <w:footnoteReference w:id="56"/>
      </w:r>
      <w:r w:rsidR="003A389F">
        <w:t>; and</w:t>
      </w:r>
    </w:p>
    <w:p w14:paraId="5360CF43" w14:textId="77777777" w:rsidR="003F557C" w:rsidRPr="00EE1858" w:rsidRDefault="003F557C" w:rsidP="006C1C87">
      <w:pPr>
        <w:pStyle w:val="dotpoint"/>
      </w:pPr>
      <w:proofErr w:type="gramStart"/>
      <w:r>
        <w:t>the</w:t>
      </w:r>
      <w:proofErr w:type="gramEnd"/>
      <w:r>
        <w:t xml:space="preserve"> requirement </w:t>
      </w:r>
      <w:r w:rsidR="006C1C87">
        <w:t>for</w:t>
      </w:r>
      <w:r>
        <w:t xml:space="preserve"> every director</w:t>
      </w:r>
      <w:r w:rsidR="006C1C87">
        <w:t xml:space="preserve"> to</w:t>
      </w:r>
      <w:r>
        <w:t xml:space="preserve"> apply for a DIN</w:t>
      </w:r>
      <w:r w:rsidR="006C1C87">
        <w:t xml:space="preserve"> regardless of the length of their </w:t>
      </w:r>
      <w:r>
        <w:t xml:space="preserve">appointment ensures that the </w:t>
      </w:r>
      <w:r w:rsidR="006C1C87">
        <w:t xml:space="preserve">DIN requirement cannot be avoided </w:t>
      </w:r>
      <w:r>
        <w:t>by</w:t>
      </w:r>
      <w:r w:rsidR="006C1C87">
        <w:t xml:space="preserve"> a person stepping into the role of a director for </w:t>
      </w:r>
      <w:r w:rsidRPr="00EE1858">
        <w:t>short periods at critical times.</w:t>
      </w:r>
    </w:p>
    <w:p w14:paraId="5360CF44" w14:textId="0A1D53E6" w:rsidR="002414F9" w:rsidRDefault="00AC076C" w:rsidP="002414F9">
      <w:pPr>
        <w:pStyle w:val="base-text-paragraph"/>
      </w:pPr>
      <w:r>
        <w:t xml:space="preserve">The new law does </w:t>
      </w:r>
      <w:r w:rsidR="002D0B73">
        <w:t>not include an</w:t>
      </w:r>
      <w:r>
        <w:t xml:space="preserve"> offence prohibiting the provision of false</w:t>
      </w:r>
      <w:r w:rsidR="002D0B73">
        <w:t xml:space="preserve"> or misleading</w:t>
      </w:r>
      <w:r>
        <w:t xml:space="preserve"> information to the registrar. For this purpose, the new law relies upon existing </w:t>
      </w:r>
      <w:r w:rsidR="001347C8">
        <w:t>prohibitions that cover such matters including</w:t>
      </w:r>
      <w:r>
        <w:t xml:space="preserve"> section 137.1 of the </w:t>
      </w:r>
      <w:r w:rsidRPr="0071319C">
        <w:rPr>
          <w:i/>
        </w:rPr>
        <w:t>Criminal Code</w:t>
      </w:r>
      <w:r>
        <w:t>, section 1308 of the Corporations Act</w:t>
      </w:r>
      <w:r w:rsidR="00591475">
        <w:t xml:space="preserve"> and section 561-1 of the CATSI Act. Each of these sections </w:t>
      </w:r>
      <w:r w:rsidR="001347C8">
        <w:t>prohibits</w:t>
      </w:r>
      <w:r w:rsidR="00591475">
        <w:t xml:space="preserve"> the provision of false </w:t>
      </w:r>
      <w:r w:rsidR="00590986">
        <w:t xml:space="preserve">or </w:t>
      </w:r>
      <w:r w:rsidR="00591475">
        <w:t>misleading information. Such pro</w:t>
      </w:r>
      <w:r w:rsidR="001347C8">
        <w:t>hi</w:t>
      </w:r>
      <w:r w:rsidR="002D0B73">
        <w:t>bitions are important as a deterrent against the provision of</w:t>
      </w:r>
      <w:r w:rsidR="001347C8">
        <w:t xml:space="preserve"> false or misleading information to the registra</w:t>
      </w:r>
      <w:r w:rsidR="0036068C">
        <w:t xml:space="preserve">r (for example, as a deterrent against a person </w:t>
      </w:r>
      <w:r w:rsidR="00070C64">
        <w:t>attempting to acquire a DIN against a false identity</w:t>
      </w:r>
      <w:r w:rsidR="0036068C">
        <w:t>).</w:t>
      </w:r>
    </w:p>
    <w:p w14:paraId="0C4CC8B8" w14:textId="22285A93" w:rsidR="0024159F" w:rsidRDefault="0024159F" w:rsidP="002414F9">
      <w:pPr>
        <w:pStyle w:val="base-text-paragraph"/>
      </w:pPr>
      <w:r>
        <w:lastRenderedPageBreak/>
        <w:t>The new law includes tran</w:t>
      </w:r>
      <w:r w:rsidR="003F641A">
        <w:t xml:space="preserve">sitional arrangements for persons who are </w:t>
      </w:r>
      <w:r>
        <w:t xml:space="preserve">directors </w:t>
      </w:r>
      <w:r w:rsidR="003F641A">
        <w:t>at the time</w:t>
      </w:r>
      <w:r>
        <w:t xml:space="preserve"> the n</w:t>
      </w:r>
      <w:r w:rsidR="00C22250">
        <w:t>ew requirement starts</w:t>
      </w:r>
      <w:r w:rsidR="003F641A">
        <w:t>.</w:t>
      </w:r>
      <w:r w:rsidR="00C22250">
        <w:t xml:space="preserve"> Such persons have 15</w:t>
      </w:r>
      <w:r w:rsidR="00FF696D">
        <w:t> </w:t>
      </w:r>
      <w:r w:rsidR="00C22250">
        <w:t>months</w:t>
      </w:r>
      <w:r w:rsidR="003F641A">
        <w:t xml:space="preserve"> to apply for a DIN </w:t>
      </w:r>
      <w:r w:rsidR="00C22250">
        <w:t>rather than</w:t>
      </w:r>
      <w:r w:rsidR="003F641A">
        <w:t xml:space="preserve"> </w:t>
      </w:r>
      <w:r w:rsidR="00C22250">
        <w:t>28 days</w:t>
      </w:r>
      <w:r w:rsidR="003F641A">
        <w:t>.</w:t>
      </w:r>
      <w:r w:rsidR="00C22250">
        <w:t xml:space="preserve"> </w:t>
      </w:r>
      <w:r w:rsidR="003F641A">
        <w:t>P</w:t>
      </w:r>
      <w:r w:rsidR="00C22250">
        <w:t xml:space="preserve">aragraph </w:t>
      </w:r>
      <w:r w:rsidR="00C22250">
        <w:fldChar w:fldCharType="begin"/>
      </w:r>
      <w:r w:rsidR="00C22250">
        <w:instrText xml:space="preserve"> REF _Ref525397335 \r \h </w:instrText>
      </w:r>
      <w:r w:rsidR="00C22250">
        <w:fldChar w:fldCharType="separate"/>
      </w:r>
      <w:r w:rsidR="00F3492D">
        <w:t>2.77</w:t>
      </w:r>
      <w:r w:rsidR="00C22250">
        <w:fldChar w:fldCharType="end"/>
      </w:r>
      <w:r w:rsidR="003F641A">
        <w:t xml:space="preserve"> of this memorandum provides further information about </w:t>
      </w:r>
      <w:r w:rsidR="00482C3C">
        <w:t>these arrangements.</w:t>
      </w:r>
    </w:p>
    <w:p w14:paraId="5360CF45" w14:textId="77777777" w:rsidR="002F7FF1" w:rsidRDefault="002F7FF1" w:rsidP="00E81EFA">
      <w:pPr>
        <w:pStyle w:val="Heading4"/>
      </w:pPr>
      <w:r>
        <w:t>Directors must apply fo</w:t>
      </w:r>
      <w:r w:rsidR="009967D9">
        <w:t>r</w:t>
      </w:r>
      <w:r>
        <w:t xml:space="preserve"> a DIN within 28 days of being directed </w:t>
      </w:r>
      <w:r w:rsidR="00A656FC">
        <w:t>to</w:t>
      </w:r>
      <w:r>
        <w:t xml:space="preserve"> by the registrar</w:t>
      </w:r>
    </w:p>
    <w:p w14:paraId="5360CF46" w14:textId="473F586F" w:rsidR="007D333E" w:rsidRDefault="009967D9" w:rsidP="007D333E">
      <w:pPr>
        <w:pStyle w:val="base-text-paragraph"/>
      </w:pPr>
      <w:r>
        <w:t>Th</w:t>
      </w:r>
      <w:r w:rsidR="0012124B">
        <w:t>e</w:t>
      </w:r>
      <w:r>
        <w:t xml:space="preserve"> second obligation requires a director to apply for a DIN within </w:t>
      </w:r>
      <w:r w:rsidR="007D333E">
        <w:t>a prescribed period</w:t>
      </w:r>
      <w:r>
        <w:t xml:space="preserve"> of being directed to do so by the </w:t>
      </w:r>
      <w:r w:rsidR="00590986">
        <w:t>registrar</w:t>
      </w:r>
      <w:r>
        <w:t>.</w:t>
      </w:r>
      <w:r w:rsidR="007D333E">
        <w:t xml:space="preserve"> The prescribed period is 28 days or such longer period as the registrar allows.</w:t>
      </w:r>
      <w:r w:rsidR="007D333E">
        <w:rPr>
          <w:rStyle w:val="FootnoteReference"/>
        </w:rPr>
        <w:footnoteReference w:id="57"/>
      </w:r>
      <w:r w:rsidR="001A2268">
        <w:t xml:space="preserve"> </w:t>
      </w:r>
      <w:r w:rsidR="00FC588D">
        <w:rPr>
          <w:rStyle w:val="Referencingstyle"/>
        </w:rPr>
        <w:t>[</w:t>
      </w:r>
      <w:r w:rsidR="00410933">
        <w:rPr>
          <w:rStyle w:val="Referencingstyle"/>
        </w:rPr>
        <w:t>Schedule 2</w:t>
      </w:r>
      <w:r w:rsidR="00BA09E0" w:rsidRPr="00BA09E0">
        <w:rPr>
          <w:rStyle w:val="Referencingstyle"/>
        </w:rPr>
        <w:t xml:space="preserve"> </w:t>
      </w:r>
      <w:r w:rsidR="00BA09E0">
        <w:rPr>
          <w:rStyle w:val="Referencingstyle"/>
        </w:rPr>
        <w:t>of the Treasury Laws Amendment (Registries Modernisation and Other Measures Bill</w:t>
      </w:r>
      <w:r w:rsidR="00FC588D">
        <w:rPr>
          <w:rStyle w:val="Referencingstyle"/>
        </w:rPr>
        <w:t>,</w:t>
      </w:r>
      <w:r w:rsidR="00410933">
        <w:rPr>
          <w:rStyle w:val="Referencingstyle"/>
        </w:rPr>
        <w:t xml:space="preserve"> items 1 and 7,</w:t>
      </w:r>
      <w:r w:rsidR="00FC588D">
        <w:rPr>
          <w:rStyle w:val="Referencingstyle"/>
        </w:rPr>
        <w:t xml:space="preserve"> subsection 308-25(1</w:t>
      </w:r>
      <w:r w:rsidR="007D333E">
        <w:rPr>
          <w:rStyle w:val="Referencingstyle"/>
        </w:rPr>
        <w:t>) of the CATSI Act</w:t>
      </w:r>
      <w:r w:rsidR="00410933">
        <w:rPr>
          <w:rStyle w:val="Referencingstyle"/>
        </w:rPr>
        <w:t xml:space="preserve"> and subsection 1234</w:t>
      </w:r>
      <w:r w:rsidR="00FC588D">
        <w:rPr>
          <w:rStyle w:val="Referencingstyle"/>
        </w:rPr>
        <w:t>(1</w:t>
      </w:r>
      <w:r w:rsidR="007D333E">
        <w:rPr>
          <w:rStyle w:val="Referencingstyle"/>
        </w:rPr>
        <w:t>) of the Corpora</w:t>
      </w:r>
      <w:r w:rsidR="00F71B14">
        <w:rPr>
          <w:rStyle w:val="Referencingstyle"/>
        </w:rPr>
        <w:t>tions</w:t>
      </w:r>
      <w:r w:rsidR="007D333E">
        <w:rPr>
          <w:rStyle w:val="Referencingstyle"/>
        </w:rPr>
        <w:t xml:space="preserve"> Act]</w:t>
      </w:r>
    </w:p>
    <w:p w14:paraId="5360CF47" w14:textId="77777777" w:rsidR="00E71980" w:rsidRDefault="001A2268" w:rsidP="007D333E">
      <w:pPr>
        <w:pStyle w:val="base-text-paragraph"/>
      </w:pPr>
      <w:r>
        <w:t>Th</w:t>
      </w:r>
      <w:r w:rsidR="007D333E">
        <w:t>is</w:t>
      </w:r>
      <w:r>
        <w:t xml:space="preserve"> obligation ensures the registrar </w:t>
      </w:r>
      <w:r w:rsidR="007D333E">
        <w:t>can require</w:t>
      </w:r>
      <w:r>
        <w:t xml:space="preserve"> a director to</w:t>
      </w:r>
      <w:r w:rsidR="007D333E">
        <w:t xml:space="preserve"> apply or</w:t>
      </w:r>
      <w:r>
        <w:t xml:space="preserve"> reapply for a DIN</w:t>
      </w:r>
      <w:r w:rsidR="00E71980">
        <w:t xml:space="preserve"> where it is desirable to do so</w:t>
      </w:r>
      <w:r w:rsidR="007D333E">
        <w:t>. This ability is important in enabling the registrar to effectively administer and maintain the n</w:t>
      </w:r>
      <w:r w:rsidR="006B5978">
        <w:t xml:space="preserve">ew DIN requirement. </w:t>
      </w:r>
      <w:r w:rsidR="00E71980">
        <w:t xml:space="preserve">For example, the registrar may wish a director to apply or reapply for a DIN because: </w:t>
      </w:r>
    </w:p>
    <w:p w14:paraId="5360CF48" w14:textId="77777777" w:rsidR="00E71980" w:rsidRDefault="00E71980" w:rsidP="00E71980">
      <w:pPr>
        <w:pStyle w:val="dotpoint"/>
      </w:pPr>
      <w:r>
        <w:t>the director has never applied for a DIN;</w:t>
      </w:r>
    </w:p>
    <w:p w14:paraId="5360CF49" w14:textId="77777777" w:rsidR="00E71980" w:rsidRDefault="00E71980" w:rsidP="00E71980">
      <w:pPr>
        <w:pStyle w:val="dotpoint"/>
      </w:pPr>
      <w:r>
        <w:t xml:space="preserve">the director’s </w:t>
      </w:r>
      <w:r w:rsidR="00711AA6">
        <w:t xml:space="preserve">existing </w:t>
      </w:r>
      <w:r w:rsidR="00B84256">
        <w:t xml:space="preserve">DIN profile </w:t>
      </w:r>
      <w:r w:rsidR="001A2268">
        <w:t xml:space="preserve">has been lost or </w:t>
      </w:r>
      <w:r>
        <w:t>corrupted; or</w:t>
      </w:r>
      <w:r w:rsidR="00B84256">
        <w:t xml:space="preserve"> </w:t>
      </w:r>
    </w:p>
    <w:p w14:paraId="5360CF4A" w14:textId="77777777" w:rsidR="002F7FF1" w:rsidRDefault="00B84256" w:rsidP="00E71980">
      <w:pPr>
        <w:pStyle w:val="dotpoint"/>
      </w:pPr>
      <w:proofErr w:type="gramStart"/>
      <w:r>
        <w:t>the</w:t>
      </w:r>
      <w:proofErr w:type="gramEnd"/>
      <w:r>
        <w:t xml:space="preserve"> registrar wishes to verify the director’</w:t>
      </w:r>
      <w:r w:rsidR="0012124B">
        <w:t>s identity</w:t>
      </w:r>
      <w:r w:rsidR="00E71980">
        <w:t>.</w:t>
      </w:r>
    </w:p>
    <w:p w14:paraId="5360CF4B" w14:textId="77777777" w:rsidR="00907118" w:rsidRDefault="00323AA8" w:rsidP="00E81EFA">
      <w:pPr>
        <w:pStyle w:val="base-text-paragraph"/>
      </w:pPr>
      <w:r>
        <w:t xml:space="preserve">This obligation </w:t>
      </w:r>
      <w:r w:rsidR="00907118">
        <w:t>does not include the defences which apply in relation to the first obligation discussed above. Those defences are not relevant</w:t>
      </w:r>
      <w:r w:rsidR="00A76C66">
        <w:t xml:space="preserve"> to</w:t>
      </w:r>
      <w:r w:rsidR="00907118">
        <w:t xml:space="preserve"> this obligation. U</w:t>
      </w:r>
      <w:r w:rsidR="00A76C66">
        <w:t>nlike the first obligation, this</w:t>
      </w:r>
      <w:r w:rsidR="00907118">
        <w:t xml:space="preserve"> obligation is not breached until the end of the relevant 28 day period.</w:t>
      </w:r>
      <w:r w:rsidR="00A76C66">
        <w:t xml:space="preserve"> Similarly, the defence of being appointed without knowledge is not relevant in the present context where the registrar has directed the person to apply because they are a director.</w:t>
      </w:r>
    </w:p>
    <w:p w14:paraId="5360CF4C" w14:textId="77777777" w:rsidR="002F7FF1" w:rsidRDefault="002F7FF1" w:rsidP="00E81EFA">
      <w:pPr>
        <w:pStyle w:val="Heading4"/>
      </w:pPr>
      <w:r>
        <w:t>A person must not knowingly apply for multiple DINs</w:t>
      </w:r>
    </w:p>
    <w:p w14:paraId="5360CF4D" w14:textId="77777777" w:rsidR="00FB09AB" w:rsidRDefault="00FB09AB" w:rsidP="002414F9">
      <w:pPr>
        <w:pStyle w:val="base-text-paragraph"/>
      </w:pPr>
      <w:r>
        <w:t>The third and fourth obligations associated with the new DIN requirement are necessary to ensure the integrity of the new requirement.</w:t>
      </w:r>
    </w:p>
    <w:p w14:paraId="5360CF4E" w14:textId="77777777" w:rsidR="00F71B14" w:rsidRDefault="00265420" w:rsidP="006E53AC">
      <w:pPr>
        <w:pStyle w:val="base-text-paragraph"/>
      </w:pPr>
      <w:r>
        <w:t>The third obligation prohibits a person from applying for a DIN if the person knows that they al</w:t>
      </w:r>
      <w:r w:rsidR="00F71B14">
        <w:t>ready have a DIN. However</w:t>
      </w:r>
      <w:r w:rsidR="009A2260">
        <w:t>,</w:t>
      </w:r>
      <w:r w:rsidR="00F71B14">
        <w:t xml:space="preserve"> the prohibition does not apply in</w:t>
      </w:r>
      <w:r w:rsidR="00163F3C">
        <w:t xml:space="preserve"> the</w:t>
      </w:r>
      <w:r w:rsidR="00F71B14">
        <w:t xml:space="preserve"> following circumstances:</w:t>
      </w:r>
    </w:p>
    <w:p w14:paraId="5360CF4F" w14:textId="77777777" w:rsidR="00F71B14" w:rsidRDefault="00265420" w:rsidP="00F71B14">
      <w:pPr>
        <w:pStyle w:val="dotpoint"/>
      </w:pPr>
      <w:r>
        <w:lastRenderedPageBreak/>
        <w:t xml:space="preserve">where the registrar has directed </w:t>
      </w:r>
      <w:r w:rsidR="00F71B14">
        <w:t>the person to reapply for a DIN</w:t>
      </w:r>
      <w:r w:rsidR="00BE0106">
        <w:rPr>
          <w:rStyle w:val="FootnoteReference"/>
        </w:rPr>
        <w:footnoteReference w:id="58"/>
      </w:r>
      <w:r w:rsidR="00F71B14">
        <w:t xml:space="preserve"> – this defence</w:t>
      </w:r>
      <w:r>
        <w:t xml:space="preserve"> ensure</w:t>
      </w:r>
      <w:r w:rsidR="00403442">
        <w:t>s</w:t>
      </w:r>
      <w:r>
        <w:t xml:space="preserve"> that th</w:t>
      </w:r>
      <w:r w:rsidR="00CD1153">
        <w:t>is</w:t>
      </w:r>
      <w:r>
        <w:t xml:space="preserve"> obligation does not conflict with the ability of the registrar to require </w:t>
      </w:r>
      <w:r w:rsidR="00F71B14">
        <w:t>a director to reapply for a DIN; or</w:t>
      </w:r>
    </w:p>
    <w:p w14:paraId="5360CF50" w14:textId="7E14A9A1" w:rsidR="00F71B14" w:rsidRPr="00DA4146" w:rsidRDefault="00F71B14" w:rsidP="00F71B14">
      <w:pPr>
        <w:pStyle w:val="dotpoint"/>
      </w:pPr>
      <w:proofErr w:type="gramStart"/>
      <w:r w:rsidRPr="00DA4146">
        <w:t>where</w:t>
      </w:r>
      <w:proofErr w:type="gramEnd"/>
      <w:r w:rsidRPr="00DA4146">
        <w:t xml:space="preserve"> the person</w:t>
      </w:r>
      <w:r w:rsidR="00EC631A" w:rsidRPr="00163F3C">
        <w:t xml:space="preserve"> </w:t>
      </w:r>
      <w:r w:rsidR="00EC631A">
        <w:t>applied for the</w:t>
      </w:r>
      <w:r w:rsidR="00163F3C">
        <w:t xml:space="preserve"> addi</w:t>
      </w:r>
      <w:r w:rsidR="00EC631A">
        <w:t>tional DIN</w:t>
      </w:r>
      <w:r w:rsidR="00163F3C">
        <w:t xml:space="preserve"> under a</w:t>
      </w:r>
      <w:r w:rsidR="00EC631A">
        <w:t xml:space="preserve">nother </w:t>
      </w:r>
      <w:r w:rsidR="00163F3C">
        <w:t>Act – this defence ensures that a person cannot be convicted of breaching this obligation under both the Corporations Act and the CATSI</w:t>
      </w:r>
      <w:r w:rsidR="00A671D9" w:rsidRPr="00DA4146">
        <w:t xml:space="preserve"> Act</w:t>
      </w:r>
      <w:r w:rsidR="00163F3C">
        <w:t xml:space="preserve"> if the violation only r</w:t>
      </w:r>
      <w:r w:rsidR="00EC631A">
        <w:t>elates to one of those Act</w:t>
      </w:r>
      <w:r w:rsidR="00AD48B8">
        <w:t>s</w:t>
      </w:r>
      <w:r w:rsidR="00EC631A">
        <w:t>.</w:t>
      </w:r>
    </w:p>
    <w:p w14:paraId="5360CF51" w14:textId="069B82B9" w:rsidR="00265420" w:rsidRDefault="00F71B14" w:rsidP="00DA4146">
      <w:pPr>
        <w:pStyle w:val="dotpoint"/>
        <w:numPr>
          <w:ilvl w:val="0"/>
          <w:numId w:val="0"/>
        </w:numPr>
        <w:ind w:left="2268"/>
      </w:pPr>
      <w:r>
        <w:rPr>
          <w:rStyle w:val="Referencingstyle"/>
        </w:rPr>
        <w:t>[</w:t>
      </w:r>
      <w:r w:rsidR="00184D9A">
        <w:rPr>
          <w:rStyle w:val="Referencingstyle"/>
        </w:rPr>
        <w:t>Schedule 2</w:t>
      </w:r>
      <w:r w:rsidR="005C3B55" w:rsidRPr="005C3B55">
        <w:rPr>
          <w:rStyle w:val="Referencingstyle"/>
        </w:rPr>
        <w:t xml:space="preserve"> </w:t>
      </w:r>
      <w:r w:rsidR="005C3B55">
        <w:rPr>
          <w:rStyle w:val="Referencingstyle"/>
        </w:rPr>
        <w:t>of the Treasury Laws Amendment (Registries Modernisation and Other Measures Bill</w:t>
      </w:r>
      <w:r w:rsidR="00184D9A">
        <w:rPr>
          <w:rStyle w:val="Referencingstyle"/>
        </w:rPr>
        <w:t>, items 1 and 7,</w:t>
      </w:r>
      <w:r>
        <w:rPr>
          <w:rStyle w:val="Referencingstyle"/>
        </w:rPr>
        <w:t xml:space="preserve"> subsections 308-40(1), 308-40(2) and 308</w:t>
      </w:r>
      <w:r w:rsidR="00184D9A">
        <w:rPr>
          <w:rStyle w:val="Referencingstyle"/>
        </w:rPr>
        <w:noBreakHyphen/>
      </w:r>
      <w:proofErr w:type="gramStart"/>
      <w:r w:rsidR="00184D9A">
        <w:rPr>
          <w:rStyle w:val="Referencingstyle"/>
        </w:rPr>
        <w:t>40</w:t>
      </w:r>
      <w:r>
        <w:rPr>
          <w:rStyle w:val="Referencingstyle"/>
        </w:rPr>
        <w:t>(</w:t>
      </w:r>
      <w:proofErr w:type="gramEnd"/>
      <w:r>
        <w:rPr>
          <w:rStyle w:val="Referencingstyle"/>
        </w:rPr>
        <w:t>3) of the CATSI Act</w:t>
      </w:r>
      <w:r w:rsidR="00184D9A">
        <w:rPr>
          <w:rStyle w:val="Referencingstyle"/>
        </w:rPr>
        <w:t xml:space="preserve"> and subsections 1237(1), 1237(2) and 1237(3) of the Corporations Act</w:t>
      </w:r>
      <w:r>
        <w:rPr>
          <w:rStyle w:val="Referencingstyle"/>
        </w:rPr>
        <w:t>]</w:t>
      </w:r>
    </w:p>
    <w:p w14:paraId="5360CF52" w14:textId="77777777" w:rsidR="00265420" w:rsidRDefault="00265420" w:rsidP="006E53AC">
      <w:pPr>
        <w:pStyle w:val="base-text-paragraph"/>
      </w:pPr>
      <w:r>
        <w:t>This</w:t>
      </w:r>
      <w:r w:rsidR="00FB09AB">
        <w:t xml:space="preserve"> obligation is designed to pr</w:t>
      </w:r>
      <w:r w:rsidR="006E53AC">
        <w:t xml:space="preserve">event a person from seeking to circumvent </w:t>
      </w:r>
      <w:r w:rsidR="00FB09AB">
        <w:t>the new requirement</w:t>
      </w:r>
      <w:r w:rsidR="006E53AC">
        <w:t xml:space="preserve"> by obtaining multiple DINs</w:t>
      </w:r>
      <w:r w:rsidR="00164EC0">
        <w:t>. The integrity of the regime requires each director to hold</w:t>
      </w:r>
      <w:r w:rsidR="00975214">
        <w:t xml:space="preserve"> no more than one DIN. A person holding multiple DINs would be difficult to identify and </w:t>
      </w:r>
      <w:r>
        <w:t>track in relation to their director</w:t>
      </w:r>
      <w:r w:rsidR="009A2260">
        <w:t xml:space="preserve">ships and corporate activities. </w:t>
      </w:r>
    </w:p>
    <w:p w14:paraId="5360CF53" w14:textId="77777777" w:rsidR="002F7FF1" w:rsidRDefault="002F7FF1" w:rsidP="00E81EFA">
      <w:pPr>
        <w:pStyle w:val="Heading4"/>
      </w:pPr>
      <w:r>
        <w:t>A person must not misrepresent a DIN to a government or registered body</w:t>
      </w:r>
    </w:p>
    <w:p w14:paraId="5360CF54" w14:textId="562CDE4F" w:rsidR="00F71B14" w:rsidRDefault="00F71B14" w:rsidP="00A645C6">
      <w:pPr>
        <w:pStyle w:val="base-text-paragraph"/>
      </w:pPr>
      <w:r>
        <w:t xml:space="preserve">The fourth (and final) obligation associated with the new DIN requirement </w:t>
      </w:r>
      <w:r w:rsidR="00A671D9">
        <w:t>is directed at</w:t>
      </w:r>
      <w:r w:rsidR="007532E0">
        <w:t xml:space="preserve"> preventing </w:t>
      </w:r>
      <w:r w:rsidR="00A671D9">
        <w:t>a person misrepresenting a DIN to a body that is likely to rely upon it for regulatory compliance or identification purposes. In particular, the new law prohibits a pers</w:t>
      </w:r>
      <w:r w:rsidR="007532E0">
        <w:t>on from intentionally representing</w:t>
      </w:r>
      <w:r w:rsidR="00A671D9">
        <w:t xml:space="preserve"> to a Commonwealth body </w:t>
      </w:r>
      <w:r w:rsidR="007532E0">
        <w:t xml:space="preserve">or a registered body that a DIN is associated with a person when it is not. </w:t>
      </w:r>
      <w:r w:rsidR="00DE3CFB">
        <w:t>For this purpose, t</w:t>
      </w:r>
      <w:r w:rsidR="007532E0">
        <w:t xml:space="preserve">he new law uses the definition of Commonwealth body set out in the new </w:t>
      </w:r>
      <w:r w:rsidR="007532E0" w:rsidRPr="007532E0">
        <w:rPr>
          <w:i/>
        </w:rPr>
        <w:t xml:space="preserve">Commonwealth Registers </w:t>
      </w:r>
      <w:r w:rsidR="00BB74AE">
        <w:rPr>
          <w:i/>
        </w:rPr>
        <w:t>Bill</w:t>
      </w:r>
      <w:r w:rsidR="007532E0" w:rsidRPr="007532E0">
        <w:rPr>
          <w:i/>
        </w:rPr>
        <w:t xml:space="preserve"> 2018 </w:t>
      </w:r>
      <w:r w:rsidR="000E453B">
        <w:t>discussed in C</w:t>
      </w:r>
      <w:r w:rsidR="007532E0">
        <w:t>hap</w:t>
      </w:r>
      <w:r w:rsidR="000E453B">
        <w:t>ter 1 of this memorandum</w:t>
      </w:r>
      <w:r w:rsidR="007532E0">
        <w:t>.</w:t>
      </w:r>
      <w:r w:rsidR="00135FD2">
        <w:t xml:space="preserve"> </w:t>
      </w:r>
      <w:r w:rsidR="00135FD2">
        <w:rPr>
          <w:rStyle w:val="Referencingstyle"/>
        </w:rPr>
        <w:t>[</w:t>
      </w:r>
      <w:r w:rsidR="00184D9A">
        <w:rPr>
          <w:rStyle w:val="Referencingstyle"/>
        </w:rPr>
        <w:t>Schedule 2</w:t>
      </w:r>
      <w:r w:rsidR="005D5507" w:rsidRPr="005D5507">
        <w:rPr>
          <w:rStyle w:val="Referencingstyle"/>
        </w:rPr>
        <w:t xml:space="preserve"> </w:t>
      </w:r>
      <w:r w:rsidR="005D5507">
        <w:rPr>
          <w:rStyle w:val="Referencingstyle"/>
        </w:rPr>
        <w:t>of the Treasury Laws Amendment (Registries Modernisation and Other Measures Bill</w:t>
      </w:r>
      <w:r w:rsidR="00135FD2">
        <w:rPr>
          <w:rStyle w:val="Referencingstyle"/>
        </w:rPr>
        <w:t>,</w:t>
      </w:r>
      <w:r w:rsidR="00184D9A">
        <w:rPr>
          <w:rStyle w:val="Referencingstyle"/>
        </w:rPr>
        <w:t xml:space="preserve"> </w:t>
      </w:r>
      <w:r w:rsidR="00184D9A" w:rsidRPr="000F59D0">
        <w:rPr>
          <w:rStyle w:val="Referencingstyle"/>
        </w:rPr>
        <w:t>items 1</w:t>
      </w:r>
      <w:r w:rsidR="00184D9A">
        <w:rPr>
          <w:rStyle w:val="Referencingstyle"/>
        </w:rPr>
        <w:t xml:space="preserve"> and 7,</w:t>
      </w:r>
      <w:r w:rsidR="00135FD2">
        <w:rPr>
          <w:rStyle w:val="Referencingstyle"/>
        </w:rPr>
        <w:t xml:space="preserve"> </w:t>
      </w:r>
      <w:r w:rsidR="005C6A90">
        <w:rPr>
          <w:rStyle w:val="Referencingstyle"/>
        </w:rPr>
        <w:t xml:space="preserve">subsection 308-45 of the CATSI Act and </w:t>
      </w:r>
      <w:r w:rsidR="00491797">
        <w:rPr>
          <w:rStyle w:val="Referencingstyle"/>
        </w:rPr>
        <w:t>section 1238</w:t>
      </w:r>
      <w:r w:rsidR="00135FD2">
        <w:rPr>
          <w:rStyle w:val="Referencingstyle"/>
        </w:rPr>
        <w:t xml:space="preserve"> of the Corporations Act]</w:t>
      </w:r>
    </w:p>
    <w:p w14:paraId="5360CF55" w14:textId="77777777" w:rsidR="005B2990" w:rsidRDefault="002F59EB" w:rsidP="00A645C6">
      <w:pPr>
        <w:pStyle w:val="base-text-paragraph"/>
      </w:pPr>
      <w:r>
        <w:t xml:space="preserve">It is important that directors </w:t>
      </w:r>
      <w:r w:rsidR="007C773A">
        <w:t>honestly report DINs to Government</w:t>
      </w:r>
      <w:r w:rsidR="00D10249">
        <w:t xml:space="preserve"> and </w:t>
      </w:r>
      <w:r w:rsidR="008525C8">
        <w:t>regulated bod</w:t>
      </w:r>
      <w:r w:rsidR="00D10249">
        <w:t xml:space="preserve">ies. </w:t>
      </w:r>
      <w:r w:rsidR="00302CA4">
        <w:t>These bodies may rely upon the DIN to establish the identity of directors and those seeking to become directors (for example, to confirm that the person has not been disqualified).</w:t>
      </w:r>
      <w:r w:rsidR="00F6009F">
        <w:t xml:space="preserve"> A</w:t>
      </w:r>
      <w:r w:rsidR="005B2990">
        <w:t xml:space="preserve"> </w:t>
      </w:r>
      <w:r w:rsidR="00532E87">
        <w:t>registered</w:t>
      </w:r>
      <w:r w:rsidR="005B2990">
        <w:t xml:space="preserve"> body may also be required</w:t>
      </w:r>
      <w:r w:rsidR="00F6009F">
        <w:t xml:space="preserve"> under the new law</w:t>
      </w:r>
      <w:r w:rsidR="005B2990">
        <w:t xml:space="preserve"> to collect</w:t>
      </w:r>
      <w:r w:rsidR="00F6009F">
        <w:t xml:space="preserve"> and report</w:t>
      </w:r>
      <w:r w:rsidR="005B2990">
        <w:t xml:space="preserve"> the DIN of a newly appointed director for the purpose of facilitating the administration</w:t>
      </w:r>
      <w:r w:rsidR="00F6009F">
        <w:t xml:space="preserve"> of the new requirement</w:t>
      </w:r>
      <w:r w:rsidR="00DE3CFB">
        <w:t xml:space="preserve">. Such a requirement would not </w:t>
      </w:r>
      <w:r w:rsidR="00DE3CFB">
        <w:lastRenderedPageBreak/>
        <w:t>be possible in a regime where people were not required to honestly report DINs.</w:t>
      </w:r>
    </w:p>
    <w:p w14:paraId="5360CF56" w14:textId="77777777" w:rsidR="00EE1858" w:rsidRDefault="009C0282" w:rsidP="00EE1858">
      <w:pPr>
        <w:pStyle w:val="Heading3"/>
      </w:pPr>
      <w:r>
        <w:t xml:space="preserve">How </w:t>
      </w:r>
      <w:r w:rsidR="00BE0106">
        <w:t xml:space="preserve">is the new DIN requirement </w:t>
      </w:r>
      <w:r>
        <w:t>administered?</w:t>
      </w:r>
    </w:p>
    <w:p w14:paraId="5360CF57" w14:textId="77777777" w:rsidR="00992687" w:rsidRDefault="004C2D0E" w:rsidP="006E53AC">
      <w:pPr>
        <w:pStyle w:val="base-text-paragraph"/>
      </w:pPr>
      <w:r>
        <w:t>The administration of the new requirement relies on the new registry regime outlined in Chapter 1 of this memorandum. Under the new requirement, the registrar is responsible for the administration of all functions and powers that are of a registry nature.</w:t>
      </w:r>
      <w:r w:rsidR="00937D4D">
        <w:t xml:space="preserve"> These functions and powers are explained in this section of this memorandum.</w:t>
      </w:r>
      <w:r>
        <w:t xml:space="preserve"> The remaining functions and powers are administered </w:t>
      </w:r>
      <w:r w:rsidR="0079666A">
        <w:t>by the regulators that have the general administration of the Corporations Act and the CATSI Act, namely ASIC and ORIC respectively.</w:t>
      </w:r>
      <w:r w:rsidR="004D4EE8">
        <w:t xml:space="preserve"> These remaining functions and powers relate to the enforcement of the new requirement through the civil penalty and criminal offence provision</w:t>
      </w:r>
      <w:r w:rsidR="00482CE2">
        <w:t>s</w:t>
      </w:r>
      <w:r w:rsidR="004D4EE8">
        <w:t xml:space="preserve"> discusse</w:t>
      </w:r>
      <w:r w:rsidR="0050094B">
        <w:t>d in the next section of this memorandum</w:t>
      </w:r>
      <w:r w:rsidR="004D4EE8">
        <w:t>.</w:t>
      </w:r>
    </w:p>
    <w:p w14:paraId="5360CF58" w14:textId="77777777" w:rsidR="00992687" w:rsidRDefault="00B82804" w:rsidP="0071319C">
      <w:pPr>
        <w:pStyle w:val="Heading4"/>
      </w:pPr>
      <w:r>
        <w:t>What powers and functions does the new law confer on</w:t>
      </w:r>
      <w:r w:rsidR="00945E6D">
        <w:t xml:space="preserve"> </w:t>
      </w:r>
      <w:r w:rsidR="00937D4D">
        <w:t>the registrar</w:t>
      </w:r>
      <w:r w:rsidR="00945E6D">
        <w:t>?</w:t>
      </w:r>
    </w:p>
    <w:p w14:paraId="5360CF59" w14:textId="77777777" w:rsidR="0050094B" w:rsidRDefault="0050094B">
      <w:pPr>
        <w:pStyle w:val="base-text-paragraph"/>
      </w:pPr>
      <w:bookmarkStart w:id="30" w:name="_Ref525246347"/>
      <w:r>
        <w:t>The new law</w:t>
      </w:r>
      <w:r w:rsidR="00A365DF">
        <w:t xml:space="preserve"> provides the registrar with the functions and powers it requires to administer the registry aspects of the DIN requirement. In particular, the new law provides the registrar with </w:t>
      </w:r>
      <w:r w:rsidR="009F31BF">
        <w:t>the ability</w:t>
      </w:r>
      <w:r w:rsidR="00B82804">
        <w:t xml:space="preserve"> to</w:t>
      </w:r>
      <w:r w:rsidR="00A365DF">
        <w:t>:</w:t>
      </w:r>
      <w:bookmarkEnd w:id="30"/>
    </w:p>
    <w:p w14:paraId="5360CF5A" w14:textId="099ACF31" w:rsidR="00A365DF" w:rsidRDefault="00B82804" w:rsidP="006203E6">
      <w:pPr>
        <w:pStyle w:val="dotpoint"/>
      </w:pPr>
      <w:r w:rsidRPr="006203E6">
        <w:t>give</w:t>
      </w:r>
      <w:r>
        <w:t xml:space="preserve"> a person</w:t>
      </w:r>
      <w:r w:rsidR="00A365DF">
        <w:t xml:space="preserve"> a DIN</w:t>
      </w:r>
      <w:r w:rsidR="009F31BF">
        <w:t xml:space="preserve"> if</w:t>
      </w:r>
      <w:r w:rsidR="00A365DF">
        <w:t xml:space="preserve"> </w:t>
      </w:r>
      <w:r>
        <w:t>the person</w:t>
      </w:r>
      <w:r w:rsidR="00A365DF">
        <w:t xml:space="preserve"> has applied for</w:t>
      </w:r>
      <w:r>
        <w:t xml:space="preserve"> a</w:t>
      </w:r>
      <w:r w:rsidR="00A365DF">
        <w:t xml:space="preserve"> DIN</w:t>
      </w:r>
      <w:r w:rsidR="009F31BF">
        <w:t xml:space="preserve"> and the registrar</w:t>
      </w:r>
      <w:r>
        <w:t xml:space="preserve"> is satisfied that the person’s</w:t>
      </w:r>
      <w:r w:rsidR="009F31BF">
        <w:t xml:space="preserve"> identity has been established;</w:t>
      </w:r>
      <w:r w:rsidR="006203E6" w:rsidRPr="006203E6">
        <w:rPr>
          <w:rStyle w:val="Referencingstyle"/>
        </w:rPr>
        <w:t xml:space="preserve"> </w:t>
      </w:r>
      <w:r w:rsidR="00C64B75">
        <w:rPr>
          <w:rStyle w:val="Referencingstyle"/>
        </w:rPr>
        <w:t>[Schedule 2</w:t>
      </w:r>
      <w:r w:rsidR="008F1F04" w:rsidRPr="008F1F04">
        <w:rPr>
          <w:rStyle w:val="Referencingstyle"/>
        </w:rPr>
        <w:t xml:space="preserve"> </w:t>
      </w:r>
      <w:r w:rsidR="008F1F04">
        <w:rPr>
          <w:rStyle w:val="Referencingstyle"/>
        </w:rPr>
        <w:t>of the Treasury Laws Amendment (Registries Modernisation and Other Measures Bill</w:t>
      </w:r>
      <w:r w:rsidR="00C64B75">
        <w:rPr>
          <w:rStyle w:val="Referencingstyle"/>
        </w:rPr>
        <w:t>, items 1</w:t>
      </w:r>
      <w:r w:rsidR="006203E6">
        <w:rPr>
          <w:rStyle w:val="Referencingstyle"/>
        </w:rPr>
        <w:t xml:space="preserve"> and 7, subsections 308-5(1) of the CATSI Act and subsection 1230(1) of the Corporations Act]</w:t>
      </w:r>
    </w:p>
    <w:p w14:paraId="5360CF5B" w14:textId="2D2A8B65" w:rsidR="00900ECC" w:rsidRDefault="00900ECC" w:rsidP="0071319C">
      <w:pPr>
        <w:pStyle w:val="dotpoint"/>
      </w:pPr>
      <w:r>
        <w:t>direct a director to apply for a DIN (whether or not the director already has a DIN);</w:t>
      </w:r>
      <w:r w:rsidR="006203E6">
        <w:t xml:space="preserve"> </w:t>
      </w:r>
      <w:r w:rsidR="00C64B75">
        <w:rPr>
          <w:rStyle w:val="Referencingstyle"/>
        </w:rPr>
        <w:t>[Schedule 2</w:t>
      </w:r>
      <w:r w:rsidR="008F1F04" w:rsidRPr="008F1F04">
        <w:rPr>
          <w:rStyle w:val="Referencingstyle"/>
        </w:rPr>
        <w:t xml:space="preserve"> </w:t>
      </w:r>
      <w:r w:rsidR="008F1F04">
        <w:rPr>
          <w:rStyle w:val="Referencingstyle"/>
        </w:rPr>
        <w:t>of the Treasury Laws Amendment (Registries Modernisation and Other Measures Bill</w:t>
      </w:r>
      <w:r w:rsidR="00C64B75">
        <w:rPr>
          <w:rStyle w:val="Referencingstyle"/>
        </w:rPr>
        <w:t>, items 1</w:t>
      </w:r>
      <w:r w:rsidR="006203E6">
        <w:rPr>
          <w:rStyle w:val="Referencingstyle"/>
        </w:rPr>
        <w:t xml:space="preserve"> and 7, subsections 308-10(2) of the CATSI Act and subsection 1232(2) of the Corporations Act]</w:t>
      </w:r>
    </w:p>
    <w:p w14:paraId="5360CF5C" w14:textId="7AB38C13" w:rsidR="009F31BF" w:rsidRDefault="00254C64" w:rsidP="0071319C">
      <w:pPr>
        <w:pStyle w:val="dotpoint"/>
      </w:pPr>
      <w:r>
        <w:t xml:space="preserve">keep a record of </w:t>
      </w:r>
      <w:r w:rsidR="009F31BF">
        <w:t>each DIN t</w:t>
      </w:r>
      <w:r w:rsidR="00B82804">
        <w:t>hat has been given to a person</w:t>
      </w:r>
      <w:r w:rsidR="009F31BF">
        <w:t>;</w:t>
      </w:r>
      <w:r w:rsidR="00B82804">
        <w:t xml:space="preserve"> </w:t>
      </w:r>
      <w:r w:rsidR="00C64B75">
        <w:rPr>
          <w:rStyle w:val="Referencingstyle"/>
        </w:rPr>
        <w:t>[Schedule 2</w:t>
      </w:r>
      <w:r w:rsidR="008F1F04" w:rsidRPr="008F1F04">
        <w:rPr>
          <w:rStyle w:val="Referencingstyle"/>
        </w:rPr>
        <w:t xml:space="preserve"> </w:t>
      </w:r>
      <w:r w:rsidR="008F1F04">
        <w:rPr>
          <w:rStyle w:val="Referencingstyle"/>
        </w:rPr>
        <w:t>of the Treasury Laws Amendment (Registries Modernisation and Other Measures Bill</w:t>
      </w:r>
      <w:r w:rsidR="00C64B75">
        <w:rPr>
          <w:rStyle w:val="Referencingstyle"/>
        </w:rPr>
        <w:t>, items 1</w:t>
      </w:r>
      <w:r w:rsidR="000A39F0">
        <w:rPr>
          <w:rStyle w:val="Referencingstyle"/>
        </w:rPr>
        <w:t xml:space="preserve"> and 7, subsections 308-5(2) of the CATSI Act and subsection 1230(2) of the Corporations Act]</w:t>
      </w:r>
    </w:p>
    <w:p w14:paraId="5360CF5D" w14:textId="5DB2E44A" w:rsidR="009F31BF" w:rsidRDefault="009F31BF" w:rsidP="0071319C">
      <w:pPr>
        <w:pStyle w:val="dotpoint"/>
      </w:pPr>
      <w:r>
        <w:t>cancel a DIN that has been given to a person if the registrar is no longer satisfied that the person’s identity has been established or if the registrar has given the person another DIN</w:t>
      </w:r>
      <w:r w:rsidR="00B82804">
        <w:t>;</w:t>
      </w:r>
      <w:r w:rsidR="00377F9D">
        <w:t xml:space="preserve"> </w:t>
      </w:r>
      <w:r w:rsidR="00C64B75">
        <w:rPr>
          <w:rStyle w:val="Referencingstyle"/>
        </w:rPr>
        <w:t>[Schedule 2</w:t>
      </w:r>
      <w:r w:rsidR="00440776" w:rsidRPr="00440776">
        <w:rPr>
          <w:rStyle w:val="Referencingstyle"/>
        </w:rPr>
        <w:t xml:space="preserve"> </w:t>
      </w:r>
      <w:r w:rsidR="00440776">
        <w:rPr>
          <w:rStyle w:val="Referencingstyle"/>
        </w:rPr>
        <w:t>of the Treasury Laws Amendment (Registries Modernisation and Other Measures Bill</w:t>
      </w:r>
      <w:r w:rsidR="00C64B75">
        <w:rPr>
          <w:rStyle w:val="Referencingstyle"/>
        </w:rPr>
        <w:t>, items 1</w:t>
      </w:r>
      <w:r w:rsidR="00377F9D">
        <w:rPr>
          <w:rStyle w:val="Referencingstyle"/>
        </w:rPr>
        <w:t xml:space="preserve"> and 7, subsections 308-5(3) of the CATSI Act and subsection 1230(3) of the Corporations Act]</w:t>
      </w:r>
    </w:p>
    <w:p w14:paraId="5360CF5E" w14:textId="099C4835" w:rsidR="00B82804" w:rsidRDefault="00B82804" w:rsidP="0071319C">
      <w:pPr>
        <w:pStyle w:val="dotpoint"/>
      </w:pPr>
      <w:proofErr w:type="gramStart"/>
      <w:r>
        <w:t>notify</w:t>
      </w:r>
      <w:proofErr w:type="gramEnd"/>
      <w:r>
        <w:t xml:space="preserve"> a person</w:t>
      </w:r>
      <w:r w:rsidR="00EB5CF4">
        <w:t xml:space="preserve"> that</w:t>
      </w:r>
      <w:r>
        <w:t xml:space="preserve"> they have been given a DIN</w:t>
      </w:r>
      <w:r w:rsidR="00EB5CF4">
        <w:t xml:space="preserve"> or that </w:t>
      </w:r>
      <w:r>
        <w:t>a DIN, which has previously been given to them, has been cancelled</w:t>
      </w:r>
      <w:r w:rsidR="00EB5CF4">
        <w:t>.</w:t>
      </w:r>
      <w:r w:rsidR="00377F9D">
        <w:t xml:space="preserve"> </w:t>
      </w:r>
      <w:r w:rsidR="00C64B75">
        <w:rPr>
          <w:rStyle w:val="Referencingstyle"/>
        </w:rPr>
        <w:t>[Schedule 2</w:t>
      </w:r>
      <w:r w:rsidR="00394ED8" w:rsidRPr="00394ED8">
        <w:rPr>
          <w:rStyle w:val="Referencingstyle"/>
        </w:rPr>
        <w:t xml:space="preserve"> </w:t>
      </w:r>
      <w:r w:rsidR="00394ED8">
        <w:rPr>
          <w:rStyle w:val="Referencingstyle"/>
        </w:rPr>
        <w:t xml:space="preserve">of the Treasury Laws Amendment (Registries </w:t>
      </w:r>
      <w:r w:rsidR="00394ED8">
        <w:rPr>
          <w:rStyle w:val="Referencingstyle"/>
        </w:rPr>
        <w:lastRenderedPageBreak/>
        <w:t>Modernisation and Other Measures Bill</w:t>
      </w:r>
      <w:r w:rsidR="00C64B75">
        <w:rPr>
          <w:rStyle w:val="Referencingstyle"/>
        </w:rPr>
        <w:t>, items 1</w:t>
      </w:r>
      <w:r w:rsidR="00377F9D">
        <w:rPr>
          <w:rStyle w:val="Referencingstyle"/>
        </w:rPr>
        <w:t xml:space="preserve"> and 7, subsections 308-5(4) of the CATSI Act and subsection 1230(4) of the Corporations Act]</w:t>
      </w:r>
    </w:p>
    <w:p w14:paraId="5360CF60" w14:textId="12450905" w:rsidR="00EB5CF4" w:rsidRDefault="00EB5CF4">
      <w:pPr>
        <w:pStyle w:val="base-text-paragraph"/>
      </w:pPr>
      <w:r>
        <w:t>The registrar is provided little or no discretion in the exercise of most of these functions and powers. In particular, the registrar must give a person</w:t>
      </w:r>
      <w:r w:rsidR="00A17FC2">
        <w:t xml:space="preserve"> a DIN if that person is eligible to </w:t>
      </w:r>
      <w:r w:rsidR="000C6D0C">
        <w:t>apply for a DIN and has established their identity to</w:t>
      </w:r>
      <w:r w:rsidR="00482CE2">
        <w:t xml:space="preserve"> the</w:t>
      </w:r>
      <w:r w:rsidR="000C6D0C">
        <w:t xml:space="preserve"> satisfaction of the registrar. Likewise, the registrar cannot give a person a DIN</w:t>
      </w:r>
      <w:r w:rsidR="00482CE2">
        <w:t xml:space="preserve"> or cancel a person’s DIN without</w:t>
      </w:r>
      <w:r w:rsidR="000C6D0C">
        <w:t xml:space="preserve"> </w:t>
      </w:r>
      <w:r w:rsidR="00482CE2">
        <w:t>notifying</w:t>
      </w:r>
      <w:r w:rsidR="000C6D0C">
        <w:t xml:space="preserve"> the person.</w:t>
      </w:r>
    </w:p>
    <w:p w14:paraId="5360CF61" w14:textId="7EC768B4" w:rsidR="0020325D" w:rsidRDefault="004B5EDD" w:rsidP="00297352">
      <w:pPr>
        <w:pStyle w:val="base-text-paragraph"/>
      </w:pPr>
      <w:r>
        <w:t>The new</w:t>
      </w:r>
      <w:r w:rsidR="005A6919">
        <w:t xml:space="preserve"> law also allows</w:t>
      </w:r>
      <w:r>
        <w:t xml:space="preserve"> the registrar</w:t>
      </w:r>
      <w:r w:rsidR="005A6919">
        <w:t xml:space="preserve"> to</w:t>
      </w:r>
      <w:r>
        <w:t xml:space="preserve"> request a person’s tax file number to facilitate the administration of the DIN requirement.</w:t>
      </w:r>
      <w:r w:rsidR="00D440E7">
        <w:rPr>
          <w:rStyle w:val="FootnoteReference"/>
        </w:rPr>
        <w:footnoteReference w:id="59"/>
      </w:r>
      <w:r>
        <w:t xml:space="preserve"> </w:t>
      </w:r>
      <w:r w:rsidR="00896E4B">
        <w:t>Th</w:t>
      </w:r>
      <w:r w:rsidR="005A6919">
        <w:t xml:space="preserve">is will </w:t>
      </w:r>
      <w:r w:rsidR="00896E4B">
        <w:t>enable the registrar to use a person’s tax file number to assist with establishing the person’s identity for the purposes of the requiremen</w:t>
      </w:r>
      <w:r w:rsidR="005A6919">
        <w:t>t where the person is willing to provide it. T</w:t>
      </w:r>
      <w:r w:rsidR="00B93306">
        <w:t>he use of a</w:t>
      </w:r>
      <w:r w:rsidR="005A6919">
        <w:t xml:space="preserve"> person’s tax file number</w:t>
      </w:r>
      <w:r w:rsidR="00AB4D57">
        <w:t xml:space="preserve"> (when</w:t>
      </w:r>
      <w:r w:rsidR="005A6919">
        <w:t xml:space="preserve"> provided) is likely to reduce the time and cost</w:t>
      </w:r>
      <w:r w:rsidR="00B93306">
        <w:t xml:space="preserve"> involved in establishing</w:t>
      </w:r>
      <w:r w:rsidR="00482CE2">
        <w:t xml:space="preserve"> a</w:t>
      </w:r>
      <w:r w:rsidR="005A6919">
        <w:t xml:space="preserve"> person’s identity</w:t>
      </w:r>
      <w:r w:rsidR="00B93306">
        <w:t xml:space="preserve"> to the benefit of both the applicant and the registrar.</w:t>
      </w:r>
      <w:r w:rsidR="0020325D">
        <w:t xml:space="preserve"> </w:t>
      </w:r>
      <w:r w:rsidR="0020325D">
        <w:rPr>
          <w:rStyle w:val="Referencingstyle"/>
        </w:rPr>
        <w:t>[</w:t>
      </w:r>
      <w:r w:rsidR="00297352">
        <w:rPr>
          <w:rStyle w:val="Referencingstyle"/>
        </w:rPr>
        <w:t>Schedule 2</w:t>
      </w:r>
      <w:r w:rsidR="00CB6A8A" w:rsidRPr="00CB6A8A">
        <w:rPr>
          <w:rStyle w:val="Referencingstyle"/>
        </w:rPr>
        <w:t xml:space="preserve"> </w:t>
      </w:r>
      <w:r w:rsidR="00CB6A8A">
        <w:rPr>
          <w:rStyle w:val="Referencingstyle"/>
        </w:rPr>
        <w:t>of the Treasury Laws Amendment (Registries Modernisation and Other Measures Bill</w:t>
      </w:r>
      <w:r w:rsidR="00297352">
        <w:rPr>
          <w:rStyle w:val="Referencingstyle"/>
        </w:rPr>
        <w:t xml:space="preserve">, items 11 and 12, </w:t>
      </w:r>
      <w:r w:rsidR="0020325D">
        <w:rPr>
          <w:rStyle w:val="Referencingstyle"/>
        </w:rPr>
        <w:t xml:space="preserve"> section </w:t>
      </w:r>
      <w:r w:rsidR="00297352">
        <w:rPr>
          <w:rStyle w:val="Referencingstyle"/>
        </w:rPr>
        <w:t>202</w:t>
      </w:r>
      <w:r w:rsidR="0020325D">
        <w:rPr>
          <w:rStyle w:val="Referencingstyle"/>
        </w:rPr>
        <w:t xml:space="preserve"> of the</w:t>
      </w:r>
      <w:r w:rsidR="00297352">
        <w:rPr>
          <w:rStyle w:val="Referencingstyle"/>
        </w:rPr>
        <w:t xml:space="preserve"> Income Tax Assessment Act 1936</w:t>
      </w:r>
      <w:r w:rsidR="0020325D">
        <w:rPr>
          <w:rStyle w:val="Referencingstyle"/>
        </w:rPr>
        <w:t xml:space="preserve"> and </w:t>
      </w:r>
      <w:r w:rsidR="00297352">
        <w:rPr>
          <w:rStyle w:val="Referencingstyle"/>
        </w:rPr>
        <w:t xml:space="preserve">paragraphs </w:t>
      </w:r>
      <w:r w:rsidR="00297352" w:rsidRPr="00297352">
        <w:rPr>
          <w:rStyle w:val="Referencingstyle"/>
        </w:rPr>
        <w:t>8WA(1AA)(b) and 8WB(1A)(a) and (b)</w:t>
      </w:r>
      <w:r w:rsidR="00BD5F80">
        <w:rPr>
          <w:rStyle w:val="Referencingstyle"/>
        </w:rPr>
        <w:t xml:space="preserve"> </w:t>
      </w:r>
      <w:r w:rsidR="0020325D">
        <w:rPr>
          <w:rStyle w:val="Referencingstyle"/>
        </w:rPr>
        <w:t xml:space="preserve">of the </w:t>
      </w:r>
      <w:r w:rsidR="00297352">
        <w:rPr>
          <w:rStyle w:val="Referencingstyle"/>
        </w:rPr>
        <w:t xml:space="preserve">Taxation Administration </w:t>
      </w:r>
      <w:r w:rsidR="0020325D">
        <w:rPr>
          <w:rStyle w:val="Referencingstyle"/>
        </w:rPr>
        <w:t>Act</w:t>
      </w:r>
      <w:r w:rsidR="00297352">
        <w:rPr>
          <w:rStyle w:val="Referencingstyle"/>
        </w:rPr>
        <w:t xml:space="preserve"> 1953</w:t>
      </w:r>
      <w:r w:rsidR="0020325D">
        <w:rPr>
          <w:rStyle w:val="Referencingstyle"/>
        </w:rPr>
        <w:t>]</w:t>
      </w:r>
    </w:p>
    <w:p w14:paraId="5360CF62" w14:textId="77777777" w:rsidR="00AB4D57" w:rsidRDefault="00AB4D57">
      <w:pPr>
        <w:pStyle w:val="base-text-paragraph"/>
      </w:pPr>
      <w:bookmarkStart w:id="31" w:name="_Ref525246350"/>
      <w:r>
        <w:t xml:space="preserve">It should be noted that this ability only allows the registrar to </w:t>
      </w:r>
      <w:r w:rsidRPr="0071319C">
        <w:rPr>
          <w:i/>
        </w:rPr>
        <w:t>request</w:t>
      </w:r>
      <w:r w:rsidR="004762CF">
        <w:t xml:space="preserve"> a person’s t</w:t>
      </w:r>
      <w:r>
        <w:t xml:space="preserve">ax file number. The registrar cannot require a person to provide a tax file number. In addition, the current rules limiting the use and disclosure of tax file information contained in the </w:t>
      </w:r>
      <w:r w:rsidRPr="0071319C">
        <w:rPr>
          <w:i/>
        </w:rPr>
        <w:t>Taxation Administration Act 1953</w:t>
      </w:r>
      <w:r>
        <w:t xml:space="preserve"> continue to apply in relation to any such information held by the registrar. </w:t>
      </w:r>
      <w:r w:rsidR="00153ADD">
        <w:t>This ensures that any tax file information collected can only be used for the purposes of administering the DIN requirement and cannot be disclosed to third persons except in accordance with that taxation law.</w:t>
      </w:r>
      <w:r w:rsidR="00153ADD">
        <w:rPr>
          <w:rStyle w:val="FootnoteReference"/>
        </w:rPr>
        <w:footnoteReference w:id="60"/>
      </w:r>
      <w:bookmarkEnd w:id="31"/>
    </w:p>
    <w:p w14:paraId="5360CF63" w14:textId="77777777" w:rsidR="00A365DF" w:rsidRDefault="00B82804" w:rsidP="0071319C">
      <w:pPr>
        <w:pStyle w:val="Heading4"/>
      </w:pPr>
      <w:r>
        <w:t>Who may apply for a DIN</w:t>
      </w:r>
      <w:r w:rsidR="00945E6D">
        <w:t>?</w:t>
      </w:r>
    </w:p>
    <w:p w14:paraId="5360CF64" w14:textId="77777777" w:rsidR="00B82804" w:rsidRDefault="00C14EAE">
      <w:pPr>
        <w:pStyle w:val="base-text-paragraph"/>
      </w:pPr>
      <w:r>
        <w:t>The registrar may</w:t>
      </w:r>
      <w:r w:rsidR="00B82804">
        <w:t xml:space="preserve"> only </w:t>
      </w:r>
      <w:r w:rsidR="0097718E">
        <w:t xml:space="preserve">give a person a DIN if that person has </w:t>
      </w:r>
      <w:r w:rsidR="00945E6D">
        <w:t>applied for one</w:t>
      </w:r>
      <w:r w:rsidR="00B82804">
        <w:t>. The new</w:t>
      </w:r>
      <w:r w:rsidR="0097718E">
        <w:t xml:space="preserve"> law</w:t>
      </w:r>
      <w:r w:rsidR="00B82804">
        <w:t xml:space="preserve"> </w:t>
      </w:r>
      <w:r w:rsidR="0097718E">
        <w:t>provides for</w:t>
      </w:r>
      <w:r w:rsidR="00EB5CF4">
        <w:t xml:space="preserve"> two categories of persons who may apply for a DIN. No other person can apply.</w:t>
      </w:r>
    </w:p>
    <w:p w14:paraId="5360CF65" w14:textId="56D0F7FA" w:rsidR="00EB5CF4" w:rsidRDefault="00945E6D">
      <w:pPr>
        <w:pStyle w:val="base-text-paragraph"/>
      </w:pPr>
      <w:r>
        <w:t xml:space="preserve">The first </w:t>
      </w:r>
      <w:proofErr w:type="gramStart"/>
      <w:r>
        <w:t>category</w:t>
      </w:r>
      <w:proofErr w:type="gramEnd"/>
      <w:r w:rsidR="00EB5CF4">
        <w:t xml:space="preserve"> of person</w:t>
      </w:r>
      <w:r>
        <w:t>s</w:t>
      </w:r>
      <w:r w:rsidR="00EB5CF4">
        <w:t xml:space="preserve"> who may apply for a DIN </w:t>
      </w:r>
      <w:r w:rsidR="003A353F">
        <w:t>are</w:t>
      </w:r>
      <w:r w:rsidR="00EB5CF4">
        <w:t xml:space="preserve"> directors. </w:t>
      </w:r>
      <w:r w:rsidR="0097718E">
        <w:t xml:space="preserve">As noted above, a director commits an offence if they do not have a DIN and have not applied for one within </w:t>
      </w:r>
      <w:r w:rsidR="005C1CF5">
        <w:t>the prescribed timeframe</w:t>
      </w:r>
      <w:r w:rsidR="0097718E">
        <w:t xml:space="preserve"> </w:t>
      </w:r>
      <w:r w:rsidR="0097718E">
        <w:lastRenderedPageBreak/>
        <w:t>of first being appointed as a dir</w:t>
      </w:r>
      <w:r>
        <w:t>ector. In addition, the objective of the regime is to promote good corporate conduct of directors by, among other things, establishing their identity and tracking their directorships overtime. It is therefore essential that directors be able to apply for a DIN.</w:t>
      </w:r>
    </w:p>
    <w:p w14:paraId="5360CF66" w14:textId="045873C5" w:rsidR="00900ECC" w:rsidRPr="00353F39" w:rsidRDefault="00945E6D" w:rsidP="0071319C">
      <w:pPr>
        <w:pStyle w:val="base-text-paragraph"/>
        <w:rPr>
          <w:rStyle w:val="Referencingstyle"/>
          <w:b w:val="0"/>
          <w:i w:val="0"/>
          <w:sz w:val="22"/>
        </w:rPr>
      </w:pPr>
      <w:r>
        <w:t>The second category of persons who may apply for a DIN are person who are not directors but intend to become directors within 12 months.</w:t>
      </w:r>
      <w:r w:rsidR="00DC156C">
        <w:t xml:space="preserve"> It is not compulsory or required that any such person obtain a DIN or apply for a DIN. However, the new </w:t>
      </w:r>
      <w:r w:rsidR="00482CE2">
        <w:t xml:space="preserve">law </w:t>
      </w:r>
      <w:r w:rsidR="00DC156C">
        <w:t>enables such persons to obtain a DIN should they so desire. The intent is to facilitate the operation of the new DIN requirement by enabling prospective directors to apply for a DIN prior to their appointment where convenient or necessary (for example, because they may be need to travel shortly after their appointment).</w:t>
      </w:r>
      <w:r w:rsidR="00900ECC">
        <w:t xml:space="preserve"> </w:t>
      </w:r>
      <w:r w:rsidR="00C64B75">
        <w:rPr>
          <w:rStyle w:val="Referencingstyle"/>
        </w:rPr>
        <w:t>[Schedule 2</w:t>
      </w:r>
      <w:r w:rsidR="002E5C12" w:rsidRPr="002E5C12">
        <w:rPr>
          <w:rStyle w:val="Referencingstyle"/>
        </w:rPr>
        <w:t xml:space="preserve"> </w:t>
      </w:r>
      <w:r w:rsidR="002E5C12">
        <w:rPr>
          <w:rStyle w:val="Referencingstyle"/>
        </w:rPr>
        <w:t>of the Treasury Laws Amendment (Registries Modernisation and Other Measures Bill</w:t>
      </w:r>
      <w:r w:rsidR="00C64B75">
        <w:rPr>
          <w:rStyle w:val="Referencingstyle"/>
        </w:rPr>
        <w:t>, items 1</w:t>
      </w:r>
      <w:r w:rsidR="003165F8">
        <w:rPr>
          <w:rStyle w:val="Referencingstyle"/>
        </w:rPr>
        <w:t xml:space="preserve"> and 7, subsections 308-10(3) of the CATSI Act and subsection 1231(3) of the Corporations Act]</w:t>
      </w:r>
    </w:p>
    <w:p w14:paraId="6203CE2E" w14:textId="7396CF9B" w:rsidR="00A41D16" w:rsidRDefault="00A41D16" w:rsidP="0071319C">
      <w:pPr>
        <w:pStyle w:val="base-text-paragraph"/>
      </w:pPr>
      <w:r>
        <w:t>A DIN allocated to a prospective director is automatically cancelled by operation of law if the person does not become a director within 12 months</w:t>
      </w:r>
      <w:r w:rsidR="000820E1">
        <w:t xml:space="preserve"> of being given the</w:t>
      </w:r>
      <w:r>
        <w:t xml:space="preserve"> DIN.</w:t>
      </w:r>
      <w:r w:rsidR="003A734C">
        <w:t xml:space="preserve"> This ensures the new r</w:t>
      </w:r>
      <w:r w:rsidR="000820E1">
        <w:t>equirement remains focused on those that are directors or are likely to become directors. A number cancelled pursuant to this provision may be reallocated to the same person should they later reapply for a DIN.</w:t>
      </w:r>
      <w:r w:rsidR="003A734C">
        <w:rPr>
          <w:rStyle w:val="FootnoteReference"/>
        </w:rPr>
        <w:footnoteReference w:id="61"/>
      </w:r>
      <w:r w:rsidR="003A734C">
        <w:t xml:space="preserve"> </w:t>
      </w:r>
      <w:r w:rsidR="00170E61">
        <w:rPr>
          <w:rStyle w:val="Referencingstyle"/>
        </w:rPr>
        <w:t>[Schedule 2</w:t>
      </w:r>
      <w:r w:rsidR="006D4FD1" w:rsidRPr="006D4FD1">
        <w:rPr>
          <w:rStyle w:val="Referencingstyle"/>
        </w:rPr>
        <w:t xml:space="preserve"> </w:t>
      </w:r>
      <w:r w:rsidR="006D4FD1">
        <w:rPr>
          <w:rStyle w:val="Referencingstyle"/>
        </w:rPr>
        <w:t>of the Treasury Laws Amendment (Registries Modernisation and Other Measures Bill</w:t>
      </w:r>
      <w:r w:rsidR="00170E61">
        <w:rPr>
          <w:rStyle w:val="Referencingstyle"/>
        </w:rPr>
        <w:t>, items 1</w:t>
      </w:r>
      <w:r w:rsidR="00656A83">
        <w:rPr>
          <w:rStyle w:val="Referencingstyle"/>
        </w:rPr>
        <w:t xml:space="preserve"> and 7, subsections 308-5(4) of the CATSI Act and subsection 1230(4) of the Corporations Act]</w:t>
      </w:r>
    </w:p>
    <w:p w14:paraId="5360CF67" w14:textId="77777777" w:rsidR="007A54A8" w:rsidRPr="00DA4146" w:rsidRDefault="007A54A8" w:rsidP="0071319C">
      <w:pPr>
        <w:pStyle w:val="Heading4"/>
      </w:pPr>
      <w:r>
        <w:t>How does the registrar</w:t>
      </w:r>
      <w:r w:rsidR="00482CE2">
        <w:t xml:space="preserve"> perform its functions and</w:t>
      </w:r>
      <w:r>
        <w:t xml:space="preserve"> exercise its powers?</w:t>
      </w:r>
    </w:p>
    <w:p w14:paraId="5360CF68" w14:textId="77777777" w:rsidR="009F31BF" w:rsidRDefault="00B76C76" w:rsidP="0071319C">
      <w:pPr>
        <w:pStyle w:val="base-text-paragraph"/>
      </w:pPr>
      <w:r>
        <w:t>The registrar performs</w:t>
      </w:r>
      <w:r w:rsidR="007A54A8">
        <w:t xml:space="preserve"> its functions and</w:t>
      </w:r>
      <w:r>
        <w:t xml:space="preserve"> exercises its</w:t>
      </w:r>
      <w:r w:rsidR="007A54A8">
        <w:t xml:space="preserve"> powers </w:t>
      </w:r>
      <w:r w:rsidR="002E01B0">
        <w:t xml:space="preserve">in relation to the DIN requirement primarily </w:t>
      </w:r>
      <w:r w:rsidR="00C14EAE">
        <w:t>in accordance with the data standards</w:t>
      </w:r>
      <w:r w:rsidR="002E01B0">
        <w:t>.</w:t>
      </w:r>
      <w:r w:rsidR="002E01B0">
        <w:rPr>
          <w:rStyle w:val="FootnoteReference"/>
        </w:rPr>
        <w:footnoteReference w:id="62"/>
      </w:r>
      <w:r w:rsidR="002E01B0">
        <w:t xml:space="preserve"> As explained</w:t>
      </w:r>
      <w:r w:rsidR="00E3035F">
        <w:t xml:space="preserve"> in paragraph</w:t>
      </w:r>
      <w:r w:rsidR="0097734E">
        <w:t xml:space="preserve">s </w:t>
      </w:r>
      <w:r w:rsidR="0097734E" w:rsidRPr="0071319C">
        <w:fldChar w:fldCharType="begin"/>
      </w:r>
      <w:r w:rsidR="0097734E" w:rsidRPr="0097734E">
        <w:instrText xml:space="preserve"> REF _Ref524870386 \n \h </w:instrText>
      </w:r>
      <w:r w:rsidR="0097734E">
        <w:instrText xml:space="preserve"> \* MERGEFORMAT </w:instrText>
      </w:r>
      <w:r w:rsidR="0097734E" w:rsidRPr="0071319C">
        <w:fldChar w:fldCharType="separate"/>
      </w:r>
      <w:r w:rsidR="00F3492D">
        <w:t>1.30</w:t>
      </w:r>
      <w:r w:rsidR="0097734E" w:rsidRPr="0071319C">
        <w:fldChar w:fldCharType="end"/>
      </w:r>
      <w:r w:rsidR="0097734E" w:rsidRPr="0071319C">
        <w:t xml:space="preserve"> to </w:t>
      </w:r>
      <w:r w:rsidR="0097734E" w:rsidRPr="0071319C">
        <w:fldChar w:fldCharType="begin"/>
      </w:r>
      <w:r w:rsidR="0097734E" w:rsidRPr="0071319C">
        <w:instrText xml:space="preserve"> REF _Ref524870435 \n \h </w:instrText>
      </w:r>
      <w:r w:rsidR="0097734E">
        <w:instrText xml:space="preserve"> \* MERGEFORMAT </w:instrText>
      </w:r>
      <w:r w:rsidR="0097734E" w:rsidRPr="0071319C">
        <w:fldChar w:fldCharType="separate"/>
      </w:r>
      <w:r w:rsidR="00F3492D">
        <w:t>1.37</w:t>
      </w:r>
      <w:r w:rsidR="0097734E" w:rsidRPr="0071319C">
        <w:fldChar w:fldCharType="end"/>
      </w:r>
      <w:r w:rsidR="002E01B0">
        <w:t xml:space="preserve"> of this memorandum, the data standards a</w:t>
      </w:r>
      <w:r w:rsidR="0097734E">
        <w:t>re legislative instruments that the new law allows</w:t>
      </w:r>
      <w:r w:rsidR="00E3035F">
        <w:t xml:space="preserve"> the registrar to make</w:t>
      </w:r>
      <w:r w:rsidR="0097734E">
        <w:t xml:space="preserve"> on matters relating to the performance of the registrar’s functions and the exercise of the registrar’s powers.</w:t>
      </w:r>
    </w:p>
    <w:p w14:paraId="5360CF69" w14:textId="1C489B4B" w:rsidR="00A365DF" w:rsidRDefault="00C647CE">
      <w:pPr>
        <w:pStyle w:val="base-text-paragraph"/>
      </w:pPr>
      <w:r>
        <w:t>In the present context, t</w:t>
      </w:r>
      <w:r w:rsidR="00EE224A">
        <w:t>he data standards</w:t>
      </w:r>
      <w:r w:rsidR="00CF4170">
        <w:t xml:space="preserve"> </w:t>
      </w:r>
      <w:r w:rsidR="00EE224A">
        <w:t>can</w:t>
      </w:r>
      <w:r w:rsidR="00CF4170">
        <w:t xml:space="preserve"> </w:t>
      </w:r>
      <w:r w:rsidR="00EE224A">
        <w:t>provide for matters related to the</w:t>
      </w:r>
      <w:r w:rsidR="00441A9F">
        <w:t xml:space="preserve"> performance</w:t>
      </w:r>
      <w:r w:rsidR="00CA088E">
        <w:t xml:space="preserve"> of the</w:t>
      </w:r>
      <w:r w:rsidR="00EE224A">
        <w:t xml:space="preserve"> </w:t>
      </w:r>
      <w:r w:rsidR="00CA088E">
        <w:t>registrar’s functions</w:t>
      </w:r>
      <w:r w:rsidR="00B76C76">
        <w:t xml:space="preserve"> and the exercise of the r</w:t>
      </w:r>
      <w:r w:rsidR="00CA088E">
        <w:t xml:space="preserve">egistrar’s powers </w:t>
      </w:r>
      <w:r w:rsidR="00CF4170">
        <w:t>in relation</w:t>
      </w:r>
      <w:r w:rsidR="0080334F">
        <w:t xml:space="preserve"> to the DIN</w:t>
      </w:r>
      <w:r w:rsidR="00CF4170">
        <w:t xml:space="preserve"> requirement.</w:t>
      </w:r>
      <w:r w:rsidR="0080334F">
        <w:t xml:space="preserve"> These functions and powers are specified in paragraphs </w:t>
      </w:r>
      <w:r w:rsidR="0080334F">
        <w:fldChar w:fldCharType="begin"/>
      </w:r>
      <w:r w:rsidR="0080334F">
        <w:instrText xml:space="preserve"> REF _Ref525246347 \n \h </w:instrText>
      </w:r>
      <w:r w:rsidR="0080334F">
        <w:fldChar w:fldCharType="separate"/>
      </w:r>
      <w:r w:rsidR="00F3492D">
        <w:t>2.51</w:t>
      </w:r>
      <w:r w:rsidR="0080334F">
        <w:fldChar w:fldCharType="end"/>
      </w:r>
      <w:r w:rsidR="0080334F">
        <w:t xml:space="preserve"> to </w:t>
      </w:r>
      <w:r w:rsidR="0080334F">
        <w:fldChar w:fldCharType="begin"/>
      </w:r>
      <w:r w:rsidR="0080334F">
        <w:instrText xml:space="preserve"> REF _Ref525246350 \n \h </w:instrText>
      </w:r>
      <w:r w:rsidR="0080334F">
        <w:fldChar w:fldCharType="separate"/>
      </w:r>
      <w:r w:rsidR="00F3492D">
        <w:t>2.54</w:t>
      </w:r>
      <w:r w:rsidR="0080334F">
        <w:fldChar w:fldCharType="end"/>
      </w:r>
      <w:r w:rsidR="0080334F">
        <w:t xml:space="preserve"> of this memorandum.</w:t>
      </w:r>
      <w:r w:rsidR="00CA088E">
        <w:t xml:space="preserve"> </w:t>
      </w:r>
      <w:r w:rsidR="0080334F">
        <w:lastRenderedPageBreak/>
        <w:t>Examples of</w:t>
      </w:r>
      <w:r w:rsidR="001711E4">
        <w:t xml:space="preserve"> particular</w:t>
      </w:r>
      <w:r w:rsidR="0080334F">
        <w:t xml:space="preserve"> matters</w:t>
      </w:r>
      <w:r w:rsidR="00B76C76">
        <w:t xml:space="preserve"> related to the DIN requirement</w:t>
      </w:r>
      <w:r w:rsidR="0080334F">
        <w:t xml:space="preserve"> that the registrar may deal with in the data standards include:</w:t>
      </w:r>
      <w:r w:rsidR="001711E4">
        <w:rPr>
          <w:rStyle w:val="FootnoteReference"/>
        </w:rPr>
        <w:footnoteReference w:id="63"/>
      </w:r>
    </w:p>
    <w:p w14:paraId="5360CF6A" w14:textId="77777777" w:rsidR="004B5EDD" w:rsidRDefault="001711E4" w:rsidP="0071319C">
      <w:pPr>
        <w:pStyle w:val="dotpoint"/>
      </w:pPr>
      <w:r>
        <w:t>how a person’s identity is to be established for the purposes of the new requirement</w:t>
      </w:r>
      <w:r w:rsidR="00753360">
        <w:t xml:space="preserve"> (for instance, the registrar could require an applicant to provide 100 points of identification)</w:t>
      </w:r>
      <w:r>
        <w:t>;</w:t>
      </w:r>
    </w:p>
    <w:p w14:paraId="5360CF6B" w14:textId="287A57A0" w:rsidR="001711E4" w:rsidRDefault="001711E4" w:rsidP="0071319C">
      <w:pPr>
        <w:pStyle w:val="dotpoint"/>
      </w:pPr>
      <w:r>
        <w:t>the numbering plan for the new requirement</w:t>
      </w:r>
      <w:r w:rsidR="00A24B05">
        <w:t xml:space="preserve"> (for instance</w:t>
      </w:r>
      <w:r w:rsidR="00BA0D5D">
        <w:t xml:space="preserve">, the registrar could specify rules relating to the </w:t>
      </w:r>
      <w:r w:rsidR="00A24B05">
        <w:t>allocation</w:t>
      </w:r>
      <w:r w:rsidR="00D146CE">
        <w:t xml:space="preserve"> and use</w:t>
      </w:r>
      <w:r w:rsidR="0091437F">
        <w:t xml:space="preserve"> of numbers in connection with the new requirement, including</w:t>
      </w:r>
      <w:r w:rsidR="00D146CE">
        <w:t xml:space="preserve"> rules affecting numbers that have previously been given or</w:t>
      </w:r>
      <w:r w:rsidR="0091437F">
        <w:t xml:space="preserve"> cancelled</w:t>
      </w:r>
      <w:r w:rsidR="0091437F">
        <w:rPr>
          <w:rStyle w:val="FootnoteReference"/>
        </w:rPr>
        <w:footnoteReference w:id="64"/>
      </w:r>
      <w:r w:rsidR="0091437F">
        <w:t>);</w:t>
      </w:r>
    </w:p>
    <w:p w14:paraId="5360CF6C" w14:textId="77777777" w:rsidR="001711E4" w:rsidRDefault="001711E4" w:rsidP="0071319C">
      <w:pPr>
        <w:pStyle w:val="dotpoint"/>
      </w:pPr>
      <w:r>
        <w:t>how DIN records are to be stored, maintained and integrated or linked to other data;</w:t>
      </w:r>
    </w:p>
    <w:p w14:paraId="5360CF6D" w14:textId="77777777" w:rsidR="001711E4" w:rsidRDefault="001711E4" w:rsidP="0071319C">
      <w:pPr>
        <w:pStyle w:val="dotpoint"/>
      </w:pPr>
      <w:r>
        <w:t xml:space="preserve">how a person is to apply for a DIN and the manner and form of </w:t>
      </w:r>
      <w:r w:rsidR="007C05F4">
        <w:t>any application;</w:t>
      </w:r>
    </w:p>
    <w:p w14:paraId="5360CF6E" w14:textId="77777777" w:rsidR="007C05F4" w:rsidRDefault="007C05F4" w:rsidP="0071319C">
      <w:pPr>
        <w:pStyle w:val="dotpoint"/>
      </w:pPr>
      <w:r>
        <w:t xml:space="preserve">how the registrar may check or validate the accuracy of </w:t>
      </w:r>
      <w:r w:rsidR="00B76C76">
        <w:t xml:space="preserve">any </w:t>
      </w:r>
      <w:r>
        <w:t>records held in relation to the new requirement; and</w:t>
      </w:r>
    </w:p>
    <w:p w14:paraId="5360CF6F" w14:textId="77777777" w:rsidR="007C05F4" w:rsidRDefault="007C05F4" w:rsidP="0071319C">
      <w:pPr>
        <w:pStyle w:val="dotpoint"/>
      </w:pPr>
      <w:proofErr w:type="gramStart"/>
      <w:r>
        <w:t>how</w:t>
      </w:r>
      <w:proofErr w:type="gramEnd"/>
      <w:r>
        <w:t xml:space="preserve"> the registrar may notify people of relevant matters under the new requirement.</w:t>
      </w:r>
    </w:p>
    <w:p w14:paraId="5360CF71" w14:textId="1D830E60" w:rsidR="00654BE8" w:rsidRDefault="003E672A" w:rsidP="00DA4146">
      <w:pPr>
        <w:pStyle w:val="base-text-paragraph"/>
      </w:pPr>
      <w:r>
        <w:t>Other amendments in the Bill enable the registrar to make data stand</w:t>
      </w:r>
      <w:r w:rsidR="0040125F">
        <w:t>ards relating to</w:t>
      </w:r>
      <w:r w:rsidR="001A4C38">
        <w:t xml:space="preserve"> </w:t>
      </w:r>
      <w:r w:rsidR="00A53255">
        <w:t>how the registrar is</w:t>
      </w:r>
      <w:r w:rsidR="0040125F">
        <w:t xml:space="preserve"> informed of relevant matters relating to directors th</w:t>
      </w:r>
      <w:r w:rsidR="005102E4">
        <w:t xml:space="preserve">at already </w:t>
      </w:r>
      <w:r w:rsidR="0040125F">
        <w:t xml:space="preserve">hold a DIN. </w:t>
      </w:r>
      <w:r w:rsidR="005102E4">
        <w:t xml:space="preserve">For example, </w:t>
      </w:r>
      <w:r w:rsidR="002E0B18">
        <w:t xml:space="preserve">existing </w:t>
      </w:r>
      <w:r w:rsidR="005102E4">
        <w:t>section 205B of the Corporations Act require</w:t>
      </w:r>
      <w:r w:rsidR="00BF6002">
        <w:t>s</w:t>
      </w:r>
      <w:r w:rsidR="005102E4">
        <w:t xml:space="preserve"> companies </w:t>
      </w:r>
      <w:r w:rsidR="002E0B18">
        <w:t>to lodge a notice of the personal details</w:t>
      </w:r>
      <w:r w:rsidR="005102E4">
        <w:t xml:space="preserve"> of a new director</w:t>
      </w:r>
      <w:r w:rsidR="00BF6002">
        <w:t xml:space="preserve"> with the registrar within 28 days of their appointment.</w:t>
      </w:r>
      <w:r w:rsidR="00A6391E">
        <w:t xml:space="preserve"> As under the new law this notice must meet any requirements of the data standards</w:t>
      </w:r>
      <w:r w:rsidR="00654BE8">
        <w:t>, the registrar may require companies to provide details of any existing DIN held by a new director.</w:t>
      </w:r>
      <w:r w:rsidR="002E0B18">
        <w:t xml:space="preserve"> An equivalent ability exists in relation to</w:t>
      </w:r>
      <w:r w:rsidR="00F61CD6">
        <w:t xml:space="preserve"> the</w:t>
      </w:r>
      <w:r w:rsidR="002E0B18">
        <w:t xml:space="preserve"> other</w:t>
      </w:r>
      <w:r w:rsidR="00A53255">
        <w:t xml:space="preserve"> types of</w:t>
      </w:r>
      <w:r w:rsidR="002E0B18">
        <w:t xml:space="preserve"> registered bodies.</w:t>
      </w:r>
      <w:r w:rsidR="00654BE8">
        <w:t xml:space="preserve"> </w:t>
      </w:r>
      <w:r w:rsidR="002E0B18">
        <w:t>These abilities</w:t>
      </w:r>
      <w:r w:rsidR="00654BE8">
        <w:t xml:space="preserve"> </w:t>
      </w:r>
      <w:r w:rsidR="002E0B18">
        <w:t>facilitate the proper functioning of the new requirement by enabling details of</w:t>
      </w:r>
      <w:r w:rsidR="00663134">
        <w:t xml:space="preserve"> any existing DIN held by a director</w:t>
      </w:r>
      <w:r w:rsidR="00654BE8">
        <w:t xml:space="preserve"> to</w:t>
      </w:r>
      <w:r w:rsidR="002E0B18">
        <w:t xml:space="preserve"> be collected </w:t>
      </w:r>
      <w:r w:rsidR="00A53255">
        <w:t xml:space="preserve">for the purposes of tracking </w:t>
      </w:r>
      <w:r w:rsidR="001F6F7C">
        <w:t>their directorships over time.</w:t>
      </w:r>
    </w:p>
    <w:p w14:paraId="5360CF72" w14:textId="77777777" w:rsidR="003F557C" w:rsidRDefault="003F557C" w:rsidP="003F557C">
      <w:pPr>
        <w:pStyle w:val="Heading3"/>
      </w:pPr>
      <w:r>
        <w:lastRenderedPageBreak/>
        <w:t>What are the consequences of contravening the new law</w:t>
      </w:r>
    </w:p>
    <w:p w14:paraId="5360CF73" w14:textId="77777777" w:rsidR="00980FA5" w:rsidRDefault="00980FA5" w:rsidP="003F557C">
      <w:pPr>
        <w:pStyle w:val="base-text-paragraph"/>
      </w:pPr>
      <w:r>
        <w:t>Civil and criminal penalties apply to contraventions of the DIN requirement. The registrar may also issue infringement notices in relation to some contraventions.</w:t>
      </w:r>
    </w:p>
    <w:p w14:paraId="5360CF74" w14:textId="77777777" w:rsidR="00AB09F9" w:rsidRDefault="00166C79">
      <w:pPr>
        <w:pStyle w:val="Heading4"/>
      </w:pPr>
      <w:r>
        <w:t>Civil and criminal penalties</w:t>
      </w:r>
    </w:p>
    <w:p w14:paraId="5360CF75" w14:textId="77777777" w:rsidR="003F557C" w:rsidRDefault="003F557C" w:rsidP="003F557C">
      <w:pPr>
        <w:pStyle w:val="base-text-paragraph"/>
      </w:pPr>
      <w:r>
        <w:t>A contravention of every obligation in the new law is both a civil penalty provision and an offence. This allows the regulator or prosecutor (as the case may be) to take a proportional approach to the enforcement of the new regime.</w:t>
      </w:r>
    </w:p>
    <w:p w14:paraId="5360CF76" w14:textId="77777777" w:rsidR="003F557C" w:rsidRDefault="003F557C" w:rsidP="003F557C">
      <w:pPr>
        <w:pStyle w:val="base-text-paragraph"/>
      </w:pPr>
      <w:r>
        <w:t>The maximum penalties applicable to each obligation in the Bill are detailed in the following table.</w:t>
      </w:r>
    </w:p>
    <w:p w14:paraId="5360CF77" w14:textId="77777777" w:rsidR="003F557C" w:rsidRDefault="003F557C" w:rsidP="006E53AC">
      <w:pPr>
        <w:pStyle w:val="TableHeadingoutsidetable"/>
        <w:numPr>
          <w:ilvl w:val="4"/>
          <w:numId w:val="46"/>
        </w:numPr>
        <w:tabs>
          <w:tab w:val="num" w:pos="360"/>
        </w:tabs>
      </w:pPr>
      <w:r>
        <w:t xml:space="preserve"> Penalties concerning obligations </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F557C" w:rsidRPr="004666B8" w14:paraId="5360CF7A" w14:textId="77777777" w:rsidTr="00FB09AB">
        <w:trPr>
          <w:tblHeader/>
        </w:trPr>
        <w:tc>
          <w:tcPr>
            <w:tcW w:w="3275" w:type="dxa"/>
          </w:tcPr>
          <w:p w14:paraId="5360CF78" w14:textId="77777777" w:rsidR="003F557C" w:rsidRPr="004666B8" w:rsidRDefault="003F557C" w:rsidP="00FB09AB">
            <w:pPr>
              <w:pStyle w:val="tableheaderwithintable"/>
              <w:rPr>
                <w:lang w:val="en-US" w:eastAsia="en-US"/>
              </w:rPr>
            </w:pPr>
            <w:r>
              <w:rPr>
                <w:lang w:val="en-US" w:eastAsia="en-US"/>
              </w:rPr>
              <w:t>Obligation</w:t>
            </w:r>
          </w:p>
        </w:tc>
        <w:tc>
          <w:tcPr>
            <w:tcW w:w="3276" w:type="dxa"/>
          </w:tcPr>
          <w:p w14:paraId="5360CF79" w14:textId="77777777" w:rsidR="003F557C" w:rsidRPr="004666B8" w:rsidRDefault="003F557C" w:rsidP="00FB09AB">
            <w:pPr>
              <w:pStyle w:val="tableheaderwithintable"/>
              <w:rPr>
                <w:lang w:val="en-US" w:eastAsia="en-US"/>
              </w:rPr>
            </w:pPr>
            <w:r>
              <w:rPr>
                <w:lang w:val="en-US" w:eastAsia="en-US"/>
              </w:rPr>
              <w:t>Maximum penalty</w:t>
            </w:r>
          </w:p>
        </w:tc>
      </w:tr>
      <w:tr w:rsidR="003F557C" w14:paraId="5360CF82" w14:textId="77777777" w:rsidTr="00FB09AB">
        <w:tc>
          <w:tcPr>
            <w:tcW w:w="3275" w:type="dxa"/>
          </w:tcPr>
          <w:p w14:paraId="5360CF7B" w14:textId="77777777" w:rsidR="003F557C" w:rsidRDefault="003F557C" w:rsidP="00FB09AB">
            <w:pPr>
              <w:pStyle w:val="tabletext"/>
              <w:rPr>
                <w:lang w:val="en-US" w:eastAsia="en-US"/>
              </w:rPr>
            </w:pPr>
            <w:r>
              <w:rPr>
                <w:lang w:val="en-US" w:eastAsia="en-US"/>
              </w:rPr>
              <w:t>Requirement to apply for a director identification number within 28 days of appointment</w:t>
            </w:r>
          </w:p>
        </w:tc>
        <w:tc>
          <w:tcPr>
            <w:tcW w:w="3276" w:type="dxa"/>
          </w:tcPr>
          <w:p w14:paraId="5360CF7C" w14:textId="77777777" w:rsidR="003F557C" w:rsidRPr="00560252" w:rsidRDefault="003F557C" w:rsidP="00FB09AB">
            <w:pPr>
              <w:pStyle w:val="tabletext"/>
              <w:rPr>
                <w:i/>
              </w:rPr>
            </w:pPr>
            <w:r w:rsidRPr="00560252">
              <w:rPr>
                <w:i/>
              </w:rPr>
              <w:t>Corporations Act</w:t>
            </w:r>
          </w:p>
          <w:p w14:paraId="5360CF7D" w14:textId="77777777" w:rsidR="003F557C" w:rsidRDefault="003F557C" w:rsidP="00FB09AB">
            <w:pPr>
              <w:pStyle w:val="tabletext"/>
            </w:pPr>
            <w:r>
              <w:t>Criminal – 60 penalty units (strict liability)</w:t>
            </w:r>
          </w:p>
          <w:p w14:paraId="5360CF7E" w14:textId="77777777" w:rsidR="003F557C" w:rsidRDefault="003F557C" w:rsidP="00FB09AB">
            <w:pPr>
              <w:pStyle w:val="tabletext"/>
            </w:pPr>
            <w:r>
              <w:t>Civil penalty – $200,000 for an individual; or 1 million for a body corporate</w:t>
            </w:r>
          </w:p>
          <w:p w14:paraId="5360CF7F" w14:textId="77777777" w:rsidR="003F557C" w:rsidRPr="001B2A91" w:rsidRDefault="003F557C" w:rsidP="00FB09AB">
            <w:pPr>
              <w:pStyle w:val="tabletext"/>
              <w:rPr>
                <w:i/>
              </w:rPr>
            </w:pPr>
            <w:r w:rsidRPr="001B2A91">
              <w:rPr>
                <w:i/>
              </w:rPr>
              <w:t>CATSI Act</w:t>
            </w:r>
          </w:p>
          <w:p w14:paraId="5360CF80" w14:textId="77777777" w:rsidR="003F557C" w:rsidRDefault="003F557C" w:rsidP="00FB09AB">
            <w:pPr>
              <w:pStyle w:val="tabletext"/>
            </w:pPr>
            <w:r>
              <w:t>Criminal – 25 penalty units (strict liability)</w:t>
            </w:r>
          </w:p>
          <w:p w14:paraId="5360CF81" w14:textId="77777777" w:rsidR="003F557C" w:rsidRPr="00A23B5F" w:rsidRDefault="003F557C" w:rsidP="00FB09AB">
            <w:pPr>
              <w:pStyle w:val="tabletext"/>
            </w:pPr>
            <w:r>
              <w:t>Civil penalty – $200,000 for an individual</w:t>
            </w:r>
          </w:p>
        </w:tc>
      </w:tr>
      <w:tr w:rsidR="003F557C" w14:paraId="5360CF8A" w14:textId="77777777" w:rsidTr="00FB09AB">
        <w:tc>
          <w:tcPr>
            <w:tcW w:w="3275" w:type="dxa"/>
          </w:tcPr>
          <w:p w14:paraId="5360CF83" w14:textId="77777777" w:rsidR="003F557C" w:rsidRPr="00CF4FA5" w:rsidRDefault="003F557C" w:rsidP="00FB09AB">
            <w:pPr>
              <w:pStyle w:val="tabletext"/>
            </w:pPr>
            <w:r>
              <w:t>Requirement to apply for a director identification number if directed by the registrar</w:t>
            </w:r>
          </w:p>
        </w:tc>
        <w:tc>
          <w:tcPr>
            <w:tcW w:w="3276" w:type="dxa"/>
          </w:tcPr>
          <w:p w14:paraId="5360CF84" w14:textId="77777777" w:rsidR="003F557C" w:rsidRPr="00560252" w:rsidRDefault="003F557C" w:rsidP="00FB09AB">
            <w:pPr>
              <w:pStyle w:val="tabletext"/>
              <w:rPr>
                <w:i/>
              </w:rPr>
            </w:pPr>
            <w:r w:rsidRPr="00560252">
              <w:rPr>
                <w:i/>
              </w:rPr>
              <w:t>Corporations Act</w:t>
            </w:r>
          </w:p>
          <w:p w14:paraId="5360CF85" w14:textId="77777777" w:rsidR="003F557C" w:rsidRDefault="003F557C" w:rsidP="00FB09AB">
            <w:pPr>
              <w:pStyle w:val="tabletext"/>
            </w:pPr>
            <w:r>
              <w:t>Criminal – 60 penalty units (strict liability)</w:t>
            </w:r>
          </w:p>
          <w:p w14:paraId="5360CF86" w14:textId="77777777" w:rsidR="003F557C" w:rsidRDefault="003F557C" w:rsidP="00FB09AB">
            <w:pPr>
              <w:pStyle w:val="tabletext"/>
            </w:pPr>
            <w:r>
              <w:t>Civil penalty – $200,000 for an individual; or 1 million for a body corporate</w:t>
            </w:r>
          </w:p>
          <w:p w14:paraId="5360CF87" w14:textId="77777777" w:rsidR="003F557C" w:rsidRPr="001B2A91" w:rsidRDefault="003F557C" w:rsidP="00FB09AB">
            <w:pPr>
              <w:pStyle w:val="tabletext"/>
              <w:rPr>
                <w:i/>
              </w:rPr>
            </w:pPr>
            <w:r w:rsidRPr="001B2A91">
              <w:rPr>
                <w:i/>
              </w:rPr>
              <w:t>CATSI Act</w:t>
            </w:r>
          </w:p>
          <w:p w14:paraId="5360CF88" w14:textId="77777777" w:rsidR="003F557C" w:rsidRDefault="003F557C" w:rsidP="00FB09AB">
            <w:pPr>
              <w:pStyle w:val="tabletext"/>
            </w:pPr>
            <w:r>
              <w:t>Criminal – 25 penalty units (strict liability)</w:t>
            </w:r>
          </w:p>
          <w:p w14:paraId="5360CF89" w14:textId="77777777" w:rsidR="003F557C" w:rsidRDefault="003F557C" w:rsidP="00FB09AB">
            <w:pPr>
              <w:pStyle w:val="tabletext"/>
            </w:pPr>
            <w:r>
              <w:t>Civil penalty – $200,000 for an individual</w:t>
            </w:r>
          </w:p>
        </w:tc>
      </w:tr>
      <w:tr w:rsidR="003F557C" w14:paraId="5360CF92" w14:textId="77777777" w:rsidTr="00FB09AB">
        <w:tc>
          <w:tcPr>
            <w:tcW w:w="3275" w:type="dxa"/>
          </w:tcPr>
          <w:p w14:paraId="5360CF8B" w14:textId="77777777" w:rsidR="003F557C" w:rsidRDefault="003F557C" w:rsidP="00FB09AB">
            <w:pPr>
              <w:pStyle w:val="tabletext"/>
            </w:pPr>
            <w:r>
              <w:t>Applying for additional DINs</w:t>
            </w:r>
          </w:p>
        </w:tc>
        <w:tc>
          <w:tcPr>
            <w:tcW w:w="3276" w:type="dxa"/>
          </w:tcPr>
          <w:p w14:paraId="5360CF8C" w14:textId="77777777" w:rsidR="003F557C" w:rsidRPr="00560252" w:rsidRDefault="003F557C" w:rsidP="00FB09AB">
            <w:pPr>
              <w:pStyle w:val="tabletext"/>
              <w:rPr>
                <w:i/>
              </w:rPr>
            </w:pPr>
            <w:r w:rsidRPr="00560252">
              <w:rPr>
                <w:i/>
              </w:rPr>
              <w:t>Corporations Act</w:t>
            </w:r>
          </w:p>
          <w:p w14:paraId="5360CF8D" w14:textId="77777777" w:rsidR="003F557C" w:rsidRDefault="003F557C" w:rsidP="00FB09AB">
            <w:pPr>
              <w:pStyle w:val="tabletext"/>
            </w:pPr>
            <w:r>
              <w:t xml:space="preserve">Criminal – 100 penalty units or imprisonment for 12 months, or both </w:t>
            </w:r>
          </w:p>
          <w:p w14:paraId="5360CF8E" w14:textId="77777777" w:rsidR="003F557C" w:rsidRDefault="003F557C" w:rsidP="00FB09AB">
            <w:pPr>
              <w:pStyle w:val="tabletext"/>
            </w:pPr>
            <w:r>
              <w:t>Civil penalty – $200,000 for an individual; or 1 million for a body corporate</w:t>
            </w:r>
          </w:p>
          <w:p w14:paraId="5360CF8F" w14:textId="77777777" w:rsidR="003F557C" w:rsidRPr="001B2A91" w:rsidRDefault="003F557C" w:rsidP="00FB09AB">
            <w:pPr>
              <w:pStyle w:val="tabletext"/>
              <w:rPr>
                <w:i/>
              </w:rPr>
            </w:pPr>
            <w:r w:rsidRPr="001B2A91">
              <w:rPr>
                <w:i/>
              </w:rPr>
              <w:lastRenderedPageBreak/>
              <w:t>CATSI Act</w:t>
            </w:r>
          </w:p>
          <w:p w14:paraId="5360CF90" w14:textId="77777777" w:rsidR="003F557C" w:rsidRDefault="003F557C" w:rsidP="00FB09AB">
            <w:pPr>
              <w:pStyle w:val="tabletext"/>
            </w:pPr>
            <w:r>
              <w:t xml:space="preserve">Criminal – 100 penalty units or imprisonment for 12 months, or both </w:t>
            </w:r>
          </w:p>
          <w:p w14:paraId="5360CF91" w14:textId="77777777" w:rsidR="003F557C" w:rsidRDefault="003F557C" w:rsidP="00FB09AB">
            <w:pPr>
              <w:pStyle w:val="tabletext"/>
            </w:pPr>
            <w:r>
              <w:t>Civil penalty – $200,000 for an individual</w:t>
            </w:r>
          </w:p>
        </w:tc>
      </w:tr>
      <w:tr w:rsidR="003F557C" w14:paraId="5360CF9A" w14:textId="77777777" w:rsidTr="00FB09AB">
        <w:tc>
          <w:tcPr>
            <w:tcW w:w="3275" w:type="dxa"/>
          </w:tcPr>
          <w:p w14:paraId="5360CF93" w14:textId="77777777" w:rsidR="003F557C" w:rsidRDefault="003F557C" w:rsidP="00FB09AB">
            <w:pPr>
              <w:pStyle w:val="tabletext"/>
            </w:pPr>
            <w:r>
              <w:lastRenderedPageBreak/>
              <w:t>Misrepresenting a DIN</w:t>
            </w:r>
          </w:p>
        </w:tc>
        <w:tc>
          <w:tcPr>
            <w:tcW w:w="3276" w:type="dxa"/>
          </w:tcPr>
          <w:p w14:paraId="5360CF94" w14:textId="77777777" w:rsidR="003F557C" w:rsidRPr="00560252" w:rsidRDefault="003F557C" w:rsidP="00FB09AB">
            <w:pPr>
              <w:pStyle w:val="tabletext"/>
              <w:rPr>
                <w:i/>
              </w:rPr>
            </w:pPr>
            <w:r w:rsidRPr="00560252">
              <w:rPr>
                <w:i/>
              </w:rPr>
              <w:t>Corporations Act</w:t>
            </w:r>
          </w:p>
          <w:p w14:paraId="5360CF95" w14:textId="77777777" w:rsidR="003F557C" w:rsidRDefault="003F557C" w:rsidP="00FB09AB">
            <w:pPr>
              <w:pStyle w:val="tabletext"/>
            </w:pPr>
            <w:r>
              <w:t xml:space="preserve">Criminal – 100 penalty units or imprisonment for 12 months, or both </w:t>
            </w:r>
          </w:p>
          <w:p w14:paraId="5360CF96" w14:textId="77777777" w:rsidR="003F557C" w:rsidRDefault="003F557C" w:rsidP="00FB09AB">
            <w:pPr>
              <w:pStyle w:val="tabletext"/>
            </w:pPr>
            <w:r>
              <w:t>Civil penalty – $200,000 for an individual; or 1 million for a body corporate</w:t>
            </w:r>
          </w:p>
          <w:p w14:paraId="5360CF97" w14:textId="77777777" w:rsidR="003F557C" w:rsidRPr="001B2A91" w:rsidRDefault="003F557C" w:rsidP="00FB09AB">
            <w:pPr>
              <w:pStyle w:val="tabletext"/>
              <w:rPr>
                <w:i/>
              </w:rPr>
            </w:pPr>
            <w:r w:rsidRPr="001B2A91">
              <w:rPr>
                <w:i/>
              </w:rPr>
              <w:t>CATSI Act</w:t>
            </w:r>
          </w:p>
          <w:p w14:paraId="5360CF98" w14:textId="77777777" w:rsidR="003F557C" w:rsidRDefault="003F557C" w:rsidP="00FB09AB">
            <w:pPr>
              <w:pStyle w:val="tabletext"/>
            </w:pPr>
            <w:r>
              <w:t xml:space="preserve">Criminal – 100 penalty units or imprisonment for 12 months, or both </w:t>
            </w:r>
          </w:p>
          <w:p w14:paraId="5360CF99" w14:textId="77777777" w:rsidR="003F557C" w:rsidRDefault="003F557C" w:rsidP="00FB09AB">
            <w:pPr>
              <w:pStyle w:val="tabletext"/>
              <w:rPr>
                <w:i/>
              </w:rPr>
            </w:pPr>
            <w:r>
              <w:t>Civil penalty – $200,000 for an individual</w:t>
            </w:r>
          </w:p>
        </w:tc>
      </w:tr>
      <w:tr w:rsidR="003F557C" w14:paraId="5360CFA0" w14:textId="77777777" w:rsidTr="00FB09AB">
        <w:tc>
          <w:tcPr>
            <w:tcW w:w="3275" w:type="dxa"/>
          </w:tcPr>
          <w:p w14:paraId="5360CF9B" w14:textId="77777777" w:rsidR="003F557C" w:rsidRDefault="003F557C" w:rsidP="00FB09AB">
            <w:pPr>
              <w:pStyle w:val="tabletext"/>
            </w:pPr>
            <w:r>
              <w:t>Accessorial liability (being involved in a contravention of one of the above obligations)</w:t>
            </w:r>
          </w:p>
        </w:tc>
        <w:tc>
          <w:tcPr>
            <w:tcW w:w="3276" w:type="dxa"/>
          </w:tcPr>
          <w:p w14:paraId="5360CF9C" w14:textId="77777777" w:rsidR="003F557C" w:rsidRPr="00560252" w:rsidRDefault="003F557C" w:rsidP="00FB09AB">
            <w:pPr>
              <w:pStyle w:val="tabletext"/>
              <w:rPr>
                <w:i/>
              </w:rPr>
            </w:pPr>
            <w:r w:rsidRPr="00560252">
              <w:rPr>
                <w:i/>
              </w:rPr>
              <w:t>Corporations Act</w:t>
            </w:r>
          </w:p>
          <w:p w14:paraId="5360CF9D" w14:textId="77777777" w:rsidR="003F557C" w:rsidRDefault="003F557C" w:rsidP="00FB09AB">
            <w:pPr>
              <w:pStyle w:val="tabletext"/>
            </w:pPr>
            <w:r>
              <w:t>Civil penalty – $200,000 for an individual; or 1 million for a body corporate</w:t>
            </w:r>
          </w:p>
          <w:p w14:paraId="5360CF9E" w14:textId="77777777" w:rsidR="003F557C" w:rsidRPr="001B2A91" w:rsidRDefault="003F557C" w:rsidP="00FB09AB">
            <w:pPr>
              <w:pStyle w:val="tabletext"/>
              <w:rPr>
                <w:i/>
              </w:rPr>
            </w:pPr>
            <w:r w:rsidRPr="001B2A91">
              <w:rPr>
                <w:i/>
              </w:rPr>
              <w:t>CATSI Act</w:t>
            </w:r>
          </w:p>
          <w:p w14:paraId="5360CF9F" w14:textId="77777777" w:rsidR="003F557C" w:rsidRDefault="003F557C" w:rsidP="00FB09AB">
            <w:pPr>
              <w:pStyle w:val="tabletext"/>
            </w:pPr>
            <w:r>
              <w:t>Civil penalty – $200,000 for an individual</w:t>
            </w:r>
          </w:p>
        </w:tc>
      </w:tr>
    </w:tbl>
    <w:p w14:paraId="5360CFA1" w14:textId="490A2937" w:rsidR="00FF4B19" w:rsidRDefault="00FF4B19" w:rsidP="003F557C">
      <w:pPr>
        <w:pStyle w:val="base-text-paragraph"/>
        <w:numPr>
          <w:ilvl w:val="0"/>
          <w:numId w:val="0"/>
        </w:numPr>
        <w:ind w:left="1134"/>
      </w:pPr>
      <w:r>
        <w:rPr>
          <w:rStyle w:val="Referencingstyle"/>
        </w:rPr>
        <w:t>[</w:t>
      </w:r>
      <w:r w:rsidR="004839A3">
        <w:rPr>
          <w:rStyle w:val="Referencingstyle"/>
        </w:rPr>
        <w:t>Schedule 2</w:t>
      </w:r>
      <w:r w:rsidR="00DC6221" w:rsidRPr="00DC6221">
        <w:rPr>
          <w:rStyle w:val="Referencingstyle"/>
        </w:rPr>
        <w:t xml:space="preserve"> </w:t>
      </w:r>
      <w:r w:rsidR="00DC6221">
        <w:rPr>
          <w:rStyle w:val="Referencingstyle"/>
        </w:rPr>
        <w:t>of the Treasury Laws Amendment (Registries Modernisation and Other Measures Bill</w:t>
      </w:r>
      <w:r w:rsidR="004839A3">
        <w:rPr>
          <w:rStyle w:val="Referencingstyle"/>
        </w:rPr>
        <w:t>, items 1</w:t>
      </w:r>
      <w:r w:rsidR="002C164B">
        <w:rPr>
          <w:rStyle w:val="Referencingstyle"/>
        </w:rPr>
        <w:t xml:space="preserve"> and 7,</w:t>
      </w:r>
      <w:r>
        <w:rPr>
          <w:rStyle w:val="Referencingstyle"/>
        </w:rPr>
        <w:t xml:space="preserve"> subsection 308-20(4) of the CATSI Act</w:t>
      </w:r>
      <w:r w:rsidR="00BE59E8">
        <w:rPr>
          <w:rStyle w:val="Referencingstyle"/>
        </w:rPr>
        <w:t xml:space="preserve"> and subsection 1263(4) of the Corporations Act</w:t>
      </w:r>
      <w:r>
        <w:rPr>
          <w:rStyle w:val="Referencingstyle"/>
        </w:rPr>
        <w:t>]</w:t>
      </w:r>
    </w:p>
    <w:p w14:paraId="5360CFA2" w14:textId="77777777" w:rsidR="003F557C" w:rsidRDefault="003F557C" w:rsidP="00100F62">
      <w:pPr>
        <w:pStyle w:val="base-text-paragraph"/>
      </w:pPr>
      <w:r>
        <w:t>The penalties applicable to each obligation are broadly consistent with current penalties applicable to comparable provisions in the Corporations Act and the CATSI Act respectively. However, the maximum penalty between the Acts varies for some offences. This reflects current differences in the penalty regime as between the two Acts. Similarly, the current civil penalty regime within the CATSI Act does not provide for pecuniary penalty orders to be made against corporations.</w:t>
      </w:r>
    </w:p>
    <w:p w14:paraId="5360CFA3" w14:textId="77777777" w:rsidR="003F557C" w:rsidRPr="006F4167" w:rsidRDefault="003F557C" w:rsidP="003F557C">
      <w:pPr>
        <w:pStyle w:val="base-text-paragraph"/>
        <w:rPr>
          <w:b/>
          <w:i/>
        </w:rPr>
      </w:pPr>
      <w:r>
        <w:t xml:space="preserve">Breaching either of the first two obligations is an offence of strict liability. The application of strict liability negates the requirement for the regulator or prosecutor (as the case maybe) to prove fault. </w:t>
      </w:r>
    </w:p>
    <w:p w14:paraId="5360CFA4" w14:textId="77777777" w:rsidR="003F557C" w:rsidRPr="006F4167" w:rsidRDefault="003F557C" w:rsidP="003F557C">
      <w:pPr>
        <w:pStyle w:val="base-text-paragraph"/>
        <w:rPr>
          <w:b/>
          <w:i/>
        </w:rPr>
      </w:pPr>
      <w:r>
        <w:t xml:space="preserve">The imposition of strict liability in relation to these obligations is necessary to ensure the integrity of the new DIN requirement which relates to corporate regulation. As already noted, the effectiveness of the new requirement necessitates that all directors apply for a DIN and therefore that there is strong deterrence for those who may seek to avoid the requirement. For similar reasons, the registrar may issue an </w:t>
      </w:r>
      <w:r>
        <w:lastRenderedPageBreak/>
        <w:t xml:space="preserve">infringement notice under the </w:t>
      </w:r>
      <w:r w:rsidRPr="006F4167">
        <w:rPr>
          <w:i/>
        </w:rPr>
        <w:t>Regulatory Powers (Standard Provisions) Act 2014</w:t>
      </w:r>
      <w:r>
        <w:t xml:space="preserve"> in relation to a breach of either obligation.</w:t>
      </w:r>
    </w:p>
    <w:p w14:paraId="5360CFA5" w14:textId="3292F4D0" w:rsidR="003F557C" w:rsidRPr="006F4167" w:rsidRDefault="003F557C" w:rsidP="003F557C">
      <w:pPr>
        <w:pStyle w:val="base-text-paragraph"/>
        <w:rPr>
          <w:b/>
          <w:i/>
        </w:rPr>
      </w:pPr>
      <w:r>
        <w:t>Civil penalties also apply to any person who is involved in a contravention of any of the obligations in Table 2.1. Sections 79 of the Corporations Act and 694-55 of the CATSI Act define when a person is involved in a contravention. Those sections provide that a person is so involved if, and only if, the person has aided, abetted, counselled, procured, induced or been knowingly concerned or a party to the contravention, or has conspired with others to effect the contravention. The maximum civil penalty that may be applied under the Corporations Act is $200,000 for an individual or $1 million for a body corporate.</w:t>
      </w:r>
      <w:r w:rsidR="00796A53">
        <w:t xml:space="preserve"> </w:t>
      </w:r>
    </w:p>
    <w:p w14:paraId="5360CFA6" w14:textId="77777777" w:rsidR="00796A53" w:rsidRDefault="003F557C" w:rsidP="0071319C">
      <w:pPr>
        <w:pStyle w:val="base-text-paragraph"/>
      </w:pPr>
      <w:r w:rsidRPr="00A74663">
        <w:t xml:space="preserve">The </w:t>
      </w:r>
      <w:r>
        <w:t xml:space="preserve">way the law gives effect to </w:t>
      </w:r>
      <w:r w:rsidRPr="00A74663">
        <w:t>penalties varies between the</w:t>
      </w:r>
      <w:r>
        <w:t xml:space="preserve"> Corporations Act and the CATSI</w:t>
      </w:r>
      <w:r w:rsidRPr="00A74663">
        <w:t xml:space="preserve"> Act. In the case of the Corporations Act, the penalties are given effect to by making the necessary amendments to existing subsection 1317E of the Corporations Act (in relation to civil penalties) and Schedule 3 of the Corporations Act (in relation to criminal penalt</w:t>
      </w:r>
      <w:r>
        <w:t xml:space="preserve">ies). In the case of the CATSI Act, the civil penalty provisions are given effect to by making necessary amendments to existing subsection 386-1 of the Act while criminal </w:t>
      </w:r>
      <w:r w:rsidRPr="00A74663">
        <w:t>penalties are specified in the pr</w:t>
      </w:r>
      <w:r>
        <w:t>ovisions that create the offence</w:t>
      </w:r>
      <w:r w:rsidRPr="00A74663">
        <w:t xml:space="preserve">. </w:t>
      </w:r>
    </w:p>
    <w:p w14:paraId="5360CFA7" w14:textId="77777777" w:rsidR="003F557C" w:rsidRDefault="003F557C" w:rsidP="003F557C">
      <w:pPr>
        <w:pStyle w:val="base-text-paragraph"/>
      </w:pPr>
      <w:r>
        <w:t xml:space="preserve">The principles set out in the </w:t>
      </w:r>
      <w:r w:rsidRPr="004C1DFE">
        <w:rPr>
          <w:i/>
        </w:rPr>
        <w:t>Guide to Framing Commonwealth Offences, Infringement Notices and Enforcement Powers</w:t>
      </w:r>
      <w:r>
        <w:rPr>
          <w:rStyle w:val="FootnoteReference"/>
        </w:rPr>
        <w:footnoteReference w:id="65"/>
      </w:r>
      <w:r>
        <w:t xml:space="preserve"> were considered in framing each offence in the new law and in determining applicable penalties.  </w:t>
      </w:r>
    </w:p>
    <w:p w14:paraId="5360CFA8" w14:textId="77777777" w:rsidR="003F557C" w:rsidRDefault="00166C79">
      <w:pPr>
        <w:pStyle w:val="Heading4"/>
      </w:pPr>
      <w:r>
        <w:t>Infringement notices</w:t>
      </w:r>
    </w:p>
    <w:p w14:paraId="5360CFA9" w14:textId="77777777" w:rsidR="00D86325" w:rsidRPr="0071319C" w:rsidRDefault="00BC078A" w:rsidP="00B328E9">
      <w:pPr>
        <w:pStyle w:val="base-text-paragraph"/>
      </w:pPr>
      <w:r w:rsidRPr="00D86325">
        <w:rPr>
          <w:lang w:val="en-GB"/>
        </w:rPr>
        <w:t xml:space="preserve">Breaches of the </w:t>
      </w:r>
      <w:r w:rsidR="00D86325" w:rsidRPr="00D86325">
        <w:rPr>
          <w:lang w:val="en-GB"/>
        </w:rPr>
        <w:t>two obligations relating</w:t>
      </w:r>
      <w:r w:rsidRPr="00D86325">
        <w:rPr>
          <w:lang w:val="en-GB"/>
        </w:rPr>
        <w:t xml:space="preserve"> to failing to apply for a DIN (see the first two items in Table 2.1) are also subject to the infringement notice regime in Part 5 of the </w:t>
      </w:r>
      <w:r w:rsidRPr="00D86325">
        <w:rPr>
          <w:i/>
          <w:lang w:val="en-US" w:eastAsia="en-US"/>
        </w:rPr>
        <w:t>Regulatory Powers (Standard Provisions) Act 2014</w:t>
      </w:r>
      <w:r w:rsidRPr="00D86325">
        <w:rPr>
          <w:lang w:val="en-GB"/>
        </w:rPr>
        <w:t>. Because the</w:t>
      </w:r>
      <w:r w:rsidR="00D86325">
        <w:rPr>
          <w:lang w:val="en-GB"/>
        </w:rPr>
        <w:t>se</w:t>
      </w:r>
      <w:r w:rsidR="00B76C76">
        <w:rPr>
          <w:lang w:val="en-GB"/>
        </w:rPr>
        <w:t xml:space="preserve"> obligations involve </w:t>
      </w:r>
      <w:r w:rsidRPr="00D86325">
        <w:rPr>
          <w:lang w:val="en-GB"/>
        </w:rPr>
        <w:t>timeframes and apply to a large number of people, minor breaches may be expected to occur with some frequency</w:t>
      </w:r>
      <w:r w:rsidR="00D86325" w:rsidRPr="00D86325">
        <w:rPr>
          <w:lang w:val="en-GB"/>
        </w:rPr>
        <w:t>.</w:t>
      </w:r>
      <w:r w:rsidR="00D86325">
        <w:rPr>
          <w:lang w:val="en-GB"/>
        </w:rPr>
        <w:t xml:space="preserve"> </w:t>
      </w:r>
      <w:r w:rsidR="00D86325" w:rsidRPr="008D02C7">
        <w:rPr>
          <w:lang w:val="en-GB"/>
        </w:rPr>
        <w:t>Infringement notices are an efficient way of dealing wit</w:t>
      </w:r>
      <w:r w:rsidR="00D86325">
        <w:rPr>
          <w:lang w:val="en-GB"/>
        </w:rPr>
        <w:t>h</w:t>
      </w:r>
      <w:r w:rsidR="00D86325" w:rsidRPr="008D02C7">
        <w:rPr>
          <w:lang w:val="en-GB"/>
        </w:rPr>
        <w:t xml:space="preserve"> minor breaches, as they avoid the significant delays and costs associated with court action.</w:t>
      </w:r>
    </w:p>
    <w:p w14:paraId="5360CFAA" w14:textId="77777777" w:rsidR="002C656F" w:rsidRPr="0071319C" w:rsidRDefault="00975D21" w:rsidP="00975D21">
      <w:pPr>
        <w:pStyle w:val="base-text-paragraph"/>
        <w:rPr>
          <w:sz w:val="20"/>
        </w:rPr>
      </w:pPr>
      <w:r>
        <w:rPr>
          <w:lang w:val="en-GB"/>
        </w:rPr>
        <w:t>Part 5 of the Regulatory Powers Act sets out a standard framework under which infringement notices can be issued. This includes important matters such as when an infringement notice may be issued and by whom, what matters must be set out in an infringement notice,</w:t>
      </w:r>
      <w:r w:rsidR="009D7D9D">
        <w:rPr>
          <w:lang w:val="en-GB"/>
        </w:rPr>
        <w:t xml:space="preserve"> the maximum penalty</w:t>
      </w:r>
      <w:r w:rsidR="009D7D9D">
        <w:rPr>
          <w:rStyle w:val="FootnoteReference"/>
          <w:lang w:val="en-GB"/>
        </w:rPr>
        <w:footnoteReference w:id="66"/>
      </w:r>
      <w:r w:rsidR="009D7D9D">
        <w:rPr>
          <w:lang w:val="en-GB"/>
        </w:rPr>
        <w:t xml:space="preserve"> that can imposed,</w:t>
      </w:r>
      <w:r>
        <w:rPr>
          <w:lang w:val="en-GB"/>
        </w:rPr>
        <w:t xml:space="preserve"> how an extension of time for </w:t>
      </w:r>
      <w:r>
        <w:rPr>
          <w:lang w:val="en-GB"/>
        </w:rPr>
        <w:lastRenderedPageBreak/>
        <w:t>payment may be requested, how and under what circumstances an infringement notice may be withdrawn, and the effect and consequences if a person pays the amount stated in the notice.</w:t>
      </w:r>
      <w:r w:rsidR="00550D92">
        <w:rPr>
          <w:lang w:val="en-GB"/>
        </w:rPr>
        <w:t xml:space="preserve"> </w:t>
      </w:r>
    </w:p>
    <w:p w14:paraId="5360CFAB" w14:textId="77777777" w:rsidR="00975D21" w:rsidRDefault="002C656F" w:rsidP="00975D21">
      <w:pPr>
        <w:pStyle w:val="base-text-paragraph"/>
        <w:rPr>
          <w:sz w:val="20"/>
        </w:rPr>
      </w:pPr>
      <w:r>
        <w:rPr>
          <w:lang w:val="en-GB"/>
        </w:rPr>
        <w:t>In order for the standard framework in the Regulatory Powers Act to operate the new law must set out who</w:t>
      </w:r>
      <w:r w:rsidR="00550D92">
        <w:rPr>
          <w:lang w:val="en-GB"/>
        </w:rPr>
        <w:t xml:space="preserve"> can</w:t>
      </w:r>
      <w:r w:rsidR="00D0446C">
        <w:rPr>
          <w:lang w:val="en-GB"/>
        </w:rPr>
        <w:t xml:space="preserve"> act as</w:t>
      </w:r>
      <w:r w:rsidR="00975D21">
        <w:rPr>
          <w:lang w:val="en-GB"/>
        </w:rPr>
        <w:t xml:space="preserve"> an </w:t>
      </w:r>
      <w:r w:rsidR="00975D21">
        <w:rPr>
          <w:b/>
          <w:bCs/>
          <w:i/>
          <w:iCs/>
          <w:lang w:val="en-GB"/>
        </w:rPr>
        <w:t>infringement officer</w:t>
      </w:r>
      <w:r w:rsidR="00975D21">
        <w:rPr>
          <w:lang w:val="en-GB"/>
        </w:rPr>
        <w:t xml:space="preserve"> and as a </w:t>
      </w:r>
      <w:r w:rsidR="00975D21">
        <w:rPr>
          <w:b/>
          <w:bCs/>
          <w:i/>
          <w:iCs/>
          <w:lang w:val="en-GB"/>
        </w:rPr>
        <w:t>chief executive</w:t>
      </w:r>
      <w:r w:rsidR="00975D21">
        <w:rPr>
          <w:lang w:val="en-GB"/>
        </w:rPr>
        <w:t xml:space="preserve"> </w:t>
      </w:r>
      <w:r>
        <w:rPr>
          <w:lang w:val="en-GB"/>
        </w:rPr>
        <w:t>for the purposes of the standard framework. In this respect, the new law provides as follows:</w:t>
      </w:r>
    </w:p>
    <w:p w14:paraId="5360CFAC" w14:textId="77777777" w:rsidR="00975D21" w:rsidRDefault="00741D9B" w:rsidP="00975D21">
      <w:pPr>
        <w:pStyle w:val="dotpoint"/>
      </w:pPr>
      <w:r>
        <w:t>a</w:t>
      </w:r>
      <w:r w:rsidR="00975D21">
        <w:t xml:space="preserve">n </w:t>
      </w:r>
      <w:r w:rsidR="00975D21">
        <w:rPr>
          <w:b/>
          <w:bCs/>
          <w:i/>
          <w:iCs/>
        </w:rPr>
        <w:t>infringement officer</w:t>
      </w:r>
      <w:r w:rsidR="00975D21">
        <w:t xml:space="preserve"> </w:t>
      </w:r>
      <w:r w:rsidR="00F26C81">
        <w:t xml:space="preserve">is each member of the staff of the </w:t>
      </w:r>
      <w:r w:rsidR="00301817">
        <w:t>r</w:t>
      </w:r>
      <w:r w:rsidR="00F26C81">
        <w:t>egistrar who holds, or is acting in, an office or position that is equivalent to an SES employee</w:t>
      </w:r>
      <w:r>
        <w:t>;</w:t>
      </w:r>
    </w:p>
    <w:p w14:paraId="5360CFAD" w14:textId="40D5C531" w:rsidR="003F557C" w:rsidRPr="001B781B" w:rsidRDefault="00741D9B" w:rsidP="0071319C">
      <w:pPr>
        <w:pStyle w:val="dotpoint"/>
        <w:rPr>
          <w:rStyle w:val="Referencingstyle"/>
          <w:b w:val="0"/>
          <w:i w:val="0"/>
          <w:sz w:val="22"/>
        </w:rPr>
      </w:pPr>
      <w:proofErr w:type="gramStart"/>
      <w:r>
        <w:rPr>
          <w:color w:val="000000"/>
        </w:rPr>
        <w:t>t</w:t>
      </w:r>
      <w:r w:rsidR="00F26C81">
        <w:rPr>
          <w:color w:val="000000"/>
        </w:rPr>
        <w:t>he</w:t>
      </w:r>
      <w:proofErr w:type="gramEnd"/>
      <w:r w:rsidR="00975D21">
        <w:t xml:space="preserve"> </w:t>
      </w:r>
      <w:r w:rsidR="00975D21">
        <w:rPr>
          <w:b/>
          <w:bCs/>
          <w:i/>
          <w:iCs/>
        </w:rPr>
        <w:t>chief executive</w:t>
      </w:r>
      <w:r w:rsidR="00975D21">
        <w:t xml:space="preserve"> is </w:t>
      </w:r>
      <w:r w:rsidR="00F26C81">
        <w:t>the person specified as the relevant chief executive in the</w:t>
      </w:r>
      <w:r w:rsidR="00301817">
        <w:t xml:space="preserve"> r</w:t>
      </w:r>
      <w:r w:rsidR="00F26C81">
        <w:t xml:space="preserve">egistrar’s instrument of appointment under the new law; or if there is no person specified—the </w:t>
      </w:r>
      <w:r w:rsidR="00301817">
        <w:t>r</w:t>
      </w:r>
      <w:r w:rsidR="00F26C81">
        <w:t>egistrar.</w:t>
      </w:r>
      <w:r w:rsidR="00796A53">
        <w:t xml:space="preserve"> </w:t>
      </w:r>
      <w:r w:rsidR="00F26C81">
        <w:rPr>
          <w:rStyle w:val="Referencingstyle"/>
        </w:rPr>
        <w:t xml:space="preserve">[Schedule </w:t>
      </w:r>
      <w:r w:rsidR="00F8649B">
        <w:rPr>
          <w:rStyle w:val="Referencingstyle"/>
        </w:rPr>
        <w:t>2</w:t>
      </w:r>
      <w:r w:rsidR="00515BD4" w:rsidRPr="00515BD4">
        <w:rPr>
          <w:rStyle w:val="Referencingstyle"/>
        </w:rPr>
        <w:t xml:space="preserve"> </w:t>
      </w:r>
      <w:r w:rsidR="00515BD4">
        <w:rPr>
          <w:rStyle w:val="Referencingstyle"/>
        </w:rPr>
        <w:t>of the Treasury Laws Amendment (Registries Modernisation and Other Measures Bill</w:t>
      </w:r>
      <w:r w:rsidR="00F26C81">
        <w:rPr>
          <w:rStyle w:val="Referencingstyle"/>
        </w:rPr>
        <w:t>, i</w:t>
      </w:r>
      <w:r w:rsidR="00F26C81" w:rsidRPr="00375F1D">
        <w:rPr>
          <w:rStyle w:val="Referencingstyle"/>
        </w:rPr>
        <w:t>tem</w:t>
      </w:r>
      <w:r w:rsidR="00F8649B">
        <w:rPr>
          <w:rStyle w:val="Referencingstyle"/>
        </w:rPr>
        <w:t>s</w:t>
      </w:r>
      <w:r w:rsidR="00F26C81" w:rsidRPr="00375F1D">
        <w:rPr>
          <w:rStyle w:val="Referencingstyle"/>
        </w:rPr>
        <w:t xml:space="preserve"> </w:t>
      </w:r>
      <w:r w:rsidR="00F8649B">
        <w:rPr>
          <w:rStyle w:val="Referencingstyle"/>
        </w:rPr>
        <w:t>1 and 7</w:t>
      </w:r>
      <w:r w:rsidR="00F26C81" w:rsidRPr="00375F1D">
        <w:rPr>
          <w:rStyle w:val="Referencingstyle"/>
        </w:rPr>
        <w:t xml:space="preserve">, sections </w:t>
      </w:r>
      <w:r w:rsidR="00F8649B">
        <w:rPr>
          <w:rStyle w:val="Referencingstyle"/>
        </w:rPr>
        <w:t>308-35</w:t>
      </w:r>
      <w:r w:rsidR="00F26C81" w:rsidRPr="00375F1D">
        <w:rPr>
          <w:rStyle w:val="Referencingstyle"/>
        </w:rPr>
        <w:t xml:space="preserve"> of</w:t>
      </w:r>
      <w:r w:rsidR="00F8649B">
        <w:rPr>
          <w:rStyle w:val="Referencingstyle"/>
        </w:rPr>
        <w:t xml:space="preserve"> the CATSI</w:t>
      </w:r>
      <w:r w:rsidR="00F26C81" w:rsidRPr="00375F1D">
        <w:rPr>
          <w:rStyle w:val="Referencingstyle"/>
        </w:rPr>
        <w:t xml:space="preserve"> Act </w:t>
      </w:r>
      <w:r w:rsidR="00F8649B">
        <w:rPr>
          <w:rStyle w:val="Referencingstyle"/>
        </w:rPr>
        <w:t>and section 1236 of the Corporations Act</w:t>
      </w:r>
      <w:r w:rsidR="00F26C81" w:rsidRPr="00375F1D">
        <w:rPr>
          <w:rStyle w:val="Referencingstyle"/>
        </w:rPr>
        <w:t>]</w:t>
      </w:r>
    </w:p>
    <w:p w14:paraId="5360CFAE" w14:textId="77777777" w:rsidR="00E778A4" w:rsidRDefault="00E778A4" w:rsidP="00B17774">
      <w:pPr>
        <w:pStyle w:val="Heading2"/>
      </w:pPr>
      <w:r>
        <w:t>Consequential amendments</w:t>
      </w:r>
    </w:p>
    <w:p w14:paraId="5360CFAF" w14:textId="62FDE2DF" w:rsidR="00796A53" w:rsidRDefault="00796A53" w:rsidP="0071319C">
      <w:pPr>
        <w:pStyle w:val="base-text-paragraph"/>
      </w:pPr>
      <w:r>
        <w:rPr>
          <w:lang w:val="en-GB"/>
        </w:rPr>
        <w:t xml:space="preserve">Definitions are inserted into sections 9 of the Corporations Act and 700-1 of the CATSI Act, which are the main definitions section of those Acts. The definitions support the operation and readability of the new law. </w:t>
      </w:r>
      <w:r>
        <w:rPr>
          <w:rStyle w:val="Referencingstyle"/>
        </w:rPr>
        <w:t>[</w:t>
      </w:r>
      <w:r w:rsidR="00AC2E56">
        <w:rPr>
          <w:rStyle w:val="Referencingstyle"/>
        </w:rPr>
        <w:t>S</w:t>
      </w:r>
      <w:r w:rsidR="0092724C">
        <w:rPr>
          <w:rStyle w:val="Referencingstyle"/>
        </w:rPr>
        <w:t>chedule 2</w:t>
      </w:r>
      <w:r w:rsidR="00515BD4" w:rsidRPr="00515BD4">
        <w:rPr>
          <w:rStyle w:val="Referencingstyle"/>
        </w:rPr>
        <w:t xml:space="preserve"> </w:t>
      </w:r>
      <w:r w:rsidR="00515BD4">
        <w:rPr>
          <w:rStyle w:val="Referencingstyle"/>
        </w:rPr>
        <w:t>of the Treasury Laws Amendment (Registries Modernisation and Other Measures Bill,</w:t>
      </w:r>
      <w:r w:rsidR="0092724C">
        <w:rPr>
          <w:rStyle w:val="Referencingstyle"/>
        </w:rPr>
        <w:t xml:space="preserve"> items 4</w:t>
      </w:r>
      <w:r w:rsidR="00AC2E56">
        <w:rPr>
          <w:rStyle w:val="Referencingstyle"/>
        </w:rPr>
        <w:t xml:space="preserve"> and 6,</w:t>
      </w:r>
      <w:r>
        <w:rPr>
          <w:rStyle w:val="Referencingstyle"/>
        </w:rPr>
        <w:t xml:space="preserve"> </w:t>
      </w:r>
      <w:r w:rsidR="0092724C">
        <w:rPr>
          <w:rStyle w:val="Referencingstyle"/>
        </w:rPr>
        <w:t>section 700-1</w:t>
      </w:r>
      <w:r>
        <w:rPr>
          <w:rStyle w:val="Referencingstyle"/>
        </w:rPr>
        <w:t xml:space="preserve"> of the</w:t>
      </w:r>
      <w:r w:rsidR="0092724C">
        <w:rPr>
          <w:rStyle w:val="Referencingstyle"/>
        </w:rPr>
        <w:t xml:space="preserve"> </w:t>
      </w:r>
      <w:r w:rsidR="00AC2E56">
        <w:rPr>
          <w:rStyle w:val="Referencingstyle"/>
        </w:rPr>
        <w:t>CATSI Act</w:t>
      </w:r>
      <w:r>
        <w:rPr>
          <w:rStyle w:val="Referencingstyle"/>
        </w:rPr>
        <w:t xml:space="preserve"> and subsection </w:t>
      </w:r>
      <w:r w:rsidR="00AC2E56">
        <w:rPr>
          <w:rStyle w:val="Referencingstyle"/>
        </w:rPr>
        <w:t>9 of the Corporations Act</w:t>
      </w:r>
      <w:r>
        <w:rPr>
          <w:rStyle w:val="Referencingstyle"/>
        </w:rPr>
        <w:t>]</w:t>
      </w:r>
    </w:p>
    <w:p w14:paraId="5360CFB0" w14:textId="77777777" w:rsidR="00E778A4" w:rsidRDefault="00333D65" w:rsidP="00B17774">
      <w:pPr>
        <w:pStyle w:val="Heading2"/>
      </w:pPr>
      <w:r>
        <w:t>Commencement, a</w:t>
      </w:r>
      <w:r w:rsidR="00EE1858">
        <w:t>pplication</w:t>
      </w:r>
      <w:r>
        <w:t xml:space="preserve"> and transitional provisions</w:t>
      </w:r>
    </w:p>
    <w:p w14:paraId="5360CFB1" w14:textId="77777777" w:rsidR="00333D65" w:rsidRDefault="00333D65" w:rsidP="0071319C">
      <w:pPr>
        <w:pStyle w:val="Heading4"/>
      </w:pPr>
      <w:r>
        <w:t>Commencement</w:t>
      </w:r>
    </w:p>
    <w:p w14:paraId="5360CFB2" w14:textId="0F921E51" w:rsidR="00333D65" w:rsidRDefault="00333D65" w:rsidP="0071319C">
      <w:pPr>
        <w:pStyle w:val="base-text-paragraph"/>
      </w:pPr>
      <w:r>
        <w:t xml:space="preserve">The </w:t>
      </w:r>
      <w:r w:rsidRPr="0071319C">
        <w:rPr>
          <w:lang w:val="en-GB"/>
        </w:rPr>
        <w:t>new</w:t>
      </w:r>
      <w:r>
        <w:t xml:space="preserve"> requirement commences on a date set by proclamation. This mechanism is used so that a commencement date can be set when administrative arrangements supporting the new regime are in place. These arra</w:t>
      </w:r>
      <w:r w:rsidR="00CF5BE1">
        <w:t>ngements include the use</w:t>
      </w:r>
      <w:r>
        <w:t xml:space="preserve"> of a new information technology platform and the development of systems and process to support the new requirement’s operation. However, if any provisions do not commence within 24 months of the Bills receiving Royal Assent, they automatically commence the day after the end of that period. Automatic commencement after a designated period is a standard feature of provisions that provide </w:t>
      </w:r>
      <w:r>
        <w:lastRenderedPageBreak/>
        <w:t xml:space="preserve">for commencement by proclamation. Automatic commencement ensures that laws do not sit dormant on the statute books indefinitely. </w:t>
      </w:r>
      <w:r>
        <w:rPr>
          <w:rStyle w:val="Referencingstyle"/>
        </w:rPr>
        <w:t>[</w:t>
      </w:r>
      <w:r w:rsidR="00D0103D">
        <w:rPr>
          <w:rStyle w:val="Referencingstyle"/>
        </w:rPr>
        <w:t xml:space="preserve">Section 2 of the </w:t>
      </w:r>
      <w:r w:rsidR="003C2678">
        <w:rPr>
          <w:rStyle w:val="Referencingstyle"/>
        </w:rPr>
        <w:t>of the Treasury Laws Amendment (Registries Modernisation and Other Measures Bill</w:t>
      </w:r>
      <w:r w:rsidR="003C2678" w:rsidDel="003C2678">
        <w:rPr>
          <w:rStyle w:val="Referencingstyle"/>
        </w:rPr>
        <w:t xml:space="preserve"> </w:t>
      </w:r>
      <w:r w:rsidRPr="00375F1D">
        <w:rPr>
          <w:rStyle w:val="Referencingstyle"/>
        </w:rPr>
        <w:t>]</w:t>
      </w:r>
    </w:p>
    <w:p w14:paraId="5360CFB3" w14:textId="77777777" w:rsidR="00333D65" w:rsidRDefault="00333D65" w:rsidP="0071319C">
      <w:pPr>
        <w:pStyle w:val="Heading4"/>
      </w:pPr>
      <w:r>
        <w:t>Application</w:t>
      </w:r>
    </w:p>
    <w:p w14:paraId="5360CFB4" w14:textId="398DA74D" w:rsidR="00333D65" w:rsidRDefault="00333D65" w:rsidP="0071319C">
      <w:pPr>
        <w:pStyle w:val="base-text-paragraph"/>
      </w:pPr>
      <w:r>
        <w:t xml:space="preserve">Each </w:t>
      </w:r>
      <w:r w:rsidRPr="0071319C">
        <w:rPr>
          <w:lang w:val="en-GB"/>
        </w:rPr>
        <w:t>function</w:t>
      </w:r>
      <w:r>
        <w:t xml:space="preserve"> and power in the new law does not apply until the function or power is assigned to the registrar. This means that the DIN requirement will not apply until</w:t>
      </w:r>
      <w:r w:rsidR="004C7616">
        <w:t xml:space="preserve"> the</w:t>
      </w:r>
      <w:r w:rsidR="00716025">
        <w:t xml:space="preserve"> day</w:t>
      </w:r>
      <w:r w:rsidR="004C7616">
        <w:t xml:space="preserve"> (the application day)</w:t>
      </w:r>
      <w:r w:rsidR="00716025">
        <w:t xml:space="preserve"> the Minister appoints </w:t>
      </w:r>
      <w:r>
        <w:t>a registrar to administrator</w:t>
      </w:r>
      <w:r w:rsidR="006A30D8">
        <w:t xml:space="preserve"> the new requirement</w:t>
      </w:r>
      <w:r>
        <w:t>.</w:t>
      </w:r>
      <w:r w:rsidR="00BF2238">
        <w:t xml:space="preserve"> </w:t>
      </w:r>
      <w:r w:rsidR="00BF2238">
        <w:rPr>
          <w:rStyle w:val="Referencingstyle"/>
        </w:rPr>
        <w:t>[</w:t>
      </w:r>
      <w:r w:rsidR="00C663D8">
        <w:rPr>
          <w:rStyle w:val="Referencingstyle"/>
        </w:rPr>
        <w:t>Schedule 2</w:t>
      </w:r>
      <w:r w:rsidR="003C2678" w:rsidRPr="003C2678">
        <w:rPr>
          <w:rStyle w:val="Referencingstyle"/>
        </w:rPr>
        <w:t xml:space="preserve"> </w:t>
      </w:r>
      <w:r w:rsidR="003C2678">
        <w:rPr>
          <w:rStyle w:val="Referencingstyle"/>
        </w:rPr>
        <w:t>of the Treasury Laws Amendment (Registries Modernisation and Other Measures Bill</w:t>
      </w:r>
      <w:r w:rsidR="00C663D8">
        <w:rPr>
          <w:rStyle w:val="Referencingstyle"/>
        </w:rPr>
        <w:t xml:space="preserve">, items 5 and 9, </w:t>
      </w:r>
      <w:proofErr w:type="spellStart"/>
      <w:r w:rsidR="00C663D8">
        <w:rPr>
          <w:rStyle w:val="Referencingstyle"/>
        </w:rPr>
        <w:t>subitem</w:t>
      </w:r>
      <w:proofErr w:type="spellEnd"/>
      <w:r w:rsidR="00C663D8">
        <w:rPr>
          <w:rStyle w:val="Referencingstyle"/>
        </w:rPr>
        <w:t xml:space="preserve"> 5(</w:t>
      </w:r>
      <w:r w:rsidR="003F198D">
        <w:rPr>
          <w:rStyle w:val="Referencingstyle"/>
        </w:rPr>
        <w:t>1</w:t>
      </w:r>
      <w:r w:rsidR="00C663D8">
        <w:rPr>
          <w:rStyle w:val="Referencingstyle"/>
        </w:rPr>
        <w:t xml:space="preserve">) of the Bill and subsection </w:t>
      </w:r>
      <w:r w:rsidR="003F198D">
        <w:rPr>
          <w:rStyle w:val="Referencingstyle"/>
        </w:rPr>
        <w:t>1645(1</w:t>
      </w:r>
      <w:r w:rsidR="00C663D8">
        <w:rPr>
          <w:rStyle w:val="Referencingstyle"/>
        </w:rPr>
        <w:t>) of the Corporations Act</w:t>
      </w:r>
      <w:r w:rsidR="00BF2238" w:rsidRPr="00375F1D">
        <w:rPr>
          <w:rStyle w:val="Referencingstyle"/>
        </w:rPr>
        <w:t>]</w:t>
      </w:r>
    </w:p>
    <w:p w14:paraId="5360CFB5" w14:textId="77777777" w:rsidR="00BF2238" w:rsidRDefault="00BF2238" w:rsidP="0071319C">
      <w:pPr>
        <w:pStyle w:val="Heading4"/>
      </w:pPr>
      <w:r>
        <w:t>Transitional arrangements</w:t>
      </w:r>
    </w:p>
    <w:p w14:paraId="5360CFB6" w14:textId="4333B164" w:rsidR="00716025" w:rsidRDefault="00716025" w:rsidP="0071319C">
      <w:pPr>
        <w:pStyle w:val="base-text-paragraph"/>
      </w:pPr>
      <w:bookmarkStart w:id="32" w:name="_Ref525397335"/>
      <w:r>
        <w:t>The new law provides a person who is a director immediately</w:t>
      </w:r>
      <w:r w:rsidR="004C7616">
        <w:t xml:space="preserve"> before the application day</w:t>
      </w:r>
      <w:r>
        <w:t xml:space="preserve"> with 15 months to apply for a DIN rather than the 28 day period set out in paragraph </w:t>
      </w:r>
      <w:r w:rsidR="004C7616">
        <w:fldChar w:fldCharType="begin"/>
      </w:r>
      <w:r w:rsidR="004C7616">
        <w:instrText xml:space="preserve"> REF _Ref525255916 \n \h </w:instrText>
      </w:r>
      <w:r w:rsidR="004C7616">
        <w:fldChar w:fldCharType="separate"/>
      </w:r>
      <w:r w:rsidR="00F3492D">
        <w:t>2.35</w:t>
      </w:r>
      <w:r w:rsidR="004C7616">
        <w:fldChar w:fldCharType="end"/>
      </w:r>
      <w:r>
        <w:t xml:space="preserve"> of this memorandum. This transitional period is designed to </w:t>
      </w:r>
      <w:r w:rsidRPr="00EE1858">
        <w:t>provide time for existing directors to bec</w:t>
      </w:r>
      <w:r w:rsidR="004C7616">
        <w:t xml:space="preserve">ome familiar with the new requirement and for any information or </w:t>
      </w:r>
      <w:r w:rsidRPr="00EE1858">
        <w:t>awareness campaig</w:t>
      </w:r>
      <w:r w:rsidR="004C7616">
        <w:t>ns in relation to it</w:t>
      </w:r>
      <w:r w:rsidRPr="00EE1858">
        <w:t xml:space="preserve"> to take effect.</w:t>
      </w:r>
      <w:r>
        <w:t xml:space="preserve"> </w:t>
      </w:r>
      <w:r w:rsidR="00796A53">
        <w:rPr>
          <w:rStyle w:val="Referencingstyle"/>
        </w:rPr>
        <w:t>[</w:t>
      </w:r>
      <w:r w:rsidR="00DA5462">
        <w:rPr>
          <w:rStyle w:val="Referencingstyle"/>
        </w:rPr>
        <w:t>Schedule 2</w:t>
      </w:r>
      <w:r w:rsidR="00786B25" w:rsidRPr="00786B25">
        <w:rPr>
          <w:rStyle w:val="Referencingstyle"/>
        </w:rPr>
        <w:t xml:space="preserve"> </w:t>
      </w:r>
      <w:r w:rsidR="00786B25">
        <w:rPr>
          <w:rStyle w:val="Referencingstyle"/>
        </w:rPr>
        <w:t>of the Treasury Laws Amendment (Registries Modernisation and Other Measures Bill</w:t>
      </w:r>
      <w:r w:rsidR="00DA5462">
        <w:rPr>
          <w:rStyle w:val="Referencingstyle"/>
        </w:rPr>
        <w:t xml:space="preserve">, items 5 and 9, </w:t>
      </w:r>
      <w:proofErr w:type="spellStart"/>
      <w:r w:rsidR="00DA5462">
        <w:rPr>
          <w:rStyle w:val="Referencingstyle"/>
        </w:rPr>
        <w:t>subitem</w:t>
      </w:r>
      <w:proofErr w:type="spellEnd"/>
      <w:r w:rsidR="00DA5462">
        <w:rPr>
          <w:rStyle w:val="Referencingstyle"/>
        </w:rPr>
        <w:t xml:space="preserve"> 5(2) of the Bill and subsection 1645(2) of the Corporations Act</w:t>
      </w:r>
      <w:r w:rsidR="00796A53" w:rsidRPr="00375F1D">
        <w:rPr>
          <w:rStyle w:val="Referencingstyle"/>
        </w:rPr>
        <w:t>]</w:t>
      </w:r>
      <w:bookmarkEnd w:id="32"/>
    </w:p>
    <w:p w14:paraId="595B08F5" w14:textId="77777777" w:rsidR="00255832" w:rsidRDefault="00255832" w:rsidP="00B17774">
      <w:pPr>
        <w:sectPr w:rsidR="00255832" w:rsidSect="00E74E50">
          <w:footerReference w:type="even" r:id="rId35"/>
          <w:footerReference w:type="default" r:id="rId36"/>
          <w:footerReference w:type="first" r:id="rId37"/>
          <w:type w:val="oddPage"/>
          <w:pgSz w:w="9979" w:h="14175" w:code="9"/>
          <w:pgMar w:top="567" w:right="1134" w:bottom="567" w:left="1134" w:header="709" w:footer="709" w:gutter="0"/>
          <w:cols w:space="708"/>
          <w:titlePg/>
          <w:docGrid w:linePitch="360"/>
        </w:sectPr>
      </w:pPr>
    </w:p>
    <w:p w14:paraId="14737FF7" w14:textId="505DAE6B" w:rsidR="00255832" w:rsidRDefault="00255832" w:rsidP="006B273B">
      <w:pPr>
        <w:pStyle w:val="ChapterHeading"/>
        <w:numPr>
          <w:ilvl w:val="0"/>
          <w:numId w:val="0"/>
        </w:numPr>
      </w:pPr>
      <w:bookmarkStart w:id="33" w:name="_Toc527364004"/>
      <w:r>
        <w:lastRenderedPageBreak/>
        <w:t>Appendix</w:t>
      </w:r>
      <w:r w:rsidR="006B273B">
        <w:tab/>
      </w:r>
      <w:r w:rsidR="00900FE7">
        <w:t>Consequential amendments</w:t>
      </w:r>
      <w:r w:rsidR="00936FF1">
        <w:rPr>
          <w:rStyle w:val="FootnoteReference"/>
        </w:rPr>
        <w:footnoteReference w:id="67"/>
      </w:r>
      <w:bookmarkEnd w:id="33"/>
    </w:p>
    <w:p w14:paraId="3A0B32B1" w14:textId="70236E4C" w:rsidR="00255832" w:rsidRDefault="00255832" w:rsidP="006B273B">
      <w:pPr>
        <w:pStyle w:val="TableHeadingoutsidetable"/>
        <w:numPr>
          <w:ilvl w:val="0"/>
          <w:numId w:val="0"/>
        </w:numPr>
        <w:ind w:left="1134"/>
      </w:pPr>
      <w:r>
        <w:t xml:space="preserve">Table A1 </w:t>
      </w:r>
      <w:r w:rsidR="00CC1873">
        <w:t>–</w:t>
      </w:r>
      <w:r w:rsidR="0085697B">
        <w:t xml:space="preserve"> Amendments</w:t>
      </w:r>
      <w:r w:rsidR="00CC1873">
        <w:t xml:space="preserve"> transferring functions and powers to the registrar</w:t>
      </w:r>
    </w:p>
    <w:p w14:paraId="5B23F48B" w14:textId="43492D45" w:rsidR="00E85468" w:rsidRPr="00E85468" w:rsidRDefault="00C0030A" w:rsidP="006B273B">
      <w:pPr>
        <w:pStyle w:val="TableHeadingoutsidetable"/>
        <w:numPr>
          <w:ilvl w:val="0"/>
          <w:numId w:val="0"/>
        </w:numPr>
        <w:ind w:left="1134"/>
        <w:rPr>
          <w:i/>
        </w:rPr>
      </w:pPr>
      <w:r>
        <w:rPr>
          <w:i/>
        </w:rPr>
        <w:t>First tranche</w:t>
      </w:r>
      <w:r w:rsidR="00E85468" w:rsidRPr="00E85468">
        <w:rPr>
          <w:i/>
        </w:rPr>
        <w:t xml:space="preserve"> </w:t>
      </w:r>
      <w:r>
        <w:rPr>
          <w:i/>
        </w:rPr>
        <w:t xml:space="preserve">of exposure draft </w:t>
      </w:r>
      <w:r w:rsidR="00E85468" w:rsidRPr="00E85468">
        <w:rPr>
          <w:i/>
        </w:rPr>
        <w:t>amendments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742"/>
      </w:tblGrid>
      <w:tr w:rsidR="0085697B" w:rsidRPr="004666B8" w14:paraId="27465855" w14:textId="77777777" w:rsidTr="0085697B">
        <w:trPr>
          <w:tblHeader/>
        </w:trPr>
        <w:tc>
          <w:tcPr>
            <w:tcW w:w="809" w:type="dxa"/>
          </w:tcPr>
          <w:p w14:paraId="0973DDB2" w14:textId="0E102B38" w:rsidR="0085697B" w:rsidRPr="004666B8" w:rsidRDefault="0085697B" w:rsidP="0085697B">
            <w:pPr>
              <w:pStyle w:val="tableheaderwithintable"/>
              <w:rPr>
                <w:lang w:val="en-US" w:eastAsia="en-US"/>
              </w:rPr>
            </w:pPr>
            <w:r>
              <w:rPr>
                <w:lang w:val="en-US" w:eastAsia="en-US"/>
              </w:rPr>
              <w:t>Item</w:t>
            </w:r>
            <w:r w:rsidR="00332145">
              <w:rPr>
                <w:rStyle w:val="FootnoteReference"/>
                <w:lang w:val="en-US" w:eastAsia="en-US"/>
              </w:rPr>
              <w:footnoteReference w:id="68"/>
            </w:r>
          </w:p>
        </w:tc>
        <w:tc>
          <w:tcPr>
            <w:tcW w:w="5742" w:type="dxa"/>
          </w:tcPr>
          <w:p w14:paraId="3D0C9895" w14:textId="77777777" w:rsidR="0085697B" w:rsidRPr="004666B8" w:rsidRDefault="0085697B" w:rsidP="0085697B">
            <w:pPr>
              <w:pStyle w:val="tableheaderwithintable"/>
              <w:rPr>
                <w:lang w:val="en-US" w:eastAsia="en-US"/>
              </w:rPr>
            </w:pPr>
            <w:r>
              <w:rPr>
                <w:lang w:val="en-US" w:eastAsia="en-US"/>
              </w:rPr>
              <w:t>Provision</w:t>
            </w:r>
          </w:p>
        </w:tc>
      </w:tr>
      <w:tr w:rsidR="00947E92" w:rsidRPr="003B345D" w14:paraId="1D7C097C"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7A68B1DB" w14:textId="77777777" w:rsidR="00947E92" w:rsidRPr="006B273B" w:rsidRDefault="00947E92" w:rsidP="003B345D">
            <w:pPr>
              <w:pStyle w:val="tabletext"/>
              <w:rPr>
                <w:b/>
              </w:rPr>
            </w:pPr>
            <w:r w:rsidRPr="006B273B">
              <w:rPr>
                <w:b/>
              </w:rPr>
              <w:t>ABN Act</w:t>
            </w:r>
          </w:p>
        </w:tc>
      </w:tr>
      <w:tr w:rsidR="003B345D" w:rsidRPr="003B345D" w14:paraId="25F89DB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A849551" w14:textId="77777777" w:rsidR="003B345D" w:rsidRPr="003B345D" w:rsidRDefault="003B345D" w:rsidP="003B345D">
            <w:pPr>
              <w:pStyle w:val="tabletext"/>
              <w:rPr>
                <w:lang w:val="en-US" w:eastAsia="en-US"/>
              </w:rPr>
            </w:pPr>
            <w:r w:rsidRPr="003B345D">
              <w:rPr>
                <w:lang w:val="en-US" w:eastAsia="en-US"/>
              </w:rPr>
              <w:t>18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B6111E8" w14:textId="17E953A8" w:rsidR="003B345D" w:rsidRPr="003B345D" w:rsidRDefault="00344688" w:rsidP="003B345D">
            <w:pPr>
              <w:pStyle w:val="tabletext"/>
            </w:pPr>
            <w:r>
              <w:t xml:space="preserve">Act </w:t>
            </w:r>
            <w:r w:rsidR="003B345D" w:rsidRPr="003B345D">
              <w:t>Title</w:t>
            </w:r>
          </w:p>
        </w:tc>
      </w:tr>
      <w:tr w:rsidR="003B345D" w:rsidRPr="003B345D" w14:paraId="02A0905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DC7444E" w14:textId="77777777" w:rsidR="003B345D" w:rsidRPr="003B345D" w:rsidRDefault="003B345D" w:rsidP="003B345D">
            <w:pPr>
              <w:pStyle w:val="tabletext"/>
              <w:rPr>
                <w:lang w:val="en-US" w:eastAsia="en-US"/>
              </w:rPr>
            </w:pPr>
            <w:r w:rsidRPr="003B345D">
              <w:rPr>
                <w:lang w:val="en-US" w:eastAsia="en-US"/>
              </w:rPr>
              <w:t>20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944178" w14:textId="77777777" w:rsidR="003B345D" w:rsidRPr="003B345D" w:rsidRDefault="003B345D" w:rsidP="003B345D">
            <w:pPr>
              <w:pStyle w:val="tabletext"/>
            </w:pPr>
            <w:r w:rsidRPr="003B345D">
              <w:t>Subsection 9(1)</w:t>
            </w:r>
          </w:p>
        </w:tc>
      </w:tr>
      <w:tr w:rsidR="003B345D" w:rsidRPr="003B345D" w14:paraId="662447A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4CDCA65" w14:textId="77777777" w:rsidR="003B345D" w:rsidRPr="003B345D" w:rsidRDefault="003B345D" w:rsidP="003B345D">
            <w:pPr>
              <w:pStyle w:val="tabletext"/>
              <w:rPr>
                <w:lang w:val="en-US" w:eastAsia="en-US"/>
              </w:rPr>
            </w:pPr>
            <w:r w:rsidRPr="003B345D">
              <w:rPr>
                <w:lang w:val="en-US" w:eastAsia="en-US"/>
              </w:rPr>
              <w:t>21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DA6367" w14:textId="77777777" w:rsidR="003B345D" w:rsidRPr="003B345D" w:rsidRDefault="003B345D" w:rsidP="003B345D">
            <w:pPr>
              <w:pStyle w:val="tabletext"/>
            </w:pPr>
            <w:r w:rsidRPr="003B345D">
              <w:t>Subsection 9(1) (note 1)</w:t>
            </w:r>
          </w:p>
        </w:tc>
      </w:tr>
      <w:tr w:rsidR="003B345D" w:rsidRPr="003B345D" w14:paraId="7BFF10F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8DE88D9" w14:textId="77777777" w:rsidR="003B345D" w:rsidRPr="003B345D" w:rsidRDefault="003B345D" w:rsidP="003B345D">
            <w:pPr>
              <w:pStyle w:val="tabletext"/>
              <w:rPr>
                <w:lang w:val="en-US" w:eastAsia="en-US"/>
              </w:rPr>
            </w:pPr>
            <w:r w:rsidRPr="003B345D">
              <w:rPr>
                <w:lang w:val="en-US" w:eastAsia="en-US"/>
              </w:rPr>
              <w:t>22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C34ADDF" w14:textId="77777777" w:rsidR="003B345D" w:rsidRPr="003B345D" w:rsidRDefault="003B345D" w:rsidP="003B345D">
            <w:pPr>
              <w:pStyle w:val="tabletext"/>
            </w:pPr>
            <w:r w:rsidRPr="003B345D">
              <w:t>Subsection 9(1) (note 2)</w:t>
            </w:r>
          </w:p>
        </w:tc>
      </w:tr>
      <w:tr w:rsidR="003B345D" w:rsidRPr="003B345D" w14:paraId="2CE33DF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33A9C1E" w14:textId="77777777" w:rsidR="003B345D" w:rsidRPr="003B345D" w:rsidRDefault="003B345D" w:rsidP="003B345D">
            <w:pPr>
              <w:pStyle w:val="tabletext"/>
              <w:rPr>
                <w:lang w:val="en-US" w:eastAsia="en-US"/>
              </w:rPr>
            </w:pPr>
            <w:r w:rsidRPr="003B345D">
              <w:rPr>
                <w:lang w:val="en-US" w:eastAsia="en-US"/>
              </w:rPr>
              <w:t>27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A83C9D7" w14:textId="77777777" w:rsidR="003B345D" w:rsidRPr="003B345D" w:rsidRDefault="003B345D" w:rsidP="003B345D">
            <w:pPr>
              <w:pStyle w:val="tabletext"/>
            </w:pPr>
            <w:r w:rsidRPr="003B345D">
              <w:t>Subsection 9A(3)</w:t>
            </w:r>
          </w:p>
        </w:tc>
      </w:tr>
      <w:tr w:rsidR="003B345D" w:rsidRPr="003B345D" w14:paraId="68798A8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4CDC723" w14:textId="77777777" w:rsidR="003B345D" w:rsidRPr="003B345D" w:rsidRDefault="003B345D" w:rsidP="003B345D">
            <w:pPr>
              <w:pStyle w:val="tabletext"/>
              <w:rPr>
                <w:lang w:val="en-US" w:eastAsia="en-US"/>
              </w:rPr>
            </w:pPr>
            <w:r w:rsidRPr="003B345D">
              <w:rPr>
                <w:lang w:val="en-US" w:eastAsia="en-US"/>
              </w:rPr>
              <w:t>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55D5459" w14:textId="77777777" w:rsidR="003B345D" w:rsidRPr="003B345D" w:rsidRDefault="003B345D" w:rsidP="003B345D">
            <w:pPr>
              <w:pStyle w:val="tabletext"/>
            </w:pPr>
            <w:r w:rsidRPr="003B345D">
              <w:t>Section 41 (definition of Registrar)</w:t>
            </w:r>
          </w:p>
        </w:tc>
      </w:tr>
      <w:tr w:rsidR="003B345D" w:rsidRPr="003B345D" w14:paraId="5BD5EFB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9C39590" w14:textId="77777777" w:rsidR="003B345D" w:rsidRPr="003B345D" w:rsidRDefault="003B345D" w:rsidP="003B345D">
            <w:pPr>
              <w:pStyle w:val="tabletext"/>
              <w:rPr>
                <w:lang w:val="en-US" w:eastAsia="en-US"/>
              </w:rPr>
            </w:pPr>
            <w:r w:rsidRPr="003B345D">
              <w:rPr>
                <w:lang w:val="en-US" w:eastAsia="en-US"/>
              </w:rPr>
              <w:t>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F4D8435" w14:textId="77777777" w:rsidR="003B345D" w:rsidRPr="003B345D" w:rsidRDefault="003B345D" w:rsidP="003B345D">
            <w:pPr>
              <w:pStyle w:val="tabletext"/>
            </w:pPr>
            <w:r w:rsidRPr="003B345D">
              <w:t>Section 41</w:t>
            </w:r>
          </w:p>
        </w:tc>
      </w:tr>
      <w:tr w:rsidR="00947E92" w:rsidRPr="003B345D" w14:paraId="1BE40AAB"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5A26C1C2" w14:textId="77777777" w:rsidR="00947E92" w:rsidRPr="006B273B" w:rsidRDefault="00947E92" w:rsidP="003B345D">
            <w:pPr>
              <w:pStyle w:val="tabletext"/>
              <w:rPr>
                <w:b/>
              </w:rPr>
            </w:pPr>
            <w:r w:rsidRPr="006B273B">
              <w:rPr>
                <w:b/>
              </w:rPr>
              <w:t>A New Tax System (Goods and Services Tax) Act 1999</w:t>
            </w:r>
          </w:p>
        </w:tc>
      </w:tr>
      <w:tr w:rsidR="003B345D" w:rsidRPr="003B345D" w14:paraId="3E0955D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679F7C6" w14:textId="77777777" w:rsidR="003B345D" w:rsidRPr="003B345D" w:rsidRDefault="003B345D" w:rsidP="003B345D">
            <w:pPr>
              <w:pStyle w:val="tabletext"/>
              <w:rPr>
                <w:lang w:val="en-US" w:eastAsia="en-US"/>
              </w:rPr>
            </w:pPr>
            <w:r w:rsidRPr="003B345D">
              <w:rPr>
                <w:lang w:val="en-US" w:eastAsia="en-US"/>
              </w:rPr>
              <w:t>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231C80" w14:textId="77777777" w:rsidR="003B345D" w:rsidRPr="003B345D" w:rsidRDefault="003B345D" w:rsidP="003B345D">
            <w:pPr>
              <w:pStyle w:val="tabletext"/>
            </w:pPr>
            <w:r w:rsidRPr="003B345D">
              <w:t>Subsection 25-10(2)</w:t>
            </w:r>
          </w:p>
        </w:tc>
      </w:tr>
      <w:tr w:rsidR="003B345D" w:rsidRPr="003B345D" w14:paraId="373443F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72EA579" w14:textId="77777777" w:rsidR="003B345D" w:rsidRPr="003B345D" w:rsidRDefault="003B345D" w:rsidP="003B345D">
            <w:pPr>
              <w:pStyle w:val="tabletext"/>
              <w:rPr>
                <w:lang w:val="en-US" w:eastAsia="en-US"/>
              </w:rPr>
            </w:pPr>
            <w:r w:rsidRPr="003B345D">
              <w:rPr>
                <w:lang w:val="en-US" w:eastAsia="en-US"/>
              </w:rPr>
              <w:t>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8EC550" w14:textId="77777777" w:rsidR="003B345D" w:rsidRPr="003B345D" w:rsidRDefault="003B345D" w:rsidP="003B345D">
            <w:pPr>
              <w:pStyle w:val="tabletext"/>
            </w:pPr>
            <w:r w:rsidRPr="003B345D">
              <w:t>Subsection 25-60(2)</w:t>
            </w:r>
          </w:p>
        </w:tc>
      </w:tr>
      <w:tr w:rsidR="003B345D" w:rsidRPr="003B345D" w14:paraId="23AE59D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B1F18AA" w14:textId="77777777" w:rsidR="003B345D" w:rsidRPr="003B345D" w:rsidRDefault="003B345D" w:rsidP="003B345D">
            <w:pPr>
              <w:pStyle w:val="tabletext"/>
              <w:rPr>
                <w:lang w:val="en-US" w:eastAsia="en-US"/>
              </w:rPr>
            </w:pPr>
            <w:r w:rsidRPr="003B345D">
              <w:rPr>
                <w:lang w:val="en-US" w:eastAsia="en-US"/>
              </w:rPr>
              <w:t>90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0220BB" w14:textId="77777777" w:rsidR="003B345D" w:rsidRPr="003B345D" w:rsidRDefault="003B345D" w:rsidP="003B345D">
            <w:pPr>
              <w:pStyle w:val="tabletext"/>
            </w:pPr>
            <w:r w:rsidRPr="003B345D">
              <w:t>Section 146-20 (heading)</w:t>
            </w:r>
          </w:p>
        </w:tc>
      </w:tr>
      <w:tr w:rsidR="003B345D" w:rsidRPr="003B345D" w14:paraId="6FC3E3F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2BA220A" w14:textId="77777777" w:rsidR="003B345D" w:rsidRPr="003B345D" w:rsidRDefault="003B345D" w:rsidP="003B345D">
            <w:pPr>
              <w:pStyle w:val="tabletext"/>
              <w:rPr>
                <w:lang w:val="en-US" w:eastAsia="en-US"/>
              </w:rPr>
            </w:pPr>
            <w:r w:rsidRPr="003B345D">
              <w:rPr>
                <w:lang w:val="en-US" w:eastAsia="en-US"/>
              </w:rPr>
              <w:t>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9B8C0A8" w14:textId="77777777" w:rsidR="003B345D" w:rsidRPr="003B345D" w:rsidRDefault="003B345D" w:rsidP="003B345D">
            <w:pPr>
              <w:pStyle w:val="tabletext"/>
            </w:pPr>
            <w:r w:rsidRPr="003B345D">
              <w:t>Subsection 146-20(1) (note)</w:t>
            </w:r>
          </w:p>
        </w:tc>
      </w:tr>
      <w:tr w:rsidR="003B345D" w:rsidRPr="003B345D" w14:paraId="55D4E4A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90C7881" w14:textId="77777777" w:rsidR="003B345D" w:rsidRPr="003B345D" w:rsidRDefault="003B345D" w:rsidP="003B345D">
            <w:pPr>
              <w:pStyle w:val="tabletext"/>
              <w:rPr>
                <w:lang w:val="en-US" w:eastAsia="en-US"/>
              </w:rPr>
            </w:pPr>
            <w:r w:rsidRPr="003B345D">
              <w:rPr>
                <w:lang w:val="en-US" w:eastAsia="en-US"/>
              </w:rPr>
              <w:t>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E77D28A" w14:textId="77777777" w:rsidR="003B345D" w:rsidRPr="003B345D" w:rsidRDefault="003B345D" w:rsidP="003B345D">
            <w:pPr>
              <w:pStyle w:val="tabletext"/>
            </w:pPr>
            <w:r w:rsidRPr="003B345D">
              <w:t>Paragraph 146-20(3)(b)</w:t>
            </w:r>
          </w:p>
        </w:tc>
      </w:tr>
      <w:tr w:rsidR="003B345D" w:rsidRPr="003B345D" w14:paraId="38D4DFF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353CEED" w14:textId="77777777" w:rsidR="003B345D" w:rsidRPr="003B345D" w:rsidRDefault="003B345D" w:rsidP="003B345D">
            <w:pPr>
              <w:pStyle w:val="tabletext"/>
              <w:rPr>
                <w:lang w:val="en-US" w:eastAsia="en-US"/>
              </w:rPr>
            </w:pPr>
            <w:r w:rsidRPr="003B345D">
              <w:rPr>
                <w:lang w:val="en-US" w:eastAsia="en-US"/>
              </w:rPr>
              <w:t>96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363D28" w14:textId="77777777" w:rsidR="003B345D" w:rsidRPr="003B345D" w:rsidRDefault="003B345D" w:rsidP="003B345D">
            <w:pPr>
              <w:pStyle w:val="tabletext"/>
            </w:pPr>
            <w:r w:rsidRPr="003B345D">
              <w:t>Section 195-1</w:t>
            </w:r>
          </w:p>
        </w:tc>
      </w:tr>
      <w:tr w:rsidR="00947E92" w:rsidRPr="003B345D" w14:paraId="31C1C006"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794A483A" w14:textId="77777777" w:rsidR="00947E92" w:rsidRPr="006B273B" w:rsidRDefault="00947E92" w:rsidP="003B345D">
            <w:pPr>
              <w:pStyle w:val="tabletext"/>
              <w:rPr>
                <w:b/>
              </w:rPr>
            </w:pPr>
            <w:r w:rsidRPr="006B273B">
              <w:rPr>
                <w:b/>
              </w:rPr>
              <w:t>Australian Prudential Regulation Authority Act 1998</w:t>
            </w:r>
          </w:p>
        </w:tc>
      </w:tr>
      <w:tr w:rsidR="003B345D" w:rsidRPr="003B345D" w14:paraId="45F195A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0F06FAF" w14:textId="77777777" w:rsidR="003B345D" w:rsidRPr="003B345D" w:rsidRDefault="003B345D" w:rsidP="003B345D">
            <w:pPr>
              <w:pStyle w:val="tabletext"/>
              <w:rPr>
                <w:lang w:val="en-US" w:eastAsia="en-US"/>
              </w:rPr>
            </w:pPr>
            <w:r w:rsidRPr="003B345D">
              <w:rPr>
                <w:lang w:val="en-US" w:eastAsia="en-US"/>
              </w:rPr>
              <w:t>97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2F96DAE" w14:textId="77777777" w:rsidR="003B345D" w:rsidRPr="003B345D" w:rsidRDefault="003B345D" w:rsidP="003B345D">
            <w:pPr>
              <w:pStyle w:val="tabletext"/>
            </w:pPr>
            <w:r w:rsidRPr="003B345D">
              <w:t>Subsection 56(1)</w:t>
            </w:r>
          </w:p>
        </w:tc>
      </w:tr>
      <w:tr w:rsidR="00947E92" w:rsidRPr="003B345D" w14:paraId="3EF0CFA4"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3952F795" w14:textId="56369D51" w:rsidR="00947E92" w:rsidRPr="006B273B" w:rsidRDefault="00947E92" w:rsidP="003B345D">
            <w:pPr>
              <w:pStyle w:val="tabletext"/>
              <w:rPr>
                <w:b/>
              </w:rPr>
            </w:pPr>
            <w:r w:rsidRPr="006B273B">
              <w:rPr>
                <w:b/>
              </w:rPr>
              <w:t>B</w:t>
            </w:r>
            <w:r w:rsidR="00555C42">
              <w:rPr>
                <w:b/>
              </w:rPr>
              <w:t>usiness Names</w:t>
            </w:r>
            <w:r w:rsidRPr="006B273B">
              <w:rPr>
                <w:b/>
              </w:rPr>
              <w:t xml:space="preserve"> Act</w:t>
            </w:r>
          </w:p>
        </w:tc>
      </w:tr>
      <w:tr w:rsidR="003B345D" w:rsidRPr="003B345D" w14:paraId="1089A3E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75AAF7B" w14:textId="77777777" w:rsidR="003B345D" w:rsidRPr="003B345D" w:rsidRDefault="003B345D" w:rsidP="003B345D">
            <w:pPr>
              <w:pStyle w:val="tabletext"/>
              <w:rPr>
                <w:lang w:val="en-US" w:eastAsia="en-US"/>
              </w:rPr>
            </w:pPr>
            <w:r w:rsidRPr="003B345D">
              <w:rPr>
                <w:lang w:val="en-US" w:eastAsia="en-US"/>
              </w:rPr>
              <w:t>111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D0AC08D" w14:textId="77777777" w:rsidR="003B345D" w:rsidRPr="003B345D" w:rsidRDefault="003B345D" w:rsidP="003B345D">
            <w:pPr>
              <w:pStyle w:val="tabletext"/>
            </w:pPr>
            <w:r w:rsidRPr="003B345D">
              <w:t>Paragraph 6(1)(b)</w:t>
            </w:r>
          </w:p>
        </w:tc>
      </w:tr>
      <w:tr w:rsidR="003B345D" w:rsidRPr="003B345D" w14:paraId="3615944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B61EE73" w14:textId="77777777" w:rsidR="003B345D" w:rsidRPr="003B345D" w:rsidRDefault="003B345D" w:rsidP="003B345D">
            <w:pPr>
              <w:pStyle w:val="tabletext"/>
              <w:rPr>
                <w:lang w:val="en-US" w:eastAsia="en-US"/>
              </w:rPr>
            </w:pPr>
            <w:r w:rsidRPr="003B345D">
              <w:rPr>
                <w:lang w:val="en-US" w:eastAsia="en-US"/>
              </w:rPr>
              <w:t>114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056C39" w14:textId="77777777" w:rsidR="003B345D" w:rsidRPr="003B345D" w:rsidRDefault="003B345D" w:rsidP="003B345D">
            <w:pPr>
              <w:pStyle w:val="tabletext"/>
            </w:pPr>
            <w:r w:rsidRPr="003B345D">
              <w:t>Paragraph 19(2)(a)</w:t>
            </w:r>
          </w:p>
        </w:tc>
      </w:tr>
      <w:tr w:rsidR="003B345D" w:rsidRPr="003B345D" w14:paraId="10875D2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4E581BD" w14:textId="77777777" w:rsidR="003B345D" w:rsidRPr="003B345D" w:rsidRDefault="003B345D" w:rsidP="003B345D">
            <w:pPr>
              <w:pStyle w:val="tabletext"/>
              <w:rPr>
                <w:lang w:val="en-US" w:eastAsia="en-US"/>
              </w:rPr>
            </w:pPr>
            <w:r w:rsidRPr="003B345D">
              <w:rPr>
                <w:lang w:val="en-US" w:eastAsia="en-US"/>
              </w:rPr>
              <w:t>116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AF20BB" w14:textId="77777777" w:rsidR="003B345D" w:rsidRPr="003B345D" w:rsidRDefault="003B345D" w:rsidP="003B345D">
            <w:pPr>
              <w:pStyle w:val="tabletext"/>
            </w:pPr>
            <w:r w:rsidRPr="003B345D">
              <w:t>Subsection 23(1)</w:t>
            </w:r>
          </w:p>
        </w:tc>
      </w:tr>
      <w:tr w:rsidR="003B345D" w:rsidRPr="003B345D" w14:paraId="291EACC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40D9C5A" w14:textId="77777777" w:rsidR="003B345D" w:rsidRPr="003B345D" w:rsidRDefault="003B345D" w:rsidP="003B345D">
            <w:pPr>
              <w:pStyle w:val="tabletext"/>
              <w:rPr>
                <w:lang w:val="en-US" w:eastAsia="en-US"/>
              </w:rPr>
            </w:pPr>
            <w:r w:rsidRPr="003B345D">
              <w:rPr>
                <w:lang w:val="en-US" w:eastAsia="en-US"/>
              </w:rPr>
              <w:t>119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933F3DA" w14:textId="77777777" w:rsidR="003B345D" w:rsidRPr="003B345D" w:rsidRDefault="003B345D" w:rsidP="003B345D">
            <w:pPr>
              <w:pStyle w:val="tabletext"/>
            </w:pPr>
            <w:r w:rsidRPr="003B345D">
              <w:t>Subsection 24(1)</w:t>
            </w:r>
          </w:p>
        </w:tc>
      </w:tr>
      <w:tr w:rsidR="003B345D" w:rsidRPr="003B345D" w14:paraId="6B4A9B3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8D79CDF" w14:textId="77777777" w:rsidR="003B345D" w:rsidRPr="003B345D" w:rsidRDefault="003B345D" w:rsidP="003B345D">
            <w:pPr>
              <w:pStyle w:val="tabletext"/>
              <w:rPr>
                <w:lang w:val="en-US" w:eastAsia="en-US"/>
              </w:rPr>
            </w:pPr>
            <w:r w:rsidRPr="003B345D">
              <w:rPr>
                <w:lang w:val="en-US" w:eastAsia="en-US"/>
              </w:rPr>
              <w:t>120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2A9E889" w14:textId="77777777" w:rsidR="003B345D" w:rsidRPr="003B345D" w:rsidRDefault="003B345D" w:rsidP="003B345D">
            <w:pPr>
              <w:pStyle w:val="tabletext"/>
            </w:pPr>
            <w:r w:rsidRPr="003B345D">
              <w:t>Subsection 24(1)</w:t>
            </w:r>
          </w:p>
        </w:tc>
      </w:tr>
      <w:tr w:rsidR="003B345D" w:rsidRPr="003B345D" w14:paraId="657C44B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831B02D" w14:textId="77777777" w:rsidR="003B345D" w:rsidRPr="003B345D" w:rsidRDefault="003B345D" w:rsidP="003B345D">
            <w:pPr>
              <w:pStyle w:val="tabletext"/>
              <w:rPr>
                <w:lang w:val="en-US" w:eastAsia="en-US"/>
              </w:rPr>
            </w:pPr>
            <w:r w:rsidRPr="003B345D">
              <w:rPr>
                <w:lang w:val="en-US" w:eastAsia="en-US"/>
              </w:rPr>
              <w:t>121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540795B" w14:textId="77777777" w:rsidR="003B345D" w:rsidRPr="003B345D" w:rsidRDefault="003B345D" w:rsidP="003B345D">
            <w:pPr>
              <w:pStyle w:val="tabletext"/>
            </w:pPr>
            <w:r w:rsidRPr="003B345D">
              <w:t>Subsection 24(2)</w:t>
            </w:r>
          </w:p>
        </w:tc>
      </w:tr>
      <w:tr w:rsidR="003B345D" w:rsidRPr="003B345D" w14:paraId="6E683AD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B650435" w14:textId="77777777" w:rsidR="003B345D" w:rsidRPr="003B345D" w:rsidRDefault="003B345D" w:rsidP="003B345D">
            <w:pPr>
              <w:pStyle w:val="tabletext"/>
              <w:rPr>
                <w:lang w:val="en-US" w:eastAsia="en-US"/>
              </w:rPr>
            </w:pPr>
            <w:r w:rsidRPr="003B345D">
              <w:rPr>
                <w:lang w:val="en-US" w:eastAsia="en-US"/>
              </w:rPr>
              <w:t>122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5F5C64" w14:textId="77777777" w:rsidR="003B345D" w:rsidRPr="003B345D" w:rsidRDefault="003B345D" w:rsidP="003B345D">
            <w:pPr>
              <w:pStyle w:val="tabletext"/>
            </w:pPr>
            <w:r w:rsidRPr="003B345D">
              <w:t>Subsections 24(3) and (4)</w:t>
            </w:r>
          </w:p>
        </w:tc>
      </w:tr>
      <w:tr w:rsidR="003B345D" w:rsidRPr="003B345D" w14:paraId="3C226A9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FA589F8" w14:textId="77777777" w:rsidR="003B345D" w:rsidRPr="003B345D" w:rsidRDefault="003B345D" w:rsidP="003B345D">
            <w:pPr>
              <w:pStyle w:val="tabletext"/>
              <w:rPr>
                <w:lang w:val="en-US" w:eastAsia="en-US"/>
              </w:rPr>
            </w:pPr>
            <w:r w:rsidRPr="003B345D">
              <w:rPr>
                <w:lang w:val="en-US" w:eastAsia="en-US"/>
              </w:rPr>
              <w:t>123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AAB659" w14:textId="77777777" w:rsidR="003B345D" w:rsidRPr="003B345D" w:rsidRDefault="003B345D" w:rsidP="003B345D">
            <w:pPr>
              <w:pStyle w:val="tabletext"/>
            </w:pPr>
            <w:r w:rsidRPr="003B345D">
              <w:t>Subparagraphs 25(a)(iv), (v), (vi) and (vii)</w:t>
            </w:r>
          </w:p>
        </w:tc>
      </w:tr>
      <w:tr w:rsidR="003B345D" w:rsidRPr="003B345D" w14:paraId="3029DF4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F5F2EA5" w14:textId="77777777" w:rsidR="003B345D" w:rsidRPr="003B345D" w:rsidRDefault="003B345D" w:rsidP="003B345D">
            <w:pPr>
              <w:pStyle w:val="tabletext"/>
              <w:rPr>
                <w:lang w:val="en-US" w:eastAsia="en-US"/>
              </w:rPr>
            </w:pPr>
            <w:r w:rsidRPr="003B345D">
              <w:rPr>
                <w:lang w:val="en-US" w:eastAsia="en-US"/>
              </w:rPr>
              <w:t>124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18D2DFB" w14:textId="77777777" w:rsidR="003B345D" w:rsidRPr="003B345D" w:rsidRDefault="003B345D" w:rsidP="003B345D">
            <w:pPr>
              <w:pStyle w:val="tabletext"/>
            </w:pPr>
            <w:r w:rsidRPr="003B345D">
              <w:t>Paragraph 25(e)</w:t>
            </w:r>
          </w:p>
        </w:tc>
      </w:tr>
      <w:tr w:rsidR="003B345D" w:rsidRPr="003B345D" w14:paraId="4F44E51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168AD78" w14:textId="77777777" w:rsidR="003B345D" w:rsidRPr="003B345D" w:rsidRDefault="003B345D" w:rsidP="003B345D">
            <w:pPr>
              <w:pStyle w:val="tabletext"/>
              <w:rPr>
                <w:lang w:val="en-US" w:eastAsia="en-US"/>
              </w:rPr>
            </w:pPr>
            <w:r w:rsidRPr="003B345D">
              <w:rPr>
                <w:lang w:val="en-US" w:eastAsia="en-US"/>
              </w:rPr>
              <w:t>125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7D3B148" w14:textId="77777777" w:rsidR="003B345D" w:rsidRPr="003B345D" w:rsidRDefault="003B345D" w:rsidP="003B345D">
            <w:pPr>
              <w:pStyle w:val="tabletext"/>
            </w:pPr>
            <w:r w:rsidRPr="003B345D">
              <w:t>Subparagraph 25(e)(</w:t>
            </w:r>
            <w:proofErr w:type="spellStart"/>
            <w:r w:rsidRPr="003B345D">
              <w:t>i</w:t>
            </w:r>
            <w:proofErr w:type="spellEnd"/>
            <w:r w:rsidRPr="003B345D">
              <w:t>)</w:t>
            </w:r>
          </w:p>
        </w:tc>
      </w:tr>
      <w:tr w:rsidR="003B345D" w:rsidRPr="003B345D" w14:paraId="4894585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1152CE0" w14:textId="77777777" w:rsidR="003B345D" w:rsidRPr="003B345D" w:rsidRDefault="003B345D" w:rsidP="003B345D">
            <w:pPr>
              <w:pStyle w:val="tabletext"/>
              <w:rPr>
                <w:lang w:val="en-US" w:eastAsia="en-US"/>
              </w:rPr>
            </w:pPr>
            <w:r w:rsidRPr="003B345D">
              <w:rPr>
                <w:lang w:val="en-US" w:eastAsia="en-US"/>
              </w:rPr>
              <w:t>126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4674379" w14:textId="77777777" w:rsidR="003B345D" w:rsidRPr="003B345D" w:rsidRDefault="003B345D" w:rsidP="003B345D">
            <w:pPr>
              <w:pStyle w:val="tabletext"/>
            </w:pPr>
            <w:r w:rsidRPr="003B345D">
              <w:t>Paragraph 25(e)</w:t>
            </w:r>
          </w:p>
        </w:tc>
      </w:tr>
      <w:tr w:rsidR="003B345D" w:rsidRPr="003B345D" w14:paraId="63F568A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E0DE435" w14:textId="77777777" w:rsidR="003B345D" w:rsidRPr="003B345D" w:rsidRDefault="003B345D" w:rsidP="003B345D">
            <w:pPr>
              <w:pStyle w:val="tabletext"/>
              <w:rPr>
                <w:lang w:val="en-US" w:eastAsia="en-US"/>
              </w:rPr>
            </w:pPr>
            <w:r w:rsidRPr="003B345D">
              <w:rPr>
                <w:lang w:val="en-US" w:eastAsia="en-US"/>
              </w:rPr>
              <w:t>127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5F8C6F4" w14:textId="77777777" w:rsidR="003B345D" w:rsidRPr="003B345D" w:rsidRDefault="003B345D" w:rsidP="003B345D">
            <w:pPr>
              <w:pStyle w:val="tabletext"/>
            </w:pPr>
            <w:r w:rsidRPr="003B345D">
              <w:t>Subsection 28(2)</w:t>
            </w:r>
          </w:p>
        </w:tc>
      </w:tr>
      <w:tr w:rsidR="003B345D" w:rsidRPr="003B345D" w14:paraId="5F2323B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8BD1C7F" w14:textId="77777777" w:rsidR="003B345D" w:rsidRPr="003B345D" w:rsidRDefault="003B345D" w:rsidP="003B345D">
            <w:pPr>
              <w:pStyle w:val="tabletext"/>
              <w:rPr>
                <w:lang w:val="en-US" w:eastAsia="en-US"/>
              </w:rPr>
            </w:pPr>
            <w:r w:rsidRPr="003B345D">
              <w:rPr>
                <w:lang w:val="en-US" w:eastAsia="en-US"/>
              </w:rPr>
              <w:t>128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9FB0CB3" w14:textId="77777777" w:rsidR="003B345D" w:rsidRPr="003B345D" w:rsidRDefault="003B345D" w:rsidP="003B345D">
            <w:pPr>
              <w:pStyle w:val="tabletext"/>
            </w:pPr>
            <w:r w:rsidRPr="003B345D">
              <w:t>Subsection 28(3)</w:t>
            </w:r>
          </w:p>
        </w:tc>
      </w:tr>
      <w:tr w:rsidR="003B345D" w:rsidRPr="003B345D" w14:paraId="647C008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21D1005" w14:textId="77777777" w:rsidR="003B345D" w:rsidRPr="003B345D" w:rsidRDefault="003B345D" w:rsidP="003B345D">
            <w:pPr>
              <w:pStyle w:val="tabletext"/>
              <w:rPr>
                <w:lang w:val="en-US" w:eastAsia="en-US"/>
              </w:rPr>
            </w:pPr>
            <w:r w:rsidRPr="003B345D">
              <w:rPr>
                <w:lang w:val="en-US" w:eastAsia="en-US"/>
              </w:rPr>
              <w:t>129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FFC7E0A" w14:textId="77777777" w:rsidR="003B345D" w:rsidRPr="003B345D" w:rsidRDefault="003B345D" w:rsidP="003B345D">
            <w:pPr>
              <w:pStyle w:val="tabletext"/>
            </w:pPr>
            <w:r w:rsidRPr="003B345D">
              <w:t>Paragraph 29(1)(a)</w:t>
            </w:r>
          </w:p>
        </w:tc>
      </w:tr>
      <w:tr w:rsidR="003B345D" w:rsidRPr="003B345D" w14:paraId="0FCDFD3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42D0C0B" w14:textId="77777777" w:rsidR="003B345D" w:rsidRPr="003B345D" w:rsidRDefault="003B345D" w:rsidP="003B345D">
            <w:pPr>
              <w:pStyle w:val="tabletext"/>
              <w:rPr>
                <w:lang w:val="en-US" w:eastAsia="en-US"/>
              </w:rPr>
            </w:pPr>
            <w:r w:rsidRPr="003B345D">
              <w:rPr>
                <w:lang w:val="en-US" w:eastAsia="en-US"/>
              </w:rPr>
              <w:t>130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F33C309" w14:textId="77777777" w:rsidR="003B345D" w:rsidRPr="003B345D" w:rsidRDefault="003B345D" w:rsidP="003B345D">
            <w:pPr>
              <w:pStyle w:val="tabletext"/>
            </w:pPr>
            <w:r w:rsidRPr="003B345D">
              <w:t>Paragraph 29(4)(b)</w:t>
            </w:r>
          </w:p>
        </w:tc>
      </w:tr>
      <w:tr w:rsidR="003B345D" w:rsidRPr="003B345D" w14:paraId="0AE76B5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C783C16" w14:textId="77777777" w:rsidR="003B345D" w:rsidRPr="003B345D" w:rsidRDefault="003B345D" w:rsidP="003B345D">
            <w:pPr>
              <w:pStyle w:val="tabletext"/>
              <w:rPr>
                <w:lang w:val="en-US" w:eastAsia="en-US"/>
              </w:rPr>
            </w:pPr>
            <w:r w:rsidRPr="003B345D">
              <w:rPr>
                <w:lang w:val="en-US" w:eastAsia="en-US"/>
              </w:rPr>
              <w:t>131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BA603AA" w14:textId="77777777" w:rsidR="003B345D" w:rsidRPr="003B345D" w:rsidRDefault="003B345D" w:rsidP="003B345D">
            <w:pPr>
              <w:pStyle w:val="tabletext"/>
            </w:pPr>
            <w:r w:rsidRPr="003B345D">
              <w:t>Subsections 29(5), (6) and (7)</w:t>
            </w:r>
          </w:p>
        </w:tc>
      </w:tr>
      <w:tr w:rsidR="003B345D" w:rsidRPr="003B345D" w14:paraId="010FFAB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B0DFFF5" w14:textId="77777777" w:rsidR="003B345D" w:rsidRPr="003B345D" w:rsidRDefault="003B345D" w:rsidP="003B345D">
            <w:pPr>
              <w:pStyle w:val="tabletext"/>
              <w:rPr>
                <w:lang w:val="en-US" w:eastAsia="en-US"/>
              </w:rPr>
            </w:pPr>
            <w:r w:rsidRPr="003B345D">
              <w:rPr>
                <w:lang w:val="en-US" w:eastAsia="en-US"/>
              </w:rPr>
              <w:lastRenderedPageBreak/>
              <w:t>132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2156EA" w14:textId="77777777" w:rsidR="003B345D" w:rsidRPr="003B345D" w:rsidRDefault="003B345D" w:rsidP="003B345D">
            <w:pPr>
              <w:pStyle w:val="tabletext"/>
            </w:pPr>
            <w:r w:rsidRPr="003B345D">
              <w:t>Subsection 30(1)</w:t>
            </w:r>
          </w:p>
        </w:tc>
      </w:tr>
      <w:tr w:rsidR="003B345D" w:rsidRPr="003B345D" w14:paraId="62A19E6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D112E2B" w14:textId="77777777" w:rsidR="003B345D" w:rsidRPr="003B345D" w:rsidRDefault="003B345D" w:rsidP="003B345D">
            <w:pPr>
              <w:pStyle w:val="tabletext"/>
              <w:rPr>
                <w:lang w:val="en-US" w:eastAsia="en-US"/>
              </w:rPr>
            </w:pPr>
            <w:r w:rsidRPr="003B345D">
              <w:rPr>
                <w:lang w:val="en-US" w:eastAsia="en-US"/>
              </w:rPr>
              <w:t>135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725079A" w14:textId="77777777" w:rsidR="003B345D" w:rsidRPr="003B345D" w:rsidRDefault="003B345D" w:rsidP="003B345D">
            <w:pPr>
              <w:pStyle w:val="tabletext"/>
            </w:pPr>
            <w:r w:rsidRPr="003B345D">
              <w:t>Paragraph 31(3)(a)</w:t>
            </w:r>
          </w:p>
        </w:tc>
      </w:tr>
      <w:tr w:rsidR="003B345D" w:rsidRPr="003B345D" w14:paraId="49484F3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D4687D8" w14:textId="77777777" w:rsidR="003B345D" w:rsidRPr="003B345D" w:rsidRDefault="003B345D" w:rsidP="003B345D">
            <w:pPr>
              <w:pStyle w:val="tabletext"/>
              <w:rPr>
                <w:lang w:val="en-US" w:eastAsia="en-US"/>
              </w:rPr>
            </w:pPr>
            <w:r w:rsidRPr="003B345D">
              <w:rPr>
                <w:lang w:val="en-US" w:eastAsia="en-US"/>
              </w:rPr>
              <w:t>136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D64CAC" w14:textId="77777777" w:rsidR="003B345D" w:rsidRPr="003B345D" w:rsidRDefault="003B345D" w:rsidP="003B345D">
            <w:pPr>
              <w:pStyle w:val="tabletext"/>
            </w:pPr>
            <w:r w:rsidRPr="003B345D">
              <w:t>Paragraph 31(3)(b)</w:t>
            </w:r>
          </w:p>
        </w:tc>
      </w:tr>
      <w:tr w:rsidR="003B345D" w:rsidRPr="003B345D" w14:paraId="0F3F346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6136D3B" w14:textId="77777777" w:rsidR="003B345D" w:rsidRPr="003B345D" w:rsidRDefault="003B345D" w:rsidP="003B345D">
            <w:pPr>
              <w:pStyle w:val="tabletext"/>
              <w:rPr>
                <w:lang w:val="en-US" w:eastAsia="en-US"/>
              </w:rPr>
            </w:pPr>
            <w:r w:rsidRPr="003B345D">
              <w:rPr>
                <w:lang w:val="en-US" w:eastAsia="en-US"/>
              </w:rPr>
              <w:t>137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2526D7D" w14:textId="77777777" w:rsidR="003B345D" w:rsidRPr="003B345D" w:rsidRDefault="003B345D" w:rsidP="003B345D">
            <w:pPr>
              <w:pStyle w:val="tabletext"/>
            </w:pPr>
            <w:r w:rsidRPr="003B345D">
              <w:t>Subsection 31(4)</w:t>
            </w:r>
          </w:p>
        </w:tc>
      </w:tr>
      <w:tr w:rsidR="003B345D" w:rsidRPr="003B345D" w14:paraId="2BBCD37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6C9D452" w14:textId="77777777" w:rsidR="003B345D" w:rsidRPr="003B345D" w:rsidRDefault="003B345D" w:rsidP="003B345D">
            <w:pPr>
              <w:pStyle w:val="tabletext"/>
              <w:rPr>
                <w:lang w:val="en-US" w:eastAsia="en-US"/>
              </w:rPr>
            </w:pPr>
            <w:r w:rsidRPr="003B345D">
              <w:rPr>
                <w:lang w:val="en-US" w:eastAsia="en-US"/>
              </w:rPr>
              <w:t>142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7E30829" w14:textId="77777777" w:rsidR="003B345D" w:rsidRPr="003B345D" w:rsidRDefault="003B345D" w:rsidP="003B345D">
            <w:pPr>
              <w:pStyle w:val="tabletext"/>
            </w:pPr>
            <w:r w:rsidRPr="003B345D">
              <w:t>Section 33 (heading)</w:t>
            </w:r>
          </w:p>
        </w:tc>
      </w:tr>
      <w:tr w:rsidR="003B345D" w:rsidRPr="003B345D" w14:paraId="7278192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609CD36" w14:textId="77777777" w:rsidR="003B345D" w:rsidRPr="003B345D" w:rsidRDefault="003B345D" w:rsidP="003B345D">
            <w:pPr>
              <w:pStyle w:val="tabletext"/>
              <w:rPr>
                <w:lang w:val="en-US" w:eastAsia="en-US"/>
              </w:rPr>
            </w:pPr>
            <w:r w:rsidRPr="003B345D">
              <w:rPr>
                <w:lang w:val="en-US" w:eastAsia="en-US"/>
              </w:rPr>
              <w:t>143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1123495" w14:textId="77777777" w:rsidR="003B345D" w:rsidRPr="003B345D" w:rsidRDefault="003B345D" w:rsidP="003B345D">
            <w:pPr>
              <w:pStyle w:val="tabletext"/>
            </w:pPr>
            <w:r w:rsidRPr="003B345D">
              <w:t>Subsection 33(1)</w:t>
            </w:r>
          </w:p>
        </w:tc>
      </w:tr>
      <w:tr w:rsidR="003B345D" w:rsidRPr="003B345D" w14:paraId="0C9568E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46A1C5B" w14:textId="77777777" w:rsidR="003B345D" w:rsidRPr="003B345D" w:rsidRDefault="003B345D" w:rsidP="003B345D">
            <w:pPr>
              <w:pStyle w:val="tabletext"/>
              <w:rPr>
                <w:lang w:val="en-US" w:eastAsia="en-US"/>
              </w:rPr>
            </w:pPr>
            <w:r w:rsidRPr="003B345D">
              <w:rPr>
                <w:lang w:val="en-US" w:eastAsia="en-US"/>
              </w:rPr>
              <w:t>144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5CE7618" w14:textId="77777777" w:rsidR="003B345D" w:rsidRPr="003B345D" w:rsidRDefault="003B345D" w:rsidP="003B345D">
            <w:pPr>
              <w:pStyle w:val="tabletext"/>
            </w:pPr>
            <w:r w:rsidRPr="003B345D">
              <w:t>Subsection 33(2)</w:t>
            </w:r>
          </w:p>
        </w:tc>
      </w:tr>
      <w:tr w:rsidR="003B345D" w:rsidRPr="003B345D" w14:paraId="05C6584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AE68597" w14:textId="77777777" w:rsidR="003B345D" w:rsidRPr="003B345D" w:rsidRDefault="003B345D" w:rsidP="003B345D">
            <w:pPr>
              <w:pStyle w:val="tabletext"/>
              <w:rPr>
                <w:lang w:val="en-US" w:eastAsia="en-US"/>
              </w:rPr>
            </w:pPr>
            <w:r w:rsidRPr="003B345D">
              <w:rPr>
                <w:lang w:val="en-US" w:eastAsia="en-US"/>
              </w:rPr>
              <w:t>145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89FCE9E" w14:textId="77777777" w:rsidR="003B345D" w:rsidRPr="003B345D" w:rsidRDefault="003B345D" w:rsidP="003B345D">
            <w:pPr>
              <w:pStyle w:val="tabletext"/>
            </w:pPr>
            <w:r w:rsidRPr="003B345D">
              <w:t>Subsection 33(3)</w:t>
            </w:r>
          </w:p>
        </w:tc>
      </w:tr>
      <w:tr w:rsidR="003B345D" w:rsidRPr="003B345D" w14:paraId="477F086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536075F" w14:textId="77777777" w:rsidR="003B345D" w:rsidRPr="003B345D" w:rsidRDefault="003B345D" w:rsidP="003B345D">
            <w:pPr>
              <w:pStyle w:val="tabletext"/>
              <w:rPr>
                <w:lang w:val="en-US" w:eastAsia="en-US"/>
              </w:rPr>
            </w:pPr>
            <w:r w:rsidRPr="003B345D">
              <w:rPr>
                <w:lang w:val="en-US" w:eastAsia="en-US"/>
              </w:rPr>
              <w:t>146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C57DFD" w14:textId="77777777" w:rsidR="003B345D" w:rsidRPr="003B345D" w:rsidRDefault="003B345D" w:rsidP="003B345D">
            <w:pPr>
              <w:pStyle w:val="tabletext"/>
            </w:pPr>
            <w:r w:rsidRPr="003B345D">
              <w:t>Paragraph 33(3)(a)</w:t>
            </w:r>
          </w:p>
        </w:tc>
      </w:tr>
      <w:tr w:rsidR="003B345D" w:rsidRPr="003B345D" w14:paraId="394B290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F727224" w14:textId="77777777" w:rsidR="003B345D" w:rsidRPr="003B345D" w:rsidRDefault="003B345D" w:rsidP="003B345D">
            <w:pPr>
              <w:pStyle w:val="tabletext"/>
              <w:rPr>
                <w:lang w:val="en-US" w:eastAsia="en-US"/>
              </w:rPr>
            </w:pPr>
            <w:r w:rsidRPr="003B345D">
              <w:rPr>
                <w:lang w:val="en-US" w:eastAsia="en-US"/>
              </w:rPr>
              <w:t>147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491D2A8" w14:textId="77777777" w:rsidR="003B345D" w:rsidRPr="003B345D" w:rsidRDefault="003B345D" w:rsidP="003B345D">
            <w:pPr>
              <w:pStyle w:val="tabletext"/>
            </w:pPr>
            <w:r w:rsidRPr="003B345D">
              <w:t>Subsection 33(4)</w:t>
            </w:r>
          </w:p>
        </w:tc>
      </w:tr>
      <w:tr w:rsidR="003B345D" w:rsidRPr="003B345D" w14:paraId="0D0A5C1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371117D" w14:textId="77777777" w:rsidR="003B345D" w:rsidRPr="003B345D" w:rsidRDefault="003B345D" w:rsidP="003B345D">
            <w:pPr>
              <w:pStyle w:val="tabletext"/>
              <w:rPr>
                <w:lang w:val="en-US" w:eastAsia="en-US"/>
              </w:rPr>
            </w:pPr>
            <w:r w:rsidRPr="003B345D">
              <w:rPr>
                <w:lang w:val="en-US" w:eastAsia="en-US"/>
              </w:rPr>
              <w:t>148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B8A121" w14:textId="77777777" w:rsidR="003B345D" w:rsidRPr="003B345D" w:rsidRDefault="003B345D" w:rsidP="003B345D">
            <w:pPr>
              <w:pStyle w:val="tabletext"/>
            </w:pPr>
            <w:r w:rsidRPr="003B345D">
              <w:t>Paragraph 33(4)(a)</w:t>
            </w:r>
          </w:p>
        </w:tc>
      </w:tr>
      <w:tr w:rsidR="003B345D" w:rsidRPr="003B345D" w14:paraId="669ECBD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17B7D73" w14:textId="77777777" w:rsidR="003B345D" w:rsidRPr="003B345D" w:rsidRDefault="003B345D" w:rsidP="003B345D">
            <w:pPr>
              <w:pStyle w:val="tabletext"/>
              <w:rPr>
                <w:lang w:val="en-US" w:eastAsia="en-US"/>
              </w:rPr>
            </w:pPr>
            <w:r w:rsidRPr="003B345D">
              <w:rPr>
                <w:lang w:val="en-US" w:eastAsia="en-US"/>
              </w:rPr>
              <w:t>150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9888D3A" w14:textId="77777777" w:rsidR="003B345D" w:rsidRPr="003B345D" w:rsidRDefault="003B345D" w:rsidP="003B345D">
            <w:pPr>
              <w:pStyle w:val="tabletext"/>
            </w:pPr>
            <w:r w:rsidRPr="003B345D">
              <w:t>Subsection 33(8)</w:t>
            </w:r>
          </w:p>
        </w:tc>
      </w:tr>
      <w:tr w:rsidR="003B345D" w:rsidRPr="003B345D" w14:paraId="22F94CB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4FF459B" w14:textId="77777777" w:rsidR="003B345D" w:rsidRPr="003B345D" w:rsidRDefault="003B345D" w:rsidP="003B345D">
            <w:pPr>
              <w:pStyle w:val="tabletext"/>
              <w:rPr>
                <w:lang w:val="en-US" w:eastAsia="en-US"/>
              </w:rPr>
            </w:pPr>
            <w:r w:rsidRPr="003B345D">
              <w:rPr>
                <w:lang w:val="en-US" w:eastAsia="en-US"/>
              </w:rPr>
              <w:t>151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1E3C3B" w14:textId="77777777" w:rsidR="003B345D" w:rsidRPr="003B345D" w:rsidRDefault="003B345D" w:rsidP="003B345D">
            <w:pPr>
              <w:pStyle w:val="tabletext"/>
            </w:pPr>
            <w:r w:rsidRPr="003B345D">
              <w:t>Paragraph 33(8)(c)</w:t>
            </w:r>
          </w:p>
        </w:tc>
      </w:tr>
      <w:tr w:rsidR="003B345D" w:rsidRPr="003B345D" w14:paraId="209A41B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1010BE8" w14:textId="77777777" w:rsidR="003B345D" w:rsidRPr="003B345D" w:rsidRDefault="003B345D" w:rsidP="003B345D">
            <w:pPr>
              <w:pStyle w:val="tabletext"/>
              <w:rPr>
                <w:lang w:val="en-US" w:eastAsia="en-US"/>
              </w:rPr>
            </w:pPr>
            <w:r w:rsidRPr="003B345D">
              <w:rPr>
                <w:lang w:val="en-US" w:eastAsia="en-US"/>
              </w:rPr>
              <w:t>152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0329C13" w14:textId="77777777" w:rsidR="003B345D" w:rsidRPr="003B345D" w:rsidRDefault="003B345D" w:rsidP="003B345D">
            <w:pPr>
              <w:pStyle w:val="tabletext"/>
            </w:pPr>
            <w:r w:rsidRPr="003B345D">
              <w:t>Subsection 34(1)</w:t>
            </w:r>
          </w:p>
        </w:tc>
      </w:tr>
      <w:tr w:rsidR="003B345D" w:rsidRPr="003B345D" w14:paraId="157246D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8D902BE" w14:textId="77777777" w:rsidR="003B345D" w:rsidRPr="003B345D" w:rsidRDefault="003B345D" w:rsidP="003B345D">
            <w:pPr>
              <w:pStyle w:val="tabletext"/>
              <w:rPr>
                <w:lang w:val="en-US" w:eastAsia="en-US"/>
              </w:rPr>
            </w:pPr>
            <w:r w:rsidRPr="003B345D">
              <w:rPr>
                <w:lang w:val="en-US" w:eastAsia="en-US"/>
              </w:rPr>
              <w:t>153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84B225F" w14:textId="77777777" w:rsidR="003B345D" w:rsidRPr="003B345D" w:rsidRDefault="003B345D" w:rsidP="003B345D">
            <w:pPr>
              <w:pStyle w:val="tabletext"/>
            </w:pPr>
            <w:r w:rsidRPr="003B345D">
              <w:t>Subsection 34(1)</w:t>
            </w:r>
          </w:p>
        </w:tc>
      </w:tr>
      <w:tr w:rsidR="003B345D" w:rsidRPr="003B345D" w14:paraId="58382D0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C148603" w14:textId="77777777" w:rsidR="003B345D" w:rsidRPr="003B345D" w:rsidRDefault="003B345D" w:rsidP="003B345D">
            <w:pPr>
              <w:pStyle w:val="tabletext"/>
              <w:rPr>
                <w:lang w:val="en-US" w:eastAsia="en-US"/>
              </w:rPr>
            </w:pPr>
            <w:r w:rsidRPr="003B345D">
              <w:rPr>
                <w:lang w:val="en-US" w:eastAsia="en-US"/>
              </w:rPr>
              <w:t>154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A660E1D" w14:textId="77777777" w:rsidR="003B345D" w:rsidRPr="003B345D" w:rsidRDefault="003B345D" w:rsidP="003B345D">
            <w:pPr>
              <w:pStyle w:val="tabletext"/>
            </w:pPr>
            <w:r w:rsidRPr="003B345D">
              <w:t>Paragraph 34(1)(a)</w:t>
            </w:r>
          </w:p>
        </w:tc>
      </w:tr>
      <w:tr w:rsidR="003B345D" w:rsidRPr="003B345D" w14:paraId="7B234B7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E242BBF" w14:textId="77777777" w:rsidR="003B345D" w:rsidRPr="003B345D" w:rsidRDefault="003B345D" w:rsidP="003B345D">
            <w:pPr>
              <w:pStyle w:val="tabletext"/>
              <w:rPr>
                <w:lang w:val="en-US" w:eastAsia="en-US"/>
              </w:rPr>
            </w:pPr>
            <w:r w:rsidRPr="003B345D">
              <w:rPr>
                <w:lang w:val="en-US" w:eastAsia="en-US"/>
              </w:rPr>
              <w:t>155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CAF4628" w14:textId="77777777" w:rsidR="003B345D" w:rsidRPr="003B345D" w:rsidRDefault="003B345D" w:rsidP="003B345D">
            <w:pPr>
              <w:pStyle w:val="tabletext"/>
            </w:pPr>
            <w:r w:rsidRPr="003B345D">
              <w:t>Subsection 34(2)</w:t>
            </w:r>
          </w:p>
        </w:tc>
      </w:tr>
      <w:tr w:rsidR="003B345D" w:rsidRPr="003B345D" w14:paraId="216A213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412F364" w14:textId="77777777" w:rsidR="003B345D" w:rsidRPr="003B345D" w:rsidRDefault="003B345D" w:rsidP="003B345D">
            <w:pPr>
              <w:pStyle w:val="tabletext"/>
              <w:rPr>
                <w:lang w:val="en-US" w:eastAsia="en-US"/>
              </w:rPr>
            </w:pPr>
            <w:r w:rsidRPr="003B345D">
              <w:rPr>
                <w:lang w:val="en-US" w:eastAsia="en-US"/>
              </w:rPr>
              <w:t>156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6101108" w14:textId="77777777" w:rsidR="003B345D" w:rsidRPr="003B345D" w:rsidRDefault="003B345D" w:rsidP="003B345D">
            <w:pPr>
              <w:pStyle w:val="tabletext"/>
            </w:pPr>
            <w:r w:rsidRPr="003B345D">
              <w:t>Subsection 34(2)</w:t>
            </w:r>
          </w:p>
        </w:tc>
      </w:tr>
      <w:tr w:rsidR="003B345D" w:rsidRPr="003B345D" w14:paraId="5050220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F8A3058" w14:textId="77777777" w:rsidR="003B345D" w:rsidRPr="003B345D" w:rsidRDefault="003B345D" w:rsidP="003B345D">
            <w:pPr>
              <w:pStyle w:val="tabletext"/>
              <w:rPr>
                <w:lang w:val="en-US" w:eastAsia="en-US"/>
              </w:rPr>
            </w:pPr>
            <w:r w:rsidRPr="003B345D">
              <w:rPr>
                <w:lang w:val="en-US" w:eastAsia="en-US"/>
              </w:rPr>
              <w:t>157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6DA497" w14:textId="77777777" w:rsidR="003B345D" w:rsidRPr="003B345D" w:rsidRDefault="003B345D" w:rsidP="003B345D">
            <w:pPr>
              <w:pStyle w:val="tabletext"/>
            </w:pPr>
            <w:r w:rsidRPr="003B345D">
              <w:t>Subsection 34(3)</w:t>
            </w:r>
          </w:p>
        </w:tc>
      </w:tr>
      <w:tr w:rsidR="003B345D" w:rsidRPr="003B345D" w14:paraId="291DD34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D36330C" w14:textId="77777777" w:rsidR="003B345D" w:rsidRPr="003B345D" w:rsidRDefault="003B345D" w:rsidP="003B345D">
            <w:pPr>
              <w:pStyle w:val="tabletext"/>
              <w:rPr>
                <w:lang w:val="en-US" w:eastAsia="en-US"/>
              </w:rPr>
            </w:pPr>
            <w:r w:rsidRPr="003B345D">
              <w:rPr>
                <w:lang w:val="en-US" w:eastAsia="en-US"/>
              </w:rPr>
              <w:t>158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51184C" w14:textId="77777777" w:rsidR="003B345D" w:rsidRPr="003B345D" w:rsidRDefault="003B345D" w:rsidP="003B345D">
            <w:pPr>
              <w:pStyle w:val="tabletext"/>
            </w:pPr>
            <w:r w:rsidRPr="003B345D">
              <w:t>Subsection 34(4)</w:t>
            </w:r>
          </w:p>
        </w:tc>
      </w:tr>
      <w:tr w:rsidR="003B345D" w:rsidRPr="003B345D" w14:paraId="5D5F027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83F496B" w14:textId="77777777" w:rsidR="003B345D" w:rsidRPr="003B345D" w:rsidRDefault="003B345D" w:rsidP="003B345D">
            <w:pPr>
              <w:pStyle w:val="tabletext"/>
              <w:rPr>
                <w:lang w:val="en-US" w:eastAsia="en-US"/>
              </w:rPr>
            </w:pPr>
            <w:r w:rsidRPr="003B345D">
              <w:rPr>
                <w:lang w:val="en-US" w:eastAsia="en-US"/>
              </w:rPr>
              <w:t>159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EF08D07" w14:textId="77777777" w:rsidR="003B345D" w:rsidRPr="003B345D" w:rsidRDefault="003B345D" w:rsidP="003B345D">
            <w:pPr>
              <w:pStyle w:val="tabletext"/>
            </w:pPr>
            <w:r w:rsidRPr="003B345D">
              <w:t>Paragraph 34(4)(a)</w:t>
            </w:r>
          </w:p>
        </w:tc>
      </w:tr>
      <w:tr w:rsidR="003B345D" w:rsidRPr="003B345D" w14:paraId="76427A3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0EE3632" w14:textId="77777777" w:rsidR="003B345D" w:rsidRPr="003B345D" w:rsidRDefault="003B345D" w:rsidP="003B345D">
            <w:pPr>
              <w:pStyle w:val="tabletext"/>
              <w:rPr>
                <w:lang w:val="en-US" w:eastAsia="en-US"/>
              </w:rPr>
            </w:pPr>
            <w:r w:rsidRPr="003B345D">
              <w:rPr>
                <w:lang w:val="en-US" w:eastAsia="en-US"/>
              </w:rPr>
              <w:t>161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DA1E105" w14:textId="77777777" w:rsidR="003B345D" w:rsidRPr="003B345D" w:rsidRDefault="003B345D" w:rsidP="003B345D">
            <w:pPr>
              <w:pStyle w:val="tabletext"/>
            </w:pPr>
            <w:r w:rsidRPr="003B345D">
              <w:t>Paragraph 34(4)(b)</w:t>
            </w:r>
          </w:p>
        </w:tc>
      </w:tr>
      <w:tr w:rsidR="003B345D" w:rsidRPr="003B345D" w14:paraId="643FDD2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F589F45" w14:textId="77777777" w:rsidR="003B345D" w:rsidRPr="003B345D" w:rsidRDefault="003B345D" w:rsidP="003B345D">
            <w:pPr>
              <w:pStyle w:val="tabletext"/>
              <w:rPr>
                <w:lang w:val="en-US" w:eastAsia="en-US"/>
              </w:rPr>
            </w:pPr>
            <w:r w:rsidRPr="003B345D">
              <w:rPr>
                <w:lang w:val="en-US" w:eastAsia="en-US"/>
              </w:rPr>
              <w:t>162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E318EC" w14:textId="77777777" w:rsidR="003B345D" w:rsidRPr="003B345D" w:rsidRDefault="003B345D" w:rsidP="003B345D">
            <w:pPr>
              <w:pStyle w:val="tabletext"/>
            </w:pPr>
            <w:r w:rsidRPr="003B345D">
              <w:t>Paragraph 34(5)(a)</w:t>
            </w:r>
          </w:p>
        </w:tc>
      </w:tr>
      <w:tr w:rsidR="003B345D" w:rsidRPr="003B345D" w14:paraId="6D6BAF9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1138BE4" w14:textId="77777777" w:rsidR="003B345D" w:rsidRPr="003B345D" w:rsidRDefault="003B345D" w:rsidP="003B345D">
            <w:pPr>
              <w:pStyle w:val="tabletext"/>
              <w:rPr>
                <w:lang w:val="en-US" w:eastAsia="en-US"/>
              </w:rPr>
            </w:pPr>
            <w:r w:rsidRPr="003B345D">
              <w:rPr>
                <w:lang w:val="en-US" w:eastAsia="en-US"/>
              </w:rPr>
              <w:t>164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5EA6D30" w14:textId="77777777" w:rsidR="003B345D" w:rsidRPr="003B345D" w:rsidRDefault="003B345D" w:rsidP="003B345D">
            <w:pPr>
              <w:pStyle w:val="tabletext"/>
            </w:pPr>
            <w:r w:rsidRPr="003B345D">
              <w:t>Paragraph 34(5)(b)</w:t>
            </w:r>
          </w:p>
        </w:tc>
      </w:tr>
      <w:tr w:rsidR="003B345D" w:rsidRPr="003B345D" w14:paraId="263C80E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73C2166" w14:textId="77777777" w:rsidR="003B345D" w:rsidRPr="003B345D" w:rsidRDefault="003B345D" w:rsidP="003B345D">
            <w:pPr>
              <w:pStyle w:val="tabletext"/>
              <w:rPr>
                <w:lang w:val="en-US" w:eastAsia="en-US"/>
              </w:rPr>
            </w:pPr>
            <w:r w:rsidRPr="003B345D">
              <w:rPr>
                <w:lang w:val="en-US" w:eastAsia="en-US"/>
              </w:rPr>
              <w:t>166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DA3553" w14:textId="77777777" w:rsidR="003B345D" w:rsidRPr="003B345D" w:rsidRDefault="003B345D" w:rsidP="003B345D">
            <w:pPr>
              <w:pStyle w:val="tabletext"/>
            </w:pPr>
            <w:r w:rsidRPr="003B345D">
              <w:t>Section 34A</w:t>
            </w:r>
          </w:p>
        </w:tc>
      </w:tr>
      <w:tr w:rsidR="003B345D" w:rsidRPr="003B345D" w14:paraId="1C0E173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A28F567" w14:textId="77777777" w:rsidR="003B345D" w:rsidRPr="003B345D" w:rsidRDefault="003B345D" w:rsidP="003B345D">
            <w:pPr>
              <w:pStyle w:val="tabletext"/>
              <w:rPr>
                <w:lang w:val="en-US" w:eastAsia="en-US"/>
              </w:rPr>
            </w:pPr>
            <w:r w:rsidRPr="003B345D">
              <w:rPr>
                <w:lang w:val="en-US" w:eastAsia="en-US"/>
              </w:rPr>
              <w:t>167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05B5D11" w14:textId="77777777" w:rsidR="003B345D" w:rsidRPr="003B345D" w:rsidRDefault="003B345D" w:rsidP="003B345D">
            <w:pPr>
              <w:pStyle w:val="tabletext"/>
            </w:pPr>
            <w:r w:rsidRPr="003B345D">
              <w:t>Part 4 (heading)</w:t>
            </w:r>
          </w:p>
        </w:tc>
      </w:tr>
      <w:tr w:rsidR="003B345D" w:rsidRPr="003B345D" w14:paraId="4EAFA63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39C6740" w14:textId="77777777" w:rsidR="003B345D" w:rsidRPr="003B345D" w:rsidRDefault="003B345D" w:rsidP="003B345D">
            <w:pPr>
              <w:pStyle w:val="tabletext"/>
              <w:rPr>
                <w:lang w:val="en-US" w:eastAsia="en-US"/>
              </w:rPr>
            </w:pPr>
            <w:r w:rsidRPr="003B345D">
              <w:rPr>
                <w:lang w:val="en-US" w:eastAsia="en-US"/>
              </w:rPr>
              <w:t>168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231E1CA" w14:textId="77777777" w:rsidR="003B345D" w:rsidRPr="003B345D" w:rsidRDefault="003B345D" w:rsidP="003B345D">
            <w:pPr>
              <w:pStyle w:val="tabletext"/>
            </w:pPr>
            <w:r w:rsidRPr="003B345D">
              <w:t>Section 35 (heading)</w:t>
            </w:r>
          </w:p>
        </w:tc>
      </w:tr>
      <w:tr w:rsidR="003B345D" w:rsidRPr="003B345D" w14:paraId="2C28A6D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387C5A0" w14:textId="77777777" w:rsidR="003B345D" w:rsidRPr="003B345D" w:rsidRDefault="003B345D" w:rsidP="003B345D">
            <w:pPr>
              <w:pStyle w:val="tabletext"/>
              <w:rPr>
                <w:lang w:val="en-US" w:eastAsia="en-US"/>
              </w:rPr>
            </w:pPr>
            <w:r w:rsidRPr="003B345D">
              <w:rPr>
                <w:lang w:val="en-US" w:eastAsia="en-US"/>
              </w:rPr>
              <w:t>170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AB56676" w14:textId="77777777" w:rsidR="003B345D" w:rsidRPr="003B345D" w:rsidRDefault="003B345D" w:rsidP="003B345D">
            <w:pPr>
              <w:pStyle w:val="tabletext"/>
            </w:pPr>
            <w:r w:rsidRPr="003B345D">
              <w:t>Paragraph 35(1)(a)</w:t>
            </w:r>
          </w:p>
        </w:tc>
      </w:tr>
      <w:tr w:rsidR="003B345D" w:rsidRPr="003B345D" w14:paraId="60FBF0B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E94739F" w14:textId="77777777" w:rsidR="003B345D" w:rsidRPr="003B345D" w:rsidRDefault="003B345D" w:rsidP="003B345D">
            <w:pPr>
              <w:pStyle w:val="tabletext"/>
              <w:rPr>
                <w:lang w:val="en-US" w:eastAsia="en-US"/>
              </w:rPr>
            </w:pPr>
            <w:r w:rsidRPr="003B345D">
              <w:rPr>
                <w:lang w:val="en-US" w:eastAsia="en-US"/>
              </w:rPr>
              <w:t>172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024707C" w14:textId="77777777" w:rsidR="003B345D" w:rsidRPr="003B345D" w:rsidRDefault="003B345D" w:rsidP="003B345D">
            <w:pPr>
              <w:pStyle w:val="tabletext"/>
            </w:pPr>
            <w:r w:rsidRPr="003B345D">
              <w:t>Subsection 35(1)</w:t>
            </w:r>
          </w:p>
        </w:tc>
      </w:tr>
      <w:tr w:rsidR="003B345D" w:rsidRPr="003B345D" w14:paraId="5CB3312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C4F0BCD" w14:textId="77777777" w:rsidR="003B345D" w:rsidRPr="003B345D" w:rsidRDefault="003B345D" w:rsidP="003B345D">
            <w:pPr>
              <w:pStyle w:val="tabletext"/>
              <w:rPr>
                <w:lang w:val="en-US" w:eastAsia="en-US"/>
              </w:rPr>
            </w:pPr>
            <w:r w:rsidRPr="003B345D">
              <w:rPr>
                <w:lang w:val="en-US" w:eastAsia="en-US"/>
              </w:rPr>
              <w:t>174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F849775" w14:textId="77777777" w:rsidR="003B345D" w:rsidRPr="003B345D" w:rsidRDefault="003B345D" w:rsidP="003B345D">
            <w:pPr>
              <w:pStyle w:val="tabletext"/>
            </w:pPr>
            <w:r w:rsidRPr="003B345D">
              <w:t>Section 36 (heading)</w:t>
            </w:r>
          </w:p>
        </w:tc>
      </w:tr>
      <w:tr w:rsidR="003B345D" w:rsidRPr="003B345D" w14:paraId="438B1D4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1709FB8" w14:textId="77777777" w:rsidR="003B345D" w:rsidRPr="003B345D" w:rsidRDefault="003B345D" w:rsidP="003B345D">
            <w:pPr>
              <w:pStyle w:val="tabletext"/>
              <w:rPr>
                <w:lang w:val="en-US" w:eastAsia="en-US"/>
              </w:rPr>
            </w:pPr>
            <w:r w:rsidRPr="003B345D">
              <w:rPr>
                <w:lang w:val="en-US" w:eastAsia="en-US"/>
              </w:rPr>
              <w:t>175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AC42CA" w14:textId="77777777" w:rsidR="003B345D" w:rsidRPr="003B345D" w:rsidRDefault="003B345D" w:rsidP="003B345D">
            <w:pPr>
              <w:pStyle w:val="tabletext"/>
            </w:pPr>
            <w:r w:rsidRPr="003B345D">
              <w:t>Subsection 36(1)</w:t>
            </w:r>
          </w:p>
        </w:tc>
      </w:tr>
      <w:tr w:rsidR="003B345D" w:rsidRPr="003B345D" w14:paraId="7BAD2CA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AEEAA65" w14:textId="77777777" w:rsidR="003B345D" w:rsidRPr="003B345D" w:rsidRDefault="003B345D" w:rsidP="003B345D">
            <w:pPr>
              <w:pStyle w:val="tabletext"/>
              <w:rPr>
                <w:lang w:val="en-US" w:eastAsia="en-US"/>
              </w:rPr>
            </w:pPr>
            <w:r w:rsidRPr="003B345D">
              <w:rPr>
                <w:lang w:val="en-US" w:eastAsia="en-US"/>
              </w:rPr>
              <w:t>176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10BC5B9" w14:textId="77777777" w:rsidR="003B345D" w:rsidRPr="003B345D" w:rsidRDefault="003B345D" w:rsidP="003B345D">
            <w:pPr>
              <w:pStyle w:val="tabletext"/>
            </w:pPr>
            <w:r w:rsidRPr="003B345D">
              <w:t>Subsection 36(1)</w:t>
            </w:r>
          </w:p>
        </w:tc>
      </w:tr>
      <w:tr w:rsidR="003B345D" w:rsidRPr="003B345D" w14:paraId="45E7370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D974329" w14:textId="77777777" w:rsidR="003B345D" w:rsidRPr="003B345D" w:rsidRDefault="003B345D" w:rsidP="003B345D">
            <w:pPr>
              <w:pStyle w:val="tabletext"/>
              <w:rPr>
                <w:lang w:val="en-US" w:eastAsia="en-US"/>
              </w:rPr>
            </w:pPr>
            <w:r w:rsidRPr="003B345D">
              <w:rPr>
                <w:lang w:val="en-US" w:eastAsia="en-US"/>
              </w:rPr>
              <w:t>178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EF847CB" w14:textId="77777777" w:rsidR="003B345D" w:rsidRPr="003B345D" w:rsidRDefault="003B345D" w:rsidP="003B345D">
            <w:pPr>
              <w:pStyle w:val="tabletext"/>
            </w:pPr>
            <w:r w:rsidRPr="003B345D">
              <w:t>Section 37 (heading)</w:t>
            </w:r>
          </w:p>
        </w:tc>
      </w:tr>
      <w:tr w:rsidR="003B345D" w:rsidRPr="003B345D" w14:paraId="0834768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236B9D2" w14:textId="77777777" w:rsidR="003B345D" w:rsidRPr="003B345D" w:rsidRDefault="003B345D" w:rsidP="003B345D">
            <w:pPr>
              <w:pStyle w:val="tabletext"/>
              <w:rPr>
                <w:lang w:val="en-US" w:eastAsia="en-US"/>
              </w:rPr>
            </w:pPr>
            <w:r w:rsidRPr="003B345D">
              <w:rPr>
                <w:lang w:val="en-US" w:eastAsia="en-US"/>
              </w:rPr>
              <w:t>179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883828F" w14:textId="77777777" w:rsidR="003B345D" w:rsidRPr="003B345D" w:rsidRDefault="003B345D" w:rsidP="003B345D">
            <w:pPr>
              <w:pStyle w:val="tabletext"/>
            </w:pPr>
            <w:r w:rsidRPr="003B345D">
              <w:t>Subsections 37(1) and (2)</w:t>
            </w:r>
          </w:p>
        </w:tc>
      </w:tr>
      <w:tr w:rsidR="003B345D" w:rsidRPr="003B345D" w14:paraId="0760962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FB4C774" w14:textId="77777777" w:rsidR="003B345D" w:rsidRPr="003B345D" w:rsidRDefault="003B345D" w:rsidP="003B345D">
            <w:pPr>
              <w:pStyle w:val="tabletext"/>
              <w:rPr>
                <w:lang w:val="en-US" w:eastAsia="en-US"/>
              </w:rPr>
            </w:pPr>
            <w:r w:rsidRPr="003B345D">
              <w:rPr>
                <w:lang w:val="en-US" w:eastAsia="en-US"/>
              </w:rPr>
              <w:t>180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548AE0" w14:textId="77777777" w:rsidR="003B345D" w:rsidRPr="003B345D" w:rsidRDefault="003B345D" w:rsidP="003B345D">
            <w:pPr>
              <w:pStyle w:val="tabletext"/>
            </w:pPr>
            <w:r w:rsidRPr="003B345D">
              <w:t>Subsection 37(3)</w:t>
            </w:r>
          </w:p>
        </w:tc>
      </w:tr>
      <w:tr w:rsidR="003B345D" w:rsidRPr="003B345D" w14:paraId="6A313DC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F6C5944" w14:textId="77777777" w:rsidR="003B345D" w:rsidRPr="003B345D" w:rsidRDefault="003B345D" w:rsidP="003B345D">
            <w:pPr>
              <w:pStyle w:val="tabletext"/>
              <w:rPr>
                <w:lang w:val="en-US" w:eastAsia="en-US"/>
              </w:rPr>
            </w:pPr>
            <w:r w:rsidRPr="003B345D">
              <w:rPr>
                <w:lang w:val="en-US" w:eastAsia="en-US"/>
              </w:rPr>
              <w:t>182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AA9410D" w14:textId="77777777" w:rsidR="003B345D" w:rsidRPr="003B345D" w:rsidRDefault="003B345D" w:rsidP="003B345D">
            <w:pPr>
              <w:pStyle w:val="tabletext"/>
            </w:pPr>
            <w:r w:rsidRPr="003B345D">
              <w:t>Subsections 37(6) to (8)</w:t>
            </w:r>
          </w:p>
        </w:tc>
      </w:tr>
      <w:tr w:rsidR="003B345D" w:rsidRPr="003B345D" w14:paraId="3F35D51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E1CD682" w14:textId="77777777" w:rsidR="003B345D" w:rsidRPr="003B345D" w:rsidRDefault="003B345D" w:rsidP="003B345D">
            <w:pPr>
              <w:pStyle w:val="tabletext"/>
              <w:rPr>
                <w:lang w:val="en-US" w:eastAsia="en-US"/>
              </w:rPr>
            </w:pPr>
            <w:r w:rsidRPr="003B345D">
              <w:rPr>
                <w:lang w:val="en-US" w:eastAsia="en-US"/>
              </w:rPr>
              <w:t>183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35E2ECA" w14:textId="77777777" w:rsidR="003B345D" w:rsidRPr="003B345D" w:rsidRDefault="003B345D" w:rsidP="003B345D">
            <w:pPr>
              <w:pStyle w:val="tabletext"/>
            </w:pPr>
            <w:r w:rsidRPr="003B345D">
              <w:t>Section 38 (heading)</w:t>
            </w:r>
          </w:p>
        </w:tc>
      </w:tr>
      <w:tr w:rsidR="003B345D" w:rsidRPr="003B345D" w14:paraId="04314D5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F3BFDA4" w14:textId="77777777" w:rsidR="003B345D" w:rsidRPr="003B345D" w:rsidRDefault="003B345D" w:rsidP="003B345D">
            <w:pPr>
              <w:pStyle w:val="tabletext"/>
              <w:rPr>
                <w:lang w:val="en-US" w:eastAsia="en-US"/>
              </w:rPr>
            </w:pPr>
            <w:r w:rsidRPr="003B345D">
              <w:rPr>
                <w:lang w:val="en-US" w:eastAsia="en-US"/>
              </w:rPr>
              <w:t>184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B7E37DA" w14:textId="77777777" w:rsidR="003B345D" w:rsidRPr="003B345D" w:rsidRDefault="003B345D" w:rsidP="003B345D">
            <w:pPr>
              <w:pStyle w:val="tabletext"/>
            </w:pPr>
            <w:r w:rsidRPr="003B345D">
              <w:t>Subsection 38(1)</w:t>
            </w:r>
          </w:p>
        </w:tc>
      </w:tr>
      <w:tr w:rsidR="003B345D" w:rsidRPr="003B345D" w14:paraId="51C6AA8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26FA27E" w14:textId="77777777" w:rsidR="003B345D" w:rsidRPr="003B345D" w:rsidRDefault="003B345D" w:rsidP="003B345D">
            <w:pPr>
              <w:pStyle w:val="tabletext"/>
              <w:rPr>
                <w:lang w:val="en-US" w:eastAsia="en-US"/>
              </w:rPr>
            </w:pPr>
            <w:r w:rsidRPr="003B345D">
              <w:rPr>
                <w:lang w:val="en-US" w:eastAsia="en-US"/>
              </w:rPr>
              <w:t>186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FB9B0F6" w14:textId="77777777" w:rsidR="003B345D" w:rsidRPr="003B345D" w:rsidRDefault="003B345D" w:rsidP="003B345D">
            <w:pPr>
              <w:pStyle w:val="tabletext"/>
            </w:pPr>
            <w:r w:rsidRPr="003B345D">
              <w:t>Section 39 (heading)</w:t>
            </w:r>
          </w:p>
        </w:tc>
      </w:tr>
      <w:tr w:rsidR="003B345D" w:rsidRPr="003B345D" w14:paraId="7F7CB08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D87E83C" w14:textId="77777777" w:rsidR="003B345D" w:rsidRPr="003B345D" w:rsidRDefault="003B345D" w:rsidP="003B345D">
            <w:pPr>
              <w:pStyle w:val="tabletext"/>
              <w:rPr>
                <w:lang w:val="en-US" w:eastAsia="en-US"/>
              </w:rPr>
            </w:pPr>
            <w:r w:rsidRPr="003B345D">
              <w:rPr>
                <w:lang w:val="en-US" w:eastAsia="en-US"/>
              </w:rPr>
              <w:t>187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1E529AC" w14:textId="77777777" w:rsidR="003B345D" w:rsidRPr="003B345D" w:rsidRDefault="003B345D" w:rsidP="003B345D">
            <w:pPr>
              <w:pStyle w:val="tabletext"/>
            </w:pPr>
            <w:r w:rsidRPr="003B345D">
              <w:t>Subsection 39(1)</w:t>
            </w:r>
          </w:p>
        </w:tc>
      </w:tr>
      <w:tr w:rsidR="003B345D" w:rsidRPr="003B345D" w14:paraId="5231532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D8E2833" w14:textId="77777777" w:rsidR="003B345D" w:rsidRPr="003B345D" w:rsidRDefault="003B345D" w:rsidP="003B345D">
            <w:pPr>
              <w:pStyle w:val="tabletext"/>
              <w:rPr>
                <w:lang w:val="en-US" w:eastAsia="en-US"/>
              </w:rPr>
            </w:pPr>
            <w:r w:rsidRPr="003B345D">
              <w:rPr>
                <w:lang w:val="en-US" w:eastAsia="en-US"/>
              </w:rPr>
              <w:t>189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1A92D09" w14:textId="77777777" w:rsidR="003B345D" w:rsidRPr="003B345D" w:rsidRDefault="003B345D" w:rsidP="003B345D">
            <w:pPr>
              <w:pStyle w:val="tabletext"/>
            </w:pPr>
            <w:r w:rsidRPr="003B345D">
              <w:t>Subsection 39(3)</w:t>
            </w:r>
          </w:p>
        </w:tc>
      </w:tr>
      <w:tr w:rsidR="003B345D" w:rsidRPr="003B345D" w14:paraId="28D88A4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9504222" w14:textId="77777777" w:rsidR="003B345D" w:rsidRPr="003B345D" w:rsidRDefault="003B345D" w:rsidP="003B345D">
            <w:pPr>
              <w:pStyle w:val="tabletext"/>
              <w:rPr>
                <w:lang w:val="en-US" w:eastAsia="en-US"/>
              </w:rPr>
            </w:pPr>
            <w:r w:rsidRPr="003B345D">
              <w:rPr>
                <w:lang w:val="en-US" w:eastAsia="en-US"/>
              </w:rPr>
              <w:t>190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705E96C" w14:textId="77777777" w:rsidR="003B345D" w:rsidRPr="003B345D" w:rsidRDefault="003B345D" w:rsidP="003B345D">
            <w:pPr>
              <w:pStyle w:val="tabletext"/>
            </w:pPr>
            <w:r w:rsidRPr="003B345D">
              <w:t>Paragraph 39(3)(a)</w:t>
            </w:r>
          </w:p>
        </w:tc>
      </w:tr>
      <w:tr w:rsidR="003B345D" w:rsidRPr="003B345D" w14:paraId="1F92B90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63CDE65" w14:textId="77777777" w:rsidR="003B345D" w:rsidRPr="003B345D" w:rsidRDefault="003B345D" w:rsidP="003B345D">
            <w:pPr>
              <w:pStyle w:val="tabletext"/>
              <w:rPr>
                <w:lang w:val="en-US" w:eastAsia="en-US"/>
              </w:rPr>
            </w:pPr>
            <w:r w:rsidRPr="003B345D">
              <w:rPr>
                <w:lang w:val="en-US" w:eastAsia="en-US"/>
              </w:rPr>
              <w:t>191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2C890E" w14:textId="77777777" w:rsidR="003B345D" w:rsidRPr="003B345D" w:rsidRDefault="003B345D" w:rsidP="003B345D">
            <w:pPr>
              <w:pStyle w:val="tabletext"/>
            </w:pPr>
            <w:r w:rsidRPr="003B345D">
              <w:t>Paragraph 39(3)(a)</w:t>
            </w:r>
          </w:p>
        </w:tc>
      </w:tr>
      <w:tr w:rsidR="003B345D" w:rsidRPr="003B345D" w14:paraId="798BAE4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AD1EED4" w14:textId="77777777" w:rsidR="003B345D" w:rsidRPr="003B345D" w:rsidRDefault="003B345D" w:rsidP="003B345D">
            <w:pPr>
              <w:pStyle w:val="tabletext"/>
              <w:rPr>
                <w:lang w:val="en-US" w:eastAsia="en-US"/>
              </w:rPr>
            </w:pPr>
            <w:r w:rsidRPr="003B345D">
              <w:rPr>
                <w:lang w:val="en-US" w:eastAsia="en-US"/>
              </w:rPr>
              <w:lastRenderedPageBreak/>
              <w:t>193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C42351" w14:textId="77777777" w:rsidR="003B345D" w:rsidRPr="003B345D" w:rsidRDefault="003B345D" w:rsidP="003B345D">
            <w:pPr>
              <w:pStyle w:val="tabletext"/>
            </w:pPr>
            <w:r w:rsidRPr="003B345D">
              <w:t>Subsection 40(1)</w:t>
            </w:r>
          </w:p>
        </w:tc>
      </w:tr>
      <w:tr w:rsidR="003B345D" w:rsidRPr="003B345D" w14:paraId="16EFD0C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EA970B8" w14:textId="77777777" w:rsidR="003B345D" w:rsidRPr="003B345D" w:rsidRDefault="003B345D" w:rsidP="003B345D">
            <w:pPr>
              <w:pStyle w:val="tabletext"/>
              <w:rPr>
                <w:lang w:val="en-US" w:eastAsia="en-US"/>
              </w:rPr>
            </w:pPr>
            <w:r w:rsidRPr="003B345D">
              <w:rPr>
                <w:lang w:val="en-US" w:eastAsia="en-US"/>
              </w:rPr>
              <w:t>195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563303" w14:textId="77777777" w:rsidR="003B345D" w:rsidRPr="003B345D" w:rsidRDefault="003B345D" w:rsidP="003B345D">
            <w:pPr>
              <w:pStyle w:val="tabletext"/>
            </w:pPr>
            <w:r w:rsidRPr="003B345D">
              <w:t>Subsections 40(3) and (4)</w:t>
            </w:r>
          </w:p>
        </w:tc>
      </w:tr>
      <w:tr w:rsidR="003B345D" w:rsidRPr="003B345D" w14:paraId="711326B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9296891" w14:textId="77777777" w:rsidR="003B345D" w:rsidRPr="003B345D" w:rsidRDefault="003B345D" w:rsidP="003B345D">
            <w:pPr>
              <w:pStyle w:val="tabletext"/>
              <w:rPr>
                <w:lang w:val="en-US" w:eastAsia="en-US"/>
              </w:rPr>
            </w:pPr>
            <w:r w:rsidRPr="003B345D">
              <w:rPr>
                <w:lang w:val="en-US" w:eastAsia="en-US"/>
              </w:rPr>
              <w:t>196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49D4956" w14:textId="77777777" w:rsidR="003B345D" w:rsidRPr="003B345D" w:rsidRDefault="003B345D" w:rsidP="003B345D">
            <w:pPr>
              <w:pStyle w:val="tabletext"/>
            </w:pPr>
            <w:r w:rsidRPr="003B345D">
              <w:t>Subsection 40(5)</w:t>
            </w:r>
          </w:p>
        </w:tc>
      </w:tr>
      <w:tr w:rsidR="003B345D" w:rsidRPr="003B345D" w14:paraId="56B173D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6C1C082" w14:textId="77777777" w:rsidR="003B345D" w:rsidRPr="003B345D" w:rsidRDefault="003B345D" w:rsidP="003B345D">
            <w:pPr>
              <w:pStyle w:val="tabletext"/>
              <w:rPr>
                <w:lang w:val="en-US" w:eastAsia="en-US"/>
              </w:rPr>
            </w:pPr>
            <w:r w:rsidRPr="003B345D">
              <w:rPr>
                <w:lang w:val="en-US" w:eastAsia="en-US"/>
              </w:rPr>
              <w:t>197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202F658" w14:textId="77777777" w:rsidR="003B345D" w:rsidRPr="003B345D" w:rsidRDefault="003B345D" w:rsidP="003B345D">
            <w:pPr>
              <w:pStyle w:val="tabletext"/>
            </w:pPr>
            <w:r w:rsidRPr="003B345D">
              <w:t>Subsection 40(5)</w:t>
            </w:r>
          </w:p>
        </w:tc>
      </w:tr>
      <w:tr w:rsidR="003B345D" w:rsidRPr="003B345D" w14:paraId="77596B4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0B70D0C" w14:textId="77777777" w:rsidR="003B345D" w:rsidRPr="003B345D" w:rsidRDefault="003B345D" w:rsidP="003B345D">
            <w:pPr>
              <w:pStyle w:val="tabletext"/>
              <w:rPr>
                <w:lang w:val="en-US" w:eastAsia="en-US"/>
              </w:rPr>
            </w:pPr>
            <w:r w:rsidRPr="003B345D">
              <w:rPr>
                <w:lang w:val="en-US" w:eastAsia="en-US"/>
              </w:rPr>
              <w:t>198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97C79CC" w14:textId="77777777" w:rsidR="003B345D" w:rsidRPr="003B345D" w:rsidRDefault="003B345D" w:rsidP="003B345D">
            <w:pPr>
              <w:pStyle w:val="tabletext"/>
            </w:pPr>
            <w:r w:rsidRPr="003B345D">
              <w:t>Subsections 40(6) and (7)</w:t>
            </w:r>
          </w:p>
        </w:tc>
      </w:tr>
      <w:tr w:rsidR="003B345D" w:rsidRPr="003B345D" w14:paraId="1216345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C75CA1A" w14:textId="77777777" w:rsidR="003B345D" w:rsidRPr="003B345D" w:rsidRDefault="003B345D" w:rsidP="003B345D">
            <w:pPr>
              <w:pStyle w:val="tabletext"/>
              <w:rPr>
                <w:lang w:val="en-US" w:eastAsia="en-US"/>
              </w:rPr>
            </w:pPr>
            <w:r w:rsidRPr="003B345D">
              <w:rPr>
                <w:lang w:val="en-US" w:eastAsia="en-US"/>
              </w:rPr>
              <w:t>199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DD72795" w14:textId="77777777" w:rsidR="003B345D" w:rsidRPr="003B345D" w:rsidRDefault="003B345D" w:rsidP="003B345D">
            <w:pPr>
              <w:pStyle w:val="tabletext"/>
            </w:pPr>
            <w:r w:rsidRPr="003B345D">
              <w:t>Section 41 (heading)</w:t>
            </w:r>
          </w:p>
        </w:tc>
      </w:tr>
      <w:tr w:rsidR="003B345D" w:rsidRPr="003B345D" w14:paraId="4DC1854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8E25301" w14:textId="77777777" w:rsidR="003B345D" w:rsidRPr="003B345D" w:rsidRDefault="003B345D" w:rsidP="003B345D">
            <w:pPr>
              <w:pStyle w:val="tabletext"/>
              <w:rPr>
                <w:lang w:val="en-US" w:eastAsia="en-US"/>
              </w:rPr>
            </w:pPr>
            <w:r w:rsidRPr="003B345D">
              <w:rPr>
                <w:lang w:val="en-US" w:eastAsia="en-US"/>
              </w:rPr>
              <w:t>200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973B10" w14:textId="77777777" w:rsidR="003B345D" w:rsidRPr="003B345D" w:rsidRDefault="003B345D" w:rsidP="003B345D">
            <w:pPr>
              <w:pStyle w:val="tabletext"/>
            </w:pPr>
            <w:r w:rsidRPr="003B345D">
              <w:t>Subsection 41(1)</w:t>
            </w:r>
          </w:p>
        </w:tc>
      </w:tr>
      <w:tr w:rsidR="003B345D" w:rsidRPr="003B345D" w14:paraId="56802CE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42355BB" w14:textId="77777777" w:rsidR="003B345D" w:rsidRPr="003B345D" w:rsidRDefault="003B345D" w:rsidP="003B345D">
            <w:pPr>
              <w:pStyle w:val="tabletext"/>
              <w:rPr>
                <w:lang w:val="en-US" w:eastAsia="en-US"/>
              </w:rPr>
            </w:pPr>
            <w:r w:rsidRPr="003B345D">
              <w:rPr>
                <w:lang w:val="en-US" w:eastAsia="en-US"/>
              </w:rPr>
              <w:t>201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A9CA55A" w14:textId="77777777" w:rsidR="003B345D" w:rsidRPr="003B345D" w:rsidRDefault="003B345D" w:rsidP="003B345D">
            <w:pPr>
              <w:pStyle w:val="tabletext"/>
            </w:pPr>
            <w:r w:rsidRPr="003B345D">
              <w:t>Subsection 41(2)</w:t>
            </w:r>
          </w:p>
        </w:tc>
      </w:tr>
      <w:tr w:rsidR="003B345D" w:rsidRPr="003B345D" w14:paraId="0DA9714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E48B25B" w14:textId="77777777" w:rsidR="003B345D" w:rsidRPr="003B345D" w:rsidRDefault="003B345D" w:rsidP="003B345D">
            <w:pPr>
              <w:pStyle w:val="tabletext"/>
              <w:rPr>
                <w:lang w:val="en-US" w:eastAsia="en-US"/>
              </w:rPr>
            </w:pPr>
            <w:r w:rsidRPr="003B345D">
              <w:rPr>
                <w:lang w:val="en-US" w:eastAsia="en-US"/>
              </w:rPr>
              <w:t>202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5EF0542" w14:textId="77777777" w:rsidR="003B345D" w:rsidRPr="003B345D" w:rsidRDefault="003B345D" w:rsidP="003B345D">
            <w:pPr>
              <w:pStyle w:val="tabletext"/>
            </w:pPr>
            <w:r w:rsidRPr="003B345D">
              <w:t>Subsection 42(1)</w:t>
            </w:r>
          </w:p>
        </w:tc>
      </w:tr>
      <w:tr w:rsidR="003B345D" w:rsidRPr="003B345D" w14:paraId="00DFDDC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86C2C8E" w14:textId="77777777" w:rsidR="003B345D" w:rsidRPr="003B345D" w:rsidRDefault="003B345D" w:rsidP="003B345D">
            <w:pPr>
              <w:pStyle w:val="tabletext"/>
              <w:rPr>
                <w:lang w:val="en-US" w:eastAsia="en-US"/>
              </w:rPr>
            </w:pPr>
            <w:r w:rsidRPr="003B345D">
              <w:rPr>
                <w:lang w:val="en-US" w:eastAsia="en-US"/>
              </w:rPr>
              <w:t>204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8F6030D" w14:textId="77777777" w:rsidR="003B345D" w:rsidRPr="003B345D" w:rsidRDefault="003B345D" w:rsidP="003B345D">
            <w:pPr>
              <w:pStyle w:val="tabletext"/>
            </w:pPr>
            <w:r w:rsidRPr="003B345D">
              <w:t>Subsection 42(3)</w:t>
            </w:r>
          </w:p>
        </w:tc>
      </w:tr>
      <w:tr w:rsidR="003B345D" w:rsidRPr="003B345D" w14:paraId="1611194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74C86F2" w14:textId="77777777" w:rsidR="003B345D" w:rsidRPr="003B345D" w:rsidRDefault="003B345D" w:rsidP="003B345D">
            <w:pPr>
              <w:pStyle w:val="tabletext"/>
              <w:rPr>
                <w:lang w:val="en-US" w:eastAsia="en-US"/>
              </w:rPr>
            </w:pPr>
            <w:r w:rsidRPr="003B345D">
              <w:rPr>
                <w:lang w:val="en-US" w:eastAsia="en-US"/>
              </w:rPr>
              <w:t>205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DE1AF5B" w14:textId="77777777" w:rsidR="003B345D" w:rsidRPr="003B345D" w:rsidRDefault="003B345D" w:rsidP="003B345D">
            <w:pPr>
              <w:pStyle w:val="tabletext"/>
            </w:pPr>
            <w:r w:rsidRPr="003B345D">
              <w:t>Subsection 42(3)</w:t>
            </w:r>
          </w:p>
        </w:tc>
      </w:tr>
      <w:tr w:rsidR="003B345D" w:rsidRPr="003B345D" w14:paraId="108CC17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9047C09" w14:textId="77777777" w:rsidR="003B345D" w:rsidRPr="003B345D" w:rsidRDefault="003B345D" w:rsidP="003B345D">
            <w:pPr>
              <w:pStyle w:val="tabletext"/>
              <w:rPr>
                <w:lang w:val="en-US" w:eastAsia="en-US"/>
              </w:rPr>
            </w:pPr>
            <w:r w:rsidRPr="003B345D">
              <w:rPr>
                <w:lang w:val="en-US" w:eastAsia="en-US"/>
              </w:rPr>
              <w:t>206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C172FAD" w14:textId="77777777" w:rsidR="003B345D" w:rsidRPr="003B345D" w:rsidRDefault="003B345D" w:rsidP="003B345D">
            <w:pPr>
              <w:pStyle w:val="tabletext"/>
            </w:pPr>
            <w:r w:rsidRPr="003B345D">
              <w:t>Section 43 (heading)</w:t>
            </w:r>
          </w:p>
        </w:tc>
      </w:tr>
      <w:tr w:rsidR="003B345D" w:rsidRPr="003B345D" w14:paraId="35C5CA8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2E79063" w14:textId="77777777" w:rsidR="003B345D" w:rsidRPr="003B345D" w:rsidRDefault="003B345D" w:rsidP="003B345D">
            <w:pPr>
              <w:pStyle w:val="tabletext"/>
              <w:rPr>
                <w:lang w:val="en-US" w:eastAsia="en-US"/>
              </w:rPr>
            </w:pPr>
            <w:r w:rsidRPr="003B345D">
              <w:rPr>
                <w:lang w:val="en-US" w:eastAsia="en-US"/>
              </w:rPr>
              <w:t>207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89ACD61" w14:textId="77777777" w:rsidR="003B345D" w:rsidRPr="003B345D" w:rsidRDefault="003B345D" w:rsidP="003B345D">
            <w:pPr>
              <w:pStyle w:val="tabletext"/>
            </w:pPr>
            <w:r w:rsidRPr="003B345D">
              <w:t>Subsection 43(1)</w:t>
            </w:r>
          </w:p>
        </w:tc>
      </w:tr>
      <w:tr w:rsidR="003B345D" w:rsidRPr="003B345D" w14:paraId="785BF3C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FF83231" w14:textId="77777777" w:rsidR="003B345D" w:rsidRPr="003B345D" w:rsidRDefault="003B345D" w:rsidP="003B345D">
            <w:pPr>
              <w:pStyle w:val="tabletext"/>
              <w:rPr>
                <w:lang w:val="en-US" w:eastAsia="en-US"/>
              </w:rPr>
            </w:pPr>
            <w:r w:rsidRPr="003B345D">
              <w:rPr>
                <w:lang w:val="en-US" w:eastAsia="en-US"/>
              </w:rPr>
              <w:t>208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FAA6E72" w14:textId="77777777" w:rsidR="003B345D" w:rsidRPr="003B345D" w:rsidRDefault="003B345D" w:rsidP="003B345D">
            <w:pPr>
              <w:pStyle w:val="tabletext"/>
            </w:pPr>
            <w:r w:rsidRPr="003B345D">
              <w:t>Paragraphs 43(1)(a), (b) and (c)</w:t>
            </w:r>
          </w:p>
        </w:tc>
      </w:tr>
      <w:tr w:rsidR="003B345D" w:rsidRPr="003B345D" w14:paraId="69C48F0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AA46745" w14:textId="77777777" w:rsidR="003B345D" w:rsidRPr="003B345D" w:rsidRDefault="003B345D" w:rsidP="003B345D">
            <w:pPr>
              <w:pStyle w:val="tabletext"/>
              <w:rPr>
                <w:lang w:val="en-US" w:eastAsia="en-US"/>
              </w:rPr>
            </w:pPr>
            <w:r w:rsidRPr="003B345D">
              <w:rPr>
                <w:lang w:val="en-US" w:eastAsia="en-US"/>
              </w:rPr>
              <w:t>209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01AA8A6" w14:textId="77777777" w:rsidR="003B345D" w:rsidRPr="003B345D" w:rsidRDefault="003B345D" w:rsidP="003B345D">
            <w:pPr>
              <w:pStyle w:val="tabletext"/>
            </w:pPr>
            <w:r w:rsidRPr="003B345D">
              <w:t>Subsection 43(2)</w:t>
            </w:r>
          </w:p>
        </w:tc>
      </w:tr>
      <w:tr w:rsidR="003B345D" w:rsidRPr="003B345D" w14:paraId="15E3440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4B06F51" w14:textId="77777777" w:rsidR="003B345D" w:rsidRPr="003B345D" w:rsidRDefault="003B345D" w:rsidP="003B345D">
            <w:pPr>
              <w:pStyle w:val="tabletext"/>
              <w:rPr>
                <w:lang w:val="en-US" w:eastAsia="en-US"/>
              </w:rPr>
            </w:pPr>
            <w:r w:rsidRPr="003B345D">
              <w:rPr>
                <w:lang w:val="en-US" w:eastAsia="en-US"/>
              </w:rPr>
              <w:t>210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FAB337D" w14:textId="77777777" w:rsidR="003B345D" w:rsidRPr="003B345D" w:rsidRDefault="003B345D" w:rsidP="003B345D">
            <w:pPr>
              <w:pStyle w:val="tabletext"/>
            </w:pPr>
            <w:r w:rsidRPr="003B345D">
              <w:t>Paragraphs 43(2)(a) and (b)</w:t>
            </w:r>
          </w:p>
        </w:tc>
      </w:tr>
      <w:tr w:rsidR="003B345D" w:rsidRPr="003B345D" w14:paraId="51B9248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AB5F040" w14:textId="77777777" w:rsidR="003B345D" w:rsidRPr="003B345D" w:rsidRDefault="003B345D" w:rsidP="003B345D">
            <w:pPr>
              <w:pStyle w:val="tabletext"/>
              <w:rPr>
                <w:lang w:val="en-US" w:eastAsia="en-US"/>
              </w:rPr>
            </w:pPr>
            <w:r w:rsidRPr="003B345D">
              <w:rPr>
                <w:lang w:val="en-US" w:eastAsia="en-US"/>
              </w:rPr>
              <w:t>211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0CE9F11" w14:textId="77777777" w:rsidR="003B345D" w:rsidRPr="003B345D" w:rsidRDefault="003B345D" w:rsidP="003B345D">
            <w:pPr>
              <w:pStyle w:val="tabletext"/>
            </w:pPr>
            <w:r w:rsidRPr="003B345D">
              <w:t>Subsection 44(1)</w:t>
            </w:r>
          </w:p>
        </w:tc>
      </w:tr>
      <w:tr w:rsidR="003B345D" w:rsidRPr="003B345D" w14:paraId="4F3F5C8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6BAD7E2" w14:textId="77777777" w:rsidR="003B345D" w:rsidRPr="003B345D" w:rsidRDefault="003B345D" w:rsidP="003B345D">
            <w:pPr>
              <w:pStyle w:val="tabletext"/>
              <w:rPr>
                <w:lang w:val="en-US" w:eastAsia="en-US"/>
              </w:rPr>
            </w:pPr>
            <w:r w:rsidRPr="003B345D">
              <w:rPr>
                <w:lang w:val="en-US" w:eastAsia="en-US"/>
              </w:rPr>
              <w:t>212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8F8E394" w14:textId="77777777" w:rsidR="003B345D" w:rsidRPr="003B345D" w:rsidRDefault="003B345D" w:rsidP="003B345D">
            <w:pPr>
              <w:pStyle w:val="tabletext"/>
            </w:pPr>
            <w:r w:rsidRPr="003B345D">
              <w:t>Subsection 44(1)</w:t>
            </w:r>
          </w:p>
        </w:tc>
      </w:tr>
      <w:tr w:rsidR="003B345D" w:rsidRPr="003B345D" w14:paraId="3E72405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CCCECD3" w14:textId="77777777" w:rsidR="003B345D" w:rsidRPr="003B345D" w:rsidRDefault="003B345D" w:rsidP="003B345D">
            <w:pPr>
              <w:pStyle w:val="tabletext"/>
              <w:rPr>
                <w:lang w:val="en-US" w:eastAsia="en-US"/>
              </w:rPr>
            </w:pPr>
            <w:r w:rsidRPr="003B345D">
              <w:rPr>
                <w:lang w:val="en-US" w:eastAsia="en-US"/>
              </w:rPr>
              <w:t>213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CA62F52" w14:textId="77777777" w:rsidR="003B345D" w:rsidRPr="003B345D" w:rsidRDefault="003B345D" w:rsidP="003B345D">
            <w:pPr>
              <w:pStyle w:val="tabletext"/>
            </w:pPr>
            <w:r w:rsidRPr="003B345D">
              <w:t>Subsection 44(2)</w:t>
            </w:r>
          </w:p>
        </w:tc>
      </w:tr>
      <w:tr w:rsidR="003B345D" w:rsidRPr="003B345D" w14:paraId="76D038F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01C3F6C" w14:textId="77777777" w:rsidR="003B345D" w:rsidRPr="003B345D" w:rsidRDefault="003B345D" w:rsidP="003B345D">
            <w:pPr>
              <w:pStyle w:val="tabletext"/>
              <w:rPr>
                <w:lang w:val="en-US" w:eastAsia="en-US"/>
              </w:rPr>
            </w:pPr>
            <w:r w:rsidRPr="003B345D">
              <w:rPr>
                <w:lang w:val="en-US" w:eastAsia="en-US"/>
              </w:rPr>
              <w:t>215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6B9F3F2" w14:textId="77777777" w:rsidR="003B345D" w:rsidRPr="003B345D" w:rsidRDefault="003B345D" w:rsidP="003B345D">
            <w:pPr>
              <w:pStyle w:val="tabletext"/>
            </w:pPr>
            <w:r w:rsidRPr="003B345D">
              <w:t>Paragraphs 44(2)(a) and (b)</w:t>
            </w:r>
          </w:p>
        </w:tc>
      </w:tr>
      <w:tr w:rsidR="003B345D" w:rsidRPr="003B345D" w14:paraId="07F204F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D275D50" w14:textId="77777777" w:rsidR="003B345D" w:rsidRPr="003B345D" w:rsidRDefault="003B345D" w:rsidP="003B345D">
            <w:pPr>
              <w:pStyle w:val="tabletext"/>
              <w:rPr>
                <w:lang w:val="en-US" w:eastAsia="en-US"/>
              </w:rPr>
            </w:pPr>
            <w:r w:rsidRPr="003B345D">
              <w:rPr>
                <w:lang w:val="en-US" w:eastAsia="en-US"/>
              </w:rPr>
              <w:t>216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A339543" w14:textId="77777777" w:rsidR="003B345D" w:rsidRPr="003B345D" w:rsidRDefault="003B345D" w:rsidP="003B345D">
            <w:pPr>
              <w:pStyle w:val="tabletext"/>
            </w:pPr>
            <w:r w:rsidRPr="003B345D">
              <w:t>Subsection 45(1)</w:t>
            </w:r>
          </w:p>
        </w:tc>
      </w:tr>
      <w:tr w:rsidR="003B345D" w:rsidRPr="003B345D" w14:paraId="74F854E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AB4E7C5" w14:textId="77777777" w:rsidR="003B345D" w:rsidRPr="003B345D" w:rsidRDefault="003B345D" w:rsidP="003B345D">
            <w:pPr>
              <w:pStyle w:val="tabletext"/>
              <w:rPr>
                <w:lang w:val="en-US" w:eastAsia="en-US"/>
              </w:rPr>
            </w:pPr>
            <w:r w:rsidRPr="003B345D">
              <w:rPr>
                <w:lang w:val="en-US" w:eastAsia="en-US"/>
              </w:rPr>
              <w:t>217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92C5652" w14:textId="77777777" w:rsidR="003B345D" w:rsidRPr="003B345D" w:rsidRDefault="003B345D" w:rsidP="003B345D">
            <w:pPr>
              <w:pStyle w:val="tabletext"/>
            </w:pPr>
            <w:r w:rsidRPr="003B345D">
              <w:t>Subsection 45(2)</w:t>
            </w:r>
          </w:p>
        </w:tc>
      </w:tr>
      <w:tr w:rsidR="003B345D" w:rsidRPr="003B345D" w14:paraId="7E52A95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5DD8524" w14:textId="77777777" w:rsidR="003B345D" w:rsidRPr="003B345D" w:rsidRDefault="003B345D" w:rsidP="003B345D">
            <w:pPr>
              <w:pStyle w:val="tabletext"/>
              <w:rPr>
                <w:lang w:val="en-US" w:eastAsia="en-US"/>
              </w:rPr>
            </w:pPr>
            <w:r w:rsidRPr="003B345D">
              <w:rPr>
                <w:lang w:val="en-US" w:eastAsia="en-US"/>
              </w:rPr>
              <w:t>219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E49BFDF" w14:textId="77777777" w:rsidR="003B345D" w:rsidRPr="003B345D" w:rsidRDefault="003B345D" w:rsidP="003B345D">
            <w:pPr>
              <w:pStyle w:val="tabletext"/>
            </w:pPr>
            <w:r w:rsidRPr="003B345D">
              <w:t>Paragraph 45(2)(b)</w:t>
            </w:r>
          </w:p>
        </w:tc>
      </w:tr>
      <w:tr w:rsidR="003B345D" w:rsidRPr="003B345D" w14:paraId="339116E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437A548" w14:textId="77777777" w:rsidR="003B345D" w:rsidRPr="003B345D" w:rsidRDefault="003B345D" w:rsidP="003B345D">
            <w:pPr>
              <w:pStyle w:val="tabletext"/>
              <w:rPr>
                <w:lang w:val="en-US" w:eastAsia="en-US"/>
              </w:rPr>
            </w:pPr>
            <w:r w:rsidRPr="003B345D">
              <w:rPr>
                <w:lang w:val="en-US" w:eastAsia="en-US"/>
              </w:rPr>
              <w:t>220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5CC8EDA" w14:textId="77777777" w:rsidR="003B345D" w:rsidRPr="003B345D" w:rsidRDefault="003B345D" w:rsidP="003B345D">
            <w:pPr>
              <w:pStyle w:val="tabletext"/>
            </w:pPr>
            <w:r w:rsidRPr="003B345D">
              <w:t>Subsection 46(1)</w:t>
            </w:r>
          </w:p>
        </w:tc>
      </w:tr>
      <w:tr w:rsidR="003B345D" w:rsidRPr="003B345D" w14:paraId="34278FA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028E10D" w14:textId="77777777" w:rsidR="003B345D" w:rsidRPr="003B345D" w:rsidRDefault="003B345D" w:rsidP="003B345D">
            <w:pPr>
              <w:pStyle w:val="tabletext"/>
              <w:rPr>
                <w:lang w:val="en-US" w:eastAsia="en-US"/>
              </w:rPr>
            </w:pPr>
            <w:r w:rsidRPr="003B345D">
              <w:rPr>
                <w:lang w:val="en-US" w:eastAsia="en-US"/>
              </w:rPr>
              <w:t>221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B4EABF5" w14:textId="77777777" w:rsidR="003B345D" w:rsidRPr="003B345D" w:rsidRDefault="003B345D" w:rsidP="003B345D">
            <w:pPr>
              <w:pStyle w:val="tabletext"/>
            </w:pPr>
            <w:r w:rsidRPr="003B345D">
              <w:t>Subsection 46(2)</w:t>
            </w:r>
          </w:p>
        </w:tc>
      </w:tr>
      <w:tr w:rsidR="003B345D" w:rsidRPr="003B345D" w14:paraId="612DB3B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CBDBAC0" w14:textId="77777777" w:rsidR="003B345D" w:rsidRPr="003B345D" w:rsidRDefault="003B345D" w:rsidP="003B345D">
            <w:pPr>
              <w:pStyle w:val="tabletext"/>
              <w:rPr>
                <w:lang w:val="en-US" w:eastAsia="en-US"/>
              </w:rPr>
            </w:pPr>
            <w:r w:rsidRPr="003B345D">
              <w:rPr>
                <w:lang w:val="en-US" w:eastAsia="en-US"/>
              </w:rPr>
              <w:t>223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B2387B" w14:textId="77777777" w:rsidR="003B345D" w:rsidRPr="003B345D" w:rsidRDefault="003B345D" w:rsidP="003B345D">
            <w:pPr>
              <w:pStyle w:val="tabletext"/>
            </w:pPr>
            <w:r w:rsidRPr="003B345D">
              <w:t>Paragraphs 46(2)(a) and (b)</w:t>
            </w:r>
          </w:p>
        </w:tc>
      </w:tr>
      <w:tr w:rsidR="003B345D" w:rsidRPr="003B345D" w14:paraId="443C422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153E53F" w14:textId="77777777" w:rsidR="003B345D" w:rsidRPr="003B345D" w:rsidRDefault="003B345D" w:rsidP="003B345D">
            <w:pPr>
              <w:pStyle w:val="tabletext"/>
              <w:rPr>
                <w:lang w:val="en-US" w:eastAsia="en-US"/>
              </w:rPr>
            </w:pPr>
            <w:r w:rsidRPr="003B345D">
              <w:rPr>
                <w:lang w:val="en-US" w:eastAsia="en-US"/>
              </w:rPr>
              <w:t>224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A8E6817" w14:textId="77777777" w:rsidR="003B345D" w:rsidRPr="003B345D" w:rsidRDefault="003B345D" w:rsidP="003B345D">
            <w:pPr>
              <w:pStyle w:val="tabletext"/>
            </w:pPr>
            <w:r w:rsidRPr="003B345D">
              <w:t>Subsection 47(1)</w:t>
            </w:r>
          </w:p>
        </w:tc>
      </w:tr>
      <w:tr w:rsidR="003B345D" w:rsidRPr="003B345D" w14:paraId="7E12BCD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6C1A48F" w14:textId="77777777" w:rsidR="003B345D" w:rsidRPr="003B345D" w:rsidRDefault="003B345D" w:rsidP="003B345D">
            <w:pPr>
              <w:pStyle w:val="tabletext"/>
              <w:rPr>
                <w:lang w:val="en-US" w:eastAsia="en-US"/>
              </w:rPr>
            </w:pPr>
            <w:r w:rsidRPr="003B345D">
              <w:rPr>
                <w:lang w:val="en-US" w:eastAsia="en-US"/>
              </w:rPr>
              <w:t>225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DD2E11B" w14:textId="77777777" w:rsidR="003B345D" w:rsidRPr="003B345D" w:rsidRDefault="003B345D" w:rsidP="003B345D">
            <w:pPr>
              <w:pStyle w:val="tabletext"/>
            </w:pPr>
            <w:r w:rsidRPr="003B345D">
              <w:t>Paragraphs 47(1)(a) and (c)</w:t>
            </w:r>
          </w:p>
        </w:tc>
      </w:tr>
      <w:tr w:rsidR="003B345D" w:rsidRPr="003B345D" w14:paraId="34C3BFD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FE49EB7" w14:textId="77777777" w:rsidR="003B345D" w:rsidRPr="003B345D" w:rsidRDefault="003B345D" w:rsidP="003B345D">
            <w:pPr>
              <w:pStyle w:val="tabletext"/>
              <w:rPr>
                <w:lang w:val="en-US" w:eastAsia="en-US"/>
              </w:rPr>
            </w:pPr>
            <w:r w:rsidRPr="003B345D">
              <w:rPr>
                <w:lang w:val="en-US" w:eastAsia="en-US"/>
              </w:rPr>
              <w:t>226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A994F0" w14:textId="77777777" w:rsidR="003B345D" w:rsidRPr="003B345D" w:rsidRDefault="003B345D" w:rsidP="003B345D">
            <w:pPr>
              <w:pStyle w:val="tabletext"/>
            </w:pPr>
            <w:r w:rsidRPr="003B345D">
              <w:t>Subsection 47(2)</w:t>
            </w:r>
          </w:p>
        </w:tc>
      </w:tr>
      <w:tr w:rsidR="003B345D" w:rsidRPr="003B345D" w14:paraId="2E68808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4A2555E" w14:textId="77777777" w:rsidR="003B345D" w:rsidRPr="003B345D" w:rsidRDefault="003B345D" w:rsidP="003B345D">
            <w:pPr>
              <w:pStyle w:val="tabletext"/>
              <w:rPr>
                <w:lang w:val="en-US" w:eastAsia="en-US"/>
              </w:rPr>
            </w:pPr>
            <w:r w:rsidRPr="003B345D">
              <w:rPr>
                <w:lang w:val="en-US" w:eastAsia="en-US"/>
              </w:rPr>
              <w:t>228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2B1E9F0" w14:textId="77777777" w:rsidR="003B345D" w:rsidRPr="003B345D" w:rsidRDefault="003B345D" w:rsidP="003B345D">
            <w:pPr>
              <w:pStyle w:val="tabletext"/>
            </w:pPr>
            <w:r w:rsidRPr="003B345D">
              <w:t>Paragraph 47(2)(a)</w:t>
            </w:r>
          </w:p>
        </w:tc>
      </w:tr>
      <w:tr w:rsidR="003B345D" w:rsidRPr="003B345D" w14:paraId="3234480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A172A2E" w14:textId="77777777" w:rsidR="003B345D" w:rsidRPr="003B345D" w:rsidRDefault="003B345D" w:rsidP="003B345D">
            <w:pPr>
              <w:pStyle w:val="tabletext"/>
              <w:rPr>
                <w:lang w:val="en-US" w:eastAsia="en-US"/>
              </w:rPr>
            </w:pPr>
            <w:r w:rsidRPr="003B345D">
              <w:rPr>
                <w:lang w:val="en-US" w:eastAsia="en-US"/>
              </w:rPr>
              <w:t>229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5BA2BEE" w14:textId="77777777" w:rsidR="003B345D" w:rsidRPr="003B345D" w:rsidRDefault="003B345D" w:rsidP="003B345D">
            <w:pPr>
              <w:pStyle w:val="tabletext"/>
            </w:pPr>
            <w:r w:rsidRPr="003B345D">
              <w:t>Paragraph 47(2)(b)</w:t>
            </w:r>
          </w:p>
        </w:tc>
      </w:tr>
      <w:tr w:rsidR="003B345D" w:rsidRPr="003B345D" w14:paraId="114E977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ABB9347" w14:textId="77777777" w:rsidR="003B345D" w:rsidRPr="003B345D" w:rsidRDefault="003B345D" w:rsidP="003B345D">
            <w:pPr>
              <w:pStyle w:val="tabletext"/>
              <w:rPr>
                <w:lang w:val="en-US" w:eastAsia="en-US"/>
              </w:rPr>
            </w:pPr>
            <w:r w:rsidRPr="003B345D">
              <w:rPr>
                <w:lang w:val="en-US" w:eastAsia="en-US"/>
              </w:rPr>
              <w:t>230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90DCBC2" w14:textId="77777777" w:rsidR="003B345D" w:rsidRPr="003B345D" w:rsidRDefault="003B345D" w:rsidP="003B345D">
            <w:pPr>
              <w:pStyle w:val="tabletext"/>
            </w:pPr>
            <w:r w:rsidRPr="003B345D">
              <w:t>Subsection 48(1)</w:t>
            </w:r>
          </w:p>
        </w:tc>
      </w:tr>
      <w:tr w:rsidR="003B345D" w:rsidRPr="003B345D" w14:paraId="3851D67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F15565F" w14:textId="77777777" w:rsidR="003B345D" w:rsidRPr="003B345D" w:rsidRDefault="003B345D" w:rsidP="003B345D">
            <w:pPr>
              <w:pStyle w:val="tabletext"/>
              <w:rPr>
                <w:lang w:val="en-US" w:eastAsia="en-US"/>
              </w:rPr>
            </w:pPr>
            <w:r w:rsidRPr="003B345D">
              <w:rPr>
                <w:lang w:val="en-US" w:eastAsia="en-US"/>
              </w:rPr>
              <w:t>231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09F3F72" w14:textId="77777777" w:rsidR="003B345D" w:rsidRPr="003B345D" w:rsidRDefault="003B345D" w:rsidP="003B345D">
            <w:pPr>
              <w:pStyle w:val="tabletext"/>
            </w:pPr>
            <w:r w:rsidRPr="003B345D">
              <w:t>Paragraphs 48(1)(a) and (b)</w:t>
            </w:r>
          </w:p>
        </w:tc>
      </w:tr>
      <w:tr w:rsidR="003B345D" w:rsidRPr="003B345D" w14:paraId="6C4DAA3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69CD20B" w14:textId="77777777" w:rsidR="003B345D" w:rsidRPr="003B345D" w:rsidRDefault="003B345D" w:rsidP="003B345D">
            <w:pPr>
              <w:pStyle w:val="tabletext"/>
              <w:rPr>
                <w:lang w:val="en-US" w:eastAsia="en-US"/>
              </w:rPr>
            </w:pPr>
            <w:r w:rsidRPr="003B345D">
              <w:rPr>
                <w:lang w:val="en-US" w:eastAsia="en-US"/>
              </w:rPr>
              <w:t>232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932C8C9" w14:textId="77777777" w:rsidR="003B345D" w:rsidRPr="003B345D" w:rsidRDefault="003B345D" w:rsidP="003B345D">
            <w:pPr>
              <w:pStyle w:val="tabletext"/>
            </w:pPr>
            <w:r w:rsidRPr="003B345D">
              <w:t>Paragraph 48(1)(b)</w:t>
            </w:r>
          </w:p>
        </w:tc>
      </w:tr>
      <w:tr w:rsidR="003B345D" w:rsidRPr="003B345D" w14:paraId="1AF7493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A88396D" w14:textId="77777777" w:rsidR="003B345D" w:rsidRPr="003B345D" w:rsidRDefault="003B345D" w:rsidP="003B345D">
            <w:pPr>
              <w:pStyle w:val="tabletext"/>
              <w:rPr>
                <w:lang w:val="en-US" w:eastAsia="en-US"/>
              </w:rPr>
            </w:pPr>
            <w:r w:rsidRPr="003B345D">
              <w:rPr>
                <w:lang w:val="en-US" w:eastAsia="en-US"/>
              </w:rPr>
              <w:t>233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70FFA04" w14:textId="77777777" w:rsidR="003B345D" w:rsidRPr="003B345D" w:rsidRDefault="003B345D" w:rsidP="003B345D">
            <w:pPr>
              <w:pStyle w:val="tabletext"/>
            </w:pPr>
            <w:r w:rsidRPr="003B345D">
              <w:t>Paragraph 48(1)(c)</w:t>
            </w:r>
          </w:p>
        </w:tc>
      </w:tr>
      <w:tr w:rsidR="003B345D" w:rsidRPr="003B345D" w14:paraId="5775789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BBF9932" w14:textId="77777777" w:rsidR="003B345D" w:rsidRPr="003B345D" w:rsidRDefault="003B345D" w:rsidP="003B345D">
            <w:pPr>
              <w:pStyle w:val="tabletext"/>
              <w:rPr>
                <w:lang w:val="en-US" w:eastAsia="en-US"/>
              </w:rPr>
            </w:pPr>
            <w:r w:rsidRPr="003B345D">
              <w:rPr>
                <w:lang w:val="en-US" w:eastAsia="en-US"/>
              </w:rPr>
              <w:t>234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064D614" w14:textId="77777777" w:rsidR="003B345D" w:rsidRPr="003B345D" w:rsidRDefault="003B345D" w:rsidP="003B345D">
            <w:pPr>
              <w:pStyle w:val="tabletext"/>
            </w:pPr>
            <w:r w:rsidRPr="003B345D">
              <w:t>Subsection 48(2)</w:t>
            </w:r>
          </w:p>
        </w:tc>
      </w:tr>
      <w:tr w:rsidR="003B345D" w:rsidRPr="003B345D" w14:paraId="7A73C49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0A0CD1E" w14:textId="77777777" w:rsidR="003B345D" w:rsidRPr="003B345D" w:rsidRDefault="003B345D" w:rsidP="003B345D">
            <w:pPr>
              <w:pStyle w:val="tabletext"/>
              <w:rPr>
                <w:lang w:val="en-US" w:eastAsia="en-US"/>
              </w:rPr>
            </w:pPr>
            <w:r w:rsidRPr="003B345D">
              <w:rPr>
                <w:lang w:val="en-US" w:eastAsia="en-US"/>
              </w:rPr>
              <w:t>235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E9C693" w14:textId="77777777" w:rsidR="003B345D" w:rsidRPr="003B345D" w:rsidRDefault="003B345D" w:rsidP="003B345D">
            <w:pPr>
              <w:pStyle w:val="tabletext"/>
            </w:pPr>
            <w:r w:rsidRPr="003B345D">
              <w:t>Subsection 48(2)</w:t>
            </w:r>
          </w:p>
        </w:tc>
      </w:tr>
      <w:tr w:rsidR="003B345D" w:rsidRPr="003B345D" w14:paraId="181E3B0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64A218F" w14:textId="77777777" w:rsidR="003B345D" w:rsidRPr="003B345D" w:rsidRDefault="003B345D" w:rsidP="003B345D">
            <w:pPr>
              <w:pStyle w:val="tabletext"/>
              <w:rPr>
                <w:lang w:val="en-US" w:eastAsia="en-US"/>
              </w:rPr>
            </w:pPr>
            <w:r w:rsidRPr="003B345D">
              <w:rPr>
                <w:lang w:val="en-US" w:eastAsia="en-US"/>
              </w:rPr>
              <w:t>236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F64E15" w14:textId="77777777" w:rsidR="003B345D" w:rsidRPr="003B345D" w:rsidRDefault="003B345D" w:rsidP="003B345D">
            <w:pPr>
              <w:pStyle w:val="tabletext"/>
            </w:pPr>
            <w:r w:rsidRPr="003B345D">
              <w:t>Paragraphs 48(2)(a) and (b)</w:t>
            </w:r>
          </w:p>
        </w:tc>
      </w:tr>
      <w:tr w:rsidR="003B345D" w:rsidRPr="003B345D" w14:paraId="07380F5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ACAFBEB" w14:textId="77777777" w:rsidR="003B345D" w:rsidRPr="003B345D" w:rsidRDefault="003B345D" w:rsidP="003B345D">
            <w:pPr>
              <w:pStyle w:val="tabletext"/>
              <w:rPr>
                <w:lang w:val="en-US" w:eastAsia="en-US"/>
              </w:rPr>
            </w:pPr>
            <w:r w:rsidRPr="003B345D">
              <w:rPr>
                <w:lang w:val="en-US" w:eastAsia="en-US"/>
              </w:rPr>
              <w:t>237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2F3CB0" w14:textId="77777777" w:rsidR="003B345D" w:rsidRPr="003B345D" w:rsidRDefault="003B345D" w:rsidP="003B345D">
            <w:pPr>
              <w:pStyle w:val="tabletext"/>
            </w:pPr>
            <w:r w:rsidRPr="003B345D">
              <w:t>Subsection 49(1)</w:t>
            </w:r>
          </w:p>
        </w:tc>
      </w:tr>
      <w:tr w:rsidR="003B345D" w:rsidRPr="003B345D" w14:paraId="7BF5EA7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CB2646A" w14:textId="77777777" w:rsidR="003B345D" w:rsidRPr="003B345D" w:rsidRDefault="003B345D" w:rsidP="003B345D">
            <w:pPr>
              <w:pStyle w:val="tabletext"/>
              <w:rPr>
                <w:lang w:val="en-US" w:eastAsia="en-US"/>
              </w:rPr>
            </w:pPr>
            <w:r w:rsidRPr="003B345D">
              <w:rPr>
                <w:lang w:val="en-US" w:eastAsia="en-US"/>
              </w:rPr>
              <w:t>239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2C2F320" w14:textId="77777777" w:rsidR="003B345D" w:rsidRPr="003B345D" w:rsidRDefault="003B345D" w:rsidP="003B345D">
            <w:pPr>
              <w:pStyle w:val="tabletext"/>
            </w:pPr>
            <w:r w:rsidRPr="003B345D">
              <w:t>Subsection 49(2)</w:t>
            </w:r>
          </w:p>
        </w:tc>
      </w:tr>
      <w:tr w:rsidR="003B345D" w:rsidRPr="003B345D" w14:paraId="03C33C5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42FC665" w14:textId="77777777" w:rsidR="003B345D" w:rsidRPr="003B345D" w:rsidRDefault="003B345D" w:rsidP="003B345D">
            <w:pPr>
              <w:pStyle w:val="tabletext"/>
              <w:rPr>
                <w:lang w:val="en-US" w:eastAsia="en-US"/>
              </w:rPr>
            </w:pPr>
            <w:r w:rsidRPr="003B345D">
              <w:rPr>
                <w:lang w:val="en-US" w:eastAsia="en-US"/>
              </w:rPr>
              <w:t>240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7DAE655" w14:textId="77777777" w:rsidR="003B345D" w:rsidRPr="003B345D" w:rsidRDefault="003B345D" w:rsidP="003B345D">
            <w:pPr>
              <w:pStyle w:val="tabletext"/>
            </w:pPr>
            <w:r w:rsidRPr="003B345D">
              <w:t>Subsection 49(3)</w:t>
            </w:r>
          </w:p>
        </w:tc>
      </w:tr>
      <w:tr w:rsidR="003B345D" w:rsidRPr="003B345D" w14:paraId="503B631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3EDEFC6" w14:textId="77777777" w:rsidR="003B345D" w:rsidRPr="003B345D" w:rsidRDefault="003B345D" w:rsidP="003B345D">
            <w:pPr>
              <w:pStyle w:val="tabletext"/>
              <w:rPr>
                <w:lang w:val="en-US" w:eastAsia="en-US"/>
              </w:rPr>
            </w:pPr>
            <w:r w:rsidRPr="003B345D">
              <w:rPr>
                <w:lang w:val="en-US" w:eastAsia="en-US"/>
              </w:rPr>
              <w:t>241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1484E8" w14:textId="77777777" w:rsidR="003B345D" w:rsidRPr="003B345D" w:rsidRDefault="003B345D" w:rsidP="003B345D">
            <w:pPr>
              <w:pStyle w:val="tabletext"/>
            </w:pPr>
            <w:r w:rsidRPr="003B345D">
              <w:t>Subsection 49(4)</w:t>
            </w:r>
          </w:p>
        </w:tc>
      </w:tr>
      <w:tr w:rsidR="003B345D" w:rsidRPr="003B345D" w14:paraId="3DD78ED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1545227" w14:textId="77777777" w:rsidR="003B345D" w:rsidRPr="003B345D" w:rsidRDefault="003B345D" w:rsidP="003B345D">
            <w:pPr>
              <w:pStyle w:val="tabletext"/>
              <w:rPr>
                <w:lang w:val="en-US" w:eastAsia="en-US"/>
              </w:rPr>
            </w:pPr>
            <w:r w:rsidRPr="003B345D">
              <w:rPr>
                <w:lang w:val="en-US" w:eastAsia="en-US"/>
              </w:rPr>
              <w:t>242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AE066E0" w14:textId="77777777" w:rsidR="003B345D" w:rsidRPr="003B345D" w:rsidRDefault="003B345D" w:rsidP="003B345D">
            <w:pPr>
              <w:pStyle w:val="tabletext"/>
            </w:pPr>
            <w:r w:rsidRPr="003B345D">
              <w:t>Section 50</w:t>
            </w:r>
          </w:p>
        </w:tc>
      </w:tr>
      <w:tr w:rsidR="003B345D" w:rsidRPr="003B345D" w14:paraId="17911C4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190BF48" w14:textId="77777777" w:rsidR="003B345D" w:rsidRPr="003B345D" w:rsidRDefault="003B345D" w:rsidP="003B345D">
            <w:pPr>
              <w:pStyle w:val="tabletext"/>
              <w:rPr>
                <w:lang w:val="en-US" w:eastAsia="en-US"/>
              </w:rPr>
            </w:pPr>
            <w:r w:rsidRPr="003B345D">
              <w:rPr>
                <w:lang w:val="en-US" w:eastAsia="en-US"/>
              </w:rPr>
              <w:lastRenderedPageBreak/>
              <w:t>243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906DE75" w14:textId="77777777" w:rsidR="003B345D" w:rsidRPr="003B345D" w:rsidRDefault="003B345D" w:rsidP="003B345D">
            <w:pPr>
              <w:pStyle w:val="tabletext"/>
            </w:pPr>
            <w:r w:rsidRPr="003B345D">
              <w:t>Section 50</w:t>
            </w:r>
          </w:p>
        </w:tc>
      </w:tr>
      <w:tr w:rsidR="003B345D" w:rsidRPr="003B345D" w14:paraId="76A0E52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4F68751" w14:textId="77777777" w:rsidR="003B345D" w:rsidRPr="003B345D" w:rsidRDefault="003B345D" w:rsidP="003B345D">
            <w:pPr>
              <w:pStyle w:val="tabletext"/>
              <w:rPr>
                <w:lang w:val="en-US" w:eastAsia="en-US"/>
              </w:rPr>
            </w:pPr>
            <w:r w:rsidRPr="003B345D">
              <w:rPr>
                <w:lang w:val="en-US" w:eastAsia="en-US"/>
              </w:rPr>
              <w:t>244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B1F8C1" w14:textId="77777777" w:rsidR="003B345D" w:rsidRPr="003B345D" w:rsidRDefault="003B345D" w:rsidP="003B345D">
            <w:pPr>
              <w:pStyle w:val="tabletext"/>
            </w:pPr>
            <w:r w:rsidRPr="003B345D">
              <w:t>Subsection 51(2)</w:t>
            </w:r>
          </w:p>
        </w:tc>
      </w:tr>
      <w:tr w:rsidR="003B345D" w:rsidRPr="003B345D" w14:paraId="5FBB8E9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5839EFA" w14:textId="77777777" w:rsidR="003B345D" w:rsidRPr="003B345D" w:rsidRDefault="003B345D" w:rsidP="003B345D">
            <w:pPr>
              <w:pStyle w:val="tabletext"/>
              <w:rPr>
                <w:lang w:val="en-US" w:eastAsia="en-US"/>
              </w:rPr>
            </w:pPr>
            <w:r w:rsidRPr="003B345D">
              <w:rPr>
                <w:lang w:val="en-US" w:eastAsia="en-US"/>
              </w:rPr>
              <w:t>245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5768AE6" w14:textId="77777777" w:rsidR="003B345D" w:rsidRPr="003B345D" w:rsidRDefault="003B345D" w:rsidP="003B345D">
            <w:pPr>
              <w:pStyle w:val="tabletext"/>
            </w:pPr>
            <w:r w:rsidRPr="003B345D">
              <w:t>Paragraphs 51(2)(a) and (b)</w:t>
            </w:r>
          </w:p>
        </w:tc>
      </w:tr>
      <w:tr w:rsidR="003B345D" w:rsidRPr="003B345D" w14:paraId="2C721E2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95A2C6B" w14:textId="77777777" w:rsidR="003B345D" w:rsidRPr="003B345D" w:rsidRDefault="003B345D" w:rsidP="003B345D">
            <w:pPr>
              <w:pStyle w:val="tabletext"/>
              <w:rPr>
                <w:lang w:val="en-US" w:eastAsia="en-US"/>
              </w:rPr>
            </w:pPr>
            <w:r w:rsidRPr="003B345D">
              <w:rPr>
                <w:lang w:val="en-US" w:eastAsia="en-US"/>
              </w:rPr>
              <w:t>246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366DE7C" w14:textId="77777777" w:rsidR="003B345D" w:rsidRPr="003B345D" w:rsidRDefault="003B345D" w:rsidP="003B345D">
            <w:pPr>
              <w:pStyle w:val="tabletext"/>
            </w:pPr>
            <w:r w:rsidRPr="003B345D">
              <w:t>Subsection 51(3)</w:t>
            </w:r>
          </w:p>
        </w:tc>
      </w:tr>
      <w:tr w:rsidR="003B345D" w:rsidRPr="003B345D" w14:paraId="48C8D52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0FC8A1A" w14:textId="77777777" w:rsidR="003B345D" w:rsidRPr="003B345D" w:rsidRDefault="003B345D" w:rsidP="003B345D">
            <w:pPr>
              <w:pStyle w:val="tabletext"/>
              <w:rPr>
                <w:lang w:val="en-US" w:eastAsia="en-US"/>
              </w:rPr>
            </w:pPr>
            <w:r w:rsidRPr="003B345D">
              <w:rPr>
                <w:lang w:val="en-US" w:eastAsia="en-US"/>
              </w:rPr>
              <w:t>247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34AD48B" w14:textId="77777777" w:rsidR="003B345D" w:rsidRPr="003B345D" w:rsidRDefault="003B345D" w:rsidP="003B345D">
            <w:pPr>
              <w:pStyle w:val="tabletext"/>
            </w:pPr>
            <w:r w:rsidRPr="003B345D">
              <w:t>Section 52</w:t>
            </w:r>
          </w:p>
        </w:tc>
      </w:tr>
      <w:tr w:rsidR="003B345D" w:rsidRPr="003B345D" w14:paraId="0FEB959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BA702C7" w14:textId="77777777" w:rsidR="003B345D" w:rsidRPr="003B345D" w:rsidRDefault="003B345D" w:rsidP="003B345D">
            <w:pPr>
              <w:pStyle w:val="tabletext"/>
              <w:rPr>
                <w:lang w:val="en-US" w:eastAsia="en-US"/>
              </w:rPr>
            </w:pPr>
            <w:r w:rsidRPr="003B345D">
              <w:rPr>
                <w:lang w:val="en-US" w:eastAsia="en-US"/>
              </w:rPr>
              <w:t>248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122678F" w14:textId="77777777" w:rsidR="003B345D" w:rsidRPr="003B345D" w:rsidRDefault="003B345D" w:rsidP="003B345D">
            <w:pPr>
              <w:pStyle w:val="tabletext"/>
            </w:pPr>
            <w:r w:rsidRPr="003B345D">
              <w:t>Subsections 53(1) to (4)</w:t>
            </w:r>
          </w:p>
        </w:tc>
      </w:tr>
      <w:tr w:rsidR="003B345D" w:rsidRPr="003B345D" w14:paraId="17B15A7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BD5B37E" w14:textId="77777777" w:rsidR="003B345D" w:rsidRPr="003B345D" w:rsidRDefault="003B345D" w:rsidP="003B345D">
            <w:pPr>
              <w:pStyle w:val="tabletext"/>
              <w:rPr>
                <w:lang w:val="en-US" w:eastAsia="en-US"/>
              </w:rPr>
            </w:pPr>
            <w:r w:rsidRPr="003B345D">
              <w:rPr>
                <w:lang w:val="en-US" w:eastAsia="en-US"/>
              </w:rPr>
              <w:t>249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053BE1E" w14:textId="77777777" w:rsidR="003B345D" w:rsidRPr="003B345D" w:rsidRDefault="003B345D" w:rsidP="003B345D">
            <w:pPr>
              <w:pStyle w:val="tabletext"/>
            </w:pPr>
            <w:r w:rsidRPr="003B345D">
              <w:t>Subsection 54(1)</w:t>
            </w:r>
          </w:p>
        </w:tc>
      </w:tr>
      <w:tr w:rsidR="003B345D" w:rsidRPr="003B345D" w14:paraId="1470E1B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9E871B5" w14:textId="77777777" w:rsidR="003B345D" w:rsidRPr="003B345D" w:rsidRDefault="003B345D" w:rsidP="003B345D">
            <w:pPr>
              <w:pStyle w:val="tabletext"/>
              <w:rPr>
                <w:lang w:val="en-US" w:eastAsia="en-US"/>
              </w:rPr>
            </w:pPr>
            <w:r w:rsidRPr="003B345D">
              <w:rPr>
                <w:lang w:val="en-US" w:eastAsia="en-US"/>
              </w:rPr>
              <w:t>250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5EE480" w14:textId="77777777" w:rsidR="003B345D" w:rsidRPr="003B345D" w:rsidRDefault="003B345D" w:rsidP="003B345D">
            <w:pPr>
              <w:pStyle w:val="tabletext"/>
            </w:pPr>
            <w:r w:rsidRPr="003B345D">
              <w:t>Paragraph 54(2)(b)</w:t>
            </w:r>
          </w:p>
        </w:tc>
      </w:tr>
      <w:tr w:rsidR="003B345D" w:rsidRPr="003B345D" w14:paraId="05B10FE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990BDF7" w14:textId="77777777" w:rsidR="003B345D" w:rsidRPr="003B345D" w:rsidRDefault="003B345D" w:rsidP="003B345D">
            <w:pPr>
              <w:pStyle w:val="tabletext"/>
              <w:rPr>
                <w:lang w:val="en-US" w:eastAsia="en-US"/>
              </w:rPr>
            </w:pPr>
            <w:r w:rsidRPr="003B345D">
              <w:rPr>
                <w:lang w:val="en-US" w:eastAsia="en-US"/>
              </w:rPr>
              <w:t>251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0D4904F" w14:textId="77777777" w:rsidR="003B345D" w:rsidRPr="003B345D" w:rsidRDefault="003B345D" w:rsidP="003B345D">
            <w:pPr>
              <w:pStyle w:val="tabletext"/>
            </w:pPr>
            <w:r w:rsidRPr="003B345D">
              <w:t>Subsections 54(3) and (4)</w:t>
            </w:r>
          </w:p>
        </w:tc>
      </w:tr>
      <w:tr w:rsidR="003B345D" w:rsidRPr="003B345D" w14:paraId="48E847D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4BBC54A" w14:textId="77777777" w:rsidR="003B345D" w:rsidRPr="003B345D" w:rsidRDefault="003B345D" w:rsidP="003B345D">
            <w:pPr>
              <w:pStyle w:val="tabletext"/>
              <w:rPr>
                <w:lang w:val="en-US" w:eastAsia="en-US"/>
              </w:rPr>
            </w:pPr>
            <w:r w:rsidRPr="003B345D">
              <w:rPr>
                <w:lang w:val="en-US" w:eastAsia="en-US"/>
              </w:rPr>
              <w:t>252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28CA6CF" w14:textId="77777777" w:rsidR="003B345D" w:rsidRPr="003B345D" w:rsidRDefault="003B345D" w:rsidP="003B345D">
            <w:pPr>
              <w:pStyle w:val="tabletext"/>
            </w:pPr>
            <w:r w:rsidRPr="003B345D">
              <w:t>Subsection 55(1)</w:t>
            </w:r>
          </w:p>
        </w:tc>
      </w:tr>
      <w:tr w:rsidR="003B345D" w:rsidRPr="003B345D" w14:paraId="59DC156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219BC02" w14:textId="77777777" w:rsidR="003B345D" w:rsidRPr="003B345D" w:rsidRDefault="003B345D" w:rsidP="003B345D">
            <w:pPr>
              <w:pStyle w:val="tabletext"/>
              <w:rPr>
                <w:lang w:val="en-US" w:eastAsia="en-US"/>
              </w:rPr>
            </w:pPr>
            <w:r w:rsidRPr="003B345D">
              <w:rPr>
                <w:lang w:val="en-US" w:eastAsia="en-US"/>
              </w:rPr>
              <w:t>253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4E6096" w14:textId="77777777" w:rsidR="003B345D" w:rsidRPr="003B345D" w:rsidRDefault="003B345D" w:rsidP="003B345D">
            <w:pPr>
              <w:pStyle w:val="tabletext"/>
            </w:pPr>
            <w:r w:rsidRPr="003B345D">
              <w:t>Subsection 55(2)</w:t>
            </w:r>
          </w:p>
        </w:tc>
      </w:tr>
      <w:tr w:rsidR="003B345D" w:rsidRPr="003B345D" w14:paraId="6E762CA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B2D47F6" w14:textId="77777777" w:rsidR="003B345D" w:rsidRPr="003B345D" w:rsidRDefault="003B345D" w:rsidP="003B345D">
            <w:pPr>
              <w:pStyle w:val="tabletext"/>
              <w:rPr>
                <w:lang w:val="en-US" w:eastAsia="en-US"/>
              </w:rPr>
            </w:pPr>
            <w:r w:rsidRPr="003B345D">
              <w:rPr>
                <w:lang w:val="en-US" w:eastAsia="en-US"/>
              </w:rPr>
              <w:t>255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2E9E28" w14:textId="77777777" w:rsidR="003B345D" w:rsidRPr="003B345D" w:rsidRDefault="003B345D" w:rsidP="003B345D">
            <w:pPr>
              <w:pStyle w:val="tabletext"/>
            </w:pPr>
            <w:r w:rsidRPr="003B345D">
              <w:t>Subsections 55(4) and (5)</w:t>
            </w:r>
          </w:p>
        </w:tc>
      </w:tr>
      <w:tr w:rsidR="003B345D" w:rsidRPr="003B345D" w14:paraId="3129BB9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69D32B4" w14:textId="77777777" w:rsidR="003B345D" w:rsidRPr="003B345D" w:rsidRDefault="003B345D" w:rsidP="003B345D">
            <w:pPr>
              <w:pStyle w:val="tabletext"/>
              <w:rPr>
                <w:lang w:val="en-US" w:eastAsia="en-US"/>
              </w:rPr>
            </w:pPr>
            <w:r w:rsidRPr="003B345D">
              <w:rPr>
                <w:lang w:val="en-US" w:eastAsia="en-US"/>
              </w:rPr>
              <w:t>261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7AF0A45" w14:textId="77777777" w:rsidR="003B345D" w:rsidRPr="003B345D" w:rsidRDefault="003B345D" w:rsidP="003B345D">
            <w:pPr>
              <w:pStyle w:val="tabletext"/>
            </w:pPr>
            <w:r w:rsidRPr="003B345D">
              <w:t>Subsection 57(1)</w:t>
            </w:r>
          </w:p>
        </w:tc>
      </w:tr>
      <w:tr w:rsidR="003B345D" w:rsidRPr="003B345D" w14:paraId="2C462B1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90EE82D" w14:textId="77777777" w:rsidR="003B345D" w:rsidRPr="003B345D" w:rsidRDefault="003B345D" w:rsidP="003B345D">
            <w:pPr>
              <w:pStyle w:val="tabletext"/>
              <w:rPr>
                <w:lang w:val="en-US" w:eastAsia="en-US"/>
              </w:rPr>
            </w:pPr>
            <w:r w:rsidRPr="003B345D">
              <w:rPr>
                <w:lang w:val="en-US" w:eastAsia="en-US"/>
              </w:rPr>
              <w:t>262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BEDC909" w14:textId="77777777" w:rsidR="003B345D" w:rsidRPr="003B345D" w:rsidRDefault="003B345D" w:rsidP="003B345D">
            <w:pPr>
              <w:pStyle w:val="tabletext"/>
            </w:pPr>
            <w:r w:rsidRPr="003B345D">
              <w:t>Subsection 57(1)</w:t>
            </w:r>
          </w:p>
        </w:tc>
      </w:tr>
      <w:tr w:rsidR="003B345D" w:rsidRPr="003B345D" w14:paraId="6097B0D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AEF3259" w14:textId="77777777" w:rsidR="003B345D" w:rsidRPr="003B345D" w:rsidRDefault="003B345D" w:rsidP="003B345D">
            <w:pPr>
              <w:pStyle w:val="tabletext"/>
              <w:rPr>
                <w:lang w:val="en-US" w:eastAsia="en-US"/>
              </w:rPr>
            </w:pPr>
            <w:r w:rsidRPr="003B345D">
              <w:rPr>
                <w:lang w:val="en-US" w:eastAsia="en-US"/>
              </w:rPr>
              <w:t>264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56B4DE1" w14:textId="77777777" w:rsidR="003B345D" w:rsidRPr="003B345D" w:rsidRDefault="003B345D" w:rsidP="003B345D">
            <w:pPr>
              <w:pStyle w:val="tabletext"/>
            </w:pPr>
            <w:r w:rsidRPr="003B345D">
              <w:t>Subsection 57(2)</w:t>
            </w:r>
          </w:p>
        </w:tc>
      </w:tr>
      <w:tr w:rsidR="003B345D" w:rsidRPr="003B345D" w14:paraId="5AB6A81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668FF5A" w14:textId="77777777" w:rsidR="003B345D" w:rsidRPr="003B345D" w:rsidRDefault="003B345D" w:rsidP="003B345D">
            <w:pPr>
              <w:pStyle w:val="tabletext"/>
              <w:rPr>
                <w:lang w:val="en-US" w:eastAsia="en-US"/>
              </w:rPr>
            </w:pPr>
            <w:r w:rsidRPr="003B345D">
              <w:rPr>
                <w:lang w:val="en-US" w:eastAsia="en-US"/>
              </w:rPr>
              <w:t>271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518FD34" w14:textId="77777777" w:rsidR="003B345D" w:rsidRPr="003B345D" w:rsidRDefault="003B345D" w:rsidP="003B345D">
            <w:pPr>
              <w:pStyle w:val="tabletext"/>
            </w:pPr>
            <w:r w:rsidRPr="003B345D">
              <w:t>Subsection 57(8)</w:t>
            </w:r>
          </w:p>
        </w:tc>
      </w:tr>
      <w:tr w:rsidR="003B345D" w:rsidRPr="003B345D" w14:paraId="46CDC98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C5BE329" w14:textId="77777777" w:rsidR="003B345D" w:rsidRPr="003B345D" w:rsidRDefault="003B345D" w:rsidP="003B345D">
            <w:pPr>
              <w:pStyle w:val="tabletext"/>
              <w:rPr>
                <w:lang w:val="en-US" w:eastAsia="en-US"/>
              </w:rPr>
            </w:pPr>
            <w:r w:rsidRPr="003B345D">
              <w:rPr>
                <w:lang w:val="en-US" w:eastAsia="en-US"/>
              </w:rPr>
              <w:t>273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C265D15" w14:textId="77777777" w:rsidR="003B345D" w:rsidRPr="003B345D" w:rsidRDefault="003B345D" w:rsidP="003B345D">
            <w:pPr>
              <w:pStyle w:val="tabletext"/>
            </w:pPr>
            <w:r w:rsidRPr="003B345D">
              <w:t>Subsection 58(1)</w:t>
            </w:r>
          </w:p>
        </w:tc>
      </w:tr>
      <w:tr w:rsidR="003B345D" w:rsidRPr="003B345D" w14:paraId="05E448C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FB8B374" w14:textId="77777777" w:rsidR="003B345D" w:rsidRPr="003B345D" w:rsidRDefault="003B345D" w:rsidP="003B345D">
            <w:pPr>
              <w:pStyle w:val="tabletext"/>
              <w:rPr>
                <w:lang w:val="en-US" w:eastAsia="en-US"/>
              </w:rPr>
            </w:pPr>
            <w:r w:rsidRPr="003B345D">
              <w:rPr>
                <w:lang w:val="en-US" w:eastAsia="en-US"/>
              </w:rPr>
              <w:t>277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BC95590" w14:textId="77777777" w:rsidR="003B345D" w:rsidRPr="003B345D" w:rsidRDefault="003B345D" w:rsidP="003B345D">
            <w:pPr>
              <w:pStyle w:val="tabletext"/>
            </w:pPr>
            <w:r w:rsidRPr="003B345D">
              <w:t>Subsection 65(1)</w:t>
            </w:r>
          </w:p>
        </w:tc>
      </w:tr>
      <w:tr w:rsidR="003B345D" w:rsidRPr="003B345D" w14:paraId="4A479E2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1C907D6" w14:textId="77777777" w:rsidR="003B345D" w:rsidRPr="003B345D" w:rsidRDefault="003B345D" w:rsidP="003B345D">
            <w:pPr>
              <w:pStyle w:val="tabletext"/>
              <w:rPr>
                <w:lang w:val="en-US" w:eastAsia="en-US"/>
              </w:rPr>
            </w:pPr>
            <w:r w:rsidRPr="003B345D">
              <w:rPr>
                <w:lang w:val="en-US" w:eastAsia="en-US"/>
              </w:rPr>
              <w:t>278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3E54CA" w14:textId="77777777" w:rsidR="003B345D" w:rsidRPr="003B345D" w:rsidRDefault="003B345D" w:rsidP="003B345D">
            <w:pPr>
              <w:pStyle w:val="tabletext"/>
            </w:pPr>
            <w:r w:rsidRPr="003B345D">
              <w:t>Subsection 65(1)</w:t>
            </w:r>
          </w:p>
        </w:tc>
      </w:tr>
      <w:tr w:rsidR="003B345D" w:rsidRPr="003B345D" w14:paraId="14CDA5E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88A1C2C" w14:textId="77777777" w:rsidR="003B345D" w:rsidRPr="003B345D" w:rsidRDefault="003B345D" w:rsidP="003B345D">
            <w:pPr>
              <w:pStyle w:val="tabletext"/>
              <w:rPr>
                <w:lang w:val="en-US" w:eastAsia="en-US"/>
              </w:rPr>
            </w:pPr>
            <w:r w:rsidRPr="003B345D">
              <w:rPr>
                <w:lang w:val="en-US" w:eastAsia="en-US"/>
              </w:rPr>
              <w:t>279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567A911" w14:textId="77777777" w:rsidR="003B345D" w:rsidRPr="003B345D" w:rsidRDefault="003B345D" w:rsidP="003B345D">
            <w:pPr>
              <w:pStyle w:val="tabletext"/>
            </w:pPr>
            <w:r w:rsidRPr="003B345D">
              <w:t>Subsection 65(2)</w:t>
            </w:r>
          </w:p>
        </w:tc>
      </w:tr>
      <w:tr w:rsidR="003B345D" w:rsidRPr="003B345D" w14:paraId="288A3E5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0634A24" w14:textId="77777777" w:rsidR="003B345D" w:rsidRPr="003B345D" w:rsidRDefault="003B345D" w:rsidP="003B345D">
            <w:pPr>
              <w:pStyle w:val="tabletext"/>
              <w:rPr>
                <w:lang w:val="en-US" w:eastAsia="en-US"/>
              </w:rPr>
            </w:pPr>
            <w:r w:rsidRPr="003B345D">
              <w:rPr>
                <w:lang w:val="en-US" w:eastAsia="en-US"/>
              </w:rPr>
              <w:t>280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C202722" w14:textId="77777777" w:rsidR="003B345D" w:rsidRPr="003B345D" w:rsidRDefault="003B345D" w:rsidP="003B345D">
            <w:pPr>
              <w:pStyle w:val="tabletext"/>
            </w:pPr>
            <w:r w:rsidRPr="003B345D">
              <w:t>Subsection 65(2)</w:t>
            </w:r>
          </w:p>
        </w:tc>
      </w:tr>
      <w:tr w:rsidR="003B345D" w:rsidRPr="003B345D" w14:paraId="0319F91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A853962" w14:textId="77777777" w:rsidR="003B345D" w:rsidRPr="003B345D" w:rsidRDefault="003B345D" w:rsidP="003B345D">
            <w:pPr>
              <w:pStyle w:val="tabletext"/>
              <w:rPr>
                <w:lang w:val="en-US" w:eastAsia="en-US"/>
              </w:rPr>
            </w:pPr>
            <w:r w:rsidRPr="003B345D">
              <w:rPr>
                <w:lang w:val="en-US" w:eastAsia="en-US"/>
              </w:rPr>
              <w:t>281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F758E4" w14:textId="77777777" w:rsidR="003B345D" w:rsidRPr="003B345D" w:rsidRDefault="003B345D" w:rsidP="003B345D">
            <w:pPr>
              <w:pStyle w:val="tabletext"/>
            </w:pPr>
            <w:r w:rsidRPr="003B345D">
              <w:t>Subsection 65(3)</w:t>
            </w:r>
          </w:p>
        </w:tc>
      </w:tr>
      <w:tr w:rsidR="003B345D" w:rsidRPr="003B345D" w14:paraId="59B6D03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6750401" w14:textId="77777777" w:rsidR="003B345D" w:rsidRPr="003B345D" w:rsidRDefault="003B345D" w:rsidP="003B345D">
            <w:pPr>
              <w:pStyle w:val="tabletext"/>
              <w:rPr>
                <w:lang w:val="en-US" w:eastAsia="en-US"/>
              </w:rPr>
            </w:pPr>
            <w:r w:rsidRPr="003B345D">
              <w:rPr>
                <w:lang w:val="en-US" w:eastAsia="en-US"/>
              </w:rPr>
              <w:t>283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2275363" w14:textId="77777777" w:rsidR="003B345D" w:rsidRPr="003B345D" w:rsidRDefault="003B345D" w:rsidP="003B345D">
            <w:pPr>
              <w:pStyle w:val="tabletext"/>
            </w:pPr>
            <w:r w:rsidRPr="003B345D">
              <w:t>Section 69 (heading)</w:t>
            </w:r>
          </w:p>
        </w:tc>
      </w:tr>
      <w:tr w:rsidR="003B345D" w:rsidRPr="003B345D" w14:paraId="001ECBC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55E79E3" w14:textId="77777777" w:rsidR="003B345D" w:rsidRPr="003B345D" w:rsidRDefault="003B345D" w:rsidP="003B345D">
            <w:pPr>
              <w:pStyle w:val="tabletext"/>
              <w:rPr>
                <w:lang w:val="en-US" w:eastAsia="en-US"/>
              </w:rPr>
            </w:pPr>
            <w:r w:rsidRPr="003B345D">
              <w:rPr>
                <w:lang w:val="en-US" w:eastAsia="en-US"/>
              </w:rPr>
              <w:t>284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76E43D" w14:textId="77777777" w:rsidR="003B345D" w:rsidRPr="003B345D" w:rsidRDefault="003B345D" w:rsidP="003B345D">
            <w:pPr>
              <w:pStyle w:val="tabletext"/>
            </w:pPr>
            <w:r w:rsidRPr="003B345D">
              <w:t>Subsection 69(1) (heading)</w:t>
            </w:r>
          </w:p>
        </w:tc>
      </w:tr>
      <w:tr w:rsidR="003B345D" w:rsidRPr="003B345D" w14:paraId="6F19632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87C8668" w14:textId="77777777" w:rsidR="003B345D" w:rsidRPr="003B345D" w:rsidRDefault="003B345D" w:rsidP="003B345D">
            <w:pPr>
              <w:pStyle w:val="tabletext"/>
              <w:rPr>
                <w:lang w:val="en-US" w:eastAsia="en-US"/>
              </w:rPr>
            </w:pPr>
            <w:r w:rsidRPr="003B345D">
              <w:rPr>
                <w:lang w:val="en-US" w:eastAsia="en-US"/>
              </w:rPr>
              <w:t>285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C3D19F4" w14:textId="77777777" w:rsidR="003B345D" w:rsidRPr="003B345D" w:rsidRDefault="003B345D" w:rsidP="003B345D">
            <w:pPr>
              <w:pStyle w:val="tabletext"/>
            </w:pPr>
            <w:r w:rsidRPr="003B345D">
              <w:t>Subsection 69(1)</w:t>
            </w:r>
          </w:p>
        </w:tc>
      </w:tr>
      <w:tr w:rsidR="003B345D" w:rsidRPr="003B345D" w14:paraId="64F7645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BFDD43E" w14:textId="77777777" w:rsidR="003B345D" w:rsidRPr="003B345D" w:rsidRDefault="003B345D" w:rsidP="003B345D">
            <w:pPr>
              <w:pStyle w:val="tabletext"/>
              <w:rPr>
                <w:lang w:val="en-US" w:eastAsia="en-US"/>
              </w:rPr>
            </w:pPr>
            <w:r w:rsidRPr="003B345D">
              <w:rPr>
                <w:lang w:val="en-US" w:eastAsia="en-US"/>
              </w:rPr>
              <w:t>287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C418C8" w14:textId="77777777" w:rsidR="003B345D" w:rsidRPr="003B345D" w:rsidRDefault="003B345D" w:rsidP="003B345D">
            <w:pPr>
              <w:pStyle w:val="tabletext"/>
            </w:pPr>
            <w:r w:rsidRPr="003B345D">
              <w:t>Subsection 69(1)</w:t>
            </w:r>
          </w:p>
        </w:tc>
      </w:tr>
      <w:tr w:rsidR="003B345D" w:rsidRPr="003B345D" w14:paraId="3F27B0E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1D1DDA4" w14:textId="77777777" w:rsidR="003B345D" w:rsidRPr="003B345D" w:rsidRDefault="003B345D" w:rsidP="003B345D">
            <w:pPr>
              <w:pStyle w:val="tabletext"/>
              <w:rPr>
                <w:lang w:val="en-US" w:eastAsia="en-US"/>
              </w:rPr>
            </w:pPr>
            <w:r w:rsidRPr="003B345D">
              <w:rPr>
                <w:lang w:val="en-US" w:eastAsia="en-US"/>
              </w:rPr>
              <w:t>289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B30833D" w14:textId="77777777" w:rsidR="003B345D" w:rsidRPr="003B345D" w:rsidRDefault="003B345D" w:rsidP="003B345D">
            <w:pPr>
              <w:pStyle w:val="tabletext"/>
            </w:pPr>
            <w:r w:rsidRPr="003B345D">
              <w:t>Subsection 69(2)</w:t>
            </w:r>
          </w:p>
        </w:tc>
      </w:tr>
      <w:tr w:rsidR="003B345D" w:rsidRPr="003B345D" w14:paraId="56B0AC7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0B95990" w14:textId="77777777" w:rsidR="003B345D" w:rsidRPr="003B345D" w:rsidRDefault="003B345D" w:rsidP="003B345D">
            <w:pPr>
              <w:pStyle w:val="tabletext"/>
              <w:rPr>
                <w:lang w:val="en-US" w:eastAsia="en-US"/>
              </w:rPr>
            </w:pPr>
            <w:r w:rsidRPr="003B345D">
              <w:rPr>
                <w:lang w:val="en-US" w:eastAsia="en-US"/>
              </w:rPr>
              <w:t>294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1ADE180" w14:textId="77777777" w:rsidR="003B345D" w:rsidRPr="003B345D" w:rsidRDefault="003B345D" w:rsidP="003B345D">
            <w:pPr>
              <w:pStyle w:val="tabletext"/>
            </w:pPr>
            <w:r w:rsidRPr="003B345D">
              <w:t>Subsection 69(3)</w:t>
            </w:r>
          </w:p>
        </w:tc>
      </w:tr>
      <w:tr w:rsidR="003B345D" w:rsidRPr="003B345D" w14:paraId="158A0AF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2D51736" w14:textId="77777777" w:rsidR="003B345D" w:rsidRPr="003B345D" w:rsidRDefault="003B345D" w:rsidP="003B345D">
            <w:pPr>
              <w:pStyle w:val="tabletext"/>
              <w:rPr>
                <w:lang w:val="en-US" w:eastAsia="en-US"/>
              </w:rPr>
            </w:pPr>
            <w:r w:rsidRPr="003B345D">
              <w:rPr>
                <w:lang w:val="en-US" w:eastAsia="en-US"/>
              </w:rPr>
              <w:t>296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3E8657B" w14:textId="77777777" w:rsidR="003B345D" w:rsidRPr="003B345D" w:rsidRDefault="003B345D" w:rsidP="003B345D">
            <w:pPr>
              <w:pStyle w:val="tabletext"/>
            </w:pPr>
            <w:r w:rsidRPr="003B345D">
              <w:t>Subsection 69(3)</w:t>
            </w:r>
          </w:p>
        </w:tc>
      </w:tr>
      <w:tr w:rsidR="003B345D" w:rsidRPr="003B345D" w14:paraId="7EB6CA7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BD41D37" w14:textId="77777777" w:rsidR="003B345D" w:rsidRPr="003B345D" w:rsidRDefault="003B345D" w:rsidP="003B345D">
            <w:pPr>
              <w:pStyle w:val="tabletext"/>
              <w:rPr>
                <w:lang w:val="en-US" w:eastAsia="en-US"/>
              </w:rPr>
            </w:pPr>
            <w:r w:rsidRPr="003B345D">
              <w:rPr>
                <w:lang w:val="en-US" w:eastAsia="en-US"/>
              </w:rPr>
              <w:t>299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71C59C" w14:textId="77777777" w:rsidR="003B345D" w:rsidRPr="003B345D" w:rsidRDefault="003B345D" w:rsidP="003B345D">
            <w:pPr>
              <w:pStyle w:val="tabletext"/>
            </w:pPr>
            <w:r w:rsidRPr="003B345D">
              <w:t>Subsection 69(4)</w:t>
            </w:r>
          </w:p>
        </w:tc>
      </w:tr>
      <w:tr w:rsidR="003B345D" w:rsidRPr="003B345D" w14:paraId="518A2A5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581F412" w14:textId="77777777" w:rsidR="003B345D" w:rsidRPr="003B345D" w:rsidRDefault="003B345D" w:rsidP="003B345D">
            <w:pPr>
              <w:pStyle w:val="tabletext"/>
              <w:rPr>
                <w:lang w:val="en-US" w:eastAsia="en-US"/>
              </w:rPr>
            </w:pPr>
            <w:r w:rsidRPr="003B345D">
              <w:rPr>
                <w:lang w:val="en-US" w:eastAsia="en-US"/>
              </w:rPr>
              <w:t>302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57D4343" w14:textId="77777777" w:rsidR="003B345D" w:rsidRPr="003B345D" w:rsidRDefault="003B345D" w:rsidP="003B345D">
            <w:pPr>
              <w:pStyle w:val="tabletext"/>
            </w:pPr>
            <w:r w:rsidRPr="003B345D">
              <w:t>Subsection 69(5)</w:t>
            </w:r>
          </w:p>
        </w:tc>
      </w:tr>
      <w:tr w:rsidR="003B345D" w:rsidRPr="003B345D" w14:paraId="74F3D5E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C86627B" w14:textId="77777777" w:rsidR="003B345D" w:rsidRPr="003B345D" w:rsidRDefault="003B345D" w:rsidP="003B345D">
            <w:pPr>
              <w:pStyle w:val="tabletext"/>
              <w:rPr>
                <w:lang w:val="en-US" w:eastAsia="en-US"/>
              </w:rPr>
            </w:pPr>
            <w:r w:rsidRPr="003B345D">
              <w:rPr>
                <w:lang w:val="en-US" w:eastAsia="en-US"/>
              </w:rPr>
              <w:t>303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7CE898" w14:textId="77777777" w:rsidR="003B345D" w:rsidRPr="003B345D" w:rsidRDefault="003B345D" w:rsidP="003B345D">
            <w:pPr>
              <w:pStyle w:val="tabletext"/>
            </w:pPr>
            <w:r w:rsidRPr="003B345D">
              <w:t>Subsection 69(6)</w:t>
            </w:r>
          </w:p>
        </w:tc>
      </w:tr>
      <w:tr w:rsidR="003B345D" w:rsidRPr="003B345D" w14:paraId="2C114CF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960D73A" w14:textId="77777777" w:rsidR="003B345D" w:rsidRPr="003B345D" w:rsidRDefault="003B345D" w:rsidP="003B345D">
            <w:pPr>
              <w:pStyle w:val="tabletext"/>
              <w:rPr>
                <w:lang w:val="en-US" w:eastAsia="en-US"/>
              </w:rPr>
            </w:pPr>
            <w:r w:rsidRPr="003B345D">
              <w:rPr>
                <w:lang w:val="en-US" w:eastAsia="en-US"/>
              </w:rPr>
              <w:t>304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2DB8A5" w14:textId="77777777" w:rsidR="003B345D" w:rsidRPr="003B345D" w:rsidRDefault="003B345D" w:rsidP="003B345D">
            <w:pPr>
              <w:pStyle w:val="tabletext"/>
            </w:pPr>
            <w:r w:rsidRPr="003B345D">
              <w:t>Subsection 69(6)</w:t>
            </w:r>
          </w:p>
        </w:tc>
      </w:tr>
      <w:tr w:rsidR="003B345D" w:rsidRPr="003B345D" w14:paraId="390BD32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EC33E7B" w14:textId="77777777" w:rsidR="003B345D" w:rsidRPr="003B345D" w:rsidRDefault="003B345D" w:rsidP="003B345D">
            <w:pPr>
              <w:pStyle w:val="tabletext"/>
              <w:rPr>
                <w:lang w:val="en-US" w:eastAsia="en-US"/>
              </w:rPr>
            </w:pPr>
            <w:r w:rsidRPr="003B345D">
              <w:rPr>
                <w:lang w:val="en-US" w:eastAsia="en-US"/>
              </w:rPr>
              <w:t>305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40D3D8" w14:textId="77777777" w:rsidR="003B345D" w:rsidRPr="003B345D" w:rsidRDefault="003B345D" w:rsidP="003B345D">
            <w:pPr>
              <w:pStyle w:val="tabletext"/>
            </w:pPr>
            <w:r w:rsidRPr="003B345D">
              <w:t>Section 70 (heading)</w:t>
            </w:r>
          </w:p>
        </w:tc>
      </w:tr>
      <w:tr w:rsidR="003B345D" w:rsidRPr="003B345D" w14:paraId="65B08F4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5B10053" w14:textId="77777777" w:rsidR="003B345D" w:rsidRPr="003B345D" w:rsidRDefault="003B345D" w:rsidP="003B345D">
            <w:pPr>
              <w:pStyle w:val="tabletext"/>
              <w:rPr>
                <w:lang w:val="en-US" w:eastAsia="en-US"/>
              </w:rPr>
            </w:pPr>
            <w:r w:rsidRPr="003B345D">
              <w:rPr>
                <w:lang w:val="en-US" w:eastAsia="en-US"/>
              </w:rPr>
              <w:t>306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66329D" w14:textId="77777777" w:rsidR="003B345D" w:rsidRPr="003B345D" w:rsidRDefault="003B345D" w:rsidP="003B345D">
            <w:pPr>
              <w:pStyle w:val="tabletext"/>
            </w:pPr>
            <w:r w:rsidRPr="003B345D">
              <w:t>Section 70</w:t>
            </w:r>
          </w:p>
        </w:tc>
      </w:tr>
      <w:tr w:rsidR="003B345D" w:rsidRPr="003B345D" w14:paraId="78556DE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1761D6B" w14:textId="77777777" w:rsidR="003B345D" w:rsidRPr="003B345D" w:rsidRDefault="003B345D" w:rsidP="003B345D">
            <w:pPr>
              <w:pStyle w:val="tabletext"/>
              <w:rPr>
                <w:lang w:val="en-US" w:eastAsia="en-US"/>
              </w:rPr>
            </w:pPr>
            <w:r w:rsidRPr="003B345D">
              <w:rPr>
                <w:lang w:val="en-US" w:eastAsia="en-US"/>
              </w:rPr>
              <w:t>307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B535E4C" w14:textId="77777777" w:rsidR="003B345D" w:rsidRPr="003B345D" w:rsidRDefault="003B345D" w:rsidP="003B345D">
            <w:pPr>
              <w:pStyle w:val="tabletext"/>
            </w:pPr>
            <w:r w:rsidRPr="003B345D">
              <w:t>Section 71</w:t>
            </w:r>
          </w:p>
        </w:tc>
      </w:tr>
      <w:tr w:rsidR="003B345D" w:rsidRPr="003B345D" w14:paraId="7D582AF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067726C" w14:textId="77777777" w:rsidR="003B345D" w:rsidRPr="003B345D" w:rsidRDefault="003B345D" w:rsidP="003B345D">
            <w:pPr>
              <w:pStyle w:val="tabletext"/>
              <w:rPr>
                <w:lang w:val="en-US" w:eastAsia="en-US"/>
              </w:rPr>
            </w:pPr>
            <w:r w:rsidRPr="003B345D">
              <w:rPr>
                <w:lang w:val="en-US" w:eastAsia="en-US"/>
              </w:rPr>
              <w:t>308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B9D51CF" w14:textId="77777777" w:rsidR="003B345D" w:rsidRPr="003B345D" w:rsidRDefault="003B345D" w:rsidP="003B345D">
            <w:pPr>
              <w:pStyle w:val="tabletext"/>
            </w:pPr>
            <w:r w:rsidRPr="003B345D">
              <w:t>Section 72</w:t>
            </w:r>
          </w:p>
        </w:tc>
      </w:tr>
      <w:tr w:rsidR="003B345D" w:rsidRPr="003B345D" w14:paraId="6EE8A94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A7654B9" w14:textId="77777777" w:rsidR="003B345D" w:rsidRPr="003B345D" w:rsidRDefault="003B345D" w:rsidP="003B345D">
            <w:pPr>
              <w:pStyle w:val="tabletext"/>
              <w:rPr>
                <w:lang w:val="en-US" w:eastAsia="en-US"/>
              </w:rPr>
            </w:pPr>
            <w:r w:rsidRPr="003B345D">
              <w:rPr>
                <w:lang w:val="en-US" w:eastAsia="en-US"/>
              </w:rPr>
              <w:t>309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89D202F" w14:textId="77777777" w:rsidR="003B345D" w:rsidRPr="003B345D" w:rsidRDefault="003B345D" w:rsidP="003B345D">
            <w:pPr>
              <w:pStyle w:val="tabletext"/>
            </w:pPr>
            <w:r w:rsidRPr="003B345D">
              <w:t>Paragraph 73(a)</w:t>
            </w:r>
          </w:p>
        </w:tc>
      </w:tr>
      <w:tr w:rsidR="003B345D" w:rsidRPr="003B345D" w14:paraId="6D03767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EB1F7F4" w14:textId="77777777" w:rsidR="003B345D" w:rsidRPr="003B345D" w:rsidRDefault="003B345D" w:rsidP="003B345D">
            <w:pPr>
              <w:pStyle w:val="tabletext"/>
              <w:rPr>
                <w:lang w:val="en-US" w:eastAsia="en-US"/>
              </w:rPr>
            </w:pPr>
            <w:r w:rsidRPr="003B345D">
              <w:rPr>
                <w:lang w:val="en-US" w:eastAsia="en-US"/>
              </w:rPr>
              <w:t>310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8247A6" w14:textId="77777777" w:rsidR="003B345D" w:rsidRPr="003B345D" w:rsidRDefault="003B345D" w:rsidP="003B345D">
            <w:pPr>
              <w:pStyle w:val="tabletext"/>
            </w:pPr>
            <w:r w:rsidRPr="003B345D">
              <w:t>Paragraph 73(b)</w:t>
            </w:r>
          </w:p>
        </w:tc>
      </w:tr>
      <w:tr w:rsidR="003B345D" w:rsidRPr="003B345D" w14:paraId="2A55559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8E44776" w14:textId="77777777" w:rsidR="003B345D" w:rsidRPr="003B345D" w:rsidRDefault="003B345D" w:rsidP="003B345D">
            <w:pPr>
              <w:pStyle w:val="tabletext"/>
              <w:rPr>
                <w:lang w:val="en-US" w:eastAsia="en-US"/>
              </w:rPr>
            </w:pPr>
            <w:r w:rsidRPr="003B345D">
              <w:rPr>
                <w:lang w:val="en-US" w:eastAsia="en-US"/>
              </w:rPr>
              <w:t>312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896555B" w14:textId="77777777" w:rsidR="003B345D" w:rsidRPr="003B345D" w:rsidRDefault="003B345D" w:rsidP="003B345D">
            <w:pPr>
              <w:pStyle w:val="tabletext"/>
            </w:pPr>
            <w:r w:rsidRPr="003B345D">
              <w:t>Section 75 (heading)</w:t>
            </w:r>
          </w:p>
        </w:tc>
      </w:tr>
      <w:tr w:rsidR="003B345D" w:rsidRPr="003B345D" w14:paraId="19AEFA9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6C10095" w14:textId="77777777" w:rsidR="003B345D" w:rsidRPr="003B345D" w:rsidRDefault="003B345D" w:rsidP="003B345D">
            <w:pPr>
              <w:pStyle w:val="tabletext"/>
              <w:rPr>
                <w:lang w:val="en-US" w:eastAsia="en-US"/>
              </w:rPr>
            </w:pPr>
            <w:r w:rsidRPr="003B345D">
              <w:rPr>
                <w:lang w:val="en-US" w:eastAsia="en-US"/>
              </w:rPr>
              <w:t>313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5402A98" w14:textId="77777777" w:rsidR="003B345D" w:rsidRPr="003B345D" w:rsidRDefault="003B345D" w:rsidP="003B345D">
            <w:pPr>
              <w:pStyle w:val="tabletext"/>
            </w:pPr>
            <w:r w:rsidRPr="003B345D">
              <w:t>Section 75</w:t>
            </w:r>
          </w:p>
        </w:tc>
      </w:tr>
      <w:tr w:rsidR="003B345D" w:rsidRPr="003B345D" w14:paraId="5CF2C28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8D01F83" w14:textId="77777777" w:rsidR="003B345D" w:rsidRPr="003B345D" w:rsidRDefault="003B345D" w:rsidP="003B345D">
            <w:pPr>
              <w:pStyle w:val="tabletext"/>
              <w:rPr>
                <w:lang w:val="en-US" w:eastAsia="en-US"/>
              </w:rPr>
            </w:pPr>
            <w:r w:rsidRPr="003B345D">
              <w:rPr>
                <w:lang w:val="en-US" w:eastAsia="en-US"/>
              </w:rPr>
              <w:t>315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55C853" w14:textId="77777777" w:rsidR="003B345D" w:rsidRPr="003B345D" w:rsidRDefault="003B345D" w:rsidP="003B345D">
            <w:pPr>
              <w:pStyle w:val="tabletext"/>
            </w:pPr>
            <w:r w:rsidRPr="003B345D">
              <w:t>Paragraph 75(b)</w:t>
            </w:r>
          </w:p>
        </w:tc>
      </w:tr>
      <w:tr w:rsidR="003B345D" w:rsidRPr="003B345D" w14:paraId="28A2153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81EE0CE" w14:textId="77777777" w:rsidR="003B345D" w:rsidRPr="003B345D" w:rsidRDefault="003B345D" w:rsidP="003B345D">
            <w:pPr>
              <w:pStyle w:val="tabletext"/>
              <w:rPr>
                <w:lang w:val="en-US" w:eastAsia="en-US"/>
              </w:rPr>
            </w:pPr>
            <w:r w:rsidRPr="003B345D">
              <w:rPr>
                <w:lang w:val="en-US" w:eastAsia="en-US"/>
              </w:rPr>
              <w:t>317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3A33E85" w14:textId="77777777" w:rsidR="003B345D" w:rsidRPr="003B345D" w:rsidRDefault="003B345D" w:rsidP="003B345D">
            <w:pPr>
              <w:pStyle w:val="tabletext"/>
            </w:pPr>
            <w:r w:rsidRPr="003B345D">
              <w:t>Section 78</w:t>
            </w:r>
          </w:p>
        </w:tc>
      </w:tr>
      <w:tr w:rsidR="003B345D" w:rsidRPr="003B345D" w14:paraId="6ED1E85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D14887D" w14:textId="77777777" w:rsidR="003B345D" w:rsidRPr="003B345D" w:rsidRDefault="003B345D" w:rsidP="003B345D">
            <w:pPr>
              <w:pStyle w:val="tabletext"/>
              <w:rPr>
                <w:lang w:val="en-US" w:eastAsia="en-US"/>
              </w:rPr>
            </w:pPr>
            <w:r w:rsidRPr="003B345D">
              <w:rPr>
                <w:lang w:val="en-US" w:eastAsia="en-US"/>
              </w:rPr>
              <w:lastRenderedPageBreak/>
              <w:t>319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C51560" w14:textId="77777777" w:rsidR="003B345D" w:rsidRPr="003B345D" w:rsidRDefault="003B345D" w:rsidP="003B345D">
            <w:pPr>
              <w:pStyle w:val="tabletext"/>
            </w:pPr>
            <w:r w:rsidRPr="003B345D">
              <w:t>Subsection 80(1)</w:t>
            </w:r>
          </w:p>
        </w:tc>
      </w:tr>
      <w:tr w:rsidR="003B345D" w:rsidRPr="003B345D" w14:paraId="1BA704F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5CBB4CB" w14:textId="77777777" w:rsidR="003B345D" w:rsidRPr="003B345D" w:rsidRDefault="003B345D" w:rsidP="003B345D">
            <w:pPr>
              <w:pStyle w:val="tabletext"/>
              <w:rPr>
                <w:lang w:val="en-US" w:eastAsia="en-US"/>
              </w:rPr>
            </w:pPr>
            <w:r w:rsidRPr="003B345D">
              <w:rPr>
                <w:lang w:val="en-US" w:eastAsia="en-US"/>
              </w:rPr>
              <w:t>332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2E37907" w14:textId="77777777" w:rsidR="003B345D" w:rsidRPr="003B345D" w:rsidRDefault="003B345D" w:rsidP="003B345D">
            <w:pPr>
              <w:pStyle w:val="tabletext"/>
            </w:pPr>
            <w:r w:rsidRPr="003B345D">
              <w:t>Subsection 87(11)</w:t>
            </w:r>
          </w:p>
        </w:tc>
      </w:tr>
      <w:tr w:rsidR="003B345D" w:rsidRPr="003B345D" w14:paraId="4C0BF50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176687F" w14:textId="77777777" w:rsidR="003B345D" w:rsidRPr="003B345D" w:rsidRDefault="003B345D" w:rsidP="003B345D">
            <w:pPr>
              <w:pStyle w:val="tabletext"/>
              <w:rPr>
                <w:lang w:val="en-US" w:eastAsia="en-US"/>
              </w:rPr>
            </w:pPr>
            <w:r w:rsidRPr="003B345D">
              <w:rPr>
                <w:lang w:val="en-US" w:eastAsia="en-US"/>
              </w:rPr>
              <w:t>333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693B823" w14:textId="77777777" w:rsidR="003B345D" w:rsidRPr="003B345D" w:rsidRDefault="003B345D" w:rsidP="003B345D">
            <w:pPr>
              <w:pStyle w:val="tabletext"/>
            </w:pPr>
            <w:r w:rsidRPr="003B345D">
              <w:t>Subsection 88(4)</w:t>
            </w:r>
          </w:p>
        </w:tc>
      </w:tr>
      <w:tr w:rsidR="00947E92" w:rsidRPr="003B345D" w14:paraId="5944AA8A"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744013CE" w14:textId="083E14CE" w:rsidR="00947E92" w:rsidRPr="006B273B" w:rsidRDefault="00947E92" w:rsidP="003B345D">
            <w:pPr>
              <w:pStyle w:val="tabletext"/>
              <w:rPr>
                <w:b/>
              </w:rPr>
            </w:pPr>
            <w:r w:rsidRPr="006B273B">
              <w:rPr>
                <w:b/>
              </w:rPr>
              <w:t>B</w:t>
            </w:r>
            <w:r w:rsidR="00555C42">
              <w:rPr>
                <w:b/>
              </w:rPr>
              <w:t>usiness Names Registration</w:t>
            </w:r>
            <w:r w:rsidRPr="006B273B">
              <w:rPr>
                <w:b/>
              </w:rPr>
              <w:t xml:space="preserve"> (Transitional and Consequential Provisions) Act 2011</w:t>
            </w:r>
          </w:p>
        </w:tc>
      </w:tr>
      <w:tr w:rsidR="003B345D" w:rsidRPr="003B345D" w14:paraId="173E81E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A4F65B2" w14:textId="77777777" w:rsidR="003B345D" w:rsidRPr="003B345D" w:rsidRDefault="003B345D" w:rsidP="003B345D">
            <w:pPr>
              <w:pStyle w:val="tabletext"/>
              <w:rPr>
                <w:lang w:val="en-US" w:eastAsia="en-US"/>
              </w:rPr>
            </w:pPr>
            <w:r w:rsidRPr="003B345D">
              <w:rPr>
                <w:lang w:val="en-US" w:eastAsia="en-US"/>
              </w:rPr>
              <w:t>336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2FD3748" w14:textId="77777777" w:rsidR="003B345D" w:rsidRPr="003B345D" w:rsidRDefault="003B345D" w:rsidP="003B345D">
            <w:pPr>
              <w:pStyle w:val="tabletext"/>
            </w:pPr>
            <w:r w:rsidRPr="003B345D">
              <w:t>Item 14 of Schedule 1 (heading)</w:t>
            </w:r>
          </w:p>
        </w:tc>
      </w:tr>
      <w:tr w:rsidR="003B345D" w:rsidRPr="003B345D" w14:paraId="3720FFE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40B207C" w14:textId="77777777" w:rsidR="003B345D" w:rsidRPr="003B345D" w:rsidRDefault="003B345D" w:rsidP="003B345D">
            <w:pPr>
              <w:pStyle w:val="tabletext"/>
              <w:rPr>
                <w:lang w:val="en-US" w:eastAsia="en-US"/>
              </w:rPr>
            </w:pPr>
            <w:r w:rsidRPr="003B345D">
              <w:rPr>
                <w:lang w:val="en-US" w:eastAsia="en-US"/>
              </w:rPr>
              <w:t>337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9EA2883" w14:textId="77777777" w:rsidR="003B345D" w:rsidRPr="003B345D" w:rsidRDefault="003B345D" w:rsidP="003B345D">
            <w:pPr>
              <w:pStyle w:val="tabletext"/>
            </w:pPr>
            <w:r w:rsidRPr="003B345D">
              <w:t>Item 14 of Schedule 1</w:t>
            </w:r>
          </w:p>
        </w:tc>
      </w:tr>
      <w:tr w:rsidR="003B345D" w:rsidRPr="003B345D" w14:paraId="1527833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8064AB7" w14:textId="77777777" w:rsidR="003B345D" w:rsidRPr="003B345D" w:rsidRDefault="003B345D" w:rsidP="003B345D">
            <w:pPr>
              <w:pStyle w:val="tabletext"/>
              <w:rPr>
                <w:lang w:val="en-US" w:eastAsia="en-US"/>
              </w:rPr>
            </w:pPr>
            <w:r w:rsidRPr="003B345D">
              <w:rPr>
                <w:lang w:val="en-US" w:eastAsia="en-US"/>
              </w:rPr>
              <w:t>338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46D0361" w14:textId="77777777" w:rsidR="003B345D" w:rsidRPr="003B345D" w:rsidRDefault="003B345D" w:rsidP="003B345D">
            <w:pPr>
              <w:pStyle w:val="tabletext"/>
            </w:pPr>
            <w:r w:rsidRPr="003B345D">
              <w:t>Item 14 of Schedule 1 (note)</w:t>
            </w:r>
          </w:p>
        </w:tc>
      </w:tr>
      <w:tr w:rsidR="003B345D" w:rsidRPr="003B345D" w14:paraId="2672E09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7E1D33D" w14:textId="77777777" w:rsidR="003B345D" w:rsidRPr="003B345D" w:rsidRDefault="003B345D" w:rsidP="003B345D">
            <w:pPr>
              <w:pStyle w:val="tabletext"/>
              <w:rPr>
                <w:lang w:val="en-US" w:eastAsia="en-US"/>
              </w:rPr>
            </w:pPr>
            <w:r w:rsidRPr="003B345D">
              <w:rPr>
                <w:lang w:val="en-US" w:eastAsia="en-US"/>
              </w:rPr>
              <w:t>339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71811C" w14:textId="77777777" w:rsidR="003B345D" w:rsidRPr="003B345D" w:rsidRDefault="003B345D" w:rsidP="003B345D">
            <w:pPr>
              <w:pStyle w:val="tabletext"/>
            </w:pPr>
            <w:r w:rsidRPr="003B345D">
              <w:t>Items 15 and 16 of Schedule 1</w:t>
            </w:r>
          </w:p>
        </w:tc>
      </w:tr>
      <w:tr w:rsidR="003B345D" w:rsidRPr="003B345D" w14:paraId="1C8C09F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01FF840" w14:textId="77777777" w:rsidR="003B345D" w:rsidRPr="003B345D" w:rsidRDefault="003B345D" w:rsidP="003B345D">
            <w:pPr>
              <w:pStyle w:val="tabletext"/>
              <w:rPr>
                <w:lang w:val="en-US" w:eastAsia="en-US"/>
              </w:rPr>
            </w:pPr>
            <w:r w:rsidRPr="003B345D">
              <w:rPr>
                <w:lang w:val="en-US" w:eastAsia="en-US"/>
              </w:rPr>
              <w:t>340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583637B" w14:textId="12929089" w:rsidR="003B345D" w:rsidRPr="003B345D" w:rsidRDefault="003B345D" w:rsidP="003B345D">
            <w:pPr>
              <w:pStyle w:val="tabletext"/>
            </w:pPr>
            <w:r w:rsidRPr="003B345D">
              <w:t>The Registrar may rely on information disclosed by Stat</w:t>
            </w:r>
            <w:r w:rsidR="003A0CBB">
              <w:t>es and Territories</w:t>
            </w:r>
          </w:p>
        </w:tc>
      </w:tr>
      <w:tr w:rsidR="003B345D" w:rsidRPr="003B345D" w14:paraId="63D9283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36685D2" w14:textId="77777777" w:rsidR="003B345D" w:rsidRPr="003B345D" w:rsidRDefault="003B345D" w:rsidP="003B345D">
            <w:pPr>
              <w:pStyle w:val="tabletext"/>
              <w:rPr>
                <w:lang w:val="en-US" w:eastAsia="en-US"/>
              </w:rPr>
            </w:pPr>
            <w:r w:rsidRPr="003B345D">
              <w:rPr>
                <w:lang w:val="en-US" w:eastAsia="en-US"/>
              </w:rPr>
              <w:t>341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F289B43" w14:textId="4081D38E" w:rsidR="003B345D" w:rsidRPr="003B345D" w:rsidRDefault="003B345D" w:rsidP="003B345D">
            <w:pPr>
              <w:pStyle w:val="tabletext"/>
            </w:pPr>
            <w:r w:rsidRPr="003B345D">
              <w:t>What the Registrar must do if information available on</w:t>
            </w:r>
            <w:r w:rsidR="003A0CBB">
              <w:t xml:space="preserve"> transition deficient</w:t>
            </w:r>
          </w:p>
        </w:tc>
      </w:tr>
      <w:tr w:rsidR="003B345D" w:rsidRPr="003B345D" w14:paraId="6ECB6DE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CE99044" w14:textId="77777777" w:rsidR="003B345D" w:rsidRPr="003B345D" w:rsidRDefault="003B345D" w:rsidP="003B345D">
            <w:pPr>
              <w:pStyle w:val="tabletext"/>
              <w:rPr>
                <w:lang w:val="en-US" w:eastAsia="en-US"/>
              </w:rPr>
            </w:pPr>
            <w:r w:rsidRPr="003B345D">
              <w:rPr>
                <w:lang w:val="en-US" w:eastAsia="en-US"/>
              </w:rPr>
              <w:t>342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504DF4" w14:textId="77777777" w:rsidR="003B345D" w:rsidRPr="003B345D" w:rsidRDefault="003B345D" w:rsidP="003B345D">
            <w:pPr>
              <w:pStyle w:val="tabletext"/>
            </w:pPr>
            <w:r w:rsidRPr="003B345D">
              <w:t>Items 18 to 20 of Schedule 1</w:t>
            </w:r>
          </w:p>
        </w:tc>
      </w:tr>
      <w:tr w:rsidR="003B345D" w:rsidRPr="003B345D" w14:paraId="72B1B10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D43C562" w14:textId="77777777" w:rsidR="003B345D" w:rsidRPr="003B345D" w:rsidRDefault="003B345D" w:rsidP="003B345D">
            <w:pPr>
              <w:pStyle w:val="tabletext"/>
              <w:rPr>
                <w:lang w:val="en-US" w:eastAsia="en-US"/>
              </w:rPr>
            </w:pPr>
            <w:r w:rsidRPr="003B345D">
              <w:rPr>
                <w:lang w:val="en-US" w:eastAsia="en-US"/>
              </w:rPr>
              <w:t>343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F7F652" w14:textId="77777777" w:rsidR="003B345D" w:rsidRPr="003B345D" w:rsidRDefault="003B345D" w:rsidP="003B345D">
            <w:pPr>
              <w:pStyle w:val="tabletext"/>
            </w:pPr>
            <w:r w:rsidRPr="003B345D">
              <w:t>Distinguishing words and expressions</w:t>
            </w:r>
          </w:p>
        </w:tc>
      </w:tr>
      <w:tr w:rsidR="003B345D" w:rsidRPr="003B345D" w14:paraId="4C52BBF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5E25D4C" w14:textId="77777777" w:rsidR="003B345D" w:rsidRPr="003B345D" w:rsidRDefault="003B345D" w:rsidP="003B345D">
            <w:pPr>
              <w:pStyle w:val="tabletext"/>
              <w:rPr>
                <w:lang w:val="en-US" w:eastAsia="en-US"/>
              </w:rPr>
            </w:pPr>
            <w:r w:rsidRPr="003B345D">
              <w:rPr>
                <w:lang w:val="en-US" w:eastAsia="en-US"/>
              </w:rPr>
              <w:t>344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8220625" w14:textId="77777777" w:rsidR="003B345D" w:rsidRPr="003B345D" w:rsidRDefault="003B345D" w:rsidP="003B345D">
            <w:pPr>
              <w:pStyle w:val="tabletext"/>
            </w:pPr>
            <w:r w:rsidRPr="003B345D">
              <w:t>Meaning of distinguishing word or expression</w:t>
            </w:r>
          </w:p>
        </w:tc>
      </w:tr>
      <w:tr w:rsidR="003B345D" w:rsidRPr="003B345D" w14:paraId="1A107A1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D01DC9B" w14:textId="77777777" w:rsidR="003B345D" w:rsidRPr="003B345D" w:rsidRDefault="003B345D" w:rsidP="003B345D">
            <w:pPr>
              <w:pStyle w:val="tabletext"/>
              <w:rPr>
                <w:lang w:val="en-US" w:eastAsia="en-US"/>
              </w:rPr>
            </w:pPr>
            <w:r w:rsidRPr="003B345D">
              <w:rPr>
                <w:lang w:val="en-US" w:eastAsia="en-US"/>
              </w:rPr>
              <w:t>345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B78F308" w14:textId="41491294" w:rsidR="003B345D" w:rsidRPr="003B345D" w:rsidRDefault="003B345D" w:rsidP="003B345D">
            <w:pPr>
              <w:pStyle w:val="tabletext"/>
            </w:pPr>
            <w:r w:rsidRPr="003B345D">
              <w:t>The Registrar must record the distinguishing word or ex</w:t>
            </w:r>
            <w:r w:rsidR="003A0CBB">
              <w:t>pression</w:t>
            </w:r>
          </w:p>
        </w:tc>
      </w:tr>
      <w:tr w:rsidR="003B345D" w:rsidRPr="003B345D" w14:paraId="1B3FE80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52955EC" w14:textId="77777777" w:rsidR="003B345D" w:rsidRPr="003B345D" w:rsidRDefault="003B345D" w:rsidP="003B345D">
            <w:pPr>
              <w:pStyle w:val="tabletext"/>
              <w:rPr>
                <w:lang w:val="en-US" w:eastAsia="en-US"/>
              </w:rPr>
            </w:pPr>
            <w:r w:rsidRPr="003B345D">
              <w:rPr>
                <w:lang w:val="en-US" w:eastAsia="en-US"/>
              </w:rPr>
              <w:t>346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D1F8BB" w14:textId="77777777" w:rsidR="003B345D" w:rsidRPr="003B345D" w:rsidRDefault="003B345D" w:rsidP="003B345D">
            <w:pPr>
              <w:pStyle w:val="tabletext"/>
            </w:pPr>
            <w:r w:rsidRPr="003B345D">
              <w:t>Item 21 of Schedule 1</w:t>
            </w:r>
          </w:p>
        </w:tc>
      </w:tr>
      <w:tr w:rsidR="003B345D" w:rsidRPr="003B345D" w14:paraId="2397F7F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DB593C2" w14:textId="77777777" w:rsidR="003B345D" w:rsidRPr="003B345D" w:rsidRDefault="003B345D" w:rsidP="003B345D">
            <w:pPr>
              <w:pStyle w:val="tabletext"/>
              <w:rPr>
                <w:lang w:val="en-US" w:eastAsia="en-US"/>
              </w:rPr>
            </w:pPr>
            <w:r w:rsidRPr="003B345D">
              <w:rPr>
                <w:lang w:val="en-US" w:eastAsia="en-US"/>
              </w:rPr>
              <w:t>347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9F2684C" w14:textId="77777777" w:rsidR="003B345D" w:rsidRPr="003B345D" w:rsidRDefault="003B345D" w:rsidP="003B345D">
            <w:pPr>
              <w:pStyle w:val="tabletext"/>
            </w:pPr>
            <w:proofErr w:type="spellStart"/>
            <w:r w:rsidRPr="003B345D">
              <w:t>Subitem</w:t>
            </w:r>
            <w:proofErr w:type="spellEnd"/>
            <w:r w:rsidRPr="003B345D">
              <w:t xml:space="preserve"> 22(2) of Schedule 1</w:t>
            </w:r>
          </w:p>
        </w:tc>
      </w:tr>
      <w:tr w:rsidR="003B345D" w:rsidRPr="003B345D" w14:paraId="5C87CA5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81075BB" w14:textId="77777777" w:rsidR="003B345D" w:rsidRPr="003B345D" w:rsidRDefault="003B345D" w:rsidP="003B345D">
            <w:pPr>
              <w:pStyle w:val="tabletext"/>
              <w:rPr>
                <w:lang w:val="en-US" w:eastAsia="en-US"/>
              </w:rPr>
            </w:pPr>
            <w:r w:rsidRPr="003B345D">
              <w:rPr>
                <w:lang w:val="en-US" w:eastAsia="en-US"/>
              </w:rPr>
              <w:t>348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A8146D9" w14:textId="77777777" w:rsidR="003B345D" w:rsidRPr="003B345D" w:rsidRDefault="003B345D" w:rsidP="003B345D">
            <w:pPr>
              <w:pStyle w:val="tabletext"/>
            </w:pPr>
            <w:r w:rsidRPr="003B345D">
              <w:t>Paragraph 22(2)(a) of Schedule 1</w:t>
            </w:r>
          </w:p>
        </w:tc>
      </w:tr>
      <w:tr w:rsidR="003B345D" w:rsidRPr="003B345D" w14:paraId="1840E4A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06A982A" w14:textId="77777777" w:rsidR="003B345D" w:rsidRPr="003B345D" w:rsidRDefault="003B345D" w:rsidP="003B345D">
            <w:pPr>
              <w:pStyle w:val="tabletext"/>
              <w:rPr>
                <w:lang w:val="en-US" w:eastAsia="en-US"/>
              </w:rPr>
            </w:pPr>
            <w:r w:rsidRPr="003B345D">
              <w:rPr>
                <w:lang w:val="en-US" w:eastAsia="en-US"/>
              </w:rPr>
              <w:t>354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45C694F" w14:textId="77777777" w:rsidR="003B345D" w:rsidRPr="003B345D" w:rsidRDefault="003B345D" w:rsidP="003B345D">
            <w:pPr>
              <w:pStyle w:val="tabletext"/>
            </w:pPr>
            <w:r w:rsidRPr="003B345D">
              <w:t>Item 28 of Schedule 1 (at the end of the heading)</w:t>
            </w:r>
          </w:p>
        </w:tc>
      </w:tr>
      <w:tr w:rsidR="003B345D" w:rsidRPr="003B345D" w14:paraId="7780EA2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C9186C2" w14:textId="77777777" w:rsidR="003B345D" w:rsidRPr="003B345D" w:rsidRDefault="003B345D" w:rsidP="003B345D">
            <w:pPr>
              <w:pStyle w:val="tabletext"/>
              <w:rPr>
                <w:lang w:val="en-US" w:eastAsia="en-US"/>
              </w:rPr>
            </w:pPr>
            <w:r w:rsidRPr="003B345D">
              <w:rPr>
                <w:lang w:val="en-US" w:eastAsia="en-US"/>
              </w:rPr>
              <w:t>355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EB8603" w14:textId="77777777" w:rsidR="003B345D" w:rsidRPr="003B345D" w:rsidRDefault="003B345D" w:rsidP="003B345D">
            <w:pPr>
              <w:pStyle w:val="tabletext"/>
            </w:pPr>
            <w:r w:rsidRPr="003B345D">
              <w:t>After item 28 of Schedule 1</w:t>
            </w:r>
          </w:p>
        </w:tc>
      </w:tr>
      <w:tr w:rsidR="003B345D" w:rsidRPr="003B345D" w14:paraId="071FE4D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7A36B1B" w14:textId="77777777" w:rsidR="003B345D" w:rsidRPr="003B345D" w:rsidRDefault="003B345D" w:rsidP="003B345D">
            <w:pPr>
              <w:pStyle w:val="tabletext"/>
              <w:rPr>
                <w:lang w:val="en-US" w:eastAsia="en-US"/>
              </w:rPr>
            </w:pPr>
            <w:r w:rsidRPr="003B345D">
              <w:rPr>
                <w:lang w:val="en-US" w:eastAsia="en-US"/>
              </w:rPr>
              <w:t>356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50A03C" w14:textId="77777777" w:rsidR="003B345D" w:rsidRPr="003B345D" w:rsidRDefault="003B345D" w:rsidP="003B345D">
            <w:pPr>
              <w:pStyle w:val="tabletext"/>
            </w:pPr>
            <w:r w:rsidRPr="003B345D">
              <w:t xml:space="preserve">Internal review of certain decisions made by the </w:t>
            </w:r>
            <w:proofErr w:type="spellStart"/>
            <w:r w:rsidRPr="003B345D">
              <w:t>Regist</w:t>
            </w:r>
            <w:proofErr w:type="spellEnd"/>
          </w:p>
        </w:tc>
      </w:tr>
      <w:tr w:rsidR="003B345D" w:rsidRPr="003B345D" w14:paraId="76CAC6E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D9A7A58" w14:textId="77777777" w:rsidR="003B345D" w:rsidRPr="003B345D" w:rsidRDefault="003B345D" w:rsidP="003B345D">
            <w:pPr>
              <w:pStyle w:val="tabletext"/>
              <w:rPr>
                <w:lang w:val="en-US" w:eastAsia="en-US"/>
              </w:rPr>
            </w:pPr>
            <w:r w:rsidRPr="003B345D">
              <w:rPr>
                <w:lang w:val="en-US" w:eastAsia="en-US"/>
              </w:rPr>
              <w:t>357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A54804C" w14:textId="77777777" w:rsidR="003B345D" w:rsidRPr="003B345D" w:rsidRDefault="003B345D" w:rsidP="003B345D">
            <w:pPr>
              <w:pStyle w:val="tabletext"/>
            </w:pPr>
            <w:proofErr w:type="spellStart"/>
            <w:r w:rsidRPr="003B345D">
              <w:t>Subitem</w:t>
            </w:r>
            <w:proofErr w:type="spellEnd"/>
            <w:r w:rsidRPr="003B345D">
              <w:t xml:space="preserve"> 29(1) of Schedule 1</w:t>
            </w:r>
          </w:p>
        </w:tc>
      </w:tr>
      <w:tr w:rsidR="003B345D" w:rsidRPr="003B345D" w14:paraId="357D406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C3CE627" w14:textId="77777777" w:rsidR="003B345D" w:rsidRPr="003B345D" w:rsidRDefault="003B345D" w:rsidP="003B345D">
            <w:pPr>
              <w:pStyle w:val="tabletext"/>
              <w:rPr>
                <w:lang w:val="en-US" w:eastAsia="en-US"/>
              </w:rPr>
            </w:pPr>
            <w:r w:rsidRPr="003B345D">
              <w:rPr>
                <w:lang w:val="en-US" w:eastAsia="en-US"/>
              </w:rPr>
              <w:t>358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7565164" w14:textId="77777777" w:rsidR="003B345D" w:rsidRPr="003B345D" w:rsidRDefault="003B345D" w:rsidP="003B345D">
            <w:pPr>
              <w:pStyle w:val="tabletext"/>
            </w:pPr>
            <w:proofErr w:type="spellStart"/>
            <w:r w:rsidRPr="003B345D">
              <w:t>Subitem</w:t>
            </w:r>
            <w:proofErr w:type="spellEnd"/>
            <w:r w:rsidRPr="003B345D">
              <w:t xml:space="preserve"> 29(2) of Schedule 1</w:t>
            </w:r>
          </w:p>
        </w:tc>
      </w:tr>
      <w:tr w:rsidR="00947E92" w:rsidRPr="003B345D" w14:paraId="24828BF1"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53ACBAAE" w14:textId="77777777" w:rsidR="00947E92" w:rsidRPr="006B273B" w:rsidRDefault="00947E92" w:rsidP="003B345D">
            <w:pPr>
              <w:pStyle w:val="tabletext"/>
              <w:rPr>
                <w:b/>
              </w:rPr>
            </w:pPr>
            <w:r w:rsidRPr="006B273B">
              <w:rPr>
                <w:b/>
              </w:rPr>
              <w:t>Corporations Act</w:t>
            </w:r>
          </w:p>
        </w:tc>
      </w:tr>
      <w:tr w:rsidR="003B345D" w:rsidRPr="003B345D" w14:paraId="0AF8C1B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F3F5127" w14:textId="77777777" w:rsidR="003B345D" w:rsidRPr="003B345D" w:rsidRDefault="003B345D" w:rsidP="003B345D">
            <w:pPr>
              <w:pStyle w:val="tabletext"/>
              <w:rPr>
                <w:lang w:val="en-US" w:eastAsia="en-US"/>
              </w:rPr>
            </w:pPr>
            <w:r w:rsidRPr="003B345D">
              <w:rPr>
                <w:lang w:val="en-US" w:eastAsia="en-US"/>
              </w:rPr>
              <w:t>360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190C46" w14:textId="77777777" w:rsidR="003B345D" w:rsidRPr="003B345D" w:rsidRDefault="003B345D" w:rsidP="003B345D">
            <w:pPr>
              <w:pStyle w:val="tabletext"/>
            </w:pPr>
            <w:r w:rsidRPr="003B345D">
              <w:t>Subsection 5H(2)</w:t>
            </w:r>
          </w:p>
        </w:tc>
      </w:tr>
      <w:tr w:rsidR="003B345D" w:rsidRPr="003B345D" w14:paraId="537E1B1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42CF6C8" w14:textId="77777777" w:rsidR="003B345D" w:rsidRPr="003B345D" w:rsidRDefault="003B345D" w:rsidP="003B345D">
            <w:pPr>
              <w:pStyle w:val="tabletext"/>
              <w:rPr>
                <w:lang w:val="en-US" w:eastAsia="en-US"/>
              </w:rPr>
            </w:pPr>
            <w:r w:rsidRPr="003B345D">
              <w:rPr>
                <w:lang w:val="en-US" w:eastAsia="en-US"/>
              </w:rPr>
              <w:t>361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C0413F2" w14:textId="77777777" w:rsidR="003B345D" w:rsidRPr="003B345D" w:rsidRDefault="003B345D" w:rsidP="003B345D">
            <w:pPr>
              <w:pStyle w:val="tabletext"/>
            </w:pPr>
            <w:r w:rsidRPr="003B345D">
              <w:t>Section 9 (definition of ACN)</w:t>
            </w:r>
          </w:p>
        </w:tc>
      </w:tr>
      <w:tr w:rsidR="003B345D" w:rsidRPr="003B345D" w14:paraId="394277C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7E1CB3F" w14:textId="77777777" w:rsidR="003B345D" w:rsidRPr="003B345D" w:rsidRDefault="003B345D" w:rsidP="003B345D">
            <w:pPr>
              <w:pStyle w:val="tabletext"/>
              <w:rPr>
                <w:lang w:val="en-US" w:eastAsia="en-US"/>
              </w:rPr>
            </w:pPr>
            <w:r w:rsidRPr="003B345D">
              <w:rPr>
                <w:lang w:val="en-US" w:eastAsia="en-US"/>
              </w:rPr>
              <w:t>362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C3F08D4" w14:textId="77777777" w:rsidR="003B345D" w:rsidRPr="003B345D" w:rsidRDefault="003B345D" w:rsidP="003B345D">
            <w:pPr>
              <w:pStyle w:val="tabletext"/>
            </w:pPr>
            <w:r w:rsidRPr="003B345D">
              <w:t>Section 9 (definition of ARBN)</w:t>
            </w:r>
          </w:p>
        </w:tc>
      </w:tr>
      <w:tr w:rsidR="003B345D" w:rsidRPr="003B345D" w14:paraId="416AFD1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5FA8B3A" w14:textId="77777777" w:rsidR="003B345D" w:rsidRPr="003B345D" w:rsidRDefault="003B345D" w:rsidP="003B345D">
            <w:pPr>
              <w:pStyle w:val="tabletext"/>
              <w:rPr>
                <w:lang w:val="en-US" w:eastAsia="en-US"/>
              </w:rPr>
            </w:pPr>
            <w:r w:rsidRPr="003B345D">
              <w:rPr>
                <w:lang w:val="en-US" w:eastAsia="en-US"/>
              </w:rPr>
              <w:t>365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7BBF9CD" w14:textId="1DDD1A94" w:rsidR="003B345D" w:rsidRPr="003B345D" w:rsidRDefault="003B345D" w:rsidP="003B345D">
            <w:pPr>
              <w:pStyle w:val="tabletext"/>
            </w:pPr>
            <w:r w:rsidRPr="003B345D">
              <w:t>Section 9 (note at the end of the definition of directo</w:t>
            </w:r>
            <w:r w:rsidR="003A0CBB">
              <w:t>r)</w:t>
            </w:r>
          </w:p>
        </w:tc>
      </w:tr>
      <w:tr w:rsidR="003B345D" w:rsidRPr="003B345D" w14:paraId="4160449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07D6B53" w14:textId="77777777" w:rsidR="003B345D" w:rsidRPr="003B345D" w:rsidRDefault="003B345D" w:rsidP="003B345D">
            <w:pPr>
              <w:pStyle w:val="tabletext"/>
              <w:rPr>
                <w:lang w:val="en-US" w:eastAsia="en-US"/>
              </w:rPr>
            </w:pPr>
            <w:r w:rsidRPr="003B345D">
              <w:rPr>
                <w:lang w:val="en-US" w:eastAsia="en-US"/>
              </w:rPr>
              <w:t>366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68B198F" w14:textId="77777777" w:rsidR="003B345D" w:rsidRPr="003B345D" w:rsidRDefault="003B345D" w:rsidP="003B345D">
            <w:pPr>
              <w:pStyle w:val="tabletext"/>
            </w:pPr>
            <w:r w:rsidRPr="003B345D">
              <w:t>Section 9 (definition of extract of particulars)</w:t>
            </w:r>
          </w:p>
        </w:tc>
      </w:tr>
      <w:tr w:rsidR="003B345D" w:rsidRPr="003B345D" w14:paraId="2EC1AA0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5340CD4" w14:textId="77777777" w:rsidR="003B345D" w:rsidRPr="003B345D" w:rsidRDefault="003B345D" w:rsidP="003B345D">
            <w:pPr>
              <w:pStyle w:val="tabletext"/>
              <w:rPr>
                <w:lang w:val="en-US" w:eastAsia="en-US"/>
              </w:rPr>
            </w:pPr>
            <w:r w:rsidRPr="003B345D">
              <w:rPr>
                <w:lang w:val="en-US" w:eastAsia="en-US"/>
              </w:rPr>
              <w:t>367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8DCEECA" w14:textId="30D1D9A8" w:rsidR="003B345D" w:rsidRPr="003B345D" w:rsidRDefault="003B345D" w:rsidP="003B345D">
            <w:pPr>
              <w:pStyle w:val="tabletext"/>
            </w:pPr>
            <w:r w:rsidRPr="003B345D">
              <w:t>Section 9 (paragraph (a) of the definition of extract o</w:t>
            </w:r>
            <w:r w:rsidR="003A0CBB">
              <w:t>f particulars)</w:t>
            </w:r>
          </w:p>
        </w:tc>
      </w:tr>
      <w:tr w:rsidR="003B345D" w:rsidRPr="003B345D" w14:paraId="3B63C61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6A5996D" w14:textId="77777777" w:rsidR="003B345D" w:rsidRPr="003B345D" w:rsidRDefault="003B345D" w:rsidP="003B345D">
            <w:pPr>
              <w:pStyle w:val="tabletext"/>
              <w:rPr>
                <w:lang w:val="en-US" w:eastAsia="en-US"/>
              </w:rPr>
            </w:pPr>
            <w:r w:rsidRPr="003B345D">
              <w:rPr>
                <w:lang w:val="en-US" w:eastAsia="en-US"/>
              </w:rPr>
              <w:t>368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9FBC93C" w14:textId="77777777" w:rsidR="003B345D" w:rsidRPr="003B345D" w:rsidRDefault="003B345D" w:rsidP="003B345D">
            <w:pPr>
              <w:pStyle w:val="tabletext"/>
            </w:pPr>
            <w:r w:rsidRPr="003B345D">
              <w:t>Section 9 (definition of lodge)</w:t>
            </w:r>
          </w:p>
        </w:tc>
      </w:tr>
      <w:tr w:rsidR="003B345D" w:rsidRPr="003B345D" w14:paraId="211E95C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DB2F1CF" w14:textId="77777777" w:rsidR="003B345D" w:rsidRPr="003B345D" w:rsidRDefault="003B345D" w:rsidP="003B345D">
            <w:pPr>
              <w:pStyle w:val="tabletext"/>
              <w:rPr>
                <w:lang w:val="en-US" w:eastAsia="en-US"/>
              </w:rPr>
            </w:pPr>
            <w:r w:rsidRPr="003B345D">
              <w:rPr>
                <w:lang w:val="en-US" w:eastAsia="en-US"/>
              </w:rPr>
              <w:t>369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4F39EC4" w14:textId="77777777" w:rsidR="003B345D" w:rsidRPr="003B345D" w:rsidRDefault="003B345D" w:rsidP="003B345D">
            <w:pPr>
              <w:pStyle w:val="tabletext"/>
            </w:pPr>
            <w:r w:rsidRPr="003B345D">
              <w:t>Section 9 (definition of offer information statement)</w:t>
            </w:r>
          </w:p>
        </w:tc>
      </w:tr>
      <w:tr w:rsidR="003B345D" w:rsidRPr="003B345D" w14:paraId="692115A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D63CAB5" w14:textId="77777777" w:rsidR="003B345D" w:rsidRPr="003B345D" w:rsidRDefault="003B345D" w:rsidP="003B345D">
            <w:pPr>
              <w:pStyle w:val="tabletext"/>
              <w:rPr>
                <w:lang w:val="en-US" w:eastAsia="en-US"/>
              </w:rPr>
            </w:pPr>
            <w:r w:rsidRPr="003B345D">
              <w:rPr>
                <w:lang w:val="en-US" w:eastAsia="en-US"/>
              </w:rPr>
              <w:t>370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8644111" w14:textId="77777777" w:rsidR="003B345D" w:rsidRPr="003B345D" w:rsidRDefault="003B345D" w:rsidP="003B345D">
            <w:pPr>
              <w:pStyle w:val="tabletext"/>
            </w:pPr>
            <w:r w:rsidRPr="003B345D">
              <w:t>Section 9 (definition of profile statement)</w:t>
            </w:r>
          </w:p>
        </w:tc>
      </w:tr>
      <w:tr w:rsidR="003B345D" w:rsidRPr="003B345D" w14:paraId="0FB36D2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54941EC" w14:textId="77777777" w:rsidR="003B345D" w:rsidRPr="003B345D" w:rsidRDefault="003B345D" w:rsidP="003B345D">
            <w:pPr>
              <w:pStyle w:val="tabletext"/>
              <w:rPr>
                <w:lang w:val="en-US" w:eastAsia="en-US"/>
              </w:rPr>
            </w:pPr>
            <w:r w:rsidRPr="003B345D">
              <w:rPr>
                <w:lang w:val="en-US" w:eastAsia="en-US"/>
              </w:rPr>
              <w:t>371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672DDCA" w14:textId="77777777" w:rsidR="003B345D" w:rsidRPr="003B345D" w:rsidRDefault="003B345D" w:rsidP="003B345D">
            <w:pPr>
              <w:pStyle w:val="tabletext"/>
            </w:pPr>
            <w:r w:rsidRPr="003B345D">
              <w:t>Section 9 (definition of prospectus)</w:t>
            </w:r>
          </w:p>
        </w:tc>
      </w:tr>
      <w:tr w:rsidR="003B345D" w:rsidRPr="003B345D" w14:paraId="3AC27A2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16FDBD7" w14:textId="77777777" w:rsidR="003B345D" w:rsidRPr="003B345D" w:rsidRDefault="003B345D" w:rsidP="003B345D">
            <w:pPr>
              <w:pStyle w:val="tabletext"/>
              <w:rPr>
                <w:lang w:val="en-US" w:eastAsia="en-US"/>
              </w:rPr>
            </w:pPr>
            <w:r w:rsidRPr="003B345D">
              <w:rPr>
                <w:lang w:val="en-US" w:eastAsia="en-US"/>
              </w:rPr>
              <w:t>372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B51C369" w14:textId="77777777" w:rsidR="003B345D" w:rsidRPr="003B345D" w:rsidRDefault="003B345D" w:rsidP="003B345D">
            <w:pPr>
              <w:pStyle w:val="tabletext"/>
            </w:pPr>
            <w:r w:rsidRPr="003B345D">
              <w:t>Section 9 (definition of return of particulars)</w:t>
            </w:r>
          </w:p>
        </w:tc>
      </w:tr>
      <w:tr w:rsidR="003B345D" w:rsidRPr="003B345D" w14:paraId="378FCA1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1D5BA88" w14:textId="77777777" w:rsidR="003B345D" w:rsidRPr="003B345D" w:rsidRDefault="003B345D" w:rsidP="003B345D">
            <w:pPr>
              <w:pStyle w:val="tabletext"/>
              <w:rPr>
                <w:lang w:val="en-US" w:eastAsia="en-US"/>
              </w:rPr>
            </w:pPr>
            <w:r w:rsidRPr="003B345D">
              <w:rPr>
                <w:lang w:val="en-US" w:eastAsia="en-US"/>
              </w:rPr>
              <w:t>373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F61D75D" w14:textId="31FC08E9" w:rsidR="003B345D" w:rsidRPr="003B345D" w:rsidRDefault="003B345D" w:rsidP="003B345D">
            <w:pPr>
              <w:pStyle w:val="tabletext"/>
            </w:pPr>
            <w:r w:rsidRPr="003B345D">
              <w:t>Section 9 (paragraph (a) of the definition of return of</w:t>
            </w:r>
            <w:r w:rsidR="003A0CBB">
              <w:t xml:space="preserve"> particulars)</w:t>
            </w:r>
          </w:p>
        </w:tc>
      </w:tr>
      <w:tr w:rsidR="003B345D" w:rsidRPr="003B345D" w14:paraId="36F2CAF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2490D95" w14:textId="77777777" w:rsidR="003B345D" w:rsidRPr="003B345D" w:rsidRDefault="003B345D" w:rsidP="003B345D">
            <w:pPr>
              <w:pStyle w:val="tabletext"/>
              <w:rPr>
                <w:lang w:val="en-US" w:eastAsia="en-US"/>
              </w:rPr>
            </w:pPr>
            <w:r w:rsidRPr="003B345D">
              <w:rPr>
                <w:lang w:val="en-US" w:eastAsia="en-US"/>
              </w:rPr>
              <w:t>375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79AC134" w14:textId="77777777" w:rsidR="003B345D" w:rsidRPr="003B345D" w:rsidRDefault="003B345D" w:rsidP="003B345D">
            <w:pPr>
              <w:pStyle w:val="tabletext"/>
            </w:pPr>
            <w:r w:rsidRPr="003B345D">
              <w:t>Section 100</w:t>
            </w:r>
          </w:p>
        </w:tc>
      </w:tr>
      <w:tr w:rsidR="003B345D" w:rsidRPr="003B345D" w14:paraId="1710A53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B6084B3" w14:textId="77777777" w:rsidR="003B345D" w:rsidRPr="003B345D" w:rsidRDefault="003B345D" w:rsidP="003B345D">
            <w:pPr>
              <w:pStyle w:val="tabletext"/>
              <w:rPr>
                <w:lang w:val="en-US" w:eastAsia="en-US"/>
              </w:rPr>
            </w:pPr>
            <w:r w:rsidRPr="003B345D">
              <w:rPr>
                <w:lang w:val="en-US" w:eastAsia="en-US"/>
              </w:rPr>
              <w:t>376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CF983F" w14:textId="77777777" w:rsidR="003B345D" w:rsidRPr="003B345D" w:rsidRDefault="003B345D" w:rsidP="003B345D">
            <w:pPr>
              <w:pStyle w:val="tabletext"/>
            </w:pPr>
            <w:r w:rsidRPr="003B345D">
              <w:t>Section 106 (heading)</w:t>
            </w:r>
          </w:p>
        </w:tc>
      </w:tr>
      <w:tr w:rsidR="003B345D" w:rsidRPr="003B345D" w14:paraId="140F369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49E2FC0" w14:textId="77777777" w:rsidR="003B345D" w:rsidRPr="003B345D" w:rsidRDefault="003B345D" w:rsidP="003B345D">
            <w:pPr>
              <w:pStyle w:val="tabletext"/>
              <w:rPr>
                <w:lang w:val="en-US" w:eastAsia="en-US"/>
              </w:rPr>
            </w:pPr>
            <w:r w:rsidRPr="003B345D">
              <w:rPr>
                <w:lang w:val="en-US" w:eastAsia="en-US"/>
              </w:rPr>
              <w:t>377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9AC89D" w14:textId="77777777" w:rsidR="003B345D" w:rsidRPr="003B345D" w:rsidRDefault="003B345D" w:rsidP="003B345D">
            <w:pPr>
              <w:pStyle w:val="tabletext"/>
            </w:pPr>
            <w:r w:rsidRPr="003B345D">
              <w:t>Section 106</w:t>
            </w:r>
          </w:p>
        </w:tc>
      </w:tr>
      <w:tr w:rsidR="003B345D" w:rsidRPr="003B345D" w14:paraId="1424ED8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6ADBC3C" w14:textId="77777777" w:rsidR="003B345D" w:rsidRPr="003B345D" w:rsidRDefault="003B345D" w:rsidP="003B345D">
            <w:pPr>
              <w:pStyle w:val="tabletext"/>
              <w:rPr>
                <w:lang w:val="en-US" w:eastAsia="en-US"/>
              </w:rPr>
            </w:pPr>
            <w:r w:rsidRPr="003B345D">
              <w:rPr>
                <w:lang w:val="en-US" w:eastAsia="en-US"/>
              </w:rPr>
              <w:t>378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21B15EC" w14:textId="77777777" w:rsidR="003B345D" w:rsidRPr="003B345D" w:rsidRDefault="003B345D" w:rsidP="003B345D">
            <w:pPr>
              <w:pStyle w:val="tabletext"/>
            </w:pPr>
            <w:r w:rsidRPr="003B345D">
              <w:t>Section 106</w:t>
            </w:r>
          </w:p>
        </w:tc>
      </w:tr>
      <w:tr w:rsidR="003B345D" w:rsidRPr="003B345D" w14:paraId="72FF712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7BA2CF0" w14:textId="77777777" w:rsidR="003B345D" w:rsidRPr="003B345D" w:rsidRDefault="003B345D" w:rsidP="003B345D">
            <w:pPr>
              <w:pStyle w:val="tabletext"/>
              <w:rPr>
                <w:lang w:val="en-US" w:eastAsia="en-US"/>
              </w:rPr>
            </w:pPr>
            <w:r w:rsidRPr="003B345D">
              <w:rPr>
                <w:lang w:val="en-US" w:eastAsia="en-US"/>
              </w:rPr>
              <w:t>379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C5AD08C" w14:textId="77777777" w:rsidR="003B345D" w:rsidRPr="003B345D" w:rsidRDefault="003B345D" w:rsidP="003B345D">
            <w:pPr>
              <w:pStyle w:val="tabletext"/>
            </w:pPr>
            <w:r w:rsidRPr="003B345D">
              <w:t>Paragraphs 109X(1)(c) and (d)</w:t>
            </w:r>
          </w:p>
        </w:tc>
      </w:tr>
      <w:tr w:rsidR="003B345D" w:rsidRPr="003B345D" w14:paraId="1124568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CA4234E" w14:textId="77777777" w:rsidR="003B345D" w:rsidRPr="003B345D" w:rsidRDefault="003B345D" w:rsidP="003B345D">
            <w:pPr>
              <w:pStyle w:val="tabletext"/>
              <w:rPr>
                <w:lang w:val="en-US" w:eastAsia="en-US"/>
              </w:rPr>
            </w:pPr>
            <w:r w:rsidRPr="003B345D">
              <w:rPr>
                <w:lang w:val="en-US" w:eastAsia="en-US"/>
              </w:rPr>
              <w:t>380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FEB4E36" w14:textId="77777777" w:rsidR="003B345D" w:rsidRPr="003B345D" w:rsidRDefault="003B345D" w:rsidP="003B345D">
            <w:pPr>
              <w:pStyle w:val="tabletext"/>
            </w:pPr>
            <w:r w:rsidRPr="003B345D">
              <w:t>Subsection 109X(2)</w:t>
            </w:r>
          </w:p>
        </w:tc>
      </w:tr>
      <w:tr w:rsidR="003B345D" w:rsidRPr="003B345D" w14:paraId="7C1001A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A17EB2F" w14:textId="77777777" w:rsidR="003B345D" w:rsidRPr="003B345D" w:rsidRDefault="003B345D" w:rsidP="003B345D">
            <w:pPr>
              <w:pStyle w:val="tabletext"/>
              <w:rPr>
                <w:lang w:val="en-US" w:eastAsia="en-US"/>
              </w:rPr>
            </w:pPr>
            <w:r w:rsidRPr="003B345D">
              <w:rPr>
                <w:lang w:val="en-US" w:eastAsia="en-US"/>
              </w:rPr>
              <w:lastRenderedPageBreak/>
              <w:t>381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A62CC3" w14:textId="77777777" w:rsidR="003B345D" w:rsidRPr="003B345D" w:rsidRDefault="003B345D" w:rsidP="003B345D">
            <w:pPr>
              <w:pStyle w:val="tabletext"/>
            </w:pPr>
            <w:r w:rsidRPr="003B345D">
              <w:t>Paragraph 111AF(1)(a)</w:t>
            </w:r>
          </w:p>
        </w:tc>
      </w:tr>
      <w:tr w:rsidR="003B345D" w:rsidRPr="003B345D" w14:paraId="5180F1B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D1BD164" w14:textId="77777777" w:rsidR="003B345D" w:rsidRPr="003B345D" w:rsidRDefault="003B345D" w:rsidP="003B345D">
            <w:pPr>
              <w:pStyle w:val="tabletext"/>
              <w:rPr>
                <w:lang w:val="en-US" w:eastAsia="en-US"/>
              </w:rPr>
            </w:pPr>
            <w:r w:rsidRPr="003B345D">
              <w:rPr>
                <w:lang w:val="en-US" w:eastAsia="en-US"/>
              </w:rPr>
              <w:t>382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F3C9083" w14:textId="77777777" w:rsidR="003B345D" w:rsidRPr="003B345D" w:rsidRDefault="003B345D" w:rsidP="003B345D">
            <w:pPr>
              <w:pStyle w:val="tabletext"/>
            </w:pPr>
            <w:r w:rsidRPr="003B345D">
              <w:t>Paragraph 1.1 of the small business guide in Part 1.5</w:t>
            </w:r>
          </w:p>
        </w:tc>
      </w:tr>
      <w:tr w:rsidR="003B345D" w:rsidRPr="003B345D" w14:paraId="759D3C5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AC5EA8C" w14:textId="77777777" w:rsidR="003B345D" w:rsidRPr="003B345D" w:rsidRDefault="003B345D" w:rsidP="003B345D">
            <w:pPr>
              <w:pStyle w:val="tabletext"/>
              <w:rPr>
                <w:lang w:val="en-US" w:eastAsia="en-US"/>
              </w:rPr>
            </w:pPr>
            <w:r w:rsidRPr="003B345D">
              <w:rPr>
                <w:lang w:val="en-US" w:eastAsia="en-US"/>
              </w:rPr>
              <w:t>383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5C3DA5E" w14:textId="77777777" w:rsidR="003B345D" w:rsidRPr="003B345D" w:rsidRDefault="003B345D" w:rsidP="003B345D">
            <w:pPr>
              <w:pStyle w:val="tabletext"/>
            </w:pPr>
            <w:r w:rsidRPr="003B345D">
              <w:t>Paragraph 1.10 of the small business guide in Part 1.5</w:t>
            </w:r>
          </w:p>
        </w:tc>
      </w:tr>
      <w:tr w:rsidR="003B345D" w:rsidRPr="003B345D" w14:paraId="3B8B1EA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C218B23" w14:textId="77777777" w:rsidR="003B345D" w:rsidRPr="003B345D" w:rsidRDefault="003B345D" w:rsidP="003B345D">
            <w:pPr>
              <w:pStyle w:val="tabletext"/>
              <w:rPr>
                <w:lang w:val="en-US" w:eastAsia="en-US"/>
              </w:rPr>
            </w:pPr>
            <w:r w:rsidRPr="003B345D">
              <w:rPr>
                <w:lang w:val="en-US" w:eastAsia="en-US"/>
              </w:rPr>
              <w:t>384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E37EFB" w14:textId="77777777" w:rsidR="003B345D" w:rsidRPr="003B345D" w:rsidRDefault="003B345D" w:rsidP="003B345D">
            <w:pPr>
              <w:pStyle w:val="tabletext"/>
            </w:pPr>
            <w:r w:rsidRPr="003B345D">
              <w:t>Paragraph 3.2 of the small business guide in Part 1.5</w:t>
            </w:r>
          </w:p>
        </w:tc>
      </w:tr>
      <w:tr w:rsidR="003B345D" w:rsidRPr="003B345D" w14:paraId="23C93A9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324B53A" w14:textId="77777777" w:rsidR="003B345D" w:rsidRPr="003B345D" w:rsidRDefault="003B345D" w:rsidP="003B345D">
            <w:pPr>
              <w:pStyle w:val="tabletext"/>
              <w:rPr>
                <w:lang w:val="en-US" w:eastAsia="en-US"/>
              </w:rPr>
            </w:pPr>
            <w:r w:rsidRPr="003B345D">
              <w:rPr>
                <w:lang w:val="en-US" w:eastAsia="en-US"/>
              </w:rPr>
              <w:t>386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2495EDF" w14:textId="1EB1F9FD" w:rsidR="003B345D" w:rsidRPr="003B345D" w:rsidRDefault="003B345D" w:rsidP="003B345D">
            <w:pPr>
              <w:pStyle w:val="tabletext"/>
            </w:pPr>
            <w:r w:rsidRPr="003B345D">
              <w:t>Paragraphs 3.3, 3.7, 3.8 and 3.9 of the small business</w:t>
            </w:r>
            <w:r w:rsidR="003A0CBB">
              <w:t xml:space="preserve"> guide in Part 1.5</w:t>
            </w:r>
          </w:p>
        </w:tc>
      </w:tr>
      <w:tr w:rsidR="003B345D" w:rsidRPr="003B345D" w14:paraId="624ADF5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9D9D226" w14:textId="77777777" w:rsidR="003B345D" w:rsidRPr="003B345D" w:rsidRDefault="003B345D" w:rsidP="003B345D">
            <w:pPr>
              <w:pStyle w:val="tabletext"/>
              <w:rPr>
                <w:lang w:val="en-US" w:eastAsia="en-US"/>
              </w:rPr>
            </w:pPr>
            <w:r w:rsidRPr="003B345D">
              <w:rPr>
                <w:lang w:val="en-US" w:eastAsia="en-US"/>
              </w:rPr>
              <w:t>387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4600274" w14:textId="77777777" w:rsidR="003B345D" w:rsidRPr="003B345D" w:rsidRDefault="003B345D" w:rsidP="003B345D">
            <w:pPr>
              <w:pStyle w:val="tabletext"/>
            </w:pPr>
            <w:r w:rsidRPr="003B345D">
              <w:t>Paragraph 4.1 of the small business guide in Part 1.5</w:t>
            </w:r>
          </w:p>
        </w:tc>
      </w:tr>
      <w:tr w:rsidR="003B345D" w:rsidRPr="003B345D" w14:paraId="6FAA845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D6756E9" w14:textId="77777777" w:rsidR="003B345D" w:rsidRPr="003B345D" w:rsidRDefault="003B345D" w:rsidP="003B345D">
            <w:pPr>
              <w:pStyle w:val="tabletext"/>
              <w:rPr>
                <w:lang w:val="en-US" w:eastAsia="en-US"/>
              </w:rPr>
            </w:pPr>
            <w:r w:rsidRPr="003B345D">
              <w:rPr>
                <w:lang w:val="en-US" w:eastAsia="en-US"/>
              </w:rPr>
              <w:t>388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07E12F8" w14:textId="77777777" w:rsidR="003B345D" w:rsidRPr="003B345D" w:rsidRDefault="003B345D" w:rsidP="003B345D">
            <w:pPr>
              <w:pStyle w:val="tabletext"/>
            </w:pPr>
            <w:r w:rsidRPr="003B345D">
              <w:t>Paragraph 4.2 of the small business guide in Part 1.5</w:t>
            </w:r>
          </w:p>
        </w:tc>
      </w:tr>
      <w:tr w:rsidR="003B345D" w:rsidRPr="003B345D" w14:paraId="4D399F6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BA3EC0C" w14:textId="77777777" w:rsidR="003B345D" w:rsidRPr="003B345D" w:rsidRDefault="003B345D" w:rsidP="003B345D">
            <w:pPr>
              <w:pStyle w:val="tabletext"/>
              <w:rPr>
                <w:lang w:val="en-US" w:eastAsia="en-US"/>
              </w:rPr>
            </w:pPr>
            <w:r w:rsidRPr="003B345D">
              <w:rPr>
                <w:lang w:val="en-US" w:eastAsia="en-US"/>
              </w:rPr>
              <w:t>389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AA37E85" w14:textId="77777777" w:rsidR="003B345D" w:rsidRPr="003B345D" w:rsidRDefault="003B345D" w:rsidP="003B345D">
            <w:pPr>
              <w:pStyle w:val="tabletext"/>
            </w:pPr>
            <w:r w:rsidRPr="003B345D">
              <w:t>Paragraph 4.2 of the small business guide in Part 1.5</w:t>
            </w:r>
          </w:p>
        </w:tc>
      </w:tr>
      <w:tr w:rsidR="003B345D" w:rsidRPr="003B345D" w14:paraId="50E4510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6A48876" w14:textId="77777777" w:rsidR="003B345D" w:rsidRPr="003B345D" w:rsidRDefault="003B345D" w:rsidP="003B345D">
            <w:pPr>
              <w:pStyle w:val="tabletext"/>
              <w:rPr>
                <w:lang w:val="en-US" w:eastAsia="en-US"/>
              </w:rPr>
            </w:pPr>
            <w:r w:rsidRPr="003B345D">
              <w:rPr>
                <w:lang w:val="en-US" w:eastAsia="en-US"/>
              </w:rPr>
              <w:t>390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113D522" w14:textId="77777777" w:rsidR="003B345D" w:rsidRPr="003B345D" w:rsidRDefault="003B345D" w:rsidP="003B345D">
            <w:pPr>
              <w:pStyle w:val="tabletext"/>
            </w:pPr>
            <w:r w:rsidRPr="003B345D">
              <w:t>Paragraph 4.2 of the small business guide in Part 1.5</w:t>
            </w:r>
          </w:p>
        </w:tc>
      </w:tr>
      <w:tr w:rsidR="003B345D" w:rsidRPr="003B345D" w14:paraId="495F0DA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204F439" w14:textId="77777777" w:rsidR="003B345D" w:rsidRPr="003B345D" w:rsidRDefault="003B345D" w:rsidP="003B345D">
            <w:pPr>
              <w:pStyle w:val="tabletext"/>
              <w:rPr>
                <w:lang w:val="en-US" w:eastAsia="en-US"/>
              </w:rPr>
            </w:pPr>
            <w:r w:rsidRPr="003B345D">
              <w:rPr>
                <w:lang w:val="en-US" w:eastAsia="en-US"/>
              </w:rPr>
              <w:t>391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1A0C84" w14:textId="77777777" w:rsidR="003B345D" w:rsidRPr="003B345D" w:rsidRDefault="003B345D" w:rsidP="003B345D">
            <w:pPr>
              <w:pStyle w:val="tabletext"/>
            </w:pPr>
            <w:r w:rsidRPr="003B345D">
              <w:t>Paragraph 4.3 of the small business guide in Part 1.5</w:t>
            </w:r>
          </w:p>
        </w:tc>
      </w:tr>
      <w:tr w:rsidR="003B345D" w:rsidRPr="003B345D" w14:paraId="57189D7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E9C8B13" w14:textId="77777777" w:rsidR="003B345D" w:rsidRPr="003B345D" w:rsidRDefault="003B345D" w:rsidP="003B345D">
            <w:pPr>
              <w:pStyle w:val="tabletext"/>
              <w:rPr>
                <w:lang w:val="en-US" w:eastAsia="en-US"/>
              </w:rPr>
            </w:pPr>
            <w:r w:rsidRPr="003B345D">
              <w:rPr>
                <w:lang w:val="en-US" w:eastAsia="en-US"/>
              </w:rPr>
              <w:t>392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69040F4" w14:textId="7711DDB9" w:rsidR="003B345D" w:rsidRPr="003B345D" w:rsidRDefault="003B345D" w:rsidP="003B345D">
            <w:pPr>
              <w:pStyle w:val="tabletext"/>
            </w:pPr>
            <w:r w:rsidRPr="003B345D">
              <w:t>Paragraph 4.4 of the small business guide in Part 1.5 (</w:t>
            </w:r>
            <w:r w:rsidR="003A0CBB">
              <w:t>heading)</w:t>
            </w:r>
          </w:p>
        </w:tc>
      </w:tr>
      <w:tr w:rsidR="003B345D" w:rsidRPr="003B345D" w14:paraId="585B24B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65CD8DB" w14:textId="77777777" w:rsidR="003B345D" w:rsidRPr="003B345D" w:rsidRDefault="003B345D" w:rsidP="003B345D">
            <w:pPr>
              <w:pStyle w:val="tabletext"/>
              <w:rPr>
                <w:lang w:val="en-US" w:eastAsia="en-US"/>
              </w:rPr>
            </w:pPr>
            <w:r w:rsidRPr="003B345D">
              <w:rPr>
                <w:lang w:val="en-US" w:eastAsia="en-US"/>
              </w:rPr>
              <w:t>393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2F83D7A" w14:textId="77777777" w:rsidR="003B345D" w:rsidRPr="003B345D" w:rsidRDefault="003B345D" w:rsidP="003B345D">
            <w:pPr>
              <w:pStyle w:val="tabletext"/>
            </w:pPr>
            <w:r w:rsidRPr="003B345D">
              <w:t>Paragraph 4.4 of the small business guide in Part 1.5</w:t>
            </w:r>
          </w:p>
        </w:tc>
      </w:tr>
      <w:tr w:rsidR="003B345D" w:rsidRPr="003B345D" w14:paraId="258C036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B9C97E9" w14:textId="77777777" w:rsidR="003B345D" w:rsidRPr="003B345D" w:rsidRDefault="003B345D" w:rsidP="003B345D">
            <w:pPr>
              <w:pStyle w:val="tabletext"/>
              <w:rPr>
                <w:lang w:val="en-US" w:eastAsia="en-US"/>
              </w:rPr>
            </w:pPr>
            <w:r w:rsidRPr="003B345D">
              <w:rPr>
                <w:lang w:val="en-US" w:eastAsia="en-US"/>
              </w:rPr>
              <w:t>394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17CA329" w14:textId="5E23AF67" w:rsidR="003B345D" w:rsidRPr="003B345D" w:rsidRDefault="003B345D" w:rsidP="003A0CBB">
            <w:pPr>
              <w:pStyle w:val="tabletext"/>
            </w:pPr>
            <w:r w:rsidRPr="003B345D">
              <w:t>Paragraph 4.4 of the small business guide in Part 1.5 (</w:t>
            </w:r>
            <w:r w:rsidR="003A0CBB">
              <w:t>table, heading to column heading “the company must notify ASIC of the change…”)</w:t>
            </w:r>
          </w:p>
        </w:tc>
      </w:tr>
      <w:tr w:rsidR="003B345D" w:rsidRPr="003B345D" w14:paraId="0F3FDC2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76A95E1" w14:textId="77777777" w:rsidR="003B345D" w:rsidRPr="003B345D" w:rsidRDefault="003B345D" w:rsidP="003B345D">
            <w:pPr>
              <w:pStyle w:val="tabletext"/>
              <w:rPr>
                <w:lang w:val="en-US" w:eastAsia="en-US"/>
              </w:rPr>
            </w:pPr>
            <w:r w:rsidRPr="003B345D">
              <w:rPr>
                <w:lang w:val="en-US" w:eastAsia="en-US"/>
              </w:rPr>
              <w:t>395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F049E76" w14:textId="19E4D90D" w:rsidR="003B345D" w:rsidRPr="003B345D" w:rsidRDefault="003B345D" w:rsidP="006B273B">
            <w:pPr>
              <w:pStyle w:val="tabletext"/>
              <w:tabs>
                <w:tab w:val="right" w:pos="5526"/>
              </w:tabs>
            </w:pPr>
            <w:r w:rsidRPr="003B345D">
              <w:t>Paragraph 4.4 of the small business guide in Part 1.5 (</w:t>
            </w:r>
            <w:r w:rsidR="003A0CBB">
              <w:t>table item 4, column headed “the company must notify ASIC of the change…”)</w:t>
            </w:r>
            <w:r w:rsidR="003A0CBB">
              <w:tab/>
            </w:r>
          </w:p>
        </w:tc>
      </w:tr>
      <w:tr w:rsidR="003B345D" w:rsidRPr="003B345D" w14:paraId="5FD1C2F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FEDF770" w14:textId="77777777" w:rsidR="003B345D" w:rsidRPr="003B345D" w:rsidRDefault="003B345D" w:rsidP="003B345D">
            <w:pPr>
              <w:pStyle w:val="tabletext"/>
              <w:rPr>
                <w:lang w:val="en-US" w:eastAsia="en-US"/>
              </w:rPr>
            </w:pPr>
            <w:r w:rsidRPr="003B345D">
              <w:rPr>
                <w:lang w:val="en-US" w:eastAsia="en-US"/>
              </w:rPr>
              <w:t>396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73A3A0D" w14:textId="77777777" w:rsidR="003B345D" w:rsidRPr="003B345D" w:rsidRDefault="003B345D" w:rsidP="003B345D">
            <w:pPr>
              <w:pStyle w:val="tabletext"/>
            </w:pPr>
            <w:r w:rsidRPr="003B345D">
              <w:t>Paragraph 5.1 of the small business guide in Part 1.5</w:t>
            </w:r>
          </w:p>
        </w:tc>
      </w:tr>
      <w:tr w:rsidR="003B345D" w:rsidRPr="003B345D" w14:paraId="5C7F11A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D30CBA5" w14:textId="77777777" w:rsidR="003B345D" w:rsidRPr="003B345D" w:rsidRDefault="003B345D" w:rsidP="003B345D">
            <w:pPr>
              <w:pStyle w:val="tabletext"/>
              <w:rPr>
                <w:lang w:val="en-US" w:eastAsia="en-US"/>
              </w:rPr>
            </w:pPr>
            <w:r w:rsidRPr="003B345D">
              <w:rPr>
                <w:lang w:val="en-US" w:eastAsia="en-US"/>
              </w:rPr>
              <w:t>397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012F44" w14:textId="77777777" w:rsidR="003B345D" w:rsidRPr="003B345D" w:rsidRDefault="003B345D" w:rsidP="003B345D">
            <w:pPr>
              <w:pStyle w:val="tabletext"/>
            </w:pPr>
            <w:r w:rsidRPr="003B345D">
              <w:t>Paragraph 5.1 of the small business guide in Part 1.5</w:t>
            </w:r>
          </w:p>
        </w:tc>
      </w:tr>
      <w:tr w:rsidR="003B345D" w:rsidRPr="003B345D" w14:paraId="44E8971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1D423BC" w14:textId="77777777" w:rsidR="003B345D" w:rsidRPr="003B345D" w:rsidRDefault="003B345D" w:rsidP="003B345D">
            <w:pPr>
              <w:pStyle w:val="tabletext"/>
              <w:rPr>
                <w:lang w:val="en-US" w:eastAsia="en-US"/>
              </w:rPr>
            </w:pPr>
            <w:r w:rsidRPr="003B345D">
              <w:rPr>
                <w:lang w:val="en-US" w:eastAsia="en-US"/>
              </w:rPr>
              <w:t>398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26B9966" w14:textId="77777777" w:rsidR="003B345D" w:rsidRPr="003B345D" w:rsidRDefault="003B345D" w:rsidP="003B345D">
            <w:pPr>
              <w:pStyle w:val="tabletext"/>
            </w:pPr>
            <w:r w:rsidRPr="003B345D">
              <w:t>Paragraph 5.4 of the small business guide in Part 1.5</w:t>
            </w:r>
          </w:p>
        </w:tc>
      </w:tr>
      <w:tr w:rsidR="003B345D" w:rsidRPr="003B345D" w14:paraId="2791824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9F89682" w14:textId="77777777" w:rsidR="003B345D" w:rsidRPr="003B345D" w:rsidRDefault="003B345D" w:rsidP="003B345D">
            <w:pPr>
              <w:pStyle w:val="tabletext"/>
              <w:rPr>
                <w:lang w:val="en-US" w:eastAsia="en-US"/>
              </w:rPr>
            </w:pPr>
            <w:r w:rsidRPr="003B345D">
              <w:rPr>
                <w:lang w:val="en-US" w:eastAsia="en-US"/>
              </w:rPr>
              <w:t>399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0B2D490" w14:textId="77777777" w:rsidR="003B345D" w:rsidRPr="003B345D" w:rsidRDefault="003B345D" w:rsidP="003B345D">
            <w:pPr>
              <w:pStyle w:val="tabletext"/>
            </w:pPr>
            <w:r w:rsidRPr="003B345D">
              <w:t>Paragraph 6.1 of the small business guide in Part 1.5</w:t>
            </w:r>
          </w:p>
        </w:tc>
      </w:tr>
      <w:tr w:rsidR="003B345D" w:rsidRPr="003B345D" w14:paraId="6C6F49F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43F180A" w14:textId="77777777" w:rsidR="003B345D" w:rsidRPr="003B345D" w:rsidRDefault="003B345D" w:rsidP="003B345D">
            <w:pPr>
              <w:pStyle w:val="tabletext"/>
              <w:rPr>
                <w:lang w:val="en-US" w:eastAsia="en-US"/>
              </w:rPr>
            </w:pPr>
            <w:r w:rsidRPr="003B345D">
              <w:rPr>
                <w:lang w:val="en-US" w:eastAsia="en-US"/>
              </w:rPr>
              <w:t>400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389E6FD" w14:textId="77777777" w:rsidR="003B345D" w:rsidRPr="003B345D" w:rsidRDefault="003B345D" w:rsidP="003B345D">
            <w:pPr>
              <w:pStyle w:val="tabletext"/>
            </w:pPr>
            <w:r w:rsidRPr="003B345D">
              <w:t>Paragraph 10.3 of the small business guide in Part 1.5</w:t>
            </w:r>
          </w:p>
        </w:tc>
      </w:tr>
      <w:tr w:rsidR="003B345D" w:rsidRPr="003B345D" w14:paraId="76773F4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47511E0" w14:textId="77777777" w:rsidR="003B345D" w:rsidRPr="003B345D" w:rsidRDefault="003B345D" w:rsidP="003B345D">
            <w:pPr>
              <w:pStyle w:val="tabletext"/>
              <w:rPr>
                <w:lang w:val="en-US" w:eastAsia="en-US"/>
              </w:rPr>
            </w:pPr>
            <w:r w:rsidRPr="003B345D">
              <w:rPr>
                <w:lang w:val="en-US" w:eastAsia="en-US"/>
              </w:rPr>
              <w:t>401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A3B77FF" w14:textId="77777777" w:rsidR="003B345D" w:rsidRPr="003B345D" w:rsidRDefault="003B345D" w:rsidP="003B345D">
            <w:pPr>
              <w:pStyle w:val="tabletext"/>
            </w:pPr>
            <w:r w:rsidRPr="003B345D">
              <w:t>Paragraph 12.6 of the small business guide in Part 1.5</w:t>
            </w:r>
          </w:p>
        </w:tc>
      </w:tr>
      <w:tr w:rsidR="003B345D" w:rsidRPr="003B345D" w14:paraId="2D72D3C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7C2CE12" w14:textId="77777777" w:rsidR="003B345D" w:rsidRPr="003B345D" w:rsidRDefault="003B345D" w:rsidP="003B345D">
            <w:pPr>
              <w:pStyle w:val="tabletext"/>
              <w:rPr>
                <w:lang w:val="en-US" w:eastAsia="en-US"/>
              </w:rPr>
            </w:pPr>
            <w:r w:rsidRPr="003B345D">
              <w:rPr>
                <w:lang w:val="en-US" w:eastAsia="en-US"/>
              </w:rPr>
              <w:t>402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768758F" w14:textId="77777777" w:rsidR="003B345D" w:rsidRPr="003B345D" w:rsidRDefault="003B345D" w:rsidP="003B345D">
            <w:pPr>
              <w:pStyle w:val="tabletext"/>
            </w:pPr>
            <w:r w:rsidRPr="003B345D">
              <w:t>Paragraph 12.6 of the small business guide in Part 1.5</w:t>
            </w:r>
          </w:p>
        </w:tc>
      </w:tr>
      <w:tr w:rsidR="003B345D" w:rsidRPr="003B345D" w14:paraId="4199055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9344C0C" w14:textId="77777777" w:rsidR="003B345D" w:rsidRPr="003B345D" w:rsidRDefault="003B345D" w:rsidP="003B345D">
            <w:pPr>
              <w:pStyle w:val="tabletext"/>
              <w:rPr>
                <w:lang w:val="en-US" w:eastAsia="en-US"/>
              </w:rPr>
            </w:pPr>
            <w:r w:rsidRPr="003B345D">
              <w:rPr>
                <w:lang w:val="en-US" w:eastAsia="en-US"/>
              </w:rPr>
              <w:t>403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6562367" w14:textId="77777777" w:rsidR="003B345D" w:rsidRPr="003B345D" w:rsidRDefault="003B345D" w:rsidP="003B345D">
            <w:pPr>
              <w:pStyle w:val="tabletext"/>
            </w:pPr>
            <w:r w:rsidRPr="003B345D">
              <w:t>Subsection 111L(1) (table item 1, column 2)</w:t>
            </w:r>
          </w:p>
        </w:tc>
      </w:tr>
      <w:tr w:rsidR="003B345D" w:rsidRPr="003B345D" w14:paraId="55091AA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66F2CDB" w14:textId="77777777" w:rsidR="003B345D" w:rsidRPr="003B345D" w:rsidRDefault="003B345D" w:rsidP="003B345D">
            <w:pPr>
              <w:pStyle w:val="tabletext"/>
              <w:rPr>
                <w:lang w:val="en-US" w:eastAsia="en-US"/>
              </w:rPr>
            </w:pPr>
            <w:r w:rsidRPr="003B345D">
              <w:rPr>
                <w:lang w:val="en-US" w:eastAsia="en-US"/>
              </w:rPr>
              <w:t>404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2189B43" w14:textId="77777777" w:rsidR="003B345D" w:rsidRPr="003B345D" w:rsidRDefault="003B345D" w:rsidP="003B345D">
            <w:pPr>
              <w:pStyle w:val="tabletext"/>
            </w:pPr>
            <w:r w:rsidRPr="003B345D">
              <w:t>Subsection 111L(1) (table item 2, column 2)</w:t>
            </w:r>
          </w:p>
        </w:tc>
      </w:tr>
      <w:tr w:rsidR="003B345D" w:rsidRPr="003B345D" w14:paraId="4FC6B93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95147AC" w14:textId="77777777" w:rsidR="003B345D" w:rsidRPr="003B345D" w:rsidRDefault="003B345D" w:rsidP="003B345D">
            <w:pPr>
              <w:pStyle w:val="tabletext"/>
              <w:rPr>
                <w:lang w:val="en-US" w:eastAsia="en-US"/>
              </w:rPr>
            </w:pPr>
            <w:r w:rsidRPr="003B345D">
              <w:rPr>
                <w:lang w:val="en-US" w:eastAsia="en-US"/>
              </w:rPr>
              <w:t>405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E376FBF" w14:textId="77777777" w:rsidR="003B345D" w:rsidRPr="003B345D" w:rsidRDefault="003B345D" w:rsidP="003B345D">
            <w:pPr>
              <w:pStyle w:val="tabletext"/>
            </w:pPr>
            <w:r w:rsidRPr="003B345D">
              <w:t>Subsection 111L(1) (table item 4, column 2)</w:t>
            </w:r>
          </w:p>
        </w:tc>
      </w:tr>
      <w:tr w:rsidR="003B345D" w:rsidRPr="003B345D" w14:paraId="7AB2F53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5BB7F98" w14:textId="77777777" w:rsidR="003B345D" w:rsidRPr="003B345D" w:rsidRDefault="003B345D" w:rsidP="003B345D">
            <w:pPr>
              <w:pStyle w:val="tabletext"/>
              <w:rPr>
                <w:lang w:val="en-US" w:eastAsia="en-US"/>
              </w:rPr>
            </w:pPr>
            <w:r w:rsidRPr="003B345D">
              <w:rPr>
                <w:lang w:val="en-US" w:eastAsia="en-US"/>
              </w:rPr>
              <w:t>406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51AA82F" w14:textId="77777777" w:rsidR="003B345D" w:rsidRPr="003B345D" w:rsidRDefault="003B345D" w:rsidP="003B345D">
            <w:pPr>
              <w:pStyle w:val="tabletext"/>
            </w:pPr>
            <w:r w:rsidRPr="003B345D">
              <w:t>Subsection 111L(1) (table item 11, column 2)</w:t>
            </w:r>
          </w:p>
        </w:tc>
      </w:tr>
      <w:tr w:rsidR="003B345D" w:rsidRPr="003B345D" w14:paraId="2FBA528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E76B053" w14:textId="77777777" w:rsidR="003B345D" w:rsidRPr="003B345D" w:rsidRDefault="003B345D" w:rsidP="003B345D">
            <w:pPr>
              <w:pStyle w:val="tabletext"/>
              <w:rPr>
                <w:lang w:val="en-US" w:eastAsia="en-US"/>
              </w:rPr>
            </w:pPr>
            <w:r w:rsidRPr="003B345D">
              <w:rPr>
                <w:lang w:val="en-US" w:eastAsia="en-US"/>
              </w:rPr>
              <w:t>407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A573C89" w14:textId="77777777" w:rsidR="003B345D" w:rsidRPr="003B345D" w:rsidRDefault="003B345D" w:rsidP="003B345D">
            <w:pPr>
              <w:pStyle w:val="tabletext"/>
            </w:pPr>
            <w:r w:rsidRPr="003B345D">
              <w:t>Subsection 111L(1) (table item 13, column 2)</w:t>
            </w:r>
          </w:p>
        </w:tc>
      </w:tr>
      <w:tr w:rsidR="003B345D" w:rsidRPr="003B345D" w14:paraId="79FC739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9FDAB97" w14:textId="77777777" w:rsidR="003B345D" w:rsidRPr="003B345D" w:rsidRDefault="003B345D" w:rsidP="003B345D">
            <w:pPr>
              <w:pStyle w:val="tabletext"/>
              <w:rPr>
                <w:lang w:val="en-US" w:eastAsia="en-US"/>
              </w:rPr>
            </w:pPr>
            <w:r w:rsidRPr="003B345D">
              <w:rPr>
                <w:lang w:val="en-US" w:eastAsia="en-US"/>
              </w:rPr>
              <w:t>408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3AC7475" w14:textId="77777777" w:rsidR="003B345D" w:rsidRPr="003B345D" w:rsidRDefault="003B345D" w:rsidP="003B345D">
            <w:pPr>
              <w:pStyle w:val="tabletext"/>
            </w:pPr>
            <w:r w:rsidRPr="003B345D">
              <w:t>Subsections 111N(1), (2), (3) and (4)</w:t>
            </w:r>
          </w:p>
        </w:tc>
      </w:tr>
      <w:tr w:rsidR="003B345D" w:rsidRPr="003B345D" w14:paraId="231248A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4EC0FF8" w14:textId="77777777" w:rsidR="003B345D" w:rsidRPr="003B345D" w:rsidRDefault="003B345D" w:rsidP="003B345D">
            <w:pPr>
              <w:pStyle w:val="tabletext"/>
              <w:rPr>
                <w:lang w:val="en-US" w:eastAsia="en-US"/>
              </w:rPr>
            </w:pPr>
            <w:r w:rsidRPr="003B345D">
              <w:rPr>
                <w:lang w:val="en-US" w:eastAsia="en-US"/>
              </w:rPr>
              <w:t>409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F2D974D" w14:textId="77777777" w:rsidR="003B345D" w:rsidRPr="003B345D" w:rsidRDefault="003B345D" w:rsidP="003B345D">
            <w:pPr>
              <w:pStyle w:val="tabletext"/>
            </w:pPr>
            <w:r w:rsidRPr="003B345D">
              <w:t>Subsection 117(1)</w:t>
            </w:r>
          </w:p>
        </w:tc>
      </w:tr>
      <w:tr w:rsidR="003B345D" w:rsidRPr="003B345D" w14:paraId="7C18003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F79124C" w14:textId="77777777" w:rsidR="003B345D" w:rsidRPr="003B345D" w:rsidRDefault="003B345D" w:rsidP="003B345D">
            <w:pPr>
              <w:pStyle w:val="tabletext"/>
              <w:rPr>
                <w:lang w:val="en-US" w:eastAsia="en-US"/>
              </w:rPr>
            </w:pPr>
            <w:r w:rsidRPr="003B345D">
              <w:rPr>
                <w:lang w:val="en-US" w:eastAsia="en-US"/>
              </w:rPr>
              <w:t>413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2BF9DDD" w14:textId="77777777" w:rsidR="003B345D" w:rsidRPr="003B345D" w:rsidRDefault="003B345D" w:rsidP="003B345D">
            <w:pPr>
              <w:pStyle w:val="tabletext"/>
            </w:pPr>
            <w:r w:rsidRPr="003B345D">
              <w:t>Section 118 (heading)</w:t>
            </w:r>
          </w:p>
        </w:tc>
      </w:tr>
      <w:tr w:rsidR="003B345D" w:rsidRPr="003B345D" w14:paraId="49527EC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FCD7BD9" w14:textId="77777777" w:rsidR="003B345D" w:rsidRPr="003B345D" w:rsidRDefault="003B345D" w:rsidP="003B345D">
            <w:pPr>
              <w:pStyle w:val="tabletext"/>
              <w:rPr>
                <w:lang w:val="en-US" w:eastAsia="en-US"/>
              </w:rPr>
            </w:pPr>
            <w:r w:rsidRPr="003B345D">
              <w:rPr>
                <w:lang w:val="en-US" w:eastAsia="en-US"/>
              </w:rPr>
              <w:t>414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9151850" w14:textId="77777777" w:rsidR="003B345D" w:rsidRPr="003B345D" w:rsidRDefault="003B345D" w:rsidP="003B345D">
            <w:pPr>
              <w:pStyle w:val="tabletext"/>
            </w:pPr>
            <w:r w:rsidRPr="003B345D">
              <w:t>Subsection 118(1)</w:t>
            </w:r>
          </w:p>
        </w:tc>
      </w:tr>
      <w:tr w:rsidR="003B345D" w:rsidRPr="003B345D" w14:paraId="1BBC228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CD70164" w14:textId="77777777" w:rsidR="003B345D" w:rsidRPr="003B345D" w:rsidRDefault="003B345D" w:rsidP="003B345D">
            <w:pPr>
              <w:pStyle w:val="tabletext"/>
              <w:rPr>
                <w:lang w:val="en-US" w:eastAsia="en-US"/>
              </w:rPr>
            </w:pPr>
            <w:r w:rsidRPr="003B345D">
              <w:rPr>
                <w:lang w:val="en-US" w:eastAsia="en-US"/>
              </w:rPr>
              <w:t>416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5D5CC0" w14:textId="77777777" w:rsidR="003B345D" w:rsidRPr="003B345D" w:rsidRDefault="003B345D" w:rsidP="003B345D">
            <w:pPr>
              <w:pStyle w:val="tabletext"/>
            </w:pPr>
            <w:r w:rsidRPr="003B345D">
              <w:t>Subsection 118(2)</w:t>
            </w:r>
          </w:p>
        </w:tc>
      </w:tr>
      <w:tr w:rsidR="003B345D" w:rsidRPr="003B345D" w14:paraId="5C944B9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B8509F5" w14:textId="77777777" w:rsidR="003B345D" w:rsidRPr="003B345D" w:rsidRDefault="003B345D" w:rsidP="003B345D">
            <w:pPr>
              <w:pStyle w:val="tabletext"/>
              <w:rPr>
                <w:lang w:val="en-US" w:eastAsia="en-US"/>
              </w:rPr>
            </w:pPr>
            <w:r w:rsidRPr="003B345D">
              <w:rPr>
                <w:lang w:val="en-US" w:eastAsia="en-US"/>
              </w:rPr>
              <w:t>420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9DBB3F9" w14:textId="77777777" w:rsidR="003B345D" w:rsidRPr="003B345D" w:rsidRDefault="003B345D" w:rsidP="003B345D">
            <w:pPr>
              <w:pStyle w:val="tabletext"/>
            </w:pPr>
            <w:r w:rsidRPr="003B345D">
              <w:t>Subsection 129(2)</w:t>
            </w:r>
          </w:p>
        </w:tc>
      </w:tr>
      <w:tr w:rsidR="003B345D" w:rsidRPr="003B345D" w14:paraId="22DB894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024F4E3" w14:textId="77777777" w:rsidR="003B345D" w:rsidRPr="003B345D" w:rsidRDefault="003B345D" w:rsidP="003B345D">
            <w:pPr>
              <w:pStyle w:val="tabletext"/>
              <w:rPr>
                <w:lang w:val="en-US" w:eastAsia="en-US"/>
              </w:rPr>
            </w:pPr>
            <w:r w:rsidRPr="003B345D">
              <w:rPr>
                <w:lang w:val="en-US" w:eastAsia="en-US"/>
              </w:rPr>
              <w:t>421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4D38D2B" w14:textId="77777777" w:rsidR="003B345D" w:rsidRPr="003B345D" w:rsidRDefault="003B345D" w:rsidP="003B345D">
            <w:pPr>
              <w:pStyle w:val="tabletext"/>
            </w:pPr>
            <w:r w:rsidRPr="003B345D">
              <w:t>Section 130 (heading)</w:t>
            </w:r>
          </w:p>
        </w:tc>
      </w:tr>
      <w:tr w:rsidR="003B345D" w:rsidRPr="003B345D" w14:paraId="0C490EE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B2D6C43" w14:textId="77777777" w:rsidR="003B345D" w:rsidRPr="003B345D" w:rsidRDefault="003B345D" w:rsidP="003B345D">
            <w:pPr>
              <w:pStyle w:val="tabletext"/>
              <w:rPr>
                <w:lang w:val="en-US" w:eastAsia="en-US"/>
              </w:rPr>
            </w:pPr>
            <w:r w:rsidRPr="003B345D">
              <w:rPr>
                <w:lang w:val="en-US" w:eastAsia="en-US"/>
              </w:rPr>
              <w:t>422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89F2486" w14:textId="77777777" w:rsidR="003B345D" w:rsidRPr="003B345D" w:rsidRDefault="003B345D" w:rsidP="003B345D">
            <w:pPr>
              <w:pStyle w:val="tabletext"/>
            </w:pPr>
            <w:r w:rsidRPr="003B345D">
              <w:t>Section 130</w:t>
            </w:r>
          </w:p>
        </w:tc>
      </w:tr>
      <w:tr w:rsidR="003B345D" w:rsidRPr="003B345D" w14:paraId="0D60E1A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9CCC4A6" w14:textId="77777777" w:rsidR="003B345D" w:rsidRPr="003B345D" w:rsidRDefault="003B345D" w:rsidP="003B345D">
            <w:pPr>
              <w:pStyle w:val="tabletext"/>
              <w:rPr>
                <w:lang w:val="en-US" w:eastAsia="en-US"/>
              </w:rPr>
            </w:pPr>
            <w:r w:rsidRPr="003B345D">
              <w:rPr>
                <w:lang w:val="en-US" w:eastAsia="en-US"/>
              </w:rPr>
              <w:t>423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FA0F842" w14:textId="77777777" w:rsidR="003B345D" w:rsidRPr="003B345D" w:rsidRDefault="003B345D" w:rsidP="003B345D">
            <w:pPr>
              <w:pStyle w:val="tabletext"/>
            </w:pPr>
            <w:r w:rsidRPr="003B345D">
              <w:t>Subsection 136(5)</w:t>
            </w:r>
          </w:p>
        </w:tc>
      </w:tr>
      <w:tr w:rsidR="003B345D" w:rsidRPr="003B345D" w14:paraId="3EBF9A9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8BDB03D" w14:textId="77777777" w:rsidR="003B345D" w:rsidRPr="003B345D" w:rsidRDefault="003B345D" w:rsidP="003B345D">
            <w:pPr>
              <w:pStyle w:val="tabletext"/>
              <w:rPr>
                <w:lang w:val="en-US" w:eastAsia="en-US"/>
              </w:rPr>
            </w:pPr>
            <w:r w:rsidRPr="003B345D">
              <w:rPr>
                <w:lang w:val="en-US" w:eastAsia="en-US"/>
              </w:rPr>
              <w:t>424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1EF592" w14:textId="77777777" w:rsidR="003B345D" w:rsidRPr="003B345D" w:rsidRDefault="003B345D" w:rsidP="003B345D">
            <w:pPr>
              <w:pStyle w:val="tabletext"/>
            </w:pPr>
            <w:r w:rsidRPr="003B345D">
              <w:t>Section 138</w:t>
            </w:r>
          </w:p>
        </w:tc>
      </w:tr>
      <w:tr w:rsidR="003B345D" w:rsidRPr="003B345D" w14:paraId="0AF37C2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79B31D5" w14:textId="77777777" w:rsidR="003B345D" w:rsidRPr="003B345D" w:rsidRDefault="003B345D" w:rsidP="003B345D">
            <w:pPr>
              <w:pStyle w:val="tabletext"/>
              <w:rPr>
                <w:lang w:val="en-US" w:eastAsia="en-US"/>
              </w:rPr>
            </w:pPr>
            <w:r w:rsidRPr="003B345D">
              <w:rPr>
                <w:lang w:val="en-US" w:eastAsia="en-US"/>
              </w:rPr>
              <w:t>426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7D39476" w14:textId="77777777" w:rsidR="003B345D" w:rsidRPr="003B345D" w:rsidRDefault="003B345D" w:rsidP="003B345D">
            <w:pPr>
              <w:pStyle w:val="tabletext"/>
            </w:pPr>
            <w:r w:rsidRPr="003B345D">
              <w:t>Subsection 142(1) (note 2)</w:t>
            </w:r>
          </w:p>
        </w:tc>
      </w:tr>
      <w:tr w:rsidR="003B345D" w:rsidRPr="003B345D" w14:paraId="7DBC737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9EE1B90" w14:textId="77777777" w:rsidR="003B345D" w:rsidRPr="003B345D" w:rsidRDefault="003B345D" w:rsidP="003B345D">
            <w:pPr>
              <w:pStyle w:val="tabletext"/>
              <w:rPr>
                <w:lang w:val="en-US" w:eastAsia="en-US"/>
              </w:rPr>
            </w:pPr>
            <w:r w:rsidRPr="003B345D">
              <w:rPr>
                <w:lang w:val="en-US" w:eastAsia="en-US"/>
              </w:rPr>
              <w:t>427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EA43CC6" w14:textId="77777777" w:rsidR="003B345D" w:rsidRPr="003B345D" w:rsidRDefault="003B345D" w:rsidP="003B345D">
            <w:pPr>
              <w:pStyle w:val="tabletext"/>
            </w:pPr>
            <w:r w:rsidRPr="003B345D">
              <w:t>Subsection 142(2)</w:t>
            </w:r>
          </w:p>
        </w:tc>
      </w:tr>
      <w:tr w:rsidR="003B345D" w:rsidRPr="003B345D" w14:paraId="468A017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1A74A1E" w14:textId="77777777" w:rsidR="003B345D" w:rsidRPr="003B345D" w:rsidRDefault="003B345D" w:rsidP="003B345D">
            <w:pPr>
              <w:pStyle w:val="tabletext"/>
              <w:rPr>
                <w:lang w:val="en-US" w:eastAsia="en-US"/>
              </w:rPr>
            </w:pPr>
            <w:r w:rsidRPr="003B345D">
              <w:rPr>
                <w:lang w:val="en-US" w:eastAsia="en-US"/>
              </w:rPr>
              <w:t>429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9D3344B" w14:textId="77777777" w:rsidR="003B345D" w:rsidRPr="003B345D" w:rsidRDefault="003B345D" w:rsidP="003B345D">
            <w:pPr>
              <w:pStyle w:val="tabletext"/>
            </w:pPr>
            <w:r w:rsidRPr="003B345D">
              <w:t>Section 143 (heading)</w:t>
            </w:r>
          </w:p>
        </w:tc>
      </w:tr>
      <w:tr w:rsidR="003B345D" w:rsidRPr="003B345D" w14:paraId="1680F44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766A1AC" w14:textId="77777777" w:rsidR="003B345D" w:rsidRPr="003B345D" w:rsidRDefault="003B345D" w:rsidP="003B345D">
            <w:pPr>
              <w:pStyle w:val="tabletext"/>
              <w:rPr>
                <w:lang w:val="en-US" w:eastAsia="en-US"/>
              </w:rPr>
            </w:pPr>
            <w:r w:rsidRPr="003B345D">
              <w:rPr>
                <w:lang w:val="en-US" w:eastAsia="en-US"/>
              </w:rPr>
              <w:t>430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75517DA" w14:textId="77777777" w:rsidR="003B345D" w:rsidRPr="003B345D" w:rsidRDefault="003B345D" w:rsidP="003B345D">
            <w:pPr>
              <w:pStyle w:val="tabletext"/>
            </w:pPr>
            <w:r w:rsidRPr="003B345D">
              <w:t>Subsection 143(1)</w:t>
            </w:r>
          </w:p>
        </w:tc>
      </w:tr>
      <w:tr w:rsidR="003B345D" w:rsidRPr="003B345D" w14:paraId="71E6A46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C27A819" w14:textId="77777777" w:rsidR="003B345D" w:rsidRPr="003B345D" w:rsidRDefault="003B345D" w:rsidP="003B345D">
            <w:pPr>
              <w:pStyle w:val="tabletext"/>
              <w:rPr>
                <w:lang w:val="en-US" w:eastAsia="en-US"/>
              </w:rPr>
            </w:pPr>
            <w:r w:rsidRPr="003B345D">
              <w:rPr>
                <w:lang w:val="en-US" w:eastAsia="en-US"/>
              </w:rPr>
              <w:lastRenderedPageBreak/>
              <w:t>431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868A74A" w14:textId="77777777" w:rsidR="003B345D" w:rsidRPr="003B345D" w:rsidRDefault="003B345D" w:rsidP="003B345D">
            <w:pPr>
              <w:pStyle w:val="tabletext"/>
            </w:pPr>
            <w:r w:rsidRPr="003B345D">
              <w:t>Subsection 143(1) (note)</w:t>
            </w:r>
          </w:p>
        </w:tc>
      </w:tr>
      <w:tr w:rsidR="003B345D" w:rsidRPr="003B345D" w14:paraId="3D6625B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83E4AE1" w14:textId="77777777" w:rsidR="003B345D" w:rsidRPr="003B345D" w:rsidRDefault="003B345D" w:rsidP="003B345D">
            <w:pPr>
              <w:pStyle w:val="tabletext"/>
              <w:rPr>
                <w:lang w:val="en-US" w:eastAsia="en-US"/>
              </w:rPr>
            </w:pPr>
            <w:r w:rsidRPr="003B345D">
              <w:rPr>
                <w:lang w:val="en-US" w:eastAsia="en-US"/>
              </w:rPr>
              <w:t>432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8CB6172" w14:textId="77777777" w:rsidR="003B345D" w:rsidRPr="003B345D" w:rsidRDefault="003B345D" w:rsidP="003B345D">
            <w:pPr>
              <w:pStyle w:val="tabletext"/>
            </w:pPr>
            <w:r w:rsidRPr="003B345D">
              <w:t>Subsections 143(2) and (3)</w:t>
            </w:r>
          </w:p>
        </w:tc>
      </w:tr>
      <w:tr w:rsidR="003B345D" w:rsidRPr="003B345D" w14:paraId="42629F3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2C2768A" w14:textId="77777777" w:rsidR="003B345D" w:rsidRPr="003B345D" w:rsidRDefault="003B345D" w:rsidP="003B345D">
            <w:pPr>
              <w:pStyle w:val="tabletext"/>
              <w:rPr>
                <w:lang w:val="en-US" w:eastAsia="en-US"/>
              </w:rPr>
            </w:pPr>
            <w:r w:rsidRPr="003B345D">
              <w:rPr>
                <w:lang w:val="en-US" w:eastAsia="en-US"/>
              </w:rPr>
              <w:t>433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94A4C6C" w14:textId="77777777" w:rsidR="003B345D" w:rsidRPr="003B345D" w:rsidRDefault="003B345D" w:rsidP="003B345D">
            <w:pPr>
              <w:pStyle w:val="tabletext"/>
            </w:pPr>
            <w:r w:rsidRPr="003B345D">
              <w:t>Paragraph 145(2)(b)</w:t>
            </w:r>
          </w:p>
        </w:tc>
      </w:tr>
      <w:tr w:rsidR="003B345D" w:rsidRPr="003B345D" w14:paraId="2479DD2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C8365A9" w14:textId="77777777" w:rsidR="003B345D" w:rsidRPr="003B345D" w:rsidRDefault="003B345D" w:rsidP="003B345D">
            <w:pPr>
              <w:pStyle w:val="tabletext"/>
              <w:rPr>
                <w:lang w:val="en-US" w:eastAsia="en-US"/>
              </w:rPr>
            </w:pPr>
            <w:r w:rsidRPr="003B345D">
              <w:rPr>
                <w:lang w:val="en-US" w:eastAsia="en-US"/>
              </w:rPr>
              <w:t>434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7DFEC52" w14:textId="77777777" w:rsidR="003B345D" w:rsidRPr="003B345D" w:rsidRDefault="003B345D" w:rsidP="003B345D">
            <w:pPr>
              <w:pStyle w:val="tabletext"/>
            </w:pPr>
            <w:r w:rsidRPr="003B345D">
              <w:t>Subsection 145(3)</w:t>
            </w:r>
          </w:p>
        </w:tc>
      </w:tr>
      <w:tr w:rsidR="003B345D" w:rsidRPr="003B345D" w14:paraId="34210B0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226196D" w14:textId="77777777" w:rsidR="003B345D" w:rsidRPr="003B345D" w:rsidRDefault="003B345D" w:rsidP="003B345D">
            <w:pPr>
              <w:pStyle w:val="tabletext"/>
              <w:rPr>
                <w:lang w:val="en-US" w:eastAsia="en-US"/>
              </w:rPr>
            </w:pPr>
            <w:r w:rsidRPr="003B345D">
              <w:rPr>
                <w:lang w:val="en-US" w:eastAsia="en-US"/>
              </w:rPr>
              <w:t>436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AAA58E5" w14:textId="77777777" w:rsidR="003B345D" w:rsidRPr="003B345D" w:rsidRDefault="003B345D" w:rsidP="003B345D">
            <w:pPr>
              <w:pStyle w:val="tabletext"/>
            </w:pPr>
            <w:r w:rsidRPr="003B345D">
              <w:t>Subsection 146(1)</w:t>
            </w:r>
          </w:p>
        </w:tc>
      </w:tr>
      <w:tr w:rsidR="003B345D" w:rsidRPr="003B345D" w14:paraId="5E64E9F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2B1E4F6" w14:textId="77777777" w:rsidR="003B345D" w:rsidRPr="003B345D" w:rsidRDefault="003B345D" w:rsidP="003B345D">
            <w:pPr>
              <w:pStyle w:val="tabletext"/>
              <w:rPr>
                <w:lang w:val="en-US" w:eastAsia="en-US"/>
              </w:rPr>
            </w:pPr>
            <w:r w:rsidRPr="003B345D">
              <w:rPr>
                <w:lang w:val="en-US" w:eastAsia="en-US"/>
              </w:rPr>
              <w:t>438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DA99925" w14:textId="77777777" w:rsidR="003B345D" w:rsidRPr="003B345D" w:rsidRDefault="003B345D" w:rsidP="003B345D">
            <w:pPr>
              <w:pStyle w:val="tabletext"/>
            </w:pPr>
            <w:r w:rsidRPr="003B345D">
              <w:t>Subsection 146A(1)</w:t>
            </w:r>
          </w:p>
        </w:tc>
      </w:tr>
      <w:tr w:rsidR="003B345D" w:rsidRPr="003B345D" w14:paraId="6C0A12C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06FCA05" w14:textId="77777777" w:rsidR="003B345D" w:rsidRPr="003B345D" w:rsidRDefault="003B345D" w:rsidP="003B345D">
            <w:pPr>
              <w:pStyle w:val="tabletext"/>
              <w:rPr>
                <w:lang w:val="en-US" w:eastAsia="en-US"/>
              </w:rPr>
            </w:pPr>
            <w:r w:rsidRPr="003B345D">
              <w:rPr>
                <w:lang w:val="en-US" w:eastAsia="en-US"/>
              </w:rPr>
              <w:t>439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BA60B3E" w14:textId="77777777" w:rsidR="003B345D" w:rsidRPr="003B345D" w:rsidRDefault="003B345D" w:rsidP="003B345D">
            <w:pPr>
              <w:pStyle w:val="tabletext"/>
            </w:pPr>
            <w:r w:rsidRPr="003B345D">
              <w:t>Subsection 146A(2)</w:t>
            </w:r>
          </w:p>
        </w:tc>
      </w:tr>
      <w:tr w:rsidR="003B345D" w:rsidRPr="003B345D" w14:paraId="06C9377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9803509" w14:textId="77777777" w:rsidR="003B345D" w:rsidRPr="003B345D" w:rsidRDefault="003B345D" w:rsidP="003B345D">
            <w:pPr>
              <w:pStyle w:val="tabletext"/>
              <w:rPr>
                <w:lang w:val="en-US" w:eastAsia="en-US"/>
              </w:rPr>
            </w:pPr>
            <w:r w:rsidRPr="003B345D">
              <w:rPr>
                <w:lang w:val="en-US" w:eastAsia="en-US"/>
              </w:rPr>
              <w:t>442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67F9022" w14:textId="77777777" w:rsidR="003B345D" w:rsidRPr="003B345D" w:rsidRDefault="003B345D" w:rsidP="003B345D">
            <w:pPr>
              <w:pStyle w:val="tabletext"/>
            </w:pPr>
            <w:r w:rsidRPr="003B345D">
              <w:t>Subsections 147(3) and (4) (note)</w:t>
            </w:r>
          </w:p>
        </w:tc>
      </w:tr>
      <w:tr w:rsidR="003B345D" w:rsidRPr="003B345D" w14:paraId="3694019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06215F7" w14:textId="77777777" w:rsidR="003B345D" w:rsidRPr="003B345D" w:rsidRDefault="003B345D" w:rsidP="003B345D">
            <w:pPr>
              <w:pStyle w:val="tabletext"/>
              <w:rPr>
                <w:lang w:val="en-US" w:eastAsia="en-US"/>
              </w:rPr>
            </w:pPr>
            <w:r w:rsidRPr="003B345D">
              <w:rPr>
                <w:lang w:val="en-US" w:eastAsia="en-US"/>
              </w:rPr>
              <w:t>443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DF18BFA" w14:textId="77777777" w:rsidR="003B345D" w:rsidRPr="003B345D" w:rsidRDefault="003B345D" w:rsidP="003B345D">
            <w:pPr>
              <w:pStyle w:val="tabletext"/>
            </w:pPr>
            <w:r w:rsidRPr="003B345D">
              <w:t>Subsection 150(2)</w:t>
            </w:r>
          </w:p>
        </w:tc>
      </w:tr>
      <w:tr w:rsidR="003B345D" w:rsidRPr="003B345D" w14:paraId="786662D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70CC202" w14:textId="77777777" w:rsidR="003B345D" w:rsidRPr="003B345D" w:rsidRDefault="003B345D" w:rsidP="003B345D">
            <w:pPr>
              <w:pStyle w:val="tabletext"/>
              <w:rPr>
                <w:lang w:val="en-US" w:eastAsia="en-US"/>
              </w:rPr>
            </w:pPr>
            <w:r w:rsidRPr="003B345D">
              <w:rPr>
                <w:lang w:val="en-US" w:eastAsia="en-US"/>
              </w:rPr>
              <w:t>445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F7BB89D" w14:textId="77777777" w:rsidR="003B345D" w:rsidRPr="003B345D" w:rsidRDefault="003B345D" w:rsidP="003B345D">
            <w:pPr>
              <w:pStyle w:val="tabletext"/>
            </w:pPr>
            <w:r w:rsidRPr="003B345D">
              <w:t>Subsection 151(2)</w:t>
            </w:r>
          </w:p>
        </w:tc>
      </w:tr>
      <w:tr w:rsidR="003B345D" w:rsidRPr="003B345D" w14:paraId="1274134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AEA72B4" w14:textId="77777777" w:rsidR="003B345D" w:rsidRPr="003B345D" w:rsidRDefault="003B345D" w:rsidP="003B345D">
            <w:pPr>
              <w:pStyle w:val="tabletext"/>
              <w:rPr>
                <w:lang w:val="en-US" w:eastAsia="en-US"/>
              </w:rPr>
            </w:pPr>
            <w:r w:rsidRPr="003B345D">
              <w:rPr>
                <w:lang w:val="en-US" w:eastAsia="en-US"/>
              </w:rPr>
              <w:t>448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3F1777" w14:textId="77777777" w:rsidR="003B345D" w:rsidRPr="003B345D" w:rsidRDefault="003B345D" w:rsidP="003B345D">
            <w:pPr>
              <w:pStyle w:val="tabletext"/>
            </w:pPr>
            <w:r w:rsidRPr="003B345D">
              <w:t>Subsection 151(3)</w:t>
            </w:r>
          </w:p>
        </w:tc>
      </w:tr>
      <w:tr w:rsidR="003B345D" w:rsidRPr="003B345D" w14:paraId="14D006E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A14B64F" w14:textId="77777777" w:rsidR="003B345D" w:rsidRPr="003B345D" w:rsidRDefault="003B345D" w:rsidP="003B345D">
            <w:pPr>
              <w:pStyle w:val="tabletext"/>
              <w:rPr>
                <w:lang w:val="en-US" w:eastAsia="en-US"/>
              </w:rPr>
            </w:pPr>
            <w:r w:rsidRPr="003B345D">
              <w:rPr>
                <w:lang w:val="en-US" w:eastAsia="en-US"/>
              </w:rPr>
              <w:t>449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7A29F8F" w14:textId="77777777" w:rsidR="003B345D" w:rsidRPr="003B345D" w:rsidRDefault="003B345D" w:rsidP="003B345D">
            <w:pPr>
              <w:pStyle w:val="tabletext"/>
            </w:pPr>
            <w:r w:rsidRPr="003B345D">
              <w:t>Paragraph 151(3)(b)</w:t>
            </w:r>
          </w:p>
        </w:tc>
      </w:tr>
      <w:tr w:rsidR="003B345D" w:rsidRPr="003B345D" w14:paraId="77A8F70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BA53FC8" w14:textId="77777777" w:rsidR="003B345D" w:rsidRPr="003B345D" w:rsidRDefault="003B345D" w:rsidP="003B345D">
            <w:pPr>
              <w:pStyle w:val="tabletext"/>
              <w:rPr>
                <w:lang w:val="en-US" w:eastAsia="en-US"/>
              </w:rPr>
            </w:pPr>
            <w:r w:rsidRPr="003B345D">
              <w:rPr>
                <w:lang w:val="en-US" w:eastAsia="en-US"/>
              </w:rPr>
              <w:t>450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D8CA529" w14:textId="77777777" w:rsidR="003B345D" w:rsidRPr="003B345D" w:rsidRDefault="003B345D" w:rsidP="003B345D">
            <w:pPr>
              <w:pStyle w:val="tabletext"/>
            </w:pPr>
            <w:r w:rsidRPr="003B345D">
              <w:t>Subsection 152(1)</w:t>
            </w:r>
          </w:p>
        </w:tc>
      </w:tr>
      <w:tr w:rsidR="003B345D" w:rsidRPr="003B345D" w14:paraId="4FA60DC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818A46D" w14:textId="77777777" w:rsidR="003B345D" w:rsidRPr="003B345D" w:rsidRDefault="003B345D" w:rsidP="003B345D">
            <w:pPr>
              <w:pStyle w:val="tabletext"/>
              <w:rPr>
                <w:lang w:val="en-US" w:eastAsia="en-US"/>
              </w:rPr>
            </w:pPr>
            <w:r w:rsidRPr="003B345D">
              <w:rPr>
                <w:lang w:val="en-US" w:eastAsia="en-US"/>
              </w:rPr>
              <w:t>451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468B2F4" w14:textId="77777777" w:rsidR="003B345D" w:rsidRPr="003B345D" w:rsidRDefault="003B345D" w:rsidP="003B345D">
            <w:pPr>
              <w:pStyle w:val="tabletext"/>
            </w:pPr>
            <w:r w:rsidRPr="003B345D">
              <w:t>Subsection 152(2)</w:t>
            </w:r>
          </w:p>
        </w:tc>
      </w:tr>
      <w:tr w:rsidR="003B345D" w:rsidRPr="003B345D" w14:paraId="2444D7F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06CAFDE" w14:textId="77777777" w:rsidR="003B345D" w:rsidRPr="003B345D" w:rsidRDefault="003B345D" w:rsidP="003B345D">
            <w:pPr>
              <w:pStyle w:val="tabletext"/>
              <w:rPr>
                <w:lang w:val="en-US" w:eastAsia="en-US"/>
              </w:rPr>
            </w:pPr>
            <w:r w:rsidRPr="003B345D">
              <w:rPr>
                <w:lang w:val="en-US" w:eastAsia="en-US"/>
              </w:rPr>
              <w:t>453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4A3A02E" w14:textId="77777777" w:rsidR="003B345D" w:rsidRPr="003B345D" w:rsidRDefault="003B345D" w:rsidP="003B345D">
            <w:pPr>
              <w:pStyle w:val="tabletext"/>
            </w:pPr>
            <w:r w:rsidRPr="003B345D">
              <w:t>Subsection 152(3)</w:t>
            </w:r>
          </w:p>
        </w:tc>
      </w:tr>
      <w:tr w:rsidR="003B345D" w:rsidRPr="003B345D" w14:paraId="415F2A8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01DA448" w14:textId="77777777" w:rsidR="003B345D" w:rsidRPr="003B345D" w:rsidRDefault="003B345D" w:rsidP="003B345D">
            <w:pPr>
              <w:pStyle w:val="tabletext"/>
              <w:rPr>
                <w:lang w:val="en-US" w:eastAsia="en-US"/>
              </w:rPr>
            </w:pPr>
            <w:r w:rsidRPr="003B345D">
              <w:rPr>
                <w:lang w:val="en-US" w:eastAsia="en-US"/>
              </w:rPr>
              <w:t>456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33FC35" w14:textId="77777777" w:rsidR="003B345D" w:rsidRPr="003B345D" w:rsidRDefault="003B345D" w:rsidP="003B345D">
            <w:pPr>
              <w:pStyle w:val="tabletext"/>
            </w:pPr>
            <w:r w:rsidRPr="003B345D">
              <w:t>Subsections 157(2) and (3) and 157A(1) to (7)</w:t>
            </w:r>
          </w:p>
        </w:tc>
      </w:tr>
      <w:tr w:rsidR="003B345D" w:rsidRPr="003B345D" w14:paraId="7E83D03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AEEC0B7" w14:textId="77777777" w:rsidR="003B345D" w:rsidRPr="003B345D" w:rsidRDefault="003B345D" w:rsidP="003B345D">
            <w:pPr>
              <w:pStyle w:val="tabletext"/>
              <w:rPr>
                <w:lang w:val="en-US" w:eastAsia="en-US"/>
              </w:rPr>
            </w:pPr>
            <w:r w:rsidRPr="003B345D">
              <w:rPr>
                <w:lang w:val="en-US" w:eastAsia="en-US"/>
              </w:rPr>
              <w:t>457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46414EE" w14:textId="77777777" w:rsidR="003B345D" w:rsidRPr="003B345D" w:rsidRDefault="003B345D" w:rsidP="003B345D">
            <w:pPr>
              <w:pStyle w:val="tabletext"/>
            </w:pPr>
            <w:r w:rsidRPr="003B345D">
              <w:t>Section 158 (heading)</w:t>
            </w:r>
          </w:p>
        </w:tc>
      </w:tr>
      <w:tr w:rsidR="003B345D" w:rsidRPr="003B345D" w14:paraId="544C829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1D8B5F0" w14:textId="77777777" w:rsidR="003B345D" w:rsidRPr="003B345D" w:rsidRDefault="003B345D" w:rsidP="003B345D">
            <w:pPr>
              <w:pStyle w:val="tabletext"/>
              <w:rPr>
                <w:lang w:val="en-US" w:eastAsia="en-US"/>
              </w:rPr>
            </w:pPr>
            <w:r w:rsidRPr="003B345D">
              <w:rPr>
                <w:lang w:val="en-US" w:eastAsia="en-US"/>
              </w:rPr>
              <w:t>458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1C882BF" w14:textId="77777777" w:rsidR="003B345D" w:rsidRPr="003B345D" w:rsidRDefault="003B345D" w:rsidP="003B345D">
            <w:pPr>
              <w:pStyle w:val="tabletext"/>
            </w:pPr>
            <w:r w:rsidRPr="003B345D">
              <w:t>Subsection 158(1)</w:t>
            </w:r>
          </w:p>
        </w:tc>
      </w:tr>
      <w:tr w:rsidR="003B345D" w:rsidRPr="003B345D" w14:paraId="7C08B82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63AFDAD" w14:textId="77777777" w:rsidR="003B345D" w:rsidRPr="003B345D" w:rsidRDefault="003B345D" w:rsidP="003B345D">
            <w:pPr>
              <w:pStyle w:val="tabletext"/>
              <w:rPr>
                <w:lang w:val="en-US" w:eastAsia="en-US"/>
              </w:rPr>
            </w:pPr>
            <w:r w:rsidRPr="003B345D">
              <w:rPr>
                <w:lang w:val="en-US" w:eastAsia="en-US"/>
              </w:rPr>
              <w:t>459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22A45F" w14:textId="77777777" w:rsidR="003B345D" w:rsidRPr="003B345D" w:rsidRDefault="003B345D" w:rsidP="003B345D">
            <w:pPr>
              <w:pStyle w:val="tabletext"/>
            </w:pPr>
            <w:r w:rsidRPr="003B345D">
              <w:t>Subsections 158(3) and (4)</w:t>
            </w:r>
          </w:p>
        </w:tc>
      </w:tr>
      <w:tr w:rsidR="003B345D" w:rsidRPr="003B345D" w14:paraId="74BFCE8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58CF8A5" w14:textId="77777777" w:rsidR="003B345D" w:rsidRPr="003B345D" w:rsidRDefault="003B345D" w:rsidP="003B345D">
            <w:pPr>
              <w:pStyle w:val="tabletext"/>
              <w:rPr>
                <w:lang w:val="en-US" w:eastAsia="en-US"/>
              </w:rPr>
            </w:pPr>
            <w:r w:rsidRPr="003B345D">
              <w:rPr>
                <w:lang w:val="en-US" w:eastAsia="en-US"/>
              </w:rPr>
              <w:t>460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2BBB5E" w14:textId="77777777" w:rsidR="003B345D" w:rsidRPr="003B345D" w:rsidRDefault="003B345D" w:rsidP="003B345D">
            <w:pPr>
              <w:pStyle w:val="tabletext"/>
            </w:pPr>
            <w:r w:rsidRPr="003B345D">
              <w:t>Section 159 (heading)</w:t>
            </w:r>
          </w:p>
        </w:tc>
      </w:tr>
      <w:tr w:rsidR="003B345D" w:rsidRPr="003B345D" w14:paraId="5514520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D61FE08" w14:textId="77777777" w:rsidR="003B345D" w:rsidRPr="003B345D" w:rsidRDefault="003B345D" w:rsidP="003B345D">
            <w:pPr>
              <w:pStyle w:val="tabletext"/>
              <w:rPr>
                <w:lang w:val="en-US" w:eastAsia="en-US"/>
              </w:rPr>
            </w:pPr>
            <w:r w:rsidRPr="003B345D">
              <w:rPr>
                <w:lang w:val="en-US" w:eastAsia="en-US"/>
              </w:rPr>
              <w:t>461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35B6A93" w14:textId="77777777" w:rsidR="003B345D" w:rsidRPr="003B345D" w:rsidRDefault="003B345D" w:rsidP="003B345D">
            <w:pPr>
              <w:pStyle w:val="tabletext"/>
            </w:pPr>
            <w:r w:rsidRPr="003B345D">
              <w:t>Subsection 159(1)</w:t>
            </w:r>
          </w:p>
        </w:tc>
      </w:tr>
      <w:tr w:rsidR="003B345D" w:rsidRPr="003B345D" w14:paraId="2AA58D2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79AF0F2" w14:textId="77777777" w:rsidR="003B345D" w:rsidRPr="003B345D" w:rsidRDefault="003B345D" w:rsidP="003B345D">
            <w:pPr>
              <w:pStyle w:val="tabletext"/>
              <w:rPr>
                <w:lang w:val="en-US" w:eastAsia="en-US"/>
              </w:rPr>
            </w:pPr>
            <w:r w:rsidRPr="003B345D">
              <w:rPr>
                <w:lang w:val="en-US" w:eastAsia="en-US"/>
              </w:rPr>
              <w:t>462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E1A1BB3" w14:textId="77777777" w:rsidR="003B345D" w:rsidRPr="003B345D" w:rsidRDefault="003B345D" w:rsidP="003B345D">
            <w:pPr>
              <w:pStyle w:val="tabletext"/>
            </w:pPr>
            <w:r w:rsidRPr="003B345D">
              <w:t>Paragraph 159(1)(c)</w:t>
            </w:r>
          </w:p>
        </w:tc>
      </w:tr>
      <w:tr w:rsidR="003B345D" w:rsidRPr="003B345D" w14:paraId="6E0475C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C25C773" w14:textId="77777777" w:rsidR="003B345D" w:rsidRPr="003B345D" w:rsidRDefault="003B345D" w:rsidP="003B345D">
            <w:pPr>
              <w:pStyle w:val="tabletext"/>
              <w:rPr>
                <w:lang w:val="en-US" w:eastAsia="en-US"/>
              </w:rPr>
            </w:pPr>
            <w:r w:rsidRPr="003B345D">
              <w:rPr>
                <w:lang w:val="en-US" w:eastAsia="en-US"/>
              </w:rPr>
              <w:t>463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06140EC" w14:textId="77777777" w:rsidR="003B345D" w:rsidRPr="003B345D" w:rsidRDefault="003B345D" w:rsidP="003B345D">
            <w:pPr>
              <w:pStyle w:val="tabletext"/>
            </w:pPr>
            <w:r w:rsidRPr="003B345D">
              <w:t>Subsection 159(2)</w:t>
            </w:r>
          </w:p>
        </w:tc>
      </w:tr>
      <w:tr w:rsidR="003B345D" w:rsidRPr="003B345D" w14:paraId="1CAFE49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C27172E" w14:textId="77777777" w:rsidR="003B345D" w:rsidRPr="003B345D" w:rsidRDefault="003B345D" w:rsidP="003B345D">
            <w:pPr>
              <w:pStyle w:val="tabletext"/>
              <w:rPr>
                <w:lang w:val="en-US" w:eastAsia="en-US"/>
              </w:rPr>
            </w:pPr>
            <w:r w:rsidRPr="003B345D">
              <w:rPr>
                <w:lang w:val="en-US" w:eastAsia="en-US"/>
              </w:rPr>
              <w:t>464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B108EB" w14:textId="77777777" w:rsidR="003B345D" w:rsidRPr="003B345D" w:rsidRDefault="003B345D" w:rsidP="003B345D">
            <w:pPr>
              <w:pStyle w:val="tabletext"/>
            </w:pPr>
            <w:r w:rsidRPr="003B345D">
              <w:t>Section 160 (heading)</w:t>
            </w:r>
          </w:p>
        </w:tc>
      </w:tr>
      <w:tr w:rsidR="003B345D" w:rsidRPr="003B345D" w14:paraId="44D721E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2E1E1DB" w14:textId="77777777" w:rsidR="003B345D" w:rsidRPr="003B345D" w:rsidRDefault="003B345D" w:rsidP="003B345D">
            <w:pPr>
              <w:pStyle w:val="tabletext"/>
              <w:rPr>
                <w:lang w:val="en-US" w:eastAsia="en-US"/>
              </w:rPr>
            </w:pPr>
            <w:r w:rsidRPr="003B345D">
              <w:rPr>
                <w:lang w:val="en-US" w:eastAsia="en-US"/>
              </w:rPr>
              <w:t>465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EA25657" w14:textId="77777777" w:rsidR="003B345D" w:rsidRPr="003B345D" w:rsidRDefault="003B345D" w:rsidP="003B345D">
            <w:pPr>
              <w:pStyle w:val="tabletext"/>
            </w:pPr>
            <w:r w:rsidRPr="003B345D">
              <w:t>Section 160</w:t>
            </w:r>
          </w:p>
        </w:tc>
      </w:tr>
      <w:tr w:rsidR="003B345D" w:rsidRPr="003B345D" w14:paraId="3D41D40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C3C2350" w14:textId="77777777" w:rsidR="003B345D" w:rsidRPr="003B345D" w:rsidRDefault="003B345D" w:rsidP="003B345D">
            <w:pPr>
              <w:pStyle w:val="tabletext"/>
              <w:rPr>
                <w:lang w:val="en-US" w:eastAsia="en-US"/>
              </w:rPr>
            </w:pPr>
            <w:r w:rsidRPr="003B345D">
              <w:rPr>
                <w:lang w:val="en-US" w:eastAsia="en-US"/>
              </w:rPr>
              <w:t>466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A2374B9" w14:textId="77777777" w:rsidR="003B345D" w:rsidRPr="003B345D" w:rsidRDefault="003B345D" w:rsidP="003B345D">
            <w:pPr>
              <w:pStyle w:val="tabletext"/>
            </w:pPr>
            <w:r w:rsidRPr="003B345D">
              <w:t>Subsection 161A(6A)</w:t>
            </w:r>
          </w:p>
        </w:tc>
      </w:tr>
      <w:tr w:rsidR="003B345D" w:rsidRPr="003B345D" w14:paraId="4AB86D4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17086FC" w14:textId="77777777" w:rsidR="003B345D" w:rsidRPr="003B345D" w:rsidRDefault="003B345D" w:rsidP="003B345D">
            <w:pPr>
              <w:pStyle w:val="tabletext"/>
              <w:rPr>
                <w:lang w:val="en-US" w:eastAsia="en-US"/>
              </w:rPr>
            </w:pPr>
            <w:r w:rsidRPr="003B345D">
              <w:rPr>
                <w:lang w:val="en-US" w:eastAsia="en-US"/>
              </w:rPr>
              <w:t>468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4F734FB" w14:textId="77777777" w:rsidR="003B345D" w:rsidRPr="003B345D" w:rsidRDefault="003B345D" w:rsidP="003B345D">
            <w:pPr>
              <w:pStyle w:val="tabletext"/>
            </w:pPr>
            <w:r w:rsidRPr="003B345D">
              <w:t>Subsections 162(3) and 163(1)</w:t>
            </w:r>
          </w:p>
        </w:tc>
      </w:tr>
      <w:tr w:rsidR="003B345D" w:rsidRPr="003B345D" w14:paraId="33D88E1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0462760" w14:textId="77777777" w:rsidR="003B345D" w:rsidRPr="003B345D" w:rsidRDefault="003B345D" w:rsidP="003B345D">
            <w:pPr>
              <w:pStyle w:val="tabletext"/>
              <w:rPr>
                <w:lang w:val="en-US" w:eastAsia="en-US"/>
              </w:rPr>
            </w:pPr>
            <w:r w:rsidRPr="003B345D">
              <w:rPr>
                <w:lang w:val="en-US" w:eastAsia="en-US"/>
              </w:rPr>
              <w:t>472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E613FC7" w14:textId="77777777" w:rsidR="003B345D" w:rsidRPr="003B345D" w:rsidRDefault="003B345D" w:rsidP="003B345D">
            <w:pPr>
              <w:pStyle w:val="tabletext"/>
            </w:pPr>
            <w:r w:rsidRPr="003B345D">
              <w:t>Section 164 (heading)</w:t>
            </w:r>
          </w:p>
        </w:tc>
      </w:tr>
      <w:tr w:rsidR="003B345D" w:rsidRPr="003B345D" w14:paraId="6C14346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5CF9ED6" w14:textId="77777777" w:rsidR="003B345D" w:rsidRPr="003B345D" w:rsidRDefault="003B345D" w:rsidP="003B345D">
            <w:pPr>
              <w:pStyle w:val="tabletext"/>
              <w:rPr>
                <w:lang w:val="en-US" w:eastAsia="en-US"/>
              </w:rPr>
            </w:pPr>
            <w:r w:rsidRPr="003B345D">
              <w:rPr>
                <w:lang w:val="en-US" w:eastAsia="en-US"/>
              </w:rPr>
              <w:t>473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90D3E19" w14:textId="77777777" w:rsidR="003B345D" w:rsidRPr="003B345D" w:rsidRDefault="003B345D" w:rsidP="003B345D">
            <w:pPr>
              <w:pStyle w:val="tabletext"/>
            </w:pPr>
            <w:r w:rsidRPr="003B345D">
              <w:t>Subsection 164(1)</w:t>
            </w:r>
          </w:p>
        </w:tc>
      </w:tr>
      <w:tr w:rsidR="003B345D" w:rsidRPr="003B345D" w14:paraId="69CF004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E2C104A" w14:textId="77777777" w:rsidR="003B345D" w:rsidRPr="003B345D" w:rsidRDefault="003B345D" w:rsidP="003B345D">
            <w:pPr>
              <w:pStyle w:val="tabletext"/>
              <w:rPr>
                <w:lang w:val="en-US" w:eastAsia="en-US"/>
              </w:rPr>
            </w:pPr>
            <w:r w:rsidRPr="003B345D">
              <w:rPr>
                <w:lang w:val="en-US" w:eastAsia="en-US"/>
              </w:rPr>
              <w:t>474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B79C6DD" w14:textId="77777777" w:rsidR="003B345D" w:rsidRPr="003B345D" w:rsidRDefault="003B345D" w:rsidP="003B345D">
            <w:pPr>
              <w:pStyle w:val="tabletext"/>
            </w:pPr>
            <w:r w:rsidRPr="003B345D">
              <w:t>Paragraphs 164(1)(a) and (b)</w:t>
            </w:r>
          </w:p>
        </w:tc>
      </w:tr>
      <w:tr w:rsidR="003B345D" w:rsidRPr="003B345D" w14:paraId="366A10F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54A5E2A" w14:textId="77777777" w:rsidR="003B345D" w:rsidRPr="003B345D" w:rsidRDefault="003B345D" w:rsidP="003B345D">
            <w:pPr>
              <w:pStyle w:val="tabletext"/>
              <w:rPr>
                <w:lang w:val="en-US" w:eastAsia="en-US"/>
              </w:rPr>
            </w:pPr>
            <w:r w:rsidRPr="003B345D">
              <w:rPr>
                <w:lang w:val="en-US" w:eastAsia="en-US"/>
              </w:rPr>
              <w:t>475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10B37D7" w14:textId="77777777" w:rsidR="003B345D" w:rsidRPr="003B345D" w:rsidRDefault="003B345D" w:rsidP="003B345D">
            <w:pPr>
              <w:pStyle w:val="tabletext"/>
            </w:pPr>
            <w:r w:rsidRPr="003B345D">
              <w:t>Subsection 164(2)</w:t>
            </w:r>
          </w:p>
        </w:tc>
      </w:tr>
      <w:tr w:rsidR="003B345D" w:rsidRPr="003B345D" w14:paraId="75EB774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E1AAA9B" w14:textId="77777777" w:rsidR="003B345D" w:rsidRPr="003B345D" w:rsidRDefault="003B345D" w:rsidP="003B345D">
            <w:pPr>
              <w:pStyle w:val="tabletext"/>
              <w:rPr>
                <w:lang w:val="en-US" w:eastAsia="en-US"/>
              </w:rPr>
            </w:pPr>
            <w:r w:rsidRPr="003B345D">
              <w:rPr>
                <w:lang w:val="en-US" w:eastAsia="en-US"/>
              </w:rPr>
              <w:t>476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0FB6FB" w14:textId="77777777" w:rsidR="003B345D" w:rsidRPr="003B345D" w:rsidRDefault="003B345D" w:rsidP="003B345D">
            <w:pPr>
              <w:pStyle w:val="tabletext"/>
            </w:pPr>
            <w:r w:rsidRPr="003B345D">
              <w:t>Subsection 164(3)</w:t>
            </w:r>
          </w:p>
        </w:tc>
      </w:tr>
      <w:tr w:rsidR="003B345D" w:rsidRPr="003B345D" w14:paraId="30DB7C8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54BAC31" w14:textId="77777777" w:rsidR="003B345D" w:rsidRPr="003B345D" w:rsidRDefault="003B345D" w:rsidP="003B345D">
            <w:pPr>
              <w:pStyle w:val="tabletext"/>
              <w:rPr>
                <w:lang w:val="en-US" w:eastAsia="en-US"/>
              </w:rPr>
            </w:pPr>
            <w:r w:rsidRPr="003B345D">
              <w:rPr>
                <w:lang w:val="en-US" w:eastAsia="en-US"/>
              </w:rPr>
              <w:t>477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19D3B5" w14:textId="77777777" w:rsidR="003B345D" w:rsidRPr="003B345D" w:rsidRDefault="003B345D" w:rsidP="003B345D">
            <w:pPr>
              <w:pStyle w:val="tabletext"/>
            </w:pPr>
            <w:r w:rsidRPr="003B345D">
              <w:t>Subsections 164(4) and (5)</w:t>
            </w:r>
          </w:p>
        </w:tc>
      </w:tr>
      <w:tr w:rsidR="003B345D" w:rsidRPr="003B345D" w14:paraId="2AD36D0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F461718" w14:textId="77777777" w:rsidR="003B345D" w:rsidRPr="003B345D" w:rsidRDefault="003B345D" w:rsidP="003B345D">
            <w:pPr>
              <w:pStyle w:val="tabletext"/>
              <w:rPr>
                <w:lang w:val="en-US" w:eastAsia="en-US"/>
              </w:rPr>
            </w:pPr>
            <w:r w:rsidRPr="003B345D">
              <w:rPr>
                <w:lang w:val="en-US" w:eastAsia="en-US"/>
              </w:rPr>
              <w:t>478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EF0E6CE" w14:textId="77777777" w:rsidR="003B345D" w:rsidRPr="003B345D" w:rsidRDefault="003B345D" w:rsidP="003B345D">
            <w:pPr>
              <w:pStyle w:val="tabletext"/>
            </w:pPr>
            <w:r w:rsidRPr="003B345D">
              <w:t>Subsection 164(6)</w:t>
            </w:r>
          </w:p>
        </w:tc>
      </w:tr>
      <w:tr w:rsidR="003B345D" w:rsidRPr="003B345D" w14:paraId="1F0296B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C0AEA62" w14:textId="77777777" w:rsidR="003B345D" w:rsidRPr="003B345D" w:rsidRDefault="003B345D" w:rsidP="003B345D">
            <w:pPr>
              <w:pStyle w:val="tabletext"/>
              <w:rPr>
                <w:lang w:val="en-US" w:eastAsia="en-US"/>
              </w:rPr>
            </w:pPr>
            <w:r w:rsidRPr="003B345D">
              <w:rPr>
                <w:lang w:val="en-US" w:eastAsia="en-US"/>
              </w:rPr>
              <w:t>479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9CE6B99" w14:textId="77777777" w:rsidR="003B345D" w:rsidRPr="003B345D" w:rsidRDefault="003B345D" w:rsidP="003B345D">
            <w:pPr>
              <w:pStyle w:val="tabletext"/>
            </w:pPr>
            <w:r w:rsidRPr="003B345D">
              <w:t>Subsection 164(7)</w:t>
            </w:r>
          </w:p>
        </w:tc>
      </w:tr>
      <w:tr w:rsidR="003B345D" w:rsidRPr="003B345D" w14:paraId="09A9112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15BAA11" w14:textId="77777777" w:rsidR="003B345D" w:rsidRPr="003B345D" w:rsidRDefault="003B345D" w:rsidP="003B345D">
            <w:pPr>
              <w:pStyle w:val="tabletext"/>
              <w:rPr>
                <w:lang w:val="en-US" w:eastAsia="en-US"/>
              </w:rPr>
            </w:pPr>
            <w:r w:rsidRPr="003B345D">
              <w:rPr>
                <w:lang w:val="en-US" w:eastAsia="en-US"/>
              </w:rPr>
              <w:t>480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49816A1" w14:textId="77777777" w:rsidR="003B345D" w:rsidRPr="003B345D" w:rsidRDefault="003B345D" w:rsidP="003B345D">
            <w:pPr>
              <w:pStyle w:val="tabletext"/>
            </w:pPr>
            <w:r w:rsidRPr="003B345D">
              <w:t>Subsection 165(3)</w:t>
            </w:r>
          </w:p>
        </w:tc>
      </w:tr>
      <w:tr w:rsidR="003B345D" w:rsidRPr="003B345D" w14:paraId="6963685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602F562" w14:textId="77777777" w:rsidR="003B345D" w:rsidRPr="003B345D" w:rsidRDefault="003B345D" w:rsidP="003B345D">
            <w:pPr>
              <w:pStyle w:val="tabletext"/>
              <w:rPr>
                <w:lang w:val="en-US" w:eastAsia="en-US"/>
              </w:rPr>
            </w:pPr>
            <w:r w:rsidRPr="003B345D">
              <w:rPr>
                <w:lang w:val="en-US" w:eastAsia="en-US"/>
              </w:rPr>
              <w:t>481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A8C74A3" w14:textId="77777777" w:rsidR="003B345D" w:rsidRPr="003B345D" w:rsidRDefault="003B345D" w:rsidP="003B345D">
            <w:pPr>
              <w:pStyle w:val="tabletext"/>
            </w:pPr>
            <w:r w:rsidRPr="003B345D">
              <w:t>Subsection 165(3)</w:t>
            </w:r>
          </w:p>
        </w:tc>
      </w:tr>
      <w:tr w:rsidR="003B345D" w:rsidRPr="003B345D" w14:paraId="7E8FFB9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5A74E6A" w14:textId="77777777" w:rsidR="003B345D" w:rsidRPr="003B345D" w:rsidRDefault="003B345D" w:rsidP="003B345D">
            <w:pPr>
              <w:pStyle w:val="tabletext"/>
              <w:rPr>
                <w:lang w:val="en-US" w:eastAsia="en-US"/>
              </w:rPr>
            </w:pPr>
            <w:r w:rsidRPr="003B345D">
              <w:rPr>
                <w:lang w:val="en-US" w:eastAsia="en-US"/>
              </w:rPr>
              <w:t>482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E780CCE" w14:textId="77777777" w:rsidR="003B345D" w:rsidRPr="003B345D" w:rsidRDefault="003B345D" w:rsidP="003B345D">
            <w:pPr>
              <w:pStyle w:val="tabletext"/>
            </w:pPr>
            <w:r w:rsidRPr="003B345D">
              <w:t>Subsection 165(4)</w:t>
            </w:r>
          </w:p>
        </w:tc>
      </w:tr>
      <w:tr w:rsidR="003B345D" w:rsidRPr="003B345D" w14:paraId="34E1B70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4B30DD7" w14:textId="77777777" w:rsidR="003B345D" w:rsidRPr="003B345D" w:rsidRDefault="003B345D" w:rsidP="003B345D">
            <w:pPr>
              <w:pStyle w:val="tabletext"/>
              <w:rPr>
                <w:lang w:val="en-US" w:eastAsia="en-US"/>
              </w:rPr>
            </w:pPr>
            <w:r w:rsidRPr="003B345D">
              <w:rPr>
                <w:lang w:val="en-US" w:eastAsia="en-US"/>
              </w:rPr>
              <w:t>483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426F069" w14:textId="77777777" w:rsidR="003B345D" w:rsidRPr="003B345D" w:rsidRDefault="003B345D" w:rsidP="003B345D">
            <w:pPr>
              <w:pStyle w:val="tabletext"/>
            </w:pPr>
            <w:r w:rsidRPr="003B345D">
              <w:t>Subsection 165(5)</w:t>
            </w:r>
          </w:p>
        </w:tc>
      </w:tr>
      <w:tr w:rsidR="003B345D" w:rsidRPr="003B345D" w14:paraId="2C5850F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2364015" w14:textId="77777777" w:rsidR="003B345D" w:rsidRPr="003B345D" w:rsidRDefault="003B345D" w:rsidP="003B345D">
            <w:pPr>
              <w:pStyle w:val="tabletext"/>
              <w:rPr>
                <w:lang w:val="en-US" w:eastAsia="en-US"/>
              </w:rPr>
            </w:pPr>
            <w:r w:rsidRPr="003B345D">
              <w:rPr>
                <w:lang w:val="en-US" w:eastAsia="en-US"/>
              </w:rPr>
              <w:t>484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645519B" w14:textId="77777777" w:rsidR="003B345D" w:rsidRPr="003B345D" w:rsidRDefault="003B345D" w:rsidP="003B345D">
            <w:pPr>
              <w:pStyle w:val="tabletext"/>
            </w:pPr>
            <w:r w:rsidRPr="003B345D">
              <w:t>Paragraphs 172(1)(d) and (1A)(d)</w:t>
            </w:r>
          </w:p>
        </w:tc>
      </w:tr>
      <w:tr w:rsidR="003B345D" w:rsidRPr="003B345D" w14:paraId="4A71FEF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32713A2" w14:textId="77777777" w:rsidR="003B345D" w:rsidRPr="003B345D" w:rsidRDefault="003B345D" w:rsidP="003B345D">
            <w:pPr>
              <w:pStyle w:val="tabletext"/>
              <w:rPr>
                <w:lang w:val="en-US" w:eastAsia="en-US"/>
              </w:rPr>
            </w:pPr>
            <w:r w:rsidRPr="003B345D">
              <w:rPr>
                <w:lang w:val="en-US" w:eastAsia="en-US"/>
              </w:rPr>
              <w:t>485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290A04" w14:textId="77777777" w:rsidR="003B345D" w:rsidRPr="003B345D" w:rsidRDefault="003B345D" w:rsidP="003B345D">
            <w:pPr>
              <w:pStyle w:val="tabletext"/>
            </w:pPr>
            <w:r w:rsidRPr="003B345D">
              <w:t>Subsection 172(2) (heading)</w:t>
            </w:r>
          </w:p>
        </w:tc>
      </w:tr>
      <w:tr w:rsidR="003B345D" w:rsidRPr="003B345D" w14:paraId="2505E1A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24F1676" w14:textId="77777777" w:rsidR="003B345D" w:rsidRPr="003B345D" w:rsidRDefault="003B345D" w:rsidP="003B345D">
            <w:pPr>
              <w:pStyle w:val="tabletext"/>
              <w:rPr>
                <w:lang w:val="en-US" w:eastAsia="en-US"/>
              </w:rPr>
            </w:pPr>
            <w:r w:rsidRPr="003B345D">
              <w:rPr>
                <w:lang w:val="en-US" w:eastAsia="en-US"/>
              </w:rPr>
              <w:t>486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F1D6057" w14:textId="77777777" w:rsidR="003B345D" w:rsidRPr="003B345D" w:rsidRDefault="003B345D" w:rsidP="003B345D">
            <w:pPr>
              <w:pStyle w:val="tabletext"/>
            </w:pPr>
            <w:r w:rsidRPr="003B345D">
              <w:t>Subsection 172(2)</w:t>
            </w:r>
          </w:p>
        </w:tc>
      </w:tr>
      <w:tr w:rsidR="003B345D" w:rsidRPr="003B345D" w14:paraId="30135E8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DAE29F7" w14:textId="77777777" w:rsidR="003B345D" w:rsidRPr="003B345D" w:rsidRDefault="003B345D" w:rsidP="003B345D">
            <w:pPr>
              <w:pStyle w:val="tabletext"/>
              <w:rPr>
                <w:lang w:val="en-US" w:eastAsia="en-US"/>
              </w:rPr>
            </w:pPr>
            <w:r w:rsidRPr="003B345D">
              <w:rPr>
                <w:lang w:val="en-US" w:eastAsia="en-US"/>
              </w:rPr>
              <w:t>487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D8CDD52" w14:textId="77777777" w:rsidR="003B345D" w:rsidRPr="003B345D" w:rsidRDefault="003B345D" w:rsidP="003B345D">
            <w:pPr>
              <w:pStyle w:val="tabletext"/>
            </w:pPr>
            <w:r w:rsidRPr="003B345D">
              <w:t>Subsection 175(3)</w:t>
            </w:r>
          </w:p>
        </w:tc>
      </w:tr>
      <w:tr w:rsidR="003B345D" w:rsidRPr="003B345D" w14:paraId="1C143CB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21EC678" w14:textId="77777777" w:rsidR="003B345D" w:rsidRPr="003B345D" w:rsidRDefault="003B345D" w:rsidP="003B345D">
            <w:pPr>
              <w:pStyle w:val="tabletext"/>
              <w:rPr>
                <w:lang w:val="en-US" w:eastAsia="en-US"/>
              </w:rPr>
            </w:pPr>
            <w:r w:rsidRPr="003B345D">
              <w:rPr>
                <w:lang w:val="en-US" w:eastAsia="en-US"/>
              </w:rPr>
              <w:lastRenderedPageBreak/>
              <w:t>488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B0F0D7" w14:textId="77777777" w:rsidR="003B345D" w:rsidRPr="003B345D" w:rsidRDefault="003B345D" w:rsidP="003B345D">
            <w:pPr>
              <w:pStyle w:val="tabletext"/>
            </w:pPr>
            <w:r w:rsidRPr="003B345D">
              <w:t>Subsection 178A(1)</w:t>
            </w:r>
          </w:p>
        </w:tc>
      </w:tr>
      <w:tr w:rsidR="003B345D" w:rsidRPr="003B345D" w14:paraId="01AFA72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F697BA3" w14:textId="77777777" w:rsidR="003B345D" w:rsidRPr="003B345D" w:rsidRDefault="003B345D" w:rsidP="003B345D">
            <w:pPr>
              <w:pStyle w:val="tabletext"/>
              <w:rPr>
                <w:lang w:val="en-US" w:eastAsia="en-US"/>
              </w:rPr>
            </w:pPr>
            <w:r w:rsidRPr="003B345D">
              <w:rPr>
                <w:lang w:val="en-US" w:eastAsia="en-US"/>
              </w:rPr>
              <w:t>491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CB9098A" w14:textId="77777777" w:rsidR="003B345D" w:rsidRPr="003B345D" w:rsidRDefault="003B345D" w:rsidP="003B345D">
            <w:pPr>
              <w:pStyle w:val="tabletext"/>
            </w:pPr>
            <w:r w:rsidRPr="003B345D">
              <w:t>Subsection 178C(1)</w:t>
            </w:r>
          </w:p>
        </w:tc>
      </w:tr>
      <w:tr w:rsidR="003B345D" w:rsidRPr="003B345D" w14:paraId="526FA51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AAB9F70" w14:textId="77777777" w:rsidR="003B345D" w:rsidRPr="003B345D" w:rsidRDefault="003B345D" w:rsidP="003B345D">
            <w:pPr>
              <w:pStyle w:val="tabletext"/>
              <w:rPr>
                <w:lang w:val="en-US" w:eastAsia="en-US"/>
              </w:rPr>
            </w:pPr>
            <w:r w:rsidRPr="003B345D">
              <w:rPr>
                <w:lang w:val="en-US" w:eastAsia="en-US"/>
              </w:rPr>
              <w:t>492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106E99" w14:textId="77777777" w:rsidR="003B345D" w:rsidRPr="003B345D" w:rsidRDefault="003B345D" w:rsidP="003B345D">
            <w:pPr>
              <w:pStyle w:val="tabletext"/>
            </w:pPr>
            <w:r w:rsidRPr="003B345D">
              <w:t>Section 178D (heading)</w:t>
            </w:r>
          </w:p>
        </w:tc>
      </w:tr>
      <w:tr w:rsidR="003B345D" w:rsidRPr="003B345D" w14:paraId="3E7A7CD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01C73F0" w14:textId="77777777" w:rsidR="003B345D" w:rsidRPr="003B345D" w:rsidRDefault="003B345D" w:rsidP="003B345D">
            <w:pPr>
              <w:pStyle w:val="tabletext"/>
              <w:rPr>
                <w:lang w:val="en-US" w:eastAsia="en-US"/>
              </w:rPr>
            </w:pPr>
            <w:r w:rsidRPr="003B345D">
              <w:rPr>
                <w:lang w:val="en-US" w:eastAsia="en-US"/>
              </w:rPr>
              <w:t>493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E989434" w14:textId="77777777" w:rsidR="003B345D" w:rsidRPr="003B345D" w:rsidRDefault="003B345D" w:rsidP="003B345D">
            <w:pPr>
              <w:pStyle w:val="tabletext"/>
            </w:pPr>
            <w:r w:rsidRPr="003B345D">
              <w:t>Section 178D</w:t>
            </w:r>
          </w:p>
        </w:tc>
      </w:tr>
      <w:tr w:rsidR="003B345D" w:rsidRPr="003B345D" w14:paraId="28AEBF7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C12FD05" w14:textId="77777777" w:rsidR="003B345D" w:rsidRPr="003B345D" w:rsidRDefault="003B345D" w:rsidP="003B345D">
            <w:pPr>
              <w:pStyle w:val="tabletext"/>
              <w:rPr>
                <w:lang w:val="en-US" w:eastAsia="en-US"/>
              </w:rPr>
            </w:pPr>
            <w:r w:rsidRPr="003B345D">
              <w:rPr>
                <w:lang w:val="en-US" w:eastAsia="en-US"/>
              </w:rPr>
              <w:t>494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F819143" w14:textId="77777777" w:rsidR="003B345D" w:rsidRPr="003B345D" w:rsidRDefault="003B345D" w:rsidP="003B345D">
            <w:pPr>
              <w:pStyle w:val="tabletext"/>
            </w:pPr>
            <w:r w:rsidRPr="003B345D">
              <w:t>Section 178D (table heading)</w:t>
            </w:r>
          </w:p>
        </w:tc>
      </w:tr>
      <w:tr w:rsidR="003B345D" w:rsidRPr="003B345D" w14:paraId="386C08B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2F4D389" w14:textId="77777777" w:rsidR="003B345D" w:rsidRPr="003B345D" w:rsidRDefault="003B345D" w:rsidP="003B345D">
            <w:pPr>
              <w:pStyle w:val="tabletext"/>
              <w:rPr>
                <w:lang w:val="en-US" w:eastAsia="en-US"/>
              </w:rPr>
            </w:pPr>
            <w:r w:rsidRPr="003B345D">
              <w:rPr>
                <w:lang w:val="en-US" w:eastAsia="en-US"/>
              </w:rPr>
              <w:t>495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564004B" w14:textId="77777777" w:rsidR="003B345D" w:rsidRPr="003B345D" w:rsidRDefault="003B345D" w:rsidP="003B345D">
            <w:pPr>
              <w:pStyle w:val="tabletext"/>
            </w:pPr>
            <w:r w:rsidRPr="003B345D">
              <w:t>Section 178D (table, heading to column headed “The comp</w:t>
            </w:r>
          </w:p>
        </w:tc>
      </w:tr>
      <w:tr w:rsidR="003B345D" w:rsidRPr="003B345D" w14:paraId="7838B81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396917F" w14:textId="77777777" w:rsidR="003B345D" w:rsidRPr="003B345D" w:rsidRDefault="003B345D" w:rsidP="003B345D">
            <w:pPr>
              <w:pStyle w:val="tabletext"/>
              <w:rPr>
                <w:lang w:val="en-US" w:eastAsia="en-US"/>
              </w:rPr>
            </w:pPr>
            <w:r w:rsidRPr="003B345D">
              <w:rPr>
                <w:lang w:val="en-US" w:eastAsia="en-US"/>
              </w:rPr>
              <w:t>496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2588023" w14:textId="77777777" w:rsidR="003B345D" w:rsidRPr="003B345D" w:rsidRDefault="003B345D" w:rsidP="003B345D">
            <w:pPr>
              <w:pStyle w:val="tabletext"/>
            </w:pPr>
            <w:r w:rsidRPr="003B345D">
              <w:t>Section 178D (table items 1, 2, 3 and 4, column headed</w:t>
            </w:r>
          </w:p>
        </w:tc>
      </w:tr>
      <w:tr w:rsidR="003B345D" w:rsidRPr="003B345D" w14:paraId="3803EB9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2FB7AD0" w14:textId="77777777" w:rsidR="003B345D" w:rsidRPr="003B345D" w:rsidRDefault="003B345D" w:rsidP="003B345D">
            <w:pPr>
              <w:pStyle w:val="tabletext"/>
              <w:rPr>
                <w:lang w:val="en-US" w:eastAsia="en-US"/>
              </w:rPr>
            </w:pPr>
            <w:r w:rsidRPr="003B345D">
              <w:rPr>
                <w:lang w:val="en-US" w:eastAsia="en-US"/>
              </w:rPr>
              <w:t>497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4A34E68" w14:textId="77777777" w:rsidR="003B345D" w:rsidRPr="003B345D" w:rsidRDefault="003B345D" w:rsidP="003B345D">
            <w:pPr>
              <w:pStyle w:val="tabletext"/>
            </w:pPr>
            <w:r w:rsidRPr="003B345D">
              <w:t>Paragraphs 188(1)(f), (h) and (</w:t>
            </w:r>
            <w:proofErr w:type="spellStart"/>
            <w:r w:rsidRPr="003B345D">
              <w:t>i</w:t>
            </w:r>
            <w:proofErr w:type="spellEnd"/>
            <w:r w:rsidRPr="003B345D">
              <w:t>)</w:t>
            </w:r>
          </w:p>
        </w:tc>
      </w:tr>
      <w:tr w:rsidR="003B345D" w:rsidRPr="003B345D" w14:paraId="3ED4268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97294DE" w14:textId="77777777" w:rsidR="003B345D" w:rsidRPr="003B345D" w:rsidRDefault="003B345D" w:rsidP="003B345D">
            <w:pPr>
              <w:pStyle w:val="tabletext"/>
              <w:rPr>
                <w:lang w:val="en-US" w:eastAsia="en-US"/>
              </w:rPr>
            </w:pPr>
            <w:r w:rsidRPr="003B345D">
              <w:rPr>
                <w:lang w:val="en-US" w:eastAsia="en-US"/>
              </w:rPr>
              <w:t>498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BC5D049" w14:textId="77777777" w:rsidR="003B345D" w:rsidRPr="003B345D" w:rsidRDefault="003B345D" w:rsidP="003B345D">
            <w:pPr>
              <w:pStyle w:val="tabletext"/>
            </w:pPr>
            <w:r w:rsidRPr="003B345D">
              <w:t>Subsection 199A(3)</w:t>
            </w:r>
          </w:p>
        </w:tc>
      </w:tr>
      <w:tr w:rsidR="003B345D" w:rsidRPr="003B345D" w14:paraId="5676132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BD62696" w14:textId="77777777" w:rsidR="003B345D" w:rsidRPr="003B345D" w:rsidRDefault="003B345D" w:rsidP="003B345D">
            <w:pPr>
              <w:pStyle w:val="tabletext"/>
              <w:rPr>
                <w:lang w:val="en-US" w:eastAsia="en-US"/>
              </w:rPr>
            </w:pPr>
            <w:r w:rsidRPr="003B345D">
              <w:rPr>
                <w:lang w:val="en-US" w:eastAsia="en-US"/>
              </w:rPr>
              <w:t>499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1932EC6" w14:textId="77777777" w:rsidR="003B345D" w:rsidRPr="003B345D" w:rsidRDefault="003B345D" w:rsidP="003B345D">
            <w:pPr>
              <w:pStyle w:val="tabletext"/>
            </w:pPr>
            <w:r w:rsidRPr="003B345D">
              <w:t>Subsection 201K(5) (note)</w:t>
            </w:r>
          </w:p>
        </w:tc>
      </w:tr>
      <w:tr w:rsidR="003B345D" w:rsidRPr="003B345D" w14:paraId="68FB808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AC9CC56" w14:textId="77777777" w:rsidR="003B345D" w:rsidRPr="003B345D" w:rsidRDefault="003B345D" w:rsidP="003B345D">
            <w:pPr>
              <w:pStyle w:val="tabletext"/>
              <w:rPr>
                <w:lang w:val="en-US" w:eastAsia="en-US"/>
              </w:rPr>
            </w:pPr>
            <w:r w:rsidRPr="003B345D">
              <w:rPr>
                <w:lang w:val="en-US" w:eastAsia="en-US"/>
              </w:rPr>
              <w:t>500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AB0BACF" w14:textId="77777777" w:rsidR="003B345D" w:rsidRPr="003B345D" w:rsidRDefault="003B345D" w:rsidP="003B345D">
            <w:pPr>
              <w:pStyle w:val="tabletext"/>
            </w:pPr>
            <w:r w:rsidRPr="003B345D">
              <w:t>Section 201L (heading)</w:t>
            </w:r>
          </w:p>
        </w:tc>
      </w:tr>
      <w:tr w:rsidR="003B345D" w:rsidRPr="003B345D" w14:paraId="21591AC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37F638A" w14:textId="77777777" w:rsidR="003B345D" w:rsidRPr="003B345D" w:rsidRDefault="003B345D" w:rsidP="003B345D">
            <w:pPr>
              <w:pStyle w:val="tabletext"/>
              <w:rPr>
                <w:lang w:val="en-US" w:eastAsia="en-US"/>
              </w:rPr>
            </w:pPr>
            <w:r w:rsidRPr="003B345D">
              <w:rPr>
                <w:lang w:val="en-US" w:eastAsia="en-US"/>
              </w:rPr>
              <w:t>501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91A4F18" w14:textId="77777777" w:rsidR="003B345D" w:rsidRPr="003B345D" w:rsidRDefault="003B345D" w:rsidP="003B345D">
            <w:pPr>
              <w:pStyle w:val="tabletext"/>
            </w:pPr>
            <w:r w:rsidRPr="003B345D">
              <w:t>Section 201L</w:t>
            </w:r>
          </w:p>
        </w:tc>
      </w:tr>
      <w:tr w:rsidR="003B345D" w:rsidRPr="003B345D" w14:paraId="7032924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264C33E" w14:textId="77777777" w:rsidR="003B345D" w:rsidRPr="003B345D" w:rsidRDefault="003B345D" w:rsidP="003B345D">
            <w:pPr>
              <w:pStyle w:val="tabletext"/>
              <w:rPr>
                <w:lang w:val="en-US" w:eastAsia="en-US"/>
              </w:rPr>
            </w:pPr>
            <w:r w:rsidRPr="003B345D">
              <w:rPr>
                <w:lang w:val="en-US" w:eastAsia="en-US"/>
              </w:rPr>
              <w:t>502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EA30CE6" w14:textId="77777777" w:rsidR="003B345D" w:rsidRPr="003B345D" w:rsidRDefault="003B345D" w:rsidP="003B345D">
            <w:pPr>
              <w:pStyle w:val="tabletext"/>
            </w:pPr>
            <w:r w:rsidRPr="003B345D">
              <w:t>Subsection 201M(2) (note)</w:t>
            </w:r>
          </w:p>
        </w:tc>
      </w:tr>
      <w:tr w:rsidR="003B345D" w:rsidRPr="003B345D" w14:paraId="1AF71D2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F223C2D" w14:textId="77777777" w:rsidR="003B345D" w:rsidRPr="003B345D" w:rsidRDefault="003B345D" w:rsidP="003B345D">
            <w:pPr>
              <w:pStyle w:val="tabletext"/>
              <w:rPr>
                <w:lang w:val="en-US" w:eastAsia="en-US"/>
              </w:rPr>
            </w:pPr>
            <w:r w:rsidRPr="003B345D">
              <w:rPr>
                <w:lang w:val="en-US" w:eastAsia="en-US"/>
              </w:rPr>
              <w:t>503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F6B85C1" w14:textId="77777777" w:rsidR="003B345D" w:rsidRPr="003B345D" w:rsidRDefault="003B345D" w:rsidP="003B345D">
            <w:pPr>
              <w:pStyle w:val="tabletext"/>
            </w:pPr>
            <w:r w:rsidRPr="003B345D">
              <w:t>Section 201S</w:t>
            </w:r>
          </w:p>
        </w:tc>
      </w:tr>
      <w:tr w:rsidR="003B345D" w:rsidRPr="003B345D" w14:paraId="53C94F3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526F595" w14:textId="77777777" w:rsidR="003B345D" w:rsidRPr="003B345D" w:rsidRDefault="003B345D" w:rsidP="003B345D">
            <w:pPr>
              <w:pStyle w:val="tabletext"/>
              <w:rPr>
                <w:lang w:val="en-US" w:eastAsia="en-US"/>
              </w:rPr>
            </w:pPr>
            <w:r w:rsidRPr="003B345D">
              <w:rPr>
                <w:lang w:val="en-US" w:eastAsia="en-US"/>
              </w:rPr>
              <w:t>504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2A80B61" w14:textId="77777777" w:rsidR="003B345D" w:rsidRPr="003B345D" w:rsidRDefault="003B345D" w:rsidP="003B345D">
            <w:pPr>
              <w:pStyle w:val="tabletext"/>
            </w:pPr>
            <w:r w:rsidRPr="003B345D">
              <w:t>Section 204D (note 1)</w:t>
            </w:r>
          </w:p>
        </w:tc>
      </w:tr>
      <w:tr w:rsidR="003B345D" w:rsidRPr="003B345D" w14:paraId="5518D2F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CF00B86" w14:textId="77777777" w:rsidR="003B345D" w:rsidRPr="003B345D" w:rsidRDefault="003B345D" w:rsidP="003B345D">
            <w:pPr>
              <w:pStyle w:val="tabletext"/>
              <w:rPr>
                <w:lang w:val="en-US" w:eastAsia="en-US"/>
              </w:rPr>
            </w:pPr>
            <w:r w:rsidRPr="003B345D">
              <w:rPr>
                <w:lang w:val="en-US" w:eastAsia="en-US"/>
              </w:rPr>
              <w:t>505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FF71621" w14:textId="77777777" w:rsidR="003B345D" w:rsidRPr="003B345D" w:rsidRDefault="003B345D" w:rsidP="003B345D">
            <w:pPr>
              <w:pStyle w:val="tabletext"/>
            </w:pPr>
            <w:r w:rsidRPr="003B345D">
              <w:t>Subsection 204E(2) (note)</w:t>
            </w:r>
          </w:p>
        </w:tc>
      </w:tr>
      <w:tr w:rsidR="003B345D" w:rsidRPr="003B345D" w14:paraId="3971057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4624BE9" w14:textId="77777777" w:rsidR="003B345D" w:rsidRPr="003B345D" w:rsidRDefault="003B345D" w:rsidP="003B345D">
            <w:pPr>
              <w:pStyle w:val="tabletext"/>
              <w:rPr>
                <w:lang w:val="en-US" w:eastAsia="en-US"/>
              </w:rPr>
            </w:pPr>
            <w:r w:rsidRPr="003B345D">
              <w:rPr>
                <w:lang w:val="en-US" w:eastAsia="en-US"/>
              </w:rPr>
              <w:t>506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A06FEFD" w14:textId="77777777" w:rsidR="003B345D" w:rsidRPr="003B345D" w:rsidRDefault="003B345D" w:rsidP="003B345D">
            <w:pPr>
              <w:pStyle w:val="tabletext"/>
            </w:pPr>
            <w:r w:rsidRPr="003B345D">
              <w:t>Section 205A (heading)</w:t>
            </w:r>
          </w:p>
        </w:tc>
      </w:tr>
      <w:tr w:rsidR="003B345D" w:rsidRPr="003B345D" w14:paraId="124290C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FEC03CB" w14:textId="77777777" w:rsidR="003B345D" w:rsidRPr="003B345D" w:rsidRDefault="003B345D" w:rsidP="003B345D">
            <w:pPr>
              <w:pStyle w:val="tabletext"/>
              <w:rPr>
                <w:lang w:val="en-US" w:eastAsia="en-US"/>
              </w:rPr>
            </w:pPr>
            <w:r w:rsidRPr="003B345D">
              <w:rPr>
                <w:lang w:val="en-US" w:eastAsia="en-US"/>
              </w:rPr>
              <w:t>507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C5A60DB" w14:textId="77777777" w:rsidR="003B345D" w:rsidRPr="003B345D" w:rsidRDefault="003B345D" w:rsidP="003B345D">
            <w:pPr>
              <w:pStyle w:val="tabletext"/>
            </w:pPr>
            <w:r w:rsidRPr="003B345D">
              <w:t>Subsection 205A(1)</w:t>
            </w:r>
          </w:p>
        </w:tc>
      </w:tr>
      <w:tr w:rsidR="003B345D" w:rsidRPr="003B345D" w14:paraId="48EA333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EB9906B" w14:textId="77777777" w:rsidR="003B345D" w:rsidRPr="003B345D" w:rsidRDefault="003B345D" w:rsidP="003B345D">
            <w:pPr>
              <w:pStyle w:val="tabletext"/>
              <w:rPr>
                <w:lang w:val="en-US" w:eastAsia="en-US"/>
              </w:rPr>
            </w:pPr>
            <w:r w:rsidRPr="003B345D">
              <w:rPr>
                <w:lang w:val="en-US" w:eastAsia="en-US"/>
              </w:rPr>
              <w:t>509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FE61616" w14:textId="77777777" w:rsidR="003B345D" w:rsidRPr="003B345D" w:rsidRDefault="003B345D" w:rsidP="003B345D">
            <w:pPr>
              <w:pStyle w:val="tabletext"/>
            </w:pPr>
            <w:r w:rsidRPr="003B345D">
              <w:t>Subsection 205A(2) (note)</w:t>
            </w:r>
          </w:p>
        </w:tc>
      </w:tr>
      <w:tr w:rsidR="003B345D" w:rsidRPr="003B345D" w14:paraId="5769905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BBAB98A" w14:textId="77777777" w:rsidR="003B345D" w:rsidRPr="003B345D" w:rsidRDefault="003B345D" w:rsidP="003B345D">
            <w:pPr>
              <w:pStyle w:val="tabletext"/>
              <w:rPr>
                <w:lang w:val="en-US" w:eastAsia="en-US"/>
              </w:rPr>
            </w:pPr>
            <w:r w:rsidRPr="003B345D">
              <w:rPr>
                <w:lang w:val="en-US" w:eastAsia="en-US"/>
              </w:rPr>
              <w:t>510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56CBBB3" w14:textId="77777777" w:rsidR="003B345D" w:rsidRPr="003B345D" w:rsidRDefault="003B345D" w:rsidP="003B345D">
            <w:pPr>
              <w:pStyle w:val="tabletext"/>
            </w:pPr>
            <w:r w:rsidRPr="003B345D">
              <w:t>Section 205B (heading)</w:t>
            </w:r>
          </w:p>
        </w:tc>
      </w:tr>
      <w:tr w:rsidR="003B345D" w:rsidRPr="003B345D" w14:paraId="711477B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7D2B93D" w14:textId="77777777" w:rsidR="003B345D" w:rsidRPr="003B345D" w:rsidRDefault="003B345D" w:rsidP="003B345D">
            <w:pPr>
              <w:pStyle w:val="tabletext"/>
              <w:rPr>
                <w:lang w:val="en-US" w:eastAsia="en-US"/>
              </w:rPr>
            </w:pPr>
            <w:r w:rsidRPr="003B345D">
              <w:rPr>
                <w:lang w:val="en-US" w:eastAsia="en-US"/>
              </w:rPr>
              <w:t>511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A192104" w14:textId="77777777" w:rsidR="003B345D" w:rsidRPr="003B345D" w:rsidRDefault="003B345D" w:rsidP="003B345D">
            <w:pPr>
              <w:pStyle w:val="tabletext"/>
            </w:pPr>
            <w:r w:rsidRPr="003B345D">
              <w:t>Subsection 205B(1)</w:t>
            </w:r>
          </w:p>
        </w:tc>
      </w:tr>
      <w:tr w:rsidR="003B345D" w:rsidRPr="003B345D" w14:paraId="5BA4E90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941521E" w14:textId="77777777" w:rsidR="003B345D" w:rsidRPr="003B345D" w:rsidRDefault="003B345D" w:rsidP="003B345D">
            <w:pPr>
              <w:pStyle w:val="tabletext"/>
              <w:rPr>
                <w:lang w:val="en-US" w:eastAsia="en-US"/>
              </w:rPr>
            </w:pPr>
            <w:r w:rsidRPr="003B345D">
              <w:rPr>
                <w:lang w:val="en-US" w:eastAsia="en-US"/>
              </w:rPr>
              <w:t>513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9F80A04" w14:textId="77777777" w:rsidR="003B345D" w:rsidRPr="003B345D" w:rsidRDefault="003B345D" w:rsidP="003B345D">
            <w:pPr>
              <w:pStyle w:val="tabletext"/>
            </w:pPr>
            <w:r w:rsidRPr="003B345D">
              <w:t>Subsection 205B(2)</w:t>
            </w:r>
          </w:p>
        </w:tc>
      </w:tr>
      <w:tr w:rsidR="003B345D" w:rsidRPr="003B345D" w14:paraId="0CAD163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08BDC59" w14:textId="77777777" w:rsidR="003B345D" w:rsidRPr="003B345D" w:rsidRDefault="003B345D" w:rsidP="003B345D">
            <w:pPr>
              <w:pStyle w:val="tabletext"/>
              <w:rPr>
                <w:lang w:val="en-US" w:eastAsia="en-US"/>
              </w:rPr>
            </w:pPr>
            <w:r w:rsidRPr="003B345D">
              <w:rPr>
                <w:lang w:val="en-US" w:eastAsia="en-US"/>
              </w:rPr>
              <w:t>516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912E60" w14:textId="77777777" w:rsidR="003B345D" w:rsidRPr="003B345D" w:rsidRDefault="003B345D" w:rsidP="003B345D">
            <w:pPr>
              <w:pStyle w:val="tabletext"/>
            </w:pPr>
            <w:r w:rsidRPr="003B345D">
              <w:t>Subsection 205B(4)</w:t>
            </w:r>
          </w:p>
        </w:tc>
      </w:tr>
      <w:tr w:rsidR="003B345D" w:rsidRPr="003B345D" w14:paraId="5D94DB2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73AAAED" w14:textId="77777777" w:rsidR="003B345D" w:rsidRPr="003B345D" w:rsidRDefault="003B345D" w:rsidP="003B345D">
            <w:pPr>
              <w:pStyle w:val="tabletext"/>
              <w:rPr>
                <w:lang w:val="en-US" w:eastAsia="en-US"/>
              </w:rPr>
            </w:pPr>
            <w:r w:rsidRPr="003B345D">
              <w:rPr>
                <w:lang w:val="en-US" w:eastAsia="en-US"/>
              </w:rPr>
              <w:t>518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0BC299A" w14:textId="77777777" w:rsidR="003B345D" w:rsidRPr="003B345D" w:rsidRDefault="003B345D" w:rsidP="003B345D">
            <w:pPr>
              <w:pStyle w:val="tabletext"/>
            </w:pPr>
            <w:r w:rsidRPr="003B345D">
              <w:t>Subsection 205B(5)</w:t>
            </w:r>
          </w:p>
        </w:tc>
      </w:tr>
      <w:tr w:rsidR="003B345D" w:rsidRPr="003B345D" w14:paraId="07D0783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2A92C35" w14:textId="77777777" w:rsidR="003B345D" w:rsidRPr="003B345D" w:rsidRDefault="003B345D" w:rsidP="003B345D">
            <w:pPr>
              <w:pStyle w:val="tabletext"/>
              <w:rPr>
                <w:lang w:val="en-US" w:eastAsia="en-US"/>
              </w:rPr>
            </w:pPr>
            <w:r w:rsidRPr="003B345D">
              <w:rPr>
                <w:lang w:val="en-US" w:eastAsia="en-US"/>
              </w:rPr>
              <w:t>520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F11C572" w14:textId="77777777" w:rsidR="003B345D" w:rsidRPr="003B345D" w:rsidRDefault="003B345D" w:rsidP="003B345D">
            <w:pPr>
              <w:pStyle w:val="tabletext"/>
            </w:pPr>
            <w:r w:rsidRPr="003B345D">
              <w:t>Paragraphs 205B(6)(b) and 205D(2)(b) and (3)(a) and (b)</w:t>
            </w:r>
          </w:p>
        </w:tc>
      </w:tr>
      <w:tr w:rsidR="003B345D" w:rsidRPr="003B345D" w14:paraId="421FFF2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3A17D1F" w14:textId="77777777" w:rsidR="003B345D" w:rsidRPr="003B345D" w:rsidRDefault="003B345D" w:rsidP="003B345D">
            <w:pPr>
              <w:pStyle w:val="tabletext"/>
              <w:rPr>
                <w:lang w:val="en-US" w:eastAsia="en-US"/>
              </w:rPr>
            </w:pPr>
            <w:r w:rsidRPr="003B345D">
              <w:rPr>
                <w:lang w:val="en-US" w:eastAsia="en-US"/>
              </w:rPr>
              <w:t>522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49FA9C" w14:textId="77777777" w:rsidR="003B345D" w:rsidRPr="003B345D" w:rsidRDefault="003B345D" w:rsidP="003B345D">
            <w:pPr>
              <w:pStyle w:val="tabletext"/>
            </w:pPr>
            <w:r w:rsidRPr="003B345D">
              <w:t>Subsection 205D(4)</w:t>
            </w:r>
          </w:p>
        </w:tc>
      </w:tr>
      <w:tr w:rsidR="003B345D" w:rsidRPr="003B345D" w14:paraId="537D0E1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08D2648" w14:textId="77777777" w:rsidR="003B345D" w:rsidRPr="003B345D" w:rsidRDefault="003B345D" w:rsidP="003B345D">
            <w:pPr>
              <w:pStyle w:val="tabletext"/>
              <w:rPr>
                <w:lang w:val="en-US" w:eastAsia="en-US"/>
              </w:rPr>
            </w:pPr>
            <w:r w:rsidRPr="003B345D">
              <w:rPr>
                <w:lang w:val="en-US" w:eastAsia="en-US"/>
              </w:rPr>
              <w:t>523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2027632" w14:textId="77777777" w:rsidR="003B345D" w:rsidRPr="003B345D" w:rsidRDefault="003B345D" w:rsidP="003B345D">
            <w:pPr>
              <w:pStyle w:val="tabletext"/>
            </w:pPr>
            <w:r w:rsidRPr="003B345D">
              <w:t>Section 205E (heading)</w:t>
            </w:r>
          </w:p>
        </w:tc>
      </w:tr>
      <w:tr w:rsidR="003B345D" w:rsidRPr="003B345D" w14:paraId="7AC0158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F917AF6" w14:textId="77777777" w:rsidR="003B345D" w:rsidRPr="003B345D" w:rsidRDefault="003B345D" w:rsidP="003B345D">
            <w:pPr>
              <w:pStyle w:val="tabletext"/>
              <w:rPr>
                <w:lang w:val="en-US" w:eastAsia="en-US"/>
              </w:rPr>
            </w:pPr>
            <w:r w:rsidRPr="003B345D">
              <w:rPr>
                <w:lang w:val="en-US" w:eastAsia="en-US"/>
              </w:rPr>
              <w:t>524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B2738F0" w14:textId="77777777" w:rsidR="003B345D" w:rsidRPr="003B345D" w:rsidRDefault="003B345D" w:rsidP="003B345D">
            <w:pPr>
              <w:pStyle w:val="tabletext"/>
            </w:pPr>
            <w:r w:rsidRPr="003B345D">
              <w:t>Subsection 205E(1)</w:t>
            </w:r>
          </w:p>
        </w:tc>
      </w:tr>
      <w:tr w:rsidR="003B345D" w:rsidRPr="003B345D" w14:paraId="273F0C0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60764D7" w14:textId="77777777" w:rsidR="003B345D" w:rsidRPr="003B345D" w:rsidRDefault="003B345D" w:rsidP="003B345D">
            <w:pPr>
              <w:pStyle w:val="tabletext"/>
              <w:rPr>
                <w:lang w:val="en-US" w:eastAsia="en-US"/>
              </w:rPr>
            </w:pPr>
            <w:r w:rsidRPr="003B345D">
              <w:rPr>
                <w:lang w:val="en-US" w:eastAsia="en-US"/>
              </w:rPr>
              <w:t>525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4B462CC" w14:textId="77777777" w:rsidR="003B345D" w:rsidRPr="003B345D" w:rsidRDefault="003B345D" w:rsidP="003B345D">
            <w:pPr>
              <w:pStyle w:val="tabletext"/>
            </w:pPr>
            <w:r w:rsidRPr="003B345D">
              <w:t>Subsection 205E(1)</w:t>
            </w:r>
          </w:p>
        </w:tc>
      </w:tr>
      <w:tr w:rsidR="003B345D" w:rsidRPr="003B345D" w14:paraId="2D7C91C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8BCE279" w14:textId="77777777" w:rsidR="003B345D" w:rsidRPr="003B345D" w:rsidRDefault="003B345D" w:rsidP="003B345D">
            <w:pPr>
              <w:pStyle w:val="tabletext"/>
              <w:rPr>
                <w:lang w:val="en-US" w:eastAsia="en-US"/>
              </w:rPr>
            </w:pPr>
            <w:r w:rsidRPr="003B345D">
              <w:rPr>
                <w:lang w:val="en-US" w:eastAsia="en-US"/>
              </w:rPr>
              <w:t>526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14920D0" w14:textId="77777777" w:rsidR="003B345D" w:rsidRPr="003B345D" w:rsidRDefault="003B345D" w:rsidP="003B345D">
            <w:pPr>
              <w:pStyle w:val="tabletext"/>
            </w:pPr>
            <w:r w:rsidRPr="003B345D">
              <w:t>Subsection 205E(2)</w:t>
            </w:r>
          </w:p>
        </w:tc>
      </w:tr>
      <w:tr w:rsidR="003B345D" w:rsidRPr="003B345D" w14:paraId="629FD97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EF113FA" w14:textId="77777777" w:rsidR="003B345D" w:rsidRPr="003B345D" w:rsidRDefault="003B345D" w:rsidP="003B345D">
            <w:pPr>
              <w:pStyle w:val="tabletext"/>
              <w:rPr>
                <w:lang w:val="en-US" w:eastAsia="en-US"/>
              </w:rPr>
            </w:pPr>
            <w:r w:rsidRPr="003B345D">
              <w:rPr>
                <w:lang w:val="en-US" w:eastAsia="en-US"/>
              </w:rPr>
              <w:t>527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981665" w14:textId="77777777" w:rsidR="003B345D" w:rsidRPr="003B345D" w:rsidRDefault="003B345D" w:rsidP="003B345D">
            <w:pPr>
              <w:pStyle w:val="tabletext"/>
            </w:pPr>
            <w:r w:rsidRPr="003B345D">
              <w:t>Subsections 206A(1) and (2) (note)</w:t>
            </w:r>
          </w:p>
        </w:tc>
      </w:tr>
      <w:tr w:rsidR="003B345D" w:rsidRPr="003B345D" w14:paraId="6EA936D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9675E1D" w14:textId="77777777" w:rsidR="003B345D" w:rsidRPr="003B345D" w:rsidRDefault="003B345D" w:rsidP="003B345D">
            <w:pPr>
              <w:pStyle w:val="tabletext"/>
              <w:rPr>
                <w:lang w:val="en-US" w:eastAsia="en-US"/>
              </w:rPr>
            </w:pPr>
            <w:r w:rsidRPr="003B345D">
              <w:rPr>
                <w:lang w:val="en-US" w:eastAsia="en-US"/>
              </w:rPr>
              <w:t>528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D923FDF" w14:textId="77777777" w:rsidR="003B345D" w:rsidRPr="003B345D" w:rsidRDefault="003B345D" w:rsidP="003B345D">
            <w:pPr>
              <w:pStyle w:val="tabletext"/>
            </w:pPr>
            <w:r w:rsidRPr="003B345D">
              <w:t>Subsection 206G(2)</w:t>
            </w:r>
          </w:p>
        </w:tc>
      </w:tr>
      <w:tr w:rsidR="003B345D" w:rsidRPr="003B345D" w14:paraId="3933454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CA98E13" w14:textId="77777777" w:rsidR="003B345D" w:rsidRPr="003B345D" w:rsidRDefault="003B345D" w:rsidP="003B345D">
            <w:pPr>
              <w:pStyle w:val="tabletext"/>
              <w:rPr>
                <w:lang w:val="en-US" w:eastAsia="en-US"/>
              </w:rPr>
            </w:pPr>
            <w:r w:rsidRPr="003B345D">
              <w:rPr>
                <w:lang w:val="en-US" w:eastAsia="en-US"/>
              </w:rPr>
              <w:t>530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FBC631E" w14:textId="77777777" w:rsidR="003B345D" w:rsidRPr="003B345D" w:rsidRDefault="003B345D" w:rsidP="003B345D">
            <w:pPr>
              <w:pStyle w:val="tabletext"/>
            </w:pPr>
            <w:r w:rsidRPr="003B345D">
              <w:t>Subsection 206G(4)</w:t>
            </w:r>
          </w:p>
        </w:tc>
      </w:tr>
      <w:tr w:rsidR="003B345D" w:rsidRPr="003B345D" w14:paraId="518495F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EF4696F" w14:textId="77777777" w:rsidR="003B345D" w:rsidRPr="003B345D" w:rsidRDefault="003B345D" w:rsidP="003B345D">
            <w:pPr>
              <w:pStyle w:val="tabletext"/>
              <w:rPr>
                <w:lang w:val="en-US" w:eastAsia="en-US"/>
              </w:rPr>
            </w:pPr>
            <w:r w:rsidRPr="003B345D">
              <w:rPr>
                <w:lang w:val="en-US" w:eastAsia="en-US"/>
              </w:rPr>
              <w:t>531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17DC894" w14:textId="77777777" w:rsidR="003B345D" w:rsidRPr="003B345D" w:rsidRDefault="003B345D" w:rsidP="003B345D">
            <w:pPr>
              <w:pStyle w:val="tabletext"/>
            </w:pPr>
            <w:r w:rsidRPr="003B345D">
              <w:t>Subsections 206GA(2) and (3)</w:t>
            </w:r>
          </w:p>
        </w:tc>
      </w:tr>
      <w:tr w:rsidR="003B345D" w:rsidRPr="003B345D" w14:paraId="317B687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67A8B36" w14:textId="77777777" w:rsidR="003B345D" w:rsidRPr="003B345D" w:rsidRDefault="003B345D" w:rsidP="003B345D">
            <w:pPr>
              <w:pStyle w:val="tabletext"/>
              <w:rPr>
                <w:lang w:val="en-US" w:eastAsia="en-US"/>
              </w:rPr>
            </w:pPr>
            <w:r w:rsidRPr="003B345D">
              <w:rPr>
                <w:lang w:val="en-US" w:eastAsia="en-US"/>
              </w:rPr>
              <w:t>532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63B716F" w14:textId="77777777" w:rsidR="003B345D" w:rsidRPr="003B345D" w:rsidRDefault="003B345D" w:rsidP="003B345D">
            <w:pPr>
              <w:pStyle w:val="tabletext"/>
            </w:pPr>
            <w:r w:rsidRPr="003B345D">
              <w:t>Section 226</w:t>
            </w:r>
          </w:p>
        </w:tc>
      </w:tr>
      <w:tr w:rsidR="003B345D" w:rsidRPr="003B345D" w14:paraId="3865210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6649A50" w14:textId="77777777" w:rsidR="003B345D" w:rsidRPr="003B345D" w:rsidRDefault="003B345D" w:rsidP="003B345D">
            <w:pPr>
              <w:pStyle w:val="tabletext"/>
              <w:rPr>
                <w:lang w:val="en-US" w:eastAsia="en-US"/>
              </w:rPr>
            </w:pPr>
            <w:r w:rsidRPr="003B345D">
              <w:rPr>
                <w:lang w:val="en-US" w:eastAsia="en-US"/>
              </w:rPr>
              <w:t>533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80E886" w14:textId="77777777" w:rsidR="003B345D" w:rsidRPr="003B345D" w:rsidRDefault="003B345D" w:rsidP="003B345D">
            <w:pPr>
              <w:pStyle w:val="tabletext"/>
            </w:pPr>
            <w:r w:rsidRPr="003B345D">
              <w:t>Subsection 235(1)</w:t>
            </w:r>
          </w:p>
        </w:tc>
      </w:tr>
      <w:tr w:rsidR="003B345D" w:rsidRPr="003B345D" w14:paraId="7BD04A0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AB0631B" w14:textId="77777777" w:rsidR="003B345D" w:rsidRPr="003B345D" w:rsidRDefault="003B345D" w:rsidP="003B345D">
            <w:pPr>
              <w:pStyle w:val="tabletext"/>
              <w:rPr>
                <w:lang w:val="en-US" w:eastAsia="en-US"/>
              </w:rPr>
            </w:pPr>
            <w:r w:rsidRPr="003B345D">
              <w:rPr>
                <w:lang w:val="en-US" w:eastAsia="en-US"/>
              </w:rPr>
              <w:t>534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D6D5AD" w14:textId="77777777" w:rsidR="003B345D" w:rsidRPr="003B345D" w:rsidRDefault="003B345D" w:rsidP="003B345D">
            <w:pPr>
              <w:pStyle w:val="tabletext"/>
            </w:pPr>
            <w:r w:rsidRPr="003B345D">
              <w:t>Subparagraph 246C5(b)(ii)</w:t>
            </w:r>
          </w:p>
        </w:tc>
      </w:tr>
      <w:tr w:rsidR="003B345D" w:rsidRPr="003B345D" w14:paraId="2B2048A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0B3E175" w14:textId="77777777" w:rsidR="003B345D" w:rsidRPr="003B345D" w:rsidRDefault="003B345D" w:rsidP="003B345D">
            <w:pPr>
              <w:pStyle w:val="tabletext"/>
              <w:rPr>
                <w:lang w:val="en-US" w:eastAsia="en-US"/>
              </w:rPr>
            </w:pPr>
            <w:r w:rsidRPr="003B345D">
              <w:rPr>
                <w:lang w:val="en-US" w:eastAsia="en-US"/>
              </w:rPr>
              <w:t>535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FDCF7EF" w14:textId="77777777" w:rsidR="003B345D" w:rsidRPr="003B345D" w:rsidRDefault="003B345D" w:rsidP="003B345D">
            <w:pPr>
              <w:pStyle w:val="tabletext"/>
            </w:pPr>
            <w:r w:rsidRPr="003B345D">
              <w:t>Subsection 246D(6)</w:t>
            </w:r>
          </w:p>
        </w:tc>
      </w:tr>
      <w:tr w:rsidR="003B345D" w:rsidRPr="003B345D" w14:paraId="633547A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09099FC" w14:textId="77777777" w:rsidR="003B345D" w:rsidRPr="003B345D" w:rsidRDefault="003B345D" w:rsidP="003B345D">
            <w:pPr>
              <w:pStyle w:val="tabletext"/>
              <w:rPr>
                <w:lang w:val="en-US" w:eastAsia="en-US"/>
              </w:rPr>
            </w:pPr>
            <w:r w:rsidRPr="003B345D">
              <w:rPr>
                <w:lang w:val="en-US" w:eastAsia="en-US"/>
              </w:rPr>
              <w:t>536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67009D1" w14:textId="77777777" w:rsidR="003B345D" w:rsidRPr="003B345D" w:rsidRDefault="003B345D" w:rsidP="003B345D">
            <w:pPr>
              <w:pStyle w:val="tabletext"/>
            </w:pPr>
            <w:r w:rsidRPr="003B345D">
              <w:t>Section 246F (heading)</w:t>
            </w:r>
          </w:p>
        </w:tc>
      </w:tr>
      <w:tr w:rsidR="003B345D" w:rsidRPr="003B345D" w14:paraId="56DD282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E0B37D0" w14:textId="77777777" w:rsidR="003B345D" w:rsidRPr="003B345D" w:rsidRDefault="003B345D" w:rsidP="003B345D">
            <w:pPr>
              <w:pStyle w:val="tabletext"/>
              <w:rPr>
                <w:lang w:val="en-US" w:eastAsia="en-US"/>
              </w:rPr>
            </w:pPr>
            <w:r w:rsidRPr="003B345D">
              <w:rPr>
                <w:lang w:val="en-US" w:eastAsia="en-US"/>
              </w:rPr>
              <w:t>537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68E9C6" w14:textId="77777777" w:rsidR="003B345D" w:rsidRPr="003B345D" w:rsidRDefault="003B345D" w:rsidP="003B345D">
            <w:pPr>
              <w:pStyle w:val="tabletext"/>
            </w:pPr>
            <w:r w:rsidRPr="003B345D">
              <w:t>Subsection 246F(1)</w:t>
            </w:r>
          </w:p>
        </w:tc>
      </w:tr>
      <w:tr w:rsidR="003B345D" w:rsidRPr="003B345D" w14:paraId="5AD9025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D59FDC3" w14:textId="77777777" w:rsidR="003B345D" w:rsidRPr="003B345D" w:rsidRDefault="003B345D" w:rsidP="003B345D">
            <w:pPr>
              <w:pStyle w:val="tabletext"/>
              <w:rPr>
                <w:lang w:val="en-US" w:eastAsia="en-US"/>
              </w:rPr>
            </w:pPr>
            <w:r w:rsidRPr="003B345D">
              <w:rPr>
                <w:lang w:val="en-US" w:eastAsia="en-US"/>
              </w:rPr>
              <w:t>538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691861" w14:textId="77777777" w:rsidR="003B345D" w:rsidRPr="003B345D" w:rsidRDefault="003B345D" w:rsidP="003B345D">
            <w:pPr>
              <w:pStyle w:val="tabletext"/>
            </w:pPr>
            <w:r w:rsidRPr="003B345D">
              <w:t>Subsection 246F(2)</w:t>
            </w:r>
          </w:p>
        </w:tc>
      </w:tr>
      <w:tr w:rsidR="003B345D" w:rsidRPr="003B345D" w14:paraId="3CD6E73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23C0A9E" w14:textId="77777777" w:rsidR="003B345D" w:rsidRPr="003B345D" w:rsidRDefault="003B345D" w:rsidP="003B345D">
            <w:pPr>
              <w:pStyle w:val="tabletext"/>
              <w:rPr>
                <w:lang w:val="en-US" w:eastAsia="en-US"/>
              </w:rPr>
            </w:pPr>
            <w:r w:rsidRPr="003B345D">
              <w:rPr>
                <w:lang w:val="en-US" w:eastAsia="en-US"/>
              </w:rPr>
              <w:t>539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470220B" w14:textId="77777777" w:rsidR="003B345D" w:rsidRPr="003B345D" w:rsidRDefault="003B345D" w:rsidP="003B345D">
            <w:pPr>
              <w:pStyle w:val="tabletext"/>
            </w:pPr>
            <w:r w:rsidRPr="003B345D">
              <w:t>Subsection 246F(3)</w:t>
            </w:r>
          </w:p>
        </w:tc>
      </w:tr>
      <w:tr w:rsidR="003B345D" w:rsidRPr="003B345D" w14:paraId="424CC11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B724144" w14:textId="77777777" w:rsidR="003B345D" w:rsidRPr="003B345D" w:rsidRDefault="003B345D" w:rsidP="003B345D">
            <w:pPr>
              <w:pStyle w:val="tabletext"/>
              <w:rPr>
                <w:lang w:val="en-US" w:eastAsia="en-US"/>
              </w:rPr>
            </w:pPr>
            <w:r w:rsidRPr="003B345D">
              <w:rPr>
                <w:lang w:val="en-US" w:eastAsia="en-US"/>
              </w:rPr>
              <w:t>540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93E9E54" w14:textId="77777777" w:rsidR="003B345D" w:rsidRPr="003B345D" w:rsidRDefault="003B345D" w:rsidP="003B345D">
            <w:pPr>
              <w:pStyle w:val="tabletext"/>
            </w:pPr>
            <w:r w:rsidRPr="003B345D">
              <w:t>Paragraphs 247C(2)(a) and 249A(5)(b)</w:t>
            </w:r>
          </w:p>
        </w:tc>
      </w:tr>
      <w:tr w:rsidR="003B345D" w:rsidRPr="003B345D" w14:paraId="717C89C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597D776" w14:textId="77777777" w:rsidR="003B345D" w:rsidRPr="003B345D" w:rsidRDefault="003B345D" w:rsidP="003B345D">
            <w:pPr>
              <w:pStyle w:val="tabletext"/>
              <w:rPr>
                <w:lang w:val="en-US" w:eastAsia="en-US"/>
              </w:rPr>
            </w:pPr>
            <w:r w:rsidRPr="003B345D">
              <w:rPr>
                <w:lang w:val="en-US" w:eastAsia="en-US"/>
              </w:rPr>
              <w:lastRenderedPageBreak/>
              <w:t>541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D31905F" w14:textId="77777777" w:rsidR="003B345D" w:rsidRPr="003B345D" w:rsidRDefault="003B345D" w:rsidP="003B345D">
            <w:pPr>
              <w:pStyle w:val="tabletext"/>
            </w:pPr>
            <w:r w:rsidRPr="003B345D">
              <w:t>Subsection 249B(2)</w:t>
            </w:r>
          </w:p>
        </w:tc>
      </w:tr>
      <w:tr w:rsidR="003B345D" w:rsidRPr="003B345D" w14:paraId="69C29B2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1BEFF32" w14:textId="77777777" w:rsidR="003B345D" w:rsidRPr="003B345D" w:rsidRDefault="003B345D" w:rsidP="003B345D">
            <w:pPr>
              <w:pStyle w:val="tabletext"/>
              <w:rPr>
                <w:lang w:val="en-US" w:eastAsia="en-US"/>
              </w:rPr>
            </w:pPr>
            <w:r w:rsidRPr="003B345D">
              <w:rPr>
                <w:lang w:val="en-US" w:eastAsia="en-US"/>
              </w:rPr>
              <w:t>542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75101E6" w14:textId="77777777" w:rsidR="003B345D" w:rsidRPr="003B345D" w:rsidRDefault="003B345D" w:rsidP="003B345D">
            <w:pPr>
              <w:pStyle w:val="tabletext"/>
            </w:pPr>
            <w:r w:rsidRPr="003B345D">
              <w:t>Paragraphs 251A(5)(c) and 253M(3)(c)</w:t>
            </w:r>
          </w:p>
        </w:tc>
      </w:tr>
      <w:tr w:rsidR="003B345D" w:rsidRPr="003B345D" w14:paraId="28DC077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9C66B99" w14:textId="77777777" w:rsidR="003B345D" w:rsidRPr="003B345D" w:rsidRDefault="003B345D" w:rsidP="003B345D">
            <w:pPr>
              <w:pStyle w:val="tabletext"/>
              <w:rPr>
                <w:lang w:val="en-US" w:eastAsia="en-US"/>
              </w:rPr>
            </w:pPr>
            <w:r w:rsidRPr="003B345D">
              <w:rPr>
                <w:lang w:val="en-US" w:eastAsia="en-US"/>
              </w:rPr>
              <w:t>543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1ABD45" w14:textId="77777777" w:rsidR="003B345D" w:rsidRPr="003B345D" w:rsidRDefault="003B345D" w:rsidP="003B345D">
            <w:pPr>
              <w:pStyle w:val="tabletext"/>
            </w:pPr>
            <w:r w:rsidRPr="003B345D">
              <w:t>Subsection 254B(1) (note 1)</w:t>
            </w:r>
          </w:p>
        </w:tc>
      </w:tr>
      <w:tr w:rsidR="003B345D" w:rsidRPr="003B345D" w14:paraId="2272A24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C171C67" w14:textId="77777777" w:rsidR="003B345D" w:rsidRPr="003B345D" w:rsidRDefault="003B345D" w:rsidP="003B345D">
            <w:pPr>
              <w:pStyle w:val="tabletext"/>
              <w:rPr>
                <w:lang w:val="en-US" w:eastAsia="en-US"/>
              </w:rPr>
            </w:pPr>
            <w:r w:rsidRPr="003B345D">
              <w:rPr>
                <w:lang w:val="en-US" w:eastAsia="en-US"/>
              </w:rPr>
              <w:t>544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DA9496D" w14:textId="77777777" w:rsidR="003B345D" w:rsidRPr="003B345D" w:rsidRDefault="003B345D" w:rsidP="003B345D">
            <w:pPr>
              <w:pStyle w:val="tabletext"/>
            </w:pPr>
            <w:r w:rsidRPr="003B345D">
              <w:t>Subsection 254B(1) (note 2)</w:t>
            </w:r>
          </w:p>
        </w:tc>
      </w:tr>
      <w:tr w:rsidR="003B345D" w:rsidRPr="003B345D" w14:paraId="798E70B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2C95DA9" w14:textId="77777777" w:rsidR="003B345D" w:rsidRPr="003B345D" w:rsidRDefault="003B345D" w:rsidP="003B345D">
            <w:pPr>
              <w:pStyle w:val="tabletext"/>
              <w:rPr>
                <w:lang w:val="en-US" w:eastAsia="en-US"/>
              </w:rPr>
            </w:pPr>
            <w:r w:rsidRPr="003B345D">
              <w:rPr>
                <w:lang w:val="en-US" w:eastAsia="en-US"/>
              </w:rPr>
              <w:t>545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21ACF46" w14:textId="77777777" w:rsidR="003B345D" w:rsidRPr="003B345D" w:rsidRDefault="003B345D" w:rsidP="003B345D">
            <w:pPr>
              <w:pStyle w:val="tabletext"/>
            </w:pPr>
            <w:r w:rsidRPr="003B345D">
              <w:t>Subsections 254E(2), 254H(4) and 254N(2)</w:t>
            </w:r>
          </w:p>
        </w:tc>
      </w:tr>
      <w:tr w:rsidR="003B345D" w:rsidRPr="003B345D" w14:paraId="6036E1A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88716D6" w14:textId="77777777" w:rsidR="003B345D" w:rsidRPr="003B345D" w:rsidRDefault="003B345D" w:rsidP="003B345D">
            <w:pPr>
              <w:pStyle w:val="tabletext"/>
              <w:rPr>
                <w:lang w:val="en-US" w:eastAsia="en-US"/>
              </w:rPr>
            </w:pPr>
            <w:r w:rsidRPr="003B345D">
              <w:rPr>
                <w:lang w:val="en-US" w:eastAsia="en-US"/>
              </w:rPr>
              <w:t>546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840169" w14:textId="77777777" w:rsidR="003B345D" w:rsidRPr="003B345D" w:rsidRDefault="003B345D" w:rsidP="003B345D">
            <w:pPr>
              <w:pStyle w:val="tabletext"/>
            </w:pPr>
            <w:r w:rsidRPr="003B345D">
              <w:t>Section 254X (heading)</w:t>
            </w:r>
          </w:p>
        </w:tc>
      </w:tr>
      <w:tr w:rsidR="003B345D" w:rsidRPr="003B345D" w14:paraId="40EC7BA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47C7D18" w14:textId="77777777" w:rsidR="003B345D" w:rsidRPr="003B345D" w:rsidRDefault="003B345D" w:rsidP="003B345D">
            <w:pPr>
              <w:pStyle w:val="tabletext"/>
              <w:rPr>
                <w:lang w:val="en-US" w:eastAsia="en-US"/>
              </w:rPr>
            </w:pPr>
            <w:r w:rsidRPr="003B345D">
              <w:rPr>
                <w:lang w:val="en-US" w:eastAsia="en-US"/>
              </w:rPr>
              <w:t>547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6D7D3FE" w14:textId="77777777" w:rsidR="003B345D" w:rsidRPr="003B345D" w:rsidRDefault="003B345D" w:rsidP="003B345D">
            <w:pPr>
              <w:pStyle w:val="tabletext"/>
            </w:pPr>
            <w:r w:rsidRPr="003B345D">
              <w:t>Subsection 254X(1)</w:t>
            </w:r>
          </w:p>
        </w:tc>
      </w:tr>
      <w:tr w:rsidR="003B345D" w:rsidRPr="003B345D" w14:paraId="33D01F2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B51BC32" w14:textId="77777777" w:rsidR="003B345D" w:rsidRPr="003B345D" w:rsidRDefault="003B345D" w:rsidP="003B345D">
            <w:pPr>
              <w:pStyle w:val="tabletext"/>
              <w:rPr>
                <w:lang w:val="en-US" w:eastAsia="en-US"/>
              </w:rPr>
            </w:pPr>
            <w:r w:rsidRPr="003B345D">
              <w:rPr>
                <w:lang w:val="en-US" w:eastAsia="en-US"/>
              </w:rPr>
              <w:t>548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9AD98EB" w14:textId="77777777" w:rsidR="003B345D" w:rsidRPr="003B345D" w:rsidRDefault="003B345D" w:rsidP="003B345D">
            <w:pPr>
              <w:pStyle w:val="tabletext"/>
            </w:pPr>
            <w:r w:rsidRPr="003B345D">
              <w:t>Subsection 254X(2)</w:t>
            </w:r>
          </w:p>
        </w:tc>
      </w:tr>
      <w:tr w:rsidR="003B345D" w:rsidRPr="003B345D" w14:paraId="37B717E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248D6D7" w14:textId="77777777" w:rsidR="003B345D" w:rsidRPr="003B345D" w:rsidRDefault="003B345D" w:rsidP="003B345D">
            <w:pPr>
              <w:pStyle w:val="tabletext"/>
              <w:rPr>
                <w:lang w:val="en-US" w:eastAsia="en-US"/>
              </w:rPr>
            </w:pPr>
            <w:r w:rsidRPr="003B345D">
              <w:rPr>
                <w:lang w:val="en-US" w:eastAsia="en-US"/>
              </w:rPr>
              <w:t>549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F66D99C" w14:textId="77777777" w:rsidR="003B345D" w:rsidRPr="003B345D" w:rsidRDefault="003B345D" w:rsidP="003B345D">
            <w:pPr>
              <w:pStyle w:val="tabletext"/>
            </w:pPr>
            <w:r w:rsidRPr="003B345D">
              <w:t>Subsection 254X(3) (note)</w:t>
            </w:r>
          </w:p>
        </w:tc>
      </w:tr>
      <w:tr w:rsidR="003B345D" w:rsidRPr="003B345D" w14:paraId="4F3AF7D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61CD7C8" w14:textId="77777777" w:rsidR="003B345D" w:rsidRPr="003B345D" w:rsidRDefault="003B345D" w:rsidP="003B345D">
            <w:pPr>
              <w:pStyle w:val="tabletext"/>
              <w:rPr>
                <w:lang w:val="en-US" w:eastAsia="en-US"/>
              </w:rPr>
            </w:pPr>
            <w:r w:rsidRPr="003B345D">
              <w:rPr>
                <w:lang w:val="en-US" w:eastAsia="en-US"/>
              </w:rPr>
              <w:t>550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B8EC57C" w14:textId="77777777" w:rsidR="003B345D" w:rsidRPr="003B345D" w:rsidRDefault="003B345D" w:rsidP="003B345D">
            <w:pPr>
              <w:pStyle w:val="tabletext"/>
            </w:pPr>
            <w:r w:rsidRPr="003B345D">
              <w:t>Section 254Y (heading)</w:t>
            </w:r>
          </w:p>
        </w:tc>
      </w:tr>
      <w:tr w:rsidR="003B345D" w:rsidRPr="003B345D" w14:paraId="25710D5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443E6FA" w14:textId="77777777" w:rsidR="003B345D" w:rsidRPr="003B345D" w:rsidRDefault="003B345D" w:rsidP="003B345D">
            <w:pPr>
              <w:pStyle w:val="tabletext"/>
              <w:rPr>
                <w:lang w:val="en-US" w:eastAsia="en-US"/>
              </w:rPr>
            </w:pPr>
            <w:r w:rsidRPr="003B345D">
              <w:rPr>
                <w:lang w:val="en-US" w:eastAsia="en-US"/>
              </w:rPr>
              <w:t>551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C00CACD" w14:textId="77777777" w:rsidR="003B345D" w:rsidRPr="003B345D" w:rsidRDefault="003B345D" w:rsidP="003B345D">
            <w:pPr>
              <w:pStyle w:val="tabletext"/>
            </w:pPr>
            <w:r w:rsidRPr="003B345D">
              <w:t>Subsection 254Y(1)</w:t>
            </w:r>
          </w:p>
        </w:tc>
      </w:tr>
      <w:tr w:rsidR="003B345D" w:rsidRPr="003B345D" w14:paraId="3BC124F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D198789" w14:textId="77777777" w:rsidR="003B345D" w:rsidRPr="003B345D" w:rsidRDefault="003B345D" w:rsidP="003B345D">
            <w:pPr>
              <w:pStyle w:val="tabletext"/>
              <w:rPr>
                <w:lang w:val="en-US" w:eastAsia="en-US"/>
              </w:rPr>
            </w:pPr>
            <w:r w:rsidRPr="003B345D">
              <w:rPr>
                <w:lang w:val="en-US" w:eastAsia="en-US"/>
              </w:rPr>
              <w:t>552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771972B" w14:textId="77777777" w:rsidR="003B345D" w:rsidRPr="003B345D" w:rsidRDefault="003B345D" w:rsidP="003B345D">
            <w:pPr>
              <w:pStyle w:val="tabletext"/>
            </w:pPr>
            <w:r w:rsidRPr="003B345D">
              <w:t>Subsection 256C(3)</w:t>
            </w:r>
          </w:p>
        </w:tc>
      </w:tr>
      <w:tr w:rsidR="003B345D" w:rsidRPr="003B345D" w14:paraId="604AE7E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BB3D11F" w14:textId="77777777" w:rsidR="003B345D" w:rsidRPr="003B345D" w:rsidRDefault="003B345D" w:rsidP="003B345D">
            <w:pPr>
              <w:pStyle w:val="tabletext"/>
              <w:rPr>
                <w:lang w:val="en-US" w:eastAsia="en-US"/>
              </w:rPr>
            </w:pPr>
            <w:r w:rsidRPr="003B345D">
              <w:rPr>
                <w:lang w:val="en-US" w:eastAsia="en-US"/>
              </w:rPr>
              <w:t>553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6A97B6" w14:textId="77777777" w:rsidR="003B345D" w:rsidRPr="003B345D" w:rsidRDefault="003B345D" w:rsidP="003B345D">
            <w:pPr>
              <w:pStyle w:val="tabletext"/>
            </w:pPr>
            <w:r w:rsidRPr="003B345D">
              <w:t>Subsection 256C(5) (heading)</w:t>
            </w:r>
          </w:p>
        </w:tc>
      </w:tr>
      <w:tr w:rsidR="003B345D" w:rsidRPr="003B345D" w14:paraId="59EAF6E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4B03B87" w14:textId="77777777" w:rsidR="003B345D" w:rsidRPr="003B345D" w:rsidRDefault="003B345D" w:rsidP="003B345D">
            <w:pPr>
              <w:pStyle w:val="tabletext"/>
              <w:rPr>
                <w:lang w:val="en-US" w:eastAsia="en-US"/>
              </w:rPr>
            </w:pPr>
            <w:r w:rsidRPr="003B345D">
              <w:rPr>
                <w:lang w:val="en-US" w:eastAsia="en-US"/>
              </w:rPr>
              <w:t>554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7E86802" w14:textId="77777777" w:rsidR="003B345D" w:rsidRPr="003B345D" w:rsidRDefault="003B345D" w:rsidP="003B345D">
            <w:pPr>
              <w:pStyle w:val="tabletext"/>
            </w:pPr>
            <w:r w:rsidRPr="003B345D">
              <w:t>Subsection 256C(5)</w:t>
            </w:r>
          </w:p>
        </w:tc>
      </w:tr>
      <w:tr w:rsidR="003B345D" w:rsidRPr="003B345D" w14:paraId="7DBEF2F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60E13FF" w14:textId="77777777" w:rsidR="003B345D" w:rsidRPr="003B345D" w:rsidRDefault="003B345D" w:rsidP="003B345D">
            <w:pPr>
              <w:pStyle w:val="tabletext"/>
              <w:rPr>
                <w:lang w:val="en-US" w:eastAsia="en-US"/>
              </w:rPr>
            </w:pPr>
            <w:r w:rsidRPr="003B345D">
              <w:rPr>
                <w:lang w:val="en-US" w:eastAsia="en-US"/>
              </w:rPr>
              <w:t>555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521D397" w14:textId="77777777" w:rsidR="003B345D" w:rsidRPr="003B345D" w:rsidRDefault="003B345D" w:rsidP="003B345D">
            <w:pPr>
              <w:pStyle w:val="tabletext"/>
            </w:pPr>
            <w:r w:rsidRPr="003B345D">
              <w:t>Subsection 257B(1) (table)</w:t>
            </w:r>
          </w:p>
        </w:tc>
      </w:tr>
      <w:tr w:rsidR="003B345D" w:rsidRPr="003B345D" w14:paraId="30EE758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17ACC0A" w14:textId="77777777" w:rsidR="003B345D" w:rsidRPr="003B345D" w:rsidRDefault="003B345D" w:rsidP="003B345D">
            <w:pPr>
              <w:pStyle w:val="tabletext"/>
              <w:rPr>
                <w:lang w:val="en-US" w:eastAsia="en-US"/>
              </w:rPr>
            </w:pPr>
            <w:r w:rsidRPr="003B345D">
              <w:rPr>
                <w:lang w:val="en-US" w:eastAsia="en-US"/>
              </w:rPr>
              <w:t>556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EF24FDB" w14:textId="77777777" w:rsidR="003B345D" w:rsidRPr="003B345D" w:rsidRDefault="003B345D" w:rsidP="003B345D">
            <w:pPr>
              <w:pStyle w:val="tabletext"/>
            </w:pPr>
            <w:r w:rsidRPr="003B345D">
              <w:t>Subsection 257C(3) (heading)</w:t>
            </w:r>
          </w:p>
        </w:tc>
      </w:tr>
      <w:tr w:rsidR="003B345D" w:rsidRPr="003B345D" w14:paraId="15C3924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72078C4" w14:textId="77777777" w:rsidR="003B345D" w:rsidRPr="003B345D" w:rsidRDefault="003B345D" w:rsidP="003B345D">
            <w:pPr>
              <w:pStyle w:val="tabletext"/>
              <w:rPr>
                <w:lang w:val="en-US" w:eastAsia="en-US"/>
              </w:rPr>
            </w:pPr>
            <w:r w:rsidRPr="003B345D">
              <w:rPr>
                <w:lang w:val="en-US" w:eastAsia="en-US"/>
              </w:rPr>
              <w:t>557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C5C92D" w14:textId="77777777" w:rsidR="003B345D" w:rsidRPr="003B345D" w:rsidRDefault="003B345D" w:rsidP="003B345D">
            <w:pPr>
              <w:pStyle w:val="tabletext"/>
            </w:pPr>
            <w:r w:rsidRPr="003B345D">
              <w:t>Subsection 257C(3)</w:t>
            </w:r>
          </w:p>
        </w:tc>
      </w:tr>
      <w:tr w:rsidR="003B345D" w:rsidRPr="003B345D" w14:paraId="02D70FF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ACE5EFF" w14:textId="77777777" w:rsidR="003B345D" w:rsidRPr="003B345D" w:rsidRDefault="003B345D" w:rsidP="003B345D">
            <w:pPr>
              <w:pStyle w:val="tabletext"/>
              <w:rPr>
                <w:lang w:val="en-US" w:eastAsia="en-US"/>
              </w:rPr>
            </w:pPr>
            <w:r w:rsidRPr="003B345D">
              <w:rPr>
                <w:lang w:val="en-US" w:eastAsia="en-US"/>
              </w:rPr>
              <w:t>558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A1F0387" w14:textId="77777777" w:rsidR="003B345D" w:rsidRPr="003B345D" w:rsidRDefault="003B345D" w:rsidP="003B345D">
            <w:pPr>
              <w:pStyle w:val="tabletext"/>
            </w:pPr>
            <w:r w:rsidRPr="003B345D">
              <w:t>Subsection 257D(3) (heading)</w:t>
            </w:r>
          </w:p>
        </w:tc>
      </w:tr>
      <w:tr w:rsidR="003B345D" w:rsidRPr="003B345D" w14:paraId="73BEE26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F8B1F04" w14:textId="77777777" w:rsidR="003B345D" w:rsidRPr="003B345D" w:rsidRDefault="003B345D" w:rsidP="003B345D">
            <w:pPr>
              <w:pStyle w:val="tabletext"/>
              <w:rPr>
                <w:lang w:val="en-US" w:eastAsia="en-US"/>
              </w:rPr>
            </w:pPr>
            <w:r w:rsidRPr="003B345D">
              <w:rPr>
                <w:lang w:val="en-US" w:eastAsia="en-US"/>
              </w:rPr>
              <w:t>559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731921A" w14:textId="77777777" w:rsidR="003B345D" w:rsidRPr="003B345D" w:rsidRDefault="003B345D" w:rsidP="003B345D">
            <w:pPr>
              <w:pStyle w:val="tabletext"/>
            </w:pPr>
            <w:r w:rsidRPr="003B345D">
              <w:t>Subsection 257D(3)</w:t>
            </w:r>
          </w:p>
        </w:tc>
      </w:tr>
      <w:tr w:rsidR="003B345D" w:rsidRPr="003B345D" w14:paraId="4A3305E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CFFBBDD" w14:textId="77777777" w:rsidR="003B345D" w:rsidRPr="003B345D" w:rsidRDefault="003B345D" w:rsidP="003B345D">
            <w:pPr>
              <w:pStyle w:val="tabletext"/>
              <w:rPr>
                <w:lang w:val="en-US" w:eastAsia="en-US"/>
              </w:rPr>
            </w:pPr>
            <w:r w:rsidRPr="003B345D">
              <w:rPr>
                <w:lang w:val="en-US" w:eastAsia="en-US"/>
              </w:rPr>
              <w:t>560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9D70DA2" w14:textId="77777777" w:rsidR="003B345D" w:rsidRPr="003B345D" w:rsidRDefault="003B345D" w:rsidP="003B345D">
            <w:pPr>
              <w:pStyle w:val="tabletext"/>
            </w:pPr>
            <w:r w:rsidRPr="003B345D">
              <w:t>Section 257E (heading)</w:t>
            </w:r>
          </w:p>
        </w:tc>
      </w:tr>
      <w:tr w:rsidR="003B345D" w:rsidRPr="003B345D" w14:paraId="4448059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27620BF" w14:textId="77777777" w:rsidR="003B345D" w:rsidRPr="003B345D" w:rsidRDefault="003B345D" w:rsidP="003B345D">
            <w:pPr>
              <w:pStyle w:val="tabletext"/>
              <w:rPr>
                <w:lang w:val="en-US" w:eastAsia="en-US"/>
              </w:rPr>
            </w:pPr>
            <w:r w:rsidRPr="003B345D">
              <w:rPr>
                <w:lang w:val="en-US" w:eastAsia="en-US"/>
              </w:rPr>
              <w:t>561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8D31136" w14:textId="77777777" w:rsidR="003B345D" w:rsidRPr="003B345D" w:rsidRDefault="003B345D" w:rsidP="003B345D">
            <w:pPr>
              <w:pStyle w:val="tabletext"/>
            </w:pPr>
            <w:r w:rsidRPr="003B345D">
              <w:t>Section 257E</w:t>
            </w:r>
          </w:p>
        </w:tc>
      </w:tr>
      <w:tr w:rsidR="003B345D" w:rsidRPr="003B345D" w14:paraId="52D8389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A0AEB1D" w14:textId="77777777" w:rsidR="003B345D" w:rsidRPr="003B345D" w:rsidRDefault="003B345D" w:rsidP="003B345D">
            <w:pPr>
              <w:pStyle w:val="tabletext"/>
              <w:rPr>
                <w:lang w:val="en-US" w:eastAsia="en-US"/>
              </w:rPr>
            </w:pPr>
            <w:r w:rsidRPr="003B345D">
              <w:rPr>
                <w:lang w:val="en-US" w:eastAsia="en-US"/>
              </w:rPr>
              <w:t>562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FEA840A" w14:textId="77777777" w:rsidR="003B345D" w:rsidRPr="003B345D" w:rsidRDefault="003B345D" w:rsidP="003B345D">
            <w:pPr>
              <w:pStyle w:val="tabletext"/>
            </w:pPr>
            <w:r w:rsidRPr="003B345D">
              <w:t>Subsection 257F(2)</w:t>
            </w:r>
          </w:p>
        </w:tc>
      </w:tr>
      <w:tr w:rsidR="003B345D" w:rsidRPr="003B345D" w14:paraId="5F7CDE6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BFEF0B6" w14:textId="77777777" w:rsidR="003B345D" w:rsidRPr="003B345D" w:rsidRDefault="003B345D" w:rsidP="003B345D">
            <w:pPr>
              <w:pStyle w:val="tabletext"/>
              <w:rPr>
                <w:lang w:val="en-US" w:eastAsia="en-US"/>
              </w:rPr>
            </w:pPr>
            <w:r w:rsidRPr="003B345D">
              <w:rPr>
                <w:lang w:val="en-US" w:eastAsia="en-US"/>
              </w:rPr>
              <w:t>563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E654E63" w14:textId="77777777" w:rsidR="003B345D" w:rsidRPr="003B345D" w:rsidRDefault="003B345D" w:rsidP="003B345D">
            <w:pPr>
              <w:pStyle w:val="tabletext"/>
            </w:pPr>
            <w:r w:rsidRPr="003B345D">
              <w:t>Subsection 257H(3) (note)</w:t>
            </w:r>
          </w:p>
        </w:tc>
      </w:tr>
      <w:tr w:rsidR="003B345D" w:rsidRPr="003B345D" w14:paraId="0A247DF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46C8588" w14:textId="77777777" w:rsidR="003B345D" w:rsidRPr="003B345D" w:rsidRDefault="003B345D" w:rsidP="003B345D">
            <w:pPr>
              <w:pStyle w:val="tabletext"/>
              <w:rPr>
                <w:lang w:val="en-US" w:eastAsia="en-US"/>
              </w:rPr>
            </w:pPr>
            <w:r w:rsidRPr="003B345D">
              <w:rPr>
                <w:lang w:val="en-US" w:eastAsia="en-US"/>
              </w:rPr>
              <w:t>564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24B9F20" w14:textId="77777777" w:rsidR="003B345D" w:rsidRPr="003B345D" w:rsidRDefault="003B345D" w:rsidP="003B345D">
            <w:pPr>
              <w:pStyle w:val="tabletext"/>
            </w:pPr>
            <w:r w:rsidRPr="003B345D">
              <w:t>Paragraph 260A(1)(b)</w:t>
            </w:r>
          </w:p>
        </w:tc>
      </w:tr>
      <w:tr w:rsidR="003B345D" w:rsidRPr="003B345D" w14:paraId="5B23281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50169C9" w14:textId="77777777" w:rsidR="003B345D" w:rsidRPr="003B345D" w:rsidRDefault="003B345D" w:rsidP="003B345D">
            <w:pPr>
              <w:pStyle w:val="tabletext"/>
              <w:rPr>
                <w:lang w:val="en-US" w:eastAsia="en-US"/>
              </w:rPr>
            </w:pPr>
            <w:r w:rsidRPr="003B345D">
              <w:rPr>
                <w:lang w:val="en-US" w:eastAsia="en-US"/>
              </w:rPr>
              <w:t>565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24423EE" w14:textId="77777777" w:rsidR="003B345D" w:rsidRPr="003B345D" w:rsidRDefault="003B345D" w:rsidP="003B345D">
            <w:pPr>
              <w:pStyle w:val="tabletext"/>
            </w:pPr>
            <w:r w:rsidRPr="003B345D">
              <w:t>Subsection 260B(5) (heading)</w:t>
            </w:r>
          </w:p>
        </w:tc>
      </w:tr>
      <w:tr w:rsidR="003B345D" w:rsidRPr="003B345D" w14:paraId="5458584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EC6EBC0" w14:textId="77777777" w:rsidR="003B345D" w:rsidRPr="003B345D" w:rsidRDefault="003B345D" w:rsidP="003B345D">
            <w:pPr>
              <w:pStyle w:val="tabletext"/>
              <w:rPr>
                <w:lang w:val="en-US" w:eastAsia="en-US"/>
              </w:rPr>
            </w:pPr>
            <w:r w:rsidRPr="003B345D">
              <w:rPr>
                <w:lang w:val="en-US" w:eastAsia="en-US"/>
              </w:rPr>
              <w:t>566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4F1152" w14:textId="77777777" w:rsidR="003B345D" w:rsidRPr="003B345D" w:rsidRDefault="003B345D" w:rsidP="003B345D">
            <w:pPr>
              <w:pStyle w:val="tabletext"/>
            </w:pPr>
            <w:r w:rsidRPr="003B345D">
              <w:t>Subsections 260B(5) and (6)</w:t>
            </w:r>
          </w:p>
        </w:tc>
      </w:tr>
      <w:tr w:rsidR="003B345D" w:rsidRPr="003B345D" w14:paraId="4BFF8B6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C3F34F8" w14:textId="77777777" w:rsidR="003B345D" w:rsidRPr="003B345D" w:rsidRDefault="003B345D" w:rsidP="003B345D">
            <w:pPr>
              <w:pStyle w:val="tabletext"/>
              <w:rPr>
                <w:lang w:val="en-US" w:eastAsia="en-US"/>
              </w:rPr>
            </w:pPr>
            <w:r w:rsidRPr="003B345D">
              <w:rPr>
                <w:lang w:val="en-US" w:eastAsia="en-US"/>
              </w:rPr>
              <w:t>569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FDFE921" w14:textId="77777777" w:rsidR="003B345D" w:rsidRPr="003B345D" w:rsidRDefault="003B345D" w:rsidP="003B345D">
            <w:pPr>
              <w:pStyle w:val="tabletext"/>
            </w:pPr>
            <w:r w:rsidRPr="003B345D">
              <w:t>Subsection 260B(7)</w:t>
            </w:r>
          </w:p>
        </w:tc>
      </w:tr>
      <w:tr w:rsidR="003B345D" w:rsidRPr="003B345D" w14:paraId="63DF47B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594B8C7" w14:textId="77777777" w:rsidR="003B345D" w:rsidRPr="003B345D" w:rsidRDefault="003B345D" w:rsidP="003B345D">
            <w:pPr>
              <w:pStyle w:val="tabletext"/>
              <w:rPr>
                <w:lang w:val="en-US" w:eastAsia="en-US"/>
              </w:rPr>
            </w:pPr>
            <w:r w:rsidRPr="003B345D">
              <w:rPr>
                <w:lang w:val="en-US" w:eastAsia="en-US"/>
              </w:rPr>
              <w:t>570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5817E83" w14:textId="77777777" w:rsidR="003B345D" w:rsidRPr="003B345D" w:rsidRDefault="003B345D" w:rsidP="003B345D">
            <w:pPr>
              <w:pStyle w:val="tabletext"/>
            </w:pPr>
            <w:r w:rsidRPr="003B345D">
              <w:t>Section 283BC (heading)</w:t>
            </w:r>
          </w:p>
        </w:tc>
      </w:tr>
      <w:tr w:rsidR="003B345D" w:rsidRPr="003B345D" w14:paraId="5F5BC3C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7CF5FC6" w14:textId="77777777" w:rsidR="003B345D" w:rsidRPr="003B345D" w:rsidRDefault="003B345D" w:rsidP="003B345D">
            <w:pPr>
              <w:pStyle w:val="tabletext"/>
              <w:rPr>
                <w:lang w:val="en-US" w:eastAsia="en-US"/>
              </w:rPr>
            </w:pPr>
            <w:r w:rsidRPr="003B345D">
              <w:rPr>
                <w:lang w:val="en-US" w:eastAsia="en-US"/>
              </w:rPr>
              <w:t>571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999E10F" w14:textId="77777777" w:rsidR="003B345D" w:rsidRPr="003B345D" w:rsidRDefault="003B345D" w:rsidP="003B345D">
            <w:pPr>
              <w:pStyle w:val="tabletext"/>
            </w:pPr>
            <w:r w:rsidRPr="003B345D">
              <w:t>Subsection 283BC(1)</w:t>
            </w:r>
          </w:p>
        </w:tc>
      </w:tr>
      <w:tr w:rsidR="003B345D" w:rsidRPr="003B345D" w14:paraId="5ABED8F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E72A67F" w14:textId="77777777" w:rsidR="003B345D" w:rsidRPr="003B345D" w:rsidRDefault="003B345D" w:rsidP="003B345D">
            <w:pPr>
              <w:pStyle w:val="tabletext"/>
              <w:rPr>
                <w:lang w:val="en-US" w:eastAsia="en-US"/>
              </w:rPr>
            </w:pPr>
            <w:r w:rsidRPr="003B345D">
              <w:rPr>
                <w:lang w:val="en-US" w:eastAsia="en-US"/>
              </w:rPr>
              <w:t>573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F6A43FB" w14:textId="77777777" w:rsidR="003B345D" w:rsidRPr="003B345D" w:rsidRDefault="003B345D" w:rsidP="003B345D">
            <w:pPr>
              <w:pStyle w:val="tabletext"/>
            </w:pPr>
            <w:r w:rsidRPr="003B345D">
              <w:t>Subsection 283BC(2)</w:t>
            </w:r>
          </w:p>
        </w:tc>
      </w:tr>
      <w:tr w:rsidR="003B345D" w:rsidRPr="003B345D" w14:paraId="139A193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6963B0B" w14:textId="77777777" w:rsidR="003B345D" w:rsidRPr="003B345D" w:rsidRDefault="003B345D" w:rsidP="003B345D">
            <w:pPr>
              <w:pStyle w:val="tabletext"/>
              <w:rPr>
                <w:lang w:val="en-US" w:eastAsia="en-US"/>
              </w:rPr>
            </w:pPr>
            <w:r w:rsidRPr="003B345D">
              <w:rPr>
                <w:lang w:val="en-US" w:eastAsia="en-US"/>
              </w:rPr>
              <w:t>575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C64017E" w14:textId="77777777" w:rsidR="003B345D" w:rsidRPr="003B345D" w:rsidRDefault="003B345D" w:rsidP="003B345D">
            <w:pPr>
              <w:pStyle w:val="tabletext"/>
            </w:pPr>
            <w:r w:rsidRPr="003B345D">
              <w:t>Section 283BCA</w:t>
            </w:r>
          </w:p>
        </w:tc>
      </w:tr>
      <w:tr w:rsidR="003B345D" w:rsidRPr="003B345D" w14:paraId="5B33E04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9C60FAD" w14:textId="77777777" w:rsidR="003B345D" w:rsidRPr="003B345D" w:rsidRDefault="003B345D" w:rsidP="003B345D">
            <w:pPr>
              <w:pStyle w:val="tabletext"/>
              <w:rPr>
                <w:lang w:val="en-US" w:eastAsia="en-US"/>
              </w:rPr>
            </w:pPr>
            <w:r w:rsidRPr="003B345D">
              <w:rPr>
                <w:lang w:val="en-US" w:eastAsia="en-US"/>
              </w:rPr>
              <w:t>576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E541844" w14:textId="77777777" w:rsidR="003B345D" w:rsidRPr="003B345D" w:rsidRDefault="003B345D" w:rsidP="003B345D">
            <w:pPr>
              <w:pStyle w:val="tabletext"/>
            </w:pPr>
            <w:r w:rsidRPr="003B345D">
              <w:t>Section 283BF (heading)</w:t>
            </w:r>
          </w:p>
        </w:tc>
      </w:tr>
      <w:tr w:rsidR="003B345D" w:rsidRPr="003B345D" w14:paraId="081600D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0304CD3" w14:textId="77777777" w:rsidR="003B345D" w:rsidRPr="003B345D" w:rsidRDefault="003B345D" w:rsidP="003B345D">
            <w:pPr>
              <w:pStyle w:val="tabletext"/>
              <w:rPr>
                <w:lang w:val="en-US" w:eastAsia="en-US"/>
              </w:rPr>
            </w:pPr>
            <w:r w:rsidRPr="003B345D">
              <w:rPr>
                <w:lang w:val="en-US" w:eastAsia="en-US"/>
              </w:rPr>
              <w:t>577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800219C" w14:textId="77777777" w:rsidR="003B345D" w:rsidRPr="003B345D" w:rsidRDefault="003B345D" w:rsidP="003B345D">
            <w:pPr>
              <w:pStyle w:val="tabletext"/>
            </w:pPr>
            <w:r w:rsidRPr="003B345D">
              <w:t>Paragraph 283BF(1)(b)</w:t>
            </w:r>
          </w:p>
        </w:tc>
      </w:tr>
      <w:tr w:rsidR="003B345D" w:rsidRPr="003B345D" w14:paraId="5756F52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F2A0CAB" w14:textId="77777777" w:rsidR="003B345D" w:rsidRPr="003B345D" w:rsidRDefault="003B345D" w:rsidP="003B345D">
            <w:pPr>
              <w:pStyle w:val="tabletext"/>
              <w:rPr>
                <w:lang w:val="en-US" w:eastAsia="en-US"/>
              </w:rPr>
            </w:pPr>
            <w:r w:rsidRPr="003B345D">
              <w:rPr>
                <w:lang w:val="en-US" w:eastAsia="en-US"/>
              </w:rPr>
              <w:t>579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B34E58C" w14:textId="77777777" w:rsidR="003B345D" w:rsidRPr="003B345D" w:rsidRDefault="003B345D" w:rsidP="003B345D">
            <w:pPr>
              <w:pStyle w:val="tabletext"/>
            </w:pPr>
            <w:r w:rsidRPr="003B345D">
              <w:t>Section 283BG (heading)</w:t>
            </w:r>
          </w:p>
        </w:tc>
      </w:tr>
      <w:tr w:rsidR="003B345D" w:rsidRPr="003B345D" w14:paraId="44FBF34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E073248" w14:textId="77777777" w:rsidR="003B345D" w:rsidRPr="003B345D" w:rsidRDefault="003B345D" w:rsidP="003B345D">
            <w:pPr>
              <w:pStyle w:val="tabletext"/>
              <w:rPr>
                <w:lang w:val="en-US" w:eastAsia="en-US"/>
              </w:rPr>
            </w:pPr>
            <w:r w:rsidRPr="003B345D">
              <w:rPr>
                <w:lang w:val="en-US" w:eastAsia="en-US"/>
              </w:rPr>
              <w:t>580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20C395" w14:textId="77777777" w:rsidR="003B345D" w:rsidRPr="003B345D" w:rsidRDefault="003B345D" w:rsidP="003B345D">
            <w:pPr>
              <w:pStyle w:val="tabletext"/>
            </w:pPr>
            <w:r w:rsidRPr="003B345D">
              <w:t>Subsection 285(1) (table item 5)</w:t>
            </w:r>
          </w:p>
        </w:tc>
      </w:tr>
      <w:tr w:rsidR="003B345D" w:rsidRPr="003B345D" w14:paraId="4109249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0B10E4A" w14:textId="77777777" w:rsidR="003B345D" w:rsidRPr="003B345D" w:rsidRDefault="003B345D" w:rsidP="003B345D">
            <w:pPr>
              <w:pStyle w:val="tabletext"/>
              <w:rPr>
                <w:lang w:val="en-US" w:eastAsia="en-US"/>
              </w:rPr>
            </w:pPr>
            <w:r w:rsidRPr="003B345D">
              <w:rPr>
                <w:lang w:val="en-US" w:eastAsia="en-US"/>
              </w:rPr>
              <w:t>581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7DED65" w14:textId="77777777" w:rsidR="003B345D" w:rsidRPr="003B345D" w:rsidRDefault="003B345D" w:rsidP="003B345D">
            <w:pPr>
              <w:pStyle w:val="tabletext"/>
            </w:pPr>
            <w:r w:rsidRPr="003B345D">
              <w:t>Subsection 289(2)</w:t>
            </w:r>
          </w:p>
        </w:tc>
      </w:tr>
      <w:tr w:rsidR="003B345D" w:rsidRPr="003B345D" w14:paraId="6A2FE00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6CD9A16" w14:textId="77777777" w:rsidR="003B345D" w:rsidRPr="003B345D" w:rsidRDefault="003B345D" w:rsidP="003B345D">
            <w:pPr>
              <w:pStyle w:val="tabletext"/>
              <w:rPr>
                <w:lang w:val="en-US" w:eastAsia="en-US"/>
              </w:rPr>
            </w:pPr>
            <w:r w:rsidRPr="003B345D">
              <w:rPr>
                <w:lang w:val="en-US" w:eastAsia="en-US"/>
              </w:rPr>
              <w:t>583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89D00AD" w14:textId="77777777" w:rsidR="003B345D" w:rsidRPr="003B345D" w:rsidRDefault="003B345D" w:rsidP="003B345D">
            <w:pPr>
              <w:pStyle w:val="tabletext"/>
            </w:pPr>
            <w:r w:rsidRPr="003B345D">
              <w:t>Paragraphs 292(2)(b) and 302(c)</w:t>
            </w:r>
          </w:p>
        </w:tc>
      </w:tr>
      <w:tr w:rsidR="003B345D" w:rsidRPr="003B345D" w14:paraId="1A27819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9B1B3E6" w14:textId="77777777" w:rsidR="003B345D" w:rsidRPr="003B345D" w:rsidRDefault="003B345D" w:rsidP="003B345D">
            <w:pPr>
              <w:pStyle w:val="tabletext"/>
              <w:rPr>
                <w:lang w:val="en-US" w:eastAsia="en-US"/>
              </w:rPr>
            </w:pPr>
            <w:r w:rsidRPr="003B345D">
              <w:rPr>
                <w:lang w:val="en-US" w:eastAsia="en-US"/>
              </w:rPr>
              <w:t>584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14F4C1B" w14:textId="77777777" w:rsidR="003B345D" w:rsidRPr="003B345D" w:rsidRDefault="003B345D" w:rsidP="003B345D">
            <w:pPr>
              <w:pStyle w:val="tabletext"/>
            </w:pPr>
            <w:r w:rsidRPr="003B345D">
              <w:t>Section 302 (note 2)</w:t>
            </w:r>
          </w:p>
        </w:tc>
      </w:tr>
      <w:tr w:rsidR="003B345D" w:rsidRPr="003B345D" w14:paraId="56C223A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8A2AF1A" w14:textId="77777777" w:rsidR="003B345D" w:rsidRPr="003B345D" w:rsidRDefault="003B345D" w:rsidP="003B345D">
            <w:pPr>
              <w:pStyle w:val="tabletext"/>
              <w:rPr>
                <w:lang w:val="en-US" w:eastAsia="en-US"/>
              </w:rPr>
            </w:pPr>
            <w:r w:rsidRPr="003B345D">
              <w:rPr>
                <w:lang w:val="en-US" w:eastAsia="en-US"/>
              </w:rPr>
              <w:t>585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4247C52" w14:textId="77777777" w:rsidR="003B345D" w:rsidRPr="003B345D" w:rsidRDefault="003B345D" w:rsidP="003B345D">
            <w:pPr>
              <w:pStyle w:val="tabletext"/>
            </w:pPr>
            <w:r w:rsidRPr="003B345D">
              <w:t>Division 5 of Part 2M.3 (heading)</w:t>
            </w:r>
          </w:p>
        </w:tc>
      </w:tr>
      <w:tr w:rsidR="003B345D" w:rsidRPr="003B345D" w14:paraId="7B2ED16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0DE19D9" w14:textId="77777777" w:rsidR="003B345D" w:rsidRPr="003B345D" w:rsidRDefault="003B345D" w:rsidP="003B345D">
            <w:pPr>
              <w:pStyle w:val="tabletext"/>
              <w:rPr>
                <w:lang w:val="en-US" w:eastAsia="en-US"/>
              </w:rPr>
            </w:pPr>
            <w:r w:rsidRPr="003B345D">
              <w:rPr>
                <w:lang w:val="en-US" w:eastAsia="en-US"/>
              </w:rPr>
              <w:t>586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92A0C8" w14:textId="77777777" w:rsidR="003B345D" w:rsidRPr="003B345D" w:rsidRDefault="003B345D" w:rsidP="003B345D">
            <w:pPr>
              <w:pStyle w:val="tabletext"/>
            </w:pPr>
            <w:r w:rsidRPr="003B345D">
              <w:t>Section 319 (heading)</w:t>
            </w:r>
          </w:p>
        </w:tc>
      </w:tr>
      <w:tr w:rsidR="003B345D" w:rsidRPr="003B345D" w14:paraId="0C75B67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E233CF8" w14:textId="77777777" w:rsidR="003B345D" w:rsidRPr="003B345D" w:rsidRDefault="003B345D" w:rsidP="003B345D">
            <w:pPr>
              <w:pStyle w:val="tabletext"/>
              <w:rPr>
                <w:lang w:val="en-US" w:eastAsia="en-US"/>
              </w:rPr>
            </w:pPr>
            <w:r w:rsidRPr="003B345D">
              <w:rPr>
                <w:lang w:val="en-US" w:eastAsia="en-US"/>
              </w:rPr>
              <w:t>587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E6E1EB" w14:textId="77777777" w:rsidR="003B345D" w:rsidRPr="003B345D" w:rsidRDefault="003B345D" w:rsidP="003B345D">
            <w:pPr>
              <w:pStyle w:val="tabletext"/>
            </w:pPr>
            <w:r w:rsidRPr="003B345D">
              <w:t>Subsection 319(1)</w:t>
            </w:r>
          </w:p>
        </w:tc>
      </w:tr>
      <w:tr w:rsidR="003B345D" w:rsidRPr="003B345D" w14:paraId="0697226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AE5884A" w14:textId="77777777" w:rsidR="003B345D" w:rsidRPr="003B345D" w:rsidRDefault="003B345D" w:rsidP="003B345D">
            <w:pPr>
              <w:pStyle w:val="tabletext"/>
              <w:rPr>
                <w:lang w:val="en-US" w:eastAsia="en-US"/>
              </w:rPr>
            </w:pPr>
            <w:r w:rsidRPr="003B345D">
              <w:rPr>
                <w:lang w:val="en-US" w:eastAsia="en-US"/>
              </w:rPr>
              <w:t>589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2AA33EE" w14:textId="77777777" w:rsidR="003B345D" w:rsidRPr="003B345D" w:rsidRDefault="003B345D" w:rsidP="003B345D">
            <w:pPr>
              <w:pStyle w:val="tabletext"/>
            </w:pPr>
            <w:r w:rsidRPr="003B345D">
              <w:t>Section 320 (heading)</w:t>
            </w:r>
          </w:p>
        </w:tc>
      </w:tr>
      <w:tr w:rsidR="003B345D" w:rsidRPr="003B345D" w14:paraId="4A82847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F0EB2E2" w14:textId="77777777" w:rsidR="003B345D" w:rsidRPr="003B345D" w:rsidRDefault="003B345D" w:rsidP="003B345D">
            <w:pPr>
              <w:pStyle w:val="tabletext"/>
              <w:rPr>
                <w:lang w:val="en-US" w:eastAsia="en-US"/>
              </w:rPr>
            </w:pPr>
            <w:r w:rsidRPr="003B345D">
              <w:rPr>
                <w:lang w:val="en-US" w:eastAsia="en-US"/>
              </w:rPr>
              <w:t>590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F18B87" w14:textId="77777777" w:rsidR="003B345D" w:rsidRPr="003B345D" w:rsidRDefault="003B345D" w:rsidP="003B345D">
            <w:pPr>
              <w:pStyle w:val="tabletext"/>
            </w:pPr>
            <w:r w:rsidRPr="003B345D">
              <w:t>Subsection 320(1)</w:t>
            </w:r>
          </w:p>
        </w:tc>
      </w:tr>
      <w:tr w:rsidR="003B345D" w:rsidRPr="003B345D" w14:paraId="2220253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C1FF16B" w14:textId="77777777" w:rsidR="003B345D" w:rsidRPr="003B345D" w:rsidRDefault="003B345D" w:rsidP="003B345D">
            <w:pPr>
              <w:pStyle w:val="tabletext"/>
              <w:rPr>
                <w:lang w:val="en-US" w:eastAsia="en-US"/>
              </w:rPr>
            </w:pPr>
            <w:r w:rsidRPr="003B345D">
              <w:rPr>
                <w:lang w:val="en-US" w:eastAsia="en-US"/>
              </w:rPr>
              <w:lastRenderedPageBreak/>
              <w:t>592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07D4DD8" w14:textId="77777777" w:rsidR="003B345D" w:rsidRPr="003B345D" w:rsidRDefault="003B345D" w:rsidP="003B345D">
            <w:pPr>
              <w:pStyle w:val="tabletext"/>
            </w:pPr>
            <w:r w:rsidRPr="003B345D">
              <w:t>Subsection 321(1)</w:t>
            </w:r>
          </w:p>
        </w:tc>
      </w:tr>
      <w:tr w:rsidR="003B345D" w:rsidRPr="003B345D" w14:paraId="6C72797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641AA31" w14:textId="77777777" w:rsidR="003B345D" w:rsidRPr="003B345D" w:rsidRDefault="003B345D" w:rsidP="003B345D">
            <w:pPr>
              <w:pStyle w:val="tabletext"/>
              <w:rPr>
                <w:lang w:val="en-US" w:eastAsia="en-US"/>
              </w:rPr>
            </w:pPr>
            <w:r w:rsidRPr="003B345D">
              <w:rPr>
                <w:lang w:val="en-US" w:eastAsia="en-US"/>
              </w:rPr>
              <w:t>593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2AFE81" w14:textId="77777777" w:rsidR="003B345D" w:rsidRPr="003B345D" w:rsidRDefault="003B345D" w:rsidP="003B345D">
            <w:pPr>
              <w:pStyle w:val="tabletext"/>
            </w:pPr>
            <w:r w:rsidRPr="003B345D">
              <w:t>Subsection 322(1)</w:t>
            </w:r>
          </w:p>
        </w:tc>
      </w:tr>
      <w:tr w:rsidR="003B345D" w:rsidRPr="003B345D" w14:paraId="5306302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EABE6C8" w14:textId="77777777" w:rsidR="003B345D" w:rsidRPr="003B345D" w:rsidRDefault="003B345D" w:rsidP="003B345D">
            <w:pPr>
              <w:pStyle w:val="tabletext"/>
              <w:rPr>
                <w:lang w:val="en-US" w:eastAsia="en-US"/>
              </w:rPr>
            </w:pPr>
            <w:r w:rsidRPr="003B345D">
              <w:rPr>
                <w:lang w:val="en-US" w:eastAsia="en-US"/>
              </w:rPr>
              <w:t>597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C18B35" w14:textId="77777777" w:rsidR="003B345D" w:rsidRPr="003B345D" w:rsidRDefault="003B345D" w:rsidP="003B345D">
            <w:pPr>
              <w:pStyle w:val="tabletext"/>
            </w:pPr>
            <w:r w:rsidRPr="003B345D">
              <w:t>Paragraph 324DAC(a)</w:t>
            </w:r>
          </w:p>
        </w:tc>
      </w:tr>
      <w:tr w:rsidR="003B345D" w:rsidRPr="003B345D" w14:paraId="1BD307E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F72B924" w14:textId="77777777" w:rsidR="003B345D" w:rsidRPr="003B345D" w:rsidRDefault="003B345D" w:rsidP="003B345D">
            <w:pPr>
              <w:pStyle w:val="tabletext"/>
              <w:rPr>
                <w:lang w:val="en-US" w:eastAsia="en-US"/>
              </w:rPr>
            </w:pPr>
            <w:r w:rsidRPr="003B345D">
              <w:rPr>
                <w:lang w:val="en-US" w:eastAsia="en-US"/>
              </w:rPr>
              <w:t>598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35538C" w14:textId="77777777" w:rsidR="003B345D" w:rsidRPr="003B345D" w:rsidRDefault="003B345D" w:rsidP="003B345D">
            <w:pPr>
              <w:pStyle w:val="tabletext"/>
            </w:pPr>
            <w:r w:rsidRPr="003B345D">
              <w:t>Subsection 329(2)</w:t>
            </w:r>
          </w:p>
        </w:tc>
      </w:tr>
      <w:tr w:rsidR="003B345D" w:rsidRPr="003B345D" w14:paraId="28100F2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9E35E9F" w14:textId="77777777" w:rsidR="003B345D" w:rsidRPr="003B345D" w:rsidRDefault="003B345D" w:rsidP="003B345D">
            <w:pPr>
              <w:pStyle w:val="tabletext"/>
              <w:rPr>
                <w:lang w:val="en-US" w:eastAsia="en-US"/>
              </w:rPr>
            </w:pPr>
            <w:r w:rsidRPr="003B345D">
              <w:rPr>
                <w:lang w:val="en-US" w:eastAsia="en-US"/>
              </w:rPr>
              <w:t>599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2B1BF98" w14:textId="77777777" w:rsidR="003B345D" w:rsidRPr="003B345D" w:rsidRDefault="003B345D" w:rsidP="003B345D">
            <w:pPr>
              <w:pStyle w:val="tabletext"/>
            </w:pPr>
            <w:r w:rsidRPr="003B345D">
              <w:t>Paragraph 329(11)(c)</w:t>
            </w:r>
          </w:p>
        </w:tc>
      </w:tr>
      <w:tr w:rsidR="003B345D" w:rsidRPr="003B345D" w14:paraId="046ACFC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B21F20F" w14:textId="77777777" w:rsidR="003B345D" w:rsidRPr="003B345D" w:rsidRDefault="003B345D" w:rsidP="003B345D">
            <w:pPr>
              <w:pStyle w:val="tabletext"/>
              <w:rPr>
                <w:lang w:val="en-US" w:eastAsia="en-US"/>
              </w:rPr>
            </w:pPr>
            <w:r w:rsidRPr="003B345D">
              <w:rPr>
                <w:lang w:val="en-US" w:eastAsia="en-US"/>
              </w:rPr>
              <w:t>600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04FE757" w14:textId="77777777" w:rsidR="003B345D" w:rsidRPr="003B345D" w:rsidRDefault="003B345D" w:rsidP="003B345D">
            <w:pPr>
              <w:pStyle w:val="tabletext"/>
            </w:pPr>
            <w:r w:rsidRPr="003B345D">
              <w:t>Paragraph 329(11)(c)</w:t>
            </w:r>
          </w:p>
        </w:tc>
      </w:tr>
      <w:tr w:rsidR="003B345D" w:rsidRPr="003B345D" w14:paraId="18DFF77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0B27AC3" w14:textId="77777777" w:rsidR="003B345D" w:rsidRPr="003B345D" w:rsidRDefault="003B345D" w:rsidP="003B345D">
            <w:pPr>
              <w:pStyle w:val="tabletext"/>
              <w:rPr>
                <w:lang w:val="en-US" w:eastAsia="en-US"/>
              </w:rPr>
            </w:pPr>
            <w:r w:rsidRPr="003B345D">
              <w:rPr>
                <w:lang w:val="en-US" w:eastAsia="en-US"/>
              </w:rPr>
              <w:t>601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A1C406A" w14:textId="77777777" w:rsidR="003B345D" w:rsidRPr="003B345D" w:rsidRDefault="003B345D" w:rsidP="003B345D">
            <w:pPr>
              <w:pStyle w:val="tabletext"/>
            </w:pPr>
            <w:r w:rsidRPr="003B345D">
              <w:t>Paragraph 329(11)(d)</w:t>
            </w:r>
          </w:p>
        </w:tc>
      </w:tr>
      <w:tr w:rsidR="003B345D" w:rsidRPr="003B345D" w14:paraId="22AD542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325DC69" w14:textId="77777777" w:rsidR="003B345D" w:rsidRPr="003B345D" w:rsidRDefault="003B345D" w:rsidP="003B345D">
            <w:pPr>
              <w:pStyle w:val="tabletext"/>
              <w:rPr>
                <w:lang w:val="en-US" w:eastAsia="en-US"/>
              </w:rPr>
            </w:pPr>
            <w:r w:rsidRPr="003B345D">
              <w:rPr>
                <w:lang w:val="en-US" w:eastAsia="en-US"/>
              </w:rPr>
              <w:t>603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E8580DC" w14:textId="77777777" w:rsidR="003B345D" w:rsidRPr="003B345D" w:rsidRDefault="003B345D" w:rsidP="003B345D">
            <w:pPr>
              <w:pStyle w:val="tabletext"/>
            </w:pPr>
            <w:r w:rsidRPr="003B345D">
              <w:t>Subsection 331AC(7)</w:t>
            </w:r>
          </w:p>
        </w:tc>
      </w:tr>
      <w:tr w:rsidR="003B345D" w:rsidRPr="003B345D" w14:paraId="5CB332F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E82735F" w14:textId="77777777" w:rsidR="003B345D" w:rsidRPr="003B345D" w:rsidRDefault="003B345D" w:rsidP="003B345D">
            <w:pPr>
              <w:pStyle w:val="tabletext"/>
              <w:rPr>
                <w:lang w:val="en-US" w:eastAsia="en-US"/>
              </w:rPr>
            </w:pPr>
            <w:r w:rsidRPr="003B345D">
              <w:rPr>
                <w:lang w:val="en-US" w:eastAsia="en-US"/>
              </w:rPr>
              <w:t>604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90F27C" w14:textId="77777777" w:rsidR="003B345D" w:rsidRPr="003B345D" w:rsidRDefault="003B345D" w:rsidP="003B345D">
            <w:pPr>
              <w:pStyle w:val="tabletext"/>
            </w:pPr>
            <w:r w:rsidRPr="003B345D">
              <w:t>Subsection 332A(3)</w:t>
            </w:r>
          </w:p>
        </w:tc>
      </w:tr>
      <w:tr w:rsidR="003B345D" w:rsidRPr="003B345D" w14:paraId="2561C97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1B74F93" w14:textId="77777777" w:rsidR="003B345D" w:rsidRPr="003B345D" w:rsidRDefault="003B345D" w:rsidP="003B345D">
            <w:pPr>
              <w:pStyle w:val="tabletext"/>
              <w:rPr>
                <w:lang w:val="en-US" w:eastAsia="en-US"/>
              </w:rPr>
            </w:pPr>
            <w:r w:rsidRPr="003B345D">
              <w:rPr>
                <w:lang w:val="en-US" w:eastAsia="en-US"/>
              </w:rPr>
              <w:t>606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074A16E" w14:textId="77777777" w:rsidR="003B345D" w:rsidRPr="003B345D" w:rsidRDefault="003B345D" w:rsidP="003B345D">
            <w:pPr>
              <w:pStyle w:val="tabletext"/>
            </w:pPr>
            <w:r w:rsidRPr="003B345D">
              <w:t>Chapter 2N (heading)</w:t>
            </w:r>
          </w:p>
        </w:tc>
      </w:tr>
      <w:tr w:rsidR="003B345D" w:rsidRPr="003B345D" w14:paraId="3C7A584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3798450" w14:textId="77777777" w:rsidR="003B345D" w:rsidRPr="003B345D" w:rsidRDefault="003B345D" w:rsidP="003B345D">
            <w:pPr>
              <w:pStyle w:val="tabletext"/>
              <w:rPr>
                <w:lang w:val="en-US" w:eastAsia="en-US"/>
              </w:rPr>
            </w:pPr>
            <w:r w:rsidRPr="003B345D">
              <w:rPr>
                <w:lang w:val="en-US" w:eastAsia="en-US"/>
              </w:rPr>
              <w:t>607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7D5B47F" w14:textId="77777777" w:rsidR="003B345D" w:rsidRPr="003B345D" w:rsidRDefault="003B345D" w:rsidP="003B345D">
            <w:pPr>
              <w:pStyle w:val="tabletext"/>
            </w:pPr>
            <w:r w:rsidRPr="003B345D">
              <w:t>Subparagraph 345A(1)(a)(ii)</w:t>
            </w:r>
          </w:p>
        </w:tc>
      </w:tr>
      <w:tr w:rsidR="003B345D" w:rsidRPr="003B345D" w14:paraId="15065AF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C98B9F0" w14:textId="77777777" w:rsidR="003B345D" w:rsidRPr="003B345D" w:rsidRDefault="003B345D" w:rsidP="003B345D">
            <w:pPr>
              <w:pStyle w:val="tabletext"/>
              <w:rPr>
                <w:lang w:val="en-US" w:eastAsia="en-US"/>
              </w:rPr>
            </w:pPr>
            <w:r w:rsidRPr="003B345D">
              <w:rPr>
                <w:lang w:val="en-US" w:eastAsia="en-US"/>
              </w:rPr>
              <w:t>608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A21FD7C" w14:textId="77777777" w:rsidR="003B345D" w:rsidRPr="003B345D" w:rsidRDefault="003B345D" w:rsidP="003B345D">
            <w:pPr>
              <w:pStyle w:val="tabletext"/>
            </w:pPr>
            <w:r w:rsidRPr="003B345D">
              <w:t>Paragraph 345A(1A)(b)</w:t>
            </w:r>
          </w:p>
        </w:tc>
      </w:tr>
      <w:tr w:rsidR="003B345D" w:rsidRPr="003B345D" w14:paraId="4F48235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FDC4BD6" w14:textId="77777777" w:rsidR="003B345D" w:rsidRPr="003B345D" w:rsidRDefault="003B345D" w:rsidP="003B345D">
            <w:pPr>
              <w:pStyle w:val="tabletext"/>
              <w:rPr>
                <w:lang w:val="en-US" w:eastAsia="en-US"/>
              </w:rPr>
            </w:pPr>
            <w:r w:rsidRPr="003B345D">
              <w:rPr>
                <w:lang w:val="en-US" w:eastAsia="en-US"/>
              </w:rPr>
              <w:t>609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1561A9F" w14:textId="77777777" w:rsidR="003B345D" w:rsidRPr="003B345D" w:rsidRDefault="003B345D" w:rsidP="003B345D">
            <w:pPr>
              <w:pStyle w:val="tabletext"/>
            </w:pPr>
            <w:r w:rsidRPr="003B345D">
              <w:t>Subsection 345A(1A)</w:t>
            </w:r>
          </w:p>
        </w:tc>
      </w:tr>
      <w:tr w:rsidR="003B345D" w:rsidRPr="003B345D" w14:paraId="241BD3C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D80E227" w14:textId="77777777" w:rsidR="003B345D" w:rsidRPr="003B345D" w:rsidRDefault="003B345D" w:rsidP="003B345D">
            <w:pPr>
              <w:pStyle w:val="tabletext"/>
              <w:rPr>
                <w:lang w:val="en-US" w:eastAsia="en-US"/>
              </w:rPr>
            </w:pPr>
            <w:r w:rsidRPr="003B345D">
              <w:rPr>
                <w:lang w:val="en-US" w:eastAsia="en-US"/>
              </w:rPr>
              <w:t>610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470BD51" w14:textId="77777777" w:rsidR="003B345D" w:rsidRPr="003B345D" w:rsidRDefault="003B345D" w:rsidP="003B345D">
            <w:pPr>
              <w:pStyle w:val="tabletext"/>
            </w:pPr>
            <w:r w:rsidRPr="003B345D">
              <w:t>Subsections 345B(1) and (2)</w:t>
            </w:r>
          </w:p>
        </w:tc>
      </w:tr>
      <w:tr w:rsidR="003B345D" w:rsidRPr="003B345D" w14:paraId="309AC60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A9721DF" w14:textId="77777777" w:rsidR="003B345D" w:rsidRPr="003B345D" w:rsidRDefault="003B345D" w:rsidP="003B345D">
            <w:pPr>
              <w:pStyle w:val="tabletext"/>
              <w:rPr>
                <w:lang w:val="en-US" w:eastAsia="en-US"/>
              </w:rPr>
            </w:pPr>
            <w:r w:rsidRPr="003B345D">
              <w:rPr>
                <w:lang w:val="en-US" w:eastAsia="en-US"/>
              </w:rPr>
              <w:t>611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2FB5FE5" w14:textId="77777777" w:rsidR="003B345D" w:rsidRPr="003B345D" w:rsidRDefault="003B345D" w:rsidP="003B345D">
            <w:pPr>
              <w:pStyle w:val="tabletext"/>
            </w:pPr>
            <w:r w:rsidRPr="003B345D">
              <w:t>Subsection 345B(3)</w:t>
            </w:r>
          </w:p>
        </w:tc>
      </w:tr>
      <w:tr w:rsidR="003B345D" w:rsidRPr="003B345D" w14:paraId="7F6B8C8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CAB1145" w14:textId="77777777" w:rsidR="003B345D" w:rsidRPr="003B345D" w:rsidRDefault="003B345D" w:rsidP="003B345D">
            <w:pPr>
              <w:pStyle w:val="tabletext"/>
              <w:rPr>
                <w:lang w:val="en-US" w:eastAsia="en-US"/>
              </w:rPr>
            </w:pPr>
            <w:r w:rsidRPr="003B345D">
              <w:rPr>
                <w:lang w:val="en-US" w:eastAsia="en-US"/>
              </w:rPr>
              <w:t>612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9C2560B" w14:textId="77777777" w:rsidR="003B345D" w:rsidRPr="003B345D" w:rsidRDefault="003B345D" w:rsidP="003B345D">
            <w:pPr>
              <w:pStyle w:val="tabletext"/>
            </w:pPr>
            <w:r w:rsidRPr="003B345D">
              <w:t>Section 345C</w:t>
            </w:r>
          </w:p>
        </w:tc>
      </w:tr>
      <w:tr w:rsidR="003B345D" w:rsidRPr="003B345D" w14:paraId="04D2FB5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BFB2182" w14:textId="77777777" w:rsidR="003B345D" w:rsidRPr="003B345D" w:rsidRDefault="003B345D" w:rsidP="003B345D">
            <w:pPr>
              <w:pStyle w:val="tabletext"/>
              <w:rPr>
                <w:lang w:val="en-US" w:eastAsia="en-US"/>
              </w:rPr>
            </w:pPr>
            <w:r w:rsidRPr="003B345D">
              <w:rPr>
                <w:lang w:val="en-US" w:eastAsia="en-US"/>
              </w:rPr>
              <w:t>613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C416BD7" w14:textId="77777777" w:rsidR="003B345D" w:rsidRPr="003B345D" w:rsidRDefault="003B345D" w:rsidP="003B345D">
            <w:pPr>
              <w:pStyle w:val="tabletext"/>
            </w:pPr>
            <w:r w:rsidRPr="003B345D">
              <w:t>Section 346A (heading)</w:t>
            </w:r>
          </w:p>
        </w:tc>
      </w:tr>
      <w:tr w:rsidR="003B345D" w:rsidRPr="003B345D" w14:paraId="746E8C8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D01D39C" w14:textId="77777777" w:rsidR="003B345D" w:rsidRPr="003B345D" w:rsidRDefault="003B345D" w:rsidP="003B345D">
            <w:pPr>
              <w:pStyle w:val="tabletext"/>
              <w:rPr>
                <w:lang w:val="en-US" w:eastAsia="en-US"/>
              </w:rPr>
            </w:pPr>
            <w:r w:rsidRPr="003B345D">
              <w:rPr>
                <w:lang w:val="en-US" w:eastAsia="en-US"/>
              </w:rPr>
              <w:t>614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A1FE3AF" w14:textId="77777777" w:rsidR="003B345D" w:rsidRPr="003B345D" w:rsidRDefault="003B345D" w:rsidP="003B345D">
            <w:pPr>
              <w:pStyle w:val="tabletext"/>
            </w:pPr>
            <w:r w:rsidRPr="003B345D">
              <w:t>Subsection 346A(1)</w:t>
            </w:r>
          </w:p>
        </w:tc>
      </w:tr>
      <w:tr w:rsidR="003B345D" w:rsidRPr="003B345D" w14:paraId="622F855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011528F" w14:textId="77777777" w:rsidR="003B345D" w:rsidRPr="003B345D" w:rsidRDefault="003B345D" w:rsidP="003B345D">
            <w:pPr>
              <w:pStyle w:val="tabletext"/>
              <w:rPr>
                <w:lang w:val="en-US" w:eastAsia="en-US"/>
              </w:rPr>
            </w:pPr>
            <w:r w:rsidRPr="003B345D">
              <w:rPr>
                <w:lang w:val="en-US" w:eastAsia="en-US"/>
              </w:rPr>
              <w:t>616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99110A" w14:textId="77777777" w:rsidR="003B345D" w:rsidRPr="003B345D" w:rsidRDefault="003B345D" w:rsidP="003B345D">
            <w:pPr>
              <w:pStyle w:val="tabletext"/>
            </w:pPr>
            <w:r w:rsidRPr="003B345D">
              <w:t>Section 346B (heading)</w:t>
            </w:r>
          </w:p>
        </w:tc>
      </w:tr>
      <w:tr w:rsidR="003B345D" w:rsidRPr="003B345D" w14:paraId="326BB0E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41B8391" w14:textId="77777777" w:rsidR="003B345D" w:rsidRPr="003B345D" w:rsidRDefault="003B345D" w:rsidP="003B345D">
            <w:pPr>
              <w:pStyle w:val="tabletext"/>
              <w:rPr>
                <w:lang w:val="en-US" w:eastAsia="en-US"/>
              </w:rPr>
            </w:pPr>
            <w:r w:rsidRPr="003B345D">
              <w:rPr>
                <w:lang w:val="en-US" w:eastAsia="en-US"/>
              </w:rPr>
              <w:t>617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E934285" w14:textId="77777777" w:rsidR="003B345D" w:rsidRPr="003B345D" w:rsidRDefault="003B345D" w:rsidP="003B345D">
            <w:pPr>
              <w:pStyle w:val="tabletext"/>
            </w:pPr>
            <w:r w:rsidRPr="003B345D">
              <w:t>Section 346B</w:t>
            </w:r>
          </w:p>
        </w:tc>
      </w:tr>
      <w:tr w:rsidR="003B345D" w:rsidRPr="003B345D" w14:paraId="725F37B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86F27F2" w14:textId="77777777" w:rsidR="003B345D" w:rsidRPr="003B345D" w:rsidRDefault="003B345D" w:rsidP="003B345D">
            <w:pPr>
              <w:pStyle w:val="tabletext"/>
              <w:rPr>
                <w:lang w:val="en-US" w:eastAsia="en-US"/>
              </w:rPr>
            </w:pPr>
            <w:r w:rsidRPr="003B345D">
              <w:rPr>
                <w:lang w:val="en-US" w:eastAsia="en-US"/>
              </w:rPr>
              <w:t>619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B5C636E" w14:textId="77777777" w:rsidR="003B345D" w:rsidRPr="003B345D" w:rsidRDefault="003B345D" w:rsidP="003B345D">
            <w:pPr>
              <w:pStyle w:val="tabletext"/>
            </w:pPr>
            <w:r w:rsidRPr="003B345D">
              <w:t>Paragraph 346C(3)(a)</w:t>
            </w:r>
          </w:p>
        </w:tc>
      </w:tr>
      <w:tr w:rsidR="003B345D" w:rsidRPr="003B345D" w14:paraId="503FBA7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9EA6A7C" w14:textId="77777777" w:rsidR="003B345D" w:rsidRPr="003B345D" w:rsidRDefault="003B345D" w:rsidP="003B345D">
            <w:pPr>
              <w:pStyle w:val="tabletext"/>
              <w:rPr>
                <w:lang w:val="en-US" w:eastAsia="en-US"/>
              </w:rPr>
            </w:pPr>
            <w:r w:rsidRPr="003B345D">
              <w:rPr>
                <w:lang w:val="en-US" w:eastAsia="en-US"/>
              </w:rPr>
              <w:t>622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103F7A1" w14:textId="77777777" w:rsidR="003B345D" w:rsidRPr="003B345D" w:rsidRDefault="003B345D" w:rsidP="003B345D">
            <w:pPr>
              <w:pStyle w:val="tabletext"/>
            </w:pPr>
            <w:r w:rsidRPr="003B345D">
              <w:t>Subsection 346C(5)</w:t>
            </w:r>
          </w:p>
        </w:tc>
      </w:tr>
      <w:tr w:rsidR="003B345D" w:rsidRPr="003B345D" w14:paraId="74E3043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7E28044" w14:textId="77777777" w:rsidR="003B345D" w:rsidRPr="003B345D" w:rsidRDefault="003B345D" w:rsidP="003B345D">
            <w:pPr>
              <w:pStyle w:val="tabletext"/>
              <w:rPr>
                <w:lang w:val="en-US" w:eastAsia="en-US"/>
              </w:rPr>
            </w:pPr>
            <w:r w:rsidRPr="003B345D">
              <w:rPr>
                <w:lang w:val="en-US" w:eastAsia="en-US"/>
              </w:rPr>
              <w:t>623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75F7A49" w14:textId="77777777" w:rsidR="003B345D" w:rsidRPr="003B345D" w:rsidRDefault="003B345D" w:rsidP="003B345D">
            <w:pPr>
              <w:pStyle w:val="tabletext"/>
            </w:pPr>
            <w:r w:rsidRPr="003B345D">
              <w:t>Subsection 347A(2)</w:t>
            </w:r>
          </w:p>
        </w:tc>
      </w:tr>
      <w:tr w:rsidR="003B345D" w:rsidRPr="003B345D" w14:paraId="169BC81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42630BD" w14:textId="77777777" w:rsidR="003B345D" w:rsidRPr="003B345D" w:rsidRDefault="003B345D" w:rsidP="003B345D">
            <w:pPr>
              <w:pStyle w:val="tabletext"/>
              <w:rPr>
                <w:lang w:val="en-US" w:eastAsia="en-US"/>
              </w:rPr>
            </w:pPr>
            <w:r w:rsidRPr="003B345D">
              <w:rPr>
                <w:lang w:val="en-US" w:eastAsia="en-US"/>
              </w:rPr>
              <w:t>624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8288C52" w14:textId="77777777" w:rsidR="003B345D" w:rsidRPr="003B345D" w:rsidRDefault="003B345D" w:rsidP="003B345D">
            <w:pPr>
              <w:pStyle w:val="tabletext"/>
            </w:pPr>
            <w:r w:rsidRPr="003B345D">
              <w:t>Section 347B (heading)</w:t>
            </w:r>
          </w:p>
        </w:tc>
      </w:tr>
      <w:tr w:rsidR="003B345D" w:rsidRPr="003B345D" w14:paraId="58BDDB7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15894FD" w14:textId="77777777" w:rsidR="003B345D" w:rsidRPr="003B345D" w:rsidRDefault="003B345D" w:rsidP="003B345D">
            <w:pPr>
              <w:pStyle w:val="tabletext"/>
              <w:rPr>
                <w:lang w:val="en-US" w:eastAsia="en-US"/>
              </w:rPr>
            </w:pPr>
            <w:r w:rsidRPr="003B345D">
              <w:rPr>
                <w:lang w:val="en-US" w:eastAsia="en-US"/>
              </w:rPr>
              <w:t>625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E589E4D" w14:textId="77777777" w:rsidR="003B345D" w:rsidRPr="003B345D" w:rsidRDefault="003B345D" w:rsidP="003B345D">
            <w:pPr>
              <w:pStyle w:val="tabletext"/>
            </w:pPr>
            <w:r w:rsidRPr="003B345D">
              <w:t>Subsection 347B(1)</w:t>
            </w:r>
          </w:p>
        </w:tc>
      </w:tr>
      <w:tr w:rsidR="003B345D" w:rsidRPr="003B345D" w14:paraId="669D066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69A63CB" w14:textId="77777777" w:rsidR="003B345D" w:rsidRPr="003B345D" w:rsidRDefault="003B345D" w:rsidP="003B345D">
            <w:pPr>
              <w:pStyle w:val="tabletext"/>
              <w:rPr>
                <w:lang w:val="en-US" w:eastAsia="en-US"/>
              </w:rPr>
            </w:pPr>
            <w:r w:rsidRPr="003B345D">
              <w:rPr>
                <w:lang w:val="en-US" w:eastAsia="en-US"/>
              </w:rPr>
              <w:t>627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BF30F40" w14:textId="77777777" w:rsidR="003B345D" w:rsidRPr="003B345D" w:rsidRDefault="003B345D" w:rsidP="003B345D">
            <w:pPr>
              <w:pStyle w:val="tabletext"/>
            </w:pPr>
            <w:r w:rsidRPr="003B345D">
              <w:t>Subsection 347B(2)</w:t>
            </w:r>
          </w:p>
        </w:tc>
      </w:tr>
      <w:tr w:rsidR="003B345D" w:rsidRPr="003B345D" w14:paraId="51328EC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10B9CDF" w14:textId="77777777" w:rsidR="003B345D" w:rsidRPr="003B345D" w:rsidRDefault="003B345D" w:rsidP="003B345D">
            <w:pPr>
              <w:pStyle w:val="tabletext"/>
              <w:rPr>
                <w:lang w:val="en-US" w:eastAsia="en-US"/>
              </w:rPr>
            </w:pPr>
            <w:r w:rsidRPr="003B345D">
              <w:rPr>
                <w:lang w:val="en-US" w:eastAsia="en-US"/>
              </w:rPr>
              <w:t>629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58DEFBB" w14:textId="77777777" w:rsidR="003B345D" w:rsidRPr="003B345D" w:rsidRDefault="003B345D" w:rsidP="003B345D">
            <w:pPr>
              <w:pStyle w:val="tabletext"/>
            </w:pPr>
            <w:r w:rsidRPr="003B345D">
              <w:t>Paragraph 347C(1)(c)</w:t>
            </w:r>
          </w:p>
        </w:tc>
      </w:tr>
      <w:tr w:rsidR="003B345D" w:rsidRPr="003B345D" w14:paraId="79F1082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B9D65AE" w14:textId="77777777" w:rsidR="003B345D" w:rsidRPr="003B345D" w:rsidRDefault="003B345D" w:rsidP="003B345D">
            <w:pPr>
              <w:pStyle w:val="tabletext"/>
              <w:rPr>
                <w:lang w:val="en-US" w:eastAsia="en-US"/>
              </w:rPr>
            </w:pPr>
            <w:r w:rsidRPr="003B345D">
              <w:rPr>
                <w:lang w:val="en-US" w:eastAsia="en-US"/>
              </w:rPr>
              <w:t>630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528CD2" w14:textId="77777777" w:rsidR="003B345D" w:rsidRPr="003B345D" w:rsidRDefault="003B345D" w:rsidP="003B345D">
            <w:pPr>
              <w:pStyle w:val="tabletext"/>
            </w:pPr>
            <w:r w:rsidRPr="003B345D">
              <w:t>Section 348A (heading)</w:t>
            </w:r>
          </w:p>
        </w:tc>
      </w:tr>
      <w:tr w:rsidR="003B345D" w:rsidRPr="003B345D" w14:paraId="2F221AB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ED21B3B" w14:textId="77777777" w:rsidR="003B345D" w:rsidRPr="003B345D" w:rsidRDefault="003B345D" w:rsidP="003B345D">
            <w:pPr>
              <w:pStyle w:val="tabletext"/>
              <w:rPr>
                <w:lang w:val="en-US" w:eastAsia="en-US"/>
              </w:rPr>
            </w:pPr>
            <w:r w:rsidRPr="003B345D">
              <w:rPr>
                <w:lang w:val="en-US" w:eastAsia="en-US"/>
              </w:rPr>
              <w:t>631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D6B7987" w14:textId="77777777" w:rsidR="003B345D" w:rsidRPr="003B345D" w:rsidRDefault="003B345D" w:rsidP="003B345D">
            <w:pPr>
              <w:pStyle w:val="tabletext"/>
            </w:pPr>
            <w:r w:rsidRPr="003B345D">
              <w:t>Subsection 348A(1)</w:t>
            </w:r>
          </w:p>
        </w:tc>
      </w:tr>
      <w:tr w:rsidR="003B345D" w:rsidRPr="003B345D" w14:paraId="7CE87AA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A68B7AD" w14:textId="77777777" w:rsidR="003B345D" w:rsidRPr="003B345D" w:rsidRDefault="003B345D" w:rsidP="003B345D">
            <w:pPr>
              <w:pStyle w:val="tabletext"/>
              <w:rPr>
                <w:lang w:val="en-US" w:eastAsia="en-US"/>
              </w:rPr>
            </w:pPr>
            <w:r w:rsidRPr="003B345D">
              <w:rPr>
                <w:lang w:val="en-US" w:eastAsia="en-US"/>
              </w:rPr>
              <w:t>632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E5B3AB8" w14:textId="77777777" w:rsidR="003B345D" w:rsidRPr="003B345D" w:rsidRDefault="003B345D" w:rsidP="003B345D">
            <w:pPr>
              <w:pStyle w:val="tabletext"/>
            </w:pPr>
            <w:r w:rsidRPr="003B345D">
              <w:t>Subsection 348A(1)</w:t>
            </w:r>
          </w:p>
        </w:tc>
      </w:tr>
      <w:tr w:rsidR="003B345D" w:rsidRPr="003B345D" w14:paraId="55D4822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DB5983A" w14:textId="77777777" w:rsidR="003B345D" w:rsidRPr="003B345D" w:rsidRDefault="003B345D" w:rsidP="003B345D">
            <w:pPr>
              <w:pStyle w:val="tabletext"/>
              <w:rPr>
                <w:lang w:val="en-US" w:eastAsia="en-US"/>
              </w:rPr>
            </w:pPr>
            <w:r w:rsidRPr="003B345D">
              <w:rPr>
                <w:lang w:val="en-US" w:eastAsia="en-US"/>
              </w:rPr>
              <w:t>633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A9DE12E" w14:textId="77777777" w:rsidR="003B345D" w:rsidRPr="003B345D" w:rsidRDefault="003B345D" w:rsidP="003B345D">
            <w:pPr>
              <w:pStyle w:val="tabletext"/>
            </w:pPr>
            <w:r w:rsidRPr="003B345D">
              <w:t>Subsection 348A(1)</w:t>
            </w:r>
          </w:p>
        </w:tc>
      </w:tr>
      <w:tr w:rsidR="003B345D" w:rsidRPr="003B345D" w14:paraId="174C5F3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4919683" w14:textId="77777777" w:rsidR="003B345D" w:rsidRPr="003B345D" w:rsidRDefault="003B345D" w:rsidP="003B345D">
            <w:pPr>
              <w:pStyle w:val="tabletext"/>
              <w:rPr>
                <w:lang w:val="en-US" w:eastAsia="en-US"/>
              </w:rPr>
            </w:pPr>
            <w:r w:rsidRPr="003B345D">
              <w:rPr>
                <w:lang w:val="en-US" w:eastAsia="en-US"/>
              </w:rPr>
              <w:t>635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480DF5" w14:textId="77777777" w:rsidR="003B345D" w:rsidRPr="003B345D" w:rsidRDefault="003B345D" w:rsidP="003B345D">
            <w:pPr>
              <w:pStyle w:val="tabletext"/>
            </w:pPr>
            <w:r w:rsidRPr="003B345D">
              <w:t>Section 348B (heading)</w:t>
            </w:r>
          </w:p>
        </w:tc>
      </w:tr>
      <w:tr w:rsidR="003B345D" w:rsidRPr="003B345D" w14:paraId="0D58B69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7ECF048" w14:textId="77777777" w:rsidR="003B345D" w:rsidRPr="003B345D" w:rsidRDefault="003B345D" w:rsidP="003B345D">
            <w:pPr>
              <w:pStyle w:val="tabletext"/>
              <w:rPr>
                <w:lang w:val="en-US" w:eastAsia="en-US"/>
              </w:rPr>
            </w:pPr>
            <w:r w:rsidRPr="003B345D">
              <w:rPr>
                <w:lang w:val="en-US" w:eastAsia="en-US"/>
              </w:rPr>
              <w:t>636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7CAE24F" w14:textId="77777777" w:rsidR="003B345D" w:rsidRPr="003B345D" w:rsidRDefault="003B345D" w:rsidP="003B345D">
            <w:pPr>
              <w:pStyle w:val="tabletext"/>
            </w:pPr>
            <w:r w:rsidRPr="003B345D">
              <w:t>Section 348B</w:t>
            </w:r>
          </w:p>
        </w:tc>
      </w:tr>
      <w:tr w:rsidR="003B345D" w:rsidRPr="003B345D" w14:paraId="7197AA5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F624435" w14:textId="77777777" w:rsidR="003B345D" w:rsidRPr="003B345D" w:rsidRDefault="003B345D" w:rsidP="003B345D">
            <w:pPr>
              <w:pStyle w:val="tabletext"/>
              <w:rPr>
                <w:lang w:val="en-US" w:eastAsia="en-US"/>
              </w:rPr>
            </w:pPr>
            <w:r w:rsidRPr="003B345D">
              <w:rPr>
                <w:lang w:val="en-US" w:eastAsia="en-US"/>
              </w:rPr>
              <w:t>637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7DF6E50" w14:textId="77777777" w:rsidR="003B345D" w:rsidRPr="003B345D" w:rsidRDefault="003B345D" w:rsidP="003B345D">
            <w:pPr>
              <w:pStyle w:val="tabletext"/>
            </w:pPr>
            <w:r w:rsidRPr="003B345D">
              <w:t>Section 348C (heading)</w:t>
            </w:r>
          </w:p>
        </w:tc>
      </w:tr>
      <w:tr w:rsidR="003B345D" w:rsidRPr="003B345D" w14:paraId="6C34268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26F6735" w14:textId="77777777" w:rsidR="003B345D" w:rsidRPr="003B345D" w:rsidRDefault="003B345D" w:rsidP="003B345D">
            <w:pPr>
              <w:pStyle w:val="tabletext"/>
              <w:rPr>
                <w:lang w:val="en-US" w:eastAsia="en-US"/>
              </w:rPr>
            </w:pPr>
            <w:r w:rsidRPr="003B345D">
              <w:rPr>
                <w:lang w:val="en-US" w:eastAsia="en-US"/>
              </w:rPr>
              <w:t>638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6D749B9" w14:textId="77777777" w:rsidR="003B345D" w:rsidRPr="003B345D" w:rsidRDefault="003B345D" w:rsidP="003B345D">
            <w:pPr>
              <w:pStyle w:val="tabletext"/>
            </w:pPr>
            <w:r w:rsidRPr="003B345D">
              <w:t>Subsection 348C(1)</w:t>
            </w:r>
          </w:p>
        </w:tc>
      </w:tr>
      <w:tr w:rsidR="003B345D" w:rsidRPr="003B345D" w14:paraId="046A6AD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7B61D13" w14:textId="77777777" w:rsidR="003B345D" w:rsidRPr="003B345D" w:rsidRDefault="003B345D" w:rsidP="003B345D">
            <w:pPr>
              <w:pStyle w:val="tabletext"/>
              <w:rPr>
                <w:lang w:val="en-US" w:eastAsia="en-US"/>
              </w:rPr>
            </w:pPr>
            <w:r w:rsidRPr="003B345D">
              <w:rPr>
                <w:lang w:val="en-US" w:eastAsia="en-US"/>
              </w:rPr>
              <w:t>639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0861F46" w14:textId="77777777" w:rsidR="003B345D" w:rsidRPr="003B345D" w:rsidRDefault="003B345D" w:rsidP="003B345D">
            <w:pPr>
              <w:pStyle w:val="tabletext"/>
            </w:pPr>
            <w:r w:rsidRPr="003B345D">
              <w:t>Paragraph 348D(2)(a)</w:t>
            </w:r>
          </w:p>
        </w:tc>
      </w:tr>
      <w:tr w:rsidR="003B345D" w:rsidRPr="003B345D" w14:paraId="6FF4D69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1918C9B" w14:textId="77777777" w:rsidR="003B345D" w:rsidRPr="003B345D" w:rsidRDefault="003B345D" w:rsidP="003B345D">
            <w:pPr>
              <w:pStyle w:val="tabletext"/>
              <w:rPr>
                <w:lang w:val="en-US" w:eastAsia="en-US"/>
              </w:rPr>
            </w:pPr>
            <w:r w:rsidRPr="003B345D">
              <w:rPr>
                <w:lang w:val="en-US" w:eastAsia="en-US"/>
              </w:rPr>
              <w:t>642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CBC942" w14:textId="77777777" w:rsidR="003B345D" w:rsidRPr="003B345D" w:rsidRDefault="003B345D" w:rsidP="003B345D">
            <w:pPr>
              <w:pStyle w:val="tabletext"/>
            </w:pPr>
            <w:r w:rsidRPr="003B345D">
              <w:t>Subsection 348D(4)</w:t>
            </w:r>
          </w:p>
        </w:tc>
      </w:tr>
      <w:tr w:rsidR="003B345D" w:rsidRPr="003B345D" w14:paraId="6B36305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ED986EC" w14:textId="77777777" w:rsidR="003B345D" w:rsidRPr="003B345D" w:rsidRDefault="003B345D" w:rsidP="003B345D">
            <w:pPr>
              <w:pStyle w:val="tabletext"/>
              <w:rPr>
                <w:lang w:val="en-US" w:eastAsia="en-US"/>
              </w:rPr>
            </w:pPr>
            <w:r w:rsidRPr="003B345D">
              <w:rPr>
                <w:lang w:val="en-US" w:eastAsia="en-US"/>
              </w:rPr>
              <w:t>643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A19CF66" w14:textId="77777777" w:rsidR="003B345D" w:rsidRPr="003B345D" w:rsidRDefault="003B345D" w:rsidP="003B345D">
            <w:pPr>
              <w:pStyle w:val="tabletext"/>
            </w:pPr>
            <w:r w:rsidRPr="003B345D">
              <w:t>Section 349A (heading)</w:t>
            </w:r>
          </w:p>
        </w:tc>
      </w:tr>
      <w:tr w:rsidR="003B345D" w:rsidRPr="003B345D" w14:paraId="74C0BB5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8E9E4A9" w14:textId="77777777" w:rsidR="003B345D" w:rsidRPr="003B345D" w:rsidRDefault="003B345D" w:rsidP="003B345D">
            <w:pPr>
              <w:pStyle w:val="tabletext"/>
              <w:rPr>
                <w:lang w:val="en-US" w:eastAsia="en-US"/>
              </w:rPr>
            </w:pPr>
            <w:r w:rsidRPr="003B345D">
              <w:rPr>
                <w:lang w:val="en-US" w:eastAsia="en-US"/>
              </w:rPr>
              <w:t>644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F5D387" w14:textId="77777777" w:rsidR="003B345D" w:rsidRPr="003B345D" w:rsidRDefault="003B345D" w:rsidP="003B345D">
            <w:pPr>
              <w:pStyle w:val="tabletext"/>
            </w:pPr>
            <w:r w:rsidRPr="003B345D">
              <w:t>Subsection 349A(1)</w:t>
            </w:r>
          </w:p>
        </w:tc>
      </w:tr>
      <w:tr w:rsidR="003B345D" w:rsidRPr="003B345D" w14:paraId="0CEC257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0E07FAE" w14:textId="77777777" w:rsidR="003B345D" w:rsidRPr="003B345D" w:rsidRDefault="003B345D" w:rsidP="003B345D">
            <w:pPr>
              <w:pStyle w:val="tabletext"/>
              <w:rPr>
                <w:lang w:val="en-US" w:eastAsia="en-US"/>
              </w:rPr>
            </w:pPr>
            <w:r w:rsidRPr="003B345D">
              <w:rPr>
                <w:lang w:val="en-US" w:eastAsia="en-US"/>
              </w:rPr>
              <w:t>646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8F0628" w14:textId="77777777" w:rsidR="003B345D" w:rsidRPr="003B345D" w:rsidRDefault="003B345D" w:rsidP="003B345D">
            <w:pPr>
              <w:pStyle w:val="tabletext"/>
            </w:pPr>
            <w:r w:rsidRPr="003B345D">
              <w:t>Section 349B</w:t>
            </w:r>
          </w:p>
        </w:tc>
      </w:tr>
      <w:tr w:rsidR="003B345D" w:rsidRPr="003B345D" w14:paraId="08C6979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A662683" w14:textId="77777777" w:rsidR="003B345D" w:rsidRPr="003B345D" w:rsidRDefault="003B345D" w:rsidP="003B345D">
            <w:pPr>
              <w:pStyle w:val="tabletext"/>
              <w:rPr>
                <w:lang w:val="en-US" w:eastAsia="en-US"/>
              </w:rPr>
            </w:pPr>
            <w:r w:rsidRPr="003B345D">
              <w:rPr>
                <w:lang w:val="en-US" w:eastAsia="en-US"/>
              </w:rPr>
              <w:t>648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BE05917" w14:textId="77777777" w:rsidR="003B345D" w:rsidRPr="003B345D" w:rsidRDefault="003B345D" w:rsidP="003B345D">
            <w:pPr>
              <w:pStyle w:val="tabletext"/>
            </w:pPr>
            <w:r w:rsidRPr="003B345D">
              <w:t>Section 349C</w:t>
            </w:r>
          </w:p>
        </w:tc>
      </w:tr>
      <w:tr w:rsidR="003B345D" w:rsidRPr="003B345D" w14:paraId="3E0B579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5B2DD64" w14:textId="77777777" w:rsidR="003B345D" w:rsidRPr="003B345D" w:rsidRDefault="003B345D" w:rsidP="003B345D">
            <w:pPr>
              <w:pStyle w:val="tabletext"/>
              <w:rPr>
                <w:lang w:val="en-US" w:eastAsia="en-US"/>
              </w:rPr>
            </w:pPr>
            <w:r w:rsidRPr="003B345D">
              <w:rPr>
                <w:lang w:val="en-US" w:eastAsia="en-US"/>
              </w:rPr>
              <w:t>650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9E41520" w14:textId="77777777" w:rsidR="003B345D" w:rsidRPr="003B345D" w:rsidRDefault="003B345D" w:rsidP="003B345D">
            <w:pPr>
              <w:pStyle w:val="tabletext"/>
            </w:pPr>
            <w:r w:rsidRPr="003B345D">
              <w:t>Section 349D</w:t>
            </w:r>
          </w:p>
        </w:tc>
      </w:tr>
      <w:tr w:rsidR="003B345D" w:rsidRPr="003B345D" w14:paraId="76CB525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42D5749" w14:textId="77777777" w:rsidR="003B345D" w:rsidRPr="003B345D" w:rsidRDefault="003B345D" w:rsidP="003B345D">
            <w:pPr>
              <w:pStyle w:val="tabletext"/>
              <w:rPr>
                <w:lang w:val="en-US" w:eastAsia="en-US"/>
              </w:rPr>
            </w:pPr>
            <w:r w:rsidRPr="003B345D">
              <w:rPr>
                <w:lang w:val="en-US" w:eastAsia="en-US"/>
              </w:rPr>
              <w:t>652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A7A7444" w14:textId="77777777" w:rsidR="003B345D" w:rsidRPr="003B345D" w:rsidRDefault="003B345D" w:rsidP="003B345D">
            <w:pPr>
              <w:pStyle w:val="tabletext"/>
            </w:pPr>
            <w:r w:rsidRPr="003B345D">
              <w:t>Subsection 411(10)</w:t>
            </w:r>
          </w:p>
        </w:tc>
      </w:tr>
      <w:tr w:rsidR="003B345D" w:rsidRPr="003B345D" w14:paraId="6D907D4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1235E59" w14:textId="77777777" w:rsidR="003B345D" w:rsidRPr="003B345D" w:rsidRDefault="003B345D" w:rsidP="003B345D">
            <w:pPr>
              <w:pStyle w:val="tabletext"/>
              <w:rPr>
                <w:lang w:val="en-US" w:eastAsia="en-US"/>
              </w:rPr>
            </w:pPr>
            <w:r w:rsidRPr="003B345D">
              <w:rPr>
                <w:lang w:val="en-US" w:eastAsia="en-US"/>
              </w:rPr>
              <w:lastRenderedPageBreak/>
              <w:t>654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4E76EBF" w14:textId="77777777" w:rsidR="003B345D" w:rsidRPr="003B345D" w:rsidRDefault="003B345D" w:rsidP="003B345D">
            <w:pPr>
              <w:pStyle w:val="tabletext"/>
            </w:pPr>
            <w:r w:rsidRPr="003B345D">
              <w:t>Subsection 412(6)</w:t>
            </w:r>
          </w:p>
        </w:tc>
      </w:tr>
      <w:tr w:rsidR="003B345D" w:rsidRPr="003B345D" w14:paraId="1006E79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B243D81" w14:textId="77777777" w:rsidR="003B345D" w:rsidRPr="003B345D" w:rsidRDefault="003B345D" w:rsidP="003B345D">
            <w:pPr>
              <w:pStyle w:val="tabletext"/>
              <w:rPr>
                <w:lang w:val="en-US" w:eastAsia="en-US"/>
              </w:rPr>
            </w:pPr>
            <w:r w:rsidRPr="003B345D">
              <w:rPr>
                <w:lang w:val="en-US" w:eastAsia="en-US"/>
              </w:rPr>
              <w:t>655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85856CE" w14:textId="77777777" w:rsidR="003B345D" w:rsidRPr="003B345D" w:rsidRDefault="003B345D" w:rsidP="003B345D">
            <w:pPr>
              <w:pStyle w:val="tabletext"/>
            </w:pPr>
            <w:r w:rsidRPr="003B345D">
              <w:t>Subsection 412(7)</w:t>
            </w:r>
          </w:p>
        </w:tc>
      </w:tr>
      <w:tr w:rsidR="003B345D" w:rsidRPr="003B345D" w14:paraId="6CB33C3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3F05683" w14:textId="77777777" w:rsidR="003B345D" w:rsidRPr="003B345D" w:rsidRDefault="003B345D" w:rsidP="003B345D">
            <w:pPr>
              <w:pStyle w:val="tabletext"/>
              <w:rPr>
                <w:lang w:val="en-US" w:eastAsia="en-US"/>
              </w:rPr>
            </w:pPr>
            <w:r w:rsidRPr="003B345D">
              <w:rPr>
                <w:lang w:val="en-US" w:eastAsia="en-US"/>
              </w:rPr>
              <w:t>656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633CFAE" w14:textId="77777777" w:rsidR="003B345D" w:rsidRPr="003B345D" w:rsidRDefault="003B345D" w:rsidP="003B345D">
            <w:pPr>
              <w:pStyle w:val="tabletext"/>
            </w:pPr>
            <w:r w:rsidRPr="003B345D">
              <w:t>Subsection 412(8)</w:t>
            </w:r>
          </w:p>
        </w:tc>
      </w:tr>
      <w:tr w:rsidR="003B345D" w:rsidRPr="003B345D" w14:paraId="4583D01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31A33C5" w14:textId="77777777" w:rsidR="003B345D" w:rsidRPr="003B345D" w:rsidRDefault="003B345D" w:rsidP="003B345D">
            <w:pPr>
              <w:pStyle w:val="tabletext"/>
              <w:rPr>
                <w:lang w:val="en-US" w:eastAsia="en-US"/>
              </w:rPr>
            </w:pPr>
            <w:r w:rsidRPr="003B345D">
              <w:rPr>
                <w:lang w:val="en-US" w:eastAsia="en-US"/>
              </w:rPr>
              <w:t>657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F40D6F9" w14:textId="77777777" w:rsidR="003B345D" w:rsidRPr="003B345D" w:rsidRDefault="003B345D" w:rsidP="003B345D">
            <w:pPr>
              <w:pStyle w:val="tabletext"/>
            </w:pPr>
            <w:r w:rsidRPr="003B345D">
              <w:t>Subsection 412(8)</w:t>
            </w:r>
          </w:p>
        </w:tc>
      </w:tr>
      <w:tr w:rsidR="003B345D" w:rsidRPr="003B345D" w14:paraId="1C96F39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CD3070D" w14:textId="77777777" w:rsidR="003B345D" w:rsidRPr="003B345D" w:rsidRDefault="003B345D" w:rsidP="003B345D">
            <w:pPr>
              <w:pStyle w:val="tabletext"/>
              <w:rPr>
                <w:lang w:val="en-US" w:eastAsia="en-US"/>
              </w:rPr>
            </w:pPr>
            <w:r w:rsidRPr="003B345D">
              <w:rPr>
                <w:lang w:val="en-US" w:eastAsia="en-US"/>
              </w:rPr>
              <w:t>658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6C271DC" w14:textId="77777777" w:rsidR="003B345D" w:rsidRPr="003B345D" w:rsidRDefault="003B345D" w:rsidP="003B345D">
            <w:pPr>
              <w:pStyle w:val="tabletext"/>
            </w:pPr>
            <w:r w:rsidRPr="003B345D">
              <w:t>Paragraph 413(1)(d)</w:t>
            </w:r>
          </w:p>
        </w:tc>
      </w:tr>
      <w:tr w:rsidR="003B345D" w:rsidRPr="003B345D" w14:paraId="05066FA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60BCCA2" w14:textId="77777777" w:rsidR="003B345D" w:rsidRPr="003B345D" w:rsidRDefault="003B345D" w:rsidP="003B345D">
            <w:pPr>
              <w:pStyle w:val="tabletext"/>
              <w:rPr>
                <w:lang w:val="en-US" w:eastAsia="en-US"/>
              </w:rPr>
            </w:pPr>
            <w:r w:rsidRPr="003B345D">
              <w:rPr>
                <w:lang w:val="en-US" w:eastAsia="en-US"/>
              </w:rPr>
              <w:t>659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DB64874" w14:textId="77777777" w:rsidR="003B345D" w:rsidRPr="003B345D" w:rsidRDefault="003B345D" w:rsidP="003B345D">
            <w:pPr>
              <w:pStyle w:val="tabletext"/>
            </w:pPr>
            <w:r w:rsidRPr="003B345D">
              <w:t>Subsection 413(3)</w:t>
            </w:r>
          </w:p>
        </w:tc>
      </w:tr>
      <w:tr w:rsidR="003B345D" w:rsidRPr="003B345D" w14:paraId="0A11910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2F6D1C1" w14:textId="77777777" w:rsidR="003B345D" w:rsidRPr="003B345D" w:rsidRDefault="003B345D" w:rsidP="003B345D">
            <w:pPr>
              <w:pStyle w:val="tabletext"/>
              <w:rPr>
                <w:lang w:val="en-US" w:eastAsia="en-US"/>
              </w:rPr>
            </w:pPr>
            <w:r w:rsidRPr="003B345D">
              <w:rPr>
                <w:lang w:val="en-US" w:eastAsia="en-US"/>
              </w:rPr>
              <w:t>661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1D9C2C3" w14:textId="77777777" w:rsidR="003B345D" w:rsidRPr="003B345D" w:rsidRDefault="003B345D" w:rsidP="003B345D">
            <w:pPr>
              <w:pStyle w:val="tabletext"/>
            </w:pPr>
            <w:r w:rsidRPr="003B345D">
              <w:t>Subsection 415(1)</w:t>
            </w:r>
          </w:p>
        </w:tc>
      </w:tr>
      <w:tr w:rsidR="003B345D" w:rsidRPr="003B345D" w14:paraId="192116C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EF57961" w14:textId="77777777" w:rsidR="003B345D" w:rsidRPr="003B345D" w:rsidRDefault="003B345D" w:rsidP="003B345D">
            <w:pPr>
              <w:pStyle w:val="tabletext"/>
              <w:rPr>
                <w:lang w:val="en-US" w:eastAsia="en-US"/>
              </w:rPr>
            </w:pPr>
            <w:r w:rsidRPr="003B345D">
              <w:rPr>
                <w:lang w:val="en-US" w:eastAsia="en-US"/>
              </w:rPr>
              <w:t>663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3E7527" w14:textId="77777777" w:rsidR="003B345D" w:rsidRPr="003B345D" w:rsidRDefault="003B345D" w:rsidP="003B345D">
            <w:pPr>
              <w:pStyle w:val="tabletext"/>
            </w:pPr>
            <w:r w:rsidRPr="003B345D">
              <w:t>Paragraph 422(1)(c)</w:t>
            </w:r>
          </w:p>
        </w:tc>
      </w:tr>
      <w:tr w:rsidR="003B345D" w:rsidRPr="003B345D" w14:paraId="0AF0AE3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572F628" w14:textId="77777777" w:rsidR="003B345D" w:rsidRPr="003B345D" w:rsidRDefault="003B345D" w:rsidP="003B345D">
            <w:pPr>
              <w:pStyle w:val="tabletext"/>
              <w:rPr>
                <w:lang w:val="en-US" w:eastAsia="en-US"/>
              </w:rPr>
            </w:pPr>
            <w:r w:rsidRPr="003B345D">
              <w:rPr>
                <w:lang w:val="en-US" w:eastAsia="en-US"/>
              </w:rPr>
              <w:t>664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65A22AA" w14:textId="77777777" w:rsidR="003B345D" w:rsidRPr="003B345D" w:rsidRDefault="003B345D" w:rsidP="003B345D">
            <w:pPr>
              <w:pStyle w:val="tabletext"/>
            </w:pPr>
            <w:r w:rsidRPr="003B345D">
              <w:t>Subsection 422(2)</w:t>
            </w:r>
          </w:p>
        </w:tc>
      </w:tr>
      <w:tr w:rsidR="003B345D" w:rsidRPr="003B345D" w14:paraId="6FFDA93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E579738" w14:textId="77777777" w:rsidR="003B345D" w:rsidRPr="003B345D" w:rsidRDefault="003B345D" w:rsidP="003B345D">
            <w:pPr>
              <w:pStyle w:val="tabletext"/>
              <w:rPr>
                <w:lang w:val="en-US" w:eastAsia="en-US"/>
              </w:rPr>
            </w:pPr>
            <w:r w:rsidRPr="003B345D">
              <w:rPr>
                <w:lang w:val="en-US" w:eastAsia="en-US"/>
              </w:rPr>
              <w:t>665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1511E22" w14:textId="77777777" w:rsidR="003B345D" w:rsidRPr="003B345D" w:rsidRDefault="003B345D" w:rsidP="003B345D">
            <w:pPr>
              <w:pStyle w:val="tabletext"/>
            </w:pPr>
            <w:r w:rsidRPr="003B345D">
              <w:t>Subsection 422(3)</w:t>
            </w:r>
          </w:p>
        </w:tc>
      </w:tr>
      <w:tr w:rsidR="003B345D" w:rsidRPr="003B345D" w14:paraId="3F862D5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151528F" w14:textId="77777777" w:rsidR="003B345D" w:rsidRPr="003B345D" w:rsidRDefault="003B345D" w:rsidP="003B345D">
            <w:pPr>
              <w:pStyle w:val="tabletext"/>
              <w:rPr>
                <w:lang w:val="en-US" w:eastAsia="en-US"/>
              </w:rPr>
            </w:pPr>
            <w:r w:rsidRPr="003B345D">
              <w:rPr>
                <w:lang w:val="en-US" w:eastAsia="en-US"/>
              </w:rPr>
              <w:t>666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7D91EF9" w14:textId="77777777" w:rsidR="003B345D" w:rsidRPr="003B345D" w:rsidRDefault="003B345D" w:rsidP="003B345D">
            <w:pPr>
              <w:pStyle w:val="tabletext"/>
            </w:pPr>
            <w:r w:rsidRPr="003B345D">
              <w:t>Subsection 422(4)</w:t>
            </w:r>
          </w:p>
        </w:tc>
      </w:tr>
      <w:tr w:rsidR="003B345D" w:rsidRPr="003B345D" w14:paraId="4ED47BC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987531B" w14:textId="77777777" w:rsidR="003B345D" w:rsidRPr="003B345D" w:rsidRDefault="003B345D" w:rsidP="003B345D">
            <w:pPr>
              <w:pStyle w:val="tabletext"/>
              <w:rPr>
                <w:lang w:val="en-US" w:eastAsia="en-US"/>
              </w:rPr>
            </w:pPr>
            <w:r w:rsidRPr="003B345D">
              <w:rPr>
                <w:lang w:val="en-US" w:eastAsia="en-US"/>
              </w:rPr>
              <w:t>667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78BF21F" w14:textId="77777777" w:rsidR="003B345D" w:rsidRPr="003B345D" w:rsidRDefault="003B345D" w:rsidP="003B345D">
            <w:pPr>
              <w:pStyle w:val="tabletext"/>
            </w:pPr>
            <w:r w:rsidRPr="003B345D">
              <w:t>Subsection 422A(3)</w:t>
            </w:r>
          </w:p>
        </w:tc>
      </w:tr>
      <w:tr w:rsidR="003B345D" w:rsidRPr="003B345D" w14:paraId="60179B9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89C9BEA" w14:textId="77777777" w:rsidR="003B345D" w:rsidRPr="003B345D" w:rsidRDefault="003B345D" w:rsidP="003B345D">
            <w:pPr>
              <w:pStyle w:val="tabletext"/>
              <w:rPr>
                <w:lang w:val="en-US" w:eastAsia="en-US"/>
              </w:rPr>
            </w:pPr>
            <w:r w:rsidRPr="003B345D">
              <w:rPr>
                <w:lang w:val="en-US" w:eastAsia="en-US"/>
              </w:rPr>
              <w:t>668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B164310" w14:textId="77777777" w:rsidR="003B345D" w:rsidRPr="003B345D" w:rsidRDefault="003B345D" w:rsidP="003B345D">
            <w:pPr>
              <w:pStyle w:val="tabletext"/>
            </w:pPr>
            <w:r w:rsidRPr="003B345D">
              <w:t>Subsection 422A(4) (not including the note)</w:t>
            </w:r>
          </w:p>
        </w:tc>
      </w:tr>
      <w:tr w:rsidR="003B345D" w:rsidRPr="003B345D" w14:paraId="7DA7523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4B90DCF" w14:textId="77777777" w:rsidR="003B345D" w:rsidRPr="003B345D" w:rsidRDefault="003B345D" w:rsidP="003B345D">
            <w:pPr>
              <w:pStyle w:val="tabletext"/>
              <w:rPr>
                <w:lang w:val="en-US" w:eastAsia="en-US"/>
              </w:rPr>
            </w:pPr>
            <w:r w:rsidRPr="003B345D">
              <w:rPr>
                <w:lang w:val="en-US" w:eastAsia="en-US"/>
              </w:rPr>
              <w:t>669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A536DC7" w14:textId="77777777" w:rsidR="003B345D" w:rsidRPr="003B345D" w:rsidRDefault="003B345D" w:rsidP="003B345D">
            <w:pPr>
              <w:pStyle w:val="tabletext"/>
            </w:pPr>
            <w:r w:rsidRPr="003B345D">
              <w:t>Subsection 422B(3) (not including the note)</w:t>
            </w:r>
          </w:p>
        </w:tc>
      </w:tr>
      <w:tr w:rsidR="003B345D" w:rsidRPr="003B345D" w14:paraId="4CA7D89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70B0465" w14:textId="77777777" w:rsidR="003B345D" w:rsidRPr="003B345D" w:rsidRDefault="003B345D" w:rsidP="003B345D">
            <w:pPr>
              <w:pStyle w:val="tabletext"/>
              <w:rPr>
                <w:lang w:val="en-US" w:eastAsia="en-US"/>
              </w:rPr>
            </w:pPr>
            <w:r w:rsidRPr="003B345D">
              <w:rPr>
                <w:lang w:val="en-US" w:eastAsia="en-US"/>
              </w:rPr>
              <w:t>670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CB45183" w14:textId="77777777" w:rsidR="003B345D" w:rsidRPr="003B345D" w:rsidRDefault="003B345D" w:rsidP="003B345D">
            <w:pPr>
              <w:pStyle w:val="tabletext"/>
            </w:pPr>
            <w:r w:rsidRPr="003B345D">
              <w:t>Paragraph 426(a)</w:t>
            </w:r>
          </w:p>
        </w:tc>
      </w:tr>
      <w:tr w:rsidR="003B345D" w:rsidRPr="003B345D" w14:paraId="05CE9AF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E2E10EB" w14:textId="77777777" w:rsidR="003B345D" w:rsidRPr="003B345D" w:rsidRDefault="003B345D" w:rsidP="003B345D">
            <w:pPr>
              <w:pStyle w:val="tabletext"/>
              <w:rPr>
                <w:lang w:val="en-US" w:eastAsia="en-US"/>
              </w:rPr>
            </w:pPr>
            <w:r w:rsidRPr="003B345D">
              <w:rPr>
                <w:lang w:val="en-US" w:eastAsia="en-US"/>
              </w:rPr>
              <w:t>671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84BFA50" w14:textId="77777777" w:rsidR="003B345D" w:rsidRPr="003B345D" w:rsidRDefault="003B345D" w:rsidP="003B345D">
            <w:pPr>
              <w:pStyle w:val="tabletext"/>
            </w:pPr>
            <w:r w:rsidRPr="003B345D">
              <w:t>Subsections 427(1) to (2)</w:t>
            </w:r>
          </w:p>
        </w:tc>
      </w:tr>
      <w:tr w:rsidR="003B345D" w:rsidRPr="003B345D" w14:paraId="0C1DBA6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21BCFA5" w14:textId="77777777" w:rsidR="003B345D" w:rsidRPr="003B345D" w:rsidRDefault="003B345D" w:rsidP="003B345D">
            <w:pPr>
              <w:pStyle w:val="tabletext"/>
              <w:rPr>
                <w:lang w:val="en-US" w:eastAsia="en-US"/>
              </w:rPr>
            </w:pPr>
            <w:r w:rsidRPr="003B345D">
              <w:rPr>
                <w:lang w:val="en-US" w:eastAsia="en-US"/>
              </w:rPr>
              <w:t>673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F9C594" w14:textId="77777777" w:rsidR="003B345D" w:rsidRPr="003B345D" w:rsidRDefault="003B345D" w:rsidP="003B345D">
            <w:pPr>
              <w:pStyle w:val="tabletext"/>
            </w:pPr>
            <w:r w:rsidRPr="003B345D">
              <w:t>Subsection 427(3)</w:t>
            </w:r>
          </w:p>
        </w:tc>
      </w:tr>
      <w:tr w:rsidR="003B345D" w:rsidRPr="003B345D" w14:paraId="0D2C9A1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B84A9A7" w14:textId="77777777" w:rsidR="003B345D" w:rsidRPr="003B345D" w:rsidRDefault="003B345D" w:rsidP="003B345D">
            <w:pPr>
              <w:pStyle w:val="tabletext"/>
              <w:rPr>
                <w:lang w:val="en-US" w:eastAsia="en-US"/>
              </w:rPr>
            </w:pPr>
            <w:r w:rsidRPr="003B345D">
              <w:rPr>
                <w:lang w:val="en-US" w:eastAsia="en-US"/>
              </w:rPr>
              <w:t>674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B6D5A43" w14:textId="77777777" w:rsidR="003B345D" w:rsidRPr="003B345D" w:rsidRDefault="003B345D" w:rsidP="003B345D">
            <w:pPr>
              <w:pStyle w:val="tabletext"/>
            </w:pPr>
            <w:r w:rsidRPr="003B345D">
              <w:t>Subsections 427(4)</w:t>
            </w:r>
          </w:p>
        </w:tc>
      </w:tr>
      <w:tr w:rsidR="003B345D" w:rsidRPr="003B345D" w14:paraId="08CA650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31FADA9" w14:textId="77777777" w:rsidR="003B345D" w:rsidRPr="003B345D" w:rsidRDefault="003B345D" w:rsidP="003B345D">
            <w:pPr>
              <w:pStyle w:val="tabletext"/>
              <w:rPr>
                <w:lang w:val="en-US" w:eastAsia="en-US"/>
              </w:rPr>
            </w:pPr>
            <w:r w:rsidRPr="003B345D">
              <w:rPr>
                <w:lang w:val="en-US" w:eastAsia="en-US"/>
              </w:rPr>
              <w:t>676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155EF4E" w14:textId="77777777" w:rsidR="003B345D" w:rsidRPr="003B345D" w:rsidRDefault="003B345D" w:rsidP="003B345D">
            <w:pPr>
              <w:pStyle w:val="tabletext"/>
            </w:pPr>
            <w:r w:rsidRPr="003B345D">
              <w:t>Subsection 429(4)</w:t>
            </w:r>
          </w:p>
        </w:tc>
      </w:tr>
      <w:tr w:rsidR="003B345D" w:rsidRPr="003B345D" w14:paraId="2D7AAD5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793425E" w14:textId="77777777" w:rsidR="003B345D" w:rsidRPr="003B345D" w:rsidRDefault="003B345D" w:rsidP="003B345D">
            <w:pPr>
              <w:pStyle w:val="tabletext"/>
              <w:rPr>
                <w:lang w:val="en-US" w:eastAsia="en-US"/>
              </w:rPr>
            </w:pPr>
            <w:r w:rsidRPr="003B345D">
              <w:rPr>
                <w:lang w:val="en-US" w:eastAsia="en-US"/>
              </w:rPr>
              <w:t>678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65F527" w14:textId="77777777" w:rsidR="003B345D" w:rsidRPr="003B345D" w:rsidRDefault="003B345D" w:rsidP="003B345D">
            <w:pPr>
              <w:pStyle w:val="tabletext"/>
            </w:pPr>
            <w:r w:rsidRPr="003B345D">
              <w:t>Subsection 429(5)</w:t>
            </w:r>
          </w:p>
        </w:tc>
      </w:tr>
      <w:tr w:rsidR="003B345D" w:rsidRPr="003B345D" w14:paraId="3D6A7B3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657AF3A" w14:textId="77777777" w:rsidR="003B345D" w:rsidRPr="003B345D" w:rsidRDefault="003B345D" w:rsidP="003B345D">
            <w:pPr>
              <w:pStyle w:val="tabletext"/>
              <w:rPr>
                <w:lang w:val="en-US" w:eastAsia="en-US"/>
              </w:rPr>
            </w:pPr>
            <w:r w:rsidRPr="003B345D">
              <w:rPr>
                <w:lang w:val="en-US" w:eastAsia="en-US"/>
              </w:rPr>
              <w:t>680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EA23C0" w14:textId="77777777" w:rsidR="003B345D" w:rsidRPr="003B345D" w:rsidRDefault="003B345D" w:rsidP="003B345D">
            <w:pPr>
              <w:pStyle w:val="tabletext"/>
            </w:pPr>
            <w:r w:rsidRPr="003B345D">
              <w:t>Subsection 432(2)</w:t>
            </w:r>
          </w:p>
        </w:tc>
      </w:tr>
      <w:tr w:rsidR="003B345D" w:rsidRPr="003B345D" w14:paraId="5C2117B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906514A" w14:textId="77777777" w:rsidR="003B345D" w:rsidRPr="003B345D" w:rsidRDefault="003B345D" w:rsidP="003B345D">
            <w:pPr>
              <w:pStyle w:val="tabletext"/>
              <w:rPr>
                <w:lang w:val="en-US" w:eastAsia="en-US"/>
              </w:rPr>
            </w:pPr>
            <w:r w:rsidRPr="003B345D">
              <w:rPr>
                <w:lang w:val="en-US" w:eastAsia="en-US"/>
              </w:rPr>
              <w:t>681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6948F8" w14:textId="77777777" w:rsidR="003B345D" w:rsidRPr="003B345D" w:rsidRDefault="003B345D" w:rsidP="003B345D">
            <w:pPr>
              <w:pStyle w:val="tabletext"/>
            </w:pPr>
            <w:r w:rsidRPr="003B345D">
              <w:t>Paragraph 434(1)(a)</w:t>
            </w:r>
          </w:p>
        </w:tc>
      </w:tr>
      <w:tr w:rsidR="003B345D" w:rsidRPr="003B345D" w14:paraId="7CA6389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C972469" w14:textId="77777777" w:rsidR="003B345D" w:rsidRPr="003B345D" w:rsidRDefault="003B345D" w:rsidP="003B345D">
            <w:pPr>
              <w:pStyle w:val="tabletext"/>
              <w:rPr>
                <w:lang w:val="en-US" w:eastAsia="en-US"/>
              </w:rPr>
            </w:pPr>
            <w:r w:rsidRPr="003B345D">
              <w:rPr>
                <w:lang w:val="en-US" w:eastAsia="en-US"/>
              </w:rPr>
              <w:t>682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D5CD00C" w14:textId="77777777" w:rsidR="003B345D" w:rsidRPr="003B345D" w:rsidRDefault="003B345D" w:rsidP="003B345D">
            <w:pPr>
              <w:pStyle w:val="tabletext"/>
            </w:pPr>
            <w:r w:rsidRPr="003B345D">
              <w:t>Section 434H (at the end of the heading)</w:t>
            </w:r>
          </w:p>
        </w:tc>
      </w:tr>
      <w:tr w:rsidR="003B345D" w:rsidRPr="003B345D" w14:paraId="1957291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FD61010" w14:textId="77777777" w:rsidR="003B345D" w:rsidRPr="003B345D" w:rsidRDefault="003B345D" w:rsidP="003B345D">
            <w:pPr>
              <w:pStyle w:val="tabletext"/>
              <w:rPr>
                <w:lang w:val="en-US" w:eastAsia="en-US"/>
              </w:rPr>
            </w:pPr>
            <w:r w:rsidRPr="003B345D">
              <w:rPr>
                <w:lang w:val="en-US" w:eastAsia="en-US"/>
              </w:rPr>
              <w:t>683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232FE6C" w14:textId="77777777" w:rsidR="003B345D" w:rsidRPr="003B345D" w:rsidRDefault="003B345D" w:rsidP="003B345D">
            <w:pPr>
              <w:pStyle w:val="tabletext"/>
            </w:pPr>
            <w:r w:rsidRPr="003B345D">
              <w:t>Subsection 434H(1)</w:t>
            </w:r>
          </w:p>
        </w:tc>
      </w:tr>
      <w:tr w:rsidR="003B345D" w:rsidRPr="003B345D" w14:paraId="132EC82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FCFFF25" w14:textId="77777777" w:rsidR="003B345D" w:rsidRPr="003B345D" w:rsidRDefault="003B345D" w:rsidP="003B345D">
            <w:pPr>
              <w:pStyle w:val="tabletext"/>
              <w:rPr>
                <w:lang w:val="en-US" w:eastAsia="en-US"/>
              </w:rPr>
            </w:pPr>
            <w:r w:rsidRPr="003B345D">
              <w:rPr>
                <w:lang w:val="en-US" w:eastAsia="en-US"/>
              </w:rPr>
              <w:t>684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97BF33A" w14:textId="77777777" w:rsidR="003B345D" w:rsidRPr="003B345D" w:rsidRDefault="003B345D" w:rsidP="003B345D">
            <w:pPr>
              <w:pStyle w:val="tabletext"/>
            </w:pPr>
            <w:r w:rsidRPr="003B345D">
              <w:t>Subsection 436DA(4A)</w:t>
            </w:r>
          </w:p>
        </w:tc>
      </w:tr>
      <w:tr w:rsidR="003B345D" w:rsidRPr="003B345D" w14:paraId="0C5FA2C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4C1FA22" w14:textId="77777777" w:rsidR="003B345D" w:rsidRPr="003B345D" w:rsidRDefault="003B345D" w:rsidP="003B345D">
            <w:pPr>
              <w:pStyle w:val="tabletext"/>
              <w:rPr>
                <w:lang w:val="en-US" w:eastAsia="en-US"/>
              </w:rPr>
            </w:pPr>
            <w:r w:rsidRPr="003B345D">
              <w:rPr>
                <w:lang w:val="en-US" w:eastAsia="en-US"/>
              </w:rPr>
              <w:t>686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0A59C08" w14:textId="77777777" w:rsidR="003B345D" w:rsidRPr="003B345D" w:rsidRDefault="003B345D" w:rsidP="003B345D">
            <w:pPr>
              <w:pStyle w:val="tabletext"/>
            </w:pPr>
            <w:r w:rsidRPr="003B345D">
              <w:t>Paragraph 438D(1)(c)</w:t>
            </w:r>
          </w:p>
        </w:tc>
      </w:tr>
      <w:tr w:rsidR="003B345D" w:rsidRPr="003B345D" w14:paraId="4F7643E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BF50EF3" w14:textId="77777777" w:rsidR="003B345D" w:rsidRPr="003B345D" w:rsidRDefault="003B345D" w:rsidP="003B345D">
            <w:pPr>
              <w:pStyle w:val="tabletext"/>
              <w:rPr>
                <w:lang w:val="en-US" w:eastAsia="en-US"/>
              </w:rPr>
            </w:pPr>
            <w:r w:rsidRPr="003B345D">
              <w:rPr>
                <w:lang w:val="en-US" w:eastAsia="en-US"/>
              </w:rPr>
              <w:t>687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4B6BE1" w14:textId="77777777" w:rsidR="003B345D" w:rsidRPr="003B345D" w:rsidRDefault="003B345D" w:rsidP="003B345D">
            <w:pPr>
              <w:pStyle w:val="tabletext"/>
            </w:pPr>
            <w:r w:rsidRPr="003B345D">
              <w:t>Subsection 438D(3)</w:t>
            </w:r>
          </w:p>
        </w:tc>
      </w:tr>
      <w:tr w:rsidR="003B345D" w:rsidRPr="003B345D" w14:paraId="77C255A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7187C85" w14:textId="77777777" w:rsidR="003B345D" w:rsidRPr="003B345D" w:rsidRDefault="003B345D" w:rsidP="003B345D">
            <w:pPr>
              <w:pStyle w:val="tabletext"/>
              <w:rPr>
                <w:lang w:val="en-US" w:eastAsia="en-US"/>
              </w:rPr>
            </w:pPr>
            <w:r w:rsidRPr="003B345D">
              <w:rPr>
                <w:lang w:val="en-US" w:eastAsia="en-US"/>
              </w:rPr>
              <w:t>688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16DAE3E" w14:textId="77777777" w:rsidR="003B345D" w:rsidRPr="003B345D" w:rsidRDefault="003B345D" w:rsidP="003B345D">
            <w:pPr>
              <w:pStyle w:val="tabletext"/>
            </w:pPr>
            <w:r w:rsidRPr="003B345D">
              <w:t>Paragraph 445FA(1)(e)</w:t>
            </w:r>
          </w:p>
        </w:tc>
      </w:tr>
      <w:tr w:rsidR="003B345D" w:rsidRPr="003B345D" w14:paraId="0A73CA9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55C5B9A" w14:textId="77777777" w:rsidR="003B345D" w:rsidRPr="003B345D" w:rsidRDefault="003B345D" w:rsidP="003B345D">
            <w:pPr>
              <w:pStyle w:val="tabletext"/>
              <w:rPr>
                <w:lang w:val="en-US" w:eastAsia="en-US"/>
              </w:rPr>
            </w:pPr>
            <w:r w:rsidRPr="003B345D">
              <w:rPr>
                <w:lang w:val="en-US" w:eastAsia="en-US"/>
              </w:rPr>
              <w:t>690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3319DB" w14:textId="77777777" w:rsidR="003B345D" w:rsidRPr="003B345D" w:rsidRDefault="003B345D" w:rsidP="003B345D">
            <w:pPr>
              <w:pStyle w:val="tabletext"/>
            </w:pPr>
            <w:r w:rsidRPr="003B345D">
              <w:t>Paragraph 446A(2)(b)</w:t>
            </w:r>
          </w:p>
        </w:tc>
      </w:tr>
      <w:tr w:rsidR="003B345D" w:rsidRPr="003B345D" w14:paraId="03A2B31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72FC937" w14:textId="77777777" w:rsidR="003B345D" w:rsidRPr="003B345D" w:rsidRDefault="003B345D" w:rsidP="003B345D">
            <w:pPr>
              <w:pStyle w:val="tabletext"/>
              <w:rPr>
                <w:lang w:val="en-US" w:eastAsia="en-US"/>
              </w:rPr>
            </w:pPr>
            <w:r w:rsidRPr="003B345D">
              <w:rPr>
                <w:lang w:val="en-US" w:eastAsia="en-US"/>
              </w:rPr>
              <w:t>691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F470BF7" w14:textId="77777777" w:rsidR="003B345D" w:rsidRPr="003B345D" w:rsidRDefault="003B345D" w:rsidP="003B345D">
            <w:pPr>
              <w:pStyle w:val="tabletext"/>
            </w:pPr>
            <w:r w:rsidRPr="003B345D">
              <w:t>Paragraph 446A(5)(a)</w:t>
            </w:r>
          </w:p>
        </w:tc>
      </w:tr>
      <w:tr w:rsidR="003B345D" w:rsidRPr="003B345D" w14:paraId="25DE0A1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3BC265C" w14:textId="77777777" w:rsidR="003B345D" w:rsidRPr="003B345D" w:rsidRDefault="003B345D" w:rsidP="003B345D">
            <w:pPr>
              <w:pStyle w:val="tabletext"/>
              <w:rPr>
                <w:lang w:val="en-US" w:eastAsia="en-US"/>
              </w:rPr>
            </w:pPr>
            <w:r w:rsidRPr="003B345D">
              <w:rPr>
                <w:lang w:val="en-US" w:eastAsia="en-US"/>
              </w:rPr>
              <w:t>692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4185E15" w14:textId="77777777" w:rsidR="003B345D" w:rsidRPr="003B345D" w:rsidRDefault="003B345D" w:rsidP="003B345D">
            <w:pPr>
              <w:pStyle w:val="tabletext"/>
            </w:pPr>
            <w:r w:rsidRPr="003B345D">
              <w:t>Paragraph 446AA(4)(a)</w:t>
            </w:r>
          </w:p>
        </w:tc>
      </w:tr>
      <w:tr w:rsidR="003B345D" w:rsidRPr="003B345D" w14:paraId="6EE35CE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2370D78" w14:textId="77777777" w:rsidR="003B345D" w:rsidRPr="003B345D" w:rsidRDefault="003B345D" w:rsidP="003B345D">
            <w:pPr>
              <w:pStyle w:val="tabletext"/>
              <w:rPr>
                <w:lang w:val="en-US" w:eastAsia="en-US"/>
              </w:rPr>
            </w:pPr>
            <w:r w:rsidRPr="003B345D">
              <w:rPr>
                <w:lang w:val="en-US" w:eastAsia="en-US"/>
              </w:rPr>
              <w:t>694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50C9601" w14:textId="77777777" w:rsidR="003B345D" w:rsidRPr="003B345D" w:rsidRDefault="003B345D" w:rsidP="003B345D">
            <w:pPr>
              <w:pStyle w:val="tabletext"/>
            </w:pPr>
            <w:r w:rsidRPr="003B345D">
              <w:t>Subsection 446C(7) (heading)</w:t>
            </w:r>
          </w:p>
        </w:tc>
      </w:tr>
      <w:tr w:rsidR="003B345D" w:rsidRPr="003B345D" w14:paraId="77B8389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3711BFC" w14:textId="77777777" w:rsidR="003B345D" w:rsidRPr="003B345D" w:rsidRDefault="003B345D" w:rsidP="003B345D">
            <w:pPr>
              <w:pStyle w:val="tabletext"/>
              <w:rPr>
                <w:lang w:val="en-US" w:eastAsia="en-US"/>
              </w:rPr>
            </w:pPr>
            <w:r w:rsidRPr="003B345D">
              <w:rPr>
                <w:lang w:val="en-US" w:eastAsia="en-US"/>
              </w:rPr>
              <w:t>695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4B603F" w14:textId="77777777" w:rsidR="003B345D" w:rsidRPr="003B345D" w:rsidRDefault="003B345D" w:rsidP="003B345D">
            <w:pPr>
              <w:pStyle w:val="tabletext"/>
            </w:pPr>
            <w:r w:rsidRPr="003B345D">
              <w:t>Subsection 446C(7)</w:t>
            </w:r>
          </w:p>
        </w:tc>
      </w:tr>
      <w:tr w:rsidR="003B345D" w:rsidRPr="003B345D" w14:paraId="5F9E36B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15FBB50" w14:textId="77777777" w:rsidR="003B345D" w:rsidRPr="003B345D" w:rsidRDefault="003B345D" w:rsidP="003B345D">
            <w:pPr>
              <w:pStyle w:val="tabletext"/>
              <w:rPr>
                <w:lang w:val="en-US" w:eastAsia="en-US"/>
              </w:rPr>
            </w:pPr>
            <w:r w:rsidRPr="003B345D">
              <w:rPr>
                <w:lang w:val="en-US" w:eastAsia="en-US"/>
              </w:rPr>
              <w:t>696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A1F0C4" w14:textId="77777777" w:rsidR="003B345D" w:rsidRPr="003B345D" w:rsidRDefault="003B345D" w:rsidP="003B345D">
            <w:pPr>
              <w:pStyle w:val="tabletext"/>
            </w:pPr>
            <w:r w:rsidRPr="003B345D">
              <w:t>Subsection 449CA(4A)</w:t>
            </w:r>
          </w:p>
        </w:tc>
      </w:tr>
      <w:tr w:rsidR="003B345D" w:rsidRPr="003B345D" w14:paraId="67CC24C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3A4F393" w14:textId="77777777" w:rsidR="003B345D" w:rsidRPr="003B345D" w:rsidRDefault="003B345D" w:rsidP="003B345D">
            <w:pPr>
              <w:pStyle w:val="tabletext"/>
              <w:rPr>
                <w:lang w:val="en-US" w:eastAsia="en-US"/>
              </w:rPr>
            </w:pPr>
            <w:r w:rsidRPr="003B345D">
              <w:rPr>
                <w:lang w:val="en-US" w:eastAsia="en-US"/>
              </w:rPr>
              <w:t>697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A213A72" w14:textId="77777777" w:rsidR="003B345D" w:rsidRPr="003B345D" w:rsidRDefault="003B345D" w:rsidP="003B345D">
            <w:pPr>
              <w:pStyle w:val="tabletext"/>
            </w:pPr>
            <w:r w:rsidRPr="003B345D">
              <w:t>Subsection 449CA(6A)</w:t>
            </w:r>
          </w:p>
        </w:tc>
      </w:tr>
      <w:tr w:rsidR="003B345D" w:rsidRPr="003B345D" w14:paraId="5C49F3D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DAB6F10" w14:textId="77777777" w:rsidR="003B345D" w:rsidRPr="003B345D" w:rsidRDefault="003B345D" w:rsidP="003B345D">
            <w:pPr>
              <w:pStyle w:val="tabletext"/>
              <w:rPr>
                <w:lang w:val="en-US" w:eastAsia="en-US"/>
              </w:rPr>
            </w:pPr>
            <w:r w:rsidRPr="003B345D">
              <w:rPr>
                <w:lang w:val="en-US" w:eastAsia="en-US"/>
              </w:rPr>
              <w:t>698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4D075F4" w14:textId="77777777" w:rsidR="003B345D" w:rsidRPr="003B345D" w:rsidRDefault="003B345D" w:rsidP="003B345D">
            <w:pPr>
              <w:pStyle w:val="tabletext"/>
            </w:pPr>
            <w:r w:rsidRPr="003B345D">
              <w:t>Paragraph 450A(1)(a)</w:t>
            </w:r>
          </w:p>
        </w:tc>
      </w:tr>
      <w:tr w:rsidR="003B345D" w:rsidRPr="003B345D" w14:paraId="2F5B03B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C1D90E0" w14:textId="77777777" w:rsidR="003B345D" w:rsidRPr="003B345D" w:rsidRDefault="003B345D" w:rsidP="003B345D">
            <w:pPr>
              <w:pStyle w:val="tabletext"/>
              <w:rPr>
                <w:lang w:val="en-US" w:eastAsia="en-US"/>
              </w:rPr>
            </w:pPr>
            <w:r w:rsidRPr="003B345D">
              <w:rPr>
                <w:lang w:val="en-US" w:eastAsia="en-US"/>
              </w:rPr>
              <w:t>700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4B9334" w14:textId="77777777" w:rsidR="003B345D" w:rsidRPr="003B345D" w:rsidRDefault="003B345D" w:rsidP="003B345D">
            <w:pPr>
              <w:pStyle w:val="tabletext"/>
            </w:pPr>
            <w:r w:rsidRPr="003B345D">
              <w:t>Section 450B</w:t>
            </w:r>
          </w:p>
        </w:tc>
      </w:tr>
      <w:tr w:rsidR="003B345D" w:rsidRPr="003B345D" w14:paraId="725A088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1AA4471" w14:textId="77777777" w:rsidR="003B345D" w:rsidRPr="003B345D" w:rsidRDefault="003B345D" w:rsidP="003B345D">
            <w:pPr>
              <w:pStyle w:val="tabletext"/>
              <w:rPr>
                <w:lang w:val="en-US" w:eastAsia="en-US"/>
              </w:rPr>
            </w:pPr>
            <w:r w:rsidRPr="003B345D">
              <w:rPr>
                <w:lang w:val="en-US" w:eastAsia="en-US"/>
              </w:rPr>
              <w:t>701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108F67" w14:textId="77777777" w:rsidR="003B345D" w:rsidRPr="003B345D" w:rsidRDefault="003B345D" w:rsidP="003B345D">
            <w:pPr>
              <w:pStyle w:val="tabletext"/>
            </w:pPr>
            <w:r w:rsidRPr="003B345D">
              <w:t>Paragraph 450B(b)</w:t>
            </w:r>
          </w:p>
        </w:tc>
      </w:tr>
      <w:tr w:rsidR="003B345D" w:rsidRPr="003B345D" w14:paraId="6FB9CCF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3071AE3" w14:textId="77777777" w:rsidR="003B345D" w:rsidRPr="003B345D" w:rsidRDefault="003B345D" w:rsidP="003B345D">
            <w:pPr>
              <w:pStyle w:val="tabletext"/>
              <w:rPr>
                <w:lang w:val="en-US" w:eastAsia="en-US"/>
              </w:rPr>
            </w:pPr>
            <w:r w:rsidRPr="003B345D">
              <w:rPr>
                <w:lang w:val="en-US" w:eastAsia="en-US"/>
              </w:rPr>
              <w:t>703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9F2E23" w14:textId="77777777" w:rsidR="003B345D" w:rsidRPr="003B345D" w:rsidRDefault="003B345D" w:rsidP="003B345D">
            <w:pPr>
              <w:pStyle w:val="tabletext"/>
            </w:pPr>
            <w:r w:rsidRPr="003B345D">
              <w:t>Section 450C</w:t>
            </w:r>
          </w:p>
        </w:tc>
      </w:tr>
      <w:tr w:rsidR="003B345D" w:rsidRPr="003B345D" w14:paraId="0E659C8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5F9A8FA" w14:textId="77777777" w:rsidR="003B345D" w:rsidRPr="003B345D" w:rsidRDefault="003B345D" w:rsidP="003B345D">
            <w:pPr>
              <w:pStyle w:val="tabletext"/>
              <w:rPr>
                <w:lang w:val="en-US" w:eastAsia="en-US"/>
              </w:rPr>
            </w:pPr>
            <w:r w:rsidRPr="003B345D">
              <w:rPr>
                <w:lang w:val="en-US" w:eastAsia="en-US"/>
              </w:rPr>
              <w:t>704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5D458F6" w14:textId="77777777" w:rsidR="003B345D" w:rsidRPr="003B345D" w:rsidRDefault="003B345D" w:rsidP="003B345D">
            <w:pPr>
              <w:pStyle w:val="tabletext"/>
            </w:pPr>
            <w:r w:rsidRPr="003B345D">
              <w:t>Paragraph 450C(a)</w:t>
            </w:r>
          </w:p>
        </w:tc>
      </w:tr>
      <w:tr w:rsidR="003B345D" w:rsidRPr="003B345D" w14:paraId="3E800D2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B339620" w14:textId="77777777" w:rsidR="003B345D" w:rsidRPr="003B345D" w:rsidRDefault="003B345D" w:rsidP="003B345D">
            <w:pPr>
              <w:pStyle w:val="tabletext"/>
              <w:rPr>
                <w:lang w:val="en-US" w:eastAsia="en-US"/>
              </w:rPr>
            </w:pPr>
            <w:r w:rsidRPr="003B345D">
              <w:rPr>
                <w:lang w:val="en-US" w:eastAsia="en-US"/>
              </w:rPr>
              <w:t>706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133FB7" w14:textId="77777777" w:rsidR="003B345D" w:rsidRPr="003B345D" w:rsidRDefault="003B345D" w:rsidP="003B345D">
            <w:pPr>
              <w:pStyle w:val="tabletext"/>
            </w:pPr>
            <w:r w:rsidRPr="003B345D">
              <w:t>Section 450D</w:t>
            </w:r>
          </w:p>
        </w:tc>
      </w:tr>
      <w:tr w:rsidR="003B345D" w:rsidRPr="003B345D" w14:paraId="3D764DF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1853116" w14:textId="77777777" w:rsidR="003B345D" w:rsidRPr="003B345D" w:rsidRDefault="003B345D" w:rsidP="003B345D">
            <w:pPr>
              <w:pStyle w:val="tabletext"/>
              <w:rPr>
                <w:lang w:val="en-US" w:eastAsia="en-US"/>
              </w:rPr>
            </w:pPr>
            <w:r w:rsidRPr="003B345D">
              <w:rPr>
                <w:lang w:val="en-US" w:eastAsia="en-US"/>
              </w:rPr>
              <w:t>707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DB9015D" w14:textId="77777777" w:rsidR="003B345D" w:rsidRPr="003B345D" w:rsidRDefault="003B345D" w:rsidP="003B345D">
            <w:pPr>
              <w:pStyle w:val="tabletext"/>
            </w:pPr>
            <w:r w:rsidRPr="003B345D">
              <w:t>Paragraph 450D(a)</w:t>
            </w:r>
          </w:p>
        </w:tc>
      </w:tr>
      <w:tr w:rsidR="003B345D" w:rsidRPr="003B345D" w14:paraId="7109772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E99B5E6" w14:textId="77777777" w:rsidR="003B345D" w:rsidRPr="003B345D" w:rsidRDefault="003B345D" w:rsidP="003B345D">
            <w:pPr>
              <w:pStyle w:val="tabletext"/>
              <w:rPr>
                <w:lang w:val="en-US" w:eastAsia="en-US"/>
              </w:rPr>
            </w:pPr>
            <w:r w:rsidRPr="003B345D">
              <w:rPr>
                <w:lang w:val="en-US" w:eastAsia="en-US"/>
              </w:rPr>
              <w:t>709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9E42918" w14:textId="77777777" w:rsidR="003B345D" w:rsidRPr="003B345D" w:rsidRDefault="003B345D" w:rsidP="003B345D">
            <w:pPr>
              <w:pStyle w:val="tabletext"/>
            </w:pPr>
            <w:r w:rsidRPr="003B345D">
              <w:t>Subsection 461(2)</w:t>
            </w:r>
          </w:p>
        </w:tc>
      </w:tr>
      <w:tr w:rsidR="003B345D" w:rsidRPr="003B345D" w14:paraId="266CDEF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32DE40C" w14:textId="77777777" w:rsidR="003B345D" w:rsidRPr="003B345D" w:rsidRDefault="003B345D" w:rsidP="003B345D">
            <w:pPr>
              <w:pStyle w:val="tabletext"/>
              <w:rPr>
                <w:lang w:val="en-US" w:eastAsia="en-US"/>
              </w:rPr>
            </w:pPr>
            <w:r w:rsidRPr="003B345D">
              <w:rPr>
                <w:lang w:val="en-US" w:eastAsia="en-US"/>
              </w:rPr>
              <w:lastRenderedPageBreak/>
              <w:t>711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2926D02" w14:textId="77777777" w:rsidR="003B345D" w:rsidRPr="003B345D" w:rsidRDefault="003B345D" w:rsidP="003B345D">
            <w:pPr>
              <w:pStyle w:val="tabletext"/>
            </w:pPr>
            <w:r w:rsidRPr="003B345D">
              <w:t>Paragraph 465A(1)(a)</w:t>
            </w:r>
          </w:p>
        </w:tc>
      </w:tr>
      <w:tr w:rsidR="003B345D" w:rsidRPr="003B345D" w14:paraId="2260866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9B25929" w14:textId="77777777" w:rsidR="003B345D" w:rsidRPr="003B345D" w:rsidRDefault="003B345D" w:rsidP="003B345D">
            <w:pPr>
              <w:pStyle w:val="tabletext"/>
              <w:rPr>
                <w:lang w:val="en-US" w:eastAsia="en-US"/>
              </w:rPr>
            </w:pPr>
            <w:r w:rsidRPr="003B345D">
              <w:rPr>
                <w:lang w:val="en-US" w:eastAsia="en-US"/>
              </w:rPr>
              <w:t>713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1352EA" w14:textId="77777777" w:rsidR="003B345D" w:rsidRPr="003B345D" w:rsidRDefault="003B345D" w:rsidP="003B345D">
            <w:pPr>
              <w:pStyle w:val="tabletext"/>
            </w:pPr>
            <w:r w:rsidRPr="003B345D">
              <w:t>Section 470 (at the end of the heading)</w:t>
            </w:r>
          </w:p>
        </w:tc>
      </w:tr>
      <w:tr w:rsidR="003B345D" w:rsidRPr="003B345D" w14:paraId="4D630E3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C108AAF" w14:textId="77777777" w:rsidR="003B345D" w:rsidRPr="003B345D" w:rsidRDefault="003B345D" w:rsidP="003B345D">
            <w:pPr>
              <w:pStyle w:val="tabletext"/>
              <w:rPr>
                <w:lang w:val="en-US" w:eastAsia="en-US"/>
              </w:rPr>
            </w:pPr>
            <w:r w:rsidRPr="003B345D">
              <w:rPr>
                <w:lang w:val="en-US" w:eastAsia="en-US"/>
              </w:rPr>
              <w:t>714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1A54C0A" w14:textId="77777777" w:rsidR="003B345D" w:rsidRPr="003B345D" w:rsidRDefault="003B345D" w:rsidP="003B345D">
            <w:pPr>
              <w:pStyle w:val="tabletext"/>
            </w:pPr>
            <w:r w:rsidRPr="003B345D">
              <w:t>Subsection 470(1)</w:t>
            </w:r>
          </w:p>
        </w:tc>
      </w:tr>
      <w:tr w:rsidR="003B345D" w:rsidRPr="003B345D" w14:paraId="67FCF1F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C2489F3" w14:textId="77777777" w:rsidR="003B345D" w:rsidRPr="003B345D" w:rsidRDefault="003B345D" w:rsidP="003B345D">
            <w:pPr>
              <w:pStyle w:val="tabletext"/>
              <w:rPr>
                <w:lang w:val="en-US" w:eastAsia="en-US"/>
              </w:rPr>
            </w:pPr>
            <w:r w:rsidRPr="003B345D">
              <w:rPr>
                <w:lang w:val="en-US" w:eastAsia="en-US"/>
              </w:rPr>
              <w:t>715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0CD1DCC" w14:textId="77777777" w:rsidR="003B345D" w:rsidRPr="003B345D" w:rsidRDefault="003B345D" w:rsidP="003B345D">
            <w:pPr>
              <w:pStyle w:val="tabletext"/>
            </w:pPr>
            <w:r w:rsidRPr="003B345D">
              <w:t>Paragraphs 470(1)(a) to (c)</w:t>
            </w:r>
          </w:p>
        </w:tc>
      </w:tr>
      <w:tr w:rsidR="003B345D" w:rsidRPr="003B345D" w14:paraId="41D8545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DDAE51F" w14:textId="77777777" w:rsidR="003B345D" w:rsidRPr="003B345D" w:rsidRDefault="003B345D" w:rsidP="003B345D">
            <w:pPr>
              <w:pStyle w:val="tabletext"/>
              <w:rPr>
                <w:lang w:val="en-US" w:eastAsia="en-US"/>
              </w:rPr>
            </w:pPr>
            <w:r w:rsidRPr="003B345D">
              <w:rPr>
                <w:lang w:val="en-US" w:eastAsia="en-US"/>
              </w:rPr>
              <w:t>716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194BB0B" w14:textId="77777777" w:rsidR="003B345D" w:rsidRPr="003B345D" w:rsidRDefault="003B345D" w:rsidP="003B345D">
            <w:pPr>
              <w:pStyle w:val="tabletext"/>
            </w:pPr>
            <w:r w:rsidRPr="003B345D">
              <w:t>Paragraph 470(2)(a)</w:t>
            </w:r>
          </w:p>
        </w:tc>
      </w:tr>
      <w:tr w:rsidR="003B345D" w:rsidRPr="003B345D" w14:paraId="0A917A3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3274733" w14:textId="77777777" w:rsidR="003B345D" w:rsidRPr="003B345D" w:rsidRDefault="003B345D" w:rsidP="003B345D">
            <w:pPr>
              <w:pStyle w:val="tabletext"/>
              <w:rPr>
                <w:lang w:val="en-US" w:eastAsia="en-US"/>
              </w:rPr>
            </w:pPr>
            <w:r w:rsidRPr="003B345D">
              <w:rPr>
                <w:lang w:val="en-US" w:eastAsia="en-US"/>
              </w:rPr>
              <w:t>718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4E32F11" w14:textId="77777777" w:rsidR="003B345D" w:rsidRPr="003B345D" w:rsidRDefault="003B345D" w:rsidP="003B345D">
            <w:pPr>
              <w:pStyle w:val="tabletext"/>
            </w:pPr>
            <w:r w:rsidRPr="003B345D">
              <w:t>Subsection 474(3)</w:t>
            </w:r>
          </w:p>
        </w:tc>
      </w:tr>
      <w:tr w:rsidR="003B345D" w:rsidRPr="003B345D" w14:paraId="54A0BBE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A0A5E0F" w14:textId="77777777" w:rsidR="003B345D" w:rsidRPr="003B345D" w:rsidRDefault="003B345D" w:rsidP="003B345D">
            <w:pPr>
              <w:pStyle w:val="tabletext"/>
              <w:rPr>
                <w:lang w:val="en-US" w:eastAsia="en-US"/>
              </w:rPr>
            </w:pPr>
            <w:r w:rsidRPr="003B345D">
              <w:rPr>
                <w:lang w:val="en-US" w:eastAsia="en-US"/>
              </w:rPr>
              <w:t>720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AC72344" w14:textId="77777777" w:rsidR="003B345D" w:rsidRPr="003B345D" w:rsidRDefault="003B345D" w:rsidP="003B345D">
            <w:pPr>
              <w:pStyle w:val="tabletext"/>
            </w:pPr>
            <w:r w:rsidRPr="003B345D">
              <w:t>Paragraph 481(5)(b)</w:t>
            </w:r>
          </w:p>
        </w:tc>
      </w:tr>
      <w:tr w:rsidR="003B345D" w:rsidRPr="003B345D" w14:paraId="26BB1C1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5562CDE" w14:textId="77777777" w:rsidR="003B345D" w:rsidRPr="003B345D" w:rsidRDefault="003B345D" w:rsidP="003B345D">
            <w:pPr>
              <w:pStyle w:val="tabletext"/>
              <w:rPr>
                <w:lang w:val="en-US" w:eastAsia="en-US"/>
              </w:rPr>
            </w:pPr>
            <w:r w:rsidRPr="003B345D">
              <w:rPr>
                <w:lang w:val="en-US" w:eastAsia="en-US"/>
              </w:rPr>
              <w:t>721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6041C36" w14:textId="77777777" w:rsidR="003B345D" w:rsidRPr="003B345D" w:rsidRDefault="003B345D" w:rsidP="003B345D">
            <w:pPr>
              <w:pStyle w:val="tabletext"/>
            </w:pPr>
            <w:r w:rsidRPr="003B345D">
              <w:t>Subsection 481(5)</w:t>
            </w:r>
          </w:p>
        </w:tc>
      </w:tr>
      <w:tr w:rsidR="003B345D" w:rsidRPr="003B345D" w14:paraId="4EE9934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3322580" w14:textId="77777777" w:rsidR="003B345D" w:rsidRPr="003B345D" w:rsidRDefault="003B345D" w:rsidP="003B345D">
            <w:pPr>
              <w:pStyle w:val="tabletext"/>
              <w:rPr>
                <w:lang w:val="en-US" w:eastAsia="en-US"/>
              </w:rPr>
            </w:pPr>
            <w:r w:rsidRPr="003B345D">
              <w:rPr>
                <w:lang w:val="en-US" w:eastAsia="en-US"/>
              </w:rPr>
              <w:t>723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5D59CB4" w14:textId="77777777" w:rsidR="003B345D" w:rsidRPr="003B345D" w:rsidRDefault="003B345D" w:rsidP="003B345D">
            <w:pPr>
              <w:pStyle w:val="tabletext"/>
            </w:pPr>
            <w:r w:rsidRPr="003B345D">
              <w:t>Paragraph 482(2A)(b)</w:t>
            </w:r>
          </w:p>
        </w:tc>
      </w:tr>
      <w:tr w:rsidR="003B345D" w:rsidRPr="003B345D" w14:paraId="61A7C62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1C52972" w14:textId="77777777" w:rsidR="003B345D" w:rsidRPr="003B345D" w:rsidRDefault="003B345D" w:rsidP="003B345D">
            <w:pPr>
              <w:pStyle w:val="tabletext"/>
              <w:rPr>
                <w:lang w:val="en-US" w:eastAsia="en-US"/>
              </w:rPr>
            </w:pPr>
            <w:r w:rsidRPr="003B345D">
              <w:rPr>
                <w:lang w:val="en-US" w:eastAsia="en-US"/>
              </w:rPr>
              <w:t>724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3D3DBE6" w14:textId="77777777" w:rsidR="003B345D" w:rsidRPr="003B345D" w:rsidRDefault="003B345D" w:rsidP="003B345D">
            <w:pPr>
              <w:pStyle w:val="tabletext"/>
            </w:pPr>
            <w:r w:rsidRPr="003B345D">
              <w:t>Subsection 482(5)</w:t>
            </w:r>
          </w:p>
        </w:tc>
      </w:tr>
      <w:tr w:rsidR="003B345D" w:rsidRPr="003B345D" w14:paraId="12ACDEA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C6A41A0" w14:textId="77777777" w:rsidR="003B345D" w:rsidRPr="003B345D" w:rsidRDefault="003B345D" w:rsidP="003B345D">
            <w:pPr>
              <w:pStyle w:val="tabletext"/>
              <w:rPr>
                <w:lang w:val="en-US" w:eastAsia="en-US"/>
              </w:rPr>
            </w:pPr>
            <w:r w:rsidRPr="003B345D">
              <w:rPr>
                <w:lang w:val="en-US" w:eastAsia="en-US"/>
              </w:rPr>
              <w:t>726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648772" w14:textId="77777777" w:rsidR="003B345D" w:rsidRPr="003B345D" w:rsidRDefault="003B345D" w:rsidP="003B345D">
            <w:pPr>
              <w:pStyle w:val="tabletext"/>
            </w:pPr>
            <w:r w:rsidRPr="003B345D">
              <w:t>Paragraph 489EA(1)(b)</w:t>
            </w:r>
          </w:p>
        </w:tc>
      </w:tr>
      <w:tr w:rsidR="003B345D" w:rsidRPr="003B345D" w14:paraId="68F09C4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CE790E1" w14:textId="77777777" w:rsidR="003B345D" w:rsidRPr="003B345D" w:rsidRDefault="003B345D" w:rsidP="003B345D">
            <w:pPr>
              <w:pStyle w:val="tabletext"/>
              <w:rPr>
                <w:lang w:val="en-US" w:eastAsia="en-US"/>
              </w:rPr>
            </w:pPr>
            <w:r w:rsidRPr="003B345D">
              <w:rPr>
                <w:lang w:val="en-US" w:eastAsia="en-US"/>
              </w:rPr>
              <w:t>727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AADCF26" w14:textId="77777777" w:rsidR="003B345D" w:rsidRPr="003B345D" w:rsidRDefault="003B345D" w:rsidP="003B345D">
            <w:pPr>
              <w:pStyle w:val="tabletext"/>
            </w:pPr>
            <w:r w:rsidRPr="003B345D">
              <w:t>Paragraph 489EA(3)(a)</w:t>
            </w:r>
          </w:p>
        </w:tc>
      </w:tr>
      <w:tr w:rsidR="003B345D" w:rsidRPr="003B345D" w14:paraId="6BFD0FC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1A72CF9" w14:textId="77777777" w:rsidR="003B345D" w:rsidRPr="003B345D" w:rsidRDefault="003B345D" w:rsidP="003B345D">
            <w:pPr>
              <w:pStyle w:val="tabletext"/>
              <w:rPr>
                <w:lang w:val="en-US" w:eastAsia="en-US"/>
              </w:rPr>
            </w:pPr>
            <w:r w:rsidRPr="003B345D">
              <w:rPr>
                <w:lang w:val="en-US" w:eastAsia="en-US"/>
              </w:rPr>
              <w:t>728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75319C" w14:textId="77777777" w:rsidR="003B345D" w:rsidRPr="003B345D" w:rsidRDefault="003B345D" w:rsidP="003B345D">
            <w:pPr>
              <w:pStyle w:val="tabletext"/>
            </w:pPr>
            <w:r w:rsidRPr="003B345D">
              <w:t>Paragraph 489EA(6)(a)</w:t>
            </w:r>
          </w:p>
        </w:tc>
      </w:tr>
      <w:tr w:rsidR="003B345D" w:rsidRPr="003B345D" w14:paraId="5FC02F7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6523009" w14:textId="77777777" w:rsidR="003B345D" w:rsidRPr="003B345D" w:rsidRDefault="003B345D" w:rsidP="003B345D">
            <w:pPr>
              <w:pStyle w:val="tabletext"/>
              <w:rPr>
                <w:lang w:val="en-US" w:eastAsia="en-US"/>
              </w:rPr>
            </w:pPr>
            <w:r w:rsidRPr="003B345D">
              <w:rPr>
                <w:lang w:val="en-US" w:eastAsia="en-US"/>
              </w:rPr>
              <w:t>729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A09A9B3" w14:textId="77777777" w:rsidR="003B345D" w:rsidRPr="003B345D" w:rsidRDefault="003B345D" w:rsidP="003B345D">
            <w:pPr>
              <w:pStyle w:val="tabletext"/>
            </w:pPr>
            <w:r w:rsidRPr="003B345D">
              <w:t>Subsection 496(7)</w:t>
            </w:r>
          </w:p>
        </w:tc>
      </w:tr>
      <w:tr w:rsidR="003B345D" w:rsidRPr="003B345D" w14:paraId="7B9CC50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AE9B03C" w14:textId="77777777" w:rsidR="003B345D" w:rsidRPr="003B345D" w:rsidRDefault="003B345D" w:rsidP="003B345D">
            <w:pPr>
              <w:pStyle w:val="tabletext"/>
              <w:rPr>
                <w:lang w:val="en-US" w:eastAsia="en-US"/>
              </w:rPr>
            </w:pPr>
            <w:r w:rsidRPr="003B345D">
              <w:rPr>
                <w:lang w:val="en-US" w:eastAsia="en-US"/>
              </w:rPr>
              <w:t>730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21ADCFE" w14:textId="77777777" w:rsidR="003B345D" w:rsidRPr="003B345D" w:rsidRDefault="003B345D" w:rsidP="003B345D">
            <w:pPr>
              <w:pStyle w:val="tabletext"/>
            </w:pPr>
            <w:r w:rsidRPr="003B345D">
              <w:t>Paragraph 497(1)(b)</w:t>
            </w:r>
          </w:p>
        </w:tc>
      </w:tr>
      <w:tr w:rsidR="003B345D" w:rsidRPr="003B345D" w14:paraId="2D73A3F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83F85B1" w14:textId="77777777" w:rsidR="003B345D" w:rsidRPr="003B345D" w:rsidRDefault="003B345D" w:rsidP="003B345D">
            <w:pPr>
              <w:pStyle w:val="tabletext"/>
              <w:rPr>
                <w:lang w:val="en-US" w:eastAsia="en-US"/>
              </w:rPr>
            </w:pPr>
            <w:r w:rsidRPr="003B345D">
              <w:rPr>
                <w:lang w:val="en-US" w:eastAsia="en-US"/>
              </w:rPr>
              <w:t>733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F8C392" w14:textId="77777777" w:rsidR="003B345D" w:rsidRPr="003B345D" w:rsidRDefault="003B345D" w:rsidP="003B345D">
            <w:pPr>
              <w:pStyle w:val="tabletext"/>
            </w:pPr>
            <w:r w:rsidRPr="003B345D">
              <w:t>Subsection 506(1B)</w:t>
            </w:r>
          </w:p>
        </w:tc>
      </w:tr>
      <w:tr w:rsidR="003B345D" w:rsidRPr="003B345D" w14:paraId="66B15DD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864F73E" w14:textId="77777777" w:rsidR="003B345D" w:rsidRPr="003B345D" w:rsidRDefault="003B345D" w:rsidP="003B345D">
            <w:pPr>
              <w:pStyle w:val="tabletext"/>
              <w:rPr>
                <w:lang w:val="en-US" w:eastAsia="en-US"/>
              </w:rPr>
            </w:pPr>
            <w:r w:rsidRPr="003B345D">
              <w:rPr>
                <w:lang w:val="en-US" w:eastAsia="en-US"/>
              </w:rPr>
              <w:t>735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46DE32F" w14:textId="77777777" w:rsidR="003B345D" w:rsidRPr="003B345D" w:rsidRDefault="003B345D" w:rsidP="003B345D">
            <w:pPr>
              <w:pStyle w:val="tabletext"/>
            </w:pPr>
            <w:r w:rsidRPr="003B345D">
              <w:t>Subsection 506A(3)</w:t>
            </w:r>
          </w:p>
        </w:tc>
      </w:tr>
      <w:tr w:rsidR="003B345D" w:rsidRPr="003B345D" w14:paraId="7710FC7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D6AAE51" w14:textId="77777777" w:rsidR="003B345D" w:rsidRPr="003B345D" w:rsidRDefault="003B345D" w:rsidP="003B345D">
            <w:pPr>
              <w:pStyle w:val="tabletext"/>
              <w:rPr>
                <w:lang w:val="en-US" w:eastAsia="en-US"/>
              </w:rPr>
            </w:pPr>
            <w:r w:rsidRPr="003B345D">
              <w:rPr>
                <w:lang w:val="en-US" w:eastAsia="en-US"/>
              </w:rPr>
              <w:t>736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0AE3AC2" w14:textId="77777777" w:rsidR="003B345D" w:rsidRPr="003B345D" w:rsidRDefault="003B345D" w:rsidP="003B345D">
            <w:pPr>
              <w:pStyle w:val="tabletext"/>
            </w:pPr>
            <w:r w:rsidRPr="003B345D">
              <w:t>Subsection 506A(6)</w:t>
            </w:r>
          </w:p>
        </w:tc>
      </w:tr>
      <w:tr w:rsidR="003B345D" w:rsidRPr="003B345D" w14:paraId="068385F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1B15E54" w14:textId="77777777" w:rsidR="003B345D" w:rsidRPr="003B345D" w:rsidRDefault="003B345D" w:rsidP="003B345D">
            <w:pPr>
              <w:pStyle w:val="tabletext"/>
              <w:rPr>
                <w:lang w:val="en-US" w:eastAsia="en-US"/>
              </w:rPr>
            </w:pPr>
            <w:r w:rsidRPr="003B345D">
              <w:rPr>
                <w:lang w:val="en-US" w:eastAsia="en-US"/>
              </w:rPr>
              <w:t>737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C7CB047" w14:textId="77777777" w:rsidR="003B345D" w:rsidRPr="003B345D" w:rsidRDefault="003B345D" w:rsidP="003B345D">
            <w:pPr>
              <w:pStyle w:val="tabletext"/>
            </w:pPr>
            <w:r w:rsidRPr="003B345D">
              <w:t>Subsection 507(11)</w:t>
            </w:r>
          </w:p>
        </w:tc>
      </w:tr>
      <w:tr w:rsidR="003B345D" w:rsidRPr="003B345D" w14:paraId="48CCC1A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EB7E77D" w14:textId="77777777" w:rsidR="003B345D" w:rsidRPr="003B345D" w:rsidRDefault="003B345D" w:rsidP="003B345D">
            <w:pPr>
              <w:pStyle w:val="tabletext"/>
              <w:rPr>
                <w:lang w:val="en-US" w:eastAsia="en-US"/>
              </w:rPr>
            </w:pPr>
            <w:r w:rsidRPr="003B345D">
              <w:rPr>
                <w:lang w:val="en-US" w:eastAsia="en-US"/>
              </w:rPr>
              <w:t>739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38A988" w14:textId="77777777" w:rsidR="003B345D" w:rsidRPr="003B345D" w:rsidRDefault="003B345D" w:rsidP="003B345D">
            <w:pPr>
              <w:pStyle w:val="tabletext"/>
            </w:pPr>
            <w:r w:rsidRPr="003B345D">
              <w:t>Subsection 509(1) (heading)</w:t>
            </w:r>
          </w:p>
        </w:tc>
      </w:tr>
      <w:tr w:rsidR="003B345D" w:rsidRPr="003B345D" w14:paraId="5484B92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22E68F4" w14:textId="77777777" w:rsidR="003B345D" w:rsidRPr="003B345D" w:rsidRDefault="003B345D" w:rsidP="003B345D">
            <w:pPr>
              <w:pStyle w:val="tabletext"/>
              <w:rPr>
                <w:lang w:val="en-US" w:eastAsia="en-US"/>
              </w:rPr>
            </w:pPr>
            <w:r w:rsidRPr="003B345D">
              <w:rPr>
                <w:lang w:val="en-US" w:eastAsia="en-US"/>
              </w:rPr>
              <w:t>740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97D3C71" w14:textId="77777777" w:rsidR="003B345D" w:rsidRPr="003B345D" w:rsidRDefault="003B345D" w:rsidP="003B345D">
            <w:pPr>
              <w:pStyle w:val="tabletext"/>
            </w:pPr>
            <w:r w:rsidRPr="003B345D">
              <w:t>Subsection 509(1)</w:t>
            </w:r>
          </w:p>
        </w:tc>
      </w:tr>
      <w:tr w:rsidR="003B345D" w:rsidRPr="003B345D" w14:paraId="2390501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2C001FC" w14:textId="77777777" w:rsidR="003B345D" w:rsidRPr="003B345D" w:rsidRDefault="003B345D" w:rsidP="003B345D">
            <w:pPr>
              <w:pStyle w:val="tabletext"/>
              <w:rPr>
                <w:lang w:val="en-US" w:eastAsia="en-US"/>
              </w:rPr>
            </w:pPr>
            <w:r w:rsidRPr="003B345D">
              <w:rPr>
                <w:lang w:val="en-US" w:eastAsia="en-US"/>
              </w:rPr>
              <w:t>741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B18DAD8" w14:textId="77777777" w:rsidR="003B345D" w:rsidRPr="003B345D" w:rsidRDefault="003B345D" w:rsidP="003B345D">
            <w:pPr>
              <w:pStyle w:val="tabletext"/>
            </w:pPr>
            <w:r w:rsidRPr="003B345D">
              <w:t>Subsection 509(1)</w:t>
            </w:r>
          </w:p>
        </w:tc>
      </w:tr>
      <w:tr w:rsidR="003B345D" w:rsidRPr="003B345D" w14:paraId="6A455C9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25D2EA3" w14:textId="77777777" w:rsidR="003B345D" w:rsidRPr="003B345D" w:rsidRDefault="003B345D" w:rsidP="003B345D">
            <w:pPr>
              <w:pStyle w:val="tabletext"/>
              <w:rPr>
                <w:lang w:val="en-US" w:eastAsia="en-US"/>
              </w:rPr>
            </w:pPr>
            <w:r w:rsidRPr="003B345D">
              <w:rPr>
                <w:lang w:val="en-US" w:eastAsia="en-US"/>
              </w:rPr>
              <w:t>742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D30A76" w14:textId="77777777" w:rsidR="003B345D" w:rsidRPr="003B345D" w:rsidRDefault="003B345D" w:rsidP="003B345D">
            <w:pPr>
              <w:pStyle w:val="tabletext"/>
            </w:pPr>
            <w:r w:rsidRPr="003B345D">
              <w:t>Subsection 509(2) (heading)</w:t>
            </w:r>
          </w:p>
        </w:tc>
      </w:tr>
      <w:tr w:rsidR="003B345D" w:rsidRPr="003B345D" w14:paraId="24E28A1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1FE9D60" w14:textId="77777777" w:rsidR="003B345D" w:rsidRPr="003B345D" w:rsidRDefault="003B345D" w:rsidP="003B345D">
            <w:pPr>
              <w:pStyle w:val="tabletext"/>
              <w:rPr>
                <w:lang w:val="en-US" w:eastAsia="en-US"/>
              </w:rPr>
            </w:pPr>
            <w:r w:rsidRPr="003B345D">
              <w:rPr>
                <w:lang w:val="en-US" w:eastAsia="en-US"/>
              </w:rPr>
              <w:t>743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FE8110B" w14:textId="77777777" w:rsidR="003B345D" w:rsidRPr="003B345D" w:rsidRDefault="003B345D" w:rsidP="003B345D">
            <w:pPr>
              <w:pStyle w:val="tabletext"/>
            </w:pPr>
            <w:r w:rsidRPr="003B345D">
              <w:t>Subsection 509(2)</w:t>
            </w:r>
          </w:p>
        </w:tc>
      </w:tr>
      <w:tr w:rsidR="003B345D" w:rsidRPr="003B345D" w14:paraId="66236A2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1D7B26D" w14:textId="77777777" w:rsidR="003B345D" w:rsidRPr="003B345D" w:rsidRDefault="003B345D" w:rsidP="003B345D">
            <w:pPr>
              <w:pStyle w:val="tabletext"/>
              <w:rPr>
                <w:lang w:val="en-US" w:eastAsia="en-US"/>
              </w:rPr>
            </w:pPr>
            <w:r w:rsidRPr="003B345D">
              <w:rPr>
                <w:lang w:val="en-US" w:eastAsia="en-US"/>
              </w:rPr>
              <w:t>744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AE4C9ED" w14:textId="77777777" w:rsidR="003B345D" w:rsidRPr="003B345D" w:rsidRDefault="003B345D" w:rsidP="003B345D">
            <w:pPr>
              <w:pStyle w:val="tabletext"/>
            </w:pPr>
            <w:r w:rsidRPr="003B345D">
              <w:t>Subsection 509(3)</w:t>
            </w:r>
          </w:p>
        </w:tc>
      </w:tr>
      <w:tr w:rsidR="003B345D" w:rsidRPr="003B345D" w14:paraId="70DE27A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7AB5684" w14:textId="77777777" w:rsidR="003B345D" w:rsidRPr="003B345D" w:rsidRDefault="003B345D" w:rsidP="003B345D">
            <w:pPr>
              <w:pStyle w:val="tabletext"/>
              <w:rPr>
                <w:lang w:val="en-US" w:eastAsia="en-US"/>
              </w:rPr>
            </w:pPr>
            <w:r w:rsidRPr="003B345D">
              <w:rPr>
                <w:lang w:val="en-US" w:eastAsia="en-US"/>
              </w:rPr>
              <w:t>746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32300B1" w14:textId="77777777" w:rsidR="003B345D" w:rsidRPr="003B345D" w:rsidRDefault="003B345D" w:rsidP="003B345D">
            <w:pPr>
              <w:pStyle w:val="tabletext"/>
            </w:pPr>
            <w:r w:rsidRPr="003B345D">
              <w:t>Subsection 510(1A)</w:t>
            </w:r>
          </w:p>
        </w:tc>
      </w:tr>
      <w:tr w:rsidR="003B345D" w:rsidRPr="003B345D" w14:paraId="7FF89BD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5A3B844" w14:textId="77777777" w:rsidR="003B345D" w:rsidRPr="003B345D" w:rsidRDefault="003B345D" w:rsidP="003B345D">
            <w:pPr>
              <w:pStyle w:val="tabletext"/>
              <w:rPr>
                <w:lang w:val="en-US" w:eastAsia="en-US"/>
              </w:rPr>
            </w:pPr>
            <w:r w:rsidRPr="003B345D">
              <w:rPr>
                <w:lang w:val="en-US" w:eastAsia="en-US"/>
              </w:rPr>
              <w:t>748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4E0D282" w14:textId="77777777" w:rsidR="003B345D" w:rsidRPr="003B345D" w:rsidRDefault="003B345D" w:rsidP="003B345D">
            <w:pPr>
              <w:pStyle w:val="tabletext"/>
            </w:pPr>
            <w:r w:rsidRPr="003B345D">
              <w:t>Paragraph 533(1)(d)</w:t>
            </w:r>
          </w:p>
        </w:tc>
      </w:tr>
      <w:tr w:rsidR="003B345D" w:rsidRPr="003B345D" w14:paraId="6B82062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F7F8668" w14:textId="77777777" w:rsidR="003B345D" w:rsidRPr="003B345D" w:rsidRDefault="003B345D" w:rsidP="003B345D">
            <w:pPr>
              <w:pStyle w:val="tabletext"/>
              <w:rPr>
                <w:lang w:val="en-US" w:eastAsia="en-US"/>
              </w:rPr>
            </w:pPr>
            <w:r w:rsidRPr="003B345D">
              <w:rPr>
                <w:lang w:val="en-US" w:eastAsia="en-US"/>
              </w:rPr>
              <w:t>751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A5434FF" w14:textId="77777777" w:rsidR="003B345D" w:rsidRPr="003B345D" w:rsidRDefault="003B345D" w:rsidP="003B345D">
            <w:pPr>
              <w:pStyle w:val="tabletext"/>
            </w:pPr>
            <w:r w:rsidRPr="003B345D">
              <w:t>Subsection 545(3)</w:t>
            </w:r>
          </w:p>
        </w:tc>
      </w:tr>
      <w:tr w:rsidR="003B345D" w:rsidRPr="003B345D" w14:paraId="399E41E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6331F78" w14:textId="77777777" w:rsidR="003B345D" w:rsidRPr="003B345D" w:rsidRDefault="003B345D" w:rsidP="003B345D">
            <w:pPr>
              <w:pStyle w:val="tabletext"/>
              <w:rPr>
                <w:lang w:val="en-US" w:eastAsia="en-US"/>
              </w:rPr>
            </w:pPr>
            <w:r w:rsidRPr="003B345D">
              <w:rPr>
                <w:lang w:val="en-US" w:eastAsia="en-US"/>
              </w:rPr>
              <w:t>752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24B30DD" w14:textId="77777777" w:rsidR="003B345D" w:rsidRPr="003B345D" w:rsidRDefault="003B345D" w:rsidP="003B345D">
            <w:pPr>
              <w:pStyle w:val="tabletext"/>
            </w:pPr>
            <w:r w:rsidRPr="003B345D">
              <w:t>Paragraph 568A(1)(a)</w:t>
            </w:r>
          </w:p>
        </w:tc>
      </w:tr>
      <w:tr w:rsidR="003B345D" w:rsidRPr="003B345D" w14:paraId="77F67CD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7536742" w14:textId="77777777" w:rsidR="003B345D" w:rsidRPr="003B345D" w:rsidRDefault="003B345D" w:rsidP="003B345D">
            <w:pPr>
              <w:pStyle w:val="tabletext"/>
              <w:rPr>
                <w:lang w:val="en-US" w:eastAsia="en-US"/>
              </w:rPr>
            </w:pPr>
            <w:r w:rsidRPr="003B345D">
              <w:rPr>
                <w:lang w:val="en-US" w:eastAsia="en-US"/>
              </w:rPr>
              <w:t>754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5ACF9C3" w14:textId="77777777" w:rsidR="003B345D" w:rsidRPr="003B345D" w:rsidRDefault="003B345D" w:rsidP="003B345D">
            <w:pPr>
              <w:pStyle w:val="tabletext"/>
            </w:pPr>
            <w:r w:rsidRPr="003B345D">
              <w:t>Paragraph 568B(1)(a)</w:t>
            </w:r>
          </w:p>
        </w:tc>
      </w:tr>
      <w:tr w:rsidR="003B345D" w:rsidRPr="003B345D" w14:paraId="6631447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61F22A3" w14:textId="77777777" w:rsidR="003B345D" w:rsidRPr="003B345D" w:rsidRDefault="003B345D" w:rsidP="003B345D">
            <w:pPr>
              <w:pStyle w:val="tabletext"/>
              <w:rPr>
                <w:lang w:val="en-US" w:eastAsia="en-US"/>
              </w:rPr>
            </w:pPr>
            <w:r w:rsidRPr="003B345D">
              <w:rPr>
                <w:lang w:val="en-US" w:eastAsia="en-US"/>
              </w:rPr>
              <w:t>755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380906C" w14:textId="77777777" w:rsidR="003B345D" w:rsidRPr="003B345D" w:rsidRDefault="003B345D" w:rsidP="003B345D">
            <w:pPr>
              <w:pStyle w:val="tabletext"/>
            </w:pPr>
            <w:r w:rsidRPr="003B345D">
              <w:t>Paragraph 568B(1)(c)</w:t>
            </w:r>
          </w:p>
        </w:tc>
      </w:tr>
      <w:tr w:rsidR="003B345D" w:rsidRPr="003B345D" w14:paraId="2669A93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B1C8324" w14:textId="77777777" w:rsidR="003B345D" w:rsidRPr="003B345D" w:rsidRDefault="003B345D" w:rsidP="003B345D">
            <w:pPr>
              <w:pStyle w:val="tabletext"/>
              <w:rPr>
                <w:lang w:val="en-US" w:eastAsia="en-US"/>
              </w:rPr>
            </w:pPr>
            <w:r w:rsidRPr="003B345D">
              <w:rPr>
                <w:lang w:val="en-US" w:eastAsia="en-US"/>
              </w:rPr>
              <w:t>756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DFC3DC" w14:textId="77777777" w:rsidR="003B345D" w:rsidRPr="003B345D" w:rsidRDefault="003B345D" w:rsidP="003B345D">
            <w:pPr>
              <w:pStyle w:val="tabletext"/>
            </w:pPr>
            <w:r w:rsidRPr="003B345D">
              <w:t>Paragraphs 568C(3)(a) and (b)</w:t>
            </w:r>
          </w:p>
        </w:tc>
      </w:tr>
      <w:tr w:rsidR="003B345D" w:rsidRPr="003B345D" w14:paraId="7298C09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E8D51BC" w14:textId="77777777" w:rsidR="003B345D" w:rsidRPr="003B345D" w:rsidRDefault="003B345D" w:rsidP="003B345D">
            <w:pPr>
              <w:pStyle w:val="tabletext"/>
              <w:rPr>
                <w:lang w:val="en-US" w:eastAsia="en-US"/>
              </w:rPr>
            </w:pPr>
            <w:r w:rsidRPr="003B345D">
              <w:rPr>
                <w:lang w:val="en-US" w:eastAsia="en-US"/>
              </w:rPr>
              <w:t>757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E858053" w14:textId="77777777" w:rsidR="003B345D" w:rsidRPr="003B345D" w:rsidRDefault="003B345D" w:rsidP="003B345D">
            <w:pPr>
              <w:pStyle w:val="tabletext"/>
            </w:pPr>
            <w:r w:rsidRPr="003B345D">
              <w:t>Subsection 573(1)</w:t>
            </w:r>
          </w:p>
        </w:tc>
      </w:tr>
      <w:tr w:rsidR="003B345D" w:rsidRPr="003B345D" w14:paraId="3911541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922971C" w14:textId="77777777" w:rsidR="003B345D" w:rsidRPr="003B345D" w:rsidRDefault="003B345D" w:rsidP="003B345D">
            <w:pPr>
              <w:pStyle w:val="tabletext"/>
              <w:rPr>
                <w:lang w:val="en-US" w:eastAsia="en-US"/>
              </w:rPr>
            </w:pPr>
            <w:r w:rsidRPr="003B345D">
              <w:rPr>
                <w:lang w:val="en-US" w:eastAsia="en-US"/>
              </w:rPr>
              <w:t>758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F0BF70B" w14:textId="77777777" w:rsidR="003B345D" w:rsidRPr="003B345D" w:rsidRDefault="003B345D" w:rsidP="003B345D">
            <w:pPr>
              <w:pStyle w:val="tabletext"/>
            </w:pPr>
            <w:r w:rsidRPr="003B345D">
              <w:t>Subsection 573(2)</w:t>
            </w:r>
          </w:p>
        </w:tc>
      </w:tr>
      <w:tr w:rsidR="003B345D" w:rsidRPr="003B345D" w14:paraId="4752261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8D3A9D4" w14:textId="77777777" w:rsidR="003B345D" w:rsidRPr="003B345D" w:rsidRDefault="003B345D" w:rsidP="003B345D">
            <w:pPr>
              <w:pStyle w:val="tabletext"/>
              <w:rPr>
                <w:lang w:val="en-US" w:eastAsia="en-US"/>
              </w:rPr>
            </w:pPr>
            <w:r w:rsidRPr="003B345D">
              <w:rPr>
                <w:lang w:val="en-US" w:eastAsia="en-US"/>
              </w:rPr>
              <w:t>759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B27220E" w14:textId="77777777" w:rsidR="003B345D" w:rsidRPr="003B345D" w:rsidRDefault="003B345D" w:rsidP="003B345D">
            <w:pPr>
              <w:pStyle w:val="tabletext"/>
            </w:pPr>
            <w:r w:rsidRPr="003B345D">
              <w:t>Paragraph 579A(3)(a)</w:t>
            </w:r>
          </w:p>
        </w:tc>
      </w:tr>
      <w:tr w:rsidR="003B345D" w:rsidRPr="003B345D" w14:paraId="5DCE9B3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58CF4C3" w14:textId="77777777" w:rsidR="003B345D" w:rsidRPr="003B345D" w:rsidRDefault="003B345D" w:rsidP="003B345D">
            <w:pPr>
              <w:pStyle w:val="tabletext"/>
              <w:rPr>
                <w:lang w:val="en-US" w:eastAsia="en-US"/>
              </w:rPr>
            </w:pPr>
            <w:r w:rsidRPr="003B345D">
              <w:rPr>
                <w:lang w:val="en-US" w:eastAsia="en-US"/>
              </w:rPr>
              <w:t>761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96A897" w14:textId="77777777" w:rsidR="003B345D" w:rsidRPr="003B345D" w:rsidRDefault="003B345D" w:rsidP="003B345D">
            <w:pPr>
              <w:pStyle w:val="tabletext"/>
            </w:pPr>
            <w:r w:rsidRPr="003B345D">
              <w:t>Paragraph 579B(3)(a)</w:t>
            </w:r>
          </w:p>
        </w:tc>
      </w:tr>
      <w:tr w:rsidR="003B345D" w:rsidRPr="003B345D" w14:paraId="48814B6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A24AE0C" w14:textId="77777777" w:rsidR="003B345D" w:rsidRPr="003B345D" w:rsidRDefault="003B345D" w:rsidP="003B345D">
            <w:pPr>
              <w:pStyle w:val="tabletext"/>
              <w:rPr>
                <w:lang w:val="en-US" w:eastAsia="en-US"/>
              </w:rPr>
            </w:pPr>
            <w:r w:rsidRPr="003B345D">
              <w:rPr>
                <w:lang w:val="en-US" w:eastAsia="en-US"/>
              </w:rPr>
              <w:t>763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C35D6E1" w14:textId="77777777" w:rsidR="003B345D" w:rsidRPr="003B345D" w:rsidRDefault="003B345D" w:rsidP="003B345D">
            <w:pPr>
              <w:pStyle w:val="tabletext"/>
            </w:pPr>
            <w:r w:rsidRPr="003B345D">
              <w:t>Paragraph 579C(5)(a)</w:t>
            </w:r>
          </w:p>
        </w:tc>
      </w:tr>
      <w:tr w:rsidR="003B345D" w:rsidRPr="003B345D" w14:paraId="1529DE2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335B9AF" w14:textId="77777777" w:rsidR="003B345D" w:rsidRPr="003B345D" w:rsidRDefault="003B345D" w:rsidP="003B345D">
            <w:pPr>
              <w:pStyle w:val="tabletext"/>
              <w:rPr>
                <w:lang w:val="en-US" w:eastAsia="en-US"/>
              </w:rPr>
            </w:pPr>
            <w:r w:rsidRPr="003B345D">
              <w:rPr>
                <w:lang w:val="en-US" w:eastAsia="en-US"/>
              </w:rPr>
              <w:t>765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212233" w14:textId="77777777" w:rsidR="003B345D" w:rsidRPr="003B345D" w:rsidRDefault="003B345D" w:rsidP="003B345D">
            <w:pPr>
              <w:pStyle w:val="tabletext"/>
            </w:pPr>
            <w:r w:rsidRPr="003B345D">
              <w:t>Paragraph 579C(6)(a)</w:t>
            </w:r>
          </w:p>
        </w:tc>
      </w:tr>
      <w:tr w:rsidR="003B345D" w:rsidRPr="003B345D" w14:paraId="2C76050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23BB5DE" w14:textId="77777777" w:rsidR="003B345D" w:rsidRPr="003B345D" w:rsidRDefault="003B345D" w:rsidP="003B345D">
            <w:pPr>
              <w:pStyle w:val="tabletext"/>
              <w:rPr>
                <w:lang w:val="en-US" w:eastAsia="en-US"/>
              </w:rPr>
            </w:pPr>
            <w:r w:rsidRPr="003B345D">
              <w:rPr>
                <w:lang w:val="en-US" w:eastAsia="en-US"/>
              </w:rPr>
              <w:t>767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BCAE42" w14:textId="77777777" w:rsidR="003B345D" w:rsidRPr="003B345D" w:rsidRDefault="003B345D" w:rsidP="003B345D">
            <w:pPr>
              <w:pStyle w:val="tabletext"/>
            </w:pPr>
            <w:r w:rsidRPr="003B345D">
              <w:t>Paragraph 579C(7)(a)</w:t>
            </w:r>
          </w:p>
        </w:tc>
      </w:tr>
      <w:tr w:rsidR="003B345D" w:rsidRPr="003B345D" w14:paraId="513A51C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6ACA3DB" w14:textId="77777777" w:rsidR="003B345D" w:rsidRPr="003B345D" w:rsidRDefault="003B345D" w:rsidP="003B345D">
            <w:pPr>
              <w:pStyle w:val="tabletext"/>
              <w:rPr>
                <w:lang w:val="en-US" w:eastAsia="en-US"/>
              </w:rPr>
            </w:pPr>
            <w:r w:rsidRPr="003B345D">
              <w:rPr>
                <w:lang w:val="en-US" w:eastAsia="en-US"/>
              </w:rPr>
              <w:t>769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816E41E" w14:textId="77777777" w:rsidR="003B345D" w:rsidRPr="003B345D" w:rsidRDefault="003B345D" w:rsidP="003B345D">
            <w:pPr>
              <w:pStyle w:val="tabletext"/>
            </w:pPr>
            <w:r w:rsidRPr="003B345D">
              <w:t>Subsections 579E(13), 579F(3), 579G(8) and 579H(5) and</w:t>
            </w:r>
          </w:p>
        </w:tc>
      </w:tr>
      <w:tr w:rsidR="003B345D" w:rsidRPr="003B345D" w14:paraId="784D877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55F2072" w14:textId="77777777" w:rsidR="003B345D" w:rsidRPr="003B345D" w:rsidRDefault="003B345D" w:rsidP="003B345D">
            <w:pPr>
              <w:pStyle w:val="tabletext"/>
              <w:rPr>
                <w:lang w:val="en-US" w:eastAsia="en-US"/>
              </w:rPr>
            </w:pPr>
            <w:r w:rsidRPr="003B345D">
              <w:rPr>
                <w:lang w:val="en-US" w:eastAsia="en-US"/>
              </w:rPr>
              <w:t>770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D6C8C41" w14:textId="77777777" w:rsidR="003B345D" w:rsidRPr="003B345D" w:rsidRDefault="003B345D" w:rsidP="003B345D">
            <w:pPr>
              <w:pStyle w:val="tabletext"/>
            </w:pPr>
            <w:r w:rsidRPr="003B345D">
              <w:t>Paragraph 589(3)(a)</w:t>
            </w:r>
          </w:p>
        </w:tc>
      </w:tr>
      <w:tr w:rsidR="003B345D" w:rsidRPr="003B345D" w14:paraId="3B19A2E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1527848" w14:textId="77777777" w:rsidR="003B345D" w:rsidRPr="003B345D" w:rsidRDefault="003B345D" w:rsidP="003B345D">
            <w:pPr>
              <w:pStyle w:val="tabletext"/>
              <w:rPr>
                <w:lang w:val="en-US" w:eastAsia="en-US"/>
              </w:rPr>
            </w:pPr>
            <w:r w:rsidRPr="003B345D">
              <w:rPr>
                <w:lang w:val="en-US" w:eastAsia="en-US"/>
              </w:rPr>
              <w:t>771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3DD47D5" w14:textId="77777777" w:rsidR="003B345D" w:rsidRPr="003B345D" w:rsidRDefault="003B345D" w:rsidP="003B345D">
            <w:pPr>
              <w:pStyle w:val="tabletext"/>
            </w:pPr>
            <w:r w:rsidRPr="003B345D">
              <w:t>Paragraph 589(3)(a)</w:t>
            </w:r>
          </w:p>
        </w:tc>
      </w:tr>
      <w:tr w:rsidR="00947E92" w:rsidRPr="003B345D" w14:paraId="29BACF2F"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10A51F9F" w14:textId="77777777" w:rsidR="00947E92" w:rsidRPr="006B273B" w:rsidRDefault="00947E92" w:rsidP="003B345D">
            <w:pPr>
              <w:pStyle w:val="tabletext"/>
              <w:rPr>
                <w:b/>
              </w:rPr>
            </w:pPr>
            <w:r w:rsidRPr="006B273B">
              <w:rPr>
                <w:b/>
              </w:rPr>
              <w:t>Income Tax Assessment Act 1997</w:t>
            </w:r>
          </w:p>
        </w:tc>
      </w:tr>
      <w:tr w:rsidR="003B345D" w:rsidRPr="003B345D" w14:paraId="7AC6843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EAB0F4B" w14:textId="77777777" w:rsidR="003B345D" w:rsidRPr="003B345D" w:rsidRDefault="003B345D" w:rsidP="003B345D">
            <w:pPr>
              <w:pStyle w:val="tabletext"/>
              <w:rPr>
                <w:lang w:val="en-US" w:eastAsia="en-US"/>
              </w:rPr>
            </w:pPr>
            <w:r w:rsidRPr="003B345D">
              <w:rPr>
                <w:lang w:val="en-US" w:eastAsia="en-US"/>
              </w:rPr>
              <w:lastRenderedPageBreak/>
              <w:t>772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376AC8E" w14:textId="77777777" w:rsidR="003B345D" w:rsidRPr="003B345D" w:rsidRDefault="003B345D" w:rsidP="003B345D">
            <w:pPr>
              <w:pStyle w:val="tabletext"/>
            </w:pPr>
            <w:r w:rsidRPr="003B345D">
              <w:t>Subsection 30-5(4AA) (note)</w:t>
            </w:r>
          </w:p>
        </w:tc>
      </w:tr>
      <w:tr w:rsidR="003B345D" w:rsidRPr="003B345D" w14:paraId="6FB9329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CCC5BB9" w14:textId="77777777" w:rsidR="003B345D" w:rsidRPr="003B345D" w:rsidRDefault="003B345D" w:rsidP="003B345D">
            <w:pPr>
              <w:pStyle w:val="tabletext"/>
              <w:rPr>
                <w:lang w:val="en-US" w:eastAsia="en-US"/>
              </w:rPr>
            </w:pPr>
            <w:r w:rsidRPr="003B345D">
              <w:rPr>
                <w:lang w:val="en-US" w:eastAsia="en-US"/>
              </w:rPr>
              <w:t>773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6E7A532" w14:textId="77777777" w:rsidR="003B345D" w:rsidRPr="003B345D" w:rsidRDefault="003B345D" w:rsidP="003B345D">
            <w:pPr>
              <w:pStyle w:val="tabletext"/>
            </w:pPr>
            <w:r w:rsidRPr="003B345D">
              <w:t>Paragraph 30-5(4AB)(b)</w:t>
            </w:r>
          </w:p>
        </w:tc>
      </w:tr>
      <w:tr w:rsidR="003B345D" w:rsidRPr="003B345D" w14:paraId="2388A3D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ED703B4" w14:textId="77777777" w:rsidR="003B345D" w:rsidRPr="003B345D" w:rsidRDefault="003B345D" w:rsidP="003B345D">
            <w:pPr>
              <w:pStyle w:val="tabletext"/>
              <w:rPr>
                <w:lang w:val="en-US" w:eastAsia="en-US"/>
              </w:rPr>
            </w:pPr>
            <w:r w:rsidRPr="003B345D">
              <w:rPr>
                <w:lang w:val="en-US" w:eastAsia="en-US"/>
              </w:rPr>
              <w:t>774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9B5EE6E" w14:textId="77777777" w:rsidR="003B345D" w:rsidRPr="003B345D" w:rsidRDefault="003B345D" w:rsidP="003B345D">
            <w:pPr>
              <w:pStyle w:val="tabletext"/>
            </w:pPr>
            <w:r w:rsidRPr="003B345D">
              <w:t>Section 30-226</w:t>
            </w:r>
          </w:p>
        </w:tc>
      </w:tr>
      <w:tr w:rsidR="003B345D" w:rsidRPr="003B345D" w14:paraId="1F25628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C032E13" w14:textId="77777777" w:rsidR="003B345D" w:rsidRPr="003B345D" w:rsidRDefault="003B345D" w:rsidP="003B345D">
            <w:pPr>
              <w:pStyle w:val="tabletext"/>
              <w:rPr>
                <w:lang w:val="en-US" w:eastAsia="en-US"/>
              </w:rPr>
            </w:pPr>
            <w:r w:rsidRPr="003B345D">
              <w:rPr>
                <w:lang w:val="en-US" w:eastAsia="en-US"/>
              </w:rPr>
              <w:t>775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10B721C" w14:textId="77777777" w:rsidR="003B345D" w:rsidRPr="003B345D" w:rsidRDefault="003B345D" w:rsidP="003B345D">
            <w:pPr>
              <w:pStyle w:val="tabletext"/>
            </w:pPr>
            <w:r w:rsidRPr="003B345D">
              <w:t>Section 30-229 (heading)</w:t>
            </w:r>
          </w:p>
        </w:tc>
      </w:tr>
      <w:tr w:rsidR="003B345D" w:rsidRPr="003B345D" w14:paraId="45126D0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841C462" w14:textId="77777777" w:rsidR="003B345D" w:rsidRPr="003B345D" w:rsidRDefault="003B345D" w:rsidP="003B345D">
            <w:pPr>
              <w:pStyle w:val="tabletext"/>
              <w:rPr>
                <w:lang w:val="en-US" w:eastAsia="en-US"/>
              </w:rPr>
            </w:pPr>
            <w:r w:rsidRPr="003B345D">
              <w:rPr>
                <w:lang w:val="en-US" w:eastAsia="en-US"/>
              </w:rPr>
              <w:t>776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E17E0A9" w14:textId="77777777" w:rsidR="003B345D" w:rsidRPr="003B345D" w:rsidRDefault="003B345D" w:rsidP="003B345D">
            <w:pPr>
              <w:pStyle w:val="tabletext"/>
            </w:pPr>
            <w:r w:rsidRPr="003B345D">
              <w:t>Subsection 30-229(1)</w:t>
            </w:r>
          </w:p>
        </w:tc>
      </w:tr>
      <w:tr w:rsidR="003B345D" w:rsidRPr="003B345D" w14:paraId="5C2626A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EED0014" w14:textId="77777777" w:rsidR="003B345D" w:rsidRPr="003B345D" w:rsidRDefault="003B345D" w:rsidP="003B345D">
            <w:pPr>
              <w:pStyle w:val="tabletext"/>
              <w:rPr>
                <w:lang w:val="en-US" w:eastAsia="en-US"/>
              </w:rPr>
            </w:pPr>
            <w:r w:rsidRPr="003B345D">
              <w:rPr>
                <w:lang w:val="en-US" w:eastAsia="en-US"/>
              </w:rPr>
              <w:t>778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528E000" w14:textId="77777777" w:rsidR="003B345D" w:rsidRPr="003B345D" w:rsidRDefault="003B345D" w:rsidP="003B345D">
            <w:pPr>
              <w:pStyle w:val="tabletext"/>
            </w:pPr>
            <w:r w:rsidRPr="003B345D">
              <w:t>Subsection 30-229(3)</w:t>
            </w:r>
          </w:p>
        </w:tc>
      </w:tr>
      <w:tr w:rsidR="003B345D" w:rsidRPr="003B345D" w14:paraId="740120E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EA5DFE3" w14:textId="77777777" w:rsidR="003B345D" w:rsidRPr="003B345D" w:rsidRDefault="003B345D" w:rsidP="003B345D">
            <w:pPr>
              <w:pStyle w:val="tabletext"/>
              <w:rPr>
                <w:lang w:val="en-US" w:eastAsia="en-US"/>
              </w:rPr>
            </w:pPr>
            <w:r w:rsidRPr="003B345D">
              <w:rPr>
                <w:lang w:val="en-US" w:eastAsia="en-US"/>
              </w:rPr>
              <w:t>779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8ACDAB" w14:textId="77777777" w:rsidR="003B345D" w:rsidRPr="003B345D" w:rsidRDefault="003B345D" w:rsidP="003B345D">
            <w:pPr>
              <w:pStyle w:val="tabletext"/>
            </w:pPr>
            <w:r w:rsidRPr="003B345D">
              <w:t>Subsection 30-229(4)</w:t>
            </w:r>
          </w:p>
        </w:tc>
      </w:tr>
      <w:tr w:rsidR="003B345D" w:rsidRPr="003B345D" w14:paraId="0683169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A57A9C3" w14:textId="77777777" w:rsidR="003B345D" w:rsidRPr="003B345D" w:rsidRDefault="003B345D" w:rsidP="003B345D">
            <w:pPr>
              <w:pStyle w:val="tabletext"/>
              <w:rPr>
                <w:lang w:val="en-US" w:eastAsia="en-US"/>
              </w:rPr>
            </w:pPr>
            <w:r w:rsidRPr="003B345D">
              <w:rPr>
                <w:lang w:val="en-US" w:eastAsia="en-US"/>
              </w:rPr>
              <w:t>783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0187D13" w14:textId="77777777" w:rsidR="003B345D" w:rsidRPr="003B345D" w:rsidRDefault="003B345D" w:rsidP="003B345D">
            <w:pPr>
              <w:pStyle w:val="tabletext"/>
            </w:pPr>
            <w:r w:rsidRPr="003B345D">
              <w:t>Section 30-315 (table item 17A)</w:t>
            </w:r>
          </w:p>
        </w:tc>
      </w:tr>
      <w:tr w:rsidR="003B345D" w:rsidRPr="003B345D" w14:paraId="4671985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E05C29E" w14:textId="77777777" w:rsidR="003B345D" w:rsidRPr="003B345D" w:rsidRDefault="003B345D" w:rsidP="003B345D">
            <w:pPr>
              <w:pStyle w:val="tabletext"/>
              <w:rPr>
                <w:lang w:val="en-US" w:eastAsia="en-US"/>
              </w:rPr>
            </w:pPr>
            <w:r w:rsidRPr="003B345D">
              <w:rPr>
                <w:lang w:val="en-US" w:eastAsia="en-US"/>
              </w:rPr>
              <w:t>787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E081098" w14:textId="77777777" w:rsidR="003B345D" w:rsidRPr="003B345D" w:rsidRDefault="003B345D" w:rsidP="003B345D">
            <w:pPr>
              <w:pStyle w:val="tabletext"/>
            </w:pPr>
            <w:r w:rsidRPr="003B345D">
              <w:t>Subsection 995-1(1)</w:t>
            </w:r>
          </w:p>
        </w:tc>
      </w:tr>
      <w:tr w:rsidR="003B345D" w:rsidRPr="003B345D" w14:paraId="688FBD0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EED5A6F" w14:textId="77777777" w:rsidR="003B345D" w:rsidRPr="003B345D" w:rsidRDefault="003B345D" w:rsidP="003B345D">
            <w:pPr>
              <w:pStyle w:val="tabletext"/>
              <w:rPr>
                <w:lang w:val="en-US" w:eastAsia="en-US"/>
              </w:rPr>
            </w:pPr>
            <w:r w:rsidRPr="003B345D">
              <w:rPr>
                <w:lang w:val="en-US" w:eastAsia="en-US"/>
              </w:rPr>
              <w:t>788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B3033B" w14:textId="2DC35B7F" w:rsidR="003B345D" w:rsidRPr="003B345D" w:rsidRDefault="003B345D" w:rsidP="003B345D">
            <w:pPr>
              <w:pStyle w:val="tabletext"/>
            </w:pPr>
            <w:r w:rsidRPr="003B345D">
              <w:t>Subsection 995-1(1) (at the end of the definition of ta</w:t>
            </w:r>
            <w:r w:rsidR="008C3C9B">
              <w:t>xation law)</w:t>
            </w:r>
          </w:p>
        </w:tc>
      </w:tr>
      <w:tr w:rsidR="00947E92" w:rsidRPr="003B345D" w14:paraId="206DD6A1"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428C6E3C" w14:textId="77777777" w:rsidR="00947E92" w:rsidRPr="006B273B" w:rsidRDefault="00947E92" w:rsidP="003B345D">
            <w:pPr>
              <w:pStyle w:val="tabletext"/>
              <w:rPr>
                <w:b/>
              </w:rPr>
            </w:pPr>
            <w:r w:rsidRPr="006B273B">
              <w:rPr>
                <w:b/>
              </w:rPr>
              <w:t>Credit Act</w:t>
            </w:r>
          </w:p>
        </w:tc>
      </w:tr>
      <w:tr w:rsidR="003B345D" w:rsidRPr="003B345D" w14:paraId="6E18301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0CFA85E" w14:textId="77777777" w:rsidR="003B345D" w:rsidRPr="003B345D" w:rsidRDefault="003B345D" w:rsidP="003B345D">
            <w:pPr>
              <w:pStyle w:val="tabletext"/>
              <w:rPr>
                <w:lang w:val="en-US" w:eastAsia="en-US"/>
              </w:rPr>
            </w:pPr>
            <w:r w:rsidRPr="003B345D">
              <w:rPr>
                <w:lang w:val="en-US" w:eastAsia="en-US"/>
              </w:rPr>
              <w:t>789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97AFBBC" w14:textId="77777777" w:rsidR="003B345D" w:rsidRPr="003B345D" w:rsidRDefault="003B345D" w:rsidP="003B345D">
            <w:pPr>
              <w:pStyle w:val="tabletext"/>
            </w:pPr>
            <w:r w:rsidRPr="003B345D">
              <w:t>Section 71 (heading)</w:t>
            </w:r>
          </w:p>
        </w:tc>
      </w:tr>
      <w:tr w:rsidR="003B345D" w:rsidRPr="003B345D" w14:paraId="790C7F9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0FABA0E" w14:textId="77777777" w:rsidR="003B345D" w:rsidRPr="003B345D" w:rsidRDefault="003B345D" w:rsidP="003B345D">
            <w:pPr>
              <w:pStyle w:val="tabletext"/>
              <w:rPr>
                <w:lang w:val="en-US" w:eastAsia="en-US"/>
              </w:rPr>
            </w:pPr>
            <w:r w:rsidRPr="003B345D">
              <w:rPr>
                <w:lang w:val="en-US" w:eastAsia="en-US"/>
              </w:rPr>
              <w:t>790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C065C2" w14:textId="77777777" w:rsidR="003B345D" w:rsidRPr="003B345D" w:rsidRDefault="003B345D" w:rsidP="003B345D">
            <w:pPr>
              <w:pStyle w:val="tabletext"/>
            </w:pPr>
            <w:r w:rsidRPr="003B345D">
              <w:t>Subsection 71(1) (heading)</w:t>
            </w:r>
          </w:p>
        </w:tc>
      </w:tr>
      <w:tr w:rsidR="003B345D" w:rsidRPr="003B345D" w14:paraId="66C115A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F86D170" w14:textId="77777777" w:rsidR="003B345D" w:rsidRPr="003B345D" w:rsidRDefault="003B345D" w:rsidP="003B345D">
            <w:pPr>
              <w:pStyle w:val="tabletext"/>
              <w:rPr>
                <w:lang w:val="en-US" w:eastAsia="en-US"/>
              </w:rPr>
            </w:pPr>
            <w:r w:rsidRPr="003B345D">
              <w:rPr>
                <w:lang w:val="en-US" w:eastAsia="en-US"/>
              </w:rPr>
              <w:t>791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21DA7F5" w14:textId="77777777" w:rsidR="003B345D" w:rsidRPr="003B345D" w:rsidRDefault="003B345D" w:rsidP="003B345D">
            <w:pPr>
              <w:pStyle w:val="tabletext"/>
            </w:pPr>
            <w:r w:rsidRPr="003B345D">
              <w:t>Subsection 71(1)</w:t>
            </w:r>
          </w:p>
        </w:tc>
      </w:tr>
      <w:tr w:rsidR="003B345D" w:rsidRPr="003B345D" w14:paraId="2FB45F6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867A119" w14:textId="77777777" w:rsidR="003B345D" w:rsidRPr="003B345D" w:rsidRDefault="003B345D" w:rsidP="003B345D">
            <w:pPr>
              <w:pStyle w:val="tabletext"/>
              <w:rPr>
                <w:lang w:val="en-US" w:eastAsia="en-US"/>
              </w:rPr>
            </w:pPr>
            <w:r w:rsidRPr="003B345D">
              <w:rPr>
                <w:lang w:val="en-US" w:eastAsia="en-US"/>
              </w:rPr>
              <w:t>798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A9C0D3A" w14:textId="77777777" w:rsidR="003B345D" w:rsidRPr="003B345D" w:rsidRDefault="003B345D" w:rsidP="003B345D">
            <w:pPr>
              <w:pStyle w:val="tabletext"/>
            </w:pPr>
            <w:r w:rsidRPr="003B345D">
              <w:t>Subsection 71(4)</w:t>
            </w:r>
          </w:p>
        </w:tc>
      </w:tr>
      <w:tr w:rsidR="003B345D" w:rsidRPr="003B345D" w14:paraId="3932919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5BD03DB" w14:textId="77777777" w:rsidR="003B345D" w:rsidRPr="003B345D" w:rsidRDefault="003B345D" w:rsidP="003B345D">
            <w:pPr>
              <w:pStyle w:val="tabletext"/>
              <w:rPr>
                <w:lang w:val="en-US" w:eastAsia="en-US"/>
              </w:rPr>
            </w:pPr>
            <w:r w:rsidRPr="003B345D">
              <w:rPr>
                <w:lang w:val="en-US" w:eastAsia="en-US"/>
              </w:rPr>
              <w:t>800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F49B1B1" w14:textId="77777777" w:rsidR="003B345D" w:rsidRPr="003B345D" w:rsidRDefault="003B345D" w:rsidP="003B345D">
            <w:pPr>
              <w:pStyle w:val="tabletext"/>
            </w:pPr>
            <w:r w:rsidRPr="003B345D">
              <w:t>Subsection 72(1)</w:t>
            </w:r>
          </w:p>
        </w:tc>
      </w:tr>
      <w:tr w:rsidR="003B345D" w:rsidRPr="003B345D" w14:paraId="326772B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4073F57" w14:textId="77777777" w:rsidR="003B345D" w:rsidRPr="003B345D" w:rsidRDefault="003B345D" w:rsidP="003B345D">
            <w:pPr>
              <w:pStyle w:val="tabletext"/>
              <w:rPr>
                <w:lang w:val="en-US" w:eastAsia="en-US"/>
              </w:rPr>
            </w:pPr>
            <w:r w:rsidRPr="003B345D">
              <w:rPr>
                <w:lang w:val="en-US" w:eastAsia="en-US"/>
              </w:rPr>
              <w:t>801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515DA61" w14:textId="77777777" w:rsidR="003B345D" w:rsidRPr="003B345D" w:rsidRDefault="003B345D" w:rsidP="003B345D">
            <w:pPr>
              <w:pStyle w:val="tabletext"/>
            </w:pPr>
            <w:r w:rsidRPr="003B345D">
              <w:t>Subsection 72(2)</w:t>
            </w:r>
          </w:p>
        </w:tc>
      </w:tr>
      <w:tr w:rsidR="003B345D" w:rsidRPr="003B345D" w14:paraId="2452F7E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5A78D4C" w14:textId="77777777" w:rsidR="003B345D" w:rsidRPr="003B345D" w:rsidRDefault="003B345D" w:rsidP="003B345D">
            <w:pPr>
              <w:pStyle w:val="tabletext"/>
              <w:rPr>
                <w:lang w:val="en-US" w:eastAsia="en-US"/>
              </w:rPr>
            </w:pPr>
            <w:r w:rsidRPr="003B345D">
              <w:rPr>
                <w:lang w:val="en-US" w:eastAsia="en-US"/>
              </w:rPr>
              <w:t>803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E481C3" w14:textId="77777777" w:rsidR="003B345D" w:rsidRPr="003B345D" w:rsidRDefault="003B345D" w:rsidP="003B345D">
            <w:pPr>
              <w:pStyle w:val="tabletext"/>
            </w:pPr>
            <w:r w:rsidRPr="003B345D">
              <w:t>Section 212</w:t>
            </w:r>
          </w:p>
        </w:tc>
      </w:tr>
      <w:tr w:rsidR="003B345D" w:rsidRPr="003B345D" w14:paraId="7640504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DFDE9A9" w14:textId="77777777" w:rsidR="003B345D" w:rsidRPr="003B345D" w:rsidRDefault="003B345D" w:rsidP="003B345D">
            <w:pPr>
              <w:pStyle w:val="tabletext"/>
              <w:rPr>
                <w:lang w:val="en-US" w:eastAsia="en-US"/>
              </w:rPr>
            </w:pPr>
            <w:r w:rsidRPr="003B345D">
              <w:rPr>
                <w:lang w:val="en-US" w:eastAsia="en-US"/>
              </w:rPr>
              <w:t>805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0F9B277" w14:textId="77777777" w:rsidR="003B345D" w:rsidRPr="003B345D" w:rsidRDefault="003B345D" w:rsidP="003B345D">
            <w:pPr>
              <w:pStyle w:val="tabletext"/>
            </w:pPr>
            <w:r w:rsidRPr="003B345D">
              <w:t>Sections 213 and 214</w:t>
            </w:r>
          </w:p>
        </w:tc>
      </w:tr>
      <w:tr w:rsidR="003B345D" w:rsidRPr="003B345D" w14:paraId="2AFD411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C558858" w14:textId="77777777" w:rsidR="003B345D" w:rsidRPr="003B345D" w:rsidRDefault="003B345D" w:rsidP="003B345D">
            <w:pPr>
              <w:pStyle w:val="tabletext"/>
              <w:rPr>
                <w:lang w:val="en-US" w:eastAsia="en-US"/>
              </w:rPr>
            </w:pPr>
            <w:r w:rsidRPr="003B345D">
              <w:rPr>
                <w:lang w:val="en-US" w:eastAsia="en-US"/>
              </w:rPr>
              <w:t>806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85C60E0" w14:textId="77777777" w:rsidR="003B345D" w:rsidRPr="003B345D" w:rsidRDefault="003B345D" w:rsidP="003B345D">
            <w:pPr>
              <w:pStyle w:val="tabletext"/>
            </w:pPr>
            <w:r w:rsidRPr="003B345D">
              <w:t>Subparagraph 227(4)(b)(ii)</w:t>
            </w:r>
          </w:p>
        </w:tc>
      </w:tr>
      <w:tr w:rsidR="003B345D" w:rsidRPr="003B345D" w14:paraId="64F9604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0B7401C" w14:textId="77777777" w:rsidR="003B345D" w:rsidRPr="003B345D" w:rsidRDefault="003B345D" w:rsidP="003B345D">
            <w:pPr>
              <w:pStyle w:val="tabletext"/>
              <w:rPr>
                <w:lang w:val="en-US" w:eastAsia="en-US"/>
              </w:rPr>
            </w:pPr>
            <w:r w:rsidRPr="003B345D">
              <w:rPr>
                <w:lang w:val="en-US" w:eastAsia="en-US"/>
              </w:rPr>
              <w:t>807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235ED2" w14:textId="77777777" w:rsidR="003B345D" w:rsidRPr="003B345D" w:rsidRDefault="003B345D" w:rsidP="003B345D">
            <w:pPr>
              <w:pStyle w:val="tabletext"/>
            </w:pPr>
            <w:r w:rsidRPr="003B345D">
              <w:t>Section 233</w:t>
            </w:r>
          </w:p>
        </w:tc>
      </w:tr>
      <w:tr w:rsidR="003B345D" w:rsidRPr="003B345D" w14:paraId="2B4DBBC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DF044C9" w14:textId="77777777" w:rsidR="003B345D" w:rsidRPr="003B345D" w:rsidRDefault="003B345D" w:rsidP="003B345D">
            <w:pPr>
              <w:pStyle w:val="tabletext"/>
              <w:rPr>
                <w:lang w:val="en-US" w:eastAsia="en-US"/>
              </w:rPr>
            </w:pPr>
            <w:r w:rsidRPr="003B345D">
              <w:rPr>
                <w:lang w:val="en-US" w:eastAsia="en-US"/>
              </w:rPr>
              <w:t>808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58BB28E" w14:textId="77777777" w:rsidR="003B345D" w:rsidRPr="003B345D" w:rsidRDefault="003B345D" w:rsidP="003B345D">
            <w:pPr>
              <w:pStyle w:val="tabletext"/>
            </w:pPr>
            <w:r w:rsidRPr="003B345D">
              <w:t>Section 236</w:t>
            </w:r>
          </w:p>
        </w:tc>
      </w:tr>
      <w:tr w:rsidR="003B345D" w:rsidRPr="003B345D" w14:paraId="0B28E25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029214C" w14:textId="77777777" w:rsidR="003B345D" w:rsidRPr="003B345D" w:rsidRDefault="003B345D" w:rsidP="003B345D">
            <w:pPr>
              <w:pStyle w:val="tabletext"/>
              <w:rPr>
                <w:lang w:val="en-US" w:eastAsia="en-US"/>
              </w:rPr>
            </w:pPr>
            <w:r w:rsidRPr="003B345D">
              <w:rPr>
                <w:lang w:val="en-US" w:eastAsia="en-US"/>
              </w:rPr>
              <w:t>809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EF4B4F" w14:textId="77777777" w:rsidR="003B345D" w:rsidRPr="003B345D" w:rsidRDefault="003B345D" w:rsidP="003B345D">
            <w:pPr>
              <w:pStyle w:val="tabletext"/>
            </w:pPr>
            <w:r w:rsidRPr="003B345D">
              <w:t>Paragraph 237(a)</w:t>
            </w:r>
          </w:p>
        </w:tc>
      </w:tr>
      <w:tr w:rsidR="003B345D" w:rsidRPr="003B345D" w14:paraId="2B64959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A806991" w14:textId="77777777" w:rsidR="003B345D" w:rsidRPr="003B345D" w:rsidRDefault="003B345D" w:rsidP="003B345D">
            <w:pPr>
              <w:pStyle w:val="tabletext"/>
              <w:rPr>
                <w:lang w:val="en-US" w:eastAsia="en-US"/>
              </w:rPr>
            </w:pPr>
            <w:r w:rsidRPr="003B345D">
              <w:rPr>
                <w:lang w:val="en-US" w:eastAsia="en-US"/>
              </w:rPr>
              <w:t>810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B5EB577" w14:textId="77777777" w:rsidR="003B345D" w:rsidRPr="003B345D" w:rsidRDefault="003B345D" w:rsidP="003B345D">
            <w:pPr>
              <w:pStyle w:val="tabletext"/>
            </w:pPr>
            <w:r w:rsidRPr="003B345D">
              <w:t>Section 240 (heading)</w:t>
            </w:r>
          </w:p>
        </w:tc>
      </w:tr>
      <w:tr w:rsidR="003B345D" w:rsidRPr="003B345D" w14:paraId="51E07189"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CCC536B" w14:textId="77777777" w:rsidR="003B345D" w:rsidRPr="003B345D" w:rsidRDefault="003B345D" w:rsidP="003B345D">
            <w:pPr>
              <w:pStyle w:val="tabletext"/>
              <w:rPr>
                <w:lang w:val="en-US" w:eastAsia="en-US"/>
              </w:rPr>
            </w:pPr>
            <w:r w:rsidRPr="003B345D">
              <w:rPr>
                <w:lang w:val="en-US" w:eastAsia="en-US"/>
              </w:rPr>
              <w:t>811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5A9103A" w14:textId="77777777" w:rsidR="003B345D" w:rsidRPr="003B345D" w:rsidRDefault="003B345D" w:rsidP="003B345D">
            <w:pPr>
              <w:pStyle w:val="tabletext"/>
            </w:pPr>
            <w:r w:rsidRPr="003B345D">
              <w:t>Subsection 240(1)</w:t>
            </w:r>
          </w:p>
        </w:tc>
      </w:tr>
      <w:tr w:rsidR="003B345D" w:rsidRPr="003B345D" w14:paraId="74A6A762"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A708743" w14:textId="77777777" w:rsidR="003B345D" w:rsidRPr="003B345D" w:rsidRDefault="003B345D" w:rsidP="003B345D">
            <w:pPr>
              <w:pStyle w:val="tabletext"/>
              <w:rPr>
                <w:lang w:val="en-US" w:eastAsia="en-US"/>
              </w:rPr>
            </w:pPr>
            <w:r w:rsidRPr="003B345D">
              <w:rPr>
                <w:lang w:val="en-US" w:eastAsia="en-US"/>
              </w:rPr>
              <w:t>812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A01DDCC" w14:textId="77777777" w:rsidR="003B345D" w:rsidRPr="003B345D" w:rsidRDefault="003B345D" w:rsidP="003B345D">
            <w:pPr>
              <w:pStyle w:val="tabletext"/>
            </w:pPr>
            <w:r w:rsidRPr="003B345D">
              <w:t>Paragraph 240(2)(b)</w:t>
            </w:r>
          </w:p>
        </w:tc>
      </w:tr>
      <w:tr w:rsidR="003B345D" w:rsidRPr="003B345D" w14:paraId="0E23C78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870575C" w14:textId="77777777" w:rsidR="003B345D" w:rsidRPr="003B345D" w:rsidRDefault="003B345D" w:rsidP="003B345D">
            <w:pPr>
              <w:pStyle w:val="tabletext"/>
              <w:rPr>
                <w:lang w:val="en-US" w:eastAsia="en-US"/>
              </w:rPr>
            </w:pPr>
            <w:r w:rsidRPr="003B345D">
              <w:rPr>
                <w:lang w:val="en-US" w:eastAsia="en-US"/>
              </w:rPr>
              <w:t>813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8D42888" w14:textId="77777777" w:rsidR="003B345D" w:rsidRPr="003B345D" w:rsidRDefault="003B345D" w:rsidP="003B345D">
            <w:pPr>
              <w:pStyle w:val="tabletext"/>
            </w:pPr>
            <w:r w:rsidRPr="003B345D">
              <w:t>Subsection 281(1)</w:t>
            </w:r>
          </w:p>
        </w:tc>
      </w:tr>
      <w:tr w:rsidR="003B345D" w:rsidRPr="003B345D" w14:paraId="2A541F6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DA9F231" w14:textId="77777777" w:rsidR="003B345D" w:rsidRPr="003B345D" w:rsidRDefault="003B345D" w:rsidP="003B345D">
            <w:pPr>
              <w:pStyle w:val="tabletext"/>
              <w:rPr>
                <w:lang w:val="en-US" w:eastAsia="en-US"/>
              </w:rPr>
            </w:pPr>
            <w:r w:rsidRPr="003B345D">
              <w:rPr>
                <w:lang w:val="en-US" w:eastAsia="en-US"/>
              </w:rPr>
              <w:t>814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BBCF01B" w14:textId="77777777" w:rsidR="003B345D" w:rsidRPr="003B345D" w:rsidRDefault="003B345D" w:rsidP="003B345D">
            <w:pPr>
              <w:pStyle w:val="tabletext"/>
            </w:pPr>
            <w:r w:rsidRPr="003B345D">
              <w:t>Section 323 (paragraph relating to Division 3)</w:t>
            </w:r>
          </w:p>
        </w:tc>
      </w:tr>
      <w:tr w:rsidR="003B345D" w:rsidRPr="003B345D" w14:paraId="274E124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8450229" w14:textId="77777777" w:rsidR="003B345D" w:rsidRPr="003B345D" w:rsidRDefault="003B345D" w:rsidP="003B345D">
            <w:pPr>
              <w:pStyle w:val="tabletext"/>
              <w:rPr>
                <w:lang w:val="en-US" w:eastAsia="en-US"/>
              </w:rPr>
            </w:pPr>
            <w:r w:rsidRPr="003B345D">
              <w:rPr>
                <w:lang w:val="en-US" w:eastAsia="en-US"/>
              </w:rPr>
              <w:t>815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70E000" w14:textId="77777777" w:rsidR="003B345D" w:rsidRPr="003B345D" w:rsidRDefault="003B345D" w:rsidP="003B345D">
            <w:pPr>
              <w:pStyle w:val="tabletext"/>
            </w:pPr>
            <w:r w:rsidRPr="003B345D">
              <w:t>Division 3 of Part 7-1 of Chapter 7 (heading)</w:t>
            </w:r>
          </w:p>
        </w:tc>
      </w:tr>
      <w:tr w:rsidR="003B345D" w:rsidRPr="003B345D" w14:paraId="2AB3E9D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920030F" w14:textId="77777777" w:rsidR="003B345D" w:rsidRPr="003B345D" w:rsidRDefault="003B345D" w:rsidP="003B345D">
            <w:pPr>
              <w:pStyle w:val="tabletext"/>
              <w:rPr>
                <w:lang w:val="en-US" w:eastAsia="en-US"/>
              </w:rPr>
            </w:pPr>
            <w:r w:rsidRPr="003B345D">
              <w:rPr>
                <w:lang w:val="en-US" w:eastAsia="en-US"/>
              </w:rPr>
              <w:t>816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C224B69" w14:textId="77777777" w:rsidR="003B345D" w:rsidRPr="003B345D" w:rsidRDefault="003B345D" w:rsidP="003B345D">
            <w:pPr>
              <w:pStyle w:val="tabletext"/>
            </w:pPr>
            <w:r w:rsidRPr="003B345D">
              <w:t>Section 327 (heading)</w:t>
            </w:r>
          </w:p>
        </w:tc>
      </w:tr>
      <w:tr w:rsidR="003B345D" w:rsidRPr="003B345D" w14:paraId="1AA85CE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31DB544" w14:textId="77777777" w:rsidR="003B345D" w:rsidRPr="003B345D" w:rsidRDefault="003B345D" w:rsidP="003B345D">
            <w:pPr>
              <w:pStyle w:val="tabletext"/>
              <w:rPr>
                <w:lang w:val="en-US" w:eastAsia="en-US"/>
              </w:rPr>
            </w:pPr>
            <w:r w:rsidRPr="003B345D">
              <w:rPr>
                <w:lang w:val="en-US" w:eastAsia="en-US"/>
              </w:rPr>
              <w:t>817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BFD057" w14:textId="77777777" w:rsidR="003B345D" w:rsidRPr="003B345D" w:rsidRDefault="003B345D" w:rsidP="003B345D">
            <w:pPr>
              <w:pStyle w:val="tabletext"/>
            </w:pPr>
            <w:r w:rsidRPr="003B345D">
              <w:t>Subsection 327(1)</w:t>
            </w:r>
          </w:p>
        </w:tc>
      </w:tr>
      <w:tr w:rsidR="003B345D" w:rsidRPr="003B345D" w14:paraId="13E43FC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8007503" w14:textId="77777777" w:rsidR="003B345D" w:rsidRPr="003B345D" w:rsidRDefault="003B345D" w:rsidP="003B345D">
            <w:pPr>
              <w:pStyle w:val="tabletext"/>
              <w:rPr>
                <w:lang w:val="en-US" w:eastAsia="en-US"/>
              </w:rPr>
            </w:pPr>
            <w:r w:rsidRPr="003B345D">
              <w:rPr>
                <w:lang w:val="en-US" w:eastAsia="en-US"/>
              </w:rPr>
              <w:t>818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495DA4B" w14:textId="77777777" w:rsidR="003B345D" w:rsidRPr="003B345D" w:rsidRDefault="003B345D" w:rsidP="003B345D">
            <w:pPr>
              <w:pStyle w:val="tabletext"/>
            </w:pPr>
            <w:r w:rsidRPr="003B345D">
              <w:t>Section 328</w:t>
            </w:r>
          </w:p>
        </w:tc>
      </w:tr>
      <w:tr w:rsidR="00947E92" w:rsidRPr="003B345D" w14:paraId="7AE0F83D"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1ECB5DFA" w14:textId="77777777" w:rsidR="00947E92" w:rsidRPr="006B273B" w:rsidRDefault="00947E92" w:rsidP="003B345D">
            <w:pPr>
              <w:pStyle w:val="tabletext"/>
              <w:rPr>
                <w:b/>
              </w:rPr>
            </w:pPr>
            <w:r w:rsidRPr="006B273B">
              <w:rPr>
                <w:b/>
              </w:rPr>
              <w:t>SIS Act</w:t>
            </w:r>
          </w:p>
        </w:tc>
      </w:tr>
      <w:tr w:rsidR="003B345D" w:rsidRPr="003B345D" w14:paraId="6BF6097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3A033BF" w14:textId="77777777" w:rsidR="003B345D" w:rsidRPr="003B345D" w:rsidRDefault="003B345D" w:rsidP="003B345D">
            <w:pPr>
              <w:pStyle w:val="tabletext"/>
              <w:rPr>
                <w:lang w:val="en-US" w:eastAsia="en-US"/>
              </w:rPr>
            </w:pPr>
            <w:r w:rsidRPr="003B345D">
              <w:rPr>
                <w:lang w:val="en-US" w:eastAsia="en-US"/>
              </w:rPr>
              <w:t>820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3EDFC54" w14:textId="77777777" w:rsidR="003B345D" w:rsidRPr="003B345D" w:rsidRDefault="003B345D" w:rsidP="003B345D">
            <w:pPr>
              <w:pStyle w:val="tabletext"/>
            </w:pPr>
            <w:r w:rsidRPr="003B345D">
              <w:t>Subsection 10(1)</w:t>
            </w:r>
          </w:p>
        </w:tc>
      </w:tr>
      <w:tr w:rsidR="003B345D" w:rsidRPr="003B345D" w14:paraId="2350F4B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8D60A19" w14:textId="77777777" w:rsidR="003B345D" w:rsidRPr="003B345D" w:rsidRDefault="003B345D" w:rsidP="003B345D">
            <w:pPr>
              <w:pStyle w:val="tabletext"/>
              <w:rPr>
                <w:lang w:val="en-US" w:eastAsia="en-US"/>
              </w:rPr>
            </w:pPr>
            <w:r w:rsidRPr="003B345D">
              <w:rPr>
                <w:lang w:val="en-US" w:eastAsia="en-US"/>
              </w:rPr>
              <w:t>821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64E4244" w14:textId="78D74A80" w:rsidR="003B345D" w:rsidRPr="003B345D" w:rsidRDefault="003B345D" w:rsidP="003B345D">
            <w:pPr>
              <w:pStyle w:val="tabletext"/>
            </w:pPr>
            <w:r w:rsidRPr="003B345D">
              <w:t>Subsection 10(1) (paragraph (</w:t>
            </w:r>
            <w:proofErr w:type="spellStart"/>
            <w:r w:rsidRPr="003B345D">
              <w:t>rg</w:t>
            </w:r>
            <w:proofErr w:type="spellEnd"/>
            <w:r w:rsidRPr="003B345D">
              <w:t>) of the definition of r</w:t>
            </w:r>
            <w:r w:rsidR="008C3C9B">
              <w:t>eviewable decision)</w:t>
            </w:r>
          </w:p>
        </w:tc>
      </w:tr>
      <w:tr w:rsidR="003B345D" w:rsidRPr="003B345D" w14:paraId="5CF9CF8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3C99574" w14:textId="77777777" w:rsidR="003B345D" w:rsidRPr="003B345D" w:rsidRDefault="003B345D" w:rsidP="003B345D">
            <w:pPr>
              <w:pStyle w:val="tabletext"/>
              <w:rPr>
                <w:lang w:val="en-US" w:eastAsia="en-US"/>
              </w:rPr>
            </w:pPr>
            <w:r w:rsidRPr="003B345D">
              <w:rPr>
                <w:lang w:val="en-US" w:eastAsia="en-US"/>
              </w:rPr>
              <w:t>822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7777615" w14:textId="77777777" w:rsidR="003B345D" w:rsidRPr="003B345D" w:rsidRDefault="003B345D" w:rsidP="003B345D">
            <w:pPr>
              <w:pStyle w:val="tabletext"/>
            </w:pPr>
            <w:r w:rsidRPr="003B345D">
              <w:t>At the end of Division 2 of Part 1</w:t>
            </w:r>
          </w:p>
        </w:tc>
      </w:tr>
      <w:tr w:rsidR="003B345D" w:rsidRPr="003B345D" w14:paraId="208A094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69B6E51" w14:textId="77777777" w:rsidR="003B345D" w:rsidRPr="003B345D" w:rsidRDefault="003B345D" w:rsidP="003B345D">
            <w:pPr>
              <w:pStyle w:val="tabletext"/>
              <w:rPr>
                <w:lang w:val="en-US" w:eastAsia="en-US"/>
              </w:rPr>
            </w:pPr>
            <w:r w:rsidRPr="003B345D">
              <w:rPr>
                <w:lang w:val="en-US" w:eastAsia="en-US"/>
              </w:rPr>
              <w:t>823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E4186E" w14:textId="77777777" w:rsidR="003B345D" w:rsidRPr="003B345D" w:rsidRDefault="003B345D" w:rsidP="003B345D">
            <w:pPr>
              <w:pStyle w:val="tabletext"/>
            </w:pPr>
            <w:r w:rsidRPr="003B345D">
              <w:t>Section 128H</w:t>
            </w:r>
          </w:p>
        </w:tc>
      </w:tr>
      <w:tr w:rsidR="003B345D" w:rsidRPr="003B345D" w14:paraId="09BBDC71"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A93CAE7" w14:textId="77777777" w:rsidR="003B345D" w:rsidRPr="003B345D" w:rsidRDefault="003B345D" w:rsidP="003B345D">
            <w:pPr>
              <w:pStyle w:val="tabletext"/>
              <w:rPr>
                <w:lang w:val="en-US" w:eastAsia="en-US"/>
              </w:rPr>
            </w:pPr>
            <w:r w:rsidRPr="003B345D">
              <w:rPr>
                <w:lang w:val="en-US" w:eastAsia="en-US"/>
              </w:rPr>
              <w:t>824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DBEA64" w14:textId="77777777" w:rsidR="003B345D" w:rsidRPr="003B345D" w:rsidRDefault="003B345D" w:rsidP="003B345D">
            <w:pPr>
              <w:pStyle w:val="tabletext"/>
            </w:pPr>
            <w:r w:rsidRPr="003B345D">
              <w:t>Paragraph 128H(c)</w:t>
            </w:r>
          </w:p>
        </w:tc>
      </w:tr>
      <w:tr w:rsidR="003B345D" w:rsidRPr="003B345D" w14:paraId="3328E80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70493ED" w14:textId="77777777" w:rsidR="003B345D" w:rsidRPr="003B345D" w:rsidRDefault="003B345D" w:rsidP="003B345D">
            <w:pPr>
              <w:pStyle w:val="tabletext"/>
              <w:rPr>
                <w:lang w:val="en-US" w:eastAsia="en-US"/>
              </w:rPr>
            </w:pPr>
            <w:r w:rsidRPr="003B345D">
              <w:rPr>
                <w:lang w:val="en-US" w:eastAsia="en-US"/>
              </w:rPr>
              <w:t>825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5AB9967" w14:textId="77777777" w:rsidR="003B345D" w:rsidRPr="003B345D" w:rsidRDefault="003B345D" w:rsidP="003B345D">
            <w:pPr>
              <w:pStyle w:val="tabletext"/>
            </w:pPr>
            <w:r w:rsidRPr="003B345D">
              <w:t>Section 128H</w:t>
            </w:r>
          </w:p>
        </w:tc>
      </w:tr>
      <w:tr w:rsidR="003B345D" w:rsidRPr="003B345D" w14:paraId="38C3DD4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3590AD6" w14:textId="77777777" w:rsidR="003B345D" w:rsidRPr="003B345D" w:rsidRDefault="003B345D" w:rsidP="003B345D">
            <w:pPr>
              <w:pStyle w:val="tabletext"/>
              <w:rPr>
                <w:lang w:val="en-US" w:eastAsia="en-US"/>
              </w:rPr>
            </w:pPr>
            <w:r w:rsidRPr="003B345D">
              <w:rPr>
                <w:lang w:val="en-US" w:eastAsia="en-US"/>
              </w:rPr>
              <w:t>828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A018E7B" w14:textId="77777777" w:rsidR="003B345D" w:rsidRPr="003B345D" w:rsidRDefault="003B345D" w:rsidP="003B345D">
            <w:pPr>
              <w:pStyle w:val="tabletext"/>
            </w:pPr>
            <w:r w:rsidRPr="003B345D">
              <w:t>Subdivision C of Division 1A of Part 16</w:t>
            </w:r>
          </w:p>
        </w:tc>
      </w:tr>
      <w:tr w:rsidR="003B345D" w:rsidRPr="003B345D" w14:paraId="7039F0C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D0BAE8D" w14:textId="77777777" w:rsidR="003B345D" w:rsidRPr="003B345D" w:rsidRDefault="003B345D" w:rsidP="003B345D">
            <w:pPr>
              <w:pStyle w:val="tabletext"/>
              <w:rPr>
                <w:lang w:val="en-US" w:eastAsia="en-US"/>
              </w:rPr>
            </w:pPr>
            <w:r w:rsidRPr="003B345D">
              <w:rPr>
                <w:lang w:val="en-US" w:eastAsia="en-US"/>
              </w:rPr>
              <w:t>835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43429F1" w14:textId="77777777" w:rsidR="003B345D" w:rsidRPr="003B345D" w:rsidRDefault="003B345D" w:rsidP="003B345D">
            <w:pPr>
              <w:pStyle w:val="tabletext"/>
            </w:pPr>
            <w:r w:rsidRPr="003B345D">
              <w:t>Section 285</w:t>
            </w:r>
          </w:p>
        </w:tc>
      </w:tr>
      <w:tr w:rsidR="00947E92" w:rsidRPr="003B345D" w14:paraId="12FDE0C9"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3864EDA7" w14:textId="77777777" w:rsidR="00947E92" w:rsidRPr="006B273B" w:rsidRDefault="00947E92" w:rsidP="003B345D">
            <w:pPr>
              <w:pStyle w:val="tabletext"/>
              <w:rPr>
                <w:b/>
              </w:rPr>
            </w:pPr>
            <w:r w:rsidRPr="006B273B">
              <w:rPr>
                <w:b/>
              </w:rPr>
              <w:t>Taxation Administration Act 1953</w:t>
            </w:r>
          </w:p>
        </w:tc>
      </w:tr>
      <w:tr w:rsidR="003B345D" w:rsidRPr="003B345D" w14:paraId="1DD7483B"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0A52C94" w14:textId="77777777" w:rsidR="003B345D" w:rsidRPr="003B345D" w:rsidRDefault="003B345D" w:rsidP="003B345D">
            <w:pPr>
              <w:pStyle w:val="tabletext"/>
              <w:rPr>
                <w:lang w:val="en-US" w:eastAsia="en-US"/>
              </w:rPr>
            </w:pPr>
            <w:r w:rsidRPr="003B345D">
              <w:rPr>
                <w:lang w:val="en-US" w:eastAsia="en-US"/>
              </w:rPr>
              <w:t>836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BABEE06" w14:textId="77777777" w:rsidR="003B345D" w:rsidRPr="003B345D" w:rsidRDefault="003B345D" w:rsidP="003B345D">
            <w:pPr>
              <w:pStyle w:val="tabletext"/>
            </w:pPr>
            <w:r w:rsidRPr="003B345D">
              <w:t>Subsection 6B(6A)</w:t>
            </w:r>
          </w:p>
        </w:tc>
      </w:tr>
      <w:tr w:rsidR="003B345D" w:rsidRPr="003B345D" w14:paraId="712452F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6FAB00F" w14:textId="77777777" w:rsidR="003B345D" w:rsidRPr="003B345D" w:rsidRDefault="003B345D" w:rsidP="003B345D">
            <w:pPr>
              <w:pStyle w:val="tabletext"/>
              <w:rPr>
                <w:lang w:val="en-US" w:eastAsia="en-US"/>
              </w:rPr>
            </w:pPr>
            <w:r w:rsidRPr="003B345D">
              <w:rPr>
                <w:lang w:val="en-US" w:eastAsia="en-US"/>
              </w:rPr>
              <w:lastRenderedPageBreak/>
              <w:t>837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A412B3B" w14:textId="77777777" w:rsidR="003B345D" w:rsidRPr="003B345D" w:rsidRDefault="003B345D" w:rsidP="003B345D">
            <w:pPr>
              <w:pStyle w:val="tabletext"/>
            </w:pPr>
            <w:r w:rsidRPr="003B345D">
              <w:t>Subsection 8(1A)</w:t>
            </w:r>
          </w:p>
        </w:tc>
      </w:tr>
      <w:tr w:rsidR="003B345D" w:rsidRPr="003B345D" w14:paraId="5306C44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98FDA73" w14:textId="77777777" w:rsidR="003B345D" w:rsidRPr="003B345D" w:rsidRDefault="003B345D" w:rsidP="003B345D">
            <w:pPr>
              <w:pStyle w:val="tabletext"/>
              <w:rPr>
                <w:lang w:val="en-US" w:eastAsia="en-US"/>
              </w:rPr>
            </w:pPr>
            <w:r w:rsidRPr="003B345D">
              <w:rPr>
                <w:lang w:val="en-US" w:eastAsia="en-US"/>
              </w:rPr>
              <w:t>838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EBC25E6" w14:textId="77777777" w:rsidR="003B345D" w:rsidRPr="003B345D" w:rsidRDefault="003B345D" w:rsidP="003B345D">
            <w:pPr>
              <w:pStyle w:val="tabletext"/>
            </w:pPr>
            <w:r w:rsidRPr="003B345D">
              <w:t>Subsections 16-147(5) and (6) in Schedule 1</w:t>
            </w:r>
          </w:p>
        </w:tc>
      </w:tr>
      <w:tr w:rsidR="003B345D" w:rsidRPr="003B345D" w14:paraId="04E0C4A5"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5A44B21" w14:textId="77777777" w:rsidR="003B345D" w:rsidRPr="003B345D" w:rsidRDefault="003B345D" w:rsidP="003B345D">
            <w:pPr>
              <w:pStyle w:val="tabletext"/>
              <w:rPr>
                <w:lang w:val="en-US" w:eastAsia="en-US"/>
              </w:rPr>
            </w:pPr>
            <w:r w:rsidRPr="003B345D">
              <w:rPr>
                <w:lang w:val="en-US" w:eastAsia="en-US"/>
              </w:rPr>
              <w:t>839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AE31671" w14:textId="77777777" w:rsidR="003B345D" w:rsidRPr="003B345D" w:rsidRDefault="003B345D" w:rsidP="003B345D">
            <w:pPr>
              <w:pStyle w:val="tabletext"/>
            </w:pPr>
            <w:r w:rsidRPr="003B345D">
              <w:t>Subsection 16-147(7) in Schedule 1</w:t>
            </w:r>
          </w:p>
        </w:tc>
      </w:tr>
      <w:tr w:rsidR="003B345D" w:rsidRPr="003B345D" w14:paraId="44EDD7F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DE4AE61" w14:textId="77777777" w:rsidR="003B345D" w:rsidRPr="003B345D" w:rsidRDefault="003B345D" w:rsidP="003B345D">
            <w:pPr>
              <w:pStyle w:val="tabletext"/>
              <w:rPr>
                <w:lang w:val="en-US" w:eastAsia="en-US"/>
              </w:rPr>
            </w:pPr>
            <w:r w:rsidRPr="003B345D">
              <w:rPr>
                <w:lang w:val="en-US" w:eastAsia="en-US"/>
              </w:rPr>
              <w:t>840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902A12C" w14:textId="77777777" w:rsidR="003B345D" w:rsidRPr="003B345D" w:rsidRDefault="003B345D" w:rsidP="003B345D">
            <w:pPr>
              <w:pStyle w:val="tabletext"/>
            </w:pPr>
            <w:r w:rsidRPr="003B345D">
              <w:t>Subsection 16-148(7) in Schedule 1</w:t>
            </w:r>
          </w:p>
        </w:tc>
      </w:tr>
      <w:tr w:rsidR="003B345D" w:rsidRPr="003B345D" w14:paraId="5F652FE0"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3832DC4" w14:textId="77777777" w:rsidR="003B345D" w:rsidRPr="003B345D" w:rsidRDefault="003B345D" w:rsidP="003B345D">
            <w:pPr>
              <w:pStyle w:val="tabletext"/>
              <w:rPr>
                <w:lang w:val="en-US" w:eastAsia="en-US"/>
              </w:rPr>
            </w:pPr>
            <w:r w:rsidRPr="003B345D">
              <w:rPr>
                <w:lang w:val="en-US" w:eastAsia="en-US"/>
              </w:rPr>
              <w:t>841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7FAEE5" w14:textId="77777777" w:rsidR="003B345D" w:rsidRPr="003B345D" w:rsidRDefault="003B345D" w:rsidP="003B345D">
            <w:pPr>
              <w:pStyle w:val="tabletext"/>
            </w:pPr>
            <w:r w:rsidRPr="003B345D">
              <w:t>Subsection 16-148(8) in Schedule 1</w:t>
            </w:r>
          </w:p>
        </w:tc>
      </w:tr>
      <w:tr w:rsidR="003B345D" w:rsidRPr="003B345D" w14:paraId="4D00DBBE"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7EA966A" w14:textId="77777777" w:rsidR="003B345D" w:rsidRPr="003B345D" w:rsidRDefault="003B345D" w:rsidP="003B345D">
            <w:pPr>
              <w:pStyle w:val="tabletext"/>
              <w:rPr>
                <w:lang w:val="en-US" w:eastAsia="en-US"/>
              </w:rPr>
            </w:pPr>
            <w:r w:rsidRPr="003B345D">
              <w:rPr>
                <w:lang w:val="en-US" w:eastAsia="en-US"/>
              </w:rPr>
              <w:t>842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D994BE2" w14:textId="77777777" w:rsidR="003B345D" w:rsidRPr="003B345D" w:rsidRDefault="003B345D" w:rsidP="003B345D">
            <w:pPr>
              <w:pStyle w:val="tabletext"/>
            </w:pPr>
            <w:r w:rsidRPr="003B345D">
              <w:t>Section 426-1 in Schedule 1</w:t>
            </w:r>
          </w:p>
        </w:tc>
      </w:tr>
      <w:tr w:rsidR="003B345D" w:rsidRPr="003B345D" w14:paraId="3F8B9CB4"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4FADC2B" w14:textId="77777777" w:rsidR="003B345D" w:rsidRPr="003B345D" w:rsidRDefault="003B345D" w:rsidP="003B345D">
            <w:pPr>
              <w:pStyle w:val="tabletext"/>
              <w:rPr>
                <w:lang w:val="en-US" w:eastAsia="en-US"/>
              </w:rPr>
            </w:pPr>
            <w:r w:rsidRPr="003B345D">
              <w:rPr>
                <w:lang w:val="en-US" w:eastAsia="en-US"/>
              </w:rPr>
              <w:t>845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6DD36CA" w14:textId="77777777" w:rsidR="003B345D" w:rsidRPr="003B345D" w:rsidRDefault="003B345D" w:rsidP="003B345D">
            <w:pPr>
              <w:pStyle w:val="tabletext"/>
            </w:pPr>
            <w:r w:rsidRPr="003B345D">
              <w:t>Subsection 426-65(1) in Schedule 1</w:t>
            </w:r>
          </w:p>
        </w:tc>
      </w:tr>
      <w:tr w:rsidR="003B345D" w:rsidRPr="003B345D" w14:paraId="4A577DB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A077D81" w14:textId="77777777" w:rsidR="003B345D" w:rsidRPr="003B345D" w:rsidRDefault="003B345D" w:rsidP="003B345D">
            <w:pPr>
              <w:pStyle w:val="tabletext"/>
              <w:rPr>
                <w:lang w:val="en-US" w:eastAsia="en-US"/>
              </w:rPr>
            </w:pPr>
            <w:r w:rsidRPr="003B345D">
              <w:rPr>
                <w:lang w:val="en-US" w:eastAsia="en-US"/>
              </w:rPr>
              <w:t>846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66AF15" w14:textId="77777777" w:rsidR="003B345D" w:rsidRPr="003B345D" w:rsidRDefault="003B345D" w:rsidP="003B345D">
            <w:pPr>
              <w:pStyle w:val="tabletext"/>
            </w:pPr>
            <w:r w:rsidRPr="003B345D">
              <w:t>Subsection 426-65(1) in Schedule 1</w:t>
            </w:r>
          </w:p>
        </w:tc>
      </w:tr>
      <w:tr w:rsidR="003B345D" w:rsidRPr="003B345D" w14:paraId="7BA60FC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197E9B17" w14:textId="77777777" w:rsidR="003B345D" w:rsidRPr="003B345D" w:rsidRDefault="003B345D" w:rsidP="003B345D">
            <w:pPr>
              <w:pStyle w:val="tabletext"/>
              <w:rPr>
                <w:lang w:val="en-US" w:eastAsia="en-US"/>
              </w:rPr>
            </w:pPr>
            <w:r w:rsidRPr="003B345D">
              <w:rPr>
                <w:lang w:val="en-US" w:eastAsia="en-US"/>
              </w:rPr>
              <w:t>848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9109161" w14:textId="77777777" w:rsidR="003B345D" w:rsidRPr="003B345D" w:rsidRDefault="003B345D" w:rsidP="003B345D">
            <w:pPr>
              <w:pStyle w:val="tabletext"/>
            </w:pPr>
            <w:r w:rsidRPr="003B345D">
              <w:t>Subsection 426-65(2) in Schedule 1</w:t>
            </w:r>
          </w:p>
        </w:tc>
      </w:tr>
      <w:tr w:rsidR="003B345D" w:rsidRPr="003B345D" w14:paraId="2045EB2F"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CB82175" w14:textId="77777777" w:rsidR="003B345D" w:rsidRPr="003B345D" w:rsidRDefault="003B345D" w:rsidP="003B345D">
            <w:pPr>
              <w:pStyle w:val="tabletext"/>
              <w:rPr>
                <w:lang w:val="en-US" w:eastAsia="en-US"/>
              </w:rPr>
            </w:pPr>
            <w:r w:rsidRPr="003B345D">
              <w:rPr>
                <w:lang w:val="en-US" w:eastAsia="en-US"/>
              </w:rPr>
              <w:t>849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EE84904" w14:textId="77777777" w:rsidR="003B345D" w:rsidRPr="003B345D" w:rsidRDefault="003B345D" w:rsidP="003B345D">
            <w:pPr>
              <w:pStyle w:val="tabletext"/>
            </w:pPr>
            <w:r w:rsidRPr="003B345D">
              <w:t>Subsection 426-65(2A) in Schedule 1</w:t>
            </w:r>
          </w:p>
        </w:tc>
      </w:tr>
      <w:tr w:rsidR="003B345D" w:rsidRPr="003B345D" w14:paraId="0A2BD99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355C1D8D" w14:textId="77777777" w:rsidR="003B345D" w:rsidRPr="003B345D" w:rsidRDefault="003B345D" w:rsidP="003B345D">
            <w:pPr>
              <w:pStyle w:val="tabletext"/>
              <w:rPr>
                <w:lang w:val="en-US" w:eastAsia="en-US"/>
              </w:rPr>
            </w:pPr>
            <w:r w:rsidRPr="003B345D">
              <w:rPr>
                <w:lang w:val="en-US" w:eastAsia="en-US"/>
              </w:rPr>
              <w:t>850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9E67BE5" w14:textId="77777777" w:rsidR="003B345D" w:rsidRPr="003B345D" w:rsidRDefault="003B345D" w:rsidP="003B345D">
            <w:pPr>
              <w:pStyle w:val="tabletext"/>
            </w:pPr>
            <w:r w:rsidRPr="003B345D">
              <w:t>Subsection 426-65(2B) in Schedule 1</w:t>
            </w:r>
          </w:p>
        </w:tc>
      </w:tr>
      <w:tr w:rsidR="003B345D" w:rsidRPr="003B345D" w14:paraId="4C2CDC8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F46F75A" w14:textId="77777777" w:rsidR="003B345D" w:rsidRPr="003B345D" w:rsidRDefault="003B345D" w:rsidP="003B345D">
            <w:pPr>
              <w:pStyle w:val="tabletext"/>
              <w:rPr>
                <w:lang w:val="en-US" w:eastAsia="en-US"/>
              </w:rPr>
            </w:pPr>
            <w:r w:rsidRPr="003B345D">
              <w:rPr>
                <w:lang w:val="en-US" w:eastAsia="en-US"/>
              </w:rPr>
              <w:t>851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8C29CF" w14:textId="77777777" w:rsidR="003B345D" w:rsidRPr="003B345D" w:rsidRDefault="003B345D" w:rsidP="003B345D">
            <w:pPr>
              <w:pStyle w:val="tabletext"/>
            </w:pPr>
            <w:r w:rsidRPr="003B345D">
              <w:t>Subsection 426-65(3) in Schedule 1</w:t>
            </w:r>
          </w:p>
        </w:tc>
      </w:tr>
      <w:tr w:rsidR="003B345D" w:rsidRPr="003B345D" w14:paraId="0EED521A"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0157B03" w14:textId="77777777" w:rsidR="003B345D" w:rsidRPr="003B345D" w:rsidRDefault="003B345D" w:rsidP="003B345D">
            <w:pPr>
              <w:pStyle w:val="tabletext"/>
              <w:rPr>
                <w:lang w:val="en-US" w:eastAsia="en-US"/>
              </w:rPr>
            </w:pPr>
            <w:r w:rsidRPr="003B345D">
              <w:rPr>
                <w:lang w:val="en-US" w:eastAsia="en-US"/>
              </w:rPr>
              <w:t>856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31D1CFA" w14:textId="77777777" w:rsidR="003B345D" w:rsidRPr="003B345D" w:rsidRDefault="003B345D" w:rsidP="003B345D">
            <w:pPr>
              <w:pStyle w:val="tabletext"/>
            </w:pPr>
            <w:r w:rsidRPr="003B345D">
              <w:t>Section 426-104 in Schedule 1 (heading)</w:t>
            </w:r>
          </w:p>
        </w:tc>
      </w:tr>
      <w:tr w:rsidR="003B345D" w:rsidRPr="003B345D" w14:paraId="07A03808"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41737A87" w14:textId="77777777" w:rsidR="003B345D" w:rsidRPr="003B345D" w:rsidRDefault="003B345D" w:rsidP="003B345D">
            <w:pPr>
              <w:pStyle w:val="tabletext"/>
              <w:rPr>
                <w:lang w:val="en-US" w:eastAsia="en-US"/>
              </w:rPr>
            </w:pPr>
            <w:r w:rsidRPr="003B345D">
              <w:rPr>
                <w:lang w:val="en-US" w:eastAsia="en-US"/>
              </w:rPr>
              <w:t>857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63057AD" w14:textId="77777777" w:rsidR="003B345D" w:rsidRPr="003B345D" w:rsidRDefault="003B345D" w:rsidP="003B345D">
            <w:pPr>
              <w:pStyle w:val="tabletext"/>
            </w:pPr>
            <w:r w:rsidRPr="003B345D">
              <w:t>Subsection 426-104(1) in Schedule 1</w:t>
            </w:r>
          </w:p>
        </w:tc>
      </w:tr>
      <w:tr w:rsidR="003B345D" w:rsidRPr="003B345D" w14:paraId="62F2734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28923684" w14:textId="77777777" w:rsidR="003B345D" w:rsidRPr="003B345D" w:rsidRDefault="003B345D" w:rsidP="003B345D">
            <w:pPr>
              <w:pStyle w:val="tabletext"/>
              <w:rPr>
                <w:lang w:val="en-US" w:eastAsia="en-US"/>
              </w:rPr>
            </w:pPr>
            <w:r w:rsidRPr="003B345D">
              <w:rPr>
                <w:lang w:val="en-US" w:eastAsia="en-US"/>
              </w:rPr>
              <w:t>859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4234DB" w14:textId="77777777" w:rsidR="003B345D" w:rsidRPr="003B345D" w:rsidRDefault="003B345D" w:rsidP="003B345D">
            <w:pPr>
              <w:pStyle w:val="tabletext"/>
            </w:pPr>
            <w:r w:rsidRPr="003B345D">
              <w:t>Subsection 426-104(1) in Schedule 1 (note 2)</w:t>
            </w:r>
          </w:p>
        </w:tc>
      </w:tr>
      <w:tr w:rsidR="003B345D" w:rsidRPr="003B345D" w14:paraId="693A3C8D"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0A3E1E3A" w14:textId="77777777" w:rsidR="003B345D" w:rsidRPr="003B345D" w:rsidRDefault="003B345D" w:rsidP="003B345D">
            <w:pPr>
              <w:pStyle w:val="tabletext"/>
              <w:rPr>
                <w:lang w:val="en-US" w:eastAsia="en-US"/>
              </w:rPr>
            </w:pPr>
            <w:r w:rsidRPr="003B345D">
              <w:rPr>
                <w:lang w:val="en-US" w:eastAsia="en-US"/>
              </w:rPr>
              <w:t>860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1A54F7" w14:textId="77777777" w:rsidR="003B345D" w:rsidRPr="003B345D" w:rsidRDefault="003B345D" w:rsidP="003B345D">
            <w:pPr>
              <w:pStyle w:val="tabletext"/>
            </w:pPr>
            <w:r w:rsidRPr="003B345D">
              <w:t>Subsection 426-104(2) in Schedule 1</w:t>
            </w:r>
          </w:p>
        </w:tc>
      </w:tr>
      <w:tr w:rsidR="003B345D" w:rsidRPr="003B345D" w14:paraId="669E6F5C"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7A31EF98" w14:textId="77777777" w:rsidR="003B345D" w:rsidRPr="003B345D" w:rsidRDefault="003B345D" w:rsidP="003B345D">
            <w:pPr>
              <w:pStyle w:val="tabletext"/>
              <w:rPr>
                <w:lang w:val="en-US" w:eastAsia="en-US"/>
              </w:rPr>
            </w:pPr>
            <w:r w:rsidRPr="003B345D">
              <w:rPr>
                <w:lang w:val="en-US" w:eastAsia="en-US"/>
              </w:rPr>
              <w:t>863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8C19C84" w14:textId="77777777" w:rsidR="003B345D" w:rsidRPr="003B345D" w:rsidRDefault="003B345D" w:rsidP="003B345D">
            <w:pPr>
              <w:pStyle w:val="tabletext"/>
            </w:pPr>
            <w:r w:rsidRPr="003B345D">
              <w:t>Section 426-115 in Schedule 1 (heading)</w:t>
            </w:r>
          </w:p>
        </w:tc>
      </w:tr>
      <w:tr w:rsidR="003B345D" w:rsidRPr="003B345D" w14:paraId="6BE8B367"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6722FC7A" w14:textId="77777777" w:rsidR="003B345D" w:rsidRPr="003B345D" w:rsidRDefault="003B345D" w:rsidP="003B345D">
            <w:pPr>
              <w:pStyle w:val="tabletext"/>
              <w:rPr>
                <w:lang w:val="en-US" w:eastAsia="en-US"/>
              </w:rPr>
            </w:pPr>
            <w:r w:rsidRPr="003B345D">
              <w:rPr>
                <w:lang w:val="en-US" w:eastAsia="en-US"/>
              </w:rPr>
              <w:t>864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43CCF47" w14:textId="77777777" w:rsidR="003B345D" w:rsidRPr="003B345D" w:rsidRDefault="003B345D" w:rsidP="003B345D">
            <w:pPr>
              <w:pStyle w:val="tabletext"/>
            </w:pPr>
            <w:r w:rsidRPr="003B345D">
              <w:t>Subsection 426-115(1) in Schedule 1</w:t>
            </w:r>
          </w:p>
        </w:tc>
      </w:tr>
      <w:tr w:rsidR="003B345D" w:rsidRPr="003B345D" w14:paraId="6347B623"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93763BD" w14:textId="77777777" w:rsidR="003B345D" w:rsidRPr="003B345D" w:rsidRDefault="003B345D" w:rsidP="003B345D">
            <w:pPr>
              <w:pStyle w:val="tabletext"/>
              <w:rPr>
                <w:lang w:val="en-US" w:eastAsia="en-US"/>
              </w:rPr>
            </w:pPr>
            <w:r w:rsidRPr="003B345D">
              <w:rPr>
                <w:lang w:val="en-US" w:eastAsia="en-US"/>
              </w:rPr>
              <w:t>866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FA2419" w14:textId="77777777" w:rsidR="003B345D" w:rsidRPr="003B345D" w:rsidRDefault="003B345D" w:rsidP="003B345D">
            <w:pPr>
              <w:pStyle w:val="tabletext"/>
            </w:pPr>
            <w:r w:rsidRPr="003B345D">
              <w:t>Subsection 426-115(1) in Schedule 1 (note 2)</w:t>
            </w:r>
          </w:p>
        </w:tc>
      </w:tr>
      <w:tr w:rsidR="003B345D" w:rsidRPr="003B345D" w14:paraId="71DA8526" w14:textId="77777777" w:rsidTr="003B345D">
        <w:tc>
          <w:tcPr>
            <w:tcW w:w="809" w:type="dxa"/>
            <w:tcBorders>
              <w:top w:val="single" w:sz="4" w:space="0" w:color="auto"/>
              <w:left w:val="single" w:sz="4" w:space="0" w:color="auto"/>
              <w:bottom w:val="single" w:sz="4" w:space="0" w:color="auto"/>
              <w:right w:val="single" w:sz="4" w:space="0" w:color="auto"/>
            </w:tcBorders>
            <w:shd w:val="clear" w:color="auto" w:fill="auto"/>
          </w:tcPr>
          <w:p w14:paraId="51233B80" w14:textId="77777777" w:rsidR="003B345D" w:rsidRPr="003B345D" w:rsidRDefault="003B345D" w:rsidP="003B345D">
            <w:pPr>
              <w:pStyle w:val="tabletext"/>
              <w:rPr>
                <w:lang w:val="en-US" w:eastAsia="en-US"/>
              </w:rPr>
            </w:pPr>
            <w:r w:rsidRPr="003B345D">
              <w:rPr>
                <w:lang w:val="en-US" w:eastAsia="en-US"/>
              </w:rPr>
              <w:t>867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FAE6EB9" w14:textId="77777777" w:rsidR="003B345D" w:rsidRPr="003B345D" w:rsidRDefault="003B345D" w:rsidP="003B345D">
            <w:pPr>
              <w:pStyle w:val="tabletext"/>
            </w:pPr>
            <w:r w:rsidRPr="003B345D">
              <w:t>Subsection 426-115(2) in Schedule 1</w:t>
            </w:r>
          </w:p>
        </w:tc>
      </w:tr>
    </w:tbl>
    <w:p w14:paraId="4B1E1A35" w14:textId="5AF7B2CC" w:rsidR="00C0030A" w:rsidRPr="00E85468" w:rsidRDefault="00C0030A" w:rsidP="00C0030A">
      <w:pPr>
        <w:pStyle w:val="TableHeadingoutsidetable"/>
        <w:numPr>
          <w:ilvl w:val="0"/>
          <w:numId w:val="0"/>
        </w:numPr>
        <w:ind w:left="1134"/>
        <w:rPr>
          <w:i/>
        </w:rPr>
      </w:pPr>
      <w:r>
        <w:rPr>
          <w:i/>
        </w:rPr>
        <w:t xml:space="preserve">Second tranche of exposure draft </w:t>
      </w:r>
      <w:r w:rsidRPr="00E85468">
        <w:rPr>
          <w:i/>
        </w:rPr>
        <w:t>amendments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742"/>
      </w:tblGrid>
      <w:tr w:rsidR="00C0030A" w:rsidRPr="004666B8" w14:paraId="0791E5D9" w14:textId="77777777" w:rsidTr="00606F82">
        <w:trPr>
          <w:tblHeader/>
        </w:trPr>
        <w:tc>
          <w:tcPr>
            <w:tcW w:w="809" w:type="dxa"/>
          </w:tcPr>
          <w:p w14:paraId="36A59996" w14:textId="098F1F44" w:rsidR="00C0030A" w:rsidRPr="004666B8" w:rsidRDefault="00936FF1" w:rsidP="00606F82">
            <w:pPr>
              <w:pStyle w:val="tableheaderwithintable"/>
              <w:rPr>
                <w:lang w:val="en-US" w:eastAsia="en-US"/>
              </w:rPr>
            </w:pPr>
            <w:r>
              <w:rPr>
                <w:lang w:val="en-US" w:eastAsia="en-US"/>
              </w:rPr>
              <w:t>Item</w:t>
            </w:r>
            <w:r>
              <w:rPr>
                <w:rStyle w:val="FootnoteReference"/>
                <w:lang w:val="en-US" w:eastAsia="en-US"/>
              </w:rPr>
              <w:footnoteReference w:id="69"/>
            </w:r>
          </w:p>
        </w:tc>
        <w:tc>
          <w:tcPr>
            <w:tcW w:w="5742" w:type="dxa"/>
          </w:tcPr>
          <w:p w14:paraId="0A01F147" w14:textId="77777777" w:rsidR="00C0030A" w:rsidRPr="004666B8" w:rsidRDefault="00C0030A" w:rsidP="00606F82">
            <w:pPr>
              <w:pStyle w:val="tableheaderwithintable"/>
              <w:rPr>
                <w:lang w:val="en-US" w:eastAsia="en-US"/>
              </w:rPr>
            </w:pPr>
            <w:r>
              <w:rPr>
                <w:lang w:val="en-US" w:eastAsia="en-US"/>
              </w:rPr>
              <w:t>Provision</w:t>
            </w:r>
          </w:p>
        </w:tc>
      </w:tr>
      <w:tr w:rsidR="00C0030A" w:rsidRPr="00C0030A" w14:paraId="41BA224E" w14:textId="77777777" w:rsidTr="00606F82">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C8D6B" w14:textId="14A86BA0" w:rsidR="00C0030A" w:rsidRPr="00C0030A" w:rsidRDefault="00C0030A" w:rsidP="00C0030A">
            <w:pPr>
              <w:pStyle w:val="tabletext"/>
              <w:rPr>
                <w:b/>
                <w:lang w:val="en-US" w:eastAsia="en-US"/>
              </w:rPr>
            </w:pPr>
            <w:r w:rsidRPr="00C0030A">
              <w:rPr>
                <w:b/>
                <w:lang w:val="en-US" w:eastAsia="en-US"/>
              </w:rPr>
              <w:t>Australian Securities and Investments Commission Act 2001</w:t>
            </w:r>
          </w:p>
        </w:tc>
      </w:tr>
      <w:tr w:rsidR="00C0030A" w:rsidRPr="00C0030A" w14:paraId="05B3880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CC2DB69" w14:textId="77777777" w:rsidR="00C0030A" w:rsidRPr="00C0030A" w:rsidRDefault="00C0030A" w:rsidP="00C0030A">
            <w:pPr>
              <w:pStyle w:val="tabletext"/>
              <w:rPr>
                <w:lang w:val="en-US" w:eastAsia="en-US"/>
              </w:rPr>
            </w:pPr>
            <w:r w:rsidRPr="00C0030A">
              <w:rPr>
                <w:lang w:val="en-US" w:eastAsia="en-US"/>
              </w:rPr>
              <w:t>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A681326" w14:textId="77777777" w:rsidR="00C0030A" w:rsidRPr="00C0030A" w:rsidRDefault="00C0030A" w:rsidP="00C0030A">
            <w:pPr>
              <w:pStyle w:val="tabletext"/>
              <w:rPr>
                <w:lang w:val="en-US" w:eastAsia="en-US"/>
              </w:rPr>
            </w:pPr>
            <w:r w:rsidRPr="00C0030A">
              <w:rPr>
                <w:lang w:val="en-US" w:eastAsia="en-US"/>
              </w:rPr>
              <w:t>At the end of subsection 127(2A)</w:t>
            </w:r>
          </w:p>
        </w:tc>
      </w:tr>
      <w:tr w:rsidR="00C0030A" w:rsidRPr="00C0030A" w14:paraId="0A33AA9D" w14:textId="77777777" w:rsidTr="00606F82">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C4443" w14:textId="24B733A6" w:rsidR="00C0030A" w:rsidRPr="00C0030A" w:rsidRDefault="00C0030A" w:rsidP="00C0030A">
            <w:pPr>
              <w:pStyle w:val="tabletext"/>
              <w:rPr>
                <w:b/>
                <w:lang w:val="en-US" w:eastAsia="en-US"/>
              </w:rPr>
            </w:pPr>
            <w:bookmarkStart w:id="34" w:name="RANGE!B4"/>
            <w:r w:rsidRPr="00C0030A">
              <w:rPr>
                <w:b/>
                <w:lang w:val="en-US" w:eastAsia="en-US"/>
              </w:rPr>
              <w:t>Corporations Act 2001</w:t>
            </w:r>
            <w:bookmarkEnd w:id="34"/>
          </w:p>
        </w:tc>
      </w:tr>
      <w:tr w:rsidR="00C0030A" w:rsidRPr="00C0030A" w14:paraId="1952367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B250E91" w14:textId="77777777" w:rsidR="00C0030A" w:rsidRPr="00C0030A" w:rsidRDefault="00C0030A" w:rsidP="00C0030A">
            <w:pPr>
              <w:pStyle w:val="tabletext"/>
              <w:rPr>
                <w:lang w:val="en-US" w:eastAsia="en-US"/>
              </w:rPr>
            </w:pPr>
            <w:r w:rsidRPr="00C0030A">
              <w:rPr>
                <w:lang w:val="en-US" w:eastAsia="en-US"/>
              </w:rPr>
              <w:t>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7ACC018" w14:textId="77777777" w:rsidR="00C0030A" w:rsidRPr="00C0030A" w:rsidRDefault="00C0030A" w:rsidP="00C0030A">
            <w:pPr>
              <w:pStyle w:val="tabletext"/>
              <w:rPr>
                <w:lang w:val="en-US" w:eastAsia="en-US"/>
              </w:rPr>
            </w:pPr>
            <w:r w:rsidRPr="00C0030A">
              <w:rPr>
                <w:lang w:val="en-US" w:eastAsia="en-US"/>
              </w:rPr>
              <w:t>Subsection 601AA(1)</w:t>
            </w:r>
          </w:p>
        </w:tc>
      </w:tr>
      <w:tr w:rsidR="00C0030A" w:rsidRPr="00C0030A" w14:paraId="17A53AF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1FFE2E6" w14:textId="77777777" w:rsidR="00C0030A" w:rsidRPr="00C0030A" w:rsidRDefault="00C0030A" w:rsidP="00C0030A">
            <w:pPr>
              <w:pStyle w:val="tabletext"/>
              <w:rPr>
                <w:lang w:val="en-US" w:eastAsia="en-US"/>
              </w:rPr>
            </w:pPr>
            <w:r w:rsidRPr="00C0030A">
              <w:rPr>
                <w:lang w:val="en-US" w:eastAsia="en-US"/>
              </w:rPr>
              <w:t>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0B05477" w14:textId="77777777" w:rsidR="00C0030A" w:rsidRPr="00C0030A" w:rsidRDefault="00C0030A" w:rsidP="00C0030A">
            <w:pPr>
              <w:pStyle w:val="tabletext"/>
              <w:rPr>
                <w:lang w:val="en-US" w:eastAsia="en-US"/>
              </w:rPr>
            </w:pPr>
            <w:r w:rsidRPr="00C0030A">
              <w:rPr>
                <w:lang w:val="en-US" w:eastAsia="en-US"/>
              </w:rPr>
              <w:t>Subsection 601AA(3) (heading)</w:t>
            </w:r>
          </w:p>
        </w:tc>
      </w:tr>
      <w:tr w:rsidR="00C0030A" w:rsidRPr="00C0030A" w14:paraId="64E12CA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8D2F4A3" w14:textId="77777777" w:rsidR="00C0030A" w:rsidRPr="00C0030A" w:rsidRDefault="00C0030A" w:rsidP="00C0030A">
            <w:pPr>
              <w:pStyle w:val="tabletext"/>
              <w:rPr>
                <w:lang w:val="en-US" w:eastAsia="en-US"/>
              </w:rPr>
            </w:pPr>
            <w:r w:rsidRPr="00C0030A">
              <w:rPr>
                <w:lang w:val="en-US" w:eastAsia="en-US"/>
              </w:rPr>
              <w:t>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FFFD6D4" w14:textId="77777777" w:rsidR="00C0030A" w:rsidRPr="00C0030A" w:rsidRDefault="00C0030A" w:rsidP="00C0030A">
            <w:pPr>
              <w:pStyle w:val="tabletext"/>
              <w:rPr>
                <w:lang w:val="en-US" w:eastAsia="en-US"/>
              </w:rPr>
            </w:pPr>
            <w:r w:rsidRPr="00C0030A">
              <w:rPr>
                <w:lang w:val="en-US" w:eastAsia="en-US"/>
              </w:rPr>
              <w:t>Subsection 601AA(3)</w:t>
            </w:r>
          </w:p>
        </w:tc>
      </w:tr>
      <w:tr w:rsidR="00C0030A" w:rsidRPr="00C0030A" w14:paraId="62F2B17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D7BC263" w14:textId="77777777" w:rsidR="00C0030A" w:rsidRPr="00C0030A" w:rsidRDefault="00C0030A" w:rsidP="00C0030A">
            <w:pPr>
              <w:pStyle w:val="tabletext"/>
              <w:rPr>
                <w:lang w:val="en-US" w:eastAsia="en-US"/>
              </w:rPr>
            </w:pPr>
            <w:r w:rsidRPr="00C0030A">
              <w:rPr>
                <w:lang w:val="en-US" w:eastAsia="en-US"/>
              </w:rPr>
              <w:t>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FDD2C20" w14:textId="77777777" w:rsidR="00C0030A" w:rsidRPr="00C0030A" w:rsidRDefault="00C0030A" w:rsidP="00C0030A">
            <w:pPr>
              <w:pStyle w:val="tabletext"/>
              <w:rPr>
                <w:lang w:val="en-US" w:eastAsia="en-US"/>
              </w:rPr>
            </w:pPr>
            <w:r w:rsidRPr="00C0030A">
              <w:rPr>
                <w:lang w:val="en-US" w:eastAsia="en-US"/>
              </w:rPr>
              <w:t>Paragraphs 601AA(4)(a) and (b)</w:t>
            </w:r>
          </w:p>
        </w:tc>
      </w:tr>
      <w:tr w:rsidR="00C0030A" w:rsidRPr="00C0030A" w14:paraId="2C35D03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390484E" w14:textId="77777777" w:rsidR="00C0030A" w:rsidRPr="00C0030A" w:rsidRDefault="00C0030A" w:rsidP="00C0030A">
            <w:pPr>
              <w:pStyle w:val="tabletext"/>
              <w:rPr>
                <w:lang w:val="en-US" w:eastAsia="en-US"/>
              </w:rPr>
            </w:pPr>
            <w:r w:rsidRPr="00C0030A">
              <w:rPr>
                <w:lang w:val="en-US" w:eastAsia="en-US"/>
              </w:rPr>
              <w:t>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13292C8" w14:textId="77777777" w:rsidR="00C0030A" w:rsidRPr="00C0030A" w:rsidRDefault="00C0030A" w:rsidP="00C0030A">
            <w:pPr>
              <w:pStyle w:val="tabletext"/>
              <w:rPr>
                <w:lang w:val="en-US" w:eastAsia="en-US"/>
              </w:rPr>
            </w:pPr>
            <w:r w:rsidRPr="00C0030A">
              <w:rPr>
                <w:lang w:val="en-US" w:eastAsia="en-US"/>
              </w:rPr>
              <w:t>Subsection 601AA(4)</w:t>
            </w:r>
          </w:p>
        </w:tc>
      </w:tr>
      <w:tr w:rsidR="00C0030A" w:rsidRPr="00C0030A" w14:paraId="5B4760D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7815B05" w14:textId="77777777" w:rsidR="00C0030A" w:rsidRPr="00C0030A" w:rsidRDefault="00C0030A" w:rsidP="00C0030A">
            <w:pPr>
              <w:pStyle w:val="tabletext"/>
              <w:rPr>
                <w:lang w:val="en-US" w:eastAsia="en-US"/>
              </w:rPr>
            </w:pPr>
            <w:r w:rsidRPr="00C0030A">
              <w:rPr>
                <w:lang w:val="en-US" w:eastAsia="en-US"/>
              </w:rPr>
              <w:t>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88D9986" w14:textId="77777777" w:rsidR="00C0030A" w:rsidRPr="00C0030A" w:rsidRDefault="00C0030A" w:rsidP="00C0030A">
            <w:pPr>
              <w:pStyle w:val="tabletext"/>
              <w:rPr>
                <w:lang w:val="en-US" w:eastAsia="en-US"/>
              </w:rPr>
            </w:pPr>
            <w:r w:rsidRPr="00C0030A">
              <w:rPr>
                <w:lang w:val="en-US" w:eastAsia="en-US"/>
              </w:rPr>
              <w:t>Paragraph 601AA(4)(c)</w:t>
            </w:r>
          </w:p>
        </w:tc>
      </w:tr>
      <w:tr w:rsidR="00C0030A" w:rsidRPr="00C0030A" w14:paraId="28ECA75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C5A72DD" w14:textId="77777777" w:rsidR="00C0030A" w:rsidRPr="00C0030A" w:rsidRDefault="00C0030A" w:rsidP="00C0030A">
            <w:pPr>
              <w:pStyle w:val="tabletext"/>
              <w:rPr>
                <w:lang w:val="en-US" w:eastAsia="en-US"/>
              </w:rPr>
            </w:pPr>
            <w:r w:rsidRPr="00C0030A">
              <w:rPr>
                <w:lang w:val="en-US" w:eastAsia="en-US"/>
              </w:rPr>
              <w:t>10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4F57DED" w14:textId="77777777" w:rsidR="00C0030A" w:rsidRPr="00C0030A" w:rsidRDefault="00C0030A" w:rsidP="00C0030A">
            <w:pPr>
              <w:pStyle w:val="tabletext"/>
              <w:rPr>
                <w:lang w:val="en-US" w:eastAsia="en-US"/>
              </w:rPr>
            </w:pPr>
            <w:r w:rsidRPr="00C0030A">
              <w:rPr>
                <w:lang w:val="en-US" w:eastAsia="en-US"/>
              </w:rPr>
              <w:t>Subsection 601AA(4A)</w:t>
            </w:r>
          </w:p>
        </w:tc>
      </w:tr>
      <w:tr w:rsidR="00C0030A" w:rsidRPr="00C0030A" w14:paraId="663C68B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9DBAD70" w14:textId="77777777" w:rsidR="00C0030A" w:rsidRPr="00C0030A" w:rsidRDefault="00C0030A" w:rsidP="00C0030A">
            <w:pPr>
              <w:pStyle w:val="tabletext"/>
              <w:rPr>
                <w:lang w:val="en-US" w:eastAsia="en-US"/>
              </w:rPr>
            </w:pPr>
            <w:r w:rsidRPr="00C0030A">
              <w:rPr>
                <w:lang w:val="en-US" w:eastAsia="en-US"/>
              </w:rPr>
              <w:t>11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B996174" w14:textId="77777777" w:rsidR="00C0030A" w:rsidRPr="00C0030A" w:rsidRDefault="00C0030A" w:rsidP="00C0030A">
            <w:pPr>
              <w:pStyle w:val="tabletext"/>
              <w:rPr>
                <w:lang w:val="en-US" w:eastAsia="en-US"/>
              </w:rPr>
            </w:pPr>
            <w:r w:rsidRPr="00C0030A">
              <w:rPr>
                <w:lang w:val="en-US" w:eastAsia="en-US"/>
              </w:rPr>
              <w:t>Subsection 601AA(5)</w:t>
            </w:r>
          </w:p>
        </w:tc>
      </w:tr>
      <w:tr w:rsidR="00C0030A" w:rsidRPr="00C0030A" w14:paraId="4310B48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68A42EC" w14:textId="77777777" w:rsidR="00C0030A" w:rsidRPr="00C0030A" w:rsidRDefault="00C0030A" w:rsidP="00C0030A">
            <w:pPr>
              <w:pStyle w:val="tabletext"/>
              <w:rPr>
                <w:lang w:val="en-US" w:eastAsia="en-US"/>
              </w:rPr>
            </w:pPr>
            <w:r w:rsidRPr="00C0030A">
              <w:rPr>
                <w:lang w:val="en-US" w:eastAsia="en-US"/>
              </w:rPr>
              <w:t>12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13616AC" w14:textId="77777777" w:rsidR="00C0030A" w:rsidRPr="00C0030A" w:rsidRDefault="00C0030A" w:rsidP="00C0030A">
            <w:pPr>
              <w:pStyle w:val="tabletext"/>
              <w:rPr>
                <w:lang w:val="en-US" w:eastAsia="en-US"/>
              </w:rPr>
            </w:pPr>
            <w:r w:rsidRPr="00C0030A">
              <w:rPr>
                <w:lang w:val="en-US" w:eastAsia="en-US"/>
              </w:rPr>
              <w:t>After subsection 601AA(5)</w:t>
            </w:r>
          </w:p>
        </w:tc>
      </w:tr>
      <w:tr w:rsidR="00C0030A" w:rsidRPr="00C0030A" w14:paraId="421D512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E9819E" w14:textId="77777777" w:rsidR="00C0030A" w:rsidRPr="00C0030A" w:rsidRDefault="00C0030A" w:rsidP="00C0030A">
            <w:pPr>
              <w:pStyle w:val="tabletext"/>
              <w:rPr>
                <w:lang w:val="en-US" w:eastAsia="en-US"/>
              </w:rPr>
            </w:pPr>
            <w:r w:rsidRPr="00C0030A">
              <w:rPr>
                <w:lang w:val="en-US" w:eastAsia="en-US"/>
              </w:rPr>
              <w:t>13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31E728E" w14:textId="77777777" w:rsidR="00C0030A" w:rsidRPr="00C0030A" w:rsidRDefault="00C0030A" w:rsidP="00C0030A">
            <w:pPr>
              <w:pStyle w:val="tabletext"/>
              <w:rPr>
                <w:lang w:val="en-US" w:eastAsia="en-US"/>
              </w:rPr>
            </w:pPr>
            <w:r w:rsidRPr="00C0030A">
              <w:rPr>
                <w:lang w:val="en-US" w:eastAsia="en-US"/>
              </w:rPr>
              <w:t>Subsection 601AA(6)</w:t>
            </w:r>
          </w:p>
        </w:tc>
      </w:tr>
      <w:tr w:rsidR="00C0030A" w:rsidRPr="00C0030A" w14:paraId="3A0BD74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9BE4AE2" w14:textId="77777777" w:rsidR="00C0030A" w:rsidRPr="00C0030A" w:rsidRDefault="00C0030A" w:rsidP="00C0030A">
            <w:pPr>
              <w:pStyle w:val="tabletext"/>
              <w:rPr>
                <w:lang w:val="en-US" w:eastAsia="en-US"/>
              </w:rPr>
            </w:pPr>
            <w:r w:rsidRPr="00C0030A">
              <w:rPr>
                <w:lang w:val="en-US" w:eastAsia="en-US"/>
              </w:rPr>
              <w:t>14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44BC687" w14:textId="77777777" w:rsidR="00C0030A" w:rsidRPr="00C0030A" w:rsidRDefault="00C0030A" w:rsidP="00C0030A">
            <w:pPr>
              <w:pStyle w:val="tabletext"/>
              <w:rPr>
                <w:lang w:val="en-US" w:eastAsia="en-US"/>
              </w:rPr>
            </w:pPr>
            <w:r w:rsidRPr="00C0030A">
              <w:rPr>
                <w:lang w:val="en-US" w:eastAsia="en-US"/>
              </w:rPr>
              <w:t>Subsection 601AA(7)</w:t>
            </w:r>
          </w:p>
        </w:tc>
      </w:tr>
      <w:tr w:rsidR="00C0030A" w:rsidRPr="00C0030A" w14:paraId="5371841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34E750A" w14:textId="77777777" w:rsidR="00C0030A" w:rsidRPr="00C0030A" w:rsidRDefault="00C0030A" w:rsidP="00C0030A">
            <w:pPr>
              <w:pStyle w:val="tabletext"/>
              <w:rPr>
                <w:lang w:val="en-US" w:eastAsia="en-US"/>
              </w:rPr>
            </w:pPr>
            <w:r w:rsidRPr="00C0030A">
              <w:rPr>
                <w:lang w:val="en-US" w:eastAsia="en-US"/>
              </w:rPr>
              <w:t>15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3ECEDF5" w14:textId="77777777" w:rsidR="00C0030A" w:rsidRPr="00C0030A" w:rsidRDefault="00C0030A" w:rsidP="00C0030A">
            <w:pPr>
              <w:pStyle w:val="tabletext"/>
              <w:rPr>
                <w:lang w:val="en-US" w:eastAsia="en-US"/>
              </w:rPr>
            </w:pPr>
            <w:r w:rsidRPr="00C0030A">
              <w:rPr>
                <w:lang w:val="en-US" w:eastAsia="en-US"/>
              </w:rPr>
              <w:t>Section 601AB (heading)</w:t>
            </w:r>
          </w:p>
        </w:tc>
      </w:tr>
      <w:tr w:rsidR="00C0030A" w:rsidRPr="00C0030A" w14:paraId="62E0669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E4D652" w14:textId="77777777" w:rsidR="00C0030A" w:rsidRPr="00C0030A" w:rsidRDefault="00C0030A" w:rsidP="00C0030A">
            <w:pPr>
              <w:pStyle w:val="tabletext"/>
              <w:rPr>
                <w:lang w:val="en-US" w:eastAsia="en-US"/>
              </w:rPr>
            </w:pPr>
            <w:r w:rsidRPr="00C0030A">
              <w:rPr>
                <w:lang w:val="en-US" w:eastAsia="en-US"/>
              </w:rPr>
              <w:t>16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FEE693" w14:textId="77777777" w:rsidR="00C0030A" w:rsidRPr="00C0030A" w:rsidRDefault="00C0030A" w:rsidP="00C0030A">
            <w:pPr>
              <w:pStyle w:val="tabletext"/>
              <w:rPr>
                <w:lang w:val="en-US" w:eastAsia="en-US"/>
              </w:rPr>
            </w:pPr>
            <w:r w:rsidRPr="00C0030A">
              <w:rPr>
                <w:lang w:val="en-US" w:eastAsia="en-US"/>
              </w:rPr>
              <w:t>Subsection 601AB(1) (heading)</w:t>
            </w:r>
          </w:p>
        </w:tc>
      </w:tr>
      <w:tr w:rsidR="00C0030A" w:rsidRPr="00C0030A" w14:paraId="3849D07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5CDDE11" w14:textId="77777777" w:rsidR="00C0030A" w:rsidRPr="00C0030A" w:rsidRDefault="00C0030A" w:rsidP="00C0030A">
            <w:pPr>
              <w:pStyle w:val="tabletext"/>
              <w:rPr>
                <w:lang w:val="en-US" w:eastAsia="en-US"/>
              </w:rPr>
            </w:pPr>
            <w:r w:rsidRPr="00C0030A">
              <w:rPr>
                <w:lang w:val="en-US" w:eastAsia="en-US"/>
              </w:rPr>
              <w:t>17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CD1920" w14:textId="77777777" w:rsidR="00C0030A" w:rsidRPr="00C0030A" w:rsidRDefault="00C0030A" w:rsidP="00C0030A">
            <w:pPr>
              <w:pStyle w:val="tabletext"/>
              <w:rPr>
                <w:lang w:val="en-US" w:eastAsia="en-US"/>
              </w:rPr>
            </w:pPr>
            <w:r w:rsidRPr="00C0030A">
              <w:rPr>
                <w:lang w:val="en-US" w:eastAsia="en-US"/>
              </w:rPr>
              <w:t>Subsection 601AB(1)</w:t>
            </w:r>
          </w:p>
        </w:tc>
      </w:tr>
      <w:tr w:rsidR="00C0030A" w:rsidRPr="00C0030A" w14:paraId="1703F38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2D052E2" w14:textId="77777777" w:rsidR="00C0030A" w:rsidRPr="00C0030A" w:rsidRDefault="00C0030A" w:rsidP="00C0030A">
            <w:pPr>
              <w:pStyle w:val="tabletext"/>
              <w:rPr>
                <w:lang w:val="en-US" w:eastAsia="en-US"/>
              </w:rPr>
            </w:pPr>
            <w:r w:rsidRPr="00C0030A">
              <w:rPr>
                <w:lang w:val="en-US" w:eastAsia="en-US"/>
              </w:rPr>
              <w:lastRenderedPageBreak/>
              <w:t>18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D086B2A" w14:textId="77777777" w:rsidR="00C0030A" w:rsidRPr="00C0030A" w:rsidRDefault="00C0030A" w:rsidP="00C0030A">
            <w:pPr>
              <w:pStyle w:val="tabletext"/>
              <w:rPr>
                <w:lang w:val="en-US" w:eastAsia="en-US"/>
              </w:rPr>
            </w:pPr>
            <w:r w:rsidRPr="00C0030A">
              <w:rPr>
                <w:lang w:val="en-US" w:eastAsia="en-US"/>
              </w:rPr>
              <w:t>Paragraph 601AB(1)(b)</w:t>
            </w:r>
          </w:p>
        </w:tc>
      </w:tr>
      <w:tr w:rsidR="00C0030A" w:rsidRPr="00C0030A" w14:paraId="50D7267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DA2D855" w14:textId="77777777" w:rsidR="00C0030A" w:rsidRPr="00C0030A" w:rsidRDefault="00C0030A" w:rsidP="00C0030A">
            <w:pPr>
              <w:pStyle w:val="tabletext"/>
              <w:rPr>
                <w:lang w:val="en-US" w:eastAsia="en-US"/>
              </w:rPr>
            </w:pPr>
            <w:r w:rsidRPr="00C0030A">
              <w:rPr>
                <w:lang w:val="en-US" w:eastAsia="en-US"/>
              </w:rPr>
              <w:t>19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B51EBFD" w14:textId="77777777" w:rsidR="00C0030A" w:rsidRPr="00C0030A" w:rsidRDefault="00C0030A" w:rsidP="00C0030A">
            <w:pPr>
              <w:pStyle w:val="tabletext"/>
              <w:rPr>
                <w:lang w:val="en-US" w:eastAsia="en-US"/>
              </w:rPr>
            </w:pPr>
            <w:r w:rsidRPr="00C0030A">
              <w:rPr>
                <w:lang w:val="en-US" w:eastAsia="en-US"/>
              </w:rPr>
              <w:t>Paragraph 601AB(1)(c)</w:t>
            </w:r>
          </w:p>
        </w:tc>
      </w:tr>
      <w:tr w:rsidR="00C0030A" w:rsidRPr="00C0030A" w14:paraId="3C2BA05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8EB3B0E" w14:textId="77777777" w:rsidR="00C0030A" w:rsidRPr="00C0030A" w:rsidRDefault="00C0030A" w:rsidP="00C0030A">
            <w:pPr>
              <w:pStyle w:val="tabletext"/>
              <w:rPr>
                <w:lang w:val="en-US" w:eastAsia="en-US"/>
              </w:rPr>
            </w:pPr>
            <w:r w:rsidRPr="00C0030A">
              <w:rPr>
                <w:lang w:val="en-US" w:eastAsia="en-US"/>
              </w:rPr>
              <w:t>20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3457F26" w14:textId="77777777" w:rsidR="00C0030A" w:rsidRPr="00C0030A" w:rsidRDefault="00C0030A" w:rsidP="00C0030A">
            <w:pPr>
              <w:pStyle w:val="tabletext"/>
              <w:rPr>
                <w:lang w:val="en-US" w:eastAsia="en-US"/>
              </w:rPr>
            </w:pPr>
            <w:r w:rsidRPr="00C0030A">
              <w:rPr>
                <w:lang w:val="en-US" w:eastAsia="en-US"/>
              </w:rPr>
              <w:t>Subsections 601AB(1A) and (1B)</w:t>
            </w:r>
          </w:p>
        </w:tc>
      </w:tr>
      <w:tr w:rsidR="00C0030A" w:rsidRPr="00C0030A" w14:paraId="5B87B61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0B2BA50" w14:textId="77777777" w:rsidR="00C0030A" w:rsidRPr="00C0030A" w:rsidRDefault="00C0030A" w:rsidP="00C0030A">
            <w:pPr>
              <w:pStyle w:val="tabletext"/>
              <w:rPr>
                <w:lang w:val="en-US" w:eastAsia="en-US"/>
              </w:rPr>
            </w:pPr>
            <w:r w:rsidRPr="00C0030A">
              <w:rPr>
                <w:lang w:val="en-US" w:eastAsia="en-US"/>
              </w:rPr>
              <w:t>21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A27C50" w14:textId="77777777" w:rsidR="00C0030A" w:rsidRPr="00C0030A" w:rsidRDefault="00C0030A" w:rsidP="00C0030A">
            <w:pPr>
              <w:pStyle w:val="tabletext"/>
              <w:rPr>
                <w:lang w:val="en-US" w:eastAsia="en-US"/>
              </w:rPr>
            </w:pPr>
            <w:r w:rsidRPr="00C0030A">
              <w:rPr>
                <w:lang w:val="en-US" w:eastAsia="en-US"/>
              </w:rPr>
              <w:t>Subsection 601AB(2)</w:t>
            </w:r>
          </w:p>
        </w:tc>
      </w:tr>
      <w:tr w:rsidR="00C0030A" w:rsidRPr="00C0030A" w14:paraId="6D3AC8D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06196EE" w14:textId="77777777" w:rsidR="00C0030A" w:rsidRPr="00C0030A" w:rsidRDefault="00C0030A" w:rsidP="00C0030A">
            <w:pPr>
              <w:pStyle w:val="tabletext"/>
              <w:rPr>
                <w:lang w:val="en-US" w:eastAsia="en-US"/>
              </w:rPr>
            </w:pPr>
            <w:r w:rsidRPr="00C0030A">
              <w:rPr>
                <w:lang w:val="en-US" w:eastAsia="en-US"/>
              </w:rPr>
              <w:t>22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AE7E4A1" w14:textId="77777777" w:rsidR="00C0030A" w:rsidRPr="00C0030A" w:rsidRDefault="00C0030A" w:rsidP="00C0030A">
            <w:pPr>
              <w:pStyle w:val="tabletext"/>
              <w:rPr>
                <w:lang w:val="en-US" w:eastAsia="en-US"/>
              </w:rPr>
            </w:pPr>
            <w:r w:rsidRPr="00C0030A">
              <w:rPr>
                <w:lang w:val="en-US" w:eastAsia="en-US"/>
              </w:rPr>
              <w:t>Subsection 601AB(2)</w:t>
            </w:r>
          </w:p>
        </w:tc>
      </w:tr>
      <w:tr w:rsidR="00C0030A" w:rsidRPr="00C0030A" w14:paraId="2CD04F5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3387605" w14:textId="77777777" w:rsidR="00C0030A" w:rsidRPr="00C0030A" w:rsidRDefault="00C0030A" w:rsidP="00C0030A">
            <w:pPr>
              <w:pStyle w:val="tabletext"/>
              <w:rPr>
                <w:lang w:val="en-US" w:eastAsia="en-US"/>
              </w:rPr>
            </w:pPr>
            <w:r w:rsidRPr="00C0030A">
              <w:rPr>
                <w:lang w:val="en-US" w:eastAsia="en-US"/>
              </w:rPr>
              <w:t>23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814460E" w14:textId="77777777" w:rsidR="00C0030A" w:rsidRPr="00C0030A" w:rsidRDefault="00C0030A" w:rsidP="00C0030A">
            <w:pPr>
              <w:pStyle w:val="tabletext"/>
              <w:rPr>
                <w:lang w:val="en-US" w:eastAsia="en-US"/>
              </w:rPr>
            </w:pPr>
            <w:r w:rsidRPr="00C0030A">
              <w:rPr>
                <w:lang w:val="en-US" w:eastAsia="en-US"/>
              </w:rPr>
              <w:t>Paragraph 601AB(2)(b)</w:t>
            </w:r>
          </w:p>
        </w:tc>
      </w:tr>
      <w:tr w:rsidR="00C0030A" w:rsidRPr="00C0030A" w14:paraId="38B2A50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7FCB2A" w14:textId="77777777" w:rsidR="00C0030A" w:rsidRPr="00C0030A" w:rsidRDefault="00C0030A" w:rsidP="00C0030A">
            <w:pPr>
              <w:pStyle w:val="tabletext"/>
              <w:rPr>
                <w:lang w:val="en-US" w:eastAsia="en-US"/>
              </w:rPr>
            </w:pPr>
            <w:r w:rsidRPr="00C0030A">
              <w:rPr>
                <w:lang w:val="en-US" w:eastAsia="en-US"/>
              </w:rPr>
              <w:t>24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7A1E3F3" w14:textId="77777777" w:rsidR="00C0030A" w:rsidRPr="00C0030A" w:rsidRDefault="00C0030A" w:rsidP="00C0030A">
            <w:pPr>
              <w:pStyle w:val="tabletext"/>
              <w:rPr>
                <w:lang w:val="en-US" w:eastAsia="en-US"/>
              </w:rPr>
            </w:pPr>
            <w:r w:rsidRPr="00C0030A">
              <w:rPr>
                <w:lang w:val="en-US" w:eastAsia="en-US"/>
              </w:rPr>
              <w:t>Subsection 601AB(3)</w:t>
            </w:r>
          </w:p>
        </w:tc>
      </w:tr>
      <w:tr w:rsidR="00C0030A" w:rsidRPr="00C0030A" w14:paraId="68A3E75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87145B9" w14:textId="77777777" w:rsidR="00C0030A" w:rsidRPr="00C0030A" w:rsidRDefault="00C0030A" w:rsidP="00C0030A">
            <w:pPr>
              <w:pStyle w:val="tabletext"/>
              <w:rPr>
                <w:lang w:val="en-US" w:eastAsia="en-US"/>
              </w:rPr>
            </w:pPr>
            <w:r w:rsidRPr="00C0030A">
              <w:rPr>
                <w:lang w:val="en-US" w:eastAsia="en-US"/>
              </w:rPr>
              <w:t>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C8C97AE" w14:textId="77777777" w:rsidR="00C0030A" w:rsidRPr="00C0030A" w:rsidRDefault="00C0030A" w:rsidP="00C0030A">
            <w:pPr>
              <w:pStyle w:val="tabletext"/>
              <w:rPr>
                <w:lang w:val="en-US" w:eastAsia="en-US"/>
              </w:rPr>
            </w:pPr>
            <w:r w:rsidRPr="00C0030A">
              <w:rPr>
                <w:lang w:val="en-US" w:eastAsia="en-US"/>
              </w:rPr>
              <w:t>Subsection 601AB(3)</w:t>
            </w:r>
          </w:p>
        </w:tc>
      </w:tr>
      <w:tr w:rsidR="00C0030A" w:rsidRPr="00C0030A" w14:paraId="2542AA8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EFF669" w14:textId="77777777" w:rsidR="00C0030A" w:rsidRPr="00C0030A" w:rsidRDefault="00C0030A" w:rsidP="00C0030A">
            <w:pPr>
              <w:pStyle w:val="tabletext"/>
              <w:rPr>
                <w:lang w:val="en-US" w:eastAsia="en-US"/>
              </w:rPr>
            </w:pPr>
            <w:r w:rsidRPr="00C0030A">
              <w:rPr>
                <w:lang w:val="en-US" w:eastAsia="en-US"/>
              </w:rPr>
              <w:t>29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ACCFE3F" w14:textId="77777777" w:rsidR="00C0030A" w:rsidRPr="00C0030A" w:rsidRDefault="00C0030A" w:rsidP="00C0030A">
            <w:pPr>
              <w:pStyle w:val="tabletext"/>
              <w:rPr>
                <w:lang w:val="en-US" w:eastAsia="en-US"/>
              </w:rPr>
            </w:pPr>
            <w:r w:rsidRPr="00C0030A">
              <w:rPr>
                <w:lang w:val="en-US" w:eastAsia="en-US"/>
              </w:rPr>
              <w:t>Subsection 601AB(3A)</w:t>
            </w:r>
          </w:p>
        </w:tc>
      </w:tr>
      <w:tr w:rsidR="00C0030A" w:rsidRPr="00C0030A" w14:paraId="6FAB8ED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993D4D5" w14:textId="77777777" w:rsidR="00C0030A" w:rsidRPr="00C0030A" w:rsidRDefault="00C0030A" w:rsidP="00C0030A">
            <w:pPr>
              <w:pStyle w:val="tabletext"/>
              <w:rPr>
                <w:lang w:val="en-US" w:eastAsia="en-US"/>
              </w:rPr>
            </w:pPr>
            <w:r w:rsidRPr="00C0030A">
              <w:rPr>
                <w:lang w:val="en-US" w:eastAsia="en-US"/>
              </w:rPr>
              <w:t>30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758AB2D" w14:textId="77777777" w:rsidR="00C0030A" w:rsidRPr="00C0030A" w:rsidRDefault="00C0030A" w:rsidP="00C0030A">
            <w:pPr>
              <w:pStyle w:val="tabletext"/>
              <w:rPr>
                <w:lang w:val="en-US" w:eastAsia="en-US"/>
              </w:rPr>
            </w:pPr>
            <w:r w:rsidRPr="00C0030A">
              <w:rPr>
                <w:lang w:val="en-US" w:eastAsia="en-US"/>
              </w:rPr>
              <w:t>Subsection 601AB(4)</w:t>
            </w:r>
          </w:p>
        </w:tc>
      </w:tr>
      <w:tr w:rsidR="00C0030A" w:rsidRPr="00C0030A" w14:paraId="79D4C27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39503B0" w14:textId="77777777" w:rsidR="00C0030A" w:rsidRPr="00C0030A" w:rsidRDefault="00C0030A" w:rsidP="00C0030A">
            <w:pPr>
              <w:pStyle w:val="tabletext"/>
              <w:rPr>
                <w:lang w:val="en-US" w:eastAsia="en-US"/>
              </w:rPr>
            </w:pPr>
            <w:r w:rsidRPr="00C0030A">
              <w:rPr>
                <w:lang w:val="en-US" w:eastAsia="en-US"/>
              </w:rPr>
              <w:t>31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BB4863" w14:textId="77777777" w:rsidR="00C0030A" w:rsidRPr="00C0030A" w:rsidRDefault="00C0030A" w:rsidP="00C0030A">
            <w:pPr>
              <w:pStyle w:val="tabletext"/>
              <w:rPr>
                <w:lang w:val="en-US" w:eastAsia="en-US"/>
              </w:rPr>
            </w:pPr>
            <w:r w:rsidRPr="00C0030A">
              <w:rPr>
                <w:lang w:val="en-US" w:eastAsia="en-US"/>
              </w:rPr>
              <w:t>Subsection 601AB(4)</w:t>
            </w:r>
          </w:p>
        </w:tc>
      </w:tr>
      <w:tr w:rsidR="00C0030A" w:rsidRPr="00C0030A" w14:paraId="5AC5F8C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34905D" w14:textId="77777777" w:rsidR="00C0030A" w:rsidRPr="00C0030A" w:rsidRDefault="00C0030A" w:rsidP="00C0030A">
            <w:pPr>
              <w:pStyle w:val="tabletext"/>
              <w:rPr>
                <w:lang w:val="en-US" w:eastAsia="en-US"/>
              </w:rPr>
            </w:pPr>
            <w:r w:rsidRPr="00C0030A">
              <w:rPr>
                <w:lang w:val="en-US" w:eastAsia="en-US"/>
              </w:rPr>
              <w:t>32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59330DA" w14:textId="77777777" w:rsidR="00C0030A" w:rsidRPr="00C0030A" w:rsidRDefault="00C0030A" w:rsidP="00C0030A">
            <w:pPr>
              <w:pStyle w:val="tabletext"/>
              <w:rPr>
                <w:lang w:val="en-US" w:eastAsia="en-US"/>
              </w:rPr>
            </w:pPr>
            <w:r w:rsidRPr="00C0030A">
              <w:rPr>
                <w:lang w:val="en-US" w:eastAsia="en-US"/>
              </w:rPr>
              <w:t>Subsection 601AB(5)</w:t>
            </w:r>
          </w:p>
        </w:tc>
      </w:tr>
      <w:tr w:rsidR="00C0030A" w:rsidRPr="00C0030A" w14:paraId="4ACCB6F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E5E579" w14:textId="77777777" w:rsidR="00C0030A" w:rsidRPr="00C0030A" w:rsidRDefault="00C0030A" w:rsidP="00C0030A">
            <w:pPr>
              <w:pStyle w:val="tabletext"/>
              <w:rPr>
                <w:lang w:val="en-US" w:eastAsia="en-US"/>
              </w:rPr>
            </w:pPr>
            <w:r w:rsidRPr="00C0030A">
              <w:rPr>
                <w:lang w:val="en-US" w:eastAsia="en-US"/>
              </w:rPr>
              <w:t>33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9A14479" w14:textId="77777777" w:rsidR="00C0030A" w:rsidRPr="00C0030A" w:rsidRDefault="00C0030A" w:rsidP="00C0030A">
            <w:pPr>
              <w:pStyle w:val="tabletext"/>
              <w:rPr>
                <w:lang w:val="en-US" w:eastAsia="en-US"/>
              </w:rPr>
            </w:pPr>
            <w:r w:rsidRPr="00C0030A">
              <w:rPr>
                <w:lang w:val="en-US" w:eastAsia="en-US"/>
              </w:rPr>
              <w:t>After subsection 601AB(5)</w:t>
            </w:r>
          </w:p>
        </w:tc>
      </w:tr>
      <w:tr w:rsidR="00C0030A" w:rsidRPr="00C0030A" w14:paraId="67461E0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A94EA5E" w14:textId="77777777" w:rsidR="00C0030A" w:rsidRPr="00C0030A" w:rsidRDefault="00C0030A" w:rsidP="00C0030A">
            <w:pPr>
              <w:pStyle w:val="tabletext"/>
              <w:rPr>
                <w:lang w:val="en-US" w:eastAsia="en-US"/>
              </w:rPr>
            </w:pPr>
            <w:r w:rsidRPr="00C0030A">
              <w:rPr>
                <w:lang w:val="en-US" w:eastAsia="en-US"/>
              </w:rPr>
              <w:t>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DEFE58D" w14:textId="77777777" w:rsidR="00C0030A" w:rsidRPr="00C0030A" w:rsidRDefault="00C0030A" w:rsidP="00C0030A">
            <w:pPr>
              <w:pStyle w:val="tabletext"/>
              <w:rPr>
                <w:lang w:val="en-US" w:eastAsia="en-US"/>
              </w:rPr>
            </w:pPr>
            <w:r w:rsidRPr="00C0030A">
              <w:rPr>
                <w:lang w:val="en-US" w:eastAsia="en-US"/>
              </w:rPr>
              <w:t>Subsection 601AB(6)</w:t>
            </w:r>
          </w:p>
        </w:tc>
      </w:tr>
      <w:tr w:rsidR="00C0030A" w:rsidRPr="00C0030A" w14:paraId="556A01F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7FBABAC" w14:textId="77777777" w:rsidR="00C0030A" w:rsidRPr="00C0030A" w:rsidRDefault="00C0030A" w:rsidP="00C0030A">
            <w:pPr>
              <w:pStyle w:val="tabletext"/>
              <w:rPr>
                <w:lang w:val="en-US" w:eastAsia="en-US"/>
              </w:rPr>
            </w:pPr>
            <w:r w:rsidRPr="00C0030A">
              <w:rPr>
                <w:lang w:val="en-US" w:eastAsia="en-US"/>
              </w:rPr>
              <w:t>35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CF59BE2" w14:textId="77777777" w:rsidR="00C0030A" w:rsidRPr="00C0030A" w:rsidRDefault="00C0030A" w:rsidP="00C0030A">
            <w:pPr>
              <w:pStyle w:val="tabletext"/>
              <w:rPr>
                <w:lang w:val="en-US" w:eastAsia="en-US"/>
              </w:rPr>
            </w:pPr>
            <w:r w:rsidRPr="00C0030A">
              <w:rPr>
                <w:lang w:val="en-US" w:eastAsia="en-US"/>
              </w:rPr>
              <w:t>Subsection 601AB(7)</w:t>
            </w:r>
          </w:p>
        </w:tc>
      </w:tr>
      <w:tr w:rsidR="00C0030A" w:rsidRPr="00C0030A" w14:paraId="01A1F8E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EDB65C2" w14:textId="77777777" w:rsidR="00C0030A" w:rsidRPr="00C0030A" w:rsidRDefault="00C0030A" w:rsidP="00C0030A">
            <w:pPr>
              <w:pStyle w:val="tabletext"/>
              <w:rPr>
                <w:lang w:val="en-US" w:eastAsia="en-US"/>
              </w:rPr>
            </w:pPr>
            <w:r w:rsidRPr="00C0030A">
              <w:rPr>
                <w:lang w:val="en-US" w:eastAsia="en-US"/>
              </w:rPr>
              <w:t>36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1DBA051" w14:textId="77777777" w:rsidR="00C0030A" w:rsidRPr="00C0030A" w:rsidRDefault="00C0030A" w:rsidP="00C0030A">
            <w:pPr>
              <w:pStyle w:val="tabletext"/>
              <w:rPr>
                <w:lang w:val="en-US" w:eastAsia="en-US"/>
              </w:rPr>
            </w:pPr>
            <w:r w:rsidRPr="00C0030A">
              <w:rPr>
                <w:lang w:val="en-US" w:eastAsia="en-US"/>
              </w:rPr>
              <w:t>Subsection 601AC(1)</w:t>
            </w:r>
          </w:p>
        </w:tc>
      </w:tr>
      <w:tr w:rsidR="00C0030A" w:rsidRPr="00C0030A" w14:paraId="14AD070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DD76A19" w14:textId="77777777" w:rsidR="00C0030A" w:rsidRPr="00C0030A" w:rsidRDefault="00C0030A" w:rsidP="00C0030A">
            <w:pPr>
              <w:pStyle w:val="tabletext"/>
              <w:rPr>
                <w:lang w:val="en-US" w:eastAsia="en-US"/>
              </w:rPr>
            </w:pPr>
            <w:r w:rsidRPr="00C0030A">
              <w:rPr>
                <w:lang w:val="en-US" w:eastAsia="en-US"/>
              </w:rPr>
              <w:t>37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C0E1E4C" w14:textId="77777777" w:rsidR="00C0030A" w:rsidRPr="00C0030A" w:rsidRDefault="00C0030A" w:rsidP="00C0030A">
            <w:pPr>
              <w:pStyle w:val="tabletext"/>
              <w:rPr>
                <w:lang w:val="en-US" w:eastAsia="en-US"/>
              </w:rPr>
            </w:pPr>
            <w:r w:rsidRPr="00C0030A">
              <w:rPr>
                <w:lang w:val="en-US" w:eastAsia="en-US"/>
              </w:rPr>
              <w:t>Subsection 601AH(1) (heading)</w:t>
            </w:r>
          </w:p>
        </w:tc>
      </w:tr>
      <w:tr w:rsidR="00C0030A" w:rsidRPr="00C0030A" w14:paraId="3B0F080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F45577" w14:textId="77777777" w:rsidR="00C0030A" w:rsidRPr="00C0030A" w:rsidRDefault="00C0030A" w:rsidP="00C0030A">
            <w:pPr>
              <w:pStyle w:val="tabletext"/>
              <w:rPr>
                <w:lang w:val="en-US" w:eastAsia="en-US"/>
              </w:rPr>
            </w:pPr>
            <w:r w:rsidRPr="00C0030A">
              <w:rPr>
                <w:lang w:val="en-US" w:eastAsia="en-US"/>
              </w:rPr>
              <w:t>38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47F849B" w14:textId="77777777" w:rsidR="00C0030A" w:rsidRPr="00C0030A" w:rsidRDefault="00C0030A" w:rsidP="00C0030A">
            <w:pPr>
              <w:pStyle w:val="tabletext"/>
              <w:rPr>
                <w:lang w:val="en-US" w:eastAsia="en-US"/>
              </w:rPr>
            </w:pPr>
            <w:r w:rsidRPr="00C0030A">
              <w:rPr>
                <w:lang w:val="en-US" w:eastAsia="en-US"/>
              </w:rPr>
              <w:t>Subsection 601AH(1)</w:t>
            </w:r>
          </w:p>
        </w:tc>
      </w:tr>
      <w:tr w:rsidR="00C0030A" w:rsidRPr="00C0030A" w14:paraId="348F73F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B2ABBC" w14:textId="77777777" w:rsidR="00C0030A" w:rsidRPr="00C0030A" w:rsidRDefault="00C0030A" w:rsidP="00C0030A">
            <w:pPr>
              <w:pStyle w:val="tabletext"/>
              <w:rPr>
                <w:lang w:val="en-US" w:eastAsia="en-US"/>
              </w:rPr>
            </w:pPr>
            <w:r w:rsidRPr="00C0030A">
              <w:rPr>
                <w:lang w:val="en-US" w:eastAsia="en-US"/>
              </w:rPr>
              <w:t>39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3732CEE" w14:textId="77777777" w:rsidR="00C0030A" w:rsidRPr="00C0030A" w:rsidRDefault="00C0030A" w:rsidP="00C0030A">
            <w:pPr>
              <w:pStyle w:val="tabletext"/>
              <w:rPr>
                <w:lang w:val="en-US" w:eastAsia="en-US"/>
              </w:rPr>
            </w:pPr>
            <w:r w:rsidRPr="00C0030A">
              <w:rPr>
                <w:lang w:val="en-US" w:eastAsia="en-US"/>
              </w:rPr>
              <w:t>Subsection 601AH(1)</w:t>
            </w:r>
          </w:p>
        </w:tc>
      </w:tr>
      <w:tr w:rsidR="00C0030A" w:rsidRPr="00C0030A" w14:paraId="347E33A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E5F90FB" w14:textId="77777777" w:rsidR="00C0030A" w:rsidRPr="00C0030A" w:rsidRDefault="00C0030A" w:rsidP="00C0030A">
            <w:pPr>
              <w:pStyle w:val="tabletext"/>
              <w:rPr>
                <w:lang w:val="en-US" w:eastAsia="en-US"/>
              </w:rPr>
            </w:pPr>
            <w:r w:rsidRPr="00C0030A">
              <w:rPr>
                <w:lang w:val="en-US" w:eastAsia="en-US"/>
              </w:rPr>
              <w:t>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349E25F" w14:textId="77777777" w:rsidR="00C0030A" w:rsidRPr="00C0030A" w:rsidRDefault="00C0030A" w:rsidP="00C0030A">
            <w:pPr>
              <w:pStyle w:val="tabletext"/>
              <w:rPr>
                <w:lang w:val="en-US" w:eastAsia="en-US"/>
              </w:rPr>
            </w:pPr>
            <w:r w:rsidRPr="00C0030A">
              <w:rPr>
                <w:lang w:val="en-US" w:eastAsia="en-US"/>
              </w:rPr>
              <w:t>After subsection 601AH(1)</w:t>
            </w:r>
          </w:p>
        </w:tc>
      </w:tr>
      <w:tr w:rsidR="00C0030A" w:rsidRPr="00C0030A" w14:paraId="15B6464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89038AD" w14:textId="77777777" w:rsidR="00C0030A" w:rsidRPr="00C0030A" w:rsidRDefault="00C0030A" w:rsidP="00C0030A">
            <w:pPr>
              <w:pStyle w:val="tabletext"/>
              <w:rPr>
                <w:lang w:val="en-US" w:eastAsia="en-US"/>
              </w:rPr>
            </w:pPr>
            <w:r w:rsidRPr="00C0030A">
              <w:rPr>
                <w:lang w:val="en-US" w:eastAsia="en-US"/>
              </w:rPr>
              <w:t>41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FDB28B9" w14:textId="77777777" w:rsidR="00C0030A" w:rsidRPr="00C0030A" w:rsidRDefault="00C0030A" w:rsidP="00C0030A">
            <w:pPr>
              <w:pStyle w:val="tabletext"/>
              <w:rPr>
                <w:lang w:val="en-US" w:eastAsia="en-US"/>
              </w:rPr>
            </w:pPr>
            <w:r w:rsidRPr="00C0030A">
              <w:rPr>
                <w:lang w:val="en-US" w:eastAsia="en-US"/>
              </w:rPr>
              <w:t>Subsection 601AH(1A)</w:t>
            </w:r>
          </w:p>
        </w:tc>
      </w:tr>
      <w:tr w:rsidR="00C0030A" w:rsidRPr="00C0030A" w14:paraId="51C1E7D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CB3026A" w14:textId="77777777" w:rsidR="00C0030A" w:rsidRPr="00C0030A" w:rsidRDefault="00C0030A" w:rsidP="00C0030A">
            <w:pPr>
              <w:pStyle w:val="tabletext"/>
              <w:rPr>
                <w:lang w:val="en-US" w:eastAsia="en-US"/>
              </w:rPr>
            </w:pPr>
            <w:r w:rsidRPr="00C0030A">
              <w:rPr>
                <w:lang w:val="en-US" w:eastAsia="en-US"/>
              </w:rPr>
              <w:t>42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A705035" w14:textId="77777777" w:rsidR="00C0030A" w:rsidRPr="00C0030A" w:rsidRDefault="00C0030A" w:rsidP="00C0030A">
            <w:pPr>
              <w:pStyle w:val="tabletext"/>
              <w:rPr>
                <w:lang w:val="en-US" w:eastAsia="en-US"/>
              </w:rPr>
            </w:pPr>
            <w:r w:rsidRPr="00C0030A">
              <w:rPr>
                <w:lang w:val="en-US" w:eastAsia="en-US"/>
              </w:rPr>
              <w:t>Paragraph 601AH(1A)(a)</w:t>
            </w:r>
          </w:p>
        </w:tc>
      </w:tr>
      <w:tr w:rsidR="00C0030A" w:rsidRPr="00C0030A" w14:paraId="4796858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6E7A368" w14:textId="77777777" w:rsidR="00C0030A" w:rsidRPr="00C0030A" w:rsidRDefault="00C0030A" w:rsidP="00C0030A">
            <w:pPr>
              <w:pStyle w:val="tabletext"/>
              <w:rPr>
                <w:lang w:val="en-US" w:eastAsia="en-US"/>
              </w:rPr>
            </w:pPr>
            <w:r w:rsidRPr="00C0030A">
              <w:rPr>
                <w:lang w:val="en-US" w:eastAsia="en-US"/>
              </w:rPr>
              <w:t>43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F749C21" w14:textId="77777777" w:rsidR="00C0030A" w:rsidRPr="00C0030A" w:rsidRDefault="00C0030A" w:rsidP="00C0030A">
            <w:pPr>
              <w:pStyle w:val="tabletext"/>
              <w:rPr>
                <w:lang w:val="en-US" w:eastAsia="en-US"/>
              </w:rPr>
            </w:pPr>
            <w:r w:rsidRPr="00C0030A">
              <w:rPr>
                <w:lang w:val="en-US" w:eastAsia="en-US"/>
              </w:rPr>
              <w:t>Subsection 601AH(2)</w:t>
            </w:r>
          </w:p>
        </w:tc>
      </w:tr>
      <w:tr w:rsidR="00C0030A" w:rsidRPr="00C0030A" w14:paraId="590487D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48DDA05" w14:textId="77777777" w:rsidR="00C0030A" w:rsidRPr="00C0030A" w:rsidRDefault="00C0030A" w:rsidP="00C0030A">
            <w:pPr>
              <w:pStyle w:val="tabletext"/>
              <w:rPr>
                <w:lang w:val="en-US" w:eastAsia="en-US"/>
              </w:rPr>
            </w:pPr>
            <w:r w:rsidRPr="00C0030A">
              <w:rPr>
                <w:lang w:val="en-US" w:eastAsia="en-US"/>
              </w:rPr>
              <w:t>44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0F1D853" w14:textId="77777777" w:rsidR="00C0030A" w:rsidRPr="00C0030A" w:rsidRDefault="00C0030A" w:rsidP="00C0030A">
            <w:pPr>
              <w:pStyle w:val="tabletext"/>
              <w:rPr>
                <w:lang w:val="en-US" w:eastAsia="en-US"/>
              </w:rPr>
            </w:pPr>
            <w:r w:rsidRPr="00C0030A">
              <w:rPr>
                <w:lang w:val="en-US" w:eastAsia="en-US"/>
              </w:rPr>
              <w:t>Paragraph 601AH(3)(a)</w:t>
            </w:r>
          </w:p>
        </w:tc>
      </w:tr>
      <w:tr w:rsidR="00C0030A" w:rsidRPr="00C0030A" w14:paraId="1992246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DDC634E" w14:textId="77777777" w:rsidR="00C0030A" w:rsidRPr="00C0030A" w:rsidRDefault="00C0030A" w:rsidP="00C0030A">
            <w:pPr>
              <w:pStyle w:val="tabletext"/>
              <w:rPr>
                <w:lang w:val="en-US" w:eastAsia="en-US"/>
              </w:rPr>
            </w:pPr>
            <w:r w:rsidRPr="00C0030A">
              <w:rPr>
                <w:lang w:val="en-US" w:eastAsia="en-US"/>
              </w:rPr>
              <w:t>45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ADA739D" w14:textId="77777777" w:rsidR="00C0030A" w:rsidRPr="00C0030A" w:rsidRDefault="00C0030A" w:rsidP="00C0030A">
            <w:pPr>
              <w:pStyle w:val="tabletext"/>
              <w:rPr>
                <w:lang w:val="en-US" w:eastAsia="en-US"/>
              </w:rPr>
            </w:pPr>
            <w:r w:rsidRPr="00C0030A">
              <w:rPr>
                <w:lang w:val="en-US" w:eastAsia="en-US"/>
              </w:rPr>
              <w:t>Paragraph 601AH(3)(a)</w:t>
            </w:r>
          </w:p>
        </w:tc>
      </w:tr>
      <w:tr w:rsidR="00C0030A" w:rsidRPr="00C0030A" w14:paraId="4B1899A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68C5400" w14:textId="77777777" w:rsidR="00C0030A" w:rsidRPr="00C0030A" w:rsidRDefault="00C0030A" w:rsidP="00C0030A">
            <w:pPr>
              <w:pStyle w:val="tabletext"/>
              <w:rPr>
                <w:lang w:val="en-US" w:eastAsia="en-US"/>
              </w:rPr>
            </w:pPr>
            <w:r w:rsidRPr="00C0030A">
              <w:rPr>
                <w:lang w:val="en-US" w:eastAsia="en-US"/>
              </w:rPr>
              <w:t>46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07F34C8" w14:textId="77777777" w:rsidR="00C0030A" w:rsidRPr="00C0030A" w:rsidRDefault="00C0030A" w:rsidP="00C0030A">
            <w:pPr>
              <w:pStyle w:val="tabletext"/>
              <w:rPr>
                <w:lang w:val="en-US" w:eastAsia="en-US"/>
              </w:rPr>
            </w:pPr>
            <w:r w:rsidRPr="00C0030A">
              <w:rPr>
                <w:lang w:val="en-US" w:eastAsia="en-US"/>
              </w:rPr>
              <w:t>Subsection 601AH(4)</w:t>
            </w:r>
          </w:p>
        </w:tc>
      </w:tr>
      <w:tr w:rsidR="00C0030A" w:rsidRPr="00C0030A" w14:paraId="0524660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9CB499A" w14:textId="77777777" w:rsidR="00C0030A" w:rsidRPr="00C0030A" w:rsidRDefault="00C0030A" w:rsidP="00C0030A">
            <w:pPr>
              <w:pStyle w:val="tabletext"/>
              <w:rPr>
                <w:lang w:val="en-US" w:eastAsia="en-US"/>
              </w:rPr>
            </w:pPr>
            <w:r w:rsidRPr="00C0030A">
              <w:rPr>
                <w:lang w:val="en-US" w:eastAsia="en-US"/>
              </w:rPr>
              <w:t>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6D359AF" w14:textId="77777777" w:rsidR="00C0030A" w:rsidRPr="00C0030A" w:rsidRDefault="00C0030A" w:rsidP="00C0030A">
            <w:pPr>
              <w:pStyle w:val="tabletext"/>
              <w:rPr>
                <w:lang w:val="en-US" w:eastAsia="en-US"/>
              </w:rPr>
            </w:pPr>
            <w:r w:rsidRPr="00C0030A">
              <w:rPr>
                <w:lang w:val="en-US" w:eastAsia="en-US"/>
              </w:rPr>
              <w:t>Subsection 601AH(4A)</w:t>
            </w:r>
          </w:p>
        </w:tc>
      </w:tr>
      <w:tr w:rsidR="00C0030A" w:rsidRPr="00C0030A" w14:paraId="7F4A0F2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06A8051" w14:textId="77777777" w:rsidR="00C0030A" w:rsidRPr="00C0030A" w:rsidRDefault="00C0030A" w:rsidP="00C0030A">
            <w:pPr>
              <w:pStyle w:val="tabletext"/>
              <w:rPr>
                <w:lang w:val="en-US" w:eastAsia="en-US"/>
              </w:rPr>
            </w:pPr>
            <w:r w:rsidRPr="00C0030A">
              <w:rPr>
                <w:lang w:val="en-US" w:eastAsia="en-US"/>
              </w:rPr>
              <w:t>48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0C98D99" w14:textId="77777777" w:rsidR="00C0030A" w:rsidRPr="00C0030A" w:rsidRDefault="00C0030A" w:rsidP="00C0030A">
            <w:pPr>
              <w:pStyle w:val="tabletext"/>
              <w:rPr>
                <w:lang w:val="en-US" w:eastAsia="en-US"/>
              </w:rPr>
            </w:pPr>
            <w:r w:rsidRPr="00C0030A">
              <w:rPr>
                <w:lang w:val="en-US" w:eastAsia="en-US"/>
              </w:rPr>
              <w:t>Subsection 601AH(5)</w:t>
            </w:r>
          </w:p>
        </w:tc>
      </w:tr>
      <w:tr w:rsidR="00C0030A" w:rsidRPr="00C0030A" w14:paraId="15B4358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735476E" w14:textId="77777777" w:rsidR="00C0030A" w:rsidRPr="00C0030A" w:rsidRDefault="00C0030A" w:rsidP="00C0030A">
            <w:pPr>
              <w:pStyle w:val="tabletext"/>
              <w:rPr>
                <w:lang w:val="en-US" w:eastAsia="en-US"/>
              </w:rPr>
            </w:pPr>
            <w:r w:rsidRPr="00C0030A">
              <w:rPr>
                <w:lang w:val="en-US" w:eastAsia="en-US"/>
              </w:rPr>
              <w:t>49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2021A35" w14:textId="77777777" w:rsidR="00C0030A" w:rsidRPr="00C0030A" w:rsidRDefault="00C0030A" w:rsidP="00C0030A">
            <w:pPr>
              <w:pStyle w:val="tabletext"/>
              <w:rPr>
                <w:lang w:val="en-US" w:eastAsia="en-US"/>
              </w:rPr>
            </w:pPr>
            <w:r w:rsidRPr="00C0030A">
              <w:rPr>
                <w:lang w:val="en-US" w:eastAsia="en-US"/>
              </w:rPr>
              <w:t>Subsection 601AJ(1)</w:t>
            </w:r>
          </w:p>
        </w:tc>
      </w:tr>
      <w:tr w:rsidR="00C0030A" w:rsidRPr="00C0030A" w14:paraId="4019889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D764074" w14:textId="77777777" w:rsidR="00C0030A" w:rsidRPr="00C0030A" w:rsidRDefault="00C0030A" w:rsidP="00C0030A">
            <w:pPr>
              <w:pStyle w:val="tabletext"/>
              <w:rPr>
                <w:lang w:val="en-US" w:eastAsia="en-US"/>
              </w:rPr>
            </w:pPr>
            <w:r w:rsidRPr="00C0030A">
              <w:rPr>
                <w:lang w:val="en-US" w:eastAsia="en-US"/>
              </w:rPr>
              <w:t>51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C9375C2" w14:textId="77777777" w:rsidR="00C0030A" w:rsidRPr="00C0030A" w:rsidRDefault="00C0030A" w:rsidP="00C0030A">
            <w:pPr>
              <w:pStyle w:val="tabletext"/>
              <w:rPr>
                <w:lang w:val="en-US" w:eastAsia="en-US"/>
              </w:rPr>
            </w:pPr>
            <w:r w:rsidRPr="00C0030A">
              <w:rPr>
                <w:lang w:val="en-US" w:eastAsia="en-US"/>
              </w:rPr>
              <w:t>Section 601AK (heading)</w:t>
            </w:r>
          </w:p>
        </w:tc>
      </w:tr>
      <w:tr w:rsidR="00C0030A" w:rsidRPr="00C0030A" w14:paraId="789F19E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E99DF19" w14:textId="77777777" w:rsidR="00C0030A" w:rsidRPr="00C0030A" w:rsidRDefault="00C0030A" w:rsidP="00C0030A">
            <w:pPr>
              <w:pStyle w:val="tabletext"/>
              <w:rPr>
                <w:lang w:val="en-US" w:eastAsia="en-US"/>
              </w:rPr>
            </w:pPr>
            <w:r w:rsidRPr="00C0030A">
              <w:rPr>
                <w:lang w:val="en-US" w:eastAsia="en-US"/>
              </w:rPr>
              <w:t>52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0109E8B" w14:textId="77777777" w:rsidR="00C0030A" w:rsidRPr="00C0030A" w:rsidRDefault="00C0030A" w:rsidP="00C0030A">
            <w:pPr>
              <w:pStyle w:val="tabletext"/>
              <w:rPr>
                <w:lang w:val="en-US" w:eastAsia="en-US"/>
              </w:rPr>
            </w:pPr>
            <w:r w:rsidRPr="00C0030A">
              <w:rPr>
                <w:lang w:val="en-US" w:eastAsia="en-US"/>
              </w:rPr>
              <w:t>Section 601AK</w:t>
            </w:r>
          </w:p>
        </w:tc>
      </w:tr>
      <w:tr w:rsidR="00C0030A" w:rsidRPr="00C0030A" w14:paraId="381D004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AB0AF59" w14:textId="77777777" w:rsidR="00C0030A" w:rsidRPr="00C0030A" w:rsidRDefault="00C0030A" w:rsidP="00C0030A">
            <w:pPr>
              <w:pStyle w:val="tabletext"/>
              <w:rPr>
                <w:lang w:val="en-US" w:eastAsia="en-US"/>
              </w:rPr>
            </w:pPr>
            <w:r w:rsidRPr="00C0030A">
              <w:rPr>
                <w:lang w:val="en-US" w:eastAsia="en-US"/>
              </w:rPr>
              <w:t>53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7439E4F" w14:textId="77777777" w:rsidR="00C0030A" w:rsidRPr="00C0030A" w:rsidRDefault="00C0030A" w:rsidP="00C0030A">
            <w:pPr>
              <w:pStyle w:val="tabletext"/>
              <w:rPr>
                <w:lang w:val="en-US" w:eastAsia="en-US"/>
              </w:rPr>
            </w:pPr>
            <w:r w:rsidRPr="00C0030A">
              <w:rPr>
                <w:lang w:val="en-US" w:eastAsia="en-US"/>
              </w:rPr>
              <w:t>Section 601AK</w:t>
            </w:r>
          </w:p>
        </w:tc>
      </w:tr>
      <w:tr w:rsidR="00C0030A" w:rsidRPr="00C0030A" w14:paraId="608F701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BA0C437" w14:textId="77777777" w:rsidR="00C0030A" w:rsidRPr="00C0030A" w:rsidRDefault="00C0030A" w:rsidP="00C0030A">
            <w:pPr>
              <w:pStyle w:val="tabletext"/>
              <w:rPr>
                <w:lang w:val="en-US" w:eastAsia="en-US"/>
              </w:rPr>
            </w:pPr>
            <w:r w:rsidRPr="00C0030A">
              <w:rPr>
                <w:lang w:val="en-US" w:eastAsia="en-US"/>
              </w:rPr>
              <w:t>54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19447B2" w14:textId="77777777" w:rsidR="00C0030A" w:rsidRPr="00C0030A" w:rsidRDefault="00C0030A" w:rsidP="00C0030A">
            <w:pPr>
              <w:pStyle w:val="tabletext"/>
              <w:rPr>
                <w:lang w:val="en-US" w:eastAsia="en-US"/>
              </w:rPr>
            </w:pPr>
            <w:r w:rsidRPr="00C0030A">
              <w:rPr>
                <w:lang w:val="en-US" w:eastAsia="en-US"/>
              </w:rPr>
              <w:t>Section 601AL (heading)</w:t>
            </w:r>
          </w:p>
        </w:tc>
      </w:tr>
      <w:tr w:rsidR="00C0030A" w:rsidRPr="00C0030A" w14:paraId="19DFD7B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9CB5ED8" w14:textId="77777777" w:rsidR="00C0030A" w:rsidRPr="00C0030A" w:rsidRDefault="00C0030A" w:rsidP="00C0030A">
            <w:pPr>
              <w:pStyle w:val="tabletext"/>
              <w:rPr>
                <w:lang w:val="en-US" w:eastAsia="en-US"/>
              </w:rPr>
            </w:pPr>
            <w:r w:rsidRPr="00C0030A">
              <w:rPr>
                <w:lang w:val="en-US" w:eastAsia="en-US"/>
              </w:rPr>
              <w:t>55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A026B6D" w14:textId="77777777" w:rsidR="00C0030A" w:rsidRPr="00C0030A" w:rsidRDefault="00C0030A" w:rsidP="00C0030A">
            <w:pPr>
              <w:pStyle w:val="tabletext"/>
              <w:rPr>
                <w:lang w:val="en-US" w:eastAsia="en-US"/>
              </w:rPr>
            </w:pPr>
            <w:r w:rsidRPr="00C0030A">
              <w:rPr>
                <w:lang w:val="en-US" w:eastAsia="en-US"/>
              </w:rPr>
              <w:t>Subsection 601AL(1)</w:t>
            </w:r>
          </w:p>
        </w:tc>
      </w:tr>
      <w:tr w:rsidR="00C0030A" w:rsidRPr="00C0030A" w14:paraId="21884FC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B644EC5" w14:textId="77777777" w:rsidR="00C0030A" w:rsidRPr="00C0030A" w:rsidRDefault="00C0030A" w:rsidP="00C0030A">
            <w:pPr>
              <w:pStyle w:val="tabletext"/>
              <w:rPr>
                <w:lang w:val="en-US" w:eastAsia="en-US"/>
              </w:rPr>
            </w:pPr>
            <w:r w:rsidRPr="00C0030A">
              <w:rPr>
                <w:lang w:val="en-US" w:eastAsia="en-US"/>
              </w:rPr>
              <w:t>56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22E9EA1" w14:textId="77777777" w:rsidR="00C0030A" w:rsidRPr="00C0030A" w:rsidRDefault="00C0030A" w:rsidP="00C0030A">
            <w:pPr>
              <w:pStyle w:val="tabletext"/>
              <w:rPr>
                <w:lang w:val="en-US" w:eastAsia="en-US"/>
              </w:rPr>
            </w:pPr>
            <w:r w:rsidRPr="00C0030A">
              <w:rPr>
                <w:lang w:val="en-US" w:eastAsia="en-US"/>
              </w:rPr>
              <w:t>Paragraph 601AL(1)(a)</w:t>
            </w:r>
          </w:p>
        </w:tc>
      </w:tr>
      <w:tr w:rsidR="00C0030A" w:rsidRPr="00C0030A" w14:paraId="0573806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56904C6" w14:textId="77777777" w:rsidR="00C0030A" w:rsidRPr="00C0030A" w:rsidRDefault="00C0030A" w:rsidP="00C0030A">
            <w:pPr>
              <w:pStyle w:val="tabletext"/>
              <w:rPr>
                <w:lang w:val="en-US" w:eastAsia="en-US"/>
              </w:rPr>
            </w:pPr>
            <w:r w:rsidRPr="00C0030A">
              <w:rPr>
                <w:lang w:val="en-US" w:eastAsia="en-US"/>
              </w:rPr>
              <w:t>57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8E8C8FE" w14:textId="77777777" w:rsidR="00C0030A" w:rsidRPr="00C0030A" w:rsidRDefault="00C0030A" w:rsidP="00C0030A">
            <w:pPr>
              <w:pStyle w:val="tabletext"/>
              <w:rPr>
                <w:lang w:val="en-US" w:eastAsia="en-US"/>
              </w:rPr>
            </w:pPr>
            <w:r w:rsidRPr="00C0030A">
              <w:rPr>
                <w:lang w:val="en-US" w:eastAsia="en-US"/>
              </w:rPr>
              <w:t>Subsection 601BC(1)</w:t>
            </w:r>
          </w:p>
        </w:tc>
      </w:tr>
      <w:tr w:rsidR="00C0030A" w:rsidRPr="00C0030A" w14:paraId="7B22CE4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B12D2BB" w14:textId="77777777" w:rsidR="00C0030A" w:rsidRPr="00C0030A" w:rsidRDefault="00C0030A" w:rsidP="00C0030A">
            <w:pPr>
              <w:pStyle w:val="tabletext"/>
              <w:rPr>
                <w:lang w:val="en-US" w:eastAsia="en-US"/>
              </w:rPr>
            </w:pPr>
            <w:r w:rsidRPr="00C0030A">
              <w:rPr>
                <w:lang w:val="en-US" w:eastAsia="en-US"/>
              </w:rPr>
              <w:t>61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C2B1072" w14:textId="77777777" w:rsidR="00C0030A" w:rsidRPr="00C0030A" w:rsidRDefault="00C0030A" w:rsidP="00C0030A">
            <w:pPr>
              <w:pStyle w:val="tabletext"/>
              <w:rPr>
                <w:lang w:val="en-US" w:eastAsia="en-US"/>
              </w:rPr>
            </w:pPr>
            <w:r w:rsidRPr="00C0030A">
              <w:rPr>
                <w:lang w:val="en-US" w:eastAsia="en-US"/>
              </w:rPr>
              <w:t>Section 601BD (heading)</w:t>
            </w:r>
          </w:p>
        </w:tc>
      </w:tr>
      <w:tr w:rsidR="00C0030A" w:rsidRPr="00C0030A" w14:paraId="28C6988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151B84B" w14:textId="77777777" w:rsidR="00C0030A" w:rsidRPr="00C0030A" w:rsidRDefault="00C0030A" w:rsidP="00C0030A">
            <w:pPr>
              <w:pStyle w:val="tabletext"/>
              <w:rPr>
                <w:lang w:val="en-US" w:eastAsia="en-US"/>
              </w:rPr>
            </w:pPr>
            <w:r w:rsidRPr="00C0030A">
              <w:rPr>
                <w:lang w:val="en-US" w:eastAsia="en-US"/>
              </w:rPr>
              <w:t>62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717D802" w14:textId="77777777" w:rsidR="00C0030A" w:rsidRPr="00C0030A" w:rsidRDefault="00C0030A" w:rsidP="00C0030A">
            <w:pPr>
              <w:pStyle w:val="tabletext"/>
              <w:rPr>
                <w:lang w:val="en-US" w:eastAsia="en-US"/>
              </w:rPr>
            </w:pPr>
            <w:r w:rsidRPr="00C0030A">
              <w:rPr>
                <w:lang w:val="en-US" w:eastAsia="en-US"/>
              </w:rPr>
              <w:t>Subsection 601BD(1)</w:t>
            </w:r>
          </w:p>
        </w:tc>
      </w:tr>
      <w:tr w:rsidR="00C0030A" w:rsidRPr="00C0030A" w14:paraId="2862854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5D52849" w14:textId="77777777" w:rsidR="00C0030A" w:rsidRPr="00C0030A" w:rsidRDefault="00C0030A" w:rsidP="00C0030A">
            <w:pPr>
              <w:pStyle w:val="tabletext"/>
              <w:rPr>
                <w:lang w:val="en-US" w:eastAsia="en-US"/>
              </w:rPr>
            </w:pPr>
            <w:r w:rsidRPr="00C0030A">
              <w:rPr>
                <w:lang w:val="en-US" w:eastAsia="en-US"/>
              </w:rPr>
              <w:t>65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D7764CB" w14:textId="77777777" w:rsidR="00C0030A" w:rsidRPr="00C0030A" w:rsidRDefault="00C0030A" w:rsidP="00C0030A">
            <w:pPr>
              <w:pStyle w:val="tabletext"/>
              <w:rPr>
                <w:lang w:val="en-US" w:eastAsia="en-US"/>
              </w:rPr>
            </w:pPr>
            <w:r w:rsidRPr="00C0030A">
              <w:rPr>
                <w:lang w:val="en-US" w:eastAsia="en-US"/>
              </w:rPr>
              <w:t>Subsection 601BJ(3)</w:t>
            </w:r>
          </w:p>
        </w:tc>
      </w:tr>
      <w:tr w:rsidR="00C0030A" w:rsidRPr="00C0030A" w14:paraId="48F0849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69FE436" w14:textId="77777777" w:rsidR="00C0030A" w:rsidRPr="00C0030A" w:rsidRDefault="00C0030A" w:rsidP="00C0030A">
            <w:pPr>
              <w:pStyle w:val="tabletext"/>
              <w:rPr>
                <w:lang w:val="en-US" w:eastAsia="en-US"/>
              </w:rPr>
            </w:pPr>
            <w:r w:rsidRPr="00C0030A">
              <w:rPr>
                <w:lang w:val="en-US" w:eastAsia="en-US"/>
              </w:rPr>
              <w:t>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F02C948" w14:textId="77777777" w:rsidR="00C0030A" w:rsidRPr="00C0030A" w:rsidRDefault="00C0030A" w:rsidP="00C0030A">
            <w:pPr>
              <w:pStyle w:val="tabletext"/>
              <w:rPr>
                <w:lang w:val="en-US" w:eastAsia="en-US"/>
              </w:rPr>
            </w:pPr>
            <w:r w:rsidRPr="00C0030A">
              <w:rPr>
                <w:lang w:val="en-US" w:eastAsia="en-US"/>
              </w:rPr>
              <w:t>Subsection 601BL(2)</w:t>
            </w:r>
          </w:p>
        </w:tc>
      </w:tr>
      <w:tr w:rsidR="00C0030A" w:rsidRPr="00C0030A" w14:paraId="42347E0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1B0F29" w14:textId="77777777" w:rsidR="00C0030A" w:rsidRPr="00C0030A" w:rsidRDefault="00C0030A" w:rsidP="00C0030A">
            <w:pPr>
              <w:pStyle w:val="tabletext"/>
              <w:rPr>
                <w:lang w:val="en-US" w:eastAsia="en-US"/>
              </w:rPr>
            </w:pPr>
            <w:r w:rsidRPr="00C0030A">
              <w:rPr>
                <w:lang w:val="en-US" w:eastAsia="en-US"/>
              </w:rPr>
              <w:t>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F217939" w14:textId="77777777" w:rsidR="00C0030A" w:rsidRPr="00C0030A" w:rsidRDefault="00C0030A" w:rsidP="00C0030A">
            <w:pPr>
              <w:pStyle w:val="tabletext"/>
              <w:rPr>
                <w:lang w:val="en-US" w:eastAsia="en-US"/>
              </w:rPr>
            </w:pPr>
            <w:r w:rsidRPr="00C0030A">
              <w:rPr>
                <w:lang w:val="en-US" w:eastAsia="en-US"/>
              </w:rPr>
              <w:t>Section 601CB</w:t>
            </w:r>
          </w:p>
        </w:tc>
      </w:tr>
      <w:tr w:rsidR="00C0030A" w:rsidRPr="00C0030A" w14:paraId="2BB8EE1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D4028C" w14:textId="77777777" w:rsidR="00C0030A" w:rsidRPr="00C0030A" w:rsidRDefault="00C0030A" w:rsidP="00C0030A">
            <w:pPr>
              <w:pStyle w:val="tabletext"/>
              <w:rPr>
                <w:lang w:val="en-US" w:eastAsia="en-US"/>
              </w:rPr>
            </w:pPr>
            <w:r w:rsidRPr="00C0030A">
              <w:rPr>
                <w:lang w:val="en-US" w:eastAsia="en-US"/>
              </w:rPr>
              <w:t>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A72A88C" w14:textId="77777777" w:rsidR="00C0030A" w:rsidRPr="00C0030A" w:rsidRDefault="00C0030A" w:rsidP="00C0030A">
            <w:pPr>
              <w:pStyle w:val="tabletext"/>
              <w:rPr>
                <w:lang w:val="en-US" w:eastAsia="en-US"/>
              </w:rPr>
            </w:pPr>
            <w:r w:rsidRPr="00C0030A">
              <w:rPr>
                <w:lang w:val="en-US" w:eastAsia="en-US"/>
              </w:rPr>
              <w:t>Subsection 601CC(1)</w:t>
            </w:r>
          </w:p>
        </w:tc>
      </w:tr>
      <w:tr w:rsidR="00C0030A" w:rsidRPr="00C0030A" w14:paraId="65E7123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09272B1" w14:textId="77777777" w:rsidR="00C0030A" w:rsidRPr="00C0030A" w:rsidRDefault="00C0030A" w:rsidP="00C0030A">
            <w:pPr>
              <w:pStyle w:val="tabletext"/>
              <w:rPr>
                <w:lang w:val="en-US" w:eastAsia="en-US"/>
              </w:rPr>
            </w:pPr>
            <w:r w:rsidRPr="00C0030A">
              <w:rPr>
                <w:lang w:val="en-US" w:eastAsia="en-US"/>
              </w:rPr>
              <w:t>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D46F30D" w14:textId="77777777" w:rsidR="00C0030A" w:rsidRPr="00C0030A" w:rsidRDefault="00C0030A" w:rsidP="00C0030A">
            <w:pPr>
              <w:pStyle w:val="tabletext"/>
              <w:rPr>
                <w:lang w:val="en-US" w:eastAsia="en-US"/>
              </w:rPr>
            </w:pPr>
            <w:r w:rsidRPr="00C0030A">
              <w:rPr>
                <w:lang w:val="en-US" w:eastAsia="en-US"/>
              </w:rPr>
              <w:t>Subsections 601CC(2) to (4)</w:t>
            </w:r>
          </w:p>
        </w:tc>
      </w:tr>
      <w:tr w:rsidR="00C0030A" w:rsidRPr="00C0030A" w14:paraId="7F4B79D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CB28F4F" w14:textId="77777777" w:rsidR="00C0030A" w:rsidRPr="00C0030A" w:rsidRDefault="00C0030A" w:rsidP="00C0030A">
            <w:pPr>
              <w:pStyle w:val="tabletext"/>
              <w:rPr>
                <w:lang w:val="en-US" w:eastAsia="en-US"/>
              </w:rPr>
            </w:pPr>
            <w:r w:rsidRPr="00C0030A">
              <w:rPr>
                <w:lang w:val="en-US" w:eastAsia="en-US"/>
              </w:rPr>
              <w:lastRenderedPageBreak/>
              <w:t>74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30C6E8" w14:textId="77777777" w:rsidR="00C0030A" w:rsidRPr="00C0030A" w:rsidRDefault="00C0030A" w:rsidP="00C0030A">
            <w:pPr>
              <w:pStyle w:val="tabletext"/>
              <w:rPr>
                <w:lang w:val="en-US" w:eastAsia="en-US"/>
              </w:rPr>
            </w:pPr>
            <w:r w:rsidRPr="00C0030A">
              <w:rPr>
                <w:lang w:val="en-US" w:eastAsia="en-US"/>
              </w:rPr>
              <w:t>Subsections 601CC(7) to (9)</w:t>
            </w:r>
          </w:p>
        </w:tc>
      </w:tr>
      <w:tr w:rsidR="00C0030A" w:rsidRPr="00C0030A" w14:paraId="24EFBEB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D8DF27E" w14:textId="77777777" w:rsidR="00C0030A" w:rsidRPr="00C0030A" w:rsidRDefault="00C0030A" w:rsidP="00C0030A">
            <w:pPr>
              <w:pStyle w:val="tabletext"/>
              <w:rPr>
                <w:lang w:val="en-US" w:eastAsia="en-US"/>
              </w:rPr>
            </w:pPr>
            <w:r w:rsidRPr="00C0030A">
              <w:rPr>
                <w:lang w:val="en-US" w:eastAsia="en-US"/>
              </w:rPr>
              <w:t>77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9C86E5" w14:textId="77777777" w:rsidR="00C0030A" w:rsidRPr="00C0030A" w:rsidRDefault="00C0030A" w:rsidP="00C0030A">
            <w:pPr>
              <w:pStyle w:val="tabletext"/>
              <w:rPr>
                <w:lang w:val="en-US" w:eastAsia="en-US"/>
              </w:rPr>
            </w:pPr>
            <w:r w:rsidRPr="00C0030A">
              <w:rPr>
                <w:lang w:val="en-US" w:eastAsia="en-US"/>
              </w:rPr>
              <w:t>Subsection 601CC(12)</w:t>
            </w:r>
          </w:p>
        </w:tc>
      </w:tr>
      <w:tr w:rsidR="00C0030A" w:rsidRPr="00C0030A" w14:paraId="2C60C19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C74E6F9" w14:textId="77777777" w:rsidR="00C0030A" w:rsidRPr="00C0030A" w:rsidRDefault="00C0030A" w:rsidP="00C0030A">
            <w:pPr>
              <w:pStyle w:val="tabletext"/>
              <w:rPr>
                <w:lang w:val="en-US" w:eastAsia="en-US"/>
              </w:rPr>
            </w:pPr>
            <w:r w:rsidRPr="00C0030A">
              <w:rPr>
                <w:lang w:val="en-US" w:eastAsia="en-US"/>
              </w:rPr>
              <w:t>78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BCDAC88" w14:textId="77777777" w:rsidR="00C0030A" w:rsidRPr="00C0030A" w:rsidRDefault="00C0030A" w:rsidP="00C0030A">
            <w:pPr>
              <w:pStyle w:val="tabletext"/>
              <w:rPr>
                <w:lang w:val="en-US" w:eastAsia="en-US"/>
              </w:rPr>
            </w:pPr>
            <w:r w:rsidRPr="00C0030A">
              <w:rPr>
                <w:lang w:val="en-US" w:eastAsia="en-US"/>
              </w:rPr>
              <w:t>Section 601CDA</w:t>
            </w:r>
          </w:p>
        </w:tc>
      </w:tr>
      <w:tr w:rsidR="00C0030A" w:rsidRPr="00C0030A" w14:paraId="074A43D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6EF6BB7" w14:textId="77777777" w:rsidR="00C0030A" w:rsidRPr="00C0030A" w:rsidRDefault="00C0030A" w:rsidP="00C0030A">
            <w:pPr>
              <w:pStyle w:val="tabletext"/>
              <w:rPr>
                <w:lang w:val="en-US" w:eastAsia="en-US"/>
              </w:rPr>
            </w:pPr>
            <w:r w:rsidRPr="00C0030A">
              <w:rPr>
                <w:lang w:val="en-US" w:eastAsia="en-US"/>
              </w:rPr>
              <w:t>79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A04053F" w14:textId="77777777" w:rsidR="00C0030A" w:rsidRPr="00C0030A" w:rsidRDefault="00C0030A" w:rsidP="00C0030A">
            <w:pPr>
              <w:pStyle w:val="tabletext"/>
              <w:rPr>
                <w:lang w:val="en-US" w:eastAsia="en-US"/>
              </w:rPr>
            </w:pPr>
            <w:r w:rsidRPr="00C0030A">
              <w:rPr>
                <w:lang w:val="en-US" w:eastAsia="en-US"/>
              </w:rPr>
              <w:t>Paragraph 601CDA(b)</w:t>
            </w:r>
          </w:p>
        </w:tc>
      </w:tr>
      <w:tr w:rsidR="00C0030A" w:rsidRPr="00C0030A" w14:paraId="5712B2B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185B0D" w14:textId="77777777" w:rsidR="00C0030A" w:rsidRPr="00C0030A" w:rsidRDefault="00C0030A" w:rsidP="00C0030A">
            <w:pPr>
              <w:pStyle w:val="tabletext"/>
              <w:rPr>
                <w:lang w:val="en-US" w:eastAsia="en-US"/>
              </w:rPr>
            </w:pPr>
            <w:r w:rsidRPr="00C0030A">
              <w:rPr>
                <w:lang w:val="en-US" w:eastAsia="en-US"/>
              </w:rPr>
              <w:t>80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C69EF6C" w14:textId="77777777" w:rsidR="00C0030A" w:rsidRPr="00C0030A" w:rsidRDefault="00C0030A" w:rsidP="00C0030A">
            <w:pPr>
              <w:pStyle w:val="tabletext"/>
              <w:rPr>
                <w:lang w:val="en-US" w:eastAsia="en-US"/>
              </w:rPr>
            </w:pPr>
            <w:r w:rsidRPr="00C0030A">
              <w:rPr>
                <w:lang w:val="en-US" w:eastAsia="en-US"/>
              </w:rPr>
              <w:t>Section 601CE</w:t>
            </w:r>
          </w:p>
        </w:tc>
      </w:tr>
      <w:tr w:rsidR="00C0030A" w:rsidRPr="00C0030A" w14:paraId="7096700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35EDDF7" w14:textId="77777777" w:rsidR="00C0030A" w:rsidRPr="00C0030A" w:rsidRDefault="00C0030A" w:rsidP="00C0030A">
            <w:pPr>
              <w:pStyle w:val="tabletext"/>
              <w:rPr>
                <w:lang w:val="en-US" w:eastAsia="en-US"/>
              </w:rPr>
            </w:pPr>
            <w:r w:rsidRPr="00C0030A">
              <w:rPr>
                <w:lang w:val="en-US" w:eastAsia="en-US"/>
              </w:rPr>
              <w:t>81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9760B25" w14:textId="77777777" w:rsidR="00C0030A" w:rsidRPr="00C0030A" w:rsidRDefault="00C0030A" w:rsidP="00C0030A">
            <w:pPr>
              <w:pStyle w:val="tabletext"/>
              <w:rPr>
                <w:lang w:val="en-US" w:eastAsia="en-US"/>
              </w:rPr>
            </w:pPr>
            <w:r w:rsidRPr="00C0030A">
              <w:rPr>
                <w:lang w:val="en-US" w:eastAsia="en-US"/>
              </w:rPr>
              <w:t>Subsection 601CF(2)</w:t>
            </w:r>
          </w:p>
        </w:tc>
      </w:tr>
      <w:tr w:rsidR="00C0030A" w:rsidRPr="00C0030A" w14:paraId="149D80B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6553B86" w14:textId="77777777" w:rsidR="00C0030A" w:rsidRPr="00C0030A" w:rsidRDefault="00C0030A" w:rsidP="00C0030A">
            <w:pPr>
              <w:pStyle w:val="tabletext"/>
              <w:rPr>
                <w:lang w:val="en-US" w:eastAsia="en-US"/>
              </w:rPr>
            </w:pPr>
            <w:r w:rsidRPr="00C0030A">
              <w:rPr>
                <w:lang w:val="en-US" w:eastAsia="en-US"/>
              </w:rPr>
              <w:t>82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ED96251" w14:textId="77777777" w:rsidR="00C0030A" w:rsidRPr="00C0030A" w:rsidRDefault="00C0030A" w:rsidP="00C0030A">
            <w:pPr>
              <w:pStyle w:val="tabletext"/>
              <w:rPr>
                <w:lang w:val="en-US" w:eastAsia="en-US"/>
              </w:rPr>
            </w:pPr>
            <w:r w:rsidRPr="00C0030A">
              <w:rPr>
                <w:lang w:val="en-US" w:eastAsia="en-US"/>
              </w:rPr>
              <w:t>Subsection 601CG(1)</w:t>
            </w:r>
          </w:p>
        </w:tc>
      </w:tr>
      <w:tr w:rsidR="00C0030A" w:rsidRPr="00C0030A" w14:paraId="57C002E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95FA44D" w14:textId="77777777" w:rsidR="00C0030A" w:rsidRPr="00C0030A" w:rsidRDefault="00C0030A" w:rsidP="00C0030A">
            <w:pPr>
              <w:pStyle w:val="tabletext"/>
              <w:rPr>
                <w:lang w:val="en-US" w:eastAsia="en-US"/>
              </w:rPr>
            </w:pPr>
            <w:r w:rsidRPr="00C0030A">
              <w:rPr>
                <w:lang w:val="en-US" w:eastAsia="en-US"/>
              </w:rPr>
              <w:t>87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52F042C" w14:textId="77777777" w:rsidR="00C0030A" w:rsidRPr="00C0030A" w:rsidRDefault="00C0030A" w:rsidP="00C0030A">
            <w:pPr>
              <w:pStyle w:val="tabletext"/>
              <w:rPr>
                <w:lang w:val="en-US" w:eastAsia="en-US"/>
              </w:rPr>
            </w:pPr>
            <w:r w:rsidRPr="00C0030A">
              <w:rPr>
                <w:lang w:val="en-US" w:eastAsia="en-US"/>
              </w:rPr>
              <w:t>Subsection 601CH(1)</w:t>
            </w:r>
          </w:p>
        </w:tc>
      </w:tr>
      <w:tr w:rsidR="00C0030A" w:rsidRPr="00C0030A" w14:paraId="490C1F7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C3BEF24" w14:textId="77777777" w:rsidR="00C0030A" w:rsidRPr="00C0030A" w:rsidRDefault="00C0030A" w:rsidP="00C0030A">
            <w:pPr>
              <w:pStyle w:val="tabletext"/>
              <w:rPr>
                <w:lang w:val="en-US" w:eastAsia="en-US"/>
              </w:rPr>
            </w:pPr>
            <w:r w:rsidRPr="00C0030A">
              <w:rPr>
                <w:lang w:val="en-US" w:eastAsia="en-US"/>
              </w:rPr>
              <w:t>88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252441F" w14:textId="77777777" w:rsidR="00C0030A" w:rsidRPr="00C0030A" w:rsidRDefault="00C0030A" w:rsidP="00C0030A">
            <w:pPr>
              <w:pStyle w:val="tabletext"/>
              <w:rPr>
                <w:lang w:val="en-US" w:eastAsia="en-US"/>
              </w:rPr>
            </w:pPr>
            <w:r w:rsidRPr="00C0030A">
              <w:rPr>
                <w:lang w:val="en-US" w:eastAsia="en-US"/>
              </w:rPr>
              <w:t>Subsection 601CK(1)</w:t>
            </w:r>
          </w:p>
        </w:tc>
      </w:tr>
      <w:tr w:rsidR="00C0030A" w:rsidRPr="00C0030A" w14:paraId="41AA760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1201FFF" w14:textId="77777777" w:rsidR="00C0030A" w:rsidRPr="00C0030A" w:rsidRDefault="00C0030A" w:rsidP="00C0030A">
            <w:pPr>
              <w:pStyle w:val="tabletext"/>
              <w:rPr>
                <w:lang w:val="en-US" w:eastAsia="en-US"/>
              </w:rPr>
            </w:pPr>
            <w:r w:rsidRPr="00C0030A">
              <w:rPr>
                <w:lang w:val="en-US" w:eastAsia="en-US"/>
              </w:rPr>
              <w:t>91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8787EEE" w14:textId="77777777" w:rsidR="00C0030A" w:rsidRPr="00C0030A" w:rsidRDefault="00C0030A" w:rsidP="00C0030A">
            <w:pPr>
              <w:pStyle w:val="tabletext"/>
              <w:rPr>
                <w:lang w:val="en-US" w:eastAsia="en-US"/>
              </w:rPr>
            </w:pPr>
            <w:r w:rsidRPr="00C0030A">
              <w:rPr>
                <w:lang w:val="en-US" w:eastAsia="en-US"/>
              </w:rPr>
              <w:t>Subsection 601CK(3)</w:t>
            </w:r>
          </w:p>
        </w:tc>
      </w:tr>
      <w:tr w:rsidR="00C0030A" w:rsidRPr="00C0030A" w14:paraId="7661376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37FF231" w14:textId="77777777" w:rsidR="00C0030A" w:rsidRPr="00C0030A" w:rsidRDefault="00C0030A" w:rsidP="00C0030A">
            <w:pPr>
              <w:pStyle w:val="tabletext"/>
              <w:rPr>
                <w:lang w:val="en-US" w:eastAsia="en-US"/>
              </w:rPr>
            </w:pPr>
            <w:r w:rsidRPr="00C0030A">
              <w:rPr>
                <w:lang w:val="en-US" w:eastAsia="en-US"/>
              </w:rPr>
              <w:t>92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E7B2C5A" w14:textId="77777777" w:rsidR="00C0030A" w:rsidRPr="00C0030A" w:rsidRDefault="00C0030A" w:rsidP="00C0030A">
            <w:pPr>
              <w:pStyle w:val="tabletext"/>
              <w:rPr>
                <w:lang w:val="en-US" w:eastAsia="en-US"/>
              </w:rPr>
            </w:pPr>
            <w:r w:rsidRPr="00C0030A">
              <w:rPr>
                <w:lang w:val="en-US" w:eastAsia="en-US"/>
              </w:rPr>
              <w:t>Subsections 601CK(5), (5A), (6) and (9)</w:t>
            </w:r>
          </w:p>
        </w:tc>
      </w:tr>
      <w:tr w:rsidR="00C0030A" w:rsidRPr="00C0030A" w14:paraId="779076D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A979243" w14:textId="77777777" w:rsidR="00C0030A" w:rsidRPr="00C0030A" w:rsidRDefault="00C0030A" w:rsidP="00C0030A">
            <w:pPr>
              <w:pStyle w:val="tabletext"/>
              <w:rPr>
                <w:lang w:val="en-US" w:eastAsia="en-US"/>
              </w:rPr>
            </w:pPr>
            <w:r w:rsidRPr="00C0030A">
              <w:rPr>
                <w:lang w:val="en-US" w:eastAsia="en-US"/>
              </w:rPr>
              <w:t>95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3D2C304" w14:textId="77777777" w:rsidR="00C0030A" w:rsidRPr="00C0030A" w:rsidRDefault="00C0030A" w:rsidP="00C0030A">
            <w:pPr>
              <w:pStyle w:val="tabletext"/>
              <w:rPr>
                <w:lang w:val="en-US" w:eastAsia="en-US"/>
              </w:rPr>
            </w:pPr>
            <w:r w:rsidRPr="00C0030A">
              <w:rPr>
                <w:lang w:val="en-US" w:eastAsia="en-US"/>
              </w:rPr>
              <w:t>Subsection 601CK(10)</w:t>
            </w:r>
          </w:p>
        </w:tc>
      </w:tr>
      <w:tr w:rsidR="00C0030A" w:rsidRPr="00C0030A" w14:paraId="503B8FA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C2D43F7" w14:textId="77777777" w:rsidR="00C0030A" w:rsidRPr="00C0030A" w:rsidRDefault="00C0030A" w:rsidP="00C0030A">
            <w:pPr>
              <w:pStyle w:val="tabletext"/>
              <w:rPr>
                <w:lang w:val="en-US" w:eastAsia="en-US"/>
              </w:rPr>
            </w:pPr>
            <w:r w:rsidRPr="00C0030A">
              <w:rPr>
                <w:lang w:val="en-US" w:eastAsia="en-US"/>
              </w:rPr>
              <w:t>96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F955DC7" w14:textId="77777777" w:rsidR="00C0030A" w:rsidRPr="00C0030A" w:rsidRDefault="00C0030A" w:rsidP="00C0030A">
            <w:pPr>
              <w:pStyle w:val="tabletext"/>
              <w:rPr>
                <w:lang w:val="en-US" w:eastAsia="en-US"/>
              </w:rPr>
            </w:pPr>
            <w:r w:rsidRPr="00C0030A">
              <w:rPr>
                <w:lang w:val="en-US" w:eastAsia="en-US"/>
              </w:rPr>
              <w:t>Subsection 601CL(1)</w:t>
            </w:r>
          </w:p>
        </w:tc>
      </w:tr>
      <w:tr w:rsidR="00C0030A" w:rsidRPr="00C0030A" w14:paraId="7BAC66E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802FD52" w14:textId="77777777" w:rsidR="00C0030A" w:rsidRPr="00C0030A" w:rsidRDefault="00C0030A" w:rsidP="00C0030A">
            <w:pPr>
              <w:pStyle w:val="tabletext"/>
              <w:rPr>
                <w:lang w:val="en-US" w:eastAsia="en-US"/>
              </w:rPr>
            </w:pPr>
            <w:r w:rsidRPr="00C0030A">
              <w:rPr>
                <w:lang w:val="en-US" w:eastAsia="en-US"/>
              </w:rPr>
              <w:t>97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5BCEBBC" w14:textId="77777777" w:rsidR="00C0030A" w:rsidRPr="00C0030A" w:rsidRDefault="00C0030A" w:rsidP="00C0030A">
            <w:pPr>
              <w:pStyle w:val="tabletext"/>
              <w:rPr>
                <w:lang w:val="en-US" w:eastAsia="en-US"/>
              </w:rPr>
            </w:pPr>
            <w:r w:rsidRPr="00C0030A">
              <w:rPr>
                <w:lang w:val="en-US" w:eastAsia="en-US"/>
              </w:rPr>
              <w:t>Subsection 601CL(2)</w:t>
            </w:r>
          </w:p>
        </w:tc>
      </w:tr>
      <w:tr w:rsidR="00C0030A" w:rsidRPr="00C0030A" w14:paraId="3E8F122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FF5BE49" w14:textId="77777777" w:rsidR="00C0030A" w:rsidRPr="00C0030A" w:rsidRDefault="00C0030A" w:rsidP="00C0030A">
            <w:pPr>
              <w:pStyle w:val="tabletext"/>
              <w:rPr>
                <w:lang w:val="en-US" w:eastAsia="en-US"/>
              </w:rPr>
            </w:pPr>
            <w:r w:rsidRPr="00C0030A">
              <w:rPr>
                <w:lang w:val="en-US" w:eastAsia="en-US"/>
              </w:rPr>
              <w:t>98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191B9BB" w14:textId="77777777" w:rsidR="00C0030A" w:rsidRPr="00C0030A" w:rsidRDefault="00C0030A" w:rsidP="00C0030A">
            <w:pPr>
              <w:pStyle w:val="tabletext"/>
              <w:rPr>
                <w:lang w:val="en-US" w:eastAsia="en-US"/>
              </w:rPr>
            </w:pPr>
            <w:r w:rsidRPr="00C0030A">
              <w:rPr>
                <w:lang w:val="en-US" w:eastAsia="en-US"/>
              </w:rPr>
              <w:t>Subsection 601CL(2)</w:t>
            </w:r>
          </w:p>
        </w:tc>
      </w:tr>
      <w:tr w:rsidR="00C0030A" w:rsidRPr="00C0030A" w14:paraId="4AF65C5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1B82622" w14:textId="77777777" w:rsidR="00C0030A" w:rsidRPr="00C0030A" w:rsidRDefault="00C0030A" w:rsidP="00C0030A">
            <w:pPr>
              <w:pStyle w:val="tabletext"/>
              <w:rPr>
                <w:lang w:val="en-US" w:eastAsia="en-US"/>
              </w:rPr>
            </w:pPr>
            <w:r w:rsidRPr="00C0030A">
              <w:rPr>
                <w:lang w:val="en-US" w:eastAsia="en-US"/>
              </w:rPr>
              <w:t>99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09B9029" w14:textId="77777777" w:rsidR="00C0030A" w:rsidRPr="00C0030A" w:rsidRDefault="00C0030A" w:rsidP="00C0030A">
            <w:pPr>
              <w:pStyle w:val="tabletext"/>
              <w:rPr>
                <w:lang w:val="en-US" w:eastAsia="en-US"/>
              </w:rPr>
            </w:pPr>
            <w:r w:rsidRPr="00C0030A">
              <w:rPr>
                <w:lang w:val="en-US" w:eastAsia="en-US"/>
              </w:rPr>
              <w:t>Subsections 601CL(3) to (5)</w:t>
            </w:r>
          </w:p>
        </w:tc>
      </w:tr>
      <w:tr w:rsidR="00C0030A" w:rsidRPr="00C0030A" w14:paraId="47B4AA2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8427C6E" w14:textId="77777777" w:rsidR="00C0030A" w:rsidRPr="00C0030A" w:rsidRDefault="00C0030A" w:rsidP="00C0030A">
            <w:pPr>
              <w:pStyle w:val="tabletext"/>
              <w:rPr>
                <w:lang w:val="en-US" w:eastAsia="en-US"/>
              </w:rPr>
            </w:pPr>
            <w:r w:rsidRPr="00C0030A">
              <w:rPr>
                <w:lang w:val="en-US" w:eastAsia="en-US"/>
              </w:rPr>
              <w:t>102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9AC7295" w14:textId="77777777" w:rsidR="00C0030A" w:rsidRPr="00C0030A" w:rsidRDefault="00C0030A" w:rsidP="00C0030A">
            <w:pPr>
              <w:pStyle w:val="tabletext"/>
              <w:rPr>
                <w:lang w:val="en-US" w:eastAsia="en-US"/>
              </w:rPr>
            </w:pPr>
            <w:r w:rsidRPr="00C0030A">
              <w:rPr>
                <w:lang w:val="en-US" w:eastAsia="en-US"/>
              </w:rPr>
              <w:t>Subsections 601CL(8) to (10)</w:t>
            </w:r>
          </w:p>
        </w:tc>
      </w:tr>
      <w:tr w:rsidR="00C0030A" w:rsidRPr="00C0030A" w14:paraId="564614B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8F15756" w14:textId="77777777" w:rsidR="00C0030A" w:rsidRPr="00C0030A" w:rsidRDefault="00C0030A" w:rsidP="00C0030A">
            <w:pPr>
              <w:pStyle w:val="tabletext"/>
              <w:rPr>
                <w:lang w:val="en-US" w:eastAsia="en-US"/>
              </w:rPr>
            </w:pPr>
            <w:r w:rsidRPr="00C0030A">
              <w:rPr>
                <w:lang w:val="en-US" w:eastAsia="en-US"/>
              </w:rPr>
              <w:t>104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DB07A06" w14:textId="77777777" w:rsidR="00C0030A" w:rsidRPr="00C0030A" w:rsidRDefault="00C0030A" w:rsidP="00C0030A">
            <w:pPr>
              <w:pStyle w:val="tabletext"/>
              <w:rPr>
                <w:lang w:val="en-US" w:eastAsia="en-US"/>
              </w:rPr>
            </w:pPr>
            <w:r w:rsidRPr="00C0030A">
              <w:rPr>
                <w:lang w:val="en-US" w:eastAsia="en-US"/>
              </w:rPr>
              <w:t>Subsection 601CL(12)</w:t>
            </w:r>
          </w:p>
        </w:tc>
      </w:tr>
      <w:tr w:rsidR="00C0030A" w:rsidRPr="00C0030A" w14:paraId="5079C4F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99596D5" w14:textId="77777777" w:rsidR="00C0030A" w:rsidRPr="00C0030A" w:rsidRDefault="00C0030A" w:rsidP="00C0030A">
            <w:pPr>
              <w:pStyle w:val="tabletext"/>
              <w:rPr>
                <w:lang w:val="en-US" w:eastAsia="en-US"/>
              </w:rPr>
            </w:pPr>
            <w:r w:rsidRPr="00C0030A">
              <w:rPr>
                <w:lang w:val="en-US" w:eastAsia="en-US"/>
              </w:rPr>
              <w:t>105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AC847DD" w14:textId="77777777" w:rsidR="00C0030A" w:rsidRPr="00C0030A" w:rsidRDefault="00C0030A" w:rsidP="00C0030A">
            <w:pPr>
              <w:pStyle w:val="tabletext"/>
              <w:rPr>
                <w:lang w:val="en-US" w:eastAsia="en-US"/>
              </w:rPr>
            </w:pPr>
            <w:r w:rsidRPr="00C0030A">
              <w:rPr>
                <w:lang w:val="en-US" w:eastAsia="en-US"/>
              </w:rPr>
              <w:t>Subsection 601CL(13)</w:t>
            </w:r>
          </w:p>
        </w:tc>
      </w:tr>
      <w:tr w:rsidR="00C0030A" w:rsidRPr="00C0030A" w14:paraId="2ED2E04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A875110" w14:textId="77777777" w:rsidR="00C0030A" w:rsidRPr="00C0030A" w:rsidRDefault="00C0030A" w:rsidP="00C0030A">
            <w:pPr>
              <w:pStyle w:val="tabletext"/>
              <w:rPr>
                <w:lang w:val="en-US" w:eastAsia="en-US"/>
              </w:rPr>
            </w:pPr>
            <w:r w:rsidRPr="00C0030A">
              <w:rPr>
                <w:lang w:val="en-US" w:eastAsia="en-US"/>
              </w:rPr>
              <w:t>106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43DB843" w14:textId="77777777" w:rsidR="00C0030A" w:rsidRPr="00C0030A" w:rsidRDefault="00C0030A" w:rsidP="00C0030A">
            <w:pPr>
              <w:pStyle w:val="tabletext"/>
              <w:rPr>
                <w:lang w:val="en-US" w:eastAsia="en-US"/>
              </w:rPr>
            </w:pPr>
            <w:r w:rsidRPr="00C0030A">
              <w:rPr>
                <w:lang w:val="en-US" w:eastAsia="en-US"/>
              </w:rPr>
              <w:t>Paragraph 601CL(14)(a)</w:t>
            </w:r>
          </w:p>
        </w:tc>
      </w:tr>
      <w:tr w:rsidR="00C0030A" w:rsidRPr="00C0030A" w14:paraId="5AE7DA4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AF3840C" w14:textId="77777777" w:rsidR="00C0030A" w:rsidRPr="00C0030A" w:rsidRDefault="00C0030A" w:rsidP="00C0030A">
            <w:pPr>
              <w:pStyle w:val="tabletext"/>
              <w:rPr>
                <w:lang w:val="en-US" w:eastAsia="en-US"/>
              </w:rPr>
            </w:pPr>
            <w:r w:rsidRPr="00C0030A">
              <w:rPr>
                <w:lang w:val="en-US" w:eastAsia="en-US"/>
              </w:rPr>
              <w:t>107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B1DA24B" w14:textId="77777777" w:rsidR="00C0030A" w:rsidRPr="00C0030A" w:rsidRDefault="00C0030A" w:rsidP="00C0030A">
            <w:pPr>
              <w:pStyle w:val="tabletext"/>
              <w:rPr>
                <w:lang w:val="en-US" w:eastAsia="en-US"/>
              </w:rPr>
            </w:pPr>
            <w:r w:rsidRPr="00C0030A">
              <w:rPr>
                <w:lang w:val="en-US" w:eastAsia="en-US"/>
              </w:rPr>
              <w:t>Section 601CP (heading)</w:t>
            </w:r>
          </w:p>
        </w:tc>
      </w:tr>
      <w:tr w:rsidR="00C0030A" w:rsidRPr="00C0030A" w14:paraId="2390E36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BAED1FC" w14:textId="77777777" w:rsidR="00C0030A" w:rsidRPr="00C0030A" w:rsidRDefault="00C0030A" w:rsidP="00C0030A">
            <w:pPr>
              <w:pStyle w:val="tabletext"/>
              <w:rPr>
                <w:lang w:val="en-US" w:eastAsia="en-US"/>
              </w:rPr>
            </w:pPr>
            <w:r w:rsidRPr="00C0030A">
              <w:rPr>
                <w:lang w:val="en-US" w:eastAsia="en-US"/>
              </w:rPr>
              <w:t>108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CBA5663" w14:textId="77777777" w:rsidR="00C0030A" w:rsidRPr="00C0030A" w:rsidRDefault="00C0030A" w:rsidP="00C0030A">
            <w:pPr>
              <w:pStyle w:val="tabletext"/>
              <w:rPr>
                <w:lang w:val="en-US" w:eastAsia="en-US"/>
              </w:rPr>
            </w:pPr>
            <w:r w:rsidRPr="00C0030A">
              <w:rPr>
                <w:lang w:val="en-US" w:eastAsia="en-US"/>
              </w:rPr>
              <w:t>Section 601CP</w:t>
            </w:r>
          </w:p>
        </w:tc>
      </w:tr>
      <w:tr w:rsidR="00C0030A" w:rsidRPr="00C0030A" w14:paraId="2025447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8703B7D" w14:textId="77777777" w:rsidR="00C0030A" w:rsidRPr="00C0030A" w:rsidRDefault="00C0030A" w:rsidP="00C0030A">
            <w:pPr>
              <w:pStyle w:val="tabletext"/>
              <w:rPr>
                <w:lang w:val="en-US" w:eastAsia="en-US"/>
              </w:rPr>
            </w:pPr>
            <w:r w:rsidRPr="00C0030A">
              <w:rPr>
                <w:lang w:val="en-US" w:eastAsia="en-US"/>
              </w:rPr>
              <w:t>109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4A6DAD0" w14:textId="77777777" w:rsidR="00C0030A" w:rsidRPr="00C0030A" w:rsidRDefault="00C0030A" w:rsidP="00C0030A">
            <w:pPr>
              <w:pStyle w:val="tabletext"/>
              <w:rPr>
                <w:lang w:val="en-US" w:eastAsia="en-US"/>
              </w:rPr>
            </w:pPr>
            <w:r w:rsidRPr="00C0030A">
              <w:rPr>
                <w:lang w:val="en-US" w:eastAsia="en-US"/>
              </w:rPr>
              <w:t>Section 601CTA</w:t>
            </w:r>
          </w:p>
        </w:tc>
      </w:tr>
      <w:tr w:rsidR="00C0030A" w:rsidRPr="00C0030A" w14:paraId="45F34BE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0BF6596" w14:textId="77777777" w:rsidR="00C0030A" w:rsidRPr="00C0030A" w:rsidRDefault="00C0030A" w:rsidP="00C0030A">
            <w:pPr>
              <w:pStyle w:val="tabletext"/>
              <w:rPr>
                <w:lang w:val="en-US" w:eastAsia="en-US"/>
              </w:rPr>
            </w:pPr>
            <w:r w:rsidRPr="00C0030A">
              <w:rPr>
                <w:lang w:val="en-US" w:eastAsia="en-US"/>
              </w:rPr>
              <w:t>110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9A910B8" w14:textId="77777777" w:rsidR="00C0030A" w:rsidRPr="00C0030A" w:rsidRDefault="00C0030A" w:rsidP="00C0030A">
            <w:pPr>
              <w:pStyle w:val="tabletext"/>
              <w:rPr>
                <w:lang w:val="en-US" w:eastAsia="en-US"/>
              </w:rPr>
            </w:pPr>
            <w:r w:rsidRPr="00C0030A">
              <w:rPr>
                <w:lang w:val="en-US" w:eastAsia="en-US"/>
              </w:rPr>
              <w:t>Paragraph 601CTA(b)</w:t>
            </w:r>
          </w:p>
        </w:tc>
      </w:tr>
      <w:tr w:rsidR="00C0030A" w:rsidRPr="00C0030A" w14:paraId="1116BC2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B35CFF" w14:textId="77777777" w:rsidR="00C0030A" w:rsidRPr="00C0030A" w:rsidRDefault="00C0030A" w:rsidP="00C0030A">
            <w:pPr>
              <w:pStyle w:val="tabletext"/>
              <w:rPr>
                <w:lang w:val="en-US" w:eastAsia="en-US"/>
              </w:rPr>
            </w:pPr>
            <w:r w:rsidRPr="00C0030A">
              <w:rPr>
                <w:lang w:val="en-US" w:eastAsia="en-US"/>
              </w:rPr>
              <w:t>111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9035D14" w14:textId="77777777" w:rsidR="00C0030A" w:rsidRPr="00C0030A" w:rsidRDefault="00C0030A" w:rsidP="00C0030A">
            <w:pPr>
              <w:pStyle w:val="tabletext"/>
              <w:rPr>
                <w:lang w:val="en-US" w:eastAsia="en-US"/>
              </w:rPr>
            </w:pPr>
            <w:r w:rsidRPr="00C0030A">
              <w:rPr>
                <w:lang w:val="en-US" w:eastAsia="en-US"/>
              </w:rPr>
              <w:t>Subsection 601CT(2)</w:t>
            </w:r>
          </w:p>
        </w:tc>
      </w:tr>
      <w:tr w:rsidR="00C0030A" w:rsidRPr="00C0030A" w14:paraId="2487EE9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03E0A8D" w14:textId="77777777" w:rsidR="00C0030A" w:rsidRPr="00C0030A" w:rsidRDefault="00C0030A" w:rsidP="00C0030A">
            <w:pPr>
              <w:pStyle w:val="tabletext"/>
              <w:rPr>
                <w:lang w:val="en-US" w:eastAsia="en-US"/>
              </w:rPr>
            </w:pPr>
            <w:r w:rsidRPr="00C0030A">
              <w:rPr>
                <w:lang w:val="en-US" w:eastAsia="en-US"/>
              </w:rPr>
              <w:t>113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72794E5" w14:textId="77777777" w:rsidR="00C0030A" w:rsidRPr="00C0030A" w:rsidRDefault="00C0030A" w:rsidP="00C0030A">
            <w:pPr>
              <w:pStyle w:val="tabletext"/>
              <w:rPr>
                <w:lang w:val="en-US" w:eastAsia="en-US"/>
              </w:rPr>
            </w:pPr>
            <w:r w:rsidRPr="00C0030A">
              <w:rPr>
                <w:lang w:val="en-US" w:eastAsia="en-US"/>
              </w:rPr>
              <w:t>Subsection 601CT(3)</w:t>
            </w:r>
          </w:p>
        </w:tc>
      </w:tr>
      <w:tr w:rsidR="00C0030A" w:rsidRPr="00C0030A" w14:paraId="0F61458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DD8985C" w14:textId="77777777" w:rsidR="00C0030A" w:rsidRPr="00C0030A" w:rsidRDefault="00C0030A" w:rsidP="00C0030A">
            <w:pPr>
              <w:pStyle w:val="tabletext"/>
              <w:rPr>
                <w:lang w:val="en-US" w:eastAsia="en-US"/>
              </w:rPr>
            </w:pPr>
            <w:r w:rsidRPr="00C0030A">
              <w:rPr>
                <w:lang w:val="en-US" w:eastAsia="en-US"/>
              </w:rPr>
              <w:t>115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959A6D0" w14:textId="77777777" w:rsidR="00C0030A" w:rsidRPr="00C0030A" w:rsidRDefault="00C0030A" w:rsidP="00C0030A">
            <w:pPr>
              <w:pStyle w:val="tabletext"/>
              <w:rPr>
                <w:lang w:val="en-US" w:eastAsia="en-US"/>
              </w:rPr>
            </w:pPr>
            <w:r w:rsidRPr="00C0030A">
              <w:rPr>
                <w:lang w:val="en-US" w:eastAsia="en-US"/>
              </w:rPr>
              <w:t>Subsection 601CT(4)</w:t>
            </w:r>
          </w:p>
        </w:tc>
      </w:tr>
      <w:tr w:rsidR="00C0030A" w:rsidRPr="00C0030A" w14:paraId="5BFB5F1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B5A004" w14:textId="77777777" w:rsidR="00C0030A" w:rsidRPr="00C0030A" w:rsidRDefault="00C0030A" w:rsidP="00C0030A">
            <w:pPr>
              <w:pStyle w:val="tabletext"/>
              <w:rPr>
                <w:lang w:val="en-US" w:eastAsia="en-US"/>
              </w:rPr>
            </w:pPr>
            <w:r w:rsidRPr="00C0030A">
              <w:rPr>
                <w:lang w:val="en-US" w:eastAsia="en-US"/>
              </w:rPr>
              <w:t>117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FC88DF9" w14:textId="77777777" w:rsidR="00C0030A" w:rsidRPr="00C0030A" w:rsidRDefault="00C0030A" w:rsidP="00C0030A">
            <w:pPr>
              <w:pStyle w:val="tabletext"/>
              <w:rPr>
                <w:lang w:val="en-US" w:eastAsia="en-US"/>
              </w:rPr>
            </w:pPr>
            <w:r w:rsidRPr="00C0030A">
              <w:rPr>
                <w:lang w:val="en-US" w:eastAsia="en-US"/>
              </w:rPr>
              <w:t>Subsection 601CU(1)</w:t>
            </w:r>
          </w:p>
        </w:tc>
      </w:tr>
      <w:tr w:rsidR="00C0030A" w:rsidRPr="00C0030A" w14:paraId="369C00B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57C3386" w14:textId="77777777" w:rsidR="00C0030A" w:rsidRPr="00C0030A" w:rsidRDefault="00C0030A" w:rsidP="00C0030A">
            <w:pPr>
              <w:pStyle w:val="tabletext"/>
              <w:rPr>
                <w:lang w:val="en-US" w:eastAsia="en-US"/>
              </w:rPr>
            </w:pPr>
            <w:r w:rsidRPr="00C0030A">
              <w:rPr>
                <w:lang w:val="en-US" w:eastAsia="en-US"/>
              </w:rPr>
              <w:t>118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8D175AC" w14:textId="77777777" w:rsidR="00C0030A" w:rsidRPr="00C0030A" w:rsidRDefault="00C0030A" w:rsidP="00C0030A">
            <w:pPr>
              <w:pStyle w:val="tabletext"/>
              <w:rPr>
                <w:lang w:val="en-US" w:eastAsia="en-US"/>
              </w:rPr>
            </w:pPr>
            <w:r w:rsidRPr="00C0030A">
              <w:rPr>
                <w:lang w:val="en-US" w:eastAsia="en-US"/>
              </w:rPr>
              <w:t>Paragraph 601CV(1)(b)</w:t>
            </w:r>
          </w:p>
        </w:tc>
      </w:tr>
      <w:tr w:rsidR="00C0030A" w:rsidRPr="00C0030A" w14:paraId="21FF720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9D4D715" w14:textId="77777777" w:rsidR="00C0030A" w:rsidRPr="00C0030A" w:rsidRDefault="00C0030A" w:rsidP="00C0030A">
            <w:pPr>
              <w:pStyle w:val="tabletext"/>
              <w:rPr>
                <w:lang w:val="en-US" w:eastAsia="en-US"/>
              </w:rPr>
            </w:pPr>
            <w:r w:rsidRPr="00C0030A">
              <w:rPr>
                <w:lang w:val="en-US" w:eastAsia="en-US"/>
              </w:rPr>
              <w:t>120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54C0F9B" w14:textId="77777777" w:rsidR="00C0030A" w:rsidRPr="00C0030A" w:rsidRDefault="00C0030A" w:rsidP="00C0030A">
            <w:pPr>
              <w:pStyle w:val="tabletext"/>
              <w:rPr>
                <w:lang w:val="en-US" w:eastAsia="en-US"/>
              </w:rPr>
            </w:pPr>
            <w:r w:rsidRPr="00C0030A">
              <w:rPr>
                <w:lang w:val="en-US" w:eastAsia="en-US"/>
              </w:rPr>
              <w:t>Paragraph 601CX(2)(b)</w:t>
            </w:r>
          </w:p>
        </w:tc>
      </w:tr>
      <w:tr w:rsidR="00C0030A" w:rsidRPr="00C0030A" w14:paraId="2C02362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FC5F2F2" w14:textId="77777777" w:rsidR="00C0030A" w:rsidRPr="00C0030A" w:rsidRDefault="00C0030A" w:rsidP="00C0030A">
            <w:pPr>
              <w:pStyle w:val="tabletext"/>
              <w:rPr>
                <w:lang w:val="en-US" w:eastAsia="en-US"/>
              </w:rPr>
            </w:pPr>
            <w:r w:rsidRPr="00C0030A">
              <w:rPr>
                <w:lang w:val="en-US" w:eastAsia="en-US"/>
              </w:rPr>
              <w:t>121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806128B" w14:textId="77777777" w:rsidR="00C0030A" w:rsidRPr="00C0030A" w:rsidRDefault="00C0030A" w:rsidP="00C0030A">
            <w:pPr>
              <w:pStyle w:val="tabletext"/>
              <w:rPr>
                <w:lang w:val="en-US" w:eastAsia="en-US"/>
              </w:rPr>
            </w:pPr>
            <w:r w:rsidRPr="00C0030A">
              <w:rPr>
                <w:lang w:val="en-US" w:eastAsia="en-US"/>
              </w:rPr>
              <w:t>At the end of subsection 601CX(4)</w:t>
            </w:r>
          </w:p>
        </w:tc>
      </w:tr>
      <w:tr w:rsidR="00C0030A" w:rsidRPr="00C0030A" w14:paraId="05786F6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BE4B0AA" w14:textId="77777777" w:rsidR="00C0030A" w:rsidRPr="00C0030A" w:rsidRDefault="00C0030A" w:rsidP="00C0030A">
            <w:pPr>
              <w:pStyle w:val="tabletext"/>
              <w:rPr>
                <w:lang w:val="en-US" w:eastAsia="en-US"/>
              </w:rPr>
            </w:pPr>
            <w:r w:rsidRPr="00C0030A">
              <w:rPr>
                <w:lang w:val="en-US" w:eastAsia="en-US"/>
              </w:rPr>
              <w:t>122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5A4792" w14:textId="77777777" w:rsidR="00C0030A" w:rsidRPr="00C0030A" w:rsidRDefault="00C0030A" w:rsidP="00C0030A">
            <w:pPr>
              <w:pStyle w:val="tabletext"/>
              <w:rPr>
                <w:lang w:val="en-US" w:eastAsia="en-US"/>
              </w:rPr>
            </w:pPr>
            <w:r w:rsidRPr="00C0030A">
              <w:rPr>
                <w:lang w:val="en-US" w:eastAsia="en-US"/>
              </w:rPr>
              <w:t>Paragraph 601CZC(1)(d)</w:t>
            </w:r>
          </w:p>
        </w:tc>
      </w:tr>
      <w:tr w:rsidR="00C0030A" w:rsidRPr="00C0030A" w14:paraId="2124A43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8568134" w14:textId="77777777" w:rsidR="00C0030A" w:rsidRPr="00C0030A" w:rsidRDefault="00C0030A" w:rsidP="00C0030A">
            <w:pPr>
              <w:pStyle w:val="tabletext"/>
              <w:rPr>
                <w:lang w:val="en-US" w:eastAsia="en-US"/>
              </w:rPr>
            </w:pPr>
            <w:r w:rsidRPr="00C0030A">
              <w:rPr>
                <w:lang w:val="en-US" w:eastAsia="en-US"/>
              </w:rPr>
              <w:t>123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9A7B056" w14:textId="77777777" w:rsidR="00C0030A" w:rsidRPr="00C0030A" w:rsidRDefault="00C0030A" w:rsidP="00C0030A">
            <w:pPr>
              <w:pStyle w:val="tabletext"/>
              <w:rPr>
                <w:lang w:val="en-US" w:eastAsia="en-US"/>
              </w:rPr>
            </w:pPr>
            <w:r w:rsidRPr="00C0030A">
              <w:rPr>
                <w:lang w:val="en-US" w:eastAsia="en-US"/>
              </w:rPr>
              <w:t>Section 601CZC(2)</w:t>
            </w:r>
          </w:p>
        </w:tc>
      </w:tr>
      <w:tr w:rsidR="00C0030A" w:rsidRPr="00C0030A" w14:paraId="423F0D1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5BD9F90" w14:textId="77777777" w:rsidR="00C0030A" w:rsidRPr="00C0030A" w:rsidRDefault="00C0030A" w:rsidP="00C0030A">
            <w:pPr>
              <w:pStyle w:val="tabletext"/>
              <w:rPr>
                <w:lang w:val="en-US" w:eastAsia="en-US"/>
              </w:rPr>
            </w:pPr>
            <w:r w:rsidRPr="00C0030A">
              <w:rPr>
                <w:lang w:val="en-US" w:eastAsia="en-US"/>
              </w:rPr>
              <w:t>125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9F2444" w14:textId="77777777" w:rsidR="00C0030A" w:rsidRPr="00C0030A" w:rsidRDefault="00C0030A" w:rsidP="00C0030A">
            <w:pPr>
              <w:pStyle w:val="tabletext"/>
              <w:rPr>
                <w:lang w:val="en-US" w:eastAsia="en-US"/>
              </w:rPr>
            </w:pPr>
            <w:r w:rsidRPr="00C0030A">
              <w:rPr>
                <w:lang w:val="en-US" w:eastAsia="en-US"/>
              </w:rPr>
              <w:t>Subsection 601DA(1)</w:t>
            </w:r>
          </w:p>
        </w:tc>
      </w:tr>
      <w:tr w:rsidR="00C0030A" w:rsidRPr="00C0030A" w14:paraId="21616D1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7E5CA4E" w14:textId="77777777" w:rsidR="00C0030A" w:rsidRPr="00C0030A" w:rsidRDefault="00C0030A" w:rsidP="00C0030A">
            <w:pPr>
              <w:pStyle w:val="tabletext"/>
              <w:rPr>
                <w:lang w:val="en-US" w:eastAsia="en-US"/>
              </w:rPr>
            </w:pPr>
            <w:r w:rsidRPr="00C0030A">
              <w:rPr>
                <w:lang w:val="en-US" w:eastAsia="en-US"/>
              </w:rPr>
              <w:t>127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58EC67D" w14:textId="77777777" w:rsidR="00C0030A" w:rsidRPr="00C0030A" w:rsidRDefault="00C0030A" w:rsidP="00C0030A">
            <w:pPr>
              <w:pStyle w:val="tabletext"/>
              <w:rPr>
                <w:lang w:val="en-US" w:eastAsia="en-US"/>
              </w:rPr>
            </w:pPr>
            <w:r w:rsidRPr="00C0030A">
              <w:rPr>
                <w:lang w:val="en-US" w:eastAsia="en-US"/>
              </w:rPr>
              <w:t>Subsection 601DA(2)</w:t>
            </w:r>
          </w:p>
        </w:tc>
      </w:tr>
      <w:tr w:rsidR="00C0030A" w:rsidRPr="00C0030A" w14:paraId="09220FD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1A22634" w14:textId="77777777" w:rsidR="00C0030A" w:rsidRPr="00C0030A" w:rsidRDefault="00C0030A" w:rsidP="00C0030A">
            <w:pPr>
              <w:pStyle w:val="tabletext"/>
              <w:rPr>
                <w:lang w:val="en-US" w:eastAsia="en-US"/>
              </w:rPr>
            </w:pPr>
            <w:r w:rsidRPr="00C0030A">
              <w:rPr>
                <w:lang w:val="en-US" w:eastAsia="en-US"/>
              </w:rPr>
              <w:t>128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A06A7D" w14:textId="77777777" w:rsidR="00C0030A" w:rsidRPr="00C0030A" w:rsidRDefault="00C0030A" w:rsidP="00C0030A">
            <w:pPr>
              <w:pStyle w:val="tabletext"/>
              <w:rPr>
                <w:lang w:val="en-US" w:eastAsia="en-US"/>
              </w:rPr>
            </w:pPr>
            <w:r w:rsidRPr="00C0030A">
              <w:rPr>
                <w:lang w:val="en-US" w:eastAsia="en-US"/>
              </w:rPr>
              <w:t>Subsection 601DA(3)</w:t>
            </w:r>
          </w:p>
        </w:tc>
      </w:tr>
      <w:tr w:rsidR="00C0030A" w:rsidRPr="00C0030A" w14:paraId="093EABC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AC630B9" w14:textId="77777777" w:rsidR="00C0030A" w:rsidRPr="00C0030A" w:rsidRDefault="00C0030A" w:rsidP="00C0030A">
            <w:pPr>
              <w:pStyle w:val="tabletext"/>
              <w:rPr>
                <w:lang w:val="en-US" w:eastAsia="en-US"/>
              </w:rPr>
            </w:pPr>
            <w:r w:rsidRPr="00C0030A">
              <w:rPr>
                <w:lang w:val="en-US" w:eastAsia="en-US"/>
              </w:rPr>
              <w:t>129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0481AF3" w14:textId="77777777" w:rsidR="00C0030A" w:rsidRPr="00C0030A" w:rsidRDefault="00C0030A" w:rsidP="00C0030A">
            <w:pPr>
              <w:pStyle w:val="tabletext"/>
              <w:rPr>
                <w:lang w:val="en-US" w:eastAsia="en-US"/>
              </w:rPr>
            </w:pPr>
            <w:r w:rsidRPr="00C0030A">
              <w:rPr>
                <w:lang w:val="en-US" w:eastAsia="en-US"/>
              </w:rPr>
              <w:t>Subsection 601DA(3)</w:t>
            </w:r>
          </w:p>
        </w:tc>
      </w:tr>
      <w:tr w:rsidR="00C0030A" w:rsidRPr="00C0030A" w14:paraId="3E44FE3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50C06B" w14:textId="77777777" w:rsidR="00C0030A" w:rsidRPr="00C0030A" w:rsidRDefault="00C0030A" w:rsidP="00C0030A">
            <w:pPr>
              <w:pStyle w:val="tabletext"/>
              <w:rPr>
                <w:lang w:val="en-US" w:eastAsia="en-US"/>
              </w:rPr>
            </w:pPr>
            <w:r w:rsidRPr="00C0030A">
              <w:rPr>
                <w:lang w:val="en-US" w:eastAsia="en-US"/>
              </w:rPr>
              <w:t>132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8F29B84" w14:textId="77777777" w:rsidR="00C0030A" w:rsidRPr="00C0030A" w:rsidRDefault="00C0030A" w:rsidP="00C0030A">
            <w:pPr>
              <w:pStyle w:val="tabletext"/>
              <w:rPr>
                <w:lang w:val="en-US" w:eastAsia="en-US"/>
              </w:rPr>
            </w:pPr>
            <w:r w:rsidRPr="00C0030A">
              <w:rPr>
                <w:lang w:val="en-US" w:eastAsia="en-US"/>
              </w:rPr>
              <w:t>Subsections 601DC(3) and (4) (note)</w:t>
            </w:r>
          </w:p>
        </w:tc>
      </w:tr>
      <w:tr w:rsidR="00C0030A" w:rsidRPr="00C0030A" w14:paraId="33519BD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D8F644" w14:textId="77777777" w:rsidR="00C0030A" w:rsidRPr="00C0030A" w:rsidRDefault="00C0030A" w:rsidP="00C0030A">
            <w:pPr>
              <w:pStyle w:val="tabletext"/>
              <w:rPr>
                <w:lang w:val="en-US" w:eastAsia="en-US"/>
              </w:rPr>
            </w:pPr>
            <w:r w:rsidRPr="00C0030A">
              <w:rPr>
                <w:lang w:val="en-US" w:eastAsia="en-US"/>
              </w:rPr>
              <w:t>134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96C85B0" w14:textId="77777777" w:rsidR="00C0030A" w:rsidRPr="00C0030A" w:rsidRDefault="00C0030A" w:rsidP="00C0030A">
            <w:pPr>
              <w:pStyle w:val="tabletext"/>
              <w:rPr>
                <w:lang w:val="en-US" w:eastAsia="en-US"/>
              </w:rPr>
            </w:pPr>
            <w:r w:rsidRPr="00C0030A">
              <w:rPr>
                <w:lang w:val="en-US" w:eastAsia="en-US"/>
              </w:rPr>
              <w:t>Section 601DH (heading)</w:t>
            </w:r>
          </w:p>
        </w:tc>
      </w:tr>
      <w:tr w:rsidR="00C0030A" w:rsidRPr="00C0030A" w14:paraId="312CD7B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CD5287A" w14:textId="77777777" w:rsidR="00C0030A" w:rsidRPr="00C0030A" w:rsidRDefault="00C0030A" w:rsidP="00C0030A">
            <w:pPr>
              <w:pStyle w:val="tabletext"/>
              <w:rPr>
                <w:lang w:val="en-US" w:eastAsia="en-US"/>
              </w:rPr>
            </w:pPr>
            <w:r w:rsidRPr="00C0030A">
              <w:rPr>
                <w:lang w:val="en-US" w:eastAsia="en-US"/>
              </w:rPr>
              <w:t>135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87EBD30" w14:textId="77777777" w:rsidR="00C0030A" w:rsidRPr="00C0030A" w:rsidRDefault="00C0030A" w:rsidP="00C0030A">
            <w:pPr>
              <w:pStyle w:val="tabletext"/>
              <w:rPr>
                <w:lang w:val="en-US" w:eastAsia="en-US"/>
              </w:rPr>
            </w:pPr>
            <w:r w:rsidRPr="00C0030A">
              <w:rPr>
                <w:lang w:val="en-US" w:eastAsia="en-US"/>
              </w:rPr>
              <w:t>Subsection 601DH(1)</w:t>
            </w:r>
          </w:p>
        </w:tc>
      </w:tr>
      <w:tr w:rsidR="00C0030A" w:rsidRPr="00C0030A" w14:paraId="3B6968E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05C7C4C" w14:textId="77777777" w:rsidR="00C0030A" w:rsidRPr="00C0030A" w:rsidRDefault="00C0030A" w:rsidP="00C0030A">
            <w:pPr>
              <w:pStyle w:val="tabletext"/>
              <w:rPr>
                <w:lang w:val="en-US" w:eastAsia="en-US"/>
              </w:rPr>
            </w:pPr>
            <w:r w:rsidRPr="00C0030A">
              <w:rPr>
                <w:lang w:val="en-US" w:eastAsia="en-US"/>
              </w:rPr>
              <w:t>137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71929E8" w14:textId="77777777" w:rsidR="00C0030A" w:rsidRPr="00C0030A" w:rsidRDefault="00C0030A" w:rsidP="00C0030A">
            <w:pPr>
              <w:pStyle w:val="tabletext"/>
              <w:rPr>
                <w:lang w:val="en-US" w:eastAsia="en-US"/>
              </w:rPr>
            </w:pPr>
            <w:r w:rsidRPr="00C0030A">
              <w:rPr>
                <w:lang w:val="en-US" w:eastAsia="en-US"/>
              </w:rPr>
              <w:t>Subsection 601DH(2) (not including the notes)</w:t>
            </w:r>
          </w:p>
        </w:tc>
      </w:tr>
      <w:tr w:rsidR="00C0030A" w:rsidRPr="00C0030A" w14:paraId="71E45C3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5E9FB32" w14:textId="77777777" w:rsidR="00C0030A" w:rsidRPr="00C0030A" w:rsidRDefault="00C0030A" w:rsidP="00C0030A">
            <w:pPr>
              <w:pStyle w:val="tabletext"/>
              <w:rPr>
                <w:lang w:val="en-US" w:eastAsia="en-US"/>
              </w:rPr>
            </w:pPr>
            <w:r w:rsidRPr="00C0030A">
              <w:rPr>
                <w:lang w:val="en-US" w:eastAsia="en-US"/>
              </w:rPr>
              <w:t>138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C569D7C" w14:textId="77777777" w:rsidR="00C0030A" w:rsidRPr="00C0030A" w:rsidRDefault="00C0030A" w:rsidP="00C0030A">
            <w:pPr>
              <w:pStyle w:val="tabletext"/>
              <w:rPr>
                <w:lang w:val="en-US" w:eastAsia="en-US"/>
              </w:rPr>
            </w:pPr>
            <w:r w:rsidRPr="00C0030A">
              <w:rPr>
                <w:lang w:val="en-US" w:eastAsia="en-US"/>
              </w:rPr>
              <w:t>Subsection 601DH(2) (note 3)</w:t>
            </w:r>
          </w:p>
        </w:tc>
      </w:tr>
      <w:tr w:rsidR="00C0030A" w:rsidRPr="00C0030A" w14:paraId="4069301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0B360DB" w14:textId="77777777" w:rsidR="00C0030A" w:rsidRPr="00C0030A" w:rsidRDefault="00C0030A" w:rsidP="00C0030A">
            <w:pPr>
              <w:pStyle w:val="tabletext"/>
              <w:rPr>
                <w:lang w:val="en-US" w:eastAsia="en-US"/>
              </w:rPr>
            </w:pPr>
            <w:r w:rsidRPr="00C0030A">
              <w:rPr>
                <w:lang w:val="en-US" w:eastAsia="en-US"/>
              </w:rPr>
              <w:t>139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C97A386" w14:textId="77777777" w:rsidR="00C0030A" w:rsidRPr="00C0030A" w:rsidRDefault="00C0030A" w:rsidP="00C0030A">
            <w:pPr>
              <w:pStyle w:val="tabletext"/>
              <w:rPr>
                <w:lang w:val="en-US" w:eastAsia="en-US"/>
              </w:rPr>
            </w:pPr>
            <w:r w:rsidRPr="00C0030A">
              <w:rPr>
                <w:lang w:val="en-US" w:eastAsia="en-US"/>
              </w:rPr>
              <w:t>Section 601DJ (heading)</w:t>
            </w:r>
          </w:p>
        </w:tc>
      </w:tr>
      <w:tr w:rsidR="00C0030A" w:rsidRPr="00C0030A" w14:paraId="37320BC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E667EC1" w14:textId="77777777" w:rsidR="00C0030A" w:rsidRPr="00C0030A" w:rsidRDefault="00C0030A" w:rsidP="00C0030A">
            <w:pPr>
              <w:pStyle w:val="tabletext"/>
              <w:rPr>
                <w:lang w:val="en-US" w:eastAsia="en-US"/>
              </w:rPr>
            </w:pPr>
            <w:r w:rsidRPr="00C0030A">
              <w:rPr>
                <w:lang w:val="en-US" w:eastAsia="en-US"/>
              </w:rPr>
              <w:lastRenderedPageBreak/>
              <w:t>140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D1985E2" w14:textId="77777777" w:rsidR="00C0030A" w:rsidRPr="00C0030A" w:rsidRDefault="00C0030A" w:rsidP="00C0030A">
            <w:pPr>
              <w:pStyle w:val="tabletext"/>
              <w:rPr>
                <w:lang w:val="en-US" w:eastAsia="en-US"/>
              </w:rPr>
            </w:pPr>
            <w:r w:rsidRPr="00C0030A">
              <w:rPr>
                <w:lang w:val="en-US" w:eastAsia="en-US"/>
              </w:rPr>
              <w:t>Subsection 601DJ(1)</w:t>
            </w:r>
          </w:p>
        </w:tc>
      </w:tr>
      <w:tr w:rsidR="00C0030A" w:rsidRPr="00C0030A" w14:paraId="291A980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5FB1250" w14:textId="77777777" w:rsidR="00C0030A" w:rsidRPr="00C0030A" w:rsidRDefault="00C0030A" w:rsidP="00C0030A">
            <w:pPr>
              <w:pStyle w:val="tabletext"/>
              <w:rPr>
                <w:lang w:val="en-US" w:eastAsia="en-US"/>
              </w:rPr>
            </w:pPr>
            <w:r w:rsidRPr="00C0030A">
              <w:rPr>
                <w:lang w:val="en-US" w:eastAsia="en-US"/>
              </w:rPr>
              <w:t>141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BFA36F1" w14:textId="77777777" w:rsidR="00C0030A" w:rsidRPr="00C0030A" w:rsidRDefault="00C0030A" w:rsidP="00C0030A">
            <w:pPr>
              <w:pStyle w:val="tabletext"/>
              <w:rPr>
                <w:lang w:val="en-US" w:eastAsia="en-US"/>
              </w:rPr>
            </w:pPr>
            <w:r w:rsidRPr="00C0030A">
              <w:rPr>
                <w:lang w:val="en-US" w:eastAsia="en-US"/>
              </w:rPr>
              <w:t>Subsection 601DJ(3)</w:t>
            </w:r>
          </w:p>
        </w:tc>
      </w:tr>
      <w:tr w:rsidR="00C0030A" w:rsidRPr="00C0030A" w14:paraId="2D433DA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C468A78" w14:textId="77777777" w:rsidR="00C0030A" w:rsidRPr="00C0030A" w:rsidRDefault="00C0030A" w:rsidP="00C0030A">
            <w:pPr>
              <w:pStyle w:val="tabletext"/>
              <w:rPr>
                <w:lang w:val="en-US" w:eastAsia="en-US"/>
              </w:rPr>
            </w:pPr>
            <w:r w:rsidRPr="00C0030A">
              <w:rPr>
                <w:lang w:val="en-US" w:eastAsia="en-US"/>
              </w:rPr>
              <w:t>142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93B2690" w14:textId="77777777" w:rsidR="00C0030A" w:rsidRPr="00C0030A" w:rsidRDefault="00C0030A" w:rsidP="00C0030A">
            <w:pPr>
              <w:pStyle w:val="tabletext"/>
              <w:rPr>
                <w:lang w:val="en-US" w:eastAsia="en-US"/>
              </w:rPr>
            </w:pPr>
            <w:r w:rsidRPr="00C0030A">
              <w:rPr>
                <w:lang w:val="en-US" w:eastAsia="en-US"/>
              </w:rPr>
              <w:t>Subsection 601DJ(4) (not including the note)</w:t>
            </w:r>
          </w:p>
        </w:tc>
      </w:tr>
      <w:tr w:rsidR="00C0030A" w:rsidRPr="00C0030A" w14:paraId="6997246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7A0F342" w14:textId="77777777" w:rsidR="00C0030A" w:rsidRPr="00C0030A" w:rsidRDefault="00C0030A" w:rsidP="00C0030A">
            <w:pPr>
              <w:pStyle w:val="tabletext"/>
              <w:rPr>
                <w:lang w:val="en-US" w:eastAsia="en-US"/>
              </w:rPr>
            </w:pPr>
            <w:r w:rsidRPr="00C0030A">
              <w:rPr>
                <w:lang w:val="en-US" w:eastAsia="en-US"/>
              </w:rPr>
              <w:t>143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4A0D84F" w14:textId="77777777" w:rsidR="00C0030A" w:rsidRPr="00C0030A" w:rsidRDefault="00C0030A" w:rsidP="00C0030A">
            <w:pPr>
              <w:pStyle w:val="tabletext"/>
              <w:rPr>
                <w:lang w:val="en-US" w:eastAsia="en-US"/>
              </w:rPr>
            </w:pPr>
            <w:r w:rsidRPr="00C0030A">
              <w:rPr>
                <w:lang w:val="en-US" w:eastAsia="en-US"/>
              </w:rPr>
              <w:t>Subsection 601DJ(4) (note)</w:t>
            </w:r>
          </w:p>
        </w:tc>
      </w:tr>
      <w:tr w:rsidR="00C0030A" w:rsidRPr="00C0030A" w14:paraId="2A259B2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65CEEEA" w14:textId="77777777" w:rsidR="00C0030A" w:rsidRPr="00C0030A" w:rsidRDefault="00C0030A" w:rsidP="00C0030A">
            <w:pPr>
              <w:pStyle w:val="tabletext"/>
              <w:rPr>
                <w:lang w:val="en-US" w:eastAsia="en-US"/>
              </w:rPr>
            </w:pPr>
            <w:r w:rsidRPr="00C0030A">
              <w:rPr>
                <w:lang w:val="en-US" w:eastAsia="en-US"/>
              </w:rPr>
              <w:t>144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646833E" w14:textId="77777777" w:rsidR="00C0030A" w:rsidRPr="00C0030A" w:rsidRDefault="00C0030A" w:rsidP="00C0030A">
            <w:pPr>
              <w:pStyle w:val="tabletext"/>
              <w:rPr>
                <w:lang w:val="en-US" w:eastAsia="en-US"/>
              </w:rPr>
            </w:pPr>
            <w:r w:rsidRPr="00C0030A">
              <w:rPr>
                <w:lang w:val="en-US" w:eastAsia="en-US"/>
              </w:rPr>
              <w:t>Subsection 601EB(3)</w:t>
            </w:r>
          </w:p>
        </w:tc>
      </w:tr>
      <w:tr w:rsidR="00C0030A" w:rsidRPr="00C0030A" w14:paraId="62C2D54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BDA810" w14:textId="77777777" w:rsidR="00C0030A" w:rsidRPr="00C0030A" w:rsidRDefault="00C0030A" w:rsidP="00C0030A">
            <w:pPr>
              <w:pStyle w:val="tabletext"/>
              <w:rPr>
                <w:lang w:val="en-US" w:eastAsia="en-US"/>
              </w:rPr>
            </w:pPr>
            <w:r w:rsidRPr="00C0030A">
              <w:rPr>
                <w:lang w:val="en-US" w:eastAsia="en-US"/>
              </w:rPr>
              <w:t>145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9E574E9" w14:textId="77777777" w:rsidR="00C0030A" w:rsidRPr="00C0030A" w:rsidRDefault="00C0030A" w:rsidP="00C0030A">
            <w:pPr>
              <w:pStyle w:val="tabletext"/>
              <w:rPr>
                <w:lang w:val="en-US" w:eastAsia="en-US"/>
              </w:rPr>
            </w:pPr>
            <w:r w:rsidRPr="00C0030A">
              <w:rPr>
                <w:lang w:val="en-US" w:eastAsia="en-US"/>
              </w:rPr>
              <w:t>Section 601EC (heading)</w:t>
            </w:r>
          </w:p>
        </w:tc>
      </w:tr>
      <w:tr w:rsidR="00C0030A" w:rsidRPr="00C0030A" w14:paraId="2B80721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77DCFD3" w14:textId="77777777" w:rsidR="00C0030A" w:rsidRPr="00C0030A" w:rsidRDefault="00C0030A" w:rsidP="00C0030A">
            <w:pPr>
              <w:pStyle w:val="tabletext"/>
              <w:rPr>
                <w:lang w:val="en-US" w:eastAsia="en-US"/>
              </w:rPr>
            </w:pPr>
            <w:r w:rsidRPr="00C0030A">
              <w:rPr>
                <w:lang w:val="en-US" w:eastAsia="en-US"/>
              </w:rPr>
              <w:t>146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09ABE39" w14:textId="77777777" w:rsidR="00C0030A" w:rsidRPr="00C0030A" w:rsidRDefault="00C0030A" w:rsidP="00C0030A">
            <w:pPr>
              <w:pStyle w:val="tabletext"/>
              <w:rPr>
                <w:lang w:val="en-US" w:eastAsia="en-US"/>
              </w:rPr>
            </w:pPr>
            <w:r w:rsidRPr="00C0030A">
              <w:rPr>
                <w:lang w:val="en-US" w:eastAsia="en-US"/>
              </w:rPr>
              <w:t>Section 601EC</w:t>
            </w:r>
          </w:p>
        </w:tc>
      </w:tr>
      <w:tr w:rsidR="00C0030A" w:rsidRPr="00C0030A" w14:paraId="316C54D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9A6A177" w14:textId="77777777" w:rsidR="00C0030A" w:rsidRPr="00C0030A" w:rsidRDefault="00C0030A" w:rsidP="00C0030A">
            <w:pPr>
              <w:pStyle w:val="tabletext"/>
              <w:rPr>
                <w:lang w:val="en-US" w:eastAsia="en-US"/>
              </w:rPr>
            </w:pPr>
            <w:r w:rsidRPr="00C0030A">
              <w:rPr>
                <w:lang w:val="en-US" w:eastAsia="en-US"/>
              </w:rPr>
              <w:t>147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88D57C2" w14:textId="77777777" w:rsidR="00C0030A" w:rsidRPr="00C0030A" w:rsidRDefault="00C0030A" w:rsidP="00C0030A">
            <w:pPr>
              <w:pStyle w:val="tabletext"/>
              <w:rPr>
                <w:lang w:val="en-US" w:eastAsia="en-US"/>
              </w:rPr>
            </w:pPr>
            <w:r w:rsidRPr="00C0030A">
              <w:rPr>
                <w:lang w:val="en-US" w:eastAsia="en-US"/>
              </w:rPr>
              <w:t>Section 601FJ (heading)</w:t>
            </w:r>
          </w:p>
        </w:tc>
      </w:tr>
      <w:tr w:rsidR="00C0030A" w:rsidRPr="00C0030A" w14:paraId="3BDAFF8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3FE9744" w14:textId="77777777" w:rsidR="00C0030A" w:rsidRPr="00C0030A" w:rsidRDefault="00C0030A" w:rsidP="00C0030A">
            <w:pPr>
              <w:pStyle w:val="tabletext"/>
              <w:rPr>
                <w:lang w:val="en-US" w:eastAsia="en-US"/>
              </w:rPr>
            </w:pPr>
            <w:r w:rsidRPr="00C0030A">
              <w:rPr>
                <w:lang w:val="en-US" w:eastAsia="en-US"/>
              </w:rPr>
              <w:t>148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8FDCE29" w14:textId="77777777" w:rsidR="00C0030A" w:rsidRPr="00C0030A" w:rsidRDefault="00C0030A" w:rsidP="00C0030A">
            <w:pPr>
              <w:pStyle w:val="tabletext"/>
              <w:rPr>
                <w:lang w:val="en-US" w:eastAsia="en-US"/>
              </w:rPr>
            </w:pPr>
            <w:r w:rsidRPr="00C0030A">
              <w:rPr>
                <w:lang w:val="en-US" w:eastAsia="en-US"/>
              </w:rPr>
              <w:t>Subsection 601FJ(1)</w:t>
            </w:r>
          </w:p>
        </w:tc>
      </w:tr>
      <w:tr w:rsidR="00C0030A" w:rsidRPr="00C0030A" w14:paraId="79D1270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B89581F" w14:textId="77777777" w:rsidR="00C0030A" w:rsidRPr="00C0030A" w:rsidRDefault="00C0030A" w:rsidP="00C0030A">
            <w:pPr>
              <w:pStyle w:val="tabletext"/>
              <w:rPr>
                <w:lang w:val="en-US" w:eastAsia="en-US"/>
              </w:rPr>
            </w:pPr>
            <w:r w:rsidRPr="00C0030A">
              <w:rPr>
                <w:lang w:val="en-US" w:eastAsia="en-US"/>
              </w:rPr>
              <w:t>149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06900D" w14:textId="77777777" w:rsidR="00C0030A" w:rsidRPr="00C0030A" w:rsidRDefault="00C0030A" w:rsidP="00C0030A">
            <w:pPr>
              <w:pStyle w:val="tabletext"/>
              <w:rPr>
                <w:lang w:val="en-US" w:eastAsia="en-US"/>
              </w:rPr>
            </w:pPr>
            <w:r w:rsidRPr="00C0030A">
              <w:rPr>
                <w:lang w:val="en-US" w:eastAsia="en-US"/>
              </w:rPr>
              <w:t>Paragraphs 601FL(2)(a) and (c)</w:t>
            </w:r>
          </w:p>
        </w:tc>
      </w:tr>
      <w:tr w:rsidR="00C0030A" w:rsidRPr="00C0030A" w14:paraId="2DFF26C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7D3FFE0" w14:textId="77777777" w:rsidR="00C0030A" w:rsidRPr="00C0030A" w:rsidRDefault="00C0030A" w:rsidP="00C0030A">
            <w:pPr>
              <w:pStyle w:val="tabletext"/>
              <w:rPr>
                <w:lang w:val="en-US" w:eastAsia="en-US"/>
              </w:rPr>
            </w:pPr>
            <w:r w:rsidRPr="00C0030A">
              <w:rPr>
                <w:lang w:val="en-US" w:eastAsia="en-US"/>
              </w:rPr>
              <w:t>151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B0C32A1" w14:textId="77777777" w:rsidR="00C0030A" w:rsidRPr="00C0030A" w:rsidRDefault="00C0030A" w:rsidP="00C0030A">
            <w:pPr>
              <w:pStyle w:val="tabletext"/>
              <w:rPr>
                <w:lang w:val="en-US" w:eastAsia="en-US"/>
              </w:rPr>
            </w:pPr>
            <w:r w:rsidRPr="00C0030A">
              <w:rPr>
                <w:lang w:val="en-US" w:eastAsia="en-US"/>
              </w:rPr>
              <w:t>Paragraphs 601FM(2)(a) and (c)</w:t>
            </w:r>
          </w:p>
        </w:tc>
      </w:tr>
      <w:tr w:rsidR="00C0030A" w:rsidRPr="00C0030A" w14:paraId="5E9CE7E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08057EC" w14:textId="77777777" w:rsidR="00C0030A" w:rsidRPr="00C0030A" w:rsidRDefault="00C0030A" w:rsidP="00C0030A">
            <w:pPr>
              <w:pStyle w:val="tabletext"/>
              <w:rPr>
                <w:lang w:val="en-US" w:eastAsia="en-US"/>
              </w:rPr>
            </w:pPr>
            <w:r w:rsidRPr="00C0030A">
              <w:rPr>
                <w:lang w:val="en-US" w:eastAsia="en-US"/>
              </w:rPr>
              <w:t>153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6B9BD38" w14:textId="77777777" w:rsidR="00C0030A" w:rsidRPr="00C0030A" w:rsidRDefault="00C0030A" w:rsidP="00C0030A">
            <w:pPr>
              <w:pStyle w:val="tabletext"/>
              <w:rPr>
                <w:lang w:val="en-US" w:eastAsia="en-US"/>
              </w:rPr>
            </w:pPr>
            <w:r w:rsidRPr="00C0030A">
              <w:rPr>
                <w:lang w:val="en-US" w:eastAsia="en-US"/>
              </w:rPr>
              <w:t>Subsections 601FP(3)</w:t>
            </w:r>
          </w:p>
        </w:tc>
      </w:tr>
      <w:tr w:rsidR="00C0030A" w:rsidRPr="00C0030A" w14:paraId="2492998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7A8674" w14:textId="77777777" w:rsidR="00C0030A" w:rsidRPr="00C0030A" w:rsidRDefault="00C0030A" w:rsidP="00C0030A">
            <w:pPr>
              <w:pStyle w:val="tabletext"/>
              <w:rPr>
                <w:lang w:val="en-US" w:eastAsia="en-US"/>
              </w:rPr>
            </w:pPr>
            <w:r w:rsidRPr="00C0030A">
              <w:rPr>
                <w:lang w:val="en-US" w:eastAsia="en-US"/>
              </w:rPr>
              <w:t>155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B84E6AF" w14:textId="77777777" w:rsidR="00C0030A" w:rsidRPr="00C0030A" w:rsidRDefault="00C0030A" w:rsidP="00C0030A">
            <w:pPr>
              <w:pStyle w:val="tabletext"/>
              <w:rPr>
                <w:lang w:val="en-US" w:eastAsia="en-US"/>
              </w:rPr>
            </w:pPr>
            <w:r w:rsidRPr="00C0030A">
              <w:rPr>
                <w:lang w:val="en-US" w:eastAsia="en-US"/>
              </w:rPr>
              <w:t>Subsection 601FP(4)</w:t>
            </w:r>
          </w:p>
        </w:tc>
      </w:tr>
      <w:tr w:rsidR="00C0030A" w:rsidRPr="00C0030A" w14:paraId="43364D6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7195EC3" w14:textId="77777777" w:rsidR="00C0030A" w:rsidRPr="00C0030A" w:rsidRDefault="00C0030A" w:rsidP="00C0030A">
            <w:pPr>
              <w:pStyle w:val="tabletext"/>
              <w:rPr>
                <w:lang w:val="en-US" w:eastAsia="en-US"/>
              </w:rPr>
            </w:pPr>
            <w:r w:rsidRPr="00C0030A">
              <w:rPr>
                <w:lang w:val="en-US" w:eastAsia="en-US"/>
              </w:rPr>
              <w:t>156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551C95" w14:textId="77777777" w:rsidR="00C0030A" w:rsidRPr="00C0030A" w:rsidRDefault="00C0030A" w:rsidP="00C0030A">
            <w:pPr>
              <w:pStyle w:val="tabletext"/>
              <w:rPr>
                <w:lang w:val="en-US" w:eastAsia="en-US"/>
              </w:rPr>
            </w:pPr>
            <w:r w:rsidRPr="00C0030A">
              <w:rPr>
                <w:lang w:val="en-US" w:eastAsia="en-US"/>
              </w:rPr>
              <w:t>Subsection 601FQ(4)</w:t>
            </w:r>
          </w:p>
        </w:tc>
      </w:tr>
      <w:tr w:rsidR="00C0030A" w:rsidRPr="00C0030A" w14:paraId="39DA1B6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543667F" w14:textId="77777777" w:rsidR="00C0030A" w:rsidRPr="00C0030A" w:rsidRDefault="00C0030A" w:rsidP="00C0030A">
            <w:pPr>
              <w:pStyle w:val="tabletext"/>
              <w:rPr>
                <w:lang w:val="en-US" w:eastAsia="en-US"/>
              </w:rPr>
            </w:pPr>
            <w:r w:rsidRPr="00C0030A">
              <w:rPr>
                <w:lang w:val="en-US" w:eastAsia="en-US"/>
              </w:rPr>
              <w:t>157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BFCAF6" w14:textId="77777777" w:rsidR="00C0030A" w:rsidRPr="00C0030A" w:rsidRDefault="00C0030A" w:rsidP="00C0030A">
            <w:pPr>
              <w:pStyle w:val="tabletext"/>
              <w:rPr>
                <w:lang w:val="en-US" w:eastAsia="en-US"/>
              </w:rPr>
            </w:pPr>
            <w:r w:rsidRPr="00C0030A">
              <w:rPr>
                <w:lang w:val="en-US" w:eastAsia="en-US"/>
              </w:rPr>
              <w:t>Subsection 601FQ(4)</w:t>
            </w:r>
          </w:p>
        </w:tc>
      </w:tr>
      <w:tr w:rsidR="00C0030A" w:rsidRPr="00C0030A" w14:paraId="7D75378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59342C" w14:textId="77777777" w:rsidR="00C0030A" w:rsidRPr="00C0030A" w:rsidRDefault="00C0030A" w:rsidP="00C0030A">
            <w:pPr>
              <w:pStyle w:val="tabletext"/>
              <w:rPr>
                <w:lang w:val="en-US" w:eastAsia="en-US"/>
              </w:rPr>
            </w:pPr>
            <w:r w:rsidRPr="00C0030A">
              <w:rPr>
                <w:lang w:val="en-US" w:eastAsia="en-US"/>
              </w:rPr>
              <w:t>159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337752" w14:textId="77777777" w:rsidR="00C0030A" w:rsidRPr="00C0030A" w:rsidRDefault="00C0030A" w:rsidP="00C0030A">
            <w:pPr>
              <w:pStyle w:val="tabletext"/>
              <w:rPr>
                <w:lang w:val="en-US" w:eastAsia="en-US"/>
              </w:rPr>
            </w:pPr>
            <w:r w:rsidRPr="00C0030A">
              <w:rPr>
                <w:lang w:val="en-US" w:eastAsia="en-US"/>
              </w:rPr>
              <w:t>Subsection 601GC(2)</w:t>
            </w:r>
          </w:p>
        </w:tc>
      </w:tr>
      <w:tr w:rsidR="00C0030A" w:rsidRPr="00C0030A" w14:paraId="4C7D52E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4DF9BAC" w14:textId="77777777" w:rsidR="00C0030A" w:rsidRPr="00C0030A" w:rsidRDefault="00C0030A" w:rsidP="00C0030A">
            <w:pPr>
              <w:pStyle w:val="tabletext"/>
              <w:rPr>
                <w:lang w:val="en-US" w:eastAsia="en-US"/>
              </w:rPr>
            </w:pPr>
            <w:r w:rsidRPr="00C0030A">
              <w:rPr>
                <w:lang w:val="en-US" w:eastAsia="en-US"/>
              </w:rPr>
              <w:t>161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163CB5B" w14:textId="77777777" w:rsidR="00C0030A" w:rsidRPr="00C0030A" w:rsidRDefault="00C0030A" w:rsidP="00C0030A">
            <w:pPr>
              <w:pStyle w:val="tabletext"/>
              <w:rPr>
                <w:lang w:val="en-US" w:eastAsia="en-US"/>
              </w:rPr>
            </w:pPr>
            <w:r w:rsidRPr="00C0030A">
              <w:rPr>
                <w:lang w:val="en-US" w:eastAsia="en-US"/>
              </w:rPr>
              <w:t>After subsection 601GC(3)</w:t>
            </w:r>
          </w:p>
        </w:tc>
      </w:tr>
      <w:tr w:rsidR="00C0030A" w:rsidRPr="00C0030A" w14:paraId="4681455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EE23085" w14:textId="77777777" w:rsidR="00C0030A" w:rsidRPr="00C0030A" w:rsidRDefault="00C0030A" w:rsidP="00C0030A">
            <w:pPr>
              <w:pStyle w:val="tabletext"/>
              <w:rPr>
                <w:lang w:val="en-US" w:eastAsia="en-US"/>
              </w:rPr>
            </w:pPr>
            <w:r w:rsidRPr="00C0030A">
              <w:rPr>
                <w:lang w:val="en-US" w:eastAsia="en-US"/>
              </w:rPr>
              <w:t>162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66C5EE5" w14:textId="77777777" w:rsidR="00C0030A" w:rsidRPr="00C0030A" w:rsidRDefault="00C0030A" w:rsidP="00C0030A">
            <w:pPr>
              <w:pStyle w:val="tabletext"/>
              <w:rPr>
                <w:lang w:val="en-US" w:eastAsia="en-US"/>
              </w:rPr>
            </w:pPr>
            <w:r w:rsidRPr="00C0030A">
              <w:rPr>
                <w:lang w:val="en-US" w:eastAsia="en-US"/>
              </w:rPr>
              <w:t>Subsection 601HE(3)</w:t>
            </w:r>
          </w:p>
        </w:tc>
      </w:tr>
      <w:tr w:rsidR="00C0030A" w:rsidRPr="00C0030A" w14:paraId="6519311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84E05C0" w14:textId="77777777" w:rsidR="00C0030A" w:rsidRPr="00C0030A" w:rsidRDefault="00C0030A" w:rsidP="00C0030A">
            <w:pPr>
              <w:pStyle w:val="tabletext"/>
              <w:rPr>
                <w:lang w:val="en-US" w:eastAsia="en-US"/>
              </w:rPr>
            </w:pPr>
            <w:r w:rsidRPr="00C0030A">
              <w:rPr>
                <w:lang w:val="en-US" w:eastAsia="en-US"/>
              </w:rPr>
              <w:t>164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43F8D37" w14:textId="77777777" w:rsidR="00C0030A" w:rsidRPr="00C0030A" w:rsidRDefault="00C0030A" w:rsidP="00C0030A">
            <w:pPr>
              <w:pStyle w:val="tabletext"/>
              <w:rPr>
                <w:lang w:val="en-US" w:eastAsia="en-US"/>
              </w:rPr>
            </w:pPr>
            <w:r w:rsidRPr="00C0030A">
              <w:rPr>
                <w:lang w:val="en-US" w:eastAsia="en-US"/>
              </w:rPr>
              <w:t>Subsection 601HF(1)</w:t>
            </w:r>
          </w:p>
        </w:tc>
      </w:tr>
      <w:tr w:rsidR="00C0030A" w:rsidRPr="00C0030A" w14:paraId="18CD59E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27E70AB" w14:textId="77777777" w:rsidR="00C0030A" w:rsidRPr="00C0030A" w:rsidRDefault="00C0030A" w:rsidP="00C0030A">
            <w:pPr>
              <w:pStyle w:val="tabletext"/>
              <w:rPr>
                <w:lang w:val="en-US" w:eastAsia="en-US"/>
              </w:rPr>
            </w:pPr>
            <w:r w:rsidRPr="00C0030A">
              <w:rPr>
                <w:lang w:val="en-US" w:eastAsia="en-US"/>
              </w:rPr>
              <w:t>166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7B51402" w14:textId="77777777" w:rsidR="00C0030A" w:rsidRPr="00C0030A" w:rsidRDefault="00C0030A" w:rsidP="00C0030A">
            <w:pPr>
              <w:pStyle w:val="tabletext"/>
              <w:rPr>
                <w:lang w:val="en-US" w:eastAsia="en-US"/>
              </w:rPr>
            </w:pPr>
            <w:r w:rsidRPr="00C0030A">
              <w:rPr>
                <w:lang w:val="en-US" w:eastAsia="en-US"/>
              </w:rPr>
              <w:t>Subsection 601HG(7)</w:t>
            </w:r>
          </w:p>
        </w:tc>
      </w:tr>
      <w:tr w:rsidR="00C0030A" w:rsidRPr="00C0030A" w14:paraId="12C70B6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8FFEB10" w14:textId="77777777" w:rsidR="00C0030A" w:rsidRPr="00C0030A" w:rsidRDefault="00C0030A" w:rsidP="00C0030A">
            <w:pPr>
              <w:pStyle w:val="tabletext"/>
              <w:rPr>
                <w:lang w:val="en-US" w:eastAsia="en-US"/>
              </w:rPr>
            </w:pPr>
            <w:r w:rsidRPr="00C0030A">
              <w:rPr>
                <w:lang w:val="en-US" w:eastAsia="en-US"/>
              </w:rPr>
              <w:t>168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CE971FF" w14:textId="77777777" w:rsidR="00C0030A" w:rsidRPr="00C0030A" w:rsidRDefault="00C0030A" w:rsidP="00C0030A">
            <w:pPr>
              <w:pStyle w:val="tabletext"/>
              <w:rPr>
                <w:lang w:val="en-US" w:eastAsia="en-US"/>
              </w:rPr>
            </w:pPr>
            <w:r w:rsidRPr="00C0030A">
              <w:rPr>
                <w:lang w:val="en-US" w:eastAsia="en-US"/>
              </w:rPr>
              <w:t>Section 601HI</w:t>
            </w:r>
          </w:p>
        </w:tc>
      </w:tr>
      <w:tr w:rsidR="00C0030A" w:rsidRPr="00C0030A" w14:paraId="2BCE9E1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90DE228" w14:textId="77777777" w:rsidR="00C0030A" w:rsidRPr="00C0030A" w:rsidRDefault="00C0030A" w:rsidP="00C0030A">
            <w:pPr>
              <w:pStyle w:val="tabletext"/>
              <w:rPr>
                <w:lang w:val="en-US" w:eastAsia="en-US"/>
              </w:rPr>
            </w:pPr>
            <w:r w:rsidRPr="00C0030A">
              <w:rPr>
                <w:lang w:val="en-US" w:eastAsia="en-US"/>
              </w:rPr>
              <w:t>169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4AA1404" w14:textId="77777777" w:rsidR="00C0030A" w:rsidRPr="00C0030A" w:rsidRDefault="00C0030A" w:rsidP="00C0030A">
            <w:pPr>
              <w:pStyle w:val="tabletext"/>
              <w:rPr>
                <w:lang w:val="en-US" w:eastAsia="en-US"/>
              </w:rPr>
            </w:pPr>
            <w:r w:rsidRPr="00C0030A">
              <w:rPr>
                <w:lang w:val="en-US" w:eastAsia="en-US"/>
              </w:rPr>
              <w:t>Section 601HI</w:t>
            </w:r>
          </w:p>
        </w:tc>
      </w:tr>
      <w:tr w:rsidR="00C0030A" w:rsidRPr="00C0030A" w14:paraId="731123E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094B55F" w14:textId="77777777" w:rsidR="00C0030A" w:rsidRPr="00C0030A" w:rsidRDefault="00C0030A" w:rsidP="00C0030A">
            <w:pPr>
              <w:pStyle w:val="tabletext"/>
              <w:rPr>
                <w:lang w:val="en-US" w:eastAsia="en-US"/>
              </w:rPr>
            </w:pPr>
            <w:r w:rsidRPr="00C0030A">
              <w:rPr>
                <w:lang w:val="en-US" w:eastAsia="en-US"/>
              </w:rPr>
              <w:t>170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3FEDA7F" w14:textId="77777777" w:rsidR="00C0030A" w:rsidRPr="00C0030A" w:rsidRDefault="00C0030A" w:rsidP="00C0030A">
            <w:pPr>
              <w:pStyle w:val="tabletext"/>
              <w:rPr>
                <w:lang w:val="en-US" w:eastAsia="en-US"/>
              </w:rPr>
            </w:pPr>
            <w:r w:rsidRPr="00C0030A">
              <w:rPr>
                <w:lang w:val="en-US" w:eastAsia="en-US"/>
              </w:rPr>
              <w:t>Section 601HI</w:t>
            </w:r>
          </w:p>
        </w:tc>
      </w:tr>
      <w:tr w:rsidR="00C0030A" w:rsidRPr="00C0030A" w14:paraId="5AAD8A9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39C73F1" w14:textId="77777777" w:rsidR="00C0030A" w:rsidRPr="00C0030A" w:rsidRDefault="00C0030A" w:rsidP="00C0030A">
            <w:pPr>
              <w:pStyle w:val="tabletext"/>
              <w:rPr>
                <w:lang w:val="en-US" w:eastAsia="en-US"/>
              </w:rPr>
            </w:pPr>
            <w:r w:rsidRPr="00C0030A">
              <w:rPr>
                <w:lang w:val="en-US" w:eastAsia="en-US"/>
              </w:rPr>
              <w:t>171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418E8F3" w14:textId="77777777" w:rsidR="00C0030A" w:rsidRPr="00C0030A" w:rsidRDefault="00C0030A" w:rsidP="00C0030A">
            <w:pPr>
              <w:pStyle w:val="tabletext"/>
              <w:rPr>
                <w:lang w:val="en-US" w:eastAsia="en-US"/>
              </w:rPr>
            </w:pPr>
            <w:r w:rsidRPr="00C0030A">
              <w:rPr>
                <w:lang w:val="en-US" w:eastAsia="en-US"/>
              </w:rPr>
              <w:t>Section 601HI</w:t>
            </w:r>
          </w:p>
        </w:tc>
      </w:tr>
      <w:tr w:rsidR="00C0030A" w:rsidRPr="00C0030A" w14:paraId="53CC242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ABAF28" w14:textId="77777777" w:rsidR="00C0030A" w:rsidRPr="00C0030A" w:rsidRDefault="00C0030A" w:rsidP="00C0030A">
            <w:pPr>
              <w:pStyle w:val="tabletext"/>
              <w:rPr>
                <w:lang w:val="en-US" w:eastAsia="en-US"/>
              </w:rPr>
            </w:pPr>
            <w:r w:rsidRPr="00C0030A">
              <w:rPr>
                <w:lang w:val="en-US" w:eastAsia="en-US"/>
              </w:rPr>
              <w:t>173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B6B709E" w14:textId="77777777" w:rsidR="00C0030A" w:rsidRPr="00C0030A" w:rsidRDefault="00C0030A" w:rsidP="00C0030A">
            <w:pPr>
              <w:pStyle w:val="tabletext"/>
              <w:rPr>
                <w:lang w:val="en-US" w:eastAsia="en-US"/>
              </w:rPr>
            </w:pPr>
            <w:r w:rsidRPr="00C0030A">
              <w:rPr>
                <w:lang w:val="en-US" w:eastAsia="en-US"/>
              </w:rPr>
              <w:t>Subsection 601KB(5)</w:t>
            </w:r>
          </w:p>
        </w:tc>
      </w:tr>
      <w:tr w:rsidR="00C0030A" w:rsidRPr="00C0030A" w14:paraId="1E95141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992F1CF" w14:textId="77777777" w:rsidR="00C0030A" w:rsidRPr="00C0030A" w:rsidRDefault="00C0030A" w:rsidP="00C0030A">
            <w:pPr>
              <w:pStyle w:val="tabletext"/>
              <w:rPr>
                <w:lang w:val="en-US" w:eastAsia="en-US"/>
              </w:rPr>
            </w:pPr>
            <w:r w:rsidRPr="00C0030A">
              <w:rPr>
                <w:lang w:val="en-US" w:eastAsia="en-US"/>
              </w:rPr>
              <w:t>174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5537AA5" w14:textId="77777777" w:rsidR="00C0030A" w:rsidRPr="00C0030A" w:rsidRDefault="00C0030A" w:rsidP="00C0030A">
            <w:pPr>
              <w:pStyle w:val="tabletext"/>
              <w:rPr>
                <w:lang w:val="en-US" w:eastAsia="en-US"/>
              </w:rPr>
            </w:pPr>
            <w:r w:rsidRPr="00C0030A">
              <w:rPr>
                <w:lang w:val="en-US" w:eastAsia="en-US"/>
              </w:rPr>
              <w:t>Subsection 601KE(3)</w:t>
            </w:r>
          </w:p>
        </w:tc>
      </w:tr>
      <w:tr w:rsidR="00C0030A" w:rsidRPr="00C0030A" w14:paraId="6AF1FFB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8306B7A" w14:textId="77777777" w:rsidR="00C0030A" w:rsidRPr="00C0030A" w:rsidRDefault="00C0030A" w:rsidP="00C0030A">
            <w:pPr>
              <w:pStyle w:val="tabletext"/>
              <w:rPr>
                <w:lang w:val="en-US" w:eastAsia="en-US"/>
              </w:rPr>
            </w:pPr>
            <w:r w:rsidRPr="00C0030A">
              <w:rPr>
                <w:lang w:val="en-US" w:eastAsia="en-US"/>
              </w:rPr>
              <w:t>175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4981F34" w14:textId="77777777" w:rsidR="00C0030A" w:rsidRPr="00C0030A" w:rsidRDefault="00C0030A" w:rsidP="00C0030A">
            <w:pPr>
              <w:pStyle w:val="tabletext"/>
              <w:rPr>
                <w:lang w:val="en-US" w:eastAsia="en-US"/>
              </w:rPr>
            </w:pPr>
            <w:r w:rsidRPr="00C0030A">
              <w:rPr>
                <w:lang w:val="en-US" w:eastAsia="en-US"/>
              </w:rPr>
              <w:t>Subsection 601NC(2)</w:t>
            </w:r>
          </w:p>
        </w:tc>
      </w:tr>
      <w:tr w:rsidR="00C0030A" w:rsidRPr="00C0030A" w14:paraId="4C761B2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0EB9938" w14:textId="77777777" w:rsidR="00C0030A" w:rsidRPr="00C0030A" w:rsidRDefault="00C0030A" w:rsidP="00C0030A">
            <w:pPr>
              <w:pStyle w:val="tabletext"/>
              <w:rPr>
                <w:lang w:val="en-US" w:eastAsia="en-US"/>
              </w:rPr>
            </w:pPr>
            <w:r w:rsidRPr="00C0030A">
              <w:rPr>
                <w:lang w:val="en-US" w:eastAsia="en-US"/>
              </w:rPr>
              <w:t>177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961EAB6" w14:textId="77777777" w:rsidR="00C0030A" w:rsidRPr="00C0030A" w:rsidRDefault="00C0030A" w:rsidP="00C0030A">
            <w:pPr>
              <w:pStyle w:val="tabletext"/>
              <w:rPr>
                <w:lang w:val="en-US" w:eastAsia="en-US"/>
              </w:rPr>
            </w:pPr>
            <w:r w:rsidRPr="00C0030A">
              <w:rPr>
                <w:lang w:val="en-US" w:eastAsia="en-US"/>
              </w:rPr>
              <w:t>Subsection 601PA(3)</w:t>
            </w:r>
          </w:p>
        </w:tc>
      </w:tr>
      <w:tr w:rsidR="00C0030A" w:rsidRPr="00C0030A" w14:paraId="6BD1CAE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9FBF171" w14:textId="77777777" w:rsidR="00C0030A" w:rsidRPr="00C0030A" w:rsidRDefault="00C0030A" w:rsidP="00C0030A">
            <w:pPr>
              <w:pStyle w:val="tabletext"/>
              <w:rPr>
                <w:lang w:val="en-US" w:eastAsia="en-US"/>
              </w:rPr>
            </w:pPr>
            <w:r w:rsidRPr="00C0030A">
              <w:rPr>
                <w:lang w:val="en-US" w:eastAsia="en-US"/>
              </w:rPr>
              <w:t>178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16A7331" w14:textId="77777777" w:rsidR="00C0030A" w:rsidRPr="00C0030A" w:rsidRDefault="00C0030A" w:rsidP="00C0030A">
            <w:pPr>
              <w:pStyle w:val="tabletext"/>
              <w:rPr>
                <w:lang w:val="en-US" w:eastAsia="en-US"/>
              </w:rPr>
            </w:pPr>
            <w:r w:rsidRPr="00C0030A">
              <w:rPr>
                <w:lang w:val="en-US" w:eastAsia="en-US"/>
              </w:rPr>
              <w:t>After subsection 601PA(3)</w:t>
            </w:r>
          </w:p>
        </w:tc>
      </w:tr>
      <w:tr w:rsidR="00C0030A" w:rsidRPr="00C0030A" w14:paraId="4096C73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A630C23" w14:textId="77777777" w:rsidR="00C0030A" w:rsidRPr="00C0030A" w:rsidRDefault="00C0030A" w:rsidP="00C0030A">
            <w:pPr>
              <w:pStyle w:val="tabletext"/>
              <w:rPr>
                <w:lang w:val="en-US" w:eastAsia="en-US"/>
              </w:rPr>
            </w:pPr>
            <w:r w:rsidRPr="00C0030A">
              <w:rPr>
                <w:lang w:val="en-US" w:eastAsia="en-US"/>
              </w:rPr>
              <w:t>179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4D593DF" w14:textId="77777777" w:rsidR="00C0030A" w:rsidRPr="00C0030A" w:rsidRDefault="00C0030A" w:rsidP="00C0030A">
            <w:pPr>
              <w:pStyle w:val="tabletext"/>
              <w:rPr>
                <w:lang w:val="en-US" w:eastAsia="en-US"/>
              </w:rPr>
            </w:pPr>
            <w:r w:rsidRPr="00C0030A">
              <w:rPr>
                <w:lang w:val="en-US" w:eastAsia="en-US"/>
              </w:rPr>
              <w:t>Subparagraph 601PB(1)(e)(ii)</w:t>
            </w:r>
          </w:p>
        </w:tc>
      </w:tr>
      <w:tr w:rsidR="00C0030A" w:rsidRPr="00C0030A" w14:paraId="5FDD40D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364CCA9" w14:textId="77777777" w:rsidR="00C0030A" w:rsidRPr="00C0030A" w:rsidRDefault="00C0030A" w:rsidP="00C0030A">
            <w:pPr>
              <w:pStyle w:val="tabletext"/>
              <w:rPr>
                <w:lang w:val="en-US" w:eastAsia="en-US"/>
              </w:rPr>
            </w:pPr>
            <w:r w:rsidRPr="00C0030A">
              <w:rPr>
                <w:lang w:val="en-US" w:eastAsia="en-US"/>
              </w:rPr>
              <w:t>180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D0C6720" w14:textId="77777777" w:rsidR="00C0030A" w:rsidRPr="00C0030A" w:rsidRDefault="00C0030A" w:rsidP="00C0030A">
            <w:pPr>
              <w:pStyle w:val="tabletext"/>
              <w:rPr>
                <w:lang w:val="en-US" w:eastAsia="en-US"/>
              </w:rPr>
            </w:pPr>
            <w:r w:rsidRPr="00C0030A">
              <w:rPr>
                <w:lang w:val="en-US" w:eastAsia="en-US"/>
              </w:rPr>
              <w:t>Paragraph 601PB(2)(c)</w:t>
            </w:r>
          </w:p>
        </w:tc>
      </w:tr>
      <w:tr w:rsidR="00C0030A" w:rsidRPr="00C0030A" w14:paraId="514952C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60E636F" w14:textId="77777777" w:rsidR="00C0030A" w:rsidRPr="00C0030A" w:rsidRDefault="00C0030A" w:rsidP="00C0030A">
            <w:pPr>
              <w:pStyle w:val="tabletext"/>
              <w:rPr>
                <w:lang w:val="en-US" w:eastAsia="en-US"/>
              </w:rPr>
            </w:pPr>
            <w:r w:rsidRPr="00C0030A">
              <w:rPr>
                <w:lang w:val="en-US" w:eastAsia="en-US"/>
              </w:rPr>
              <w:t>181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1096A8C" w14:textId="77777777" w:rsidR="00C0030A" w:rsidRPr="00C0030A" w:rsidRDefault="00C0030A" w:rsidP="00C0030A">
            <w:pPr>
              <w:pStyle w:val="tabletext"/>
              <w:rPr>
                <w:lang w:val="en-US" w:eastAsia="en-US"/>
              </w:rPr>
            </w:pPr>
            <w:r w:rsidRPr="00C0030A">
              <w:rPr>
                <w:lang w:val="en-US" w:eastAsia="en-US"/>
              </w:rPr>
              <w:t>After subsection 601PB(2)</w:t>
            </w:r>
          </w:p>
        </w:tc>
      </w:tr>
      <w:tr w:rsidR="00C0030A" w:rsidRPr="00C0030A" w14:paraId="66607A8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4FA696E" w14:textId="77777777" w:rsidR="00C0030A" w:rsidRPr="00C0030A" w:rsidRDefault="00C0030A" w:rsidP="00C0030A">
            <w:pPr>
              <w:pStyle w:val="tabletext"/>
              <w:rPr>
                <w:lang w:val="en-US" w:eastAsia="en-US"/>
              </w:rPr>
            </w:pPr>
            <w:r w:rsidRPr="00C0030A">
              <w:rPr>
                <w:lang w:val="en-US" w:eastAsia="en-US"/>
              </w:rPr>
              <w:t>182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5AB441B" w14:textId="77777777" w:rsidR="00C0030A" w:rsidRPr="00C0030A" w:rsidRDefault="00C0030A" w:rsidP="00C0030A">
            <w:pPr>
              <w:pStyle w:val="tabletext"/>
              <w:rPr>
                <w:lang w:val="en-US" w:eastAsia="en-US"/>
              </w:rPr>
            </w:pPr>
            <w:r w:rsidRPr="00C0030A">
              <w:rPr>
                <w:lang w:val="en-US" w:eastAsia="en-US"/>
              </w:rPr>
              <w:t>Paragraph 630(5)(c)</w:t>
            </w:r>
          </w:p>
        </w:tc>
      </w:tr>
      <w:tr w:rsidR="00C0030A" w:rsidRPr="00C0030A" w14:paraId="6135E7B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E4A5CA6" w14:textId="77777777" w:rsidR="00C0030A" w:rsidRPr="00C0030A" w:rsidRDefault="00C0030A" w:rsidP="00C0030A">
            <w:pPr>
              <w:pStyle w:val="tabletext"/>
              <w:rPr>
                <w:lang w:val="en-US" w:eastAsia="en-US"/>
              </w:rPr>
            </w:pPr>
            <w:r w:rsidRPr="00C0030A">
              <w:rPr>
                <w:lang w:val="en-US" w:eastAsia="en-US"/>
              </w:rPr>
              <w:t>184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5D11596" w14:textId="77777777" w:rsidR="00C0030A" w:rsidRPr="00C0030A" w:rsidRDefault="00C0030A" w:rsidP="00C0030A">
            <w:pPr>
              <w:pStyle w:val="tabletext"/>
              <w:rPr>
                <w:lang w:val="en-US" w:eastAsia="en-US"/>
              </w:rPr>
            </w:pPr>
            <w:r w:rsidRPr="00C0030A">
              <w:rPr>
                <w:lang w:val="en-US" w:eastAsia="en-US"/>
              </w:rPr>
              <w:t>Section 632</w:t>
            </w:r>
          </w:p>
        </w:tc>
      </w:tr>
      <w:tr w:rsidR="00C0030A" w:rsidRPr="00C0030A" w14:paraId="3CB3696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C066716" w14:textId="77777777" w:rsidR="00C0030A" w:rsidRPr="00C0030A" w:rsidRDefault="00C0030A" w:rsidP="00C0030A">
            <w:pPr>
              <w:pStyle w:val="tabletext"/>
              <w:rPr>
                <w:lang w:val="en-US" w:eastAsia="en-US"/>
              </w:rPr>
            </w:pPr>
            <w:bookmarkStart w:id="35" w:name="RANGE!A188"/>
            <w:r w:rsidRPr="00C0030A">
              <w:rPr>
                <w:lang w:val="en-US" w:eastAsia="en-US"/>
              </w:rPr>
              <w:t>185</w:t>
            </w:r>
            <w:bookmarkEnd w:id="35"/>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CADA583" w14:textId="77777777" w:rsidR="00C0030A" w:rsidRPr="00C0030A" w:rsidRDefault="00C0030A" w:rsidP="00C0030A">
            <w:pPr>
              <w:pStyle w:val="tabletext"/>
              <w:rPr>
                <w:lang w:val="en-US" w:eastAsia="en-US"/>
              </w:rPr>
            </w:pPr>
            <w:r w:rsidRPr="00C0030A">
              <w:rPr>
                <w:lang w:val="en-US" w:eastAsia="en-US"/>
              </w:rPr>
              <w:t>Subsection 633(1) (table items 2, 4, 6, 9 and 13, column headed “Steps”)</w:t>
            </w:r>
          </w:p>
        </w:tc>
      </w:tr>
      <w:tr w:rsidR="00C0030A" w:rsidRPr="00C0030A" w14:paraId="3521C1A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9E08ECE" w14:textId="77777777" w:rsidR="00C0030A" w:rsidRPr="00C0030A" w:rsidRDefault="00C0030A" w:rsidP="00C0030A">
            <w:pPr>
              <w:pStyle w:val="tabletext"/>
              <w:rPr>
                <w:lang w:val="en-US" w:eastAsia="en-US"/>
              </w:rPr>
            </w:pPr>
            <w:r w:rsidRPr="00C0030A">
              <w:rPr>
                <w:lang w:val="en-US" w:eastAsia="en-US"/>
              </w:rPr>
              <w:t>187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6D3599D" w14:textId="77777777" w:rsidR="00C0030A" w:rsidRPr="00C0030A" w:rsidRDefault="00C0030A" w:rsidP="00C0030A">
            <w:pPr>
              <w:pStyle w:val="tabletext"/>
              <w:rPr>
                <w:lang w:val="en-US" w:eastAsia="en-US"/>
              </w:rPr>
            </w:pPr>
            <w:r w:rsidRPr="00C0030A">
              <w:rPr>
                <w:lang w:val="en-US" w:eastAsia="en-US"/>
              </w:rPr>
              <w:t>Paragraph 633(4)(b)</w:t>
            </w:r>
          </w:p>
        </w:tc>
      </w:tr>
      <w:tr w:rsidR="00C0030A" w:rsidRPr="00C0030A" w14:paraId="2359F8D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B0E6FBE" w14:textId="77777777" w:rsidR="00C0030A" w:rsidRPr="00C0030A" w:rsidRDefault="00C0030A" w:rsidP="00C0030A">
            <w:pPr>
              <w:pStyle w:val="tabletext"/>
              <w:rPr>
                <w:lang w:val="en-US" w:eastAsia="en-US"/>
              </w:rPr>
            </w:pPr>
            <w:r w:rsidRPr="00C0030A">
              <w:rPr>
                <w:lang w:val="en-US" w:eastAsia="en-US"/>
              </w:rPr>
              <w:t>189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3E1AA96" w14:textId="77777777" w:rsidR="00C0030A" w:rsidRPr="00C0030A" w:rsidRDefault="00C0030A" w:rsidP="00C0030A">
            <w:pPr>
              <w:pStyle w:val="tabletext"/>
              <w:rPr>
                <w:lang w:val="en-US" w:eastAsia="en-US"/>
              </w:rPr>
            </w:pPr>
            <w:r w:rsidRPr="00C0030A">
              <w:rPr>
                <w:lang w:val="en-US" w:eastAsia="en-US"/>
              </w:rPr>
              <w:t>Section 634</w:t>
            </w:r>
          </w:p>
        </w:tc>
      </w:tr>
      <w:tr w:rsidR="00C0030A" w:rsidRPr="00C0030A" w14:paraId="38FDA35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DAAFF81" w14:textId="77777777" w:rsidR="00C0030A" w:rsidRPr="00C0030A" w:rsidRDefault="00C0030A" w:rsidP="00C0030A">
            <w:pPr>
              <w:pStyle w:val="tabletext"/>
              <w:rPr>
                <w:lang w:val="en-US" w:eastAsia="en-US"/>
              </w:rPr>
            </w:pPr>
            <w:bookmarkStart w:id="36" w:name="RANGE!A193"/>
            <w:r w:rsidRPr="00C0030A">
              <w:rPr>
                <w:lang w:val="en-US" w:eastAsia="en-US"/>
              </w:rPr>
              <w:t>190</w:t>
            </w:r>
            <w:bookmarkEnd w:id="36"/>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18DDB1" w14:textId="77777777" w:rsidR="00C0030A" w:rsidRPr="00C0030A" w:rsidRDefault="00C0030A" w:rsidP="00C0030A">
            <w:pPr>
              <w:pStyle w:val="tabletext"/>
              <w:rPr>
                <w:lang w:val="en-US" w:eastAsia="en-US"/>
              </w:rPr>
            </w:pPr>
            <w:r w:rsidRPr="00C0030A">
              <w:rPr>
                <w:lang w:val="en-US" w:eastAsia="en-US"/>
              </w:rPr>
              <w:t>Subsection 635(1) (table items 5, 7 and 12, column headed “Steps”)</w:t>
            </w:r>
          </w:p>
        </w:tc>
      </w:tr>
      <w:tr w:rsidR="00C0030A" w:rsidRPr="00C0030A" w14:paraId="39FD89B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57145B5" w14:textId="77777777" w:rsidR="00C0030A" w:rsidRPr="00C0030A" w:rsidRDefault="00C0030A" w:rsidP="00C0030A">
            <w:pPr>
              <w:pStyle w:val="tabletext"/>
              <w:rPr>
                <w:lang w:val="en-US" w:eastAsia="en-US"/>
              </w:rPr>
            </w:pPr>
            <w:r w:rsidRPr="00C0030A">
              <w:rPr>
                <w:lang w:val="en-US" w:eastAsia="en-US"/>
              </w:rPr>
              <w:t>192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58C1490" w14:textId="77777777" w:rsidR="00C0030A" w:rsidRPr="00C0030A" w:rsidRDefault="00C0030A" w:rsidP="00C0030A">
            <w:pPr>
              <w:pStyle w:val="tabletext"/>
              <w:rPr>
                <w:lang w:val="en-US" w:eastAsia="en-US"/>
              </w:rPr>
            </w:pPr>
            <w:r w:rsidRPr="00C0030A">
              <w:rPr>
                <w:lang w:val="en-US" w:eastAsia="en-US"/>
              </w:rPr>
              <w:t>Paragraph 636(1)(e)</w:t>
            </w:r>
          </w:p>
        </w:tc>
      </w:tr>
      <w:tr w:rsidR="00C0030A" w:rsidRPr="00C0030A" w14:paraId="607C00D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9819AD" w14:textId="77777777" w:rsidR="00C0030A" w:rsidRPr="00C0030A" w:rsidRDefault="00C0030A" w:rsidP="00C0030A">
            <w:pPr>
              <w:pStyle w:val="tabletext"/>
              <w:rPr>
                <w:lang w:val="en-US" w:eastAsia="en-US"/>
              </w:rPr>
            </w:pPr>
            <w:r w:rsidRPr="00C0030A">
              <w:rPr>
                <w:lang w:val="en-US" w:eastAsia="en-US"/>
              </w:rPr>
              <w:t>193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C1DDB8A" w14:textId="77777777" w:rsidR="00C0030A" w:rsidRPr="00C0030A" w:rsidRDefault="00C0030A" w:rsidP="00C0030A">
            <w:pPr>
              <w:pStyle w:val="tabletext"/>
              <w:rPr>
                <w:lang w:val="en-US" w:eastAsia="en-US"/>
              </w:rPr>
            </w:pPr>
            <w:r w:rsidRPr="00C0030A">
              <w:rPr>
                <w:lang w:val="en-US" w:eastAsia="en-US"/>
              </w:rPr>
              <w:t>Paragraph 636(1)(e)</w:t>
            </w:r>
          </w:p>
        </w:tc>
      </w:tr>
      <w:tr w:rsidR="00C0030A" w:rsidRPr="00C0030A" w14:paraId="78D6CAA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03A2649" w14:textId="77777777" w:rsidR="00C0030A" w:rsidRPr="00C0030A" w:rsidRDefault="00C0030A" w:rsidP="00C0030A">
            <w:pPr>
              <w:pStyle w:val="tabletext"/>
              <w:rPr>
                <w:lang w:val="en-US" w:eastAsia="en-US"/>
              </w:rPr>
            </w:pPr>
            <w:r w:rsidRPr="00C0030A">
              <w:rPr>
                <w:lang w:val="en-US" w:eastAsia="en-US"/>
              </w:rPr>
              <w:t>195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1DB65A2" w14:textId="77777777" w:rsidR="00C0030A" w:rsidRPr="00C0030A" w:rsidRDefault="00C0030A" w:rsidP="00C0030A">
            <w:pPr>
              <w:pStyle w:val="tabletext"/>
              <w:rPr>
                <w:lang w:val="en-US" w:eastAsia="en-US"/>
              </w:rPr>
            </w:pPr>
            <w:r w:rsidRPr="00C0030A">
              <w:rPr>
                <w:lang w:val="en-US" w:eastAsia="en-US"/>
              </w:rPr>
              <w:t>Paragraph 636(3)(c)</w:t>
            </w:r>
          </w:p>
        </w:tc>
      </w:tr>
      <w:tr w:rsidR="00C0030A" w:rsidRPr="00C0030A" w14:paraId="710F28F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3291121" w14:textId="77777777" w:rsidR="00C0030A" w:rsidRPr="00C0030A" w:rsidRDefault="00C0030A" w:rsidP="00C0030A">
            <w:pPr>
              <w:pStyle w:val="tabletext"/>
              <w:rPr>
                <w:lang w:val="en-US" w:eastAsia="en-US"/>
              </w:rPr>
            </w:pPr>
            <w:r w:rsidRPr="00C0030A">
              <w:rPr>
                <w:lang w:val="en-US" w:eastAsia="en-US"/>
              </w:rPr>
              <w:t>196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982FC20" w14:textId="77777777" w:rsidR="00C0030A" w:rsidRPr="00C0030A" w:rsidRDefault="00C0030A" w:rsidP="00C0030A">
            <w:pPr>
              <w:pStyle w:val="tabletext"/>
              <w:rPr>
                <w:lang w:val="en-US" w:eastAsia="en-US"/>
              </w:rPr>
            </w:pPr>
            <w:r w:rsidRPr="00C0030A">
              <w:rPr>
                <w:lang w:val="en-US" w:eastAsia="en-US"/>
              </w:rPr>
              <w:t>Subsections 637(1) and (2)</w:t>
            </w:r>
          </w:p>
        </w:tc>
      </w:tr>
      <w:tr w:rsidR="00C0030A" w:rsidRPr="00C0030A" w14:paraId="4E86A3F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DA4A284" w14:textId="77777777" w:rsidR="00C0030A" w:rsidRPr="00C0030A" w:rsidRDefault="00C0030A" w:rsidP="00C0030A">
            <w:pPr>
              <w:pStyle w:val="tabletext"/>
              <w:rPr>
                <w:lang w:val="en-US" w:eastAsia="en-US"/>
              </w:rPr>
            </w:pPr>
            <w:r w:rsidRPr="00C0030A">
              <w:rPr>
                <w:lang w:val="en-US" w:eastAsia="en-US"/>
              </w:rPr>
              <w:t>198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FFB80BC" w14:textId="77777777" w:rsidR="00C0030A" w:rsidRPr="00C0030A" w:rsidRDefault="00C0030A" w:rsidP="00C0030A">
            <w:pPr>
              <w:pStyle w:val="tabletext"/>
              <w:rPr>
                <w:lang w:val="en-US" w:eastAsia="en-US"/>
              </w:rPr>
            </w:pPr>
            <w:r w:rsidRPr="00C0030A">
              <w:rPr>
                <w:lang w:val="en-US" w:eastAsia="en-US"/>
              </w:rPr>
              <w:t>Paragraph 638(5)(c)</w:t>
            </w:r>
          </w:p>
        </w:tc>
      </w:tr>
      <w:tr w:rsidR="00C0030A" w:rsidRPr="00C0030A" w14:paraId="4B16E2F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E4CCAEB" w14:textId="77777777" w:rsidR="00C0030A" w:rsidRPr="00C0030A" w:rsidRDefault="00C0030A" w:rsidP="00C0030A">
            <w:pPr>
              <w:pStyle w:val="tabletext"/>
              <w:rPr>
                <w:lang w:val="en-US" w:eastAsia="en-US"/>
              </w:rPr>
            </w:pPr>
            <w:r w:rsidRPr="00C0030A">
              <w:rPr>
                <w:lang w:val="en-US" w:eastAsia="en-US"/>
              </w:rPr>
              <w:lastRenderedPageBreak/>
              <w:t>199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31155D8" w14:textId="77777777" w:rsidR="00C0030A" w:rsidRPr="00C0030A" w:rsidRDefault="00C0030A" w:rsidP="00C0030A">
            <w:pPr>
              <w:pStyle w:val="tabletext"/>
              <w:rPr>
                <w:lang w:val="en-US" w:eastAsia="en-US"/>
              </w:rPr>
            </w:pPr>
            <w:r w:rsidRPr="00C0030A">
              <w:rPr>
                <w:lang w:val="en-US" w:eastAsia="en-US"/>
              </w:rPr>
              <w:t>Subsections 639(1) and (2)</w:t>
            </w:r>
          </w:p>
        </w:tc>
      </w:tr>
      <w:tr w:rsidR="00C0030A" w:rsidRPr="00C0030A" w14:paraId="15D6C77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80EBB22" w14:textId="77777777" w:rsidR="00C0030A" w:rsidRPr="00C0030A" w:rsidRDefault="00C0030A" w:rsidP="00C0030A">
            <w:pPr>
              <w:pStyle w:val="tabletext"/>
              <w:rPr>
                <w:lang w:val="en-US" w:eastAsia="en-US"/>
              </w:rPr>
            </w:pPr>
            <w:r w:rsidRPr="00C0030A">
              <w:rPr>
                <w:lang w:val="en-US" w:eastAsia="en-US"/>
              </w:rPr>
              <w:t>200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82DF32C" w14:textId="77777777" w:rsidR="00C0030A" w:rsidRPr="00C0030A" w:rsidRDefault="00C0030A" w:rsidP="00C0030A">
            <w:pPr>
              <w:pStyle w:val="tabletext"/>
              <w:rPr>
                <w:lang w:val="en-US" w:eastAsia="en-US"/>
              </w:rPr>
            </w:pPr>
            <w:r w:rsidRPr="00C0030A">
              <w:rPr>
                <w:lang w:val="en-US" w:eastAsia="en-US"/>
              </w:rPr>
              <w:t>At the end of subparagraphs 643(1)(c)(</w:t>
            </w:r>
            <w:proofErr w:type="spellStart"/>
            <w:r w:rsidRPr="00C0030A">
              <w:rPr>
                <w:lang w:val="en-US" w:eastAsia="en-US"/>
              </w:rPr>
              <w:t>i</w:t>
            </w:r>
            <w:proofErr w:type="spellEnd"/>
            <w:r w:rsidRPr="00C0030A">
              <w:rPr>
                <w:lang w:val="en-US" w:eastAsia="en-US"/>
              </w:rPr>
              <w:t>) and 644(1)(c)(</w:t>
            </w:r>
            <w:proofErr w:type="spellStart"/>
            <w:r w:rsidRPr="00C0030A">
              <w:rPr>
                <w:lang w:val="en-US" w:eastAsia="en-US"/>
              </w:rPr>
              <w:t>i</w:t>
            </w:r>
            <w:proofErr w:type="spellEnd"/>
            <w:r w:rsidRPr="00C0030A">
              <w:rPr>
                <w:lang w:val="en-US" w:eastAsia="en-US"/>
              </w:rPr>
              <w:t>)</w:t>
            </w:r>
          </w:p>
        </w:tc>
      </w:tr>
      <w:tr w:rsidR="00C0030A" w:rsidRPr="00C0030A" w14:paraId="40CDC74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BADCF1A" w14:textId="77777777" w:rsidR="00C0030A" w:rsidRPr="00C0030A" w:rsidRDefault="00C0030A" w:rsidP="00C0030A">
            <w:pPr>
              <w:pStyle w:val="tabletext"/>
              <w:rPr>
                <w:lang w:val="en-US" w:eastAsia="en-US"/>
              </w:rPr>
            </w:pPr>
            <w:r w:rsidRPr="00C0030A">
              <w:rPr>
                <w:lang w:val="en-US" w:eastAsia="en-US"/>
              </w:rPr>
              <w:t>201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5EF1A3A" w14:textId="77777777" w:rsidR="00C0030A" w:rsidRPr="00C0030A" w:rsidRDefault="00C0030A" w:rsidP="00C0030A">
            <w:pPr>
              <w:pStyle w:val="tabletext"/>
              <w:rPr>
                <w:lang w:val="en-US" w:eastAsia="en-US"/>
              </w:rPr>
            </w:pPr>
            <w:r w:rsidRPr="00C0030A">
              <w:rPr>
                <w:lang w:val="en-US" w:eastAsia="en-US"/>
              </w:rPr>
              <w:t>Paragraph 645(1)(c)</w:t>
            </w:r>
          </w:p>
        </w:tc>
      </w:tr>
      <w:tr w:rsidR="00C0030A" w:rsidRPr="00C0030A" w14:paraId="2E63E2F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16224EA" w14:textId="77777777" w:rsidR="00C0030A" w:rsidRPr="00C0030A" w:rsidRDefault="00C0030A" w:rsidP="00C0030A">
            <w:pPr>
              <w:pStyle w:val="tabletext"/>
              <w:rPr>
                <w:lang w:val="en-US" w:eastAsia="en-US"/>
              </w:rPr>
            </w:pPr>
            <w:r w:rsidRPr="00C0030A">
              <w:rPr>
                <w:lang w:val="en-US" w:eastAsia="en-US"/>
              </w:rPr>
              <w:t>202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D2EFB1A" w14:textId="77777777" w:rsidR="00C0030A" w:rsidRPr="00C0030A" w:rsidRDefault="00C0030A" w:rsidP="00C0030A">
            <w:pPr>
              <w:pStyle w:val="tabletext"/>
              <w:rPr>
                <w:lang w:val="en-US" w:eastAsia="en-US"/>
              </w:rPr>
            </w:pPr>
            <w:r w:rsidRPr="00C0030A">
              <w:rPr>
                <w:lang w:val="en-US" w:eastAsia="en-US"/>
              </w:rPr>
              <w:t>Subsections 645(2), (3) and (4)</w:t>
            </w:r>
          </w:p>
        </w:tc>
      </w:tr>
      <w:tr w:rsidR="00C0030A" w:rsidRPr="00C0030A" w14:paraId="30719C6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9072BB8" w14:textId="77777777" w:rsidR="00C0030A" w:rsidRPr="00C0030A" w:rsidRDefault="00C0030A" w:rsidP="00C0030A">
            <w:pPr>
              <w:pStyle w:val="tabletext"/>
              <w:rPr>
                <w:lang w:val="en-US" w:eastAsia="en-US"/>
              </w:rPr>
            </w:pPr>
            <w:r w:rsidRPr="00C0030A">
              <w:rPr>
                <w:lang w:val="en-US" w:eastAsia="en-US"/>
              </w:rPr>
              <w:t>203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32513B4" w14:textId="77777777" w:rsidR="00C0030A" w:rsidRPr="00C0030A" w:rsidRDefault="00C0030A" w:rsidP="00C0030A">
            <w:pPr>
              <w:pStyle w:val="tabletext"/>
              <w:rPr>
                <w:lang w:val="en-US" w:eastAsia="en-US"/>
              </w:rPr>
            </w:pPr>
            <w:r w:rsidRPr="00C0030A">
              <w:rPr>
                <w:lang w:val="en-US" w:eastAsia="en-US"/>
              </w:rPr>
              <w:t>Section 646</w:t>
            </w:r>
          </w:p>
        </w:tc>
      </w:tr>
      <w:tr w:rsidR="00C0030A" w:rsidRPr="00C0030A" w14:paraId="43E0460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18A2E95" w14:textId="77777777" w:rsidR="00C0030A" w:rsidRPr="00C0030A" w:rsidRDefault="00C0030A" w:rsidP="00C0030A">
            <w:pPr>
              <w:pStyle w:val="tabletext"/>
              <w:rPr>
                <w:lang w:val="en-US" w:eastAsia="en-US"/>
              </w:rPr>
            </w:pPr>
            <w:r w:rsidRPr="00C0030A">
              <w:rPr>
                <w:lang w:val="en-US" w:eastAsia="en-US"/>
              </w:rPr>
              <w:t>204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D29B3B6" w14:textId="77777777" w:rsidR="00C0030A" w:rsidRPr="00C0030A" w:rsidRDefault="00C0030A" w:rsidP="00C0030A">
            <w:pPr>
              <w:pStyle w:val="tabletext"/>
              <w:rPr>
                <w:lang w:val="en-US" w:eastAsia="en-US"/>
              </w:rPr>
            </w:pPr>
            <w:r w:rsidRPr="00C0030A">
              <w:rPr>
                <w:lang w:val="en-US" w:eastAsia="en-US"/>
              </w:rPr>
              <w:t>Paragraph 647(3)(a)</w:t>
            </w:r>
          </w:p>
        </w:tc>
      </w:tr>
      <w:tr w:rsidR="00C0030A" w:rsidRPr="00C0030A" w14:paraId="38A26A8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DEC4102" w14:textId="77777777" w:rsidR="00C0030A" w:rsidRPr="00C0030A" w:rsidRDefault="00C0030A" w:rsidP="00C0030A">
            <w:pPr>
              <w:pStyle w:val="tabletext"/>
              <w:rPr>
                <w:lang w:val="en-US" w:eastAsia="en-US"/>
              </w:rPr>
            </w:pPr>
            <w:r w:rsidRPr="00C0030A">
              <w:rPr>
                <w:lang w:val="en-US" w:eastAsia="en-US"/>
              </w:rPr>
              <w:t>206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B86ACDD" w14:textId="77777777" w:rsidR="00C0030A" w:rsidRPr="00C0030A" w:rsidRDefault="00C0030A" w:rsidP="00C0030A">
            <w:pPr>
              <w:pStyle w:val="tabletext"/>
              <w:rPr>
                <w:lang w:val="en-US" w:eastAsia="en-US"/>
              </w:rPr>
            </w:pPr>
            <w:r w:rsidRPr="00C0030A">
              <w:rPr>
                <w:lang w:val="en-US" w:eastAsia="en-US"/>
              </w:rPr>
              <w:t>Subsection 648G(9)</w:t>
            </w:r>
          </w:p>
        </w:tc>
      </w:tr>
      <w:tr w:rsidR="00C0030A" w:rsidRPr="00C0030A" w14:paraId="6C4A664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9DDD1DA" w14:textId="77777777" w:rsidR="00C0030A" w:rsidRPr="00C0030A" w:rsidRDefault="00C0030A" w:rsidP="00C0030A">
            <w:pPr>
              <w:pStyle w:val="tabletext"/>
              <w:rPr>
                <w:lang w:val="en-US" w:eastAsia="en-US"/>
              </w:rPr>
            </w:pPr>
            <w:r w:rsidRPr="00C0030A">
              <w:rPr>
                <w:lang w:val="en-US" w:eastAsia="en-US"/>
              </w:rPr>
              <w:t>208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DC867FE" w14:textId="77777777" w:rsidR="00C0030A" w:rsidRPr="00C0030A" w:rsidRDefault="00C0030A" w:rsidP="00C0030A">
            <w:pPr>
              <w:pStyle w:val="tabletext"/>
              <w:rPr>
                <w:lang w:val="en-US" w:eastAsia="en-US"/>
              </w:rPr>
            </w:pPr>
            <w:r w:rsidRPr="00C0030A">
              <w:rPr>
                <w:lang w:val="en-US" w:eastAsia="en-US"/>
              </w:rPr>
              <w:t>Paragraphs 649C(1)(a) and (2)(b)</w:t>
            </w:r>
          </w:p>
        </w:tc>
      </w:tr>
      <w:tr w:rsidR="00C0030A" w:rsidRPr="00C0030A" w14:paraId="7C4D2B8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424D97" w14:textId="77777777" w:rsidR="00C0030A" w:rsidRPr="00C0030A" w:rsidRDefault="00C0030A" w:rsidP="00C0030A">
            <w:pPr>
              <w:pStyle w:val="tabletext"/>
              <w:rPr>
                <w:lang w:val="en-US" w:eastAsia="en-US"/>
              </w:rPr>
            </w:pPr>
            <w:r w:rsidRPr="00C0030A">
              <w:rPr>
                <w:lang w:val="en-US" w:eastAsia="en-US"/>
              </w:rPr>
              <w:t>210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3A782AD" w14:textId="77777777" w:rsidR="00C0030A" w:rsidRPr="00C0030A" w:rsidRDefault="00C0030A" w:rsidP="00C0030A">
            <w:pPr>
              <w:pStyle w:val="tabletext"/>
              <w:rPr>
                <w:lang w:val="en-US" w:eastAsia="en-US"/>
              </w:rPr>
            </w:pPr>
            <w:r w:rsidRPr="00C0030A">
              <w:rPr>
                <w:lang w:val="en-US" w:eastAsia="en-US"/>
              </w:rPr>
              <w:t>Paragraphs 650C(2)(a) and 650D(1)(b)</w:t>
            </w:r>
          </w:p>
        </w:tc>
      </w:tr>
      <w:tr w:rsidR="00C0030A" w:rsidRPr="00C0030A" w14:paraId="0A143CC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78C67B6" w14:textId="77777777" w:rsidR="00C0030A" w:rsidRPr="00C0030A" w:rsidRDefault="00C0030A" w:rsidP="00C0030A">
            <w:pPr>
              <w:pStyle w:val="tabletext"/>
              <w:rPr>
                <w:lang w:val="en-US" w:eastAsia="en-US"/>
              </w:rPr>
            </w:pPr>
            <w:r w:rsidRPr="00C0030A">
              <w:rPr>
                <w:lang w:val="en-US" w:eastAsia="en-US"/>
              </w:rPr>
              <w:t>212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0738078" w14:textId="77777777" w:rsidR="00C0030A" w:rsidRPr="00C0030A" w:rsidRDefault="00C0030A" w:rsidP="00C0030A">
            <w:pPr>
              <w:pStyle w:val="tabletext"/>
              <w:rPr>
                <w:lang w:val="en-US" w:eastAsia="en-US"/>
              </w:rPr>
            </w:pPr>
            <w:r w:rsidRPr="00C0030A">
              <w:rPr>
                <w:lang w:val="en-US" w:eastAsia="en-US"/>
              </w:rPr>
              <w:t>Paragraph 650D(4)(a)</w:t>
            </w:r>
          </w:p>
        </w:tc>
      </w:tr>
      <w:tr w:rsidR="00C0030A" w:rsidRPr="00C0030A" w14:paraId="4CBB8C0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56C9F8B" w14:textId="77777777" w:rsidR="00C0030A" w:rsidRPr="00C0030A" w:rsidRDefault="00C0030A" w:rsidP="00C0030A">
            <w:pPr>
              <w:pStyle w:val="tabletext"/>
              <w:rPr>
                <w:lang w:val="en-US" w:eastAsia="en-US"/>
              </w:rPr>
            </w:pPr>
            <w:r w:rsidRPr="00C0030A">
              <w:rPr>
                <w:lang w:val="en-US" w:eastAsia="en-US"/>
              </w:rPr>
              <w:t>213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3317DFF" w14:textId="77777777" w:rsidR="00C0030A" w:rsidRPr="00C0030A" w:rsidRDefault="00C0030A" w:rsidP="00C0030A">
            <w:pPr>
              <w:pStyle w:val="tabletext"/>
              <w:rPr>
                <w:lang w:val="en-US" w:eastAsia="en-US"/>
              </w:rPr>
            </w:pPr>
            <w:r w:rsidRPr="00C0030A">
              <w:rPr>
                <w:lang w:val="en-US" w:eastAsia="en-US"/>
              </w:rPr>
              <w:t>Paragraph 650D(4)(b)</w:t>
            </w:r>
          </w:p>
        </w:tc>
      </w:tr>
      <w:tr w:rsidR="00C0030A" w:rsidRPr="00C0030A" w14:paraId="4480072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1F8EEFE" w14:textId="77777777" w:rsidR="00C0030A" w:rsidRPr="00C0030A" w:rsidRDefault="00C0030A" w:rsidP="00C0030A">
            <w:pPr>
              <w:pStyle w:val="tabletext"/>
              <w:rPr>
                <w:lang w:val="en-US" w:eastAsia="en-US"/>
              </w:rPr>
            </w:pPr>
            <w:r w:rsidRPr="00C0030A">
              <w:rPr>
                <w:lang w:val="en-US" w:eastAsia="en-US"/>
              </w:rPr>
              <w:t>214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F5746B" w14:textId="77777777" w:rsidR="00C0030A" w:rsidRPr="00C0030A" w:rsidRDefault="00C0030A" w:rsidP="00C0030A">
            <w:pPr>
              <w:pStyle w:val="tabletext"/>
              <w:rPr>
                <w:lang w:val="en-US" w:eastAsia="en-US"/>
              </w:rPr>
            </w:pPr>
            <w:r w:rsidRPr="00C0030A">
              <w:rPr>
                <w:lang w:val="en-US" w:eastAsia="en-US"/>
              </w:rPr>
              <w:t>Paragraph 650F(3)(b)</w:t>
            </w:r>
          </w:p>
        </w:tc>
      </w:tr>
      <w:tr w:rsidR="00C0030A" w:rsidRPr="00C0030A" w14:paraId="55B76E7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E9F8502" w14:textId="77777777" w:rsidR="00C0030A" w:rsidRPr="00C0030A" w:rsidRDefault="00C0030A" w:rsidP="00C0030A">
            <w:pPr>
              <w:pStyle w:val="tabletext"/>
              <w:rPr>
                <w:lang w:val="en-US" w:eastAsia="en-US"/>
              </w:rPr>
            </w:pPr>
            <w:r w:rsidRPr="00C0030A">
              <w:rPr>
                <w:lang w:val="en-US" w:eastAsia="en-US"/>
              </w:rPr>
              <w:t>215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8BEAB1E" w14:textId="77777777" w:rsidR="00C0030A" w:rsidRPr="00C0030A" w:rsidRDefault="00C0030A" w:rsidP="00C0030A">
            <w:pPr>
              <w:pStyle w:val="tabletext"/>
              <w:rPr>
                <w:lang w:val="en-US" w:eastAsia="en-US"/>
              </w:rPr>
            </w:pPr>
            <w:r w:rsidRPr="00C0030A">
              <w:rPr>
                <w:lang w:val="en-US" w:eastAsia="en-US"/>
              </w:rPr>
              <w:t>At the end of subsection 650F(3)</w:t>
            </w:r>
          </w:p>
        </w:tc>
      </w:tr>
      <w:tr w:rsidR="00C0030A" w:rsidRPr="00C0030A" w14:paraId="4C1E613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914EF5E" w14:textId="77777777" w:rsidR="00C0030A" w:rsidRPr="00C0030A" w:rsidRDefault="00C0030A" w:rsidP="00C0030A">
            <w:pPr>
              <w:pStyle w:val="tabletext"/>
              <w:rPr>
                <w:lang w:val="en-US" w:eastAsia="en-US"/>
              </w:rPr>
            </w:pPr>
            <w:r w:rsidRPr="00C0030A">
              <w:rPr>
                <w:lang w:val="en-US" w:eastAsia="en-US"/>
              </w:rPr>
              <w:t>217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32FCED4" w14:textId="77777777" w:rsidR="00C0030A" w:rsidRPr="00C0030A" w:rsidRDefault="00C0030A" w:rsidP="00C0030A">
            <w:pPr>
              <w:pStyle w:val="tabletext"/>
              <w:rPr>
                <w:lang w:val="en-US" w:eastAsia="en-US"/>
              </w:rPr>
            </w:pPr>
            <w:r w:rsidRPr="00C0030A">
              <w:rPr>
                <w:lang w:val="en-US" w:eastAsia="en-US"/>
              </w:rPr>
              <w:t>Paragraph 654C(3)(b)</w:t>
            </w:r>
          </w:p>
        </w:tc>
      </w:tr>
      <w:tr w:rsidR="00C0030A" w:rsidRPr="00C0030A" w14:paraId="527786C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84A91D" w14:textId="77777777" w:rsidR="00C0030A" w:rsidRPr="00C0030A" w:rsidRDefault="00C0030A" w:rsidP="00C0030A">
            <w:pPr>
              <w:pStyle w:val="tabletext"/>
              <w:rPr>
                <w:lang w:val="en-US" w:eastAsia="en-US"/>
              </w:rPr>
            </w:pPr>
            <w:r w:rsidRPr="00C0030A">
              <w:rPr>
                <w:lang w:val="en-US" w:eastAsia="en-US"/>
              </w:rPr>
              <w:t>219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0589C78" w14:textId="77777777" w:rsidR="00C0030A" w:rsidRPr="00C0030A" w:rsidRDefault="00C0030A" w:rsidP="00C0030A">
            <w:pPr>
              <w:pStyle w:val="tabletext"/>
              <w:rPr>
                <w:lang w:val="en-US" w:eastAsia="en-US"/>
              </w:rPr>
            </w:pPr>
            <w:r w:rsidRPr="00C0030A">
              <w:rPr>
                <w:lang w:val="en-US" w:eastAsia="en-US"/>
              </w:rPr>
              <w:t>Subsection 660B(3)</w:t>
            </w:r>
          </w:p>
        </w:tc>
      </w:tr>
      <w:tr w:rsidR="00C0030A" w:rsidRPr="00C0030A" w14:paraId="1C48B92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7967D0" w14:textId="77777777" w:rsidR="00C0030A" w:rsidRPr="00C0030A" w:rsidRDefault="00C0030A" w:rsidP="00C0030A">
            <w:pPr>
              <w:pStyle w:val="tabletext"/>
              <w:rPr>
                <w:lang w:val="en-US" w:eastAsia="en-US"/>
              </w:rPr>
            </w:pPr>
            <w:r w:rsidRPr="00C0030A">
              <w:rPr>
                <w:lang w:val="en-US" w:eastAsia="en-US"/>
              </w:rPr>
              <w:t>222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2907E44" w14:textId="77777777" w:rsidR="00C0030A" w:rsidRPr="00C0030A" w:rsidRDefault="00C0030A" w:rsidP="00C0030A">
            <w:pPr>
              <w:pStyle w:val="tabletext"/>
              <w:rPr>
                <w:lang w:val="en-US" w:eastAsia="en-US"/>
              </w:rPr>
            </w:pPr>
            <w:r w:rsidRPr="00C0030A">
              <w:rPr>
                <w:lang w:val="en-US" w:eastAsia="en-US"/>
              </w:rPr>
              <w:t>Paragraphs 661B(1)(b) and (d)</w:t>
            </w:r>
          </w:p>
        </w:tc>
      </w:tr>
      <w:tr w:rsidR="00C0030A" w:rsidRPr="00C0030A" w14:paraId="2815270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CF45E85" w14:textId="77777777" w:rsidR="00C0030A" w:rsidRPr="00C0030A" w:rsidRDefault="00C0030A" w:rsidP="00C0030A">
            <w:pPr>
              <w:pStyle w:val="tabletext"/>
              <w:rPr>
                <w:lang w:val="en-US" w:eastAsia="en-US"/>
              </w:rPr>
            </w:pPr>
            <w:r w:rsidRPr="00C0030A">
              <w:rPr>
                <w:lang w:val="en-US" w:eastAsia="en-US"/>
              </w:rPr>
              <w:t>223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5DADB20" w14:textId="77777777" w:rsidR="00C0030A" w:rsidRPr="00C0030A" w:rsidRDefault="00C0030A" w:rsidP="00C0030A">
            <w:pPr>
              <w:pStyle w:val="tabletext"/>
              <w:rPr>
                <w:lang w:val="en-US" w:eastAsia="en-US"/>
              </w:rPr>
            </w:pPr>
            <w:r w:rsidRPr="00C0030A">
              <w:rPr>
                <w:lang w:val="en-US" w:eastAsia="en-US"/>
              </w:rPr>
              <w:t>Subsection 661B(1) (note)</w:t>
            </w:r>
          </w:p>
        </w:tc>
      </w:tr>
      <w:tr w:rsidR="00C0030A" w:rsidRPr="00C0030A" w14:paraId="334D25A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88020D" w14:textId="77777777" w:rsidR="00C0030A" w:rsidRPr="00C0030A" w:rsidRDefault="00C0030A" w:rsidP="00C0030A">
            <w:pPr>
              <w:pStyle w:val="tabletext"/>
              <w:rPr>
                <w:lang w:val="en-US" w:eastAsia="en-US"/>
              </w:rPr>
            </w:pPr>
            <w:r w:rsidRPr="00C0030A">
              <w:rPr>
                <w:lang w:val="en-US" w:eastAsia="en-US"/>
              </w:rPr>
              <w:t>224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2C38EE1" w14:textId="77777777" w:rsidR="00C0030A" w:rsidRPr="00C0030A" w:rsidRDefault="00C0030A" w:rsidP="00C0030A">
            <w:pPr>
              <w:pStyle w:val="tabletext"/>
              <w:rPr>
                <w:lang w:val="en-US" w:eastAsia="en-US"/>
              </w:rPr>
            </w:pPr>
            <w:r w:rsidRPr="00C0030A">
              <w:rPr>
                <w:lang w:val="en-US" w:eastAsia="en-US"/>
              </w:rPr>
              <w:t>Subsection 661D(1)</w:t>
            </w:r>
          </w:p>
        </w:tc>
      </w:tr>
      <w:tr w:rsidR="00C0030A" w:rsidRPr="00C0030A" w14:paraId="56D67C3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1A96DCD" w14:textId="77777777" w:rsidR="00C0030A" w:rsidRPr="00C0030A" w:rsidRDefault="00C0030A" w:rsidP="00C0030A">
            <w:pPr>
              <w:pStyle w:val="tabletext"/>
              <w:rPr>
                <w:lang w:val="en-US" w:eastAsia="en-US"/>
              </w:rPr>
            </w:pPr>
            <w:r w:rsidRPr="00C0030A">
              <w:rPr>
                <w:lang w:val="en-US" w:eastAsia="en-US"/>
              </w:rPr>
              <w:t>227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BE622EB" w14:textId="77777777" w:rsidR="00C0030A" w:rsidRPr="00C0030A" w:rsidRDefault="00C0030A" w:rsidP="00C0030A">
            <w:pPr>
              <w:pStyle w:val="tabletext"/>
              <w:rPr>
                <w:lang w:val="en-US" w:eastAsia="en-US"/>
              </w:rPr>
            </w:pPr>
            <w:r w:rsidRPr="00C0030A">
              <w:rPr>
                <w:lang w:val="en-US" w:eastAsia="en-US"/>
              </w:rPr>
              <w:t>Paragraph 662B(1)(b)</w:t>
            </w:r>
          </w:p>
        </w:tc>
      </w:tr>
      <w:tr w:rsidR="00C0030A" w:rsidRPr="00C0030A" w14:paraId="5E4CA1A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684AEE" w14:textId="77777777" w:rsidR="00C0030A" w:rsidRPr="00C0030A" w:rsidRDefault="00C0030A" w:rsidP="00C0030A">
            <w:pPr>
              <w:pStyle w:val="tabletext"/>
              <w:rPr>
                <w:lang w:val="en-US" w:eastAsia="en-US"/>
              </w:rPr>
            </w:pPr>
            <w:r w:rsidRPr="00C0030A">
              <w:rPr>
                <w:lang w:val="en-US" w:eastAsia="en-US"/>
              </w:rPr>
              <w:t>228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50F7D74" w14:textId="77777777" w:rsidR="00C0030A" w:rsidRPr="00C0030A" w:rsidRDefault="00C0030A" w:rsidP="00C0030A">
            <w:pPr>
              <w:pStyle w:val="tabletext"/>
              <w:rPr>
                <w:lang w:val="en-US" w:eastAsia="en-US"/>
              </w:rPr>
            </w:pPr>
            <w:r w:rsidRPr="00C0030A">
              <w:rPr>
                <w:lang w:val="en-US" w:eastAsia="en-US"/>
              </w:rPr>
              <w:t>Subparagraph 662B(1)(c)(</w:t>
            </w:r>
            <w:proofErr w:type="spellStart"/>
            <w:r w:rsidRPr="00C0030A">
              <w:rPr>
                <w:lang w:val="en-US" w:eastAsia="en-US"/>
              </w:rPr>
              <w:t>i</w:t>
            </w:r>
            <w:proofErr w:type="spellEnd"/>
            <w:r w:rsidRPr="00C0030A">
              <w:rPr>
                <w:lang w:val="en-US" w:eastAsia="en-US"/>
              </w:rPr>
              <w:t>)</w:t>
            </w:r>
          </w:p>
        </w:tc>
      </w:tr>
      <w:tr w:rsidR="00C0030A" w:rsidRPr="00C0030A" w14:paraId="3C53C39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CE3888C" w14:textId="77777777" w:rsidR="00C0030A" w:rsidRPr="00C0030A" w:rsidRDefault="00C0030A" w:rsidP="00C0030A">
            <w:pPr>
              <w:pStyle w:val="tabletext"/>
              <w:rPr>
                <w:lang w:val="en-US" w:eastAsia="en-US"/>
              </w:rPr>
            </w:pPr>
            <w:r w:rsidRPr="00C0030A">
              <w:rPr>
                <w:lang w:val="en-US" w:eastAsia="en-US"/>
              </w:rPr>
              <w:t>229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FFA31C1" w14:textId="77777777" w:rsidR="00C0030A" w:rsidRPr="00C0030A" w:rsidRDefault="00C0030A" w:rsidP="00C0030A">
            <w:pPr>
              <w:pStyle w:val="tabletext"/>
              <w:rPr>
                <w:lang w:val="en-US" w:eastAsia="en-US"/>
              </w:rPr>
            </w:pPr>
            <w:r w:rsidRPr="00C0030A">
              <w:rPr>
                <w:lang w:val="en-US" w:eastAsia="en-US"/>
              </w:rPr>
              <w:t>Paragraph 662B(1)(d)</w:t>
            </w:r>
          </w:p>
        </w:tc>
      </w:tr>
      <w:tr w:rsidR="00C0030A" w:rsidRPr="00C0030A" w14:paraId="3A310DF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482F861" w14:textId="77777777" w:rsidR="00C0030A" w:rsidRPr="00C0030A" w:rsidRDefault="00C0030A" w:rsidP="00C0030A">
            <w:pPr>
              <w:pStyle w:val="tabletext"/>
              <w:rPr>
                <w:lang w:val="en-US" w:eastAsia="en-US"/>
              </w:rPr>
            </w:pPr>
            <w:r w:rsidRPr="00C0030A">
              <w:rPr>
                <w:lang w:val="en-US" w:eastAsia="en-US"/>
              </w:rPr>
              <w:t>230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F7F857E" w14:textId="77777777" w:rsidR="00C0030A" w:rsidRPr="00C0030A" w:rsidRDefault="00C0030A" w:rsidP="00C0030A">
            <w:pPr>
              <w:pStyle w:val="tabletext"/>
              <w:rPr>
                <w:lang w:val="en-US" w:eastAsia="en-US"/>
              </w:rPr>
            </w:pPr>
            <w:r w:rsidRPr="00C0030A">
              <w:rPr>
                <w:lang w:val="en-US" w:eastAsia="en-US"/>
              </w:rPr>
              <w:t>Subsection 662B(1) (note)</w:t>
            </w:r>
          </w:p>
        </w:tc>
      </w:tr>
      <w:tr w:rsidR="00C0030A" w:rsidRPr="00C0030A" w14:paraId="47C1C65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6F17262" w14:textId="77777777" w:rsidR="00C0030A" w:rsidRPr="00C0030A" w:rsidRDefault="00C0030A" w:rsidP="00C0030A">
            <w:pPr>
              <w:pStyle w:val="tabletext"/>
              <w:rPr>
                <w:lang w:val="en-US" w:eastAsia="en-US"/>
              </w:rPr>
            </w:pPr>
            <w:r w:rsidRPr="00C0030A">
              <w:rPr>
                <w:lang w:val="en-US" w:eastAsia="en-US"/>
              </w:rPr>
              <w:t>231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BDCF2C" w14:textId="77777777" w:rsidR="00C0030A" w:rsidRPr="00C0030A" w:rsidRDefault="00C0030A" w:rsidP="00C0030A">
            <w:pPr>
              <w:pStyle w:val="tabletext"/>
              <w:rPr>
                <w:lang w:val="en-US" w:eastAsia="en-US"/>
              </w:rPr>
            </w:pPr>
            <w:r w:rsidRPr="00C0030A">
              <w:rPr>
                <w:lang w:val="en-US" w:eastAsia="en-US"/>
              </w:rPr>
              <w:t>Paragraph 662B(2)(b)</w:t>
            </w:r>
          </w:p>
        </w:tc>
      </w:tr>
      <w:tr w:rsidR="00C0030A" w:rsidRPr="00C0030A" w14:paraId="05E3565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FE1EA83" w14:textId="77777777" w:rsidR="00C0030A" w:rsidRPr="00C0030A" w:rsidRDefault="00C0030A" w:rsidP="00C0030A">
            <w:pPr>
              <w:pStyle w:val="tabletext"/>
              <w:rPr>
                <w:lang w:val="en-US" w:eastAsia="en-US"/>
              </w:rPr>
            </w:pPr>
            <w:r w:rsidRPr="00C0030A">
              <w:rPr>
                <w:lang w:val="en-US" w:eastAsia="en-US"/>
              </w:rPr>
              <w:t>234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8EEA2AB" w14:textId="77777777" w:rsidR="00C0030A" w:rsidRPr="00C0030A" w:rsidRDefault="00C0030A" w:rsidP="00C0030A">
            <w:pPr>
              <w:pStyle w:val="tabletext"/>
              <w:rPr>
                <w:lang w:val="en-US" w:eastAsia="en-US"/>
              </w:rPr>
            </w:pPr>
            <w:r w:rsidRPr="00C0030A">
              <w:rPr>
                <w:lang w:val="en-US" w:eastAsia="en-US"/>
              </w:rPr>
              <w:t>Paragraph 663B(1)(b)</w:t>
            </w:r>
          </w:p>
        </w:tc>
      </w:tr>
      <w:tr w:rsidR="00C0030A" w:rsidRPr="00C0030A" w14:paraId="328215F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74D1E6" w14:textId="77777777" w:rsidR="00C0030A" w:rsidRPr="00C0030A" w:rsidRDefault="00C0030A" w:rsidP="00C0030A">
            <w:pPr>
              <w:pStyle w:val="tabletext"/>
              <w:rPr>
                <w:lang w:val="en-US" w:eastAsia="en-US"/>
              </w:rPr>
            </w:pPr>
            <w:r w:rsidRPr="00C0030A">
              <w:rPr>
                <w:lang w:val="en-US" w:eastAsia="en-US"/>
              </w:rPr>
              <w:t>235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5A55387" w14:textId="77777777" w:rsidR="00C0030A" w:rsidRPr="00C0030A" w:rsidRDefault="00C0030A" w:rsidP="00C0030A">
            <w:pPr>
              <w:pStyle w:val="tabletext"/>
              <w:rPr>
                <w:lang w:val="en-US" w:eastAsia="en-US"/>
              </w:rPr>
            </w:pPr>
            <w:r w:rsidRPr="00C0030A">
              <w:rPr>
                <w:lang w:val="en-US" w:eastAsia="en-US"/>
              </w:rPr>
              <w:t>Paragraph 663B(1)(d)</w:t>
            </w:r>
          </w:p>
        </w:tc>
      </w:tr>
      <w:tr w:rsidR="00C0030A" w:rsidRPr="00C0030A" w14:paraId="7FF0706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391A036" w14:textId="77777777" w:rsidR="00C0030A" w:rsidRPr="00C0030A" w:rsidRDefault="00C0030A" w:rsidP="00C0030A">
            <w:pPr>
              <w:pStyle w:val="tabletext"/>
              <w:rPr>
                <w:lang w:val="en-US" w:eastAsia="en-US"/>
              </w:rPr>
            </w:pPr>
            <w:r w:rsidRPr="00C0030A">
              <w:rPr>
                <w:lang w:val="en-US" w:eastAsia="en-US"/>
              </w:rPr>
              <w:t>236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4BC1EA5" w14:textId="77777777" w:rsidR="00C0030A" w:rsidRPr="00C0030A" w:rsidRDefault="00C0030A" w:rsidP="00C0030A">
            <w:pPr>
              <w:pStyle w:val="tabletext"/>
              <w:rPr>
                <w:lang w:val="en-US" w:eastAsia="en-US"/>
              </w:rPr>
            </w:pPr>
            <w:r w:rsidRPr="00C0030A">
              <w:rPr>
                <w:lang w:val="en-US" w:eastAsia="en-US"/>
              </w:rPr>
              <w:t>Subsection 663B(1) (note 2)</w:t>
            </w:r>
          </w:p>
        </w:tc>
      </w:tr>
      <w:tr w:rsidR="00C0030A" w:rsidRPr="00C0030A" w14:paraId="589B930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6156F7E" w14:textId="77777777" w:rsidR="00C0030A" w:rsidRPr="00C0030A" w:rsidRDefault="00C0030A" w:rsidP="00C0030A">
            <w:pPr>
              <w:pStyle w:val="tabletext"/>
              <w:rPr>
                <w:lang w:val="en-US" w:eastAsia="en-US"/>
              </w:rPr>
            </w:pPr>
            <w:r w:rsidRPr="00C0030A">
              <w:rPr>
                <w:lang w:val="en-US" w:eastAsia="en-US"/>
              </w:rPr>
              <w:t>237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631EA6" w14:textId="77777777" w:rsidR="00C0030A" w:rsidRPr="00C0030A" w:rsidRDefault="00C0030A" w:rsidP="00C0030A">
            <w:pPr>
              <w:pStyle w:val="tabletext"/>
              <w:rPr>
                <w:lang w:val="en-US" w:eastAsia="en-US"/>
              </w:rPr>
            </w:pPr>
            <w:r w:rsidRPr="00C0030A">
              <w:rPr>
                <w:lang w:val="en-US" w:eastAsia="en-US"/>
              </w:rPr>
              <w:t>Paragraph 663B(2)(b)</w:t>
            </w:r>
          </w:p>
        </w:tc>
      </w:tr>
      <w:tr w:rsidR="00C0030A" w:rsidRPr="00C0030A" w14:paraId="1FA870D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36473BE" w14:textId="77777777" w:rsidR="00C0030A" w:rsidRPr="00C0030A" w:rsidRDefault="00C0030A" w:rsidP="00C0030A">
            <w:pPr>
              <w:pStyle w:val="tabletext"/>
              <w:rPr>
                <w:lang w:val="en-US" w:eastAsia="en-US"/>
              </w:rPr>
            </w:pPr>
            <w:r w:rsidRPr="00C0030A">
              <w:rPr>
                <w:lang w:val="en-US" w:eastAsia="en-US"/>
              </w:rPr>
              <w:t>238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FB93810" w14:textId="77777777" w:rsidR="00C0030A" w:rsidRPr="00C0030A" w:rsidRDefault="00C0030A" w:rsidP="00C0030A">
            <w:pPr>
              <w:pStyle w:val="tabletext"/>
              <w:rPr>
                <w:lang w:val="en-US" w:eastAsia="en-US"/>
              </w:rPr>
            </w:pPr>
            <w:r w:rsidRPr="00C0030A">
              <w:rPr>
                <w:lang w:val="en-US" w:eastAsia="en-US"/>
              </w:rPr>
              <w:t>Section 664AA</w:t>
            </w:r>
          </w:p>
        </w:tc>
      </w:tr>
      <w:tr w:rsidR="00C0030A" w:rsidRPr="00C0030A" w14:paraId="512D60D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BFDB655" w14:textId="77777777" w:rsidR="00C0030A" w:rsidRPr="00C0030A" w:rsidRDefault="00C0030A" w:rsidP="00C0030A">
            <w:pPr>
              <w:pStyle w:val="tabletext"/>
              <w:rPr>
                <w:lang w:val="en-US" w:eastAsia="en-US"/>
              </w:rPr>
            </w:pPr>
            <w:r w:rsidRPr="00C0030A">
              <w:rPr>
                <w:lang w:val="en-US" w:eastAsia="en-US"/>
              </w:rPr>
              <w:t>241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F48A6A1" w14:textId="77777777" w:rsidR="00C0030A" w:rsidRPr="00C0030A" w:rsidRDefault="00C0030A" w:rsidP="00C0030A">
            <w:pPr>
              <w:pStyle w:val="tabletext"/>
              <w:rPr>
                <w:lang w:val="en-US" w:eastAsia="en-US"/>
              </w:rPr>
            </w:pPr>
            <w:r w:rsidRPr="00C0030A">
              <w:rPr>
                <w:lang w:val="en-US" w:eastAsia="en-US"/>
              </w:rPr>
              <w:t>Paragraphs 664C(2)(a) and (b)</w:t>
            </w:r>
          </w:p>
        </w:tc>
      </w:tr>
      <w:tr w:rsidR="00C0030A" w:rsidRPr="00C0030A" w14:paraId="1047B78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4E885E6" w14:textId="77777777" w:rsidR="00C0030A" w:rsidRPr="00C0030A" w:rsidRDefault="00C0030A" w:rsidP="00C0030A">
            <w:pPr>
              <w:pStyle w:val="tabletext"/>
              <w:rPr>
                <w:lang w:val="en-US" w:eastAsia="en-US"/>
              </w:rPr>
            </w:pPr>
            <w:r w:rsidRPr="00C0030A">
              <w:rPr>
                <w:lang w:val="en-US" w:eastAsia="en-US"/>
              </w:rPr>
              <w:t>242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659D12" w14:textId="77777777" w:rsidR="00C0030A" w:rsidRPr="00C0030A" w:rsidRDefault="00C0030A" w:rsidP="00C0030A">
            <w:pPr>
              <w:pStyle w:val="tabletext"/>
              <w:rPr>
                <w:lang w:val="en-US" w:eastAsia="en-US"/>
              </w:rPr>
            </w:pPr>
            <w:r w:rsidRPr="00C0030A">
              <w:rPr>
                <w:lang w:val="en-US" w:eastAsia="en-US"/>
              </w:rPr>
              <w:t>Subsection 664C(2) (note)</w:t>
            </w:r>
          </w:p>
        </w:tc>
      </w:tr>
      <w:tr w:rsidR="00C0030A" w:rsidRPr="00C0030A" w14:paraId="0D6F34D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A594104" w14:textId="77777777" w:rsidR="00C0030A" w:rsidRPr="00C0030A" w:rsidRDefault="00C0030A" w:rsidP="00C0030A">
            <w:pPr>
              <w:pStyle w:val="tabletext"/>
              <w:rPr>
                <w:lang w:val="en-US" w:eastAsia="en-US"/>
              </w:rPr>
            </w:pPr>
            <w:r w:rsidRPr="00C0030A">
              <w:rPr>
                <w:lang w:val="en-US" w:eastAsia="en-US"/>
              </w:rPr>
              <w:t>243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D1FF10C" w14:textId="77777777" w:rsidR="00C0030A" w:rsidRPr="00C0030A" w:rsidRDefault="00C0030A" w:rsidP="00C0030A">
            <w:pPr>
              <w:pStyle w:val="tabletext"/>
              <w:rPr>
                <w:lang w:val="en-US" w:eastAsia="en-US"/>
              </w:rPr>
            </w:pPr>
            <w:r w:rsidRPr="00C0030A">
              <w:rPr>
                <w:lang w:val="en-US" w:eastAsia="en-US"/>
              </w:rPr>
              <w:t>Subsections 664C(3) and 664E(2)</w:t>
            </w:r>
          </w:p>
        </w:tc>
      </w:tr>
      <w:tr w:rsidR="00C0030A" w:rsidRPr="00C0030A" w14:paraId="58F0F82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E4B3A5A" w14:textId="77777777" w:rsidR="00C0030A" w:rsidRPr="00C0030A" w:rsidRDefault="00C0030A" w:rsidP="00C0030A">
            <w:pPr>
              <w:pStyle w:val="tabletext"/>
              <w:rPr>
                <w:lang w:val="en-US" w:eastAsia="en-US"/>
              </w:rPr>
            </w:pPr>
            <w:r w:rsidRPr="00C0030A">
              <w:rPr>
                <w:lang w:val="en-US" w:eastAsia="en-US"/>
              </w:rPr>
              <w:t>245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70A8083" w14:textId="77777777" w:rsidR="00C0030A" w:rsidRPr="00C0030A" w:rsidRDefault="00C0030A" w:rsidP="00C0030A">
            <w:pPr>
              <w:pStyle w:val="tabletext"/>
              <w:rPr>
                <w:lang w:val="en-US" w:eastAsia="en-US"/>
              </w:rPr>
            </w:pPr>
            <w:r w:rsidRPr="00C0030A">
              <w:rPr>
                <w:lang w:val="en-US" w:eastAsia="en-US"/>
              </w:rPr>
              <w:t>Paragraph 664E(3)(b)</w:t>
            </w:r>
          </w:p>
        </w:tc>
      </w:tr>
      <w:tr w:rsidR="00C0030A" w:rsidRPr="00C0030A" w14:paraId="29DC4BD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F6C0253" w14:textId="77777777" w:rsidR="00C0030A" w:rsidRPr="00C0030A" w:rsidRDefault="00C0030A" w:rsidP="00C0030A">
            <w:pPr>
              <w:pStyle w:val="tabletext"/>
              <w:rPr>
                <w:lang w:val="en-US" w:eastAsia="en-US"/>
              </w:rPr>
            </w:pPr>
            <w:r w:rsidRPr="00C0030A">
              <w:rPr>
                <w:lang w:val="en-US" w:eastAsia="en-US"/>
              </w:rPr>
              <w:t>249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DA1F90D" w14:textId="77777777" w:rsidR="00C0030A" w:rsidRPr="00C0030A" w:rsidRDefault="00C0030A" w:rsidP="00C0030A">
            <w:pPr>
              <w:pStyle w:val="tabletext"/>
              <w:rPr>
                <w:lang w:val="en-US" w:eastAsia="en-US"/>
              </w:rPr>
            </w:pPr>
            <w:r w:rsidRPr="00C0030A">
              <w:rPr>
                <w:lang w:val="en-US" w:eastAsia="en-US"/>
              </w:rPr>
              <w:t>Paragraphs 665B(1)(b), (c) and (e)</w:t>
            </w:r>
          </w:p>
        </w:tc>
      </w:tr>
      <w:tr w:rsidR="00C0030A" w:rsidRPr="00C0030A" w14:paraId="4839EF3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355D145" w14:textId="77777777" w:rsidR="00C0030A" w:rsidRPr="00C0030A" w:rsidRDefault="00C0030A" w:rsidP="00C0030A">
            <w:pPr>
              <w:pStyle w:val="tabletext"/>
              <w:rPr>
                <w:lang w:val="en-US" w:eastAsia="en-US"/>
              </w:rPr>
            </w:pPr>
            <w:r w:rsidRPr="00C0030A">
              <w:rPr>
                <w:lang w:val="en-US" w:eastAsia="en-US"/>
              </w:rPr>
              <w:t>250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E4A01F6" w14:textId="77777777" w:rsidR="00C0030A" w:rsidRPr="00C0030A" w:rsidRDefault="00C0030A" w:rsidP="00C0030A">
            <w:pPr>
              <w:pStyle w:val="tabletext"/>
              <w:rPr>
                <w:lang w:val="en-US" w:eastAsia="en-US"/>
              </w:rPr>
            </w:pPr>
            <w:r w:rsidRPr="00C0030A">
              <w:rPr>
                <w:lang w:val="en-US" w:eastAsia="en-US"/>
              </w:rPr>
              <w:t>Subsection 665B(1) (note 2)</w:t>
            </w:r>
          </w:p>
        </w:tc>
      </w:tr>
      <w:tr w:rsidR="00C0030A" w:rsidRPr="00C0030A" w14:paraId="6585448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19A06CF" w14:textId="77777777" w:rsidR="00C0030A" w:rsidRPr="00C0030A" w:rsidRDefault="00C0030A" w:rsidP="00C0030A">
            <w:pPr>
              <w:pStyle w:val="tabletext"/>
              <w:rPr>
                <w:lang w:val="en-US" w:eastAsia="en-US"/>
              </w:rPr>
            </w:pPr>
            <w:r w:rsidRPr="00C0030A">
              <w:rPr>
                <w:lang w:val="en-US" w:eastAsia="en-US"/>
              </w:rPr>
              <w:t>252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D043580" w14:textId="77777777" w:rsidR="00C0030A" w:rsidRPr="00C0030A" w:rsidRDefault="00C0030A" w:rsidP="00C0030A">
            <w:pPr>
              <w:pStyle w:val="tabletext"/>
              <w:rPr>
                <w:lang w:val="en-US" w:eastAsia="en-US"/>
              </w:rPr>
            </w:pPr>
            <w:r w:rsidRPr="00C0030A">
              <w:rPr>
                <w:lang w:val="en-US" w:eastAsia="en-US"/>
              </w:rPr>
              <w:t>Paragraph 665B(2)(b)</w:t>
            </w:r>
          </w:p>
        </w:tc>
      </w:tr>
      <w:tr w:rsidR="00C0030A" w:rsidRPr="00C0030A" w14:paraId="26B4955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A3688E" w14:textId="77777777" w:rsidR="00C0030A" w:rsidRPr="00C0030A" w:rsidRDefault="00C0030A" w:rsidP="00C0030A">
            <w:pPr>
              <w:pStyle w:val="tabletext"/>
              <w:rPr>
                <w:lang w:val="en-US" w:eastAsia="en-US"/>
              </w:rPr>
            </w:pPr>
            <w:r w:rsidRPr="00C0030A">
              <w:rPr>
                <w:lang w:val="en-US" w:eastAsia="en-US"/>
              </w:rPr>
              <w:t>253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BEEE42E" w14:textId="77777777" w:rsidR="00C0030A" w:rsidRPr="00C0030A" w:rsidRDefault="00C0030A" w:rsidP="00C0030A">
            <w:pPr>
              <w:pStyle w:val="tabletext"/>
              <w:rPr>
                <w:lang w:val="en-US" w:eastAsia="en-US"/>
              </w:rPr>
            </w:pPr>
            <w:r w:rsidRPr="00C0030A">
              <w:rPr>
                <w:lang w:val="en-US" w:eastAsia="en-US"/>
              </w:rPr>
              <w:t>Paragraph 666A(2)(a)</w:t>
            </w:r>
          </w:p>
        </w:tc>
      </w:tr>
      <w:tr w:rsidR="00C0030A" w:rsidRPr="00C0030A" w14:paraId="0A70D7D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8D1581B" w14:textId="77777777" w:rsidR="00C0030A" w:rsidRPr="00C0030A" w:rsidRDefault="00C0030A" w:rsidP="00C0030A">
            <w:pPr>
              <w:pStyle w:val="tabletext"/>
              <w:rPr>
                <w:lang w:val="en-US" w:eastAsia="en-US"/>
              </w:rPr>
            </w:pPr>
            <w:r w:rsidRPr="00C0030A">
              <w:rPr>
                <w:lang w:val="en-US" w:eastAsia="en-US"/>
              </w:rPr>
              <w:t>254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22E048A" w14:textId="77777777" w:rsidR="00C0030A" w:rsidRPr="00C0030A" w:rsidRDefault="00C0030A" w:rsidP="00C0030A">
            <w:pPr>
              <w:pStyle w:val="tabletext"/>
              <w:rPr>
                <w:lang w:val="en-US" w:eastAsia="en-US"/>
              </w:rPr>
            </w:pPr>
            <w:r w:rsidRPr="00C0030A">
              <w:rPr>
                <w:lang w:val="en-US" w:eastAsia="en-US"/>
              </w:rPr>
              <w:t>Subparagraphs 670A(1)(j)(</w:t>
            </w:r>
            <w:proofErr w:type="spellStart"/>
            <w:r w:rsidRPr="00C0030A">
              <w:rPr>
                <w:lang w:val="en-US" w:eastAsia="en-US"/>
              </w:rPr>
              <w:t>i</w:t>
            </w:r>
            <w:proofErr w:type="spellEnd"/>
            <w:r w:rsidRPr="00C0030A">
              <w:rPr>
                <w:lang w:val="en-US" w:eastAsia="en-US"/>
              </w:rPr>
              <w:t>) and 670C(1)(c)(</w:t>
            </w:r>
            <w:proofErr w:type="spellStart"/>
            <w:r w:rsidRPr="00C0030A">
              <w:rPr>
                <w:lang w:val="en-US" w:eastAsia="en-US"/>
              </w:rPr>
              <w:t>i</w:t>
            </w:r>
            <w:proofErr w:type="spellEnd"/>
            <w:r w:rsidRPr="00C0030A">
              <w:rPr>
                <w:lang w:val="en-US" w:eastAsia="en-US"/>
              </w:rPr>
              <w:t>)</w:t>
            </w:r>
          </w:p>
        </w:tc>
      </w:tr>
      <w:tr w:rsidR="00C0030A" w:rsidRPr="00C0030A" w14:paraId="73C8ADB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615CF77" w14:textId="77777777" w:rsidR="00C0030A" w:rsidRPr="00C0030A" w:rsidRDefault="00C0030A" w:rsidP="00C0030A">
            <w:pPr>
              <w:pStyle w:val="tabletext"/>
              <w:rPr>
                <w:lang w:val="en-US" w:eastAsia="en-US"/>
              </w:rPr>
            </w:pPr>
            <w:r w:rsidRPr="00C0030A">
              <w:rPr>
                <w:lang w:val="en-US" w:eastAsia="en-US"/>
              </w:rPr>
              <w:t>255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DC4D914" w14:textId="77777777" w:rsidR="00C0030A" w:rsidRPr="00C0030A" w:rsidRDefault="00C0030A" w:rsidP="00C0030A">
            <w:pPr>
              <w:pStyle w:val="tabletext"/>
              <w:rPr>
                <w:lang w:val="en-US" w:eastAsia="en-US"/>
              </w:rPr>
            </w:pPr>
            <w:r w:rsidRPr="00C0030A">
              <w:rPr>
                <w:lang w:val="en-US" w:eastAsia="en-US"/>
              </w:rPr>
              <w:t>Subsection 670D(6)</w:t>
            </w:r>
          </w:p>
        </w:tc>
      </w:tr>
      <w:tr w:rsidR="00C0030A" w:rsidRPr="00C0030A" w14:paraId="14E4091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4BDB420" w14:textId="77777777" w:rsidR="00C0030A" w:rsidRPr="00C0030A" w:rsidRDefault="00C0030A" w:rsidP="00C0030A">
            <w:pPr>
              <w:pStyle w:val="tabletext"/>
              <w:rPr>
                <w:lang w:val="en-US" w:eastAsia="en-US"/>
              </w:rPr>
            </w:pPr>
            <w:r w:rsidRPr="00C0030A">
              <w:rPr>
                <w:lang w:val="en-US" w:eastAsia="en-US"/>
              </w:rPr>
              <w:t>256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CB41DB2" w14:textId="77777777" w:rsidR="00C0030A" w:rsidRPr="00C0030A" w:rsidRDefault="00C0030A" w:rsidP="00C0030A">
            <w:pPr>
              <w:pStyle w:val="tabletext"/>
              <w:rPr>
                <w:lang w:val="en-US" w:eastAsia="en-US"/>
              </w:rPr>
            </w:pPr>
            <w:r w:rsidRPr="00C0030A">
              <w:rPr>
                <w:lang w:val="en-US" w:eastAsia="en-US"/>
              </w:rPr>
              <w:t>Paragraphs 672DA(2)(d) and (3)(d)</w:t>
            </w:r>
          </w:p>
        </w:tc>
      </w:tr>
      <w:tr w:rsidR="00C0030A" w:rsidRPr="00C0030A" w14:paraId="226E5FA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B3C64A9" w14:textId="77777777" w:rsidR="00C0030A" w:rsidRPr="00C0030A" w:rsidRDefault="00C0030A" w:rsidP="00C0030A">
            <w:pPr>
              <w:pStyle w:val="tabletext"/>
              <w:rPr>
                <w:lang w:val="en-US" w:eastAsia="en-US"/>
              </w:rPr>
            </w:pPr>
            <w:r w:rsidRPr="00C0030A">
              <w:rPr>
                <w:lang w:val="en-US" w:eastAsia="en-US"/>
              </w:rPr>
              <w:t>257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EE6390" w14:textId="77777777" w:rsidR="00C0030A" w:rsidRPr="00C0030A" w:rsidRDefault="00C0030A" w:rsidP="00C0030A">
            <w:pPr>
              <w:pStyle w:val="tabletext"/>
              <w:rPr>
                <w:lang w:val="en-US" w:eastAsia="en-US"/>
              </w:rPr>
            </w:pPr>
            <w:r w:rsidRPr="00C0030A">
              <w:rPr>
                <w:lang w:val="en-US" w:eastAsia="en-US"/>
              </w:rPr>
              <w:t>Subsection 672DA(4)</w:t>
            </w:r>
          </w:p>
        </w:tc>
      </w:tr>
      <w:tr w:rsidR="00C0030A" w:rsidRPr="00C0030A" w14:paraId="03BDCE9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598447" w14:textId="77777777" w:rsidR="00C0030A" w:rsidRPr="00C0030A" w:rsidRDefault="00C0030A" w:rsidP="00C0030A">
            <w:pPr>
              <w:pStyle w:val="tabletext"/>
              <w:rPr>
                <w:lang w:val="en-US" w:eastAsia="en-US"/>
              </w:rPr>
            </w:pPr>
            <w:r w:rsidRPr="00C0030A">
              <w:rPr>
                <w:lang w:val="en-US" w:eastAsia="en-US"/>
              </w:rPr>
              <w:t>259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834917A" w14:textId="77777777" w:rsidR="00C0030A" w:rsidRPr="00C0030A" w:rsidRDefault="00C0030A" w:rsidP="00C0030A">
            <w:pPr>
              <w:pStyle w:val="tabletext"/>
              <w:rPr>
                <w:lang w:val="en-US" w:eastAsia="en-US"/>
              </w:rPr>
            </w:pPr>
            <w:r w:rsidRPr="00C0030A">
              <w:rPr>
                <w:lang w:val="en-US" w:eastAsia="en-US"/>
              </w:rPr>
              <w:t>Subsection 672DA(4) (note)</w:t>
            </w:r>
          </w:p>
        </w:tc>
      </w:tr>
      <w:tr w:rsidR="00C0030A" w:rsidRPr="00C0030A" w14:paraId="4322CDC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3AA2A9A" w14:textId="77777777" w:rsidR="00C0030A" w:rsidRPr="00C0030A" w:rsidRDefault="00C0030A" w:rsidP="00C0030A">
            <w:pPr>
              <w:pStyle w:val="tabletext"/>
              <w:rPr>
                <w:lang w:val="en-US" w:eastAsia="en-US"/>
              </w:rPr>
            </w:pPr>
            <w:r w:rsidRPr="00C0030A">
              <w:rPr>
                <w:lang w:val="en-US" w:eastAsia="en-US"/>
              </w:rPr>
              <w:t>260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23129F0" w14:textId="77777777" w:rsidR="00C0030A" w:rsidRPr="00C0030A" w:rsidRDefault="00C0030A" w:rsidP="00C0030A">
            <w:pPr>
              <w:pStyle w:val="tabletext"/>
              <w:rPr>
                <w:lang w:val="en-US" w:eastAsia="en-US"/>
              </w:rPr>
            </w:pPr>
            <w:r w:rsidRPr="00C0030A">
              <w:rPr>
                <w:lang w:val="en-US" w:eastAsia="en-US"/>
              </w:rPr>
              <w:t>Subparagraph 675(2)(c)(ii)</w:t>
            </w:r>
          </w:p>
        </w:tc>
      </w:tr>
      <w:tr w:rsidR="00C0030A" w:rsidRPr="00C0030A" w14:paraId="3554920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93D3338" w14:textId="77777777" w:rsidR="00C0030A" w:rsidRPr="00C0030A" w:rsidRDefault="00C0030A" w:rsidP="00C0030A">
            <w:pPr>
              <w:pStyle w:val="tabletext"/>
              <w:rPr>
                <w:lang w:val="en-US" w:eastAsia="en-US"/>
              </w:rPr>
            </w:pPr>
            <w:r w:rsidRPr="00C0030A">
              <w:rPr>
                <w:lang w:val="en-US" w:eastAsia="en-US"/>
              </w:rPr>
              <w:t>261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BE2C2B6" w14:textId="77777777" w:rsidR="00C0030A" w:rsidRPr="00C0030A" w:rsidRDefault="00C0030A" w:rsidP="00C0030A">
            <w:pPr>
              <w:pStyle w:val="tabletext"/>
              <w:rPr>
                <w:lang w:val="en-US" w:eastAsia="en-US"/>
              </w:rPr>
            </w:pPr>
            <w:r w:rsidRPr="00C0030A">
              <w:rPr>
                <w:lang w:val="en-US" w:eastAsia="en-US"/>
              </w:rPr>
              <w:t>Subsection 675(2)</w:t>
            </w:r>
          </w:p>
        </w:tc>
      </w:tr>
      <w:tr w:rsidR="00C0030A" w:rsidRPr="00C0030A" w14:paraId="7C716FE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8726B63" w14:textId="77777777" w:rsidR="00C0030A" w:rsidRPr="00C0030A" w:rsidRDefault="00C0030A" w:rsidP="00C0030A">
            <w:pPr>
              <w:pStyle w:val="tabletext"/>
              <w:rPr>
                <w:lang w:val="en-US" w:eastAsia="en-US"/>
              </w:rPr>
            </w:pPr>
            <w:r w:rsidRPr="00C0030A">
              <w:rPr>
                <w:lang w:val="en-US" w:eastAsia="en-US"/>
              </w:rPr>
              <w:lastRenderedPageBreak/>
              <w:t>262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88E76D4" w14:textId="77777777" w:rsidR="00C0030A" w:rsidRPr="00C0030A" w:rsidRDefault="00C0030A" w:rsidP="00C0030A">
            <w:pPr>
              <w:pStyle w:val="tabletext"/>
              <w:rPr>
                <w:lang w:val="en-US" w:eastAsia="en-US"/>
              </w:rPr>
            </w:pPr>
            <w:r w:rsidRPr="00C0030A">
              <w:rPr>
                <w:lang w:val="en-US" w:eastAsia="en-US"/>
              </w:rPr>
              <w:t>Section 705 (table item 2, column headed “Type”)</w:t>
            </w:r>
          </w:p>
        </w:tc>
      </w:tr>
      <w:tr w:rsidR="00C0030A" w:rsidRPr="00C0030A" w14:paraId="5FE170A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6DE659B" w14:textId="77777777" w:rsidR="00C0030A" w:rsidRPr="00C0030A" w:rsidRDefault="00C0030A" w:rsidP="00C0030A">
            <w:pPr>
              <w:pStyle w:val="tabletext"/>
              <w:rPr>
                <w:lang w:val="en-US" w:eastAsia="en-US"/>
              </w:rPr>
            </w:pPr>
            <w:r w:rsidRPr="00C0030A">
              <w:rPr>
                <w:lang w:val="en-US" w:eastAsia="en-US"/>
              </w:rPr>
              <w:t>263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CECB4D0" w14:textId="77777777" w:rsidR="00C0030A" w:rsidRPr="00C0030A" w:rsidRDefault="00C0030A" w:rsidP="00C0030A">
            <w:pPr>
              <w:pStyle w:val="tabletext"/>
              <w:rPr>
                <w:lang w:val="en-US" w:eastAsia="en-US"/>
              </w:rPr>
            </w:pPr>
            <w:r w:rsidRPr="00C0030A">
              <w:rPr>
                <w:lang w:val="en-US" w:eastAsia="en-US"/>
              </w:rPr>
              <w:t>Section 705 (table item 3, column headed “Type”)</w:t>
            </w:r>
          </w:p>
        </w:tc>
      </w:tr>
      <w:tr w:rsidR="00C0030A" w:rsidRPr="00C0030A" w14:paraId="43BC264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6AC398B" w14:textId="77777777" w:rsidR="00C0030A" w:rsidRPr="00C0030A" w:rsidRDefault="00C0030A" w:rsidP="00C0030A">
            <w:pPr>
              <w:pStyle w:val="tabletext"/>
              <w:rPr>
                <w:lang w:val="en-US" w:eastAsia="en-US"/>
              </w:rPr>
            </w:pPr>
            <w:r w:rsidRPr="00C0030A">
              <w:rPr>
                <w:lang w:val="en-US" w:eastAsia="en-US"/>
              </w:rPr>
              <w:t>264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8287923" w14:textId="77777777" w:rsidR="00C0030A" w:rsidRPr="00C0030A" w:rsidRDefault="00C0030A" w:rsidP="00C0030A">
            <w:pPr>
              <w:pStyle w:val="tabletext"/>
              <w:rPr>
                <w:lang w:val="en-US" w:eastAsia="en-US"/>
              </w:rPr>
            </w:pPr>
            <w:r w:rsidRPr="00C0030A">
              <w:rPr>
                <w:lang w:val="en-US" w:eastAsia="en-US"/>
              </w:rPr>
              <w:t>Subparagraphs 708A(11)(b)(</w:t>
            </w:r>
            <w:proofErr w:type="spellStart"/>
            <w:r w:rsidRPr="00C0030A">
              <w:rPr>
                <w:lang w:val="en-US" w:eastAsia="en-US"/>
              </w:rPr>
              <w:t>i</w:t>
            </w:r>
            <w:proofErr w:type="spellEnd"/>
            <w:r w:rsidRPr="00C0030A">
              <w:rPr>
                <w:lang w:val="en-US" w:eastAsia="en-US"/>
              </w:rPr>
              <w:t>) and (ii)</w:t>
            </w:r>
          </w:p>
        </w:tc>
      </w:tr>
      <w:tr w:rsidR="00C0030A" w:rsidRPr="00C0030A" w14:paraId="16203C2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41567A8" w14:textId="77777777" w:rsidR="00C0030A" w:rsidRPr="00C0030A" w:rsidRDefault="00C0030A" w:rsidP="00C0030A">
            <w:pPr>
              <w:pStyle w:val="tabletext"/>
              <w:rPr>
                <w:lang w:val="en-US" w:eastAsia="en-US"/>
              </w:rPr>
            </w:pPr>
            <w:r w:rsidRPr="00C0030A">
              <w:rPr>
                <w:lang w:val="en-US" w:eastAsia="en-US"/>
              </w:rPr>
              <w:t>266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4366727" w14:textId="77777777" w:rsidR="00C0030A" w:rsidRPr="00C0030A" w:rsidRDefault="00C0030A" w:rsidP="00C0030A">
            <w:pPr>
              <w:pStyle w:val="tabletext"/>
              <w:rPr>
                <w:lang w:val="en-US" w:eastAsia="en-US"/>
              </w:rPr>
            </w:pPr>
            <w:r w:rsidRPr="00C0030A">
              <w:rPr>
                <w:lang w:val="en-US" w:eastAsia="en-US"/>
              </w:rPr>
              <w:t>Subsections 709(1) and (1B)</w:t>
            </w:r>
          </w:p>
        </w:tc>
      </w:tr>
      <w:tr w:rsidR="00C0030A" w:rsidRPr="00C0030A" w14:paraId="381FB11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DB17199" w14:textId="77777777" w:rsidR="00C0030A" w:rsidRPr="00C0030A" w:rsidRDefault="00C0030A" w:rsidP="00C0030A">
            <w:pPr>
              <w:pStyle w:val="tabletext"/>
              <w:rPr>
                <w:lang w:val="en-US" w:eastAsia="en-US"/>
              </w:rPr>
            </w:pPr>
            <w:r w:rsidRPr="00C0030A">
              <w:rPr>
                <w:lang w:val="en-US" w:eastAsia="en-US"/>
              </w:rPr>
              <w:t>267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B5FDFF6" w14:textId="77777777" w:rsidR="00C0030A" w:rsidRPr="00C0030A" w:rsidRDefault="00C0030A" w:rsidP="00C0030A">
            <w:pPr>
              <w:pStyle w:val="tabletext"/>
              <w:rPr>
                <w:lang w:val="en-US" w:eastAsia="en-US"/>
              </w:rPr>
            </w:pPr>
            <w:r w:rsidRPr="00C0030A">
              <w:rPr>
                <w:lang w:val="en-US" w:eastAsia="en-US"/>
              </w:rPr>
              <w:t>Subsection 711(7) (heading)</w:t>
            </w:r>
          </w:p>
        </w:tc>
      </w:tr>
      <w:tr w:rsidR="00C0030A" w:rsidRPr="00C0030A" w14:paraId="1B960DE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D8A4B4" w14:textId="77777777" w:rsidR="00C0030A" w:rsidRPr="00C0030A" w:rsidRDefault="00C0030A" w:rsidP="00C0030A">
            <w:pPr>
              <w:pStyle w:val="tabletext"/>
              <w:rPr>
                <w:lang w:val="en-US" w:eastAsia="en-US"/>
              </w:rPr>
            </w:pPr>
            <w:r w:rsidRPr="00C0030A">
              <w:rPr>
                <w:lang w:val="en-US" w:eastAsia="en-US"/>
              </w:rPr>
              <w:t>268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C336AD4" w14:textId="77777777" w:rsidR="00C0030A" w:rsidRPr="00C0030A" w:rsidRDefault="00C0030A" w:rsidP="00C0030A">
            <w:pPr>
              <w:pStyle w:val="tabletext"/>
              <w:rPr>
                <w:lang w:val="en-US" w:eastAsia="en-US"/>
              </w:rPr>
            </w:pPr>
            <w:r w:rsidRPr="00C0030A">
              <w:rPr>
                <w:lang w:val="en-US" w:eastAsia="en-US"/>
              </w:rPr>
              <w:t>Paragraph 711(7)(a)</w:t>
            </w:r>
          </w:p>
        </w:tc>
      </w:tr>
      <w:tr w:rsidR="00C0030A" w:rsidRPr="00C0030A" w14:paraId="3FDCB49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6A003F3" w14:textId="77777777" w:rsidR="00C0030A" w:rsidRPr="00C0030A" w:rsidRDefault="00C0030A" w:rsidP="00C0030A">
            <w:pPr>
              <w:pStyle w:val="tabletext"/>
              <w:rPr>
                <w:lang w:val="en-US" w:eastAsia="en-US"/>
              </w:rPr>
            </w:pPr>
            <w:r w:rsidRPr="00C0030A">
              <w:rPr>
                <w:lang w:val="en-US" w:eastAsia="en-US"/>
              </w:rPr>
              <w:t>269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3C4617D" w14:textId="77777777" w:rsidR="00C0030A" w:rsidRPr="00C0030A" w:rsidRDefault="00C0030A" w:rsidP="00C0030A">
            <w:pPr>
              <w:pStyle w:val="tabletext"/>
              <w:rPr>
                <w:lang w:val="en-US" w:eastAsia="en-US"/>
              </w:rPr>
            </w:pPr>
            <w:r w:rsidRPr="00C0030A">
              <w:rPr>
                <w:lang w:val="en-US" w:eastAsia="en-US"/>
              </w:rPr>
              <w:t>Paragraph 711(7)(b)</w:t>
            </w:r>
          </w:p>
        </w:tc>
      </w:tr>
      <w:tr w:rsidR="00C0030A" w:rsidRPr="00C0030A" w14:paraId="4A73468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1086623" w14:textId="77777777" w:rsidR="00C0030A" w:rsidRPr="00C0030A" w:rsidRDefault="00C0030A" w:rsidP="00C0030A">
            <w:pPr>
              <w:pStyle w:val="tabletext"/>
              <w:rPr>
                <w:lang w:val="en-US" w:eastAsia="en-US"/>
              </w:rPr>
            </w:pPr>
            <w:r w:rsidRPr="00C0030A">
              <w:rPr>
                <w:lang w:val="en-US" w:eastAsia="en-US"/>
              </w:rPr>
              <w:t>270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A43146D" w14:textId="77777777" w:rsidR="00C0030A" w:rsidRPr="00C0030A" w:rsidRDefault="00C0030A" w:rsidP="00C0030A">
            <w:pPr>
              <w:pStyle w:val="tabletext"/>
              <w:rPr>
                <w:lang w:val="en-US" w:eastAsia="en-US"/>
              </w:rPr>
            </w:pPr>
            <w:r w:rsidRPr="00C0030A">
              <w:rPr>
                <w:lang w:val="en-US" w:eastAsia="en-US"/>
              </w:rPr>
              <w:t>Subsection 712(1) (heading)</w:t>
            </w:r>
          </w:p>
        </w:tc>
      </w:tr>
      <w:tr w:rsidR="00C0030A" w:rsidRPr="00C0030A" w14:paraId="2A5E535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3668ED3" w14:textId="77777777" w:rsidR="00C0030A" w:rsidRPr="00C0030A" w:rsidRDefault="00C0030A" w:rsidP="00C0030A">
            <w:pPr>
              <w:pStyle w:val="tabletext"/>
              <w:rPr>
                <w:lang w:val="en-US" w:eastAsia="en-US"/>
              </w:rPr>
            </w:pPr>
            <w:r w:rsidRPr="00C0030A">
              <w:rPr>
                <w:lang w:val="en-US" w:eastAsia="en-US"/>
              </w:rPr>
              <w:t>271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0821B4E" w14:textId="77777777" w:rsidR="00C0030A" w:rsidRPr="00C0030A" w:rsidRDefault="00C0030A" w:rsidP="00C0030A">
            <w:pPr>
              <w:pStyle w:val="tabletext"/>
              <w:rPr>
                <w:lang w:val="en-US" w:eastAsia="en-US"/>
              </w:rPr>
            </w:pPr>
            <w:r w:rsidRPr="00C0030A">
              <w:rPr>
                <w:lang w:val="en-US" w:eastAsia="en-US"/>
              </w:rPr>
              <w:t>Subsection 712(1)</w:t>
            </w:r>
          </w:p>
        </w:tc>
      </w:tr>
      <w:tr w:rsidR="00C0030A" w:rsidRPr="00C0030A" w14:paraId="7A86B1B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AFAF1A" w14:textId="77777777" w:rsidR="00C0030A" w:rsidRPr="00C0030A" w:rsidRDefault="00C0030A" w:rsidP="00C0030A">
            <w:pPr>
              <w:pStyle w:val="tabletext"/>
              <w:rPr>
                <w:lang w:val="en-US" w:eastAsia="en-US"/>
              </w:rPr>
            </w:pPr>
            <w:r w:rsidRPr="00C0030A">
              <w:rPr>
                <w:lang w:val="en-US" w:eastAsia="en-US"/>
              </w:rPr>
              <w:t>272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1DD86BD" w14:textId="77777777" w:rsidR="00C0030A" w:rsidRPr="00C0030A" w:rsidRDefault="00C0030A" w:rsidP="00C0030A">
            <w:pPr>
              <w:pStyle w:val="tabletext"/>
              <w:rPr>
                <w:lang w:val="en-US" w:eastAsia="en-US"/>
              </w:rPr>
            </w:pPr>
            <w:r w:rsidRPr="00C0030A">
              <w:rPr>
                <w:lang w:val="en-US" w:eastAsia="en-US"/>
              </w:rPr>
              <w:t>After subsection 712(1)</w:t>
            </w:r>
          </w:p>
        </w:tc>
      </w:tr>
      <w:tr w:rsidR="00C0030A" w:rsidRPr="00C0030A" w14:paraId="2AD911C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C5D7887" w14:textId="77777777" w:rsidR="00C0030A" w:rsidRPr="00C0030A" w:rsidRDefault="00C0030A" w:rsidP="00C0030A">
            <w:pPr>
              <w:pStyle w:val="tabletext"/>
              <w:rPr>
                <w:lang w:val="en-US" w:eastAsia="en-US"/>
              </w:rPr>
            </w:pPr>
            <w:r w:rsidRPr="00C0030A">
              <w:rPr>
                <w:lang w:val="en-US" w:eastAsia="en-US"/>
              </w:rPr>
              <w:t>273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8E596DA" w14:textId="77777777" w:rsidR="00C0030A" w:rsidRPr="00C0030A" w:rsidRDefault="00C0030A" w:rsidP="00C0030A">
            <w:pPr>
              <w:pStyle w:val="tabletext"/>
              <w:rPr>
                <w:lang w:val="en-US" w:eastAsia="en-US"/>
              </w:rPr>
            </w:pPr>
            <w:r w:rsidRPr="00C0030A">
              <w:rPr>
                <w:lang w:val="en-US" w:eastAsia="en-US"/>
              </w:rPr>
              <w:t>Subsection 712(4)</w:t>
            </w:r>
          </w:p>
        </w:tc>
      </w:tr>
      <w:tr w:rsidR="00C0030A" w:rsidRPr="00C0030A" w14:paraId="2CEE0AB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48C8876" w14:textId="77777777" w:rsidR="00C0030A" w:rsidRPr="00C0030A" w:rsidRDefault="00C0030A" w:rsidP="00C0030A">
            <w:pPr>
              <w:pStyle w:val="tabletext"/>
              <w:rPr>
                <w:lang w:val="en-US" w:eastAsia="en-US"/>
              </w:rPr>
            </w:pPr>
            <w:r w:rsidRPr="00C0030A">
              <w:rPr>
                <w:lang w:val="en-US" w:eastAsia="en-US"/>
              </w:rPr>
              <w:t>275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E5C1066" w14:textId="77777777" w:rsidR="00C0030A" w:rsidRPr="00C0030A" w:rsidRDefault="00C0030A" w:rsidP="00C0030A">
            <w:pPr>
              <w:pStyle w:val="tabletext"/>
              <w:rPr>
                <w:lang w:val="en-US" w:eastAsia="en-US"/>
              </w:rPr>
            </w:pPr>
            <w:r w:rsidRPr="00C0030A">
              <w:rPr>
                <w:lang w:val="en-US" w:eastAsia="en-US"/>
              </w:rPr>
              <w:t>Paragraph 713(3)(b)</w:t>
            </w:r>
          </w:p>
        </w:tc>
      </w:tr>
      <w:tr w:rsidR="00C0030A" w:rsidRPr="00C0030A" w14:paraId="1266EC7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31E23D0" w14:textId="77777777" w:rsidR="00C0030A" w:rsidRPr="00C0030A" w:rsidRDefault="00C0030A" w:rsidP="00C0030A">
            <w:pPr>
              <w:pStyle w:val="tabletext"/>
              <w:rPr>
                <w:lang w:val="en-US" w:eastAsia="en-US"/>
              </w:rPr>
            </w:pPr>
            <w:r w:rsidRPr="00C0030A">
              <w:rPr>
                <w:lang w:val="en-US" w:eastAsia="en-US"/>
              </w:rPr>
              <w:t>276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650BCC6" w14:textId="77777777" w:rsidR="00C0030A" w:rsidRPr="00C0030A" w:rsidRDefault="00C0030A" w:rsidP="00C0030A">
            <w:pPr>
              <w:pStyle w:val="tabletext"/>
              <w:rPr>
                <w:lang w:val="en-US" w:eastAsia="en-US"/>
              </w:rPr>
            </w:pPr>
            <w:r w:rsidRPr="00C0030A">
              <w:rPr>
                <w:lang w:val="en-US" w:eastAsia="en-US"/>
              </w:rPr>
              <w:t>Paragraph 713(4)(a)</w:t>
            </w:r>
          </w:p>
        </w:tc>
      </w:tr>
      <w:tr w:rsidR="00C0030A" w:rsidRPr="00C0030A" w14:paraId="2BD62E8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1899647" w14:textId="77777777" w:rsidR="00C0030A" w:rsidRPr="00C0030A" w:rsidRDefault="00C0030A" w:rsidP="00C0030A">
            <w:pPr>
              <w:pStyle w:val="tabletext"/>
              <w:rPr>
                <w:lang w:val="en-US" w:eastAsia="en-US"/>
              </w:rPr>
            </w:pPr>
            <w:r w:rsidRPr="00C0030A">
              <w:rPr>
                <w:lang w:val="en-US" w:eastAsia="en-US"/>
              </w:rPr>
              <w:t>277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656D27F" w14:textId="77777777" w:rsidR="00C0030A" w:rsidRPr="00C0030A" w:rsidRDefault="00C0030A" w:rsidP="00C0030A">
            <w:pPr>
              <w:pStyle w:val="tabletext"/>
              <w:rPr>
                <w:lang w:val="en-US" w:eastAsia="en-US"/>
              </w:rPr>
            </w:pPr>
            <w:r w:rsidRPr="00C0030A">
              <w:rPr>
                <w:lang w:val="en-US" w:eastAsia="en-US"/>
              </w:rPr>
              <w:t>Subsection 713B(5)</w:t>
            </w:r>
          </w:p>
        </w:tc>
      </w:tr>
      <w:tr w:rsidR="00C0030A" w:rsidRPr="00C0030A" w14:paraId="6AE80E6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2C3A318" w14:textId="77777777" w:rsidR="00C0030A" w:rsidRPr="00C0030A" w:rsidRDefault="00C0030A" w:rsidP="00C0030A">
            <w:pPr>
              <w:pStyle w:val="tabletext"/>
              <w:rPr>
                <w:lang w:val="en-US" w:eastAsia="en-US"/>
              </w:rPr>
            </w:pPr>
            <w:r w:rsidRPr="00C0030A">
              <w:rPr>
                <w:lang w:val="en-US" w:eastAsia="en-US"/>
              </w:rPr>
              <w:t>279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654B672" w14:textId="77777777" w:rsidR="00C0030A" w:rsidRPr="00C0030A" w:rsidRDefault="00C0030A" w:rsidP="00C0030A">
            <w:pPr>
              <w:pStyle w:val="tabletext"/>
              <w:rPr>
                <w:lang w:val="en-US" w:eastAsia="en-US"/>
              </w:rPr>
            </w:pPr>
            <w:r w:rsidRPr="00C0030A">
              <w:rPr>
                <w:lang w:val="en-US" w:eastAsia="en-US"/>
              </w:rPr>
              <w:t>Subsection 713C(1)</w:t>
            </w:r>
          </w:p>
        </w:tc>
      </w:tr>
      <w:tr w:rsidR="00C0030A" w:rsidRPr="00C0030A" w14:paraId="611ED8C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37C6658" w14:textId="77777777" w:rsidR="00C0030A" w:rsidRPr="00C0030A" w:rsidRDefault="00C0030A" w:rsidP="00C0030A">
            <w:pPr>
              <w:pStyle w:val="tabletext"/>
              <w:rPr>
                <w:lang w:val="en-US" w:eastAsia="en-US"/>
              </w:rPr>
            </w:pPr>
            <w:r w:rsidRPr="00C0030A">
              <w:rPr>
                <w:lang w:val="en-US" w:eastAsia="en-US"/>
              </w:rPr>
              <w:t>281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66F2658" w14:textId="77777777" w:rsidR="00C0030A" w:rsidRPr="00C0030A" w:rsidRDefault="00C0030A" w:rsidP="00C0030A">
            <w:pPr>
              <w:pStyle w:val="tabletext"/>
              <w:rPr>
                <w:lang w:val="en-US" w:eastAsia="en-US"/>
              </w:rPr>
            </w:pPr>
            <w:r w:rsidRPr="00C0030A">
              <w:rPr>
                <w:lang w:val="en-US" w:eastAsia="en-US"/>
              </w:rPr>
              <w:t>Paragraphs 713C(4)(a) and 713D(1)(b)</w:t>
            </w:r>
          </w:p>
        </w:tc>
      </w:tr>
      <w:tr w:rsidR="00C0030A" w:rsidRPr="00C0030A" w14:paraId="12DE3D4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6F5030" w14:textId="77777777" w:rsidR="00C0030A" w:rsidRPr="00C0030A" w:rsidRDefault="00C0030A" w:rsidP="00C0030A">
            <w:pPr>
              <w:pStyle w:val="tabletext"/>
              <w:rPr>
                <w:lang w:val="en-US" w:eastAsia="en-US"/>
              </w:rPr>
            </w:pPr>
            <w:r w:rsidRPr="00C0030A">
              <w:rPr>
                <w:lang w:val="en-US" w:eastAsia="en-US"/>
              </w:rPr>
              <w:t>283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46431FC" w14:textId="77777777" w:rsidR="00C0030A" w:rsidRPr="00C0030A" w:rsidRDefault="00C0030A" w:rsidP="00C0030A">
            <w:pPr>
              <w:pStyle w:val="tabletext"/>
              <w:rPr>
                <w:lang w:val="en-US" w:eastAsia="en-US"/>
              </w:rPr>
            </w:pPr>
            <w:r w:rsidRPr="00C0030A">
              <w:rPr>
                <w:lang w:val="en-US" w:eastAsia="en-US"/>
              </w:rPr>
              <w:t>Subsection 713D(3)</w:t>
            </w:r>
          </w:p>
        </w:tc>
      </w:tr>
      <w:tr w:rsidR="00C0030A" w:rsidRPr="00C0030A" w14:paraId="09C70D8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E1B77D" w14:textId="77777777" w:rsidR="00C0030A" w:rsidRPr="00C0030A" w:rsidRDefault="00C0030A" w:rsidP="00C0030A">
            <w:pPr>
              <w:pStyle w:val="tabletext"/>
              <w:rPr>
                <w:lang w:val="en-US" w:eastAsia="en-US"/>
              </w:rPr>
            </w:pPr>
            <w:r w:rsidRPr="00C0030A">
              <w:rPr>
                <w:lang w:val="en-US" w:eastAsia="en-US"/>
              </w:rPr>
              <w:t>284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849296D" w14:textId="77777777" w:rsidR="00C0030A" w:rsidRPr="00C0030A" w:rsidRDefault="00C0030A" w:rsidP="00C0030A">
            <w:pPr>
              <w:pStyle w:val="tabletext"/>
              <w:rPr>
                <w:lang w:val="en-US" w:eastAsia="en-US"/>
              </w:rPr>
            </w:pPr>
            <w:r w:rsidRPr="00C0030A">
              <w:rPr>
                <w:lang w:val="en-US" w:eastAsia="en-US"/>
              </w:rPr>
              <w:t>Section 713E (at the end of the heading)</w:t>
            </w:r>
          </w:p>
        </w:tc>
      </w:tr>
      <w:tr w:rsidR="00C0030A" w:rsidRPr="00C0030A" w14:paraId="77EB4F2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45F6A42" w14:textId="77777777" w:rsidR="00C0030A" w:rsidRPr="00C0030A" w:rsidRDefault="00C0030A" w:rsidP="00C0030A">
            <w:pPr>
              <w:pStyle w:val="tabletext"/>
              <w:rPr>
                <w:lang w:val="en-US" w:eastAsia="en-US"/>
              </w:rPr>
            </w:pPr>
            <w:r w:rsidRPr="00C0030A">
              <w:rPr>
                <w:lang w:val="en-US" w:eastAsia="en-US"/>
              </w:rPr>
              <w:t>285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B7C3ADF" w14:textId="77777777" w:rsidR="00C0030A" w:rsidRPr="00C0030A" w:rsidRDefault="00C0030A" w:rsidP="00C0030A">
            <w:pPr>
              <w:pStyle w:val="tabletext"/>
              <w:rPr>
                <w:lang w:val="en-US" w:eastAsia="en-US"/>
              </w:rPr>
            </w:pPr>
            <w:r w:rsidRPr="00C0030A">
              <w:rPr>
                <w:lang w:val="en-US" w:eastAsia="en-US"/>
              </w:rPr>
              <w:t>Subsection 713E(1)</w:t>
            </w:r>
          </w:p>
        </w:tc>
      </w:tr>
      <w:tr w:rsidR="00C0030A" w:rsidRPr="00C0030A" w14:paraId="039CD8D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947A831" w14:textId="77777777" w:rsidR="00C0030A" w:rsidRPr="00C0030A" w:rsidRDefault="00C0030A" w:rsidP="00C0030A">
            <w:pPr>
              <w:pStyle w:val="tabletext"/>
              <w:rPr>
                <w:lang w:val="en-US" w:eastAsia="en-US"/>
              </w:rPr>
            </w:pPr>
            <w:r w:rsidRPr="00C0030A">
              <w:rPr>
                <w:lang w:val="en-US" w:eastAsia="en-US"/>
              </w:rPr>
              <w:t>286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D0C155F" w14:textId="77777777" w:rsidR="00C0030A" w:rsidRPr="00C0030A" w:rsidRDefault="00C0030A" w:rsidP="00C0030A">
            <w:pPr>
              <w:pStyle w:val="tabletext"/>
              <w:rPr>
                <w:lang w:val="en-US" w:eastAsia="en-US"/>
              </w:rPr>
            </w:pPr>
            <w:r w:rsidRPr="00C0030A">
              <w:rPr>
                <w:lang w:val="en-US" w:eastAsia="en-US"/>
              </w:rPr>
              <w:t>Subsection 713E(4)</w:t>
            </w:r>
          </w:p>
        </w:tc>
      </w:tr>
      <w:tr w:rsidR="00C0030A" w:rsidRPr="00C0030A" w14:paraId="70E92AF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337AF8F" w14:textId="77777777" w:rsidR="00C0030A" w:rsidRPr="00C0030A" w:rsidRDefault="00C0030A" w:rsidP="00C0030A">
            <w:pPr>
              <w:pStyle w:val="tabletext"/>
              <w:rPr>
                <w:lang w:val="en-US" w:eastAsia="en-US"/>
              </w:rPr>
            </w:pPr>
            <w:r w:rsidRPr="00C0030A">
              <w:rPr>
                <w:lang w:val="en-US" w:eastAsia="en-US"/>
              </w:rPr>
              <w:t>287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A56D9A9" w14:textId="77777777" w:rsidR="00C0030A" w:rsidRPr="00C0030A" w:rsidRDefault="00C0030A" w:rsidP="00C0030A">
            <w:pPr>
              <w:pStyle w:val="tabletext"/>
              <w:rPr>
                <w:lang w:val="en-US" w:eastAsia="en-US"/>
              </w:rPr>
            </w:pPr>
            <w:r w:rsidRPr="00C0030A">
              <w:rPr>
                <w:lang w:val="en-US" w:eastAsia="en-US"/>
              </w:rPr>
              <w:t>At the end of subsection 713E(4)</w:t>
            </w:r>
          </w:p>
        </w:tc>
      </w:tr>
      <w:tr w:rsidR="00C0030A" w:rsidRPr="00C0030A" w14:paraId="2C60DED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C234331" w14:textId="77777777" w:rsidR="00C0030A" w:rsidRPr="00C0030A" w:rsidRDefault="00C0030A" w:rsidP="00C0030A">
            <w:pPr>
              <w:pStyle w:val="tabletext"/>
              <w:rPr>
                <w:lang w:val="en-US" w:eastAsia="en-US"/>
              </w:rPr>
            </w:pPr>
            <w:r w:rsidRPr="00C0030A">
              <w:rPr>
                <w:lang w:val="en-US" w:eastAsia="en-US"/>
              </w:rPr>
              <w:t>289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FD57E73" w14:textId="77777777" w:rsidR="00C0030A" w:rsidRPr="00C0030A" w:rsidRDefault="00C0030A" w:rsidP="00C0030A">
            <w:pPr>
              <w:pStyle w:val="tabletext"/>
              <w:rPr>
                <w:lang w:val="en-US" w:eastAsia="en-US"/>
              </w:rPr>
            </w:pPr>
            <w:r w:rsidRPr="00C0030A">
              <w:rPr>
                <w:lang w:val="en-US" w:eastAsia="en-US"/>
              </w:rPr>
              <w:t>At the end of section 713E</w:t>
            </w:r>
          </w:p>
        </w:tc>
      </w:tr>
      <w:tr w:rsidR="00C0030A" w:rsidRPr="00C0030A" w14:paraId="58B06E6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B51A883" w14:textId="77777777" w:rsidR="00C0030A" w:rsidRPr="00C0030A" w:rsidRDefault="00C0030A" w:rsidP="00C0030A">
            <w:pPr>
              <w:pStyle w:val="tabletext"/>
              <w:rPr>
                <w:lang w:val="en-US" w:eastAsia="en-US"/>
              </w:rPr>
            </w:pPr>
            <w:r w:rsidRPr="00C0030A">
              <w:rPr>
                <w:lang w:val="en-US" w:eastAsia="en-US"/>
              </w:rPr>
              <w:t>290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BA6B3B" w14:textId="77777777" w:rsidR="00C0030A" w:rsidRPr="00C0030A" w:rsidRDefault="00C0030A" w:rsidP="00C0030A">
            <w:pPr>
              <w:pStyle w:val="tabletext"/>
              <w:rPr>
                <w:lang w:val="en-US" w:eastAsia="en-US"/>
              </w:rPr>
            </w:pPr>
            <w:r w:rsidRPr="00C0030A">
              <w:rPr>
                <w:lang w:val="en-US" w:eastAsia="en-US"/>
              </w:rPr>
              <w:t>Subparagraph 714(1)(e)(</w:t>
            </w:r>
            <w:proofErr w:type="spellStart"/>
            <w:r w:rsidRPr="00C0030A">
              <w:rPr>
                <w:lang w:val="en-US" w:eastAsia="en-US"/>
              </w:rPr>
              <w:t>i</w:t>
            </w:r>
            <w:proofErr w:type="spellEnd"/>
            <w:r w:rsidRPr="00C0030A">
              <w:rPr>
                <w:lang w:val="en-US" w:eastAsia="en-US"/>
              </w:rPr>
              <w:t>)</w:t>
            </w:r>
          </w:p>
        </w:tc>
      </w:tr>
      <w:tr w:rsidR="00C0030A" w:rsidRPr="00C0030A" w14:paraId="614B215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3885990" w14:textId="77777777" w:rsidR="00C0030A" w:rsidRPr="00C0030A" w:rsidRDefault="00C0030A" w:rsidP="00C0030A">
            <w:pPr>
              <w:pStyle w:val="tabletext"/>
              <w:rPr>
                <w:lang w:val="en-US" w:eastAsia="en-US"/>
              </w:rPr>
            </w:pPr>
            <w:r w:rsidRPr="00C0030A">
              <w:rPr>
                <w:lang w:val="en-US" w:eastAsia="en-US"/>
              </w:rPr>
              <w:t>291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0E08B42" w14:textId="77777777" w:rsidR="00C0030A" w:rsidRPr="00C0030A" w:rsidRDefault="00C0030A" w:rsidP="00C0030A">
            <w:pPr>
              <w:pStyle w:val="tabletext"/>
              <w:rPr>
                <w:lang w:val="en-US" w:eastAsia="en-US"/>
              </w:rPr>
            </w:pPr>
            <w:r w:rsidRPr="00C0030A">
              <w:rPr>
                <w:lang w:val="en-US" w:eastAsia="en-US"/>
              </w:rPr>
              <w:t>Subparagraph 714(1)(e)(ii)</w:t>
            </w:r>
          </w:p>
        </w:tc>
      </w:tr>
      <w:tr w:rsidR="00C0030A" w:rsidRPr="00C0030A" w14:paraId="3604B94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A49FF10" w14:textId="77777777" w:rsidR="00C0030A" w:rsidRPr="00C0030A" w:rsidRDefault="00C0030A" w:rsidP="00C0030A">
            <w:pPr>
              <w:pStyle w:val="tabletext"/>
              <w:rPr>
                <w:lang w:val="en-US" w:eastAsia="en-US"/>
              </w:rPr>
            </w:pPr>
            <w:r w:rsidRPr="00C0030A">
              <w:rPr>
                <w:lang w:val="en-US" w:eastAsia="en-US"/>
              </w:rPr>
              <w:t>293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3CACC1A" w14:textId="77777777" w:rsidR="00C0030A" w:rsidRPr="00C0030A" w:rsidRDefault="00C0030A" w:rsidP="00C0030A">
            <w:pPr>
              <w:pStyle w:val="tabletext"/>
              <w:rPr>
                <w:lang w:val="en-US" w:eastAsia="en-US"/>
              </w:rPr>
            </w:pPr>
            <w:r w:rsidRPr="00C0030A">
              <w:rPr>
                <w:lang w:val="en-US" w:eastAsia="en-US"/>
              </w:rPr>
              <w:t>Subparagraph 715(1)(f)(</w:t>
            </w:r>
            <w:proofErr w:type="spellStart"/>
            <w:r w:rsidRPr="00C0030A">
              <w:rPr>
                <w:lang w:val="en-US" w:eastAsia="en-US"/>
              </w:rPr>
              <w:t>i</w:t>
            </w:r>
            <w:proofErr w:type="spellEnd"/>
            <w:r w:rsidRPr="00C0030A">
              <w:rPr>
                <w:lang w:val="en-US" w:eastAsia="en-US"/>
              </w:rPr>
              <w:t>)</w:t>
            </w:r>
          </w:p>
        </w:tc>
      </w:tr>
      <w:tr w:rsidR="00C0030A" w:rsidRPr="00C0030A" w14:paraId="7F6B500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E444BE7" w14:textId="77777777" w:rsidR="00C0030A" w:rsidRPr="00C0030A" w:rsidRDefault="00C0030A" w:rsidP="00C0030A">
            <w:pPr>
              <w:pStyle w:val="tabletext"/>
              <w:rPr>
                <w:lang w:val="en-US" w:eastAsia="en-US"/>
              </w:rPr>
            </w:pPr>
            <w:r w:rsidRPr="00C0030A">
              <w:rPr>
                <w:lang w:val="en-US" w:eastAsia="en-US"/>
              </w:rPr>
              <w:t>294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D20D3D4" w14:textId="77777777" w:rsidR="00C0030A" w:rsidRPr="00C0030A" w:rsidRDefault="00C0030A" w:rsidP="00C0030A">
            <w:pPr>
              <w:pStyle w:val="tabletext"/>
              <w:rPr>
                <w:lang w:val="en-US" w:eastAsia="en-US"/>
              </w:rPr>
            </w:pPr>
            <w:r w:rsidRPr="00C0030A">
              <w:rPr>
                <w:lang w:val="en-US" w:eastAsia="en-US"/>
              </w:rPr>
              <w:t>Subparagraph 715(1)(f)(ii)</w:t>
            </w:r>
          </w:p>
        </w:tc>
      </w:tr>
      <w:tr w:rsidR="00C0030A" w:rsidRPr="00C0030A" w14:paraId="39E44C7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2EAA2A4" w14:textId="77777777" w:rsidR="00C0030A" w:rsidRPr="00C0030A" w:rsidRDefault="00C0030A" w:rsidP="00C0030A">
            <w:pPr>
              <w:pStyle w:val="tabletext"/>
              <w:rPr>
                <w:lang w:val="en-US" w:eastAsia="en-US"/>
              </w:rPr>
            </w:pPr>
            <w:r w:rsidRPr="00C0030A">
              <w:rPr>
                <w:lang w:val="en-US" w:eastAsia="en-US"/>
              </w:rPr>
              <w:t>296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E6E55F5" w14:textId="77777777" w:rsidR="00C0030A" w:rsidRPr="00C0030A" w:rsidRDefault="00C0030A" w:rsidP="00C0030A">
            <w:pPr>
              <w:pStyle w:val="tabletext"/>
              <w:rPr>
                <w:lang w:val="en-US" w:eastAsia="en-US"/>
              </w:rPr>
            </w:pPr>
            <w:r w:rsidRPr="00C0030A">
              <w:rPr>
                <w:lang w:val="en-US" w:eastAsia="en-US"/>
              </w:rPr>
              <w:t>Subsections 716(1) and (1B)</w:t>
            </w:r>
          </w:p>
        </w:tc>
      </w:tr>
      <w:tr w:rsidR="00C0030A" w:rsidRPr="00C0030A" w14:paraId="77DBDFA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655DDAE" w14:textId="77777777" w:rsidR="00C0030A" w:rsidRPr="00C0030A" w:rsidRDefault="00C0030A" w:rsidP="00C0030A">
            <w:pPr>
              <w:pStyle w:val="tabletext"/>
              <w:rPr>
                <w:lang w:val="en-US" w:eastAsia="en-US"/>
              </w:rPr>
            </w:pPr>
            <w:r w:rsidRPr="00C0030A">
              <w:rPr>
                <w:lang w:val="en-US" w:eastAsia="en-US"/>
              </w:rPr>
              <w:t>297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7260007" w14:textId="77777777" w:rsidR="00C0030A" w:rsidRPr="00C0030A" w:rsidRDefault="00C0030A" w:rsidP="00C0030A">
            <w:pPr>
              <w:pStyle w:val="tabletext"/>
              <w:rPr>
                <w:lang w:val="en-US" w:eastAsia="en-US"/>
              </w:rPr>
            </w:pPr>
            <w:r w:rsidRPr="00C0030A">
              <w:rPr>
                <w:lang w:val="en-US" w:eastAsia="en-US"/>
              </w:rPr>
              <w:t>Paragraph 716(2)(c)</w:t>
            </w:r>
          </w:p>
        </w:tc>
      </w:tr>
      <w:tr w:rsidR="00C0030A" w:rsidRPr="00C0030A" w14:paraId="4B67194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91F5AEA" w14:textId="77777777" w:rsidR="00C0030A" w:rsidRPr="00C0030A" w:rsidRDefault="00C0030A" w:rsidP="00C0030A">
            <w:pPr>
              <w:pStyle w:val="tabletext"/>
              <w:rPr>
                <w:lang w:val="en-US" w:eastAsia="en-US"/>
              </w:rPr>
            </w:pPr>
            <w:r w:rsidRPr="00C0030A">
              <w:rPr>
                <w:lang w:val="en-US" w:eastAsia="en-US"/>
              </w:rPr>
              <w:t>298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2EF8FA9" w14:textId="77777777" w:rsidR="00C0030A" w:rsidRPr="00C0030A" w:rsidRDefault="00C0030A" w:rsidP="00C0030A">
            <w:pPr>
              <w:pStyle w:val="tabletext"/>
              <w:rPr>
                <w:lang w:val="en-US" w:eastAsia="en-US"/>
              </w:rPr>
            </w:pPr>
            <w:r w:rsidRPr="00C0030A">
              <w:rPr>
                <w:lang w:val="en-US" w:eastAsia="en-US"/>
              </w:rPr>
              <w:t>Section 717 (table item 2, column headed “Action required”)</w:t>
            </w:r>
          </w:p>
        </w:tc>
      </w:tr>
      <w:tr w:rsidR="00C0030A" w:rsidRPr="00C0030A" w14:paraId="0F1A99E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D411B7F" w14:textId="77777777" w:rsidR="00C0030A" w:rsidRPr="00C0030A" w:rsidRDefault="00C0030A" w:rsidP="00C0030A">
            <w:pPr>
              <w:pStyle w:val="tabletext"/>
              <w:rPr>
                <w:lang w:val="en-US" w:eastAsia="en-US"/>
              </w:rPr>
            </w:pPr>
            <w:r w:rsidRPr="00C0030A">
              <w:rPr>
                <w:lang w:val="en-US" w:eastAsia="en-US"/>
              </w:rPr>
              <w:t>299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C8B027" w14:textId="77777777" w:rsidR="00C0030A" w:rsidRPr="00C0030A" w:rsidRDefault="00C0030A" w:rsidP="00C0030A">
            <w:pPr>
              <w:pStyle w:val="tabletext"/>
              <w:rPr>
                <w:lang w:val="en-US" w:eastAsia="en-US"/>
              </w:rPr>
            </w:pPr>
            <w:r w:rsidRPr="00C0030A">
              <w:rPr>
                <w:lang w:val="en-US" w:eastAsia="en-US"/>
              </w:rPr>
              <w:t>Section 717 (table item 4, column headed “Action required”)</w:t>
            </w:r>
          </w:p>
        </w:tc>
      </w:tr>
      <w:tr w:rsidR="00C0030A" w:rsidRPr="00C0030A" w14:paraId="2BB81FB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A8F865F" w14:textId="77777777" w:rsidR="00C0030A" w:rsidRPr="00C0030A" w:rsidRDefault="00C0030A" w:rsidP="00C0030A">
            <w:pPr>
              <w:pStyle w:val="tabletext"/>
              <w:rPr>
                <w:lang w:val="en-US" w:eastAsia="en-US"/>
              </w:rPr>
            </w:pPr>
            <w:r w:rsidRPr="00C0030A">
              <w:rPr>
                <w:lang w:val="en-US" w:eastAsia="en-US"/>
              </w:rPr>
              <w:t>300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228E41" w14:textId="77777777" w:rsidR="00C0030A" w:rsidRPr="00C0030A" w:rsidRDefault="00C0030A" w:rsidP="00C0030A">
            <w:pPr>
              <w:pStyle w:val="tabletext"/>
              <w:rPr>
                <w:lang w:val="en-US" w:eastAsia="en-US"/>
              </w:rPr>
            </w:pPr>
            <w:r w:rsidRPr="00C0030A">
              <w:rPr>
                <w:lang w:val="en-US" w:eastAsia="en-US"/>
              </w:rPr>
              <w:t>Subsection 718(1)</w:t>
            </w:r>
          </w:p>
        </w:tc>
      </w:tr>
      <w:tr w:rsidR="00C0030A" w:rsidRPr="00C0030A" w14:paraId="1F5769C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1A6847A" w14:textId="77777777" w:rsidR="00C0030A" w:rsidRPr="00C0030A" w:rsidRDefault="00C0030A" w:rsidP="00C0030A">
            <w:pPr>
              <w:pStyle w:val="tabletext"/>
              <w:rPr>
                <w:lang w:val="en-US" w:eastAsia="en-US"/>
              </w:rPr>
            </w:pPr>
            <w:r w:rsidRPr="00C0030A">
              <w:rPr>
                <w:lang w:val="en-US" w:eastAsia="en-US"/>
              </w:rPr>
              <w:t>301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C352EF5" w14:textId="77777777" w:rsidR="00C0030A" w:rsidRPr="00C0030A" w:rsidRDefault="00C0030A" w:rsidP="00C0030A">
            <w:pPr>
              <w:pStyle w:val="tabletext"/>
              <w:rPr>
                <w:lang w:val="en-US" w:eastAsia="en-US"/>
              </w:rPr>
            </w:pPr>
            <w:r w:rsidRPr="00C0030A">
              <w:rPr>
                <w:lang w:val="en-US" w:eastAsia="en-US"/>
              </w:rPr>
              <w:t>Subsection 718(1) (note 3)</w:t>
            </w:r>
          </w:p>
        </w:tc>
      </w:tr>
      <w:tr w:rsidR="00C0030A" w:rsidRPr="00C0030A" w14:paraId="1572C63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8121F2" w14:textId="77777777" w:rsidR="00C0030A" w:rsidRPr="00C0030A" w:rsidRDefault="00C0030A" w:rsidP="00C0030A">
            <w:pPr>
              <w:pStyle w:val="tabletext"/>
              <w:rPr>
                <w:lang w:val="en-US" w:eastAsia="en-US"/>
              </w:rPr>
            </w:pPr>
            <w:r w:rsidRPr="00C0030A">
              <w:rPr>
                <w:lang w:val="en-US" w:eastAsia="en-US"/>
              </w:rPr>
              <w:t>303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0004563" w14:textId="77777777" w:rsidR="00C0030A" w:rsidRPr="00C0030A" w:rsidRDefault="00C0030A" w:rsidP="00C0030A">
            <w:pPr>
              <w:pStyle w:val="tabletext"/>
              <w:rPr>
                <w:lang w:val="en-US" w:eastAsia="en-US"/>
              </w:rPr>
            </w:pPr>
            <w:r w:rsidRPr="00C0030A">
              <w:rPr>
                <w:lang w:val="en-US" w:eastAsia="en-US"/>
              </w:rPr>
              <w:t>Subsections 719(1) and (1A)</w:t>
            </w:r>
          </w:p>
        </w:tc>
      </w:tr>
      <w:tr w:rsidR="00C0030A" w:rsidRPr="00C0030A" w14:paraId="674C7E4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F2A6732" w14:textId="77777777" w:rsidR="00C0030A" w:rsidRPr="00C0030A" w:rsidRDefault="00C0030A" w:rsidP="00C0030A">
            <w:pPr>
              <w:pStyle w:val="tabletext"/>
              <w:rPr>
                <w:lang w:val="en-US" w:eastAsia="en-US"/>
              </w:rPr>
            </w:pPr>
            <w:r w:rsidRPr="00C0030A">
              <w:rPr>
                <w:lang w:val="en-US" w:eastAsia="en-US"/>
              </w:rPr>
              <w:t>304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8C5CCBE" w14:textId="77777777" w:rsidR="00C0030A" w:rsidRPr="00C0030A" w:rsidRDefault="00C0030A" w:rsidP="00C0030A">
            <w:pPr>
              <w:pStyle w:val="tabletext"/>
              <w:rPr>
                <w:lang w:val="en-US" w:eastAsia="en-US"/>
              </w:rPr>
            </w:pPr>
            <w:r w:rsidRPr="00C0030A">
              <w:rPr>
                <w:lang w:val="en-US" w:eastAsia="en-US"/>
              </w:rPr>
              <w:t>Paragraph 719(2)(c)</w:t>
            </w:r>
          </w:p>
        </w:tc>
      </w:tr>
      <w:tr w:rsidR="00C0030A" w:rsidRPr="00C0030A" w14:paraId="74D797C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C960B50" w14:textId="77777777" w:rsidR="00C0030A" w:rsidRPr="00C0030A" w:rsidRDefault="00C0030A" w:rsidP="00C0030A">
            <w:pPr>
              <w:pStyle w:val="tabletext"/>
              <w:rPr>
                <w:lang w:val="en-US" w:eastAsia="en-US"/>
              </w:rPr>
            </w:pPr>
            <w:r w:rsidRPr="00C0030A">
              <w:rPr>
                <w:lang w:val="en-US" w:eastAsia="en-US"/>
              </w:rPr>
              <w:t>305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33CF6DF" w14:textId="77777777" w:rsidR="00C0030A" w:rsidRPr="00C0030A" w:rsidRDefault="00C0030A" w:rsidP="00C0030A">
            <w:pPr>
              <w:pStyle w:val="tabletext"/>
              <w:rPr>
                <w:lang w:val="en-US" w:eastAsia="en-US"/>
              </w:rPr>
            </w:pPr>
            <w:r w:rsidRPr="00C0030A">
              <w:rPr>
                <w:lang w:val="en-US" w:eastAsia="en-US"/>
              </w:rPr>
              <w:t>Subsection 719(2)</w:t>
            </w:r>
          </w:p>
        </w:tc>
      </w:tr>
      <w:tr w:rsidR="00C0030A" w:rsidRPr="00C0030A" w14:paraId="1F2D5BD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DE5EA03" w14:textId="77777777" w:rsidR="00C0030A" w:rsidRPr="00C0030A" w:rsidRDefault="00C0030A" w:rsidP="00C0030A">
            <w:pPr>
              <w:pStyle w:val="tabletext"/>
              <w:rPr>
                <w:lang w:val="en-US" w:eastAsia="en-US"/>
              </w:rPr>
            </w:pPr>
            <w:r w:rsidRPr="00C0030A">
              <w:rPr>
                <w:lang w:val="en-US" w:eastAsia="en-US"/>
              </w:rPr>
              <w:t>306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84F2438" w14:textId="77777777" w:rsidR="00C0030A" w:rsidRPr="00C0030A" w:rsidRDefault="00C0030A" w:rsidP="00C0030A">
            <w:pPr>
              <w:pStyle w:val="tabletext"/>
              <w:rPr>
                <w:lang w:val="en-US" w:eastAsia="en-US"/>
              </w:rPr>
            </w:pPr>
            <w:r w:rsidRPr="00C0030A">
              <w:rPr>
                <w:lang w:val="en-US" w:eastAsia="en-US"/>
              </w:rPr>
              <w:t>Subsections 719(3) to (5)</w:t>
            </w:r>
          </w:p>
        </w:tc>
      </w:tr>
      <w:tr w:rsidR="00C0030A" w:rsidRPr="00C0030A" w14:paraId="7475F8A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A297611" w14:textId="77777777" w:rsidR="00C0030A" w:rsidRPr="00C0030A" w:rsidRDefault="00C0030A" w:rsidP="00C0030A">
            <w:pPr>
              <w:pStyle w:val="tabletext"/>
              <w:rPr>
                <w:lang w:val="en-US" w:eastAsia="en-US"/>
              </w:rPr>
            </w:pPr>
            <w:r w:rsidRPr="00C0030A">
              <w:rPr>
                <w:lang w:val="en-US" w:eastAsia="en-US"/>
              </w:rPr>
              <w:t>307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A322AD" w14:textId="77777777" w:rsidR="00C0030A" w:rsidRPr="00C0030A" w:rsidRDefault="00C0030A" w:rsidP="00C0030A">
            <w:pPr>
              <w:pStyle w:val="tabletext"/>
              <w:rPr>
                <w:lang w:val="en-US" w:eastAsia="en-US"/>
              </w:rPr>
            </w:pPr>
            <w:r w:rsidRPr="00C0030A">
              <w:rPr>
                <w:lang w:val="en-US" w:eastAsia="en-US"/>
              </w:rPr>
              <w:t>Subparagraphs 719A(1)(c)(</w:t>
            </w:r>
            <w:proofErr w:type="spellStart"/>
            <w:r w:rsidRPr="00C0030A">
              <w:rPr>
                <w:lang w:val="en-US" w:eastAsia="en-US"/>
              </w:rPr>
              <w:t>i</w:t>
            </w:r>
            <w:proofErr w:type="spellEnd"/>
            <w:r w:rsidRPr="00C0030A">
              <w:rPr>
                <w:lang w:val="en-US" w:eastAsia="en-US"/>
              </w:rPr>
              <w:t>) and (1)(d)(ii)</w:t>
            </w:r>
          </w:p>
        </w:tc>
      </w:tr>
      <w:tr w:rsidR="00C0030A" w:rsidRPr="00C0030A" w14:paraId="35E612D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CD1D6AB" w14:textId="77777777" w:rsidR="00C0030A" w:rsidRPr="00C0030A" w:rsidRDefault="00C0030A" w:rsidP="00C0030A">
            <w:pPr>
              <w:pStyle w:val="tabletext"/>
              <w:rPr>
                <w:lang w:val="en-US" w:eastAsia="en-US"/>
              </w:rPr>
            </w:pPr>
            <w:r w:rsidRPr="00C0030A">
              <w:rPr>
                <w:lang w:val="en-US" w:eastAsia="en-US"/>
              </w:rPr>
              <w:t>308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9254572" w14:textId="77777777" w:rsidR="00C0030A" w:rsidRPr="00C0030A" w:rsidRDefault="00C0030A" w:rsidP="00C0030A">
            <w:pPr>
              <w:pStyle w:val="tabletext"/>
              <w:rPr>
                <w:lang w:val="en-US" w:eastAsia="en-US"/>
              </w:rPr>
            </w:pPr>
            <w:r w:rsidRPr="00C0030A">
              <w:rPr>
                <w:lang w:val="en-US" w:eastAsia="en-US"/>
              </w:rPr>
              <w:t>Paragraph 719A(1)(e)</w:t>
            </w:r>
          </w:p>
        </w:tc>
      </w:tr>
      <w:tr w:rsidR="00C0030A" w:rsidRPr="00C0030A" w14:paraId="075EB72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66D6F36" w14:textId="77777777" w:rsidR="00C0030A" w:rsidRPr="00C0030A" w:rsidRDefault="00C0030A" w:rsidP="00C0030A">
            <w:pPr>
              <w:pStyle w:val="tabletext"/>
              <w:rPr>
                <w:lang w:val="en-US" w:eastAsia="en-US"/>
              </w:rPr>
            </w:pPr>
            <w:r w:rsidRPr="00C0030A">
              <w:rPr>
                <w:lang w:val="en-US" w:eastAsia="en-US"/>
              </w:rPr>
              <w:t>309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5051CB" w14:textId="77777777" w:rsidR="00C0030A" w:rsidRPr="00C0030A" w:rsidRDefault="00C0030A" w:rsidP="00C0030A">
            <w:pPr>
              <w:pStyle w:val="tabletext"/>
              <w:rPr>
                <w:lang w:val="en-US" w:eastAsia="en-US"/>
              </w:rPr>
            </w:pPr>
            <w:r w:rsidRPr="00C0030A">
              <w:rPr>
                <w:lang w:val="en-US" w:eastAsia="en-US"/>
              </w:rPr>
              <w:t>Subsections 719A(2) and (3)</w:t>
            </w:r>
          </w:p>
        </w:tc>
      </w:tr>
      <w:tr w:rsidR="00C0030A" w:rsidRPr="00C0030A" w14:paraId="795D04E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7A54E46" w14:textId="77777777" w:rsidR="00C0030A" w:rsidRPr="00C0030A" w:rsidRDefault="00C0030A" w:rsidP="00C0030A">
            <w:pPr>
              <w:pStyle w:val="tabletext"/>
              <w:rPr>
                <w:lang w:val="en-US" w:eastAsia="en-US"/>
              </w:rPr>
            </w:pPr>
            <w:r w:rsidRPr="00C0030A">
              <w:rPr>
                <w:lang w:val="en-US" w:eastAsia="en-US"/>
              </w:rPr>
              <w:t>311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BB8BDF9" w14:textId="77777777" w:rsidR="00C0030A" w:rsidRPr="00C0030A" w:rsidRDefault="00C0030A" w:rsidP="00C0030A">
            <w:pPr>
              <w:pStyle w:val="tabletext"/>
              <w:rPr>
                <w:lang w:val="en-US" w:eastAsia="en-US"/>
              </w:rPr>
            </w:pPr>
            <w:r w:rsidRPr="00C0030A">
              <w:rPr>
                <w:lang w:val="en-US" w:eastAsia="en-US"/>
              </w:rPr>
              <w:t>Paragraph 719A(4)(c)</w:t>
            </w:r>
          </w:p>
        </w:tc>
      </w:tr>
      <w:tr w:rsidR="00C0030A" w:rsidRPr="00C0030A" w14:paraId="67556C1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091C6BF" w14:textId="77777777" w:rsidR="00C0030A" w:rsidRPr="00C0030A" w:rsidRDefault="00C0030A" w:rsidP="00C0030A">
            <w:pPr>
              <w:pStyle w:val="tabletext"/>
              <w:rPr>
                <w:lang w:val="en-US" w:eastAsia="en-US"/>
              </w:rPr>
            </w:pPr>
            <w:r w:rsidRPr="00C0030A">
              <w:rPr>
                <w:lang w:val="en-US" w:eastAsia="en-US"/>
              </w:rPr>
              <w:t>312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382431C" w14:textId="77777777" w:rsidR="00C0030A" w:rsidRPr="00C0030A" w:rsidRDefault="00C0030A" w:rsidP="00C0030A">
            <w:pPr>
              <w:pStyle w:val="tabletext"/>
              <w:rPr>
                <w:lang w:val="en-US" w:eastAsia="en-US"/>
              </w:rPr>
            </w:pPr>
            <w:r w:rsidRPr="00C0030A">
              <w:rPr>
                <w:lang w:val="en-US" w:eastAsia="en-US"/>
              </w:rPr>
              <w:t>Subsection 719A(4)</w:t>
            </w:r>
          </w:p>
        </w:tc>
      </w:tr>
      <w:tr w:rsidR="00C0030A" w:rsidRPr="00C0030A" w14:paraId="35191E5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32017A7" w14:textId="77777777" w:rsidR="00C0030A" w:rsidRPr="00C0030A" w:rsidRDefault="00C0030A" w:rsidP="00C0030A">
            <w:pPr>
              <w:pStyle w:val="tabletext"/>
              <w:rPr>
                <w:lang w:val="en-US" w:eastAsia="en-US"/>
              </w:rPr>
            </w:pPr>
            <w:r w:rsidRPr="00C0030A">
              <w:rPr>
                <w:lang w:val="en-US" w:eastAsia="en-US"/>
              </w:rPr>
              <w:t>313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1383A16" w14:textId="77777777" w:rsidR="00C0030A" w:rsidRPr="00C0030A" w:rsidRDefault="00C0030A" w:rsidP="00C0030A">
            <w:pPr>
              <w:pStyle w:val="tabletext"/>
              <w:rPr>
                <w:lang w:val="en-US" w:eastAsia="en-US"/>
              </w:rPr>
            </w:pPr>
            <w:r w:rsidRPr="00C0030A">
              <w:rPr>
                <w:lang w:val="en-US" w:eastAsia="en-US"/>
              </w:rPr>
              <w:t>Subsections 719A(5) to (9)</w:t>
            </w:r>
          </w:p>
        </w:tc>
      </w:tr>
      <w:tr w:rsidR="00C0030A" w:rsidRPr="00C0030A" w14:paraId="327E35D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FAE6406" w14:textId="77777777" w:rsidR="00C0030A" w:rsidRPr="00C0030A" w:rsidRDefault="00C0030A" w:rsidP="00C0030A">
            <w:pPr>
              <w:pStyle w:val="tabletext"/>
              <w:rPr>
                <w:lang w:val="en-US" w:eastAsia="en-US"/>
              </w:rPr>
            </w:pPr>
            <w:r w:rsidRPr="00C0030A">
              <w:rPr>
                <w:lang w:val="en-US" w:eastAsia="en-US"/>
              </w:rPr>
              <w:t>314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040014A" w14:textId="77777777" w:rsidR="00C0030A" w:rsidRPr="00C0030A" w:rsidRDefault="00C0030A" w:rsidP="00C0030A">
            <w:pPr>
              <w:pStyle w:val="tabletext"/>
              <w:rPr>
                <w:lang w:val="en-US" w:eastAsia="en-US"/>
              </w:rPr>
            </w:pPr>
            <w:r w:rsidRPr="00C0030A">
              <w:rPr>
                <w:lang w:val="en-US" w:eastAsia="en-US"/>
              </w:rPr>
              <w:t>Section 720</w:t>
            </w:r>
          </w:p>
        </w:tc>
      </w:tr>
      <w:tr w:rsidR="00C0030A" w:rsidRPr="00C0030A" w14:paraId="20E83EB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EE38D23" w14:textId="77777777" w:rsidR="00C0030A" w:rsidRPr="00C0030A" w:rsidRDefault="00C0030A" w:rsidP="00C0030A">
            <w:pPr>
              <w:pStyle w:val="tabletext"/>
              <w:rPr>
                <w:lang w:val="en-US" w:eastAsia="en-US"/>
              </w:rPr>
            </w:pPr>
            <w:r w:rsidRPr="00C0030A">
              <w:rPr>
                <w:lang w:val="en-US" w:eastAsia="en-US"/>
              </w:rPr>
              <w:lastRenderedPageBreak/>
              <w:t>315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AAA4364" w14:textId="77777777" w:rsidR="00C0030A" w:rsidRPr="00C0030A" w:rsidRDefault="00C0030A" w:rsidP="00C0030A">
            <w:pPr>
              <w:pStyle w:val="tabletext"/>
              <w:rPr>
                <w:lang w:val="en-US" w:eastAsia="en-US"/>
              </w:rPr>
            </w:pPr>
            <w:r w:rsidRPr="00C0030A">
              <w:rPr>
                <w:lang w:val="en-US" w:eastAsia="en-US"/>
              </w:rPr>
              <w:t>Subparagraph 724(1)(d)(</w:t>
            </w:r>
            <w:proofErr w:type="spellStart"/>
            <w:r w:rsidRPr="00C0030A">
              <w:rPr>
                <w:lang w:val="en-US" w:eastAsia="en-US"/>
              </w:rPr>
              <w:t>i</w:t>
            </w:r>
            <w:proofErr w:type="spellEnd"/>
            <w:r w:rsidRPr="00C0030A">
              <w:rPr>
                <w:lang w:val="en-US" w:eastAsia="en-US"/>
              </w:rPr>
              <w:t>)</w:t>
            </w:r>
          </w:p>
        </w:tc>
      </w:tr>
      <w:tr w:rsidR="00C0030A" w:rsidRPr="00C0030A" w14:paraId="203204E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8BA3E09" w14:textId="77777777" w:rsidR="00C0030A" w:rsidRPr="00C0030A" w:rsidRDefault="00C0030A" w:rsidP="00C0030A">
            <w:pPr>
              <w:pStyle w:val="tabletext"/>
              <w:rPr>
                <w:lang w:val="en-US" w:eastAsia="en-US"/>
              </w:rPr>
            </w:pPr>
            <w:r w:rsidRPr="00C0030A">
              <w:rPr>
                <w:lang w:val="en-US" w:eastAsia="en-US"/>
              </w:rPr>
              <w:t>316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BEA8D0C" w14:textId="77777777" w:rsidR="00C0030A" w:rsidRPr="00C0030A" w:rsidRDefault="00C0030A" w:rsidP="00C0030A">
            <w:pPr>
              <w:pStyle w:val="tabletext"/>
              <w:rPr>
                <w:lang w:val="en-US" w:eastAsia="en-US"/>
              </w:rPr>
            </w:pPr>
            <w:r w:rsidRPr="00C0030A">
              <w:rPr>
                <w:lang w:val="en-US" w:eastAsia="en-US"/>
              </w:rPr>
              <w:t>Subsection 727(1)</w:t>
            </w:r>
          </w:p>
        </w:tc>
      </w:tr>
      <w:tr w:rsidR="00C0030A" w:rsidRPr="00C0030A" w14:paraId="4381059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9F25826" w14:textId="77777777" w:rsidR="00C0030A" w:rsidRPr="00C0030A" w:rsidRDefault="00C0030A" w:rsidP="00C0030A">
            <w:pPr>
              <w:pStyle w:val="tabletext"/>
              <w:rPr>
                <w:lang w:val="en-US" w:eastAsia="en-US"/>
              </w:rPr>
            </w:pPr>
            <w:r w:rsidRPr="00C0030A">
              <w:rPr>
                <w:lang w:val="en-US" w:eastAsia="en-US"/>
              </w:rPr>
              <w:t>317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12C81EC" w14:textId="77777777" w:rsidR="00C0030A" w:rsidRPr="00C0030A" w:rsidRDefault="00C0030A" w:rsidP="00C0030A">
            <w:pPr>
              <w:pStyle w:val="tabletext"/>
              <w:rPr>
                <w:lang w:val="en-US" w:eastAsia="en-US"/>
              </w:rPr>
            </w:pPr>
            <w:r w:rsidRPr="00C0030A">
              <w:rPr>
                <w:lang w:val="en-US" w:eastAsia="en-US"/>
              </w:rPr>
              <w:t>Subparagraphs 728(1)(c)(</w:t>
            </w:r>
            <w:proofErr w:type="spellStart"/>
            <w:r w:rsidRPr="00C0030A">
              <w:rPr>
                <w:lang w:val="en-US" w:eastAsia="en-US"/>
              </w:rPr>
              <w:t>i</w:t>
            </w:r>
            <w:proofErr w:type="spellEnd"/>
            <w:r w:rsidRPr="00C0030A">
              <w:rPr>
                <w:lang w:val="en-US" w:eastAsia="en-US"/>
              </w:rPr>
              <w:t>) and 730(1)(c)(</w:t>
            </w:r>
            <w:proofErr w:type="spellStart"/>
            <w:r w:rsidRPr="00C0030A">
              <w:rPr>
                <w:lang w:val="en-US" w:eastAsia="en-US"/>
              </w:rPr>
              <w:t>i</w:t>
            </w:r>
            <w:proofErr w:type="spellEnd"/>
            <w:r w:rsidRPr="00C0030A">
              <w:rPr>
                <w:lang w:val="en-US" w:eastAsia="en-US"/>
              </w:rPr>
              <w:t>)</w:t>
            </w:r>
          </w:p>
        </w:tc>
      </w:tr>
      <w:tr w:rsidR="00C0030A" w:rsidRPr="00C0030A" w14:paraId="454FD1E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C036F0" w14:textId="77777777" w:rsidR="00C0030A" w:rsidRPr="00C0030A" w:rsidRDefault="00C0030A" w:rsidP="00C0030A">
            <w:pPr>
              <w:pStyle w:val="tabletext"/>
              <w:rPr>
                <w:lang w:val="en-US" w:eastAsia="en-US"/>
              </w:rPr>
            </w:pPr>
            <w:r w:rsidRPr="00C0030A">
              <w:rPr>
                <w:lang w:val="en-US" w:eastAsia="en-US"/>
              </w:rPr>
              <w:t>318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088129" w14:textId="77777777" w:rsidR="00C0030A" w:rsidRPr="00C0030A" w:rsidRDefault="00C0030A" w:rsidP="00C0030A">
            <w:pPr>
              <w:pStyle w:val="tabletext"/>
              <w:rPr>
                <w:lang w:val="en-US" w:eastAsia="en-US"/>
              </w:rPr>
            </w:pPr>
            <w:r w:rsidRPr="00C0030A">
              <w:rPr>
                <w:lang w:val="en-US" w:eastAsia="en-US"/>
              </w:rPr>
              <w:t>Subsection 733(4)</w:t>
            </w:r>
          </w:p>
        </w:tc>
      </w:tr>
      <w:tr w:rsidR="00C0030A" w:rsidRPr="00C0030A" w14:paraId="504E5BB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234FDEA" w14:textId="77777777" w:rsidR="00C0030A" w:rsidRPr="00C0030A" w:rsidRDefault="00C0030A" w:rsidP="00C0030A">
            <w:pPr>
              <w:pStyle w:val="tabletext"/>
              <w:rPr>
                <w:lang w:val="en-US" w:eastAsia="en-US"/>
              </w:rPr>
            </w:pPr>
            <w:r w:rsidRPr="00C0030A">
              <w:rPr>
                <w:lang w:val="en-US" w:eastAsia="en-US"/>
              </w:rPr>
              <w:t>319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5FDAFCE" w14:textId="77777777" w:rsidR="00C0030A" w:rsidRPr="00C0030A" w:rsidRDefault="00C0030A" w:rsidP="00C0030A">
            <w:pPr>
              <w:pStyle w:val="tabletext"/>
              <w:rPr>
                <w:lang w:val="en-US" w:eastAsia="en-US"/>
              </w:rPr>
            </w:pPr>
            <w:r w:rsidRPr="00C0030A">
              <w:rPr>
                <w:lang w:val="en-US" w:eastAsia="en-US"/>
              </w:rPr>
              <w:t>Subsection 734(4)</w:t>
            </w:r>
          </w:p>
        </w:tc>
      </w:tr>
      <w:tr w:rsidR="00C0030A" w:rsidRPr="00C0030A" w14:paraId="5035E95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92121D7" w14:textId="77777777" w:rsidR="00C0030A" w:rsidRPr="00C0030A" w:rsidRDefault="00C0030A" w:rsidP="00C0030A">
            <w:pPr>
              <w:pStyle w:val="tabletext"/>
              <w:rPr>
                <w:lang w:val="en-US" w:eastAsia="en-US"/>
              </w:rPr>
            </w:pPr>
            <w:r w:rsidRPr="00C0030A">
              <w:rPr>
                <w:lang w:val="en-US" w:eastAsia="en-US"/>
              </w:rPr>
              <w:t>320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71C354F" w14:textId="77777777" w:rsidR="00C0030A" w:rsidRPr="00C0030A" w:rsidRDefault="00C0030A" w:rsidP="00C0030A">
            <w:pPr>
              <w:pStyle w:val="tabletext"/>
              <w:rPr>
                <w:lang w:val="en-US" w:eastAsia="en-US"/>
              </w:rPr>
            </w:pPr>
            <w:r w:rsidRPr="00C0030A">
              <w:rPr>
                <w:lang w:val="en-US" w:eastAsia="en-US"/>
              </w:rPr>
              <w:t>Subparagraph 738ZG(9)(b)(</w:t>
            </w:r>
            <w:proofErr w:type="spellStart"/>
            <w:r w:rsidRPr="00C0030A">
              <w:rPr>
                <w:lang w:val="en-US" w:eastAsia="en-US"/>
              </w:rPr>
              <w:t>i</w:t>
            </w:r>
            <w:proofErr w:type="spellEnd"/>
            <w:r w:rsidRPr="00C0030A">
              <w:rPr>
                <w:lang w:val="en-US" w:eastAsia="en-US"/>
              </w:rPr>
              <w:t>)</w:t>
            </w:r>
          </w:p>
        </w:tc>
      </w:tr>
      <w:tr w:rsidR="00C0030A" w:rsidRPr="00C0030A" w14:paraId="312E9D3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F46BAE7" w14:textId="77777777" w:rsidR="00C0030A" w:rsidRPr="00C0030A" w:rsidRDefault="00C0030A" w:rsidP="00C0030A">
            <w:pPr>
              <w:pStyle w:val="tabletext"/>
              <w:rPr>
                <w:lang w:val="en-US" w:eastAsia="en-US"/>
              </w:rPr>
            </w:pPr>
            <w:r w:rsidRPr="00C0030A">
              <w:rPr>
                <w:lang w:val="en-US" w:eastAsia="en-US"/>
              </w:rPr>
              <w:t>321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77CFE25" w14:textId="77777777" w:rsidR="00C0030A" w:rsidRPr="00C0030A" w:rsidRDefault="00C0030A" w:rsidP="00C0030A">
            <w:pPr>
              <w:pStyle w:val="tabletext"/>
              <w:rPr>
                <w:lang w:val="en-US" w:eastAsia="en-US"/>
              </w:rPr>
            </w:pPr>
            <w:r w:rsidRPr="00C0030A">
              <w:rPr>
                <w:lang w:val="en-US" w:eastAsia="en-US"/>
              </w:rPr>
              <w:t>Paragraphs 739(1)(a) and (b)</w:t>
            </w:r>
          </w:p>
        </w:tc>
      </w:tr>
      <w:tr w:rsidR="00C0030A" w:rsidRPr="00C0030A" w14:paraId="6233EDE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4515324" w14:textId="77777777" w:rsidR="00C0030A" w:rsidRPr="00C0030A" w:rsidRDefault="00C0030A" w:rsidP="00C0030A">
            <w:pPr>
              <w:pStyle w:val="tabletext"/>
              <w:rPr>
                <w:lang w:val="en-US" w:eastAsia="en-US"/>
              </w:rPr>
            </w:pPr>
            <w:r w:rsidRPr="00C0030A">
              <w:rPr>
                <w:lang w:val="en-US" w:eastAsia="en-US"/>
              </w:rPr>
              <w:t>324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EEF6CF6" w14:textId="77777777" w:rsidR="00C0030A" w:rsidRPr="00C0030A" w:rsidRDefault="00C0030A" w:rsidP="00C0030A">
            <w:pPr>
              <w:pStyle w:val="tabletext"/>
              <w:rPr>
                <w:lang w:val="en-US" w:eastAsia="en-US"/>
              </w:rPr>
            </w:pPr>
            <w:r w:rsidRPr="00C0030A">
              <w:rPr>
                <w:lang w:val="en-US" w:eastAsia="en-US"/>
              </w:rPr>
              <w:t>At the end of section 792B (after the note)</w:t>
            </w:r>
          </w:p>
        </w:tc>
      </w:tr>
      <w:tr w:rsidR="00C0030A" w:rsidRPr="00C0030A" w14:paraId="5DB7253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39F31B" w14:textId="77777777" w:rsidR="00C0030A" w:rsidRPr="00C0030A" w:rsidRDefault="00C0030A" w:rsidP="00C0030A">
            <w:pPr>
              <w:pStyle w:val="tabletext"/>
              <w:rPr>
                <w:lang w:val="en-US" w:eastAsia="en-US"/>
              </w:rPr>
            </w:pPr>
            <w:r w:rsidRPr="00C0030A">
              <w:rPr>
                <w:lang w:val="en-US" w:eastAsia="en-US"/>
              </w:rPr>
              <w:t>325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3304440" w14:textId="77777777" w:rsidR="00C0030A" w:rsidRPr="00C0030A" w:rsidRDefault="00C0030A" w:rsidP="00C0030A">
            <w:pPr>
              <w:pStyle w:val="tabletext"/>
              <w:rPr>
                <w:lang w:val="en-US" w:eastAsia="en-US"/>
              </w:rPr>
            </w:pPr>
            <w:r w:rsidRPr="00C0030A">
              <w:rPr>
                <w:lang w:val="en-US" w:eastAsia="en-US"/>
              </w:rPr>
              <w:t>Section 792C (heading)</w:t>
            </w:r>
          </w:p>
        </w:tc>
      </w:tr>
      <w:tr w:rsidR="00C0030A" w:rsidRPr="00C0030A" w14:paraId="6C488D7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61C74C5" w14:textId="77777777" w:rsidR="00C0030A" w:rsidRPr="00C0030A" w:rsidRDefault="00C0030A" w:rsidP="00C0030A">
            <w:pPr>
              <w:pStyle w:val="tabletext"/>
              <w:rPr>
                <w:lang w:val="en-US" w:eastAsia="en-US"/>
              </w:rPr>
            </w:pPr>
            <w:r w:rsidRPr="00C0030A">
              <w:rPr>
                <w:lang w:val="en-US" w:eastAsia="en-US"/>
              </w:rPr>
              <w:t>326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B87AB7" w14:textId="77777777" w:rsidR="00C0030A" w:rsidRPr="00C0030A" w:rsidRDefault="00C0030A" w:rsidP="00C0030A">
            <w:pPr>
              <w:pStyle w:val="tabletext"/>
              <w:rPr>
                <w:lang w:val="en-US" w:eastAsia="en-US"/>
              </w:rPr>
            </w:pPr>
            <w:r w:rsidRPr="00C0030A">
              <w:rPr>
                <w:lang w:val="en-US" w:eastAsia="en-US"/>
              </w:rPr>
              <w:t>Subsections 792C(1) and (2)</w:t>
            </w:r>
          </w:p>
        </w:tc>
      </w:tr>
      <w:tr w:rsidR="00C0030A" w:rsidRPr="00C0030A" w14:paraId="2FF7B7A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6678637" w14:textId="77777777" w:rsidR="00C0030A" w:rsidRPr="00C0030A" w:rsidRDefault="00C0030A" w:rsidP="00C0030A">
            <w:pPr>
              <w:pStyle w:val="tabletext"/>
              <w:rPr>
                <w:lang w:val="en-US" w:eastAsia="en-US"/>
              </w:rPr>
            </w:pPr>
            <w:r w:rsidRPr="00C0030A">
              <w:rPr>
                <w:lang w:val="en-US" w:eastAsia="en-US"/>
              </w:rPr>
              <w:t>330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C94B530" w14:textId="77777777" w:rsidR="00C0030A" w:rsidRPr="00C0030A" w:rsidRDefault="00C0030A" w:rsidP="00C0030A">
            <w:pPr>
              <w:pStyle w:val="tabletext"/>
              <w:rPr>
                <w:lang w:val="en-US" w:eastAsia="en-US"/>
              </w:rPr>
            </w:pPr>
            <w:r w:rsidRPr="00C0030A">
              <w:rPr>
                <w:lang w:val="en-US" w:eastAsia="en-US"/>
              </w:rPr>
              <w:t>At the end of section 821B (after the note)</w:t>
            </w:r>
          </w:p>
        </w:tc>
      </w:tr>
      <w:tr w:rsidR="00C0030A" w:rsidRPr="00C0030A" w14:paraId="0526893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D4E1507" w14:textId="77777777" w:rsidR="00C0030A" w:rsidRPr="00C0030A" w:rsidRDefault="00C0030A" w:rsidP="00C0030A">
            <w:pPr>
              <w:pStyle w:val="tabletext"/>
              <w:rPr>
                <w:lang w:val="en-US" w:eastAsia="en-US"/>
              </w:rPr>
            </w:pPr>
            <w:r w:rsidRPr="00C0030A">
              <w:rPr>
                <w:lang w:val="en-US" w:eastAsia="en-US"/>
              </w:rPr>
              <w:t>334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7899BB0" w14:textId="77777777" w:rsidR="00C0030A" w:rsidRPr="00C0030A" w:rsidRDefault="00C0030A" w:rsidP="00C0030A">
            <w:pPr>
              <w:pStyle w:val="tabletext"/>
              <w:rPr>
                <w:lang w:val="en-US" w:eastAsia="en-US"/>
              </w:rPr>
            </w:pPr>
            <w:r w:rsidRPr="00C0030A">
              <w:rPr>
                <w:lang w:val="en-US" w:eastAsia="en-US"/>
              </w:rPr>
              <w:t>At the end of section 904C (after the note)</w:t>
            </w:r>
          </w:p>
        </w:tc>
      </w:tr>
      <w:tr w:rsidR="00C0030A" w:rsidRPr="00C0030A" w14:paraId="2E9840B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6B4B31" w14:textId="77777777" w:rsidR="00C0030A" w:rsidRPr="00C0030A" w:rsidRDefault="00C0030A" w:rsidP="00C0030A">
            <w:pPr>
              <w:pStyle w:val="tabletext"/>
              <w:rPr>
                <w:lang w:val="en-US" w:eastAsia="en-US"/>
              </w:rPr>
            </w:pPr>
            <w:r w:rsidRPr="00C0030A">
              <w:rPr>
                <w:lang w:val="en-US" w:eastAsia="en-US"/>
              </w:rPr>
              <w:t>337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9305776" w14:textId="77777777" w:rsidR="00C0030A" w:rsidRPr="00C0030A" w:rsidRDefault="00C0030A" w:rsidP="00C0030A">
            <w:pPr>
              <w:pStyle w:val="tabletext"/>
              <w:rPr>
                <w:lang w:val="en-US" w:eastAsia="en-US"/>
              </w:rPr>
            </w:pPr>
            <w:r w:rsidRPr="00C0030A">
              <w:rPr>
                <w:lang w:val="en-US" w:eastAsia="en-US"/>
              </w:rPr>
              <w:t>Section 916F (heading)</w:t>
            </w:r>
          </w:p>
        </w:tc>
      </w:tr>
      <w:tr w:rsidR="00C0030A" w:rsidRPr="00C0030A" w14:paraId="0197949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F71661" w14:textId="77777777" w:rsidR="00C0030A" w:rsidRPr="00C0030A" w:rsidRDefault="00C0030A" w:rsidP="00C0030A">
            <w:pPr>
              <w:pStyle w:val="tabletext"/>
              <w:rPr>
                <w:lang w:val="en-US" w:eastAsia="en-US"/>
              </w:rPr>
            </w:pPr>
            <w:r w:rsidRPr="00C0030A">
              <w:rPr>
                <w:lang w:val="en-US" w:eastAsia="en-US"/>
              </w:rPr>
              <w:t>338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F224AAD" w14:textId="77777777" w:rsidR="00C0030A" w:rsidRPr="00C0030A" w:rsidRDefault="00C0030A" w:rsidP="00C0030A">
            <w:pPr>
              <w:pStyle w:val="tabletext"/>
              <w:rPr>
                <w:lang w:val="en-US" w:eastAsia="en-US"/>
              </w:rPr>
            </w:pPr>
            <w:r w:rsidRPr="00C0030A">
              <w:rPr>
                <w:lang w:val="en-US" w:eastAsia="en-US"/>
              </w:rPr>
              <w:t>Subsection 916F(1)</w:t>
            </w:r>
          </w:p>
        </w:tc>
      </w:tr>
      <w:tr w:rsidR="00C0030A" w:rsidRPr="00C0030A" w14:paraId="2F191C3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F2CDC45" w14:textId="77777777" w:rsidR="00C0030A" w:rsidRPr="00C0030A" w:rsidRDefault="00C0030A" w:rsidP="00C0030A">
            <w:pPr>
              <w:pStyle w:val="tabletext"/>
              <w:rPr>
                <w:lang w:val="en-US" w:eastAsia="en-US"/>
              </w:rPr>
            </w:pPr>
            <w:r w:rsidRPr="00C0030A">
              <w:rPr>
                <w:lang w:val="en-US" w:eastAsia="en-US"/>
              </w:rPr>
              <w:t>340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70B145D" w14:textId="77777777" w:rsidR="00C0030A" w:rsidRPr="00C0030A" w:rsidRDefault="00C0030A" w:rsidP="00C0030A">
            <w:pPr>
              <w:pStyle w:val="tabletext"/>
              <w:rPr>
                <w:lang w:val="en-US" w:eastAsia="en-US"/>
              </w:rPr>
            </w:pPr>
            <w:r w:rsidRPr="00C0030A">
              <w:rPr>
                <w:lang w:val="en-US" w:eastAsia="en-US"/>
              </w:rPr>
              <w:t>Subsection 916F(3)</w:t>
            </w:r>
          </w:p>
        </w:tc>
      </w:tr>
      <w:tr w:rsidR="00C0030A" w:rsidRPr="00C0030A" w14:paraId="07CDA41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15B9BAE" w14:textId="77777777" w:rsidR="00C0030A" w:rsidRPr="00C0030A" w:rsidRDefault="00C0030A" w:rsidP="00C0030A">
            <w:pPr>
              <w:pStyle w:val="tabletext"/>
              <w:rPr>
                <w:lang w:val="en-US" w:eastAsia="en-US"/>
              </w:rPr>
            </w:pPr>
            <w:r w:rsidRPr="00C0030A">
              <w:rPr>
                <w:lang w:val="en-US" w:eastAsia="en-US"/>
              </w:rPr>
              <w:t>342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270432B" w14:textId="77777777" w:rsidR="00C0030A" w:rsidRPr="00C0030A" w:rsidRDefault="00C0030A" w:rsidP="00C0030A">
            <w:pPr>
              <w:pStyle w:val="tabletext"/>
              <w:rPr>
                <w:lang w:val="en-US" w:eastAsia="en-US"/>
              </w:rPr>
            </w:pPr>
            <w:r w:rsidRPr="00C0030A">
              <w:rPr>
                <w:lang w:val="en-US" w:eastAsia="en-US"/>
              </w:rPr>
              <w:t>Subsection 921J(2) (heading)</w:t>
            </w:r>
          </w:p>
        </w:tc>
      </w:tr>
      <w:tr w:rsidR="00C0030A" w:rsidRPr="00C0030A" w14:paraId="5BEE7C7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1D97B1" w14:textId="77777777" w:rsidR="00C0030A" w:rsidRPr="00C0030A" w:rsidRDefault="00C0030A" w:rsidP="00C0030A">
            <w:pPr>
              <w:pStyle w:val="tabletext"/>
              <w:rPr>
                <w:lang w:val="en-US" w:eastAsia="en-US"/>
              </w:rPr>
            </w:pPr>
            <w:r w:rsidRPr="00C0030A">
              <w:rPr>
                <w:lang w:val="en-US" w:eastAsia="en-US"/>
              </w:rPr>
              <w:t>345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551531E" w14:textId="77777777" w:rsidR="00C0030A" w:rsidRPr="00C0030A" w:rsidRDefault="00C0030A" w:rsidP="00C0030A">
            <w:pPr>
              <w:pStyle w:val="tabletext"/>
              <w:rPr>
                <w:lang w:val="en-US" w:eastAsia="en-US"/>
              </w:rPr>
            </w:pPr>
            <w:r w:rsidRPr="00C0030A">
              <w:rPr>
                <w:lang w:val="en-US" w:eastAsia="en-US"/>
              </w:rPr>
              <w:t>Subdivision A of Division 9 of Part 7.6</w:t>
            </w:r>
          </w:p>
        </w:tc>
      </w:tr>
      <w:tr w:rsidR="00C0030A" w:rsidRPr="00C0030A" w14:paraId="094A996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728CD05" w14:textId="77777777" w:rsidR="00C0030A" w:rsidRPr="00C0030A" w:rsidRDefault="00C0030A" w:rsidP="00C0030A">
            <w:pPr>
              <w:pStyle w:val="tabletext"/>
              <w:rPr>
                <w:lang w:val="en-US" w:eastAsia="en-US"/>
              </w:rPr>
            </w:pPr>
            <w:r w:rsidRPr="00C0030A">
              <w:rPr>
                <w:lang w:val="en-US" w:eastAsia="en-US"/>
              </w:rPr>
              <w:t>347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34E2E15" w14:textId="77777777" w:rsidR="00C0030A" w:rsidRPr="00C0030A" w:rsidRDefault="00C0030A" w:rsidP="00C0030A">
            <w:pPr>
              <w:pStyle w:val="tabletext"/>
              <w:rPr>
                <w:lang w:val="en-US" w:eastAsia="en-US"/>
              </w:rPr>
            </w:pPr>
            <w:r w:rsidRPr="00C0030A">
              <w:rPr>
                <w:lang w:val="en-US" w:eastAsia="en-US"/>
              </w:rPr>
              <w:t>Sections 922D to 922G</w:t>
            </w:r>
          </w:p>
        </w:tc>
      </w:tr>
      <w:tr w:rsidR="00C0030A" w:rsidRPr="00C0030A" w14:paraId="3F870AE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DEA9EC4" w14:textId="77777777" w:rsidR="00C0030A" w:rsidRPr="00C0030A" w:rsidRDefault="00C0030A" w:rsidP="00C0030A">
            <w:pPr>
              <w:pStyle w:val="tabletext"/>
              <w:rPr>
                <w:lang w:val="en-US" w:eastAsia="en-US"/>
              </w:rPr>
            </w:pPr>
            <w:r w:rsidRPr="00C0030A">
              <w:rPr>
                <w:lang w:val="en-US" w:eastAsia="en-US"/>
              </w:rPr>
              <w:t>348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CD98317" w14:textId="77777777" w:rsidR="00C0030A" w:rsidRPr="00C0030A" w:rsidRDefault="00C0030A" w:rsidP="00C0030A">
            <w:pPr>
              <w:pStyle w:val="tabletext"/>
              <w:rPr>
                <w:lang w:val="en-US" w:eastAsia="en-US"/>
              </w:rPr>
            </w:pPr>
            <w:r w:rsidRPr="00C0030A">
              <w:rPr>
                <w:lang w:val="en-US" w:eastAsia="en-US"/>
              </w:rPr>
              <w:t>Section 922H (heading)</w:t>
            </w:r>
          </w:p>
        </w:tc>
      </w:tr>
      <w:tr w:rsidR="00C0030A" w:rsidRPr="00C0030A" w14:paraId="51C930E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ABA425E" w14:textId="77777777" w:rsidR="00C0030A" w:rsidRPr="00C0030A" w:rsidRDefault="00C0030A" w:rsidP="00C0030A">
            <w:pPr>
              <w:pStyle w:val="tabletext"/>
              <w:rPr>
                <w:lang w:val="en-US" w:eastAsia="en-US"/>
              </w:rPr>
            </w:pPr>
            <w:r w:rsidRPr="00C0030A">
              <w:rPr>
                <w:lang w:val="en-US" w:eastAsia="en-US"/>
              </w:rPr>
              <w:t>349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690F30E" w14:textId="77777777" w:rsidR="00C0030A" w:rsidRPr="00C0030A" w:rsidRDefault="00C0030A" w:rsidP="00C0030A">
            <w:pPr>
              <w:pStyle w:val="tabletext"/>
              <w:rPr>
                <w:lang w:val="en-US" w:eastAsia="en-US"/>
              </w:rPr>
            </w:pPr>
            <w:r w:rsidRPr="00C0030A">
              <w:rPr>
                <w:lang w:val="en-US" w:eastAsia="en-US"/>
              </w:rPr>
              <w:t>Subsection 922H(1)</w:t>
            </w:r>
          </w:p>
        </w:tc>
      </w:tr>
      <w:tr w:rsidR="00C0030A" w:rsidRPr="00C0030A" w14:paraId="72EDECE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E671A4A" w14:textId="77777777" w:rsidR="00C0030A" w:rsidRPr="00C0030A" w:rsidRDefault="00C0030A" w:rsidP="00C0030A">
            <w:pPr>
              <w:pStyle w:val="tabletext"/>
              <w:rPr>
                <w:lang w:val="en-US" w:eastAsia="en-US"/>
              </w:rPr>
            </w:pPr>
            <w:r w:rsidRPr="00C0030A">
              <w:rPr>
                <w:lang w:val="en-US" w:eastAsia="en-US"/>
              </w:rPr>
              <w:t>352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4685E14" w14:textId="77777777" w:rsidR="00C0030A" w:rsidRPr="00C0030A" w:rsidRDefault="00C0030A" w:rsidP="00C0030A">
            <w:pPr>
              <w:pStyle w:val="tabletext"/>
              <w:rPr>
                <w:lang w:val="en-US" w:eastAsia="en-US"/>
              </w:rPr>
            </w:pPr>
            <w:r w:rsidRPr="00C0030A">
              <w:rPr>
                <w:lang w:val="en-US" w:eastAsia="en-US"/>
              </w:rPr>
              <w:t>Subsections 922L(1) and (2)</w:t>
            </w:r>
          </w:p>
        </w:tc>
      </w:tr>
      <w:tr w:rsidR="00C0030A" w:rsidRPr="00C0030A" w14:paraId="69F40DB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CA5FFE8" w14:textId="77777777" w:rsidR="00C0030A" w:rsidRPr="00C0030A" w:rsidRDefault="00C0030A" w:rsidP="00C0030A">
            <w:pPr>
              <w:pStyle w:val="tabletext"/>
              <w:rPr>
                <w:lang w:val="en-US" w:eastAsia="en-US"/>
              </w:rPr>
            </w:pPr>
            <w:r w:rsidRPr="00C0030A">
              <w:rPr>
                <w:lang w:val="en-US" w:eastAsia="en-US"/>
              </w:rPr>
              <w:t>353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5744B7" w14:textId="77777777" w:rsidR="00C0030A" w:rsidRPr="00C0030A" w:rsidRDefault="00C0030A" w:rsidP="00C0030A">
            <w:pPr>
              <w:pStyle w:val="tabletext"/>
              <w:rPr>
                <w:lang w:val="en-US" w:eastAsia="en-US"/>
              </w:rPr>
            </w:pPr>
            <w:r w:rsidRPr="00C0030A">
              <w:rPr>
                <w:lang w:val="en-US" w:eastAsia="en-US"/>
              </w:rPr>
              <w:t>Section 922M (at the end of the heading)</w:t>
            </w:r>
          </w:p>
        </w:tc>
      </w:tr>
      <w:tr w:rsidR="00C0030A" w:rsidRPr="00C0030A" w14:paraId="034C53B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2BF6BF7" w14:textId="77777777" w:rsidR="00C0030A" w:rsidRPr="00C0030A" w:rsidRDefault="00C0030A" w:rsidP="00C0030A">
            <w:pPr>
              <w:pStyle w:val="tabletext"/>
              <w:rPr>
                <w:lang w:val="en-US" w:eastAsia="en-US"/>
              </w:rPr>
            </w:pPr>
            <w:r w:rsidRPr="00C0030A">
              <w:rPr>
                <w:lang w:val="en-US" w:eastAsia="en-US"/>
              </w:rPr>
              <w:t>356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49DC2F1" w14:textId="77777777" w:rsidR="00C0030A" w:rsidRPr="00C0030A" w:rsidRDefault="00C0030A" w:rsidP="00C0030A">
            <w:pPr>
              <w:pStyle w:val="tabletext"/>
              <w:rPr>
                <w:lang w:val="en-US" w:eastAsia="en-US"/>
              </w:rPr>
            </w:pPr>
            <w:r w:rsidRPr="00C0030A">
              <w:rPr>
                <w:lang w:val="en-US" w:eastAsia="en-US"/>
              </w:rPr>
              <w:t>Section 922Q</w:t>
            </w:r>
          </w:p>
        </w:tc>
      </w:tr>
      <w:tr w:rsidR="00C0030A" w:rsidRPr="00C0030A" w14:paraId="2AA1994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2348E37" w14:textId="77777777" w:rsidR="00C0030A" w:rsidRPr="00C0030A" w:rsidRDefault="00C0030A" w:rsidP="00C0030A">
            <w:pPr>
              <w:pStyle w:val="tabletext"/>
              <w:rPr>
                <w:lang w:val="en-US" w:eastAsia="en-US"/>
              </w:rPr>
            </w:pPr>
            <w:r w:rsidRPr="00C0030A">
              <w:rPr>
                <w:lang w:val="en-US" w:eastAsia="en-US"/>
              </w:rPr>
              <w:t>357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409BB0" w14:textId="77777777" w:rsidR="00C0030A" w:rsidRPr="00C0030A" w:rsidRDefault="00C0030A" w:rsidP="00C0030A">
            <w:pPr>
              <w:pStyle w:val="tabletext"/>
              <w:rPr>
                <w:lang w:val="en-US" w:eastAsia="en-US"/>
              </w:rPr>
            </w:pPr>
            <w:r w:rsidRPr="00C0030A">
              <w:rPr>
                <w:lang w:val="en-US" w:eastAsia="en-US"/>
              </w:rPr>
              <w:t>Section 922R</w:t>
            </w:r>
          </w:p>
        </w:tc>
      </w:tr>
      <w:tr w:rsidR="00C0030A" w:rsidRPr="00C0030A" w14:paraId="43CA4C1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4816F84" w14:textId="77777777" w:rsidR="00C0030A" w:rsidRPr="00C0030A" w:rsidRDefault="00C0030A" w:rsidP="00C0030A">
            <w:pPr>
              <w:pStyle w:val="tabletext"/>
              <w:rPr>
                <w:lang w:val="en-US" w:eastAsia="en-US"/>
              </w:rPr>
            </w:pPr>
            <w:r w:rsidRPr="00C0030A">
              <w:rPr>
                <w:lang w:val="en-US" w:eastAsia="en-US"/>
              </w:rPr>
              <w:t>359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49FDC11" w14:textId="77777777" w:rsidR="00C0030A" w:rsidRPr="00C0030A" w:rsidRDefault="00C0030A" w:rsidP="00C0030A">
            <w:pPr>
              <w:pStyle w:val="tabletext"/>
              <w:rPr>
                <w:lang w:val="en-US" w:eastAsia="en-US"/>
              </w:rPr>
            </w:pPr>
            <w:r w:rsidRPr="00C0030A">
              <w:rPr>
                <w:lang w:val="en-US" w:eastAsia="en-US"/>
              </w:rPr>
              <w:t>Subsection 990B(6)</w:t>
            </w:r>
          </w:p>
        </w:tc>
      </w:tr>
      <w:tr w:rsidR="00C0030A" w:rsidRPr="00C0030A" w14:paraId="7DF335A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2D61F58" w14:textId="77777777" w:rsidR="00C0030A" w:rsidRPr="00C0030A" w:rsidRDefault="00C0030A" w:rsidP="00C0030A">
            <w:pPr>
              <w:pStyle w:val="tabletext"/>
              <w:rPr>
                <w:lang w:val="en-US" w:eastAsia="en-US"/>
              </w:rPr>
            </w:pPr>
            <w:r w:rsidRPr="00C0030A">
              <w:rPr>
                <w:lang w:val="en-US" w:eastAsia="en-US"/>
              </w:rPr>
              <w:t>360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B7D38A7" w14:textId="77777777" w:rsidR="00C0030A" w:rsidRPr="00C0030A" w:rsidRDefault="00C0030A" w:rsidP="00C0030A">
            <w:pPr>
              <w:pStyle w:val="tabletext"/>
              <w:rPr>
                <w:lang w:val="en-US" w:eastAsia="en-US"/>
              </w:rPr>
            </w:pPr>
            <w:r w:rsidRPr="00C0030A">
              <w:rPr>
                <w:lang w:val="en-US" w:eastAsia="en-US"/>
              </w:rPr>
              <w:t>Paragraph 990L(3)(b)</w:t>
            </w:r>
          </w:p>
        </w:tc>
      </w:tr>
      <w:tr w:rsidR="00C0030A" w:rsidRPr="00C0030A" w14:paraId="7DE4FE8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65E69CF" w14:textId="77777777" w:rsidR="00C0030A" w:rsidRPr="00C0030A" w:rsidRDefault="00C0030A" w:rsidP="00C0030A">
            <w:pPr>
              <w:pStyle w:val="tabletext"/>
              <w:rPr>
                <w:lang w:val="en-US" w:eastAsia="en-US"/>
              </w:rPr>
            </w:pPr>
            <w:r w:rsidRPr="00C0030A">
              <w:rPr>
                <w:lang w:val="en-US" w:eastAsia="en-US"/>
              </w:rPr>
              <w:t>361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F0E2D1A" w14:textId="77777777" w:rsidR="00C0030A" w:rsidRPr="00C0030A" w:rsidRDefault="00C0030A" w:rsidP="00C0030A">
            <w:pPr>
              <w:pStyle w:val="tabletext"/>
              <w:rPr>
                <w:lang w:val="en-US" w:eastAsia="en-US"/>
              </w:rPr>
            </w:pPr>
            <w:r w:rsidRPr="00C0030A">
              <w:rPr>
                <w:lang w:val="en-US" w:eastAsia="en-US"/>
              </w:rPr>
              <w:t>Subparagraphs 1012DA(11)(b)(</w:t>
            </w:r>
            <w:proofErr w:type="spellStart"/>
            <w:r w:rsidRPr="00C0030A">
              <w:rPr>
                <w:lang w:val="en-US" w:eastAsia="en-US"/>
              </w:rPr>
              <w:t>i</w:t>
            </w:r>
            <w:proofErr w:type="spellEnd"/>
            <w:r w:rsidRPr="00C0030A">
              <w:rPr>
                <w:lang w:val="en-US" w:eastAsia="en-US"/>
              </w:rPr>
              <w:t>) and (ii)</w:t>
            </w:r>
          </w:p>
        </w:tc>
      </w:tr>
      <w:tr w:rsidR="00C0030A" w:rsidRPr="00C0030A" w14:paraId="483EF74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504A6AE" w14:textId="77777777" w:rsidR="00C0030A" w:rsidRPr="00C0030A" w:rsidRDefault="00C0030A" w:rsidP="00C0030A">
            <w:pPr>
              <w:pStyle w:val="tabletext"/>
              <w:rPr>
                <w:lang w:val="en-US" w:eastAsia="en-US"/>
              </w:rPr>
            </w:pPr>
            <w:r w:rsidRPr="00C0030A">
              <w:rPr>
                <w:lang w:val="en-US" w:eastAsia="en-US"/>
              </w:rPr>
              <w:t>362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7B38CE" w14:textId="77777777" w:rsidR="00C0030A" w:rsidRPr="00C0030A" w:rsidRDefault="00C0030A" w:rsidP="00C0030A">
            <w:pPr>
              <w:pStyle w:val="tabletext"/>
              <w:rPr>
                <w:lang w:val="en-US" w:eastAsia="en-US"/>
              </w:rPr>
            </w:pPr>
            <w:r w:rsidRPr="00C0030A">
              <w:rPr>
                <w:lang w:val="en-US" w:eastAsia="en-US"/>
              </w:rPr>
              <w:t>Subparagraphs 1013FA(2)(a)(</w:t>
            </w:r>
            <w:proofErr w:type="spellStart"/>
            <w:r w:rsidRPr="00C0030A">
              <w:rPr>
                <w:lang w:val="en-US" w:eastAsia="en-US"/>
              </w:rPr>
              <w:t>i</w:t>
            </w:r>
            <w:proofErr w:type="spellEnd"/>
            <w:r w:rsidRPr="00C0030A">
              <w:rPr>
                <w:lang w:val="en-US" w:eastAsia="en-US"/>
              </w:rPr>
              <w:t>) and (ii)</w:t>
            </w:r>
          </w:p>
        </w:tc>
      </w:tr>
      <w:tr w:rsidR="00C0030A" w:rsidRPr="00C0030A" w14:paraId="00F8823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A11A5D" w14:textId="77777777" w:rsidR="00C0030A" w:rsidRPr="00C0030A" w:rsidRDefault="00C0030A" w:rsidP="00C0030A">
            <w:pPr>
              <w:pStyle w:val="tabletext"/>
              <w:rPr>
                <w:lang w:val="en-US" w:eastAsia="en-US"/>
              </w:rPr>
            </w:pPr>
            <w:r w:rsidRPr="00C0030A">
              <w:rPr>
                <w:lang w:val="en-US" w:eastAsia="en-US"/>
              </w:rPr>
              <w:t>363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97D24C5" w14:textId="77777777" w:rsidR="00C0030A" w:rsidRPr="00C0030A" w:rsidRDefault="00C0030A" w:rsidP="00C0030A">
            <w:pPr>
              <w:pStyle w:val="tabletext"/>
              <w:rPr>
                <w:lang w:val="en-US" w:eastAsia="en-US"/>
              </w:rPr>
            </w:pPr>
            <w:r w:rsidRPr="00C0030A">
              <w:rPr>
                <w:lang w:val="en-US" w:eastAsia="en-US"/>
              </w:rPr>
              <w:t>Paragraph 1013G(a)</w:t>
            </w:r>
          </w:p>
        </w:tc>
      </w:tr>
      <w:tr w:rsidR="00C0030A" w:rsidRPr="00C0030A" w14:paraId="00EED03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8A954D8" w14:textId="77777777" w:rsidR="00C0030A" w:rsidRPr="00C0030A" w:rsidRDefault="00C0030A" w:rsidP="00C0030A">
            <w:pPr>
              <w:pStyle w:val="tabletext"/>
              <w:rPr>
                <w:lang w:val="en-US" w:eastAsia="en-US"/>
              </w:rPr>
            </w:pPr>
            <w:bookmarkStart w:id="37" w:name="RANGE!A367"/>
            <w:r w:rsidRPr="00C0030A">
              <w:rPr>
                <w:lang w:val="en-US" w:eastAsia="en-US"/>
              </w:rPr>
              <w:t>364</w:t>
            </w:r>
            <w:bookmarkEnd w:id="37"/>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328D7E1" w14:textId="77777777" w:rsidR="00C0030A" w:rsidRPr="00C0030A" w:rsidRDefault="00C0030A" w:rsidP="00C0030A">
            <w:pPr>
              <w:pStyle w:val="tabletext"/>
              <w:rPr>
                <w:lang w:val="en-US" w:eastAsia="en-US"/>
              </w:rPr>
            </w:pPr>
            <w:r w:rsidRPr="00C0030A">
              <w:rPr>
                <w:lang w:val="en-US" w:eastAsia="en-US"/>
              </w:rPr>
              <w:t>Paragraph 1013I(2)(b)</w:t>
            </w:r>
          </w:p>
        </w:tc>
      </w:tr>
      <w:tr w:rsidR="00C0030A" w:rsidRPr="00C0030A" w14:paraId="0FD1D05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4B7BDF4" w14:textId="77777777" w:rsidR="00C0030A" w:rsidRPr="00C0030A" w:rsidRDefault="00C0030A" w:rsidP="00C0030A">
            <w:pPr>
              <w:pStyle w:val="tabletext"/>
              <w:rPr>
                <w:lang w:val="en-US" w:eastAsia="en-US"/>
              </w:rPr>
            </w:pPr>
            <w:bookmarkStart w:id="38" w:name="RANGE!A368"/>
            <w:r w:rsidRPr="00C0030A">
              <w:rPr>
                <w:lang w:val="en-US" w:eastAsia="en-US"/>
              </w:rPr>
              <w:t>365</w:t>
            </w:r>
            <w:bookmarkEnd w:id="38"/>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FF14E7" w14:textId="77777777" w:rsidR="00C0030A" w:rsidRPr="00C0030A" w:rsidRDefault="00C0030A" w:rsidP="00C0030A">
            <w:pPr>
              <w:pStyle w:val="tabletext"/>
              <w:rPr>
                <w:lang w:val="en-US" w:eastAsia="en-US"/>
              </w:rPr>
            </w:pPr>
            <w:r w:rsidRPr="00C0030A">
              <w:rPr>
                <w:lang w:val="en-US" w:eastAsia="en-US"/>
              </w:rPr>
              <w:t>Subparagraphs 1013I(3)(a)(</w:t>
            </w:r>
            <w:proofErr w:type="spellStart"/>
            <w:r w:rsidRPr="00C0030A">
              <w:rPr>
                <w:lang w:val="en-US" w:eastAsia="en-US"/>
              </w:rPr>
              <w:t>i</w:t>
            </w:r>
            <w:proofErr w:type="spellEnd"/>
            <w:r w:rsidRPr="00C0030A">
              <w:rPr>
                <w:lang w:val="en-US" w:eastAsia="en-US"/>
              </w:rPr>
              <w:t>) and (ii)</w:t>
            </w:r>
          </w:p>
        </w:tc>
      </w:tr>
      <w:tr w:rsidR="00C0030A" w:rsidRPr="00C0030A" w14:paraId="63D59E2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334F95" w14:textId="77777777" w:rsidR="00C0030A" w:rsidRPr="00C0030A" w:rsidRDefault="00C0030A" w:rsidP="00C0030A">
            <w:pPr>
              <w:pStyle w:val="tabletext"/>
              <w:rPr>
                <w:lang w:val="en-US" w:eastAsia="en-US"/>
              </w:rPr>
            </w:pPr>
            <w:r w:rsidRPr="00C0030A">
              <w:rPr>
                <w:lang w:val="en-US" w:eastAsia="en-US"/>
              </w:rPr>
              <w:t>366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E80F220" w14:textId="77777777" w:rsidR="00C0030A" w:rsidRPr="00C0030A" w:rsidRDefault="00C0030A" w:rsidP="00C0030A">
            <w:pPr>
              <w:pStyle w:val="tabletext"/>
              <w:rPr>
                <w:lang w:val="en-US" w:eastAsia="en-US"/>
              </w:rPr>
            </w:pPr>
            <w:r w:rsidRPr="00C0030A">
              <w:rPr>
                <w:lang w:val="en-US" w:eastAsia="en-US"/>
              </w:rPr>
              <w:t>Section 1013J (heading)</w:t>
            </w:r>
          </w:p>
        </w:tc>
      </w:tr>
      <w:tr w:rsidR="00C0030A" w:rsidRPr="00C0030A" w14:paraId="6936D28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52100A2" w14:textId="77777777" w:rsidR="00C0030A" w:rsidRPr="00C0030A" w:rsidRDefault="00C0030A" w:rsidP="00C0030A">
            <w:pPr>
              <w:pStyle w:val="tabletext"/>
              <w:rPr>
                <w:lang w:val="en-US" w:eastAsia="en-US"/>
              </w:rPr>
            </w:pPr>
            <w:r w:rsidRPr="00C0030A">
              <w:rPr>
                <w:lang w:val="en-US" w:eastAsia="en-US"/>
              </w:rPr>
              <w:t>367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21FEC0" w14:textId="77777777" w:rsidR="00C0030A" w:rsidRPr="00C0030A" w:rsidRDefault="00C0030A" w:rsidP="00C0030A">
            <w:pPr>
              <w:pStyle w:val="tabletext"/>
              <w:rPr>
                <w:lang w:val="en-US" w:eastAsia="en-US"/>
              </w:rPr>
            </w:pPr>
            <w:r w:rsidRPr="00C0030A">
              <w:rPr>
                <w:lang w:val="en-US" w:eastAsia="en-US"/>
              </w:rPr>
              <w:t>Section 1013J</w:t>
            </w:r>
          </w:p>
        </w:tc>
      </w:tr>
      <w:tr w:rsidR="00C0030A" w:rsidRPr="00C0030A" w14:paraId="515B1C1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38845F" w14:textId="77777777" w:rsidR="00C0030A" w:rsidRPr="00C0030A" w:rsidRDefault="00C0030A" w:rsidP="00C0030A">
            <w:pPr>
              <w:pStyle w:val="tabletext"/>
              <w:rPr>
                <w:lang w:val="en-US" w:eastAsia="en-US"/>
              </w:rPr>
            </w:pPr>
            <w:r w:rsidRPr="00C0030A">
              <w:rPr>
                <w:lang w:val="en-US" w:eastAsia="en-US"/>
              </w:rPr>
              <w:t>368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E3B3B34" w14:textId="77777777" w:rsidR="00C0030A" w:rsidRPr="00C0030A" w:rsidRDefault="00C0030A" w:rsidP="00C0030A">
            <w:pPr>
              <w:pStyle w:val="tabletext"/>
              <w:rPr>
                <w:lang w:val="en-US" w:eastAsia="en-US"/>
              </w:rPr>
            </w:pPr>
            <w:r w:rsidRPr="00C0030A">
              <w:rPr>
                <w:lang w:val="en-US" w:eastAsia="en-US"/>
              </w:rPr>
              <w:t>Paragraph 1013J(b)</w:t>
            </w:r>
          </w:p>
        </w:tc>
      </w:tr>
      <w:tr w:rsidR="00C0030A" w:rsidRPr="00C0030A" w14:paraId="0CE2CCF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F52B01F" w14:textId="77777777" w:rsidR="00C0030A" w:rsidRPr="00C0030A" w:rsidRDefault="00C0030A" w:rsidP="00C0030A">
            <w:pPr>
              <w:pStyle w:val="tabletext"/>
              <w:rPr>
                <w:lang w:val="en-US" w:eastAsia="en-US"/>
              </w:rPr>
            </w:pPr>
            <w:r w:rsidRPr="00C0030A">
              <w:rPr>
                <w:lang w:val="en-US" w:eastAsia="en-US"/>
              </w:rPr>
              <w:t>369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23B6D75" w14:textId="77777777" w:rsidR="00C0030A" w:rsidRPr="00C0030A" w:rsidRDefault="00C0030A" w:rsidP="00C0030A">
            <w:pPr>
              <w:pStyle w:val="tabletext"/>
              <w:rPr>
                <w:lang w:val="en-US" w:eastAsia="en-US"/>
              </w:rPr>
            </w:pPr>
            <w:r w:rsidRPr="00C0030A">
              <w:rPr>
                <w:lang w:val="en-US" w:eastAsia="en-US"/>
              </w:rPr>
              <w:t>Sections 1014J and 1014L</w:t>
            </w:r>
          </w:p>
        </w:tc>
      </w:tr>
      <w:tr w:rsidR="00C0030A" w:rsidRPr="00C0030A" w14:paraId="3AFAF6C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3DDE0B1" w14:textId="77777777" w:rsidR="00C0030A" w:rsidRPr="00C0030A" w:rsidRDefault="00C0030A" w:rsidP="00C0030A">
            <w:pPr>
              <w:pStyle w:val="tabletext"/>
              <w:rPr>
                <w:lang w:val="en-US" w:eastAsia="en-US"/>
              </w:rPr>
            </w:pPr>
            <w:r w:rsidRPr="00C0030A">
              <w:rPr>
                <w:lang w:val="en-US" w:eastAsia="en-US"/>
              </w:rPr>
              <w:t>370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201D2A6" w14:textId="77777777" w:rsidR="00C0030A" w:rsidRPr="00C0030A" w:rsidRDefault="00C0030A" w:rsidP="00C0030A">
            <w:pPr>
              <w:pStyle w:val="tabletext"/>
              <w:rPr>
                <w:lang w:val="en-US" w:eastAsia="en-US"/>
              </w:rPr>
            </w:pPr>
            <w:r w:rsidRPr="00C0030A">
              <w:rPr>
                <w:lang w:val="en-US" w:eastAsia="en-US"/>
              </w:rPr>
              <w:t>Section 1015B (heading)</w:t>
            </w:r>
          </w:p>
        </w:tc>
      </w:tr>
      <w:tr w:rsidR="00C0030A" w:rsidRPr="00C0030A" w14:paraId="73C0743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8DB2822" w14:textId="77777777" w:rsidR="00C0030A" w:rsidRPr="00C0030A" w:rsidRDefault="00C0030A" w:rsidP="00C0030A">
            <w:pPr>
              <w:pStyle w:val="tabletext"/>
              <w:rPr>
                <w:lang w:val="en-US" w:eastAsia="en-US"/>
              </w:rPr>
            </w:pPr>
            <w:r w:rsidRPr="00C0030A">
              <w:rPr>
                <w:lang w:val="en-US" w:eastAsia="en-US"/>
              </w:rPr>
              <w:t>371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A9F7E64" w14:textId="77777777" w:rsidR="00C0030A" w:rsidRPr="00C0030A" w:rsidRDefault="00C0030A" w:rsidP="00C0030A">
            <w:pPr>
              <w:pStyle w:val="tabletext"/>
              <w:rPr>
                <w:lang w:val="en-US" w:eastAsia="en-US"/>
              </w:rPr>
            </w:pPr>
            <w:r w:rsidRPr="00C0030A">
              <w:rPr>
                <w:lang w:val="en-US" w:eastAsia="en-US"/>
              </w:rPr>
              <w:t>Subsections 1015B(1) and (2) and 1015D(1)</w:t>
            </w:r>
          </w:p>
        </w:tc>
      </w:tr>
      <w:tr w:rsidR="00C0030A" w:rsidRPr="00C0030A" w14:paraId="7082C43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937D439" w14:textId="77777777" w:rsidR="00C0030A" w:rsidRPr="00C0030A" w:rsidRDefault="00C0030A" w:rsidP="00C0030A">
            <w:pPr>
              <w:pStyle w:val="tabletext"/>
              <w:rPr>
                <w:lang w:val="en-US" w:eastAsia="en-US"/>
              </w:rPr>
            </w:pPr>
            <w:r w:rsidRPr="00C0030A">
              <w:rPr>
                <w:lang w:val="en-US" w:eastAsia="en-US"/>
              </w:rPr>
              <w:t>372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DD571FD" w14:textId="77777777" w:rsidR="00C0030A" w:rsidRPr="00C0030A" w:rsidRDefault="00C0030A" w:rsidP="00C0030A">
            <w:pPr>
              <w:pStyle w:val="tabletext"/>
              <w:rPr>
                <w:lang w:val="en-US" w:eastAsia="en-US"/>
              </w:rPr>
            </w:pPr>
            <w:r w:rsidRPr="00C0030A">
              <w:rPr>
                <w:lang w:val="en-US" w:eastAsia="en-US"/>
              </w:rPr>
              <w:t>Subsection 1015D(2)</w:t>
            </w:r>
          </w:p>
        </w:tc>
      </w:tr>
      <w:tr w:rsidR="00C0030A" w:rsidRPr="00C0030A" w14:paraId="234BDD5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3AF1D04" w14:textId="77777777" w:rsidR="00C0030A" w:rsidRPr="00C0030A" w:rsidRDefault="00C0030A" w:rsidP="00C0030A">
            <w:pPr>
              <w:pStyle w:val="tabletext"/>
              <w:rPr>
                <w:lang w:val="en-US" w:eastAsia="en-US"/>
              </w:rPr>
            </w:pPr>
            <w:r w:rsidRPr="00C0030A">
              <w:rPr>
                <w:lang w:val="en-US" w:eastAsia="en-US"/>
              </w:rPr>
              <w:t>374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FF91FF5" w14:textId="77777777" w:rsidR="00C0030A" w:rsidRPr="00C0030A" w:rsidRDefault="00C0030A" w:rsidP="00C0030A">
            <w:pPr>
              <w:pStyle w:val="tabletext"/>
              <w:rPr>
                <w:lang w:val="en-US" w:eastAsia="en-US"/>
              </w:rPr>
            </w:pPr>
            <w:r w:rsidRPr="00C0030A">
              <w:rPr>
                <w:lang w:val="en-US" w:eastAsia="en-US"/>
              </w:rPr>
              <w:t>Subparagraph 1015E(1)(b)(</w:t>
            </w:r>
            <w:proofErr w:type="spellStart"/>
            <w:r w:rsidRPr="00C0030A">
              <w:rPr>
                <w:lang w:val="en-US" w:eastAsia="en-US"/>
              </w:rPr>
              <w:t>i</w:t>
            </w:r>
            <w:proofErr w:type="spellEnd"/>
            <w:r w:rsidRPr="00C0030A">
              <w:rPr>
                <w:lang w:val="en-US" w:eastAsia="en-US"/>
              </w:rPr>
              <w:t>)</w:t>
            </w:r>
          </w:p>
        </w:tc>
      </w:tr>
      <w:tr w:rsidR="00C0030A" w:rsidRPr="00C0030A" w14:paraId="220CE89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077E6B8" w14:textId="77777777" w:rsidR="00C0030A" w:rsidRPr="00C0030A" w:rsidRDefault="00C0030A" w:rsidP="00C0030A">
            <w:pPr>
              <w:pStyle w:val="tabletext"/>
              <w:rPr>
                <w:lang w:val="en-US" w:eastAsia="en-US"/>
              </w:rPr>
            </w:pPr>
            <w:r w:rsidRPr="00C0030A">
              <w:rPr>
                <w:lang w:val="en-US" w:eastAsia="en-US"/>
              </w:rPr>
              <w:t>375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2DAE196" w14:textId="77777777" w:rsidR="00C0030A" w:rsidRPr="00C0030A" w:rsidRDefault="00C0030A" w:rsidP="00C0030A">
            <w:pPr>
              <w:pStyle w:val="tabletext"/>
              <w:rPr>
                <w:lang w:val="en-US" w:eastAsia="en-US"/>
              </w:rPr>
            </w:pPr>
            <w:r w:rsidRPr="00C0030A">
              <w:rPr>
                <w:lang w:val="en-US" w:eastAsia="en-US"/>
              </w:rPr>
              <w:t>Subsection 1015E(2)</w:t>
            </w:r>
          </w:p>
        </w:tc>
      </w:tr>
      <w:tr w:rsidR="00C0030A" w:rsidRPr="00C0030A" w14:paraId="7C50044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44301E8" w14:textId="77777777" w:rsidR="00C0030A" w:rsidRPr="00C0030A" w:rsidRDefault="00C0030A" w:rsidP="00C0030A">
            <w:pPr>
              <w:pStyle w:val="tabletext"/>
              <w:rPr>
                <w:lang w:val="en-US" w:eastAsia="en-US"/>
              </w:rPr>
            </w:pPr>
            <w:r w:rsidRPr="00C0030A">
              <w:rPr>
                <w:lang w:val="en-US" w:eastAsia="en-US"/>
              </w:rPr>
              <w:t>376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9ACFC17" w14:textId="77777777" w:rsidR="00C0030A" w:rsidRPr="00C0030A" w:rsidRDefault="00C0030A" w:rsidP="00C0030A">
            <w:pPr>
              <w:pStyle w:val="tabletext"/>
              <w:rPr>
                <w:lang w:val="en-US" w:eastAsia="en-US"/>
              </w:rPr>
            </w:pPr>
            <w:r w:rsidRPr="00C0030A">
              <w:rPr>
                <w:lang w:val="en-US" w:eastAsia="en-US"/>
              </w:rPr>
              <w:t>Section 1016B (heading)</w:t>
            </w:r>
          </w:p>
        </w:tc>
      </w:tr>
      <w:tr w:rsidR="00C0030A" w:rsidRPr="00C0030A" w14:paraId="2F6B059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4BFFBDF" w14:textId="77777777" w:rsidR="00C0030A" w:rsidRPr="00C0030A" w:rsidRDefault="00C0030A" w:rsidP="00C0030A">
            <w:pPr>
              <w:pStyle w:val="tabletext"/>
              <w:rPr>
                <w:lang w:val="en-US" w:eastAsia="en-US"/>
              </w:rPr>
            </w:pPr>
            <w:r w:rsidRPr="00C0030A">
              <w:rPr>
                <w:lang w:val="en-US" w:eastAsia="en-US"/>
              </w:rPr>
              <w:t>377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42E4DC9" w14:textId="77777777" w:rsidR="00C0030A" w:rsidRPr="00C0030A" w:rsidRDefault="00C0030A" w:rsidP="00C0030A">
            <w:pPr>
              <w:pStyle w:val="tabletext"/>
              <w:rPr>
                <w:lang w:val="en-US" w:eastAsia="en-US"/>
              </w:rPr>
            </w:pPr>
            <w:r w:rsidRPr="00C0030A">
              <w:rPr>
                <w:lang w:val="en-US" w:eastAsia="en-US"/>
              </w:rPr>
              <w:t>Paragraph 1016B(1)(a)</w:t>
            </w:r>
          </w:p>
        </w:tc>
      </w:tr>
      <w:tr w:rsidR="00C0030A" w:rsidRPr="00C0030A" w14:paraId="5BF23A3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7C15495" w14:textId="77777777" w:rsidR="00C0030A" w:rsidRPr="00C0030A" w:rsidRDefault="00C0030A" w:rsidP="00C0030A">
            <w:pPr>
              <w:pStyle w:val="tabletext"/>
              <w:rPr>
                <w:lang w:val="en-US" w:eastAsia="en-US"/>
              </w:rPr>
            </w:pPr>
            <w:r w:rsidRPr="00C0030A">
              <w:rPr>
                <w:lang w:val="en-US" w:eastAsia="en-US"/>
              </w:rPr>
              <w:t>378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ED6A7DB" w14:textId="77777777" w:rsidR="00C0030A" w:rsidRPr="00C0030A" w:rsidRDefault="00C0030A" w:rsidP="00C0030A">
            <w:pPr>
              <w:pStyle w:val="tabletext"/>
              <w:rPr>
                <w:lang w:val="en-US" w:eastAsia="en-US"/>
              </w:rPr>
            </w:pPr>
            <w:r w:rsidRPr="00C0030A">
              <w:rPr>
                <w:lang w:val="en-US" w:eastAsia="en-US"/>
              </w:rPr>
              <w:t>Subparagraphs 1018A(4)(c)(</w:t>
            </w:r>
            <w:proofErr w:type="spellStart"/>
            <w:r w:rsidRPr="00C0030A">
              <w:rPr>
                <w:lang w:val="en-US" w:eastAsia="en-US"/>
              </w:rPr>
              <w:t>i</w:t>
            </w:r>
            <w:proofErr w:type="spellEnd"/>
            <w:r w:rsidRPr="00C0030A">
              <w:rPr>
                <w:lang w:val="en-US" w:eastAsia="en-US"/>
              </w:rPr>
              <w:t>) and (d)(</w:t>
            </w:r>
            <w:proofErr w:type="spellStart"/>
            <w:r w:rsidRPr="00C0030A">
              <w:rPr>
                <w:lang w:val="en-US" w:eastAsia="en-US"/>
              </w:rPr>
              <w:t>i</w:t>
            </w:r>
            <w:proofErr w:type="spellEnd"/>
            <w:r w:rsidRPr="00C0030A">
              <w:rPr>
                <w:lang w:val="en-US" w:eastAsia="en-US"/>
              </w:rPr>
              <w:t>)</w:t>
            </w:r>
          </w:p>
        </w:tc>
      </w:tr>
      <w:tr w:rsidR="00C0030A" w:rsidRPr="00C0030A" w14:paraId="1B64CF6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6B0895A" w14:textId="77777777" w:rsidR="00C0030A" w:rsidRPr="00C0030A" w:rsidRDefault="00C0030A" w:rsidP="00C0030A">
            <w:pPr>
              <w:pStyle w:val="tabletext"/>
              <w:rPr>
                <w:lang w:val="en-US" w:eastAsia="en-US"/>
              </w:rPr>
            </w:pPr>
            <w:r w:rsidRPr="00C0030A">
              <w:rPr>
                <w:lang w:val="en-US" w:eastAsia="en-US"/>
              </w:rPr>
              <w:lastRenderedPageBreak/>
              <w:t>379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D922A11" w14:textId="77777777" w:rsidR="00C0030A" w:rsidRPr="00C0030A" w:rsidRDefault="00C0030A" w:rsidP="00C0030A">
            <w:pPr>
              <w:pStyle w:val="tabletext"/>
              <w:rPr>
                <w:lang w:val="en-US" w:eastAsia="en-US"/>
              </w:rPr>
            </w:pPr>
            <w:r w:rsidRPr="00C0030A">
              <w:rPr>
                <w:lang w:val="en-US" w:eastAsia="en-US"/>
              </w:rPr>
              <w:t>Subparagraphs 1021M(1)(a)(</w:t>
            </w:r>
            <w:proofErr w:type="spellStart"/>
            <w:r w:rsidRPr="00C0030A">
              <w:rPr>
                <w:lang w:val="en-US" w:eastAsia="en-US"/>
              </w:rPr>
              <w:t>i</w:t>
            </w:r>
            <w:proofErr w:type="spellEnd"/>
            <w:r w:rsidRPr="00C0030A">
              <w:rPr>
                <w:lang w:val="en-US" w:eastAsia="en-US"/>
              </w:rPr>
              <w:t>) and (3)(a)(</w:t>
            </w:r>
            <w:proofErr w:type="spellStart"/>
            <w:r w:rsidRPr="00C0030A">
              <w:rPr>
                <w:lang w:val="en-US" w:eastAsia="en-US"/>
              </w:rPr>
              <w:t>i</w:t>
            </w:r>
            <w:proofErr w:type="spellEnd"/>
            <w:r w:rsidRPr="00C0030A">
              <w:rPr>
                <w:lang w:val="en-US" w:eastAsia="en-US"/>
              </w:rPr>
              <w:t>)</w:t>
            </w:r>
          </w:p>
        </w:tc>
      </w:tr>
      <w:tr w:rsidR="00C0030A" w:rsidRPr="00C0030A" w14:paraId="62C6D83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5766F2E" w14:textId="77777777" w:rsidR="00C0030A" w:rsidRPr="00C0030A" w:rsidRDefault="00C0030A" w:rsidP="00C0030A">
            <w:pPr>
              <w:pStyle w:val="tabletext"/>
              <w:rPr>
                <w:lang w:val="en-US" w:eastAsia="en-US"/>
              </w:rPr>
            </w:pPr>
            <w:r w:rsidRPr="00C0030A">
              <w:rPr>
                <w:lang w:val="en-US" w:eastAsia="en-US"/>
              </w:rPr>
              <w:t>380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B93DE60" w14:textId="77777777" w:rsidR="00C0030A" w:rsidRPr="00C0030A" w:rsidRDefault="00C0030A" w:rsidP="00C0030A">
            <w:pPr>
              <w:pStyle w:val="tabletext"/>
              <w:rPr>
                <w:lang w:val="en-US" w:eastAsia="en-US"/>
              </w:rPr>
            </w:pPr>
            <w:r w:rsidRPr="00C0030A">
              <w:rPr>
                <w:lang w:val="en-US" w:eastAsia="en-US"/>
              </w:rPr>
              <w:t>Paragraph 1072E(10)(a)</w:t>
            </w:r>
          </w:p>
        </w:tc>
      </w:tr>
      <w:tr w:rsidR="00C0030A" w:rsidRPr="00C0030A" w14:paraId="4847C4C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161EA43" w14:textId="77777777" w:rsidR="00C0030A" w:rsidRPr="00C0030A" w:rsidRDefault="00C0030A" w:rsidP="00C0030A">
            <w:pPr>
              <w:pStyle w:val="tabletext"/>
              <w:rPr>
                <w:lang w:val="en-US" w:eastAsia="en-US"/>
              </w:rPr>
            </w:pPr>
            <w:r w:rsidRPr="00C0030A">
              <w:rPr>
                <w:lang w:val="en-US" w:eastAsia="en-US"/>
              </w:rPr>
              <w:t>381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464C0DE" w14:textId="77777777" w:rsidR="00C0030A" w:rsidRPr="00C0030A" w:rsidRDefault="00C0030A" w:rsidP="00C0030A">
            <w:pPr>
              <w:pStyle w:val="tabletext"/>
              <w:rPr>
                <w:lang w:val="en-US" w:eastAsia="en-US"/>
              </w:rPr>
            </w:pPr>
            <w:r w:rsidRPr="00C0030A">
              <w:rPr>
                <w:lang w:val="en-US" w:eastAsia="en-US"/>
              </w:rPr>
              <w:t>Section 1100A (heading)</w:t>
            </w:r>
          </w:p>
        </w:tc>
      </w:tr>
      <w:tr w:rsidR="00C0030A" w:rsidRPr="00C0030A" w14:paraId="5667B4A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4554AF2" w14:textId="77777777" w:rsidR="00C0030A" w:rsidRPr="00C0030A" w:rsidRDefault="00C0030A" w:rsidP="00C0030A">
            <w:pPr>
              <w:pStyle w:val="tabletext"/>
              <w:rPr>
                <w:lang w:val="en-US" w:eastAsia="en-US"/>
              </w:rPr>
            </w:pPr>
            <w:r w:rsidRPr="00C0030A">
              <w:rPr>
                <w:lang w:val="en-US" w:eastAsia="en-US"/>
              </w:rPr>
              <w:t>382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728E1B5" w14:textId="77777777" w:rsidR="00C0030A" w:rsidRPr="00C0030A" w:rsidRDefault="00C0030A" w:rsidP="00C0030A">
            <w:pPr>
              <w:pStyle w:val="tabletext"/>
              <w:rPr>
                <w:lang w:val="en-US" w:eastAsia="en-US"/>
              </w:rPr>
            </w:pPr>
            <w:r w:rsidRPr="00C0030A">
              <w:rPr>
                <w:lang w:val="en-US" w:eastAsia="en-US"/>
              </w:rPr>
              <w:t>Subsections 1100A(1) and (2)</w:t>
            </w:r>
          </w:p>
        </w:tc>
      </w:tr>
      <w:tr w:rsidR="00C0030A" w:rsidRPr="00C0030A" w14:paraId="5662674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389FA40" w14:textId="77777777" w:rsidR="00C0030A" w:rsidRPr="00C0030A" w:rsidRDefault="00C0030A" w:rsidP="00C0030A">
            <w:pPr>
              <w:pStyle w:val="tabletext"/>
              <w:rPr>
                <w:lang w:val="en-US" w:eastAsia="en-US"/>
              </w:rPr>
            </w:pPr>
            <w:r w:rsidRPr="00C0030A">
              <w:rPr>
                <w:lang w:val="en-US" w:eastAsia="en-US"/>
              </w:rPr>
              <w:t>383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526110" w14:textId="77777777" w:rsidR="00C0030A" w:rsidRPr="00C0030A" w:rsidRDefault="00C0030A" w:rsidP="00C0030A">
            <w:pPr>
              <w:pStyle w:val="tabletext"/>
              <w:rPr>
                <w:lang w:val="en-US" w:eastAsia="en-US"/>
              </w:rPr>
            </w:pPr>
            <w:r w:rsidRPr="00C0030A">
              <w:rPr>
                <w:lang w:val="en-US" w:eastAsia="en-US"/>
              </w:rPr>
              <w:t>Subsection 1100A(2)</w:t>
            </w:r>
          </w:p>
        </w:tc>
      </w:tr>
      <w:tr w:rsidR="00C0030A" w:rsidRPr="00C0030A" w14:paraId="5D2BD91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821A933" w14:textId="77777777" w:rsidR="00C0030A" w:rsidRPr="00C0030A" w:rsidRDefault="00C0030A" w:rsidP="00C0030A">
            <w:pPr>
              <w:pStyle w:val="tabletext"/>
              <w:rPr>
                <w:lang w:val="en-US" w:eastAsia="en-US"/>
              </w:rPr>
            </w:pPr>
            <w:r w:rsidRPr="00C0030A">
              <w:rPr>
                <w:lang w:val="en-US" w:eastAsia="en-US"/>
              </w:rPr>
              <w:t>384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E64D428" w14:textId="77777777" w:rsidR="00C0030A" w:rsidRPr="00C0030A" w:rsidRDefault="00C0030A" w:rsidP="00C0030A">
            <w:pPr>
              <w:pStyle w:val="tabletext"/>
              <w:rPr>
                <w:lang w:val="en-US" w:eastAsia="en-US"/>
              </w:rPr>
            </w:pPr>
            <w:r w:rsidRPr="00C0030A">
              <w:rPr>
                <w:lang w:val="en-US" w:eastAsia="en-US"/>
              </w:rPr>
              <w:t>Subsection 1200C(5)</w:t>
            </w:r>
          </w:p>
        </w:tc>
      </w:tr>
      <w:tr w:rsidR="00C0030A" w:rsidRPr="00C0030A" w14:paraId="7161F89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6337FDF" w14:textId="77777777" w:rsidR="00C0030A" w:rsidRPr="00C0030A" w:rsidRDefault="00C0030A" w:rsidP="00C0030A">
            <w:pPr>
              <w:pStyle w:val="tabletext"/>
              <w:rPr>
                <w:lang w:val="en-US" w:eastAsia="en-US"/>
              </w:rPr>
            </w:pPr>
            <w:r w:rsidRPr="00C0030A">
              <w:rPr>
                <w:lang w:val="en-US" w:eastAsia="en-US"/>
              </w:rPr>
              <w:t>387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0BD8347" w14:textId="77777777" w:rsidR="00C0030A" w:rsidRPr="00C0030A" w:rsidRDefault="00C0030A" w:rsidP="00C0030A">
            <w:pPr>
              <w:pStyle w:val="tabletext"/>
              <w:rPr>
                <w:lang w:val="en-US" w:eastAsia="en-US"/>
              </w:rPr>
            </w:pPr>
            <w:r w:rsidRPr="00C0030A">
              <w:rPr>
                <w:lang w:val="en-US" w:eastAsia="en-US"/>
              </w:rPr>
              <w:t>Paragraph 1200C(6)(b)</w:t>
            </w:r>
          </w:p>
        </w:tc>
      </w:tr>
      <w:tr w:rsidR="00C0030A" w:rsidRPr="00C0030A" w14:paraId="753F06E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68B4CE4" w14:textId="77777777" w:rsidR="00C0030A" w:rsidRPr="00C0030A" w:rsidRDefault="00C0030A" w:rsidP="00C0030A">
            <w:pPr>
              <w:pStyle w:val="tabletext"/>
              <w:rPr>
                <w:lang w:val="en-US" w:eastAsia="en-US"/>
              </w:rPr>
            </w:pPr>
            <w:r w:rsidRPr="00C0030A">
              <w:rPr>
                <w:lang w:val="en-US" w:eastAsia="en-US"/>
              </w:rPr>
              <w:t>388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911A6F6" w14:textId="77777777" w:rsidR="00C0030A" w:rsidRPr="00C0030A" w:rsidRDefault="00C0030A" w:rsidP="00C0030A">
            <w:pPr>
              <w:pStyle w:val="tabletext"/>
              <w:rPr>
                <w:lang w:val="en-US" w:eastAsia="en-US"/>
              </w:rPr>
            </w:pPr>
            <w:r w:rsidRPr="00C0030A">
              <w:rPr>
                <w:lang w:val="en-US" w:eastAsia="en-US"/>
              </w:rPr>
              <w:t>Subsection 1200C(6)</w:t>
            </w:r>
          </w:p>
        </w:tc>
      </w:tr>
      <w:tr w:rsidR="00C0030A" w:rsidRPr="00C0030A" w14:paraId="6F06D22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DF9B0F4" w14:textId="77777777" w:rsidR="00C0030A" w:rsidRPr="00C0030A" w:rsidRDefault="00C0030A" w:rsidP="00C0030A">
            <w:pPr>
              <w:pStyle w:val="tabletext"/>
              <w:rPr>
                <w:lang w:val="en-US" w:eastAsia="en-US"/>
              </w:rPr>
            </w:pPr>
            <w:r w:rsidRPr="00C0030A">
              <w:rPr>
                <w:lang w:val="en-US" w:eastAsia="en-US"/>
              </w:rPr>
              <w:t>395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06480C" w14:textId="77777777" w:rsidR="00C0030A" w:rsidRPr="00C0030A" w:rsidRDefault="00C0030A" w:rsidP="00C0030A">
            <w:pPr>
              <w:pStyle w:val="tabletext"/>
              <w:rPr>
                <w:lang w:val="en-US" w:eastAsia="en-US"/>
              </w:rPr>
            </w:pPr>
            <w:r w:rsidRPr="00C0030A">
              <w:rPr>
                <w:lang w:val="en-US" w:eastAsia="en-US"/>
              </w:rPr>
              <w:t>Subsections 1200D(2) and (3)</w:t>
            </w:r>
          </w:p>
        </w:tc>
      </w:tr>
      <w:tr w:rsidR="00C0030A" w:rsidRPr="00C0030A" w14:paraId="593F954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3B9A558" w14:textId="77777777" w:rsidR="00C0030A" w:rsidRPr="00C0030A" w:rsidRDefault="00C0030A" w:rsidP="00C0030A">
            <w:pPr>
              <w:pStyle w:val="tabletext"/>
              <w:rPr>
                <w:lang w:val="en-US" w:eastAsia="en-US"/>
              </w:rPr>
            </w:pPr>
            <w:r w:rsidRPr="00C0030A">
              <w:rPr>
                <w:lang w:val="en-US" w:eastAsia="en-US"/>
              </w:rPr>
              <w:t>397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090633" w14:textId="77777777" w:rsidR="00C0030A" w:rsidRPr="00C0030A" w:rsidRDefault="00C0030A" w:rsidP="00C0030A">
            <w:pPr>
              <w:pStyle w:val="tabletext"/>
              <w:rPr>
                <w:lang w:val="en-US" w:eastAsia="en-US"/>
              </w:rPr>
            </w:pPr>
            <w:r w:rsidRPr="00C0030A">
              <w:rPr>
                <w:lang w:val="en-US" w:eastAsia="en-US"/>
              </w:rPr>
              <w:t>Subsection 1200G(9)</w:t>
            </w:r>
          </w:p>
        </w:tc>
      </w:tr>
      <w:tr w:rsidR="00C0030A" w:rsidRPr="00C0030A" w14:paraId="54BE8B0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4F0BA6" w14:textId="77777777" w:rsidR="00C0030A" w:rsidRPr="00C0030A" w:rsidRDefault="00C0030A" w:rsidP="00C0030A">
            <w:pPr>
              <w:pStyle w:val="tabletext"/>
              <w:rPr>
                <w:lang w:val="en-US" w:eastAsia="en-US"/>
              </w:rPr>
            </w:pPr>
            <w:r w:rsidRPr="00C0030A">
              <w:rPr>
                <w:lang w:val="en-US" w:eastAsia="en-US"/>
              </w:rPr>
              <w:t>399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7EE25B" w14:textId="77777777" w:rsidR="00C0030A" w:rsidRPr="00C0030A" w:rsidRDefault="00C0030A" w:rsidP="00C0030A">
            <w:pPr>
              <w:pStyle w:val="tabletext"/>
              <w:rPr>
                <w:lang w:val="en-US" w:eastAsia="en-US"/>
              </w:rPr>
            </w:pPr>
            <w:r w:rsidRPr="00C0030A">
              <w:rPr>
                <w:lang w:val="en-US" w:eastAsia="en-US"/>
              </w:rPr>
              <w:t>Subsection 1200G(9) (heading to column headed “the offeror must lodge with ASIC:”)</w:t>
            </w:r>
          </w:p>
        </w:tc>
      </w:tr>
      <w:tr w:rsidR="00C0030A" w:rsidRPr="00C0030A" w14:paraId="02425E0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CE99BA9" w14:textId="77777777" w:rsidR="00C0030A" w:rsidRPr="00C0030A" w:rsidRDefault="00C0030A" w:rsidP="00C0030A">
            <w:pPr>
              <w:pStyle w:val="tabletext"/>
              <w:rPr>
                <w:lang w:val="en-US" w:eastAsia="en-US"/>
              </w:rPr>
            </w:pPr>
            <w:r w:rsidRPr="00C0030A">
              <w:rPr>
                <w:lang w:val="en-US" w:eastAsia="en-US"/>
              </w:rPr>
              <w:t>402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057ABD" w14:textId="77777777" w:rsidR="00C0030A" w:rsidRPr="00C0030A" w:rsidRDefault="00C0030A" w:rsidP="00C0030A">
            <w:pPr>
              <w:pStyle w:val="tabletext"/>
              <w:rPr>
                <w:lang w:val="en-US" w:eastAsia="en-US"/>
              </w:rPr>
            </w:pPr>
            <w:r w:rsidRPr="00C0030A">
              <w:rPr>
                <w:lang w:val="en-US" w:eastAsia="en-US"/>
              </w:rPr>
              <w:t>Paragraph 1200G(11)(b)</w:t>
            </w:r>
          </w:p>
        </w:tc>
      </w:tr>
      <w:tr w:rsidR="00C0030A" w:rsidRPr="00C0030A" w14:paraId="03BA234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1F1E2B" w14:textId="77777777" w:rsidR="00C0030A" w:rsidRPr="00C0030A" w:rsidRDefault="00C0030A" w:rsidP="00C0030A">
            <w:pPr>
              <w:pStyle w:val="tabletext"/>
              <w:rPr>
                <w:lang w:val="en-US" w:eastAsia="en-US"/>
              </w:rPr>
            </w:pPr>
            <w:r w:rsidRPr="00C0030A">
              <w:rPr>
                <w:lang w:val="en-US" w:eastAsia="en-US"/>
              </w:rPr>
              <w:t>403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FD544B9" w14:textId="77777777" w:rsidR="00C0030A" w:rsidRPr="00C0030A" w:rsidRDefault="00C0030A" w:rsidP="00C0030A">
            <w:pPr>
              <w:pStyle w:val="tabletext"/>
              <w:rPr>
                <w:lang w:val="en-US" w:eastAsia="en-US"/>
              </w:rPr>
            </w:pPr>
            <w:r w:rsidRPr="00C0030A">
              <w:rPr>
                <w:lang w:val="en-US" w:eastAsia="en-US"/>
              </w:rPr>
              <w:t>Subsection 1200H(2)</w:t>
            </w:r>
          </w:p>
        </w:tc>
      </w:tr>
      <w:tr w:rsidR="00C0030A" w:rsidRPr="00C0030A" w14:paraId="6A048E1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6E946B9" w14:textId="77777777" w:rsidR="00C0030A" w:rsidRPr="00C0030A" w:rsidRDefault="00C0030A" w:rsidP="00C0030A">
            <w:pPr>
              <w:pStyle w:val="tabletext"/>
              <w:rPr>
                <w:lang w:val="en-US" w:eastAsia="en-US"/>
              </w:rPr>
            </w:pPr>
            <w:r w:rsidRPr="00C0030A">
              <w:rPr>
                <w:lang w:val="en-US" w:eastAsia="en-US"/>
              </w:rPr>
              <w:t>405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E4AE374" w14:textId="77777777" w:rsidR="00C0030A" w:rsidRPr="00C0030A" w:rsidRDefault="00C0030A" w:rsidP="00C0030A">
            <w:pPr>
              <w:pStyle w:val="tabletext"/>
              <w:rPr>
                <w:lang w:val="en-US" w:eastAsia="en-US"/>
              </w:rPr>
            </w:pPr>
            <w:r w:rsidRPr="00C0030A">
              <w:rPr>
                <w:lang w:val="en-US" w:eastAsia="en-US"/>
              </w:rPr>
              <w:t>Paragraph 1200H(3)(b)</w:t>
            </w:r>
          </w:p>
        </w:tc>
      </w:tr>
      <w:tr w:rsidR="00C0030A" w:rsidRPr="00C0030A" w14:paraId="064FAEB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BCCD87C" w14:textId="77777777" w:rsidR="00C0030A" w:rsidRPr="00C0030A" w:rsidRDefault="00C0030A" w:rsidP="00C0030A">
            <w:pPr>
              <w:pStyle w:val="tabletext"/>
              <w:rPr>
                <w:lang w:val="en-US" w:eastAsia="en-US"/>
              </w:rPr>
            </w:pPr>
            <w:r w:rsidRPr="00C0030A">
              <w:rPr>
                <w:lang w:val="en-US" w:eastAsia="en-US"/>
              </w:rPr>
              <w:t>406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C99E0BF" w14:textId="77777777" w:rsidR="00C0030A" w:rsidRPr="00C0030A" w:rsidRDefault="00C0030A" w:rsidP="00C0030A">
            <w:pPr>
              <w:pStyle w:val="tabletext"/>
              <w:rPr>
                <w:lang w:val="en-US" w:eastAsia="en-US"/>
              </w:rPr>
            </w:pPr>
            <w:r w:rsidRPr="00C0030A">
              <w:rPr>
                <w:lang w:val="en-US" w:eastAsia="en-US"/>
              </w:rPr>
              <w:t>Paragraph 1200L(1)(a)</w:t>
            </w:r>
          </w:p>
        </w:tc>
      </w:tr>
      <w:tr w:rsidR="00C0030A" w:rsidRPr="00C0030A" w14:paraId="4C3A26C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9EF8112" w14:textId="77777777" w:rsidR="00C0030A" w:rsidRPr="00C0030A" w:rsidRDefault="00C0030A" w:rsidP="00C0030A">
            <w:pPr>
              <w:pStyle w:val="tabletext"/>
              <w:rPr>
                <w:lang w:val="en-US" w:eastAsia="en-US"/>
              </w:rPr>
            </w:pPr>
            <w:r w:rsidRPr="00C0030A">
              <w:rPr>
                <w:lang w:val="en-US" w:eastAsia="en-US"/>
              </w:rPr>
              <w:t>407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376568" w14:textId="77777777" w:rsidR="00C0030A" w:rsidRPr="00C0030A" w:rsidRDefault="00C0030A" w:rsidP="00C0030A">
            <w:pPr>
              <w:pStyle w:val="tabletext"/>
              <w:rPr>
                <w:lang w:val="en-US" w:eastAsia="en-US"/>
              </w:rPr>
            </w:pPr>
            <w:r w:rsidRPr="00C0030A">
              <w:rPr>
                <w:lang w:val="en-US" w:eastAsia="en-US"/>
              </w:rPr>
              <w:t>Paragraph 1200L(3)(a)</w:t>
            </w:r>
          </w:p>
        </w:tc>
      </w:tr>
      <w:tr w:rsidR="00C0030A" w:rsidRPr="00C0030A" w14:paraId="224AC76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DEDFAD4" w14:textId="77777777" w:rsidR="00C0030A" w:rsidRPr="00C0030A" w:rsidRDefault="00C0030A" w:rsidP="00C0030A">
            <w:pPr>
              <w:pStyle w:val="tabletext"/>
              <w:rPr>
                <w:lang w:val="en-US" w:eastAsia="en-US"/>
              </w:rPr>
            </w:pPr>
            <w:r w:rsidRPr="00C0030A">
              <w:rPr>
                <w:lang w:val="en-US" w:eastAsia="en-US"/>
              </w:rPr>
              <w:t>408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DBC77BF" w14:textId="77777777" w:rsidR="00C0030A" w:rsidRPr="00C0030A" w:rsidRDefault="00C0030A" w:rsidP="00C0030A">
            <w:pPr>
              <w:pStyle w:val="tabletext"/>
              <w:rPr>
                <w:lang w:val="en-US" w:eastAsia="en-US"/>
              </w:rPr>
            </w:pPr>
            <w:r w:rsidRPr="00C0030A">
              <w:rPr>
                <w:lang w:val="en-US" w:eastAsia="en-US"/>
              </w:rPr>
              <w:t>Subsection 1200N(1) (table item 1, column headed “If, in relation to:”, paragraph (c))</w:t>
            </w:r>
          </w:p>
        </w:tc>
      </w:tr>
      <w:tr w:rsidR="00C0030A" w:rsidRPr="00C0030A" w14:paraId="6E8E44A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9D0C5A3" w14:textId="77777777" w:rsidR="00C0030A" w:rsidRPr="00C0030A" w:rsidRDefault="00C0030A" w:rsidP="00C0030A">
            <w:pPr>
              <w:pStyle w:val="tabletext"/>
              <w:rPr>
                <w:lang w:val="en-US" w:eastAsia="en-US"/>
              </w:rPr>
            </w:pPr>
            <w:r w:rsidRPr="00C0030A">
              <w:rPr>
                <w:lang w:val="en-US" w:eastAsia="en-US"/>
              </w:rPr>
              <w:t>409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93AC46C" w14:textId="77777777" w:rsidR="00C0030A" w:rsidRPr="00C0030A" w:rsidRDefault="00C0030A" w:rsidP="00C0030A">
            <w:pPr>
              <w:pStyle w:val="tabletext"/>
              <w:rPr>
                <w:lang w:val="en-US" w:eastAsia="en-US"/>
              </w:rPr>
            </w:pPr>
            <w:r w:rsidRPr="00C0030A">
              <w:rPr>
                <w:lang w:val="en-US" w:eastAsia="en-US"/>
              </w:rPr>
              <w:t>Paragraph 1200R(2)(b)</w:t>
            </w:r>
          </w:p>
        </w:tc>
      </w:tr>
      <w:tr w:rsidR="00C0030A" w:rsidRPr="00C0030A" w14:paraId="2672C95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2EC2683" w14:textId="77777777" w:rsidR="00C0030A" w:rsidRPr="00C0030A" w:rsidRDefault="00C0030A" w:rsidP="00C0030A">
            <w:pPr>
              <w:pStyle w:val="tabletext"/>
              <w:rPr>
                <w:lang w:val="en-US" w:eastAsia="en-US"/>
              </w:rPr>
            </w:pPr>
            <w:r w:rsidRPr="00C0030A">
              <w:rPr>
                <w:lang w:val="en-US" w:eastAsia="en-US"/>
              </w:rPr>
              <w:t>410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88E4ED4" w14:textId="77777777" w:rsidR="00C0030A" w:rsidRPr="00C0030A" w:rsidRDefault="00C0030A" w:rsidP="00C0030A">
            <w:pPr>
              <w:pStyle w:val="tabletext"/>
              <w:rPr>
                <w:lang w:val="en-US" w:eastAsia="en-US"/>
              </w:rPr>
            </w:pPr>
            <w:r w:rsidRPr="00C0030A">
              <w:rPr>
                <w:lang w:val="en-US" w:eastAsia="en-US"/>
              </w:rPr>
              <w:t>Section 1200S (heading)</w:t>
            </w:r>
          </w:p>
        </w:tc>
      </w:tr>
      <w:tr w:rsidR="00C0030A" w:rsidRPr="00C0030A" w14:paraId="7E06161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CA2325F" w14:textId="77777777" w:rsidR="00C0030A" w:rsidRPr="00C0030A" w:rsidRDefault="00C0030A" w:rsidP="00C0030A">
            <w:pPr>
              <w:pStyle w:val="tabletext"/>
              <w:rPr>
                <w:lang w:val="en-US" w:eastAsia="en-US"/>
              </w:rPr>
            </w:pPr>
            <w:r w:rsidRPr="00C0030A">
              <w:rPr>
                <w:lang w:val="en-US" w:eastAsia="en-US"/>
              </w:rPr>
              <w:t>411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573295A" w14:textId="77777777" w:rsidR="00C0030A" w:rsidRPr="00C0030A" w:rsidRDefault="00C0030A" w:rsidP="00C0030A">
            <w:pPr>
              <w:pStyle w:val="tabletext"/>
              <w:rPr>
                <w:lang w:val="en-US" w:eastAsia="en-US"/>
              </w:rPr>
            </w:pPr>
            <w:r w:rsidRPr="00C0030A">
              <w:rPr>
                <w:lang w:val="en-US" w:eastAsia="en-US"/>
              </w:rPr>
              <w:t>Section 1200S</w:t>
            </w:r>
          </w:p>
        </w:tc>
      </w:tr>
      <w:tr w:rsidR="00C0030A" w:rsidRPr="00C0030A" w14:paraId="37ADC7E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89891B" w14:textId="77777777" w:rsidR="00C0030A" w:rsidRPr="00C0030A" w:rsidRDefault="00C0030A" w:rsidP="00C0030A">
            <w:pPr>
              <w:pStyle w:val="tabletext"/>
              <w:rPr>
                <w:lang w:val="en-US" w:eastAsia="en-US"/>
              </w:rPr>
            </w:pPr>
            <w:r w:rsidRPr="00C0030A">
              <w:rPr>
                <w:lang w:val="en-US" w:eastAsia="en-US"/>
              </w:rPr>
              <w:t>415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5D9F1D" w14:textId="77777777" w:rsidR="00C0030A" w:rsidRPr="00C0030A" w:rsidRDefault="00C0030A" w:rsidP="00C0030A">
            <w:pPr>
              <w:pStyle w:val="tabletext"/>
              <w:rPr>
                <w:lang w:val="en-US" w:eastAsia="en-US"/>
              </w:rPr>
            </w:pPr>
            <w:r w:rsidRPr="00C0030A">
              <w:rPr>
                <w:lang w:val="en-US" w:eastAsia="en-US"/>
              </w:rPr>
              <w:t>Subsection 1231D(1)</w:t>
            </w:r>
          </w:p>
        </w:tc>
      </w:tr>
      <w:tr w:rsidR="00C0030A" w:rsidRPr="00C0030A" w14:paraId="4073DB6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0DA640D" w14:textId="77777777" w:rsidR="00C0030A" w:rsidRPr="00C0030A" w:rsidRDefault="00C0030A" w:rsidP="00C0030A">
            <w:pPr>
              <w:pStyle w:val="tabletext"/>
              <w:rPr>
                <w:lang w:val="en-US" w:eastAsia="en-US"/>
              </w:rPr>
            </w:pPr>
            <w:r w:rsidRPr="00C0030A">
              <w:rPr>
                <w:lang w:val="en-US" w:eastAsia="en-US"/>
              </w:rPr>
              <w:t>416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53D019D" w14:textId="77777777" w:rsidR="00C0030A" w:rsidRPr="00C0030A" w:rsidRDefault="00C0030A" w:rsidP="00C0030A">
            <w:pPr>
              <w:pStyle w:val="tabletext"/>
              <w:rPr>
                <w:lang w:val="en-US" w:eastAsia="en-US"/>
              </w:rPr>
            </w:pPr>
            <w:r w:rsidRPr="00C0030A">
              <w:rPr>
                <w:lang w:val="en-US" w:eastAsia="en-US"/>
              </w:rPr>
              <w:t>Subsection 1231D(2)</w:t>
            </w:r>
          </w:p>
        </w:tc>
      </w:tr>
      <w:tr w:rsidR="00C0030A" w:rsidRPr="00C0030A" w14:paraId="0620CAC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7B4992B" w14:textId="77777777" w:rsidR="00C0030A" w:rsidRPr="00C0030A" w:rsidRDefault="00C0030A" w:rsidP="00C0030A">
            <w:pPr>
              <w:pStyle w:val="tabletext"/>
              <w:rPr>
                <w:lang w:val="en-US" w:eastAsia="en-US"/>
              </w:rPr>
            </w:pPr>
            <w:r w:rsidRPr="00C0030A">
              <w:rPr>
                <w:lang w:val="en-US" w:eastAsia="en-US"/>
              </w:rPr>
              <w:t>417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64DA8B" w14:textId="77777777" w:rsidR="00C0030A" w:rsidRPr="00C0030A" w:rsidRDefault="00C0030A" w:rsidP="00C0030A">
            <w:pPr>
              <w:pStyle w:val="tabletext"/>
              <w:rPr>
                <w:lang w:val="en-US" w:eastAsia="en-US"/>
              </w:rPr>
            </w:pPr>
            <w:r w:rsidRPr="00C0030A">
              <w:rPr>
                <w:lang w:val="en-US" w:eastAsia="en-US"/>
              </w:rPr>
              <w:t>Subsection 1231D(2)</w:t>
            </w:r>
          </w:p>
        </w:tc>
      </w:tr>
      <w:tr w:rsidR="00C0030A" w:rsidRPr="00C0030A" w14:paraId="5D1C92E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30F3A29" w14:textId="77777777" w:rsidR="00C0030A" w:rsidRPr="00C0030A" w:rsidRDefault="00C0030A" w:rsidP="00C0030A">
            <w:pPr>
              <w:pStyle w:val="tabletext"/>
              <w:rPr>
                <w:lang w:val="en-US" w:eastAsia="en-US"/>
              </w:rPr>
            </w:pPr>
            <w:r w:rsidRPr="00C0030A">
              <w:rPr>
                <w:lang w:val="en-US" w:eastAsia="en-US"/>
              </w:rPr>
              <w:t>418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A370DE2" w14:textId="77777777" w:rsidR="00C0030A" w:rsidRPr="00C0030A" w:rsidRDefault="00C0030A" w:rsidP="00C0030A">
            <w:pPr>
              <w:pStyle w:val="tabletext"/>
              <w:rPr>
                <w:lang w:val="en-US" w:eastAsia="en-US"/>
              </w:rPr>
            </w:pPr>
            <w:r w:rsidRPr="00C0030A">
              <w:rPr>
                <w:lang w:val="en-US" w:eastAsia="en-US"/>
              </w:rPr>
              <w:t>Subsection 13</w:t>
            </w:r>
            <w:r w:rsidRPr="00C0030A">
              <w:rPr>
                <w:lang w:val="en-US" w:eastAsia="en-US"/>
              </w:rPr>
              <w:noBreakHyphen/>
              <w:t>040(1)</w:t>
            </w:r>
          </w:p>
        </w:tc>
      </w:tr>
      <w:tr w:rsidR="00C0030A" w:rsidRPr="00C0030A" w14:paraId="18A4A42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C3BC4A4" w14:textId="77777777" w:rsidR="00C0030A" w:rsidRPr="00C0030A" w:rsidRDefault="00C0030A" w:rsidP="00C0030A">
            <w:pPr>
              <w:pStyle w:val="tabletext"/>
              <w:rPr>
                <w:lang w:val="en-US" w:eastAsia="en-US"/>
              </w:rPr>
            </w:pPr>
            <w:r w:rsidRPr="00C0030A">
              <w:rPr>
                <w:lang w:val="en-US" w:eastAsia="en-US"/>
              </w:rPr>
              <w:t>419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BF38792" w14:textId="77777777" w:rsidR="00C0030A" w:rsidRPr="00C0030A" w:rsidRDefault="00C0030A" w:rsidP="00C0030A">
            <w:pPr>
              <w:pStyle w:val="tabletext"/>
              <w:rPr>
                <w:lang w:val="en-US" w:eastAsia="en-US"/>
              </w:rPr>
            </w:pPr>
            <w:r w:rsidRPr="00C0030A">
              <w:rPr>
                <w:lang w:val="en-US" w:eastAsia="en-US"/>
              </w:rPr>
              <w:t>Paragraphs 13</w:t>
            </w:r>
            <w:r w:rsidRPr="00C0030A">
              <w:rPr>
                <w:lang w:val="en-US" w:eastAsia="en-US"/>
              </w:rPr>
              <w:noBreakHyphen/>
              <w:t>040(2)(b) and (c)</w:t>
            </w:r>
          </w:p>
        </w:tc>
      </w:tr>
      <w:tr w:rsidR="00C0030A" w:rsidRPr="00C0030A" w14:paraId="644AE5D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3A949A" w14:textId="77777777" w:rsidR="00C0030A" w:rsidRPr="00C0030A" w:rsidRDefault="00C0030A" w:rsidP="00C0030A">
            <w:pPr>
              <w:pStyle w:val="tabletext"/>
              <w:rPr>
                <w:lang w:val="en-US" w:eastAsia="en-US"/>
              </w:rPr>
            </w:pPr>
            <w:r w:rsidRPr="00C0030A">
              <w:rPr>
                <w:lang w:val="en-US" w:eastAsia="en-US"/>
              </w:rPr>
              <w:t>420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563E4BD" w14:textId="77777777" w:rsidR="00C0030A" w:rsidRPr="00C0030A" w:rsidRDefault="00C0030A" w:rsidP="00C0030A">
            <w:pPr>
              <w:pStyle w:val="tabletext"/>
              <w:rPr>
                <w:lang w:val="en-US" w:eastAsia="en-US"/>
              </w:rPr>
            </w:pPr>
            <w:r w:rsidRPr="00C0030A">
              <w:rPr>
                <w:lang w:val="en-US" w:eastAsia="en-US"/>
              </w:rPr>
              <w:t>Subsection 13</w:t>
            </w:r>
            <w:r w:rsidRPr="00C0030A">
              <w:rPr>
                <w:lang w:val="en-US" w:eastAsia="en-US"/>
              </w:rPr>
              <w:noBreakHyphen/>
              <w:t>050(1)</w:t>
            </w:r>
          </w:p>
        </w:tc>
      </w:tr>
      <w:tr w:rsidR="00C0030A" w:rsidRPr="00C0030A" w14:paraId="3768B5E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85FAE37" w14:textId="77777777" w:rsidR="00C0030A" w:rsidRPr="00C0030A" w:rsidRDefault="00C0030A" w:rsidP="00C0030A">
            <w:pPr>
              <w:pStyle w:val="tabletext"/>
              <w:rPr>
                <w:lang w:val="en-US" w:eastAsia="en-US"/>
              </w:rPr>
            </w:pPr>
            <w:r w:rsidRPr="00C0030A">
              <w:rPr>
                <w:lang w:val="en-US" w:eastAsia="en-US"/>
              </w:rPr>
              <w:t>421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9AB304B" w14:textId="77777777" w:rsidR="00C0030A" w:rsidRPr="00C0030A" w:rsidRDefault="00C0030A" w:rsidP="00C0030A">
            <w:pPr>
              <w:pStyle w:val="tabletext"/>
              <w:rPr>
                <w:lang w:val="en-US" w:eastAsia="en-US"/>
              </w:rPr>
            </w:pPr>
            <w:r w:rsidRPr="00C0030A">
              <w:rPr>
                <w:lang w:val="en-US" w:eastAsia="en-US"/>
              </w:rPr>
              <w:t>Subsection 13</w:t>
            </w:r>
            <w:r w:rsidRPr="00C0030A">
              <w:rPr>
                <w:lang w:val="en-US" w:eastAsia="en-US"/>
              </w:rPr>
              <w:noBreakHyphen/>
              <w:t>050(2)</w:t>
            </w:r>
          </w:p>
        </w:tc>
      </w:tr>
      <w:tr w:rsidR="00C0030A" w:rsidRPr="00C0030A" w14:paraId="0132DDC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17B7D6" w14:textId="77777777" w:rsidR="00C0030A" w:rsidRPr="00C0030A" w:rsidRDefault="00C0030A" w:rsidP="00C0030A">
            <w:pPr>
              <w:pStyle w:val="tabletext"/>
              <w:rPr>
                <w:lang w:val="en-US" w:eastAsia="en-US"/>
              </w:rPr>
            </w:pPr>
            <w:r w:rsidRPr="00C0030A">
              <w:rPr>
                <w:lang w:val="en-US" w:eastAsia="en-US"/>
              </w:rPr>
              <w:t>422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3F460CF" w14:textId="77777777" w:rsidR="00C0030A" w:rsidRPr="00C0030A" w:rsidRDefault="00C0030A" w:rsidP="00C0030A">
            <w:pPr>
              <w:pStyle w:val="tabletext"/>
              <w:rPr>
                <w:lang w:val="en-US" w:eastAsia="en-US"/>
              </w:rPr>
            </w:pPr>
            <w:r w:rsidRPr="00C0030A">
              <w:rPr>
                <w:lang w:val="en-US" w:eastAsia="en-US"/>
              </w:rPr>
              <w:t>Subsection 13</w:t>
            </w:r>
            <w:r w:rsidRPr="00C0030A">
              <w:rPr>
                <w:lang w:val="en-US" w:eastAsia="en-US"/>
              </w:rPr>
              <w:noBreakHyphen/>
              <w:t>050(4)</w:t>
            </w:r>
          </w:p>
        </w:tc>
      </w:tr>
      <w:tr w:rsidR="00C0030A" w:rsidRPr="00C0030A" w14:paraId="2527AF5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7723F5C" w14:textId="77777777" w:rsidR="00C0030A" w:rsidRPr="00C0030A" w:rsidRDefault="00C0030A" w:rsidP="00C0030A">
            <w:pPr>
              <w:pStyle w:val="tabletext"/>
              <w:rPr>
                <w:lang w:val="en-US" w:eastAsia="en-US"/>
              </w:rPr>
            </w:pPr>
            <w:r w:rsidRPr="00C0030A">
              <w:rPr>
                <w:lang w:val="en-US" w:eastAsia="en-US"/>
              </w:rPr>
              <w:t>423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4F564C6" w14:textId="77777777" w:rsidR="00C0030A" w:rsidRPr="00C0030A" w:rsidRDefault="00C0030A" w:rsidP="00C0030A">
            <w:pPr>
              <w:pStyle w:val="tabletext"/>
              <w:rPr>
                <w:lang w:val="en-US" w:eastAsia="en-US"/>
              </w:rPr>
            </w:pPr>
            <w:r w:rsidRPr="00C0030A">
              <w:rPr>
                <w:lang w:val="en-US" w:eastAsia="en-US"/>
              </w:rPr>
              <w:t>Section 13</w:t>
            </w:r>
            <w:r w:rsidRPr="00C0030A">
              <w:rPr>
                <w:lang w:val="en-US" w:eastAsia="en-US"/>
              </w:rPr>
              <w:noBreakHyphen/>
              <w:t>060 (note)</w:t>
            </w:r>
          </w:p>
        </w:tc>
      </w:tr>
      <w:tr w:rsidR="00C0030A" w:rsidRPr="00C0030A" w14:paraId="5F15E98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E7DC57F" w14:textId="77777777" w:rsidR="00C0030A" w:rsidRPr="00C0030A" w:rsidRDefault="00C0030A" w:rsidP="00C0030A">
            <w:pPr>
              <w:pStyle w:val="tabletext"/>
              <w:rPr>
                <w:lang w:val="en-US" w:eastAsia="en-US"/>
              </w:rPr>
            </w:pPr>
            <w:r w:rsidRPr="00C0030A">
              <w:rPr>
                <w:lang w:val="en-US" w:eastAsia="en-US"/>
              </w:rPr>
              <w:t>425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A0EA67D" w14:textId="77777777" w:rsidR="00C0030A" w:rsidRPr="00C0030A" w:rsidRDefault="00C0030A" w:rsidP="00C0030A">
            <w:pPr>
              <w:pStyle w:val="tabletext"/>
              <w:rPr>
                <w:lang w:val="en-US" w:eastAsia="en-US"/>
              </w:rPr>
            </w:pPr>
            <w:r w:rsidRPr="00C0030A">
              <w:rPr>
                <w:lang w:val="en-US" w:eastAsia="en-US"/>
              </w:rPr>
              <w:t>Subparagraph 1274(2)(a)(</w:t>
            </w:r>
            <w:proofErr w:type="spellStart"/>
            <w:r w:rsidRPr="00C0030A">
              <w:rPr>
                <w:lang w:val="en-US" w:eastAsia="en-US"/>
              </w:rPr>
              <w:t>iaa</w:t>
            </w:r>
            <w:proofErr w:type="spellEnd"/>
            <w:r w:rsidRPr="00C0030A">
              <w:rPr>
                <w:lang w:val="en-US" w:eastAsia="en-US"/>
              </w:rPr>
              <w:t>)</w:t>
            </w:r>
          </w:p>
        </w:tc>
      </w:tr>
      <w:tr w:rsidR="00C0030A" w:rsidRPr="00C0030A" w14:paraId="2DEEFCE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6AD550E" w14:textId="77777777" w:rsidR="00C0030A" w:rsidRPr="00C0030A" w:rsidRDefault="00C0030A" w:rsidP="00C0030A">
            <w:pPr>
              <w:pStyle w:val="tabletext"/>
              <w:rPr>
                <w:lang w:val="en-US" w:eastAsia="en-US"/>
              </w:rPr>
            </w:pPr>
            <w:r w:rsidRPr="00C0030A">
              <w:rPr>
                <w:lang w:val="en-US" w:eastAsia="en-US"/>
              </w:rPr>
              <w:t>426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2A4F8F1" w14:textId="77777777" w:rsidR="00C0030A" w:rsidRPr="00C0030A" w:rsidRDefault="00C0030A" w:rsidP="00C0030A">
            <w:pPr>
              <w:pStyle w:val="tabletext"/>
              <w:rPr>
                <w:lang w:val="en-US" w:eastAsia="en-US"/>
              </w:rPr>
            </w:pPr>
            <w:r w:rsidRPr="00C0030A">
              <w:rPr>
                <w:lang w:val="en-US" w:eastAsia="en-US"/>
              </w:rPr>
              <w:t>Subparagraph 1274(2)(a)(</w:t>
            </w:r>
            <w:proofErr w:type="spellStart"/>
            <w:r w:rsidRPr="00C0030A">
              <w:rPr>
                <w:lang w:val="en-US" w:eastAsia="en-US"/>
              </w:rPr>
              <w:t>ia</w:t>
            </w:r>
            <w:proofErr w:type="spellEnd"/>
            <w:r w:rsidRPr="00C0030A">
              <w:rPr>
                <w:lang w:val="en-US" w:eastAsia="en-US"/>
              </w:rPr>
              <w:t>)</w:t>
            </w:r>
          </w:p>
        </w:tc>
      </w:tr>
      <w:tr w:rsidR="00C0030A" w:rsidRPr="00C0030A" w14:paraId="30A9467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6840F2" w14:textId="77777777" w:rsidR="00C0030A" w:rsidRPr="00C0030A" w:rsidRDefault="00C0030A" w:rsidP="00C0030A">
            <w:pPr>
              <w:pStyle w:val="tabletext"/>
              <w:rPr>
                <w:lang w:val="en-US" w:eastAsia="en-US"/>
              </w:rPr>
            </w:pPr>
            <w:r w:rsidRPr="00C0030A">
              <w:rPr>
                <w:lang w:val="en-US" w:eastAsia="en-US"/>
              </w:rPr>
              <w:t>427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E904B65" w14:textId="77777777" w:rsidR="00C0030A" w:rsidRPr="00C0030A" w:rsidRDefault="00C0030A" w:rsidP="00C0030A">
            <w:pPr>
              <w:pStyle w:val="tabletext"/>
              <w:rPr>
                <w:lang w:val="en-US" w:eastAsia="en-US"/>
              </w:rPr>
            </w:pPr>
            <w:r w:rsidRPr="00C0030A">
              <w:rPr>
                <w:lang w:val="en-US" w:eastAsia="en-US"/>
              </w:rPr>
              <w:t>Subparagraph 1274(2)(a)(ii)</w:t>
            </w:r>
          </w:p>
        </w:tc>
      </w:tr>
      <w:tr w:rsidR="00C0030A" w:rsidRPr="00C0030A" w14:paraId="40E1CCC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9014F45" w14:textId="77777777" w:rsidR="00C0030A" w:rsidRPr="00C0030A" w:rsidRDefault="00C0030A" w:rsidP="00C0030A">
            <w:pPr>
              <w:pStyle w:val="tabletext"/>
              <w:rPr>
                <w:lang w:val="en-US" w:eastAsia="en-US"/>
              </w:rPr>
            </w:pPr>
            <w:r w:rsidRPr="00C0030A">
              <w:rPr>
                <w:lang w:val="en-US" w:eastAsia="en-US"/>
              </w:rPr>
              <w:t>428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24AF68F" w14:textId="77777777" w:rsidR="00C0030A" w:rsidRPr="00C0030A" w:rsidRDefault="00C0030A" w:rsidP="00C0030A">
            <w:pPr>
              <w:pStyle w:val="tabletext"/>
              <w:rPr>
                <w:lang w:val="en-US" w:eastAsia="en-US"/>
              </w:rPr>
            </w:pPr>
            <w:r w:rsidRPr="00C0030A">
              <w:rPr>
                <w:lang w:val="en-US" w:eastAsia="en-US"/>
              </w:rPr>
              <w:t>Subparagraph 1274(2)(a)(ii)</w:t>
            </w:r>
          </w:p>
        </w:tc>
      </w:tr>
      <w:tr w:rsidR="00C0030A" w:rsidRPr="00C0030A" w14:paraId="22E29BE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178C4E2" w14:textId="77777777" w:rsidR="00C0030A" w:rsidRPr="00C0030A" w:rsidRDefault="00C0030A" w:rsidP="00C0030A">
            <w:pPr>
              <w:pStyle w:val="tabletext"/>
              <w:rPr>
                <w:lang w:val="en-US" w:eastAsia="en-US"/>
              </w:rPr>
            </w:pPr>
            <w:r w:rsidRPr="00C0030A">
              <w:rPr>
                <w:lang w:val="en-US" w:eastAsia="en-US"/>
              </w:rPr>
              <w:t>429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125D17F" w14:textId="77777777" w:rsidR="00C0030A" w:rsidRPr="00C0030A" w:rsidRDefault="00C0030A" w:rsidP="00C0030A">
            <w:pPr>
              <w:pStyle w:val="tabletext"/>
              <w:rPr>
                <w:lang w:val="en-US" w:eastAsia="en-US"/>
              </w:rPr>
            </w:pPr>
            <w:r w:rsidRPr="00C0030A">
              <w:rPr>
                <w:lang w:val="en-US" w:eastAsia="en-US"/>
              </w:rPr>
              <w:t>Subparagraph 1274(2)(a)(</w:t>
            </w:r>
            <w:proofErr w:type="spellStart"/>
            <w:r w:rsidRPr="00C0030A">
              <w:rPr>
                <w:lang w:val="en-US" w:eastAsia="en-US"/>
              </w:rPr>
              <w:t>iva</w:t>
            </w:r>
            <w:proofErr w:type="spellEnd"/>
            <w:r w:rsidRPr="00C0030A">
              <w:rPr>
                <w:lang w:val="en-US" w:eastAsia="en-US"/>
              </w:rPr>
              <w:t>)</w:t>
            </w:r>
          </w:p>
        </w:tc>
      </w:tr>
      <w:tr w:rsidR="00C0030A" w:rsidRPr="00C0030A" w14:paraId="3EC8286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A82B6B1" w14:textId="77777777" w:rsidR="00C0030A" w:rsidRPr="00C0030A" w:rsidRDefault="00C0030A" w:rsidP="00C0030A">
            <w:pPr>
              <w:pStyle w:val="tabletext"/>
              <w:rPr>
                <w:lang w:val="en-US" w:eastAsia="en-US"/>
              </w:rPr>
            </w:pPr>
            <w:r w:rsidRPr="00C0030A">
              <w:rPr>
                <w:lang w:val="en-US" w:eastAsia="en-US"/>
              </w:rPr>
              <w:t>430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3A7933C" w14:textId="77777777" w:rsidR="00C0030A" w:rsidRPr="00C0030A" w:rsidRDefault="00C0030A" w:rsidP="00C0030A">
            <w:pPr>
              <w:pStyle w:val="tabletext"/>
              <w:rPr>
                <w:lang w:val="en-US" w:eastAsia="en-US"/>
              </w:rPr>
            </w:pPr>
            <w:r w:rsidRPr="00C0030A">
              <w:rPr>
                <w:lang w:val="en-US" w:eastAsia="en-US"/>
              </w:rPr>
              <w:t>Paragraph 1274(2)(b)</w:t>
            </w:r>
          </w:p>
        </w:tc>
      </w:tr>
      <w:tr w:rsidR="00C0030A" w:rsidRPr="00C0030A" w14:paraId="71D5C08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FC20B4C" w14:textId="77777777" w:rsidR="00C0030A" w:rsidRPr="00C0030A" w:rsidRDefault="00C0030A" w:rsidP="00C0030A">
            <w:pPr>
              <w:pStyle w:val="tabletext"/>
              <w:rPr>
                <w:lang w:val="en-US" w:eastAsia="en-US"/>
              </w:rPr>
            </w:pPr>
            <w:r w:rsidRPr="00C0030A">
              <w:rPr>
                <w:lang w:val="en-US" w:eastAsia="en-US"/>
              </w:rPr>
              <w:t>431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2383853" w14:textId="77777777" w:rsidR="00C0030A" w:rsidRPr="00C0030A" w:rsidRDefault="00C0030A" w:rsidP="00C0030A">
            <w:pPr>
              <w:pStyle w:val="tabletext"/>
              <w:rPr>
                <w:lang w:val="en-US" w:eastAsia="en-US"/>
              </w:rPr>
            </w:pPr>
            <w:r w:rsidRPr="00C0030A">
              <w:rPr>
                <w:lang w:val="en-US" w:eastAsia="en-US"/>
              </w:rPr>
              <w:t>Subsections 1274(2AA) to (2D)</w:t>
            </w:r>
          </w:p>
        </w:tc>
      </w:tr>
      <w:tr w:rsidR="00C0030A" w:rsidRPr="00C0030A" w14:paraId="122AF20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0492A42" w14:textId="77777777" w:rsidR="00C0030A" w:rsidRPr="00C0030A" w:rsidRDefault="00C0030A" w:rsidP="00C0030A">
            <w:pPr>
              <w:pStyle w:val="tabletext"/>
              <w:rPr>
                <w:lang w:val="en-US" w:eastAsia="en-US"/>
              </w:rPr>
            </w:pPr>
            <w:r w:rsidRPr="00C0030A">
              <w:rPr>
                <w:lang w:val="en-US" w:eastAsia="en-US"/>
              </w:rPr>
              <w:t>432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1E6E6A5" w14:textId="77777777" w:rsidR="00C0030A" w:rsidRPr="00C0030A" w:rsidRDefault="00C0030A" w:rsidP="00C0030A">
            <w:pPr>
              <w:pStyle w:val="tabletext"/>
              <w:rPr>
                <w:lang w:val="en-US" w:eastAsia="en-US"/>
              </w:rPr>
            </w:pPr>
            <w:r w:rsidRPr="00C0030A">
              <w:rPr>
                <w:lang w:val="en-US" w:eastAsia="en-US"/>
              </w:rPr>
              <w:t>Subsection 1274(7A)</w:t>
            </w:r>
          </w:p>
        </w:tc>
      </w:tr>
      <w:tr w:rsidR="00C0030A" w:rsidRPr="00C0030A" w14:paraId="69D00BA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494B9B7" w14:textId="77777777" w:rsidR="00C0030A" w:rsidRPr="00C0030A" w:rsidRDefault="00C0030A" w:rsidP="00C0030A">
            <w:pPr>
              <w:pStyle w:val="tabletext"/>
              <w:rPr>
                <w:lang w:val="en-US" w:eastAsia="en-US"/>
              </w:rPr>
            </w:pPr>
            <w:r w:rsidRPr="00C0030A">
              <w:rPr>
                <w:lang w:val="en-US" w:eastAsia="en-US"/>
              </w:rPr>
              <w:t>433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8A5558F" w14:textId="77777777" w:rsidR="00C0030A" w:rsidRPr="00C0030A" w:rsidRDefault="00C0030A" w:rsidP="00C0030A">
            <w:pPr>
              <w:pStyle w:val="tabletext"/>
              <w:rPr>
                <w:lang w:val="en-US" w:eastAsia="en-US"/>
              </w:rPr>
            </w:pPr>
            <w:r w:rsidRPr="00C0030A">
              <w:rPr>
                <w:lang w:val="en-US" w:eastAsia="en-US"/>
              </w:rPr>
              <w:t>Subsection 1274(8)</w:t>
            </w:r>
          </w:p>
        </w:tc>
      </w:tr>
      <w:tr w:rsidR="00C0030A" w:rsidRPr="00C0030A" w14:paraId="1AA3F8A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D5B715C" w14:textId="77777777" w:rsidR="00C0030A" w:rsidRPr="00C0030A" w:rsidRDefault="00C0030A" w:rsidP="00C0030A">
            <w:pPr>
              <w:pStyle w:val="tabletext"/>
              <w:rPr>
                <w:lang w:val="en-US" w:eastAsia="en-US"/>
              </w:rPr>
            </w:pPr>
            <w:r w:rsidRPr="00C0030A">
              <w:rPr>
                <w:lang w:val="en-US" w:eastAsia="en-US"/>
              </w:rPr>
              <w:t>434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818CE01" w14:textId="77777777" w:rsidR="00C0030A" w:rsidRPr="00C0030A" w:rsidRDefault="00C0030A" w:rsidP="00C0030A">
            <w:pPr>
              <w:pStyle w:val="tabletext"/>
              <w:rPr>
                <w:lang w:val="en-US" w:eastAsia="en-US"/>
              </w:rPr>
            </w:pPr>
            <w:r w:rsidRPr="00C0030A">
              <w:rPr>
                <w:lang w:val="en-US" w:eastAsia="en-US"/>
              </w:rPr>
              <w:t>Paragraph 1274(8)(h)</w:t>
            </w:r>
          </w:p>
        </w:tc>
      </w:tr>
      <w:tr w:rsidR="00C0030A" w:rsidRPr="00C0030A" w14:paraId="44B527E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F879F13" w14:textId="77777777" w:rsidR="00C0030A" w:rsidRPr="00C0030A" w:rsidRDefault="00C0030A" w:rsidP="00C0030A">
            <w:pPr>
              <w:pStyle w:val="tabletext"/>
              <w:rPr>
                <w:lang w:val="en-US" w:eastAsia="en-US"/>
              </w:rPr>
            </w:pPr>
            <w:r w:rsidRPr="00C0030A">
              <w:rPr>
                <w:lang w:val="en-US" w:eastAsia="en-US"/>
              </w:rPr>
              <w:t>435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0EE6569" w14:textId="77777777" w:rsidR="00C0030A" w:rsidRPr="00C0030A" w:rsidRDefault="00C0030A" w:rsidP="00C0030A">
            <w:pPr>
              <w:pStyle w:val="tabletext"/>
              <w:rPr>
                <w:lang w:val="en-US" w:eastAsia="en-US"/>
              </w:rPr>
            </w:pPr>
            <w:r w:rsidRPr="00C0030A">
              <w:rPr>
                <w:lang w:val="en-US" w:eastAsia="en-US"/>
              </w:rPr>
              <w:t>Subsection 1274(9)</w:t>
            </w:r>
          </w:p>
        </w:tc>
      </w:tr>
      <w:tr w:rsidR="00C0030A" w:rsidRPr="00C0030A" w14:paraId="462A7A6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4C818E3" w14:textId="77777777" w:rsidR="00C0030A" w:rsidRPr="00C0030A" w:rsidRDefault="00C0030A" w:rsidP="00C0030A">
            <w:pPr>
              <w:pStyle w:val="tabletext"/>
              <w:rPr>
                <w:lang w:val="en-US" w:eastAsia="en-US"/>
              </w:rPr>
            </w:pPr>
            <w:r w:rsidRPr="00C0030A">
              <w:rPr>
                <w:lang w:val="en-US" w:eastAsia="en-US"/>
              </w:rPr>
              <w:t>436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B6FAC1C" w14:textId="77777777" w:rsidR="00C0030A" w:rsidRPr="00C0030A" w:rsidRDefault="00C0030A" w:rsidP="00C0030A">
            <w:pPr>
              <w:pStyle w:val="tabletext"/>
              <w:rPr>
                <w:lang w:val="en-US" w:eastAsia="en-US"/>
              </w:rPr>
            </w:pPr>
            <w:r w:rsidRPr="00C0030A">
              <w:rPr>
                <w:lang w:val="en-US" w:eastAsia="en-US"/>
              </w:rPr>
              <w:t>Paragraph 1274(11)(a)</w:t>
            </w:r>
          </w:p>
        </w:tc>
      </w:tr>
      <w:tr w:rsidR="00C0030A" w:rsidRPr="00C0030A" w14:paraId="557C36C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6A5844C" w14:textId="77777777" w:rsidR="00C0030A" w:rsidRPr="00C0030A" w:rsidRDefault="00C0030A" w:rsidP="00C0030A">
            <w:pPr>
              <w:pStyle w:val="tabletext"/>
              <w:rPr>
                <w:lang w:val="en-US" w:eastAsia="en-US"/>
              </w:rPr>
            </w:pPr>
            <w:r w:rsidRPr="00C0030A">
              <w:rPr>
                <w:lang w:val="en-US" w:eastAsia="en-US"/>
              </w:rPr>
              <w:t>437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6D14620" w14:textId="77777777" w:rsidR="00C0030A" w:rsidRPr="00C0030A" w:rsidRDefault="00C0030A" w:rsidP="00C0030A">
            <w:pPr>
              <w:pStyle w:val="tabletext"/>
              <w:rPr>
                <w:lang w:val="en-US" w:eastAsia="en-US"/>
              </w:rPr>
            </w:pPr>
            <w:r w:rsidRPr="00C0030A">
              <w:rPr>
                <w:lang w:val="en-US" w:eastAsia="en-US"/>
              </w:rPr>
              <w:t>Subsection 1274(11)</w:t>
            </w:r>
          </w:p>
        </w:tc>
      </w:tr>
      <w:tr w:rsidR="00C0030A" w:rsidRPr="00C0030A" w14:paraId="214B246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94D70FE" w14:textId="77777777" w:rsidR="00C0030A" w:rsidRPr="00C0030A" w:rsidRDefault="00C0030A" w:rsidP="00C0030A">
            <w:pPr>
              <w:pStyle w:val="tabletext"/>
              <w:rPr>
                <w:lang w:val="en-US" w:eastAsia="en-US"/>
              </w:rPr>
            </w:pPr>
            <w:r w:rsidRPr="00C0030A">
              <w:rPr>
                <w:lang w:val="en-US" w:eastAsia="en-US"/>
              </w:rPr>
              <w:lastRenderedPageBreak/>
              <w:t>438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AF482CF" w14:textId="77777777" w:rsidR="00C0030A" w:rsidRPr="00C0030A" w:rsidRDefault="00C0030A" w:rsidP="00C0030A">
            <w:pPr>
              <w:pStyle w:val="tabletext"/>
              <w:rPr>
                <w:lang w:val="en-US" w:eastAsia="en-US"/>
              </w:rPr>
            </w:pPr>
            <w:r w:rsidRPr="00C0030A">
              <w:rPr>
                <w:lang w:val="en-US" w:eastAsia="en-US"/>
              </w:rPr>
              <w:t>After subsection 1274(15)</w:t>
            </w:r>
          </w:p>
        </w:tc>
      </w:tr>
      <w:tr w:rsidR="00C0030A" w:rsidRPr="00C0030A" w14:paraId="38C2279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AC152A5" w14:textId="77777777" w:rsidR="00C0030A" w:rsidRPr="00C0030A" w:rsidRDefault="00C0030A" w:rsidP="00C0030A">
            <w:pPr>
              <w:pStyle w:val="tabletext"/>
              <w:rPr>
                <w:lang w:val="en-US" w:eastAsia="en-US"/>
              </w:rPr>
            </w:pPr>
            <w:r w:rsidRPr="00C0030A">
              <w:rPr>
                <w:lang w:val="en-US" w:eastAsia="en-US"/>
              </w:rPr>
              <w:t>439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58C771B" w14:textId="77777777" w:rsidR="00C0030A" w:rsidRPr="00C0030A" w:rsidRDefault="00C0030A" w:rsidP="00C0030A">
            <w:pPr>
              <w:pStyle w:val="tabletext"/>
              <w:rPr>
                <w:lang w:val="en-US" w:eastAsia="en-US"/>
              </w:rPr>
            </w:pPr>
            <w:r w:rsidRPr="00C0030A">
              <w:rPr>
                <w:lang w:val="en-US" w:eastAsia="en-US"/>
              </w:rPr>
              <w:t>Subsection 1274(16)</w:t>
            </w:r>
          </w:p>
        </w:tc>
      </w:tr>
      <w:tr w:rsidR="00C0030A" w:rsidRPr="00C0030A" w14:paraId="7F04B1B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B76A5F4" w14:textId="77777777" w:rsidR="00C0030A" w:rsidRPr="00C0030A" w:rsidRDefault="00C0030A" w:rsidP="00C0030A">
            <w:pPr>
              <w:pStyle w:val="tabletext"/>
              <w:rPr>
                <w:lang w:val="en-US" w:eastAsia="en-US"/>
              </w:rPr>
            </w:pPr>
            <w:r w:rsidRPr="00C0030A">
              <w:rPr>
                <w:lang w:val="en-US" w:eastAsia="en-US"/>
              </w:rPr>
              <w:t>440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1C9350A" w14:textId="77777777" w:rsidR="00C0030A" w:rsidRPr="00C0030A" w:rsidRDefault="00C0030A" w:rsidP="00C0030A">
            <w:pPr>
              <w:pStyle w:val="tabletext"/>
              <w:rPr>
                <w:lang w:val="en-US" w:eastAsia="en-US"/>
              </w:rPr>
            </w:pPr>
            <w:r w:rsidRPr="00C0030A">
              <w:rPr>
                <w:lang w:val="en-US" w:eastAsia="en-US"/>
              </w:rPr>
              <w:t>At the end of subsection 1274(16)</w:t>
            </w:r>
          </w:p>
        </w:tc>
      </w:tr>
      <w:tr w:rsidR="00C0030A" w:rsidRPr="00C0030A" w14:paraId="6616E6E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21FD89" w14:textId="77777777" w:rsidR="00C0030A" w:rsidRPr="00C0030A" w:rsidRDefault="00C0030A" w:rsidP="00C0030A">
            <w:pPr>
              <w:pStyle w:val="tabletext"/>
              <w:rPr>
                <w:lang w:val="en-US" w:eastAsia="en-US"/>
              </w:rPr>
            </w:pPr>
            <w:r w:rsidRPr="00C0030A">
              <w:rPr>
                <w:lang w:val="en-US" w:eastAsia="en-US"/>
              </w:rPr>
              <w:t>442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D0864FC" w14:textId="77777777" w:rsidR="00C0030A" w:rsidRPr="00C0030A" w:rsidRDefault="00C0030A" w:rsidP="00C0030A">
            <w:pPr>
              <w:pStyle w:val="tabletext"/>
              <w:rPr>
                <w:lang w:val="en-US" w:eastAsia="en-US"/>
              </w:rPr>
            </w:pPr>
            <w:r w:rsidRPr="00C0030A">
              <w:rPr>
                <w:lang w:val="en-US" w:eastAsia="en-US"/>
              </w:rPr>
              <w:t>Subsection 1274AA(1)</w:t>
            </w:r>
          </w:p>
        </w:tc>
      </w:tr>
      <w:tr w:rsidR="00C0030A" w:rsidRPr="00C0030A" w14:paraId="0C126E2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7A4C6BF" w14:textId="77777777" w:rsidR="00C0030A" w:rsidRPr="00C0030A" w:rsidRDefault="00C0030A" w:rsidP="00C0030A">
            <w:pPr>
              <w:pStyle w:val="tabletext"/>
              <w:rPr>
                <w:lang w:val="en-US" w:eastAsia="en-US"/>
              </w:rPr>
            </w:pPr>
            <w:r w:rsidRPr="00C0030A">
              <w:rPr>
                <w:lang w:val="en-US" w:eastAsia="en-US"/>
              </w:rPr>
              <w:t>443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76941EA" w14:textId="77777777" w:rsidR="00C0030A" w:rsidRPr="00C0030A" w:rsidRDefault="00C0030A" w:rsidP="00C0030A">
            <w:pPr>
              <w:pStyle w:val="tabletext"/>
              <w:rPr>
                <w:lang w:val="en-US" w:eastAsia="en-US"/>
              </w:rPr>
            </w:pPr>
            <w:r w:rsidRPr="00C0030A">
              <w:rPr>
                <w:lang w:val="en-US" w:eastAsia="en-US"/>
              </w:rPr>
              <w:t>Subsection 1274AA(2)</w:t>
            </w:r>
          </w:p>
        </w:tc>
      </w:tr>
      <w:tr w:rsidR="00C0030A" w:rsidRPr="00C0030A" w14:paraId="4546F54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A186DDD" w14:textId="77777777" w:rsidR="00C0030A" w:rsidRPr="00C0030A" w:rsidRDefault="00C0030A" w:rsidP="00C0030A">
            <w:pPr>
              <w:pStyle w:val="tabletext"/>
              <w:rPr>
                <w:lang w:val="en-US" w:eastAsia="en-US"/>
              </w:rPr>
            </w:pPr>
            <w:r w:rsidRPr="00C0030A">
              <w:rPr>
                <w:lang w:val="en-US" w:eastAsia="en-US"/>
              </w:rPr>
              <w:t>446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63B8AC1" w14:textId="77777777" w:rsidR="00C0030A" w:rsidRPr="00C0030A" w:rsidRDefault="00C0030A" w:rsidP="00C0030A">
            <w:pPr>
              <w:pStyle w:val="tabletext"/>
              <w:rPr>
                <w:lang w:val="en-US" w:eastAsia="en-US"/>
              </w:rPr>
            </w:pPr>
            <w:r w:rsidRPr="00C0030A">
              <w:rPr>
                <w:lang w:val="en-US" w:eastAsia="en-US"/>
              </w:rPr>
              <w:t>Section 1285</w:t>
            </w:r>
          </w:p>
        </w:tc>
      </w:tr>
      <w:tr w:rsidR="00C0030A" w:rsidRPr="00C0030A" w14:paraId="7EF2277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3CF64B" w14:textId="77777777" w:rsidR="00C0030A" w:rsidRPr="00C0030A" w:rsidRDefault="00C0030A" w:rsidP="00C0030A">
            <w:pPr>
              <w:pStyle w:val="tabletext"/>
              <w:rPr>
                <w:lang w:val="en-US" w:eastAsia="en-US"/>
              </w:rPr>
            </w:pPr>
            <w:r w:rsidRPr="00C0030A">
              <w:rPr>
                <w:lang w:val="en-US" w:eastAsia="en-US"/>
              </w:rPr>
              <w:t>447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C16FFE" w14:textId="77777777" w:rsidR="00C0030A" w:rsidRPr="00C0030A" w:rsidRDefault="00C0030A" w:rsidP="00C0030A">
            <w:pPr>
              <w:pStyle w:val="tabletext"/>
              <w:rPr>
                <w:lang w:val="en-US" w:eastAsia="en-US"/>
              </w:rPr>
            </w:pPr>
            <w:r w:rsidRPr="00C0030A">
              <w:rPr>
                <w:lang w:val="en-US" w:eastAsia="en-US"/>
              </w:rPr>
              <w:t>Paragraph 1287(1)(b)</w:t>
            </w:r>
          </w:p>
        </w:tc>
      </w:tr>
      <w:tr w:rsidR="00C0030A" w:rsidRPr="00C0030A" w14:paraId="126A6A7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AE09895" w14:textId="77777777" w:rsidR="00C0030A" w:rsidRPr="00C0030A" w:rsidRDefault="00C0030A" w:rsidP="00C0030A">
            <w:pPr>
              <w:pStyle w:val="tabletext"/>
              <w:rPr>
                <w:lang w:val="en-US" w:eastAsia="en-US"/>
              </w:rPr>
            </w:pPr>
            <w:r w:rsidRPr="00C0030A">
              <w:rPr>
                <w:lang w:val="en-US" w:eastAsia="en-US"/>
              </w:rPr>
              <w:t>448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54A6752" w14:textId="77777777" w:rsidR="00C0030A" w:rsidRPr="00C0030A" w:rsidRDefault="00C0030A" w:rsidP="00C0030A">
            <w:pPr>
              <w:pStyle w:val="tabletext"/>
              <w:rPr>
                <w:lang w:val="en-US" w:eastAsia="en-US"/>
              </w:rPr>
            </w:pPr>
            <w:r w:rsidRPr="00C0030A">
              <w:rPr>
                <w:lang w:val="en-US" w:eastAsia="en-US"/>
              </w:rPr>
              <w:t>Subsection 1287(1)</w:t>
            </w:r>
          </w:p>
        </w:tc>
      </w:tr>
      <w:tr w:rsidR="00C0030A" w:rsidRPr="00C0030A" w14:paraId="53677AC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78226A1" w14:textId="77777777" w:rsidR="00C0030A" w:rsidRPr="00C0030A" w:rsidRDefault="00C0030A" w:rsidP="00C0030A">
            <w:pPr>
              <w:pStyle w:val="tabletext"/>
              <w:rPr>
                <w:lang w:val="en-US" w:eastAsia="en-US"/>
              </w:rPr>
            </w:pPr>
            <w:r w:rsidRPr="00C0030A">
              <w:rPr>
                <w:lang w:val="en-US" w:eastAsia="en-US"/>
              </w:rPr>
              <w:t>450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109D17" w14:textId="77777777" w:rsidR="00C0030A" w:rsidRPr="00C0030A" w:rsidRDefault="00C0030A" w:rsidP="00C0030A">
            <w:pPr>
              <w:pStyle w:val="tabletext"/>
              <w:rPr>
                <w:lang w:val="en-US" w:eastAsia="en-US"/>
              </w:rPr>
            </w:pPr>
            <w:r w:rsidRPr="00C0030A">
              <w:rPr>
                <w:lang w:val="en-US" w:eastAsia="en-US"/>
              </w:rPr>
              <w:t>Subsection 1287(4)</w:t>
            </w:r>
          </w:p>
        </w:tc>
      </w:tr>
      <w:tr w:rsidR="00C0030A" w:rsidRPr="00C0030A" w14:paraId="27E2A54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3DF2FFD" w14:textId="77777777" w:rsidR="00C0030A" w:rsidRPr="00C0030A" w:rsidRDefault="00C0030A" w:rsidP="00C0030A">
            <w:pPr>
              <w:pStyle w:val="tabletext"/>
              <w:rPr>
                <w:lang w:val="en-US" w:eastAsia="en-US"/>
              </w:rPr>
            </w:pPr>
            <w:r w:rsidRPr="00C0030A">
              <w:rPr>
                <w:lang w:val="en-US" w:eastAsia="en-US"/>
              </w:rPr>
              <w:t>451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440E01D" w14:textId="77777777" w:rsidR="00C0030A" w:rsidRPr="00C0030A" w:rsidRDefault="00C0030A" w:rsidP="00C0030A">
            <w:pPr>
              <w:pStyle w:val="tabletext"/>
              <w:rPr>
                <w:lang w:val="en-US" w:eastAsia="en-US"/>
              </w:rPr>
            </w:pPr>
            <w:r w:rsidRPr="00C0030A">
              <w:rPr>
                <w:lang w:val="en-US" w:eastAsia="en-US"/>
              </w:rPr>
              <w:t>Paragraph 1289(5)(b)</w:t>
            </w:r>
          </w:p>
        </w:tc>
      </w:tr>
      <w:tr w:rsidR="00C0030A" w:rsidRPr="00C0030A" w14:paraId="04340A9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CEA9DF5" w14:textId="77777777" w:rsidR="00C0030A" w:rsidRPr="00C0030A" w:rsidRDefault="00C0030A" w:rsidP="00C0030A">
            <w:pPr>
              <w:pStyle w:val="tabletext"/>
              <w:rPr>
                <w:lang w:val="en-US" w:eastAsia="en-US"/>
              </w:rPr>
            </w:pPr>
            <w:r w:rsidRPr="00C0030A">
              <w:rPr>
                <w:lang w:val="en-US" w:eastAsia="en-US"/>
              </w:rPr>
              <w:t>452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FBA96B3" w14:textId="77777777" w:rsidR="00C0030A" w:rsidRPr="00C0030A" w:rsidRDefault="00C0030A" w:rsidP="00C0030A">
            <w:pPr>
              <w:pStyle w:val="tabletext"/>
              <w:rPr>
                <w:lang w:val="en-US" w:eastAsia="en-US"/>
              </w:rPr>
            </w:pPr>
            <w:r w:rsidRPr="00C0030A">
              <w:rPr>
                <w:lang w:val="en-US" w:eastAsia="en-US"/>
              </w:rPr>
              <w:t>At the end of paragraph 1296(1)(b)</w:t>
            </w:r>
          </w:p>
        </w:tc>
      </w:tr>
      <w:tr w:rsidR="00C0030A" w:rsidRPr="00C0030A" w14:paraId="5C2E7A8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B86700F" w14:textId="77777777" w:rsidR="00C0030A" w:rsidRPr="00C0030A" w:rsidRDefault="00C0030A" w:rsidP="00C0030A">
            <w:pPr>
              <w:pStyle w:val="tabletext"/>
              <w:rPr>
                <w:lang w:val="en-US" w:eastAsia="en-US"/>
              </w:rPr>
            </w:pPr>
            <w:r w:rsidRPr="00C0030A">
              <w:rPr>
                <w:lang w:val="en-US" w:eastAsia="en-US"/>
              </w:rPr>
              <w:t>453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F85D44D" w14:textId="77777777" w:rsidR="00C0030A" w:rsidRPr="00C0030A" w:rsidRDefault="00C0030A" w:rsidP="00C0030A">
            <w:pPr>
              <w:pStyle w:val="tabletext"/>
              <w:rPr>
                <w:lang w:val="en-US" w:eastAsia="en-US"/>
              </w:rPr>
            </w:pPr>
            <w:r w:rsidRPr="00C0030A">
              <w:rPr>
                <w:lang w:val="en-US" w:eastAsia="en-US"/>
              </w:rPr>
              <w:t>At the end of subsection 1296(1)</w:t>
            </w:r>
          </w:p>
        </w:tc>
      </w:tr>
      <w:tr w:rsidR="00C0030A" w:rsidRPr="00C0030A" w14:paraId="6D26156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E2007E6" w14:textId="77777777" w:rsidR="00C0030A" w:rsidRPr="00C0030A" w:rsidRDefault="00C0030A" w:rsidP="00C0030A">
            <w:pPr>
              <w:pStyle w:val="tabletext"/>
              <w:rPr>
                <w:lang w:val="en-US" w:eastAsia="en-US"/>
              </w:rPr>
            </w:pPr>
            <w:r w:rsidRPr="00C0030A">
              <w:rPr>
                <w:lang w:val="en-US" w:eastAsia="en-US"/>
              </w:rPr>
              <w:t>454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DDC07DB" w14:textId="77777777" w:rsidR="00C0030A" w:rsidRPr="00C0030A" w:rsidRDefault="00C0030A" w:rsidP="00C0030A">
            <w:pPr>
              <w:pStyle w:val="tabletext"/>
              <w:rPr>
                <w:lang w:val="en-US" w:eastAsia="en-US"/>
              </w:rPr>
            </w:pPr>
            <w:r w:rsidRPr="00C0030A">
              <w:rPr>
                <w:lang w:val="en-US" w:eastAsia="en-US"/>
              </w:rPr>
              <w:t>Section 1299E</w:t>
            </w:r>
          </w:p>
        </w:tc>
      </w:tr>
      <w:tr w:rsidR="00C0030A" w:rsidRPr="00C0030A" w14:paraId="4554226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910F1A1" w14:textId="77777777" w:rsidR="00C0030A" w:rsidRPr="00C0030A" w:rsidRDefault="00C0030A" w:rsidP="00C0030A">
            <w:pPr>
              <w:pStyle w:val="tabletext"/>
              <w:rPr>
                <w:lang w:val="en-US" w:eastAsia="en-US"/>
              </w:rPr>
            </w:pPr>
            <w:r w:rsidRPr="00C0030A">
              <w:rPr>
                <w:lang w:val="en-US" w:eastAsia="en-US"/>
              </w:rPr>
              <w:t>455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A129111" w14:textId="77777777" w:rsidR="00C0030A" w:rsidRPr="00C0030A" w:rsidRDefault="00C0030A" w:rsidP="00C0030A">
            <w:pPr>
              <w:pStyle w:val="tabletext"/>
              <w:rPr>
                <w:lang w:val="en-US" w:eastAsia="en-US"/>
              </w:rPr>
            </w:pPr>
            <w:r w:rsidRPr="00C0030A">
              <w:rPr>
                <w:lang w:val="en-US" w:eastAsia="en-US"/>
              </w:rPr>
              <w:t>Subsection 1299F(3)</w:t>
            </w:r>
          </w:p>
        </w:tc>
      </w:tr>
      <w:tr w:rsidR="00C0030A" w:rsidRPr="00C0030A" w14:paraId="6014F43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B7979D" w14:textId="77777777" w:rsidR="00C0030A" w:rsidRPr="00C0030A" w:rsidRDefault="00C0030A" w:rsidP="00C0030A">
            <w:pPr>
              <w:pStyle w:val="tabletext"/>
              <w:rPr>
                <w:lang w:val="en-US" w:eastAsia="en-US"/>
              </w:rPr>
            </w:pPr>
            <w:r w:rsidRPr="00C0030A">
              <w:rPr>
                <w:lang w:val="en-US" w:eastAsia="en-US"/>
              </w:rPr>
              <w:t>456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9403A99" w14:textId="77777777" w:rsidR="00C0030A" w:rsidRPr="00C0030A" w:rsidRDefault="00C0030A" w:rsidP="00C0030A">
            <w:pPr>
              <w:pStyle w:val="tabletext"/>
              <w:rPr>
                <w:lang w:val="en-US" w:eastAsia="en-US"/>
              </w:rPr>
            </w:pPr>
            <w:r w:rsidRPr="00C0030A">
              <w:rPr>
                <w:lang w:val="en-US" w:eastAsia="en-US"/>
              </w:rPr>
              <w:t>Paragraph 1299F(4)(c)</w:t>
            </w:r>
          </w:p>
        </w:tc>
      </w:tr>
      <w:tr w:rsidR="00C0030A" w:rsidRPr="00C0030A" w14:paraId="612E034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EEAE79C" w14:textId="77777777" w:rsidR="00C0030A" w:rsidRPr="00C0030A" w:rsidRDefault="00C0030A" w:rsidP="00C0030A">
            <w:pPr>
              <w:pStyle w:val="tabletext"/>
              <w:rPr>
                <w:lang w:val="en-US" w:eastAsia="en-US"/>
              </w:rPr>
            </w:pPr>
            <w:r w:rsidRPr="00C0030A">
              <w:rPr>
                <w:lang w:val="en-US" w:eastAsia="en-US"/>
              </w:rPr>
              <w:t>458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C41387" w14:textId="77777777" w:rsidR="00C0030A" w:rsidRPr="00C0030A" w:rsidRDefault="00C0030A" w:rsidP="00C0030A">
            <w:pPr>
              <w:pStyle w:val="tabletext"/>
              <w:rPr>
                <w:lang w:val="en-US" w:eastAsia="en-US"/>
              </w:rPr>
            </w:pPr>
            <w:r w:rsidRPr="00C0030A">
              <w:rPr>
                <w:lang w:val="en-US" w:eastAsia="en-US"/>
              </w:rPr>
              <w:t>Paragraph 1299F(5)(a)</w:t>
            </w:r>
          </w:p>
        </w:tc>
      </w:tr>
      <w:tr w:rsidR="00C0030A" w:rsidRPr="00C0030A" w14:paraId="22A4BB1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D4171F8" w14:textId="77777777" w:rsidR="00C0030A" w:rsidRPr="00C0030A" w:rsidRDefault="00C0030A" w:rsidP="00C0030A">
            <w:pPr>
              <w:pStyle w:val="tabletext"/>
              <w:rPr>
                <w:lang w:val="en-US" w:eastAsia="en-US"/>
              </w:rPr>
            </w:pPr>
            <w:r w:rsidRPr="00C0030A">
              <w:rPr>
                <w:lang w:val="en-US" w:eastAsia="en-US"/>
              </w:rPr>
              <w:t>459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2BE1E7F" w14:textId="77777777" w:rsidR="00C0030A" w:rsidRPr="00C0030A" w:rsidRDefault="00C0030A" w:rsidP="00C0030A">
            <w:pPr>
              <w:pStyle w:val="tabletext"/>
              <w:rPr>
                <w:lang w:val="en-US" w:eastAsia="en-US"/>
              </w:rPr>
            </w:pPr>
            <w:r w:rsidRPr="00C0030A">
              <w:rPr>
                <w:lang w:val="en-US" w:eastAsia="en-US"/>
              </w:rPr>
              <w:t>Paragraph 1301(1)(d)</w:t>
            </w:r>
          </w:p>
        </w:tc>
      </w:tr>
      <w:tr w:rsidR="00C0030A" w:rsidRPr="00C0030A" w14:paraId="1368909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4AA29BD" w14:textId="77777777" w:rsidR="00C0030A" w:rsidRPr="00C0030A" w:rsidRDefault="00C0030A" w:rsidP="00C0030A">
            <w:pPr>
              <w:pStyle w:val="tabletext"/>
              <w:rPr>
                <w:lang w:val="en-US" w:eastAsia="en-US"/>
              </w:rPr>
            </w:pPr>
            <w:r w:rsidRPr="00C0030A">
              <w:rPr>
                <w:lang w:val="en-US" w:eastAsia="en-US"/>
              </w:rPr>
              <w:t>461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F0FFCF8" w14:textId="77777777" w:rsidR="00C0030A" w:rsidRPr="00C0030A" w:rsidRDefault="00C0030A" w:rsidP="00C0030A">
            <w:pPr>
              <w:pStyle w:val="tabletext"/>
              <w:rPr>
                <w:lang w:val="en-US" w:eastAsia="en-US"/>
              </w:rPr>
            </w:pPr>
            <w:r w:rsidRPr="00C0030A">
              <w:rPr>
                <w:lang w:val="en-US" w:eastAsia="en-US"/>
              </w:rPr>
              <w:t>Paragraph 1301(4)(b)</w:t>
            </w:r>
          </w:p>
        </w:tc>
      </w:tr>
      <w:tr w:rsidR="00C0030A" w:rsidRPr="00C0030A" w14:paraId="5B56951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D807455" w14:textId="77777777" w:rsidR="00C0030A" w:rsidRPr="00C0030A" w:rsidRDefault="00C0030A" w:rsidP="00C0030A">
            <w:pPr>
              <w:pStyle w:val="tabletext"/>
              <w:rPr>
                <w:lang w:val="en-US" w:eastAsia="en-US"/>
              </w:rPr>
            </w:pPr>
            <w:r w:rsidRPr="00C0030A">
              <w:rPr>
                <w:lang w:val="en-US" w:eastAsia="en-US"/>
              </w:rPr>
              <w:t>462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3FBBB8B" w14:textId="77777777" w:rsidR="00C0030A" w:rsidRPr="00C0030A" w:rsidRDefault="00C0030A" w:rsidP="00C0030A">
            <w:pPr>
              <w:pStyle w:val="tabletext"/>
              <w:rPr>
                <w:lang w:val="en-US" w:eastAsia="en-US"/>
              </w:rPr>
            </w:pPr>
            <w:r w:rsidRPr="00C0030A">
              <w:rPr>
                <w:lang w:val="en-US" w:eastAsia="en-US"/>
              </w:rPr>
              <w:t>Subsection 1304(1)</w:t>
            </w:r>
          </w:p>
        </w:tc>
      </w:tr>
      <w:tr w:rsidR="00C0030A" w:rsidRPr="00C0030A" w14:paraId="14E107F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3A28C24" w14:textId="77777777" w:rsidR="00C0030A" w:rsidRPr="00C0030A" w:rsidRDefault="00C0030A" w:rsidP="00C0030A">
            <w:pPr>
              <w:pStyle w:val="tabletext"/>
              <w:rPr>
                <w:lang w:val="en-US" w:eastAsia="en-US"/>
              </w:rPr>
            </w:pPr>
            <w:r w:rsidRPr="00C0030A">
              <w:rPr>
                <w:lang w:val="en-US" w:eastAsia="en-US"/>
              </w:rPr>
              <w:t>463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DE7136D" w14:textId="77777777" w:rsidR="00C0030A" w:rsidRPr="00C0030A" w:rsidRDefault="00C0030A" w:rsidP="00C0030A">
            <w:pPr>
              <w:pStyle w:val="tabletext"/>
              <w:rPr>
                <w:lang w:val="en-US" w:eastAsia="en-US"/>
              </w:rPr>
            </w:pPr>
            <w:r w:rsidRPr="00C0030A">
              <w:rPr>
                <w:lang w:val="en-US" w:eastAsia="en-US"/>
              </w:rPr>
              <w:t>Subsection 1308(2)</w:t>
            </w:r>
          </w:p>
        </w:tc>
      </w:tr>
      <w:tr w:rsidR="00C0030A" w:rsidRPr="00C0030A" w14:paraId="59E1B4A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7FBD152" w14:textId="77777777" w:rsidR="00C0030A" w:rsidRPr="00C0030A" w:rsidRDefault="00C0030A" w:rsidP="00C0030A">
            <w:pPr>
              <w:pStyle w:val="tabletext"/>
              <w:rPr>
                <w:lang w:val="en-US" w:eastAsia="en-US"/>
              </w:rPr>
            </w:pPr>
            <w:r w:rsidRPr="00C0030A">
              <w:rPr>
                <w:lang w:val="en-US" w:eastAsia="en-US"/>
              </w:rPr>
              <w:t>464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29A05EA" w14:textId="77777777" w:rsidR="00C0030A" w:rsidRPr="00C0030A" w:rsidRDefault="00C0030A" w:rsidP="00C0030A">
            <w:pPr>
              <w:pStyle w:val="tabletext"/>
              <w:rPr>
                <w:lang w:val="en-US" w:eastAsia="en-US"/>
              </w:rPr>
            </w:pPr>
            <w:r w:rsidRPr="00C0030A">
              <w:rPr>
                <w:lang w:val="en-US" w:eastAsia="en-US"/>
              </w:rPr>
              <w:t>Subsection 1308(4)</w:t>
            </w:r>
          </w:p>
        </w:tc>
      </w:tr>
      <w:tr w:rsidR="00C0030A" w:rsidRPr="00C0030A" w14:paraId="35945B6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2DC51EB" w14:textId="77777777" w:rsidR="00C0030A" w:rsidRPr="00C0030A" w:rsidRDefault="00C0030A" w:rsidP="00C0030A">
            <w:pPr>
              <w:pStyle w:val="tabletext"/>
              <w:rPr>
                <w:lang w:val="en-US" w:eastAsia="en-US"/>
              </w:rPr>
            </w:pPr>
            <w:r w:rsidRPr="00C0030A">
              <w:rPr>
                <w:lang w:val="en-US" w:eastAsia="en-US"/>
              </w:rPr>
              <w:t>465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3F89C0" w14:textId="77777777" w:rsidR="00C0030A" w:rsidRPr="00C0030A" w:rsidRDefault="00C0030A" w:rsidP="00C0030A">
            <w:pPr>
              <w:pStyle w:val="tabletext"/>
              <w:rPr>
                <w:lang w:val="en-US" w:eastAsia="en-US"/>
              </w:rPr>
            </w:pPr>
            <w:r w:rsidRPr="00C0030A">
              <w:rPr>
                <w:lang w:val="en-US" w:eastAsia="en-US"/>
              </w:rPr>
              <w:t>Paragraph 1308(6)(a)</w:t>
            </w:r>
          </w:p>
        </w:tc>
      </w:tr>
      <w:tr w:rsidR="00C0030A" w:rsidRPr="00C0030A" w14:paraId="3773A19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7823670" w14:textId="77777777" w:rsidR="00C0030A" w:rsidRPr="00C0030A" w:rsidRDefault="00C0030A" w:rsidP="00C0030A">
            <w:pPr>
              <w:pStyle w:val="tabletext"/>
              <w:rPr>
                <w:lang w:val="en-US" w:eastAsia="en-US"/>
              </w:rPr>
            </w:pPr>
            <w:r w:rsidRPr="00C0030A">
              <w:rPr>
                <w:lang w:val="en-US" w:eastAsia="en-US"/>
              </w:rPr>
              <w:t>466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96F21E1" w14:textId="77777777" w:rsidR="00C0030A" w:rsidRPr="00C0030A" w:rsidRDefault="00C0030A" w:rsidP="00C0030A">
            <w:pPr>
              <w:pStyle w:val="tabletext"/>
              <w:rPr>
                <w:lang w:val="en-US" w:eastAsia="en-US"/>
              </w:rPr>
            </w:pPr>
            <w:r w:rsidRPr="00C0030A">
              <w:rPr>
                <w:lang w:val="en-US" w:eastAsia="en-US"/>
              </w:rPr>
              <w:t>Section 1310 (heading)</w:t>
            </w:r>
          </w:p>
        </w:tc>
      </w:tr>
      <w:tr w:rsidR="00C0030A" w:rsidRPr="00C0030A" w14:paraId="5ACCA1E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A0BB4A9" w14:textId="77777777" w:rsidR="00C0030A" w:rsidRPr="00C0030A" w:rsidRDefault="00C0030A" w:rsidP="00C0030A">
            <w:pPr>
              <w:pStyle w:val="tabletext"/>
              <w:rPr>
                <w:lang w:val="en-US" w:eastAsia="en-US"/>
              </w:rPr>
            </w:pPr>
            <w:r w:rsidRPr="00C0030A">
              <w:rPr>
                <w:lang w:val="en-US" w:eastAsia="en-US"/>
              </w:rPr>
              <w:t>467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E1EB32D" w14:textId="77777777" w:rsidR="00C0030A" w:rsidRPr="00C0030A" w:rsidRDefault="00C0030A" w:rsidP="00C0030A">
            <w:pPr>
              <w:pStyle w:val="tabletext"/>
              <w:rPr>
                <w:lang w:val="en-US" w:eastAsia="en-US"/>
              </w:rPr>
            </w:pPr>
            <w:r w:rsidRPr="00C0030A">
              <w:rPr>
                <w:lang w:val="en-US" w:eastAsia="en-US"/>
              </w:rPr>
              <w:t>Section 1310</w:t>
            </w:r>
          </w:p>
        </w:tc>
      </w:tr>
      <w:tr w:rsidR="00C0030A" w:rsidRPr="00C0030A" w14:paraId="63D51EE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6B4173" w14:textId="77777777" w:rsidR="00C0030A" w:rsidRPr="00C0030A" w:rsidRDefault="00C0030A" w:rsidP="00C0030A">
            <w:pPr>
              <w:pStyle w:val="tabletext"/>
              <w:rPr>
                <w:lang w:val="en-US" w:eastAsia="en-US"/>
              </w:rPr>
            </w:pPr>
            <w:r w:rsidRPr="00C0030A">
              <w:rPr>
                <w:lang w:val="en-US" w:eastAsia="en-US"/>
              </w:rPr>
              <w:t>468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8BADDA0" w14:textId="77777777" w:rsidR="00C0030A" w:rsidRPr="00C0030A" w:rsidRDefault="00C0030A" w:rsidP="00C0030A">
            <w:pPr>
              <w:pStyle w:val="tabletext"/>
              <w:rPr>
                <w:lang w:val="en-US" w:eastAsia="en-US"/>
              </w:rPr>
            </w:pPr>
            <w:r w:rsidRPr="00C0030A">
              <w:rPr>
                <w:lang w:val="en-US" w:eastAsia="en-US"/>
              </w:rPr>
              <w:t>At the end of subparagraph 1317AA(1)(b)(</w:t>
            </w:r>
            <w:proofErr w:type="spellStart"/>
            <w:r w:rsidRPr="00C0030A">
              <w:rPr>
                <w:lang w:val="en-US" w:eastAsia="en-US"/>
              </w:rPr>
              <w:t>i</w:t>
            </w:r>
            <w:proofErr w:type="spellEnd"/>
            <w:r w:rsidRPr="00C0030A">
              <w:rPr>
                <w:lang w:val="en-US" w:eastAsia="en-US"/>
              </w:rPr>
              <w:t>)</w:t>
            </w:r>
          </w:p>
        </w:tc>
      </w:tr>
      <w:tr w:rsidR="00C0030A" w:rsidRPr="00C0030A" w14:paraId="114CE9B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20FBE0B" w14:textId="77777777" w:rsidR="00C0030A" w:rsidRPr="00C0030A" w:rsidRDefault="00C0030A" w:rsidP="00C0030A">
            <w:pPr>
              <w:pStyle w:val="tabletext"/>
              <w:rPr>
                <w:lang w:val="en-US" w:eastAsia="en-US"/>
              </w:rPr>
            </w:pPr>
            <w:r w:rsidRPr="00C0030A">
              <w:rPr>
                <w:lang w:val="en-US" w:eastAsia="en-US"/>
              </w:rPr>
              <w:t>469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0FA66F7" w14:textId="77777777" w:rsidR="00C0030A" w:rsidRPr="00C0030A" w:rsidRDefault="00C0030A" w:rsidP="00C0030A">
            <w:pPr>
              <w:pStyle w:val="tabletext"/>
              <w:rPr>
                <w:lang w:val="en-US" w:eastAsia="en-US"/>
              </w:rPr>
            </w:pPr>
            <w:r w:rsidRPr="00C0030A">
              <w:rPr>
                <w:lang w:val="en-US" w:eastAsia="en-US"/>
              </w:rPr>
              <w:t>After paragraph 1317AE(2)(a)</w:t>
            </w:r>
          </w:p>
        </w:tc>
      </w:tr>
      <w:tr w:rsidR="00C0030A" w:rsidRPr="00C0030A" w14:paraId="320B0CD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AE4BF2" w14:textId="77777777" w:rsidR="00C0030A" w:rsidRPr="00C0030A" w:rsidRDefault="00C0030A" w:rsidP="00C0030A">
            <w:pPr>
              <w:pStyle w:val="tabletext"/>
              <w:rPr>
                <w:lang w:val="en-US" w:eastAsia="en-US"/>
              </w:rPr>
            </w:pPr>
            <w:r w:rsidRPr="00C0030A">
              <w:rPr>
                <w:lang w:val="en-US" w:eastAsia="en-US"/>
              </w:rPr>
              <w:t>470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FA46D8A" w14:textId="77777777" w:rsidR="00C0030A" w:rsidRPr="00C0030A" w:rsidRDefault="00C0030A" w:rsidP="00C0030A">
            <w:pPr>
              <w:pStyle w:val="tabletext"/>
              <w:rPr>
                <w:lang w:val="en-US" w:eastAsia="en-US"/>
              </w:rPr>
            </w:pPr>
            <w:r w:rsidRPr="00C0030A">
              <w:rPr>
                <w:lang w:val="en-US" w:eastAsia="en-US"/>
              </w:rPr>
              <w:t>After paragraph 1317B(1)(b)</w:t>
            </w:r>
          </w:p>
        </w:tc>
      </w:tr>
      <w:tr w:rsidR="00C0030A" w:rsidRPr="00C0030A" w14:paraId="643221E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CF784EA" w14:textId="77777777" w:rsidR="00C0030A" w:rsidRPr="00C0030A" w:rsidRDefault="00C0030A" w:rsidP="00C0030A">
            <w:pPr>
              <w:pStyle w:val="tabletext"/>
              <w:rPr>
                <w:lang w:val="en-US" w:eastAsia="en-US"/>
              </w:rPr>
            </w:pPr>
            <w:r w:rsidRPr="00C0030A">
              <w:rPr>
                <w:lang w:val="en-US" w:eastAsia="en-US"/>
              </w:rPr>
              <w:t>471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EB300C9" w14:textId="77777777" w:rsidR="00C0030A" w:rsidRPr="00C0030A" w:rsidRDefault="00C0030A" w:rsidP="00C0030A">
            <w:pPr>
              <w:pStyle w:val="tabletext"/>
              <w:rPr>
                <w:lang w:val="en-US" w:eastAsia="en-US"/>
              </w:rPr>
            </w:pPr>
            <w:r w:rsidRPr="00C0030A">
              <w:rPr>
                <w:lang w:val="en-US" w:eastAsia="en-US"/>
              </w:rPr>
              <w:t>Paragraphs 1317C(d) and (e)</w:t>
            </w:r>
          </w:p>
        </w:tc>
      </w:tr>
      <w:tr w:rsidR="00C0030A" w:rsidRPr="00C0030A" w14:paraId="408910E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4C1ACC" w14:textId="77777777" w:rsidR="00C0030A" w:rsidRPr="00C0030A" w:rsidRDefault="00C0030A" w:rsidP="00C0030A">
            <w:pPr>
              <w:pStyle w:val="tabletext"/>
              <w:rPr>
                <w:lang w:val="en-US" w:eastAsia="en-US"/>
              </w:rPr>
            </w:pPr>
            <w:r w:rsidRPr="00C0030A">
              <w:rPr>
                <w:lang w:val="en-US" w:eastAsia="en-US"/>
              </w:rPr>
              <w:t>472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CACE98F" w14:textId="77777777" w:rsidR="00C0030A" w:rsidRPr="00C0030A" w:rsidRDefault="00C0030A" w:rsidP="00C0030A">
            <w:pPr>
              <w:pStyle w:val="tabletext"/>
              <w:rPr>
                <w:lang w:val="en-US" w:eastAsia="en-US"/>
              </w:rPr>
            </w:pPr>
            <w:r w:rsidRPr="00C0030A">
              <w:rPr>
                <w:lang w:val="en-US" w:eastAsia="en-US"/>
              </w:rPr>
              <w:t>Paragraph 1317C(k)</w:t>
            </w:r>
          </w:p>
        </w:tc>
      </w:tr>
      <w:tr w:rsidR="00C0030A" w:rsidRPr="00C0030A" w14:paraId="584B172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55A54CB" w14:textId="77777777" w:rsidR="00C0030A" w:rsidRPr="00C0030A" w:rsidRDefault="00C0030A" w:rsidP="00C0030A">
            <w:pPr>
              <w:pStyle w:val="tabletext"/>
              <w:rPr>
                <w:lang w:val="en-US" w:eastAsia="en-US"/>
              </w:rPr>
            </w:pPr>
            <w:r w:rsidRPr="00C0030A">
              <w:rPr>
                <w:lang w:val="en-US" w:eastAsia="en-US"/>
              </w:rPr>
              <w:t>473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73D8A5" w14:textId="77777777" w:rsidR="00C0030A" w:rsidRPr="00C0030A" w:rsidRDefault="00C0030A" w:rsidP="00C0030A">
            <w:pPr>
              <w:pStyle w:val="tabletext"/>
              <w:rPr>
                <w:lang w:val="en-US" w:eastAsia="en-US"/>
              </w:rPr>
            </w:pPr>
            <w:r w:rsidRPr="00C0030A">
              <w:rPr>
                <w:lang w:val="en-US" w:eastAsia="en-US"/>
              </w:rPr>
              <w:t>Subsection 1317D(1)</w:t>
            </w:r>
          </w:p>
        </w:tc>
      </w:tr>
      <w:tr w:rsidR="00C0030A" w:rsidRPr="00C0030A" w14:paraId="3C00555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3C4B5AB" w14:textId="77777777" w:rsidR="00C0030A" w:rsidRPr="00C0030A" w:rsidRDefault="00C0030A" w:rsidP="00C0030A">
            <w:pPr>
              <w:pStyle w:val="tabletext"/>
              <w:rPr>
                <w:lang w:val="en-US" w:eastAsia="en-US"/>
              </w:rPr>
            </w:pPr>
            <w:r w:rsidRPr="00C0030A">
              <w:rPr>
                <w:lang w:val="en-US" w:eastAsia="en-US"/>
              </w:rPr>
              <w:t>474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C7A5449" w14:textId="77777777" w:rsidR="00C0030A" w:rsidRPr="00C0030A" w:rsidRDefault="00C0030A" w:rsidP="00C0030A">
            <w:pPr>
              <w:pStyle w:val="tabletext"/>
              <w:rPr>
                <w:lang w:val="en-US" w:eastAsia="en-US"/>
              </w:rPr>
            </w:pPr>
            <w:r w:rsidRPr="00C0030A">
              <w:rPr>
                <w:lang w:val="en-US" w:eastAsia="en-US"/>
              </w:rPr>
              <w:t>Paragraph 1317DAA(2)(b)</w:t>
            </w:r>
          </w:p>
        </w:tc>
      </w:tr>
      <w:tr w:rsidR="00C0030A" w:rsidRPr="00C0030A" w14:paraId="57F3C64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3D64510" w14:textId="77777777" w:rsidR="00C0030A" w:rsidRPr="00C0030A" w:rsidRDefault="00C0030A" w:rsidP="00C0030A">
            <w:pPr>
              <w:pStyle w:val="tabletext"/>
              <w:rPr>
                <w:lang w:val="en-US" w:eastAsia="en-US"/>
              </w:rPr>
            </w:pPr>
            <w:r w:rsidRPr="00C0030A">
              <w:rPr>
                <w:lang w:val="en-US" w:eastAsia="en-US"/>
              </w:rPr>
              <w:t>475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E2476F0" w14:textId="77777777" w:rsidR="00C0030A" w:rsidRPr="00C0030A" w:rsidRDefault="00C0030A" w:rsidP="00C0030A">
            <w:pPr>
              <w:pStyle w:val="tabletext"/>
              <w:rPr>
                <w:lang w:val="en-US" w:eastAsia="en-US"/>
              </w:rPr>
            </w:pPr>
            <w:r w:rsidRPr="00C0030A">
              <w:rPr>
                <w:lang w:val="en-US" w:eastAsia="en-US"/>
              </w:rPr>
              <w:t>Paragraph 1317DAE(1)(j)</w:t>
            </w:r>
          </w:p>
        </w:tc>
      </w:tr>
      <w:tr w:rsidR="00C0030A" w:rsidRPr="00C0030A" w14:paraId="7221A77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E098933" w14:textId="77777777" w:rsidR="00C0030A" w:rsidRPr="00C0030A" w:rsidRDefault="00C0030A" w:rsidP="00C0030A">
            <w:pPr>
              <w:pStyle w:val="tabletext"/>
              <w:rPr>
                <w:lang w:val="en-US" w:eastAsia="en-US"/>
              </w:rPr>
            </w:pPr>
            <w:r w:rsidRPr="00C0030A">
              <w:rPr>
                <w:lang w:val="en-US" w:eastAsia="en-US"/>
              </w:rPr>
              <w:t>476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EE13E59" w14:textId="77777777" w:rsidR="00C0030A" w:rsidRPr="00C0030A" w:rsidRDefault="00C0030A" w:rsidP="00C0030A">
            <w:pPr>
              <w:pStyle w:val="tabletext"/>
              <w:rPr>
                <w:lang w:val="en-US" w:eastAsia="en-US"/>
              </w:rPr>
            </w:pPr>
            <w:r w:rsidRPr="00C0030A">
              <w:rPr>
                <w:lang w:val="en-US" w:eastAsia="en-US"/>
              </w:rPr>
              <w:t>Paragraph 1317DAE(6)(b)</w:t>
            </w:r>
          </w:p>
        </w:tc>
      </w:tr>
      <w:tr w:rsidR="00C0030A" w:rsidRPr="00C0030A" w14:paraId="16FEC2B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0232102" w14:textId="77777777" w:rsidR="00C0030A" w:rsidRPr="00C0030A" w:rsidRDefault="00C0030A" w:rsidP="00C0030A">
            <w:pPr>
              <w:pStyle w:val="tabletext"/>
              <w:rPr>
                <w:lang w:val="en-US" w:eastAsia="en-US"/>
              </w:rPr>
            </w:pPr>
            <w:r w:rsidRPr="00C0030A">
              <w:rPr>
                <w:lang w:val="en-US" w:eastAsia="en-US"/>
              </w:rPr>
              <w:t>477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B5FEDA" w14:textId="77777777" w:rsidR="00C0030A" w:rsidRPr="00C0030A" w:rsidRDefault="00C0030A" w:rsidP="00C0030A">
            <w:pPr>
              <w:pStyle w:val="tabletext"/>
              <w:rPr>
                <w:lang w:val="en-US" w:eastAsia="en-US"/>
              </w:rPr>
            </w:pPr>
            <w:r w:rsidRPr="00C0030A">
              <w:rPr>
                <w:lang w:val="en-US" w:eastAsia="en-US"/>
              </w:rPr>
              <w:t>Subparagraph 1317DAE(7)(a)(ii)</w:t>
            </w:r>
          </w:p>
        </w:tc>
      </w:tr>
      <w:tr w:rsidR="00C0030A" w:rsidRPr="00C0030A" w14:paraId="2E1A744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680D84C" w14:textId="77777777" w:rsidR="00C0030A" w:rsidRPr="00C0030A" w:rsidRDefault="00C0030A" w:rsidP="00C0030A">
            <w:pPr>
              <w:pStyle w:val="tabletext"/>
              <w:rPr>
                <w:lang w:val="en-US" w:eastAsia="en-US"/>
              </w:rPr>
            </w:pPr>
            <w:r w:rsidRPr="00C0030A">
              <w:rPr>
                <w:lang w:val="en-US" w:eastAsia="en-US"/>
              </w:rPr>
              <w:t>478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7F6B213" w14:textId="77777777" w:rsidR="00C0030A" w:rsidRPr="00C0030A" w:rsidRDefault="00C0030A" w:rsidP="00C0030A">
            <w:pPr>
              <w:pStyle w:val="tabletext"/>
              <w:rPr>
                <w:lang w:val="en-US" w:eastAsia="en-US"/>
              </w:rPr>
            </w:pPr>
            <w:r w:rsidRPr="00C0030A">
              <w:rPr>
                <w:lang w:val="en-US" w:eastAsia="en-US"/>
              </w:rPr>
              <w:t>Subparagraph 1317DAF(3)(b)(ii)</w:t>
            </w:r>
          </w:p>
        </w:tc>
      </w:tr>
      <w:tr w:rsidR="00C0030A" w:rsidRPr="00C0030A" w14:paraId="3959DAF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EB4E16" w14:textId="77777777" w:rsidR="00C0030A" w:rsidRPr="00C0030A" w:rsidRDefault="00C0030A" w:rsidP="00C0030A">
            <w:pPr>
              <w:pStyle w:val="tabletext"/>
              <w:rPr>
                <w:lang w:val="en-US" w:eastAsia="en-US"/>
              </w:rPr>
            </w:pPr>
            <w:r w:rsidRPr="00C0030A">
              <w:rPr>
                <w:lang w:val="en-US" w:eastAsia="en-US"/>
              </w:rPr>
              <w:t>479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91F85B9" w14:textId="77777777" w:rsidR="00C0030A" w:rsidRPr="00C0030A" w:rsidRDefault="00C0030A" w:rsidP="00C0030A">
            <w:pPr>
              <w:pStyle w:val="tabletext"/>
              <w:rPr>
                <w:lang w:val="en-US" w:eastAsia="en-US"/>
              </w:rPr>
            </w:pPr>
            <w:r w:rsidRPr="00C0030A">
              <w:rPr>
                <w:lang w:val="en-US" w:eastAsia="en-US"/>
              </w:rPr>
              <w:t>Subsection 1317DAG(2) (table item 3, column headed “If the disclosing entity fails to:”)</w:t>
            </w:r>
          </w:p>
        </w:tc>
      </w:tr>
      <w:tr w:rsidR="00C0030A" w:rsidRPr="00C0030A" w14:paraId="25EA274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32A1AE" w14:textId="77777777" w:rsidR="00C0030A" w:rsidRPr="00C0030A" w:rsidRDefault="00C0030A" w:rsidP="00C0030A">
            <w:pPr>
              <w:pStyle w:val="tabletext"/>
              <w:rPr>
                <w:lang w:val="en-US" w:eastAsia="en-US"/>
              </w:rPr>
            </w:pPr>
            <w:r w:rsidRPr="00C0030A">
              <w:rPr>
                <w:lang w:val="en-US" w:eastAsia="en-US"/>
              </w:rPr>
              <w:t>480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C716986" w14:textId="77777777" w:rsidR="00C0030A" w:rsidRPr="00C0030A" w:rsidRDefault="00C0030A" w:rsidP="00C0030A">
            <w:pPr>
              <w:pStyle w:val="tabletext"/>
              <w:rPr>
                <w:lang w:val="en-US" w:eastAsia="en-US"/>
              </w:rPr>
            </w:pPr>
            <w:r w:rsidRPr="00C0030A">
              <w:rPr>
                <w:lang w:val="en-US" w:eastAsia="en-US"/>
              </w:rPr>
              <w:t>Paragraph 1322(4)(b)</w:t>
            </w:r>
          </w:p>
        </w:tc>
      </w:tr>
      <w:tr w:rsidR="00C0030A" w:rsidRPr="00C0030A" w14:paraId="1A97A49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2F284EC" w14:textId="77777777" w:rsidR="00C0030A" w:rsidRPr="00C0030A" w:rsidRDefault="00C0030A" w:rsidP="00C0030A">
            <w:pPr>
              <w:pStyle w:val="tabletext"/>
              <w:rPr>
                <w:lang w:val="en-US" w:eastAsia="en-US"/>
              </w:rPr>
            </w:pPr>
            <w:r w:rsidRPr="00C0030A">
              <w:rPr>
                <w:lang w:val="en-US" w:eastAsia="en-US"/>
              </w:rPr>
              <w:t>481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CE2244E" w14:textId="77777777" w:rsidR="00C0030A" w:rsidRPr="00C0030A" w:rsidRDefault="00C0030A" w:rsidP="00C0030A">
            <w:pPr>
              <w:pStyle w:val="tabletext"/>
              <w:rPr>
                <w:lang w:val="en-US" w:eastAsia="en-US"/>
              </w:rPr>
            </w:pPr>
            <w:r w:rsidRPr="00C0030A">
              <w:rPr>
                <w:lang w:val="en-US" w:eastAsia="en-US"/>
              </w:rPr>
              <w:t>Subparagraph 1325B(1)(b)(iii)</w:t>
            </w:r>
          </w:p>
        </w:tc>
      </w:tr>
      <w:tr w:rsidR="00C0030A" w:rsidRPr="00C0030A" w14:paraId="65706BE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6932AE6" w14:textId="77777777" w:rsidR="00C0030A" w:rsidRPr="00C0030A" w:rsidRDefault="00C0030A" w:rsidP="00C0030A">
            <w:pPr>
              <w:pStyle w:val="tabletext"/>
              <w:rPr>
                <w:lang w:val="en-US" w:eastAsia="en-US"/>
              </w:rPr>
            </w:pPr>
            <w:r w:rsidRPr="00C0030A">
              <w:rPr>
                <w:lang w:val="en-US" w:eastAsia="en-US"/>
              </w:rPr>
              <w:t>482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6E189CE" w14:textId="77777777" w:rsidR="00C0030A" w:rsidRPr="00C0030A" w:rsidRDefault="00C0030A" w:rsidP="00C0030A">
            <w:pPr>
              <w:pStyle w:val="tabletext"/>
              <w:rPr>
                <w:lang w:val="en-US" w:eastAsia="en-US"/>
              </w:rPr>
            </w:pPr>
            <w:r w:rsidRPr="00C0030A">
              <w:rPr>
                <w:lang w:val="en-US" w:eastAsia="en-US"/>
              </w:rPr>
              <w:t>Section 1344</w:t>
            </w:r>
          </w:p>
        </w:tc>
      </w:tr>
      <w:tr w:rsidR="00C0030A" w:rsidRPr="00C0030A" w14:paraId="577F97E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4E8E62C" w14:textId="77777777" w:rsidR="00C0030A" w:rsidRPr="00C0030A" w:rsidRDefault="00C0030A" w:rsidP="00C0030A">
            <w:pPr>
              <w:pStyle w:val="tabletext"/>
              <w:rPr>
                <w:lang w:val="en-US" w:eastAsia="en-US"/>
              </w:rPr>
            </w:pPr>
            <w:r w:rsidRPr="00C0030A">
              <w:rPr>
                <w:lang w:val="en-US" w:eastAsia="en-US"/>
              </w:rPr>
              <w:t>483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5D2EA9F" w14:textId="77777777" w:rsidR="00C0030A" w:rsidRPr="00C0030A" w:rsidRDefault="00C0030A" w:rsidP="00C0030A">
            <w:pPr>
              <w:pStyle w:val="tabletext"/>
              <w:rPr>
                <w:lang w:val="en-US" w:eastAsia="en-US"/>
              </w:rPr>
            </w:pPr>
            <w:r w:rsidRPr="00C0030A">
              <w:rPr>
                <w:lang w:val="en-US" w:eastAsia="en-US"/>
              </w:rPr>
              <w:t>At the end of subsection 1345A(1A)</w:t>
            </w:r>
          </w:p>
        </w:tc>
      </w:tr>
      <w:tr w:rsidR="00C0030A" w:rsidRPr="00C0030A" w14:paraId="2E96F98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4F4217C" w14:textId="77777777" w:rsidR="00C0030A" w:rsidRPr="00C0030A" w:rsidRDefault="00C0030A" w:rsidP="00C0030A">
            <w:pPr>
              <w:pStyle w:val="tabletext"/>
              <w:rPr>
                <w:lang w:val="en-US" w:eastAsia="en-US"/>
              </w:rPr>
            </w:pPr>
            <w:r w:rsidRPr="00C0030A">
              <w:rPr>
                <w:lang w:val="en-US" w:eastAsia="en-US"/>
              </w:rPr>
              <w:t>484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B56957" w14:textId="77777777" w:rsidR="00C0030A" w:rsidRPr="00C0030A" w:rsidRDefault="00C0030A" w:rsidP="00C0030A">
            <w:pPr>
              <w:pStyle w:val="tabletext"/>
              <w:rPr>
                <w:lang w:val="en-US" w:eastAsia="en-US"/>
              </w:rPr>
            </w:pPr>
            <w:r w:rsidRPr="00C0030A">
              <w:rPr>
                <w:lang w:val="en-US" w:eastAsia="en-US"/>
              </w:rPr>
              <w:t>Subparagraph 1351(4)(a)(</w:t>
            </w:r>
            <w:proofErr w:type="spellStart"/>
            <w:r w:rsidRPr="00C0030A">
              <w:rPr>
                <w:lang w:val="en-US" w:eastAsia="en-US"/>
              </w:rPr>
              <w:t>i</w:t>
            </w:r>
            <w:proofErr w:type="spellEnd"/>
            <w:r w:rsidRPr="00C0030A">
              <w:rPr>
                <w:lang w:val="en-US" w:eastAsia="en-US"/>
              </w:rPr>
              <w:t>)</w:t>
            </w:r>
          </w:p>
        </w:tc>
      </w:tr>
      <w:tr w:rsidR="00C0030A" w:rsidRPr="00C0030A" w14:paraId="7B5D1D7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0EFC8D2" w14:textId="77777777" w:rsidR="00C0030A" w:rsidRPr="00C0030A" w:rsidRDefault="00C0030A" w:rsidP="00C0030A">
            <w:pPr>
              <w:pStyle w:val="tabletext"/>
              <w:rPr>
                <w:lang w:val="en-US" w:eastAsia="en-US"/>
              </w:rPr>
            </w:pPr>
            <w:r w:rsidRPr="00C0030A">
              <w:rPr>
                <w:lang w:val="en-US" w:eastAsia="en-US"/>
              </w:rPr>
              <w:t>485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9F80824" w14:textId="77777777" w:rsidR="00C0030A" w:rsidRPr="00C0030A" w:rsidRDefault="00C0030A" w:rsidP="00C0030A">
            <w:pPr>
              <w:pStyle w:val="tabletext"/>
              <w:rPr>
                <w:lang w:val="en-US" w:eastAsia="en-US"/>
              </w:rPr>
            </w:pPr>
            <w:r w:rsidRPr="00C0030A">
              <w:rPr>
                <w:lang w:val="en-US" w:eastAsia="en-US"/>
              </w:rPr>
              <w:t>At the end of paragraph 1354(1)(a)</w:t>
            </w:r>
          </w:p>
        </w:tc>
      </w:tr>
      <w:tr w:rsidR="00C0030A" w:rsidRPr="00C0030A" w14:paraId="7D881CA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E40A757" w14:textId="77777777" w:rsidR="00C0030A" w:rsidRPr="00C0030A" w:rsidRDefault="00C0030A" w:rsidP="00C0030A">
            <w:pPr>
              <w:pStyle w:val="tabletext"/>
              <w:rPr>
                <w:lang w:val="en-US" w:eastAsia="en-US"/>
              </w:rPr>
            </w:pPr>
            <w:r w:rsidRPr="00C0030A">
              <w:rPr>
                <w:lang w:val="en-US" w:eastAsia="en-US"/>
              </w:rPr>
              <w:lastRenderedPageBreak/>
              <w:t>486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1607C29" w14:textId="77777777" w:rsidR="00C0030A" w:rsidRPr="00C0030A" w:rsidRDefault="00C0030A" w:rsidP="00C0030A">
            <w:pPr>
              <w:pStyle w:val="tabletext"/>
              <w:rPr>
                <w:lang w:val="en-US" w:eastAsia="en-US"/>
              </w:rPr>
            </w:pPr>
            <w:r w:rsidRPr="00C0030A">
              <w:rPr>
                <w:lang w:val="en-US" w:eastAsia="en-US"/>
              </w:rPr>
              <w:t>Section 1355</w:t>
            </w:r>
          </w:p>
        </w:tc>
      </w:tr>
      <w:tr w:rsidR="00C0030A" w:rsidRPr="00C0030A" w14:paraId="4F6E119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9BFA10F" w14:textId="77777777" w:rsidR="00C0030A" w:rsidRPr="00C0030A" w:rsidRDefault="00C0030A" w:rsidP="00C0030A">
            <w:pPr>
              <w:pStyle w:val="tabletext"/>
              <w:rPr>
                <w:lang w:val="en-US" w:eastAsia="en-US"/>
              </w:rPr>
            </w:pPr>
            <w:r w:rsidRPr="00C0030A">
              <w:rPr>
                <w:lang w:val="en-US" w:eastAsia="en-US"/>
              </w:rPr>
              <w:t>487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92A26C" w14:textId="77777777" w:rsidR="00C0030A" w:rsidRPr="00C0030A" w:rsidRDefault="00C0030A" w:rsidP="00C0030A">
            <w:pPr>
              <w:pStyle w:val="tabletext"/>
              <w:rPr>
                <w:lang w:val="en-US" w:eastAsia="en-US"/>
              </w:rPr>
            </w:pPr>
            <w:r w:rsidRPr="00C0030A">
              <w:rPr>
                <w:lang w:val="en-US" w:eastAsia="en-US"/>
              </w:rPr>
              <w:t>Section 1360</w:t>
            </w:r>
          </w:p>
        </w:tc>
      </w:tr>
      <w:tr w:rsidR="00C0030A" w:rsidRPr="00C0030A" w14:paraId="498110E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A63143" w14:textId="77777777" w:rsidR="00C0030A" w:rsidRPr="00C0030A" w:rsidRDefault="00C0030A" w:rsidP="00C0030A">
            <w:pPr>
              <w:pStyle w:val="tabletext"/>
              <w:rPr>
                <w:lang w:val="en-US" w:eastAsia="en-US"/>
              </w:rPr>
            </w:pPr>
            <w:r w:rsidRPr="00C0030A">
              <w:rPr>
                <w:lang w:val="en-US" w:eastAsia="en-US"/>
              </w:rPr>
              <w:t>488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EBCBBE5" w14:textId="77777777" w:rsidR="00C0030A" w:rsidRPr="00C0030A" w:rsidRDefault="00C0030A" w:rsidP="00C0030A">
            <w:pPr>
              <w:pStyle w:val="tabletext"/>
              <w:rPr>
                <w:lang w:val="en-US" w:eastAsia="en-US"/>
              </w:rPr>
            </w:pPr>
            <w:r w:rsidRPr="00C0030A">
              <w:rPr>
                <w:lang w:val="en-US" w:eastAsia="en-US"/>
              </w:rPr>
              <w:t>After paragraph 1362(a)</w:t>
            </w:r>
          </w:p>
        </w:tc>
      </w:tr>
      <w:tr w:rsidR="00C0030A" w:rsidRPr="00C0030A" w14:paraId="6442C51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71C65A" w14:textId="77777777" w:rsidR="00C0030A" w:rsidRPr="00C0030A" w:rsidRDefault="00C0030A" w:rsidP="00C0030A">
            <w:pPr>
              <w:pStyle w:val="tabletext"/>
              <w:rPr>
                <w:lang w:val="en-US" w:eastAsia="en-US"/>
              </w:rPr>
            </w:pPr>
            <w:r w:rsidRPr="00C0030A">
              <w:rPr>
                <w:lang w:val="en-US" w:eastAsia="en-US"/>
              </w:rPr>
              <w:t>489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2D36E7E" w14:textId="77777777" w:rsidR="00C0030A" w:rsidRPr="00C0030A" w:rsidRDefault="00C0030A" w:rsidP="00C0030A">
            <w:pPr>
              <w:pStyle w:val="tabletext"/>
              <w:rPr>
                <w:lang w:val="en-US" w:eastAsia="en-US"/>
              </w:rPr>
            </w:pPr>
            <w:r w:rsidRPr="00C0030A">
              <w:rPr>
                <w:lang w:val="en-US" w:eastAsia="en-US"/>
              </w:rPr>
              <w:t>At the end of paragraph 1364(2)(m)</w:t>
            </w:r>
          </w:p>
        </w:tc>
      </w:tr>
      <w:tr w:rsidR="00C0030A" w:rsidRPr="00C0030A" w14:paraId="0025D07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0900414" w14:textId="77777777" w:rsidR="00C0030A" w:rsidRPr="00C0030A" w:rsidRDefault="00C0030A" w:rsidP="00C0030A">
            <w:pPr>
              <w:pStyle w:val="tabletext"/>
              <w:rPr>
                <w:lang w:val="en-US" w:eastAsia="en-US"/>
              </w:rPr>
            </w:pPr>
            <w:r w:rsidRPr="00C0030A">
              <w:rPr>
                <w:lang w:val="en-US" w:eastAsia="en-US"/>
              </w:rPr>
              <w:t>490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FF975B7" w14:textId="77777777" w:rsidR="00C0030A" w:rsidRPr="00C0030A" w:rsidRDefault="00C0030A" w:rsidP="00C0030A">
            <w:pPr>
              <w:pStyle w:val="tabletext"/>
              <w:rPr>
                <w:lang w:val="en-US" w:eastAsia="en-US"/>
              </w:rPr>
            </w:pPr>
            <w:r w:rsidRPr="00C0030A">
              <w:rPr>
                <w:lang w:val="en-US" w:eastAsia="en-US"/>
              </w:rPr>
              <w:t>Paragraph 1366(a)</w:t>
            </w:r>
          </w:p>
        </w:tc>
      </w:tr>
      <w:tr w:rsidR="00C0030A" w:rsidRPr="00C0030A" w14:paraId="0D96775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5BB16AF" w14:textId="77777777" w:rsidR="00C0030A" w:rsidRPr="00C0030A" w:rsidRDefault="00C0030A" w:rsidP="00C0030A">
            <w:pPr>
              <w:pStyle w:val="tabletext"/>
              <w:rPr>
                <w:lang w:val="en-US" w:eastAsia="en-US"/>
              </w:rPr>
            </w:pPr>
            <w:r w:rsidRPr="00C0030A">
              <w:rPr>
                <w:lang w:val="en-US" w:eastAsia="en-US"/>
              </w:rPr>
              <w:t>491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5620CEC" w14:textId="77777777" w:rsidR="00C0030A" w:rsidRPr="00C0030A" w:rsidRDefault="00C0030A" w:rsidP="00C0030A">
            <w:pPr>
              <w:pStyle w:val="tabletext"/>
              <w:rPr>
                <w:lang w:val="en-US" w:eastAsia="en-US"/>
              </w:rPr>
            </w:pPr>
            <w:r w:rsidRPr="00C0030A">
              <w:rPr>
                <w:lang w:val="en-US" w:eastAsia="en-US"/>
              </w:rPr>
              <w:t>Paragraph 1366(b)</w:t>
            </w:r>
          </w:p>
        </w:tc>
      </w:tr>
      <w:tr w:rsidR="00C0030A" w:rsidRPr="00C0030A" w14:paraId="682FD90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06C90D4" w14:textId="77777777" w:rsidR="00C0030A" w:rsidRPr="00C0030A" w:rsidRDefault="00C0030A" w:rsidP="00C0030A">
            <w:pPr>
              <w:pStyle w:val="tabletext"/>
              <w:rPr>
                <w:lang w:val="en-US" w:eastAsia="en-US"/>
              </w:rPr>
            </w:pPr>
            <w:r w:rsidRPr="00C0030A">
              <w:rPr>
                <w:lang w:val="en-US" w:eastAsia="en-US"/>
              </w:rPr>
              <w:t>492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FD0183" w14:textId="77777777" w:rsidR="00C0030A" w:rsidRPr="00C0030A" w:rsidRDefault="00C0030A" w:rsidP="00C0030A">
            <w:pPr>
              <w:pStyle w:val="tabletext"/>
              <w:rPr>
                <w:lang w:val="en-US" w:eastAsia="en-US"/>
              </w:rPr>
            </w:pPr>
            <w:r w:rsidRPr="00C0030A">
              <w:rPr>
                <w:lang w:val="en-US" w:eastAsia="en-US"/>
              </w:rPr>
              <w:t>Section 1367</w:t>
            </w:r>
          </w:p>
        </w:tc>
      </w:tr>
      <w:tr w:rsidR="00C0030A" w:rsidRPr="00C0030A" w14:paraId="653EE75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EA5C49A" w14:textId="77777777" w:rsidR="00C0030A" w:rsidRPr="00C0030A" w:rsidRDefault="00C0030A" w:rsidP="00C0030A">
            <w:pPr>
              <w:pStyle w:val="tabletext"/>
              <w:rPr>
                <w:lang w:val="en-US" w:eastAsia="en-US"/>
              </w:rPr>
            </w:pPr>
            <w:r w:rsidRPr="00C0030A">
              <w:rPr>
                <w:lang w:val="en-US" w:eastAsia="en-US"/>
              </w:rPr>
              <w:t>493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874005F" w14:textId="77777777" w:rsidR="00C0030A" w:rsidRPr="00C0030A" w:rsidRDefault="00C0030A" w:rsidP="00C0030A">
            <w:pPr>
              <w:pStyle w:val="tabletext"/>
              <w:rPr>
                <w:lang w:val="en-US" w:eastAsia="en-US"/>
              </w:rPr>
            </w:pPr>
            <w:r w:rsidRPr="00C0030A">
              <w:rPr>
                <w:lang w:val="en-US" w:eastAsia="en-US"/>
              </w:rPr>
              <w:t>Subsection 1389(1)</w:t>
            </w:r>
          </w:p>
        </w:tc>
      </w:tr>
      <w:tr w:rsidR="00C0030A" w:rsidRPr="00C0030A" w14:paraId="2A248C3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93EFD75" w14:textId="77777777" w:rsidR="00C0030A" w:rsidRPr="00C0030A" w:rsidRDefault="00C0030A" w:rsidP="00C0030A">
            <w:pPr>
              <w:pStyle w:val="tabletext"/>
              <w:rPr>
                <w:lang w:val="en-US" w:eastAsia="en-US"/>
              </w:rPr>
            </w:pPr>
            <w:r w:rsidRPr="00C0030A">
              <w:rPr>
                <w:lang w:val="en-US" w:eastAsia="en-US"/>
              </w:rPr>
              <w:t>494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08E3218" w14:textId="77777777" w:rsidR="00C0030A" w:rsidRPr="00C0030A" w:rsidRDefault="00C0030A" w:rsidP="00C0030A">
            <w:pPr>
              <w:pStyle w:val="tabletext"/>
              <w:rPr>
                <w:lang w:val="en-US" w:eastAsia="en-US"/>
              </w:rPr>
            </w:pPr>
            <w:r w:rsidRPr="00C0030A">
              <w:rPr>
                <w:lang w:val="en-US" w:eastAsia="en-US"/>
              </w:rPr>
              <w:t>Section 1392</w:t>
            </w:r>
          </w:p>
        </w:tc>
      </w:tr>
      <w:tr w:rsidR="00C0030A" w:rsidRPr="00C0030A" w14:paraId="3214B63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72447D0" w14:textId="77777777" w:rsidR="00C0030A" w:rsidRPr="00C0030A" w:rsidRDefault="00C0030A" w:rsidP="00C0030A">
            <w:pPr>
              <w:pStyle w:val="tabletext"/>
              <w:rPr>
                <w:lang w:val="en-US" w:eastAsia="en-US"/>
              </w:rPr>
            </w:pPr>
            <w:r w:rsidRPr="00C0030A">
              <w:rPr>
                <w:lang w:val="en-US" w:eastAsia="en-US"/>
              </w:rPr>
              <w:t>495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5E3DFFD" w14:textId="77777777" w:rsidR="00C0030A" w:rsidRPr="00C0030A" w:rsidRDefault="00C0030A" w:rsidP="00C0030A">
            <w:pPr>
              <w:pStyle w:val="tabletext"/>
              <w:rPr>
                <w:lang w:val="en-US" w:eastAsia="en-US"/>
              </w:rPr>
            </w:pPr>
            <w:r w:rsidRPr="00C0030A">
              <w:rPr>
                <w:lang w:val="en-US" w:eastAsia="en-US"/>
              </w:rPr>
              <w:t>Section 1392</w:t>
            </w:r>
          </w:p>
        </w:tc>
      </w:tr>
      <w:tr w:rsidR="00C0030A" w:rsidRPr="00C0030A" w14:paraId="0339E08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F9E4200" w14:textId="77777777" w:rsidR="00C0030A" w:rsidRPr="00C0030A" w:rsidRDefault="00C0030A" w:rsidP="00C0030A">
            <w:pPr>
              <w:pStyle w:val="tabletext"/>
              <w:rPr>
                <w:lang w:val="en-US" w:eastAsia="en-US"/>
              </w:rPr>
            </w:pPr>
            <w:r w:rsidRPr="00C0030A">
              <w:rPr>
                <w:lang w:val="en-US" w:eastAsia="en-US"/>
              </w:rPr>
              <w:t>496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56EFC9" w14:textId="77777777" w:rsidR="00C0030A" w:rsidRPr="00C0030A" w:rsidRDefault="00C0030A" w:rsidP="00C0030A">
            <w:pPr>
              <w:pStyle w:val="tabletext"/>
              <w:rPr>
                <w:lang w:val="en-US" w:eastAsia="en-US"/>
              </w:rPr>
            </w:pPr>
            <w:r w:rsidRPr="00C0030A">
              <w:rPr>
                <w:lang w:val="en-US" w:eastAsia="en-US"/>
              </w:rPr>
              <w:t>Subsections 1465(3) and 1470(1)</w:t>
            </w:r>
          </w:p>
        </w:tc>
      </w:tr>
      <w:tr w:rsidR="00C0030A" w:rsidRPr="00C0030A" w14:paraId="722CA5D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E67E4E6" w14:textId="77777777" w:rsidR="00C0030A" w:rsidRPr="00C0030A" w:rsidRDefault="00C0030A" w:rsidP="00C0030A">
            <w:pPr>
              <w:pStyle w:val="tabletext"/>
              <w:rPr>
                <w:lang w:val="en-US" w:eastAsia="en-US"/>
              </w:rPr>
            </w:pPr>
            <w:r w:rsidRPr="00C0030A">
              <w:rPr>
                <w:lang w:val="en-US" w:eastAsia="en-US"/>
              </w:rPr>
              <w:t>497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2C5326F" w14:textId="77777777" w:rsidR="00C0030A" w:rsidRPr="00C0030A" w:rsidRDefault="00C0030A" w:rsidP="00C0030A">
            <w:pPr>
              <w:pStyle w:val="tabletext"/>
              <w:rPr>
                <w:lang w:val="en-US" w:eastAsia="en-US"/>
              </w:rPr>
            </w:pPr>
            <w:r w:rsidRPr="00C0030A">
              <w:rPr>
                <w:lang w:val="en-US" w:eastAsia="en-US"/>
              </w:rPr>
              <w:t>Section 1501B (note)</w:t>
            </w:r>
          </w:p>
        </w:tc>
      </w:tr>
      <w:tr w:rsidR="00C0030A" w:rsidRPr="00C0030A" w14:paraId="524A099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5E3EB73" w14:textId="77777777" w:rsidR="00C0030A" w:rsidRPr="00C0030A" w:rsidRDefault="00C0030A" w:rsidP="00C0030A">
            <w:pPr>
              <w:pStyle w:val="tabletext"/>
              <w:rPr>
                <w:lang w:val="en-US" w:eastAsia="en-US"/>
              </w:rPr>
            </w:pPr>
            <w:r w:rsidRPr="00C0030A">
              <w:rPr>
                <w:lang w:val="en-US" w:eastAsia="en-US"/>
              </w:rPr>
              <w:t>498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3CC5E4B" w14:textId="77777777" w:rsidR="00C0030A" w:rsidRPr="00C0030A" w:rsidRDefault="00C0030A" w:rsidP="00C0030A">
            <w:pPr>
              <w:pStyle w:val="tabletext"/>
              <w:rPr>
                <w:lang w:val="en-US" w:eastAsia="en-US"/>
              </w:rPr>
            </w:pPr>
            <w:r w:rsidRPr="00C0030A">
              <w:rPr>
                <w:lang w:val="en-US" w:eastAsia="en-US"/>
              </w:rPr>
              <w:t>Section 1546A</w:t>
            </w:r>
          </w:p>
        </w:tc>
      </w:tr>
      <w:tr w:rsidR="00C0030A" w:rsidRPr="00C0030A" w14:paraId="78B061B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5F7F82" w14:textId="77777777" w:rsidR="00C0030A" w:rsidRPr="00C0030A" w:rsidRDefault="00C0030A" w:rsidP="00C0030A">
            <w:pPr>
              <w:pStyle w:val="tabletext"/>
              <w:rPr>
                <w:lang w:val="en-US" w:eastAsia="en-US"/>
              </w:rPr>
            </w:pPr>
            <w:r w:rsidRPr="00C0030A">
              <w:rPr>
                <w:lang w:val="en-US" w:eastAsia="en-US"/>
              </w:rPr>
              <w:t>499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3AB9643" w14:textId="77777777" w:rsidR="00C0030A" w:rsidRPr="00C0030A" w:rsidRDefault="00C0030A" w:rsidP="00C0030A">
            <w:pPr>
              <w:pStyle w:val="tabletext"/>
              <w:rPr>
                <w:lang w:val="en-US" w:eastAsia="en-US"/>
              </w:rPr>
            </w:pPr>
            <w:r w:rsidRPr="00C0030A">
              <w:rPr>
                <w:lang w:val="en-US" w:eastAsia="en-US"/>
              </w:rPr>
              <w:t>At the end of section 1546A</w:t>
            </w:r>
          </w:p>
        </w:tc>
      </w:tr>
      <w:tr w:rsidR="00C0030A" w:rsidRPr="00C0030A" w14:paraId="7E73354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A21129" w14:textId="77777777" w:rsidR="00C0030A" w:rsidRPr="00C0030A" w:rsidRDefault="00C0030A" w:rsidP="00C0030A">
            <w:pPr>
              <w:pStyle w:val="tabletext"/>
              <w:rPr>
                <w:lang w:val="en-US" w:eastAsia="en-US"/>
              </w:rPr>
            </w:pPr>
            <w:r w:rsidRPr="00C0030A">
              <w:rPr>
                <w:lang w:val="en-US" w:eastAsia="en-US"/>
              </w:rPr>
              <w:t>500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1791DA5" w14:textId="77777777" w:rsidR="00C0030A" w:rsidRPr="00C0030A" w:rsidRDefault="00C0030A" w:rsidP="00C0030A">
            <w:pPr>
              <w:pStyle w:val="tabletext"/>
              <w:rPr>
                <w:lang w:val="en-US" w:eastAsia="en-US"/>
              </w:rPr>
            </w:pPr>
            <w:r w:rsidRPr="00C0030A">
              <w:rPr>
                <w:lang w:val="en-US" w:eastAsia="en-US"/>
              </w:rPr>
              <w:t>Subsection 1546B(3) (note 2)</w:t>
            </w:r>
          </w:p>
        </w:tc>
      </w:tr>
      <w:tr w:rsidR="00C0030A" w:rsidRPr="00C0030A" w14:paraId="0C3E5DA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4CFEC0A" w14:textId="77777777" w:rsidR="00C0030A" w:rsidRPr="00C0030A" w:rsidRDefault="00C0030A" w:rsidP="00C0030A">
            <w:pPr>
              <w:pStyle w:val="tabletext"/>
              <w:rPr>
                <w:lang w:val="en-US" w:eastAsia="en-US"/>
              </w:rPr>
            </w:pPr>
            <w:r w:rsidRPr="00C0030A">
              <w:rPr>
                <w:lang w:val="en-US" w:eastAsia="en-US"/>
              </w:rPr>
              <w:t>501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79F103A" w14:textId="77777777" w:rsidR="00C0030A" w:rsidRPr="00C0030A" w:rsidRDefault="00C0030A" w:rsidP="00C0030A">
            <w:pPr>
              <w:pStyle w:val="tabletext"/>
              <w:rPr>
                <w:lang w:val="en-US" w:eastAsia="en-US"/>
              </w:rPr>
            </w:pPr>
            <w:r w:rsidRPr="00C0030A">
              <w:rPr>
                <w:lang w:val="en-US" w:eastAsia="en-US"/>
              </w:rPr>
              <w:t>Section 1546J (heading)</w:t>
            </w:r>
          </w:p>
        </w:tc>
      </w:tr>
      <w:tr w:rsidR="00C0030A" w:rsidRPr="00C0030A" w14:paraId="1E7DA1A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F9CC988" w14:textId="77777777" w:rsidR="00C0030A" w:rsidRPr="00C0030A" w:rsidRDefault="00C0030A" w:rsidP="00C0030A">
            <w:pPr>
              <w:pStyle w:val="tabletext"/>
              <w:rPr>
                <w:lang w:val="en-US" w:eastAsia="en-US"/>
              </w:rPr>
            </w:pPr>
            <w:r w:rsidRPr="00C0030A">
              <w:rPr>
                <w:lang w:val="en-US" w:eastAsia="en-US"/>
              </w:rPr>
              <w:t>502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CEC40C5" w14:textId="77777777" w:rsidR="00C0030A" w:rsidRPr="00C0030A" w:rsidRDefault="00C0030A" w:rsidP="00C0030A">
            <w:pPr>
              <w:pStyle w:val="tabletext"/>
              <w:rPr>
                <w:lang w:val="en-US" w:eastAsia="en-US"/>
              </w:rPr>
            </w:pPr>
            <w:r w:rsidRPr="00C0030A">
              <w:rPr>
                <w:lang w:val="en-US" w:eastAsia="en-US"/>
              </w:rPr>
              <w:t>Section 1546J (note)</w:t>
            </w:r>
          </w:p>
        </w:tc>
      </w:tr>
      <w:tr w:rsidR="00C0030A" w:rsidRPr="00C0030A" w14:paraId="38D3FEB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4AF6693" w14:textId="77777777" w:rsidR="00C0030A" w:rsidRPr="00C0030A" w:rsidRDefault="00C0030A" w:rsidP="00C0030A">
            <w:pPr>
              <w:pStyle w:val="tabletext"/>
              <w:rPr>
                <w:lang w:val="en-US" w:eastAsia="en-US"/>
              </w:rPr>
            </w:pPr>
            <w:r w:rsidRPr="00C0030A">
              <w:rPr>
                <w:lang w:val="en-US" w:eastAsia="en-US"/>
              </w:rPr>
              <w:t>503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7FEE63F" w14:textId="77777777" w:rsidR="00C0030A" w:rsidRPr="00C0030A" w:rsidRDefault="00C0030A" w:rsidP="00C0030A">
            <w:pPr>
              <w:pStyle w:val="tabletext"/>
              <w:rPr>
                <w:lang w:val="en-US" w:eastAsia="en-US"/>
              </w:rPr>
            </w:pPr>
            <w:r w:rsidRPr="00C0030A">
              <w:rPr>
                <w:lang w:val="en-US" w:eastAsia="en-US"/>
              </w:rPr>
              <w:t>Sections 1546P, 1546Q, 1546R and 1546W (heading)</w:t>
            </w:r>
          </w:p>
        </w:tc>
      </w:tr>
      <w:tr w:rsidR="00C0030A" w:rsidRPr="00C0030A" w14:paraId="55129E0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7DF87AD" w14:textId="77777777" w:rsidR="00C0030A" w:rsidRPr="00C0030A" w:rsidRDefault="00C0030A" w:rsidP="00C0030A">
            <w:pPr>
              <w:pStyle w:val="tabletext"/>
              <w:rPr>
                <w:lang w:val="en-US" w:eastAsia="en-US"/>
              </w:rPr>
            </w:pPr>
            <w:r w:rsidRPr="00C0030A">
              <w:rPr>
                <w:lang w:val="en-US" w:eastAsia="en-US"/>
              </w:rPr>
              <w:t>504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564BF7B" w14:textId="77777777" w:rsidR="00C0030A" w:rsidRPr="00C0030A" w:rsidRDefault="00C0030A" w:rsidP="00C0030A">
            <w:pPr>
              <w:pStyle w:val="tabletext"/>
              <w:rPr>
                <w:lang w:val="en-US" w:eastAsia="en-US"/>
              </w:rPr>
            </w:pPr>
            <w:r w:rsidRPr="00C0030A">
              <w:rPr>
                <w:lang w:val="en-US" w:eastAsia="en-US"/>
              </w:rPr>
              <w:t>Subsection 1546W(1)</w:t>
            </w:r>
          </w:p>
        </w:tc>
      </w:tr>
      <w:tr w:rsidR="00C0030A" w:rsidRPr="00C0030A" w14:paraId="6B54E0B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6459CA1" w14:textId="77777777" w:rsidR="00C0030A" w:rsidRPr="00C0030A" w:rsidRDefault="00C0030A" w:rsidP="00C0030A">
            <w:pPr>
              <w:pStyle w:val="tabletext"/>
              <w:rPr>
                <w:lang w:val="en-US" w:eastAsia="en-US"/>
              </w:rPr>
            </w:pPr>
            <w:r w:rsidRPr="00C0030A">
              <w:rPr>
                <w:lang w:val="en-US" w:eastAsia="en-US"/>
              </w:rPr>
              <w:t>505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96B2C3" w14:textId="77777777" w:rsidR="00C0030A" w:rsidRPr="00C0030A" w:rsidRDefault="00C0030A" w:rsidP="00C0030A">
            <w:pPr>
              <w:pStyle w:val="tabletext"/>
              <w:rPr>
                <w:lang w:val="en-US" w:eastAsia="en-US"/>
              </w:rPr>
            </w:pPr>
            <w:r w:rsidRPr="00C0030A">
              <w:rPr>
                <w:lang w:val="en-US" w:eastAsia="en-US"/>
              </w:rPr>
              <w:t>Subsection 1546W(1)</w:t>
            </w:r>
          </w:p>
        </w:tc>
      </w:tr>
      <w:tr w:rsidR="00C0030A" w:rsidRPr="00C0030A" w14:paraId="000C6C6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3DD2AE" w14:textId="77777777" w:rsidR="00C0030A" w:rsidRPr="00C0030A" w:rsidRDefault="00C0030A" w:rsidP="00C0030A">
            <w:pPr>
              <w:pStyle w:val="tabletext"/>
              <w:rPr>
                <w:lang w:val="en-US" w:eastAsia="en-US"/>
              </w:rPr>
            </w:pPr>
            <w:r w:rsidRPr="00C0030A">
              <w:rPr>
                <w:lang w:val="en-US" w:eastAsia="en-US"/>
              </w:rPr>
              <w:t>507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8C81CFB" w14:textId="77777777" w:rsidR="00C0030A" w:rsidRPr="00C0030A" w:rsidRDefault="00C0030A" w:rsidP="00C0030A">
            <w:pPr>
              <w:pStyle w:val="tabletext"/>
              <w:rPr>
                <w:lang w:val="en-US" w:eastAsia="en-US"/>
              </w:rPr>
            </w:pPr>
            <w:r w:rsidRPr="00C0030A">
              <w:rPr>
                <w:lang w:val="en-US" w:eastAsia="en-US"/>
              </w:rPr>
              <w:t>Section 1546X (heading)</w:t>
            </w:r>
          </w:p>
        </w:tc>
      </w:tr>
      <w:tr w:rsidR="00C0030A" w:rsidRPr="00C0030A" w14:paraId="776AC48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A76D21" w14:textId="77777777" w:rsidR="00C0030A" w:rsidRPr="00C0030A" w:rsidRDefault="00C0030A" w:rsidP="00C0030A">
            <w:pPr>
              <w:pStyle w:val="tabletext"/>
              <w:rPr>
                <w:lang w:val="en-US" w:eastAsia="en-US"/>
              </w:rPr>
            </w:pPr>
            <w:r w:rsidRPr="00C0030A">
              <w:rPr>
                <w:lang w:val="en-US" w:eastAsia="en-US"/>
              </w:rPr>
              <w:t>508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D12704A" w14:textId="77777777" w:rsidR="00C0030A" w:rsidRPr="00C0030A" w:rsidRDefault="00C0030A" w:rsidP="00C0030A">
            <w:pPr>
              <w:pStyle w:val="tabletext"/>
              <w:rPr>
                <w:lang w:val="en-US" w:eastAsia="en-US"/>
              </w:rPr>
            </w:pPr>
            <w:r w:rsidRPr="00C0030A">
              <w:rPr>
                <w:lang w:val="en-US" w:eastAsia="en-US"/>
              </w:rPr>
              <w:t>Subsection 1546X(1)</w:t>
            </w:r>
          </w:p>
        </w:tc>
      </w:tr>
      <w:tr w:rsidR="00C0030A" w:rsidRPr="00C0030A" w14:paraId="3414F1E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602AD23" w14:textId="77777777" w:rsidR="00C0030A" w:rsidRPr="00C0030A" w:rsidRDefault="00C0030A" w:rsidP="00C0030A">
            <w:pPr>
              <w:pStyle w:val="tabletext"/>
              <w:rPr>
                <w:lang w:val="en-US" w:eastAsia="en-US"/>
              </w:rPr>
            </w:pPr>
            <w:r w:rsidRPr="00C0030A">
              <w:rPr>
                <w:lang w:val="en-US" w:eastAsia="en-US"/>
              </w:rPr>
              <w:t>510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B8EAD0" w14:textId="77777777" w:rsidR="00C0030A" w:rsidRPr="00C0030A" w:rsidRDefault="00C0030A" w:rsidP="00C0030A">
            <w:pPr>
              <w:pStyle w:val="tabletext"/>
              <w:rPr>
                <w:lang w:val="en-US" w:eastAsia="en-US"/>
              </w:rPr>
            </w:pPr>
            <w:r w:rsidRPr="00C0030A">
              <w:rPr>
                <w:lang w:val="en-US" w:eastAsia="en-US"/>
              </w:rPr>
              <w:t>Section 1546Y (heading)</w:t>
            </w:r>
          </w:p>
        </w:tc>
      </w:tr>
      <w:tr w:rsidR="00C0030A" w:rsidRPr="00C0030A" w14:paraId="03B5EE6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290D135" w14:textId="77777777" w:rsidR="00C0030A" w:rsidRPr="00C0030A" w:rsidRDefault="00C0030A" w:rsidP="00C0030A">
            <w:pPr>
              <w:pStyle w:val="tabletext"/>
              <w:rPr>
                <w:lang w:val="en-US" w:eastAsia="en-US"/>
              </w:rPr>
            </w:pPr>
            <w:r w:rsidRPr="00C0030A">
              <w:rPr>
                <w:lang w:val="en-US" w:eastAsia="en-US"/>
              </w:rPr>
              <w:t>511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8B6B120" w14:textId="77777777" w:rsidR="00C0030A" w:rsidRPr="00C0030A" w:rsidRDefault="00C0030A" w:rsidP="00C0030A">
            <w:pPr>
              <w:pStyle w:val="tabletext"/>
              <w:rPr>
                <w:lang w:val="en-US" w:eastAsia="en-US"/>
              </w:rPr>
            </w:pPr>
            <w:r w:rsidRPr="00C0030A">
              <w:rPr>
                <w:lang w:val="en-US" w:eastAsia="en-US"/>
              </w:rPr>
              <w:t>Subsection 1546Y(1)</w:t>
            </w:r>
          </w:p>
        </w:tc>
      </w:tr>
      <w:tr w:rsidR="00C0030A" w:rsidRPr="00C0030A" w14:paraId="4824050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58857E2" w14:textId="77777777" w:rsidR="00C0030A" w:rsidRPr="00C0030A" w:rsidRDefault="00C0030A" w:rsidP="00C0030A">
            <w:pPr>
              <w:pStyle w:val="tabletext"/>
              <w:rPr>
                <w:lang w:val="en-US" w:eastAsia="en-US"/>
              </w:rPr>
            </w:pPr>
            <w:r w:rsidRPr="00C0030A">
              <w:rPr>
                <w:lang w:val="en-US" w:eastAsia="en-US"/>
              </w:rPr>
              <w:t>513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AA07137" w14:textId="77777777" w:rsidR="00C0030A" w:rsidRPr="00C0030A" w:rsidRDefault="00C0030A" w:rsidP="00C0030A">
            <w:pPr>
              <w:pStyle w:val="tabletext"/>
              <w:rPr>
                <w:lang w:val="en-US" w:eastAsia="en-US"/>
              </w:rPr>
            </w:pPr>
            <w:r w:rsidRPr="00C0030A">
              <w:rPr>
                <w:lang w:val="en-US" w:eastAsia="en-US"/>
              </w:rPr>
              <w:t>Section 1546Z (heading)</w:t>
            </w:r>
          </w:p>
        </w:tc>
      </w:tr>
      <w:tr w:rsidR="00C0030A" w:rsidRPr="00C0030A" w14:paraId="36572DB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8E294CC" w14:textId="77777777" w:rsidR="00C0030A" w:rsidRPr="00C0030A" w:rsidRDefault="00C0030A" w:rsidP="00C0030A">
            <w:pPr>
              <w:pStyle w:val="tabletext"/>
              <w:rPr>
                <w:lang w:val="en-US" w:eastAsia="en-US"/>
              </w:rPr>
            </w:pPr>
            <w:r w:rsidRPr="00C0030A">
              <w:rPr>
                <w:lang w:val="en-US" w:eastAsia="en-US"/>
              </w:rPr>
              <w:t>514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7731E1E" w14:textId="77777777" w:rsidR="00C0030A" w:rsidRPr="00C0030A" w:rsidRDefault="00C0030A" w:rsidP="00C0030A">
            <w:pPr>
              <w:pStyle w:val="tabletext"/>
              <w:rPr>
                <w:lang w:val="en-US" w:eastAsia="en-US"/>
              </w:rPr>
            </w:pPr>
            <w:r w:rsidRPr="00C0030A">
              <w:rPr>
                <w:lang w:val="en-US" w:eastAsia="en-US"/>
              </w:rPr>
              <w:t>Subsection 1546Z(1)</w:t>
            </w:r>
          </w:p>
        </w:tc>
      </w:tr>
      <w:tr w:rsidR="00C0030A" w:rsidRPr="00C0030A" w14:paraId="3400FF4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98227B0" w14:textId="77777777" w:rsidR="00C0030A" w:rsidRPr="00C0030A" w:rsidRDefault="00C0030A" w:rsidP="00C0030A">
            <w:pPr>
              <w:pStyle w:val="tabletext"/>
              <w:rPr>
                <w:lang w:val="en-US" w:eastAsia="en-US"/>
              </w:rPr>
            </w:pPr>
            <w:r w:rsidRPr="00C0030A">
              <w:rPr>
                <w:lang w:val="en-US" w:eastAsia="en-US"/>
              </w:rPr>
              <w:t>516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1397317" w14:textId="77777777" w:rsidR="00C0030A" w:rsidRPr="00C0030A" w:rsidRDefault="00C0030A" w:rsidP="00C0030A">
            <w:pPr>
              <w:pStyle w:val="tabletext"/>
              <w:rPr>
                <w:lang w:val="en-US" w:eastAsia="en-US"/>
              </w:rPr>
            </w:pPr>
            <w:r w:rsidRPr="00C0030A">
              <w:rPr>
                <w:lang w:val="en-US" w:eastAsia="en-US"/>
              </w:rPr>
              <w:t>Subsection 1546Z(3)</w:t>
            </w:r>
          </w:p>
        </w:tc>
      </w:tr>
      <w:tr w:rsidR="00C0030A" w:rsidRPr="00C0030A" w14:paraId="6E1C55A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54D993D" w14:textId="77777777" w:rsidR="00C0030A" w:rsidRPr="00C0030A" w:rsidRDefault="00C0030A" w:rsidP="00C0030A">
            <w:pPr>
              <w:pStyle w:val="tabletext"/>
              <w:rPr>
                <w:lang w:val="en-US" w:eastAsia="en-US"/>
              </w:rPr>
            </w:pPr>
            <w:r w:rsidRPr="00C0030A">
              <w:rPr>
                <w:lang w:val="en-US" w:eastAsia="en-US"/>
              </w:rPr>
              <w:t>519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CFC8237" w14:textId="77777777" w:rsidR="00C0030A" w:rsidRPr="00C0030A" w:rsidRDefault="00C0030A" w:rsidP="00C0030A">
            <w:pPr>
              <w:pStyle w:val="tabletext"/>
              <w:rPr>
                <w:lang w:val="en-US" w:eastAsia="en-US"/>
              </w:rPr>
            </w:pPr>
            <w:r w:rsidRPr="00C0030A">
              <w:rPr>
                <w:lang w:val="en-US" w:eastAsia="en-US"/>
              </w:rPr>
              <w:t>Subsection 1562(1)</w:t>
            </w:r>
          </w:p>
        </w:tc>
      </w:tr>
      <w:tr w:rsidR="00C0030A" w:rsidRPr="00C0030A" w14:paraId="0CF3BEE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00E505D" w14:textId="77777777" w:rsidR="00C0030A" w:rsidRPr="00C0030A" w:rsidRDefault="00C0030A" w:rsidP="00C0030A">
            <w:pPr>
              <w:pStyle w:val="tabletext"/>
              <w:rPr>
                <w:lang w:val="en-US" w:eastAsia="en-US"/>
              </w:rPr>
            </w:pPr>
            <w:r w:rsidRPr="00C0030A">
              <w:rPr>
                <w:lang w:val="en-US" w:eastAsia="en-US"/>
              </w:rPr>
              <w:t>520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02DED41" w14:textId="77777777" w:rsidR="00C0030A" w:rsidRPr="00C0030A" w:rsidRDefault="00C0030A" w:rsidP="00C0030A">
            <w:pPr>
              <w:pStyle w:val="tabletext"/>
              <w:rPr>
                <w:lang w:val="en-US" w:eastAsia="en-US"/>
              </w:rPr>
            </w:pPr>
            <w:r w:rsidRPr="00C0030A">
              <w:rPr>
                <w:lang w:val="en-US" w:eastAsia="en-US"/>
              </w:rPr>
              <w:t>Section 1599 (heading)</w:t>
            </w:r>
          </w:p>
        </w:tc>
      </w:tr>
      <w:tr w:rsidR="00C0030A" w:rsidRPr="00C0030A" w14:paraId="54EEC50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EFEAD9" w14:textId="77777777" w:rsidR="00C0030A" w:rsidRPr="00C0030A" w:rsidRDefault="00C0030A" w:rsidP="00C0030A">
            <w:pPr>
              <w:pStyle w:val="tabletext"/>
              <w:rPr>
                <w:lang w:val="en-US" w:eastAsia="en-US"/>
              </w:rPr>
            </w:pPr>
            <w:r w:rsidRPr="00C0030A">
              <w:rPr>
                <w:lang w:val="en-US" w:eastAsia="en-US"/>
              </w:rPr>
              <w:t>523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81190D9" w14:textId="77777777" w:rsidR="00C0030A" w:rsidRPr="00C0030A" w:rsidRDefault="00C0030A" w:rsidP="00C0030A">
            <w:pPr>
              <w:pStyle w:val="tabletext"/>
              <w:rPr>
                <w:lang w:val="en-US" w:eastAsia="en-US"/>
              </w:rPr>
            </w:pPr>
            <w:r w:rsidRPr="00C0030A">
              <w:rPr>
                <w:lang w:val="en-US" w:eastAsia="en-US"/>
              </w:rPr>
              <w:t>Division 15 of Part 2 of Schedule 2</w:t>
            </w:r>
          </w:p>
        </w:tc>
      </w:tr>
      <w:tr w:rsidR="00C0030A" w:rsidRPr="00C0030A" w14:paraId="442CCB4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70867B1" w14:textId="77777777" w:rsidR="00C0030A" w:rsidRPr="00C0030A" w:rsidRDefault="00C0030A" w:rsidP="00C0030A">
            <w:pPr>
              <w:pStyle w:val="tabletext"/>
              <w:rPr>
                <w:lang w:val="en-US" w:eastAsia="en-US"/>
              </w:rPr>
            </w:pPr>
            <w:bookmarkStart w:id="39" w:name="RANGE!A526"/>
            <w:r w:rsidRPr="00C0030A">
              <w:rPr>
                <w:lang w:val="en-US" w:eastAsia="en-US"/>
              </w:rPr>
              <w:t>524</w:t>
            </w:r>
            <w:bookmarkEnd w:id="39"/>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87ED135" w14:textId="77777777" w:rsidR="00C0030A" w:rsidRPr="00C0030A" w:rsidRDefault="00C0030A" w:rsidP="00C0030A">
            <w:pPr>
              <w:pStyle w:val="tabletext"/>
              <w:rPr>
                <w:lang w:val="en-US" w:eastAsia="en-US"/>
              </w:rPr>
            </w:pPr>
            <w:r w:rsidRPr="00C0030A">
              <w:rPr>
                <w:lang w:val="en-US" w:eastAsia="en-US"/>
              </w:rPr>
              <w:t>Subsection 20</w:t>
            </w:r>
            <w:r w:rsidRPr="00C0030A">
              <w:rPr>
                <w:lang w:val="en-US" w:eastAsia="en-US"/>
              </w:rPr>
              <w:noBreakHyphen/>
              <w:t>30(1) (at the end of the note)</w:t>
            </w:r>
          </w:p>
        </w:tc>
      </w:tr>
      <w:tr w:rsidR="00C0030A" w:rsidRPr="00C0030A" w14:paraId="42F7C7F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57F2149" w14:textId="77777777" w:rsidR="00C0030A" w:rsidRPr="00C0030A" w:rsidRDefault="00C0030A" w:rsidP="00C0030A">
            <w:pPr>
              <w:pStyle w:val="tabletext"/>
              <w:rPr>
                <w:lang w:val="en-US" w:eastAsia="en-US"/>
              </w:rPr>
            </w:pPr>
            <w:r w:rsidRPr="00C0030A">
              <w:rPr>
                <w:lang w:val="en-US" w:eastAsia="en-US"/>
              </w:rPr>
              <w:t>525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92CB3B9" w14:textId="77777777" w:rsidR="00C0030A" w:rsidRPr="00C0030A" w:rsidRDefault="00C0030A" w:rsidP="00C0030A">
            <w:pPr>
              <w:pStyle w:val="tabletext"/>
              <w:rPr>
                <w:lang w:val="en-US" w:eastAsia="en-US"/>
              </w:rPr>
            </w:pPr>
            <w:r w:rsidRPr="00C0030A">
              <w:rPr>
                <w:lang w:val="en-US" w:eastAsia="en-US"/>
              </w:rPr>
              <w:t>Subsection 20</w:t>
            </w:r>
            <w:r w:rsidRPr="00C0030A">
              <w:rPr>
                <w:lang w:val="en-US" w:eastAsia="en-US"/>
              </w:rPr>
              <w:noBreakHyphen/>
              <w:t>30(2) of Schedule 2</w:t>
            </w:r>
          </w:p>
        </w:tc>
      </w:tr>
      <w:tr w:rsidR="00C0030A" w:rsidRPr="00C0030A" w14:paraId="02FCAA2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6BFA0C1" w14:textId="77777777" w:rsidR="00C0030A" w:rsidRPr="00C0030A" w:rsidRDefault="00C0030A" w:rsidP="00C0030A">
            <w:pPr>
              <w:pStyle w:val="tabletext"/>
              <w:rPr>
                <w:lang w:val="en-US" w:eastAsia="en-US"/>
              </w:rPr>
            </w:pPr>
            <w:r w:rsidRPr="00C0030A">
              <w:rPr>
                <w:lang w:val="en-US" w:eastAsia="en-US"/>
              </w:rPr>
              <w:t>526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086EB45" w14:textId="77777777" w:rsidR="00C0030A" w:rsidRPr="00C0030A" w:rsidRDefault="00C0030A" w:rsidP="00C0030A">
            <w:pPr>
              <w:pStyle w:val="tabletext"/>
              <w:rPr>
                <w:lang w:val="en-US" w:eastAsia="en-US"/>
              </w:rPr>
            </w:pPr>
            <w:r w:rsidRPr="00C0030A">
              <w:rPr>
                <w:lang w:val="en-US" w:eastAsia="en-US"/>
              </w:rPr>
              <w:t>Subsection 20</w:t>
            </w:r>
            <w:r w:rsidRPr="00C0030A">
              <w:rPr>
                <w:lang w:val="en-US" w:eastAsia="en-US"/>
              </w:rPr>
              <w:noBreakHyphen/>
              <w:t>75(2) of Schedule 2</w:t>
            </w:r>
          </w:p>
        </w:tc>
      </w:tr>
      <w:tr w:rsidR="00C0030A" w:rsidRPr="00C0030A" w14:paraId="225D72F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179BC4" w14:textId="77777777" w:rsidR="00C0030A" w:rsidRPr="00C0030A" w:rsidRDefault="00C0030A" w:rsidP="00C0030A">
            <w:pPr>
              <w:pStyle w:val="tabletext"/>
              <w:rPr>
                <w:lang w:val="en-US" w:eastAsia="en-US"/>
              </w:rPr>
            </w:pPr>
            <w:r w:rsidRPr="00C0030A">
              <w:rPr>
                <w:lang w:val="en-US" w:eastAsia="en-US"/>
              </w:rPr>
              <w:t>527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EBF77A2" w14:textId="77777777" w:rsidR="00C0030A" w:rsidRPr="00C0030A" w:rsidRDefault="00C0030A" w:rsidP="00C0030A">
            <w:pPr>
              <w:pStyle w:val="tabletext"/>
              <w:rPr>
                <w:lang w:val="en-US" w:eastAsia="en-US"/>
              </w:rPr>
            </w:pPr>
            <w:r w:rsidRPr="00C0030A">
              <w:rPr>
                <w:lang w:val="en-US" w:eastAsia="en-US"/>
              </w:rPr>
              <w:t>Subsection 30</w:t>
            </w:r>
            <w:r w:rsidRPr="00C0030A">
              <w:rPr>
                <w:lang w:val="en-US" w:eastAsia="en-US"/>
              </w:rPr>
              <w:noBreakHyphen/>
              <w:t>1(1) of Schedule 2</w:t>
            </w:r>
          </w:p>
        </w:tc>
      </w:tr>
      <w:tr w:rsidR="00C0030A" w:rsidRPr="00C0030A" w14:paraId="523ABD1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6115EC0" w14:textId="77777777" w:rsidR="00C0030A" w:rsidRPr="00C0030A" w:rsidRDefault="00C0030A" w:rsidP="00C0030A">
            <w:pPr>
              <w:pStyle w:val="tabletext"/>
              <w:rPr>
                <w:lang w:val="en-US" w:eastAsia="en-US"/>
              </w:rPr>
            </w:pPr>
            <w:r w:rsidRPr="00C0030A">
              <w:rPr>
                <w:lang w:val="en-US" w:eastAsia="en-US"/>
              </w:rPr>
              <w:t>528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6CDBD9" w14:textId="77777777" w:rsidR="00C0030A" w:rsidRPr="00C0030A" w:rsidRDefault="00C0030A" w:rsidP="00C0030A">
            <w:pPr>
              <w:pStyle w:val="tabletext"/>
              <w:rPr>
                <w:lang w:val="en-US" w:eastAsia="en-US"/>
              </w:rPr>
            </w:pPr>
            <w:r w:rsidRPr="00C0030A">
              <w:rPr>
                <w:lang w:val="en-US" w:eastAsia="en-US"/>
              </w:rPr>
              <w:t>After subsection 30</w:t>
            </w:r>
            <w:r w:rsidRPr="00C0030A">
              <w:rPr>
                <w:lang w:val="en-US" w:eastAsia="en-US"/>
              </w:rPr>
              <w:noBreakHyphen/>
              <w:t>1(3) of Schedule 2</w:t>
            </w:r>
          </w:p>
        </w:tc>
      </w:tr>
      <w:tr w:rsidR="00C0030A" w:rsidRPr="00C0030A" w14:paraId="169B3C9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7604F6" w14:textId="77777777" w:rsidR="00C0030A" w:rsidRPr="00C0030A" w:rsidRDefault="00C0030A" w:rsidP="00C0030A">
            <w:pPr>
              <w:pStyle w:val="tabletext"/>
              <w:rPr>
                <w:lang w:val="en-US" w:eastAsia="en-US"/>
              </w:rPr>
            </w:pPr>
            <w:r w:rsidRPr="00C0030A">
              <w:rPr>
                <w:lang w:val="en-US" w:eastAsia="en-US"/>
              </w:rPr>
              <w:t>529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4A91BC5" w14:textId="77777777" w:rsidR="00C0030A" w:rsidRPr="00C0030A" w:rsidRDefault="00C0030A" w:rsidP="00C0030A">
            <w:pPr>
              <w:pStyle w:val="tabletext"/>
              <w:rPr>
                <w:lang w:val="en-US" w:eastAsia="en-US"/>
              </w:rPr>
            </w:pPr>
            <w:r w:rsidRPr="00C0030A">
              <w:rPr>
                <w:lang w:val="en-US" w:eastAsia="en-US"/>
              </w:rPr>
              <w:t>Subsection 35</w:t>
            </w:r>
            <w:r w:rsidRPr="00C0030A">
              <w:rPr>
                <w:lang w:val="en-US" w:eastAsia="en-US"/>
              </w:rPr>
              <w:noBreakHyphen/>
              <w:t>5(1) of Schedule 2</w:t>
            </w:r>
          </w:p>
        </w:tc>
      </w:tr>
      <w:tr w:rsidR="00C0030A" w:rsidRPr="00C0030A" w14:paraId="128599F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C6F6502" w14:textId="77777777" w:rsidR="00C0030A" w:rsidRPr="00C0030A" w:rsidRDefault="00C0030A" w:rsidP="00C0030A">
            <w:pPr>
              <w:pStyle w:val="tabletext"/>
              <w:rPr>
                <w:lang w:val="en-US" w:eastAsia="en-US"/>
              </w:rPr>
            </w:pPr>
            <w:r w:rsidRPr="00C0030A">
              <w:rPr>
                <w:lang w:val="en-US" w:eastAsia="en-US"/>
              </w:rPr>
              <w:t>530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882F1DE" w14:textId="77777777" w:rsidR="00C0030A" w:rsidRPr="00C0030A" w:rsidRDefault="00C0030A" w:rsidP="00C0030A">
            <w:pPr>
              <w:pStyle w:val="tabletext"/>
              <w:rPr>
                <w:lang w:val="en-US" w:eastAsia="en-US"/>
              </w:rPr>
            </w:pPr>
            <w:r w:rsidRPr="00C0030A">
              <w:rPr>
                <w:lang w:val="en-US" w:eastAsia="en-US"/>
              </w:rPr>
              <w:t>Section 40</w:t>
            </w:r>
            <w:r w:rsidRPr="00C0030A">
              <w:rPr>
                <w:lang w:val="en-US" w:eastAsia="en-US"/>
              </w:rPr>
              <w:noBreakHyphen/>
              <w:t>1 of Schedule 2</w:t>
            </w:r>
          </w:p>
        </w:tc>
      </w:tr>
      <w:tr w:rsidR="00C0030A" w:rsidRPr="00C0030A" w14:paraId="5108ED9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A700A59" w14:textId="77777777" w:rsidR="00C0030A" w:rsidRPr="00C0030A" w:rsidRDefault="00C0030A" w:rsidP="00C0030A">
            <w:pPr>
              <w:pStyle w:val="tabletext"/>
              <w:rPr>
                <w:lang w:val="en-US" w:eastAsia="en-US"/>
              </w:rPr>
            </w:pPr>
            <w:r w:rsidRPr="00C0030A">
              <w:rPr>
                <w:lang w:val="en-US" w:eastAsia="en-US"/>
              </w:rPr>
              <w:t>531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749B09B" w14:textId="77777777" w:rsidR="00C0030A" w:rsidRPr="00C0030A" w:rsidRDefault="00C0030A" w:rsidP="00C0030A">
            <w:pPr>
              <w:pStyle w:val="tabletext"/>
              <w:rPr>
                <w:lang w:val="en-US" w:eastAsia="en-US"/>
              </w:rPr>
            </w:pPr>
            <w:r w:rsidRPr="00C0030A">
              <w:rPr>
                <w:lang w:val="en-US" w:eastAsia="en-US"/>
              </w:rPr>
              <w:t>Section 40</w:t>
            </w:r>
            <w:r w:rsidRPr="00C0030A">
              <w:rPr>
                <w:lang w:val="en-US" w:eastAsia="en-US"/>
              </w:rPr>
              <w:noBreakHyphen/>
              <w:t>1 of Schedule 2</w:t>
            </w:r>
          </w:p>
        </w:tc>
      </w:tr>
      <w:tr w:rsidR="00C0030A" w:rsidRPr="00C0030A" w14:paraId="492FB34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E8FBE67" w14:textId="77777777" w:rsidR="00C0030A" w:rsidRPr="00C0030A" w:rsidRDefault="00C0030A" w:rsidP="00C0030A">
            <w:pPr>
              <w:pStyle w:val="tabletext"/>
              <w:rPr>
                <w:lang w:val="en-US" w:eastAsia="en-US"/>
              </w:rPr>
            </w:pPr>
            <w:r w:rsidRPr="00C0030A">
              <w:rPr>
                <w:lang w:val="en-US" w:eastAsia="en-US"/>
              </w:rPr>
              <w:t>532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B885B9F" w14:textId="77777777" w:rsidR="00C0030A" w:rsidRPr="00C0030A" w:rsidRDefault="00C0030A" w:rsidP="00C0030A">
            <w:pPr>
              <w:pStyle w:val="tabletext"/>
              <w:rPr>
                <w:lang w:val="en-US" w:eastAsia="en-US"/>
              </w:rPr>
            </w:pPr>
            <w:r w:rsidRPr="00C0030A">
              <w:rPr>
                <w:lang w:val="en-US" w:eastAsia="en-US"/>
              </w:rPr>
              <w:t>Section 40</w:t>
            </w:r>
            <w:r w:rsidRPr="00C0030A">
              <w:rPr>
                <w:lang w:val="en-US" w:eastAsia="en-US"/>
              </w:rPr>
              <w:noBreakHyphen/>
              <w:t>1 of Schedule 2</w:t>
            </w:r>
          </w:p>
        </w:tc>
      </w:tr>
      <w:tr w:rsidR="00C0030A" w:rsidRPr="00C0030A" w14:paraId="216B617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5FEC1A7" w14:textId="77777777" w:rsidR="00C0030A" w:rsidRPr="00C0030A" w:rsidRDefault="00C0030A" w:rsidP="00C0030A">
            <w:pPr>
              <w:pStyle w:val="tabletext"/>
              <w:rPr>
                <w:lang w:val="en-US" w:eastAsia="en-US"/>
              </w:rPr>
            </w:pPr>
            <w:r w:rsidRPr="00C0030A">
              <w:rPr>
                <w:lang w:val="en-US" w:eastAsia="en-US"/>
              </w:rPr>
              <w:t>533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9580958" w14:textId="77777777" w:rsidR="00C0030A" w:rsidRPr="00C0030A" w:rsidRDefault="00C0030A" w:rsidP="00C0030A">
            <w:pPr>
              <w:pStyle w:val="tabletext"/>
              <w:rPr>
                <w:lang w:val="en-US" w:eastAsia="en-US"/>
              </w:rPr>
            </w:pPr>
            <w:r w:rsidRPr="00C0030A">
              <w:rPr>
                <w:lang w:val="en-US" w:eastAsia="en-US"/>
              </w:rPr>
              <w:t>At the end of subsections 40</w:t>
            </w:r>
            <w:r w:rsidRPr="00C0030A">
              <w:rPr>
                <w:lang w:val="en-US" w:eastAsia="en-US"/>
              </w:rPr>
              <w:noBreakHyphen/>
              <w:t>5(1) and (6) of Schedule 2</w:t>
            </w:r>
          </w:p>
        </w:tc>
      </w:tr>
      <w:tr w:rsidR="00C0030A" w:rsidRPr="00C0030A" w14:paraId="30AE802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F86ECAC" w14:textId="77777777" w:rsidR="00C0030A" w:rsidRPr="00C0030A" w:rsidRDefault="00C0030A" w:rsidP="00C0030A">
            <w:pPr>
              <w:pStyle w:val="tabletext"/>
              <w:rPr>
                <w:lang w:val="en-US" w:eastAsia="en-US"/>
              </w:rPr>
            </w:pPr>
            <w:r w:rsidRPr="00C0030A">
              <w:rPr>
                <w:lang w:val="en-US" w:eastAsia="en-US"/>
              </w:rPr>
              <w:t>534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6323F2D" w14:textId="77777777" w:rsidR="00C0030A" w:rsidRPr="00C0030A" w:rsidRDefault="00C0030A" w:rsidP="00C0030A">
            <w:pPr>
              <w:pStyle w:val="tabletext"/>
              <w:rPr>
                <w:lang w:val="en-US" w:eastAsia="en-US"/>
              </w:rPr>
            </w:pPr>
            <w:r w:rsidRPr="00C0030A">
              <w:rPr>
                <w:lang w:val="en-US" w:eastAsia="en-US"/>
              </w:rPr>
              <w:t>Subsection 40</w:t>
            </w:r>
            <w:r w:rsidRPr="00C0030A">
              <w:rPr>
                <w:lang w:val="en-US" w:eastAsia="en-US"/>
              </w:rPr>
              <w:noBreakHyphen/>
              <w:t>10(1) of Schedule 2</w:t>
            </w:r>
          </w:p>
        </w:tc>
      </w:tr>
      <w:tr w:rsidR="00C0030A" w:rsidRPr="00C0030A" w14:paraId="3C0FD0E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1766993" w14:textId="77777777" w:rsidR="00C0030A" w:rsidRPr="00C0030A" w:rsidRDefault="00C0030A" w:rsidP="00C0030A">
            <w:pPr>
              <w:pStyle w:val="tabletext"/>
              <w:rPr>
                <w:lang w:val="en-US" w:eastAsia="en-US"/>
              </w:rPr>
            </w:pPr>
            <w:r w:rsidRPr="00C0030A">
              <w:rPr>
                <w:lang w:val="en-US" w:eastAsia="en-US"/>
              </w:rPr>
              <w:t>535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BD0259" w14:textId="77777777" w:rsidR="00C0030A" w:rsidRPr="00C0030A" w:rsidRDefault="00C0030A" w:rsidP="00C0030A">
            <w:pPr>
              <w:pStyle w:val="tabletext"/>
              <w:rPr>
                <w:lang w:val="en-US" w:eastAsia="en-US"/>
              </w:rPr>
            </w:pPr>
            <w:r w:rsidRPr="00C0030A">
              <w:rPr>
                <w:lang w:val="en-US" w:eastAsia="en-US"/>
              </w:rPr>
              <w:t>Paragraph 40</w:t>
            </w:r>
            <w:r w:rsidRPr="00C0030A">
              <w:rPr>
                <w:lang w:val="en-US" w:eastAsia="en-US"/>
              </w:rPr>
              <w:noBreakHyphen/>
              <w:t>10(2)(a) of Schedule 2</w:t>
            </w:r>
          </w:p>
        </w:tc>
      </w:tr>
      <w:tr w:rsidR="00C0030A" w:rsidRPr="00C0030A" w14:paraId="2C3D9A2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5CEB73D" w14:textId="77777777" w:rsidR="00C0030A" w:rsidRPr="00C0030A" w:rsidRDefault="00C0030A" w:rsidP="00C0030A">
            <w:pPr>
              <w:pStyle w:val="tabletext"/>
              <w:rPr>
                <w:lang w:val="en-US" w:eastAsia="en-US"/>
              </w:rPr>
            </w:pPr>
            <w:r w:rsidRPr="00C0030A">
              <w:rPr>
                <w:lang w:val="en-US" w:eastAsia="en-US"/>
              </w:rPr>
              <w:t>536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588045" w14:textId="77777777" w:rsidR="00C0030A" w:rsidRPr="00C0030A" w:rsidRDefault="00C0030A" w:rsidP="00C0030A">
            <w:pPr>
              <w:pStyle w:val="tabletext"/>
              <w:rPr>
                <w:lang w:val="en-US" w:eastAsia="en-US"/>
              </w:rPr>
            </w:pPr>
            <w:r w:rsidRPr="00C0030A">
              <w:rPr>
                <w:lang w:val="en-US" w:eastAsia="en-US"/>
              </w:rPr>
              <w:t>Paragraph 40</w:t>
            </w:r>
            <w:r w:rsidRPr="00C0030A">
              <w:rPr>
                <w:lang w:val="en-US" w:eastAsia="en-US"/>
              </w:rPr>
              <w:noBreakHyphen/>
              <w:t>15(6)(a) of Schedule 2</w:t>
            </w:r>
          </w:p>
        </w:tc>
      </w:tr>
      <w:tr w:rsidR="00C0030A" w:rsidRPr="00C0030A" w14:paraId="2A2FB27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24EAD44" w14:textId="77777777" w:rsidR="00C0030A" w:rsidRPr="00C0030A" w:rsidRDefault="00C0030A" w:rsidP="00C0030A">
            <w:pPr>
              <w:pStyle w:val="tabletext"/>
              <w:rPr>
                <w:lang w:val="en-US" w:eastAsia="en-US"/>
              </w:rPr>
            </w:pPr>
            <w:r w:rsidRPr="00C0030A">
              <w:rPr>
                <w:lang w:val="en-US" w:eastAsia="en-US"/>
              </w:rPr>
              <w:lastRenderedPageBreak/>
              <w:t>537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F59FC45" w14:textId="77777777" w:rsidR="00C0030A" w:rsidRPr="00C0030A" w:rsidRDefault="00C0030A" w:rsidP="00C0030A">
            <w:pPr>
              <w:pStyle w:val="tabletext"/>
              <w:rPr>
                <w:lang w:val="en-US" w:eastAsia="en-US"/>
              </w:rPr>
            </w:pPr>
            <w:r w:rsidRPr="00C0030A">
              <w:rPr>
                <w:lang w:val="en-US" w:eastAsia="en-US"/>
              </w:rPr>
              <w:t>Subsection 40</w:t>
            </w:r>
            <w:r w:rsidRPr="00C0030A">
              <w:rPr>
                <w:lang w:val="en-US" w:eastAsia="en-US"/>
              </w:rPr>
              <w:noBreakHyphen/>
              <w:t>15(7) of Schedule 2</w:t>
            </w:r>
          </w:p>
        </w:tc>
      </w:tr>
      <w:tr w:rsidR="00C0030A" w:rsidRPr="00C0030A" w14:paraId="3D799FF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2DF53EF" w14:textId="77777777" w:rsidR="00C0030A" w:rsidRPr="00C0030A" w:rsidRDefault="00C0030A" w:rsidP="00C0030A">
            <w:pPr>
              <w:pStyle w:val="tabletext"/>
              <w:rPr>
                <w:lang w:val="en-US" w:eastAsia="en-US"/>
              </w:rPr>
            </w:pPr>
            <w:r w:rsidRPr="00C0030A">
              <w:rPr>
                <w:lang w:val="en-US" w:eastAsia="en-US"/>
              </w:rPr>
              <w:t>538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CA3A83A" w14:textId="77777777" w:rsidR="00C0030A" w:rsidRPr="00C0030A" w:rsidRDefault="00C0030A" w:rsidP="00C0030A">
            <w:pPr>
              <w:pStyle w:val="tabletext"/>
              <w:rPr>
                <w:lang w:val="en-US" w:eastAsia="en-US"/>
              </w:rPr>
            </w:pPr>
            <w:r w:rsidRPr="00C0030A">
              <w:rPr>
                <w:lang w:val="en-US" w:eastAsia="en-US"/>
              </w:rPr>
              <w:t>After subsection 40</w:t>
            </w:r>
            <w:r w:rsidRPr="00C0030A">
              <w:rPr>
                <w:lang w:val="en-US" w:eastAsia="en-US"/>
              </w:rPr>
              <w:noBreakHyphen/>
              <w:t>35(3) of Schedule 2</w:t>
            </w:r>
          </w:p>
        </w:tc>
      </w:tr>
      <w:tr w:rsidR="00C0030A" w:rsidRPr="00C0030A" w14:paraId="02ADA1D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FA06D0" w14:textId="77777777" w:rsidR="00C0030A" w:rsidRPr="00C0030A" w:rsidRDefault="00C0030A" w:rsidP="00C0030A">
            <w:pPr>
              <w:pStyle w:val="tabletext"/>
              <w:rPr>
                <w:lang w:val="en-US" w:eastAsia="en-US"/>
              </w:rPr>
            </w:pPr>
            <w:r w:rsidRPr="00C0030A">
              <w:rPr>
                <w:lang w:val="en-US" w:eastAsia="en-US"/>
              </w:rPr>
              <w:t>539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BE45C16" w14:textId="77777777" w:rsidR="00C0030A" w:rsidRPr="00C0030A" w:rsidRDefault="00C0030A" w:rsidP="00C0030A">
            <w:pPr>
              <w:pStyle w:val="tabletext"/>
              <w:rPr>
                <w:lang w:val="en-US" w:eastAsia="en-US"/>
              </w:rPr>
            </w:pPr>
            <w:r w:rsidRPr="00C0030A">
              <w:rPr>
                <w:lang w:val="en-US" w:eastAsia="en-US"/>
              </w:rPr>
              <w:t>Subsection 40</w:t>
            </w:r>
            <w:r w:rsidRPr="00C0030A">
              <w:rPr>
                <w:lang w:val="en-US" w:eastAsia="en-US"/>
              </w:rPr>
              <w:noBreakHyphen/>
              <w:t>35(4) (heading) of Schedule 2</w:t>
            </w:r>
          </w:p>
        </w:tc>
      </w:tr>
      <w:tr w:rsidR="00C0030A" w:rsidRPr="00C0030A" w14:paraId="5C20090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A278E73" w14:textId="77777777" w:rsidR="00C0030A" w:rsidRPr="00C0030A" w:rsidRDefault="00C0030A" w:rsidP="00C0030A">
            <w:pPr>
              <w:pStyle w:val="tabletext"/>
              <w:rPr>
                <w:lang w:val="en-US" w:eastAsia="en-US"/>
              </w:rPr>
            </w:pPr>
            <w:r w:rsidRPr="00C0030A">
              <w:rPr>
                <w:lang w:val="en-US" w:eastAsia="en-US"/>
              </w:rPr>
              <w:t>540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A90B296" w14:textId="77777777" w:rsidR="00C0030A" w:rsidRPr="00C0030A" w:rsidRDefault="00C0030A" w:rsidP="00C0030A">
            <w:pPr>
              <w:pStyle w:val="tabletext"/>
              <w:rPr>
                <w:lang w:val="en-US" w:eastAsia="en-US"/>
              </w:rPr>
            </w:pPr>
            <w:r w:rsidRPr="00C0030A">
              <w:rPr>
                <w:lang w:val="en-US" w:eastAsia="en-US"/>
              </w:rPr>
              <w:t>Subsection 40</w:t>
            </w:r>
            <w:r w:rsidRPr="00C0030A">
              <w:rPr>
                <w:lang w:val="en-US" w:eastAsia="en-US"/>
              </w:rPr>
              <w:noBreakHyphen/>
              <w:t>35(4) of Schedule 2</w:t>
            </w:r>
          </w:p>
        </w:tc>
      </w:tr>
      <w:tr w:rsidR="00C0030A" w:rsidRPr="00C0030A" w14:paraId="152F684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407E20E" w14:textId="77777777" w:rsidR="00C0030A" w:rsidRPr="00C0030A" w:rsidRDefault="00C0030A" w:rsidP="00C0030A">
            <w:pPr>
              <w:pStyle w:val="tabletext"/>
              <w:rPr>
                <w:lang w:val="en-US" w:eastAsia="en-US"/>
              </w:rPr>
            </w:pPr>
            <w:r w:rsidRPr="00C0030A">
              <w:rPr>
                <w:lang w:val="en-US" w:eastAsia="en-US"/>
              </w:rPr>
              <w:t>541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D7824FA" w14:textId="77777777" w:rsidR="00C0030A" w:rsidRPr="00C0030A" w:rsidRDefault="00C0030A" w:rsidP="00C0030A">
            <w:pPr>
              <w:pStyle w:val="tabletext"/>
              <w:rPr>
                <w:lang w:val="en-US" w:eastAsia="en-US"/>
              </w:rPr>
            </w:pPr>
            <w:r w:rsidRPr="00C0030A">
              <w:rPr>
                <w:lang w:val="en-US" w:eastAsia="en-US"/>
              </w:rPr>
              <w:t>At the end of subsection 40</w:t>
            </w:r>
            <w:r w:rsidRPr="00C0030A">
              <w:rPr>
                <w:lang w:val="en-US" w:eastAsia="en-US"/>
              </w:rPr>
              <w:noBreakHyphen/>
              <w:t>55(1) of Schedule 2</w:t>
            </w:r>
          </w:p>
        </w:tc>
      </w:tr>
      <w:tr w:rsidR="00C0030A" w:rsidRPr="00C0030A" w14:paraId="485844A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6BF72DC" w14:textId="77777777" w:rsidR="00C0030A" w:rsidRPr="00C0030A" w:rsidRDefault="00C0030A" w:rsidP="00C0030A">
            <w:pPr>
              <w:pStyle w:val="tabletext"/>
              <w:rPr>
                <w:lang w:val="en-US" w:eastAsia="en-US"/>
              </w:rPr>
            </w:pPr>
            <w:r w:rsidRPr="00C0030A">
              <w:rPr>
                <w:lang w:val="en-US" w:eastAsia="en-US"/>
              </w:rPr>
              <w:t>542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9A63552" w14:textId="77777777" w:rsidR="00C0030A" w:rsidRPr="00C0030A" w:rsidRDefault="00C0030A" w:rsidP="00C0030A">
            <w:pPr>
              <w:pStyle w:val="tabletext"/>
              <w:rPr>
                <w:lang w:val="en-US" w:eastAsia="en-US"/>
              </w:rPr>
            </w:pPr>
            <w:r w:rsidRPr="00C0030A">
              <w:rPr>
                <w:lang w:val="en-US" w:eastAsia="en-US"/>
              </w:rPr>
              <w:t>Section 40</w:t>
            </w:r>
            <w:r w:rsidRPr="00C0030A">
              <w:rPr>
                <w:lang w:val="en-US" w:eastAsia="en-US"/>
              </w:rPr>
              <w:noBreakHyphen/>
              <w:t>60 of Schedule 2</w:t>
            </w:r>
          </w:p>
        </w:tc>
      </w:tr>
      <w:tr w:rsidR="00C0030A" w:rsidRPr="00C0030A" w14:paraId="4AEE342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4DDD61" w14:textId="77777777" w:rsidR="00C0030A" w:rsidRPr="00C0030A" w:rsidRDefault="00C0030A" w:rsidP="00C0030A">
            <w:pPr>
              <w:pStyle w:val="tabletext"/>
              <w:rPr>
                <w:lang w:val="en-US" w:eastAsia="en-US"/>
              </w:rPr>
            </w:pPr>
            <w:r w:rsidRPr="00C0030A">
              <w:rPr>
                <w:lang w:val="en-US" w:eastAsia="en-US"/>
              </w:rPr>
              <w:t>543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F32CCF9" w14:textId="77777777" w:rsidR="00C0030A" w:rsidRPr="00C0030A" w:rsidRDefault="00C0030A" w:rsidP="00C0030A">
            <w:pPr>
              <w:pStyle w:val="tabletext"/>
              <w:rPr>
                <w:lang w:val="en-US" w:eastAsia="en-US"/>
              </w:rPr>
            </w:pPr>
            <w:r w:rsidRPr="00C0030A">
              <w:rPr>
                <w:lang w:val="en-US" w:eastAsia="en-US"/>
              </w:rPr>
              <w:t>Section 40</w:t>
            </w:r>
            <w:r w:rsidRPr="00C0030A">
              <w:rPr>
                <w:lang w:val="en-US" w:eastAsia="en-US"/>
              </w:rPr>
              <w:noBreakHyphen/>
              <w:t>65 of Schedule 2</w:t>
            </w:r>
          </w:p>
        </w:tc>
      </w:tr>
      <w:tr w:rsidR="00C0030A" w:rsidRPr="00C0030A" w14:paraId="56402A0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F540294" w14:textId="77777777" w:rsidR="00C0030A" w:rsidRPr="00C0030A" w:rsidRDefault="00C0030A" w:rsidP="00C0030A">
            <w:pPr>
              <w:pStyle w:val="tabletext"/>
              <w:rPr>
                <w:lang w:val="en-US" w:eastAsia="en-US"/>
              </w:rPr>
            </w:pPr>
            <w:r w:rsidRPr="00C0030A">
              <w:rPr>
                <w:lang w:val="en-US" w:eastAsia="en-US"/>
              </w:rPr>
              <w:t>544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4F3C101" w14:textId="77777777" w:rsidR="00C0030A" w:rsidRPr="00C0030A" w:rsidRDefault="00C0030A" w:rsidP="00C0030A">
            <w:pPr>
              <w:pStyle w:val="tabletext"/>
              <w:rPr>
                <w:lang w:val="en-US" w:eastAsia="en-US"/>
              </w:rPr>
            </w:pPr>
            <w:r w:rsidRPr="00C0030A">
              <w:rPr>
                <w:lang w:val="en-US" w:eastAsia="en-US"/>
              </w:rPr>
              <w:t>Subparagraph 50</w:t>
            </w:r>
            <w:r w:rsidRPr="00C0030A">
              <w:rPr>
                <w:lang w:val="en-US" w:eastAsia="en-US"/>
              </w:rPr>
              <w:noBreakHyphen/>
              <w:t>35(2)(b)(v) of Schedule 2</w:t>
            </w:r>
          </w:p>
        </w:tc>
      </w:tr>
      <w:tr w:rsidR="00C0030A" w:rsidRPr="00C0030A" w14:paraId="5214004A"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698AF72" w14:textId="77777777" w:rsidR="00C0030A" w:rsidRPr="00C0030A" w:rsidRDefault="00C0030A" w:rsidP="00C0030A">
            <w:pPr>
              <w:pStyle w:val="tabletext"/>
              <w:rPr>
                <w:lang w:val="en-US" w:eastAsia="en-US"/>
              </w:rPr>
            </w:pPr>
            <w:r w:rsidRPr="00C0030A">
              <w:rPr>
                <w:lang w:val="en-US" w:eastAsia="en-US"/>
              </w:rPr>
              <w:t>545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A8F9A01" w14:textId="77777777" w:rsidR="00C0030A" w:rsidRPr="00C0030A" w:rsidRDefault="00C0030A" w:rsidP="00C0030A">
            <w:pPr>
              <w:pStyle w:val="tabletext"/>
              <w:rPr>
                <w:lang w:val="en-US" w:eastAsia="en-US"/>
              </w:rPr>
            </w:pPr>
            <w:r w:rsidRPr="00C0030A">
              <w:rPr>
                <w:lang w:val="en-US" w:eastAsia="en-US"/>
              </w:rPr>
              <w:t>Section 55</w:t>
            </w:r>
            <w:r w:rsidRPr="00C0030A">
              <w:rPr>
                <w:lang w:val="en-US" w:eastAsia="en-US"/>
              </w:rPr>
              <w:noBreakHyphen/>
              <w:t>1 of Schedule 2</w:t>
            </w:r>
          </w:p>
        </w:tc>
      </w:tr>
      <w:tr w:rsidR="00C0030A" w:rsidRPr="00C0030A" w14:paraId="02B07CBD"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45BEE3F" w14:textId="77777777" w:rsidR="00C0030A" w:rsidRPr="00C0030A" w:rsidRDefault="00C0030A" w:rsidP="00C0030A">
            <w:pPr>
              <w:pStyle w:val="tabletext"/>
              <w:rPr>
                <w:lang w:val="en-US" w:eastAsia="en-US"/>
              </w:rPr>
            </w:pPr>
            <w:r w:rsidRPr="00C0030A">
              <w:rPr>
                <w:lang w:val="en-US" w:eastAsia="en-US"/>
              </w:rPr>
              <w:t>546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5CFDF26" w14:textId="77777777" w:rsidR="00C0030A" w:rsidRPr="00C0030A" w:rsidRDefault="00C0030A" w:rsidP="00C0030A">
            <w:pPr>
              <w:pStyle w:val="tabletext"/>
              <w:rPr>
                <w:lang w:val="en-US" w:eastAsia="en-US"/>
              </w:rPr>
            </w:pPr>
            <w:r w:rsidRPr="00C0030A">
              <w:rPr>
                <w:lang w:val="en-US" w:eastAsia="en-US"/>
              </w:rPr>
              <w:t>Section 70</w:t>
            </w:r>
            <w:r w:rsidRPr="00C0030A">
              <w:rPr>
                <w:lang w:val="en-US" w:eastAsia="en-US"/>
              </w:rPr>
              <w:noBreakHyphen/>
              <w:t>1 of Schedule 2</w:t>
            </w:r>
          </w:p>
        </w:tc>
      </w:tr>
      <w:tr w:rsidR="00C0030A" w:rsidRPr="00C0030A" w14:paraId="0CD1235E"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AE2086" w14:textId="77777777" w:rsidR="00C0030A" w:rsidRPr="00C0030A" w:rsidRDefault="00C0030A" w:rsidP="00C0030A">
            <w:pPr>
              <w:pStyle w:val="tabletext"/>
              <w:rPr>
                <w:lang w:val="en-US" w:eastAsia="en-US"/>
              </w:rPr>
            </w:pPr>
            <w:r w:rsidRPr="00C0030A">
              <w:rPr>
                <w:lang w:val="en-US" w:eastAsia="en-US"/>
              </w:rPr>
              <w:t>547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E22818E" w14:textId="77777777" w:rsidR="00C0030A" w:rsidRPr="00C0030A" w:rsidRDefault="00C0030A" w:rsidP="00C0030A">
            <w:pPr>
              <w:pStyle w:val="tabletext"/>
              <w:rPr>
                <w:lang w:val="en-US" w:eastAsia="en-US"/>
              </w:rPr>
            </w:pPr>
            <w:r w:rsidRPr="00C0030A">
              <w:rPr>
                <w:lang w:val="en-US" w:eastAsia="en-US"/>
              </w:rPr>
              <w:t>Subsection 70</w:t>
            </w:r>
            <w:r w:rsidRPr="00C0030A">
              <w:rPr>
                <w:lang w:val="en-US" w:eastAsia="en-US"/>
              </w:rPr>
              <w:noBreakHyphen/>
              <w:t>5(2) of Schedule 2 (note)</w:t>
            </w:r>
          </w:p>
        </w:tc>
      </w:tr>
      <w:tr w:rsidR="00C0030A" w:rsidRPr="00C0030A" w14:paraId="06D4CFB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468D83" w14:textId="77777777" w:rsidR="00C0030A" w:rsidRPr="00C0030A" w:rsidRDefault="00C0030A" w:rsidP="00C0030A">
            <w:pPr>
              <w:pStyle w:val="tabletext"/>
              <w:rPr>
                <w:lang w:val="en-US" w:eastAsia="en-US"/>
              </w:rPr>
            </w:pPr>
            <w:r w:rsidRPr="00C0030A">
              <w:rPr>
                <w:lang w:val="en-US" w:eastAsia="en-US"/>
              </w:rPr>
              <w:t>548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3AFB58F" w14:textId="77777777" w:rsidR="00C0030A" w:rsidRPr="00C0030A" w:rsidRDefault="00C0030A" w:rsidP="00C0030A">
            <w:pPr>
              <w:pStyle w:val="tabletext"/>
              <w:rPr>
                <w:lang w:val="en-US" w:eastAsia="en-US"/>
              </w:rPr>
            </w:pPr>
            <w:r w:rsidRPr="00C0030A">
              <w:rPr>
                <w:lang w:val="en-US" w:eastAsia="en-US"/>
              </w:rPr>
              <w:t>Subsection 70</w:t>
            </w:r>
            <w:r w:rsidRPr="00C0030A">
              <w:rPr>
                <w:lang w:val="en-US" w:eastAsia="en-US"/>
              </w:rPr>
              <w:noBreakHyphen/>
              <w:t>5(3) of Schedule 2</w:t>
            </w:r>
          </w:p>
        </w:tc>
      </w:tr>
      <w:tr w:rsidR="00C0030A" w:rsidRPr="00C0030A" w14:paraId="4C8B7D09"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D30A19A" w14:textId="77777777" w:rsidR="00C0030A" w:rsidRPr="00C0030A" w:rsidRDefault="00C0030A" w:rsidP="00C0030A">
            <w:pPr>
              <w:pStyle w:val="tabletext"/>
              <w:rPr>
                <w:lang w:val="en-US" w:eastAsia="en-US"/>
              </w:rPr>
            </w:pPr>
            <w:r w:rsidRPr="00C0030A">
              <w:rPr>
                <w:lang w:val="en-US" w:eastAsia="en-US"/>
              </w:rPr>
              <w:t>550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DB464CA" w14:textId="77777777" w:rsidR="00C0030A" w:rsidRPr="00C0030A" w:rsidRDefault="00C0030A" w:rsidP="00C0030A">
            <w:pPr>
              <w:pStyle w:val="tabletext"/>
              <w:rPr>
                <w:lang w:val="en-US" w:eastAsia="en-US"/>
              </w:rPr>
            </w:pPr>
            <w:r w:rsidRPr="00C0030A">
              <w:rPr>
                <w:lang w:val="en-US" w:eastAsia="en-US"/>
              </w:rPr>
              <w:t>Paragraph 70</w:t>
            </w:r>
            <w:r w:rsidRPr="00C0030A">
              <w:rPr>
                <w:lang w:val="en-US" w:eastAsia="en-US"/>
              </w:rPr>
              <w:noBreakHyphen/>
              <w:t>5(4)(b) of Schedule 2</w:t>
            </w:r>
          </w:p>
        </w:tc>
      </w:tr>
      <w:tr w:rsidR="00C0030A" w:rsidRPr="00C0030A" w14:paraId="1AF30E4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E48B271" w14:textId="77777777" w:rsidR="00C0030A" w:rsidRPr="00C0030A" w:rsidRDefault="00C0030A" w:rsidP="00C0030A">
            <w:pPr>
              <w:pStyle w:val="tabletext"/>
              <w:rPr>
                <w:lang w:val="en-US" w:eastAsia="en-US"/>
              </w:rPr>
            </w:pPr>
            <w:r w:rsidRPr="00C0030A">
              <w:rPr>
                <w:lang w:val="en-US" w:eastAsia="en-US"/>
              </w:rPr>
              <w:t>551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5F2494D" w14:textId="77777777" w:rsidR="00C0030A" w:rsidRPr="00C0030A" w:rsidRDefault="00C0030A" w:rsidP="00C0030A">
            <w:pPr>
              <w:pStyle w:val="tabletext"/>
              <w:rPr>
                <w:lang w:val="en-US" w:eastAsia="en-US"/>
              </w:rPr>
            </w:pPr>
            <w:r w:rsidRPr="00C0030A">
              <w:rPr>
                <w:lang w:val="en-US" w:eastAsia="en-US"/>
              </w:rPr>
              <w:t>Subsection 70</w:t>
            </w:r>
            <w:r w:rsidRPr="00C0030A">
              <w:rPr>
                <w:lang w:val="en-US" w:eastAsia="en-US"/>
              </w:rPr>
              <w:noBreakHyphen/>
              <w:t>5(6) of Schedule 2</w:t>
            </w:r>
          </w:p>
        </w:tc>
      </w:tr>
      <w:tr w:rsidR="00C0030A" w:rsidRPr="00C0030A" w14:paraId="374AED1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9778491" w14:textId="77777777" w:rsidR="00C0030A" w:rsidRPr="00C0030A" w:rsidRDefault="00C0030A" w:rsidP="00C0030A">
            <w:pPr>
              <w:pStyle w:val="tabletext"/>
              <w:rPr>
                <w:lang w:val="en-US" w:eastAsia="en-US"/>
              </w:rPr>
            </w:pPr>
            <w:r w:rsidRPr="00C0030A">
              <w:rPr>
                <w:lang w:val="en-US" w:eastAsia="en-US"/>
              </w:rPr>
              <w:t>552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925B984" w14:textId="77777777" w:rsidR="00C0030A" w:rsidRPr="00C0030A" w:rsidRDefault="00C0030A" w:rsidP="00C0030A">
            <w:pPr>
              <w:pStyle w:val="tabletext"/>
              <w:rPr>
                <w:lang w:val="en-US" w:eastAsia="en-US"/>
              </w:rPr>
            </w:pPr>
            <w:r w:rsidRPr="00C0030A">
              <w:rPr>
                <w:lang w:val="en-US" w:eastAsia="en-US"/>
              </w:rPr>
              <w:t>Subsection 70</w:t>
            </w:r>
            <w:r w:rsidRPr="00C0030A">
              <w:rPr>
                <w:lang w:val="en-US" w:eastAsia="en-US"/>
              </w:rPr>
              <w:noBreakHyphen/>
              <w:t>6(2) of Schedule 2</w:t>
            </w:r>
          </w:p>
        </w:tc>
      </w:tr>
      <w:tr w:rsidR="00C0030A" w:rsidRPr="00C0030A" w14:paraId="34DECBE2"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07794F4" w14:textId="77777777" w:rsidR="00C0030A" w:rsidRPr="00C0030A" w:rsidRDefault="00C0030A" w:rsidP="00C0030A">
            <w:pPr>
              <w:pStyle w:val="tabletext"/>
              <w:rPr>
                <w:lang w:val="en-US" w:eastAsia="en-US"/>
              </w:rPr>
            </w:pPr>
            <w:r w:rsidRPr="00C0030A">
              <w:rPr>
                <w:lang w:val="en-US" w:eastAsia="en-US"/>
              </w:rPr>
              <w:t>554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69A348D" w14:textId="77777777" w:rsidR="00C0030A" w:rsidRPr="00C0030A" w:rsidRDefault="00C0030A" w:rsidP="00C0030A">
            <w:pPr>
              <w:pStyle w:val="tabletext"/>
              <w:rPr>
                <w:lang w:val="en-US" w:eastAsia="en-US"/>
              </w:rPr>
            </w:pPr>
            <w:r w:rsidRPr="00C0030A">
              <w:rPr>
                <w:lang w:val="en-US" w:eastAsia="en-US"/>
              </w:rPr>
              <w:t>Paragraph 70</w:t>
            </w:r>
            <w:r w:rsidRPr="00C0030A">
              <w:rPr>
                <w:lang w:val="en-US" w:eastAsia="en-US"/>
              </w:rPr>
              <w:noBreakHyphen/>
              <w:t>6(3)(b) of Schedule 2</w:t>
            </w:r>
          </w:p>
        </w:tc>
      </w:tr>
      <w:tr w:rsidR="00C0030A" w:rsidRPr="00C0030A" w14:paraId="4AABE30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2405B97" w14:textId="77777777" w:rsidR="00C0030A" w:rsidRPr="00C0030A" w:rsidRDefault="00C0030A" w:rsidP="00C0030A">
            <w:pPr>
              <w:pStyle w:val="tabletext"/>
              <w:rPr>
                <w:lang w:val="en-US" w:eastAsia="en-US"/>
              </w:rPr>
            </w:pPr>
            <w:r w:rsidRPr="00C0030A">
              <w:rPr>
                <w:lang w:val="en-US" w:eastAsia="en-US"/>
              </w:rPr>
              <w:t>555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A069C6D" w14:textId="77777777" w:rsidR="00C0030A" w:rsidRPr="00C0030A" w:rsidRDefault="00C0030A" w:rsidP="00C0030A">
            <w:pPr>
              <w:pStyle w:val="tabletext"/>
              <w:rPr>
                <w:lang w:val="en-US" w:eastAsia="en-US"/>
              </w:rPr>
            </w:pPr>
            <w:r w:rsidRPr="00C0030A">
              <w:rPr>
                <w:lang w:val="en-US" w:eastAsia="en-US"/>
              </w:rPr>
              <w:t>Subsection 70</w:t>
            </w:r>
            <w:r w:rsidRPr="00C0030A">
              <w:rPr>
                <w:lang w:val="en-US" w:eastAsia="en-US"/>
              </w:rPr>
              <w:noBreakHyphen/>
              <w:t>6(3) of Schedule 2 (note 2)</w:t>
            </w:r>
          </w:p>
        </w:tc>
      </w:tr>
      <w:tr w:rsidR="00C0030A" w:rsidRPr="00C0030A" w14:paraId="7963A944"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F307C4C" w14:textId="77777777" w:rsidR="00C0030A" w:rsidRPr="00C0030A" w:rsidRDefault="00C0030A" w:rsidP="00C0030A">
            <w:pPr>
              <w:pStyle w:val="tabletext"/>
              <w:rPr>
                <w:lang w:val="en-US" w:eastAsia="en-US"/>
              </w:rPr>
            </w:pPr>
            <w:r w:rsidRPr="00C0030A">
              <w:rPr>
                <w:lang w:val="en-US" w:eastAsia="en-US"/>
              </w:rPr>
              <w:t>556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21D4EC5" w14:textId="77777777" w:rsidR="00C0030A" w:rsidRPr="00C0030A" w:rsidRDefault="00C0030A" w:rsidP="00C0030A">
            <w:pPr>
              <w:pStyle w:val="tabletext"/>
              <w:rPr>
                <w:lang w:val="en-US" w:eastAsia="en-US"/>
              </w:rPr>
            </w:pPr>
            <w:r w:rsidRPr="00C0030A">
              <w:rPr>
                <w:lang w:val="en-US" w:eastAsia="en-US"/>
              </w:rPr>
              <w:t>Subsection 70</w:t>
            </w:r>
            <w:r w:rsidRPr="00C0030A">
              <w:rPr>
                <w:lang w:val="en-US" w:eastAsia="en-US"/>
              </w:rPr>
              <w:noBreakHyphen/>
              <w:t>6(4) of Schedule 2</w:t>
            </w:r>
          </w:p>
        </w:tc>
      </w:tr>
      <w:tr w:rsidR="00C0030A" w:rsidRPr="00C0030A" w14:paraId="694645D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617D66" w14:textId="77777777" w:rsidR="00C0030A" w:rsidRPr="00C0030A" w:rsidRDefault="00C0030A" w:rsidP="00C0030A">
            <w:pPr>
              <w:pStyle w:val="tabletext"/>
              <w:rPr>
                <w:lang w:val="en-US" w:eastAsia="en-US"/>
              </w:rPr>
            </w:pPr>
            <w:r w:rsidRPr="00C0030A">
              <w:rPr>
                <w:lang w:val="en-US" w:eastAsia="en-US"/>
              </w:rPr>
              <w:t>557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A14C13E" w14:textId="77777777" w:rsidR="00C0030A" w:rsidRPr="00C0030A" w:rsidRDefault="00C0030A" w:rsidP="00C0030A">
            <w:pPr>
              <w:pStyle w:val="tabletext"/>
              <w:rPr>
                <w:lang w:val="en-US" w:eastAsia="en-US"/>
              </w:rPr>
            </w:pPr>
            <w:r w:rsidRPr="00C0030A">
              <w:rPr>
                <w:lang w:val="en-US" w:eastAsia="en-US"/>
              </w:rPr>
              <w:t>Subdivision F of Division 70 of Part 3 of Schedule 2 (at the end of the heading)</w:t>
            </w:r>
          </w:p>
        </w:tc>
      </w:tr>
      <w:tr w:rsidR="00C0030A" w:rsidRPr="00C0030A" w14:paraId="4926F695"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F2D6B3" w14:textId="77777777" w:rsidR="00C0030A" w:rsidRPr="00C0030A" w:rsidRDefault="00C0030A" w:rsidP="00C0030A">
            <w:pPr>
              <w:pStyle w:val="tabletext"/>
              <w:rPr>
                <w:lang w:val="en-US" w:eastAsia="en-US"/>
              </w:rPr>
            </w:pPr>
            <w:r w:rsidRPr="00C0030A">
              <w:rPr>
                <w:lang w:val="en-US" w:eastAsia="en-US"/>
              </w:rPr>
              <w:t>558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A235955" w14:textId="77777777" w:rsidR="00C0030A" w:rsidRPr="00C0030A" w:rsidRDefault="00C0030A" w:rsidP="00C0030A">
            <w:pPr>
              <w:pStyle w:val="tabletext"/>
              <w:rPr>
                <w:lang w:val="en-US" w:eastAsia="en-US"/>
              </w:rPr>
            </w:pPr>
            <w:r w:rsidRPr="00C0030A">
              <w:rPr>
                <w:lang w:val="en-US" w:eastAsia="en-US"/>
              </w:rPr>
              <w:t>Section 70</w:t>
            </w:r>
            <w:r w:rsidRPr="00C0030A">
              <w:rPr>
                <w:lang w:val="en-US" w:eastAsia="en-US"/>
              </w:rPr>
              <w:noBreakHyphen/>
              <w:t>60 of Schedule 2 (at the end of the heading)</w:t>
            </w:r>
          </w:p>
        </w:tc>
      </w:tr>
      <w:tr w:rsidR="00C0030A" w:rsidRPr="00C0030A" w14:paraId="72F9039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6CE90C3" w14:textId="77777777" w:rsidR="00C0030A" w:rsidRPr="00C0030A" w:rsidRDefault="00C0030A" w:rsidP="00C0030A">
            <w:pPr>
              <w:pStyle w:val="tabletext"/>
              <w:rPr>
                <w:lang w:val="en-US" w:eastAsia="en-US"/>
              </w:rPr>
            </w:pPr>
            <w:r w:rsidRPr="00C0030A">
              <w:rPr>
                <w:lang w:val="en-US" w:eastAsia="en-US"/>
              </w:rPr>
              <w:t>559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D94727C" w14:textId="77777777" w:rsidR="00C0030A" w:rsidRPr="00C0030A" w:rsidRDefault="00C0030A" w:rsidP="00C0030A">
            <w:pPr>
              <w:pStyle w:val="tabletext"/>
              <w:rPr>
                <w:lang w:val="en-US" w:eastAsia="en-US"/>
              </w:rPr>
            </w:pPr>
            <w:r w:rsidRPr="00C0030A">
              <w:rPr>
                <w:lang w:val="en-US" w:eastAsia="en-US"/>
              </w:rPr>
              <w:t>At the end of subsection 70</w:t>
            </w:r>
            <w:r w:rsidRPr="00C0030A">
              <w:rPr>
                <w:lang w:val="en-US" w:eastAsia="en-US"/>
              </w:rPr>
              <w:noBreakHyphen/>
              <w:t>60(1) of Schedule 2</w:t>
            </w:r>
          </w:p>
        </w:tc>
      </w:tr>
      <w:tr w:rsidR="00C0030A" w:rsidRPr="00C0030A" w14:paraId="2BC7AD6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60BC47F" w14:textId="77777777" w:rsidR="00C0030A" w:rsidRPr="00C0030A" w:rsidRDefault="00C0030A" w:rsidP="00C0030A">
            <w:pPr>
              <w:pStyle w:val="tabletext"/>
              <w:rPr>
                <w:lang w:val="en-US" w:eastAsia="en-US"/>
              </w:rPr>
            </w:pPr>
            <w:r w:rsidRPr="00C0030A">
              <w:rPr>
                <w:lang w:val="en-US" w:eastAsia="en-US"/>
              </w:rPr>
              <w:t>560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7E13BB" w14:textId="77777777" w:rsidR="00C0030A" w:rsidRPr="00C0030A" w:rsidRDefault="00C0030A" w:rsidP="00C0030A">
            <w:pPr>
              <w:pStyle w:val="tabletext"/>
              <w:rPr>
                <w:lang w:val="en-US" w:eastAsia="en-US"/>
              </w:rPr>
            </w:pPr>
            <w:r w:rsidRPr="00C0030A">
              <w:rPr>
                <w:lang w:val="en-US" w:eastAsia="en-US"/>
              </w:rPr>
              <w:t>Paragraphs 70</w:t>
            </w:r>
            <w:r w:rsidRPr="00C0030A">
              <w:rPr>
                <w:lang w:val="en-US" w:eastAsia="en-US"/>
              </w:rPr>
              <w:noBreakHyphen/>
              <w:t>60(2)(a) and (b) of Schedule 2</w:t>
            </w:r>
          </w:p>
        </w:tc>
      </w:tr>
      <w:tr w:rsidR="00C0030A" w:rsidRPr="00C0030A" w14:paraId="038298B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652F772" w14:textId="77777777" w:rsidR="00C0030A" w:rsidRPr="00C0030A" w:rsidRDefault="00C0030A" w:rsidP="00C0030A">
            <w:pPr>
              <w:pStyle w:val="tabletext"/>
              <w:rPr>
                <w:lang w:val="en-US" w:eastAsia="en-US"/>
              </w:rPr>
            </w:pPr>
            <w:r w:rsidRPr="00C0030A">
              <w:rPr>
                <w:lang w:val="en-US" w:eastAsia="en-US"/>
              </w:rPr>
              <w:t>561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7EB9366" w14:textId="77777777" w:rsidR="00C0030A" w:rsidRPr="00C0030A" w:rsidRDefault="00C0030A" w:rsidP="00C0030A">
            <w:pPr>
              <w:pStyle w:val="tabletext"/>
              <w:rPr>
                <w:lang w:val="en-US" w:eastAsia="en-US"/>
              </w:rPr>
            </w:pPr>
            <w:r w:rsidRPr="00C0030A">
              <w:rPr>
                <w:lang w:val="en-US" w:eastAsia="en-US"/>
              </w:rPr>
              <w:t>At the end of paragraph 70</w:t>
            </w:r>
            <w:r w:rsidRPr="00C0030A">
              <w:rPr>
                <w:lang w:val="en-US" w:eastAsia="en-US"/>
              </w:rPr>
              <w:noBreakHyphen/>
              <w:t>60(2)(c) of Schedule 2</w:t>
            </w:r>
          </w:p>
        </w:tc>
      </w:tr>
      <w:tr w:rsidR="00C0030A" w:rsidRPr="00C0030A" w14:paraId="5439DD38"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2A0E42" w14:textId="77777777" w:rsidR="00C0030A" w:rsidRPr="00C0030A" w:rsidRDefault="00C0030A" w:rsidP="00C0030A">
            <w:pPr>
              <w:pStyle w:val="tabletext"/>
              <w:rPr>
                <w:lang w:val="en-US" w:eastAsia="en-US"/>
              </w:rPr>
            </w:pPr>
            <w:r w:rsidRPr="00C0030A">
              <w:rPr>
                <w:lang w:val="en-US" w:eastAsia="en-US"/>
              </w:rPr>
              <w:t>562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71C907" w14:textId="77777777" w:rsidR="00C0030A" w:rsidRPr="00C0030A" w:rsidRDefault="00C0030A" w:rsidP="00C0030A">
            <w:pPr>
              <w:pStyle w:val="tabletext"/>
              <w:rPr>
                <w:lang w:val="en-US" w:eastAsia="en-US"/>
              </w:rPr>
            </w:pPr>
            <w:r w:rsidRPr="00C0030A">
              <w:rPr>
                <w:lang w:val="en-US" w:eastAsia="en-US"/>
              </w:rPr>
              <w:t>After subsection 70</w:t>
            </w:r>
            <w:r w:rsidRPr="00C0030A">
              <w:rPr>
                <w:lang w:val="en-US" w:eastAsia="en-US"/>
              </w:rPr>
              <w:noBreakHyphen/>
              <w:t>60(2) of Schedule 2</w:t>
            </w:r>
          </w:p>
        </w:tc>
      </w:tr>
      <w:tr w:rsidR="00C0030A" w:rsidRPr="00C0030A" w14:paraId="65A22E3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E898B7" w14:textId="77777777" w:rsidR="00C0030A" w:rsidRPr="00C0030A" w:rsidRDefault="00C0030A" w:rsidP="00C0030A">
            <w:pPr>
              <w:pStyle w:val="tabletext"/>
              <w:rPr>
                <w:lang w:val="en-US" w:eastAsia="en-US"/>
              </w:rPr>
            </w:pPr>
            <w:r w:rsidRPr="00C0030A">
              <w:rPr>
                <w:lang w:val="en-US" w:eastAsia="en-US"/>
              </w:rPr>
              <w:t>563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837897C" w14:textId="77777777" w:rsidR="00C0030A" w:rsidRPr="00C0030A" w:rsidRDefault="00C0030A" w:rsidP="00C0030A">
            <w:pPr>
              <w:pStyle w:val="tabletext"/>
              <w:rPr>
                <w:lang w:val="en-US" w:eastAsia="en-US"/>
              </w:rPr>
            </w:pPr>
            <w:r w:rsidRPr="00C0030A">
              <w:rPr>
                <w:lang w:val="en-US" w:eastAsia="en-US"/>
              </w:rPr>
              <w:t>Subsection 70</w:t>
            </w:r>
            <w:r w:rsidRPr="00C0030A">
              <w:rPr>
                <w:lang w:val="en-US" w:eastAsia="en-US"/>
              </w:rPr>
              <w:noBreakHyphen/>
              <w:t>60(3) of Schedule 2 (note)</w:t>
            </w:r>
          </w:p>
        </w:tc>
      </w:tr>
      <w:tr w:rsidR="00C0030A" w:rsidRPr="00C0030A" w14:paraId="7852C79F"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9D2E6F8" w14:textId="77777777" w:rsidR="00C0030A" w:rsidRPr="00C0030A" w:rsidRDefault="00C0030A" w:rsidP="00C0030A">
            <w:pPr>
              <w:pStyle w:val="tabletext"/>
              <w:rPr>
                <w:lang w:val="en-US" w:eastAsia="en-US"/>
              </w:rPr>
            </w:pPr>
            <w:r w:rsidRPr="00C0030A">
              <w:rPr>
                <w:lang w:val="en-US" w:eastAsia="en-US"/>
              </w:rPr>
              <w:t>564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AF3716A" w14:textId="77777777" w:rsidR="00C0030A" w:rsidRPr="00C0030A" w:rsidRDefault="00C0030A" w:rsidP="00C0030A">
            <w:pPr>
              <w:pStyle w:val="tabletext"/>
              <w:rPr>
                <w:lang w:val="en-US" w:eastAsia="en-US"/>
              </w:rPr>
            </w:pPr>
            <w:proofErr w:type="spellStart"/>
            <w:r w:rsidRPr="00C0030A">
              <w:rPr>
                <w:lang w:val="en-US" w:eastAsia="en-US"/>
              </w:rPr>
              <w:t>Subclause</w:t>
            </w:r>
            <w:proofErr w:type="spellEnd"/>
            <w:r w:rsidRPr="00C0030A">
              <w:rPr>
                <w:lang w:val="en-US" w:eastAsia="en-US"/>
              </w:rPr>
              <w:t> 4(2) of Schedule 4 (heading)</w:t>
            </w:r>
          </w:p>
        </w:tc>
      </w:tr>
      <w:tr w:rsidR="00C0030A" w:rsidRPr="00C0030A" w14:paraId="319B5D8C"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AC10FFB" w14:textId="77777777" w:rsidR="00C0030A" w:rsidRPr="00C0030A" w:rsidRDefault="00C0030A" w:rsidP="00C0030A">
            <w:pPr>
              <w:pStyle w:val="tabletext"/>
              <w:rPr>
                <w:lang w:val="en-US" w:eastAsia="en-US"/>
              </w:rPr>
            </w:pPr>
            <w:r w:rsidRPr="00C0030A">
              <w:rPr>
                <w:lang w:val="en-US" w:eastAsia="en-US"/>
              </w:rPr>
              <w:t>565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B8ED557" w14:textId="77777777" w:rsidR="00C0030A" w:rsidRPr="00C0030A" w:rsidRDefault="00C0030A" w:rsidP="00C0030A">
            <w:pPr>
              <w:pStyle w:val="tabletext"/>
              <w:rPr>
                <w:lang w:val="en-US" w:eastAsia="en-US"/>
              </w:rPr>
            </w:pPr>
            <w:proofErr w:type="spellStart"/>
            <w:r w:rsidRPr="00C0030A">
              <w:rPr>
                <w:lang w:val="en-US" w:eastAsia="en-US"/>
              </w:rPr>
              <w:t>Subclause</w:t>
            </w:r>
            <w:proofErr w:type="spellEnd"/>
            <w:r w:rsidRPr="00C0030A">
              <w:rPr>
                <w:lang w:val="en-US" w:eastAsia="en-US"/>
              </w:rPr>
              <w:t> 4(2) of Schedule 4</w:t>
            </w:r>
          </w:p>
        </w:tc>
      </w:tr>
      <w:tr w:rsidR="00C0030A" w:rsidRPr="00C0030A" w14:paraId="2E8195C1"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0608FC3" w14:textId="77777777" w:rsidR="00C0030A" w:rsidRPr="00C0030A" w:rsidRDefault="00C0030A" w:rsidP="00C0030A">
            <w:pPr>
              <w:pStyle w:val="tabletext"/>
              <w:rPr>
                <w:lang w:val="en-US" w:eastAsia="en-US"/>
              </w:rPr>
            </w:pPr>
            <w:r w:rsidRPr="00C0030A">
              <w:rPr>
                <w:lang w:val="en-US" w:eastAsia="en-US"/>
              </w:rPr>
              <w:t>566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37805C2" w14:textId="77777777" w:rsidR="00C0030A" w:rsidRPr="00C0030A" w:rsidRDefault="00C0030A" w:rsidP="00C0030A">
            <w:pPr>
              <w:pStyle w:val="tabletext"/>
              <w:rPr>
                <w:lang w:val="en-US" w:eastAsia="en-US"/>
              </w:rPr>
            </w:pPr>
            <w:proofErr w:type="spellStart"/>
            <w:r w:rsidRPr="00C0030A">
              <w:rPr>
                <w:lang w:val="en-US" w:eastAsia="en-US"/>
              </w:rPr>
              <w:t>Subclause</w:t>
            </w:r>
            <w:proofErr w:type="spellEnd"/>
            <w:r w:rsidRPr="00C0030A">
              <w:rPr>
                <w:lang w:val="en-US" w:eastAsia="en-US"/>
              </w:rPr>
              <w:t> 4(2) of Schedule 4</w:t>
            </w:r>
          </w:p>
        </w:tc>
      </w:tr>
      <w:tr w:rsidR="00C0030A" w:rsidRPr="00C0030A" w14:paraId="22FACB20"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C5AE262" w14:textId="77777777" w:rsidR="00C0030A" w:rsidRPr="00C0030A" w:rsidRDefault="00C0030A" w:rsidP="00C0030A">
            <w:pPr>
              <w:pStyle w:val="tabletext"/>
              <w:rPr>
                <w:lang w:val="en-US" w:eastAsia="en-US"/>
              </w:rPr>
            </w:pPr>
            <w:r w:rsidRPr="00C0030A">
              <w:rPr>
                <w:lang w:val="en-US" w:eastAsia="en-US"/>
              </w:rPr>
              <w:t>567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5AB9835" w14:textId="77777777" w:rsidR="00C0030A" w:rsidRPr="00C0030A" w:rsidRDefault="00C0030A" w:rsidP="00C0030A">
            <w:pPr>
              <w:pStyle w:val="tabletext"/>
              <w:rPr>
                <w:lang w:val="en-US" w:eastAsia="en-US"/>
              </w:rPr>
            </w:pPr>
            <w:proofErr w:type="spellStart"/>
            <w:r w:rsidRPr="00C0030A">
              <w:rPr>
                <w:lang w:val="en-US" w:eastAsia="en-US"/>
              </w:rPr>
              <w:t>Subclause</w:t>
            </w:r>
            <w:proofErr w:type="spellEnd"/>
            <w:r w:rsidRPr="00C0030A">
              <w:rPr>
                <w:lang w:val="en-US" w:eastAsia="en-US"/>
              </w:rPr>
              <w:t> 27(2) of Schedule 4</w:t>
            </w:r>
          </w:p>
        </w:tc>
      </w:tr>
      <w:tr w:rsidR="00C0030A" w:rsidRPr="00C0030A" w14:paraId="2C99039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A4F4200" w14:textId="77777777" w:rsidR="00C0030A" w:rsidRPr="00C0030A" w:rsidRDefault="00C0030A" w:rsidP="00C0030A">
            <w:pPr>
              <w:pStyle w:val="tabletext"/>
              <w:rPr>
                <w:lang w:val="en-US" w:eastAsia="en-US"/>
              </w:rPr>
            </w:pPr>
            <w:r w:rsidRPr="00C0030A">
              <w:rPr>
                <w:lang w:val="en-US" w:eastAsia="en-US"/>
              </w:rPr>
              <w:t>569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DA3B665" w14:textId="77777777" w:rsidR="00C0030A" w:rsidRPr="00C0030A" w:rsidRDefault="00C0030A" w:rsidP="00C0030A">
            <w:pPr>
              <w:pStyle w:val="tabletext"/>
              <w:rPr>
                <w:lang w:val="en-US" w:eastAsia="en-US"/>
              </w:rPr>
            </w:pPr>
            <w:r w:rsidRPr="00C0030A">
              <w:rPr>
                <w:lang w:val="en-US" w:eastAsia="en-US"/>
              </w:rPr>
              <w:t>Subparagraph 29(4)(a)(ii) of Schedule 4</w:t>
            </w:r>
          </w:p>
        </w:tc>
      </w:tr>
      <w:tr w:rsidR="00C0030A" w:rsidRPr="00C0030A" w14:paraId="1EC52236"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52C0CA8" w14:textId="77777777" w:rsidR="00C0030A" w:rsidRPr="00C0030A" w:rsidRDefault="00C0030A" w:rsidP="00C0030A">
            <w:pPr>
              <w:pStyle w:val="tabletext"/>
              <w:rPr>
                <w:lang w:val="en-US" w:eastAsia="en-US"/>
              </w:rPr>
            </w:pPr>
            <w:r w:rsidRPr="00C0030A">
              <w:rPr>
                <w:lang w:val="en-US" w:eastAsia="en-US"/>
              </w:rPr>
              <w:t>570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5EE371E" w14:textId="77777777" w:rsidR="00C0030A" w:rsidRPr="00C0030A" w:rsidRDefault="00C0030A" w:rsidP="00C0030A">
            <w:pPr>
              <w:pStyle w:val="tabletext"/>
              <w:rPr>
                <w:lang w:val="en-US" w:eastAsia="en-US"/>
              </w:rPr>
            </w:pPr>
            <w:r w:rsidRPr="00C0030A">
              <w:rPr>
                <w:lang w:val="en-US" w:eastAsia="en-US"/>
              </w:rPr>
              <w:t>Subsection 32(1) of Schedule 4</w:t>
            </w:r>
          </w:p>
        </w:tc>
      </w:tr>
      <w:tr w:rsidR="00C0030A" w:rsidRPr="00C0030A" w14:paraId="762F7043"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BBE40D2" w14:textId="77777777" w:rsidR="00C0030A" w:rsidRPr="00C0030A" w:rsidRDefault="00C0030A" w:rsidP="00C0030A">
            <w:pPr>
              <w:pStyle w:val="tabletext"/>
              <w:rPr>
                <w:lang w:val="en-US" w:eastAsia="en-US"/>
              </w:rPr>
            </w:pPr>
            <w:r w:rsidRPr="00C0030A">
              <w:rPr>
                <w:lang w:val="en-US" w:eastAsia="en-US"/>
              </w:rPr>
              <w:t>571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C96B8B" w14:textId="77777777" w:rsidR="00C0030A" w:rsidRPr="00C0030A" w:rsidRDefault="00C0030A" w:rsidP="00C0030A">
            <w:pPr>
              <w:pStyle w:val="tabletext"/>
              <w:rPr>
                <w:lang w:val="en-US" w:eastAsia="en-US"/>
              </w:rPr>
            </w:pPr>
            <w:r w:rsidRPr="00C0030A">
              <w:rPr>
                <w:lang w:val="en-US" w:eastAsia="en-US"/>
              </w:rPr>
              <w:t>Paragraph 36(2)(d) of Schedule 4</w:t>
            </w:r>
          </w:p>
        </w:tc>
      </w:tr>
      <w:tr w:rsidR="00C0030A" w:rsidRPr="00C0030A" w14:paraId="51BE9F9B"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4F2A018" w14:textId="77777777" w:rsidR="00C0030A" w:rsidRPr="00C0030A" w:rsidRDefault="00C0030A" w:rsidP="00C0030A">
            <w:pPr>
              <w:pStyle w:val="tabletext"/>
              <w:rPr>
                <w:lang w:val="en-US" w:eastAsia="en-US"/>
              </w:rPr>
            </w:pPr>
            <w:r w:rsidRPr="00C0030A">
              <w:rPr>
                <w:lang w:val="en-US" w:eastAsia="en-US"/>
              </w:rPr>
              <w:t>572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AF485D2" w14:textId="77777777" w:rsidR="00C0030A" w:rsidRPr="00C0030A" w:rsidRDefault="00C0030A" w:rsidP="00C0030A">
            <w:pPr>
              <w:pStyle w:val="tabletext"/>
              <w:rPr>
                <w:lang w:val="en-US" w:eastAsia="en-US"/>
              </w:rPr>
            </w:pPr>
            <w:r w:rsidRPr="00C0030A">
              <w:rPr>
                <w:lang w:val="en-US" w:eastAsia="en-US"/>
              </w:rPr>
              <w:t>Subparagraph 36(2)(m)(</w:t>
            </w:r>
            <w:proofErr w:type="spellStart"/>
            <w:r w:rsidRPr="00C0030A">
              <w:rPr>
                <w:lang w:val="en-US" w:eastAsia="en-US"/>
              </w:rPr>
              <w:t>i</w:t>
            </w:r>
            <w:proofErr w:type="spellEnd"/>
            <w:r w:rsidRPr="00C0030A">
              <w:rPr>
                <w:lang w:val="en-US" w:eastAsia="en-US"/>
              </w:rPr>
              <w:t>) of Schedule 4</w:t>
            </w:r>
          </w:p>
        </w:tc>
      </w:tr>
      <w:tr w:rsidR="00C0030A" w:rsidRPr="00C0030A" w14:paraId="438879B7" w14:textId="77777777" w:rsidTr="00C0030A">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8FDE0BE" w14:textId="77777777" w:rsidR="00C0030A" w:rsidRPr="00C0030A" w:rsidRDefault="00C0030A" w:rsidP="00C0030A">
            <w:pPr>
              <w:pStyle w:val="tabletext"/>
              <w:rPr>
                <w:lang w:val="en-US" w:eastAsia="en-US"/>
              </w:rPr>
            </w:pPr>
            <w:r w:rsidRPr="00C0030A">
              <w:rPr>
                <w:lang w:val="en-US" w:eastAsia="en-US"/>
              </w:rPr>
              <w:t>573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EA38DEC" w14:textId="77777777" w:rsidR="00C0030A" w:rsidRPr="00C0030A" w:rsidRDefault="00C0030A" w:rsidP="00C0030A">
            <w:pPr>
              <w:pStyle w:val="tabletext"/>
              <w:rPr>
                <w:lang w:val="en-US" w:eastAsia="en-US"/>
              </w:rPr>
            </w:pPr>
            <w:r w:rsidRPr="00C0030A">
              <w:rPr>
                <w:lang w:val="en-US" w:eastAsia="en-US"/>
              </w:rPr>
              <w:t>Subparagraph 36(2)(m)(iii) of Schedule 4</w:t>
            </w:r>
          </w:p>
        </w:tc>
      </w:tr>
    </w:tbl>
    <w:p w14:paraId="5584DA16" w14:textId="77777777" w:rsidR="00C0030A" w:rsidRDefault="00C0030A" w:rsidP="006B273B">
      <w:pPr>
        <w:pStyle w:val="base-text-paragraph"/>
        <w:numPr>
          <w:ilvl w:val="0"/>
          <w:numId w:val="0"/>
        </w:numPr>
      </w:pPr>
    </w:p>
    <w:p w14:paraId="558E0AD0" w14:textId="4543FE0A" w:rsidR="0085697B" w:rsidRDefault="0085697B" w:rsidP="0085697B">
      <w:pPr>
        <w:pStyle w:val="TableHeadingoutsidetable"/>
        <w:numPr>
          <w:ilvl w:val="0"/>
          <w:numId w:val="0"/>
        </w:numPr>
        <w:ind w:left="1134"/>
      </w:pPr>
      <w:r>
        <w:lastRenderedPageBreak/>
        <w:t>Table A2 – Amendments removing prescriptive requirements from registry provisions</w:t>
      </w:r>
    </w:p>
    <w:p w14:paraId="50596311" w14:textId="703B1FA4" w:rsidR="00606F82" w:rsidRPr="00606F82" w:rsidRDefault="00606F82" w:rsidP="00606F82">
      <w:pPr>
        <w:pStyle w:val="TableHeadingoutsidetable"/>
        <w:numPr>
          <w:ilvl w:val="0"/>
          <w:numId w:val="0"/>
        </w:numPr>
        <w:ind w:left="1134"/>
        <w:rPr>
          <w:i/>
        </w:rPr>
      </w:pPr>
      <w:r>
        <w:rPr>
          <w:i/>
        </w:rPr>
        <w:t>First tranche</w:t>
      </w:r>
      <w:r w:rsidRPr="00E85468">
        <w:rPr>
          <w:i/>
        </w:rPr>
        <w:t xml:space="preserve"> </w:t>
      </w:r>
      <w:r>
        <w:rPr>
          <w:i/>
        </w:rPr>
        <w:t xml:space="preserve">of exposure draft </w:t>
      </w:r>
      <w:r w:rsidRPr="00E85468">
        <w:rPr>
          <w:i/>
        </w:rPr>
        <w:t>amendments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742"/>
      </w:tblGrid>
      <w:tr w:rsidR="0085697B" w:rsidRPr="004666B8" w14:paraId="7DFF6CF3" w14:textId="77777777" w:rsidTr="0085697B">
        <w:trPr>
          <w:tblHeader/>
        </w:trPr>
        <w:tc>
          <w:tcPr>
            <w:tcW w:w="809" w:type="dxa"/>
          </w:tcPr>
          <w:p w14:paraId="4541B02B" w14:textId="7E1BB98D" w:rsidR="0085697B" w:rsidRPr="004666B8" w:rsidRDefault="00936FF1" w:rsidP="0085697B">
            <w:pPr>
              <w:pStyle w:val="tableheaderwithintable"/>
              <w:rPr>
                <w:lang w:val="en-US" w:eastAsia="en-US"/>
              </w:rPr>
            </w:pPr>
            <w:r>
              <w:rPr>
                <w:lang w:val="en-US" w:eastAsia="en-US"/>
              </w:rPr>
              <w:t>Item</w:t>
            </w:r>
            <w:r>
              <w:rPr>
                <w:rStyle w:val="FootnoteReference"/>
                <w:lang w:val="en-US" w:eastAsia="en-US"/>
              </w:rPr>
              <w:footnoteReference w:id="70"/>
            </w:r>
          </w:p>
        </w:tc>
        <w:tc>
          <w:tcPr>
            <w:tcW w:w="5742" w:type="dxa"/>
          </w:tcPr>
          <w:p w14:paraId="04103CF6" w14:textId="77777777" w:rsidR="0085697B" w:rsidRPr="004666B8" w:rsidRDefault="0085697B" w:rsidP="0085697B">
            <w:pPr>
              <w:pStyle w:val="tableheaderwithintable"/>
              <w:rPr>
                <w:lang w:val="en-US" w:eastAsia="en-US"/>
              </w:rPr>
            </w:pPr>
            <w:r>
              <w:rPr>
                <w:lang w:val="en-US" w:eastAsia="en-US"/>
              </w:rPr>
              <w:t>Provision</w:t>
            </w:r>
          </w:p>
        </w:tc>
      </w:tr>
      <w:tr w:rsidR="00947E92" w:rsidRPr="00F303BF" w14:paraId="6CC37578"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BEC43" w14:textId="77777777" w:rsidR="00947E92" w:rsidRPr="006B273B" w:rsidRDefault="00947E92" w:rsidP="00F303BF">
            <w:pPr>
              <w:pStyle w:val="tabletext"/>
              <w:rPr>
                <w:b/>
                <w:lang w:val="en-US" w:eastAsia="en-US"/>
              </w:rPr>
            </w:pPr>
            <w:r w:rsidRPr="006B273B">
              <w:rPr>
                <w:b/>
                <w:lang w:val="en-US" w:eastAsia="en-US"/>
              </w:rPr>
              <w:t>ABN Act</w:t>
            </w:r>
          </w:p>
        </w:tc>
      </w:tr>
      <w:tr w:rsidR="00F303BF" w:rsidRPr="00F303BF" w14:paraId="2122B8E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7E601A" w14:textId="77777777" w:rsidR="00F303BF" w:rsidRPr="00F303BF" w:rsidRDefault="00F303BF" w:rsidP="00F303BF">
            <w:pPr>
              <w:pStyle w:val="tabletext"/>
              <w:rPr>
                <w:lang w:val="en-US" w:eastAsia="en-US"/>
              </w:rPr>
            </w:pPr>
            <w:r w:rsidRPr="00F303BF">
              <w:rPr>
                <w:lang w:val="en-US" w:eastAsia="en-US"/>
              </w:rPr>
              <w:t>23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8398151" w14:textId="77777777" w:rsidR="00F303BF" w:rsidRPr="006B273B" w:rsidRDefault="00F303BF" w:rsidP="00F303BF">
            <w:pPr>
              <w:pStyle w:val="tabletext"/>
              <w:rPr>
                <w:lang w:val="en-US" w:eastAsia="en-US"/>
              </w:rPr>
            </w:pPr>
            <w:r w:rsidRPr="006B273B">
              <w:rPr>
                <w:lang w:val="en-US" w:eastAsia="en-US"/>
              </w:rPr>
              <w:t>Subsection 9(2)</w:t>
            </w:r>
          </w:p>
        </w:tc>
      </w:tr>
      <w:tr w:rsidR="00F303BF" w:rsidRPr="00F303BF" w14:paraId="10C534B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1D0DED" w14:textId="77777777" w:rsidR="00F303BF" w:rsidRPr="00F303BF" w:rsidRDefault="00F303BF" w:rsidP="00F303BF">
            <w:pPr>
              <w:pStyle w:val="tabletext"/>
              <w:rPr>
                <w:lang w:val="en-US" w:eastAsia="en-US"/>
              </w:rPr>
            </w:pPr>
            <w:r w:rsidRPr="00F303BF">
              <w:rPr>
                <w:lang w:val="en-US" w:eastAsia="en-US"/>
              </w:rPr>
              <w:t>24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1AC0EEC" w14:textId="77777777" w:rsidR="00F303BF" w:rsidRPr="006B273B" w:rsidRDefault="00F303BF" w:rsidP="00F303BF">
            <w:pPr>
              <w:pStyle w:val="tabletext"/>
              <w:rPr>
                <w:lang w:val="en-US" w:eastAsia="en-US"/>
              </w:rPr>
            </w:pPr>
            <w:r w:rsidRPr="006B273B">
              <w:rPr>
                <w:lang w:val="en-US" w:eastAsia="en-US"/>
              </w:rPr>
              <w:t>Subsection 9(3)</w:t>
            </w:r>
          </w:p>
        </w:tc>
      </w:tr>
      <w:tr w:rsidR="00F303BF" w:rsidRPr="00F303BF" w14:paraId="5BD3943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8837D02" w14:textId="77777777" w:rsidR="00F303BF" w:rsidRPr="00F303BF" w:rsidRDefault="00F303BF" w:rsidP="00F303BF">
            <w:pPr>
              <w:pStyle w:val="tabletext"/>
              <w:rPr>
                <w:lang w:val="en-US" w:eastAsia="en-US"/>
              </w:rPr>
            </w:pPr>
            <w:r w:rsidRPr="00F303BF">
              <w:rPr>
                <w:lang w:val="en-US" w:eastAsia="en-US"/>
              </w:rPr>
              <w:t>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75FA897" w14:textId="77777777" w:rsidR="00F303BF" w:rsidRPr="006B273B" w:rsidRDefault="00F303BF" w:rsidP="00F303BF">
            <w:pPr>
              <w:pStyle w:val="tabletext"/>
              <w:rPr>
                <w:lang w:val="en-US" w:eastAsia="en-US"/>
              </w:rPr>
            </w:pPr>
            <w:r w:rsidRPr="006B273B">
              <w:rPr>
                <w:lang w:val="en-US" w:eastAsia="en-US"/>
              </w:rPr>
              <w:t>Subsection 9A(1)</w:t>
            </w:r>
          </w:p>
        </w:tc>
      </w:tr>
      <w:tr w:rsidR="00F303BF" w:rsidRPr="00F303BF" w14:paraId="73E1288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EEA5A12" w14:textId="77777777" w:rsidR="00F303BF" w:rsidRPr="00F303BF" w:rsidRDefault="00F303BF" w:rsidP="00F303BF">
            <w:pPr>
              <w:pStyle w:val="tabletext"/>
              <w:rPr>
                <w:lang w:val="en-US" w:eastAsia="en-US"/>
              </w:rPr>
            </w:pPr>
            <w:r w:rsidRPr="00F303BF">
              <w:rPr>
                <w:lang w:val="en-US" w:eastAsia="en-US"/>
              </w:rPr>
              <w:t>26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F8E5F0C" w14:textId="77777777" w:rsidR="00F303BF" w:rsidRPr="006B273B" w:rsidRDefault="00F303BF" w:rsidP="00F303BF">
            <w:pPr>
              <w:pStyle w:val="tabletext"/>
              <w:rPr>
                <w:lang w:val="en-US" w:eastAsia="en-US"/>
              </w:rPr>
            </w:pPr>
            <w:r w:rsidRPr="006B273B">
              <w:rPr>
                <w:lang w:val="en-US" w:eastAsia="en-US"/>
              </w:rPr>
              <w:t>Subsection 9A(2)</w:t>
            </w:r>
          </w:p>
        </w:tc>
      </w:tr>
      <w:tr w:rsidR="00F303BF" w:rsidRPr="00F303BF" w14:paraId="3D1FEFA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FDC7C5E" w14:textId="77777777" w:rsidR="00F303BF" w:rsidRPr="00F303BF" w:rsidRDefault="00F303BF" w:rsidP="00F303BF">
            <w:pPr>
              <w:pStyle w:val="tabletext"/>
              <w:rPr>
                <w:lang w:val="en-US" w:eastAsia="en-US"/>
              </w:rPr>
            </w:pPr>
            <w:r w:rsidRPr="00F303BF">
              <w:rPr>
                <w:lang w:val="en-US" w:eastAsia="en-US"/>
              </w:rPr>
              <w:t>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89BD3F9" w14:textId="77777777" w:rsidR="00F303BF" w:rsidRPr="006B273B" w:rsidRDefault="00F303BF" w:rsidP="00F303BF">
            <w:pPr>
              <w:pStyle w:val="tabletext"/>
              <w:rPr>
                <w:lang w:val="en-US" w:eastAsia="en-US"/>
              </w:rPr>
            </w:pPr>
            <w:r w:rsidRPr="006B273B">
              <w:rPr>
                <w:lang w:val="en-US" w:eastAsia="en-US"/>
              </w:rPr>
              <w:t>Subsection 10(1)</w:t>
            </w:r>
          </w:p>
        </w:tc>
      </w:tr>
      <w:tr w:rsidR="00F303BF" w:rsidRPr="00F303BF" w14:paraId="2CAE943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D394DE8" w14:textId="77777777" w:rsidR="00F303BF" w:rsidRPr="00F303BF" w:rsidRDefault="00F303BF" w:rsidP="00F303BF">
            <w:pPr>
              <w:pStyle w:val="tabletext"/>
              <w:rPr>
                <w:lang w:val="en-US" w:eastAsia="en-US"/>
              </w:rPr>
            </w:pPr>
            <w:r w:rsidRPr="00F303BF">
              <w:rPr>
                <w:lang w:val="en-US" w:eastAsia="en-US"/>
              </w:rPr>
              <w:t>29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A6E8343" w14:textId="77777777" w:rsidR="00F303BF" w:rsidRPr="006B273B" w:rsidRDefault="00F303BF" w:rsidP="00F303BF">
            <w:pPr>
              <w:pStyle w:val="tabletext"/>
              <w:rPr>
                <w:lang w:val="en-US" w:eastAsia="en-US"/>
              </w:rPr>
            </w:pPr>
            <w:r w:rsidRPr="006B273B">
              <w:rPr>
                <w:lang w:val="en-US" w:eastAsia="en-US"/>
              </w:rPr>
              <w:t>Paragraph 10(1)(ca)</w:t>
            </w:r>
          </w:p>
        </w:tc>
      </w:tr>
      <w:tr w:rsidR="00F303BF" w:rsidRPr="00F303BF" w14:paraId="024C373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0787A30" w14:textId="77777777" w:rsidR="00F303BF" w:rsidRPr="00F303BF" w:rsidRDefault="00F303BF" w:rsidP="00F303BF">
            <w:pPr>
              <w:pStyle w:val="tabletext"/>
              <w:rPr>
                <w:lang w:val="en-US" w:eastAsia="en-US"/>
              </w:rPr>
            </w:pPr>
            <w:r w:rsidRPr="00F303BF">
              <w:rPr>
                <w:lang w:val="en-US" w:eastAsia="en-US"/>
              </w:rPr>
              <w:t>30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8F46178" w14:textId="77777777" w:rsidR="00F303BF" w:rsidRPr="006B273B" w:rsidRDefault="00F303BF" w:rsidP="00F303BF">
            <w:pPr>
              <w:pStyle w:val="tabletext"/>
              <w:rPr>
                <w:lang w:val="en-US" w:eastAsia="en-US"/>
              </w:rPr>
            </w:pPr>
            <w:r w:rsidRPr="006B273B">
              <w:rPr>
                <w:lang w:val="en-US" w:eastAsia="en-US"/>
              </w:rPr>
              <w:t>Paragraph 10(1)(d)</w:t>
            </w:r>
          </w:p>
        </w:tc>
      </w:tr>
      <w:tr w:rsidR="00F303BF" w:rsidRPr="00F303BF" w14:paraId="08EB3A5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0EF5E7F" w14:textId="77777777" w:rsidR="00F303BF" w:rsidRPr="00F303BF" w:rsidRDefault="00F303BF" w:rsidP="00F303BF">
            <w:pPr>
              <w:pStyle w:val="tabletext"/>
              <w:rPr>
                <w:lang w:val="en-US" w:eastAsia="en-US"/>
              </w:rPr>
            </w:pPr>
            <w:r w:rsidRPr="00F303BF">
              <w:rPr>
                <w:lang w:val="en-US" w:eastAsia="en-US"/>
              </w:rPr>
              <w:t>31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A091158" w14:textId="77777777" w:rsidR="00F303BF" w:rsidRPr="006B273B" w:rsidRDefault="00F303BF" w:rsidP="00F303BF">
            <w:pPr>
              <w:pStyle w:val="tabletext"/>
              <w:rPr>
                <w:lang w:val="en-US" w:eastAsia="en-US"/>
              </w:rPr>
            </w:pPr>
            <w:r w:rsidRPr="006B273B">
              <w:rPr>
                <w:lang w:val="en-US" w:eastAsia="en-US"/>
              </w:rPr>
              <w:t>Subsection 10A(1)</w:t>
            </w:r>
          </w:p>
        </w:tc>
      </w:tr>
      <w:tr w:rsidR="00F303BF" w:rsidRPr="00F303BF" w14:paraId="4136BF2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3298ECB" w14:textId="77777777" w:rsidR="00F303BF" w:rsidRPr="00F303BF" w:rsidRDefault="00F303BF" w:rsidP="00F303BF">
            <w:pPr>
              <w:pStyle w:val="tabletext"/>
              <w:rPr>
                <w:lang w:val="en-US" w:eastAsia="en-US"/>
              </w:rPr>
            </w:pPr>
            <w:r w:rsidRPr="00F303BF">
              <w:rPr>
                <w:lang w:val="en-US" w:eastAsia="en-US"/>
              </w:rPr>
              <w:t>32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C57D944" w14:textId="77777777" w:rsidR="00F303BF" w:rsidRPr="006B273B" w:rsidRDefault="00F303BF" w:rsidP="00F303BF">
            <w:pPr>
              <w:pStyle w:val="tabletext"/>
              <w:rPr>
                <w:lang w:val="en-US" w:eastAsia="en-US"/>
              </w:rPr>
            </w:pPr>
            <w:r w:rsidRPr="006B273B">
              <w:rPr>
                <w:lang w:val="en-US" w:eastAsia="en-US"/>
              </w:rPr>
              <w:t>Paragraph 10A(1)(d)</w:t>
            </w:r>
          </w:p>
        </w:tc>
      </w:tr>
      <w:tr w:rsidR="00F303BF" w:rsidRPr="00F303BF" w14:paraId="2DADD9C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C50E109" w14:textId="77777777" w:rsidR="00F303BF" w:rsidRPr="00F303BF" w:rsidRDefault="00F303BF" w:rsidP="00F303BF">
            <w:pPr>
              <w:pStyle w:val="tabletext"/>
              <w:rPr>
                <w:lang w:val="en-US" w:eastAsia="en-US"/>
              </w:rPr>
            </w:pPr>
            <w:r w:rsidRPr="00F303BF">
              <w:rPr>
                <w:lang w:val="en-US" w:eastAsia="en-US"/>
              </w:rPr>
              <w:t>33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5D5FF3E" w14:textId="77777777" w:rsidR="00F303BF" w:rsidRPr="006B273B" w:rsidRDefault="00F303BF" w:rsidP="00F303BF">
            <w:pPr>
              <w:pStyle w:val="tabletext"/>
              <w:rPr>
                <w:lang w:val="en-US" w:eastAsia="en-US"/>
              </w:rPr>
            </w:pPr>
            <w:r w:rsidRPr="006B273B">
              <w:rPr>
                <w:lang w:val="en-US" w:eastAsia="en-US"/>
              </w:rPr>
              <w:t>Paragraph 11(1)(b)</w:t>
            </w:r>
          </w:p>
        </w:tc>
      </w:tr>
      <w:tr w:rsidR="00F303BF" w:rsidRPr="00F303BF" w14:paraId="4595443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1892CB9" w14:textId="77777777" w:rsidR="00F303BF" w:rsidRPr="00F303BF" w:rsidRDefault="00F303BF" w:rsidP="00F303BF">
            <w:pPr>
              <w:pStyle w:val="tabletext"/>
              <w:rPr>
                <w:lang w:val="en-US" w:eastAsia="en-US"/>
              </w:rPr>
            </w:pPr>
            <w:r w:rsidRPr="00F303BF">
              <w:rPr>
                <w:lang w:val="en-US" w:eastAsia="en-US"/>
              </w:rPr>
              <w:t>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6855EDF" w14:textId="77777777" w:rsidR="00F303BF" w:rsidRPr="006B273B" w:rsidRDefault="00F303BF" w:rsidP="00F303BF">
            <w:pPr>
              <w:pStyle w:val="tabletext"/>
              <w:rPr>
                <w:lang w:val="en-US" w:eastAsia="en-US"/>
              </w:rPr>
            </w:pPr>
            <w:r w:rsidRPr="006B273B">
              <w:rPr>
                <w:lang w:val="en-US" w:eastAsia="en-US"/>
              </w:rPr>
              <w:t>Subsection 11(3)</w:t>
            </w:r>
          </w:p>
        </w:tc>
      </w:tr>
      <w:tr w:rsidR="00F303BF" w:rsidRPr="00F303BF" w14:paraId="30A8E76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A65CD1B" w14:textId="77777777" w:rsidR="00F303BF" w:rsidRPr="00F303BF" w:rsidRDefault="00F303BF" w:rsidP="00F303BF">
            <w:pPr>
              <w:pStyle w:val="tabletext"/>
              <w:rPr>
                <w:lang w:val="en-US" w:eastAsia="en-US"/>
              </w:rPr>
            </w:pPr>
            <w:r w:rsidRPr="00F303BF">
              <w:rPr>
                <w:lang w:val="en-US" w:eastAsia="en-US"/>
              </w:rPr>
              <w:t>35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E7A30A3" w14:textId="77777777" w:rsidR="00F303BF" w:rsidRPr="006B273B" w:rsidRDefault="00F303BF" w:rsidP="00F303BF">
            <w:pPr>
              <w:pStyle w:val="tabletext"/>
              <w:rPr>
                <w:lang w:val="en-US" w:eastAsia="en-US"/>
              </w:rPr>
            </w:pPr>
            <w:r w:rsidRPr="006B273B">
              <w:rPr>
                <w:lang w:val="en-US" w:eastAsia="en-US"/>
              </w:rPr>
              <w:t>Paragraph 11(3)(d)</w:t>
            </w:r>
          </w:p>
        </w:tc>
      </w:tr>
      <w:tr w:rsidR="00F303BF" w:rsidRPr="00F303BF" w14:paraId="704BD1A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AC17257" w14:textId="77777777" w:rsidR="00F303BF" w:rsidRPr="00F303BF" w:rsidRDefault="00F303BF" w:rsidP="00F303BF">
            <w:pPr>
              <w:pStyle w:val="tabletext"/>
              <w:rPr>
                <w:lang w:val="en-US" w:eastAsia="en-US"/>
              </w:rPr>
            </w:pPr>
            <w:r w:rsidRPr="00F303BF">
              <w:rPr>
                <w:lang w:val="en-US" w:eastAsia="en-US"/>
              </w:rPr>
              <w:t>36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A4C6858" w14:textId="77777777" w:rsidR="00F303BF" w:rsidRPr="006B273B" w:rsidRDefault="00F303BF" w:rsidP="00F303BF">
            <w:pPr>
              <w:pStyle w:val="tabletext"/>
              <w:rPr>
                <w:lang w:val="en-US" w:eastAsia="en-US"/>
              </w:rPr>
            </w:pPr>
            <w:r w:rsidRPr="006B273B">
              <w:rPr>
                <w:lang w:val="en-US" w:eastAsia="en-US"/>
              </w:rPr>
              <w:t>Subsection 11(3) (note)</w:t>
            </w:r>
          </w:p>
        </w:tc>
      </w:tr>
      <w:tr w:rsidR="00F303BF" w:rsidRPr="00F303BF" w14:paraId="5E966C3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7B70422" w14:textId="77777777" w:rsidR="00F303BF" w:rsidRPr="00F303BF" w:rsidRDefault="00F303BF" w:rsidP="00F303BF">
            <w:pPr>
              <w:pStyle w:val="tabletext"/>
              <w:rPr>
                <w:lang w:val="en-US" w:eastAsia="en-US"/>
              </w:rPr>
            </w:pPr>
            <w:r w:rsidRPr="00F303BF">
              <w:rPr>
                <w:lang w:val="en-US" w:eastAsia="en-US"/>
              </w:rPr>
              <w:t>37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326479F" w14:textId="77777777" w:rsidR="00F303BF" w:rsidRPr="006B273B" w:rsidRDefault="00F303BF" w:rsidP="00F303BF">
            <w:pPr>
              <w:pStyle w:val="tabletext"/>
              <w:rPr>
                <w:lang w:val="en-US" w:eastAsia="en-US"/>
              </w:rPr>
            </w:pPr>
            <w:r w:rsidRPr="006B273B">
              <w:rPr>
                <w:lang w:val="en-US" w:eastAsia="en-US"/>
              </w:rPr>
              <w:t>Section 11A</w:t>
            </w:r>
          </w:p>
        </w:tc>
      </w:tr>
      <w:tr w:rsidR="00F303BF" w:rsidRPr="00F303BF" w14:paraId="3C14352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BC332F5" w14:textId="77777777" w:rsidR="00F303BF" w:rsidRPr="00F303BF" w:rsidRDefault="00F303BF" w:rsidP="00F303BF">
            <w:pPr>
              <w:pStyle w:val="tabletext"/>
              <w:rPr>
                <w:lang w:val="en-US" w:eastAsia="en-US"/>
              </w:rPr>
            </w:pPr>
            <w:r w:rsidRPr="00F303BF">
              <w:rPr>
                <w:lang w:val="en-US" w:eastAsia="en-US"/>
              </w:rPr>
              <w:t>38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A86AFD5" w14:textId="77777777" w:rsidR="00F303BF" w:rsidRPr="006B273B" w:rsidRDefault="00F303BF" w:rsidP="00F303BF">
            <w:pPr>
              <w:pStyle w:val="tabletext"/>
              <w:rPr>
                <w:lang w:val="en-US" w:eastAsia="en-US"/>
              </w:rPr>
            </w:pPr>
            <w:r w:rsidRPr="006B273B">
              <w:rPr>
                <w:lang w:val="en-US" w:eastAsia="en-US"/>
              </w:rPr>
              <w:t>Section 12</w:t>
            </w:r>
          </w:p>
        </w:tc>
      </w:tr>
      <w:tr w:rsidR="00F303BF" w:rsidRPr="00F303BF" w14:paraId="362415E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E47EA8A" w14:textId="77777777" w:rsidR="00F303BF" w:rsidRPr="00F303BF" w:rsidRDefault="00F303BF" w:rsidP="00F303BF">
            <w:pPr>
              <w:pStyle w:val="tabletext"/>
              <w:rPr>
                <w:lang w:val="en-US" w:eastAsia="en-US"/>
              </w:rPr>
            </w:pPr>
            <w:r w:rsidRPr="00F303BF">
              <w:rPr>
                <w:lang w:val="en-US" w:eastAsia="en-US"/>
              </w:rPr>
              <w:t>39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7FD9403" w14:textId="77777777" w:rsidR="00F303BF" w:rsidRPr="006B273B" w:rsidRDefault="00F303BF" w:rsidP="00F303BF">
            <w:pPr>
              <w:pStyle w:val="tabletext"/>
              <w:rPr>
                <w:lang w:val="en-US" w:eastAsia="en-US"/>
              </w:rPr>
            </w:pPr>
            <w:r w:rsidRPr="006B273B">
              <w:rPr>
                <w:lang w:val="en-US" w:eastAsia="en-US"/>
              </w:rPr>
              <w:t>Subsection 13(1)</w:t>
            </w:r>
          </w:p>
        </w:tc>
      </w:tr>
      <w:tr w:rsidR="00F303BF" w:rsidRPr="00F303BF" w14:paraId="07F22DA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680399" w14:textId="77777777" w:rsidR="00F303BF" w:rsidRPr="00F303BF" w:rsidRDefault="00F303BF" w:rsidP="00F303BF">
            <w:pPr>
              <w:pStyle w:val="tabletext"/>
              <w:rPr>
                <w:lang w:val="en-US" w:eastAsia="en-US"/>
              </w:rPr>
            </w:pPr>
            <w:r w:rsidRPr="00F303BF">
              <w:rPr>
                <w:lang w:val="en-US" w:eastAsia="en-US"/>
              </w:rPr>
              <w:t>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5EDA87" w14:textId="77777777" w:rsidR="00F303BF" w:rsidRPr="006B273B" w:rsidRDefault="00F303BF" w:rsidP="00F303BF">
            <w:pPr>
              <w:pStyle w:val="tabletext"/>
              <w:rPr>
                <w:lang w:val="en-US" w:eastAsia="en-US"/>
              </w:rPr>
            </w:pPr>
            <w:r w:rsidRPr="006B273B">
              <w:rPr>
                <w:lang w:val="en-US" w:eastAsia="en-US"/>
              </w:rPr>
              <w:t>Subsection 13(2)</w:t>
            </w:r>
          </w:p>
        </w:tc>
      </w:tr>
      <w:tr w:rsidR="00F303BF" w:rsidRPr="00F303BF" w14:paraId="721999A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0CD695B" w14:textId="77777777" w:rsidR="00F303BF" w:rsidRPr="00F303BF" w:rsidRDefault="00F303BF" w:rsidP="00F303BF">
            <w:pPr>
              <w:pStyle w:val="tabletext"/>
              <w:rPr>
                <w:lang w:val="en-US" w:eastAsia="en-US"/>
              </w:rPr>
            </w:pPr>
            <w:r w:rsidRPr="00F303BF">
              <w:rPr>
                <w:lang w:val="en-US" w:eastAsia="en-US"/>
              </w:rPr>
              <w:t>41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4FA92B" w14:textId="77777777" w:rsidR="00F303BF" w:rsidRPr="006B273B" w:rsidRDefault="00F303BF" w:rsidP="00F303BF">
            <w:pPr>
              <w:pStyle w:val="tabletext"/>
              <w:rPr>
                <w:lang w:val="en-US" w:eastAsia="en-US"/>
              </w:rPr>
            </w:pPr>
            <w:r w:rsidRPr="006B273B">
              <w:rPr>
                <w:lang w:val="en-US" w:eastAsia="en-US"/>
              </w:rPr>
              <w:t>Subsection 13(3)</w:t>
            </w:r>
          </w:p>
        </w:tc>
      </w:tr>
      <w:tr w:rsidR="00F303BF" w:rsidRPr="00F303BF" w14:paraId="312CA04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B2997DA" w14:textId="77777777" w:rsidR="00F303BF" w:rsidRPr="00F303BF" w:rsidRDefault="00F303BF" w:rsidP="00F303BF">
            <w:pPr>
              <w:pStyle w:val="tabletext"/>
              <w:rPr>
                <w:lang w:val="en-US" w:eastAsia="en-US"/>
              </w:rPr>
            </w:pPr>
            <w:r w:rsidRPr="00F303BF">
              <w:rPr>
                <w:lang w:val="en-US" w:eastAsia="en-US"/>
              </w:rPr>
              <w:t>42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5B378C2" w14:textId="77777777" w:rsidR="00F303BF" w:rsidRPr="006B273B" w:rsidRDefault="00F303BF" w:rsidP="00F303BF">
            <w:pPr>
              <w:pStyle w:val="tabletext"/>
              <w:rPr>
                <w:lang w:val="en-US" w:eastAsia="en-US"/>
              </w:rPr>
            </w:pPr>
            <w:r w:rsidRPr="006B273B">
              <w:rPr>
                <w:lang w:val="en-US" w:eastAsia="en-US"/>
              </w:rPr>
              <w:t>Subsection 13(3)</w:t>
            </w:r>
          </w:p>
        </w:tc>
      </w:tr>
      <w:tr w:rsidR="00F303BF" w:rsidRPr="00F303BF" w14:paraId="3C5EF4D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80D18DD" w14:textId="77777777" w:rsidR="00F303BF" w:rsidRPr="00F303BF" w:rsidRDefault="00F303BF" w:rsidP="00F303BF">
            <w:pPr>
              <w:pStyle w:val="tabletext"/>
              <w:rPr>
                <w:lang w:val="en-US" w:eastAsia="en-US"/>
              </w:rPr>
            </w:pPr>
            <w:r w:rsidRPr="00F303BF">
              <w:rPr>
                <w:lang w:val="en-US" w:eastAsia="en-US"/>
              </w:rPr>
              <w:t>43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97F86B0" w14:textId="77777777" w:rsidR="00F303BF" w:rsidRPr="006B273B" w:rsidRDefault="00F303BF" w:rsidP="00F303BF">
            <w:pPr>
              <w:pStyle w:val="tabletext"/>
              <w:rPr>
                <w:lang w:val="en-US" w:eastAsia="en-US"/>
              </w:rPr>
            </w:pPr>
            <w:r w:rsidRPr="006B273B">
              <w:rPr>
                <w:lang w:val="en-US" w:eastAsia="en-US"/>
              </w:rPr>
              <w:t>Subsections 13(4) and (5)</w:t>
            </w:r>
          </w:p>
        </w:tc>
      </w:tr>
      <w:tr w:rsidR="00F303BF" w:rsidRPr="00F303BF" w14:paraId="43FEBDC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E2B877" w14:textId="77777777" w:rsidR="00F303BF" w:rsidRPr="00F303BF" w:rsidRDefault="00F303BF" w:rsidP="00F303BF">
            <w:pPr>
              <w:pStyle w:val="tabletext"/>
              <w:rPr>
                <w:lang w:val="en-US" w:eastAsia="en-US"/>
              </w:rPr>
            </w:pPr>
            <w:r w:rsidRPr="00F303BF">
              <w:rPr>
                <w:lang w:val="en-US" w:eastAsia="en-US"/>
              </w:rPr>
              <w:t>44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1CB6C19" w14:textId="77777777" w:rsidR="00F303BF" w:rsidRPr="006B273B" w:rsidRDefault="00F303BF" w:rsidP="00F303BF">
            <w:pPr>
              <w:pStyle w:val="tabletext"/>
              <w:rPr>
                <w:lang w:val="en-US" w:eastAsia="en-US"/>
              </w:rPr>
            </w:pPr>
            <w:r w:rsidRPr="006B273B">
              <w:rPr>
                <w:lang w:val="en-US" w:eastAsia="en-US"/>
              </w:rPr>
              <w:t>Section 14 (heading)</w:t>
            </w:r>
          </w:p>
        </w:tc>
      </w:tr>
      <w:tr w:rsidR="00F303BF" w:rsidRPr="00F303BF" w14:paraId="53E6F58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EC2FB5F" w14:textId="77777777" w:rsidR="00F303BF" w:rsidRPr="00F303BF" w:rsidRDefault="00F303BF" w:rsidP="00F303BF">
            <w:pPr>
              <w:pStyle w:val="tabletext"/>
              <w:rPr>
                <w:lang w:val="en-US" w:eastAsia="en-US"/>
              </w:rPr>
            </w:pPr>
            <w:r w:rsidRPr="00F303BF">
              <w:rPr>
                <w:lang w:val="en-US" w:eastAsia="en-US"/>
              </w:rPr>
              <w:t>45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93225F5" w14:textId="77777777" w:rsidR="00F303BF" w:rsidRPr="006B273B" w:rsidRDefault="00F303BF" w:rsidP="00F303BF">
            <w:pPr>
              <w:pStyle w:val="tabletext"/>
              <w:rPr>
                <w:lang w:val="en-US" w:eastAsia="en-US"/>
              </w:rPr>
            </w:pPr>
            <w:r w:rsidRPr="006B273B">
              <w:rPr>
                <w:lang w:val="en-US" w:eastAsia="en-US"/>
              </w:rPr>
              <w:t>Paragraph 14(1)(b)</w:t>
            </w:r>
          </w:p>
        </w:tc>
      </w:tr>
      <w:tr w:rsidR="00F303BF" w:rsidRPr="00F303BF" w14:paraId="7B45A39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E672259" w14:textId="77777777" w:rsidR="00F303BF" w:rsidRPr="00F303BF" w:rsidRDefault="00F303BF" w:rsidP="00F303BF">
            <w:pPr>
              <w:pStyle w:val="tabletext"/>
              <w:rPr>
                <w:lang w:val="en-US" w:eastAsia="en-US"/>
              </w:rPr>
            </w:pPr>
            <w:r w:rsidRPr="00F303BF">
              <w:rPr>
                <w:lang w:val="en-US" w:eastAsia="en-US"/>
              </w:rPr>
              <w:t>46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59DA166" w14:textId="77777777" w:rsidR="00F303BF" w:rsidRPr="006B273B" w:rsidRDefault="00F303BF" w:rsidP="00F303BF">
            <w:pPr>
              <w:pStyle w:val="tabletext"/>
              <w:rPr>
                <w:lang w:val="en-US" w:eastAsia="en-US"/>
              </w:rPr>
            </w:pPr>
            <w:r w:rsidRPr="006B273B">
              <w:rPr>
                <w:lang w:val="en-US" w:eastAsia="en-US"/>
              </w:rPr>
              <w:t>Subsection 14(1) (note 1)</w:t>
            </w:r>
          </w:p>
        </w:tc>
      </w:tr>
      <w:tr w:rsidR="00F303BF" w:rsidRPr="00F303BF" w14:paraId="4AD17CE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9A0BF87" w14:textId="77777777" w:rsidR="00F303BF" w:rsidRPr="00F303BF" w:rsidRDefault="00F303BF" w:rsidP="00F303BF">
            <w:pPr>
              <w:pStyle w:val="tabletext"/>
              <w:rPr>
                <w:lang w:val="en-US" w:eastAsia="en-US"/>
              </w:rPr>
            </w:pPr>
            <w:r w:rsidRPr="00F303BF">
              <w:rPr>
                <w:lang w:val="en-US" w:eastAsia="en-US"/>
              </w:rPr>
              <w:t>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6E06D64" w14:textId="77777777" w:rsidR="00F303BF" w:rsidRPr="006B273B" w:rsidRDefault="00F303BF" w:rsidP="00F303BF">
            <w:pPr>
              <w:pStyle w:val="tabletext"/>
              <w:rPr>
                <w:lang w:val="en-US" w:eastAsia="en-US"/>
              </w:rPr>
            </w:pPr>
            <w:r w:rsidRPr="006B273B">
              <w:rPr>
                <w:lang w:val="en-US" w:eastAsia="en-US"/>
              </w:rPr>
              <w:t>Subsection 14(2)</w:t>
            </w:r>
          </w:p>
        </w:tc>
      </w:tr>
      <w:tr w:rsidR="00F303BF" w:rsidRPr="00F303BF" w14:paraId="6B1C548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1B09EA0" w14:textId="77777777" w:rsidR="00F303BF" w:rsidRPr="00F303BF" w:rsidRDefault="00F303BF" w:rsidP="00F303BF">
            <w:pPr>
              <w:pStyle w:val="tabletext"/>
              <w:rPr>
                <w:lang w:val="en-US" w:eastAsia="en-US"/>
              </w:rPr>
            </w:pPr>
            <w:r w:rsidRPr="00F303BF">
              <w:rPr>
                <w:lang w:val="en-US" w:eastAsia="en-US"/>
              </w:rPr>
              <w:t>48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FC246A0" w14:textId="77777777" w:rsidR="00F303BF" w:rsidRPr="006B273B" w:rsidRDefault="00F303BF" w:rsidP="00F303BF">
            <w:pPr>
              <w:pStyle w:val="tabletext"/>
              <w:rPr>
                <w:lang w:val="en-US" w:eastAsia="en-US"/>
              </w:rPr>
            </w:pPr>
            <w:r w:rsidRPr="006B273B">
              <w:rPr>
                <w:lang w:val="en-US" w:eastAsia="en-US"/>
              </w:rPr>
              <w:t xml:space="preserve">Subsection 15(1) (table item 1, column headed “These </w:t>
            </w:r>
            <w:proofErr w:type="spellStart"/>
            <w:r w:rsidRPr="006B273B">
              <w:rPr>
                <w:lang w:val="en-US" w:eastAsia="en-US"/>
              </w:rPr>
              <w:t>ent</w:t>
            </w:r>
            <w:proofErr w:type="spellEnd"/>
          </w:p>
        </w:tc>
      </w:tr>
      <w:tr w:rsidR="00F303BF" w:rsidRPr="00F303BF" w14:paraId="25C62FB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8E45255" w14:textId="77777777" w:rsidR="00F303BF" w:rsidRPr="00F303BF" w:rsidRDefault="00F303BF" w:rsidP="00F303BF">
            <w:pPr>
              <w:pStyle w:val="tabletext"/>
              <w:rPr>
                <w:lang w:val="en-US" w:eastAsia="en-US"/>
              </w:rPr>
            </w:pPr>
            <w:r w:rsidRPr="00F303BF">
              <w:rPr>
                <w:lang w:val="en-US" w:eastAsia="en-US"/>
              </w:rPr>
              <w:t>49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A3747B2" w14:textId="77777777" w:rsidR="00F303BF" w:rsidRPr="006B273B" w:rsidRDefault="00F303BF" w:rsidP="00F303BF">
            <w:pPr>
              <w:pStyle w:val="tabletext"/>
              <w:rPr>
                <w:lang w:val="en-US" w:eastAsia="en-US"/>
              </w:rPr>
            </w:pPr>
            <w:r w:rsidRPr="006B273B">
              <w:rPr>
                <w:lang w:val="en-US" w:eastAsia="en-US"/>
              </w:rPr>
              <w:t>Subsection 15(1) (table item 1, column headed “can be re</w:t>
            </w:r>
          </w:p>
        </w:tc>
      </w:tr>
      <w:tr w:rsidR="00F303BF" w:rsidRPr="00F303BF" w14:paraId="6C9B4FA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F212DDD" w14:textId="77777777" w:rsidR="00F303BF" w:rsidRPr="00F303BF" w:rsidRDefault="00F303BF" w:rsidP="00F303BF">
            <w:pPr>
              <w:pStyle w:val="tabletext"/>
              <w:rPr>
                <w:lang w:val="en-US" w:eastAsia="en-US"/>
              </w:rPr>
            </w:pPr>
            <w:r w:rsidRPr="00F303BF">
              <w:rPr>
                <w:lang w:val="en-US" w:eastAsia="en-US"/>
              </w:rPr>
              <w:t>50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6E93B78" w14:textId="77777777" w:rsidR="00F303BF" w:rsidRPr="006B273B" w:rsidRDefault="00F303BF" w:rsidP="00F303BF">
            <w:pPr>
              <w:pStyle w:val="tabletext"/>
              <w:rPr>
                <w:lang w:val="en-US" w:eastAsia="en-US"/>
              </w:rPr>
            </w:pPr>
            <w:r w:rsidRPr="006B273B">
              <w:rPr>
                <w:lang w:val="en-US" w:eastAsia="en-US"/>
              </w:rPr>
              <w:t xml:space="preserve">Subsection 15(1) (table item 2, column headed “These </w:t>
            </w:r>
            <w:proofErr w:type="spellStart"/>
            <w:r w:rsidRPr="006B273B">
              <w:rPr>
                <w:lang w:val="en-US" w:eastAsia="en-US"/>
              </w:rPr>
              <w:t>ent</w:t>
            </w:r>
            <w:proofErr w:type="spellEnd"/>
          </w:p>
        </w:tc>
      </w:tr>
      <w:tr w:rsidR="00F303BF" w:rsidRPr="00F303BF" w14:paraId="3B2991F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D4C54AD" w14:textId="77777777" w:rsidR="00F303BF" w:rsidRPr="00F303BF" w:rsidRDefault="00F303BF" w:rsidP="00F303BF">
            <w:pPr>
              <w:pStyle w:val="tabletext"/>
              <w:rPr>
                <w:lang w:val="en-US" w:eastAsia="en-US"/>
              </w:rPr>
            </w:pPr>
            <w:r w:rsidRPr="00F303BF">
              <w:rPr>
                <w:lang w:val="en-US" w:eastAsia="en-US"/>
              </w:rPr>
              <w:t>51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4592693" w14:textId="77777777" w:rsidR="00F303BF" w:rsidRPr="006B273B" w:rsidRDefault="00F303BF" w:rsidP="00F303BF">
            <w:pPr>
              <w:pStyle w:val="tabletext"/>
              <w:rPr>
                <w:lang w:val="en-US" w:eastAsia="en-US"/>
              </w:rPr>
            </w:pPr>
            <w:r w:rsidRPr="006B273B">
              <w:rPr>
                <w:lang w:val="en-US" w:eastAsia="en-US"/>
              </w:rPr>
              <w:t xml:space="preserve">Subsection 15(1) (table item 3, column headed “These </w:t>
            </w:r>
            <w:proofErr w:type="spellStart"/>
            <w:r w:rsidRPr="006B273B">
              <w:rPr>
                <w:lang w:val="en-US" w:eastAsia="en-US"/>
              </w:rPr>
              <w:t>ent</w:t>
            </w:r>
            <w:proofErr w:type="spellEnd"/>
          </w:p>
        </w:tc>
      </w:tr>
      <w:tr w:rsidR="00F303BF" w:rsidRPr="00F303BF" w14:paraId="5D71988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D0C1C3" w14:textId="77777777" w:rsidR="00F303BF" w:rsidRPr="00F303BF" w:rsidRDefault="00F303BF" w:rsidP="00F303BF">
            <w:pPr>
              <w:pStyle w:val="tabletext"/>
              <w:rPr>
                <w:lang w:val="en-US" w:eastAsia="en-US"/>
              </w:rPr>
            </w:pPr>
            <w:r w:rsidRPr="00F303BF">
              <w:rPr>
                <w:lang w:val="en-US" w:eastAsia="en-US"/>
              </w:rPr>
              <w:t>52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7A62F4F" w14:textId="77777777" w:rsidR="00F303BF" w:rsidRPr="006B273B" w:rsidRDefault="00F303BF" w:rsidP="00F303BF">
            <w:pPr>
              <w:pStyle w:val="tabletext"/>
              <w:rPr>
                <w:lang w:val="en-US" w:eastAsia="en-US"/>
              </w:rPr>
            </w:pPr>
            <w:r w:rsidRPr="006B273B">
              <w:rPr>
                <w:lang w:val="en-US" w:eastAsia="en-US"/>
              </w:rPr>
              <w:t>Subsection 15(1) (table item 3, column headed “can be re</w:t>
            </w:r>
          </w:p>
        </w:tc>
      </w:tr>
      <w:tr w:rsidR="00F303BF" w:rsidRPr="00F303BF" w14:paraId="47CC08E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9F56109" w14:textId="77777777" w:rsidR="00F303BF" w:rsidRPr="00F303BF" w:rsidRDefault="00F303BF" w:rsidP="00F303BF">
            <w:pPr>
              <w:pStyle w:val="tabletext"/>
              <w:rPr>
                <w:lang w:val="en-US" w:eastAsia="en-US"/>
              </w:rPr>
            </w:pPr>
            <w:r w:rsidRPr="00F303BF">
              <w:rPr>
                <w:lang w:val="en-US" w:eastAsia="en-US"/>
              </w:rPr>
              <w:t>53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59888FD" w14:textId="77777777" w:rsidR="00F303BF" w:rsidRPr="006B273B" w:rsidRDefault="00F303BF" w:rsidP="00F303BF">
            <w:pPr>
              <w:pStyle w:val="tabletext"/>
              <w:rPr>
                <w:lang w:val="en-US" w:eastAsia="en-US"/>
              </w:rPr>
            </w:pPr>
            <w:r w:rsidRPr="006B273B">
              <w:rPr>
                <w:lang w:val="en-US" w:eastAsia="en-US"/>
              </w:rPr>
              <w:t>Subsections 15(2) and (3)</w:t>
            </w:r>
          </w:p>
        </w:tc>
      </w:tr>
      <w:tr w:rsidR="00F303BF" w:rsidRPr="00F303BF" w14:paraId="50FA681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97E928E" w14:textId="77777777" w:rsidR="00F303BF" w:rsidRPr="00F303BF" w:rsidRDefault="00F303BF" w:rsidP="00F303BF">
            <w:pPr>
              <w:pStyle w:val="tabletext"/>
              <w:rPr>
                <w:lang w:val="en-US" w:eastAsia="en-US"/>
              </w:rPr>
            </w:pPr>
            <w:r w:rsidRPr="00F303BF">
              <w:rPr>
                <w:lang w:val="en-US" w:eastAsia="en-US"/>
              </w:rPr>
              <w:t>54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7C94F78" w14:textId="77777777" w:rsidR="00F303BF" w:rsidRPr="006B273B" w:rsidRDefault="00F303BF" w:rsidP="00F303BF">
            <w:pPr>
              <w:pStyle w:val="tabletext"/>
              <w:rPr>
                <w:lang w:val="en-US" w:eastAsia="en-US"/>
              </w:rPr>
            </w:pPr>
            <w:r w:rsidRPr="006B273B">
              <w:rPr>
                <w:lang w:val="en-US" w:eastAsia="en-US"/>
              </w:rPr>
              <w:t>Paragraph 17(1)(a)</w:t>
            </w:r>
          </w:p>
        </w:tc>
      </w:tr>
      <w:tr w:rsidR="00F303BF" w:rsidRPr="00F303BF" w14:paraId="3C5E462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17713DE" w14:textId="77777777" w:rsidR="00F303BF" w:rsidRPr="00F303BF" w:rsidRDefault="00F303BF" w:rsidP="00F303BF">
            <w:pPr>
              <w:pStyle w:val="tabletext"/>
              <w:rPr>
                <w:lang w:val="en-US" w:eastAsia="en-US"/>
              </w:rPr>
            </w:pPr>
            <w:r w:rsidRPr="00F303BF">
              <w:rPr>
                <w:lang w:val="en-US" w:eastAsia="en-US"/>
              </w:rPr>
              <w:t>55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041EE43" w14:textId="77777777" w:rsidR="00F303BF" w:rsidRPr="006B273B" w:rsidRDefault="00F303BF" w:rsidP="00F303BF">
            <w:pPr>
              <w:pStyle w:val="tabletext"/>
              <w:rPr>
                <w:lang w:val="en-US" w:eastAsia="en-US"/>
              </w:rPr>
            </w:pPr>
            <w:r w:rsidRPr="006B273B">
              <w:rPr>
                <w:lang w:val="en-US" w:eastAsia="en-US"/>
              </w:rPr>
              <w:t>Paragraph 17(1)(b)</w:t>
            </w:r>
          </w:p>
        </w:tc>
      </w:tr>
      <w:tr w:rsidR="00F303BF" w:rsidRPr="00F303BF" w14:paraId="45CB485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7B6EAEB" w14:textId="77777777" w:rsidR="00F303BF" w:rsidRPr="00F303BF" w:rsidRDefault="00F303BF" w:rsidP="00F303BF">
            <w:pPr>
              <w:pStyle w:val="tabletext"/>
              <w:rPr>
                <w:lang w:val="en-US" w:eastAsia="en-US"/>
              </w:rPr>
            </w:pPr>
            <w:r w:rsidRPr="00F303BF">
              <w:rPr>
                <w:lang w:val="en-US" w:eastAsia="en-US"/>
              </w:rPr>
              <w:t>56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F5EE030" w14:textId="77777777" w:rsidR="00F303BF" w:rsidRPr="006B273B" w:rsidRDefault="00F303BF" w:rsidP="00F303BF">
            <w:pPr>
              <w:pStyle w:val="tabletext"/>
              <w:rPr>
                <w:lang w:val="en-US" w:eastAsia="en-US"/>
              </w:rPr>
            </w:pPr>
            <w:r w:rsidRPr="006B273B">
              <w:rPr>
                <w:lang w:val="en-US" w:eastAsia="en-US"/>
              </w:rPr>
              <w:t>Subsection 17(1) (note)</w:t>
            </w:r>
          </w:p>
        </w:tc>
      </w:tr>
      <w:tr w:rsidR="00F303BF" w:rsidRPr="00F303BF" w14:paraId="5D90CD7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2A3D0BC" w14:textId="77777777" w:rsidR="00F303BF" w:rsidRPr="00F303BF" w:rsidRDefault="00F303BF" w:rsidP="00F303BF">
            <w:pPr>
              <w:pStyle w:val="tabletext"/>
              <w:rPr>
                <w:lang w:val="en-US" w:eastAsia="en-US"/>
              </w:rPr>
            </w:pPr>
            <w:r w:rsidRPr="00F303BF">
              <w:rPr>
                <w:lang w:val="en-US" w:eastAsia="en-US"/>
              </w:rPr>
              <w:t>57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18B7193" w14:textId="77777777" w:rsidR="00F303BF" w:rsidRPr="006B273B" w:rsidRDefault="00F303BF" w:rsidP="00F303BF">
            <w:pPr>
              <w:pStyle w:val="tabletext"/>
              <w:rPr>
                <w:lang w:val="en-US" w:eastAsia="en-US"/>
              </w:rPr>
            </w:pPr>
            <w:r w:rsidRPr="006B273B">
              <w:rPr>
                <w:lang w:val="en-US" w:eastAsia="en-US"/>
              </w:rPr>
              <w:t>Subsection 17(2)</w:t>
            </w:r>
          </w:p>
        </w:tc>
      </w:tr>
      <w:tr w:rsidR="00F303BF" w:rsidRPr="00F303BF" w14:paraId="09AF366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7286AB7" w14:textId="77777777" w:rsidR="00F303BF" w:rsidRPr="00F303BF" w:rsidRDefault="00F303BF" w:rsidP="00F303BF">
            <w:pPr>
              <w:pStyle w:val="tabletext"/>
              <w:rPr>
                <w:lang w:val="en-US" w:eastAsia="en-US"/>
              </w:rPr>
            </w:pPr>
            <w:r w:rsidRPr="00F303BF">
              <w:rPr>
                <w:lang w:val="en-US" w:eastAsia="en-US"/>
              </w:rPr>
              <w:t>58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492AACD" w14:textId="77777777" w:rsidR="00F303BF" w:rsidRPr="006B273B" w:rsidRDefault="00F303BF" w:rsidP="00F303BF">
            <w:pPr>
              <w:pStyle w:val="tabletext"/>
              <w:rPr>
                <w:lang w:val="en-US" w:eastAsia="en-US"/>
              </w:rPr>
            </w:pPr>
            <w:r w:rsidRPr="006B273B">
              <w:rPr>
                <w:lang w:val="en-US" w:eastAsia="en-US"/>
              </w:rPr>
              <w:t>Subsection 17(3)</w:t>
            </w:r>
          </w:p>
        </w:tc>
      </w:tr>
      <w:tr w:rsidR="00F303BF" w:rsidRPr="00F303BF" w14:paraId="1A77604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C76656" w14:textId="77777777" w:rsidR="00F303BF" w:rsidRPr="00F303BF" w:rsidRDefault="00F303BF" w:rsidP="00F303BF">
            <w:pPr>
              <w:pStyle w:val="tabletext"/>
              <w:rPr>
                <w:lang w:val="en-US" w:eastAsia="en-US"/>
              </w:rPr>
            </w:pPr>
            <w:r w:rsidRPr="00F303BF">
              <w:rPr>
                <w:lang w:val="en-US" w:eastAsia="en-US"/>
              </w:rPr>
              <w:t>59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9ADC54F" w14:textId="77777777" w:rsidR="00F303BF" w:rsidRPr="006B273B" w:rsidRDefault="00F303BF" w:rsidP="00F303BF">
            <w:pPr>
              <w:pStyle w:val="tabletext"/>
              <w:rPr>
                <w:lang w:val="en-US" w:eastAsia="en-US"/>
              </w:rPr>
            </w:pPr>
            <w:r w:rsidRPr="006B273B">
              <w:rPr>
                <w:lang w:val="en-US" w:eastAsia="en-US"/>
              </w:rPr>
              <w:t>Subsection 18(1)</w:t>
            </w:r>
          </w:p>
        </w:tc>
      </w:tr>
      <w:tr w:rsidR="00F303BF" w:rsidRPr="00F303BF" w14:paraId="38F2305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0B4A7DA" w14:textId="77777777" w:rsidR="00F303BF" w:rsidRPr="00F303BF" w:rsidRDefault="00F303BF" w:rsidP="00F303BF">
            <w:pPr>
              <w:pStyle w:val="tabletext"/>
              <w:rPr>
                <w:lang w:val="en-US" w:eastAsia="en-US"/>
              </w:rPr>
            </w:pPr>
            <w:r w:rsidRPr="00F303BF">
              <w:rPr>
                <w:lang w:val="en-US" w:eastAsia="en-US"/>
              </w:rPr>
              <w:t>60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D985B44" w14:textId="77777777" w:rsidR="00F303BF" w:rsidRPr="006B273B" w:rsidRDefault="00F303BF" w:rsidP="00F303BF">
            <w:pPr>
              <w:pStyle w:val="tabletext"/>
              <w:rPr>
                <w:lang w:val="en-US" w:eastAsia="en-US"/>
              </w:rPr>
            </w:pPr>
            <w:r w:rsidRPr="006B273B">
              <w:rPr>
                <w:lang w:val="en-US" w:eastAsia="en-US"/>
              </w:rPr>
              <w:t>Subsection 18(1) (note 1)</w:t>
            </w:r>
          </w:p>
        </w:tc>
      </w:tr>
      <w:tr w:rsidR="00F303BF" w:rsidRPr="00F303BF" w14:paraId="130C90F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E3493DA" w14:textId="77777777" w:rsidR="00F303BF" w:rsidRPr="00F303BF" w:rsidRDefault="00F303BF" w:rsidP="00F303BF">
            <w:pPr>
              <w:pStyle w:val="tabletext"/>
              <w:rPr>
                <w:lang w:val="en-US" w:eastAsia="en-US"/>
              </w:rPr>
            </w:pPr>
            <w:r w:rsidRPr="00F303BF">
              <w:rPr>
                <w:lang w:val="en-US" w:eastAsia="en-US"/>
              </w:rPr>
              <w:lastRenderedPageBreak/>
              <w:t>61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218F8C7" w14:textId="77777777" w:rsidR="00F303BF" w:rsidRPr="006B273B" w:rsidRDefault="00F303BF" w:rsidP="00F303BF">
            <w:pPr>
              <w:pStyle w:val="tabletext"/>
              <w:rPr>
                <w:lang w:val="en-US" w:eastAsia="en-US"/>
              </w:rPr>
            </w:pPr>
            <w:r w:rsidRPr="006B273B">
              <w:rPr>
                <w:lang w:val="en-US" w:eastAsia="en-US"/>
              </w:rPr>
              <w:t>Subsection 18(1A)</w:t>
            </w:r>
          </w:p>
        </w:tc>
      </w:tr>
      <w:tr w:rsidR="00F303BF" w:rsidRPr="00F303BF" w14:paraId="25861E1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421D65A" w14:textId="77777777" w:rsidR="00F303BF" w:rsidRPr="00F303BF" w:rsidRDefault="00F303BF" w:rsidP="00F303BF">
            <w:pPr>
              <w:pStyle w:val="tabletext"/>
              <w:rPr>
                <w:lang w:val="en-US" w:eastAsia="en-US"/>
              </w:rPr>
            </w:pPr>
            <w:r w:rsidRPr="00F303BF">
              <w:rPr>
                <w:lang w:val="en-US" w:eastAsia="en-US"/>
              </w:rPr>
              <w:t>62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1293941" w14:textId="77777777" w:rsidR="00F303BF" w:rsidRPr="006B273B" w:rsidRDefault="00F303BF" w:rsidP="00F303BF">
            <w:pPr>
              <w:pStyle w:val="tabletext"/>
              <w:rPr>
                <w:lang w:val="en-US" w:eastAsia="en-US"/>
              </w:rPr>
            </w:pPr>
            <w:r w:rsidRPr="006B273B">
              <w:rPr>
                <w:lang w:val="en-US" w:eastAsia="en-US"/>
              </w:rPr>
              <w:t>Subsection 18(2)</w:t>
            </w:r>
          </w:p>
        </w:tc>
      </w:tr>
      <w:tr w:rsidR="00F303BF" w:rsidRPr="00F303BF" w14:paraId="7956A88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53C7FDE" w14:textId="77777777" w:rsidR="00F303BF" w:rsidRPr="00F303BF" w:rsidRDefault="00F303BF" w:rsidP="00F303BF">
            <w:pPr>
              <w:pStyle w:val="tabletext"/>
              <w:rPr>
                <w:lang w:val="en-US" w:eastAsia="en-US"/>
              </w:rPr>
            </w:pPr>
            <w:r w:rsidRPr="00F303BF">
              <w:rPr>
                <w:lang w:val="en-US" w:eastAsia="en-US"/>
              </w:rPr>
              <w:t>63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D023923" w14:textId="77777777" w:rsidR="00F303BF" w:rsidRPr="006B273B" w:rsidRDefault="00F303BF" w:rsidP="00F303BF">
            <w:pPr>
              <w:pStyle w:val="tabletext"/>
              <w:rPr>
                <w:lang w:val="en-US" w:eastAsia="en-US"/>
              </w:rPr>
            </w:pPr>
            <w:r w:rsidRPr="006B273B">
              <w:rPr>
                <w:lang w:val="en-US" w:eastAsia="en-US"/>
              </w:rPr>
              <w:t>Paragraph 18(3)(a)</w:t>
            </w:r>
          </w:p>
        </w:tc>
      </w:tr>
      <w:tr w:rsidR="00F303BF" w:rsidRPr="00F303BF" w14:paraId="7A98B30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C8B2236" w14:textId="77777777" w:rsidR="00F303BF" w:rsidRPr="00F303BF" w:rsidRDefault="00F303BF" w:rsidP="00F303BF">
            <w:pPr>
              <w:pStyle w:val="tabletext"/>
              <w:rPr>
                <w:lang w:val="en-US" w:eastAsia="en-US"/>
              </w:rPr>
            </w:pPr>
            <w:r w:rsidRPr="00F303BF">
              <w:rPr>
                <w:lang w:val="en-US" w:eastAsia="en-US"/>
              </w:rPr>
              <w:t>64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0AC3C78" w14:textId="77777777" w:rsidR="00F303BF" w:rsidRPr="006B273B" w:rsidRDefault="00F303BF" w:rsidP="00F303BF">
            <w:pPr>
              <w:pStyle w:val="tabletext"/>
              <w:rPr>
                <w:lang w:val="en-US" w:eastAsia="en-US"/>
              </w:rPr>
            </w:pPr>
            <w:r w:rsidRPr="006B273B">
              <w:rPr>
                <w:lang w:val="en-US" w:eastAsia="en-US"/>
              </w:rPr>
              <w:t>Paragraph 18(3)(c)</w:t>
            </w:r>
          </w:p>
        </w:tc>
      </w:tr>
      <w:tr w:rsidR="00F303BF" w:rsidRPr="00F303BF" w14:paraId="42D49A4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F19729B" w14:textId="77777777" w:rsidR="00F303BF" w:rsidRPr="00F303BF" w:rsidRDefault="00F303BF" w:rsidP="00F303BF">
            <w:pPr>
              <w:pStyle w:val="tabletext"/>
              <w:rPr>
                <w:lang w:val="en-US" w:eastAsia="en-US"/>
              </w:rPr>
            </w:pPr>
            <w:r w:rsidRPr="00F303BF">
              <w:rPr>
                <w:lang w:val="en-US" w:eastAsia="en-US"/>
              </w:rPr>
              <w:t>65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E4E7469" w14:textId="77777777" w:rsidR="00F303BF" w:rsidRPr="006B273B" w:rsidRDefault="00F303BF" w:rsidP="00F303BF">
            <w:pPr>
              <w:pStyle w:val="tabletext"/>
              <w:rPr>
                <w:lang w:val="en-US" w:eastAsia="en-US"/>
              </w:rPr>
            </w:pPr>
            <w:r w:rsidRPr="006B273B">
              <w:rPr>
                <w:lang w:val="en-US" w:eastAsia="en-US"/>
              </w:rPr>
              <w:t>Paragraph 18(4)(a)</w:t>
            </w:r>
          </w:p>
        </w:tc>
      </w:tr>
      <w:tr w:rsidR="00F303BF" w:rsidRPr="00F303BF" w14:paraId="7D3D37C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12FE0EC" w14:textId="77777777" w:rsidR="00F303BF" w:rsidRPr="00F303BF" w:rsidRDefault="00F303BF" w:rsidP="00F303BF">
            <w:pPr>
              <w:pStyle w:val="tabletext"/>
              <w:rPr>
                <w:lang w:val="en-US" w:eastAsia="en-US"/>
              </w:rPr>
            </w:pPr>
            <w:r w:rsidRPr="00F303BF">
              <w:rPr>
                <w:lang w:val="en-US" w:eastAsia="en-US"/>
              </w:rPr>
              <w:t>66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4D4A7FB" w14:textId="77777777" w:rsidR="00F303BF" w:rsidRPr="006B273B" w:rsidRDefault="00F303BF" w:rsidP="00F303BF">
            <w:pPr>
              <w:pStyle w:val="tabletext"/>
              <w:rPr>
                <w:lang w:val="en-US" w:eastAsia="en-US"/>
              </w:rPr>
            </w:pPr>
            <w:r w:rsidRPr="006B273B">
              <w:rPr>
                <w:lang w:val="en-US" w:eastAsia="en-US"/>
              </w:rPr>
              <w:t>Paragraph 18(4)(b)</w:t>
            </w:r>
          </w:p>
        </w:tc>
      </w:tr>
      <w:tr w:rsidR="00F303BF" w:rsidRPr="00F303BF" w14:paraId="1A58708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090AC59" w14:textId="77777777" w:rsidR="00F303BF" w:rsidRPr="00F303BF" w:rsidRDefault="00F303BF" w:rsidP="00F303BF">
            <w:pPr>
              <w:pStyle w:val="tabletext"/>
              <w:rPr>
                <w:lang w:val="en-US" w:eastAsia="en-US"/>
              </w:rPr>
            </w:pPr>
            <w:r w:rsidRPr="00F303BF">
              <w:rPr>
                <w:lang w:val="en-US" w:eastAsia="en-US"/>
              </w:rPr>
              <w:t>67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930A5E1" w14:textId="77777777" w:rsidR="00F303BF" w:rsidRPr="006B273B" w:rsidRDefault="00F303BF" w:rsidP="00F303BF">
            <w:pPr>
              <w:pStyle w:val="tabletext"/>
              <w:rPr>
                <w:lang w:val="en-US" w:eastAsia="en-US"/>
              </w:rPr>
            </w:pPr>
            <w:r w:rsidRPr="006B273B">
              <w:rPr>
                <w:lang w:val="en-US" w:eastAsia="en-US"/>
              </w:rPr>
              <w:t>Subsection 18(4)</w:t>
            </w:r>
          </w:p>
        </w:tc>
      </w:tr>
      <w:tr w:rsidR="00F303BF" w:rsidRPr="00F303BF" w14:paraId="750FE79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DE1789B" w14:textId="77777777" w:rsidR="00F303BF" w:rsidRPr="00F303BF" w:rsidRDefault="00F303BF" w:rsidP="00F303BF">
            <w:pPr>
              <w:pStyle w:val="tabletext"/>
              <w:rPr>
                <w:lang w:val="en-US" w:eastAsia="en-US"/>
              </w:rPr>
            </w:pPr>
            <w:r w:rsidRPr="00F303BF">
              <w:rPr>
                <w:lang w:val="en-US" w:eastAsia="en-US"/>
              </w:rPr>
              <w:t>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DDCA76D" w14:textId="77777777" w:rsidR="00F303BF" w:rsidRPr="006B273B" w:rsidRDefault="00F303BF" w:rsidP="00F303BF">
            <w:pPr>
              <w:pStyle w:val="tabletext"/>
              <w:rPr>
                <w:lang w:val="en-US" w:eastAsia="en-US"/>
              </w:rPr>
            </w:pPr>
            <w:r w:rsidRPr="006B273B">
              <w:rPr>
                <w:lang w:val="en-US" w:eastAsia="en-US"/>
              </w:rPr>
              <w:t>Subsection 18(5)</w:t>
            </w:r>
          </w:p>
        </w:tc>
      </w:tr>
      <w:tr w:rsidR="00F303BF" w:rsidRPr="00F303BF" w14:paraId="10EB238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E35B598" w14:textId="77777777" w:rsidR="00F303BF" w:rsidRPr="00F303BF" w:rsidRDefault="00F303BF" w:rsidP="00F303BF">
            <w:pPr>
              <w:pStyle w:val="tabletext"/>
              <w:rPr>
                <w:lang w:val="en-US" w:eastAsia="en-US"/>
              </w:rPr>
            </w:pPr>
            <w:r w:rsidRPr="00F303BF">
              <w:rPr>
                <w:lang w:val="en-US" w:eastAsia="en-US"/>
              </w:rPr>
              <w:t>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D848B91" w14:textId="77777777" w:rsidR="00F303BF" w:rsidRPr="006B273B" w:rsidRDefault="00F303BF" w:rsidP="00F303BF">
            <w:pPr>
              <w:pStyle w:val="tabletext"/>
              <w:rPr>
                <w:lang w:val="en-US" w:eastAsia="en-US"/>
              </w:rPr>
            </w:pPr>
            <w:r w:rsidRPr="006B273B">
              <w:rPr>
                <w:lang w:val="en-US" w:eastAsia="en-US"/>
              </w:rPr>
              <w:t>Paragraph 18(6)(a)</w:t>
            </w:r>
          </w:p>
        </w:tc>
      </w:tr>
      <w:tr w:rsidR="00F303BF" w:rsidRPr="00F303BF" w14:paraId="47E1327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7BFA507" w14:textId="77777777" w:rsidR="00F303BF" w:rsidRPr="00F303BF" w:rsidRDefault="00F303BF" w:rsidP="00F303BF">
            <w:pPr>
              <w:pStyle w:val="tabletext"/>
              <w:rPr>
                <w:lang w:val="en-US" w:eastAsia="en-US"/>
              </w:rPr>
            </w:pPr>
            <w:r w:rsidRPr="00F303BF">
              <w:rPr>
                <w:lang w:val="en-US" w:eastAsia="en-US"/>
              </w:rPr>
              <w:t>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E2AB7FC" w14:textId="77777777" w:rsidR="00F303BF" w:rsidRPr="006B273B" w:rsidRDefault="00F303BF" w:rsidP="00F303BF">
            <w:pPr>
              <w:pStyle w:val="tabletext"/>
              <w:rPr>
                <w:lang w:val="en-US" w:eastAsia="en-US"/>
              </w:rPr>
            </w:pPr>
            <w:r w:rsidRPr="006B273B">
              <w:rPr>
                <w:lang w:val="en-US" w:eastAsia="en-US"/>
              </w:rPr>
              <w:t>Paragraph 18(6)(c)</w:t>
            </w:r>
          </w:p>
        </w:tc>
      </w:tr>
      <w:tr w:rsidR="00F303BF" w:rsidRPr="00F303BF" w14:paraId="403C7DF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559B2B5" w14:textId="77777777" w:rsidR="00F303BF" w:rsidRPr="00F303BF" w:rsidRDefault="00F303BF" w:rsidP="00F303BF">
            <w:pPr>
              <w:pStyle w:val="tabletext"/>
              <w:rPr>
                <w:lang w:val="en-US" w:eastAsia="en-US"/>
              </w:rPr>
            </w:pPr>
            <w:r w:rsidRPr="00F303BF">
              <w:rPr>
                <w:lang w:val="en-US" w:eastAsia="en-US"/>
              </w:rPr>
              <w:t>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D299B6C" w14:textId="77777777" w:rsidR="00F303BF" w:rsidRPr="006B273B" w:rsidRDefault="00F303BF" w:rsidP="00F303BF">
            <w:pPr>
              <w:pStyle w:val="tabletext"/>
              <w:rPr>
                <w:lang w:val="en-US" w:eastAsia="en-US"/>
              </w:rPr>
            </w:pPr>
            <w:r w:rsidRPr="006B273B">
              <w:rPr>
                <w:lang w:val="en-US" w:eastAsia="en-US"/>
              </w:rPr>
              <w:t>Subsection 19(1)</w:t>
            </w:r>
          </w:p>
        </w:tc>
      </w:tr>
      <w:tr w:rsidR="00F303BF" w:rsidRPr="00F303BF" w14:paraId="2AEFBC7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BBA2135" w14:textId="77777777" w:rsidR="00F303BF" w:rsidRPr="00F303BF" w:rsidRDefault="00F303BF" w:rsidP="00F303BF">
            <w:pPr>
              <w:pStyle w:val="tabletext"/>
              <w:rPr>
                <w:lang w:val="en-US" w:eastAsia="en-US"/>
              </w:rPr>
            </w:pPr>
            <w:r w:rsidRPr="00F303BF">
              <w:rPr>
                <w:lang w:val="en-US" w:eastAsia="en-US"/>
              </w:rPr>
              <w:t>72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E98E756" w14:textId="77777777" w:rsidR="00F303BF" w:rsidRPr="006B273B" w:rsidRDefault="00F303BF" w:rsidP="00F303BF">
            <w:pPr>
              <w:pStyle w:val="tabletext"/>
              <w:rPr>
                <w:lang w:val="en-US" w:eastAsia="en-US"/>
              </w:rPr>
            </w:pPr>
            <w:r w:rsidRPr="006B273B">
              <w:rPr>
                <w:lang w:val="en-US" w:eastAsia="en-US"/>
              </w:rPr>
              <w:t>Subsection 19(2)</w:t>
            </w:r>
          </w:p>
        </w:tc>
      </w:tr>
      <w:tr w:rsidR="00F303BF" w:rsidRPr="00F303BF" w14:paraId="6E90232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1DDC20" w14:textId="77777777" w:rsidR="00F303BF" w:rsidRPr="00F303BF" w:rsidRDefault="00F303BF" w:rsidP="00F303BF">
            <w:pPr>
              <w:pStyle w:val="tabletext"/>
              <w:rPr>
                <w:lang w:val="en-US" w:eastAsia="en-US"/>
              </w:rPr>
            </w:pPr>
            <w:r w:rsidRPr="00F303BF">
              <w:rPr>
                <w:lang w:val="en-US" w:eastAsia="en-US"/>
              </w:rPr>
              <w:t>73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692889F" w14:textId="77777777" w:rsidR="00F303BF" w:rsidRPr="006B273B" w:rsidRDefault="00F303BF" w:rsidP="00F303BF">
            <w:pPr>
              <w:pStyle w:val="tabletext"/>
              <w:rPr>
                <w:lang w:val="en-US" w:eastAsia="en-US"/>
              </w:rPr>
            </w:pPr>
            <w:r w:rsidRPr="006B273B">
              <w:rPr>
                <w:lang w:val="en-US" w:eastAsia="en-US"/>
              </w:rPr>
              <w:t>Subsection 21(2) (table item 7)</w:t>
            </w:r>
          </w:p>
        </w:tc>
      </w:tr>
      <w:tr w:rsidR="00F303BF" w:rsidRPr="00F303BF" w14:paraId="6AC38C2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AA1CF36" w14:textId="77777777" w:rsidR="00F303BF" w:rsidRPr="00F303BF" w:rsidRDefault="00F303BF" w:rsidP="00F303BF">
            <w:pPr>
              <w:pStyle w:val="tabletext"/>
              <w:rPr>
                <w:lang w:val="en-US" w:eastAsia="en-US"/>
              </w:rPr>
            </w:pPr>
            <w:r w:rsidRPr="00F303BF">
              <w:rPr>
                <w:lang w:val="en-US" w:eastAsia="en-US"/>
              </w:rPr>
              <w:t>74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971313" w14:textId="77777777" w:rsidR="00F303BF" w:rsidRPr="006B273B" w:rsidRDefault="00F303BF" w:rsidP="00F303BF">
            <w:pPr>
              <w:pStyle w:val="tabletext"/>
              <w:rPr>
                <w:lang w:val="en-US" w:eastAsia="en-US"/>
              </w:rPr>
            </w:pPr>
            <w:r w:rsidRPr="006B273B">
              <w:rPr>
                <w:lang w:val="en-US" w:eastAsia="en-US"/>
              </w:rPr>
              <w:t>Division 10 of Part 3 (heading)</w:t>
            </w:r>
          </w:p>
        </w:tc>
      </w:tr>
      <w:tr w:rsidR="00F303BF" w:rsidRPr="00F303BF" w14:paraId="06C0F79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AE5971A" w14:textId="77777777" w:rsidR="00F303BF" w:rsidRPr="00F303BF" w:rsidRDefault="00F303BF" w:rsidP="00F303BF">
            <w:pPr>
              <w:pStyle w:val="tabletext"/>
              <w:rPr>
                <w:lang w:val="en-US" w:eastAsia="en-US"/>
              </w:rPr>
            </w:pPr>
            <w:r w:rsidRPr="00F303BF">
              <w:rPr>
                <w:lang w:val="en-US" w:eastAsia="en-US"/>
              </w:rPr>
              <w:t>75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4E2AAD9" w14:textId="77777777" w:rsidR="00F303BF" w:rsidRPr="006B273B" w:rsidRDefault="00F303BF" w:rsidP="00F303BF">
            <w:pPr>
              <w:pStyle w:val="tabletext"/>
              <w:rPr>
                <w:lang w:val="en-US" w:eastAsia="en-US"/>
              </w:rPr>
            </w:pPr>
            <w:r w:rsidRPr="006B273B">
              <w:rPr>
                <w:lang w:val="en-US" w:eastAsia="en-US"/>
              </w:rPr>
              <w:t>Section 24</w:t>
            </w:r>
          </w:p>
        </w:tc>
      </w:tr>
      <w:tr w:rsidR="00F303BF" w:rsidRPr="00F303BF" w14:paraId="47E18FD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3E7FF07" w14:textId="77777777" w:rsidR="00F303BF" w:rsidRPr="00F303BF" w:rsidRDefault="00F303BF" w:rsidP="00F303BF">
            <w:pPr>
              <w:pStyle w:val="tabletext"/>
              <w:rPr>
                <w:lang w:val="en-US" w:eastAsia="en-US"/>
              </w:rPr>
            </w:pPr>
            <w:r w:rsidRPr="00F303BF">
              <w:rPr>
                <w:lang w:val="en-US" w:eastAsia="en-US"/>
              </w:rPr>
              <w:t>76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62F83D6" w14:textId="77777777" w:rsidR="00F303BF" w:rsidRPr="006B273B" w:rsidRDefault="00F303BF" w:rsidP="00F303BF">
            <w:pPr>
              <w:pStyle w:val="tabletext"/>
              <w:rPr>
                <w:lang w:val="en-US" w:eastAsia="en-US"/>
              </w:rPr>
            </w:pPr>
            <w:r w:rsidRPr="006B273B">
              <w:rPr>
                <w:lang w:val="en-US" w:eastAsia="en-US"/>
              </w:rPr>
              <w:t>Section 25</w:t>
            </w:r>
          </w:p>
        </w:tc>
      </w:tr>
      <w:tr w:rsidR="00F303BF" w:rsidRPr="00F303BF" w14:paraId="502BA46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35828E9" w14:textId="77777777" w:rsidR="00F303BF" w:rsidRPr="00F303BF" w:rsidRDefault="00F303BF" w:rsidP="00F303BF">
            <w:pPr>
              <w:pStyle w:val="tabletext"/>
              <w:rPr>
                <w:lang w:val="en-US" w:eastAsia="en-US"/>
              </w:rPr>
            </w:pPr>
            <w:r w:rsidRPr="00F303BF">
              <w:rPr>
                <w:lang w:val="en-US" w:eastAsia="en-US"/>
              </w:rPr>
              <w:t>80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8264B82" w14:textId="77777777" w:rsidR="00F303BF" w:rsidRPr="006B273B" w:rsidRDefault="00F303BF" w:rsidP="00F303BF">
            <w:pPr>
              <w:pStyle w:val="tabletext"/>
              <w:rPr>
                <w:lang w:val="en-US" w:eastAsia="en-US"/>
              </w:rPr>
            </w:pPr>
            <w:r w:rsidRPr="006B273B">
              <w:rPr>
                <w:lang w:val="en-US" w:eastAsia="en-US"/>
              </w:rPr>
              <w:t>Section 41</w:t>
            </w:r>
          </w:p>
        </w:tc>
      </w:tr>
      <w:tr w:rsidR="00F303BF" w:rsidRPr="00F303BF" w14:paraId="17B3B42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54EC5A8" w14:textId="77777777" w:rsidR="00F303BF" w:rsidRPr="00F303BF" w:rsidRDefault="00F303BF" w:rsidP="00F303BF">
            <w:pPr>
              <w:pStyle w:val="tabletext"/>
              <w:rPr>
                <w:lang w:val="en-US" w:eastAsia="en-US"/>
              </w:rPr>
            </w:pPr>
            <w:r w:rsidRPr="00F303BF">
              <w:rPr>
                <w:lang w:val="en-US" w:eastAsia="en-US"/>
              </w:rPr>
              <w:t>82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A018763" w14:textId="77777777" w:rsidR="00F303BF" w:rsidRPr="006B273B" w:rsidRDefault="00F303BF" w:rsidP="00F303BF">
            <w:pPr>
              <w:pStyle w:val="tabletext"/>
              <w:rPr>
                <w:lang w:val="en-US" w:eastAsia="en-US"/>
              </w:rPr>
            </w:pPr>
            <w:r w:rsidRPr="006B273B">
              <w:rPr>
                <w:lang w:val="en-US" w:eastAsia="en-US"/>
              </w:rPr>
              <w:t>Section 41</w:t>
            </w:r>
          </w:p>
        </w:tc>
      </w:tr>
      <w:tr w:rsidR="00F303BF" w:rsidRPr="00F303BF" w14:paraId="30E2EF9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4126E04" w14:textId="77777777" w:rsidR="00F303BF" w:rsidRPr="00F303BF" w:rsidRDefault="00F303BF" w:rsidP="00F303BF">
            <w:pPr>
              <w:pStyle w:val="tabletext"/>
              <w:rPr>
                <w:lang w:val="en-US" w:eastAsia="en-US"/>
              </w:rPr>
            </w:pPr>
            <w:r w:rsidRPr="00F303BF">
              <w:rPr>
                <w:lang w:val="en-US" w:eastAsia="en-US"/>
              </w:rPr>
              <w:t>84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2137E59" w14:textId="77777777" w:rsidR="00F303BF" w:rsidRPr="006B273B" w:rsidRDefault="00F303BF" w:rsidP="00F303BF">
            <w:pPr>
              <w:pStyle w:val="tabletext"/>
              <w:rPr>
                <w:lang w:val="en-US" w:eastAsia="en-US"/>
              </w:rPr>
            </w:pPr>
            <w:r w:rsidRPr="006B273B">
              <w:rPr>
                <w:lang w:val="en-US" w:eastAsia="en-US"/>
              </w:rPr>
              <w:t>Section 41</w:t>
            </w:r>
          </w:p>
        </w:tc>
      </w:tr>
      <w:tr w:rsidR="00947E92" w:rsidRPr="00F303BF" w14:paraId="6EF6D89D"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5EB0A" w14:textId="77777777" w:rsidR="00947E92" w:rsidRPr="006B273B" w:rsidRDefault="00947E92" w:rsidP="00F303BF">
            <w:pPr>
              <w:pStyle w:val="tabletext"/>
              <w:rPr>
                <w:b/>
                <w:lang w:val="en-US" w:eastAsia="en-US"/>
              </w:rPr>
            </w:pPr>
            <w:r w:rsidRPr="006B273B">
              <w:rPr>
                <w:b/>
                <w:lang w:val="en-US" w:eastAsia="en-US"/>
              </w:rPr>
              <w:t>A New Tax System (Goods and Services Tax) Act 1999</w:t>
            </w:r>
          </w:p>
        </w:tc>
      </w:tr>
      <w:tr w:rsidR="00F303BF" w:rsidRPr="00F303BF" w14:paraId="7FBDA4D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EE0F427" w14:textId="77777777" w:rsidR="00F303BF" w:rsidRPr="00F303BF" w:rsidRDefault="00F303BF" w:rsidP="00F303BF">
            <w:pPr>
              <w:pStyle w:val="tabletext"/>
              <w:rPr>
                <w:lang w:val="en-US" w:eastAsia="en-US"/>
              </w:rPr>
            </w:pPr>
            <w:r w:rsidRPr="00F303BF">
              <w:rPr>
                <w:lang w:val="en-US" w:eastAsia="en-US"/>
              </w:rPr>
              <w:t>88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7032C0C" w14:textId="77777777" w:rsidR="00F303BF" w:rsidRPr="006B273B" w:rsidRDefault="00F303BF" w:rsidP="00F303BF">
            <w:pPr>
              <w:pStyle w:val="tabletext"/>
              <w:rPr>
                <w:lang w:val="en-US" w:eastAsia="en-US"/>
              </w:rPr>
            </w:pPr>
            <w:r w:rsidRPr="006B273B">
              <w:rPr>
                <w:lang w:val="en-US" w:eastAsia="en-US"/>
              </w:rPr>
              <w:t>Subsection 25-10(2)</w:t>
            </w:r>
          </w:p>
        </w:tc>
      </w:tr>
      <w:tr w:rsidR="00F303BF" w:rsidRPr="00F303BF" w14:paraId="0314159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968EBAD" w14:textId="77777777" w:rsidR="00F303BF" w:rsidRPr="00F303BF" w:rsidRDefault="00F303BF" w:rsidP="00F303BF">
            <w:pPr>
              <w:pStyle w:val="tabletext"/>
              <w:rPr>
                <w:lang w:val="en-US" w:eastAsia="en-US"/>
              </w:rPr>
            </w:pPr>
            <w:r w:rsidRPr="00F303BF">
              <w:rPr>
                <w:lang w:val="en-US" w:eastAsia="en-US"/>
              </w:rPr>
              <w:t>89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926082A" w14:textId="77777777" w:rsidR="00F303BF" w:rsidRPr="006B273B" w:rsidRDefault="00F303BF" w:rsidP="00F303BF">
            <w:pPr>
              <w:pStyle w:val="tabletext"/>
              <w:rPr>
                <w:lang w:val="en-US" w:eastAsia="en-US"/>
              </w:rPr>
            </w:pPr>
            <w:r w:rsidRPr="006B273B">
              <w:rPr>
                <w:lang w:val="en-US" w:eastAsia="en-US"/>
              </w:rPr>
              <w:t>Subsection 25-60(2)</w:t>
            </w:r>
          </w:p>
        </w:tc>
      </w:tr>
      <w:tr w:rsidR="00947E92" w:rsidRPr="00F303BF" w14:paraId="7C178300"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A0826" w14:textId="77777777" w:rsidR="00947E92" w:rsidRPr="006B273B" w:rsidRDefault="00947E92" w:rsidP="00F303BF">
            <w:pPr>
              <w:pStyle w:val="tabletext"/>
              <w:rPr>
                <w:b/>
                <w:lang w:val="en-US" w:eastAsia="en-US"/>
              </w:rPr>
            </w:pPr>
            <w:r w:rsidRPr="006B273B">
              <w:rPr>
                <w:b/>
                <w:lang w:val="en-US" w:eastAsia="en-US"/>
              </w:rPr>
              <w:t>Australian Prudential Regulation Authority Act 1998</w:t>
            </w:r>
          </w:p>
        </w:tc>
      </w:tr>
      <w:tr w:rsidR="00F303BF" w:rsidRPr="00F303BF" w14:paraId="46197F4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D09981A" w14:textId="77777777" w:rsidR="00F303BF" w:rsidRPr="00F303BF" w:rsidRDefault="00F303BF" w:rsidP="00F303BF">
            <w:pPr>
              <w:pStyle w:val="tabletext"/>
              <w:rPr>
                <w:lang w:val="en-US" w:eastAsia="en-US"/>
              </w:rPr>
            </w:pPr>
            <w:r w:rsidRPr="00F303BF">
              <w:rPr>
                <w:lang w:val="en-US" w:eastAsia="en-US"/>
              </w:rPr>
              <w:t>99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41CF615" w14:textId="77777777" w:rsidR="00F303BF" w:rsidRPr="006B273B" w:rsidRDefault="00F303BF" w:rsidP="00F303BF">
            <w:pPr>
              <w:pStyle w:val="tabletext"/>
              <w:rPr>
                <w:lang w:val="en-US" w:eastAsia="en-US"/>
              </w:rPr>
            </w:pPr>
            <w:r w:rsidRPr="006B273B">
              <w:rPr>
                <w:lang w:val="en-US" w:eastAsia="en-US"/>
              </w:rPr>
              <w:t>Subsection 56(7C)</w:t>
            </w:r>
          </w:p>
        </w:tc>
      </w:tr>
      <w:tr w:rsidR="00947E92" w:rsidRPr="00F303BF" w14:paraId="136E7864"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65BD9" w14:textId="77777777" w:rsidR="00947E92" w:rsidRPr="006B273B" w:rsidRDefault="00947E92" w:rsidP="00F303BF">
            <w:pPr>
              <w:pStyle w:val="tabletext"/>
              <w:rPr>
                <w:b/>
                <w:lang w:val="en-US" w:eastAsia="en-US"/>
              </w:rPr>
            </w:pPr>
            <w:r w:rsidRPr="006B273B">
              <w:rPr>
                <w:b/>
                <w:lang w:val="en-US" w:eastAsia="en-US"/>
              </w:rPr>
              <w:t>BNR Act</w:t>
            </w:r>
          </w:p>
        </w:tc>
      </w:tr>
      <w:tr w:rsidR="00F303BF" w:rsidRPr="00F303BF" w14:paraId="49688CF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00D3EAA" w14:textId="77777777" w:rsidR="00F303BF" w:rsidRPr="00F303BF" w:rsidRDefault="00F303BF" w:rsidP="00F303BF">
            <w:pPr>
              <w:pStyle w:val="tabletext"/>
              <w:rPr>
                <w:lang w:val="en-US" w:eastAsia="en-US"/>
              </w:rPr>
            </w:pPr>
            <w:r w:rsidRPr="00F303BF">
              <w:rPr>
                <w:lang w:val="en-US" w:eastAsia="en-US"/>
              </w:rPr>
              <w:t>106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729CB49" w14:textId="77777777" w:rsidR="00F303BF" w:rsidRPr="006B273B" w:rsidRDefault="00F303BF" w:rsidP="00F303BF">
            <w:pPr>
              <w:pStyle w:val="tabletext"/>
              <w:rPr>
                <w:lang w:val="en-US" w:eastAsia="en-US"/>
              </w:rPr>
            </w:pPr>
            <w:r w:rsidRPr="006B273B">
              <w:rPr>
                <w:lang w:val="en-US" w:eastAsia="en-US"/>
              </w:rPr>
              <w:t>Section 3</w:t>
            </w:r>
          </w:p>
        </w:tc>
      </w:tr>
      <w:tr w:rsidR="00F303BF" w:rsidRPr="00F303BF" w14:paraId="15AAD42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F459E3" w14:textId="77777777" w:rsidR="00F303BF" w:rsidRPr="00F303BF" w:rsidRDefault="00F303BF" w:rsidP="00F303BF">
            <w:pPr>
              <w:pStyle w:val="tabletext"/>
              <w:rPr>
                <w:lang w:val="en-US" w:eastAsia="en-US"/>
              </w:rPr>
            </w:pPr>
            <w:r w:rsidRPr="00F303BF">
              <w:rPr>
                <w:lang w:val="en-US" w:eastAsia="en-US"/>
              </w:rPr>
              <w:t>109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B292CDD" w14:textId="77777777" w:rsidR="00F303BF" w:rsidRPr="006B273B" w:rsidRDefault="00F303BF" w:rsidP="00F303BF">
            <w:pPr>
              <w:pStyle w:val="tabletext"/>
              <w:rPr>
                <w:lang w:val="en-US" w:eastAsia="en-US"/>
              </w:rPr>
            </w:pPr>
            <w:r w:rsidRPr="006B273B">
              <w:rPr>
                <w:lang w:val="en-US" w:eastAsia="en-US"/>
              </w:rPr>
              <w:t>Section 3 (definition of notified successor)</w:t>
            </w:r>
          </w:p>
        </w:tc>
      </w:tr>
      <w:tr w:rsidR="00F303BF" w:rsidRPr="00F303BF" w14:paraId="075339A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598D885" w14:textId="77777777" w:rsidR="00F303BF" w:rsidRPr="00F303BF" w:rsidRDefault="00F303BF" w:rsidP="00F303BF">
            <w:pPr>
              <w:pStyle w:val="tabletext"/>
              <w:rPr>
                <w:lang w:val="en-US" w:eastAsia="en-US"/>
              </w:rPr>
            </w:pPr>
            <w:r w:rsidRPr="00F303BF">
              <w:rPr>
                <w:lang w:val="en-US" w:eastAsia="en-US"/>
              </w:rPr>
              <w:t>112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3B73AAF" w14:textId="77777777" w:rsidR="00F303BF" w:rsidRPr="006B273B" w:rsidRDefault="00F303BF" w:rsidP="00F303BF">
            <w:pPr>
              <w:pStyle w:val="tabletext"/>
              <w:rPr>
                <w:lang w:val="en-US" w:eastAsia="en-US"/>
              </w:rPr>
            </w:pPr>
            <w:r w:rsidRPr="006B273B">
              <w:rPr>
                <w:lang w:val="en-US" w:eastAsia="en-US"/>
              </w:rPr>
              <w:t>Subsection 16(2)</w:t>
            </w:r>
          </w:p>
        </w:tc>
      </w:tr>
      <w:tr w:rsidR="00F303BF" w:rsidRPr="00F303BF" w14:paraId="38E25D6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ED74244" w14:textId="77777777" w:rsidR="00F303BF" w:rsidRPr="00F303BF" w:rsidRDefault="00F303BF" w:rsidP="00F303BF">
            <w:pPr>
              <w:pStyle w:val="tabletext"/>
              <w:rPr>
                <w:lang w:val="en-US" w:eastAsia="en-US"/>
              </w:rPr>
            </w:pPr>
            <w:r w:rsidRPr="00F303BF">
              <w:rPr>
                <w:lang w:val="en-US" w:eastAsia="en-US"/>
              </w:rPr>
              <w:t>113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315DD94" w14:textId="77777777" w:rsidR="00F303BF" w:rsidRPr="006B273B" w:rsidRDefault="00F303BF" w:rsidP="00F303BF">
            <w:pPr>
              <w:pStyle w:val="tabletext"/>
              <w:rPr>
                <w:lang w:val="en-US" w:eastAsia="en-US"/>
              </w:rPr>
            </w:pPr>
            <w:r w:rsidRPr="006B273B">
              <w:rPr>
                <w:lang w:val="en-US" w:eastAsia="en-US"/>
              </w:rPr>
              <w:t>Paragraph 18(1)(b)</w:t>
            </w:r>
          </w:p>
        </w:tc>
      </w:tr>
      <w:tr w:rsidR="00F303BF" w:rsidRPr="00F303BF" w14:paraId="294C794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F26A5DD" w14:textId="77777777" w:rsidR="00F303BF" w:rsidRPr="00F303BF" w:rsidRDefault="00F303BF" w:rsidP="00F303BF">
            <w:pPr>
              <w:pStyle w:val="tabletext"/>
              <w:rPr>
                <w:lang w:val="en-US" w:eastAsia="en-US"/>
              </w:rPr>
            </w:pPr>
            <w:r w:rsidRPr="00F303BF">
              <w:rPr>
                <w:lang w:val="en-US" w:eastAsia="en-US"/>
              </w:rPr>
              <w:t>117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8B600E0" w14:textId="77777777" w:rsidR="00F303BF" w:rsidRPr="006B273B" w:rsidRDefault="00F303BF" w:rsidP="00F303BF">
            <w:pPr>
              <w:pStyle w:val="tabletext"/>
              <w:rPr>
                <w:lang w:val="en-US" w:eastAsia="en-US"/>
              </w:rPr>
            </w:pPr>
            <w:r w:rsidRPr="006B273B">
              <w:rPr>
                <w:lang w:val="en-US" w:eastAsia="en-US"/>
              </w:rPr>
              <w:t>Subsections 23(2) and (3)</w:t>
            </w:r>
          </w:p>
        </w:tc>
      </w:tr>
      <w:tr w:rsidR="00F303BF" w:rsidRPr="00F303BF" w14:paraId="36CE31D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5D65656" w14:textId="77777777" w:rsidR="00F303BF" w:rsidRPr="00F303BF" w:rsidRDefault="00F303BF" w:rsidP="00F303BF">
            <w:pPr>
              <w:pStyle w:val="tabletext"/>
              <w:rPr>
                <w:lang w:val="en-US" w:eastAsia="en-US"/>
              </w:rPr>
            </w:pPr>
            <w:r w:rsidRPr="00F303BF">
              <w:rPr>
                <w:lang w:val="en-US" w:eastAsia="en-US"/>
              </w:rPr>
              <w:t>121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ABB1981" w14:textId="77777777" w:rsidR="00F303BF" w:rsidRPr="006B273B" w:rsidRDefault="00F303BF" w:rsidP="00F303BF">
            <w:pPr>
              <w:pStyle w:val="tabletext"/>
              <w:rPr>
                <w:lang w:val="en-US" w:eastAsia="en-US"/>
              </w:rPr>
            </w:pPr>
            <w:r w:rsidRPr="006B273B">
              <w:rPr>
                <w:lang w:val="en-US" w:eastAsia="en-US"/>
              </w:rPr>
              <w:t>Subsection 24(2)</w:t>
            </w:r>
          </w:p>
        </w:tc>
      </w:tr>
      <w:tr w:rsidR="00F303BF" w:rsidRPr="00F303BF" w14:paraId="39829DD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F5C00D8" w14:textId="77777777" w:rsidR="00F303BF" w:rsidRPr="00F303BF" w:rsidRDefault="00F303BF" w:rsidP="00F303BF">
            <w:pPr>
              <w:pStyle w:val="tabletext"/>
              <w:rPr>
                <w:lang w:val="en-US" w:eastAsia="en-US"/>
              </w:rPr>
            </w:pPr>
            <w:r w:rsidRPr="00F303BF">
              <w:rPr>
                <w:lang w:val="en-US" w:eastAsia="en-US"/>
              </w:rPr>
              <w:t>133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799273A" w14:textId="77777777" w:rsidR="00F303BF" w:rsidRPr="006B273B" w:rsidRDefault="00F303BF" w:rsidP="00F303BF">
            <w:pPr>
              <w:pStyle w:val="tabletext"/>
              <w:rPr>
                <w:lang w:val="en-US" w:eastAsia="en-US"/>
              </w:rPr>
            </w:pPr>
            <w:r w:rsidRPr="006B273B">
              <w:rPr>
                <w:lang w:val="en-US" w:eastAsia="en-US"/>
              </w:rPr>
              <w:t>Subsection 31(1)</w:t>
            </w:r>
          </w:p>
        </w:tc>
      </w:tr>
      <w:tr w:rsidR="00F303BF" w:rsidRPr="00F303BF" w14:paraId="4C33401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2EEC6D4" w14:textId="77777777" w:rsidR="00F303BF" w:rsidRPr="00F303BF" w:rsidRDefault="00F303BF" w:rsidP="00F303BF">
            <w:pPr>
              <w:pStyle w:val="tabletext"/>
              <w:rPr>
                <w:lang w:val="en-US" w:eastAsia="en-US"/>
              </w:rPr>
            </w:pPr>
            <w:r w:rsidRPr="00F303BF">
              <w:rPr>
                <w:lang w:val="en-US" w:eastAsia="en-US"/>
              </w:rPr>
              <w:t>134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D4E9EE9" w14:textId="77777777" w:rsidR="00F303BF" w:rsidRPr="006B273B" w:rsidRDefault="00F303BF" w:rsidP="00F303BF">
            <w:pPr>
              <w:pStyle w:val="tabletext"/>
              <w:rPr>
                <w:lang w:val="en-US" w:eastAsia="en-US"/>
              </w:rPr>
            </w:pPr>
            <w:r w:rsidRPr="006B273B">
              <w:rPr>
                <w:lang w:val="en-US" w:eastAsia="en-US"/>
              </w:rPr>
              <w:t>Subsection 31(2)</w:t>
            </w:r>
          </w:p>
        </w:tc>
      </w:tr>
      <w:tr w:rsidR="00F303BF" w:rsidRPr="00F303BF" w14:paraId="44B2944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52D838C" w14:textId="77777777" w:rsidR="00F303BF" w:rsidRPr="00F303BF" w:rsidRDefault="00F303BF" w:rsidP="00F303BF">
            <w:pPr>
              <w:pStyle w:val="tabletext"/>
              <w:rPr>
                <w:lang w:val="en-US" w:eastAsia="en-US"/>
              </w:rPr>
            </w:pPr>
            <w:r w:rsidRPr="00F303BF">
              <w:rPr>
                <w:lang w:val="en-US" w:eastAsia="en-US"/>
              </w:rPr>
              <w:t>138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E1C749E" w14:textId="77777777" w:rsidR="00F303BF" w:rsidRPr="006B273B" w:rsidRDefault="00F303BF" w:rsidP="00F303BF">
            <w:pPr>
              <w:pStyle w:val="tabletext"/>
              <w:rPr>
                <w:lang w:val="en-US" w:eastAsia="en-US"/>
              </w:rPr>
            </w:pPr>
            <w:r w:rsidRPr="006B273B">
              <w:rPr>
                <w:lang w:val="en-US" w:eastAsia="en-US"/>
              </w:rPr>
              <w:t>Subsection 31(5)</w:t>
            </w:r>
          </w:p>
        </w:tc>
      </w:tr>
      <w:tr w:rsidR="00F303BF" w:rsidRPr="00F303BF" w14:paraId="51815DB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1F07C69" w14:textId="77777777" w:rsidR="00F303BF" w:rsidRPr="00F303BF" w:rsidRDefault="00F303BF" w:rsidP="00F303BF">
            <w:pPr>
              <w:pStyle w:val="tabletext"/>
              <w:rPr>
                <w:lang w:val="en-US" w:eastAsia="en-US"/>
              </w:rPr>
            </w:pPr>
            <w:r w:rsidRPr="00F303BF">
              <w:rPr>
                <w:lang w:val="en-US" w:eastAsia="en-US"/>
              </w:rPr>
              <w:t>139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1E1763A" w14:textId="77777777" w:rsidR="00F303BF" w:rsidRPr="006B273B" w:rsidRDefault="00F303BF" w:rsidP="00F303BF">
            <w:pPr>
              <w:pStyle w:val="tabletext"/>
              <w:rPr>
                <w:lang w:val="en-US" w:eastAsia="en-US"/>
              </w:rPr>
            </w:pPr>
            <w:r w:rsidRPr="006B273B">
              <w:rPr>
                <w:lang w:val="en-US" w:eastAsia="en-US"/>
              </w:rPr>
              <w:t>Subsection 31(6) (note 2)</w:t>
            </w:r>
          </w:p>
        </w:tc>
      </w:tr>
      <w:tr w:rsidR="00F303BF" w:rsidRPr="00F303BF" w14:paraId="004AA1F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AF63795" w14:textId="77777777" w:rsidR="00F303BF" w:rsidRPr="00F303BF" w:rsidRDefault="00F303BF" w:rsidP="00F303BF">
            <w:pPr>
              <w:pStyle w:val="tabletext"/>
              <w:rPr>
                <w:lang w:val="en-US" w:eastAsia="en-US"/>
              </w:rPr>
            </w:pPr>
            <w:r w:rsidRPr="00F303BF">
              <w:rPr>
                <w:lang w:val="en-US" w:eastAsia="en-US"/>
              </w:rPr>
              <w:t>140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2BF4F1C" w14:textId="77777777" w:rsidR="00F303BF" w:rsidRPr="006B273B" w:rsidRDefault="00F303BF" w:rsidP="00F303BF">
            <w:pPr>
              <w:pStyle w:val="tabletext"/>
              <w:rPr>
                <w:lang w:val="en-US" w:eastAsia="en-US"/>
              </w:rPr>
            </w:pPr>
            <w:r w:rsidRPr="006B273B">
              <w:rPr>
                <w:lang w:val="en-US" w:eastAsia="en-US"/>
              </w:rPr>
              <w:t>Subsection 32(3)</w:t>
            </w:r>
          </w:p>
        </w:tc>
      </w:tr>
      <w:tr w:rsidR="00F303BF" w:rsidRPr="00F303BF" w14:paraId="541F01A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3359F1" w14:textId="77777777" w:rsidR="00F303BF" w:rsidRPr="00F303BF" w:rsidRDefault="00F303BF" w:rsidP="00F303BF">
            <w:pPr>
              <w:pStyle w:val="tabletext"/>
              <w:rPr>
                <w:lang w:val="en-US" w:eastAsia="en-US"/>
              </w:rPr>
            </w:pPr>
            <w:r w:rsidRPr="00F303BF">
              <w:rPr>
                <w:lang w:val="en-US" w:eastAsia="en-US"/>
              </w:rPr>
              <w:t>143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F0E56A7" w14:textId="77777777" w:rsidR="00F303BF" w:rsidRPr="006B273B" w:rsidRDefault="00F303BF" w:rsidP="00F303BF">
            <w:pPr>
              <w:pStyle w:val="tabletext"/>
              <w:rPr>
                <w:lang w:val="en-US" w:eastAsia="en-US"/>
              </w:rPr>
            </w:pPr>
            <w:r w:rsidRPr="006B273B">
              <w:rPr>
                <w:lang w:val="en-US" w:eastAsia="en-US"/>
              </w:rPr>
              <w:t>Subsection 33(1)</w:t>
            </w:r>
          </w:p>
        </w:tc>
      </w:tr>
      <w:tr w:rsidR="00F303BF" w:rsidRPr="00F303BF" w14:paraId="11FFC61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48F84B0" w14:textId="77777777" w:rsidR="00F303BF" w:rsidRPr="00F303BF" w:rsidRDefault="00F303BF" w:rsidP="00F303BF">
            <w:pPr>
              <w:pStyle w:val="tabletext"/>
              <w:rPr>
                <w:lang w:val="en-US" w:eastAsia="en-US"/>
              </w:rPr>
            </w:pPr>
            <w:r w:rsidRPr="00F303BF">
              <w:rPr>
                <w:lang w:val="en-US" w:eastAsia="en-US"/>
              </w:rPr>
              <w:t>146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0E23B0A" w14:textId="77777777" w:rsidR="00F303BF" w:rsidRPr="006B273B" w:rsidRDefault="00F303BF" w:rsidP="00F303BF">
            <w:pPr>
              <w:pStyle w:val="tabletext"/>
              <w:rPr>
                <w:lang w:val="en-US" w:eastAsia="en-US"/>
              </w:rPr>
            </w:pPr>
            <w:r w:rsidRPr="006B273B">
              <w:rPr>
                <w:lang w:val="en-US" w:eastAsia="en-US"/>
              </w:rPr>
              <w:t>Paragraph 33(3)(a)</w:t>
            </w:r>
          </w:p>
        </w:tc>
      </w:tr>
      <w:tr w:rsidR="00F303BF" w:rsidRPr="00F303BF" w14:paraId="02FBA77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C5E9FC5" w14:textId="77777777" w:rsidR="00F303BF" w:rsidRPr="00F303BF" w:rsidRDefault="00F303BF" w:rsidP="00F303BF">
            <w:pPr>
              <w:pStyle w:val="tabletext"/>
              <w:rPr>
                <w:lang w:val="en-US" w:eastAsia="en-US"/>
              </w:rPr>
            </w:pPr>
            <w:r w:rsidRPr="00F303BF">
              <w:rPr>
                <w:lang w:val="en-US" w:eastAsia="en-US"/>
              </w:rPr>
              <w:t>148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5240C60" w14:textId="77777777" w:rsidR="00F303BF" w:rsidRPr="006B273B" w:rsidRDefault="00F303BF" w:rsidP="00F303BF">
            <w:pPr>
              <w:pStyle w:val="tabletext"/>
              <w:rPr>
                <w:lang w:val="en-US" w:eastAsia="en-US"/>
              </w:rPr>
            </w:pPr>
            <w:r w:rsidRPr="006B273B">
              <w:rPr>
                <w:lang w:val="en-US" w:eastAsia="en-US"/>
              </w:rPr>
              <w:t>Paragraph 33(4)(a)</w:t>
            </w:r>
          </w:p>
        </w:tc>
      </w:tr>
      <w:tr w:rsidR="00F303BF" w:rsidRPr="00F303BF" w14:paraId="70F4FE1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B54BCAE" w14:textId="77777777" w:rsidR="00F303BF" w:rsidRPr="00F303BF" w:rsidRDefault="00F303BF" w:rsidP="00F303BF">
            <w:pPr>
              <w:pStyle w:val="tabletext"/>
              <w:rPr>
                <w:lang w:val="en-US" w:eastAsia="en-US"/>
              </w:rPr>
            </w:pPr>
            <w:r w:rsidRPr="00F303BF">
              <w:rPr>
                <w:lang w:val="en-US" w:eastAsia="en-US"/>
              </w:rPr>
              <w:t>150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CD70C05" w14:textId="77777777" w:rsidR="00F303BF" w:rsidRPr="006B273B" w:rsidRDefault="00F303BF" w:rsidP="00F303BF">
            <w:pPr>
              <w:pStyle w:val="tabletext"/>
              <w:rPr>
                <w:lang w:val="en-US" w:eastAsia="en-US"/>
              </w:rPr>
            </w:pPr>
            <w:r w:rsidRPr="006B273B">
              <w:rPr>
                <w:lang w:val="en-US" w:eastAsia="en-US"/>
              </w:rPr>
              <w:t>Subsection 33(8)</w:t>
            </w:r>
          </w:p>
        </w:tc>
      </w:tr>
      <w:tr w:rsidR="00F303BF" w:rsidRPr="00F303BF" w14:paraId="3F479CE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1C57515" w14:textId="77777777" w:rsidR="00F303BF" w:rsidRPr="00F303BF" w:rsidRDefault="00F303BF" w:rsidP="00F303BF">
            <w:pPr>
              <w:pStyle w:val="tabletext"/>
              <w:rPr>
                <w:lang w:val="en-US" w:eastAsia="en-US"/>
              </w:rPr>
            </w:pPr>
            <w:r w:rsidRPr="00F303BF">
              <w:rPr>
                <w:lang w:val="en-US" w:eastAsia="en-US"/>
              </w:rPr>
              <w:t>151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F295251" w14:textId="77777777" w:rsidR="00F303BF" w:rsidRPr="006B273B" w:rsidRDefault="00F303BF" w:rsidP="00F303BF">
            <w:pPr>
              <w:pStyle w:val="tabletext"/>
              <w:rPr>
                <w:lang w:val="en-US" w:eastAsia="en-US"/>
              </w:rPr>
            </w:pPr>
            <w:r w:rsidRPr="006B273B">
              <w:rPr>
                <w:lang w:val="en-US" w:eastAsia="en-US"/>
              </w:rPr>
              <w:t>Paragraph 33(8)(c)</w:t>
            </w:r>
          </w:p>
        </w:tc>
      </w:tr>
      <w:tr w:rsidR="00F303BF" w:rsidRPr="00F303BF" w14:paraId="0A5139C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95C4D73" w14:textId="77777777" w:rsidR="00F303BF" w:rsidRPr="00F303BF" w:rsidRDefault="00F303BF" w:rsidP="00F303BF">
            <w:pPr>
              <w:pStyle w:val="tabletext"/>
              <w:rPr>
                <w:lang w:val="en-US" w:eastAsia="en-US"/>
              </w:rPr>
            </w:pPr>
            <w:r w:rsidRPr="00F303BF">
              <w:rPr>
                <w:lang w:val="en-US" w:eastAsia="en-US"/>
              </w:rPr>
              <w:t>154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513F957" w14:textId="77777777" w:rsidR="00F303BF" w:rsidRPr="006B273B" w:rsidRDefault="00F303BF" w:rsidP="00F303BF">
            <w:pPr>
              <w:pStyle w:val="tabletext"/>
              <w:rPr>
                <w:lang w:val="en-US" w:eastAsia="en-US"/>
              </w:rPr>
            </w:pPr>
            <w:r w:rsidRPr="006B273B">
              <w:rPr>
                <w:lang w:val="en-US" w:eastAsia="en-US"/>
              </w:rPr>
              <w:t>Paragraph 34(1)(a)</w:t>
            </w:r>
          </w:p>
        </w:tc>
      </w:tr>
      <w:tr w:rsidR="00F303BF" w:rsidRPr="00F303BF" w14:paraId="0FE6E2E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92333FA" w14:textId="77777777" w:rsidR="00F303BF" w:rsidRPr="00F303BF" w:rsidRDefault="00F303BF" w:rsidP="00F303BF">
            <w:pPr>
              <w:pStyle w:val="tabletext"/>
              <w:rPr>
                <w:lang w:val="en-US" w:eastAsia="en-US"/>
              </w:rPr>
            </w:pPr>
            <w:r w:rsidRPr="00F303BF">
              <w:rPr>
                <w:lang w:val="en-US" w:eastAsia="en-US"/>
              </w:rPr>
              <w:t>156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68DFB1B" w14:textId="77777777" w:rsidR="00F303BF" w:rsidRPr="006B273B" w:rsidRDefault="00F303BF" w:rsidP="00F303BF">
            <w:pPr>
              <w:pStyle w:val="tabletext"/>
              <w:rPr>
                <w:lang w:val="en-US" w:eastAsia="en-US"/>
              </w:rPr>
            </w:pPr>
            <w:r w:rsidRPr="006B273B">
              <w:rPr>
                <w:lang w:val="en-US" w:eastAsia="en-US"/>
              </w:rPr>
              <w:t>Subsection 34(2)</w:t>
            </w:r>
          </w:p>
        </w:tc>
      </w:tr>
      <w:tr w:rsidR="00F303BF" w:rsidRPr="00F303BF" w14:paraId="6CB44C3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79B4BDA" w14:textId="77777777" w:rsidR="00F303BF" w:rsidRPr="00F303BF" w:rsidRDefault="00F303BF" w:rsidP="00F303BF">
            <w:pPr>
              <w:pStyle w:val="tabletext"/>
              <w:rPr>
                <w:lang w:val="en-US" w:eastAsia="en-US"/>
              </w:rPr>
            </w:pPr>
            <w:r w:rsidRPr="00F303BF">
              <w:rPr>
                <w:lang w:val="en-US" w:eastAsia="en-US"/>
              </w:rPr>
              <w:lastRenderedPageBreak/>
              <w:t>157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BB9A9D0" w14:textId="77777777" w:rsidR="00F303BF" w:rsidRPr="006B273B" w:rsidRDefault="00F303BF" w:rsidP="00F303BF">
            <w:pPr>
              <w:pStyle w:val="tabletext"/>
              <w:rPr>
                <w:lang w:val="en-US" w:eastAsia="en-US"/>
              </w:rPr>
            </w:pPr>
            <w:r w:rsidRPr="006B273B">
              <w:rPr>
                <w:lang w:val="en-US" w:eastAsia="en-US"/>
              </w:rPr>
              <w:t>Subsection 34(3)</w:t>
            </w:r>
          </w:p>
        </w:tc>
      </w:tr>
      <w:tr w:rsidR="00F303BF" w:rsidRPr="00F303BF" w14:paraId="3E9965C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BDC5735" w14:textId="77777777" w:rsidR="00F303BF" w:rsidRPr="00F303BF" w:rsidRDefault="00F303BF" w:rsidP="00F303BF">
            <w:pPr>
              <w:pStyle w:val="tabletext"/>
              <w:rPr>
                <w:lang w:val="en-US" w:eastAsia="en-US"/>
              </w:rPr>
            </w:pPr>
            <w:r w:rsidRPr="00F303BF">
              <w:rPr>
                <w:lang w:val="en-US" w:eastAsia="en-US"/>
              </w:rPr>
              <w:t>158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F0A70E2" w14:textId="77777777" w:rsidR="00F303BF" w:rsidRPr="006B273B" w:rsidRDefault="00F303BF" w:rsidP="00F303BF">
            <w:pPr>
              <w:pStyle w:val="tabletext"/>
              <w:rPr>
                <w:lang w:val="en-US" w:eastAsia="en-US"/>
              </w:rPr>
            </w:pPr>
            <w:r w:rsidRPr="006B273B">
              <w:rPr>
                <w:lang w:val="en-US" w:eastAsia="en-US"/>
              </w:rPr>
              <w:t>Subsection 34(4)</w:t>
            </w:r>
          </w:p>
        </w:tc>
      </w:tr>
      <w:tr w:rsidR="00F303BF" w:rsidRPr="00F303BF" w14:paraId="005E756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DE1FDFA" w14:textId="77777777" w:rsidR="00F303BF" w:rsidRPr="00F303BF" w:rsidRDefault="00F303BF" w:rsidP="00F303BF">
            <w:pPr>
              <w:pStyle w:val="tabletext"/>
              <w:rPr>
                <w:lang w:val="en-US" w:eastAsia="en-US"/>
              </w:rPr>
            </w:pPr>
            <w:r w:rsidRPr="00F303BF">
              <w:rPr>
                <w:lang w:val="en-US" w:eastAsia="en-US"/>
              </w:rPr>
              <w:t>160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1D91745" w14:textId="77777777" w:rsidR="00F303BF" w:rsidRPr="006B273B" w:rsidRDefault="00F303BF" w:rsidP="00F303BF">
            <w:pPr>
              <w:pStyle w:val="tabletext"/>
              <w:rPr>
                <w:lang w:val="en-US" w:eastAsia="en-US"/>
              </w:rPr>
            </w:pPr>
            <w:r w:rsidRPr="006B273B">
              <w:rPr>
                <w:lang w:val="en-US" w:eastAsia="en-US"/>
              </w:rPr>
              <w:t>Paragraph 34(4)(a)</w:t>
            </w:r>
          </w:p>
        </w:tc>
      </w:tr>
      <w:tr w:rsidR="00F303BF" w:rsidRPr="00F303BF" w14:paraId="0B8F7BF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2CBBBC1" w14:textId="77777777" w:rsidR="00F303BF" w:rsidRPr="00F303BF" w:rsidRDefault="00F303BF" w:rsidP="00F303BF">
            <w:pPr>
              <w:pStyle w:val="tabletext"/>
              <w:rPr>
                <w:lang w:val="en-US" w:eastAsia="en-US"/>
              </w:rPr>
            </w:pPr>
            <w:r w:rsidRPr="00F303BF">
              <w:rPr>
                <w:lang w:val="en-US" w:eastAsia="en-US"/>
              </w:rPr>
              <w:t>163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EEADD5" w14:textId="77777777" w:rsidR="00F303BF" w:rsidRPr="006B273B" w:rsidRDefault="00F303BF" w:rsidP="00F303BF">
            <w:pPr>
              <w:pStyle w:val="tabletext"/>
              <w:rPr>
                <w:lang w:val="en-US" w:eastAsia="en-US"/>
              </w:rPr>
            </w:pPr>
            <w:r w:rsidRPr="006B273B">
              <w:rPr>
                <w:lang w:val="en-US" w:eastAsia="en-US"/>
              </w:rPr>
              <w:t>Paragraph 34(5)(a)</w:t>
            </w:r>
          </w:p>
        </w:tc>
      </w:tr>
      <w:tr w:rsidR="00F303BF" w:rsidRPr="00F303BF" w14:paraId="6883E60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A93F71F" w14:textId="77777777" w:rsidR="00F303BF" w:rsidRPr="00F303BF" w:rsidRDefault="00F303BF" w:rsidP="00F303BF">
            <w:pPr>
              <w:pStyle w:val="tabletext"/>
              <w:rPr>
                <w:lang w:val="en-US" w:eastAsia="en-US"/>
              </w:rPr>
            </w:pPr>
            <w:r w:rsidRPr="00F303BF">
              <w:rPr>
                <w:lang w:val="en-US" w:eastAsia="en-US"/>
              </w:rPr>
              <w:t>165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97C16CF" w14:textId="77777777" w:rsidR="00F303BF" w:rsidRPr="006B273B" w:rsidRDefault="00F303BF" w:rsidP="00F303BF">
            <w:pPr>
              <w:pStyle w:val="tabletext"/>
              <w:rPr>
                <w:lang w:val="en-US" w:eastAsia="en-US"/>
              </w:rPr>
            </w:pPr>
            <w:r w:rsidRPr="006B273B">
              <w:rPr>
                <w:lang w:val="en-US" w:eastAsia="en-US"/>
              </w:rPr>
              <w:t>Paragraph 34(5)(b)</w:t>
            </w:r>
          </w:p>
        </w:tc>
      </w:tr>
      <w:tr w:rsidR="00F303BF" w:rsidRPr="00F303BF" w14:paraId="1873F52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71C8ACA" w14:textId="77777777" w:rsidR="00F303BF" w:rsidRPr="00F303BF" w:rsidRDefault="00F303BF" w:rsidP="00F303BF">
            <w:pPr>
              <w:pStyle w:val="tabletext"/>
              <w:rPr>
                <w:lang w:val="en-US" w:eastAsia="en-US"/>
              </w:rPr>
            </w:pPr>
            <w:r w:rsidRPr="00F303BF">
              <w:rPr>
                <w:lang w:val="en-US" w:eastAsia="en-US"/>
              </w:rPr>
              <w:t>172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D051E9C" w14:textId="77777777" w:rsidR="00F303BF" w:rsidRPr="006B273B" w:rsidRDefault="00F303BF" w:rsidP="00F303BF">
            <w:pPr>
              <w:pStyle w:val="tabletext"/>
              <w:rPr>
                <w:lang w:val="en-US" w:eastAsia="en-US"/>
              </w:rPr>
            </w:pPr>
            <w:r w:rsidRPr="006B273B">
              <w:rPr>
                <w:lang w:val="en-US" w:eastAsia="en-US"/>
              </w:rPr>
              <w:t>Subsection 35(1)</w:t>
            </w:r>
          </w:p>
        </w:tc>
      </w:tr>
      <w:tr w:rsidR="00F303BF" w:rsidRPr="00F303BF" w14:paraId="0437D0C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38FBE24" w14:textId="77777777" w:rsidR="00F303BF" w:rsidRPr="00F303BF" w:rsidRDefault="00F303BF" w:rsidP="00F303BF">
            <w:pPr>
              <w:pStyle w:val="tabletext"/>
              <w:rPr>
                <w:lang w:val="en-US" w:eastAsia="en-US"/>
              </w:rPr>
            </w:pPr>
            <w:r w:rsidRPr="00F303BF">
              <w:rPr>
                <w:lang w:val="en-US" w:eastAsia="en-US"/>
              </w:rPr>
              <w:t>173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C7E4C09" w14:textId="77777777" w:rsidR="00F303BF" w:rsidRPr="006B273B" w:rsidRDefault="00F303BF" w:rsidP="00F303BF">
            <w:pPr>
              <w:pStyle w:val="tabletext"/>
              <w:rPr>
                <w:lang w:val="en-US" w:eastAsia="en-US"/>
              </w:rPr>
            </w:pPr>
            <w:r w:rsidRPr="006B273B">
              <w:rPr>
                <w:lang w:val="en-US" w:eastAsia="en-US"/>
              </w:rPr>
              <w:t>Subsection 35(2)</w:t>
            </w:r>
          </w:p>
        </w:tc>
      </w:tr>
      <w:tr w:rsidR="00F303BF" w:rsidRPr="00F303BF" w14:paraId="51B50BA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C5073FF" w14:textId="77777777" w:rsidR="00F303BF" w:rsidRPr="00F303BF" w:rsidRDefault="00F303BF" w:rsidP="00F303BF">
            <w:pPr>
              <w:pStyle w:val="tabletext"/>
              <w:rPr>
                <w:lang w:val="en-US" w:eastAsia="en-US"/>
              </w:rPr>
            </w:pPr>
            <w:r w:rsidRPr="00F303BF">
              <w:rPr>
                <w:lang w:val="en-US" w:eastAsia="en-US"/>
              </w:rPr>
              <w:t>176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57EEF73" w14:textId="77777777" w:rsidR="00F303BF" w:rsidRPr="006B273B" w:rsidRDefault="00F303BF" w:rsidP="00F303BF">
            <w:pPr>
              <w:pStyle w:val="tabletext"/>
              <w:rPr>
                <w:lang w:val="en-US" w:eastAsia="en-US"/>
              </w:rPr>
            </w:pPr>
            <w:r w:rsidRPr="006B273B">
              <w:rPr>
                <w:lang w:val="en-US" w:eastAsia="en-US"/>
              </w:rPr>
              <w:t>Subsection 36(1)</w:t>
            </w:r>
          </w:p>
        </w:tc>
      </w:tr>
      <w:tr w:rsidR="00F303BF" w:rsidRPr="00F303BF" w14:paraId="6E2DD59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98E0A8C" w14:textId="77777777" w:rsidR="00F303BF" w:rsidRPr="00F303BF" w:rsidRDefault="00F303BF" w:rsidP="00F303BF">
            <w:pPr>
              <w:pStyle w:val="tabletext"/>
              <w:rPr>
                <w:lang w:val="en-US" w:eastAsia="en-US"/>
              </w:rPr>
            </w:pPr>
            <w:r w:rsidRPr="00F303BF">
              <w:rPr>
                <w:lang w:val="en-US" w:eastAsia="en-US"/>
              </w:rPr>
              <w:t>177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9376BC2" w14:textId="77777777" w:rsidR="00F303BF" w:rsidRPr="006B273B" w:rsidRDefault="00F303BF" w:rsidP="00F303BF">
            <w:pPr>
              <w:pStyle w:val="tabletext"/>
              <w:rPr>
                <w:lang w:val="en-US" w:eastAsia="en-US"/>
              </w:rPr>
            </w:pPr>
            <w:r w:rsidRPr="006B273B">
              <w:rPr>
                <w:lang w:val="en-US" w:eastAsia="en-US"/>
              </w:rPr>
              <w:t>Subsection 36(2)</w:t>
            </w:r>
          </w:p>
        </w:tc>
      </w:tr>
      <w:tr w:rsidR="00F303BF" w:rsidRPr="00F303BF" w14:paraId="678647E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F678261" w14:textId="77777777" w:rsidR="00F303BF" w:rsidRPr="00F303BF" w:rsidRDefault="00F303BF" w:rsidP="00F303BF">
            <w:pPr>
              <w:pStyle w:val="tabletext"/>
              <w:rPr>
                <w:lang w:val="en-US" w:eastAsia="en-US"/>
              </w:rPr>
            </w:pPr>
            <w:r w:rsidRPr="00F303BF">
              <w:rPr>
                <w:lang w:val="en-US" w:eastAsia="en-US"/>
              </w:rPr>
              <w:t>179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101A791" w14:textId="77777777" w:rsidR="00F303BF" w:rsidRPr="006B273B" w:rsidRDefault="00F303BF" w:rsidP="00F303BF">
            <w:pPr>
              <w:pStyle w:val="tabletext"/>
              <w:rPr>
                <w:lang w:val="en-US" w:eastAsia="en-US"/>
              </w:rPr>
            </w:pPr>
            <w:r w:rsidRPr="006B273B">
              <w:rPr>
                <w:lang w:val="en-US" w:eastAsia="en-US"/>
              </w:rPr>
              <w:t>Subsections 37(1) and (2)</w:t>
            </w:r>
          </w:p>
        </w:tc>
      </w:tr>
      <w:tr w:rsidR="00F303BF" w:rsidRPr="00F303BF" w14:paraId="26E119C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5816E38" w14:textId="77777777" w:rsidR="00F303BF" w:rsidRPr="00F303BF" w:rsidRDefault="00F303BF" w:rsidP="00F303BF">
            <w:pPr>
              <w:pStyle w:val="tabletext"/>
              <w:rPr>
                <w:lang w:val="en-US" w:eastAsia="en-US"/>
              </w:rPr>
            </w:pPr>
            <w:r w:rsidRPr="00F303BF">
              <w:rPr>
                <w:lang w:val="en-US" w:eastAsia="en-US"/>
              </w:rPr>
              <w:t>181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16E1323" w14:textId="77777777" w:rsidR="00F303BF" w:rsidRPr="006B273B" w:rsidRDefault="00F303BF" w:rsidP="00F303BF">
            <w:pPr>
              <w:pStyle w:val="tabletext"/>
              <w:rPr>
                <w:lang w:val="en-US" w:eastAsia="en-US"/>
              </w:rPr>
            </w:pPr>
            <w:r w:rsidRPr="006B273B">
              <w:rPr>
                <w:lang w:val="en-US" w:eastAsia="en-US"/>
              </w:rPr>
              <w:t>Subsection 37(5)</w:t>
            </w:r>
          </w:p>
        </w:tc>
      </w:tr>
      <w:tr w:rsidR="00F303BF" w:rsidRPr="00F303BF" w14:paraId="1ADF3A3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4A6CF12" w14:textId="77777777" w:rsidR="00F303BF" w:rsidRPr="00F303BF" w:rsidRDefault="00F303BF" w:rsidP="00F303BF">
            <w:pPr>
              <w:pStyle w:val="tabletext"/>
              <w:rPr>
                <w:lang w:val="en-US" w:eastAsia="en-US"/>
              </w:rPr>
            </w:pPr>
            <w:r w:rsidRPr="00F303BF">
              <w:rPr>
                <w:lang w:val="en-US" w:eastAsia="en-US"/>
              </w:rPr>
              <w:t>182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62AEF8" w14:textId="77777777" w:rsidR="00F303BF" w:rsidRPr="006B273B" w:rsidRDefault="00F303BF" w:rsidP="00F303BF">
            <w:pPr>
              <w:pStyle w:val="tabletext"/>
              <w:rPr>
                <w:lang w:val="en-US" w:eastAsia="en-US"/>
              </w:rPr>
            </w:pPr>
            <w:r w:rsidRPr="006B273B">
              <w:rPr>
                <w:lang w:val="en-US" w:eastAsia="en-US"/>
              </w:rPr>
              <w:t>Subsections 37(6) to (8)</w:t>
            </w:r>
          </w:p>
        </w:tc>
      </w:tr>
      <w:tr w:rsidR="00F303BF" w:rsidRPr="00F303BF" w14:paraId="42FA561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0C9D6FC" w14:textId="77777777" w:rsidR="00F303BF" w:rsidRPr="00F303BF" w:rsidRDefault="00F303BF" w:rsidP="00F303BF">
            <w:pPr>
              <w:pStyle w:val="tabletext"/>
              <w:rPr>
                <w:lang w:val="en-US" w:eastAsia="en-US"/>
              </w:rPr>
            </w:pPr>
            <w:r w:rsidRPr="00F303BF">
              <w:rPr>
                <w:lang w:val="en-US" w:eastAsia="en-US"/>
              </w:rPr>
              <w:t>185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A492416" w14:textId="77777777" w:rsidR="00F303BF" w:rsidRPr="006B273B" w:rsidRDefault="00F303BF" w:rsidP="00F303BF">
            <w:pPr>
              <w:pStyle w:val="tabletext"/>
              <w:rPr>
                <w:lang w:val="en-US" w:eastAsia="en-US"/>
              </w:rPr>
            </w:pPr>
            <w:r w:rsidRPr="006B273B">
              <w:rPr>
                <w:lang w:val="en-US" w:eastAsia="en-US"/>
              </w:rPr>
              <w:t>Subsection 38(2)</w:t>
            </w:r>
          </w:p>
        </w:tc>
      </w:tr>
      <w:tr w:rsidR="00F303BF" w:rsidRPr="00F303BF" w14:paraId="0C452A7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8C52CC3" w14:textId="77777777" w:rsidR="00F303BF" w:rsidRPr="00F303BF" w:rsidRDefault="00F303BF" w:rsidP="00F303BF">
            <w:pPr>
              <w:pStyle w:val="tabletext"/>
              <w:rPr>
                <w:lang w:val="en-US" w:eastAsia="en-US"/>
              </w:rPr>
            </w:pPr>
            <w:r w:rsidRPr="00F303BF">
              <w:rPr>
                <w:lang w:val="en-US" w:eastAsia="en-US"/>
              </w:rPr>
              <w:t>187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F52F31B" w14:textId="77777777" w:rsidR="00F303BF" w:rsidRPr="006B273B" w:rsidRDefault="00F303BF" w:rsidP="00F303BF">
            <w:pPr>
              <w:pStyle w:val="tabletext"/>
              <w:rPr>
                <w:lang w:val="en-US" w:eastAsia="en-US"/>
              </w:rPr>
            </w:pPr>
            <w:r w:rsidRPr="006B273B">
              <w:rPr>
                <w:lang w:val="en-US" w:eastAsia="en-US"/>
              </w:rPr>
              <w:t>Subsection 39(1)</w:t>
            </w:r>
          </w:p>
        </w:tc>
      </w:tr>
      <w:tr w:rsidR="00F303BF" w:rsidRPr="00F303BF" w14:paraId="5395B4F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47B51BA" w14:textId="77777777" w:rsidR="00F303BF" w:rsidRPr="00F303BF" w:rsidRDefault="00F303BF" w:rsidP="00F303BF">
            <w:pPr>
              <w:pStyle w:val="tabletext"/>
              <w:rPr>
                <w:lang w:val="en-US" w:eastAsia="en-US"/>
              </w:rPr>
            </w:pPr>
            <w:r w:rsidRPr="00F303BF">
              <w:rPr>
                <w:lang w:val="en-US" w:eastAsia="en-US"/>
              </w:rPr>
              <w:t>188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FB2A62" w14:textId="77777777" w:rsidR="00F303BF" w:rsidRPr="006B273B" w:rsidRDefault="00F303BF" w:rsidP="00F303BF">
            <w:pPr>
              <w:pStyle w:val="tabletext"/>
              <w:rPr>
                <w:lang w:val="en-US" w:eastAsia="en-US"/>
              </w:rPr>
            </w:pPr>
            <w:r w:rsidRPr="006B273B">
              <w:rPr>
                <w:lang w:val="en-US" w:eastAsia="en-US"/>
              </w:rPr>
              <w:t>Subsection 39(2)</w:t>
            </w:r>
          </w:p>
        </w:tc>
      </w:tr>
      <w:tr w:rsidR="00F303BF" w:rsidRPr="00F303BF" w14:paraId="1BBF7FF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14C2686" w14:textId="77777777" w:rsidR="00F303BF" w:rsidRPr="00F303BF" w:rsidRDefault="00F303BF" w:rsidP="00F303BF">
            <w:pPr>
              <w:pStyle w:val="tabletext"/>
              <w:rPr>
                <w:lang w:val="en-US" w:eastAsia="en-US"/>
              </w:rPr>
            </w:pPr>
            <w:r w:rsidRPr="00F303BF">
              <w:rPr>
                <w:lang w:val="en-US" w:eastAsia="en-US"/>
              </w:rPr>
              <w:t>192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16E9E66" w14:textId="77777777" w:rsidR="00F303BF" w:rsidRPr="006B273B" w:rsidRDefault="00F303BF" w:rsidP="00F303BF">
            <w:pPr>
              <w:pStyle w:val="tabletext"/>
              <w:rPr>
                <w:lang w:val="en-US" w:eastAsia="en-US"/>
              </w:rPr>
            </w:pPr>
            <w:r w:rsidRPr="006B273B">
              <w:rPr>
                <w:lang w:val="en-US" w:eastAsia="en-US"/>
              </w:rPr>
              <w:t>Paragraph 39(3)(b)</w:t>
            </w:r>
          </w:p>
        </w:tc>
      </w:tr>
      <w:tr w:rsidR="00F303BF" w:rsidRPr="00F303BF" w14:paraId="0C2387F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C9D7A41" w14:textId="77777777" w:rsidR="00F303BF" w:rsidRPr="00F303BF" w:rsidRDefault="00F303BF" w:rsidP="00F303BF">
            <w:pPr>
              <w:pStyle w:val="tabletext"/>
              <w:rPr>
                <w:lang w:val="en-US" w:eastAsia="en-US"/>
              </w:rPr>
            </w:pPr>
            <w:r w:rsidRPr="00F303BF">
              <w:rPr>
                <w:lang w:val="en-US" w:eastAsia="en-US"/>
              </w:rPr>
              <w:t>193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067E0AF" w14:textId="77777777" w:rsidR="00F303BF" w:rsidRPr="006B273B" w:rsidRDefault="00F303BF" w:rsidP="00F303BF">
            <w:pPr>
              <w:pStyle w:val="tabletext"/>
              <w:rPr>
                <w:lang w:val="en-US" w:eastAsia="en-US"/>
              </w:rPr>
            </w:pPr>
            <w:r w:rsidRPr="006B273B">
              <w:rPr>
                <w:lang w:val="en-US" w:eastAsia="en-US"/>
              </w:rPr>
              <w:t>Subsection 40(1)</w:t>
            </w:r>
          </w:p>
        </w:tc>
      </w:tr>
      <w:tr w:rsidR="00F303BF" w:rsidRPr="00F303BF" w14:paraId="6515243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2317BE" w14:textId="77777777" w:rsidR="00F303BF" w:rsidRPr="00F303BF" w:rsidRDefault="00F303BF" w:rsidP="00F303BF">
            <w:pPr>
              <w:pStyle w:val="tabletext"/>
              <w:rPr>
                <w:lang w:val="en-US" w:eastAsia="en-US"/>
              </w:rPr>
            </w:pPr>
            <w:r w:rsidRPr="00F303BF">
              <w:rPr>
                <w:lang w:val="en-US" w:eastAsia="en-US"/>
              </w:rPr>
              <w:t>194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52C324" w14:textId="77777777" w:rsidR="00F303BF" w:rsidRPr="006B273B" w:rsidRDefault="00F303BF" w:rsidP="00F303BF">
            <w:pPr>
              <w:pStyle w:val="tabletext"/>
              <w:rPr>
                <w:lang w:val="en-US" w:eastAsia="en-US"/>
              </w:rPr>
            </w:pPr>
            <w:r w:rsidRPr="006B273B">
              <w:rPr>
                <w:lang w:val="en-US" w:eastAsia="en-US"/>
              </w:rPr>
              <w:t>Subsection 40(2)</w:t>
            </w:r>
          </w:p>
        </w:tc>
      </w:tr>
      <w:tr w:rsidR="00F303BF" w:rsidRPr="00F303BF" w14:paraId="535717E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1BB157" w14:textId="77777777" w:rsidR="00F303BF" w:rsidRPr="00F303BF" w:rsidRDefault="00F303BF" w:rsidP="00F303BF">
            <w:pPr>
              <w:pStyle w:val="tabletext"/>
              <w:rPr>
                <w:lang w:val="en-US" w:eastAsia="en-US"/>
              </w:rPr>
            </w:pPr>
            <w:r w:rsidRPr="00F303BF">
              <w:rPr>
                <w:lang w:val="en-US" w:eastAsia="en-US"/>
              </w:rPr>
              <w:t>195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C6F4280" w14:textId="77777777" w:rsidR="00F303BF" w:rsidRPr="006B273B" w:rsidRDefault="00F303BF" w:rsidP="00F303BF">
            <w:pPr>
              <w:pStyle w:val="tabletext"/>
              <w:rPr>
                <w:lang w:val="en-US" w:eastAsia="en-US"/>
              </w:rPr>
            </w:pPr>
            <w:r w:rsidRPr="006B273B">
              <w:rPr>
                <w:lang w:val="en-US" w:eastAsia="en-US"/>
              </w:rPr>
              <w:t>Subsections 40(3) and (4)</w:t>
            </w:r>
          </w:p>
        </w:tc>
      </w:tr>
      <w:tr w:rsidR="00F303BF" w:rsidRPr="00F303BF" w14:paraId="1689E39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F3D701B" w14:textId="77777777" w:rsidR="00F303BF" w:rsidRPr="00F303BF" w:rsidRDefault="00F303BF" w:rsidP="00F303BF">
            <w:pPr>
              <w:pStyle w:val="tabletext"/>
              <w:rPr>
                <w:lang w:val="en-US" w:eastAsia="en-US"/>
              </w:rPr>
            </w:pPr>
            <w:r w:rsidRPr="00F303BF">
              <w:rPr>
                <w:lang w:val="en-US" w:eastAsia="en-US"/>
              </w:rPr>
              <w:t>198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3029E91" w14:textId="77777777" w:rsidR="00F303BF" w:rsidRPr="006B273B" w:rsidRDefault="00F303BF" w:rsidP="00F303BF">
            <w:pPr>
              <w:pStyle w:val="tabletext"/>
              <w:rPr>
                <w:lang w:val="en-US" w:eastAsia="en-US"/>
              </w:rPr>
            </w:pPr>
            <w:r w:rsidRPr="006B273B">
              <w:rPr>
                <w:lang w:val="en-US" w:eastAsia="en-US"/>
              </w:rPr>
              <w:t>Subsections 40(6) and (7)</w:t>
            </w:r>
          </w:p>
        </w:tc>
      </w:tr>
      <w:tr w:rsidR="00F303BF" w:rsidRPr="00F303BF" w14:paraId="4F9CDA6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2ECD333" w14:textId="77777777" w:rsidR="00F303BF" w:rsidRPr="00F303BF" w:rsidRDefault="00F303BF" w:rsidP="00F303BF">
            <w:pPr>
              <w:pStyle w:val="tabletext"/>
              <w:rPr>
                <w:lang w:val="en-US" w:eastAsia="en-US"/>
              </w:rPr>
            </w:pPr>
            <w:r w:rsidRPr="00F303BF">
              <w:rPr>
                <w:lang w:val="en-US" w:eastAsia="en-US"/>
              </w:rPr>
              <w:t>200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26F36FA" w14:textId="77777777" w:rsidR="00F303BF" w:rsidRPr="006B273B" w:rsidRDefault="00F303BF" w:rsidP="00F303BF">
            <w:pPr>
              <w:pStyle w:val="tabletext"/>
              <w:rPr>
                <w:lang w:val="en-US" w:eastAsia="en-US"/>
              </w:rPr>
            </w:pPr>
            <w:r w:rsidRPr="006B273B">
              <w:rPr>
                <w:lang w:val="en-US" w:eastAsia="en-US"/>
              </w:rPr>
              <w:t>Subsection 41(1)</w:t>
            </w:r>
          </w:p>
        </w:tc>
      </w:tr>
      <w:tr w:rsidR="00F303BF" w:rsidRPr="00F303BF" w14:paraId="2580562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F747DFC" w14:textId="77777777" w:rsidR="00F303BF" w:rsidRPr="00F303BF" w:rsidRDefault="00F303BF" w:rsidP="00F303BF">
            <w:pPr>
              <w:pStyle w:val="tabletext"/>
              <w:rPr>
                <w:lang w:val="en-US" w:eastAsia="en-US"/>
              </w:rPr>
            </w:pPr>
            <w:r w:rsidRPr="00F303BF">
              <w:rPr>
                <w:lang w:val="en-US" w:eastAsia="en-US"/>
              </w:rPr>
              <w:t>202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3120616" w14:textId="77777777" w:rsidR="00F303BF" w:rsidRPr="006B273B" w:rsidRDefault="00F303BF" w:rsidP="00F303BF">
            <w:pPr>
              <w:pStyle w:val="tabletext"/>
              <w:rPr>
                <w:lang w:val="en-US" w:eastAsia="en-US"/>
              </w:rPr>
            </w:pPr>
            <w:r w:rsidRPr="006B273B">
              <w:rPr>
                <w:lang w:val="en-US" w:eastAsia="en-US"/>
              </w:rPr>
              <w:t>Subsection 42(1)</w:t>
            </w:r>
          </w:p>
        </w:tc>
      </w:tr>
      <w:tr w:rsidR="00F303BF" w:rsidRPr="00F303BF" w14:paraId="4DF9FD0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76000B" w14:textId="77777777" w:rsidR="00F303BF" w:rsidRPr="00F303BF" w:rsidRDefault="00F303BF" w:rsidP="00F303BF">
            <w:pPr>
              <w:pStyle w:val="tabletext"/>
              <w:rPr>
                <w:lang w:val="en-US" w:eastAsia="en-US"/>
              </w:rPr>
            </w:pPr>
            <w:r w:rsidRPr="00F303BF">
              <w:rPr>
                <w:lang w:val="en-US" w:eastAsia="en-US"/>
              </w:rPr>
              <w:t>205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4EC72BA" w14:textId="77777777" w:rsidR="00F303BF" w:rsidRPr="006B273B" w:rsidRDefault="00F303BF" w:rsidP="00F303BF">
            <w:pPr>
              <w:pStyle w:val="tabletext"/>
              <w:rPr>
                <w:lang w:val="en-US" w:eastAsia="en-US"/>
              </w:rPr>
            </w:pPr>
            <w:r w:rsidRPr="006B273B">
              <w:rPr>
                <w:lang w:val="en-US" w:eastAsia="en-US"/>
              </w:rPr>
              <w:t>Subsection 42(3)</w:t>
            </w:r>
          </w:p>
        </w:tc>
      </w:tr>
      <w:tr w:rsidR="00F303BF" w:rsidRPr="00F303BF" w14:paraId="4AA48CD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A6D8709" w14:textId="77777777" w:rsidR="00F303BF" w:rsidRPr="00F303BF" w:rsidRDefault="00F303BF" w:rsidP="00F303BF">
            <w:pPr>
              <w:pStyle w:val="tabletext"/>
              <w:rPr>
                <w:lang w:val="en-US" w:eastAsia="en-US"/>
              </w:rPr>
            </w:pPr>
            <w:r w:rsidRPr="00F303BF">
              <w:rPr>
                <w:lang w:val="en-US" w:eastAsia="en-US"/>
              </w:rPr>
              <w:t>214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E2174C" w14:textId="77777777" w:rsidR="00F303BF" w:rsidRPr="006B273B" w:rsidRDefault="00F303BF" w:rsidP="00F303BF">
            <w:pPr>
              <w:pStyle w:val="tabletext"/>
              <w:rPr>
                <w:lang w:val="en-US" w:eastAsia="en-US"/>
              </w:rPr>
            </w:pPr>
            <w:r w:rsidRPr="006B273B">
              <w:rPr>
                <w:lang w:val="en-US" w:eastAsia="en-US"/>
              </w:rPr>
              <w:t>Subsection 44(2)</w:t>
            </w:r>
          </w:p>
        </w:tc>
      </w:tr>
      <w:tr w:rsidR="00F303BF" w:rsidRPr="00F303BF" w14:paraId="6E127E6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5BBB97F" w14:textId="77777777" w:rsidR="00F303BF" w:rsidRPr="00F303BF" w:rsidRDefault="00F303BF" w:rsidP="00F303BF">
            <w:pPr>
              <w:pStyle w:val="tabletext"/>
              <w:rPr>
                <w:lang w:val="en-US" w:eastAsia="en-US"/>
              </w:rPr>
            </w:pPr>
            <w:r w:rsidRPr="00F303BF">
              <w:rPr>
                <w:lang w:val="en-US" w:eastAsia="en-US"/>
              </w:rPr>
              <w:t>218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DC8091E" w14:textId="77777777" w:rsidR="00F303BF" w:rsidRPr="006B273B" w:rsidRDefault="00F303BF" w:rsidP="00F303BF">
            <w:pPr>
              <w:pStyle w:val="tabletext"/>
              <w:rPr>
                <w:lang w:val="en-US" w:eastAsia="en-US"/>
              </w:rPr>
            </w:pPr>
            <w:r w:rsidRPr="006B273B">
              <w:rPr>
                <w:lang w:val="en-US" w:eastAsia="en-US"/>
              </w:rPr>
              <w:t>Subsection 45(2)</w:t>
            </w:r>
          </w:p>
        </w:tc>
      </w:tr>
      <w:tr w:rsidR="00F303BF" w:rsidRPr="00F303BF" w14:paraId="03F2038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688A364" w14:textId="77777777" w:rsidR="00F303BF" w:rsidRPr="00F303BF" w:rsidRDefault="00F303BF" w:rsidP="00F303BF">
            <w:pPr>
              <w:pStyle w:val="tabletext"/>
              <w:rPr>
                <w:lang w:val="en-US" w:eastAsia="en-US"/>
              </w:rPr>
            </w:pPr>
            <w:r w:rsidRPr="00F303BF">
              <w:rPr>
                <w:lang w:val="en-US" w:eastAsia="en-US"/>
              </w:rPr>
              <w:t>222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2F108F8" w14:textId="77777777" w:rsidR="00F303BF" w:rsidRPr="006B273B" w:rsidRDefault="00F303BF" w:rsidP="00F303BF">
            <w:pPr>
              <w:pStyle w:val="tabletext"/>
              <w:rPr>
                <w:lang w:val="en-US" w:eastAsia="en-US"/>
              </w:rPr>
            </w:pPr>
            <w:r w:rsidRPr="006B273B">
              <w:rPr>
                <w:lang w:val="en-US" w:eastAsia="en-US"/>
              </w:rPr>
              <w:t>Subsection 46(2)</w:t>
            </w:r>
          </w:p>
        </w:tc>
      </w:tr>
      <w:tr w:rsidR="00F303BF" w:rsidRPr="00F303BF" w14:paraId="231D3F2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67E78C1" w14:textId="77777777" w:rsidR="00F303BF" w:rsidRPr="00F303BF" w:rsidRDefault="00F303BF" w:rsidP="00F303BF">
            <w:pPr>
              <w:pStyle w:val="tabletext"/>
              <w:rPr>
                <w:lang w:val="en-US" w:eastAsia="en-US"/>
              </w:rPr>
            </w:pPr>
            <w:r w:rsidRPr="00F303BF">
              <w:rPr>
                <w:lang w:val="en-US" w:eastAsia="en-US"/>
              </w:rPr>
              <w:t>227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CEB8A15" w14:textId="77777777" w:rsidR="00F303BF" w:rsidRPr="006B273B" w:rsidRDefault="00F303BF" w:rsidP="00F303BF">
            <w:pPr>
              <w:pStyle w:val="tabletext"/>
              <w:rPr>
                <w:lang w:val="en-US" w:eastAsia="en-US"/>
              </w:rPr>
            </w:pPr>
            <w:r w:rsidRPr="006B273B">
              <w:rPr>
                <w:lang w:val="en-US" w:eastAsia="en-US"/>
              </w:rPr>
              <w:t>Subsection 47(2)</w:t>
            </w:r>
          </w:p>
        </w:tc>
      </w:tr>
      <w:tr w:rsidR="00F303BF" w:rsidRPr="00F303BF" w14:paraId="061F1D2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40C1721" w14:textId="77777777" w:rsidR="00F303BF" w:rsidRPr="00F303BF" w:rsidRDefault="00F303BF" w:rsidP="00F303BF">
            <w:pPr>
              <w:pStyle w:val="tabletext"/>
              <w:rPr>
                <w:lang w:val="en-US" w:eastAsia="en-US"/>
              </w:rPr>
            </w:pPr>
            <w:r w:rsidRPr="00F303BF">
              <w:rPr>
                <w:lang w:val="en-US" w:eastAsia="en-US"/>
              </w:rPr>
              <w:t>240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EE018AA" w14:textId="77777777" w:rsidR="00F303BF" w:rsidRPr="006B273B" w:rsidRDefault="00F303BF" w:rsidP="00F303BF">
            <w:pPr>
              <w:pStyle w:val="tabletext"/>
              <w:rPr>
                <w:lang w:val="en-US" w:eastAsia="en-US"/>
              </w:rPr>
            </w:pPr>
            <w:r w:rsidRPr="006B273B">
              <w:rPr>
                <w:lang w:val="en-US" w:eastAsia="en-US"/>
              </w:rPr>
              <w:t>Subsection 49(3)</w:t>
            </w:r>
          </w:p>
        </w:tc>
      </w:tr>
      <w:tr w:rsidR="00F303BF" w:rsidRPr="00F303BF" w14:paraId="74B44D1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AD5FFD" w14:textId="77777777" w:rsidR="00F303BF" w:rsidRPr="00F303BF" w:rsidRDefault="00F303BF" w:rsidP="00F303BF">
            <w:pPr>
              <w:pStyle w:val="tabletext"/>
              <w:rPr>
                <w:lang w:val="en-US" w:eastAsia="en-US"/>
              </w:rPr>
            </w:pPr>
            <w:r w:rsidRPr="00F303BF">
              <w:rPr>
                <w:lang w:val="en-US" w:eastAsia="en-US"/>
              </w:rPr>
              <w:t>247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048676C" w14:textId="77777777" w:rsidR="00F303BF" w:rsidRPr="006B273B" w:rsidRDefault="00F303BF" w:rsidP="00F303BF">
            <w:pPr>
              <w:pStyle w:val="tabletext"/>
              <w:rPr>
                <w:lang w:val="en-US" w:eastAsia="en-US"/>
              </w:rPr>
            </w:pPr>
            <w:r w:rsidRPr="006B273B">
              <w:rPr>
                <w:lang w:val="en-US" w:eastAsia="en-US"/>
              </w:rPr>
              <w:t>Section 52</w:t>
            </w:r>
          </w:p>
        </w:tc>
      </w:tr>
      <w:tr w:rsidR="00F303BF" w:rsidRPr="00F303BF" w14:paraId="773055B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3FF11D3" w14:textId="77777777" w:rsidR="00F303BF" w:rsidRPr="00F303BF" w:rsidRDefault="00F303BF" w:rsidP="00F303BF">
            <w:pPr>
              <w:pStyle w:val="tabletext"/>
              <w:rPr>
                <w:lang w:val="en-US" w:eastAsia="en-US"/>
              </w:rPr>
            </w:pPr>
            <w:r w:rsidRPr="00F303BF">
              <w:rPr>
                <w:lang w:val="en-US" w:eastAsia="en-US"/>
              </w:rPr>
              <w:t>254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B5BAE09" w14:textId="77777777" w:rsidR="00F303BF" w:rsidRPr="006B273B" w:rsidRDefault="00F303BF" w:rsidP="00F303BF">
            <w:pPr>
              <w:pStyle w:val="tabletext"/>
              <w:rPr>
                <w:lang w:val="en-US" w:eastAsia="en-US"/>
              </w:rPr>
            </w:pPr>
            <w:r w:rsidRPr="006B273B">
              <w:rPr>
                <w:lang w:val="en-US" w:eastAsia="en-US"/>
              </w:rPr>
              <w:t>Subsection 55(3)</w:t>
            </w:r>
          </w:p>
        </w:tc>
      </w:tr>
      <w:tr w:rsidR="00F303BF" w:rsidRPr="00F303BF" w14:paraId="181EE48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454AA58" w14:textId="77777777" w:rsidR="00F303BF" w:rsidRPr="00F303BF" w:rsidRDefault="00F303BF" w:rsidP="00F303BF">
            <w:pPr>
              <w:pStyle w:val="tabletext"/>
              <w:rPr>
                <w:lang w:val="en-US" w:eastAsia="en-US"/>
              </w:rPr>
            </w:pPr>
            <w:r w:rsidRPr="00F303BF">
              <w:rPr>
                <w:lang w:val="en-US" w:eastAsia="en-US"/>
              </w:rPr>
              <w:t>256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F179E41" w14:textId="77777777" w:rsidR="00F303BF" w:rsidRPr="006B273B" w:rsidRDefault="00F303BF" w:rsidP="00F303BF">
            <w:pPr>
              <w:pStyle w:val="tabletext"/>
              <w:rPr>
                <w:lang w:val="en-US" w:eastAsia="en-US"/>
              </w:rPr>
            </w:pPr>
            <w:r w:rsidRPr="006B273B">
              <w:rPr>
                <w:lang w:val="en-US" w:eastAsia="en-US"/>
              </w:rPr>
              <w:t>Section 56 (table item 11, column 1)</w:t>
            </w:r>
          </w:p>
        </w:tc>
      </w:tr>
      <w:tr w:rsidR="00F303BF" w:rsidRPr="00F303BF" w14:paraId="11227B5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430E7E0" w14:textId="77777777" w:rsidR="00F303BF" w:rsidRPr="00F303BF" w:rsidRDefault="00F303BF" w:rsidP="00F303BF">
            <w:pPr>
              <w:pStyle w:val="tabletext"/>
              <w:rPr>
                <w:lang w:val="en-US" w:eastAsia="en-US"/>
              </w:rPr>
            </w:pPr>
            <w:r w:rsidRPr="00F303BF">
              <w:rPr>
                <w:lang w:val="en-US" w:eastAsia="en-US"/>
              </w:rPr>
              <w:t>258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3C735D" w14:textId="77777777" w:rsidR="00F303BF" w:rsidRPr="006B273B" w:rsidRDefault="00F303BF" w:rsidP="00F303BF">
            <w:pPr>
              <w:pStyle w:val="tabletext"/>
              <w:rPr>
                <w:lang w:val="en-US" w:eastAsia="en-US"/>
              </w:rPr>
            </w:pPr>
            <w:r w:rsidRPr="006B273B">
              <w:rPr>
                <w:lang w:val="en-US" w:eastAsia="en-US"/>
              </w:rPr>
              <w:t>Section 56 (table item 12, column 1)</w:t>
            </w:r>
          </w:p>
        </w:tc>
      </w:tr>
      <w:tr w:rsidR="00F303BF" w:rsidRPr="00F303BF" w14:paraId="380E153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E2C086" w14:textId="77777777" w:rsidR="00F303BF" w:rsidRPr="00F303BF" w:rsidRDefault="00F303BF" w:rsidP="00F303BF">
            <w:pPr>
              <w:pStyle w:val="tabletext"/>
              <w:rPr>
                <w:lang w:val="en-US" w:eastAsia="en-US"/>
              </w:rPr>
            </w:pPr>
            <w:r w:rsidRPr="00F303BF">
              <w:rPr>
                <w:lang w:val="en-US" w:eastAsia="en-US"/>
              </w:rPr>
              <w:t>263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000C18E" w14:textId="77777777" w:rsidR="00F303BF" w:rsidRPr="006B273B" w:rsidRDefault="00F303BF" w:rsidP="00F303BF">
            <w:pPr>
              <w:pStyle w:val="tabletext"/>
              <w:rPr>
                <w:lang w:val="en-US" w:eastAsia="en-US"/>
              </w:rPr>
            </w:pPr>
            <w:r w:rsidRPr="006B273B">
              <w:rPr>
                <w:lang w:val="en-US" w:eastAsia="en-US"/>
              </w:rPr>
              <w:t>Subsection 57(1)</w:t>
            </w:r>
          </w:p>
        </w:tc>
      </w:tr>
      <w:tr w:rsidR="00F303BF" w:rsidRPr="00F303BF" w14:paraId="0B2D346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F50B467" w14:textId="77777777" w:rsidR="00F303BF" w:rsidRPr="00F303BF" w:rsidRDefault="00F303BF" w:rsidP="00F303BF">
            <w:pPr>
              <w:pStyle w:val="tabletext"/>
              <w:rPr>
                <w:lang w:val="en-US" w:eastAsia="en-US"/>
              </w:rPr>
            </w:pPr>
            <w:r w:rsidRPr="00F303BF">
              <w:rPr>
                <w:lang w:val="en-US" w:eastAsia="en-US"/>
              </w:rPr>
              <w:t>265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259761" w14:textId="77777777" w:rsidR="00F303BF" w:rsidRPr="006B273B" w:rsidRDefault="00F303BF" w:rsidP="00F303BF">
            <w:pPr>
              <w:pStyle w:val="tabletext"/>
              <w:rPr>
                <w:lang w:val="en-US" w:eastAsia="en-US"/>
              </w:rPr>
            </w:pPr>
            <w:r w:rsidRPr="006B273B">
              <w:rPr>
                <w:lang w:val="en-US" w:eastAsia="en-US"/>
              </w:rPr>
              <w:t>Subsection 57(2)</w:t>
            </w:r>
          </w:p>
        </w:tc>
      </w:tr>
      <w:tr w:rsidR="00F303BF" w:rsidRPr="00F303BF" w14:paraId="5796A7D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040879E" w14:textId="77777777" w:rsidR="00F303BF" w:rsidRPr="00F303BF" w:rsidRDefault="00F303BF" w:rsidP="00F303BF">
            <w:pPr>
              <w:pStyle w:val="tabletext"/>
              <w:rPr>
                <w:lang w:val="en-US" w:eastAsia="en-US"/>
              </w:rPr>
            </w:pPr>
            <w:r w:rsidRPr="00F303BF">
              <w:rPr>
                <w:lang w:val="en-US" w:eastAsia="en-US"/>
              </w:rPr>
              <w:t>266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9FB2AF" w14:textId="77777777" w:rsidR="00F303BF" w:rsidRPr="006B273B" w:rsidRDefault="00F303BF" w:rsidP="00F303BF">
            <w:pPr>
              <w:pStyle w:val="tabletext"/>
              <w:rPr>
                <w:lang w:val="en-US" w:eastAsia="en-US"/>
              </w:rPr>
            </w:pPr>
            <w:r w:rsidRPr="006B273B">
              <w:rPr>
                <w:lang w:val="en-US" w:eastAsia="en-US"/>
              </w:rPr>
              <w:t>Subsection 57(3)</w:t>
            </w:r>
          </w:p>
        </w:tc>
      </w:tr>
      <w:tr w:rsidR="00F303BF" w:rsidRPr="00F303BF" w14:paraId="309D844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9B1826D" w14:textId="77777777" w:rsidR="00F303BF" w:rsidRPr="00F303BF" w:rsidRDefault="00F303BF" w:rsidP="00F303BF">
            <w:pPr>
              <w:pStyle w:val="tabletext"/>
              <w:rPr>
                <w:lang w:val="en-US" w:eastAsia="en-US"/>
              </w:rPr>
            </w:pPr>
            <w:r w:rsidRPr="00F303BF">
              <w:rPr>
                <w:lang w:val="en-US" w:eastAsia="en-US"/>
              </w:rPr>
              <w:t>267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9E56697" w14:textId="77777777" w:rsidR="00F303BF" w:rsidRPr="006B273B" w:rsidRDefault="00F303BF" w:rsidP="00F303BF">
            <w:pPr>
              <w:pStyle w:val="tabletext"/>
              <w:rPr>
                <w:lang w:val="en-US" w:eastAsia="en-US"/>
              </w:rPr>
            </w:pPr>
            <w:r w:rsidRPr="006B273B">
              <w:rPr>
                <w:lang w:val="en-US" w:eastAsia="en-US"/>
              </w:rPr>
              <w:t>Paragraph 57(3)(c)</w:t>
            </w:r>
          </w:p>
        </w:tc>
      </w:tr>
      <w:tr w:rsidR="00F303BF" w:rsidRPr="00F303BF" w14:paraId="1C2B7B1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5E84DF8" w14:textId="77777777" w:rsidR="00F303BF" w:rsidRPr="00F303BF" w:rsidRDefault="00F303BF" w:rsidP="00F303BF">
            <w:pPr>
              <w:pStyle w:val="tabletext"/>
              <w:rPr>
                <w:lang w:val="en-US" w:eastAsia="en-US"/>
              </w:rPr>
            </w:pPr>
            <w:r w:rsidRPr="00F303BF">
              <w:rPr>
                <w:lang w:val="en-US" w:eastAsia="en-US"/>
              </w:rPr>
              <w:t>268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C03E315" w14:textId="77777777" w:rsidR="00F303BF" w:rsidRPr="006B273B" w:rsidRDefault="00F303BF" w:rsidP="00F303BF">
            <w:pPr>
              <w:pStyle w:val="tabletext"/>
              <w:rPr>
                <w:lang w:val="en-US" w:eastAsia="en-US"/>
              </w:rPr>
            </w:pPr>
            <w:r w:rsidRPr="006B273B">
              <w:rPr>
                <w:lang w:val="en-US" w:eastAsia="en-US"/>
              </w:rPr>
              <w:t>Subsection 57(4)</w:t>
            </w:r>
          </w:p>
        </w:tc>
      </w:tr>
      <w:tr w:rsidR="00F303BF" w:rsidRPr="00F303BF" w14:paraId="68F7B88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B1EE33F" w14:textId="77777777" w:rsidR="00F303BF" w:rsidRPr="00F303BF" w:rsidRDefault="00F303BF" w:rsidP="00F303BF">
            <w:pPr>
              <w:pStyle w:val="tabletext"/>
              <w:rPr>
                <w:lang w:val="en-US" w:eastAsia="en-US"/>
              </w:rPr>
            </w:pPr>
            <w:r w:rsidRPr="00F303BF">
              <w:rPr>
                <w:lang w:val="en-US" w:eastAsia="en-US"/>
              </w:rPr>
              <w:t>269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B00CE4F" w14:textId="77777777" w:rsidR="00F303BF" w:rsidRPr="006B273B" w:rsidRDefault="00F303BF" w:rsidP="00F303BF">
            <w:pPr>
              <w:pStyle w:val="tabletext"/>
              <w:rPr>
                <w:lang w:val="en-US" w:eastAsia="en-US"/>
              </w:rPr>
            </w:pPr>
            <w:r w:rsidRPr="006B273B">
              <w:rPr>
                <w:lang w:val="en-US" w:eastAsia="en-US"/>
              </w:rPr>
              <w:t>Subsection 57(5)</w:t>
            </w:r>
          </w:p>
        </w:tc>
      </w:tr>
      <w:tr w:rsidR="00F303BF" w:rsidRPr="00F303BF" w14:paraId="37B1A38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26E778C" w14:textId="77777777" w:rsidR="00F303BF" w:rsidRPr="00F303BF" w:rsidRDefault="00F303BF" w:rsidP="00F303BF">
            <w:pPr>
              <w:pStyle w:val="tabletext"/>
              <w:rPr>
                <w:lang w:val="en-US" w:eastAsia="en-US"/>
              </w:rPr>
            </w:pPr>
            <w:r w:rsidRPr="00F303BF">
              <w:rPr>
                <w:lang w:val="en-US" w:eastAsia="en-US"/>
              </w:rPr>
              <w:t>270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2ECF64C" w14:textId="77777777" w:rsidR="00F303BF" w:rsidRPr="006B273B" w:rsidRDefault="00F303BF" w:rsidP="00F303BF">
            <w:pPr>
              <w:pStyle w:val="tabletext"/>
              <w:rPr>
                <w:lang w:val="en-US" w:eastAsia="en-US"/>
              </w:rPr>
            </w:pPr>
            <w:r w:rsidRPr="006B273B">
              <w:rPr>
                <w:lang w:val="en-US" w:eastAsia="en-US"/>
              </w:rPr>
              <w:t>Subsection 57(6)</w:t>
            </w:r>
          </w:p>
        </w:tc>
      </w:tr>
      <w:tr w:rsidR="00F303BF" w:rsidRPr="00F303BF" w14:paraId="5482EF2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4DBE57C" w14:textId="77777777" w:rsidR="00F303BF" w:rsidRPr="00F303BF" w:rsidRDefault="00F303BF" w:rsidP="00F303BF">
            <w:pPr>
              <w:pStyle w:val="tabletext"/>
              <w:rPr>
                <w:lang w:val="en-US" w:eastAsia="en-US"/>
              </w:rPr>
            </w:pPr>
            <w:r w:rsidRPr="00F303BF">
              <w:rPr>
                <w:lang w:val="en-US" w:eastAsia="en-US"/>
              </w:rPr>
              <w:t>271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2FFA5A7" w14:textId="77777777" w:rsidR="00F303BF" w:rsidRPr="006B273B" w:rsidRDefault="00F303BF" w:rsidP="00F303BF">
            <w:pPr>
              <w:pStyle w:val="tabletext"/>
              <w:rPr>
                <w:lang w:val="en-US" w:eastAsia="en-US"/>
              </w:rPr>
            </w:pPr>
            <w:r w:rsidRPr="006B273B">
              <w:rPr>
                <w:lang w:val="en-US" w:eastAsia="en-US"/>
              </w:rPr>
              <w:t>Subsection 57(8)</w:t>
            </w:r>
          </w:p>
        </w:tc>
      </w:tr>
      <w:tr w:rsidR="00F303BF" w:rsidRPr="00F303BF" w14:paraId="7EE15D5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E1E86C3" w14:textId="77777777" w:rsidR="00F303BF" w:rsidRPr="00F303BF" w:rsidRDefault="00F303BF" w:rsidP="00F303BF">
            <w:pPr>
              <w:pStyle w:val="tabletext"/>
              <w:rPr>
                <w:lang w:val="en-US" w:eastAsia="en-US"/>
              </w:rPr>
            </w:pPr>
            <w:r w:rsidRPr="00F303BF">
              <w:rPr>
                <w:lang w:val="en-US" w:eastAsia="en-US"/>
              </w:rPr>
              <w:t>272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24B285" w14:textId="77777777" w:rsidR="00F303BF" w:rsidRPr="006B273B" w:rsidRDefault="00F303BF" w:rsidP="00F303BF">
            <w:pPr>
              <w:pStyle w:val="tabletext"/>
              <w:rPr>
                <w:lang w:val="en-US" w:eastAsia="en-US"/>
              </w:rPr>
            </w:pPr>
            <w:r w:rsidRPr="006B273B">
              <w:rPr>
                <w:lang w:val="en-US" w:eastAsia="en-US"/>
              </w:rPr>
              <w:t>Subsection 57(9)</w:t>
            </w:r>
          </w:p>
        </w:tc>
      </w:tr>
      <w:tr w:rsidR="00F303BF" w:rsidRPr="00F303BF" w14:paraId="53DC9E0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6C61E28" w14:textId="77777777" w:rsidR="00F303BF" w:rsidRPr="00F303BF" w:rsidRDefault="00F303BF" w:rsidP="00F303BF">
            <w:pPr>
              <w:pStyle w:val="tabletext"/>
              <w:rPr>
                <w:lang w:val="en-US" w:eastAsia="en-US"/>
              </w:rPr>
            </w:pPr>
            <w:r w:rsidRPr="00F303BF">
              <w:rPr>
                <w:lang w:val="en-US" w:eastAsia="en-US"/>
              </w:rPr>
              <w:t>274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7FB8AE" w14:textId="77777777" w:rsidR="00F303BF" w:rsidRPr="006B273B" w:rsidRDefault="00F303BF" w:rsidP="00F303BF">
            <w:pPr>
              <w:pStyle w:val="tabletext"/>
              <w:rPr>
                <w:lang w:val="en-US" w:eastAsia="en-US"/>
              </w:rPr>
            </w:pPr>
            <w:r w:rsidRPr="006B273B">
              <w:rPr>
                <w:lang w:val="en-US" w:eastAsia="en-US"/>
              </w:rPr>
              <w:t>Subsection 58(2)</w:t>
            </w:r>
          </w:p>
        </w:tc>
      </w:tr>
      <w:tr w:rsidR="00F303BF" w:rsidRPr="00F303BF" w14:paraId="42D7033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1A6B8C6" w14:textId="77777777" w:rsidR="00F303BF" w:rsidRPr="00F303BF" w:rsidRDefault="00F303BF" w:rsidP="00F303BF">
            <w:pPr>
              <w:pStyle w:val="tabletext"/>
              <w:rPr>
                <w:lang w:val="en-US" w:eastAsia="en-US"/>
              </w:rPr>
            </w:pPr>
            <w:r w:rsidRPr="00F303BF">
              <w:rPr>
                <w:lang w:val="en-US" w:eastAsia="en-US"/>
              </w:rPr>
              <w:t>286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40B5C0D" w14:textId="77777777" w:rsidR="00F303BF" w:rsidRPr="006B273B" w:rsidRDefault="00F303BF" w:rsidP="00F303BF">
            <w:pPr>
              <w:pStyle w:val="tabletext"/>
              <w:rPr>
                <w:lang w:val="en-US" w:eastAsia="en-US"/>
              </w:rPr>
            </w:pPr>
            <w:r w:rsidRPr="006B273B">
              <w:rPr>
                <w:lang w:val="en-US" w:eastAsia="en-US"/>
              </w:rPr>
              <w:t>Paragraph 69(1)(c)</w:t>
            </w:r>
          </w:p>
        </w:tc>
      </w:tr>
      <w:tr w:rsidR="00F303BF" w:rsidRPr="00F303BF" w14:paraId="7B02C60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DA31A10" w14:textId="77777777" w:rsidR="00F303BF" w:rsidRPr="00F303BF" w:rsidRDefault="00F303BF" w:rsidP="00F303BF">
            <w:pPr>
              <w:pStyle w:val="tabletext"/>
              <w:rPr>
                <w:lang w:val="en-US" w:eastAsia="en-US"/>
              </w:rPr>
            </w:pPr>
            <w:r w:rsidRPr="00F303BF">
              <w:rPr>
                <w:lang w:val="en-US" w:eastAsia="en-US"/>
              </w:rPr>
              <w:lastRenderedPageBreak/>
              <w:t>288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52BC3CA" w14:textId="77777777" w:rsidR="00F303BF" w:rsidRPr="006B273B" w:rsidRDefault="00F303BF" w:rsidP="00F303BF">
            <w:pPr>
              <w:pStyle w:val="tabletext"/>
              <w:rPr>
                <w:lang w:val="en-US" w:eastAsia="en-US"/>
              </w:rPr>
            </w:pPr>
            <w:r w:rsidRPr="006B273B">
              <w:rPr>
                <w:lang w:val="en-US" w:eastAsia="en-US"/>
              </w:rPr>
              <w:t>Subsection 69(1) (note)</w:t>
            </w:r>
          </w:p>
        </w:tc>
      </w:tr>
      <w:tr w:rsidR="00F303BF" w:rsidRPr="00F303BF" w14:paraId="61E9003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4746D89" w14:textId="77777777" w:rsidR="00F303BF" w:rsidRPr="00F303BF" w:rsidRDefault="00F303BF" w:rsidP="00F303BF">
            <w:pPr>
              <w:pStyle w:val="tabletext"/>
              <w:rPr>
                <w:lang w:val="en-US" w:eastAsia="en-US"/>
              </w:rPr>
            </w:pPr>
            <w:r w:rsidRPr="00F303BF">
              <w:rPr>
                <w:lang w:val="en-US" w:eastAsia="en-US"/>
              </w:rPr>
              <w:t>292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19AFD01" w14:textId="77777777" w:rsidR="00F303BF" w:rsidRPr="006B273B" w:rsidRDefault="00F303BF" w:rsidP="00F303BF">
            <w:pPr>
              <w:pStyle w:val="tabletext"/>
              <w:rPr>
                <w:lang w:val="en-US" w:eastAsia="en-US"/>
              </w:rPr>
            </w:pPr>
            <w:r w:rsidRPr="006B273B">
              <w:rPr>
                <w:lang w:val="en-US" w:eastAsia="en-US"/>
              </w:rPr>
              <w:t>Subsection 69(3) (heading)</w:t>
            </w:r>
          </w:p>
        </w:tc>
      </w:tr>
      <w:tr w:rsidR="00F303BF" w:rsidRPr="00F303BF" w14:paraId="504A97D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2B9B9DC" w14:textId="77777777" w:rsidR="00F303BF" w:rsidRPr="00F303BF" w:rsidRDefault="00F303BF" w:rsidP="00F303BF">
            <w:pPr>
              <w:pStyle w:val="tabletext"/>
              <w:rPr>
                <w:lang w:val="en-US" w:eastAsia="en-US"/>
              </w:rPr>
            </w:pPr>
            <w:r w:rsidRPr="00F303BF">
              <w:rPr>
                <w:lang w:val="en-US" w:eastAsia="en-US"/>
              </w:rPr>
              <w:t>293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A1C0722" w14:textId="77777777" w:rsidR="00F303BF" w:rsidRPr="006B273B" w:rsidRDefault="00F303BF" w:rsidP="00F303BF">
            <w:pPr>
              <w:pStyle w:val="tabletext"/>
              <w:rPr>
                <w:lang w:val="en-US" w:eastAsia="en-US"/>
              </w:rPr>
            </w:pPr>
            <w:r w:rsidRPr="006B273B">
              <w:rPr>
                <w:lang w:val="en-US" w:eastAsia="en-US"/>
              </w:rPr>
              <w:t>Subsection 69(3)</w:t>
            </w:r>
          </w:p>
        </w:tc>
      </w:tr>
      <w:tr w:rsidR="00F303BF" w:rsidRPr="00F303BF" w14:paraId="2AF27DB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8B0E46E" w14:textId="77777777" w:rsidR="00F303BF" w:rsidRPr="00F303BF" w:rsidRDefault="00F303BF" w:rsidP="00F303BF">
            <w:pPr>
              <w:pStyle w:val="tabletext"/>
              <w:rPr>
                <w:lang w:val="en-US" w:eastAsia="en-US"/>
              </w:rPr>
            </w:pPr>
            <w:r w:rsidRPr="00F303BF">
              <w:rPr>
                <w:lang w:val="en-US" w:eastAsia="en-US"/>
              </w:rPr>
              <w:t>297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538466D" w14:textId="77777777" w:rsidR="00F303BF" w:rsidRPr="006B273B" w:rsidRDefault="00F303BF" w:rsidP="00F303BF">
            <w:pPr>
              <w:pStyle w:val="tabletext"/>
              <w:rPr>
                <w:lang w:val="en-US" w:eastAsia="en-US"/>
              </w:rPr>
            </w:pPr>
            <w:r w:rsidRPr="006B273B">
              <w:rPr>
                <w:lang w:val="en-US" w:eastAsia="en-US"/>
              </w:rPr>
              <w:t>Subsection 69(4) (heading)</w:t>
            </w:r>
          </w:p>
        </w:tc>
      </w:tr>
      <w:tr w:rsidR="00F303BF" w:rsidRPr="00F303BF" w14:paraId="4821490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3CEBA11" w14:textId="77777777" w:rsidR="00F303BF" w:rsidRPr="00F303BF" w:rsidRDefault="00F303BF" w:rsidP="00F303BF">
            <w:pPr>
              <w:pStyle w:val="tabletext"/>
              <w:rPr>
                <w:lang w:val="en-US" w:eastAsia="en-US"/>
              </w:rPr>
            </w:pPr>
            <w:r w:rsidRPr="00F303BF">
              <w:rPr>
                <w:lang w:val="en-US" w:eastAsia="en-US"/>
              </w:rPr>
              <w:t>298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C4E210" w14:textId="77777777" w:rsidR="00F303BF" w:rsidRPr="006B273B" w:rsidRDefault="00F303BF" w:rsidP="00F303BF">
            <w:pPr>
              <w:pStyle w:val="tabletext"/>
              <w:rPr>
                <w:lang w:val="en-US" w:eastAsia="en-US"/>
              </w:rPr>
            </w:pPr>
            <w:r w:rsidRPr="006B273B">
              <w:rPr>
                <w:lang w:val="en-US" w:eastAsia="en-US"/>
              </w:rPr>
              <w:t>Subsection 69(4)</w:t>
            </w:r>
          </w:p>
        </w:tc>
      </w:tr>
      <w:tr w:rsidR="00F303BF" w:rsidRPr="00F303BF" w14:paraId="2955E6D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FFB0A0D" w14:textId="77777777" w:rsidR="00F303BF" w:rsidRPr="00F303BF" w:rsidRDefault="00F303BF" w:rsidP="00F303BF">
            <w:pPr>
              <w:pStyle w:val="tabletext"/>
              <w:rPr>
                <w:lang w:val="en-US" w:eastAsia="en-US"/>
              </w:rPr>
            </w:pPr>
            <w:r w:rsidRPr="00F303BF">
              <w:rPr>
                <w:lang w:val="en-US" w:eastAsia="en-US"/>
              </w:rPr>
              <w:t>300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BD6845" w14:textId="77777777" w:rsidR="00F303BF" w:rsidRPr="006B273B" w:rsidRDefault="00F303BF" w:rsidP="00F303BF">
            <w:pPr>
              <w:pStyle w:val="tabletext"/>
              <w:rPr>
                <w:lang w:val="en-US" w:eastAsia="en-US"/>
              </w:rPr>
            </w:pPr>
            <w:r w:rsidRPr="006B273B">
              <w:rPr>
                <w:lang w:val="en-US" w:eastAsia="en-US"/>
              </w:rPr>
              <w:t>Subsection 69(5) (heading)</w:t>
            </w:r>
          </w:p>
        </w:tc>
      </w:tr>
      <w:tr w:rsidR="00F303BF" w:rsidRPr="00F303BF" w14:paraId="3BB0D74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F85ED1E" w14:textId="77777777" w:rsidR="00F303BF" w:rsidRPr="00F303BF" w:rsidRDefault="00F303BF" w:rsidP="00F303BF">
            <w:pPr>
              <w:pStyle w:val="tabletext"/>
              <w:rPr>
                <w:lang w:val="en-US" w:eastAsia="en-US"/>
              </w:rPr>
            </w:pPr>
            <w:r w:rsidRPr="00F303BF">
              <w:rPr>
                <w:lang w:val="en-US" w:eastAsia="en-US"/>
              </w:rPr>
              <w:t>301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FE69362" w14:textId="77777777" w:rsidR="00F303BF" w:rsidRPr="006B273B" w:rsidRDefault="00F303BF" w:rsidP="00F303BF">
            <w:pPr>
              <w:pStyle w:val="tabletext"/>
              <w:rPr>
                <w:lang w:val="en-US" w:eastAsia="en-US"/>
              </w:rPr>
            </w:pPr>
            <w:r w:rsidRPr="006B273B">
              <w:rPr>
                <w:lang w:val="en-US" w:eastAsia="en-US"/>
              </w:rPr>
              <w:t>Subsection 69(5)</w:t>
            </w:r>
          </w:p>
        </w:tc>
      </w:tr>
      <w:tr w:rsidR="00F303BF" w:rsidRPr="00F303BF" w14:paraId="6173F1A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A3F1C2E" w14:textId="77777777" w:rsidR="00F303BF" w:rsidRPr="00F303BF" w:rsidRDefault="00F303BF" w:rsidP="00F303BF">
            <w:pPr>
              <w:pStyle w:val="tabletext"/>
              <w:rPr>
                <w:lang w:val="en-US" w:eastAsia="en-US"/>
              </w:rPr>
            </w:pPr>
            <w:r w:rsidRPr="00F303BF">
              <w:rPr>
                <w:lang w:val="en-US" w:eastAsia="en-US"/>
              </w:rPr>
              <w:t>309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228C756" w14:textId="77777777" w:rsidR="00F303BF" w:rsidRPr="006B273B" w:rsidRDefault="00F303BF" w:rsidP="00F303BF">
            <w:pPr>
              <w:pStyle w:val="tabletext"/>
              <w:rPr>
                <w:lang w:val="en-US" w:eastAsia="en-US"/>
              </w:rPr>
            </w:pPr>
            <w:r w:rsidRPr="006B273B">
              <w:rPr>
                <w:lang w:val="en-US" w:eastAsia="en-US"/>
              </w:rPr>
              <w:t>Paragraph 73(a)</w:t>
            </w:r>
          </w:p>
        </w:tc>
      </w:tr>
      <w:tr w:rsidR="00F303BF" w:rsidRPr="00F303BF" w14:paraId="2EEF1F6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80B65F8" w14:textId="77777777" w:rsidR="00F303BF" w:rsidRPr="00F303BF" w:rsidRDefault="00F303BF" w:rsidP="00F303BF">
            <w:pPr>
              <w:pStyle w:val="tabletext"/>
              <w:rPr>
                <w:lang w:val="en-US" w:eastAsia="en-US"/>
              </w:rPr>
            </w:pPr>
            <w:r w:rsidRPr="00F303BF">
              <w:rPr>
                <w:lang w:val="en-US" w:eastAsia="en-US"/>
              </w:rPr>
              <w:t>310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853B90E" w14:textId="77777777" w:rsidR="00F303BF" w:rsidRPr="006B273B" w:rsidRDefault="00F303BF" w:rsidP="00F303BF">
            <w:pPr>
              <w:pStyle w:val="tabletext"/>
              <w:rPr>
                <w:lang w:val="en-US" w:eastAsia="en-US"/>
              </w:rPr>
            </w:pPr>
            <w:r w:rsidRPr="006B273B">
              <w:rPr>
                <w:lang w:val="en-US" w:eastAsia="en-US"/>
              </w:rPr>
              <w:t>Paragraph 73(b)</w:t>
            </w:r>
          </w:p>
        </w:tc>
      </w:tr>
      <w:tr w:rsidR="00F303BF" w:rsidRPr="00F303BF" w14:paraId="2465741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693CF84" w14:textId="77777777" w:rsidR="00F303BF" w:rsidRPr="00F303BF" w:rsidRDefault="00F303BF" w:rsidP="00F303BF">
            <w:pPr>
              <w:pStyle w:val="tabletext"/>
              <w:rPr>
                <w:lang w:val="en-US" w:eastAsia="en-US"/>
              </w:rPr>
            </w:pPr>
            <w:r w:rsidRPr="00F303BF">
              <w:rPr>
                <w:lang w:val="en-US" w:eastAsia="en-US"/>
              </w:rPr>
              <w:t>320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F8CB76C" w14:textId="77777777" w:rsidR="00F303BF" w:rsidRPr="006B273B" w:rsidRDefault="00F303BF" w:rsidP="00F303BF">
            <w:pPr>
              <w:pStyle w:val="tabletext"/>
              <w:rPr>
                <w:lang w:val="en-US" w:eastAsia="en-US"/>
              </w:rPr>
            </w:pPr>
            <w:r w:rsidRPr="006B273B">
              <w:rPr>
                <w:lang w:val="en-US" w:eastAsia="en-US"/>
              </w:rPr>
              <w:t>Subsection 82(1)</w:t>
            </w:r>
          </w:p>
        </w:tc>
      </w:tr>
      <w:tr w:rsidR="00F303BF" w:rsidRPr="00F303BF" w14:paraId="5C81ECC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3245A1E" w14:textId="77777777" w:rsidR="00F303BF" w:rsidRPr="00F303BF" w:rsidRDefault="00F303BF" w:rsidP="00F303BF">
            <w:pPr>
              <w:pStyle w:val="tabletext"/>
              <w:rPr>
                <w:lang w:val="en-US" w:eastAsia="en-US"/>
              </w:rPr>
            </w:pPr>
            <w:r w:rsidRPr="00F303BF">
              <w:rPr>
                <w:lang w:val="en-US" w:eastAsia="en-US"/>
              </w:rPr>
              <w:t>321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4A22C16" w14:textId="77777777" w:rsidR="00F303BF" w:rsidRPr="006B273B" w:rsidRDefault="00F303BF" w:rsidP="00F303BF">
            <w:pPr>
              <w:pStyle w:val="tabletext"/>
              <w:rPr>
                <w:lang w:val="en-US" w:eastAsia="en-US"/>
              </w:rPr>
            </w:pPr>
            <w:r w:rsidRPr="006B273B">
              <w:rPr>
                <w:lang w:val="en-US" w:eastAsia="en-US"/>
              </w:rPr>
              <w:t>Subsection 82(4)</w:t>
            </w:r>
          </w:p>
        </w:tc>
      </w:tr>
      <w:tr w:rsidR="00F303BF" w:rsidRPr="00F303BF" w14:paraId="0EA77D4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65959C" w14:textId="77777777" w:rsidR="00F303BF" w:rsidRPr="00F303BF" w:rsidRDefault="00F303BF" w:rsidP="00F303BF">
            <w:pPr>
              <w:pStyle w:val="tabletext"/>
              <w:rPr>
                <w:lang w:val="en-US" w:eastAsia="en-US"/>
              </w:rPr>
            </w:pPr>
            <w:r w:rsidRPr="00F303BF">
              <w:rPr>
                <w:lang w:val="en-US" w:eastAsia="en-US"/>
              </w:rPr>
              <w:t>322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298385" w14:textId="77777777" w:rsidR="00F303BF" w:rsidRPr="006B273B" w:rsidRDefault="00F303BF" w:rsidP="00F303BF">
            <w:pPr>
              <w:pStyle w:val="tabletext"/>
              <w:rPr>
                <w:lang w:val="en-US" w:eastAsia="en-US"/>
              </w:rPr>
            </w:pPr>
            <w:r w:rsidRPr="006B273B">
              <w:rPr>
                <w:lang w:val="en-US" w:eastAsia="en-US"/>
              </w:rPr>
              <w:t>Subsection 82(5)</w:t>
            </w:r>
          </w:p>
        </w:tc>
      </w:tr>
      <w:tr w:rsidR="00F303BF" w:rsidRPr="00F303BF" w14:paraId="4BDDB2C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7DDF4A" w14:textId="77777777" w:rsidR="00F303BF" w:rsidRPr="00F303BF" w:rsidRDefault="00F303BF" w:rsidP="00F303BF">
            <w:pPr>
              <w:pStyle w:val="tabletext"/>
              <w:rPr>
                <w:lang w:val="en-US" w:eastAsia="en-US"/>
              </w:rPr>
            </w:pPr>
            <w:r w:rsidRPr="00F303BF">
              <w:rPr>
                <w:lang w:val="en-US" w:eastAsia="en-US"/>
              </w:rPr>
              <w:t>323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9EBF332" w14:textId="77777777" w:rsidR="00F303BF" w:rsidRPr="006B273B" w:rsidRDefault="00F303BF" w:rsidP="00F303BF">
            <w:pPr>
              <w:pStyle w:val="tabletext"/>
              <w:rPr>
                <w:lang w:val="en-US" w:eastAsia="en-US"/>
              </w:rPr>
            </w:pPr>
            <w:r w:rsidRPr="006B273B">
              <w:rPr>
                <w:lang w:val="en-US" w:eastAsia="en-US"/>
              </w:rPr>
              <w:t>Subsection 84(1)</w:t>
            </w:r>
          </w:p>
        </w:tc>
      </w:tr>
      <w:tr w:rsidR="00F303BF" w:rsidRPr="00F303BF" w14:paraId="763FD42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32098E5" w14:textId="77777777" w:rsidR="00F303BF" w:rsidRPr="00F303BF" w:rsidRDefault="00F303BF" w:rsidP="00F303BF">
            <w:pPr>
              <w:pStyle w:val="tabletext"/>
              <w:rPr>
                <w:lang w:val="en-US" w:eastAsia="en-US"/>
              </w:rPr>
            </w:pPr>
            <w:r w:rsidRPr="00F303BF">
              <w:rPr>
                <w:lang w:val="en-US" w:eastAsia="en-US"/>
              </w:rPr>
              <w:t>324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49654CB" w14:textId="77777777" w:rsidR="00F303BF" w:rsidRPr="006B273B" w:rsidRDefault="00F303BF" w:rsidP="00F303BF">
            <w:pPr>
              <w:pStyle w:val="tabletext"/>
              <w:rPr>
                <w:lang w:val="en-US" w:eastAsia="en-US"/>
              </w:rPr>
            </w:pPr>
            <w:r w:rsidRPr="006B273B">
              <w:rPr>
                <w:lang w:val="en-US" w:eastAsia="en-US"/>
              </w:rPr>
              <w:t>Subsection 84(4)</w:t>
            </w:r>
          </w:p>
        </w:tc>
      </w:tr>
      <w:tr w:rsidR="00F303BF" w:rsidRPr="00F303BF" w14:paraId="7A9667F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9BA9EEF" w14:textId="77777777" w:rsidR="00F303BF" w:rsidRPr="00F303BF" w:rsidRDefault="00F303BF" w:rsidP="00F303BF">
            <w:pPr>
              <w:pStyle w:val="tabletext"/>
              <w:rPr>
                <w:lang w:val="en-US" w:eastAsia="en-US"/>
              </w:rPr>
            </w:pPr>
            <w:r w:rsidRPr="00F303BF">
              <w:rPr>
                <w:lang w:val="en-US" w:eastAsia="en-US"/>
              </w:rPr>
              <w:t>325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76FE44E" w14:textId="77777777" w:rsidR="00F303BF" w:rsidRPr="006B273B" w:rsidRDefault="00F303BF" w:rsidP="00F303BF">
            <w:pPr>
              <w:pStyle w:val="tabletext"/>
              <w:rPr>
                <w:lang w:val="en-US" w:eastAsia="en-US"/>
              </w:rPr>
            </w:pPr>
            <w:r w:rsidRPr="006B273B">
              <w:rPr>
                <w:lang w:val="en-US" w:eastAsia="en-US"/>
              </w:rPr>
              <w:t>Subsection 84(5)</w:t>
            </w:r>
          </w:p>
        </w:tc>
      </w:tr>
      <w:tr w:rsidR="00F303BF" w:rsidRPr="00F303BF" w14:paraId="1FD724F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204513" w14:textId="77777777" w:rsidR="00F303BF" w:rsidRPr="00F303BF" w:rsidRDefault="00F303BF" w:rsidP="00F303BF">
            <w:pPr>
              <w:pStyle w:val="tabletext"/>
              <w:rPr>
                <w:lang w:val="en-US" w:eastAsia="en-US"/>
              </w:rPr>
            </w:pPr>
            <w:r w:rsidRPr="00F303BF">
              <w:rPr>
                <w:lang w:val="en-US" w:eastAsia="en-US"/>
              </w:rPr>
              <w:t>326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C06E6F6" w14:textId="77777777" w:rsidR="00F303BF" w:rsidRPr="006B273B" w:rsidRDefault="00F303BF" w:rsidP="00F303BF">
            <w:pPr>
              <w:pStyle w:val="tabletext"/>
              <w:rPr>
                <w:lang w:val="en-US" w:eastAsia="en-US"/>
              </w:rPr>
            </w:pPr>
            <w:r w:rsidRPr="006B273B">
              <w:rPr>
                <w:lang w:val="en-US" w:eastAsia="en-US"/>
              </w:rPr>
              <w:t>Subsection 86(2)</w:t>
            </w:r>
          </w:p>
        </w:tc>
      </w:tr>
      <w:tr w:rsidR="00F303BF" w:rsidRPr="00F303BF" w14:paraId="1FF3467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BB2CB8A" w14:textId="77777777" w:rsidR="00F303BF" w:rsidRPr="00F303BF" w:rsidRDefault="00F303BF" w:rsidP="00F303BF">
            <w:pPr>
              <w:pStyle w:val="tabletext"/>
              <w:rPr>
                <w:lang w:val="en-US" w:eastAsia="en-US"/>
              </w:rPr>
            </w:pPr>
            <w:r w:rsidRPr="00F303BF">
              <w:rPr>
                <w:lang w:val="en-US" w:eastAsia="en-US"/>
              </w:rPr>
              <w:t>327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5372781" w14:textId="77777777" w:rsidR="00F303BF" w:rsidRPr="006B273B" w:rsidRDefault="00F303BF" w:rsidP="00F303BF">
            <w:pPr>
              <w:pStyle w:val="tabletext"/>
              <w:rPr>
                <w:lang w:val="en-US" w:eastAsia="en-US"/>
              </w:rPr>
            </w:pPr>
            <w:r w:rsidRPr="006B273B">
              <w:rPr>
                <w:lang w:val="en-US" w:eastAsia="en-US"/>
              </w:rPr>
              <w:t>Subsection 86(5)</w:t>
            </w:r>
          </w:p>
        </w:tc>
      </w:tr>
      <w:tr w:rsidR="00F303BF" w:rsidRPr="00F303BF" w14:paraId="23C2180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2E2614C" w14:textId="77777777" w:rsidR="00F303BF" w:rsidRPr="00F303BF" w:rsidRDefault="00F303BF" w:rsidP="00F303BF">
            <w:pPr>
              <w:pStyle w:val="tabletext"/>
              <w:rPr>
                <w:lang w:val="en-US" w:eastAsia="en-US"/>
              </w:rPr>
            </w:pPr>
            <w:r w:rsidRPr="00F303BF">
              <w:rPr>
                <w:lang w:val="en-US" w:eastAsia="en-US"/>
              </w:rPr>
              <w:t>328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1BB914D" w14:textId="77777777" w:rsidR="00F303BF" w:rsidRPr="006B273B" w:rsidRDefault="00F303BF" w:rsidP="00F303BF">
            <w:pPr>
              <w:pStyle w:val="tabletext"/>
              <w:rPr>
                <w:lang w:val="en-US" w:eastAsia="en-US"/>
              </w:rPr>
            </w:pPr>
            <w:r w:rsidRPr="006B273B">
              <w:rPr>
                <w:lang w:val="en-US" w:eastAsia="en-US"/>
              </w:rPr>
              <w:t>Subsection 86(6)</w:t>
            </w:r>
          </w:p>
        </w:tc>
      </w:tr>
      <w:tr w:rsidR="00F303BF" w:rsidRPr="00F303BF" w14:paraId="7E28232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81FC0D1" w14:textId="77777777" w:rsidR="00F303BF" w:rsidRPr="00F303BF" w:rsidRDefault="00F303BF" w:rsidP="00F303BF">
            <w:pPr>
              <w:pStyle w:val="tabletext"/>
              <w:rPr>
                <w:lang w:val="en-US" w:eastAsia="en-US"/>
              </w:rPr>
            </w:pPr>
            <w:r w:rsidRPr="00F303BF">
              <w:rPr>
                <w:lang w:val="en-US" w:eastAsia="en-US"/>
              </w:rPr>
              <w:t>329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53505B1" w14:textId="77777777" w:rsidR="00F303BF" w:rsidRPr="006B273B" w:rsidRDefault="00F303BF" w:rsidP="00F303BF">
            <w:pPr>
              <w:pStyle w:val="tabletext"/>
              <w:rPr>
                <w:lang w:val="en-US" w:eastAsia="en-US"/>
              </w:rPr>
            </w:pPr>
            <w:r w:rsidRPr="006B273B">
              <w:rPr>
                <w:lang w:val="en-US" w:eastAsia="en-US"/>
              </w:rPr>
              <w:t>Subsection 87(6)</w:t>
            </w:r>
          </w:p>
        </w:tc>
      </w:tr>
      <w:tr w:rsidR="00F303BF" w:rsidRPr="00F303BF" w14:paraId="7B4A9B4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4D87BEF" w14:textId="77777777" w:rsidR="00F303BF" w:rsidRPr="00F303BF" w:rsidRDefault="00F303BF" w:rsidP="00F303BF">
            <w:pPr>
              <w:pStyle w:val="tabletext"/>
              <w:rPr>
                <w:lang w:val="en-US" w:eastAsia="en-US"/>
              </w:rPr>
            </w:pPr>
            <w:r w:rsidRPr="00F303BF">
              <w:rPr>
                <w:lang w:val="en-US" w:eastAsia="en-US"/>
              </w:rPr>
              <w:t>330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0175CA9" w14:textId="77777777" w:rsidR="00F303BF" w:rsidRPr="006B273B" w:rsidRDefault="00F303BF" w:rsidP="00F303BF">
            <w:pPr>
              <w:pStyle w:val="tabletext"/>
              <w:rPr>
                <w:lang w:val="en-US" w:eastAsia="en-US"/>
              </w:rPr>
            </w:pPr>
            <w:r w:rsidRPr="006B273B">
              <w:rPr>
                <w:lang w:val="en-US" w:eastAsia="en-US"/>
              </w:rPr>
              <w:t>Subsection 87(8)</w:t>
            </w:r>
          </w:p>
        </w:tc>
      </w:tr>
      <w:tr w:rsidR="00F303BF" w:rsidRPr="00F303BF" w14:paraId="7BDC6F3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83300F9" w14:textId="77777777" w:rsidR="00F303BF" w:rsidRPr="00F303BF" w:rsidRDefault="00F303BF" w:rsidP="00F303BF">
            <w:pPr>
              <w:pStyle w:val="tabletext"/>
              <w:rPr>
                <w:lang w:val="en-US" w:eastAsia="en-US"/>
              </w:rPr>
            </w:pPr>
            <w:r w:rsidRPr="00F303BF">
              <w:rPr>
                <w:lang w:val="en-US" w:eastAsia="en-US"/>
              </w:rPr>
              <w:t>331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7B9541B" w14:textId="77777777" w:rsidR="00F303BF" w:rsidRPr="006B273B" w:rsidRDefault="00F303BF" w:rsidP="00F303BF">
            <w:pPr>
              <w:pStyle w:val="tabletext"/>
              <w:rPr>
                <w:lang w:val="en-US" w:eastAsia="en-US"/>
              </w:rPr>
            </w:pPr>
            <w:r w:rsidRPr="006B273B">
              <w:rPr>
                <w:lang w:val="en-US" w:eastAsia="en-US"/>
              </w:rPr>
              <w:t>Subsection 87(9)</w:t>
            </w:r>
          </w:p>
        </w:tc>
      </w:tr>
      <w:tr w:rsidR="00F303BF" w:rsidRPr="00F303BF" w14:paraId="43E62AD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2A28D68" w14:textId="77777777" w:rsidR="00F303BF" w:rsidRPr="00F303BF" w:rsidRDefault="00F303BF" w:rsidP="00F303BF">
            <w:pPr>
              <w:pStyle w:val="tabletext"/>
              <w:rPr>
                <w:lang w:val="en-US" w:eastAsia="en-US"/>
              </w:rPr>
            </w:pPr>
            <w:r w:rsidRPr="00F303BF">
              <w:rPr>
                <w:lang w:val="en-US" w:eastAsia="en-US"/>
              </w:rPr>
              <w:t>334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117AA1E" w14:textId="77777777" w:rsidR="00F303BF" w:rsidRPr="006B273B" w:rsidRDefault="00F303BF" w:rsidP="00F303BF">
            <w:pPr>
              <w:pStyle w:val="tabletext"/>
              <w:rPr>
                <w:lang w:val="en-US" w:eastAsia="en-US"/>
              </w:rPr>
            </w:pPr>
            <w:r w:rsidRPr="006B273B">
              <w:rPr>
                <w:lang w:val="en-US" w:eastAsia="en-US"/>
              </w:rPr>
              <w:t>Subsection 88(4)</w:t>
            </w:r>
          </w:p>
        </w:tc>
      </w:tr>
      <w:tr w:rsidR="00B36E09" w:rsidRPr="00F303BF" w14:paraId="196DC4E4" w14:textId="77777777" w:rsidTr="009A1FC1">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302C3" w14:textId="77777777" w:rsidR="00B36E09" w:rsidRPr="006B273B" w:rsidRDefault="00B36E09" w:rsidP="00F303BF">
            <w:pPr>
              <w:pStyle w:val="tabletext"/>
              <w:rPr>
                <w:b/>
                <w:lang w:val="en-US" w:eastAsia="en-US"/>
              </w:rPr>
            </w:pPr>
            <w:r w:rsidRPr="006B273B">
              <w:rPr>
                <w:b/>
                <w:lang w:val="en-US" w:eastAsia="en-US"/>
              </w:rPr>
              <w:t>BNR (Transitional and Consequential Provisions) Act 2011</w:t>
            </w:r>
          </w:p>
        </w:tc>
      </w:tr>
      <w:tr w:rsidR="00F303BF" w:rsidRPr="00F303BF" w14:paraId="21A395E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3270E56" w14:textId="77777777" w:rsidR="00F303BF" w:rsidRPr="00F303BF" w:rsidRDefault="00F303BF" w:rsidP="00F303BF">
            <w:pPr>
              <w:pStyle w:val="tabletext"/>
              <w:rPr>
                <w:lang w:val="en-US" w:eastAsia="en-US"/>
              </w:rPr>
            </w:pPr>
            <w:r w:rsidRPr="00F303BF">
              <w:rPr>
                <w:lang w:val="en-US" w:eastAsia="en-US"/>
              </w:rPr>
              <w:t>339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C5DB2DD" w14:textId="77777777" w:rsidR="00F303BF" w:rsidRPr="006B273B" w:rsidRDefault="00F303BF" w:rsidP="00F303BF">
            <w:pPr>
              <w:pStyle w:val="tabletext"/>
              <w:rPr>
                <w:lang w:val="en-US" w:eastAsia="en-US"/>
              </w:rPr>
            </w:pPr>
            <w:r w:rsidRPr="006B273B">
              <w:rPr>
                <w:lang w:val="en-US" w:eastAsia="en-US"/>
              </w:rPr>
              <w:t>Items 15 and 16 of Schedule 1</w:t>
            </w:r>
          </w:p>
        </w:tc>
      </w:tr>
      <w:tr w:rsidR="00F303BF" w:rsidRPr="00F303BF" w14:paraId="5BD1552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BBAEC61" w14:textId="77777777" w:rsidR="00F303BF" w:rsidRPr="00F303BF" w:rsidRDefault="00F303BF" w:rsidP="00F303BF">
            <w:pPr>
              <w:pStyle w:val="tabletext"/>
              <w:rPr>
                <w:lang w:val="en-US" w:eastAsia="en-US"/>
              </w:rPr>
            </w:pPr>
            <w:r w:rsidRPr="00F303BF">
              <w:rPr>
                <w:lang w:val="en-US" w:eastAsia="en-US"/>
              </w:rPr>
              <w:t>341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D0B0BD1" w14:textId="76D268FD" w:rsidR="00F303BF" w:rsidRPr="006B273B" w:rsidRDefault="00F303BF" w:rsidP="00F303BF">
            <w:pPr>
              <w:pStyle w:val="tabletext"/>
              <w:rPr>
                <w:lang w:val="en-US" w:eastAsia="en-US"/>
              </w:rPr>
            </w:pPr>
            <w:r w:rsidRPr="006B273B">
              <w:rPr>
                <w:lang w:val="en-US" w:eastAsia="en-US"/>
              </w:rPr>
              <w:t>What the Registrar must do if information available on</w:t>
            </w:r>
            <w:r w:rsidR="00147C70">
              <w:rPr>
                <w:lang w:val="en-US" w:eastAsia="en-US"/>
              </w:rPr>
              <w:t xml:space="preserve"> transition deficient</w:t>
            </w:r>
          </w:p>
        </w:tc>
      </w:tr>
      <w:tr w:rsidR="00F303BF" w:rsidRPr="00F303BF" w14:paraId="3337EE1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8BD69C1" w14:textId="77777777" w:rsidR="00F303BF" w:rsidRPr="00F303BF" w:rsidRDefault="00F303BF" w:rsidP="00F303BF">
            <w:pPr>
              <w:pStyle w:val="tabletext"/>
              <w:rPr>
                <w:lang w:val="en-US" w:eastAsia="en-US"/>
              </w:rPr>
            </w:pPr>
            <w:r w:rsidRPr="00F303BF">
              <w:rPr>
                <w:lang w:val="en-US" w:eastAsia="en-US"/>
              </w:rPr>
              <w:t>342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58ED2C0" w14:textId="77777777" w:rsidR="00F303BF" w:rsidRPr="006B273B" w:rsidRDefault="00F303BF" w:rsidP="00F303BF">
            <w:pPr>
              <w:pStyle w:val="tabletext"/>
              <w:rPr>
                <w:lang w:val="en-US" w:eastAsia="en-US"/>
              </w:rPr>
            </w:pPr>
            <w:r w:rsidRPr="006B273B">
              <w:rPr>
                <w:lang w:val="en-US" w:eastAsia="en-US"/>
              </w:rPr>
              <w:t>Items 18 to 20 of Schedule 1</w:t>
            </w:r>
          </w:p>
        </w:tc>
      </w:tr>
      <w:tr w:rsidR="00F303BF" w:rsidRPr="00F303BF" w14:paraId="661A8FB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3B58FC6" w14:textId="77777777" w:rsidR="00F303BF" w:rsidRPr="00F303BF" w:rsidRDefault="00F303BF" w:rsidP="00F303BF">
            <w:pPr>
              <w:pStyle w:val="tabletext"/>
              <w:rPr>
                <w:lang w:val="en-US" w:eastAsia="en-US"/>
              </w:rPr>
            </w:pPr>
            <w:r w:rsidRPr="00F303BF">
              <w:rPr>
                <w:lang w:val="en-US" w:eastAsia="en-US"/>
              </w:rPr>
              <w:t>343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75940DF" w14:textId="77777777" w:rsidR="00F303BF" w:rsidRPr="006B273B" w:rsidRDefault="00F303BF" w:rsidP="00F303BF">
            <w:pPr>
              <w:pStyle w:val="tabletext"/>
              <w:rPr>
                <w:lang w:val="en-US" w:eastAsia="en-US"/>
              </w:rPr>
            </w:pPr>
            <w:r w:rsidRPr="006B273B">
              <w:rPr>
                <w:lang w:val="en-US" w:eastAsia="en-US"/>
              </w:rPr>
              <w:t>Distinguishing words and expressions</w:t>
            </w:r>
          </w:p>
        </w:tc>
      </w:tr>
      <w:tr w:rsidR="00F303BF" w:rsidRPr="00F303BF" w14:paraId="2263914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4083E1E" w14:textId="77777777" w:rsidR="00F303BF" w:rsidRPr="00F303BF" w:rsidRDefault="00F303BF" w:rsidP="00F303BF">
            <w:pPr>
              <w:pStyle w:val="tabletext"/>
              <w:rPr>
                <w:lang w:val="en-US" w:eastAsia="en-US"/>
              </w:rPr>
            </w:pPr>
            <w:r w:rsidRPr="00F303BF">
              <w:rPr>
                <w:lang w:val="en-US" w:eastAsia="en-US"/>
              </w:rPr>
              <w:t>344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B43C82F" w14:textId="77777777" w:rsidR="00F303BF" w:rsidRPr="006B273B" w:rsidRDefault="00F303BF" w:rsidP="00F303BF">
            <w:pPr>
              <w:pStyle w:val="tabletext"/>
              <w:rPr>
                <w:lang w:val="en-US" w:eastAsia="en-US"/>
              </w:rPr>
            </w:pPr>
            <w:r w:rsidRPr="006B273B">
              <w:rPr>
                <w:lang w:val="en-US" w:eastAsia="en-US"/>
              </w:rPr>
              <w:t>Meaning of distinguishing word or expression</w:t>
            </w:r>
          </w:p>
        </w:tc>
      </w:tr>
      <w:tr w:rsidR="00F303BF" w:rsidRPr="00F303BF" w14:paraId="12A461D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0C87741" w14:textId="77777777" w:rsidR="00F303BF" w:rsidRPr="00F303BF" w:rsidRDefault="00F303BF" w:rsidP="00F303BF">
            <w:pPr>
              <w:pStyle w:val="tabletext"/>
              <w:rPr>
                <w:lang w:val="en-US" w:eastAsia="en-US"/>
              </w:rPr>
            </w:pPr>
            <w:r w:rsidRPr="00F303BF">
              <w:rPr>
                <w:lang w:val="en-US" w:eastAsia="en-US"/>
              </w:rPr>
              <w:t>345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593D022" w14:textId="53221A2E" w:rsidR="00F303BF" w:rsidRPr="006B273B" w:rsidRDefault="00F303BF" w:rsidP="00F303BF">
            <w:pPr>
              <w:pStyle w:val="tabletext"/>
              <w:rPr>
                <w:lang w:val="en-US" w:eastAsia="en-US"/>
              </w:rPr>
            </w:pPr>
            <w:r w:rsidRPr="006B273B">
              <w:rPr>
                <w:lang w:val="en-US" w:eastAsia="en-US"/>
              </w:rPr>
              <w:t>The Registrar must record the distinguishing word or ex</w:t>
            </w:r>
            <w:r w:rsidR="00147C70">
              <w:rPr>
                <w:lang w:val="en-US" w:eastAsia="en-US"/>
              </w:rPr>
              <w:t>pression</w:t>
            </w:r>
          </w:p>
        </w:tc>
      </w:tr>
      <w:tr w:rsidR="00F303BF" w:rsidRPr="00F303BF" w14:paraId="42B5B6F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499B57" w14:textId="77777777" w:rsidR="00F303BF" w:rsidRPr="00F303BF" w:rsidRDefault="00F303BF" w:rsidP="00F303BF">
            <w:pPr>
              <w:pStyle w:val="tabletext"/>
              <w:rPr>
                <w:lang w:val="en-US" w:eastAsia="en-US"/>
              </w:rPr>
            </w:pPr>
            <w:r w:rsidRPr="00F303BF">
              <w:rPr>
                <w:lang w:val="en-US" w:eastAsia="en-US"/>
              </w:rPr>
              <w:t>346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DD94194" w14:textId="77777777" w:rsidR="00F303BF" w:rsidRPr="006B273B" w:rsidRDefault="00F303BF" w:rsidP="00F303BF">
            <w:pPr>
              <w:pStyle w:val="tabletext"/>
              <w:rPr>
                <w:lang w:val="en-US" w:eastAsia="en-US"/>
              </w:rPr>
            </w:pPr>
            <w:r w:rsidRPr="006B273B">
              <w:rPr>
                <w:lang w:val="en-US" w:eastAsia="en-US"/>
              </w:rPr>
              <w:t>Item 21 of Schedule 1</w:t>
            </w:r>
          </w:p>
        </w:tc>
      </w:tr>
      <w:tr w:rsidR="00F303BF" w:rsidRPr="00F303BF" w14:paraId="241C4C4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038E04C" w14:textId="77777777" w:rsidR="00F303BF" w:rsidRPr="00F303BF" w:rsidRDefault="00F303BF" w:rsidP="00F303BF">
            <w:pPr>
              <w:pStyle w:val="tabletext"/>
              <w:rPr>
                <w:lang w:val="en-US" w:eastAsia="en-US"/>
              </w:rPr>
            </w:pPr>
            <w:r w:rsidRPr="00F303BF">
              <w:rPr>
                <w:lang w:val="en-US" w:eastAsia="en-US"/>
              </w:rPr>
              <w:t>349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10190C9" w14:textId="77777777" w:rsidR="00F303BF" w:rsidRPr="006B273B" w:rsidRDefault="00F303BF" w:rsidP="00F303BF">
            <w:pPr>
              <w:pStyle w:val="tabletext"/>
              <w:rPr>
                <w:lang w:val="en-US" w:eastAsia="en-US"/>
              </w:rPr>
            </w:pPr>
            <w:proofErr w:type="spellStart"/>
            <w:r w:rsidRPr="006B273B">
              <w:rPr>
                <w:lang w:val="en-US" w:eastAsia="en-US"/>
              </w:rPr>
              <w:t>Subitem</w:t>
            </w:r>
            <w:proofErr w:type="spellEnd"/>
            <w:r w:rsidRPr="006B273B">
              <w:rPr>
                <w:lang w:val="en-US" w:eastAsia="en-US"/>
              </w:rPr>
              <w:t xml:space="preserve"> 22(2) of Schedule 1</w:t>
            </w:r>
          </w:p>
        </w:tc>
      </w:tr>
      <w:tr w:rsidR="00947E92" w:rsidRPr="00F303BF" w14:paraId="18B0F14D"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F3495" w14:textId="77777777" w:rsidR="00947E92" w:rsidRPr="006B273B" w:rsidRDefault="00947E92" w:rsidP="00F303BF">
            <w:pPr>
              <w:pStyle w:val="tabletext"/>
              <w:rPr>
                <w:b/>
                <w:lang w:val="en-US" w:eastAsia="en-US"/>
              </w:rPr>
            </w:pPr>
            <w:r w:rsidRPr="006B273B">
              <w:rPr>
                <w:b/>
                <w:lang w:val="en-US" w:eastAsia="en-US"/>
              </w:rPr>
              <w:t>Corporations Act</w:t>
            </w:r>
          </w:p>
        </w:tc>
      </w:tr>
      <w:tr w:rsidR="00F303BF" w:rsidRPr="00F303BF" w14:paraId="791BBD0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725E127" w14:textId="77777777" w:rsidR="00F303BF" w:rsidRPr="00F303BF" w:rsidRDefault="00F303BF" w:rsidP="00F303BF">
            <w:pPr>
              <w:pStyle w:val="tabletext"/>
              <w:rPr>
                <w:lang w:val="en-US" w:eastAsia="en-US"/>
              </w:rPr>
            </w:pPr>
            <w:r w:rsidRPr="00F303BF">
              <w:rPr>
                <w:lang w:val="en-US" w:eastAsia="en-US"/>
              </w:rPr>
              <w:t>360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33B6843" w14:textId="77777777" w:rsidR="00F303BF" w:rsidRPr="006B273B" w:rsidRDefault="00F303BF" w:rsidP="00F303BF">
            <w:pPr>
              <w:pStyle w:val="tabletext"/>
              <w:rPr>
                <w:lang w:val="en-US" w:eastAsia="en-US"/>
              </w:rPr>
            </w:pPr>
            <w:r w:rsidRPr="006B273B">
              <w:rPr>
                <w:lang w:val="en-US" w:eastAsia="en-US"/>
              </w:rPr>
              <w:t>Subsection 5H(2)</w:t>
            </w:r>
          </w:p>
        </w:tc>
      </w:tr>
      <w:tr w:rsidR="00F303BF" w:rsidRPr="00F303BF" w14:paraId="4A3AE5F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82FF549" w14:textId="77777777" w:rsidR="00F303BF" w:rsidRPr="00F303BF" w:rsidRDefault="00F303BF" w:rsidP="00F303BF">
            <w:pPr>
              <w:pStyle w:val="tabletext"/>
              <w:rPr>
                <w:lang w:val="en-US" w:eastAsia="en-US"/>
              </w:rPr>
            </w:pPr>
            <w:r w:rsidRPr="00F303BF">
              <w:rPr>
                <w:lang w:val="en-US" w:eastAsia="en-US"/>
              </w:rPr>
              <w:t>367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2E1C478" w14:textId="5C4419AB" w:rsidR="00F303BF" w:rsidRPr="006B273B" w:rsidRDefault="00F303BF" w:rsidP="00F303BF">
            <w:pPr>
              <w:pStyle w:val="tabletext"/>
              <w:rPr>
                <w:lang w:val="en-US" w:eastAsia="en-US"/>
              </w:rPr>
            </w:pPr>
            <w:r w:rsidRPr="006B273B">
              <w:rPr>
                <w:lang w:val="en-US" w:eastAsia="en-US"/>
              </w:rPr>
              <w:t>Section 9 (paragraph (a) of the definition of extract o</w:t>
            </w:r>
            <w:r w:rsidR="00077E4C">
              <w:rPr>
                <w:lang w:val="en-US" w:eastAsia="en-US"/>
              </w:rPr>
              <w:t>f particulars)</w:t>
            </w:r>
          </w:p>
        </w:tc>
      </w:tr>
      <w:tr w:rsidR="00F303BF" w:rsidRPr="00F303BF" w14:paraId="4B2FF2D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096162B" w14:textId="77777777" w:rsidR="00F303BF" w:rsidRPr="00F303BF" w:rsidRDefault="00F303BF" w:rsidP="00F303BF">
            <w:pPr>
              <w:pStyle w:val="tabletext"/>
              <w:rPr>
                <w:lang w:val="en-US" w:eastAsia="en-US"/>
              </w:rPr>
            </w:pPr>
            <w:r w:rsidRPr="00F303BF">
              <w:rPr>
                <w:lang w:val="en-US" w:eastAsia="en-US"/>
              </w:rPr>
              <w:t>373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8DD41BF" w14:textId="553F6E50" w:rsidR="00F303BF" w:rsidRPr="006B273B" w:rsidRDefault="00F303BF" w:rsidP="00F303BF">
            <w:pPr>
              <w:pStyle w:val="tabletext"/>
              <w:rPr>
                <w:lang w:val="en-US" w:eastAsia="en-US"/>
              </w:rPr>
            </w:pPr>
            <w:r w:rsidRPr="006B273B">
              <w:rPr>
                <w:lang w:val="en-US" w:eastAsia="en-US"/>
              </w:rPr>
              <w:t>Section 9 (paragraph (a) of the definition of return of</w:t>
            </w:r>
            <w:r w:rsidR="00077E4C">
              <w:rPr>
                <w:lang w:val="en-US" w:eastAsia="en-US"/>
              </w:rPr>
              <w:t xml:space="preserve"> particulars)</w:t>
            </w:r>
          </w:p>
        </w:tc>
      </w:tr>
      <w:tr w:rsidR="00F303BF" w:rsidRPr="00F303BF" w14:paraId="54951B0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984BDCA" w14:textId="77777777" w:rsidR="00F303BF" w:rsidRPr="00F303BF" w:rsidRDefault="00F303BF" w:rsidP="00F303BF">
            <w:pPr>
              <w:pStyle w:val="tabletext"/>
              <w:rPr>
                <w:lang w:val="en-US" w:eastAsia="en-US"/>
              </w:rPr>
            </w:pPr>
            <w:r w:rsidRPr="00F303BF">
              <w:rPr>
                <w:lang w:val="en-US" w:eastAsia="en-US"/>
              </w:rPr>
              <w:t>374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4719605" w14:textId="77777777" w:rsidR="00F303BF" w:rsidRPr="006B273B" w:rsidRDefault="00F303BF" w:rsidP="00F303BF">
            <w:pPr>
              <w:pStyle w:val="tabletext"/>
              <w:rPr>
                <w:lang w:val="en-US" w:eastAsia="en-US"/>
              </w:rPr>
            </w:pPr>
            <w:r w:rsidRPr="006B273B">
              <w:rPr>
                <w:lang w:val="en-US" w:eastAsia="en-US"/>
              </w:rPr>
              <w:t>Paragraph 100(1)(d)</w:t>
            </w:r>
          </w:p>
        </w:tc>
      </w:tr>
      <w:tr w:rsidR="00F303BF" w:rsidRPr="00F303BF" w14:paraId="6B740B0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3AB3E1" w14:textId="77777777" w:rsidR="00F303BF" w:rsidRPr="00F303BF" w:rsidRDefault="00F303BF" w:rsidP="00F303BF">
            <w:pPr>
              <w:pStyle w:val="tabletext"/>
              <w:rPr>
                <w:lang w:val="en-US" w:eastAsia="en-US"/>
              </w:rPr>
            </w:pPr>
            <w:r w:rsidRPr="00F303BF">
              <w:rPr>
                <w:lang w:val="en-US" w:eastAsia="en-US"/>
              </w:rPr>
              <w:t>385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213C4DD" w14:textId="77777777" w:rsidR="00F303BF" w:rsidRPr="006B273B" w:rsidRDefault="00F303BF" w:rsidP="00F303BF">
            <w:pPr>
              <w:pStyle w:val="tabletext"/>
              <w:rPr>
                <w:lang w:val="en-US" w:eastAsia="en-US"/>
              </w:rPr>
            </w:pPr>
            <w:r w:rsidRPr="006B273B">
              <w:rPr>
                <w:lang w:val="en-US" w:eastAsia="en-US"/>
              </w:rPr>
              <w:t>Paragraph 3.2 of the small business guide in Part 1.5</w:t>
            </w:r>
          </w:p>
        </w:tc>
      </w:tr>
      <w:tr w:rsidR="00F303BF" w:rsidRPr="00F303BF" w14:paraId="5E889E9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DD71275" w14:textId="77777777" w:rsidR="00F303BF" w:rsidRPr="00F303BF" w:rsidRDefault="00F303BF" w:rsidP="00F303BF">
            <w:pPr>
              <w:pStyle w:val="tabletext"/>
              <w:rPr>
                <w:lang w:val="en-US" w:eastAsia="en-US"/>
              </w:rPr>
            </w:pPr>
            <w:r w:rsidRPr="00F303BF">
              <w:rPr>
                <w:lang w:val="en-US" w:eastAsia="en-US"/>
              </w:rPr>
              <w:t>390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EEBFE54" w14:textId="77777777" w:rsidR="00F303BF" w:rsidRPr="006B273B" w:rsidRDefault="00F303BF" w:rsidP="00F303BF">
            <w:pPr>
              <w:pStyle w:val="tabletext"/>
              <w:rPr>
                <w:lang w:val="en-US" w:eastAsia="en-US"/>
              </w:rPr>
            </w:pPr>
            <w:r w:rsidRPr="006B273B">
              <w:rPr>
                <w:lang w:val="en-US" w:eastAsia="en-US"/>
              </w:rPr>
              <w:t>Paragraph 4.2 of the small business guide in Part 1.5</w:t>
            </w:r>
          </w:p>
        </w:tc>
      </w:tr>
      <w:tr w:rsidR="00F303BF" w:rsidRPr="00F303BF" w14:paraId="78D1931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A395BBA" w14:textId="77777777" w:rsidR="00F303BF" w:rsidRPr="00F303BF" w:rsidRDefault="00F303BF" w:rsidP="00F303BF">
            <w:pPr>
              <w:pStyle w:val="tabletext"/>
              <w:rPr>
                <w:lang w:val="en-US" w:eastAsia="en-US"/>
              </w:rPr>
            </w:pPr>
            <w:r w:rsidRPr="00F303BF">
              <w:rPr>
                <w:lang w:val="en-US" w:eastAsia="en-US"/>
              </w:rPr>
              <w:t>410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580C9FC" w14:textId="77777777" w:rsidR="00F303BF" w:rsidRPr="006B273B" w:rsidRDefault="00F303BF" w:rsidP="00F303BF">
            <w:pPr>
              <w:pStyle w:val="tabletext"/>
              <w:rPr>
                <w:lang w:val="en-US" w:eastAsia="en-US"/>
              </w:rPr>
            </w:pPr>
            <w:r w:rsidRPr="006B273B">
              <w:rPr>
                <w:lang w:val="en-US" w:eastAsia="en-US"/>
              </w:rPr>
              <w:t>Subsection 117(2)</w:t>
            </w:r>
          </w:p>
        </w:tc>
      </w:tr>
      <w:tr w:rsidR="00F303BF" w:rsidRPr="00F303BF" w14:paraId="53EBD62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B051C06" w14:textId="77777777" w:rsidR="00F303BF" w:rsidRPr="00F303BF" w:rsidRDefault="00F303BF" w:rsidP="00F303BF">
            <w:pPr>
              <w:pStyle w:val="tabletext"/>
              <w:rPr>
                <w:lang w:val="en-US" w:eastAsia="en-US"/>
              </w:rPr>
            </w:pPr>
            <w:r w:rsidRPr="00F303BF">
              <w:rPr>
                <w:lang w:val="en-US" w:eastAsia="en-US"/>
              </w:rPr>
              <w:t>412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10C1E9" w14:textId="77777777" w:rsidR="00F303BF" w:rsidRPr="006B273B" w:rsidRDefault="00F303BF" w:rsidP="00F303BF">
            <w:pPr>
              <w:pStyle w:val="tabletext"/>
              <w:rPr>
                <w:lang w:val="en-US" w:eastAsia="en-US"/>
              </w:rPr>
            </w:pPr>
            <w:r w:rsidRPr="006B273B">
              <w:rPr>
                <w:lang w:val="en-US" w:eastAsia="en-US"/>
              </w:rPr>
              <w:t>Subsection 117(5)</w:t>
            </w:r>
          </w:p>
        </w:tc>
      </w:tr>
      <w:tr w:rsidR="00F303BF" w:rsidRPr="00F303BF" w14:paraId="7922346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9841740" w14:textId="77777777" w:rsidR="00F303BF" w:rsidRPr="00F303BF" w:rsidRDefault="00F303BF" w:rsidP="00F303BF">
            <w:pPr>
              <w:pStyle w:val="tabletext"/>
              <w:rPr>
                <w:lang w:val="en-US" w:eastAsia="en-US"/>
              </w:rPr>
            </w:pPr>
            <w:r w:rsidRPr="00F303BF">
              <w:rPr>
                <w:lang w:val="en-US" w:eastAsia="en-US"/>
              </w:rPr>
              <w:t>415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B7CADBD" w14:textId="77777777" w:rsidR="00F303BF" w:rsidRPr="006B273B" w:rsidRDefault="00F303BF" w:rsidP="00F303BF">
            <w:pPr>
              <w:pStyle w:val="tabletext"/>
              <w:rPr>
                <w:lang w:val="en-US" w:eastAsia="en-US"/>
              </w:rPr>
            </w:pPr>
            <w:r w:rsidRPr="006B273B">
              <w:rPr>
                <w:lang w:val="en-US" w:eastAsia="en-US"/>
              </w:rPr>
              <w:t>Paragraph 118(1)(c)</w:t>
            </w:r>
          </w:p>
        </w:tc>
      </w:tr>
      <w:tr w:rsidR="00F303BF" w:rsidRPr="00F303BF" w14:paraId="4F88BFC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041404A" w14:textId="77777777" w:rsidR="00F303BF" w:rsidRPr="00F303BF" w:rsidRDefault="00F303BF" w:rsidP="00F303BF">
            <w:pPr>
              <w:pStyle w:val="tabletext"/>
              <w:rPr>
                <w:lang w:val="en-US" w:eastAsia="en-US"/>
              </w:rPr>
            </w:pPr>
            <w:r w:rsidRPr="00F303BF">
              <w:rPr>
                <w:lang w:val="en-US" w:eastAsia="en-US"/>
              </w:rPr>
              <w:t>417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24C2DE0" w14:textId="77777777" w:rsidR="00F303BF" w:rsidRPr="006B273B" w:rsidRDefault="00F303BF" w:rsidP="00F303BF">
            <w:pPr>
              <w:pStyle w:val="tabletext"/>
              <w:rPr>
                <w:lang w:val="en-US" w:eastAsia="en-US"/>
              </w:rPr>
            </w:pPr>
            <w:r w:rsidRPr="006B273B">
              <w:rPr>
                <w:lang w:val="en-US" w:eastAsia="en-US"/>
              </w:rPr>
              <w:t>Subparagraph 119A(2)(a)(</w:t>
            </w:r>
            <w:proofErr w:type="spellStart"/>
            <w:r w:rsidRPr="006B273B">
              <w:rPr>
                <w:lang w:val="en-US" w:eastAsia="en-US"/>
              </w:rPr>
              <w:t>i</w:t>
            </w:r>
            <w:proofErr w:type="spellEnd"/>
            <w:r w:rsidRPr="006B273B">
              <w:rPr>
                <w:lang w:val="en-US" w:eastAsia="en-US"/>
              </w:rPr>
              <w:t>)</w:t>
            </w:r>
          </w:p>
        </w:tc>
      </w:tr>
      <w:tr w:rsidR="00F303BF" w:rsidRPr="00F303BF" w14:paraId="47E28CB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32AB48" w14:textId="77777777" w:rsidR="00F303BF" w:rsidRPr="00F303BF" w:rsidRDefault="00F303BF" w:rsidP="00F303BF">
            <w:pPr>
              <w:pStyle w:val="tabletext"/>
              <w:rPr>
                <w:lang w:val="en-US" w:eastAsia="en-US"/>
              </w:rPr>
            </w:pPr>
            <w:r w:rsidRPr="00F303BF">
              <w:rPr>
                <w:lang w:val="en-US" w:eastAsia="en-US"/>
              </w:rPr>
              <w:lastRenderedPageBreak/>
              <w:t>418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EE1CF82" w14:textId="77777777" w:rsidR="00F303BF" w:rsidRPr="006B273B" w:rsidRDefault="00F303BF" w:rsidP="00F303BF">
            <w:pPr>
              <w:pStyle w:val="tabletext"/>
              <w:rPr>
                <w:lang w:val="en-US" w:eastAsia="en-US"/>
              </w:rPr>
            </w:pPr>
            <w:r w:rsidRPr="006B273B">
              <w:rPr>
                <w:lang w:val="en-US" w:eastAsia="en-US"/>
              </w:rPr>
              <w:t>Subparagraph 119A(2)(a)(ii)</w:t>
            </w:r>
          </w:p>
        </w:tc>
      </w:tr>
      <w:tr w:rsidR="00F303BF" w:rsidRPr="00F303BF" w14:paraId="7665988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93CFDD4" w14:textId="77777777" w:rsidR="00F303BF" w:rsidRPr="00F303BF" w:rsidRDefault="00F303BF" w:rsidP="00F303BF">
            <w:pPr>
              <w:pStyle w:val="tabletext"/>
              <w:rPr>
                <w:lang w:val="en-US" w:eastAsia="en-US"/>
              </w:rPr>
            </w:pPr>
            <w:r w:rsidRPr="00F303BF">
              <w:rPr>
                <w:lang w:val="en-US" w:eastAsia="en-US"/>
              </w:rPr>
              <w:t>428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E29472" w14:textId="77777777" w:rsidR="00F303BF" w:rsidRPr="006B273B" w:rsidRDefault="00F303BF" w:rsidP="00F303BF">
            <w:pPr>
              <w:pStyle w:val="tabletext"/>
              <w:rPr>
                <w:lang w:val="en-US" w:eastAsia="en-US"/>
              </w:rPr>
            </w:pPr>
            <w:r w:rsidRPr="006B273B">
              <w:rPr>
                <w:lang w:val="en-US" w:eastAsia="en-US"/>
              </w:rPr>
              <w:t>Subsection 142(2)</w:t>
            </w:r>
          </w:p>
        </w:tc>
      </w:tr>
      <w:tr w:rsidR="00F303BF" w:rsidRPr="00F303BF" w14:paraId="4B5E8B5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986475" w14:textId="77777777" w:rsidR="00F303BF" w:rsidRPr="00F303BF" w:rsidRDefault="00F303BF" w:rsidP="00F303BF">
            <w:pPr>
              <w:pStyle w:val="tabletext"/>
              <w:rPr>
                <w:lang w:val="en-US" w:eastAsia="en-US"/>
              </w:rPr>
            </w:pPr>
            <w:r w:rsidRPr="00F303BF">
              <w:rPr>
                <w:lang w:val="en-US" w:eastAsia="en-US"/>
              </w:rPr>
              <w:t>435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B529D05" w14:textId="77777777" w:rsidR="00F303BF" w:rsidRPr="006B273B" w:rsidRDefault="00F303BF" w:rsidP="00F303BF">
            <w:pPr>
              <w:pStyle w:val="tabletext"/>
              <w:rPr>
                <w:lang w:val="en-US" w:eastAsia="en-US"/>
              </w:rPr>
            </w:pPr>
            <w:r w:rsidRPr="006B273B">
              <w:rPr>
                <w:lang w:val="en-US" w:eastAsia="en-US"/>
              </w:rPr>
              <w:t>Subsection 145(3)</w:t>
            </w:r>
          </w:p>
        </w:tc>
      </w:tr>
      <w:tr w:rsidR="00F303BF" w:rsidRPr="00F303BF" w14:paraId="2CDC39D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514E0ED" w14:textId="77777777" w:rsidR="00F303BF" w:rsidRPr="00F303BF" w:rsidRDefault="00F303BF" w:rsidP="00F303BF">
            <w:pPr>
              <w:pStyle w:val="tabletext"/>
              <w:rPr>
                <w:lang w:val="en-US" w:eastAsia="en-US"/>
              </w:rPr>
            </w:pPr>
            <w:r w:rsidRPr="00F303BF">
              <w:rPr>
                <w:lang w:val="en-US" w:eastAsia="en-US"/>
              </w:rPr>
              <w:t>437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D05A6CA" w14:textId="77777777" w:rsidR="00F303BF" w:rsidRPr="006B273B" w:rsidRDefault="00F303BF" w:rsidP="00F303BF">
            <w:pPr>
              <w:pStyle w:val="tabletext"/>
              <w:rPr>
                <w:lang w:val="en-US" w:eastAsia="en-US"/>
              </w:rPr>
            </w:pPr>
            <w:r w:rsidRPr="006B273B">
              <w:rPr>
                <w:lang w:val="en-US" w:eastAsia="en-US"/>
              </w:rPr>
              <w:t>Subsection 146(1)</w:t>
            </w:r>
          </w:p>
        </w:tc>
      </w:tr>
      <w:tr w:rsidR="00F303BF" w:rsidRPr="00F303BF" w14:paraId="474BFA9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7A30E19" w14:textId="77777777" w:rsidR="00F303BF" w:rsidRPr="00F303BF" w:rsidRDefault="00F303BF" w:rsidP="00F303BF">
            <w:pPr>
              <w:pStyle w:val="tabletext"/>
              <w:rPr>
                <w:lang w:val="en-US" w:eastAsia="en-US"/>
              </w:rPr>
            </w:pPr>
            <w:r w:rsidRPr="00F303BF">
              <w:rPr>
                <w:lang w:val="en-US" w:eastAsia="en-US"/>
              </w:rPr>
              <w:t>440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560A2A1" w14:textId="77777777" w:rsidR="00F303BF" w:rsidRPr="006B273B" w:rsidRDefault="00F303BF" w:rsidP="00F303BF">
            <w:pPr>
              <w:pStyle w:val="tabletext"/>
              <w:rPr>
                <w:lang w:val="en-US" w:eastAsia="en-US"/>
              </w:rPr>
            </w:pPr>
            <w:r w:rsidRPr="006B273B">
              <w:rPr>
                <w:lang w:val="en-US" w:eastAsia="en-US"/>
              </w:rPr>
              <w:t>Section 146A</w:t>
            </w:r>
          </w:p>
        </w:tc>
      </w:tr>
      <w:tr w:rsidR="00F303BF" w:rsidRPr="00F303BF" w14:paraId="7F1A18D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8DA4A1A" w14:textId="77777777" w:rsidR="00F303BF" w:rsidRPr="00F303BF" w:rsidRDefault="00F303BF" w:rsidP="00F303BF">
            <w:pPr>
              <w:pStyle w:val="tabletext"/>
              <w:rPr>
                <w:lang w:val="en-US" w:eastAsia="en-US"/>
              </w:rPr>
            </w:pPr>
            <w:r w:rsidRPr="00F303BF">
              <w:rPr>
                <w:lang w:val="en-US" w:eastAsia="en-US"/>
              </w:rPr>
              <w:t>444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959A4F4" w14:textId="77777777" w:rsidR="00F303BF" w:rsidRPr="006B273B" w:rsidRDefault="00F303BF" w:rsidP="00F303BF">
            <w:pPr>
              <w:pStyle w:val="tabletext"/>
              <w:rPr>
                <w:lang w:val="en-US" w:eastAsia="en-US"/>
              </w:rPr>
            </w:pPr>
            <w:r w:rsidRPr="006B273B">
              <w:rPr>
                <w:lang w:val="en-US" w:eastAsia="en-US"/>
              </w:rPr>
              <w:t>Subsection 150(2)</w:t>
            </w:r>
          </w:p>
        </w:tc>
      </w:tr>
      <w:tr w:rsidR="00F303BF" w:rsidRPr="00F303BF" w14:paraId="1B17DD2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73858E9" w14:textId="77777777" w:rsidR="00F303BF" w:rsidRPr="00F303BF" w:rsidRDefault="00F303BF" w:rsidP="00F303BF">
            <w:pPr>
              <w:pStyle w:val="tabletext"/>
              <w:rPr>
                <w:lang w:val="en-US" w:eastAsia="en-US"/>
              </w:rPr>
            </w:pPr>
            <w:r w:rsidRPr="00F303BF">
              <w:rPr>
                <w:lang w:val="en-US" w:eastAsia="en-US"/>
              </w:rPr>
              <w:t>446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7B7A3E8" w14:textId="77777777" w:rsidR="00F303BF" w:rsidRPr="006B273B" w:rsidRDefault="00F303BF" w:rsidP="00F303BF">
            <w:pPr>
              <w:pStyle w:val="tabletext"/>
              <w:rPr>
                <w:lang w:val="en-US" w:eastAsia="en-US"/>
              </w:rPr>
            </w:pPr>
            <w:r w:rsidRPr="006B273B">
              <w:rPr>
                <w:lang w:val="en-US" w:eastAsia="en-US"/>
              </w:rPr>
              <w:t>Subsection 151(2)</w:t>
            </w:r>
          </w:p>
        </w:tc>
      </w:tr>
      <w:tr w:rsidR="00F303BF" w:rsidRPr="00F303BF" w14:paraId="799722E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D8B6A18" w14:textId="77777777" w:rsidR="00F303BF" w:rsidRPr="00F303BF" w:rsidRDefault="00F303BF" w:rsidP="00F303BF">
            <w:pPr>
              <w:pStyle w:val="tabletext"/>
              <w:rPr>
                <w:lang w:val="en-US" w:eastAsia="en-US"/>
              </w:rPr>
            </w:pPr>
            <w:r w:rsidRPr="00F303BF">
              <w:rPr>
                <w:lang w:val="en-US" w:eastAsia="en-US"/>
              </w:rPr>
              <w:t>447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8720783" w14:textId="77777777" w:rsidR="00F303BF" w:rsidRPr="006B273B" w:rsidRDefault="00F303BF" w:rsidP="00F303BF">
            <w:pPr>
              <w:pStyle w:val="tabletext"/>
              <w:rPr>
                <w:lang w:val="en-US" w:eastAsia="en-US"/>
              </w:rPr>
            </w:pPr>
            <w:r w:rsidRPr="006B273B">
              <w:rPr>
                <w:lang w:val="en-US" w:eastAsia="en-US"/>
              </w:rPr>
              <w:t>Subsection 151(2AA)</w:t>
            </w:r>
          </w:p>
        </w:tc>
      </w:tr>
      <w:tr w:rsidR="00F303BF" w:rsidRPr="00F303BF" w14:paraId="0D1758C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622CA7D" w14:textId="77777777" w:rsidR="00F303BF" w:rsidRPr="00F303BF" w:rsidRDefault="00F303BF" w:rsidP="00F303BF">
            <w:pPr>
              <w:pStyle w:val="tabletext"/>
              <w:rPr>
                <w:lang w:val="en-US" w:eastAsia="en-US"/>
              </w:rPr>
            </w:pPr>
            <w:r w:rsidRPr="00F303BF">
              <w:rPr>
                <w:lang w:val="en-US" w:eastAsia="en-US"/>
              </w:rPr>
              <w:t>450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FBEFDB1" w14:textId="77777777" w:rsidR="00F303BF" w:rsidRPr="006B273B" w:rsidRDefault="00F303BF" w:rsidP="00F303BF">
            <w:pPr>
              <w:pStyle w:val="tabletext"/>
              <w:rPr>
                <w:lang w:val="en-US" w:eastAsia="en-US"/>
              </w:rPr>
            </w:pPr>
            <w:r w:rsidRPr="006B273B">
              <w:rPr>
                <w:lang w:val="en-US" w:eastAsia="en-US"/>
              </w:rPr>
              <w:t>Subsection 152(1)</w:t>
            </w:r>
          </w:p>
        </w:tc>
      </w:tr>
      <w:tr w:rsidR="00F303BF" w:rsidRPr="00F303BF" w14:paraId="72BF43A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3B680B8" w14:textId="77777777" w:rsidR="00F303BF" w:rsidRPr="00F303BF" w:rsidRDefault="00F303BF" w:rsidP="00F303BF">
            <w:pPr>
              <w:pStyle w:val="tabletext"/>
              <w:rPr>
                <w:lang w:val="en-US" w:eastAsia="en-US"/>
              </w:rPr>
            </w:pPr>
            <w:r w:rsidRPr="00F303BF">
              <w:rPr>
                <w:lang w:val="en-US" w:eastAsia="en-US"/>
              </w:rPr>
              <w:t>452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B75014A" w14:textId="77777777" w:rsidR="00F303BF" w:rsidRPr="006B273B" w:rsidRDefault="00F303BF" w:rsidP="00F303BF">
            <w:pPr>
              <w:pStyle w:val="tabletext"/>
              <w:rPr>
                <w:lang w:val="en-US" w:eastAsia="en-US"/>
              </w:rPr>
            </w:pPr>
            <w:r w:rsidRPr="006B273B">
              <w:rPr>
                <w:lang w:val="en-US" w:eastAsia="en-US"/>
              </w:rPr>
              <w:t>Subsection 152(2)</w:t>
            </w:r>
          </w:p>
        </w:tc>
      </w:tr>
      <w:tr w:rsidR="00F303BF" w:rsidRPr="00F303BF" w14:paraId="0A2B4D0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E945536" w14:textId="77777777" w:rsidR="00F303BF" w:rsidRPr="00F303BF" w:rsidRDefault="00F303BF" w:rsidP="00F303BF">
            <w:pPr>
              <w:pStyle w:val="tabletext"/>
              <w:rPr>
                <w:lang w:val="en-US" w:eastAsia="en-US"/>
              </w:rPr>
            </w:pPr>
            <w:r w:rsidRPr="00F303BF">
              <w:rPr>
                <w:lang w:val="en-US" w:eastAsia="en-US"/>
              </w:rPr>
              <w:t>454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B95BAC8" w14:textId="77777777" w:rsidR="00F303BF" w:rsidRPr="006B273B" w:rsidRDefault="00F303BF" w:rsidP="00F303BF">
            <w:pPr>
              <w:pStyle w:val="tabletext"/>
              <w:rPr>
                <w:lang w:val="en-US" w:eastAsia="en-US"/>
              </w:rPr>
            </w:pPr>
            <w:r w:rsidRPr="006B273B">
              <w:rPr>
                <w:lang w:val="en-US" w:eastAsia="en-US"/>
              </w:rPr>
              <w:t>Subsection 152(3)</w:t>
            </w:r>
          </w:p>
        </w:tc>
      </w:tr>
      <w:tr w:rsidR="00F303BF" w:rsidRPr="00F303BF" w14:paraId="2FE85A9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A37764A" w14:textId="77777777" w:rsidR="00F303BF" w:rsidRPr="00F303BF" w:rsidRDefault="00F303BF" w:rsidP="00F303BF">
            <w:pPr>
              <w:pStyle w:val="tabletext"/>
              <w:rPr>
                <w:lang w:val="en-US" w:eastAsia="en-US"/>
              </w:rPr>
            </w:pPr>
            <w:r w:rsidRPr="00F303BF">
              <w:rPr>
                <w:lang w:val="en-US" w:eastAsia="en-US"/>
              </w:rPr>
              <w:t>455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CC1BFCF" w14:textId="77777777" w:rsidR="00F303BF" w:rsidRPr="006B273B" w:rsidRDefault="00F303BF" w:rsidP="00F303BF">
            <w:pPr>
              <w:pStyle w:val="tabletext"/>
              <w:rPr>
                <w:lang w:val="en-US" w:eastAsia="en-US"/>
              </w:rPr>
            </w:pPr>
            <w:r w:rsidRPr="006B273B">
              <w:rPr>
                <w:lang w:val="en-US" w:eastAsia="en-US"/>
              </w:rPr>
              <w:t>Paragraph 157(1)(b)</w:t>
            </w:r>
          </w:p>
        </w:tc>
      </w:tr>
      <w:tr w:rsidR="00F303BF" w:rsidRPr="00F303BF" w14:paraId="4799823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E920F5" w14:textId="77777777" w:rsidR="00F303BF" w:rsidRPr="00F303BF" w:rsidRDefault="00F303BF" w:rsidP="00F303BF">
            <w:pPr>
              <w:pStyle w:val="tabletext"/>
              <w:rPr>
                <w:lang w:val="en-US" w:eastAsia="en-US"/>
              </w:rPr>
            </w:pPr>
            <w:r w:rsidRPr="00F303BF">
              <w:rPr>
                <w:lang w:val="en-US" w:eastAsia="en-US"/>
              </w:rPr>
              <w:t>467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DA254BC" w14:textId="77777777" w:rsidR="00F303BF" w:rsidRPr="006B273B" w:rsidRDefault="00F303BF" w:rsidP="00F303BF">
            <w:pPr>
              <w:pStyle w:val="tabletext"/>
              <w:rPr>
                <w:lang w:val="en-US" w:eastAsia="en-US"/>
              </w:rPr>
            </w:pPr>
            <w:r w:rsidRPr="006B273B">
              <w:rPr>
                <w:lang w:val="en-US" w:eastAsia="en-US"/>
              </w:rPr>
              <w:t>Subsection 161A(6A)</w:t>
            </w:r>
          </w:p>
        </w:tc>
      </w:tr>
      <w:tr w:rsidR="00F303BF" w:rsidRPr="00F303BF" w14:paraId="515810C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7248018" w14:textId="77777777" w:rsidR="00F303BF" w:rsidRPr="00F303BF" w:rsidRDefault="00F303BF" w:rsidP="00F303BF">
            <w:pPr>
              <w:pStyle w:val="tabletext"/>
              <w:rPr>
                <w:lang w:val="en-US" w:eastAsia="en-US"/>
              </w:rPr>
            </w:pPr>
            <w:r w:rsidRPr="00F303BF">
              <w:rPr>
                <w:lang w:val="en-US" w:eastAsia="en-US"/>
              </w:rPr>
              <w:t>470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E5300F1" w14:textId="77777777" w:rsidR="00F303BF" w:rsidRPr="006B273B" w:rsidRDefault="00F303BF" w:rsidP="00F303BF">
            <w:pPr>
              <w:pStyle w:val="tabletext"/>
              <w:rPr>
                <w:lang w:val="en-US" w:eastAsia="en-US"/>
              </w:rPr>
            </w:pPr>
            <w:r w:rsidRPr="006B273B">
              <w:rPr>
                <w:lang w:val="en-US" w:eastAsia="en-US"/>
              </w:rPr>
              <w:t>Subsection 163(2)</w:t>
            </w:r>
          </w:p>
        </w:tc>
      </w:tr>
      <w:tr w:rsidR="00F303BF" w:rsidRPr="00F303BF" w14:paraId="1BA5654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A88FD29" w14:textId="77777777" w:rsidR="00F303BF" w:rsidRPr="00F303BF" w:rsidRDefault="00F303BF" w:rsidP="00F303BF">
            <w:pPr>
              <w:pStyle w:val="tabletext"/>
              <w:rPr>
                <w:lang w:val="en-US" w:eastAsia="en-US"/>
              </w:rPr>
            </w:pPr>
            <w:r w:rsidRPr="00F303BF">
              <w:rPr>
                <w:lang w:val="en-US" w:eastAsia="en-US"/>
              </w:rPr>
              <w:t>471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64D753" w14:textId="77777777" w:rsidR="00F303BF" w:rsidRPr="006B273B" w:rsidRDefault="00F303BF" w:rsidP="00F303BF">
            <w:pPr>
              <w:pStyle w:val="tabletext"/>
              <w:rPr>
                <w:lang w:val="en-US" w:eastAsia="en-US"/>
              </w:rPr>
            </w:pPr>
            <w:r w:rsidRPr="006B273B">
              <w:rPr>
                <w:lang w:val="en-US" w:eastAsia="en-US"/>
              </w:rPr>
              <w:t>Subsection 163(4)</w:t>
            </w:r>
          </w:p>
        </w:tc>
      </w:tr>
      <w:tr w:rsidR="00F303BF" w:rsidRPr="00F303BF" w14:paraId="49D9E55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32BB56E" w14:textId="77777777" w:rsidR="00F303BF" w:rsidRPr="00F303BF" w:rsidRDefault="00F303BF" w:rsidP="00F303BF">
            <w:pPr>
              <w:pStyle w:val="tabletext"/>
              <w:rPr>
                <w:lang w:val="en-US" w:eastAsia="en-US"/>
              </w:rPr>
            </w:pPr>
            <w:r w:rsidRPr="00F303BF">
              <w:rPr>
                <w:lang w:val="en-US" w:eastAsia="en-US"/>
              </w:rPr>
              <w:t>476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DC05DE" w14:textId="77777777" w:rsidR="00F303BF" w:rsidRPr="006B273B" w:rsidRDefault="00F303BF" w:rsidP="00F303BF">
            <w:pPr>
              <w:pStyle w:val="tabletext"/>
              <w:rPr>
                <w:lang w:val="en-US" w:eastAsia="en-US"/>
              </w:rPr>
            </w:pPr>
            <w:r w:rsidRPr="006B273B">
              <w:rPr>
                <w:lang w:val="en-US" w:eastAsia="en-US"/>
              </w:rPr>
              <w:t>Subsection 164(3)</w:t>
            </w:r>
          </w:p>
        </w:tc>
      </w:tr>
      <w:tr w:rsidR="00F303BF" w:rsidRPr="00F303BF" w14:paraId="0D5145A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741518A" w14:textId="77777777" w:rsidR="00F303BF" w:rsidRPr="00F303BF" w:rsidRDefault="00F303BF" w:rsidP="00F303BF">
            <w:pPr>
              <w:pStyle w:val="tabletext"/>
              <w:rPr>
                <w:lang w:val="en-US" w:eastAsia="en-US"/>
              </w:rPr>
            </w:pPr>
            <w:r w:rsidRPr="00F303BF">
              <w:rPr>
                <w:lang w:val="en-US" w:eastAsia="en-US"/>
              </w:rPr>
              <w:t>490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FE207C8" w14:textId="77777777" w:rsidR="00F303BF" w:rsidRPr="006B273B" w:rsidRDefault="00F303BF" w:rsidP="00F303BF">
            <w:pPr>
              <w:pStyle w:val="tabletext"/>
              <w:rPr>
                <w:lang w:val="en-US" w:eastAsia="en-US"/>
              </w:rPr>
            </w:pPr>
            <w:r w:rsidRPr="006B273B">
              <w:rPr>
                <w:lang w:val="en-US" w:eastAsia="en-US"/>
              </w:rPr>
              <w:t>Subsection 178A(1)</w:t>
            </w:r>
          </w:p>
        </w:tc>
      </w:tr>
      <w:tr w:rsidR="00F303BF" w:rsidRPr="00F303BF" w14:paraId="14B0A69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1EA8BF0" w14:textId="77777777" w:rsidR="00F303BF" w:rsidRPr="00F303BF" w:rsidRDefault="00F303BF" w:rsidP="00F303BF">
            <w:pPr>
              <w:pStyle w:val="tabletext"/>
              <w:rPr>
                <w:lang w:val="en-US" w:eastAsia="en-US"/>
              </w:rPr>
            </w:pPr>
            <w:r w:rsidRPr="00F303BF">
              <w:rPr>
                <w:lang w:val="en-US" w:eastAsia="en-US"/>
              </w:rPr>
              <w:t>507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E072F5C" w14:textId="77777777" w:rsidR="00F303BF" w:rsidRPr="006B273B" w:rsidRDefault="00F303BF" w:rsidP="00F303BF">
            <w:pPr>
              <w:pStyle w:val="tabletext"/>
              <w:rPr>
                <w:lang w:val="en-US" w:eastAsia="en-US"/>
              </w:rPr>
            </w:pPr>
            <w:r w:rsidRPr="006B273B">
              <w:rPr>
                <w:lang w:val="en-US" w:eastAsia="en-US"/>
              </w:rPr>
              <w:t>Subsection 205A(1)</w:t>
            </w:r>
          </w:p>
        </w:tc>
      </w:tr>
      <w:tr w:rsidR="00F303BF" w:rsidRPr="00F303BF" w14:paraId="3661A4F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7F44C0B" w14:textId="77777777" w:rsidR="00F303BF" w:rsidRPr="00F303BF" w:rsidRDefault="00F303BF" w:rsidP="00F303BF">
            <w:pPr>
              <w:pStyle w:val="tabletext"/>
              <w:rPr>
                <w:lang w:val="en-US" w:eastAsia="en-US"/>
              </w:rPr>
            </w:pPr>
            <w:r w:rsidRPr="00F303BF">
              <w:rPr>
                <w:lang w:val="en-US" w:eastAsia="en-US"/>
              </w:rPr>
              <w:t>508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21623A0" w14:textId="77777777" w:rsidR="00F303BF" w:rsidRPr="006B273B" w:rsidRDefault="00F303BF" w:rsidP="00F303BF">
            <w:pPr>
              <w:pStyle w:val="tabletext"/>
              <w:rPr>
                <w:lang w:val="en-US" w:eastAsia="en-US"/>
              </w:rPr>
            </w:pPr>
            <w:r w:rsidRPr="006B273B">
              <w:rPr>
                <w:lang w:val="en-US" w:eastAsia="en-US"/>
              </w:rPr>
              <w:t>Subsection 205A(1)</w:t>
            </w:r>
          </w:p>
        </w:tc>
      </w:tr>
      <w:tr w:rsidR="00F303BF" w:rsidRPr="00F303BF" w14:paraId="30ABA0C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B026A86" w14:textId="77777777" w:rsidR="00F303BF" w:rsidRPr="00F303BF" w:rsidRDefault="00F303BF" w:rsidP="00F303BF">
            <w:pPr>
              <w:pStyle w:val="tabletext"/>
              <w:rPr>
                <w:lang w:val="en-US" w:eastAsia="en-US"/>
              </w:rPr>
            </w:pPr>
            <w:r w:rsidRPr="00F303BF">
              <w:rPr>
                <w:lang w:val="en-US" w:eastAsia="en-US"/>
              </w:rPr>
              <w:t>512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6BD8BDF" w14:textId="77777777" w:rsidR="00F303BF" w:rsidRPr="006B273B" w:rsidRDefault="00F303BF" w:rsidP="00F303BF">
            <w:pPr>
              <w:pStyle w:val="tabletext"/>
              <w:rPr>
                <w:lang w:val="en-US" w:eastAsia="en-US"/>
              </w:rPr>
            </w:pPr>
            <w:r w:rsidRPr="006B273B">
              <w:rPr>
                <w:lang w:val="en-US" w:eastAsia="en-US"/>
              </w:rPr>
              <w:t>Subsection 205B(1)</w:t>
            </w:r>
          </w:p>
        </w:tc>
      </w:tr>
      <w:tr w:rsidR="00F303BF" w:rsidRPr="00F303BF" w14:paraId="17B5BFF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3441064" w14:textId="77777777" w:rsidR="00F303BF" w:rsidRPr="00F303BF" w:rsidRDefault="00F303BF" w:rsidP="00F303BF">
            <w:pPr>
              <w:pStyle w:val="tabletext"/>
              <w:rPr>
                <w:lang w:val="en-US" w:eastAsia="en-US"/>
              </w:rPr>
            </w:pPr>
            <w:r w:rsidRPr="00F303BF">
              <w:rPr>
                <w:lang w:val="en-US" w:eastAsia="en-US"/>
              </w:rPr>
              <w:t>514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535B036" w14:textId="77777777" w:rsidR="00F303BF" w:rsidRPr="006B273B" w:rsidRDefault="00F303BF" w:rsidP="00F303BF">
            <w:pPr>
              <w:pStyle w:val="tabletext"/>
              <w:rPr>
                <w:lang w:val="en-US" w:eastAsia="en-US"/>
              </w:rPr>
            </w:pPr>
            <w:r w:rsidRPr="006B273B">
              <w:rPr>
                <w:lang w:val="en-US" w:eastAsia="en-US"/>
              </w:rPr>
              <w:t>Subsection 205B(2)</w:t>
            </w:r>
          </w:p>
        </w:tc>
      </w:tr>
      <w:tr w:rsidR="00F303BF" w:rsidRPr="00F303BF" w14:paraId="720D003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29230FC" w14:textId="77777777" w:rsidR="00F303BF" w:rsidRPr="00F303BF" w:rsidRDefault="00F303BF" w:rsidP="00F303BF">
            <w:pPr>
              <w:pStyle w:val="tabletext"/>
              <w:rPr>
                <w:lang w:val="en-US" w:eastAsia="en-US"/>
              </w:rPr>
            </w:pPr>
            <w:r w:rsidRPr="00F303BF">
              <w:rPr>
                <w:lang w:val="en-US" w:eastAsia="en-US"/>
              </w:rPr>
              <w:t>517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D6E0D9D" w14:textId="77777777" w:rsidR="00F303BF" w:rsidRPr="006B273B" w:rsidRDefault="00F303BF" w:rsidP="00F303BF">
            <w:pPr>
              <w:pStyle w:val="tabletext"/>
              <w:rPr>
                <w:lang w:val="en-US" w:eastAsia="en-US"/>
              </w:rPr>
            </w:pPr>
            <w:r w:rsidRPr="006B273B">
              <w:rPr>
                <w:lang w:val="en-US" w:eastAsia="en-US"/>
              </w:rPr>
              <w:t>Subsection 205B(4)</w:t>
            </w:r>
          </w:p>
        </w:tc>
      </w:tr>
      <w:tr w:rsidR="00F303BF" w:rsidRPr="00F303BF" w14:paraId="385297B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7CF6446" w14:textId="77777777" w:rsidR="00F303BF" w:rsidRPr="00F303BF" w:rsidRDefault="00F303BF" w:rsidP="00F303BF">
            <w:pPr>
              <w:pStyle w:val="tabletext"/>
              <w:rPr>
                <w:lang w:val="en-US" w:eastAsia="en-US"/>
              </w:rPr>
            </w:pPr>
            <w:r w:rsidRPr="00F303BF">
              <w:rPr>
                <w:lang w:val="en-US" w:eastAsia="en-US"/>
              </w:rPr>
              <w:t>519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A46C724" w14:textId="77777777" w:rsidR="00F303BF" w:rsidRPr="006B273B" w:rsidRDefault="00F303BF" w:rsidP="00F303BF">
            <w:pPr>
              <w:pStyle w:val="tabletext"/>
              <w:rPr>
                <w:lang w:val="en-US" w:eastAsia="en-US"/>
              </w:rPr>
            </w:pPr>
            <w:r w:rsidRPr="006B273B">
              <w:rPr>
                <w:lang w:val="en-US" w:eastAsia="en-US"/>
              </w:rPr>
              <w:t>Subsection 205B(5)</w:t>
            </w:r>
          </w:p>
        </w:tc>
      </w:tr>
      <w:tr w:rsidR="00F303BF" w:rsidRPr="00F303BF" w14:paraId="7B142A7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392B63F" w14:textId="77777777" w:rsidR="00F303BF" w:rsidRPr="00F303BF" w:rsidRDefault="00F303BF" w:rsidP="00F303BF">
            <w:pPr>
              <w:pStyle w:val="tabletext"/>
              <w:rPr>
                <w:lang w:val="en-US" w:eastAsia="en-US"/>
              </w:rPr>
            </w:pPr>
            <w:r w:rsidRPr="00F303BF">
              <w:rPr>
                <w:lang w:val="en-US" w:eastAsia="en-US"/>
              </w:rPr>
              <w:t>521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E667145" w14:textId="77777777" w:rsidR="00F303BF" w:rsidRPr="006B273B" w:rsidRDefault="00F303BF" w:rsidP="00F303BF">
            <w:pPr>
              <w:pStyle w:val="tabletext"/>
              <w:rPr>
                <w:lang w:val="en-US" w:eastAsia="en-US"/>
              </w:rPr>
            </w:pPr>
            <w:r w:rsidRPr="006B273B">
              <w:rPr>
                <w:lang w:val="en-US" w:eastAsia="en-US"/>
              </w:rPr>
              <w:t>Subsection 205D(3)</w:t>
            </w:r>
          </w:p>
        </w:tc>
      </w:tr>
      <w:tr w:rsidR="00F303BF" w:rsidRPr="00F303BF" w14:paraId="1DF56C7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FAF4073" w14:textId="77777777" w:rsidR="00F303BF" w:rsidRPr="00F303BF" w:rsidRDefault="00F303BF" w:rsidP="00F303BF">
            <w:pPr>
              <w:pStyle w:val="tabletext"/>
              <w:rPr>
                <w:lang w:val="en-US" w:eastAsia="en-US"/>
              </w:rPr>
            </w:pPr>
            <w:r w:rsidRPr="00F303BF">
              <w:rPr>
                <w:lang w:val="en-US" w:eastAsia="en-US"/>
              </w:rPr>
              <w:t>529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1484E6D" w14:textId="77777777" w:rsidR="00F303BF" w:rsidRPr="006B273B" w:rsidRDefault="00F303BF" w:rsidP="00F303BF">
            <w:pPr>
              <w:pStyle w:val="tabletext"/>
              <w:rPr>
                <w:lang w:val="en-US" w:eastAsia="en-US"/>
              </w:rPr>
            </w:pPr>
            <w:r w:rsidRPr="006B273B">
              <w:rPr>
                <w:lang w:val="en-US" w:eastAsia="en-US"/>
              </w:rPr>
              <w:t>Subsection 206G(2)</w:t>
            </w:r>
          </w:p>
        </w:tc>
      </w:tr>
      <w:tr w:rsidR="00F303BF" w:rsidRPr="00F303BF" w14:paraId="2D44034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B4FB66C" w14:textId="77777777" w:rsidR="00F303BF" w:rsidRPr="00F303BF" w:rsidRDefault="00F303BF" w:rsidP="00F303BF">
            <w:pPr>
              <w:pStyle w:val="tabletext"/>
              <w:rPr>
                <w:lang w:val="en-US" w:eastAsia="en-US"/>
              </w:rPr>
            </w:pPr>
            <w:r w:rsidRPr="00F303BF">
              <w:rPr>
                <w:lang w:val="en-US" w:eastAsia="en-US"/>
              </w:rPr>
              <w:t>537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C164438" w14:textId="77777777" w:rsidR="00F303BF" w:rsidRPr="006B273B" w:rsidRDefault="00F303BF" w:rsidP="00F303BF">
            <w:pPr>
              <w:pStyle w:val="tabletext"/>
              <w:rPr>
                <w:lang w:val="en-US" w:eastAsia="en-US"/>
              </w:rPr>
            </w:pPr>
            <w:r w:rsidRPr="006B273B">
              <w:rPr>
                <w:lang w:val="en-US" w:eastAsia="en-US"/>
              </w:rPr>
              <w:t>Subsection 246F(1)</w:t>
            </w:r>
          </w:p>
        </w:tc>
      </w:tr>
      <w:tr w:rsidR="00F303BF" w:rsidRPr="00F303BF" w14:paraId="7CB086A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53E2956" w14:textId="77777777" w:rsidR="00F303BF" w:rsidRPr="00F303BF" w:rsidRDefault="00F303BF" w:rsidP="00F303BF">
            <w:pPr>
              <w:pStyle w:val="tabletext"/>
              <w:rPr>
                <w:lang w:val="en-US" w:eastAsia="en-US"/>
              </w:rPr>
            </w:pPr>
            <w:r w:rsidRPr="00F303BF">
              <w:rPr>
                <w:lang w:val="en-US" w:eastAsia="en-US"/>
              </w:rPr>
              <w:t>543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CC495B7" w14:textId="77777777" w:rsidR="00F303BF" w:rsidRPr="006B273B" w:rsidRDefault="00F303BF" w:rsidP="00F303BF">
            <w:pPr>
              <w:pStyle w:val="tabletext"/>
              <w:rPr>
                <w:lang w:val="en-US" w:eastAsia="en-US"/>
              </w:rPr>
            </w:pPr>
            <w:r w:rsidRPr="006B273B">
              <w:rPr>
                <w:lang w:val="en-US" w:eastAsia="en-US"/>
              </w:rPr>
              <w:t>Subsection 254B(1) (note 1)</w:t>
            </w:r>
          </w:p>
        </w:tc>
      </w:tr>
      <w:tr w:rsidR="00F303BF" w:rsidRPr="00F303BF" w14:paraId="798844F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B2A1068" w14:textId="77777777" w:rsidR="00F303BF" w:rsidRPr="00F303BF" w:rsidRDefault="00F303BF" w:rsidP="00F303BF">
            <w:pPr>
              <w:pStyle w:val="tabletext"/>
              <w:rPr>
                <w:lang w:val="en-US" w:eastAsia="en-US"/>
              </w:rPr>
            </w:pPr>
            <w:r w:rsidRPr="00F303BF">
              <w:rPr>
                <w:lang w:val="en-US" w:eastAsia="en-US"/>
              </w:rPr>
              <w:t>547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7C41C8E" w14:textId="77777777" w:rsidR="00F303BF" w:rsidRPr="006B273B" w:rsidRDefault="00F303BF" w:rsidP="00F303BF">
            <w:pPr>
              <w:pStyle w:val="tabletext"/>
              <w:rPr>
                <w:lang w:val="en-US" w:eastAsia="en-US"/>
              </w:rPr>
            </w:pPr>
            <w:r w:rsidRPr="006B273B">
              <w:rPr>
                <w:lang w:val="en-US" w:eastAsia="en-US"/>
              </w:rPr>
              <w:t>Subsection 254X(1)</w:t>
            </w:r>
          </w:p>
        </w:tc>
      </w:tr>
      <w:tr w:rsidR="00F303BF" w:rsidRPr="00F303BF" w14:paraId="2A7E5FC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BCA4EE1" w14:textId="77777777" w:rsidR="00F303BF" w:rsidRPr="00F303BF" w:rsidRDefault="00F303BF" w:rsidP="00F303BF">
            <w:pPr>
              <w:pStyle w:val="tabletext"/>
              <w:rPr>
                <w:lang w:val="en-US" w:eastAsia="en-US"/>
              </w:rPr>
            </w:pPr>
            <w:r w:rsidRPr="00F303BF">
              <w:rPr>
                <w:lang w:val="en-US" w:eastAsia="en-US"/>
              </w:rPr>
              <w:t>551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B4112E3" w14:textId="77777777" w:rsidR="00F303BF" w:rsidRPr="006B273B" w:rsidRDefault="00F303BF" w:rsidP="00F303BF">
            <w:pPr>
              <w:pStyle w:val="tabletext"/>
              <w:rPr>
                <w:lang w:val="en-US" w:eastAsia="en-US"/>
              </w:rPr>
            </w:pPr>
            <w:r w:rsidRPr="006B273B">
              <w:rPr>
                <w:lang w:val="en-US" w:eastAsia="en-US"/>
              </w:rPr>
              <w:t>Subsection 254Y(1)</w:t>
            </w:r>
          </w:p>
        </w:tc>
      </w:tr>
      <w:tr w:rsidR="00F303BF" w:rsidRPr="00F303BF" w14:paraId="14707E0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D2C98C0" w14:textId="77777777" w:rsidR="00F303BF" w:rsidRPr="00F303BF" w:rsidRDefault="00F303BF" w:rsidP="00F303BF">
            <w:pPr>
              <w:pStyle w:val="tabletext"/>
              <w:rPr>
                <w:lang w:val="en-US" w:eastAsia="en-US"/>
              </w:rPr>
            </w:pPr>
            <w:r w:rsidRPr="00F303BF">
              <w:rPr>
                <w:lang w:val="en-US" w:eastAsia="en-US"/>
              </w:rPr>
              <w:t>567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2ECE095" w14:textId="77777777" w:rsidR="00F303BF" w:rsidRPr="006B273B" w:rsidRDefault="00F303BF" w:rsidP="00F303BF">
            <w:pPr>
              <w:pStyle w:val="tabletext"/>
              <w:rPr>
                <w:lang w:val="en-US" w:eastAsia="en-US"/>
              </w:rPr>
            </w:pPr>
            <w:r w:rsidRPr="006B273B">
              <w:rPr>
                <w:lang w:val="en-US" w:eastAsia="en-US"/>
              </w:rPr>
              <w:t>Subsection 260B(5)</w:t>
            </w:r>
          </w:p>
        </w:tc>
      </w:tr>
      <w:tr w:rsidR="00F303BF" w:rsidRPr="00F303BF" w14:paraId="1033064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A9EF050" w14:textId="77777777" w:rsidR="00F303BF" w:rsidRPr="00F303BF" w:rsidRDefault="00F303BF" w:rsidP="00F303BF">
            <w:pPr>
              <w:pStyle w:val="tabletext"/>
              <w:rPr>
                <w:lang w:val="en-US" w:eastAsia="en-US"/>
              </w:rPr>
            </w:pPr>
            <w:r w:rsidRPr="00F303BF">
              <w:rPr>
                <w:lang w:val="en-US" w:eastAsia="en-US"/>
              </w:rPr>
              <w:t>568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E7601E1" w14:textId="77777777" w:rsidR="00F303BF" w:rsidRPr="006B273B" w:rsidRDefault="00F303BF" w:rsidP="00F303BF">
            <w:pPr>
              <w:pStyle w:val="tabletext"/>
              <w:rPr>
                <w:lang w:val="en-US" w:eastAsia="en-US"/>
              </w:rPr>
            </w:pPr>
            <w:r w:rsidRPr="006B273B">
              <w:rPr>
                <w:lang w:val="en-US" w:eastAsia="en-US"/>
              </w:rPr>
              <w:t>Subsection 260B(6)</w:t>
            </w:r>
          </w:p>
        </w:tc>
      </w:tr>
      <w:tr w:rsidR="00F303BF" w:rsidRPr="00F303BF" w14:paraId="0604EE7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083CCA6" w14:textId="77777777" w:rsidR="00F303BF" w:rsidRPr="00F303BF" w:rsidRDefault="00F303BF" w:rsidP="00F303BF">
            <w:pPr>
              <w:pStyle w:val="tabletext"/>
              <w:rPr>
                <w:lang w:val="en-US" w:eastAsia="en-US"/>
              </w:rPr>
            </w:pPr>
            <w:r w:rsidRPr="00F303BF">
              <w:rPr>
                <w:lang w:val="en-US" w:eastAsia="en-US"/>
              </w:rPr>
              <w:t>572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B4EB866" w14:textId="77777777" w:rsidR="00F303BF" w:rsidRPr="006B273B" w:rsidRDefault="00F303BF" w:rsidP="00F303BF">
            <w:pPr>
              <w:pStyle w:val="tabletext"/>
              <w:rPr>
                <w:lang w:val="en-US" w:eastAsia="en-US"/>
              </w:rPr>
            </w:pPr>
            <w:r w:rsidRPr="006B273B">
              <w:rPr>
                <w:lang w:val="en-US" w:eastAsia="en-US"/>
              </w:rPr>
              <w:t>Paragraph 283BC(1)(b)</w:t>
            </w:r>
          </w:p>
        </w:tc>
      </w:tr>
      <w:tr w:rsidR="00F303BF" w:rsidRPr="00F303BF" w14:paraId="3B8C086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63CCA56" w14:textId="77777777" w:rsidR="00F303BF" w:rsidRPr="00F303BF" w:rsidRDefault="00F303BF" w:rsidP="00F303BF">
            <w:pPr>
              <w:pStyle w:val="tabletext"/>
              <w:rPr>
                <w:lang w:val="en-US" w:eastAsia="en-US"/>
              </w:rPr>
            </w:pPr>
            <w:r w:rsidRPr="00F303BF">
              <w:rPr>
                <w:lang w:val="en-US" w:eastAsia="en-US"/>
              </w:rPr>
              <w:t>574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52AF1D3" w14:textId="77777777" w:rsidR="00F303BF" w:rsidRPr="006B273B" w:rsidRDefault="00F303BF" w:rsidP="00F303BF">
            <w:pPr>
              <w:pStyle w:val="tabletext"/>
              <w:rPr>
                <w:lang w:val="en-US" w:eastAsia="en-US"/>
              </w:rPr>
            </w:pPr>
            <w:r w:rsidRPr="006B273B">
              <w:rPr>
                <w:lang w:val="en-US" w:eastAsia="en-US"/>
              </w:rPr>
              <w:t>Subsection 283BC(3)</w:t>
            </w:r>
          </w:p>
        </w:tc>
      </w:tr>
      <w:tr w:rsidR="00F303BF" w:rsidRPr="00F303BF" w14:paraId="53ADFEF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62B9F68" w14:textId="77777777" w:rsidR="00F303BF" w:rsidRPr="00F303BF" w:rsidRDefault="00F303BF" w:rsidP="00F303BF">
            <w:pPr>
              <w:pStyle w:val="tabletext"/>
              <w:rPr>
                <w:lang w:val="en-US" w:eastAsia="en-US"/>
              </w:rPr>
            </w:pPr>
            <w:r w:rsidRPr="00F303BF">
              <w:rPr>
                <w:lang w:val="en-US" w:eastAsia="en-US"/>
              </w:rPr>
              <w:t>575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28F048A" w14:textId="77777777" w:rsidR="00F303BF" w:rsidRPr="006B273B" w:rsidRDefault="00F303BF" w:rsidP="00F303BF">
            <w:pPr>
              <w:pStyle w:val="tabletext"/>
              <w:rPr>
                <w:lang w:val="en-US" w:eastAsia="en-US"/>
              </w:rPr>
            </w:pPr>
            <w:r w:rsidRPr="006B273B">
              <w:rPr>
                <w:lang w:val="en-US" w:eastAsia="en-US"/>
              </w:rPr>
              <w:t>Section 283BCA</w:t>
            </w:r>
          </w:p>
        </w:tc>
      </w:tr>
      <w:tr w:rsidR="00F303BF" w:rsidRPr="00F303BF" w14:paraId="4395379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51B4BF4" w14:textId="77777777" w:rsidR="00F303BF" w:rsidRPr="00F303BF" w:rsidRDefault="00F303BF" w:rsidP="00F303BF">
            <w:pPr>
              <w:pStyle w:val="tabletext"/>
              <w:rPr>
                <w:lang w:val="en-US" w:eastAsia="en-US"/>
              </w:rPr>
            </w:pPr>
            <w:r w:rsidRPr="00F303BF">
              <w:rPr>
                <w:lang w:val="en-US" w:eastAsia="en-US"/>
              </w:rPr>
              <w:t>578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3DC402" w14:textId="77777777" w:rsidR="00F303BF" w:rsidRPr="006B273B" w:rsidRDefault="00F303BF" w:rsidP="00F303BF">
            <w:pPr>
              <w:pStyle w:val="tabletext"/>
              <w:rPr>
                <w:lang w:val="en-US" w:eastAsia="en-US"/>
              </w:rPr>
            </w:pPr>
            <w:r w:rsidRPr="006B273B">
              <w:rPr>
                <w:lang w:val="en-US" w:eastAsia="en-US"/>
              </w:rPr>
              <w:t>Subsection 283BF(1)</w:t>
            </w:r>
          </w:p>
        </w:tc>
      </w:tr>
      <w:tr w:rsidR="00F303BF" w:rsidRPr="00F303BF" w14:paraId="4425F9B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81DABE" w14:textId="77777777" w:rsidR="00F303BF" w:rsidRPr="00F303BF" w:rsidRDefault="00F303BF" w:rsidP="00F303BF">
            <w:pPr>
              <w:pStyle w:val="tabletext"/>
              <w:rPr>
                <w:lang w:val="en-US" w:eastAsia="en-US"/>
              </w:rPr>
            </w:pPr>
            <w:r w:rsidRPr="00F303BF">
              <w:rPr>
                <w:lang w:val="en-US" w:eastAsia="en-US"/>
              </w:rPr>
              <w:t>581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6B18AC8" w14:textId="77777777" w:rsidR="00F303BF" w:rsidRPr="006B273B" w:rsidRDefault="00F303BF" w:rsidP="00F303BF">
            <w:pPr>
              <w:pStyle w:val="tabletext"/>
              <w:rPr>
                <w:lang w:val="en-US" w:eastAsia="en-US"/>
              </w:rPr>
            </w:pPr>
            <w:r w:rsidRPr="006B273B">
              <w:rPr>
                <w:lang w:val="en-US" w:eastAsia="en-US"/>
              </w:rPr>
              <w:t>Subsection 289(2)</w:t>
            </w:r>
          </w:p>
        </w:tc>
      </w:tr>
      <w:tr w:rsidR="00F303BF" w:rsidRPr="00F303BF" w14:paraId="3179285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FEAB4C1" w14:textId="77777777" w:rsidR="00F303BF" w:rsidRPr="00F303BF" w:rsidRDefault="00F303BF" w:rsidP="00F303BF">
            <w:pPr>
              <w:pStyle w:val="tabletext"/>
              <w:rPr>
                <w:lang w:val="en-US" w:eastAsia="en-US"/>
              </w:rPr>
            </w:pPr>
            <w:r w:rsidRPr="00F303BF">
              <w:rPr>
                <w:lang w:val="en-US" w:eastAsia="en-US"/>
              </w:rPr>
              <w:t>582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A253BEF" w14:textId="77777777" w:rsidR="00F303BF" w:rsidRPr="006B273B" w:rsidRDefault="00F303BF" w:rsidP="00F303BF">
            <w:pPr>
              <w:pStyle w:val="tabletext"/>
              <w:rPr>
                <w:lang w:val="en-US" w:eastAsia="en-US"/>
              </w:rPr>
            </w:pPr>
            <w:r w:rsidRPr="006B273B">
              <w:rPr>
                <w:lang w:val="en-US" w:eastAsia="en-US"/>
              </w:rPr>
              <w:t>Subsection 289(2)</w:t>
            </w:r>
          </w:p>
        </w:tc>
      </w:tr>
      <w:tr w:rsidR="00F303BF" w:rsidRPr="00F303BF" w14:paraId="0F22F3A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00DC716" w14:textId="77777777" w:rsidR="00F303BF" w:rsidRPr="00F303BF" w:rsidRDefault="00F303BF" w:rsidP="00F303BF">
            <w:pPr>
              <w:pStyle w:val="tabletext"/>
              <w:rPr>
                <w:lang w:val="en-US" w:eastAsia="en-US"/>
              </w:rPr>
            </w:pPr>
            <w:r w:rsidRPr="00F303BF">
              <w:rPr>
                <w:lang w:val="en-US" w:eastAsia="en-US"/>
              </w:rPr>
              <w:t>588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B9B47EB" w14:textId="77777777" w:rsidR="00F303BF" w:rsidRPr="006B273B" w:rsidRDefault="00F303BF" w:rsidP="00F303BF">
            <w:pPr>
              <w:pStyle w:val="tabletext"/>
              <w:rPr>
                <w:lang w:val="en-US" w:eastAsia="en-US"/>
              </w:rPr>
            </w:pPr>
            <w:r w:rsidRPr="006B273B">
              <w:rPr>
                <w:lang w:val="en-US" w:eastAsia="en-US"/>
              </w:rPr>
              <w:t>Subsection 319(1)</w:t>
            </w:r>
          </w:p>
        </w:tc>
      </w:tr>
      <w:tr w:rsidR="00F303BF" w:rsidRPr="00F303BF" w14:paraId="6EB5C81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EA8CCF" w14:textId="77777777" w:rsidR="00F303BF" w:rsidRPr="00F303BF" w:rsidRDefault="00F303BF" w:rsidP="00F303BF">
            <w:pPr>
              <w:pStyle w:val="tabletext"/>
              <w:rPr>
                <w:lang w:val="en-US" w:eastAsia="en-US"/>
              </w:rPr>
            </w:pPr>
            <w:r w:rsidRPr="00F303BF">
              <w:rPr>
                <w:lang w:val="en-US" w:eastAsia="en-US"/>
              </w:rPr>
              <w:t>591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328C90D" w14:textId="77777777" w:rsidR="00F303BF" w:rsidRPr="006B273B" w:rsidRDefault="00F303BF" w:rsidP="00F303BF">
            <w:pPr>
              <w:pStyle w:val="tabletext"/>
              <w:rPr>
                <w:lang w:val="en-US" w:eastAsia="en-US"/>
              </w:rPr>
            </w:pPr>
            <w:r w:rsidRPr="006B273B">
              <w:rPr>
                <w:lang w:val="en-US" w:eastAsia="en-US"/>
              </w:rPr>
              <w:t>Subsection 320(1)</w:t>
            </w:r>
          </w:p>
        </w:tc>
      </w:tr>
      <w:tr w:rsidR="00F303BF" w:rsidRPr="00F303BF" w14:paraId="659359D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ECB2347" w14:textId="77777777" w:rsidR="00F303BF" w:rsidRPr="00F303BF" w:rsidRDefault="00F303BF" w:rsidP="00F303BF">
            <w:pPr>
              <w:pStyle w:val="tabletext"/>
              <w:rPr>
                <w:lang w:val="en-US" w:eastAsia="en-US"/>
              </w:rPr>
            </w:pPr>
            <w:r w:rsidRPr="00F303BF">
              <w:rPr>
                <w:lang w:val="en-US" w:eastAsia="en-US"/>
              </w:rPr>
              <w:t>594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21548B6" w14:textId="77777777" w:rsidR="00F303BF" w:rsidRPr="006B273B" w:rsidRDefault="00F303BF" w:rsidP="00F303BF">
            <w:pPr>
              <w:pStyle w:val="tabletext"/>
              <w:rPr>
                <w:lang w:val="en-US" w:eastAsia="en-US"/>
              </w:rPr>
            </w:pPr>
            <w:r w:rsidRPr="006B273B">
              <w:rPr>
                <w:lang w:val="en-US" w:eastAsia="en-US"/>
              </w:rPr>
              <w:t>Subsection 322(1)</w:t>
            </w:r>
          </w:p>
        </w:tc>
      </w:tr>
      <w:tr w:rsidR="00F303BF" w:rsidRPr="00F303BF" w14:paraId="4172EBD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0EB54C4" w14:textId="77777777" w:rsidR="00F303BF" w:rsidRPr="00F303BF" w:rsidRDefault="00F303BF" w:rsidP="00F303BF">
            <w:pPr>
              <w:pStyle w:val="tabletext"/>
              <w:rPr>
                <w:lang w:val="en-US" w:eastAsia="en-US"/>
              </w:rPr>
            </w:pPr>
            <w:r w:rsidRPr="00F303BF">
              <w:rPr>
                <w:lang w:val="en-US" w:eastAsia="en-US"/>
              </w:rPr>
              <w:t>596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F1FC91B" w14:textId="77777777" w:rsidR="00F303BF" w:rsidRPr="006B273B" w:rsidRDefault="00F303BF" w:rsidP="00F303BF">
            <w:pPr>
              <w:pStyle w:val="tabletext"/>
              <w:rPr>
                <w:lang w:val="en-US" w:eastAsia="en-US"/>
              </w:rPr>
            </w:pPr>
            <w:r w:rsidRPr="006B273B">
              <w:rPr>
                <w:lang w:val="en-US" w:eastAsia="en-US"/>
              </w:rPr>
              <w:t>Paragraph 324BB(6)(b)</w:t>
            </w:r>
          </w:p>
        </w:tc>
      </w:tr>
      <w:tr w:rsidR="00F303BF" w:rsidRPr="00F303BF" w14:paraId="4854842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0CEB1E8" w14:textId="77777777" w:rsidR="00F303BF" w:rsidRPr="00F303BF" w:rsidRDefault="00F303BF" w:rsidP="00F303BF">
            <w:pPr>
              <w:pStyle w:val="tabletext"/>
              <w:rPr>
                <w:lang w:val="en-US" w:eastAsia="en-US"/>
              </w:rPr>
            </w:pPr>
            <w:r w:rsidRPr="00F303BF">
              <w:rPr>
                <w:lang w:val="en-US" w:eastAsia="en-US"/>
              </w:rPr>
              <w:t>602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48BF576" w14:textId="77777777" w:rsidR="00F303BF" w:rsidRPr="006B273B" w:rsidRDefault="00F303BF" w:rsidP="00F303BF">
            <w:pPr>
              <w:pStyle w:val="tabletext"/>
              <w:rPr>
                <w:lang w:val="en-US" w:eastAsia="en-US"/>
              </w:rPr>
            </w:pPr>
            <w:r w:rsidRPr="006B273B">
              <w:rPr>
                <w:lang w:val="en-US" w:eastAsia="en-US"/>
              </w:rPr>
              <w:t>Section 329</w:t>
            </w:r>
          </w:p>
        </w:tc>
      </w:tr>
      <w:tr w:rsidR="00F303BF" w:rsidRPr="00F303BF" w14:paraId="5389253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D5EFFFE" w14:textId="77777777" w:rsidR="00F303BF" w:rsidRPr="00F303BF" w:rsidRDefault="00F303BF" w:rsidP="00F303BF">
            <w:pPr>
              <w:pStyle w:val="tabletext"/>
              <w:rPr>
                <w:lang w:val="en-US" w:eastAsia="en-US"/>
              </w:rPr>
            </w:pPr>
            <w:r w:rsidRPr="00F303BF">
              <w:rPr>
                <w:lang w:val="en-US" w:eastAsia="en-US"/>
              </w:rPr>
              <w:t>603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08FB113" w14:textId="77777777" w:rsidR="00F303BF" w:rsidRPr="006B273B" w:rsidRDefault="00F303BF" w:rsidP="00F303BF">
            <w:pPr>
              <w:pStyle w:val="tabletext"/>
              <w:rPr>
                <w:lang w:val="en-US" w:eastAsia="en-US"/>
              </w:rPr>
            </w:pPr>
            <w:r w:rsidRPr="006B273B">
              <w:rPr>
                <w:lang w:val="en-US" w:eastAsia="en-US"/>
              </w:rPr>
              <w:t>Subsection 331AC(7)</w:t>
            </w:r>
          </w:p>
        </w:tc>
      </w:tr>
      <w:tr w:rsidR="00F303BF" w:rsidRPr="00F303BF" w14:paraId="1093B99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F652D1B" w14:textId="77777777" w:rsidR="00F303BF" w:rsidRPr="00F303BF" w:rsidRDefault="00F303BF" w:rsidP="00F303BF">
            <w:pPr>
              <w:pStyle w:val="tabletext"/>
              <w:rPr>
                <w:lang w:val="en-US" w:eastAsia="en-US"/>
              </w:rPr>
            </w:pPr>
            <w:r w:rsidRPr="00F303BF">
              <w:rPr>
                <w:lang w:val="en-US" w:eastAsia="en-US"/>
              </w:rPr>
              <w:lastRenderedPageBreak/>
              <w:t>605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805041" w14:textId="77777777" w:rsidR="00F303BF" w:rsidRPr="006B273B" w:rsidRDefault="00F303BF" w:rsidP="00F303BF">
            <w:pPr>
              <w:pStyle w:val="tabletext"/>
              <w:rPr>
                <w:lang w:val="en-US" w:eastAsia="en-US"/>
              </w:rPr>
            </w:pPr>
            <w:r w:rsidRPr="006B273B">
              <w:rPr>
                <w:lang w:val="en-US" w:eastAsia="en-US"/>
              </w:rPr>
              <w:t>Subsection 332A(3)</w:t>
            </w:r>
          </w:p>
        </w:tc>
      </w:tr>
      <w:tr w:rsidR="00F303BF" w:rsidRPr="00F303BF" w14:paraId="04E85BD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E437F98" w14:textId="77777777" w:rsidR="00F303BF" w:rsidRPr="00F303BF" w:rsidRDefault="00F303BF" w:rsidP="00F303BF">
            <w:pPr>
              <w:pStyle w:val="tabletext"/>
              <w:rPr>
                <w:lang w:val="en-US" w:eastAsia="en-US"/>
              </w:rPr>
            </w:pPr>
            <w:r w:rsidRPr="00F303BF">
              <w:rPr>
                <w:lang w:val="en-US" w:eastAsia="en-US"/>
              </w:rPr>
              <w:t>607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E82A45D" w14:textId="77777777" w:rsidR="00F303BF" w:rsidRPr="006B273B" w:rsidRDefault="00F303BF" w:rsidP="00F303BF">
            <w:pPr>
              <w:pStyle w:val="tabletext"/>
              <w:rPr>
                <w:lang w:val="en-US" w:eastAsia="en-US"/>
              </w:rPr>
            </w:pPr>
            <w:r w:rsidRPr="006B273B">
              <w:rPr>
                <w:lang w:val="en-US" w:eastAsia="en-US"/>
              </w:rPr>
              <w:t>Subparagraph 345A(1)(a)(ii)</w:t>
            </w:r>
          </w:p>
        </w:tc>
      </w:tr>
      <w:tr w:rsidR="00F303BF" w:rsidRPr="00F303BF" w14:paraId="53948AD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11797E6" w14:textId="77777777" w:rsidR="00F303BF" w:rsidRPr="00F303BF" w:rsidRDefault="00F303BF" w:rsidP="00F303BF">
            <w:pPr>
              <w:pStyle w:val="tabletext"/>
              <w:rPr>
                <w:lang w:val="en-US" w:eastAsia="en-US"/>
              </w:rPr>
            </w:pPr>
            <w:r w:rsidRPr="00F303BF">
              <w:rPr>
                <w:lang w:val="en-US" w:eastAsia="en-US"/>
              </w:rPr>
              <w:t>608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12B421F" w14:textId="77777777" w:rsidR="00F303BF" w:rsidRPr="006B273B" w:rsidRDefault="00F303BF" w:rsidP="00F303BF">
            <w:pPr>
              <w:pStyle w:val="tabletext"/>
              <w:rPr>
                <w:lang w:val="en-US" w:eastAsia="en-US"/>
              </w:rPr>
            </w:pPr>
            <w:r w:rsidRPr="006B273B">
              <w:rPr>
                <w:lang w:val="en-US" w:eastAsia="en-US"/>
              </w:rPr>
              <w:t>Paragraph 345A(1A)(b)</w:t>
            </w:r>
          </w:p>
        </w:tc>
      </w:tr>
      <w:tr w:rsidR="00F303BF" w:rsidRPr="00F303BF" w14:paraId="0CC4292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49FED79" w14:textId="77777777" w:rsidR="00F303BF" w:rsidRPr="00F303BF" w:rsidRDefault="00F303BF" w:rsidP="00F303BF">
            <w:pPr>
              <w:pStyle w:val="tabletext"/>
              <w:rPr>
                <w:lang w:val="en-US" w:eastAsia="en-US"/>
              </w:rPr>
            </w:pPr>
            <w:r w:rsidRPr="00F303BF">
              <w:rPr>
                <w:lang w:val="en-US" w:eastAsia="en-US"/>
              </w:rPr>
              <w:t>618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665DC61" w14:textId="77777777" w:rsidR="00F303BF" w:rsidRPr="006B273B" w:rsidRDefault="00F303BF" w:rsidP="00F303BF">
            <w:pPr>
              <w:pStyle w:val="tabletext"/>
              <w:rPr>
                <w:lang w:val="en-US" w:eastAsia="en-US"/>
              </w:rPr>
            </w:pPr>
            <w:r w:rsidRPr="006B273B">
              <w:rPr>
                <w:lang w:val="en-US" w:eastAsia="en-US"/>
              </w:rPr>
              <w:t>Section 346B</w:t>
            </w:r>
          </w:p>
        </w:tc>
      </w:tr>
      <w:tr w:rsidR="00F303BF" w:rsidRPr="00F303BF" w14:paraId="0C6FE06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C6C0560" w14:textId="77777777" w:rsidR="00F303BF" w:rsidRPr="00F303BF" w:rsidRDefault="00F303BF" w:rsidP="00F303BF">
            <w:pPr>
              <w:pStyle w:val="tabletext"/>
              <w:rPr>
                <w:lang w:val="en-US" w:eastAsia="en-US"/>
              </w:rPr>
            </w:pPr>
            <w:r w:rsidRPr="00F303BF">
              <w:rPr>
                <w:lang w:val="en-US" w:eastAsia="en-US"/>
              </w:rPr>
              <w:t>620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7171AE7" w14:textId="77777777" w:rsidR="00F303BF" w:rsidRPr="006B273B" w:rsidRDefault="00F303BF" w:rsidP="00F303BF">
            <w:pPr>
              <w:pStyle w:val="tabletext"/>
              <w:rPr>
                <w:lang w:val="en-US" w:eastAsia="en-US"/>
              </w:rPr>
            </w:pPr>
            <w:r w:rsidRPr="006B273B">
              <w:rPr>
                <w:lang w:val="en-US" w:eastAsia="en-US"/>
              </w:rPr>
              <w:t>Paragraphs 346C(3)(b) and (c)</w:t>
            </w:r>
          </w:p>
        </w:tc>
      </w:tr>
      <w:tr w:rsidR="00F303BF" w:rsidRPr="00F303BF" w14:paraId="299F330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B003951" w14:textId="77777777" w:rsidR="00F303BF" w:rsidRPr="00F303BF" w:rsidRDefault="00F303BF" w:rsidP="00F303BF">
            <w:pPr>
              <w:pStyle w:val="tabletext"/>
              <w:rPr>
                <w:lang w:val="en-US" w:eastAsia="en-US"/>
              </w:rPr>
            </w:pPr>
            <w:r w:rsidRPr="00F303BF">
              <w:rPr>
                <w:lang w:val="en-US" w:eastAsia="en-US"/>
              </w:rPr>
              <w:t>621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2A39BDD" w14:textId="77777777" w:rsidR="00F303BF" w:rsidRPr="006B273B" w:rsidRDefault="00F303BF" w:rsidP="00F303BF">
            <w:pPr>
              <w:pStyle w:val="tabletext"/>
              <w:rPr>
                <w:lang w:val="en-US" w:eastAsia="en-US"/>
              </w:rPr>
            </w:pPr>
            <w:r w:rsidRPr="006B273B">
              <w:rPr>
                <w:lang w:val="en-US" w:eastAsia="en-US"/>
              </w:rPr>
              <w:t>Subsection 346C(4)</w:t>
            </w:r>
          </w:p>
        </w:tc>
      </w:tr>
      <w:tr w:rsidR="00F303BF" w:rsidRPr="00F303BF" w14:paraId="4156A8E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B760AF4" w14:textId="77777777" w:rsidR="00F303BF" w:rsidRPr="00F303BF" w:rsidRDefault="00F303BF" w:rsidP="00F303BF">
            <w:pPr>
              <w:pStyle w:val="tabletext"/>
              <w:rPr>
                <w:lang w:val="en-US" w:eastAsia="en-US"/>
              </w:rPr>
            </w:pPr>
            <w:r w:rsidRPr="00F303BF">
              <w:rPr>
                <w:lang w:val="en-US" w:eastAsia="en-US"/>
              </w:rPr>
              <w:t>625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A8F2A4D" w14:textId="77777777" w:rsidR="00F303BF" w:rsidRPr="006B273B" w:rsidRDefault="00F303BF" w:rsidP="00F303BF">
            <w:pPr>
              <w:pStyle w:val="tabletext"/>
              <w:rPr>
                <w:lang w:val="en-US" w:eastAsia="en-US"/>
              </w:rPr>
            </w:pPr>
            <w:r w:rsidRPr="006B273B">
              <w:rPr>
                <w:lang w:val="en-US" w:eastAsia="en-US"/>
              </w:rPr>
              <w:t>Subsection 347B(1)</w:t>
            </w:r>
          </w:p>
        </w:tc>
      </w:tr>
      <w:tr w:rsidR="00F303BF" w:rsidRPr="00F303BF" w14:paraId="4011D0F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499C8EF" w14:textId="77777777" w:rsidR="00F303BF" w:rsidRPr="00F303BF" w:rsidRDefault="00F303BF" w:rsidP="00F303BF">
            <w:pPr>
              <w:pStyle w:val="tabletext"/>
              <w:rPr>
                <w:lang w:val="en-US" w:eastAsia="en-US"/>
              </w:rPr>
            </w:pPr>
            <w:r w:rsidRPr="00F303BF">
              <w:rPr>
                <w:lang w:val="en-US" w:eastAsia="en-US"/>
              </w:rPr>
              <w:t>626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ABE42B5" w14:textId="77777777" w:rsidR="00F303BF" w:rsidRPr="006B273B" w:rsidRDefault="00F303BF" w:rsidP="00F303BF">
            <w:pPr>
              <w:pStyle w:val="tabletext"/>
              <w:rPr>
                <w:lang w:val="en-US" w:eastAsia="en-US"/>
              </w:rPr>
            </w:pPr>
            <w:r w:rsidRPr="006B273B">
              <w:rPr>
                <w:lang w:val="en-US" w:eastAsia="en-US"/>
              </w:rPr>
              <w:t>Subsection 347B(1)</w:t>
            </w:r>
          </w:p>
        </w:tc>
      </w:tr>
      <w:tr w:rsidR="00F303BF" w:rsidRPr="00F303BF" w14:paraId="0F64FFE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68ADBA5" w14:textId="77777777" w:rsidR="00F303BF" w:rsidRPr="00F303BF" w:rsidRDefault="00F303BF" w:rsidP="00F303BF">
            <w:pPr>
              <w:pStyle w:val="tabletext"/>
              <w:rPr>
                <w:lang w:val="en-US" w:eastAsia="en-US"/>
              </w:rPr>
            </w:pPr>
            <w:r w:rsidRPr="00F303BF">
              <w:rPr>
                <w:lang w:val="en-US" w:eastAsia="en-US"/>
              </w:rPr>
              <w:t>627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818EDBC" w14:textId="77777777" w:rsidR="00F303BF" w:rsidRPr="006B273B" w:rsidRDefault="00F303BF" w:rsidP="00F303BF">
            <w:pPr>
              <w:pStyle w:val="tabletext"/>
              <w:rPr>
                <w:lang w:val="en-US" w:eastAsia="en-US"/>
              </w:rPr>
            </w:pPr>
            <w:r w:rsidRPr="006B273B">
              <w:rPr>
                <w:lang w:val="en-US" w:eastAsia="en-US"/>
              </w:rPr>
              <w:t>Subsection 347B(2)</w:t>
            </w:r>
          </w:p>
        </w:tc>
      </w:tr>
      <w:tr w:rsidR="00F303BF" w:rsidRPr="00F303BF" w14:paraId="12048AB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0B9A951" w14:textId="77777777" w:rsidR="00F303BF" w:rsidRPr="00F303BF" w:rsidRDefault="00F303BF" w:rsidP="00F303BF">
            <w:pPr>
              <w:pStyle w:val="tabletext"/>
              <w:rPr>
                <w:lang w:val="en-US" w:eastAsia="en-US"/>
              </w:rPr>
            </w:pPr>
            <w:r w:rsidRPr="00F303BF">
              <w:rPr>
                <w:lang w:val="en-US" w:eastAsia="en-US"/>
              </w:rPr>
              <w:t>628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DA159F2" w14:textId="77777777" w:rsidR="00F303BF" w:rsidRPr="006B273B" w:rsidRDefault="00F303BF" w:rsidP="00F303BF">
            <w:pPr>
              <w:pStyle w:val="tabletext"/>
              <w:rPr>
                <w:lang w:val="en-US" w:eastAsia="en-US"/>
              </w:rPr>
            </w:pPr>
            <w:r w:rsidRPr="006B273B">
              <w:rPr>
                <w:lang w:val="en-US" w:eastAsia="en-US"/>
              </w:rPr>
              <w:t>Subsection 347B(2)</w:t>
            </w:r>
          </w:p>
        </w:tc>
      </w:tr>
      <w:tr w:rsidR="00F303BF" w:rsidRPr="00F303BF" w14:paraId="6A61824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34AFE66" w14:textId="77777777" w:rsidR="00F303BF" w:rsidRPr="00F303BF" w:rsidRDefault="00F303BF" w:rsidP="00F303BF">
            <w:pPr>
              <w:pStyle w:val="tabletext"/>
              <w:rPr>
                <w:lang w:val="en-US" w:eastAsia="en-US"/>
              </w:rPr>
            </w:pPr>
            <w:r w:rsidRPr="00F303BF">
              <w:rPr>
                <w:lang w:val="en-US" w:eastAsia="en-US"/>
              </w:rPr>
              <w:t>640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F0E806B" w14:textId="77777777" w:rsidR="00F303BF" w:rsidRPr="006B273B" w:rsidRDefault="00F303BF" w:rsidP="00F303BF">
            <w:pPr>
              <w:pStyle w:val="tabletext"/>
              <w:rPr>
                <w:lang w:val="en-US" w:eastAsia="en-US"/>
              </w:rPr>
            </w:pPr>
            <w:r w:rsidRPr="006B273B">
              <w:rPr>
                <w:lang w:val="en-US" w:eastAsia="en-US"/>
              </w:rPr>
              <w:t>Paragraphs 348D(2)(b) and (c)</w:t>
            </w:r>
          </w:p>
        </w:tc>
      </w:tr>
      <w:tr w:rsidR="00F303BF" w:rsidRPr="00F303BF" w14:paraId="4FB43E8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9CEDB58" w14:textId="77777777" w:rsidR="00F303BF" w:rsidRPr="00F303BF" w:rsidRDefault="00F303BF" w:rsidP="00F303BF">
            <w:pPr>
              <w:pStyle w:val="tabletext"/>
              <w:rPr>
                <w:lang w:val="en-US" w:eastAsia="en-US"/>
              </w:rPr>
            </w:pPr>
            <w:r w:rsidRPr="00F303BF">
              <w:rPr>
                <w:lang w:val="en-US" w:eastAsia="en-US"/>
              </w:rPr>
              <w:t>641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FC18FBE" w14:textId="77777777" w:rsidR="00F303BF" w:rsidRPr="006B273B" w:rsidRDefault="00F303BF" w:rsidP="00F303BF">
            <w:pPr>
              <w:pStyle w:val="tabletext"/>
              <w:rPr>
                <w:lang w:val="en-US" w:eastAsia="en-US"/>
              </w:rPr>
            </w:pPr>
            <w:r w:rsidRPr="006B273B">
              <w:rPr>
                <w:lang w:val="en-US" w:eastAsia="en-US"/>
              </w:rPr>
              <w:t>Subsection 348D(3)</w:t>
            </w:r>
          </w:p>
        </w:tc>
      </w:tr>
      <w:tr w:rsidR="00F303BF" w:rsidRPr="00F303BF" w14:paraId="69378D0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0CF4DA1" w14:textId="77777777" w:rsidR="00F303BF" w:rsidRPr="00F303BF" w:rsidRDefault="00F303BF" w:rsidP="00F303BF">
            <w:pPr>
              <w:pStyle w:val="tabletext"/>
              <w:rPr>
                <w:lang w:val="en-US" w:eastAsia="en-US"/>
              </w:rPr>
            </w:pPr>
            <w:r w:rsidRPr="00F303BF">
              <w:rPr>
                <w:lang w:val="en-US" w:eastAsia="en-US"/>
              </w:rPr>
              <w:t>644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BE2071C" w14:textId="77777777" w:rsidR="00F303BF" w:rsidRPr="006B273B" w:rsidRDefault="00F303BF" w:rsidP="00F303BF">
            <w:pPr>
              <w:pStyle w:val="tabletext"/>
              <w:rPr>
                <w:lang w:val="en-US" w:eastAsia="en-US"/>
              </w:rPr>
            </w:pPr>
            <w:r w:rsidRPr="006B273B">
              <w:rPr>
                <w:lang w:val="en-US" w:eastAsia="en-US"/>
              </w:rPr>
              <w:t>Subsection 349A(1)</w:t>
            </w:r>
          </w:p>
        </w:tc>
      </w:tr>
      <w:tr w:rsidR="00F303BF" w:rsidRPr="00F303BF" w14:paraId="3710DBB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32AD0F7" w14:textId="77777777" w:rsidR="00F303BF" w:rsidRPr="00F303BF" w:rsidRDefault="00F303BF" w:rsidP="00F303BF">
            <w:pPr>
              <w:pStyle w:val="tabletext"/>
              <w:rPr>
                <w:lang w:val="en-US" w:eastAsia="en-US"/>
              </w:rPr>
            </w:pPr>
            <w:r w:rsidRPr="00F303BF">
              <w:rPr>
                <w:lang w:val="en-US" w:eastAsia="en-US"/>
              </w:rPr>
              <w:t>645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C9F51C5" w14:textId="77777777" w:rsidR="00F303BF" w:rsidRPr="006B273B" w:rsidRDefault="00F303BF" w:rsidP="00F303BF">
            <w:pPr>
              <w:pStyle w:val="tabletext"/>
              <w:rPr>
                <w:lang w:val="en-US" w:eastAsia="en-US"/>
              </w:rPr>
            </w:pPr>
            <w:r w:rsidRPr="006B273B">
              <w:rPr>
                <w:lang w:val="en-US" w:eastAsia="en-US"/>
              </w:rPr>
              <w:t>Subsection 349A(1)</w:t>
            </w:r>
          </w:p>
        </w:tc>
      </w:tr>
      <w:tr w:rsidR="00F303BF" w:rsidRPr="00F303BF" w14:paraId="7200CCE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CC8E926" w14:textId="77777777" w:rsidR="00F303BF" w:rsidRPr="00F303BF" w:rsidRDefault="00F303BF" w:rsidP="00F303BF">
            <w:pPr>
              <w:pStyle w:val="tabletext"/>
              <w:rPr>
                <w:lang w:val="en-US" w:eastAsia="en-US"/>
              </w:rPr>
            </w:pPr>
            <w:r w:rsidRPr="00F303BF">
              <w:rPr>
                <w:lang w:val="en-US" w:eastAsia="en-US"/>
              </w:rPr>
              <w:t>647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2A51418" w14:textId="77777777" w:rsidR="00F303BF" w:rsidRPr="006B273B" w:rsidRDefault="00F303BF" w:rsidP="00F303BF">
            <w:pPr>
              <w:pStyle w:val="tabletext"/>
              <w:rPr>
                <w:lang w:val="en-US" w:eastAsia="en-US"/>
              </w:rPr>
            </w:pPr>
            <w:r w:rsidRPr="006B273B">
              <w:rPr>
                <w:lang w:val="en-US" w:eastAsia="en-US"/>
              </w:rPr>
              <w:t>Section 349B</w:t>
            </w:r>
          </w:p>
        </w:tc>
      </w:tr>
      <w:tr w:rsidR="00F303BF" w:rsidRPr="00F303BF" w14:paraId="2182E0D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3C0F716" w14:textId="77777777" w:rsidR="00F303BF" w:rsidRPr="00F303BF" w:rsidRDefault="00F303BF" w:rsidP="00F303BF">
            <w:pPr>
              <w:pStyle w:val="tabletext"/>
              <w:rPr>
                <w:lang w:val="en-US" w:eastAsia="en-US"/>
              </w:rPr>
            </w:pPr>
            <w:r w:rsidRPr="00F303BF">
              <w:rPr>
                <w:lang w:val="en-US" w:eastAsia="en-US"/>
              </w:rPr>
              <w:t>649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CD3B992" w14:textId="77777777" w:rsidR="00F303BF" w:rsidRPr="006B273B" w:rsidRDefault="00F303BF" w:rsidP="00F303BF">
            <w:pPr>
              <w:pStyle w:val="tabletext"/>
              <w:rPr>
                <w:lang w:val="en-US" w:eastAsia="en-US"/>
              </w:rPr>
            </w:pPr>
            <w:r w:rsidRPr="006B273B">
              <w:rPr>
                <w:lang w:val="en-US" w:eastAsia="en-US"/>
              </w:rPr>
              <w:t>Section 349C</w:t>
            </w:r>
          </w:p>
        </w:tc>
      </w:tr>
      <w:tr w:rsidR="00F303BF" w:rsidRPr="00F303BF" w14:paraId="74ABBA3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4F79668" w14:textId="77777777" w:rsidR="00F303BF" w:rsidRPr="00F303BF" w:rsidRDefault="00F303BF" w:rsidP="00F303BF">
            <w:pPr>
              <w:pStyle w:val="tabletext"/>
              <w:rPr>
                <w:lang w:val="en-US" w:eastAsia="en-US"/>
              </w:rPr>
            </w:pPr>
            <w:r w:rsidRPr="00F303BF">
              <w:rPr>
                <w:lang w:val="en-US" w:eastAsia="en-US"/>
              </w:rPr>
              <w:t>651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51DD83" w14:textId="77777777" w:rsidR="00F303BF" w:rsidRPr="006B273B" w:rsidRDefault="00F303BF" w:rsidP="00F303BF">
            <w:pPr>
              <w:pStyle w:val="tabletext"/>
              <w:rPr>
                <w:lang w:val="en-US" w:eastAsia="en-US"/>
              </w:rPr>
            </w:pPr>
            <w:r w:rsidRPr="006B273B">
              <w:rPr>
                <w:lang w:val="en-US" w:eastAsia="en-US"/>
              </w:rPr>
              <w:t>Section 349D</w:t>
            </w:r>
          </w:p>
        </w:tc>
      </w:tr>
      <w:tr w:rsidR="00F303BF" w:rsidRPr="00F303BF" w14:paraId="1D1D664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B149338" w14:textId="77777777" w:rsidR="00F303BF" w:rsidRPr="00F303BF" w:rsidRDefault="00F303BF" w:rsidP="00F303BF">
            <w:pPr>
              <w:pStyle w:val="tabletext"/>
              <w:rPr>
                <w:lang w:val="en-US" w:eastAsia="en-US"/>
              </w:rPr>
            </w:pPr>
            <w:r w:rsidRPr="00F303BF">
              <w:rPr>
                <w:lang w:val="en-US" w:eastAsia="en-US"/>
              </w:rPr>
              <w:t>653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F60BC1C" w14:textId="77777777" w:rsidR="00F303BF" w:rsidRPr="006B273B" w:rsidRDefault="00F303BF" w:rsidP="00F303BF">
            <w:pPr>
              <w:pStyle w:val="tabletext"/>
              <w:rPr>
                <w:lang w:val="en-US" w:eastAsia="en-US"/>
              </w:rPr>
            </w:pPr>
            <w:r w:rsidRPr="006B273B">
              <w:rPr>
                <w:lang w:val="en-US" w:eastAsia="en-US"/>
              </w:rPr>
              <w:t>Subsection 411(10A)</w:t>
            </w:r>
          </w:p>
        </w:tc>
      </w:tr>
      <w:tr w:rsidR="00F303BF" w:rsidRPr="00F303BF" w14:paraId="759ED22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BE86431" w14:textId="77777777" w:rsidR="00F303BF" w:rsidRPr="00F303BF" w:rsidRDefault="00F303BF" w:rsidP="00F303BF">
            <w:pPr>
              <w:pStyle w:val="tabletext"/>
              <w:rPr>
                <w:lang w:val="en-US" w:eastAsia="en-US"/>
              </w:rPr>
            </w:pPr>
            <w:r w:rsidRPr="00F303BF">
              <w:rPr>
                <w:lang w:val="en-US" w:eastAsia="en-US"/>
              </w:rPr>
              <w:t>660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D587574" w14:textId="77777777" w:rsidR="00F303BF" w:rsidRPr="006B273B" w:rsidRDefault="00F303BF" w:rsidP="00F303BF">
            <w:pPr>
              <w:pStyle w:val="tabletext"/>
              <w:rPr>
                <w:lang w:val="en-US" w:eastAsia="en-US"/>
              </w:rPr>
            </w:pPr>
            <w:r w:rsidRPr="006B273B">
              <w:rPr>
                <w:lang w:val="en-US" w:eastAsia="en-US"/>
              </w:rPr>
              <w:t>Subsection 413(3)</w:t>
            </w:r>
          </w:p>
        </w:tc>
      </w:tr>
      <w:tr w:rsidR="00F303BF" w:rsidRPr="00F303BF" w14:paraId="522B8DC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8F23641" w14:textId="77777777" w:rsidR="00F303BF" w:rsidRPr="00F303BF" w:rsidRDefault="00F303BF" w:rsidP="00F303BF">
            <w:pPr>
              <w:pStyle w:val="tabletext"/>
              <w:rPr>
                <w:lang w:val="en-US" w:eastAsia="en-US"/>
              </w:rPr>
            </w:pPr>
            <w:r w:rsidRPr="00F303BF">
              <w:rPr>
                <w:lang w:val="en-US" w:eastAsia="en-US"/>
              </w:rPr>
              <w:t>662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F184C15" w14:textId="77777777" w:rsidR="00F303BF" w:rsidRPr="006B273B" w:rsidRDefault="00F303BF" w:rsidP="00F303BF">
            <w:pPr>
              <w:pStyle w:val="tabletext"/>
              <w:rPr>
                <w:lang w:val="en-US" w:eastAsia="en-US"/>
              </w:rPr>
            </w:pPr>
            <w:r w:rsidRPr="006B273B">
              <w:rPr>
                <w:lang w:val="en-US" w:eastAsia="en-US"/>
              </w:rPr>
              <w:t>Subsection 415(1)</w:t>
            </w:r>
          </w:p>
        </w:tc>
      </w:tr>
      <w:tr w:rsidR="00F303BF" w:rsidRPr="00F303BF" w14:paraId="6AD7AFD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BEA13EE" w14:textId="77777777" w:rsidR="00F303BF" w:rsidRPr="00F303BF" w:rsidRDefault="00F303BF" w:rsidP="00F303BF">
            <w:pPr>
              <w:pStyle w:val="tabletext"/>
              <w:rPr>
                <w:lang w:val="en-US" w:eastAsia="en-US"/>
              </w:rPr>
            </w:pPr>
            <w:r w:rsidRPr="00F303BF">
              <w:rPr>
                <w:lang w:val="en-US" w:eastAsia="en-US"/>
              </w:rPr>
              <w:t>668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E0B841B" w14:textId="77777777" w:rsidR="00F303BF" w:rsidRPr="006B273B" w:rsidRDefault="00F303BF" w:rsidP="00F303BF">
            <w:pPr>
              <w:pStyle w:val="tabletext"/>
              <w:rPr>
                <w:lang w:val="en-US" w:eastAsia="en-US"/>
              </w:rPr>
            </w:pPr>
            <w:r w:rsidRPr="006B273B">
              <w:rPr>
                <w:lang w:val="en-US" w:eastAsia="en-US"/>
              </w:rPr>
              <w:t>Subsection 422A(4) (not including the note)</w:t>
            </w:r>
          </w:p>
        </w:tc>
      </w:tr>
      <w:tr w:rsidR="00F303BF" w:rsidRPr="00F303BF" w14:paraId="09E95AC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F818F23" w14:textId="77777777" w:rsidR="00F303BF" w:rsidRPr="00F303BF" w:rsidRDefault="00F303BF" w:rsidP="00F303BF">
            <w:pPr>
              <w:pStyle w:val="tabletext"/>
              <w:rPr>
                <w:lang w:val="en-US" w:eastAsia="en-US"/>
              </w:rPr>
            </w:pPr>
            <w:r w:rsidRPr="00F303BF">
              <w:rPr>
                <w:lang w:val="en-US" w:eastAsia="en-US"/>
              </w:rPr>
              <w:t>669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85D2F38" w14:textId="77777777" w:rsidR="00F303BF" w:rsidRPr="006B273B" w:rsidRDefault="00F303BF" w:rsidP="00F303BF">
            <w:pPr>
              <w:pStyle w:val="tabletext"/>
              <w:rPr>
                <w:lang w:val="en-US" w:eastAsia="en-US"/>
              </w:rPr>
            </w:pPr>
            <w:r w:rsidRPr="006B273B">
              <w:rPr>
                <w:lang w:val="en-US" w:eastAsia="en-US"/>
              </w:rPr>
              <w:t>Subsection 422B(3) (not including the note)</w:t>
            </w:r>
          </w:p>
        </w:tc>
      </w:tr>
      <w:tr w:rsidR="00F303BF" w:rsidRPr="00F303BF" w14:paraId="130DA37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84C3931" w14:textId="77777777" w:rsidR="00F303BF" w:rsidRPr="00F303BF" w:rsidRDefault="00F303BF" w:rsidP="00F303BF">
            <w:pPr>
              <w:pStyle w:val="tabletext"/>
              <w:rPr>
                <w:lang w:val="en-US" w:eastAsia="en-US"/>
              </w:rPr>
            </w:pPr>
            <w:r w:rsidRPr="00F303BF">
              <w:rPr>
                <w:lang w:val="en-US" w:eastAsia="en-US"/>
              </w:rPr>
              <w:t>672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F3AEFC7" w14:textId="77777777" w:rsidR="00F303BF" w:rsidRPr="006B273B" w:rsidRDefault="00F303BF" w:rsidP="00F303BF">
            <w:pPr>
              <w:pStyle w:val="tabletext"/>
              <w:rPr>
                <w:lang w:val="en-US" w:eastAsia="en-US"/>
              </w:rPr>
            </w:pPr>
            <w:r w:rsidRPr="006B273B">
              <w:rPr>
                <w:lang w:val="en-US" w:eastAsia="en-US"/>
              </w:rPr>
              <w:t>Subsection 427(2)</w:t>
            </w:r>
          </w:p>
        </w:tc>
      </w:tr>
      <w:tr w:rsidR="00F303BF" w:rsidRPr="00F303BF" w14:paraId="615D399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D452E4E" w14:textId="77777777" w:rsidR="00F303BF" w:rsidRPr="00F303BF" w:rsidRDefault="00F303BF" w:rsidP="00F303BF">
            <w:pPr>
              <w:pStyle w:val="tabletext"/>
              <w:rPr>
                <w:lang w:val="en-US" w:eastAsia="en-US"/>
              </w:rPr>
            </w:pPr>
            <w:r w:rsidRPr="00F303BF">
              <w:rPr>
                <w:lang w:val="en-US" w:eastAsia="en-US"/>
              </w:rPr>
              <w:t>673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20E158B" w14:textId="77777777" w:rsidR="00F303BF" w:rsidRPr="006B273B" w:rsidRDefault="00F303BF" w:rsidP="00F303BF">
            <w:pPr>
              <w:pStyle w:val="tabletext"/>
              <w:rPr>
                <w:lang w:val="en-US" w:eastAsia="en-US"/>
              </w:rPr>
            </w:pPr>
            <w:r w:rsidRPr="006B273B">
              <w:rPr>
                <w:lang w:val="en-US" w:eastAsia="en-US"/>
              </w:rPr>
              <w:t>Subsection 427(3)</w:t>
            </w:r>
          </w:p>
        </w:tc>
      </w:tr>
      <w:tr w:rsidR="00F303BF" w:rsidRPr="00F303BF" w14:paraId="526A1D7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077CD6B" w14:textId="77777777" w:rsidR="00F303BF" w:rsidRPr="00F303BF" w:rsidRDefault="00F303BF" w:rsidP="00F303BF">
            <w:pPr>
              <w:pStyle w:val="tabletext"/>
              <w:rPr>
                <w:lang w:val="en-US" w:eastAsia="en-US"/>
              </w:rPr>
            </w:pPr>
            <w:r w:rsidRPr="00F303BF">
              <w:rPr>
                <w:lang w:val="en-US" w:eastAsia="en-US"/>
              </w:rPr>
              <w:t>675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F10611B" w14:textId="77777777" w:rsidR="00F303BF" w:rsidRPr="006B273B" w:rsidRDefault="00F303BF" w:rsidP="00F303BF">
            <w:pPr>
              <w:pStyle w:val="tabletext"/>
              <w:rPr>
                <w:lang w:val="en-US" w:eastAsia="en-US"/>
              </w:rPr>
            </w:pPr>
            <w:r w:rsidRPr="006B273B">
              <w:rPr>
                <w:lang w:val="en-US" w:eastAsia="en-US"/>
              </w:rPr>
              <w:t>Section 427</w:t>
            </w:r>
          </w:p>
        </w:tc>
      </w:tr>
      <w:tr w:rsidR="00F303BF" w:rsidRPr="00F303BF" w14:paraId="5091FAD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BF9B4E6" w14:textId="77777777" w:rsidR="00F303BF" w:rsidRPr="00F303BF" w:rsidRDefault="00F303BF" w:rsidP="00F303BF">
            <w:pPr>
              <w:pStyle w:val="tabletext"/>
              <w:rPr>
                <w:lang w:val="en-US" w:eastAsia="en-US"/>
              </w:rPr>
            </w:pPr>
            <w:r w:rsidRPr="00F303BF">
              <w:rPr>
                <w:lang w:val="en-US" w:eastAsia="en-US"/>
              </w:rPr>
              <w:t>677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59DC4C1" w14:textId="77777777" w:rsidR="00F303BF" w:rsidRPr="006B273B" w:rsidRDefault="00F303BF" w:rsidP="00F303BF">
            <w:pPr>
              <w:pStyle w:val="tabletext"/>
              <w:rPr>
                <w:lang w:val="en-US" w:eastAsia="en-US"/>
              </w:rPr>
            </w:pPr>
            <w:r w:rsidRPr="006B273B">
              <w:rPr>
                <w:lang w:val="en-US" w:eastAsia="en-US"/>
              </w:rPr>
              <w:t>Subsection 429(4)</w:t>
            </w:r>
          </w:p>
        </w:tc>
      </w:tr>
      <w:tr w:rsidR="00F303BF" w:rsidRPr="00F303BF" w14:paraId="0FFD7FC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B5155C4" w14:textId="77777777" w:rsidR="00F303BF" w:rsidRPr="00F303BF" w:rsidRDefault="00F303BF" w:rsidP="00F303BF">
            <w:pPr>
              <w:pStyle w:val="tabletext"/>
              <w:rPr>
                <w:lang w:val="en-US" w:eastAsia="en-US"/>
              </w:rPr>
            </w:pPr>
            <w:r w:rsidRPr="00F303BF">
              <w:rPr>
                <w:lang w:val="en-US" w:eastAsia="en-US"/>
              </w:rPr>
              <w:t>679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A53E824" w14:textId="77777777" w:rsidR="00F303BF" w:rsidRPr="006B273B" w:rsidRDefault="00F303BF" w:rsidP="00F303BF">
            <w:pPr>
              <w:pStyle w:val="tabletext"/>
              <w:rPr>
                <w:lang w:val="en-US" w:eastAsia="en-US"/>
              </w:rPr>
            </w:pPr>
            <w:r w:rsidRPr="006B273B">
              <w:rPr>
                <w:lang w:val="en-US" w:eastAsia="en-US"/>
              </w:rPr>
              <w:t>Subsection 429(5)</w:t>
            </w:r>
          </w:p>
        </w:tc>
      </w:tr>
      <w:tr w:rsidR="00F303BF" w:rsidRPr="00F303BF" w14:paraId="35E7B2E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B1CA355" w14:textId="77777777" w:rsidR="00F303BF" w:rsidRPr="00F303BF" w:rsidRDefault="00F303BF" w:rsidP="00F303BF">
            <w:pPr>
              <w:pStyle w:val="tabletext"/>
              <w:rPr>
                <w:lang w:val="en-US" w:eastAsia="en-US"/>
              </w:rPr>
            </w:pPr>
            <w:r w:rsidRPr="00F303BF">
              <w:rPr>
                <w:lang w:val="en-US" w:eastAsia="en-US"/>
              </w:rPr>
              <w:t>684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4B2AEC5" w14:textId="77777777" w:rsidR="00F303BF" w:rsidRPr="006B273B" w:rsidRDefault="00F303BF" w:rsidP="00F303BF">
            <w:pPr>
              <w:pStyle w:val="tabletext"/>
              <w:rPr>
                <w:lang w:val="en-US" w:eastAsia="en-US"/>
              </w:rPr>
            </w:pPr>
            <w:r w:rsidRPr="006B273B">
              <w:rPr>
                <w:lang w:val="en-US" w:eastAsia="en-US"/>
              </w:rPr>
              <w:t>Subsection 436DA(4A)</w:t>
            </w:r>
          </w:p>
        </w:tc>
      </w:tr>
      <w:tr w:rsidR="00F303BF" w:rsidRPr="00F303BF" w14:paraId="6897D68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4C81580" w14:textId="77777777" w:rsidR="00F303BF" w:rsidRPr="00F303BF" w:rsidRDefault="00F303BF" w:rsidP="00F303BF">
            <w:pPr>
              <w:pStyle w:val="tabletext"/>
              <w:rPr>
                <w:lang w:val="en-US" w:eastAsia="en-US"/>
              </w:rPr>
            </w:pPr>
            <w:r w:rsidRPr="00F303BF">
              <w:rPr>
                <w:lang w:val="en-US" w:eastAsia="en-US"/>
              </w:rPr>
              <w:t>685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AED9C73" w14:textId="77777777" w:rsidR="00F303BF" w:rsidRPr="006B273B" w:rsidRDefault="00F303BF" w:rsidP="00F303BF">
            <w:pPr>
              <w:pStyle w:val="tabletext"/>
              <w:rPr>
                <w:lang w:val="en-US" w:eastAsia="en-US"/>
              </w:rPr>
            </w:pPr>
            <w:r w:rsidRPr="006B273B">
              <w:rPr>
                <w:lang w:val="en-US" w:eastAsia="en-US"/>
              </w:rPr>
              <w:t>Subsection 438B(2A)</w:t>
            </w:r>
          </w:p>
        </w:tc>
      </w:tr>
      <w:tr w:rsidR="00F303BF" w:rsidRPr="00F303BF" w14:paraId="05CCDC4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40D97FE" w14:textId="77777777" w:rsidR="00F303BF" w:rsidRPr="00F303BF" w:rsidRDefault="00F303BF" w:rsidP="00F303BF">
            <w:pPr>
              <w:pStyle w:val="tabletext"/>
              <w:rPr>
                <w:lang w:val="en-US" w:eastAsia="en-US"/>
              </w:rPr>
            </w:pPr>
            <w:r w:rsidRPr="00F303BF">
              <w:rPr>
                <w:lang w:val="en-US" w:eastAsia="en-US"/>
              </w:rPr>
              <w:t>689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88C9F6D" w14:textId="77777777" w:rsidR="00F303BF" w:rsidRPr="006B273B" w:rsidRDefault="00F303BF" w:rsidP="00F303BF">
            <w:pPr>
              <w:pStyle w:val="tabletext"/>
              <w:rPr>
                <w:lang w:val="en-US" w:eastAsia="en-US"/>
              </w:rPr>
            </w:pPr>
            <w:r w:rsidRPr="006B273B">
              <w:rPr>
                <w:lang w:val="en-US" w:eastAsia="en-US"/>
              </w:rPr>
              <w:t>Subsection 445FA(2)</w:t>
            </w:r>
          </w:p>
        </w:tc>
      </w:tr>
      <w:tr w:rsidR="00F303BF" w:rsidRPr="00F303BF" w14:paraId="52A8BBC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F2AAAA4" w14:textId="77777777" w:rsidR="00F303BF" w:rsidRPr="00F303BF" w:rsidRDefault="00F303BF" w:rsidP="00F303BF">
            <w:pPr>
              <w:pStyle w:val="tabletext"/>
              <w:rPr>
                <w:lang w:val="en-US" w:eastAsia="en-US"/>
              </w:rPr>
            </w:pPr>
            <w:r w:rsidRPr="00F303BF">
              <w:rPr>
                <w:lang w:val="en-US" w:eastAsia="en-US"/>
              </w:rPr>
              <w:t>691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2E1272D" w14:textId="77777777" w:rsidR="00F303BF" w:rsidRPr="006B273B" w:rsidRDefault="00F303BF" w:rsidP="00F303BF">
            <w:pPr>
              <w:pStyle w:val="tabletext"/>
              <w:rPr>
                <w:lang w:val="en-US" w:eastAsia="en-US"/>
              </w:rPr>
            </w:pPr>
            <w:r w:rsidRPr="006B273B">
              <w:rPr>
                <w:lang w:val="en-US" w:eastAsia="en-US"/>
              </w:rPr>
              <w:t>Paragraph 446A(5)(a)</w:t>
            </w:r>
          </w:p>
        </w:tc>
      </w:tr>
      <w:tr w:rsidR="00F303BF" w:rsidRPr="00F303BF" w14:paraId="2603877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E3846EA" w14:textId="77777777" w:rsidR="00F303BF" w:rsidRPr="00F303BF" w:rsidRDefault="00F303BF" w:rsidP="00F303BF">
            <w:pPr>
              <w:pStyle w:val="tabletext"/>
              <w:rPr>
                <w:lang w:val="en-US" w:eastAsia="en-US"/>
              </w:rPr>
            </w:pPr>
            <w:r w:rsidRPr="00F303BF">
              <w:rPr>
                <w:lang w:val="en-US" w:eastAsia="en-US"/>
              </w:rPr>
              <w:t>693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0054A63" w14:textId="77777777" w:rsidR="00F303BF" w:rsidRPr="006B273B" w:rsidRDefault="00F303BF" w:rsidP="00F303BF">
            <w:pPr>
              <w:pStyle w:val="tabletext"/>
              <w:rPr>
                <w:lang w:val="en-US" w:eastAsia="en-US"/>
              </w:rPr>
            </w:pPr>
            <w:r w:rsidRPr="006B273B">
              <w:rPr>
                <w:lang w:val="en-US" w:eastAsia="en-US"/>
              </w:rPr>
              <w:t>Subsection 446AA(4)</w:t>
            </w:r>
          </w:p>
        </w:tc>
      </w:tr>
      <w:tr w:rsidR="00F303BF" w:rsidRPr="00F303BF" w14:paraId="6BCEC8B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070AF5A" w14:textId="77777777" w:rsidR="00F303BF" w:rsidRPr="00F303BF" w:rsidRDefault="00F303BF" w:rsidP="00F303BF">
            <w:pPr>
              <w:pStyle w:val="tabletext"/>
              <w:rPr>
                <w:lang w:val="en-US" w:eastAsia="en-US"/>
              </w:rPr>
            </w:pPr>
            <w:r w:rsidRPr="00F303BF">
              <w:rPr>
                <w:lang w:val="en-US" w:eastAsia="en-US"/>
              </w:rPr>
              <w:t>695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0408B5" w14:textId="77777777" w:rsidR="00F303BF" w:rsidRPr="006B273B" w:rsidRDefault="00F303BF" w:rsidP="00F303BF">
            <w:pPr>
              <w:pStyle w:val="tabletext"/>
              <w:rPr>
                <w:lang w:val="en-US" w:eastAsia="en-US"/>
              </w:rPr>
            </w:pPr>
            <w:r w:rsidRPr="006B273B">
              <w:rPr>
                <w:lang w:val="en-US" w:eastAsia="en-US"/>
              </w:rPr>
              <w:t>Subsection 446C(7)</w:t>
            </w:r>
          </w:p>
        </w:tc>
      </w:tr>
      <w:tr w:rsidR="00F303BF" w:rsidRPr="00F303BF" w14:paraId="5AC6605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6F700D3" w14:textId="77777777" w:rsidR="00F303BF" w:rsidRPr="00F303BF" w:rsidRDefault="00F303BF" w:rsidP="00F303BF">
            <w:pPr>
              <w:pStyle w:val="tabletext"/>
              <w:rPr>
                <w:lang w:val="en-US" w:eastAsia="en-US"/>
              </w:rPr>
            </w:pPr>
            <w:r w:rsidRPr="00F303BF">
              <w:rPr>
                <w:lang w:val="en-US" w:eastAsia="en-US"/>
              </w:rPr>
              <w:t>696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CE79184" w14:textId="77777777" w:rsidR="00F303BF" w:rsidRPr="006B273B" w:rsidRDefault="00F303BF" w:rsidP="00F303BF">
            <w:pPr>
              <w:pStyle w:val="tabletext"/>
              <w:rPr>
                <w:lang w:val="en-US" w:eastAsia="en-US"/>
              </w:rPr>
            </w:pPr>
            <w:r w:rsidRPr="006B273B">
              <w:rPr>
                <w:lang w:val="en-US" w:eastAsia="en-US"/>
              </w:rPr>
              <w:t>Subsection 449CA(4A)</w:t>
            </w:r>
          </w:p>
        </w:tc>
      </w:tr>
      <w:tr w:rsidR="00F303BF" w:rsidRPr="00F303BF" w14:paraId="70F416E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76A353C" w14:textId="77777777" w:rsidR="00F303BF" w:rsidRPr="00F303BF" w:rsidRDefault="00F303BF" w:rsidP="00F303BF">
            <w:pPr>
              <w:pStyle w:val="tabletext"/>
              <w:rPr>
                <w:lang w:val="en-US" w:eastAsia="en-US"/>
              </w:rPr>
            </w:pPr>
            <w:r w:rsidRPr="00F303BF">
              <w:rPr>
                <w:lang w:val="en-US" w:eastAsia="en-US"/>
              </w:rPr>
              <w:t>697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088F38D" w14:textId="77777777" w:rsidR="00F303BF" w:rsidRPr="006B273B" w:rsidRDefault="00F303BF" w:rsidP="00F303BF">
            <w:pPr>
              <w:pStyle w:val="tabletext"/>
              <w:rPr>
                <w:lang w:val="en-US" w:eastAsia="en-US"/>
              </w:rPr>
            </w:pPr>
            <w:r w:rsidRPr="006B273B">
              <w:rPr>
                <w:lang w:val="en-US" w:eastAsia="en-US"/>
              </w:rPr>
              <w:t>Subsection 449CA(6A)</w:t>
            </w:r>
          </w:p>
        </w:tc>
      </w:tr>
      <w:tr w:rsidR="00F303BF" w:rsidRPr="00F303BF" w14:paraId="260A911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F1F7BF9" w14:textId="77777777" w:rsidR="00F303BF" w:rsidRPr="00F303BF" w:rsidRDefault="00F303BF" w:rsidP="00F303BF">
            <w:pPr>
              <w:pStyle w:val="tabletext"/>
              <w:rPr>
                <w:lang w:val="en-US" w:eastAsia="en-US"/>
              </w:rPr>
            </w:pPr>
            <w:r w:rsidRPr="00F303BF">
              <w:rPr>
                <w:lang w:val="en-US" w:eastAsia="en-US"/>
              </w:rPr>
              <w:t>699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E3FA6A" w14:textId="77777777" w:rsidR="00F303BF" w:rsidRPr="006B273B" w:rsidRDefault="00F303BF" w:rsidP="00F303BF">
            <w:pPr>
              <w:pStyle w:val="tabletext"/>
              <w:rPr>
                <w:lang w:val="en-US" w:eastAsia="en-US"/>
              </w:rPr>
            </w:pPr>
            <w:r w:rsidRPr="006B273B">
              <w:rPr>
                <w:lang w:val="en-US" w:eastAsia="en-US"/>
              </w:rPr>
              <w:t>Subsection 450A(1)</w:t>
            </w:r>
          </w:p>
        </w:tc>
      </w:tr>
      <w:tr w:rsidR="00F303BF" w:rsidRPr="00F303BF" w14:paraId="4CFA22D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E6E1937" w14:textId="77777777" w:rsidR="00F303BF" w:rsidRPr="00F303BF" w:rsidRDefault="00F303BF" w:rsidP="00F303BF">
            <w:pPr>
              <w:pStyle w:val="tabletext"/>
              <w:rPr>
                <w:lang w:val="en-US" w:eastAsia="en-US"/>
              </w:rPr>
            </w:pPr>
            <w:r w:rsidRPr="00F303BF">
              <w:rPr>
                <w:lang w:val="en-US" w:eastAsia="en-US"/>
              </w:rPr>
              <w:t>700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0CA53B5" w14:textId="77777777" w:rsidR="00F303BF" w:rsidRPr="006B273B" w:rsidRDefault="00F303BF" w:rsidP="00F303BF">
            <w:pPr>
              <w:pStyle w:val="tabletext"/>
              <w:rPr>
                <w:lang w:val="en-US" w:eastAsia="en-US"/>
              </w:rPr>
            </w:pPr>
            <w:r w:rsidRPr="006B273B">
              <w:rPr>
                <w:lang w:val="en-US" w:eastAsia="en-US"/>
              </w:rPr>
              <w:t>Section 450B</w:t>
            </w:r>
          </w:p>
        </w:tc>
      </w:tr>
      <w:tr w:rsidR="00F303BF" w:rsidRPr="00F303BF" w14:paraId="20C004A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3177503" w14:textId="77777777" w:rsidR="00F303BF" w:rsidRPr="00F303BF" w:rsidRDefault="00F303BF" w:rsidP="00F303BF">
            <w:pPr>
              <w:pStyle w:val="tabletext"/>
              <w:rPr>
                <w:lang w:val="en-US" w:eastAsia="en-US"/>
              </w:rPr>
            </w:pPr>
            <w:r w:rsidRPr="00F303BF">
              <w:rPr>
                <w:lang w:val="en-US" w:eastAsia="en-US"/>
              </w:rPr>
              <w:t>702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5F0C4F0" w14:textId="77777777" w:rsidR="00F303BF" w:rsidRPr="006B273B" w:rsidRDefault="00F303BF" w:rsidP="00F303BF">
            <w:pPr>
              <w:pStyle w:val="tabletext"/>
              <w:rPr>
                <w:lang w:val="en-US" w:eastAsia="en-US"/>
              </w:rPr>
            </w:pPr>
            <w:r w:rsidRPr="006B273B">
              <w:rPr>
                <w:lang w:val="en-US" w:eastAsia="en-US"/>
              </w:rPr>
              <w:t>Section 450B</w:t>
            </w:r>
          </w:p>
        </w:tc>
      </w:tr>
      <w:tr w:rsidR="00F303BF" w:rsidRPr="00F303BF" w14:paraId="66223BB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17F4FDE" w14:textId="77777777" w:rsidR="00F303BF" w:rsidRPr="00F303BF" w:rsidRDefault="00F303BF" w:rsidP="00F303BF">
            <w:pPr>
              <w:pStyle w:val="tabletext"/>
              <w:rPr>
                <w:lang w:val="en-US" w:eastAsia="en-US"/>
              </w:rPr>
            </w:pPr>
            <w:r w:rsidRPr="00F303BF">
              <w:rPr>
                <w:lang w:val="en-US" w:eastAsia="en-US"/>
              </w:rPr>
              <w:t>703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C2798EC" w14:textId="77777777" w:rsidR="00F303BF" w:rsidRPr="006B273B" w:rsidRDefault="00F303BF" w:rsidP="00F303BF">
            <w:pPr>
              <w:pStyle w:val="tabletext"/>
              <w:rPr>
                <w:lang w:val="en-US" w:eastAsia="en-US"/>
              </w:rPr>
            </w:pPr>
            <w:r w:rsidRPr="006B273B">
              <w:rPr>
                <w:lang w:val="en-US" w:eastAsia="en-US"/>
              </w:rPr>
              <w:t>Section 450C</w:t>
            </w:r>
          </w:p>
        </w:tc>
      </w:tr>
      <w:tr w:rsidR="00F303BF" w:rsidRPr="00F303BF" w14:paraId="4B1E634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5A1112" w14:textId="77777777" w:rsidR="00F303BF" w:rsidRPr="00F303BF" w:rsidRDefault="00F303BF" w:rsidP="00F303BF">
            <w:pPr>
              <w:pStyle w:val="tabletext"/>
              <w:rPr>
                <w:lang w:val="en-US" w:eastAsia="en-US"/>
              </w:rPr>
            </w:pPr>
            <w:r w:rsidRPr="00F303BF">
              <w:rPr>
                <w:lang w:val="en-US" w:eastAsia="en-US"/>
              </w:rPr>
              <w:t>705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C4DAE23" w14:textId="77777777" w:rsidR="00F303BF" w:rsidRPr="006B273B" w:rsidRDefault="00F303BF" w:rsidP="00F303BF">
            <w:pPr>
              <w:pStyle w:val="tabletext"/>
              <w:rPr>
                <w:lang w:val="en-US" w:eastAsia="en-US"/>
              </w:rPr>
            </w:pPr>
            <w:r w:rsidRPr="006B273B">
              <w:rPr>
                <w:lang w:val="en-US" w:eastAsia="en-US"/>
              </w:rPr>
              <w:t>Section 450C</w:t>
            </w:r>
          </w:p>
        </w:tc>
      </w:tr>
      <w:tr w:rsidR="00F303BF" w:rsidRPr="00F303BF" w14:paraId="73C07C8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7D4AB6F" w14:textId="77777777" w:rsidR="00F303BF" w:rsidRPr="00F303BF" w:rsidRDefault="00F303BF" w:rsidP="00F303BF">
            <w:pPr>
              <w:pStyle w:val="tabletext"/>
              <w:rPr>
                <w:lang w:val="en-US" w:eastAsia="en-US"/>
              </w:rPr>
            </w:pPr>
            <w:r w:rsidRPr="00F303BF">
              <w:rPr>
                <w:lang w:val="en-US" w:eastAsia="en-US"/>
              </w:rPr>
              <w:t>706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4C1A414" w14:textId="77777777" w:rsidR="00F303BF" w:rsidRPr="006B273B" w:rsidRDefault="00F303BF" w:rsidP="00F303BF">
            <w:pPr>
              <w:pStyle w:val="tabletext"/>
              <w:rPr>
                <w:lang w:val="en-US" w:eastAsia="en-US"/>
              </w:rPr>
            </w:pPr>
            <w:r w:rsidRPr="006B273B">
              <w:rPr>
                <w:lang w:val="en-US" w:eastAsia="en-US"/>
              </w:rPr>
              <w:t>Section 450D</w:t>
            </w:r>
          </w:p>
        </w:tc>
      </w:tr>
      <w:tr w:rsidR="00F303BF" w:rsidRPr="00F303BF" w14:paraId="46D5FEE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A769BD7" w14:textId="77777777" w:rsidR="00F303BF" w:rsidRPr="00F303BF" w:rsidRDefault="00F303BF" w:rsidP="00F303BF">
            <w:pPr>
              <w:pStyle w:val="tabletext"/>
              <w:rPr>
                <w:lang w:val="en-US" w:eastAsia="en-US"/>
              </w:rPr>
            </w:pPr>
            <w:r w:rsidRPr="00F303BF">
              <w:rPr>
                <w:lang w:val="en-US" w:eastAsia="en-US"/>
              </w:rPr>
              <w:t>708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3455B8C" w14:textId="77777777" w:rsidR="00F303BF" w:rsidRPr="006B273B" w:rsidRDefault="00F303BF" w:rsidP="00F303BF">
            <w:pPr>
              <w:pStyle w:val="tabletext"/>
              <w:rPr>
                <w:lang w:val="en-US" w:eastAsia="en-US"/>
              </w:rPr>
            </w:pPr>
            <w:r w:rsidRPr="006B273B">
              <w:rPr>
                <w:lang w:val="en-US" w:eastAsia="en-US"/>
              </w:rPr>
              <w:t>Section 450D</w:t>
            </w:r>
          </w:p>
        </w:tc>
      </w:tr>
      <w:tr w:rsidR="00F303BF" w:rsidRPr="00F303BF" w14:paraId="0FFD3FB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AA08CC2" w14:textId="77777777" w:rsidR="00F303BF" w:rsidRPr="00F303BF" w:rsidRDefault="00F303BF" w:rsidP="00F303BF">
            <w:pPr>
              <w:pStyle w:val="tabletext"/>
              <w:rPr>
                <w:lang w:val="en-US" w:eastAsia="en-US"/>
              </w:rPr>
            </w:pPr>
            <w:r w:rsidRPr="00F303BF">
              <w:rPr>
                <w:lang w:val="en-US" w:eastAsia="en-US"/>
              </w:rPr>
              <w:t>710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C44A1BB" w14:textId="77777777" w:rsidR="00F303BF" w:rsidRPr="006B273B" w:rsidRDefault="00F303BF" w:rsidP="00F303BF">
            <w:pPr>
              <w:pStyle w:val="tabletext"/>
              <w:rPr>
                <w:lang w:val="en-US" w:eastAsia="en-US"/>
              </w:rPr>
            </w:pPr>
            <w:r w:rsidRPr="006B273B">
              <w:rPr>
                <w:lang w:val="en-US" w:eastAsia="en-US"/>
              </w:rPr>
              <w:t>Subsection 461(2)</w:t>
            </w:r>
          </w:p>
        </w:tc>
      </w:tr>
      <w:tr w:rsidR="00F303BF" w:rsidRPr="00F303BF" w14:paraId="56232CC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1819BC9" w14:textId="77777777" w:rsidR="00F303BF" w:rsidRPr="00F303BF" w:rsidRDefault="00F303BF" w:rsidP="00F303BF">
            <w:pPr>
              <w:pStyle w:val="tabletext"/>
              <w:rPr>
                <w:lang w:val="en-US" w:eastAsia="en-US"/>
              </w:rPr>
            </w:pPr>
            <w:r w:rsidRPr="00F303BF">
              <w:rPr>
                <w:lang w:val="en-US" w:eastAsia="en-US"/>
              </w:rPr>
              <w:lastRenderedPageBreak/>
              <w:t>712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44214C1" w14:textId="77777777" w:rsidR="00F303BF" w:rsidRPr="006B273B" w:rsidRDefault="00F303BF" w:rsidP="00F303BF">
            <w:pPr>
              <w:pStyle w:val="tabletext"/>
              <w:rPr>
                <w:lang w:val="en-US" w:eastAsia="en-US"/>
              </w:rPr>
            </w:pPr>
            <w:r w:rsidRPr="006B273B">
              <w:rPr>
                <w:lang w:val="en-US" w:eastAsia="en-US"/>
              </w:rPr>
              <w:t>Subsection 465A(1)</w:t>
            </w:r>
          </w:p>
        </w:tc>
      </w:tr>
      <w:tr w:rsidR="00F303BF" w:rsidRPr="00F303BF" w14:paraId="6E7204E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E7A56A4" w14:textId="77777777" w:rsidR="00F303BF" w:rsidRPr="00F303BF" w:rsidRDefault="00F303BF" w:rsidP="00F303BF">
            <w:pPr>
              <w:pStyle w:val="tabletext"/>
              <w:rPr>
                <w:lang w:val="en-US" w:eastAsia="en-US"/>
              </w:rPr>
            </w:pPr>
            <w:r w:rsidRPr="00F303BF">
              <w:rPr>
                <w:lang w:val="en-US" w:eastAsia="en-US"/>
              </w:rPr>
              <w:t>717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65AA4D3" w14:textId="77777777" w:rsidR="00F303BF" w:rsidRPr="006B273B" w:rsidRDefault="00F303BF" w:rsidP="00F303BF">
            <w:pPr>
              <w:pStyle w:val="tabletext"/>
              <w:rPr>
                <w:lang w:val="en-US" w:eastAsia="en-US"/>
              </w:rPr>
            </w:pPr>
            <w:r w:rsidRPr="006B273B">
              <w:rPr>
                <w:lang w:val="en-US" w:eastAsia="en-US"/>
              </w:rPr>
              <w:t>Subsection 470(3)</w:t>
            </w:r>
          </w:p>
        </w:tc>
      </w:tr>
      <w:tr w:rsidR="00F303BF" w:rsidRPr="00F303BF" w14:paraId="7EEB257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733BC82" w14:textId="77777777" w:rsidR="00F303BF" w:rsidRPr="00F303BF" w:rsidRDefault="00F303BF" w:rsidP="00F303BF">
            <w:pPr>
              <w:pStyle w:val="tabletext"/>
              <w:rPr>
                <w:lang w:val="en-US" w:eastAsia="en-US"/>
              </w:rPr>
            </w:pPr>
            <w:r w:rsidRPr="00F303BF">
              <w:rPr>
                <w:lang w:val="en-US" w:eastAsia="en-US"/>
              </w:rPr>
              <w:t>719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6D39AED" w14:textId="77777777" w:rsidR="00F303BF" w:rsidRPr="006B273B" w:rsidRDefault="00F303BF" w:rsidP="00F303BF">
            <w:pPr>
              <w:pStyle w:val="tabletext"/>
              <w:rPr>
                <w:lang w:val="en-US" w:eastAsia="en-US"/>
              </w:rPr>
            </w:pPr>
            <w:r w:rsidRPr="006B273B">
              <w:rPr>
                <w:lang w:val="en-US" w:eastAsia="en-US"/>
              </w:rPr>
              <w:t>Subsection 474(3)</w:t>
            </w:r>
          </w:p>
        </w:tc>
      </w:tr>
      <w:tr w:rsidR="00F303BF" w:rsidRPr="00F303BF" w14:paraId="7C06883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E08A531" w14:textId="77777777" w:rsidR="00F303BF" w:rsidRPr="00F303BF" w:rsidRDefault="00F303BF" w:rsidP="00F303BF">
            <w:pPr>
              <w:pStyle w:val="tabletext"/>
              <w:rPr>
                <w:lang w:val="en-US" w:eastAsia="en-US"/>
              </w:rPr>
            </w:pPr>
            <w:r w:rsidRPr="00F303BF">
              <w:rPr>
                <w:lang w:val="en-US" w:eastAsia="en-US"/>
              </w:rPr>
              <w:t>722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CB5F861" w14:textId="77777777" w:rsidR="00F303BF" w:rsidRPr="006B273B" w:rsidRDefault="00F303BF" w:rsidP="00F303BF">
            <w:pPr>
              <w:pStyle w:val="tabletext"/>
              <w:rPr>
                <w:lang w:val="en-US" w:eastAsia="en-US"/>
              </w:rPr>
            </w:pPr>
            <w:r w:rsidRPr="006B273B">
              <w:rPr>
                <w:lang w:val="en-US" w:eastAsia="en-US"/>
              </w:rPr>
              <w:t>Subsection 481(5)</w:t>
            </w:r>
          </w:p>
        </w:tc>
      </w:tr>
      <w:tr w:rsidR="00F303BF" w:rsidRPr="00F303BF" w14:paraId="751EF65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A3894F" w14:textId="77777777" w:rsidR="00F303BF" w:rsidRPr="00F303BF" w:rsidRDefault="00F303BF" w:rsidP="00F303BF">
            <w:pPr>
              <w:pStyle w:val="tabletext"/>
              <w:rPr>
                <w:lang w:val="en-US" w:eastAsia="en-US"/>
              </w:rPr>
            </w:pPr>
            <w:r w:rsidRPr="00F303BF">
              <w:rPr>
                <w:lang w:val="en-US" w:eastAsia="en-US"/>
              </w:rPr>
              <w:t>725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9D75685" w14:textId="77777777" w:rsidR="00F303BF" w:rsidRPr="006B273B" w:rsidRDefault="00F303BF" w:rsidP="00F303BF">
            <w:pPr>
              <w:pStyle w:val="tabletext"/>
              <w:rPr>
                <w:lang w:val="en-US" w:eastAsia="en-US"/>
              </w:rPr>
            </w:pPr>
            <w:r w:rsidRPr="006B273B">
              <w:rPr>
                <w:lang w:val="en-US" w:eastAsia="en-US"/>
              </w:rPr>
              <w:t>Subsection 482(5)</w:t>
            </w:r>
          </w:p>
        </w:tc>
      </w:tr>
      <w:tr w:rsidR="00F303BF" w:rsidRPr="00F303BF" w14:paraId="17AC5F7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FDD797E" w14:textId="77777777" w:rsidR="00F303BF" w:rsidRPr="00F303BF" w:rsidRDefault="00F303BF" w:rsidP="00F303BF">
            <w:pPr>
              <w:pStyle w:val="tabletext"/>
              <w:rPr>
                <w:lang w:val="en-US" w:eastAsia="en-US"/>
              </w:rPr>
            </w:pPr>
            <w:r w:rsidRPr="00F303BF">
              <w:rPr>
                <w:lang w:val="en-US" w:eastAsia="en-US"/>
              </w:rPr>
              <w:t>728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E8AA36D" w14:textId="77777777" w:rsidR="00F303BF" w:rsidRPr="006B273B" w:rsidRDefault="00F303BF" w:rsidP="00F303BF">
            <w:pPr>
              <w:pStyle w:val="tabletext"/>
              <w:rPr>
                <w:lang w:val="en-US" w:eastAsia="en-US"/>
              </w:rPr>
            </w:pPr>
            <w:r w:rsidRPr="006B273B">
              <w:rPr>
                <w:lang w:val="en-US" w:eastAsia="en-US"/>
              </w:rPr>
              <w:t>Paragraph 489EA(6)(a)</w:t>
            </w:r>
          </w:p>
        </w:tc>
      </w:tr>
      <w:tr w:rsidR="00F303BF" w:rsidRPr="00F303BF" w14:paraId="782998E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AD75463" w14:textId="77777777" w:rsidR="00F303BF" w:rsidRPr="00F303BF" w:rsidRDefault="00F303BF" w:rsidP="00F303BF">
            <w:pPr>
              <w:pStyle w:val="tabletext"/>
              <w:rPr>
                <w:lang w:val="en-US" w:eastAsia="en-US"/>
              </w:rPr>
            </w:pPr>
            <w:r w:rsidRPr="00F303BF">
              <w:rPr>
                <w:lang w:val="en-US" w:eastAsia="en-US"/>
              </w:rPr>
              <w:t>729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1CD32FB" w14:textId="77777777" w:rsidR="00F303BF" w:rsidRPr="006B273B" w:rsidRDefault="00F303BF" w:rsidP="00F303BF">
            <w:pPr>
              <w:pStyle w:val="tabletext"/>
              <w:rPr>
                <w:lang w:val="en-US" w:eastAsia="en-US"/>
              </w:rPr>
            </w:pPr>
            <w:r w:rsidRPr="006B273B">
              <w:rPr>
                <w:lang w:val="en-US" w:eastAsia="en-US"/>
              </w:rPr>
              <w:t>Subsection 496(7)</w:t>
            </w:r>
          </w:p>
        </w:tc>
      </w:tr>
      <w:tr w:rsidR="00F303BF" w:rsidRPr="00F303BF" w14:paraId="508A3AE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EDCC2D1" w14:textId="77777777" w:rsidR="00F303BF" w:rsidRPr="00F303BF" w:rsidRDefault="00F303BF" w:rsidP="00F303BF">
            <w:pPr>
              <w:pStyle w:val="tabletext"/>
              <w:rPr>
                <w:lang w:val="en-US" w:eastAsia="en-US"/>
              </w:rPr>
            </w:pPr>
            <w:r w:rsidRPr="00F303BF">
              <w:rPr>
                <w:lang w:val="en-US" w:eastAsia="en-US"/>
              </w:rPr>
              <w:t>731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262ABC65" w14:textId="77777777" w:rsidR="00F303BF" w:rsidRPr="006B273B" w:rsidRDefault="00F303BF" w:rsidP="00F303BF">
            <w:pPr>
              <w:pStyle w:val="tabletext"/>
              <w:rPr>
                <w:lang w:val="en-US" w:eastAsia="en-US"/>
              </w:rPr>
            </w:pPr>
            <w:r w:rsidRPr="006B273B">
              <w:rPr>
                <w:lang w:val="en-US" w:eastAsia="en-US"/>
              </w:rPr>
              <w:t>Subsection 497(1)</w:t>
            </w:r>
          </w:p>
        </w:tc>
      </w:tr>
      <w:tr w:rsidR="00F303BF" w:rsidRPr="00F303BF" w14:paraId="4161E15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202329D" w14:textId="77777777" w:rsidR="00F303BF" w:rsidRPr="00F303BF" w:rsidRDefault="00F303BF" w:rsidP="00F303BF">
            <w:pPr>
              <w:pStyle w:val="tabletext"/>
              <w:rPr>
                <w:lang w:val="en-US" w:eastAsia="en-US"/>
              </w:rPr>
            </w:pPr>
            <w:r w:rsidRPr="00F303BF">
              <w:rPr>
                <w:lang w:val="en-US" w:eastAsia="en-US"/>
              </w:rPr>
              <w:t>732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95C9F8F" w14:textId="77777777" w:rsidR="00F303BF" w:rsidRPr="006B273B" w:rsidRDefault="00F303BF" w:rsidP="00F303BF">
            <w:pPr>
              <w:pStyle w:val="tabletext"/>
              <w:rPr>
                <w:lang w:val="en-US" w:eastAsia="en-US"/>
              </w:rPr>
            </w:pPr>
            <w:r w:rsidRPr="006B273B">
              <w:rPr>
                <w:lang w:val="en-US" w:eastAsia="en-US"/>
              </w:rPr>
              <w:t>Subsection 497(6)</w:t>
            </w:r>
          </w:p>
        </w:tc>
      </w:tr>
      <w:tr w:rsidR="00F303BF" w:rsidRPr="00F303BF" w14:paraId="722A016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30F2092" w14:textId="77777777" w:rsidR="00F303BF" w:rsidRPr="00F303BF" w:rsidRDefault="00F303BF" w:rsidP="00F303BF">
            <w:pPr>
              <w:pStyle w:val="tabletext"/>
              <w:rPr>
                <w:lang w:val="en-US" w:eastAsia="en-US"/>
              </w:rPr>
            </w:pPr>
            <w:r w:rsidRPr="00F303BF">
              <w:rPr>
                <w:lang w:val="en-US" w:eastAsia="en-US"/>
              </w:rPr>
              <w:t>734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66169F0" w14:textId="77777777" w:rsidR="00F303BF" w:rsidRPr="006B273B" w:rsidRDefault="00F303BF" w:rsidP="00F303BF">
            <w:pPr>
              <w:pStyle w:val="tabletext"/>
              <w:rPr>
                <w:lang w:val="en-US" w:eastAsia="en-US"/>
              </w:rPr>
            </w:pPr>
            <w:r w:rsidRPr="006B273B">
              <w:rPr>
                <w:lang w:val="en-US" w:eastAsia="en-US"/>
              </w:rPr>
              <w:t>Subsection 506(1B)</w:t>
            </w:r>
          </w:p>
        </w:tc>
      </w:tr>
      <w:tr w:rsidR="00F303BF" w:rsidRPr="00F303BF" w14:paraId="6A49208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085288E" w14:textId="77777777" w:rsidR="00F303BF" w:rsidRPr="00F303BF" w:rsidRDefault="00F303BF" w:rsidP="00F303BF">
            <w:pPr>
              <w:pStyle w:val="tabletext"/>
              <w:rPr>
                <w:lang w:val="en-US" w:eastAsia="en-US"/>
              </w:rPr>
            </w:pPr>
            <w:r w:rsidRPr="00F303BF">
              <w:rPr>
                <w:lang w:val="en-US" w:eastAsia="en-US"/>
              </w:rPr>
              <w:t>735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F71C2C1" w14:textId="77777777" w:rsidR="00F303BF" w:rsidRPr="006B273B" w:rsidRDefault="00F303BF" w:rsidP="00F303BF">
            <w:pPr>
              <w:pStyle w:val="tabletext"/>
              <w:rPr>
                <w:lang w:val="en-US" w:eastAsia="en-US"/>
              </w:rPr>
            </w:pPr>
            <w:r w:rsidRPr="006B273B">
              <w:rPr>
                <w:lang w:val="en-US" w:eastAsia="en-US"/>
              </w:rPr>
              <w:t>Subsection 506A(3)</w:t>
            </w:r>
          </w:p>
        </w:tc>
      </w:tr>
      <w:tr w:rsidR="00F303BF" w:rsidRPr="00F303BF" w14:paraId="63C6D66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272DB81" w14:textId="77777777" w:rsidR="00F303BF" w:rsidRPr="00F303BF" w:rsidRDefault="00F303BF" w:rsidP="00F303BF">
            <w:pPr>
              <w:pStyle w:val="tabletext"/>
              <w:rPr>
                <w:lang w:val="en-US" w:eastAsia="en-US"/>
              </w:rPr>
            </w:pPr>
            <w:r w:rsidRPr="00F303BF">
              <w:rPr>
                <w:lang w:val="en-US" w:eastAsia="en-US"/>
              </w:rPr>
              <w:t>736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B5B9743" w14:textId="77777777" w:rsidR="00F303BF" w:rsidRPr="006B273B" w:rsidRDefault="00F303BF" w:rsidP="00F303BF">
            <w:pPr>
              <w:pStyle w:val="tabletext"/>
              <w:rPr>
                <w:lang w:val="en-US" w:eastAsia="en-US"/>
              </w:rPr>
            </w:pPr>
            <w:r w:rsidRPr="006B273B">
              <w:rPr>
                <w:lang w:val="en-US" w:eastAsia="en-US"/>
              </w:rPr>
              <w:t>Subsection 506A(6)</w:t>
            </w:r>
          </w:p>
        </w:tc>
      </w:tr>
      <w:tr w:rsidR="00F303BF" w:rsidRPr="00F303BF" w14:paraId="47BE065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E1C314A" w14:textId="77777777" w:rsidR="00F303BF" w:rsidRPr="00F303BF" w:rsidRDefault="00F303BF" w:rsidP="00F303BF">
            <w:pPr>
              <w:pStyle w:val="tabletext"/>
              <w:rPr>
                <w:lang w:val="en-US" w:eastAsia="en-US"/>
              </w:rPr>
            </w:pPr>
            <w:r w:rsidRPr="00F303BF">
              <w:rPr>
                <w:lang w:val="en-US" w:eastAsia="en-US"/>
              </w:rPr>
              <w:t>738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A9BD818" w14:textId="77777777" w:rsidR="00F303BF" w:rsidRPr="006B273B" w:rsidRDefault="00F303BF" w:rsidP="00F303BF">
            <w:pPr>
              <w:pStyle w:val="tabletext"/>
              <w:rPr>
                <w:lang w:val="en-US" w:eastAsia="en-US"/>
              </w:rPr>
            </w:pPr>
            <w:r w:rsidRPr="006B273B">
              <w:rPr>
                <w:lang w:val="en-US" w:eastAsia="en-US"/>
              </w:rPr>
              <w:t>Subsection 507(11)</w:t>
            </w:r>
          </w:p>
        </w:tc>
      </w:tr>
      <w:tr w:rsidR="00F303BF" w:rsidRPr="00F303BF" w14:paraId="6B97C39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006B1A4" w14:textId="77777777" w:rsidR="00F303BF" w:rsidRPr="00F303BF" w:rsidRDefault="00F303BF" w:rsidP="00F303BF">
            <w:pPr>
              <w:pStyle w:val="tabletext"/>
              <w:rPr>
                <w:lang w:val="en-US" w:eastAsia="en-US"/>
              </w:rPr>
            </w:pPr>
            <w:r w:rsidRPr="00F303BF">
              <w:rPr>
                <w:lang w:val="en-US" w:eastAsia="en-US"/>
              </w:rPr>
              <w:t>745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BD9BF95" w14:textId="77777777" w:rsidR="00F303BF" w:rsidRPr="006B273B" w:rsidRDefault="00F303BF" w:rsidP="00F303BF">
            <w:pPr>
              <w:pStyle w:val="tabletext"/>
              <w:rPr>
                <w:lang w:val="en-US" w:eastAsia="en-US"/>
              </w:rPr>
            </w:pPr>
            <w:r w:rsidRPr="006B273B">
              <w:rPr>
                <w:lang w:val="en-US" w:eastAsia="en-US"/>
              </w:rPr>
              <w:t>Subsection 509(3)</w:t>
            </w:r>
          </w:p>
        </w:tc>
      </w:tr>
      <w:tr w:rsidR="00F303BF" w:rsidRPr="00F303BF" w14:paraId="1999E34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838746B" w14:textId="77777777" w:rsidR="00F303BF" w:rsidRPr="00F303BF" w:rsidRDefault="00F303BF" w:rsidP="00F303BF">
            <w:pPr>
              <w:pStyle w:val="tabletext"/>
              <w:rPr>
                <w:lang w:val="en-US" w:eastAsia="en-US"/>
              </w:rPr>
            </w:pPr>
            <w:r w:rsidRPr="00F303BF">
              <w:rPr>
                <w:lang w:val="en-US" w:eastAsia="en-US"/>
              </w:rPr>
              <w:t>747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8D6F5A0" w14:textId="77777777" w:rsidR="00F303BF" w:rsidRPr="006B273B" w:rsidRDefault="00F303BF" w:rsidP="00F303BF">
            <w:pPr>
              <w:pStyle w:val="tabletext"/>
              <w:rPr>
                <w:lang w:val="en-US" w:eastAsia="en-US"/>
              </w:rPr>
            </w:pPr>
            <w:r w:rsidRPr="006B273B">
              <w:rPr>
                <w:lang w:val="en-US" w:eastAsia="en-US"/>
              </w:rPr>
              <w:t>Subsection 510(1A)</w:t>
            </w:r>
          </w:p>
        </w:tc>
      </w:tr>
      <w:tr w:rsidR="00F303BF" w:rsidRPr="00F303BF" w14:paraId="1614332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FB0E0B4" w14:textId="77777777" w:rsidR="00F303BF" w:rsidRPr="00F303BF" w:rsidRDefault="00F303BF" w:rsidP="00F303BF">
            <w:pPr>
              <w:pStyle w:val="tabletext"/>
              <w:rPr>
                <w:lang w:val="en-US" w:eastAsia="en-US"/>
              </w:rPr>
            </w:pPr>
            <w:r w:rsidRPr="00F303BF">
              <w:rPr>
                <w:lang w:val="en-US" w:eastAsia="en-US"/>
              </w:rPr>
              <w:t>749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FA91EEC" w14:textId="77777777" w:rsidR="00F303BF" w:rsidRPr="006B273B" w:rsidRDefault="00F303BF" w:rsidP="00F303BF">
            <w:pPr>
              <w:pStyle w:val="tabletext"/>
              <w:rPr>
                <w:lang w:val="en-US" w:eastAsia="en-US"/>
              </w:rPr>
            </w:pPr>
            <w:r w:rsidRPr="006B273B">
              <w:rPr>
                <w:lang w:val="en-US" w:eastAsia="en-US"/>
              </w:rPr>
              <w:t>Subsections 537(1) and (2)</w:t>
            </w:r>
          </w:p>
        </w:tc>
      </w:tr>
      <w:tr w:rsidR="00F303BF" w:rsidRPr="00F303BF" w14:paraId="63F64BC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FFB3CE8" w14:textId="77777777" w:rsidR="00F303BF" w:rsidRPr="00F303BF" w:rsidRDefault="00F303BF" w:rsidP="00F303BF">
            <w:pPr>
              <w:pStyle w:val="tabletext"/>
              <w:rPr>
                <w:lang w:val="en-US" w:eastAsia="en-US"/>
              </w:rPr>
            </w:pPr>
            <w:r w:rsidRPr="00F303BF">
              <w:rPr>
                <w:lang w:val="en-US" w:eastAsia="en-US"/>
              </w:rPr>
              <w:t>750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45C4CAD" w14:textId="77777777" w:rsidR="00F303BF" w:rsidRPr="006B273B" w:rsidRDefault="00F303BF" w:rsidP="00F303BF">
            <w:pPr>
              <w:pStyle w:val="tabletext"/>
              <w:rPr>
                <w:lang w:val="en-US" w:eastAsia="en-US"/>
              </w:rPr>
            </w:pPr>
            <w:r w:rsidRPr="006B273B">
              <w:rPr>
                <w:lang w:val="en-US" w:eastAsia="en-US"/>
              </w:rPr>
              <w:t>Section 537</w:t>
            </w:r>
          </w:p>
        </w:tc>
      </w:tr>
      <w:tr w:rsidR="00F303BF" w:rsidRPr="00F303BF" w14:paraId="6CEECB1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AC5332E" w14:textId="77777777" w:rsidR="00F303BF" w:rsidRPr="00F303BF" w:rsidRDefault="00F303BF" w:rsidP="00F303BF">
            <w:pPr>
              <w:pStyle w:val="tabletext"/>
              <w:rPr>
                <w:lang w:val="en-US" w:eastAsia="en-US"/>
              </w:rPr>
            </w:pPr>
            <w:r w:rsidRPr="00F303BF">
              <w:rPr>
                <w:lang w:val="en-US" w:eastAsia="en-US"/>
              </w:rPr>
              <w:t>753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A496684" w14:textId="77777777" w:rsidR="00F303BF" w:rsidRPr="006B273B" w:rsidRDefault="00F303BF" w:rsidP="00F303BF">
            <w:pPr>
              <w:pStyle w:val="tabletext"/>
              <w:rPr>
                <w:lang w:val="en-US" w:eastAsia="en-US"/>
              </w:rPr>
            </w:pPr>
            <w:r w:rsidRPr="006B273B">
              <w:rPr>
                <w:lang w:val="en-US" w:eastAsia="en-US"/>
              </w:rPr>
              <w:t>Subsection 568A(1)</w:t>
            </w:r>
          </w:p>
        </w:tc>
      </w:tr>
      <w:tr w:rsidR="00F303BF" w:rsidRPr="00F303BF" w14:paraId="7749962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FF1216C" w14:textId="77777777" w:rsidR="00F303BF" w:rsidRPr="00F303BF" w:rsidRDefault="00F303BF" w:rsidP="00F303BF">
            <w:pPr>
              <w:pStyle w:val="tabletext"/>
              <w:rPr>
                <w:lang w:val="en-US" w:eastAsia="en-US"/>
              </w:rPr>
            </w:pPr>
            <w:r w:rsidRPr="00F303BF">
              <w:rPr>
                <w:lang w:val="en-US" w:eastAsia="en-US"/>
              </w:rPr>
              <w:t>757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09BE269" w14:textId="77777777" w:rsidR="00F303BF" w:rsidRPr="006B273B" w:rsidRDefault="00F303BF" w:rsidP="00F303BF">
            <w:pPr>
              <w:pStyle w:val="tabletext"/>
              <w:rPr>
                <w:lang w:val="en-US" w:eastAsia="en-US"/>
              </w:rPr>
            </w:pPr>
            <w:r w:rsidRPr="006B273B">
              <w:rPr>
                <w:lang w:val="en-US" w:eastAsia="en-US"/>
              </w:rPr>
              <w:t>Subsection 573(1)</w:t>
            </w:r>
          </w:p>
        </w:tc>
      </w:tr>
      <w:tr w:rsidR="00F303BF" w:rsidRPr="00F303BF" w14:paraId="28AE41C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D1174D6" w14:textId="77777777" w:rsidR="00F303BF" w:rsidRPr="00F303BF" w:rsidRDefault="00F303BF" w:rsidP="00F303BF">
            <w:pPr>
              <w:pStyle w:val="tabletext"/>
              <w:rPr>
                <w:lang w:val="en-US" w:eastAsia="en-US"/>
              </w:rPr>
            </w:pPr>
            <w:r w:rsidRPr="00F303BF">
              <w:rPr>
                <w:lang w:val="en-US" w:eastAsia="en-US"/>
              </w:rPr>
              <w:t>758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1BC1CEC" w14:textId="77777777" w:rsidR="00F303BF" w:rsidRPr="006B273B" w:rsidRDefault="00F303BF" w:rsidP="00F303BF">
            <w:pPr>
              <w:pStyle w:val="tabletext"/>
              <w:rPr>
                <w:lang w:val="en-US" w:eastAsia="en-US"/>
              </w:rPr>
            </w:pPr>
            <w:r w:rsidRPr="006B273B">
              <w:rPr>
                <w:lang w:val="en-US" w:eastAsia="en-US"/>
              </w:rPr>
              <w:t>Subsection 573(2)</w:t>
            </w:r>
          </w:p>
        </w:tc>
      </w:tr>
      <w:tr w:rsidR="00F303BF" w:rsidRPr="00F303BF" w14:paraId="098A325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01E6A67" w14:textId="77777777" w:rsidR="00F303BF" w:rsidRPr="00F303BF" w:rsidRDefault="00F303BF" w:rsidP="00F303BF">
            <w:pPr>
              <w:pStyle w:val="tabletext"/>
              <w:rPr>
                <w:lang w:val="en-US" w:eastAsia="en-US"/>
              </w:rPr>
            </w:pPr>
            <w:r w:rsidRPr="00F303BF">
              <w:rPr>
                <w:lang w:val="en-US" w:eastAsia="en-US"/>
              </w:rPr>
              <w:t>760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9E4CC9A" w14:textId="77777777" w:rsidR="00F303BF" w:rsidRPr="006B273B" w:rsidRDefault="00F303BF" w:rsidP="00F303BF">
            <w:pPr>
              <w:pStyle w:val="tabletext"/>
              <w:rPr>
                <w:lang w:val="en-US" w:eastAsia="en-US"/>
              </w:rPr>
            </w:pPr>
            <w:r w:rsidRPr="006B273B">
              <w:rPr>
                <w:lang w:val="en-US" w:eastAsia="en-US"/>
              </w:rPr>
              <w:t>Subsection 579A(3)</w:t>
            </w:r>
          </w:p>
        </w:tc>
      </w:tr>
      <w:tr w:rsidR="00F303BF" w:rsidRPr="00F303BF" w14:paraId="5274F23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5B94FBB" w14:textId="77777777" w:rsidR="00F303BF" w:rsidRPr="00F303BF" w:rsidRDefault="00F303BF" w:rsidP="00F303BF">
            <w:pPr>
              <w:pStyle w:val="tabletext"/>
              <w:rPr>
                <w:lang w:val="en-US" w:eastAsia="en-US"/>
              </w:rPr>
            </w:pPr>
            <w:r w:rsidRPr="00F303BF">
              <w:rPr>
                <w:lang w:val="en-US" w:eastAsia="en-US"/>
              </w:rPr>
              <w:t>762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134678B" w14:textId="77777777" w:rsidR="00F303BF" w:rsidRPr="006B273B" w:rsidRDefault="00F303BF" w:rsidP="00F303BF">
            <w:pPr>
              <w:pStyle w:val="tabletext"/>
              <w:rPr>
                <w:lang w:val="en-US" w:eastAsia="en-US"/>
              </w:rPr>
            </w:pPr>
            <w:r w:rsidRPr="006B273B">
              <w:rPr>
                <w:lang w:val="en-US" w:eastAsia="en-US"/>
              </w:rPr>
              <w:t>Subsection 579B(3)</w:t>
            </w:r>
          </w:p>
        </w:tc>
      </w:tr>
      <w:tr w:rsidR="00F303BF" w:rsidRPr="00F303BF" w14:paraId="20402CA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B7D4D6C" w14:textId="77777777" w:rsidR="00F303BF" w:rsidRPr="00F303BF" w:rsidRDefault="00F303BF" w:rsidP="00F303BF">
            <w:pPr>
              <w:pStyle w:val="tabletext"/>
              <w:rPr>
                <w:lang w:val="en-US" w:eastAsia="en-US"/>
              </w:rPr>
            </w:pPr>
            <w:r w:rsidRPr="00F303BF">
              <w:rPr>
                <w:lang w:val="en-US" w:eastAsia="en-US"/>
              </w:rPr>
              <w:t>764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1100FEF" w14:textId="77777777" w:rsidR="00F303BF" w:rsidRPr="006B273B" w:rsidRDefault="00F303BF" w:rsidP="00F303BF">
            <w:pPr>
              <w:pStyle w:val="tabletext"/>
              <w:rPr>
                <w:lang w:val="en-US" w:eastAsia="en-US"/>
              </w:rPr>
            </w:pPr>
            <w:r w:rsidRPr="006B273B">
              <w:rPr>
                <w:lang w:val="en-US" w:eastAsia="en-US"/>
              </w:rPr>
              <w:t>Subsection 579C(5)</w:t>
            </w:r>
          </w:p>
        </w:tc>
      </w:tr>
      <w:tr w:rsidR="00F303BF" w:rsidRPr="00F303BF" w14:paraId="0D57487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8FDBA90" w14:textId="77777777" w:rsidR="00F303BF" w:rsidRPr="00F303BF" w:rsidRDefault="00F303BF" w:rsidP="00F303BF">
            <w:pPr>
              <w:pStyle w:val="tabletext"/>
              <w:rPr>
                <w:lang w:val="en-US" w:eastAsia="en-US"/>
              </w:rPr>
            </w:pPr>
            <w:r w:rsidRPr="00F303BF">
              <w:rPr>
                <w:lang w:val="en-US" w:eastAsia="en-US"/>
              </w:rPr>
              <w:t>766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8EB137C" w14:textId="77777777" w:rsidR="00F303BF" w:rsidRPr="006B273B" w:rsidRDefault="00F303BF" w:rsidP="00F303BF">
            <w:pPr>
              <w:pStyle w:val="tabletext"/>
              <w:rPr>
                <w:lang w:val="en-US" w:eastAsia="en-US"/>
              </w:rPr>
            </w:pPr>
            <w:r w:rsidRPr="006B273B">
              <w:rPr>
                <w:lang w:val="en-US" w:eastAsia="en-US"/>
              </w:rPr>
              <w:t>Subsection 579C(6)</w:t>
            </w:r>
          </w:p>
        </w:tc>
      </w:tr>
      <w:tr w:rsidR="00F303BF" w:rsidRPr="00F303BF" w14:paraId="73B82CB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8842E49" w14:textId="77777777" w:rsidR="00F303BF" w:rsidRPr="00F303BF" w:rsidRDefault="00F303BF" w:rsidP="00F303BF">
            <w:pPr>
              <w:pStyle w:val="tabletext"/>
              <w:rPr>
                <w:lang w:val="en-US" w:eastAsia="en-US"/>
              </w:rPr>
            </w:pPr>
            <w:r w:rsidRPr="00F303BF">
              <w:rPr>
                <w:lang w:val="en-US" w:eastAsia="en-US"/>
              </w:rPr>
              <w:t>768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1F088AD" w14:textId="77777777" w:rsidR="00F303BF" w:rsidRPr="006B273B" w:rsidRDefault="00F303BF" w:rsidP="00F303BF">
            <w:pPr>
              <w:pStyle w:val="tabletext"/>
              <w:rPr>
                <w:lang w:val="en-US" w:eastAsia="en-US"/>
              </w:rPr>
            </w:pPr>
            <w:r w:rsidRPr="006B273B">
              <w:rPr>
                <w:lang w:val="en-US" w:eastAsia="en-US"/>
              </w:rPr>
              <w:t>Subsection 579C(7)</w:t>
            </w:r>
          </w:p>
        </w:tc>
      </w:tr>
      <w:tr w:rsidR="00F303BF" w:rsidRPr="00F303BF" w14:paraId="628F7FD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B992AF8" w14:textId="77777777" w:rsidR="00F303BF" w:rsidRPr="00F303BF" w:rsidRDefault="00F303BF" w:rsidP="00F303BF">
            <w:pPr>
              <w:pStyle w:val="tabletext"/>
              <w:rPr>
                <w:lang w:val="en-US" w:eastAsia="en-US"/>
              </w:rPr>
            </w:pPr>
            <w:r w:rsidRPr="00F303BF">
              <w:rPr>
                <w:lang w:val="en-US" w:eastAsia="en-US"/>
              </w:rPr>
              <w:t>769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E1263E8" w14:textId="492D9C8E" w:rsidR="00F303BF" w:rsidRPr="006B273B" w:rsidRDefault="00F303BF" w:rsidP="00F303BF">
            <w:pPr>
              <w:pStyle w:val="tabletext"/>
              <w:rPr>
                <w:lang w:val="en-US" w:eastAsia="en-US"/>
              </w:rPr>
            </w:pPr>
            <w:r w:rsidRPr="006B273B">
              <w:rPr>
                <w:lang w:val="en-US" w:eastAsia="en-US"/>
              </w:rPr>
              <w:t>Subsections 579E(13), 579F(3), 579G(8) and 579H(5) and</w:t>
            </w:r>
            <w:r w:rsidR="00F0710C">
              <w:rPr>
                <w:lang w:val="en-US" w:eastAsia="en-US"/>
              </w:rPr>
              <w:t xml:space="preserve"> (6)</w:t>
            </w:r>
          </w:p>
        </w:tc>
      </w:tr>
      <w:tr w:rsidR="00F303BF" w:rsidRPr="00F303BF" w14:paraId="235F639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6283CAA" w14:textId="77777777" w:rsidR="00F303BF" w:rsidRPr="00F303BF" w:rsidRDefault="00F303BF" w:rsidP="00F303BF">
            <w:pPr>
              <w:pStyle w:val="tabletext"/>
              <w:rPr>
                <w:lang w:val="en-US" w:eastAsia="en-US"/>
              </w:rPr>
            </w:pPr>
            <w:r w:rsidRPr="00F303BF">
              <w:rPr>
                <w:lang w:val="en-US" w:eastAsia="en-US"/>
              </w:rPr>
              <w:t>770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40AC0C44" w14:textId="77777777" w:rsidR="00F303BF" w:rsidRPr="006B273B" w:rsidRDefault="00F303BF" w:rsidP="00F303BF">
            <w:pPr>
              <w:pStyle w:val="tabletext"/>
              <w:rPr>
                <w:lang w:val="en-US" w:eastAsia="en-US"/>
              </w:rPr>
            </w:pPr>
            <w:r w:rsidRPr="006B273B">
              <w:rPr>
                <w:lang w:val="en-US" w:eastAsia="en-US"/>
              </w:rPr>
              <w:t>Paragraph 589(3)(a)</w:t>
            </w:r>
          </w:p>
        </w:tc>
      </w:tr>
      <w:tr w:rsidR="00F303BF" w:rsidRPr="00F303BF" w14:paraId="17179C6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D7D9937" w14:textId="77777777" w:rsidR="00F303BF" w:rsidRPr="00F303BF" w:rsidRDefault="00F303BF" w:rsidP="00F303BF">
            <w:pPr>
              <w:pStyle w:val="tabletext"/>
              <w:rPr>
                <w:lang w:val="en-US" w:eastAsia="en-US"/>
              </w:rPr>
            </w:pPr>
            <w:r w:rsidRPr="00F303BF">
              <w:rPr>
                <w:lang w:val="en-US" w:eastAsia="en-US"/>
              </w:rPr>
              <w:t>771</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66B8D46" w14:textId="77777777" w:rsidR="00F303BF" w:rsidRPr="006B273B" w:rsidRDefault="00F303BF" w:rsidP="00F303BF">
            <w:pPr>
              <w:pStyle w:val="tabletext"/>
              <w:rPr>
                <w:lang w:val="en-US" w:eastAsia="en-US"/>
              </w:rPr>
            </w:pPr>
            <w:r w:rsidRPr="006B273B">
              <w:rPr>
                <w:lang w:val="en-US" w:eastAsia="en-US"/>
              </w:rPr>
              <w:t>Paragraph 589(3)(a)</w:t>
            </w:r>
          </w:p>
        </w:tc>
      </w:tr>
      <w:tr w:rsidR="00947E92" w:rsidRPr="00F303BF" w14:paraId="5BC91FAF"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4A636" w14:textId="77777777" w:rsidR="00947E92" w:rsidRPr="006B273B" w:rsidRDefault="00947E92" w:rsidP="00F303BF">
            <w:pPr>
              <w:pStyle w:val="tabletext"/>
              <w:rPr>
                <w:b/>
                <w:lang w:val="en-US" w:eastAsia="en-US"/>
              </w:rPr>
            </w:pPr>
            <w:r w:rsidRPr="006B273B">
              <w:rPr>
                <w:b/>
                <w:lang w:val="en-US" w:eastAsia="en-US"/>
              </w:rPr>
              <w:t>Income Tax Assessment Act 1997</w:t>
            </w:r>
          </w:p>
        </w:tc>
      </w:tr>
      <w:tr w:rsidR="00F303BF" w:rsidRPr="00F303BF" w14:paraId="2DB90AE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DD17402" w14:textId="77777777" w:rsidR="00F303BF" w:rsidRPr="00F303BF" w:rsidRDefault="00F303BF" w:rsidP="00F303BF">
            <w:pPr>
              <w:pStyle w:val="tabletext"/>
              <w:rPr>
                <w:lang w:val="en-US" w:eastAsia="en-US"/>
              </w:rPr>
            </w:pPr>
            <w:r w:rsidRPr="00F303BF">
              <w:rPr>
                <w:lang w:val="en-US" w:eastAsia="en-US"/>
              </w:rPr>
              <w:t>777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75C5F18" w14:textId="77777777" w:rsidR="00F303BF" w:rsidRPr="006B273B" w:rsidRDefault="00F303BF" w:rsidP="00F303BF">
            <w:pPr>
              <w:pStyle w:val="tabletext"/>
              <w:rPr>
                <w:lang w:val="en-US" w:eastAsia="en-US"/>
              </w:rPr>
            </w:pPr>
            <w:r w:rsidRPr="006B273B">
              <w:rPr>
                <w:lang w:val="en-US" w:eastAsia="en-US"/>
              </w:rPr>
              <w:t>Subsection 30-229(1) (note 1)</w:t>
            </w:r>
          </w:p>
        </w:tc>
      </w:tr>
      <w:tr w:rsidR="00F303BF" w:rsidRPr="00F303BF" w14:paraId="7F74092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EE47BC4" w14:textId="77777777" w:rsidR="00F303BF" w:rsidRPr="00F303BF" w:rsidRDefault="00F303BF" w:rsidP="00F303BF">
            <w:pPr>
              <w:pStyle w:val="tabletext"/>
              <w:rPr>
                <w:lang w:val="en-US" w:eastAsia="en-US"/>
              </w:rPr>
            </w:pPr>
            <w:r w:rsidRPr="00F303BF">
              <w:rPr>
                <w:lang w:val="en-US" w:eastAsia="en-US"/>
              </w:rPr>
              <w:t>780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E6CCFFE" w14:textId="77777777" w:rsidR="00F303BF" w:rsidRPr="006B273B" w:rsidRDefault="00F303BF" w:rsidP="00F303BF">
            <w:pPr>
              <w:pStyle w:val="tabletext"/>
              <w:rPr>
                <w:lang w:val="en-US" w:eastAsia="en-US"/>
              </w:rPr>
            </w:pPr>
            <w:r w:rsidRPr="006B273B">
              <w:rPr>
                <w:lang w:val="en-US" w:eastAsia="en-US"/>
              </w:rPr>
              <w:t>Subsection 30-229(4)</w:t>
            </w:r>
          </w:p>
        </w:tc>
      </w:tr>
      <w:tr w:rsidR="00F303BF" w:rsidRPr="00F303BF" w14:paraId="77CC1F3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2191159C" w14:textId="77777777" w:rsidR="00F303BF" w:rsidRPr="00F303BF" w:rsidRDefault="00F303BF" w:rsidP="00F303BF">
            <w:pPr>
              <w:pStyle w:val="tabletext"/>
              <w:rPr>
                <w:lang w:val="en-US" w:eastAsia="en-US"/>
              </w:rPr>
            </w:pPr>
            <w:r w:rsidRPr="00F303BF">
              <w:rPr>
                <w:lang w:val="en-US" w:eastAsia="en-US"/>
              </w:rPr>
              <w:t>786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F6CABA" w14:textId="77777777" w:rsidR="00F303BF" w:rsidRPr="006B273B" w:rsidRDefault="00F303BF" w:rsidP="00F303BF">
            <w:pPr>
              <w:pStyle w:val="tabletext"/>
              <w:rPr>
                <w:lang w:val="en-US" w:eastAsia="en-US"/>
              </w:rPr>
            </w:pPr>
            <w:r w:rsidRPr="006B273B">
              <w:rPr>
                <w:lang w:val="en-US" w:eastAsia="en-US"/>
              </w:rPr>
              <w:t>Subsection 995-1(1)</w:t>
            </w:r>
          </w:p>
        </w:tc>
      </w:tr>
      <w:tr w:rsidR="00947E92" w:rsidRPr="00F303BF" w14:paraId="4E55A6F0"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0AFD1" w14:textId="77777777" w:rsidR="00947E92" w:rsidRPr="006B273B" w:rsidRDefault="00947E92" w:rsidP="00F303BF">
            <w:pPr>
              <w:pStyle w:val="tabletext"/>
              <w:rPr>
                <w:b/>
                <w:lang w:val="en-US" w:eastAsia="en-US"/>
              </w:rPr>
            </w:pPr>
            <w:r w:rsidRPr="006B273B">
              <w:rPr>
                <w:b/>
                <w:lang w:val="en-US" w:eastAsia="en-US"/>
              </w:rPr>
              <w:t>Credit Act</w:t>
            </w:r>
          </w:p>
        </w:tc>
      </w:tr>
      <w:tr w:rsidR="00F303BF" w:rsidRPr="00F303BF" w14:paraId="2DA374F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6F22000" w14:textId="77777777" w:rsidR="00F303BF" w:rsidRPr="00F303BF" w:rsidRDefault="00F303BF" w:rsidP="00F303BF">
            <w:pPr>
              <w:pStyle w:val="tabletext"/>
              <w:rPr>
                <w:lang w:val="en-US" w:eastAsia="en-US"/>
              </w:rPr>
            </w:pPr>
            <w:r w:rsidRPr="00F303BF">
              <w:rPr>
                <w:lang w:val="en-US" w:eastAsia="en-US"/>
              </w:rPr>
              <w:t>792</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1C27F88" w14:textId="77777777" w:rsidR="00F303BF" w:rsidRPr="006B273B" w:rsidRDefault="00F303BF" w:rsidP="00F303BF">
            <w:pPr>
              <w:pStyle w:val="tabletext"/>
              <w:rPr>
                <w:lang w:val="en-US" w:eastAsia="en-US"/>
              </w:rPr>
            </w:pPr>
            <w:r w:rsidRPr="006B273B">
              <w:rPr>
                <w:lang w:val="en-US" w:eastAsia="en-US"/>
              </w:rPr>
              <w:t>Subsection 71(1)</w:t>
            </w:r>
          </w:p>
        </w:tc>
      </w:tr>
      <w:tr w:rsidR="00F303BF" w:rsidRPr="00F303BF" w14:paraId="653F384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72CA615F" w14:textId="77777777" w:rsidR="00F303BF" w:rsidRPr="00F303BF" w:rsidRDefault="00F303BF" w:rsidP="00F303BF">
            <w:pPr>
              <w:pStyle w:val="tabletext"/>
              <w:rPr>
                <w:lang w:val="en-US" w:eastAsia="en-US"/>
              </w:rPr>
            </w:pPr>
            <w:r w:rsidRPr="00F303BF">
              <w:rPr>
                <w:lang w:val="en-US" w:eastAsia="en-US"/>
              </w:rPr>
              <w:t>793</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9066435" w14:textId="77777777" w:rsidR="00F303BF" w:rsidRPr="006B273B" w:rsidRDefault="00F303BF" w:rsidP="00F303BF">
            <w:pPr>
              <w:pStyle w:val="tabletext"/>
              <w:rPr>
                <w:lang w:val="en-US" w:eastAsia="en-US"/>
              </w:rPr>
            </w:pPr>
            <w:r w:rsidRPr="006B273B">
              <w:rPr>
                <w:lang w:val="en-US" w:eastAsia="en-US"/>
              </w:rPr>
              <w:t>Subsection 71(1)</w:t>
            </w:r>
          </w:p>
        </w:tc>
      </w:tr>
      <w:tr w:rsidR="00F303BF" w:rsidRPr="00F303BF" w14:paraId="35A4DB3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55E81F0" w14:textId="77777777" w:rsidR="00F303BF" w:rsidRPr="00F303BF" w:rsidRDefault="00F303BF" w:rsidP="00F303BF">
            <w:pPr>
              <w:pStyle w:val="tabletext"/>
              <w:rPr>
                <w:lang w:val="en-US" w:eastAsia="en-US"/>
              </w:rPr>
            </w:pPr>
            <w:r w:rsidRPr="00F303BF">
              <w:rPr>
                <w:lang w:val="en-US" w:eastAsia="en-US"/>
              </w:rPr>
              <w:t>794</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5ABA9FB" w14:textId="77777777" w:rsidR="00F303BF" w:rsidRPr="006B273B" w:rsidRDefault="00F303BF" w:rsidP="00F303BF">
            <w:pPr>
              <w:pStyle w:val="tabletext"/>
              <w:rPr>
                <w:lang w:val="en-US" w:eastAsia="en-US"/>
              </w:rPr>
            </w:pPr>
            <w:r w:rsidRPr="006B273B">
              <w:rPr>
                <w:lang w:val="en-US" w:eastAsia="en-US"/>
              </w:rPr>
              <w:t>Subsection 71(2)</w:t>
            </w:r>
          </w:p>
        </w:tc>
      </w:tr>
      <w:tr w:rsidR="00F303BF" w:rsidRPr="00F303BF" w14:paraId="2AF4C57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07A0547" w14:textId="77777777" w:rsidR="00F303BF" w:rsidRPr="00F303BF" w:rsidRDefault="00F303BF" w:rsidP="00F303BF">
            <w:pPr>
              <w:pStyle w:val="tabletext"/>
              <w:rPr>
                <w:lang w:val="en-US" w:eastAsia="en-US"/>
              </w:rPr>
            </w:pPr>
            <w:r w:rsidRPr="00F303BF">
              <w:rPr>
                <w:lang w:val="en-US" w:eastAsia="en-US"/>
              </w:rPr>
              <w:t>795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4292ECA" w14:textId="77777777" w:rsidR="00F303BF" w:rsidRPr="006B273B" w:rsidRDefault="00F303BF" w:rsidP="00F303BF">
            <w:pPr>
              <w:pStyle w:val="tabletext"/>
              <w:rPr>
                <w:lang w:val="en-US" w:eastAsia="en-US"/>
              </w:rPr>
            </w:pPr>
            <w:r w:rsidRPr="006B273B">
              <w:rPr>
                <w:lang w:val="en-US" w:eastAsia="en-US"/>
              </w:rPr>
              <w:t>Subsection 71(3) (at the end of the heading)</w:t>
            </w:r>
          </w:p>
        </w:tc>
      </w:tr>
      <w:tr w:rsidR="00F303BF" w:rsidRPr="00F303BF" w14:paraId="28EB232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0B49188A" w14:textId="77777777" w:rsidR="00F303BF" w:rsidRPr="00F303BF" w:rsidRDefault="00F303BF" w:rsidP="00F303BF">
            <w:pPr>
              <w:pStyle w:val="tabletext"/>
              <w:rPr>
                <w:lang w:val="en-US" w:eastAsia="en-US"/>
              </w:rPr>
            </w:pPr>
            <w:r w:rsidRPr="00F303BF">
              <w:rPr>
                <w:lang w:val="en-US" w:eastAsia="en-US"/>
              </w:rPr>
              <w:t>796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E3F2E98" w14:textId="77777777" w:rsidR="00F303BF" w:rsidRPr="006B273B" w:rsidRDefault="00F303BF" w:rsidP="00F303BF">
            <w:pPr>
              <w:pStyle w:val="tabletext"/>
              <w:rPr>
                <w:lang w:val="en-US" w:eastAsia="en-US"/>
              </w:rPr>
            </w:pPr>
            <w:r w:rsidRPr="006B273B">
              <w:rPr>
                <w:lang w:val="en-US" w:eastAsia="en-US"/>
              </w:rPr>
              <w:t>Subsection 71(4) (heading)</w:t>
            </w:r>
          </w:p>
        </w:tc>
      </w:tr>
      <w:tr w:rsidR="00F303BF" w:rsidRPr="00F303BF" w14:paraId="06918A6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FAFA5BE" w14:textId="77777777" w:rsidR="00F303BF" w:rsidRPr="00F303BF" w:rsidRDefault="00F303BF" w:rsidP="00F303BF">
            <w:pPr>
              <w:pStyle w:val="tabletext"/>
              <w:rPr>
                <w:lang w:val="en-US" w:eastAsia="en-US"/>
              </w:rPr>
            </w:pPr>
            <w:r w:rsidRPr="00F303BF">
              <w:rPr>
                <w:lang w:val="en-US" w:eastAsia="en-US"/>
              </w:rPr>
              <w:t>797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7076546B" w14:textId="77777777" w:rsidR="00F303BF" w:rsidRPr="006B273B" w:rsidRDefault="00F303BF" w:rsidP="00F303BF">
            <w:pPr>
              <w:pStyle w:val="tabletext"/>
              <w:rPr>
                <w:lang w:val="en-US" w:eastAsia="en-US"/>
              </w:rPr>
            </w:pPr>
            <w:r w:rsidRPr="006B273B">
              <w:rPr>
                <w:lang w:val="en-US" w:eastAsia="en-US"/>
              </w:rPr>
              <w:t>Subparagraph 71(4)(b)(</w:t>
            </w:r>
            <w:proofErr w:type="spellStart"/>
            <w:r w:rsidRPr="006B273B">
              <w:rPr>
                <w:lang w:val="en-US" w:eastAsia="en-US"/>
              </w:rPr>
              <w:t>i</w:t>
            </w:r>
            <w:proofErr w:type="spellEnd"/>
            <w:r w:rsidRPr="006B273B">
              <w:rPr>
                <w:lang w:val="en-US" w:eastAsia="en-US"/>
              </w:rPr>
              <w:t>)</w:t>
            </w:r>
          </w:p>
        </w:tc>
      </w:tr>
      <w:tr w:rsidR="00F303BF" w:rsidRPr="00F303BF" w14:paraId="4F6FF79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876684F" w14:textId="77777777" w:rsidR="00F303BF" w:rsidRPr="00F303BF" w:rsidRDefault="00F303BF" w:rsidP="00F303BF">
            <w:pPr>
              <w:pStyle w:val="tabletext"/>
              <w:rPr>
                <w:lang w:val="en-US" w:eastAsia="en-US"/>
              </w:rPr>
            </w:pPr>
            <w:r w:rsidRPr="00F303BF">
              <w:rPr>
                <w:lang w:val="en-US" w:eastAsia="en-US"/>
              </w:rPr>
              <w:t>799</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18C539A" w14:textId="77777777" w:rsidR="00F303BF" w:rsidRPr="006B273B" w:rsidRDefault="00F303BF" w:rsidP="00F303BF">
            <w:pPr>
              <w:pStyle w:val="tabletext"/>
              <w:rPr>
                <w:lang w:val="en-US" w:eastAsia="en-US"/>
              </w:rPr>
            </w:pPr>
            <w:r w:rsidRPr="006B273B">
              <w:rPr>
                <w:lang w:val="en-US" w:eastAsia="en-US"/>
              </w:rPr>
              <w:t>Subsection 71(5)</w:t>
            </w:r>
          </w:p>
        </w:tc>
      </w:tr>
      <w:tr w:rsidR="00F303BF" w:rsidRPr="00F303BF" w14:paraId="7B037C7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5792722" w14:textId="77777777" w:rsidR="00F303BF" w:rsidRPr="00F303BF" w:rsidRDefault="00F303BF" w:rsidP="00F303BF">
            <w:pPr>
              <w:pStyle w:val="tabletext"/>
              <w:rPr>
                <w:lang w:val="en-US" w:eastAsia="en-US"/>
              </w:rPr>
            </w:pPr>
            <w:r w:rsidRPr="00F303BF">
              <w:rPr>
                <w:lang w:val="en-US" w:eastAsia="en-US"/>
              </w:rPr>
              <w:t>805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63DEF254" w14:textId="77777777" w:rsidR="00F303BF" w:rsidRPr="006B273B" w:rsidRDefault="00F303BF" w:rsidP="00F303BF">
            <w:pPr>
              <w:pStyle w:val="tabletext"/>
              <w:rPr>
                <w:lang w:val="en-US" w:eastAsia="en-US"/>
              </w:rPr>
            </w:pPr>
            <w:r w:rsidRPr="006B273B">
              <w:rPr>
                <w:lang w:val="en-US" w:eastAsia="en-US"/>
              </w:rPr>
              <w:t>Sections 213 and 214</w:t>
            </w:r>
          </w:p>
        </w:tc>
      </w:tr>
      <w:tr w:rsidR="00947E92" w:rsidRPr="00F303BF" w14:paraId="265D08A7"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8A9F5" w14:textId="77777777" w:rsidR="00947E92" w:rsidRPr="006B273B" w:rsidRDefault="00947E92" w:rsidP="00F303BF">
            <w:pPr>
              <w:pStyle w:val="tabletext"/>
              <w:rPr>
                <w:b/>
                <w:lang w:val="en-US" w:eastAsia="en-US"/>
              </w:rPr>
            </w:pPr>
            <w:r w:rsidRPr="006B273B">
              <w:rPr>
                <w:b/>
                <w:lang w:val="en-US" w:eastAsia="en-US"/>
              </w:rPr>
              <w:t>SIS Act</w:t>
            </w:r>
          </w:p>
        </w:tc>
      </w:tr>
      <w:tr w:rsidR="00F303BF" w:rsidRPr="00F303BF" w14:paraId="32E96BB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A21B0AE" w14:textId="77777777" w:rsidR="00F303BF" w:rsidRPr="00F303BF" w:rsidRDefault="00F303BF" w:rsidP="00F303BF">
            <w:pPr>
              <w:pStyle w:val="tabletext"/>
              <w:rPr>
                <w:lang w:val="en-US" w:eastAsia="en-US"/>
              </w:rPr>
            </w:pPr>
            <w:r w:rsidRPr="00F303BF">
              <w:rPr>
                <w:lang w:val="en-US" w:eastAsia="en-US"/>
              </w:rPr>
              <w:t>820</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5983DE06" w14:textId="77777777" w:rsidR="00F303BF" w:rsidRPr="006B273B" w:rsidRDefault="00F303BF" w:rsidP="00F303BF">
            <w:pPr>
              <w:pStyle w:val="tabletext"/>
              <w:rPr>
                <w:lang w:val="en-US" w:eastAsia="en-US"/>
              </w:rPr>
            </w:pPr>
            <w:r w:rsidRPr="006B273B">
              <w:rPr>
                <w:lang w:val="en-US" w:eastAsia="en-US"/>
              </w:rPr>
              <w:t>Subsection 10(1)</w:t>
            </w:r>
          </w:p>
        </w:tc>
      </w:tr>
      <w:tr w:rsidR="00F303BF" w:rsidRPr="00F303BF" w14:paraId="7936F11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FD615A9" w14:textId="77777777" w:rsidR="00F303BF" w:rsidRPr="00F303BF" w:rsidRDefault="00F303BF" w:rsidP="00F303BF">
            <w:pPr>
              <w:pStyle w:val="tabletext"/>
              <w:rPr>
                <w:lang w:val="en-US" w:eastAsia="en-US"/>
              </w:rPr>
            </w:pPr>
            <w:r w:rsidRPr="00F303BF">
              <w:rPr>
                <w:lang w:val="en-US" w:eastAsia="en-US"/>
              </w:rPr>
              <w:lastRenderedPageBreak/>
              <w:t>825</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1309C77E" w14:textId="77777777" w:rsidR="00F303BF" w:rsidRPr="006B273B" w:rsidRDefault="00F303BF" w:rsidP="00F303BF">
            <w:pPr>
              <w:pStyle w:val="tabletext"/>
              <w:rPr>
                <w:lang w:val="en-US" w:eastAsia="en-US"/>
              </w:rPr>
            </w:pPr>
            <w:r w:rsidRPr="006B273B">
              <w:rPr>
                <w:lang w:val="en-US" w:eastAsia="en-US"/>
              </w:rPr>
              <w:t>Section 128H</w:t>
            </w:r>
          </w:p>
        </w:tc>
      </w:tr>
      <w:tr w:rsidR="00F303BF" w:rsidRPr="00F303BF" w14:paraId="4E46FA5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BCC8BD3" w14:textId="77777777" w:rsidR="00F303BF" w:rsidRPr="00F303BF" w:rsidRDefault="00F303BF" w:rsidP="00F303BF">
            <w:pPr>
              <w:pStyle w:val="tabletext"/>
              <w:rPr>
                <w:lang w:val="en-US" w:eastAsia="en-US"/>
              </w:rPr>
            </w:pPr>
            <w:r w:rsidRPr="00F303BF">
              <w:rPr>
                <w:lang w:val="en-US" w:eastAsia="en-US"/>
              </w:rPr>
              <w:t>826</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11CF09A" w14:textId="77777777" w:rsidR="00F303BF" w:rsidRPr="006B273B" w:rsidRDefault="00F303BF" w:rsidP="00F303BF">
            <w:pPr>
              <w:pStyle w:val="tabletext"/>
              <w:rPr>
                <w:lang w:val="en-US" w:eastAsia="en-US"/>
              </w:rPr>
            </w:pPr>
            <w:r w:rsidRPr="006B273B">
              <w:rPr>
                <w:lang w:val="en-US" w:eastAsia="en-US"/>
              </w:rPr>
              <w:t>Section 128H (note)</w:t>
            </w:r>
          </w:p>
        </w:tc>
      </w:tr>
      <w:tr w:rsidR="00F303BF" w:rsidRPr="00F303BF" w14:paraId="4F3874D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3FED6DE" w14:textId="77777777" w:rsidR="00F303BF" w:rsidRPr="00F303BF" w:rsidRDefault="00F303BF" w:rsidP="00F303BF">
            <w:pPr>
              <w:pStyle w:val="tabletext"/>
              <w:rPr>
                <w:lang w:val="en-US" w:eastAsia="en-US"/>
              </w:rPr>
            </w:pPr>
            <w:r w:rsidRPr="00F303BF">
              <w:rPr>
                <w:lang w:val="en-US" w:eastAsia="en-US"/>
              </w:rPr>
              <w:t>827</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3285B9DF" w14:textId="77777777" w:rsidR="00F303BF" w:rsidRPr="006B273B" w:rsidRDefault="00F303BF" w:rsidP="00F303BF">
            <w:pPr>
              <w:pStyle w:val="tabletext"/>
              <w:rPr>
                <w:lang w:val="en-US" w:eastAsia="en-US"/>
              </w:rPr>
            </w:pPr>
            <w:r w:rsidRPr="006B273B">
              <w:rPr>
                <w:lang w:val="en-US" w:eastAsia="en-US"/>
              </w:rPr>
              <w:t>Section 128H</w:t>
            </w:r>
          </w:p>
        </w:tc>
      </w:tr>
      <w:tr w:rsidR="00F303BF" w:rsidRPr="00F303BF" w14:paraId="4B2EEF4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3E6DA88" w14:textId="77777777" w:rsidR="00F303BF" w:rsidRPr="00F303BF" w:rsidRDefault="00F303BF" w:rsidP="00F303BF">
            <w:pPr>
              <w:pStyle w:val="tabletext"/>
              <w:rPr>
                <w:lang w:val="en-US" w:eastAsia="en-US"/>
              </w:rPr>
            </w:pPr>
            <w:r w:rsidRPr="00F303BF">
              <w:rPr>
                <w:lang w:val="en-US" w:eastAsia="en-US"/>
              </w:rPr>
              <w:t>828</w:t>
            </w:r>
          </w:p>
        </w:tc>
        <w:tc>
          <w:tcPr>
            <w:tcW w:w="5742" w:type="dxa"/>
            <w:tcBorders>
              <w:top w:val="single" w:sz="4" w:space="0" w:color="auto"/>
              <w:left w:val="single" w:sz="4" w:space="0" w:color="auto"/>
              <w:bottom w:val="single" w:sz="4" w:space="0" w:color="auto"/>
              <w:right w:val="single" w:sz="4" w:space="0" w:color="auto"/>
            </w:tcBorders>
            <w:shd w:val="clear" w:color="auto" w:fill="auto"/>
            <w:vAlign w:val="center"/>
          </w:tcPr>
          <w:p w14:paraId="0A5A745E" w14:textId="77777777" w:rsidR="00F303BF" w:rsidRPr="006B273B" w:rsidRDefault="00F303BF" w:rsidP="00F303BF">
            <w:pPr>
              <w:pStyle w:val="tabletext"/>
              <w:rPr>
                <w:lang w:val="en-US" w:eastAsia="en-US"/>
              </w:rPr>
            </w:pPr>
            <w:r w:rsidRPr="006B273B">
              <w:rPr>
                <w:lang w:val="en-US" w:eastAsia="en-US"/>
              </w:rPr>
              <w:t>Subdivision C of Division 1A of Part 16</w:t>
            </w:r>
          </w:p>
        </w:tc>
      </w:tr>
    </w:tbl>
    <w:p w14:paraId="06560243" w14:textId="2BB15FEA" w:rsidR="00606F82" w:rsidRPr="00E85468" w:rsidRDefault="00606F82" w:rsidP="00606F82">
      <w:pPr>
        <w:pStyle w:val="TableHeadingoutsidetable"/>
        <w:numPr>
          <w:ilvl w:val="0"/>
          <w:numId w:val="0"/>
        </w:numPr>
        <w:ind w:left="1134"/>
        <w:rPr>
          <w:i/>
        </w:rPr>
      </w:pPr>
      <w:r>
        <w:rPr>
          <w:i/>
        </w:rPr>
        <w:t>Second tranche</w:t>
      </w:r>
      <w:r w:rsidRPr="00E85468">
        <w:rPr>
          <w:i/>
        </w:rPr>
        <w:t xml:space="preserve"> </w:t>
      </w:r>
      <w:r>
        <w:rPr>
          <w:i/>
        </w:rPr>
        <w:t xml:space="preserve">of exposure draft </w:t>
      </w:r>
      <w:r w:rsidRPr="00E85468">
        <w:rPr>
          <w:i/>
        </w:rPr>
        <w:t>amendments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742"/>
      </w:tblGrid>
      <w:tr w:rsidR="00606F82" w:rsidRPr="004666B8" w14:paraId="4F44F786" w14:textId="77777777" w:rsidTr="00741DE1">
        <w:trPr>
          <w:tblHeader/>
        </w:trPr>
        <w:tc>
          <w:tcPr>
            <w:tcW w:w="809" w:type="dxa"/>
          </w:tcPr>
          <w:p w14:paraId="5878D05E" w14:textId="00506889" w:rsidR="00606F82" w:rsidRPr="004666B8" w:rsidRDefault="00936FF1" w:rsidP="00741DE1">
            <w:pPr>
              <w:pStyle w:val="tableheaderwithintable"/>
              <w:rPr>
                <w:lang w:val="en-US" w:eastAsia="en-US"/>
              </w:rPr>
            </w:pPr>
            <w:r>
              <w:rPr>
                <w:lang w:val="en-US" w:eastAsia="en-US"/>
              </w:rPr>
              <w:t>Item</w:t>
            </w:r>
            <w:r>
              <w:rPr>
                <w:rStyle w:val="FootnoteReference"/>
                <w:lang w:val="en-US" w:eastAsia="en-US"/>
              </w:rPr>
              <w:footnoteReference w:id="71"/>
            </w:r>
          </w:p>
        </w:tc>
        <w:tc>
          <w:tcPr>
            <w:tcW w:w="5742" w:type="dxa"/>
          </w:tcPr>
          <w:p w14:paraId="2DDE969E" w14:textId="77777777" w:rsidR="00606F82" w:rsidRPr="004666B8" w:rsidRDefault="00606F82" w:rsidP="00741DE1">
            <w:pPr>
              <w:pStyle w:val="tableheaderwithintable"/>
              <w:rPr>
                <w:lang w:val="en-US" w:eastAsia="en-US"/>
              </w:rPr>
            </w:pPr>
            <w:r>
              <w:rPr>
                <w:lang w:val="en-US" w:eastAsia="en-US"/>
              </w:rPr>
              <w:t>Provision</w:t>
            </w:r>
          </w:p>
        </w:tc>
      </w:tr>
      <w:tr w:rsidR="00D535B0" w:rsidRPr="00D535B0" w14:paraId="07014666" w14:textId="77777777" w:rsidTr="00741DE1">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6A24208A" w14:textId="08527F2B" w:rsidR="00D535B0" w:rsidRPr="00D535B0" w:rsidRDefault="00D535B0" w:rsidP="00D535B0">
            <w:pPr>
              <w:pStyle w:val="tabletext"/>
              <w:rPr>
                <w:b/>
              </w:rPr>
            </w:pPr>
            <w:r w:rsidRPr="00D535B0">
              <w:rPr>
                <w:b/>
              </w:rPr>
              <w:t>Corporations Act 2001</w:t>
            </w:r>
          </w:p>
        </w:tc>
      </w:tr>
      <w:tr w:rsidR="00D535B0" w:rsidRPr="00D535B0" w14:paraId="39AFBDC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6F6589F" w14:textId="77777777" w:rsidR="00D535B0" w:rsidRPr="00D535B0" w:rsidRDefault="00D535B0" w:rsidP="00D535B0">
            <w:pPr>
              <w:pStyle w:val="tabletext"/>
              <w:rPr>
                <w:lang w:val="en-US" w:eastAsia="en-US"/>
              </w:rPr>
            </w:pPr>
            <w:r w:rsidRPr="00D535B0">
              <w:rPr>
                <w:lang w:val="en-US" w:eastAsia="en-US"/>
              </w:rPr>
              <w:t>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B2B3FD" w14:textId="77777777" w:rsidR="00D535B0" w:rsidRPr="00D535B0" w:rsidRDefault="00D535B0" w:rsidP="00D535B0">
            <w:pPr>
              <w:pStyle w:val="tabletext"/>
            </w:pPr>
            <w:r w:rsidRPr="00D535B0">
              <w:t>After subsection 601AA(1)</w:t>
            </w:r>
          </w:p>
        </w:tc>
      </w:tr>
      <w:tr w:rsidR="00D535B0" w:rsidRPr="00D535B0" w14:paraId="2EAFFE46"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610AFCC" w14:textId="77777777" w:rsidR="00D535B0" w:rsidRPr="00D535B0" w:rsidRDefault="00D535B0" w:rsidP="00D535B0">
            <w:pPr>
              <w:pStyle w:val="tabletext"/>
              <w:rPr>
                <w:lang w:val="en-US" w:eastAsia="en-US"/>
              </w:rPr>
            </w:pPr>
            <w:r w:rsidRPr="00D535B0">
              <w:rPr>
                <w:lang w:val="en-US" w:eastAsia="en-US"/>
              </w:rPr>
              <w:t>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934EE89" w14:textId="77777777" w:rsidR="00D535B0" w:rsidRPr="00D535B0" w:rsidRDefault="00D535B0" w:rsidP="00D535B0">
            <w:pPr>
              <w:pStyle w:val="tabletext"/>
            </w:pPr>
            <w:r w:rsidRPr="00D535B0">
              <w:t>Paragraph 601AA(4)(d)</w:t>
            </w:r>
          </w:p>
        </w:tc>
      </w:tr>
      <w:tr w:rsidR="00D535B0" w:rsidRPr="00D535B0" w14:paraId="4B73FA46"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0BA8A9D" w14:textId="77777777" w:rsidR="00D535B0" w:rsidRPr="00D535B0" w:rsidRDefault="00D535B0" w:rsidP="00D535B0">
            <w:pPr>
              <w:pStyle w:val="tabletext"/>
              <w:rPr>
                <w:lang w:val="en-US" w:eastAsia="en-US"/>
              </w:rPr>
            </w:pPr>
            <w:r w:rsidRPr="00D535B0">
              <w:rPr>
                <w:lang w:val="en-US" w:eastAsia="en-US"/>
              </w:rPr>
              <w:t>27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F6471F0" w14:textId="77777777" w:rsidR="00D535B0" w:rsidRPr="00D535B0" w:rsidRDefault="00D535B0" w:rsidP="00D535B0">
            <w:pPr>
              <w:pStyle w:val="tabletext"/>
            </w:pPr>
            <w:r w:rsidRPr="00D535B0">
              <w:t>After paragraph 601AB(3)(a)</w:t>
            </w:r>
          </w:p>
        </w:tc>
      </w:tr>
      <w:tr w:rsidR="00D535B0" w:rsidRPr="00D535B0" w14:paraId="040D262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B553376" w14:textId="77777777" w:rsidR="00D535B0" w:rsidRPr="00D535B0" w:rsidRDefault="00D535B0" w:rsidP="00D535B0">
            <w:pPr>
              <w:pStyle w:val="tabletext"/>
              <w:rPr>
                <w:lang w:val="en-US" w:eastAsia="en-US"/>
              </w:rPr>
            </w:pPr>
            <w:r w:rsidRPr="00D535B0">
              <w:rPr>
                <w:lang w:val="en-US" w:eastAsia="en-US"/>
              </w:rPr>
              <w:t>28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EA3FC26" w14:textId="77777777" w:rsidR="00D535B0" w:rsidRPr="00D535B0" w:rsidRDefault="00D535B0" w:rsidP="00D535B0">
            <w:pPr>
              <w:pStyle w:val="tabletext"/>
            </w:pPr>
            <w:r w:rsidRPr="00D535B0">
              <w:t>Paragraph 601AB(3)(b)</w:t>
            </w:r>
          </w:p>
        </w:tc>
      </w:tr>
      <w:tr w:rsidR="00D535B0" w:rsidRPr="00D535B0" w14:paraId="5DBB612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77E8D87" w14:textId="77777777" w:rsidR="00D535B0" w:rsidRPr="00D535B0" w:rsidRDefault="00D535B0" w:rsidP="00D535B0">
            <w:pPr>
              <w:pStyle w:val="tabletext"/>
              <w:rPr>
                <w:lang w:val="en-US" w:eastAsia="en-US"/>
              </w:rPr>
            </w:pPr>
            <w:r w:rsidRPr="00D535B0">
              <w:rPr>
                <w:lang w:val="en-US" w:eastAsia="en-US"/>
              </w:rPr>
              <w:t>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082D37" w14:textId="77777777" w:rsidR="00D535B0" w:rsidRPr="00D535B0" w:rsidRDefault="00D535B0" w:rsidP="00D535B0">
            <w:pPr>
              <w:pStyle w:val="tabletext"/>
            </w:pPr>
            <w:r w:rsidRPr="00D535B0">
              <w:t>Subsection 601AH(4)</w:t>
            </w:r>
          </w:p>
        </w:tc>
      </w:tr>
      <w:tr w:rsidR="00D535B0" w:rsidRPr="00D535B0" w14:paraId="3EC30553"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88B34FD" w14:textId="77777777" w:rsidR="00D535B0" w:rsidRPr="00D535B0" w:rsidRDefault="00D535B0" w:rsidP="00D535B0">
            <w:pPr>
              <w:pStyle w:val="tabletext"/>
              <w:rPr>
                <w:lang w:val="en-US" w:eastAsia="en-US"/>
              </w:rPr>
            </w:pPr>
            <w:r w:rsidRPr="00D535B0">
              <w:rPr>
                <w:lang w:val="en-US" w:eastAsia="en-US"/>
              </w:rPr>
              <w:t>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F7CB89D" w14:textId="77777777" w:rsidR="00D535B0" w:rsidRPr="00D535B0" w:rsidRDefault="00D535B0" w:rsidP="00D535B0">
            <w:pPr>
              <w:pStyle w:val="tabletext"/>
            </w:pPr>
            <w:r w:rsidRPr="00D535B0">
              <w:t>Subsection 601AJ(2)</w:t>
            </w:r>
          </w:p>
        </w:tc>
      </w:tr>
      <w:tr w:rsidR="00D535B0" w:rsidRPr="00D535B0" w14:paraId="17F4CC7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AB01406" w14:textId="77777777" w:rsidR="00D535B0" w:rsidRPr="00D535B0" w:rsidRDefault="00D535B0" w:rsidP="00D535B0">
            <w:pPr>
              <w:pStyle w:val="tabletext"/>
              <w:rPr>
                <w:lang w:val="en-US" w:eastAsia="en-US"/>
              </w:rPr>
            </w:pPr>
            <w:r w:rsidRPr="00D535B0">
              <w:rPr>
                <w:lang w:val="en-US" w:eastAsia="en-US"/>
              </w:rPr>
              <w:t>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FFCFFF9" w14:textId="77777777" w:rsidR="00D535B0" w:rsidRPr="00D535B0" w:rsidRDefault="00D535B0" w:rsidP="00D535B0">
            <w:pPr>
              <w:pStyle w:val="tabletext"/>
            </w:pPr>
            <w:r w:rsidRPr="00D535B0">
              <w:t>Subsections 601BC(2) to (4)</w:t>
            </w:r>
          </w:p>
        </w:tc>
      </w:tr>
      <w:tr w:rsidR="00D535B0" w:rsidRPr="00D535B0" w14:paraId="2FB52BD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5550FB5" w14:textId="77777777" w:rsidR="00D535B0" w:rsidRPr="00D535B0" w:rsidRDefault="00D535B0" w:rsidP="00D535B0">
            <w:pPr>
              <w:pStyle w:val="tabletext"/>
              <w:rPr>
                <w:lang w:val="en-US" w:eastAsia="en-US"/>
              </w:rPr>
            </w:pPr>
            <w:r w:rsidRPr="00D535B0">
              <w:rPr>
                <w:lang w:val="en-US" w:eastAsia="en-US"/>
              </w:rPr>
              <w:t>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B484CBF" w14:textId="77777777" w:rsidR="00D535B0" w:rsidRPr="00D535B0" w:rsidRDefault="00D535B0" w:rsidP="00D535B0">
            <w:pPr>
              <w:pStyle w:val="tabletext"/>
            </w:pPr>
            <w:r w:rsidRPr="00D535B0">
              <w:t>Subsection 601BC(5)</w:t>
            </w:r>
          </w:p>
        </w:tc>
      </w:tr>
      <w:tr w:rsidR="00D535B0" w:rsidRPr="00D535B0" w14:paraId="582092F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4603CAF" w14:textId="77777777" w:rsidR="00D535B0" w:rsidRPr="00D535B0" w:rsidRDefault="00D535B0" w:rsidP="00D535B0">
            <w:pPr>
              <w:pStyle w:val="tabletext"/>
              <w:rPr>
                <w:lang w:val="en-US" w:eastAsia="en-US"/>
              </w:rPr>
            </w:pPr>
            <w:r w:rsidRPr="00D535B0">
              <w:rPr>
                <w:lang w:val="en-US" w:eastAsia="en-US"/>
              </w:rPr>
              <w:t>60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B04F466" w14:textId="77777777" w:rsidR="00D535B0" w:rsidRPr="00D535B0" w:rsidRDefault="00D535B0" w:rsidP="00D535B0">
            <w:pPr>
              <w:pStyle w:val="tabletext"/>
            </w:pPr>
            <w:r w:rsidRPr="00D535B0">
              <w:t>Subsections 601BC(6) to (9)</w:t>
            </w:r>
          </w:p>
        </w:tc>
      </w:tr>
      <w:tr w:rsidR="00D535B0" w:rsidRPr="00D535B0" w14:paraId="675DE98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4B30A7C" w14:textId="77777777" w:rsidR="00D535B0" w:rsidRPr="00D535B0" w:rsidRDefault="00D535B0" w:rsidP="00D535B0">
            <w:pPr>
              <w:pStyle w:val="tabletext"/>
              <w:rPr>
                <w:lang w:val="en-US" w:eastAsia="en-US"/>
              </w:rPr>
            </w:pPr>
            <w:r w:rsidRPr="00D535B0">
              <w:rPr>
                <w:lang w:val="en-US" w:eastAsia="en-US"/>
              </w:rPr>
              <w:t>63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A62173" w14:textId="77777777" w:rsidR="00D535B0" w:rsidRPr="00D535B0" w:rsidRDefault="00D535B0" w:rsidP="00D535B0">
            <w:pPr>
              <w:pStyle w:val="tabletext"/>
            </w:pPr>
            <w:r w:rsidRPr="00D535B0">
              <w:t>Paragraph 601BD(1)(c)</w:t>
            </w:r>
          </w:p>
        </w:tc>
      </w:tr>
      <w:tr w:rsidR="00D535B0" w:rsidRPr="00D535B0" w14:paraId="0A6D5993"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8D5CFF2" w14:textId="77777777" w:rsidR="00D535B0" w:rsidRPr="00D535B0" w:rsidRDefault="00D535B0" w:rsidP="00D535B0">
            <w:pPr>
              <w:pStyle w:val="tabletext"/>
              <w:rPr>
                <w:lang w:val="en-US" w:eastAsia="en-US"/>
              </w:rPr>
            </w:pPr>
            <w:r w:rsidRPr="00D535B0">
              <w:rPr>
                <w:lang w:val="en-US" w:eastAsia="en-US"/>
              </w:rPr>
              <w:t>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D9724D8" w14:textId="77777777" w:rsidR="00D535B0" w:rsidRPr="00D535B0" w:rsidRDefault="00D535B0" w:rsidP="00D535B0">
            <w:pPr>
              <w:pStyle w:val="tabletext"/>
            </w:pPr>
            <w:r w:rsidRPr="00D535B0">
              <w:t>Subsection 601BD(2)</w:t>
            </w:r>
          </w:p>
        </w:tc>
      </w:tr>
      <w:tr w:rsidR="00D535B0" w:rsidRPr="00D535B0" w14:paraId="4ECDE50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0120D7C" w14:textId="77777777" w:rsidR="00D535B0" w:rsidRPr="00D535B0" w:rsidRDefault="00D535B0" w:rsidP="00D535B0">
            <w:pPr>
              <w:pStyle w:val="tabletext"/>
              <w:rPr>
                <w:lang w:val="en-US" w:eastAsia="en-US"/>
              </w:rPr>
            </w:pPr>
            <w:r w:rsidRPr="00D535B0">
              <w:rPr>
                <w:lang w:val="en-US" w:eastAsia="en-US"/>
              </w:rPr>
              <w:t>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F9C008C" w14:textId="77777777" w:rsidR="00D535B0" w:rsidRPr="00D535B0" w:rsidRDefault="00D535B0" w:rsidP="00D535B0">
            <w:pPr>
              <w:pStyle w:val="tabletext"/>
            </w:pPr>
            <w:r w:rsidRPr="00D535B0">
              <w:t>Subsection 601BL(1)</w:t>
            </w:r>
          </w:p>
        </w:tc>
      </w:tr>
      <w:tr w:rsidR="00D535B0" w:rsidRPr="00D535B0" w14:paraId="1F29F131"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BD84C95" w14:textId="77777777" w:rsidR="00D535B0" w:rsidRPr="00D535B0" w:rsidRDefault="00D535B0" w:rsidP="00D535B0">
            <w:pPr>
              <w:pStyle w:val="tabletext"/>
              <w:rPr>
                <w:lang w:val="en-US" w:eastAsia="en-US"/>
              </w:rPr>
            </w:pPr>
            <w:r w:rsidRPr="00D535B0">
              <w:rPr>
                <w:lang w:val="en-US" w:eastAsia="en-US"/>
              </w:rPr>
              <w:t>69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FEC074" w14:textId="77777777" w:rsidR="00D535B0" w:rsidRPr="00D535B0" w:rsidRDefault="00D535B0" w:rsidP="00D535B0">
            <w:pPr>
              <w:pStyle w:val="tabletext"/>
            </w:pPr>
            <w:r w:rsidRPr="00D535B0">
              <w:t>Section 601CB</w:t>
            </w:r>
          </w:p>
        </w:tc>
      </w:tr>
      <w:tr w:rsidR="00D535B0" w:rsidRPr="00D535B0" w14:paraId="57CF224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716B07B" w14:textId="77777777" w:rsidR="00D535B0" w:rsidRPr="00D535B0" w:rsidRDefault="00D535B0" w:rsidP="00D535B0">
            <w:pPr>
              <w:pStyle w:val="tabletext"/>
              <w:rPr>
                <w:lang w:val="en-US" w:eastAsia="en-US"/>
              </w:rPr>
            </w:pPr>
            <w:r w:rsidRPr="00D535B0">
              <w:rPr>
                <w:lang w:val="en-US" w:eastAsia="en-US"/>
              </w:rPr>
              <w:t>71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C7D23B2" w14:textId="77777777" w:rsidR="00D535B0" w:rsidRPr="00D535B0" w:rsidRDefault="00D535B0" w:rsidP="00D535B0">
            <w:pPr>
              <w:pStyle w:val="tabletext"/>
            </w:pPr>
            <w:r w:rsidRPr="00D535B0">
              <w:t>Subsections 601CC(2) to (4)</w:t>
            </w:r>
          </w:p>
        </w:tc>
      </w:tr>
      <w:tr w:rsidR="00D535B0" w:rsidRPr="00D535B0" w14:paraId="05637D85"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063DE7B" w14:textId="77777777" w:rsidR="00D535B0" w:rsidRPr="00D535B0" w:rsidRDefault="00D535B0" w:rsidP="00D535B0">
            <w:pPr>
              <w:pStyle w:val="tabletext"/>
              <w:rPr>
                <w:lang w:val="en-US" w:eastAsia="en-US"/>
              </w:rPr>
            </w:pPr>
            <w:r w:rsidRPr="00D535B0">
              <w:rPr>
                <w:lang w:val="en-US" w:eastAsia="en-US"/>
              </w:rPr>
              <w:t>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25AEDD9" w14:textId="77777777" w:rsidR="00D535B0" w:rsidRPr="00D535B0" w:rsidRDefault="00D535B0" w:rsidP="00D535B0">
            <w:pPr>
              <w:pStyle w:val="tabletext"/>
            </w:pPr>
            <w:r w:rsidRPr="00D535B0">
              <w:t>Subsection 601CC(11)</w:t>
            </w:r>
          </w:p>
        </w:tc>
      </w:tr>
      <w:tr w:rsidR="00D535B0" w:rsidRPr="00D535B0" w14:paraId="5AA161C6"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4D30911" w14:textId="77777777" w:rsidR="00D535B0" w:rsidRPr="00D535B0" w:rsidRDefault="00D535B0" w:rsidP="00D535B0">
            <w:pPr>
              <w:pStyle w:val="tabletext"/>
              <w:rPr>
                <w:lang w:val="en-US" w:eastAsia="en-US"/>
              </w:rPr>
            </w:pPr>
            <w:r w:rsidRPr="00D535B0">
              <w:rPr>
                <w:lang w:val="en-US" w:eastAsia="en-US"/>
              </w:rPr>
              <w:t>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F0FC265" w14:textId="77777777" w:rsidR="00D535B0" w:rsidRPr="00D535B0" w:rsidRDefault="00D535B0" w:rsidP="00D535B0">
            <w:pPr>
              <w:pStyle w:val="tabletext"/>
            </w:pPr>
            <w:r w:rsidRPr="00D535B0">
              <w:t>Section 601CE</w:t>
            </w:r>
          </w:p>
        </w:tc>
      </w:tr>
      <w:tr w:rsidR="00D535B0" w:rsidRPr="00D535B0" w14:paraId="40740417"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C30D4E6" w14:textId="77777777" w:rsidR="00D535B0" w:rsidRPr="00D535B0" w:rsidRDefault="00D535B0" w:rsidP="00D535B0">
            <w:pPr>
              <w:pStyle w:val="tabletext"/>
              <w:rPr>
                <w:lang w:val="en-US" w:eastAsia="en-US"/>
              </w:rPr>
            </w:pPr>
            <w:r w:rsidRPr="00D535B0">
              <w:rPr>
                <w:lang w:val="en-US" w:eastAsia="en-US"/>
              </w:rPr>
              <w:t>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86471F0" w14:textId="77777777" w:rsidR="00D535B0" w:rsidRPr="00D535B0" w:rsidRDefault="00D535B0" w:rsidP="00D535B0">
            <w:pPr>
              <w:pStyle w:val="tabletext"/>
            </w:pPr>
            <w:r w:rsidRPr="00D535B0">
              <w:t>At the end of subsection 601CG(1)</w:t>
            </w:r>
          </w:p>
        </w:tc>
      </w:tr>
      <w:tr w:rsidR="00D535B0" w:rsidRPr="00D535B0" w14:paraId="6B609AA1"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DCDC298" w14:textId="77777777" w:rsidR="00D535B0" w:rsidRPr="00D535B0" w:rsidRDefault="00D535B0" w:rsidP="00D535B0">
            <w:pPr>
              <w:pStyle w:val="tabletext"/>
              <w:rPr>
                <w:lang w:val="en-US" w:eastAsia="en-US"/>
              </w:rPr>
            </w:pPr>
            <w:r w:rsidRPr="00D535B0">
              <w:rPr>
                <w:lang w:val="en-US" w:eastAsia="en-US"/>
              </w:rPr>
              <w:t>84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9AF0BB3" w14:textId="77777777" w:rsidR="00D535B0" w:rsidRPr="00D535B0" w:rsidRDefault="00D535B0" w:rsidP="00D535B0">
            <w:pPr>
              <w:pStyle w:val="tabletext"/>
            </w:pPr>
            <w:r w:rsidRPr="00D535B0">
              <w:t>Subsection 601CG(2)</w:t>
            </w:r>
          </w:p>
        </w:tc>
      </w:tr>
      <w:tr w:rsidR="00D535B0" w:rsidRPr="00D535B0" w14:paraId="0EBFF861"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4191310" w14:textId="77777777" w:rsidR="00D535B0" w:rsidRPr="00D535B0" w:rsidRDefault="00D535B0" w:rsidP="00D535B0">
            <w:pPr>
              <w:pStyle w:val="tabletext"/>
              <w:rPr>
                <w:lang w:val="en-US" w:eastAsia="en-US"/>
              </w:rPr>
            </w:pPr>
            <w:r w:rsidRPr="00D535B0">
              <w:rPr>
                <w:lang w:val="en-US" w:eastAsia="en-US"/>
              </w:rPr>
              <w:t>85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FD4155" w14:textId="77777777" w:rsidR="00D535B0" w:rsidRPr="00D535B0" w:rsidRDefault="00D535B0" w:rsidP="00D535B0">
            <w:pPr>
              <w:pStyle w:val="tabletext"/>
            </w:pPr>
            <w:r w:rsidRPr="00D535B0">
              <w:t>After subsection 601CG(2)</w:t>
            </w:r>
          </w:p>
        </w:tc>
      </w:tr>
      <w:tr w:rsidR="00D535B0" w:rsidRPr="00D535B0" w14:paraId="569F19B6"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5A851F1" w14:textId="77777777" w:rsidR="00D535B0" w:rsidRPr="00D535B0" w:rsidRDefault="00D535B0" w:rsidP="00D535B0">
            <w:pPr>
              <w:pStyle w:val="tabletext"/>
              <w:rPr>
                <w:lang w:val="en-US" w:eastAsia="en-US"/>
              </w:rPr>
            </w:pPr>
            <w:r w:rsidRPr="00D535B0">
              <w:rPr>
                <w:lang w:val="en-US" w:eastAsia="en-US"/>
              </w:rPr>
              <w:t>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55C7270" w14:textId="77777777" w:rsidR="00D535B0" w:rsidRPr="00D535B0" w:rsidRDefault="00D535B0" w:rsidP="00D535B0">
            <w:pPr>
              <w:pStyle w:val="tabletext"/>
            </w:pPr>
            <w:r w:rsidRPr="00D535B0">
              <w:t>Subsection 601CG(4)</w:t>
            </w:r>
          </w:p>
        </w:tc>
      </w:tr>
      <w:tr w:rsidR="00D535B0" w:rsidRPr="00D535B0" w14:paraId="34CE15ED"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0AA51F4" w14:textId="77777777" w:rsidR="00D535B0" w:rsidRPr="00D535B0" w:rsidRDefault="00D535B0" w:rsidP="00D535B0">
            <w:pPr>
              <w:pStyle w:val="tabletext"/>
              <w:rPr>
                <w:lang w:val="en-US" w:eastAsia="en-US"/>
              </w:rPr>
            </w:pPr>
            <w:r w:rsidRPr="00D535B0">
              <w:rPr>
                <w:lang w:val="en-US" w:eastAsia="en-US"/>
              </w:rPr>
              <w:t>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116DAA1" w14:textId="77777777" w:rsidR="00D535B0" w:rsidRPr="00D535B0" w:rsidRDefault="00D535B0" w:rsidP="00D535B0">
            <w:pPr>
              <w:pStyle w:val="tabletext"/>
            </w:pPr>
            <w:r w:rsidRPr="00D535B0">
              <w:t>Subsection 601CK(1)</w:t>
            </w:r>
          </w:p>
        </w:tc>
      </w:tr>
      <w:tr w:rsidR="00D535B0" w:rsidRPr="00D535B0" w14:paraId="0FF00C9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12BEADB" w14:textId="77777777" w:rsidR="00D535B0" w:rsidRPr="00D535B0" w:rsidRDefault="00D535B0" w:rsidP="00D535B0">
            <w:pPr>
              <w:pStyle w:val="tabletext"/>
              <w:rPr>
                <w:lang w:val="en-US" w:eastAsia="en-US"/>
              </w:rPr>
            </w:pPr>
            <w:r w:rsidRPr="00D535B0">
              <w:rPr>
                <w:lang w:val="en-US" w:eastAsia="en-US"/>
              </w:rPr>
              <w:t>90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CDDB184" w14:textId="77777777" w:rsidR="00D535B0" w:rsidRPr="00D535B0" w:rsidRDefault="00D535B0" w:rsidP="00D535B0">
            <w:pPr>
              <w:pStyle w:val="tabletext"/>
            </w:pPr>
            <w:r w:rsidRPr="00D535B0">
              <w:t>After subsection 601CK(1)</w:t>
            </w:r>
          </w:p>
        </w:tc>
      </w:tr>
      <w:tr w:rsidR="00D535B0" w:rsidRPr="00D535B0" w14:paraId="7CA79827"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720C006" w14:textId="77777777" w:rsidR="00D535B0" w:rsidRPr="00D535B0" w:rsidRDefault="00D535B0" w:rsidP="00D535B0">
            <w:pPr>
              <w:pStyle w:val="tabletext"/>
              <w:rPr>
                <w:lang w:val="en-US" w:eastAsia="en-US"/>
              </w:rPr>
            </w:pPr>
            <w:r w:rsidRPr="00D535B0">
              <w:rPr>
                <w:lang w:val="en-US" w:eastAsia="en-US"/>
              </w:rPr>
              <w:t>93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E73699E" w14:textId="77777777" w:rsidR="00D535B0" w:rsidRPr="00D535B0" w:rsidRDefault="00D535B0" w:rsidP="00D535B0">
            <w:pPr>
              <w:pStyle w:val="tabletext"/>
            </w:pPr>
            <w:r w:rsidRPr="00D535B0">
              <w:t>Subsection 601CK(9)</w:t>
            </w:r>
          </w:p>
        </w:tc>
      </w:tr>
      <w:tr w:rsidR="00D535B0" w:rsidRPr="00D535B0" w14:paraId="22664A74"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485147E" w14:textId="77777777" w:rsidR="00D535B0" w:rsidRPr="00D535B0" w:rsidRDefault="00D535B0" w:rsidP="00D535B0">
            <w:pPr>
              <w:pStyle w:val="tabletext"/>
              <w:rPr>
                <w:lang w:val="en-US" w:eastAsia="en-US"/>
              </w:rPr>
            </w:pPr>
            <w:r w:rsidRPr="00D535B0">
              <w:rPr>
                <w:lang w:val="en-US" w:eastAsia="en-US"/>
              </w:rPr>
              <w:t>94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06FF712" w14:textId="77777777" w:rsidR="00D535B0" w:rsidRPr="00D535B0" w:rsidRDefault="00D535B0" w:rsidP="00D535B0">
            <w:pPr>
              <w:pStyle w:val="tabletext"/>
            </w:pPr>
            <w:r w:rsidRPr="00D535B0">
              <w:t>At the end of subsection 601CK(9)</w:t>
            </w:r>
          </w:p>
        </w:tc>
      </w:tr>
      <w:tr w:rsidR="00D535B0" w:rsidRPr="00D535B0" w14:paraId="521C40C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943009C" w14:textId="77777777" w:rsidR="00D535B0" w:rsidRPr="00D535B0" w:rsidRDefault="00D535B0" w:rsidP="00D535B0">
            <w:pPr>
              <w:pStyle w:val="tabletext"/>
              <w:rPr>
                <w:lang w:val="en-US" w:eastAsia="en-US"/>
              </w:rPr>
            </w:pPr>
            <w:r w:rsidRPr="00D535B0">
              <w:rPr>
                <w:lang w:val="en-US" w:eastAsia="en-US"/>
              </w:rPr>
              <w:t>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A7B2A8E" w14:textId="77777777" w:rsidR="00D535B0" w:rsidRPr="00D535B0" w:rsidRDefault="00D535B0" w:rsidP="00D535B0">
            <w:pPr>
              <w:pStyle w:val="tabletext"/>
            </w:pPr>
            <w:r w:rsidRPr="00D535B0">
              <w:t>Subsection 601CK(10)</w:t>
            </w:r>
          </w:p>
        </w:tc>
      </w:tr>
      <w:tr w:rsidR="00D535B0" w:rsidRPr="00D535B0" w14:paraId="3986970D"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0EF1A05" w14:textId="77777777" w:rsidR="00D535B0" w:rsidRPr="00D535B0" w:rsidRDefault="00D535B0" w:rsidP="00D535B0">
            <w:pPr>
              <w:pStyle w:val="tabletext"/>
              <w:rPr>
                <w:lang w:val="en-US" w:eastAsia="en-US"/>
              </w:rPr>
            </w:pPr>
            <w:r w:rsidRPr="00D535B0">
              <w:rPr>
                <w:lang w:val="en-US" w:eastAsia="en-US"/>
              </w:rPr>
              <w:t>99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FC5FCF9" w14:textId="77777777" w:rsidR="00D535B0" w:rsidRPr="00D535B0" w:rsidRDefault="00D535B0" w:rsidP="00D535B0">
            <w:pPr>
              <w:pStyle w:val="tabletext"/>
            </w:pPr>
            <w:r w:rsidRPr="00D535B0">
              <w:t>Subsections 601CL(3) to (5)</w:t>
            </w:r>
          </w:p>
        </w:tc>
      </w:tr>
      <w:tr w:rsidR="00D535B0" w:rsidRPr="00D535B0" w14:paraId="258F868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B5DA935" w14:textId="77777777" w:rsidR="00D535B0" w:rsidRPr="00D535B0" w:rsidRDefault="00D535B0" w:rsidP="00D535B0">
            <w:pPr>
              <w:pStyle w:val="tabletext"/>
              <w:rPr>
                <w:lang w:val="en-US" w:eastAsia="en-US"/>
              </w:rPr>
            </w:pPr>
            <w:r w:rsidRPr="00D535B0">
              <w:rPr>
                <w:lang w:val="en-US" w:eastAsia="en-US"/>
              </w:rPr>
              <w:t>104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3314E23" w14:textId="77777777" w:rsidR="00D535B0" w:rsidRPr="00D535B0" w:rsidRDefault="00D535B0" w:rsidP="00D535B0">
            <w:pPr>
              <w:pStyle w:val="tabletext"/>
            </w:pPr>
            <w:r w:rsidRPr="00D535B0">
              <w:t>Subsection 601CL(12)</w:t>
            </w:r>
          </w:p>
        </w:tc>
      </w:tr>
      <w:tr w:rsidR="00D535B0" w:rsidRPr="00D535B0" w14:paraId="06C79543"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E28E5E0" w14:textId="77777777" w:rsidR="00D535B0" w:rsidRPr="00D535B0" w:rsidRDefault="00D535B0" w:rsidP="00D535B0">
            <w:pPr>
              <w:pStyle w:val="tabletext"/>
              <w:rPr>
                <w:lang w:val="en-US" w:eastAsia="en-US"/>
              </w:rPr>
            </w:pPr>
            <w:r w:rsidRPr="00D535B0">
              <w:rPr>
                <w:lang w:val="en-US" w:eastAsia="en-US"/>
              </w:rPr>
              <w:t>112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2078D61" w14:textId="77777777" w:rsidR="00D535B0" w:rsidRPr="00D535B0" w:rsidRDefault="00D535B0" w:rsidP="00D535B0">
            <w:pPr>
              <w:pStyle w:val="tabletext"/>
            </w:pPr>
            <w:r w:rsidRPr="00D535B0">
              <w:t>At the end of subsection 601CT(2)</w:t>
            </w:r>
          </w:p>
        </w:tc>
      </w:tr>
      <w:tr w:rsidR="00D535B0" w:rsidRPr="00D535B0" w14:paraId="525E658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1B5E8B5" w14:textId="77777777" w:rsidR="00D535B0" w:rsidRPr="00D535B0" w:rsidRDefault="00D535B0" w:rsidP="00D535B0">
            <w:pPr>
              <w:pStyle w:val="tabletext"/>
              <w:rPr>
                <w:lang w:val="en-US" w:eastAsia="en-US"/>
              </w:rPr>
            </w:pPr>
            <w:r w:rsidRPr="00D535B0">
              <w:rPr>
                <w:lang w:val="en-US" w:eastAsia="en-US"/>
              </w:rPr>
              <w:t>114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AAD3887" w14:textId="77777777" w:rsidR="00D535B0" w:rsidRPr="00D535B0" w:rsidRDefault="00D535B0" w:rsidP="00D535B0">
            <w:pPr>
              <w:pStyle w:val="tabletext"/>
            </w:pPr>
            <w:r w:rsidRPr="00D535B0">
              <w:t>At the end of subsection 601CT(3)</w:t>
            </w:r>
          </w:p>
        </w:tc>
      </w:tr>
      <w:tr w:rsidR="00D535B0" w:rsidRPr="00D535B0" w14:paraId="4A253825"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A6A3873" w14:textId="77777777" w:rsidR="00D535B0" w:rsidRPr="00D535B0" w:rsidRDefault="00D535B0" w:rsidP="00D535B0">
            <w:pPr>
              <w:pStyle w:val="tabletext"/>
              <w:rPr>
                <w:lang w:val="en-US" w:eastAsia="en-US"/>
              </w:rPr>
            </w:pPr>
            <w:r w:rsidRPr="00D535B0">
              <w:rPr>
                <w:lang w:val="en-US" w:eastAsia="en-US"/>
              </w:rPr>
              <w:t>116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8045B09" w14:textId="77777777" w:rsidR="00D535B0" w:rsidRPr="00D535B0" w:rsidRDefault="00D535B0" w:rsidP="00D535B0">
            <w:pPr>
              <w:pStyle w:val="tabletext"/>
            </w:pPr>
            <w:r w:rsidRPr="00D535B0">
              <w:t>At the end of subsection 601CT(4)</w:t>
            </w:r>
          </w:p>
        </w:tc>
      </w:tr>
      <w:tr w:rsidR="00D535B0" w:rsidRPr="00D535B0" w14:paraId="7AFBBB2D"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0E7AF0C" w14:textId="77777777" w:rsidR="00D535B0" w:rsidRPr="00D535B0" w:rsidRDefault="00D535B0" w:rsidP="00D535B0">
            <w:pPr>
              <w:pStyle w:val="tabletext"/>
              <w:rPr>
                <w:lang w:val="en-US" w:eastAsia="en-US"/>
              </w:rPr>
            </w:pPr>
            <w:r w:rsidRPr="00D535B0">
              <w:rPr>
                <w:lang w:val="en-US" w:eastAsia="en-US"/>
              </w:rPr>
              <w:t>117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331D67" w14:textId="77777777" w:rsidR="00D535B0" w:rsidRPr="00D535B0" w:rsidRDefault="00D535B0" w:rsidP="00D535B0">
            <w:pPr>
              <w:pStyle w:val="tabletext"/>
            </w:pPr>
            <w:r w:rsidRPr="00D535B0">
              <w:t>Subsection 601CU(1)</w:t>
            </w:r>
          </w:p>
        </w:tc>
      </w:tr>
      <w:tr w:rsidR="00D535B0" w:rsidRPr="00D535B0" w14:paraId="65F1686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648A77C" w14:textId="77777777" w:rsidR="00D535B0" w:rsidRPr="00D535B0" w:rsidRDefault="00D535B0" w:rsidP="00D535B0">
            <w:pPr>
              <w:pStyle w:val="tabletext"/>
              <w:rPr>
                <w:lang w:val="en-US" w:eastAsia="en-US"/>
              </w:rPr>
            </w:pPr>
            <w:r w:rsidRPr="00D535B0">
              <w:rPr>
                <w:lang w:val="en-US" w:eastAsia="en-US"/>
              </w:rPr>
              <w:t>119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C4DF65F" w14:textId="77777777" w:rsidR="00D535B0" w:rsidRPr="00D535B0" w:rsidRDefault="00D535B0" w:rsidP="00D535B0">
            <w:pPr>
              <w:pStyle w:val="tabletext"/>
            </w:pPr>
            <w:r w:rsidRPr="00D535B0">
              <w:t>Subsection 601CV(1)</w:t>
            </w:r>
          </w:p>
        </w:tc>
      </w:tr>
      <w:tr w:rsidR="00D535B0" w:rsidRPr="00D535B0" w14:paraId="0893011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94066ED" w14:textId="77777777" w:rsidR="00D535B0" w:rsidRPr="00D535B0" w:rsidRDefault="00D535B0" w:rsidP="00D535B0">
            <w:pPr>
              <w:pStyle w:val="tabletext"/>
              <w:rPr>
                <w:lang w:val="en-US" w:eastAsia="en-US"/>
              </w:rPr>
            </w:pPr>
            <w:r w:rsidRPr="00D535B0">
              <w:rPr>
                <w:lang w:val="en-US" w:eastAsia="en-US"/>
              </w:rPr>
              <w:lastRenderedPageBreak/>
              <w:t>124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6B994EC" w14:textId="77777777" w:rsidR="00D535B0" w:rsidRPr="00D535B0" w:rsidRDefault="00D535B0" w:rsidP="00D535B0">
            <w:pPr>
              <w:pStyle w:val="tabletext"/>
            </w:pPr>
            <w:r w:rsidRPr="00D535B0">
              <w:t>After subsection 601CZC(2)</w:t>
            </w:r>
          </w:p>
        </w:tc>
      </w:tr>
      <w:tr w:rsidR="00D535B0" w:rsidRPr="00D535B0" w14:paraId="07CF2C7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A9EBE82" w14:textId="77777777" w:rsidR="00D535B0" w:rsidRPr="00D535B0" w:rsidRDefault="00D535B0" w:rsidP="00D535B0">
            <w:pPr>
              <w:pStyle w:val="tabletext"/>
              <w:rPr>
                <w:lang w:val="en-US" w:eastAsia="en-US"/>
              </w:rPr>
            </w:pPr>
            <w:r w:rsidRPr="00D535B0">
              <w:rPr>
                <w:lang w:val="en-US" w:eastAsia="en-US"/>
              </w:rPr>
              <w:t>126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6FF3634" w14:textId="77777777" w:rsidR="00D535B0" w:rsidRPr="00D535B0" w:rsidRDefault="00D535B0" w:rsidP="00D535B0">
            <w:pPr>
              <w:pStyle w:val="tabletext"/>
            </w:pPr>
            <w:r w:rsidRPr="00D535B0">
              <w:t>After subsection 601DA(1)</w:t>
            </w:r>
          </w:p>
        </w:tc>
      </w:tr>
      <w:tr w:rsidR="00D535B0" w:rsidRPr="00D535B0" w14:paraId="59F3950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1EA1804" w14:textId="77777777" w:rsidR="00D535B0" w:rsidRPr="00D535B0" w:rsidRDefault="00D535B0" w:rsidP="00D535B0">
            <w:pPr>
              <w:pStyle w:val="tabletext"/>
              <w:rPr>
                <w:lang w:val="en-US" w:eastAsia="en-US"/>
              </w:rPr>
            </w:pPr>
            <w:r w:rsidRPr="00D535B0">
              <w:rPr>
                <w:lang w:val="en-US" w:eastAsia="en-US"/>
              </w:rPr>
              <w:t>130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A8272B" w14:textId="77777777" w:rsidR="00D535B0" w:rsidRPr="00D535B0" w:rsidRDefault="00D535B0" w:rsidP="00D535B0">
            <w:pPr>
              <w:pStyle w:val="tabletext"/>
            </w:pPr>
            <w:r w:rsidRPr="00D535B0">
              <w:t>At the end of section 601DA</w:t>
            </w:r>
          </w:p>
        </w:tc>
      </w:tr>
      <w:tr w:rsidR="00D535B0" w:rsidRPr="00D535B0" w14:paraId="27A2F887"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0A929D9" w14:textId="77777777" w:rsidR="00D535B0" w:rsidRPr="00D535B0" w:rsidRDefault="00D535B0" w:rsidP="00D535B0">
            <w:pPr>
              <w:pStyle w:val="tabletext"/>
              <w:rPr>
                <w:lang w:val="en-US" w:eastAsia="en-US"/>
              </w:rPr>
            </w:pPr>
            <w:r w:rsidRPr="00D535B0">
              <w:rPr>
                <w:lang w:val="en-US" w:eastAsia="en-US"/>
              </w:rPr>
              <w:t>136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B750C9" w14:textId="77777777" w:rsidR="00D535B0" w:rsidRPr="00D535B0" w:rsidRDefault="00D535B0" w:rsidP="00D535B0">
            <w:pPr>
              <w:pStyle w:val="tabletext"/>
            </w:pPr>
            <w:r w:rsidRPr="00D535B0">
              <w:t>After subsection 601DH(1)</w:t>
            </w:r>
          </w:p>
        </w:tc>
      </w:tr>
      <w:tr w:rsidR="00D535B0" w:rsidRPr="00D535B0" w14:paraId="499FFBB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2250DCA" w14:textId="77777777" w:rsidR="00D535B0" w:rsidRPr="00D535B0" w:rsidRDefault="00D535B0" w:rsidP="00D535B0">
            <w:pPr>
              <w:pStyle w:val="tabletext"/>
              <w:rPr>
                <w:lang w:val="en-US" w:eastAsia="en-US"/>
              </w:rPr>
            </w:pPr>
            <w:r w:rsidRPr="00D535B0">
              <w:rPr>
                <w:lang w:val="en-US" w:eastAsia="en-US"/>
              </w:rPr>
              <w:t>150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28EC171" w14:textId="77777777" w:rsidR="00D535B0" w:rsidRPr="00D535B0" w:rsidRDefault="00D535B0" w:rsidP="00D535B0">
            <w:pPr>
              <w:pStyle w:val="tabletext"/>
            </w:pPr>
            <w:r w:rsidRPr="00D535B0">
              <w:t>After subsection 601FL(2)</w:t>
            </w:r>
          </w:p>
        </w:tc>
      </w:tr>
      <w:tr w:rsidR="00D535B0" w:rsidRPr="00D535B0" w14:paraId="1C920410"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987A7DE" w14:textId="77777777" w:rsidR="00D535B0" w:rsidRPr="00D535B0" w:rsidRDefault="00D535B0" w:rsidP="00D535B0">
            <w:pPr>
              <w:pStyle w:val="tabletext"/>
              <w:rPr>
                <w:lang w:val="en-US" w:eastAsia="en-US"/>
              </w:rPr>
            </w:pPr>
            <w:r w:rsidRPr="00D535B0">
              <w:rPr>
                <w:lang w:val="en-US" w:eastAsia="en-US"/>
              </w:rPr>
              <w:t>152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43FBF14" w14:textId="77777777" w:rsidR="00D535B0" w:rsidRPr="00D535B0" w:rsidRDefault="00D535B0" w:rsidP="00D535B0">
            <w:pPr>
              <w:pStyle w:val="tabletext"/>
            </w:pPr>
            <w:r w:rsidRPr="00D535B0">
              <w:t>After subsection 601FM(2)</w:t>
            </w:r>
          </w:p>
        </w:tc>
      </w:tr>
      <w:tr w:rsidR="00D535B0" w:rsidRPr="00D535B0" w14:paraId="4F442875"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8B28A38" w14:textId="77777777" w:rsidR="00D535B0" w:rsidRPr="00D535B0" w:rsidRDefault="00D535B0" w:rsidP="00D535B0">
            <w:pPr>
              <w:pStyle w:val="tabletext"/>
              <w:rPr>
                <w:lang w:val="en-US" w:eastAsia="en-US"/>
              </w:rPr>
            </w:pPr>
            <w:r w:rsidRPr="00D535B0">
              <w:rPr>
                <w:lang w:val="en-US" w:eastAsia="en-US"/>
              </w:rPr>
              <w:t>154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46D46DB" w14:textId="77777777" w:rsidR="00D535B0" w:rsidRPr="00D535B0" w:rsidRDefault="00D535B0" w:rsidP="00D535B0">
            <w:pPr>
              <w:pStyle w:val="tabletext"/>
            </w:pPr>
            <w:r w:rsidRPr="00D535B0">
              <w:t>After subsection 601FP(3)</w:t>
            </w:r>
          </w:p>
        </w:tc>
      </w:tr>
      <w:tr w:rsidR="00D535B0" w:rsidRPr="00D535B0" w14:paraId="64566359"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4D0F5BC" w14:textId="77777777" w:rsidR="00D535B0" w:rsidRPr="00D535B0" w:rsidRDefault="00D535B0" w:rsidP="00D535B0">
            <w:pPr>
              <w:pStyle w:val="tabletext"/>
              <w:rPr>
                <w:lang w:val="en-US" w:eastAsia="en-US"/>
              </w:rPr>
            </w:pPr>
            <w:r w:rsidRPr="00D535B0">
              <w:rPr>
                <w:lang w:val="en-US" w:eastAsia="en-US"/>
              </w:rPr>
              <w:t>158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6FEFFB" w14:textId="77777777" w:rsidR="00D535B0" w:rsidRPr="00D535B0" w:rsidRDefault="00D535B0" w:rsidP="00D535B0">
            <w:pPr>
              <w:pStyle w:val="tabletext"/>
            </w:pPr>
            <w:r w:rsidRPr="00D535B0">
              <w:t>After subsection 601FQ(4)</w:t>
            </w:r>
          </w:p>
        </w:tc>
      </w:tr>
      <w:tr w:rsidR="00D535B0" w:rsidRPr="00D535B0" w14:paraId="5B654240"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12E2E23" w14:textId="77777777" w:rsidR="00D535B0" w:rsidRPr="00D535B0" w:rsidRDefault="00D535B0" w:rsidP="00D535B0">
            <w:pPr>
              <w:pStyle w:val="tabletext"/>
              <w:rPr>
                <w:lang w:val="en-US" w:eastAsia="en-US"/>
              </w:rPr>
            </w:pPr>
            <w:r w:rsidRPr="00D535B0">
              <w:rPr>
                <w:lang w:val="en-US" w:eastAsia="en-US"/>
              </w:rPr>
              <w:t>160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ACE8A1" w14:textId="77777777" w:rsidR="00D535B0" w:rsidRPr="00D535B0" w:rsidRDefault="00D535B0" w:rsidP="00D535B0">
            <w:pPr>
              <w:pStyle w:val="tabletext"/>
            </w:pPr>
            <w:r w:rsidRPr="00D535B0">
              <w:t>After subsection 601GC(2)</w:t>
            </w:r>
          </w:p>
        </w:tc>
      </w:tr>
      <w:tr w:rsidR="00D535B0" w:rsidRPr="00D535B0" w14:paraId="52E8D70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6AB8251" w14:textId="77777777" w:rsidR="00D535B0" w:rsidRPr="00D535B0" w:rsidRDefault="00D535B0" w:rsidP="00D535B0">
            <w:pPr>
              <w:pStyle w:val="tabletext"/>
              <w:rPr>
                <w:lang w:val="en-US" w:eastAsia="en-US"/>
              </w:rPr>
            </w:pPr>
            <w:r w:rsidRPr="00D535B0">
              <w:rPr>
                <w:lang w:val="en-US" w:eastAsia="en-US"/>
              </w:rPr>
              <w:t>161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B33AF1" w14:textId="77777777" w:rsidR="00D535B0" w:rsidRPr="00D535B0" w:rsidRDefault="00D535B0" w:rsidP="00D535B0">
            <w:pPr>
              <w:pStyle w:val="tabletext"/>
            </w:pPr>
            <w:r w:rsidRPr="00D535B0">
              <w:t>After subsection 601GC(3)</w:t>
            </w:r>
          </w:p>
        </w:tc>
      </w:tr>
      <w:tr w:rsidR="00D535B0" w:rsidRPr="00D535B0" w14:paraId="492A024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98E69E8" w14:textId="77777777" w:rsidR="00D535B0" w:rsidRPr="00D535B0" w:rsidRDefault="00D535B0" w:rsidP="00D535B0">
            <w:pPr>
              <w:pStyle w:val="tabletext"/>
              <w:rPr>
                <w:lang w:val="en-US" w:eastAsia="en-US"/>
              </w:rPr>
            </w:pPr>
            <w:r w:rsidRPr="00D535B0">
              <w:rPr>
                <w:lang w:val="en-US" w:eastAsia="en-US"/>
              </w:rPr>
              <w:t>163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781C9DC" w14:textId="77777777" w:rsidR="00D535B0" w:rsidRPr="00D535B0" w:rsidRDefault="00D535B0" w:rsidP="00D535B0">
            <w:pPr>
              <w:pStyle w:val="tabletext"/>
            </w:pPr>
            <w:r w:rsidRPr="00D535B0">
              <w:t>At the end of section 601HE</w:t>
            </w:r>
          </w:p>
        </w:tc>
      </w:tr>
      <w:tr w:rsidR="00D535B0" w:rsidRPr="00D535B0" w14:paraId="16B1CB3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BA6DD5F" w14:textId="77777777" w:rsidR="00D535B0" w:rsidRPr="00D535B0" w:rsidRDefault="00D535B0" w:rsidP="00D535B0">
            <w:pPr>
              <w:pStyle w:val="tabletext"/>
              <w:rPr>
                <w:lang w:val="en-US" w:eastAsia="en-US"/>
              </w:rPr>
            </w:pPr>
            <w:r w:rsidRPr="00D535B0">
              <w:rPr>
                <w:lang w:val="en-US" w:eastAsia="en-US"/>
              </w:rPr>
              <w:t>165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877574" w14:textId="77777777" w:rsidR="00D535B0" w:rsidRPr="00D535B0" w:rsidRDefault="00D535B0" w:rsidP="00D535B0">
            <w:pPr>
              <w:pStyle w:val="tabletext"/>
            </w:pPr>
            <w:r w:rsidRPr="00D535B0">
              <w:t>After subsection 601HF(1)</w:t>
            </w:r>
          </w:p>
        </w:tc>
      </w:tr>
      <w:tr w:rsidR="00D535B0" w:rsidRPr="00D535B0" w14:paraId="0B14F4EC"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DCDE25C" w14:textId="77777777" w:rsidR="00D535B0" w:rsidRPr="00D535B0" w:rsidRDefault="00D535B0" w:rsidP="00D535B0">
            <w:pPr>
              <w:pStyle w:val="tabletext"/>
              <w:rPr>
                <w:lang w:val="en-US" w:eastAsia="en-US"/>
              </w:rPr>
            </w:pPr>
            <w:r w:rsidRPr="00D535B0">
              <w:rPr>
                <w:lang w:val="en-US" w:eastAsia="en-US"/>
              </w:rPr>
              <w:t>167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E71B40C" w14:textId="77777777" w:rsidR="00D535B0" w:rsidRPr="00D535B0" w:rsidRDefault="00D535B0" w:rsidP="00D535B0">
            <w:pPr>
              <w:pStyle w:val="tabletext"/>
            </w:pPr>
            <w:r w:rsidRPr="00D535B0">
              <w:t>At the end of subsection 601HG(7)</w:t>
            </w:r>
          </w:p>
        </w:tc>
      </w:tr>
      <w:tr w:rsidR="00D535B0" w:rsidRPr="00D535B0" w14:paraId="20EE4D03"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E04BCEE" w14:textId="77777777" w:rsidR="00D535B0" w:rsidRPr="00D535B0" w:rsidRDefault="00D535B0" w:rsidP="00D535B0">
            <w:pPr>
              <w:pStyle w:val="tabletext"/>
              <w:rPr>
                <w:lang w:val="en-US" w:eastAsia="en-US"/>
              </w:rPr>
            </w:pPr>
            <w:r w:rsidRPr="00D535B0">
              <w:rPr>
                <w:lang w:val="en-US" w:eastAsia="en-US"/>
              </w:rPr>
              <w:t>172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6D0BCF8" w14:textId="77777777" w:rsidR="00D535B0" w:rsidRPr="00D535B0" w:rsidRDefault="00D535B0" w:rsidP="00D535B0">
            <w:pPr>
              <w:pStyle w:val="tabletext"/>
            </w:pPr>
            <w:r w:rsidRPr="00D535B0">
              <w:t>At the end of section 601HI</w:t>
            </w:r>
          </w:p>
        </w:tc>
      </w:tr>
      <w:tr w:rsidR="00D535B0" w:rsidRPr="00D535B0" w14:paraId="3EA44B5C"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10D3A89" w14:textId="77777777" w:rsidR="00D535B0" w:rsidRPr="00D535B0" w:rsidRDefault="00D535B0" w:rsidP="00D535B0">
            <w:pPr>
              <w:pStyle w:val="tabletext"/>
              <w:rPr>
                <w:lang w:val="en-US" w:eastAsia="en-US"/>
              </w:rPr>
            </w:pPr>
            <w:r w:rsidRPr="00D535B0">
              <w:rPr>
                <w:lang w:val="en-US" w:eastAsia="en-US"/>
              </w:rPr>
              <w:t>173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8BA0CB" w14:textId="77777777" w:rsidR="00D535B0" w:rsidRPr="00D535B0" w:rsidRDefault="00D535B0" w:rsidP="00D535B0">
            <w:pPr>
              <w:pStyle w:val="tabletext"/>
            </w:pPr>
            <w:r w:rsidRPr="00D535B0">
              <w:t>Subsection 601KB(5)</w:t>
            </w:r>
          </w:p>
        </w:tc>
      </w:tr>
      <w:tr w:rsidR="00D535B0" w:rsidRPr="00D535B0" w14:paraId="3F0CC090"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FEBEA6E" w14:textId="77777777" w:rsidR="00D535B0" w:rsidRPr="00D535B0" w:rsidRDefault="00D535B0" w:rsidP="00D535B0">
            <w:pPr>
              <w:pStyle w:val="tabletext"/>
              <w:rPr>
                <w:lang w:val="en-US" w:eastAsia="en-US"/>
              </w:rPr>
            </w:pPr>
            <w:r w:rsidRPr="00D535B0">
              <w:rPr>
                <w:lang w:val="en-US" w:eastAsia="en-US"/>
              </w:rPr>
              <w:t>174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88D47EA" w14:textId="77777777" w:rsidR="00D535B0" w:rsidRPr="00D535B0" w:rsidRDefault="00D535B0" w:rsidP="00D535B0">
            <w:pPr>
              <w:pStyle w:val="tabletext"/>
            </w:pPr>
            <w:r w:rsidRPr="00D535B0">
              <w:t>Subsection 601KE(3)</w:t>
            </w:r>
          </w:p>
        </w:tc>
      </w:tr>
      <w:tr w:rsidR="00D535B0" w:rsidRPr="00D535B0" w14:paraId="64FA1DD5"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7442502" w14:textId="77777777" w:rsidR="00D535B0" w:rsidRPr="00D535B0" w:rsidRDefault="00D535B0" w:rsidP="00D535B0">
            <w:pPr>
              <w:pStyle w:val="tabletext"/>
              <w:rPr>
                <w:lang w:val="en-US" w:eastAsia="en-US"/>
              </w:rPr>
            </w:pPr>
            <w:r w:rsidRPr="00D535B0">
              <w:rPr>
                <w:lang w:val="en-US" w:eastAsia="en-US"/>
              </w:rPr>
              <w:t>176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4CAF9E" w14:textId="77777777" w:rsidR="00D535B0" w:rsidRPr="00D535B0" w:rsidRDefault="00D535B0" w:rsidP="00D535B0">
            <w:pPr>
              <w:pStyle w:val="tabletext"/>
            </w:pPr>
            <w:r w:rsidRPr="00D535B0">
              <w:t>After subsection 601NC(2)</w:t>
            </w:r>
          </w:p>
        </w:tc>
      </w:tr>
      <w:tr w:rsidR="00D535B0" w:rsidRPr="00D535B0" w14:paraId="4E257086"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A57619F" w14:textId="77777777" w:rsidR="00D535B0" w:rsidRPr="00D535B0" w:rsidRDefault="00D535B0" w:rsidP="00D535B0">
            <w:pPr>
              <w:pStyle w:val="tabletext"/>
              <w:rPr>
                <w:lang w:val="en-US" w:eastAsia="en-US"/>
              </w:rPr>
            </w:pPr>
            <w:r w:rsidRPr="00D535B0">
              <w:rPr>
                <w:lang w:val="en-US" w:eastAsia="en-US"/>
              </w:rPr>
              <w:t>181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490A85" w14:textId="77777777" w:rsidR="00D535B0" w:rsidRPr="00D535B0" w:rsidRDefault="00D535B0" w:rsidP="00D535B0">
            <w:pPr>
              <w:pStyle w:val="tabletext"/>
            </w:pPr>
            <w:r w:rsidRPr="00D535B0">
              <w:t>After subsection 601PB(2)</w:t>
            </w:r>
          </w:p>
        </w:tc>
      </w:tr>
      <w:tr w:rsidR="00D535B0" w:rsidRPr="00D535B0" w14:paraId="0F262F9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D5AA737" w14:textId="77777777" w:rsidR="00D535B0" w:rsidRPr="00D535B0" w:rsidRDefault="00D535B0" w:rsidP="00D535B0">
            <w:pPr>
              <w:pStyle w:val="tabletext"/>
              <w:rPr>
                <w:lang w:val="en-US" w:eastAsia="en-US"/>
              </w:rPr>
            </w:pPr>
            <w:r w:rsidRPr="00D535B0">
              <w:rPr>
                <w:lang w:val="en-US" w:eastAsia="en-US"/>
              </w:rPr>
              <w:t>183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9CD96FC" w14:textId="77777777" w:rsidR="00D535B0" w:rsidRPr="00D535B0" w:rsidRDefault="00D535B0" w:rsidP="00D535B0">
            <w:pPr>
              <w:pStyle w:val="tabletext"/>
            </w:pPr>
            <w:r w:rsidRPr="00D535B0">
              <w:t>After subsection 630(5)</w:t>
            </w:r>
          </w:p>
        </w:tc>
      </w:tr>
      <w:tr w:rsidR="00D535B0" w:rsidRPr="00D535B0" w14:paraId="1866B349"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6FD93B8" w14:textId="77777777" w:rsidR="00D535B0" w:rsidRPr="00D535B0" w:rsidRDefault="00D535B0" w:rsidP="00D535B0">
            <w:pPr>
              <w:pStyle w:val="tabletext"/>
              <w:rPr>
                <w:lang w:val="en-US" w:eastAsia="en-US"/>
              </w:rPr>
            </w:pPr>
            <w:r w:rsidRPr="00D535B0">
              <w:rPr>
                <w:lang w:val="en-US" w:eastAsia="en-US"/>
              </w:rPr>
              <w:t>186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918D316" w14:textId="77777777" w:rsidR="00D535B0" w:rsidRPr="00D535B0" w:rsidRDefault="00D535B0" w:rsidP="00D535B0">
            <w:pPr>
              <w:pStyle w:val="tabletext"/>
            </w:pPr>
            <w:r w:rsidRPr="00D535B0">
              <w:t>After subsection 633(1)</w:t>
            </w:r>
          </w:p>
        </w:tc>
      </w:tr>
      <w:tr w:rsidR="00D535B0" w:rsidRPr="00D535B0" w14:paraId="0B1DCE9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6F8A527" w14:textId="77777777" w:rsidR="00D535B0" w:rsidRPr="00D535B0" w:rsidRDefault="00D535B0" w:rsidP="00D535B0">
            <w:pPr>
              <w:pStyle w:val="tabletext"/>
              <w:rPr>
                <w:lang w:val="en-US" w:eastAsia="en-US"/>
              </w:rPr>
            </w:pPr>
            <w:r w:rsidRPr="00D535B0">
              <w:rPr>
                <w:lang w:val="en-US" w:eastAsia="en-US"/>
              </w:rPr>
              <w:t>188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E49465" w14:textId="77777777" w:rsidR="00D535B0" w:rsidRPr="00D535B0" w:rsidRDefault="00D535B0" w:rsidP="00D535B0">
            <w:pPr>
              <w:pStyle w:val="tabletext"/>
            </w:pPr>
            <w:r w:rsidRPr="00D535B0">
              <w:t>After subsection 633(4)</w:t>
            </w:r>
          </w:p>
        </w:tc>
      </w:tr>
      <w:tr w:rsidR="00D535B0" w:rsidRPr="00D535B0" w14:paraId="36958E45"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18C5AD8" w14:textId="77777777" w:rsidR="00D535B0" w:rsidRPr="00D535B0" w:rsidRDefault="00D535B0" w:rsidP="00D535B0">
            <w:pPr>
              <w:pStyle w:val="tabletext"/>
              <w:rPr>
                <w:lang w:val="en-US" w:eastAsia="en-US"/>
              </w:rPr>
            </w:pPr>
            <w:r w:rsidRPr="00D535B0">
              <w:rPr>
                <w:lang w:val="en-US" w:eastAsia="en-US"/>
              </w:rPr>
              <w:t>191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085C2F8" w14:textId="77777777" w:rsidR="00D535B0" w:rsidRPr="00D535B0" w:rsidRDefault="00D535B0" w:rsidP="00D535B0">
            <w:pPr>
              <w:pStyle w:val="tabletext"/>
            </w:pPr>
            <w:r w:rsidRPr="00D535B0">
              <w:t>At the end of subsection 635(1)</w:t>
            </w:r>
          </w:p>
        </w:tc>
      </w:tr>
      <w:tr w:rsidR="00D535B0" w:rsidRPr="00D535B0" w14:paraId="0074B57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27FAF4E" w14:textId="77777777" w:rsidR="00D535B0" w:rsidRPr="00D535B0" w:rsidRDefault="00D535B0" w:rsidP="00D535B0">
            <w:pPr>
              <w:pStyle w:val="tabletext"/>
              <w:rPr>
                <w:lang w:val="en-US" w:eastAsia="en-US"/>
              </w:rPr>
            </w:pPr>
            <w:r w:rsidRPr="00D535B0">
              <w:rPr>
                <w:lang w:val="en-US" w:eastAsia="en-US"/>
              </w:rPr>
              <w:t>194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7750CB2" w14:textId="77777777" w:rsidR="00D535B0" w:rsidRPr="00D535B0" w:rsidRDefault="00D535B0" w:rsidP="00D535B0">
            <w:pPr>
              <w:pStyle w:val="tabletext"/>
            </w:pPr>
            <w:r w:rsidRPr="00D535B0">
              <w:t>After subsection 636(1)</w:t>
            </w:r>
          </w:p>
        </w:tc>
      </w:tr>
      <w:tr w:rsidR="00D535B0" w:rsidRPr="00D535B0" w14:paraId="279531C3"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862AE43" w14:textId="77777777" w:rsidR="00D535B0" w:rsidRPr="00D535B0" w:rsidRDefault="00D535B0" w:rsidP="00D535B0">
            <w:pPr>
              <w:pStyle w:val="tabletext"/>
              <w:rPr>
                <w:lang w:val="en-US" w:eastAsia="en-US"/>
              </w:rPr>
            </w:pPr>
            <w:r w:rsidRPr="00D535B0">
              <w:rPr>
                <w:lang w:val="en-US" w:eastAsia="en-US"/>
              </w:rPr>
              <w:t>197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CC408E0" w14:textId="77777777" w:rsidR="00D535B0" w:rsidRPr="00D535B0" w:rsidRDefault="00D535B0" w:rsidP="00D535B0">
            <w:pPr>
              <w:pStyle w:val="tabletext"/>
            </w:pPr>
            <w:r w:rsidRPr="00D535B0">
              <w:t>At the end of subsection 638(1)</w:t>
            </w:r>
          </w:p>
        </w:tc>
      </w:tr>
      <w:tr w:rsidR="00D535B0" w:rsidRPr="00D535B0" w14:paraId="6ED5F123"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1A2C066" w14:textId="77777777" w:rsidR="00D535B0" w:rsidRPr="00D535B0" w:rsidRDefault="00D535B0" w:rsidP="00D535B0">
            <w:pPr>
              <w:pStyle w:val="tabletext"/>
              <w:rPr>
                <w:lang w:val="en-US" w:eastAsia="en-US"/>
              </w:rPr>
            </w:pPr>
            <w:r w:rsidRPr="00D535B0">
              <w:rPr>
                <w:lang w:val="en-US" w:eastAsia="en-US"/>
              </w:rPr>
              <w:t>205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BBCDDF" w14:textId="77777777" w:rsidR="00D535B0" w:rsidRPr="00D535B0" w:rsidRDefault="00D535B0" w:rsidP="00D535B0">
            <w:pPr>
              <w:pStyle w:val="tabletext"/>
            </w:pPr>
            <w:r w:rsidRPr="00D535B0">
              <w:t>After paragraph 647(3)(c)</w:t>
            </w:r>
          </w:p>
        </w:tc>
      </w:tr>
      <w:tr w:rsidR="00D535B0" w:rsidRPr="00D535B0" w14:paraId="780CC877"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090BD62" w14:textId="77777777" w:rsidR="00D535B0" w:rsidRPr="00D535B0" w:rsidRDefault="00D535B0" w:rsidP="00D535B0">
            <w:pPr>
              <w:pStyle w:val="tabletext"/>
              <w:rPr>
                <w:lang w:val="en-US" w:eastAsia="en-US"/>
              </w:rPr>
            </w:pPr>
            <w:r w:rsidRPr="00D535B0">
              <w:rPr>
                <w:lang w:val="en-US" w:eastAsia="en-US"/>
              </w:rPr>
              <w:t>207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BBE2134" w14:textId="77777777" w:rsidR="00D535B0" w:rsidRPr="00D535B0" w:rsidRDefault="00D535B0" w:rsidP="00D535B0">
            <w:pPr>
              <w:pStyle w:val="tabletext"/>
            </w:pPr>
            <w:r w:rsidRPr="00D535B0">
              <w:t>At the end of subsection 648G(9)</w:t>
            </w:r>
          </w:p>
        </w:tc>
      </w:tr>
      <w:tr w:rsidR="00D535B0" w:rsidRPr="00D535B0" w14:paraId="470854F4"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D7371BF" w14:textId="77777777" w:rsidR="00D535B0" w:rsidRPr="00D535B0" w:rsidRDefault="00D535B0" w:rsidP="00D535B0">
            <w:pPr>
              <w:pStyle w:val="tabletext"/>
              <w:rPr>
                <w:lang w:val="en-US" w:eastAsia="en-US"/>
              </w:rPr>
            </w:pPr>
            <w:r w:rsidRPr="00D535B0">
              <w:rPr>
                <w:lang w:val="en-US" w:eastAsia="en-US"/>
              </w:rPr>
              <w:t>209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DF713E" w14:textId="77777777" w:rsidR="00D535B0" w:rsidRPr="00D535B0" w:rsidRDefault="00D535B0" w:rsidP="00D535B0">
            <w:pPr>
              <w:pStyle w:val="tabletext"/>
            </w:pPr>
            <w:r w:rsidRPr="00D535B0">
              <w:t>At the end of subsection 649C(2)</w:t>
            </w:r>
          </w:p>
        </w:tc>
      </w:tr>
      <w:tr w:rsidR="00D535B0" w:rsidRPr="00D535B0" w14:paraId="4A26AAB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5AFF107" w14:textId="77777777" w:rsidR="00D535B0" w:rsidRPr="00D535B0" w:rsidRDefault="00D535B0" w:rsidP="00D535B0">
            <w:pPr>
              <w:pStyle w:val="tabletext"/>
              <w:rPr>
                <w:lang w:val="en-US" w:eastAsia="en-US"/>
              </w:rPr>
            </w:pPr>
            <w:r w:rsidRPr="00D535B0">
              <w:rPr>
                <w:lang w:val="en-US" w:eastAsia="en-US"/>
              </w:rPr>
              <w:t>211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9BE71F5" w14:textId="77777777" w:rsidR="00D535B0" w:rsidRPr="00D535B0" w:rsidRDefault="00D535B0" w:rsidP="00D535B0">
            <w:pPr>
              <w:pStyle w:val="tabletext"/>
            </w:pPr>
            <w:r w:rsidRPr="00D535B0">
              <w:t>After subsection 650D(1)</w:t>
            </w:r>
          </w:p>
        </w:tc>
      </w:tr>
      <w:tr w:rsidR="00D535B0" w:rsidRPr="00D535B0" w14:paraId="648CF3B1"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870A2E5" w14:textId="77777777" w:rsidR="00D535B0" w:rsidRPr="00D535B0" w:rsidRDefault="00D535B0" w:rsidP="00D535B0">
            <w:pPr>
              <w:pStyle w:val="tabletext"/>
              <w:rPr>
                <w:lang w:val="en-US" w:eastAsia="en-US"/>
              </w:rPr>
            </w:pPr>
            <w:r w:rsidRPr="00D535B0">
              <w:rPr>
                <w:lang w:val="en-US" w:eastAsia="en-US"/>
              </w:rPr>
              <w:t>215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2618AA" w14:textId="77777777" w:rsidR="00D535B0" w:rsidRPr="00D535B0" w:rsidRDefault="00D535B0" w:rsidP="00D535B0">
            <w:pPr>
              <w:pStyle w:val="tabletext"/>
            </w:pPr>
            <w:r w:rsidRPr="00D535B0">
              <w:t>At the end of subsection 650F(3)</w:t>
            </w:r>
          </w:p>
        </w:tc>
      </w:tr>
      <w:tr w:rsidR="00D535B0" w:rsidRPr="00D535B0" w14:paraId="1D010CE9"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E6DC783" w14:textId="77777777" w:rsidR="00D535B0" w:rsidRPr="00D535B0" w:rsidRDefault="00D535B0" w:rsidP="00D535B0">
            <w:pPr>
              <w:pStyle w:val="tabletext"/>
              <w:rPr>
                <w:lang w:val="en-US" w:eastAsia="en-US"/>
              </w:rPr>
            </w:pPr>
            <w:r w:rsidRPr="00D535B0">
              <w:rPr>
                <w:lang w:val="en-US" w:eastAsia="en-US"/>
              </w:rPr>
              <w:t>218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8BA9E2" w14:textId="77777777" w:rsidR="00D535B0" w:rsidRPr="00D535B0" w:rsidRDefault="00D535B0" w:rsidP="00D535B0">
            <w:pPr>
              <w:pStyle w:val="tabletext"/>
            </w:pPr>
            <w:r w:rsidRPr="00D535B0">
              <w:t>At the end of subsection 654C(3)</w:t>
            </w:r>
          </w:p>
        </w:tc>
      </w:tr>
      <w:tr w:rsidR="00D535B0" w:rsidRPr="00D535B0" w14:paraId="2AA708E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C58F6E6" w14:textId="77777777" w:rsidR="00D535B0" w:rsidRPr="00D535B0" w:rsidRDefault="00D535B0" w:rsidP="00D535B0">
            <w:pPr>
              <w:pStyle w:val="tabletext"/>
              <w:rPr>
                <w:lang w:val="en-US" w:eastAsia="en-US"/>
              </w:rPr>
            </w:pPr>
            <w:r w:rsidRPr="00D535B0">
              <w:rPr>
                <w:lang w:val="en-US" w:eastAsia="en-US"/>
              </w:rPr>
              <w:t>220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04AE80" w14:textId="77777777" w:rsidR="00D535B0" w:rsidRPr="00D535B0" w:rsidRDefault="00D535B0" w:rsidP="00D535B0">
            <w:pPr>
              <w:pStyle w:val="tabletext"/>
            </w:pPr>
            <w:r w:rsidRPr="00D535B0">
              <w:t>Paragraph 661B(1)(a)</w:t>
            </w:r>
          </w:p>
        </w:tc>
      </w:tr>
      <w:tr w:rsidR="00D535B0" w:rsidRPr="00D535B0" w14:paraId="1A4F0AB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50DDD7C" w14:textId="77777777" w:rsidR="00D535B0" w:rsidRPr="00D535B0" w:rsidRDefault="00D535B0" w:rsidP="00D535B0">
            <w:pPr>
              <w:pStyle w:val="tabletext"/>
              <w:rPr>
                <w:lang w:val="en-US" w:eastAsia="en-US"/>
              </w:rPr>
            </w:pPr>
            <w:r w:rsidRPr="00D535B0">
              <w:rPr>
                <w:lang w:val="en-US" w:eastAsia="en-US"/>
              </w:rPr>
              <w:t>221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F6CE23" w14:textId="77777777" w:rsidR="00D535B0" w:rsidRPr="00D535B0" w:rsidRDefault="00D535B0" w:rsidP="00D535B0">
            <w:pPr>
              <w:pStyle w:val="tabletext"/>
            </w:pPr>
            <w:r w:rsidRPr="00D535B0">
              <w:t>At the end of paragraph 661B(1)(a)</w:t>
            </w:r>
          </w:p>
        </w:tc>
      </w:tr>
      <w:tr w:rsidR="00D535B0" w:rsidRPr="00D535B0" w14:paraId="2336A09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55B5EA1" w14:textId="77777777" w:rsidR="00D535B0" w:rsidRPr="00D535B0" w:rsidRDefault="00D535B0" w:rsidP="00D535B0">
            <w:pPr>
              <w:pStyle w:val="tabletext"/>
              <w:rPr>
                <w:lang w:val="en-US" w:eastAsia="en-US"/>
              </w:rPr>
            </w:pPr>
            <w:r w:rsidRPr="00D535B0">
              <w:rPr>
                <w:lang w:val="en-US" w:eastAsia="en-US"/>
              </w:rPr>
              <w:t>225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D4A3740" w14:textId="77777777" w:rsidR="00D535B0" w:rsidRPr="00D535B0" w:rsidRDefault="00D535B0" w:rsidP="00D535B0">
            <w:pPr>
              <w:pStyle w:val="tabletext"/>
            </w:pPr>
            <w:r w:rsidRPr="00D535B0">
              <w:t>Paragraph 662B(1)(a)</w:t>
            </w:r>
          </w:p>
        </w:tc>
      </w:tr>
      <w:tr w:rsidR="00D535B0" w:rsidRPr="00D535B0" w14:paraId="3D9BEE31"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1BC8560" w14:textId="77777777" w:rsidR="00D535B0" w:rsidRPr="00D535B0" w:rsidRDefault="00D535B0" w:rsidP="00D535B0">
            <w:pPr>
              <w:pStyle w:val="tabletext"/>
              <w:rPr>
                <w:lang w:val="en-US" w:eastAsia="en-US"/>
              </w:rPr>
            </w:pPr>
            <w:r w:rsidRPr="00D535B0">
              <w:rPr>
                <w:lang w:val="en-US" w:eastAsia="en-US"/>
              </w:rPr>
              <w:t>226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555B4A" w14:textId="77777777" w:rsidR="00D535B0" w:rsidRPr="00D535B0" w:rsidRDefault="00D535B0" w:rsidP="00D535B0">
            <w:pPr>
              <w:pStyle w:val="tabletext"/>
            </w:pPr>
            <w:r w:rsidRPr="00D535B0">
              <w:t>At the end of paragraph 662B(1)(a)</w:t>
            </w:r>
          </w:p>
        </w:tc>
      </w:tr>
      <w:tr w:rsidR="00D535B0" w:rsidRPr="00D535B0" w14:paraId="162C6F34"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20DA325" w14:textId="77777777" w:rsidR="00D535B0" w:rsidRPr="00D535B0" w:rsidRDefault="00D535B0" w:rsidP="00D535B0">
            <w:pPr>
              <w:pStyle w:val="tabletext"/>
              <w:rPr>
                <w:lang w:val="en-US" w:eastAsia="en-US"/>
              </w:rPr>
            </w:pPr>
            <w:r w:rsidRPr="00D535B0">
              <w:rPr>
                <w:lang w:val="en-US" w:eastAsia="en-US"/>
              </w:rPr>
              <w:t>232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389804" w14:textId="77777777" w:rsidR="00D535B0" w:rsidRPr="00D535B0" w:rsidRDefault="00D535B0" w:rsidP="00D535B0">
            <w:pPr>
              <w:pStyle w:val="tabletext"/>
            </w:pPr>
            <w:r w:rsidRPr="00D535B0">
              <w:t>Paragraph 663B(1)(a)</w:t>
            </w:r>
          </w:p>
        </w:tc>
      </w:tr>
      <w:tr w:rsidR="00D535B0" w:rsidRPr="00D535B0" w14:paraId="0AC418AC"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1B2D5A4" w14:textId="77777777" w:rsidR="00D535B0" w:rsidRPr="00D535B0" w:rsidRDefault="00D535B0" w:rsidP="00D535B0">
            <w:pPr>
              <w:pStyle w:val="tabletext"/>
              <w:rPr>
                <w:lang w:val="en-US" w:eastAsia="en-US"/>
              </w:rPr>
            </w:pPr>
            <w:r w:rsidRPr="00D535B0">
              <w:rPr>
                <w:lang w:val="en-US" w:eastAsia="en-US"/>
              </w:rPr>
              <w:t>233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4BABBD2" w14:textId="77777777" w:rsidR="00D535B0" w:rsidRPr="00D535B0" w:rsidRDefault="00D535B0" w:rsidP="00D535B0">
            <w:pPr>
              <w:pStyle w:val="tabletext"/>
            </w:pPr>
            <w:r w:rsidRPr="00D535B0">
              <w:t>At the end of paragraph 663B(1)(a)</w:t>
            </w:r>
          </w:p>
        </w:tc>
      </w:tr>
      <w:tr w:rsidR="00D535B0" w:rsidRPr="00D535B0" w14:paraId="241E1BC1"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FF32680" w14:textId="77777777" w:rsidR="00D535B0" w:rsidRPr="00D535B0" w:rsidRDefault="00D535B0" w:rsidP="00D535B0">
            <w:pPr>
              <w:pStyle w:val="tabletext"/>
              <w:rPr>
                <w:lang w:val="en-US" w:eastAsia="en-US"/>
              </w:rPr>
            </w:pPr>
            <w:r w:rsidRPr="00D535B0">
              <w:rPr>
                <w:lang w:val="en-US" w:eastAsia="en-US"/>
              </w:rPr>
              <w:t>239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E18AFD3" w14:textId="77777777" w:rsidR="00D535B0" w:rsidRPr="00D535B0" w:rsidRDefault="00D535B0" w:rsidP="00D535B0">
            <w:pPr>
              <w:pStyle w:val="tabletext"/>
            </w:pPr>
            <w:r w:rsidRPr="00D535B0">
              <w:t>Subsection 664C(1)</w:t>
            </w:r>
          </w:p>
        </w:tc>
      </w:tr>
      <w:tr w:rsidR="00D535B0" w:rsidRPr="00D535B0" w14:paraId="3047E110"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21B7662" w14:textId="77777777" w:rsidR="00D535B0" w:rsidRPr="00D535B0" w:rsidRDefault="00D535B0" w:rsidP="00D535B0">
            <w:pPr>
              <w:pStyle w:val="tabletext"/>
              <w:rPr>
                <w:lang w:val="en-US" w:eastAsia="en-US"/>
              </w:rPr>
            </w:pPr>
            <w:r w:rsidRPr="00D535B0">
              <w:rPr>
                <w:lang w:val="en-US" w:eastAsia="en-US"/>
              </w:rPr>
              <w:t>240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2995B13" w14:textId="77777777" w:rsidR="00D535B0" w:rsidRPr="00D535B0" w:rsidRDefault="00D535B0" w:rsidP="00D535B0">
            <w:pPr>
              <w:pStyle w:val="tabletext"/>
            </w:pPr>
            <w:r w:rsidRPr="00D535B0">
              <w:t>At the end of subsection 664C(1)</w:t>
            </w:r>
          </w:p>
        </w:tc>
      </w:tr>
      <w:tr w:rsidR="00D535B0" w:rsidRPr="00D535B0" w14:paraId="51256911"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091F1A3" w14:textId="77777777" w:rsidR="00D535B0" w:rsidRPr="00D535B0" w:rsidRDefault="00D535B0" w:rsidP="00D535B0">
            <w:pPr>
              <w:pStyle w:val="tabletext"/>
              <w:rPr>
                <w:lang w:val="en-US" w:eastAsia="en-US"/>
              </w:rPr>
            </w:pPr>
            <w:r w:rsidRPr="00D535B0">
              <w:rPr>
                <w:lang w:val="en-US" w:eastAsia="en-US"/>
              </w:rPr>
              <w:t>244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9EFD75B" w14:textId="77777777" w:rsidR="00D535B0" w:rsidRPr="00D535B0" w:rsidRDefault="00D535B0" w:rsidP="00D535B0">
            <w:pPr>
              <w:pStyle w:val="tabletext"/>
            </w:pPr>
            <w:r w:rsidRPr="00D535B0">
              <w:t>At the end of subsection 664E(2)</w:t>
            </w:r>
          </w:p>
        </w:tc>
      </w:tr>
      <w:tr w:rsidR="00D535B0" w:rsidRPr="00D535B0" w14:paraId="37D7145D"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33C950F" w14:textId="77777777" w:rsidR="00D535B0" w:rsidRPr="00D535B0" w:rsidRDefault="00D535B0" w:rsidP="00D535B0">
            <w:pPr>
              <w:pStyle w:val="tabletext"/>
              <w:rPr>
                <w:lang w:val="en-US" w:eastAsia="en-US"/>
              </w:rPr>
            </w:pPr>
            <w:r w:rsidRPr="00D535B0">
              <w:rPr>
                <w:lang w:val="en-US" w:eastAsia="en-US"/>
              </w:rPr>
              <w:t>246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62F18CB" w14:textId="77777777" w:rsidR="00D535B0" w:rsidRPr="00D535B0" w:rsidRDefault="00D535B0" w:rsidP="00D535B0">
            <w:pPr>
              <w:pStyle w:val="tabletext"/>
            </w:pPr>
            <w:r w:rsidRPr="00D535B0">
              <w:t>At the end of subsection 664E(3)</w:t>
            </w:r>
          </w:p>
        </w:tc>
      </w:tr>
      <w:tr w:rsidR="00D535B0" w:rsidRPr="00D535B0" w14:paraId="58BE9D2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1350DD9" w14:textId="77777777" w:rsidR="00D535B0" w:rsidRPr="00D535B0" w:rsidRDefault="00D535B0" w:rsidP="00D535B0">
            <w:pPr>
              <w:pStyle w:val="tabletext"/>
              <w:rPr>
                <w:lang w:val="en-US" w:eastAsia="en-US"/>
              </w:rPr>
            </w:pPr>
            <w:r w:rsidRPr="00D535B0">
              <w:rPr>
                <w:lang w:val="en-US" w:eastAsia="en-US"/>
              </w:rPr>
              <w:t>247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612468" w14:textId="77777777" w:rsidR="00D535B0" w:rsidRPr="00D535B0" w:rsidRDefault="00D535B0" w:rsidP="00D535B0">
            <w:pPr>
              <w:pStyle w:val="tabletext"/>
            </w:pPr>
            <w:r w:rsidRPr="00D535B0">
              <w:t>Paragraph 665B(1)(a)</w:t>
            </w:r>
          </w:p>
        </w:tc>
      </w:tr>
      <w:tr w:rsidR="00D535B0" w:rsidRPr="00D535B0" w14:paraId="3D6DDAD9"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3A07056" w14:textId="77777777" w:rsidR="00D535B0" w:rsidRPr="00D535B0" w:rsidRDefault="00D535B0" w:rsidP="00D535B0">
            <w:pPr>
              <w:pStyle w:val="tabletext"/>
              <w:rPr>
                <w:lang w:val="en-US" w:eastAsia="en-US"/>
              </w:rPr>
            </w:pPr>
            <w:r w:rsidRPr="00D535B0">
              <w:rPr>
                <w:lang w:val="en-US" w:eastAsia="en-US"/>
              </w:rPr>
              <w:t>248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D02546E" w14:textId="77777777" w:rsidR="00D535B0" w:rsidRPr="00D535B0" w:rsidRDefault="00D535B0" w:rsidP="00D535B0">
            <w:pPr>
              <w:pStyle w:val="tabletext"/>
            </w:pPr>
            <w:r w:rsidRPr="00D535B0">
              <w:t>At the end of paragraph 665B(1)(a)</w:t>
            </w:r>
          </w:p>
        </w:tc>
      </w:tr>
      <w:tr w:rsidR="00D535B0" w:rsidRPr="00D535B0" w14:paraId="299E077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A719D56" w14:textId="77777777" w:rsidR="00D535B0" w:rsidRPr="00D535B0" w:rsidRDefault="00D535B0" w:rsidP="00D535B0">
            <w:pPr>
              <w:pStyle w:val="tabletext"/>
              <w:rPr>
                <w:lang w:val="en-US" w:eastAsia="en-US"/>
              </w:rPr>
            </w:pPr>
            <w:r w:rsidRPr="00D535B0">
              <w:rPr>
                <w:lang w:val="en-US" w:eastAsia="en-US"/>
              </w:rPr>
              <w:t>251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3ADB24D" w14:textId="77777777" w:rsidR="00D535B0" w:rsidRPr="00D535B0" w:rsidRDefault="00D535B0" w:rsidP="00D535B0">
            <w:pPr>
              <w:pStyle w:val="tabletext"/>
            </w:pPr>
            <w:r w:rsidRPr="00D535B0">
              <w:t>After subsection 665B(1)</w:t>
            </w:r>
          </w:p>
        </w:tc>
      </w:tr>
      <w:tr w:rsidR="00D535B0" w:rsidRPr="00D535B0" w14:paraId="2B275F6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E90613A" w14:textId="77777777" w:rsidR="00D535B0" w:rsidRPr="00D535B0" w:rsidRDefault="00D535B0" w:rsidP="00D535B0">
            <w:pPr>
              <w:pStyle w:val="tabletext"/>
              <w:rPr>
                <w:lang w:val="en-US" w:eastAsia="en-US"/>
              </w:rPr>
            </w:pPr>
            <w:r w:rsidRPr="00D535B0">
              <w:rPr>
                <w:lang w:val="en-US" w:eastAsia="en-US"/>
              </w:rPr>
              <w:lastRenderedPageBreak/>
              <w:t>258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EECC7A" w14:textId="77777777" w:rsidR="00D535B0" w:rsidRPr="00D535B0" w:rsidRDefault="00D535B0" w:rsidP="00D535B0">
            <w:pPr>
              <w:pStyle w:val="tabletext"/>
            </w:pPr>
            <w:r w:rsidRPr="00D535B0">
              <w:t>Subsection 672DA(4)</w:t>
            </w:r>
          </w:p>
        </w:tc>
      </w:tr>
      <w:tr w:rsidR="00D535B0" w:rsidRPr="00D535B0" w14:paraId="24EDFE5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084C339" w14:textId="77777777" w:rsidR="00D535B0" w:rsidRPr="00D535B0" w:rsidRDefault="00D535B0" w:rsidP="00D535B0">
            <w:pPr>
              <w:pStyle w:val="tabletext"/>
              <w:rPr>
                <w:lang w:val="en-US" w:eastAsia="en-US"/>
              </w:rPr>
            </w:pPr>
            <w:r w:rsidRPr="00D535B0">
              <w:rPr>
                <w:lang w:val="en-US" w:eastAsia="en-US"/>
              </w:rPr>
              <w:t>261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0422765" w14:textId="77777777" w:rsidR="00D535B0" w:rsidRPr="00D535B0" w:rsidRDefault="00D535B0" w:rsidP="00D535B0">
            <w:pPr>
              <w:pStyle w:val="tabletext"/>
            </w:pPr>
            <w:r w:rsidRPr="00D535B0">
              <w:t>Subsection 675(2)</w:t>
            </w:r>
          </w:p>
        </w:tc>
      </w:tr>
      <w:tr w:rsidR="00D535B0" w:rsidRPr="00D535B0" w14:paraId="7CD9F1B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9426535" w14:textId="77777777" w:rsidR="00D535B0" w:rsidRPr="00D535B0" w:rsidRDefault="00D535B0" w:rsidP="00D535B0">
            <w:pPr>
              <w:pStyle w:val="tabletext"/>
              <w:rPr>
                <w:lang w:val="en-US" w:eastAsia="en-US"/>
              </w:rPr>
            </w:pPr>
            <w:r w:rsidRPr="00D535B0">
              <w:rPr>
                <w:lang w:val="en-US" w:eastAsia="en-US"/>
              </w:rPr>
              <w:t>265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3317ECA" w14:textId="77777777" w:rsidR="00D535B0" w:rsidRPr="00D535B0" w:rsidRDefault="00D535B0" w:rsidP="00D535B0">
            <w:pPr>
              <w:pStyle w:val="tabletext"/>
            </w:pPr>
            <w:r w:rsidRPr="00D535B0">
              <w:t>At the end of subsection 708A(11)</w:t>
            </w:r>
          </w:p>
        </w:tc>
      </w:tr>
      <w:tr w:rsidR="00D535B0" w:rsidRPr="00D535B0" w14:paraId="42496F7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01B97C8" w14:textId="77777777" w:rsidR="00D535B0" w:rsidRPr="00D535B0" w:rsidRDefault="00D535B0" w:rsidP="00D535B0">
            <w:pPr>
              <w:pStyle w:val="tabletext"/>
              <w:rPr>
                <w:lang w:val="en-US" w:eastAsia="en-US"/>
              </w:rPr>
            </w:pPr>
            <w:r w:rsidRPr="00D535B0">
              <w:rPr>
                <w:lang w:val="en-US" w:eastAsia="en-US"/>
              </w:rPr>
              <w:t>274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D9AAF71" w14:textId="77777777" w:rsidR="00D535B0" w:rsidRPr="00D535B0" w:rsidRDefault="00D535B0" w:rsidP="00D535B0">
            <w:pPr>
              <w:pStyle w:val="tabletext"/>
            </w:pPr>
            <w:r w:rsidRPr="00D535B0">
              <w:t>At the end of subsection 712(4)</w:t>
            </w:r>
          </w:p>
        </w:tc>
      </w:tr>
      <w:tr w:rsidR="00D535B0" w:rsidRPr="00D535B0" w14:paraId="3B1FEBF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64549C0" w14:textId="77777777" w:rsidR="00D535B0" w:rsidRPr="00D535B0" w:rsidRDefault="00D535B0" w:rsidP="00D535B0">
            <w:pPr>
              <w:pStyle w:val="tabletext"/>
              <w:rPr>
                <w:lang w:val="en-US" w:eastAsia="en-US"/>
              </w:rPr>
            </w:pPr>
            <w:r w:rsidRPr="00D535B0">
              <w:rPr>
                <w:lang w:val="en-US" w:eastAsia="en-US"/>
              </w:rPr>
              <w:t>278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2AFC59" w14:textId="77777777" w:rsidR="00D535B0" w:rsidRPr="00D535B0" w:rsidRDefault="00D535B0" w:rsidP="00D535B0">
            <w:pPr>
              <w:pStyle w:val="tabletext"/>
            </w:pPr>
            <w:r w:rsidRPr="00D535B0">
              <w:t>At the end of subsection 713B(5)</w:t>
            </w:r>
          </w:p>
        </w:tc>
      </w:tr>
      <w:tr w:rsidR="00D535B0" w:rsidRPr="00D535B0" w14:paraId="178893B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2ACA338" w14:textId="77777777" w:rsidR="00D535B0" w:rsidRPr="00D535B0" w:rsidRDefault="00D535B0" w:rsidP="00D535B0">
            <w:pPr>
              <w:pStyle w:val="tabletext"/>
              <w:rPr>
                <w:lang w:val="en-US" w:eastAsia="en-US"/>
              </w:rPr>
            </w:pPr>
            <w:r w:rsidRPr="00D535B0">
              <w:rPr>
                <w:lang w:val="en-US" w:eastAsia="en-US"/>
              </w:rPr>
              <w:t>280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FE8D89" w14:textId="77777777" w:rsidR="00D535B0" w:rsidRPr="00D535B0" w:rsidRDefault="00D535B0" w:rsidP="00D535B0">
            <w:pPr>
              <w:pStyle w:val="tabletext"/>
            </w:pPr>
            <w:r w:rsidRPr="00D535B0">
              <w:t>After subsection 713C(1)</w:t>
            </w:r>
          </w:p>
        </w:tc>
      </w:tr>
      <w:tr w:rsidR="00D535B0" w:rsidRPr="00D535B0" w14:paraId="13C94E1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D97B03D" w14:textId="77777777" w:rsidR="00D535B0" w:rsidRPr="00D535B0" w:rsidRDefault="00D535B0" w:rsidP="00D535B0">
            <w:pPr>
              <w:pStyle w:val="tabletext"/>
              <w:rPr>
                <w:lang w:val="en-US" w:eastAsia="en-US"/>
              </w:rPr>
            </w:pPr>
            <w:r w:rsidRPr="00D535B0">
              <w:rPr>
                <w:lang w:val="en-US" w:eastAsia="en-US"/>
              </w:rPr>
              <w:t>282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F510F6A" w14:textId="77777777" w:rsidR="00D535B0" w:rsidRPr="00D535B0" w:rsidRDefault="00D535B0" w:rsidP="00D535B0">
            <w:pPr>
              <w:pStyle w:val="tabletext"/>
            </w:pPr>
            <w:r w:rsidRPr="00D535B0">
              <w:t>After subsection 713D(1)</w:t>
            </w:r>
          </w:p>
        </w:tc>
      </w:tr>
      <w:tr w:rsidR="00D535B0" w:rsidRPr="00D535B0" w14:paraId="4EF28D5D"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CC4C60F" w14:textId="77777777" w:rsidR="00D535B0" w:rsidRPr="00D535B0" w:rsidRDefault="00D535B0" w:rsidP="00D535B0">
            <w:pPr>
              <w:pStyle w:val="tabletext"/>
              <w:rPr>
                <w:lang w:val="en-US" w:eastAsia="en-US"/>
              </w:rPr>
            </w:pPr>
            <w:r w:rsidRPr="00D535B0">
              <w:rPr>
                <w:lang w:val="en-US" w:eastAsia="en-US"/>
              </w:rPr>
              <w:t>287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EEE5CC" w14:textId="77777777" w:rsidR="00D535B0" w:rsidRPr="00D535B0" w:rsidRDefault="00D535B0" w:rsidP="00D535B0">
            <w:pPr>
              <w:pStyle w:val="tabletext"/>
            </w:pPr>
            <w:r w:rsidRPr="00D535B0">
              <w:t>At the end of subsection 713E(4)</w:t>
            </w:r>
          </w:p>
        </w:tc>
      </w:tr>
      <w:tr w:rsidR="00D535B0" w:rsidRPr="00D535B0" w14:paraId="7DCFFA2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A2602D9" w14:textId="77777777" w:rsidR="00D535B0" w:rsidRPr="00D535B0" w:rsidRDefault="00D535B0" w:rsidP="00D535B0">
            <w:pPr>
              <w:pStyle w:val="tabletext"/>
              <w:rPr>
                <w:lang w:val="en-US" w:eastAsia="en-US"/>
              </w:rPr>
            </w:pPr>
            <w:r w:rsidRPr="00D535B0">
              <w:rPr>
                <w:lang w:val="en-US" w:eastAsia="en-US"/>
              </w:rPr>
              <w:t>288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F482569" w14:textId="77777777" w:rsidR="00D535B0" w:rsidRPr="00D535B0" w:rsidRDefault="00D535B0" w:rsidP="00D535B0">
            <w:pPr>
              <w:pStyle w:val="tabletext"/>
            </w:pPr>
            <w:r w:rsidRPr="00D535B0">
              <w:t>After subsection 713E(4)</w:t>
            </w:r>
          </w:p>
        </w:tc>
      </w:tr>
      <w:tr w:rsidR="00D535B0" w:rsidRPr="00D535B0" w14:paraId="2E6F8BB9"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EBD3956" w14:textId="77777777" w:rsidR="00D535B0" w:rsidRPr="00D535B0" w:rsidRDefault="00D535B0" w:rsidP="00D535B0">
            <w:pPr>
              <w:pStyle w:val="tabletext"/>
              <w:rPr>
                <w:lang w:val="en-US" w:eastAsia="en-US"/>
              </w:rPr>
            </w:pPr>
            <w:r w:rsidRPr="00D535B0">
              <w:rPr>
                <w:lang w:val="en-US" w:eastAsia="en-US"/>
              </w:rPr>
              <w:t>292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C4D5982" w14:textId="77777777" w:rsidR="00D535B0" w:rsidRPr="00D535B0" w:rsidRDefault="00D535B0" w:rsidP="00D535B0">
            <w:pPr>
              <w:pStyle w:val="tabletext"/>
            </w:pPr>
            <w:r w:rsidRPr="00D535B0">
              <w:t>After subsection 714(1)</w:t>
            </w:r>
          </w:p>
        </w:tc>
      </w:tr>
      <w:tr w:rsidR="00D535B0" w:rsidRPr="00D535B0" w14:paraId="3B80F3D0"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84FF43A" w14:textId="77777777" w:rsidR="00D535B0" w:rsidRPr="00D535B0" w:rsidRDefault="00D535B0" w:rsidP="00D535B0">
            <w:pPr>
              <w:pStyle w:val="tabletext"/>
              <w:rPr>
                <w:lang w:val="en-US" w:eastAsia="en-US"/>
              </w:rPr>
            </w:pPr>
            <w:r w:rsidRPr="00D535B0">
              <w:rPr>
                <w:lang w:val="en-US" w:eastAsia="en-US"/>
              </w:rPr>
              <w:t>295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E591B80" w14:textId="77777777" w:rsidR="00D535B0" w:rsidRPr="00D535B0" w:rsidRDefault="00D535B0" w:rsidP="00D535B0">
            <w:pPr>
              <w:pStyle w:val="tabletext"/>
            </w:pPr>
            <w:r w:rsidRPr="00D535B0">
              <w:t>After subsection 715(1)</w:t>
            </w:r>
          </w:p>
        </w:tc>
      </w:tr>
      <w:tr w:rsidR="00D535B0" w:rsidRPr="00D535B0" w14:paraId="0C2FDF3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D164535" w14:textId="77777777" w:rsidR="00D535B0" w:rsidRPr="00D535B0" w:rsidRDefault="00D535B0" w:rsidP="00D535B0">
            <w:pPr>
              <w:pStyle w:val="tabletext"/>
              <w:rPr>
                <w:lang w:val="en-US" w:eastAsia="en-US"/>
              </w:rPr>
            </w:pPr>
            <w:r w:rsidRPr="00D535B0">
              <w:rPr>
                <w:lang w:val="en-US" w:eastAsia="en-US"/>
              </w:rPr>
              <w:t>302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A69E981" w14:textId="77777777" w:rsidR="00D535B0" w:rsidRPr="00D535B0" w:rsidRDefault="00D535B0" w:rsidP="00D535B0">
            <w:pPr>
              <w:pStyle w:val="tabletext"/>
            </w:pPr>
            <w:r w:rsidRPr="00D535B0">
              <w:t>Subparagraph 719(1)(c)(</w:t>
            </w:r>
            <w:proofErr w:type="spellStart"/>
            <w:r w:rsidRPr="00D535B0">
              <w:t>i</w:t>
            </w:r>
            <w:proofErr w:type="spellEnd"/>
            <w:r w:rsidRPr="00D535B0">
              <w:t>)</w:t>
            </w:r>
          </w:p>
        </w:tc>
      </w:tr>
      <w:tr w:rsidR="00D535B0" w:rsidRPr="00D535B0" w14:paraId="59C53D57"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3941E26" w14:textId="77777777" w:rsidR="00D535B0" w:rsidRPr="00D535B0" w:rsidRDefault="00D535B0" w:rsidP="00D535B0">
            <w:pPr>
              <w:pStyle w:val="tabletext"/>
              <w:rPr>
                <w:lang w:val="en-US" w:eastAsia="en-US"/>
              </w:rPr>
            </w:pPr>
            <w:r w:rsidRPr="00D535B0">
              <w:rPr>
                <w:lang w:val="en-US" w:eastAsia="en-US"/>
              </w:rPr>
              <w:t>310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4555C5E" w14:textId="77777777" w:rsidR="00D535B0" w:rsidRPr="00D535B0" w:rsidRDefault="00D535B0" w:rsidP="00D535B0">
            <w:pPr>
              <w:pStyle w:val="tabletext"/>
            </w:pPr>
            <w:r w:rsidRPr="00D535B0">
              <w:t>After subsection 719A(3)</w:t>
            </w:r>
          </w:p>
        </w:tc>
      </w:tr>
      <w:tr w:rsidR="00D535B0" w:rsidRPr="00D535B0" w14:paraId="2F808C9D"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ECF1F79" w14:textId="77777777" w:rsidR="00D535B0" w:rsidRPr="00D535B0" w:rsidRDefault="00D535B0" w:rsidP="00D535B0">
            <w:pPr>
              <w:pStyle w:val="tabletext"/>
              <w:rPr>
                <w:lang w:val="en-US" w:eastAsia="en-US"/>
              </w:rPr>
            </w:pPr>
            <w:r w:rsidRPr="00D535B0">
              <w:rPr>
                <w:lang w:val="en-US" w:eastAsia="en-US"/>
              </w:rPr>
              <w:t>322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AF7623C" w14:textId="77777777" w:rsidR="00D535B0" w:rsidRPr="00D535B0" w:rsidRDefault="00D535B0" w:rsidP="00D535B0">
            <w:pPr>
              <w:pStyle w:val="tabletext"/>
            </w:pPr>
            <w:r w:rsidRPr="00D535B0">
              <w:t>Subsection 792B(5) (note 1)</w:t>
            </w:r>
          </w:p>
        </w:tc>
      </w:tr>
      <w:tr w:rsidR="00D535B0" w:rsidRPr="00D535B0" w14:paraId="7B66FEA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19F1D67" w14:textId="77777777" w:rsidR="00D535B0" w:rsidRPr="00D535B0" w:rsidRDefault="00D535B0" w:rsidP="00D535B0">
            <w:pPr>
              <w:pStyle w:val="tabletext"/>
              <w:rPr>
                <w:lang w:val="en-US" w:eastAsia="en-US"/>
              </w:rPr>
            </w:pPr>
            <w:r w:rsidRPr="00D535B0">
              <w:rPr>
                <w:lang w:val="en-US" w:eastAsia="en-US"/>
              </w:rPr>
              <w:t>323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37E55E" w14:textId="77777777" w:rsidR="00D535B0" w:rsidRPr="00D535B0" w:rsidRDefault="00D535B0" w:rsidP="00D535B0">
            <w:pPr>
              <w:pStyle w:val="tabletext"/>
            </w:pPr>
            <w:r w:rsidRPr="00D535B0">
              <w:t>Subsection 792B(5) (note 2)</w:t>
            </w:r>
          </w:p>
        </w:tc>
      </w:tr>
      <w:tr w:rsidR="00D535B0" w:rsidRPr="00D535B0" w14:paraId="791DF2D7"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944D6D1" w14:textId="77777777" w:rsidR="00D535B0" w:rsidRPr="00D535B0" w:rsidRDefault="00D535B0" w:rsidP="00D535B0">
            <w:pPr>
              <w:pStyle w:val="tabletext"/>
              <w:rPr>
                <w:lang w:val="en-US" w:eastAsia="en-US"/>
              </w:rPr>
            </w:pPr>
            <w:r w:rsidRPr="00D535B0">
              <w:rPr>
                <w:lang w:val="en-US" w:eastAsia="en-US"/>
              </w:rPr>
              <w:t>327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0F1D8FC" w14:textId="77777777" w:rsidR="00D535B0" w:rsidRPr="00D535B0" w:rsidRDefault="00D535B0" w:rsidP="00D535B0">
            <w:pPr>
              <w:pStyle w:val="tabletext"/>
            </w:pPr>
            <w:r w:rsidRPr="00D535B0">
              <w:t>Subsection 792C(3)</w:t>
            </w:r>
          </w:p>
        </w:tc>
      </w:tr>
      <w:tr w:rsidR="00D535B0" w:rsidRPr="00D535B0" w14:paraId="08A870E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CFA2442" w14:textId="77777777" w:rsidR="00D535B0" w:rsidRPr="00D535B0" w:rsidRDefault="00D535B0" w:rsidP="00D535B0">
            <w:pPr>
              <w:pStyle w:val="tabletext"/>
              <w:rPr>
                <w:lang w:val="en-US" w:eastAsia="en-US"/>
              </w:rPr>
            </w:pPr>
            <w:r w:rsidRPr="00D535B0">
              <w:rPr>
                <w:lang w:val="en-US" w:eastAsia="en-US"/>
              </w:rPr>
              <w:t>328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4DBF15" w14:textId="77777777" w:rsidR="00D535B0" w:rsidRPr="00D535B0" w:rsidRDefault="00D535B0" w:rsidP="00D535B0">
            <w:pPr>
              <w:pStyle w:val="tabletext"/>
            </w:pPr>
            <w:r w:rsidRPr="00D535B0">
              <w:t>Subsection 821B(4) (note 1)</w:t>
            </w:r>
          </w:p>
        </w:tc>
      </w:tr>
      <w:tr w:rsidR="00D535B0" w:rsidRPr="00D535B0" w14:paraId="53D55F14"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1012E4E" w14:textId="77777777" w:rsidR="00D535B0" w:rsidRPr="00D535B0" w:rsidRDefault="00D535B0" w:rsidP="00D535B0">
            <w:pPr>
              <w:pStyle w:val="tabletext"/>
              <w:rPr>
                <w:lang w:val="en-US" w:eastAsia="en-US"/>
              </w:rPr>
            </w:pPr>
            <w:r w:rsidRPr="00D535B0">
              <w:rPr>
                <w:lang w:val="en-US" w:eastAsia="en-US"/>
              </w:rPr>
              <w:t>329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55A49FD" w14:textId="77777777" w:rsidR="00D535B0" w:rsidRPr="00D535B0" w:rsidRDefault="00D535B0" w:rsidP="00D535B0">
            <w:pPr>
              <w:pStyle w:val="tabletext"/>
            </w:pPr>
            <w:r w:rsidRPr="00D535B0">
              <w:t>Subsection 821B(4) (note 2)</w:t>
            </w:r>
          </w:p>
        </w:tc>
      </w:tr>
      <w:tr w:rsidR="00D535B0" w:rsidRPr="00D535B0" w14:paraId="674303C6"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BAD58E2" w14:textId="77777777" w:rsidR="00D535B0" w:rsidRPr="00D535B0" w:rsidRDefault="00D535B0" w:rsidP="00D535B0">
            <w:pPr>
              <w:pStyle w:val="tabletext"/>
              <w:rPr>
                <w:lang w:val="en-US" w:eastAsia="en-US"/>
              </w:rPr>
            </w:pPr>
            <w:r w:rsidRPr="00D535B0">
              <w:rPr>
                <w:lang w:val="en-US" w:eastAsia="en-US"/>
              </w:rPr>
              <w:t>332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437AF0C" w14:textId="77777777" w:rsidR="00D535B0" w:rsidRPr="00D535B0" w:rsidRDefault="00D535B0" w:rsidP="00D535B0">
            <w:pPr>
              <w:pStyle w:val="tabletext"/>
            </w:pPr>
            <w:r w:rsidRPr="00D535B0">
              <w:t>Subsection 904C(3) (note 1)</w:t>
            </w:r>
          </w:p>
        </w:tc>
      </w:tr>
      <w:tr w:rsidR="00D535B0" w:rsidRPr="00D535B0" w14:paraId="38AAD106"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0F4A769" w14:textId="77777777" w:rsidR="00D535B0" w:rsidRPr="00D535B0" w:rsidRDefault="00D535B0" w:rsidP="00D535B0">
            <w:pPr>
              <w:pStyle w:val="tabletext"/>
              <w:rPr>
                <w:lang w:val="en-US" w:eastAsia="en-US"/>
              </w:rPr>
            </w:pPr>
            <w:r w:rsidRPr="00D535B0">
              <w:rPr>
                <w:lang w:val="en-US" w:eastAsia="en-US"/>
              </w:rPr>
              <w:t>333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4C730E0" w14:textId="77777777" w:rsidR="00D535B0" w:rsidRPr="00D535B0" w:rsidRDefault="00D535B0" w:rsidP="00D535B0">
            <w:pPr>
              <w:pStyle w:val="tabletext"/>
            </w:pPr>
            <w:r w:rsidRPr="00D535B0">
              <w:t>Subsection 904C(3) (note 2)</w:t>
            </w:r>
          </w:p>
        </w:tc>
      </w:tr>
      <w:tr w:rsidR="00D535B0" w:rsidRPr="00D535B0" w14:paraId="6E90E01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C21B03E" w14:textId="77777777" w:rsidR="00D535B0" w:rsidRPr="00D535B0" w:rsidRDefault="00D535B0" w:rsidP="00D535B0">
            <w:pPr>
              <w:pStyle w:val="tabletext"/>
              <w:rPr>
                <w:lang w:val="en-US" w:eastAsia="en-US"/>
              </w:rPr>
            </w:pPr>
            <w:r w:rsidRPr="00D535B0">
              <w:rPr>
                <w:lang w:val="en-US" w:eastAsia="en-US"/>
              </w:rPr>
              <w:t>335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37304EE" w14:textId="77777777" w:rsidR="00D535B0" w:rsidRPr="00D535B0" w:rsidRDefault="00D535B0" w:rsidP="00D535B0">
            <w:pPr>
              <w:pStyle w:val="tabletext"/>
            </w:pPr>
            <w:r w:rsidRPr="00D535B0">
              <w:t>Section 910A (definition of recent advising history)</w:t>
            </w:r>
          </w:p>
        </w:tc>
      </w:tr>
      <w:tr w:rsidR="00D535B0" w:rsidRPr="00D535B0" w14:paraId="5B2EEB7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6F1FD6B" w14:textId="77777777" w:rsidR="00D535B0" w:rsidRPr="00D535B0" w:rsidRDefault="00D535B0" w:rsidP="00D535B0">
            <w:pPr>
              <w:pStyle w:val="tabletext"/>
              <w:rPr>
                <w:lang w:val="en-US" w:eastAsia="en-US"/>
              </w:rPr>
            </w:pPr>
            <w:r w:rsidRPr="00D535B0">
              <w:rPr>
                <w:lang w:val="en-US" w:eastAsia="en-US"/>
              </w:rPr>
              <w:t>338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C93BFB9" w14:textId="77777777" w:rsidR="00D535B0" w:rsidRPr="00D535B0" w:rsidRDefault="00D535B0" w:rsidP="00D535B0">
            <w:pPr>
              <w:pStyle w:val="tabletext"/>
            </w:pPr>
            <w:r w:rsidRPr="00D535B0">
              <w:t>Subsection 916F(1)</w:t>
            </w:r>
          </w:p>
        </w:tc>
      </w:tr>
      <w:tr w:rsidR="00D535B0" w:rsidRPr="00D535B0" w14:paraId="592D3D3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20CAE44" w14:textId="77777777" w:rsidR="00D535B0" w:rsidRPr="00D535B0" w:rsidRDefault="00D535B0" w:rsidP="00D535B0">
            <w:pPr>
              <w:pStyle w:val="tabletext"/>
              <w:rPr>
                <w:lang w:val="en-US" w:eastAsia="en-US"/>
              </w:rPr>
            </w:pPr>
            <w:r w:rsidRPr="00D535B0">
              <w:rPr>
                <w:lang w:val="en-US" w:eastAsia="en-US"/>
              </w:rPr>
              <w:t>339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B8645B7" w14:textId="77777777" w:rsidR="00D535B0" w:rsidRPr="00D535B0" w:rsidRDefault="00D535B0" w:rsidP="00D535B0">
            <w:pPr>
              <w:pStyle w:val="tabletext"/>
            </w:pPr>
            <w:r w:rsidRPr="00D535B0">
              <w:t>After subsection 916F(1)</w:t>
            </w:r>
          </w:p>
        </w:tc>
      </w:tr>
      <w:tr w:rsidR="00D535B0" w:rsidRPr="00D535B0" w14:paraId="5520F9A3"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7936378" w14:textId="77777777" w:rsidR="00D535B0" w:rsidRPr="00D535B0" w:rsidRDefault="00D535B0" w:rsidP="00D535B0">
            <w:pPr>
              <w:pStyle w:val="tabletext"/>
              <w:rPr>
                <w:lang w:val="en-US" w:eastAsia="en-US"/>
              </w:rPr>
            </w:pPr>
            <w:r w:rsidRPr="00D535B0">
              <w:rPr>
                <w:lang w:val="en-US" w:eastAsia="en-US"/>
              </w:rPr>
              <w:t>340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C5BB44F" w14:textId="77777777" w:rsidR="00D535B0" w:rsidRPr="00D535B0" w:rsidRDefault="00D535B0" w:rsidP="00D535B0">
            <w:pPr>
              <w:pStyle w:val="tabletext"/>
            </w:pPr>
            <w:r w:rsidRPr="00D535B0">
              <w:t>Subsection 916F(3)</w:t>
            </w:r>
          </w:p>
        </w:tc>
      </w:tr>
      <w:tr w:rsidR="00D535B0" w:rsidRPr="00D535B0" w14:paraId="1D97F981"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D15D23B" w14:textId="77777777" w:rsidR="00D535B0" w:rsidRPr="00D535B0" w:rsidRDefault="00D535B0" w:rsidP="00D535B0">
            <w:pPr>
              <w:pStyle w:val="tabletext"/>
              <w:rPr>
                <w:lang w:val="en-US" w:eastAsia="en-US"/>
              </w:rPr>
            </w:pPr>
            <w:r w:rsidRPr="00D535B0">
              <w:rPr>
                <w:lang w:val="en-US" w:eastAsia="en-US"/>
              </w:rPr>
              <w:t>341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92F1079" w14:textId="77777777" w:rsidR="00D535B0" w:rsidRPr="00D535B0" w:rsidRDefault="00D535B0" w:rsidP="00D535B0">
            <w:pPr>
              <w:pStyle w:val="tabletext"/>
            </w:pPr>
            <w:r w:rsidRPr="00D535B0">
              <w:t>At the end of subsection 916F(3) (before the note)</w:t>
            </w:r>
          </w:p>
        </w:tc>
      </w:tr>
      <w:tr w:rsidR="00D535B0" w:rsidRPr="00D535B0" w14:paraId="549D1C29"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A4B93F7" w14:textId="77777777" w:rsidR="00D535B0" w:rsidRPr="00D535B0" w:rsidRDefault="00D535B0" w:rsidP="00D535B0">
            <w:pPr>
              <w:pStyle w:val="tabletext"/>
              <w:rPr>
                <w:lang w:val="en-US" w:eastAsia="en-US"/>
              </w:rPr>
            </w:pPr>
            <w:r w:rsidRPr="00D535B0">
              <w:rPr>
                <w:lang w:val="en-US" w:eastAsia="en-US"/>
              </w:rPr>
              <w:t>345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785D38" w14:textId="77777777" w:rsidR="00D535B0" w:rsidRPr="00D535B0" w:rsidRDefault="00D535B0" w:rsidP="00D535B0">
            <w:pPr>
              <w:pStyle w:val="tabletext"/>
            </w:pPr>
            <w:r w:rsidRPr="00D535B0">
              <w:t>Subdivision A of Division 9 of Part 7.6</w:t>
            </w:r>
          </w:p>
        </w:tc>
      </w:tr>
      <w:tr w:rsidR="00D535B0" w:rsidRPr="00D535B0" w14:paraId="54563A2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A4E439D" w14:textId="77777777" w:rsidR="00D535B0" w:rsidRPr="00D535B0" w:rsidRDefault="00D535B0" w:rsidP="00D535B0">
            <w:pPr>
              <w:pStyle w:val="tabletext"/>
              <w:rPr>
                <w:lang w:val="en-US" w:eastAsia="en-US"/>
              </w:rPr>
            </w:pPr>
            <w:r w:rsidRPr="00D535B0">
              <w:rPr>
                <w:lang w:val="en-US" w:eastAsia="en-US"/>
              </w:rPr>
              <w:t>347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7849509" w14:textId="77777777" w:rsidR="00D535B0" w:rsidRPr="00D535B0" w:rsidRDefault="00D535B0" w:rsidP="00D535B0">
            <w:pPr>
              <w:pStyle w:val="tabletext"/>
            </w:pPr>
            <w:r w:rsidRPr="00D535B0">
              <w:t>Sections 922D to 922G</w:t>
            </w:r>
          </w:p>
        </w:tc>
      </w:tr>
      <w:tr w:rsidR="00D535B0" w:rsidRPr="00D535B0" w14:paraId="1B8259F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B02F498" w14:textId="77777777" w:rsidR="00D535B0" w:rsidRPr="00D535B0" w:rsidRDefault="00D535B0" w:rsidP="00D535B0">
            <w:pPr>
              <w:pStyle w:val="tabletext"/>
              <w:rPr>
                <w:lang w:val="en-US" w:eastAsia="en-US"/>
              </w:rPr>
            </w:pPr>
            <w:r w:rsidRPr="00D535B0">
              <w:rPr>
                <w:lang w:val="en-US" w:eastAsia="en-US"/>
              </w:rPr>
              <w:t>351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B6E24B1" w14:textId="77777777" w:rsidR="00D535B0" w:rsidRPr="00D535B0" w:rsidRDefault="00D535B0" w:rsidP="00D535B0">
            <w:pPr>
              <w:pStyle w:val="tabletext"/>
            </w:pPr>
            <w:r w:rsidRPr="00D535B0">
              <w:t>Subsection 922H(2)</w:t>
            </w:r>
          </w:p>
        </w:tc>
      </w:tr>
      <w:tr w:rsidR="00D535B0" w:rsidRPr="00D535B0" w14:paraId="3518498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2C327E2" w14:textId="77777777" w:rsidR="00D535B0" w:rsidRPr="00D535B0" w:rsidRDefault="00D535B0" w:rsidP="00D535B0">
            <w:pPr>
              <w:pStyle w:val="tabletext"/>
              <w:rPr>
                <w:lang w:val="en-US" w:eastAsia="en-US"/>
              </w:rPr>
            </w:pPr>
            <w:r w:rsidRPr="00D535B0">
              <w:rPr>
                <w:lang w:val="en-US" w:eastAsia="en-US"/>
              </w:rPr>
              <w:t>354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DDF54C" w14:textId="77777777" w:rsidR="00D535B0" w:rsidRPr="00D535B0" w:rsidRDefault="00D535B0" w:rsidP="00D535B0">
            <w:pPr>
              <w:pStyle w:val="tabletext"/>
            </w:pPr>
            <w:r w:rsidRPr="00D535B0">
              <w:t>Subsection 922M(2)</w:t>
            </w:r>
          </w:p>
        </w:tc>
      </w:tr>
      <w:tr w:rsidR="00D535B0" w:rsidRPr="00D535B0" w14:paraId="1557A9E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FCA004E" w14:textId="77777777" w:rsidR="00D535B0" w:rsidRPr="00D535B0" w:rsidRDefault="00D535B0" w:rsidP="00D535B0">
            <w:pPr>
              <w:pStyle w:val="tabletext"/>
              <w:rPr>
                <w:lang w:val="en-US" w:eastAsia="en-US"/>
              </w:rPr>
            </w:pPr>
            <w:r w:rsidRPr="00D535B0">
              <w:rPr>
                <w:lang w:val="en-US" w:eastAsia="en-US"/>
              </w:rPr>
              <w:t>356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37AB3FD" w14:textId="77777777" w:rsidR="00D535B0" w:rsidRPr="00D535B0" w:rsidRDefault="00D535B0" w:rsidP="00D535B0">
            <w:pPr>
              <w:pStyle w:val="tabletext"/>
            </w:pPr>
            <w:r w:rsidRPr="00D535B0">
              <w:t>Section 922Q</w:t>
            </w:r>
          </w:p>
        </w:tc>
      </w:tr>
      <w:tr w:rsidR="00D535B0" w:rsidRPr="00D535B0" w14:paraId="4EF8F88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F1EF211" w14:textId="77777777" w:rsidR="00D535B0" w:rsidRPr="00D535B0" w:rsidRDefault="00D535B0" w:rsidP="00D535B0">
            <w:pPr>
              <w:pStyle w:val="tabletext"/>
              <w:rPr>
                <w:lang w:val="en-US" w:eastAsia="en-US"/>
              </w:rPr>
            </w:pPr>
            <w:r w:rsidRPr="00D535B0">
              <w:rPr>
                <w:lang w:val="en-US" w:eastAsia="en-US"/>
              </w:rPr>
              <w:t>358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1395183" w14:textId="77777777" w:rsidR="00D535B0" w:rsidRPr="00D535B0" w:rsidRDefault="00D535B0" w:rsidP="00D535B0">
            <w:pPr>
              <w:pStyle w:val="tabletext"/>
            </w:pPr>
            <w:r w:rsidRPr="00D535B0">
              <w:t>Section 922S</w:t>
            </w:r>
          </w:p>
        </w:tc>
      </w:tr>
      <w:tr w:rsidR="00D535B0" w:rsidRPr="00D535B0" w14:paraId="5661115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06399D4" w14:textId="77777777" w:rsidR="00D535B0" w:rsidRPr="00D535B0" w:rsidRDefault="00D535B0" w:rsidP="00D535B0">
            <w:pPr>
              <w:pStyle w:val="tabletext"/>
              <w:rPr>
                <w:lang w:val="en-US" w:eastAsia="en-US"/>
              </w:rPr>
            </w:pPr>
            <w:r w:rsidRPr="00D535B0">
              <w:rPr>
                <w:lang w:val="en-US" w:eastAsia="en-US"/>
              </w:rPr>
              <w:t>359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8112FBC" w14:textId="77777777" w:rsidR="00D535B0" w:rsidRPr="00D535B0" w:rsidRDefault="00D535B0" w:rsidP="00D535B0">
            <w:pPr>
              <w:pStyle w:val="tabletext"/>
            </w:pPr>
            <w:r w:rsidRPr="00D535B0">
              <w:t>Subsection 990B(6)</w:t>
            </w:r>
          </w:p>
        </w:tc>
      </w:tr>
      <w:tr w:rsidR="00D535B0" w:rsidRPr="00D535B0" w14:paraId="668E7C3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4E332D6" w14:textId="77777777" w:rsidR="00D535B0" w:rsidRPr="00D535B0" w:rsidRDefault="00D535B0" w:rsidP="00D535B0">
            <w:pPr>
              <w:pStyle w:val="tabletext"/>
              <w:rPr>
                <w:lang w:val="en-US" w:eastAsia="en-US"/>
              </w:rPr>
            </w:pPr>
            <w:r w:rsidRPr="00D535B0">
              <w:rPr>
                <w:lang w:val="en-US" w:eastAsia="en-US"/>
              </w:rPr>
              <w:t>372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221BB9" w14:textId="77777777" w:rsidR="00D535B0" w:rsidRPr="00D535B0" w:rsidRDefault="00D535B0" w:rsidP="00D535B0">
            <w:pPr>
              <w:pStyle w:val="tabletext"/>
            </w:pPr>
            <w:r w:rsidRPr="00D535B0">
              <w:t>Subsection 1015D(2)</w:t>
            </w:r>
          </w:p>
        </w:tc>
      </w:tr>
      <w:tr w:rsidR="00D535B0" w:rsidRPr="00D535B0" w14:paraId="727BDC99"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33F6AE7" w14:textId="77777777" w:rsidR="00D535B0" w:rsidRPr="00D535B0" w:rsidRDefault="00D535B0" w:rsidP="00D535B0">
            <w:pPr>
              <w:pStyle w:val="tabletext"/>
              <w:rPr>
                <w:lang w:val="en-US" w:eastAsia="en-US"/>
              </w:rPr>
            </w:pPr>
            <w:r w:rsidRPr="00D535B0">
              <w:rPr>
                <w:lang w:val="en-US" w:eastAsia="en-US"/>
              </w:rPr>
              <w:t>373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2F4C023" w14:textId="77777777" w:rsidR="00D535B0" w:rsidRPr="00D535B0" w:rsidRDefault="00D535B0" w:rsidP="00D535B0">
            <w:pPr>
              <w:pStyle w:val="tabletext"/>
            </w:pPr>
            <w:r w:rsidRPr="00D535B0">
              <w:t>After paragraph 1015D(2)(c)</w:t>
            </w:r>
          </w:p>
        </w:tc>
      </w:tr>
      <w:tr w:rsidR="00D535B0" w:rsidRPr="00D535B0" w14:paraId="695E2DA0"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4CAE148" w14:textId="77777777" w:rsidR="00D535B0" w:rsidRPr="00D535B0" w:rsidRDefault="00D535B0" w:rsidP="00D535B0">
            <w:pPr>
              <w:pStyle w:val="tabletext"/>
              <w:rPr>
                <w:lang w:val="en-US" w:eastAsia="en-US"/>
              </w:rPr>
            </w:pPr>
            <w:r w:rsidRPr="00D535B0">
              <w:rPr>
                <w:lang w:val="en-US" w:eastAsia="en-US"/>
              </w:rPr>
              <w:t>385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63138D5" w14:textId="77777777" w:rsidR="00D535B0" w:rsidRPr="00D535B0" w:rsidRDefault="00D535B0" w:rsidP="00D535B0">
            <w:pPr>
              <w:pStyle w:val="tabletext"/>
            </w:pPr>
            <w:r w:rsidRPr="00D535B0">
              <w:t>Paragraph 1200C(5)(a)</w:t>
            </w:r>
          </w:p>
        </w:tc>
      </w:tr>
      <w:tr w:rsidR="00D535B0" w:rsidRPr="00D535B0" w14:paraId="73482A19"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D0942B1" w14:textId="77777777" w:rsidR="00D535B0" w:rsidRPr="00D535B0" w:rsidRDefault="00D535B0" w:rsidP="00D535B0">
            <w:pPr>
              <w:pStyle w:val="tabletext"/>
              <w:rPr>
                <w:lang w:val="en-US" w:eastAsia="en-US"/>
              </w:rPr>
            </w:pPr>
            <w:r w:rsidRPr="00D535B0">
              <w:rPr>
                <w:lang w:val="en-US" w:eastAsia="en-US"/>
              </w:rPr>
              <w:t>386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506BE6" w14:textId="77777777" w:rsidR="00D535B0" w:rsidRPr="00D535B0" w:rsidRDefault="00D535B0" w:rsidP="00D535B0">
            <w:pPr>
              <w:pStyle w:val="tabletext"/>
            </w:pPr>
            <w:r w:rsidRPr="00D535B0">
              <w:t>At the end of subsection 1200C(5)</w:t>
            </w:r>
          </w:p>
        </w:tc>
      </w:tr>
      <w:tr w:rsidR="00D535B0" w:rsidRPr="00D535B0" w14:paraId="0699C48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283EF3A" w14:textId="77777777" w:rsidR="00D535B0" w:rsidRPr="00D535B0" w:rsidRDefault="00D535B0" w:rsidP="00D535B0">
            <w:pPr>
              <w:pStyle w:val="tabletext"/>
              <w:rPr>
                <w:lang w:val="en-US" w:eastAsia="en-US"/>
              </w:rPr>
            </w:pPr>
            <w:r w:rsidRPr="00D535B0">
              <w:rPr>
                <w:lang w:val="en-US" w:eastAsia="en-US"/>
              </w:rPr>
              <w:t>389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7D5E5D" w14:textId="77777777" w:rsidR="00D535B0" w:rsidRPr="00D535B0" w:rsidRDefault="00D535B0" w:rsidP="00D535B0">
            <w:pPr>
              <w:pStyle w:val="tabletext"/>
            </w:pPr>
            <w:r w:rsidRPr="00D535B0">
              <w:t>At the end of section 1200C</w:t>
            </w:r>
          </w:p>
        </w:tc>
      </w:tr>
      <w:tr w:rsidR="00D535B0" w:rsidRPr="00D535B0" w14:paraId="52DBC52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415C929" w14:textId="77777777" w:rsidR="00D535B0" w:rsidRPr="00D535B0" w:rsidRDefault="00D535B0" w:rsidP="00D535B0">
            <w:pPr>
              <w:pStyle w:val="tabletext"/>
              <w:rPr>
                <w:lang w:val="en-US" w:eastAsia="en-US"/>
              </w:rPr>
            </w:pPr>
            <w:r w:rsidRPr="00D535B0">
              <w:rPr>
                <w:lang w:val="en-US" w:eastAsia="en-US"/>
              </w:rPr>
              <w:t>390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2D2FA5E" w14:textId="77777777" w:rsidR="00D535B0" w:rsidRPr="00D535B0" w:rsidRDefault="00D535B0" w:rsidP="00D535B0">
            <w:pPr>
              <w:pStyle w:val="tabletext"/>
            </w:pPr>
            <w:r w:rsidRPr="00D535B0">
              <w:t>Paragraph 1200D(1)(b)</w:t>
            </w:r>
          </w:p>
        </w:tc>
      </w:tr>
      <w:tr w:rsidR="00D535B0" w:rsidRPr="00D535B0" w14:paraId="6E11D60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4269326" w14:textId="77777777" w:rsidR="00D535B0" w:rsidRPr="00D535B0" w:rsidRDefault="00D535B0" w:rsidP="00D535B0">
            <w:pPr>
              <w:pStyle w:val="tabletext"/>
              <w:rPr>
                <w:lang w:val="en-US" w:eastAsia="en-US"/>
              </w:rPr>
            </w:pPr>
            <w:r w:rsidRPr="00D535B0">
              <w:rPr>
                <w:lang w:val="en-US" w:eastAsia="en-US"/>
              </w:rPr>
              <w:t>391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6E804ED" w14:textId="77777777" w:rsidR="00D535B0" w:rsidRPr="00D535B0" w:rsidRDefault="00D535B0" w:rsidP="00D535B0">
            <w:pPr>
              <w:pStyle w:val="tabletext"/>
            </w:pPr>
            <w:r w:rsidRPr="00D535B0">
              <w:t>Paragraph 1200D(1)(e)</w:t>
            </w:r>
          </w:p>
        </w:tc>
      </w:tr>
      <w:tr w:rsidR="00D535B0" w:rsidRPr="00D535B0" w14:paraId="66C1F04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D4DCEBF" w14:textId="77777777" w:rsidR="00D535B0" w:rsidRPr="00D535B0" w:rsidRDefault="00D535B0" w:rsidP="00D535B0">
            <w:pPr>
              <w:pStyle w:val="tabletext"/>
              <w:rPr>
                <w:lang w:val="en-US" w:eastAsia="en-US"/>
              </w:rPr>
            </w:pPr>
            <w:r w:rsidRPr="00D535B0">
              <w:rPr>
                <w:lang w:val="en-US" w:eastAsia="en-US"/>
              </w:rPr>
              <w:t>392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D01525F" w14:textId="77777777" w:rsidR="00D535B0" w:rsidRPr="00D535B0" w:rsidRDefault="00D535B0" w:rsidP="00D535B0">
            <w:pPr>
              <w:pStyle w:val="tabletext"/>
            </w:pPr>
            <w:r w:rsidRPr="00D535B0">
              <w:t>Paragraph 1200D(1)(g)</w:t>
            </w:r>
          </w:p>
        </w:tc>
      </w:tr>
      <w:tr w:rsidR="00D535B0" w:rsidRPr="00D535B0" w14:paraId="2FE9A88C"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92CF2D2" w14:textId="77777777" w:rsidR="00D535B0" w:rsidRPr="00D535B0" w:rsidRDefault="00D535B0" w:rsidP="00D535B0">
            <w:pPr>
              <w:pStyle w:val="tabletext"/>
              <w:rPr>
                <w:lang w:val="en-US" w:eastAsia="en-US"/>
              </w:rPr>
            </w:pPr>
            <w:r w:rsidRPr="00D535B0">
              <w:rPr>
                <w:lang w:val="en-US" w:eastAsia="en-US"/>
              </w:rPr>
              <w:t>393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6C4041" w14:textId="77777777" w:rsidR="00D535B0" w:rsidRPr="00D535B0" w:rsidRDefault="00D535B0" w:rsidP="00D535B0">
            <w:pPr>
              <w:pStyle w:val="tabletext"/>
            </w:pPr>
            <w:r w:rsidRPr="00D535B0">
              <w:t>Paragraph 1200D(1)(h)</w:t>
            </w:r>
          </w:p>
        </w:tc>
      </w:tr>
      <w:tr w:rsidR="00D535B0" w:rsidRPr="00D535B0" w14:paraId="6A10F1E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1F3DFC6" w14:textId="77777777" w:rsidR="00D535B0" w:rsidRPr="00D535B0" w:rsidRDefault="00D535B0" w:rsidP="00D535B0">
            <w:pPr>
              <w:pStyle w:val="tabletext"/>
              <w:rPr>
                <w:lang w:val="en-US" w:eastAsia="en-US"/>
              </w:rPr>
            </w:pPr>
            <w:r w:rsidRPr="00D535B0">
              <w:rPr>
                <w:lang w:val="en-US" w:eastAsia="en-US"/>
              </w:rPr>
              <w:t>394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DC6B65" w14:textId="77777777" w:rsidR="00D535B0" w:rsidRPr="00D535B0" w:rsidRDefault="00D535B0" w:rsidP="00D535B0">
            <w:pPr>
              <w:pStyle w:val="tabletext"/>
            </w:pPr>
            <w:r w:rsidRPr="00D535B0">
              <w:t>Paragraph 1200D(1)(</w:t>
            </w:r>
            <w:proofErr w:type="spellStart"/>
            <w:r w:rsidRPr="00D535B0">
              <w:t>i</w:t>
            </w:r>
            <w:proofErr w:type="spellEnd"/>
            <w:r w:rsidRPr="00D535B0">
              <w:t>)</w:t>
            </w:r>
          </w:p>
        </w:tc>
      </w:tr>
      <w:tr w:rsidR="00D535B0" w:rsidRPr="00D535B0" w14:paraId="3F3D71E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71E3B69" w14:textId="77777777" w:rsidR="00D535B0" w:rsidRPr="00D535B0" w:rsidRDefault="00D535B0" w:rsidP="00D535B0">
            <w:pPr>
              <w:pStyle w:val="tabletext"/>
              <w:rPr>
                <w:lang w:val="en-US" w:eastAsia="en-US"/>
              </w:rPr>
            </w:pPr>
            <w:r w:rsidRPr="00D535B0">
              <w:rPr>
                <w:lang w:val="en-US" w:eastAsia="en-US"/>
              </w:rPr>
              <w:t>396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DD9FFF6" w14:textId="77777777" w:rsidR="00D535B0" w:rsidRPr="00D535B0" w:rsidRDefault="00D535B0" w:rsidP="00D535B0">
            <w:pPr>
              <w:pStyle w:val="tabletext"/>
            </w:pPr>
            <w:r w:rsidRPr="00D535B0">
              <w:t>Section 1200E</w:t>
            </w:r>
          </w:p>
        </w:tc>
      </w:tr>
      <w:tr w:rsidR="00D535B0" w:rsidRPr="00D535B0" w14:paraId="68BB66B5"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346CC0F" w14:textId="77777777" w:rsidR="00D535B0" w:rsidRPr="00D535B0" w:rsidRDefault="00D535B0" w:rsidP="00D535B0">
            <w:pPr>
              <w:pStyle w:val="tabletext"/>
              <w:rPr>
                <w:lang w:val="en-US" w:eastAsia="en-US"/>
              </w:rPr>
            </w:pPr>
            <w:r w:rsidRPr="00D535B0">
              <w:rPr>
                <w:lang w:val="en-US" w:eastAsia="en-US"/>
              </w:rPr>
              <w:lastRenderedPageBreak/>
              <w:t>398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E0F36F0" w14:textId="77777777" w:rsidR="00D535B0" w:rsidRPr="00D535B0" w:rsidRDefault="00D535B0" w:rsidP="00D535B0">
            <w:pPr>
              <w:pStyle w:val="tabletext"/>
            </w:pPr>
            <w:r w:rsidRPr="00D535B0">
              <w:t>At the end of subsection 1200G(9)</w:t>
            </w:r>
          </w:p>
        </w:tc>
      </w:tr>
      <w:tr w:rsidR="00D535B0" w:rsidRPr="00D535B0" w14:paraId="3942183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8601F91" w14:textId="77777777" w:rsidR="00D535B0" w:rsidRPr="00D535B0" w:rsidRDefault="00D535B0" w:rsidP="00D535B0">
            <w:pPr>
              <w:pStyle w:val="tabletext"/>
              <w:rPr>
                <w:lang w:val="en-US" w:eastAsia="en-US"/>
              </w:rPr>
            </w:pPr>
            <w:r w:rsidRPr="00D535B0">
              <w:rPr>
                <w:lang w:val="en-US" w:eastAsia="en-US"/>
              </w:rPr>
              <w:t>400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AA7FA82" w14:textId="77777777" w:rsidR="00D535B0" w:rsidRPr="00D535B0" w:rsidRDefault="00D535B0" w:rsidP="00D535B0">
            <w:pPr>
              <w:pStyle w:val="tabletext"/>
            </w:pPr>
            <w:r w:rsidRPr="00D535B0">
              <w:t>Subsection 1200G(9) (table items 5 to 7, column headed “the offeror must lodge with ASIC”)</w:t>
            </w:r>
          </w:p>
        </w:tc>
      </w:tr>
      <w:tr w:rsidR="00D535B0" w:rsidRPr="00D535B0" w14:paraId="14FA3EC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7A86274" w14:textId="77777777" w:rsidR="00D535B0" w:rsidRPr="00D535B0" w:rsidRDefault="00D535B0" w:rsidP="00D535B0">
            <w:pPr>
              <w:pStyle w:val="tabletext"/>
              <w:rPr>
                <w:lang w:val="en-US" w:eastAsia="en-US"/>
              </w:rPr>
            </w:pPr>
            <w:r w:rsidRPr="00D535B0">
              <w:rPr>
                <w:lang w:val="en-US" w:eastAsia="en-US"/>
              </w:rPr>
              <w:t>401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1D5DFDF" w14:textId="77777777" w:rsidR="00D535B0" w:rsidRPr="00D535B0" w:rsidRDefault="00D535B0" w:rsidP="00D535B0">
            <w:pPr>
              <w:pStyle w:val="tabletext"/>
            </w:pPr>
            <w:r w:rsidRPr="00D535B0">
              <w:t>After subsection 1200G(9)</w:t>
            </w:r>
          </w:p>
        </w:tc>
      </w:tr>
      <w:tr w:rsidR="00D535B0" w:rsidRPr="00D535B0" w14:paraId="28CF0A53"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F477784" w14:textId="77777777" w:rsidR="00D535B0" w:rsidRPr="00D535B0" w:rsidRDefault="00D535B0" w:rsidP="00D535B0">
            <w:pPr>
              <w:pStyle w:val="tabletext"/>
              <w:rPr>
                <w:lang w:val="en-US" w:eastAsia="en-US"/>
              </w:rPr>
            </w:pPr>
            <w:r w:rsidRPr="00D535B0">
              <w:rPr>
                <w:lang w:val="en-US" w:eastAsia="en-US"/>
              </w:rPr>
              <w:t>403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3C0DC44" w14:textId="77777777" w:rsidR="00D535B0" w:rsidRPr="00D535B0" w:rsidRDefault="00D535B0" w:rsidP="00D535B0">
            <w:pPr>
              <w:pStyle w:val="tabletext"/>
            </w:pPr>
            <w:r w:rsidRPr="00D535B0">
              <w:t>Subsection 1200H(2)</w:t>
            </w:r>
          </w:p>
        </w:tc>
      </w:tr>
      <w:tr w:rsidR="00D535B0" w:rsidRPr="00D535B0" w14:paraId="721859D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9CBE207" w14:textId="77777777" w:rsidR="00D535B0" w:rsidRPr="00D535B0" w:rsidRDefault="00D535B0" w:rsidP="00D535B0">
            <w:pPr>
              <w:pStyle w:val="tabletext"/>
              <w:rPr>
                <w:lang w:val="en-US" w:eastAsia="en-US"/>
              </w:rPr>
            </w:pPr>
            <w:r w:rsidRPr="00D535B0">
              <w:rPr>
                <w:lang w:val="en-US" w:eastAsia="en-US"/>
              </w:rPr>
              <w:t>404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DAAF226" w14:textId="77777777" w:rsidR="00D535B0" w:rsidRPr="00D535B0" w:rsidRDefault="00D535B0" w:rsidP="00D535B0">
            <w:pPr>
              <w:pStyle w:val="tabletext"/>
            </w:pPr>
            <w:r w:rsidRPr="00D535B0">
              <w:t>At the end of subsection 1200H(2)</w:t>
            </w:r>
          </w:p>
        </w:tc>
      </w:tr>
      <w:tr w:rsidR="00D535B0" w:rsidRPr="00D535B0" w14:paraId="17FA1478"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B3B9C98" w14:textId="77777777" w:rsidR="00D535B0" w:rsidRPr="00D535B0" w:rsidRDefault="00D535B0" w:rsidP="00D535B0">
            <w:pPr>
              <w:pStyle w:val="tabletext"/>
              <w:rPr>
                <w:lang w:val="en-US" w:eastAsia="en-US"/>
              </w:rPr>
            </w:pPr>
            <w:r w:rsidRPr="00D535B0">
              <w:rPr>
                <w:lang w:val="en-US" w:eastAsia="en-US"/>
              </w:rPr>
              <w:t>411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8F34711" w14:textId="77777777" w:rsidR="00D535B0" w:rsidRPr="00D535B0" w:rsidRDefault="00D535B0" w:rsidP="00D535B0">
            <w:pPr>
              <w:pStyle w:val="tabletext"/>
            </w:pPr>
            <w:r w:rsidRPr="00D535B0">
              <w:t>Section 1200S</w:t>
            </w:r>
          </w:p>
        </w:tc>
      </w:tr>
      <w:tr w:rsidR="00D535B0" w:rsidRPr="00D535B0" w14:paraId="7213F36C"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FF00965" w14:textId="77777777" w:rsidR="00D535B0" w:rsidRPr="00D535B0" w:rsidRDefault="00D535B0" w:rsidP="00D535B0">
            <w:pPr>
              <w:pStyle w:val="tabletext"/>
              <w:rPr>
                <w:lang w:val="en-US" w:eastAsia="en-US"/>
              </w:rPr>
            </w:pPr>
            <w:r w:rsidRPr="00D535B0">
              <w:rPr>
                <w:lang w:val="en-US" w:eastAsia="en-US"/>
              </w:rPr>
              <w:t>412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6A564AB" w14:textId="77777777" w:rsidR="00D535B0" w:rsidRPr="00D535B0" w:rsidRDefault="00D535B0" w:rsidP="00D535B0">
            <w:pPr>
              <w:pStyle w:val="tabletext"/>
            </w:pPr>
            <w:r w:rsidRPr="00D535B0">
              <w:t>Section 1200S</w:t>
            </w:r>
          </w:p>
        </w:tc>
      </w:tr>
      <w:tr w:rsidR="00D535B0" w:rsidRPr="00D535B0" w14:paraId="444716C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26E6761" w14:textId="77777777" w:rsidR="00D535B0" w:rsidRPr="00D535B0" w:rsidRDefault="00D535B0" w:rsidP="00D535B0">
            <w:pPr>
              <w:pStyle w:val="tabletext"/>
              <w:rPr>
                <w:lang w:val="en-US" w:eastAsia="en-US"/>
              </w:rPr>
            </w:pPr>
            <w:r w:rsidRPr="00D535B0">
              <w:rPr>
                <w:lang w:val="en-US" w:eastAsia="en-US"/>
              </w:rPr>
              <w:t>424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80B25A" w14:textId="77777777" w:rsidR="00D535B0" w:rsidRPr="00D535B0" w:rsidRDefault="00D535B0" w:rsidP="00D535B0">
            <w:pPr>
              <w:pStyle w:val="tabletext"/>
            </w:pPr>
            <w:r w:rsidRPr="00D535B0">
              <w:t>Subsection 1274(1)</w:t>
            </w:r>
          </w:p>
        </w:tc>
      </w:tr>
      <w:tr w:rsidR="00D535B0" w:rsidRPr="00D535B0" w14:paraId="12E04F0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6422A08" w14:textId="77777777" w:rsidR="00D535B0" w:rsidRPr="00D535B0" w:rsidRDefault="00D535B0" w:rsidP="00D535B0">
            <w:pPr>
              <w:pStyle w:val="tabletext"/>
              <w:rPr>
                <w:lang w:val="en-US" w:eastAsia="en-US"/>
              </w:rPr>
            </w:pPr>
            <w:r w:rsidRPr="00D535B0">
              <w:rPr>
                <w:lang w:val="en-US" w:eastAsia="en-US"/>
              </w:rPr>
              <w:t>434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3536F43" w14:textId="77777777" w:rsidR="00D535B0" w:rsidRPr="00D535B0" w:rsidRDefault="00D535B0" w:rsidP="00D535B0">
            <w:pPr>
              <w:pStyle w:val="tabletext"/>
            </w:pPr>
            <w:r w:rsidRPr="00D535B0">
              <w:t>Paragraph 1274(8)(h)</w:t>
            </w:r>
          </w:p>
        </w:tc>
      </w:tr>
      <w:tr w:rsidR="00D535B0" w:rsidRPr="00D535B0" w14:paraId="1B5FDFF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243C842" w14:textId="77777777" w:rsidR="00D535B0" w:rsidRPr="00D535B0" w:rsidRDefault="00D535B0" w:rsidP="00D535B0">
            <w:pPr>
              <w:pStyle w:val="tabletext"/>
              <w:rPr>
                <w:lang w:val="en-US" w:eastAsia="en-US"/>
              </w:rPr>
            </w:pPr>
            <w:r w:rsidRPr="00D535B0">
              <w:rPr>
                <w:lang w:val="en-US" w:eastAsia="en-US"/>
              </w:rPr>
              <w:t>446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D665F39" w14:textId="77777777" w:rsidR="00D535B0" w:rsidRPr="00D535B0" w:rsidRDefault="00D535B0" w:rsidP="00D535B0">
            <w:pPr>
              <w:pStyle w:val="tabletext"/>
            </w:pPr>
            <w:r w:rsidRPr="00D535B0">
              <w:t>Section 1285</w:t>
            </w:r>
          </w:p>
        </w:tc>
      </w:tr>
      <w:tr w:rsidR="00D535B0" w:rsidRPr="00D535B0" w14:paraId="673A7CD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8206498" w14:textId="77777777" w:rsidR="00D535B0" w:rsidRPr="00D535B0" w:rsidRDefault="00D535B0" w:rsidP="00D535B0">
            <w:pPr>
              <w:pStyle w:val="tabletext"/>
              <w:rPr>
                <w:lang w:val="en-US" w:eastAsia="en-US"/>
              </w:rPr>
            </w:pPr>
            <w:r w:rsidRPr="00D535B0">
              <w:rPr>
                <w:lang w:val="en-US" w:eastAsia="en-US"/>
              </w:rPr>
              <w:t>447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BFEED7" w14:textId="77777777" w:rsidR="00D535B0" w:rsidRPr="00D535B0" w:rsidRDefault="00D535B0" w:rsidP="00D535B0">
            <w:pPr>
              <w:pStyle w:val="tabletext"/>
            </w:pPr>
            <w:r w:rsidRPr="00D535B0">
              <w:t>Paragraph 1287(1)(b)</w:t>
            </w:r>
          </w:p>
        </w:tc>
      </w:tr>
      <w:tr w:rsidR="00D535B0" w:rsidRPr="00D535B0" w14:paraId="10DE955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9D4B3BA" w14:textId="77777777" w:rsidR="00D535B0" w:rsidRPr="00D535B0" w:rsidRDefault="00D535B0" w:rsidP="00D535B0">
            <w:pPr>
              <w:pStyle w:val="tabletext"/>
              <w:rPr>
                <w:lang w:val="en-US" w:eastAsia="en-US"/>
              </w:rPr>
            </w:pPr>
            <w:r w:rsidRPr="00D535B0">
              <w:rPr>
                <w:lang w:val="en-US" w:eastAsia="en-US"/>
              </w:rPr>
              <w:t>449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FFFBC0F" w14:textId="77777777" w:rsidR="00D535B0" w:rsidRPr="00D535B0" w:rsidRDefault="00D535B0" w:rsidP="00D535B0">
            <w:pPr>
              <w:pStyle w:val="tabletext"/>
            </w:pPr>
            <w:r w:rsidRPr="00D535B0">
              <w:t>After subsection 1287(1)</w:t>
            </w:r>
          </w:p>
        </w:tc>
      </w:tr>
      <w:tr w:rsidR="00D535B0" w:rsidRPr="00D535B0" w14:paraId="1FB9D805"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61326A8" w14:textId="77777777" w:rsidR="00D535B0" w:rsidRPr="00D535B0" w:rsidRDefault="00D535B0" w:rsidP="00D535B0">
            <w:pPr>
              <w:pStyle w:val="tabletext"/>
              <w:rPr>
                <w:lang w:val="en-US" w:eastAsia="en-US"/>
              </w:rPr>
            </w:pPr>
            <w:r w:rsidRPr="00D535B0">
              <w:rPr>
                <w:lang w:val="en-US" w:eastAsia="en-US"/>
              </w:rPr>
              <w:t>453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7BED9E3" w14:textId="77777777" w:rsidR="00D535B0" w:rsidRPr="00D535B0" w:rsidRDefault="00D535B0" w:rsidP="00D535B0">
            <w:pPr>
              <w:pStyle w:val="tabletext"/>
            </w:pPr>
            <w:r w:rsidRPr="00D535B0">
              <w:t>At the end of subsection 1296(1)</w:t>
            </w:r>
          </w:p>
        </w:tc>
      </w:tr>
      <w:tr w:rsidR="00D535B0" w:rsidRPr="00D535B0" w14:paraId="4A3E2F7B"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7A109A4" w14:textId="77777777" w:rsidR="00D535B0" w:rsidRPr="00D535B0" w:rsidRDefault="00D535B0" w:rsidP="00D535B0">
            <w:pPr>
              <w:pStyle w:val="tabletext"/>
              <w:rPr>
                <w:lang w:val="en-US" w:eastAsia="en-US"/>
              </w:rPr>
            </w:pPr>
            <w:r w:rsidRPr="00D535B0">
              <w:rPr>
                <w:lang w:val="en-US" w:eastAsia="en-US"/>
              </w:rPr>
              <w:t>454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7FB998B" w14:textId="77777777" w:rsidR="00D535B0" w:rsidRPr="00D535B0" w:rsidRDefault="00D535B0" w:rsidP="00D535B0">
            <w:pPr>
              <w:pStyle w:val="tabletext"/>
            </w:pPr>
            <w:r w:rsidRPr="00D535B0">
              <w:t>Section 1299E</w:t>
            </w:r>
          </w:p>
        </w:tc>
      </w:tr>
      <w:tr w:rsidR="00D535B0" w:rsidRPr="00D535B0" w14:paraId="0BE2B68D"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EB04E2F" w14:textId="77777777" w:rsidR="00D535B0" w:rsidRPr="00D535B0" w:rsidRDefault="00D535B0" w:rsidP="00D535B0">
            <w:pPr>
              <w:pStyle w:val="tabletext"/>
              <w:rPr>
                <w:lang w:val="en-US" w:eastAsia="en-US"/>
              </w:rPr>
            </w:pPr>
            <w:r w:rsidRPr="00D535B0">
              <w:rPr>
                <w:lang w:val="en-US" w:eastAsia="en-US"/>
              </w:rPr>
              <w:t>455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CB44C5F" w14:textId="77777777" w:rsidR="00D535B0" w:rsidRPr="00D535B0" w:rsidRDefault="00D535B0" w:rsidP="00D535B0">
            <w:pPr>
              <w:pStyle w:val="tabletext"/>
            </w:pPr>
            <w:r w:rsidRPr="00D535B0">
              <w:t>Subsection 1299F(3)</w:t>
            </w:r>
          </w:p>
        </w:tc>
      </w:tr>
      <w:tr w:rsidR="00D535B0" w:rsidRPr="00D535B0" w14:paraId="1DD092B7"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381F121" w14:textId="77777777" w:rsidR="00D535B0" w:rsidRPr="00D535B0" w:rsidRDefault="00D535B0" w:rsidP="00D535B0">
            <w:pPr>
              <w:pStyle w:val="tabletext"/>
              <w:rPr>
                <w:lang w:val="en-US" w:eastAsia="en-US"/>
              </w:rPr>
            </w:pPr>
            <w:r w:rsidRPr="00D535B0">
              <w:rPr>
                <w:lang w:val="en-US" w:eastAsia="en-US"/>
              </w:rPr>
              <w:t>457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0C3169" w14:textId="77777777" w:rsidR="00D535B0" w:rsidRPr="00D535B0" w:rsidRDefault="00D535B0" w:rsidP="00D535B0">
            <w:pPr>
              <w:pStyle w:val="tabletext"/>
            </w:pPr>
            <w:r w:rsidRPr="00D535B0">
              <w:t>At the end of subsection 1299F(4)</w:t>
            </w:r>
          </w:p>
        </w:tc>
      </w:tr>
      <w:tr w:rsidR="00D535B0" w:rsidRPr="00D535B0" w14:paraId="532B9BA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5993CD6" w14:textId="77777777" w:rsidR="00D535B0" w:rsidRPr="00D535B0" w:rsidRDefault="00D535B0" w:rsidP="00D535B0">
            <w:pPr>
              <w:pStyle w:val="tabletext"/>
              <w:rPr>
                <w:lang w:val="en-US" w:eastAsia="en-US"/>
              </w:rPr>
            </w:pPr>
            <w:r w:rsidRPr="00D535B0">
              <w:rPr>
                <w:lang w:val="en-US" w:eastAsia="en-US"/>
              </w:rPr>
              <w:t>460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BFCD16" w14:textId="77777777" w:rsidR="00D535B0" w:rsidRPr="00D535B0" w:rsidRDefault="00D535B0" w:rsidP="00D535B0">
            <w:pPr>
              <w:pStyle w:val="tabletext"/>
            </w:pPr>
            <w:r w:rsidRPr="00D535B0">
              <w:t>At the end of paragraph 1301(1)(d)</w:t>
            </w:r>
          </w:p>
        </w:tc>
      </w:tr>
      <w:tr w:rsidR="00D535B0" w:rsidRPr="00D535B0" w14:paraId="6527953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B00687B" w14:textId="77777777" w:rsidR="00D535B0" w:rsidRPr="00D535B0" w:rsidRDefault="00D535B0" w:rsidP="00D535B0">
            <w:pPr>
              <w:pStyle w:val="tabletext"/>
              <w:rPr>
                <w:lang w:val="en-US" w:eastAsia="en-US"/>
              </w:rPr>
            </w:pPr>
            <w:r w:rsidRPr="00D535B0">
              <w:rPr>
                <w:lang w:val="en-US" w:eastAsia="en-US"/>
              </w:rPr>
              <w:t>461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9B523B4" w14:textId="77777777" w:rsidR="00D535B0" w:rsidRPr="00D535B0" w:rsidRDefault="00D535B0" w:rsidP="00D535B0">
            <w:pPr>
              <w:pStyle w:val="tabletext"/>
            </w:pPr>
            <w:r w:rsidRPr="00D535B0">
              <w:t>Paragraph 1301(4)(b)</w:t>
            </w:r>
          </w:p>
        </w:tc>
      </w:tr>
      <w:tr w:rsidR="00D535B0" w:rsidRPr="00D535B0" w14:paraId="4B64148F"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A955818" w14:textId="77777777" w:rsidR="00D535B0" w:rsidRPr="00D535B0" w:rsidRDefault="00D535B0" w:rsidP="00D535B0">
            <w:pPr>
              <w:pStyle w:val="tabletext"/>
              <w:rPr>
                <w:lang w:val="en-US" w:eastAsia="en-US"/>
              </w:rPr>
            </w:pPr>
            <w:r w:rsidRPr="00D535B0">
              <w:rPr>
                <w:lang w:val="en-US" w:eastAsia="en-US"/>
              </w:rPr>
              <w:t>504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E617221" w14:textId="77777777" w:rsidR="00D535B0" w:rsidRPr="00D535B0" w:rsidRDefault="00D535B0" w:rsidP="00D535B0">
            <w:pPr>
              <w:pStyle w:val="tabletext"/>
            </w:pPr>
            <w:r w:rsidRPr="00D535B0">
              <w:t>Subsection 1546W(1)</w:t>
            </w:r>
          </w:p>
        </w:tc>
      </w:tr>
      <w:tr w:rsidR="00D535B0" w:rsidRPr="00D535B0" w14:paraId="2E90CEB7"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5975911B" w14:textId="77777777" w:rsidR="00D535B0" w:rsidRPr="00D535B0" w:rsidRDefault="00D535B0" w:rsidP="00D535B0">
            <w:pPr>
              <w:pStyle w:val="tabletext"/>
              <w:rPr>
                <w:lang w:val="en-US" w:eastAsia="en-US"/>
              </w:rPr>
            </w:pPr>
            <w:r w:rsidRPr="00D535B0">
              <w:rPr>
                <w:lang w:val="en-US" w:eastAsia="en-US"/>
              </w:rPr>
              <w:t>506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E4CACE0" w14:textId="77777777" w:rsidR="00D535B0" w:rsidRPr="00D535B0" w:rsidRDefault="00D535B0" w:rsidP="00D535B0">
            <w:pPr>
              <w:pStyle w:val="tabletext"/>
            </w:pPr>
            <w:r w:rsidRPr="00D535B0">
              <w:t>Subsection 1546W(2)</w:t>
            </w:r>
          </w:p>
        </w:tc>
      </w:tr>
      <w:tr w:rsidR="00D535B0" w:rsidRPr="00D535B0" w14:paraId="637F455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45704F2" w14:textId="77777777" w:rsidR="00D535B0" w:rsidRPr="00D535B0" w:rsidRDefault="00D535B0" w:rsidP="00D535B0">
            <w:pPr>
              <w:pStyle w:val="tabletext"/>
              <w:rPr>
                <w:lang w:val="en-US" w:eastAsia="en-US"/>
              </w:rPr>
            </w:pPr>
            <w:r w:rsidRPr="00D535B0">
              <w:rPr>
                <w:lang w:val="en-US" w:eastAsia="en-US"/>
              </w:rPr>
              <w:t>508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9656FD0" w14:textId="77777777" w:rsidR="00D535B0" w:rsidRPr="00D535B0" w:rsidRDefault="00D535B0" w:rsidP="00D535B0">
            <w:pPr>
              <w:pStyle w:val="tabletext"/>
            </w:pPr>
            <w:r w:rsidRPr="00D535B0">
              <w:t>Subsection 1546X(1)</w:t>
            </w:r>
          </w:p>
        </w:tc>
      </w:tr>
      <w:tr w:rsidR="00D535B0" w:rsidRPr="00D535B0" w14:paraId="2FE7DA1C"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49519F1" w14:textId="77777777" w:rsidR="00D535B0" w:rsidRPr="00D535B0" w:rsidRDefault="00D535B0" w:rsidP="00D535B0">
            <w:pPr>
              <w:pStyle w:val="tabletext"/>
              <w:rPr>
                <w:lang w:val="en-US" w:eastAsia="en-US"/>
              </w:rPr>
            </w:pPr>
            <w:r w:rsidRPr="00D535B0">
              <w:rPr>
                <w:lang w:val="en-US" w:eastAsia="en-US"/>
              </w:rPr>
              <w:t>509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710F085" w14:textId="77777777" w:rsidR="00D535B0" w:rsidRPr="00D535B0" w:rsidRDefault="00D535B0" w:rsidP="00D535B0">
            <w:pPr>
              <w:pStyle w:val="tabletext"/>
            </w:pPr>
            <w:r w:rsidRPr="00D535B0">
              <w:t>Subsection 1546X(2)</w:t>
            </w:r>
          </w:p>
        </w:tc>
      </w:tr>
      <w:tr w:rsidR="00D535B0" w:rsidRPr="00D535B0" w14:paraId="3E02B313"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CA73C0F" w14:textId="77777777" w:rsidR="00D535B0" w:rsidRPr="00D535B0" w:rsidRDefault="00D535B0" w:rsidP="00D535B0">
            <w:pPr>
              <w:pStyle w:val="tabletext"/>
              <w:rPr>
                <w:lang w:val="en-US" w:eastAsia="en-US"/>
              </w:rPr>
            </w:pPr>
            <w:r w:rsidRPr="00D535B0">
              <w:rPr>
                <w:lang w:val="en-US" w:eastAsia="en-US"/>
              </w:rPr>
              <w:t>511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6B80E1F" w14:textId="77777777" w:rsidR="00D535B0" w:rsidRPr="00D535B0" w:rsidRDefault="00D535B0" w:rsidP="00D535B0">
            <w:pPr>
              <w:pStyle w:val="tabletext"/>
            </w:pPr>
            <w:r w:rsidRPr="00D535B0">
              <w:t>Subsection 1546Y(1)</w:t>
            </w:r>
          </w:p>
        </w:tc>
      </w:tr>
      <w:tr w:rsidR="00D535B0" w:rsidRPr="00D535B0" w14:paraId="5461C637"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089CA464" w14:textId="77777777" w:rsidR="00D535B0" w:rsidRPr="00D535B0" w:rsidRDefault="00D535B0" w:rsidP="00D535B0">
            <w:pPr>
              <w:pStyle w:val="tabletext"/>
              <w:rPr>
                <w:lang w:val="en-US" w:eastAsia="en-US"/>
              </w:rPr>
            </w:pPr>
            <w:r w:rsidRPr="00D535B0">
              <w:rPr>
                <w:lang w:val="en-US" w:eastAsia="en-US"/>
              </w:rPr>
              <w:t>512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5B448D" w14:textId="77777777" w:rsidR="00D535B0" w:rsidRPr="00D535B0" w:rsidRDefault="00D535B0" w:rsidP="00D535B0">
            <w:pPr>
              <w:pStyle w:val="tabletext"/>
            </w:pPr>
            <w:r w:rsidRPr="00D535B0">
              <w:t>Subsection 1546Y(2)</w:t>
            </w:r>
          </w:p>
        </w:tc>
      </w:tr>
      <w:tr w:rsidR="00D535B0" w:rsidRPr="00D535B0" w14:paraId="5226F591"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45FE0286" w14:textId="77777777" w:rsidR="00D535B0" w:rsidRPr="00D535B0" w:rsidRDefault="00D535B0" w:rsidP="00D535B0">
            <w:pPr>
              <w:pStyle w:val="tabletext"/>
              <w:rPr>
                <w:lang w:val="en-US" w:eastAsia="en-US"/>
              </w:rPr>
            </w:pPr>
            <w:r w:rsidRPr="00D535B0">
              <w:rPr>
                <w:lang w:val="en-US" w:eastAsia="en-US"/>
              </w:rPr>
              <w:t>514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B3A0A7" w14:textId="77777777" w:rsidR="00D535B0" w:rsidRPr="00D535B0" w:rsidRDefault="00D535B0" w:rsidP="00D535B0">
            <w:pPr>
              <w:pStyle w:val="tabletext"/>
            </w:pPr>
            <w:r w:rsidRPr="00D535B0">
              <w:t>Subsection 1546Z(1)</w:t>
            </w:r>
          </w:p>
        </w:tc>
      </w:tr>
      <w:tr w:rsidR="00D535B0" w:rsidRPr="00D535B0" w14:paraId="0AF6108A"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BA79FC8" w14:textId="77777777" w:rsidR="00D535B0" w:rsidRPr="00D535B0" w:rsidRDefault="00D535B0" w:rsidP="00D535B0">
            <w:pPr>
              <w:pStyle w:val="tabletext"/>
              <w:rPr>
                <w:lang w:val="en-US" w:eastAsia="en-US"/>
              </w:rPr>
            </w:pPr>
            <w:r w:rsidRPr="00D535B0">
              <w:rPr>
                <w:lang w:val="en-US" w:eastAsia="en-US"/>
              </w:rPr>
              <w:t>515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8A988E9" w14:textId="77777777" w:rsidR="00D535B0" w:rsidRPr="00D535B0" w:rsidRDefault="00D535B0" w:rsidP="00D535B0">
            <w:pPr>
              <w:pStyle w:val="tabletext"/>
            </w:pPr>
            <w:r w:rsidRPr="00D535B0">
              <w:t>Subsection 1546Z(2)</w:t>
            </w:r>
          </w:p>
        </w:tc>
      </w:tr>
      <w:tr w:rsidR="00D535B0" w:rsidRPr="00D535B0" w14:paraId="0BC01E65"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1CE532F6" w14:textId="77777777" w:rsidR="00D535B0" w:rsidRPr="00D535B0" w:rsidRDefault="00D535B0" w:rsidP="00D535B0">
            <w:pPr>
              <w:pStyle w:val="tabletext"/>
              <w:rPr>
                <w:lang w:val="en-US" w:eastAsia="en-US"/>
              </w:rPr>
            </w:pPr>
            <w:r w:rsidRPr="00D535B0">
              <w:rPr>
                <w:lang w:val="en-US" w:eastAsia="en-US"/>
              </w:rPr>
              <w:t>516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FE0BD05" w14:textId="77777777" w:rsidR="00D535B0" w:rsidRPr="00D535B0" w:rsidRDefault="00D535B0" w:rsidP="00D535B0">
            <w:pPr>
              <w:pStyle w:val="tabletext"/>
            </w:pPr>
            <w:r w:rsidRPr="00D535B0">
              <w:t>Subsection 1546Z(3)</w:t>
            </w:r>
          </w:p>
        </w:tc>
      </w:tr>
      <w:tr w:rsidR="00D535B0" w:rsidRPr="00D535B0" w14:paraId="593226B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645AB74B" w14:textId="77777777" w:rsidR="00D535B0" w:rsidRPr="00D535B0" w:rsidRDefault="00D535B0" w:rsidP="00D535B0">
            <w:pPr>
              <w:pStyle w:val="tabletext"/>
              <w:rPr>
                <w:lang w:val="en-US" w:eastAsia="en-US"/>
              </w:rPr>
            </w:pPr>
            <w:r w:rsidRPr="00D535B0">
              <w:rPr>
                <w:lang w:val="en-US" w:eastAsia="en-US"/>
              </w:rPr>
              <w:t>518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736B7B4" w14:textId="77777777" w:rsidR="00D535B0" w:rsidRPr="00D535B0" w:rsidRDefault="00D535B0" w:rsidP="00D535B0">
            <w:pPr>
              <w:pStyle w:val="tabletext"/>
            </w:pPr>
            <w:r w:rsidRPr="00D535B0">
              <w:t>Section 1554</w:t>
            </w:r>
          </w:p>
        </w:tc>
      </w:tr>
      <w:tr w:rsidR="00D535B0" w:rsidRPr="00D535B0" w14:paraId="55CEBFE5"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4052342" w14:textId="77777777" w:rsidR="00D535B0" w:rsidRPr="00D535B0" w:rsidRDefault="00D535B0" w:rsidP="00D535B0">
            <w:pPr>
              <w:pStyle w:val="tabletext"/>
              <w:rPr>
                <w:lang w:val="en-US" w:eastAsia="en-US"/>
              </w:rPr>
            </w:pPr>
            <w:r w:rsidRPr="00D535B0">
              <w:rPr>
                <w:lang w:val="en-US" w:eastAsia="en-US"/>
              </w:rPr>
              <w:t>519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4268BD3" w14:textId="77777777" w:rsidR="00D535B0" w:rsidRPr="00D535B0" w:rsidRDefault="00D535B0" w:rsidP="00D535B0">
            <w:pPr>
              <w:pStyle w:val="tabletext"/>
            </w:pPr>
            <w:r w:rsidRPr="00D535B0">
              <w:t>Subsection 1562(1)</w:t>
            </w:r>
          </w:p>
        </w:tc>
      </w:tr>
      <w:tr w:rsidR="00D535B0" w:rsidRPr="00D535B0" w14:paraId="0A3C0AB0"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77A48E67" w14:textId="77777777" w:rsidR="00D535B0" w:rsidRPr="00D535B0" w:rsidRDefault="00D535B0" w:rsidP="00D535B0">
            <w:pPr>
              <w:pStyle w:val="tabletext"/>
              <w:rPr>
                <w:lang w:val="en-US" w:eastAsia="en-US"/>
              </w:rPr>
            </w:pPr>
            <w:r w:rsidRPr="00D535B0">
              <w:rPr>
                <w:lang w:val="en-US" w:eastAsia="en-US"/>
              </w:rPr>
              <w:t>549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EF7F9EE" w14:textId="77777777" w:rsidR="00D535B0" w:rsidRPr="00D535B0" w:rsidRDefault="00D535B0" w:rsidP="00D535B0">
            <w:pPr>
              <w:pStyle w:val="tabletext"/>
            </w:pPr>
            <w:r w:rsidRPr="00D535B0">
              <w:t>Paragraph 70</w:t>
            </w:r>
            <w:r w:rsidRPr="00D535B0">
              <w:noBreakHyphen/>
              <w:t>5(4)(a) of Schedule 2</w:t>
            </w:r>
          </w:p>
        </w:tc>
      </w:tr>
      <w:tr w:rsidR="00D535B0" w:rsidRPr="00D535B0" w14:paraId="66035B09"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3C72B2B7" w14:textId="77777777" w:rsidR="00D535B0" w:rsidRPr="00D535B0" w:rsidRDefault="00D535B0" w:rsidP="00D535B0">
            <w:pPr>
              <w:pStyle w:val="tabletext"/>
              <w:rPr>
                <w:lang w:val="en-US" w:eastAsia="en-US"/>
              </w:rPr>
            </w:pPr>
            <w:r w:rsidRPr="00D535B0">
              <w:rPr>
                <w:lang w:val="en-US" w:eastAsia="en-US"/>
              </w:rPr>
              <w:t>553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73EF9D7" w14:textId="77777777" w:rsidR="00D535B0" w:rsidRPr="00D535B0" w:rsidRDefault="00D535B0" w:rsidP="00D535B0">
            <w:pPr>
              <w:pStyle w:val="tabletext"/>
            </w:pPr>
            <w:r w:rsidRPr="00D535B0">
              <w:t>Paragraph 70</w:t>
            </w:r>
            <w:r w:rsidRPr="00D535B0">
              <w:noBreakHyphen/>
              <w:t>6(3)(a) of Schedule 2</w:t>
            </w:r>
          </w:p>
        </w:tc>
      </w:tr>
      <w:tr w:rsidR="00D535B0" w:rsidRPr="00D535B0" w14:paraId="1A725782"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9C84F5F" w14:textId="77777777" w:rsidR="00D535B0" w:rsidRPr="00D535B0" w:rsidRDefault="00D535B0" w:rsidP="00D535B0">
            <w:pPr>
              <w:pStyle w:val="tabletext"/>
              <w:rPr>
                <w:lang w:val="en-US" w:eastAsia="en-US"/>
              </w:rPr>
            </w:pPr>
            <w:r w:rsidRPr="00D535B0">
              <w:rPr>
                <w:lang w:val="en-US" w:eastAsia="en-US"/>
              </w:rPr>
              <w:t>562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499C6F5" w14:textId="77777777" w:rsidR="00D535B0" w:rsidRPr="00D535B0" w:rsidRDefault="00D535B0" w:rsidP="00D535B0">
            <w:pPr>
              <w:pStyle w:val="tabletext"/>
            </w:pPr>
            <w:r w:rsidRPr="00D535B0">
              <w:t>After subsection 70</w:t>
            </w:r>
            <w:r w:rsidRPr="00D535B0">
              <w:noBreakHyphen/>
              <w:t>60(2) of Schedule 2</w:t>
            </w:r>
          </w:p>
        </w:tc>
      </w:tr>
      <w:tr w:rsidR="00D535B0" w:rsidRPr="00D535B0" w14:paraId="3609FB5E" w14:textId="77777777" w:rsidTr="00D535B0">
        <w:tc>
          <w:tcPr>
            <w:tcW w:w="809" w:type="dxa"/>
            <w:tcBorders>
              <w:top w:val="single" w:sz="4" w:space="0" w:color="auto"/>
              <w:left w:val="single" w:sz="4" w:space="0" w:color="auto"/>
              <w:bottom w:val="single" w:sz="4" w:space="0" w:color="auto"/>
              <w:right w:val="single" w:sz="4" w:space="0" w:color="auto"/>
            </w:tcBorders>
            <w:shd w:val="clear" w:color="auto" w:fill="auto"/>
          </w:tcPr>
          <w:p w14:paraId="2F93DA0A" w14:textId="77777777" w:rsidR="00D535B0" w:rsidRPr="00D535B0" w:rsidRDefault="00D535B0" w:rsidP="00D535B0">
            <w:pPr>
              <w:pStyle w:val="tabletext"/>
              <w:rPr>
                <w:lang w:val="en-US" w:eastAsia="en-US"/>
              </w:rPr>
            </w:pPr>
            <w:r w:rsidRPr="00D535B0">
              <w:rPr>
                <w:lang w:val="en-US" w:eastAsia="en-US"/>
              </w:rPr>
              <w:t>568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62073DE" w14:textId="77777777" w:rsidR="00D535B0" w:rsidRPr="00D535B0" w:rsidRDefault="00D535B0" w:rsidP="00D535B0">
            <w:pPr>
              <w:pStyle w:val="tabletext"/>
            </w:pPr>
            <w:r w:rsidRPr="00D535B0">
              <w:t>At the end of subclause 27(2) of Schedule 4</w:t>
            </w:r>
          </w:p>
        </w:tc>
      </w:tr>
    </w:tbl>
    <w:p w14:paraId="5360CFB7" w14:textId="77777777" w:rsidR="00DF631D" w:rsidRDefault="00DF631D" w:rsidP="00E623DE">
      <w:pPr>
        <w:pStyle w:val="base-text-paragraph"/>
        <w:numPr>
          <w:ilvl w:val="0"/>
          <w:numId w:val="0"/>
        </w:numPr>
      </w:pPr>
    </w:p>
    <w:p w14:paraId="57D44F1C" w14:textId="4B0D35CA" w:rsidR="0085697B" w:rsidRDefault="00B24F94" w:rsidP="0085697B">
      <w:pPr>
        <w:pStyle w:val="TableHeadingoutsidetable"/>
        <w:numPr>
          <w:ilvl w:val="0"/>
          <w:numId w:val="0"/>
        </w:numPr>
        <w:ind w:left="1134"/>
      </w:pPr>
      <w:r>
        <w:lastRenderedPageBreak/>
        <w:t>Table A3</w:t>
      </w:r>
      <w:r w:rsidR="0085697B">
        <w:t xml:space="preserve"> – Amendments</w:t>
      </w:r>
      <w:r w:rsidR="00900FE7">
        <w:t xml:space="preserve"> </w:t>
      </w:r>
      <w:r>
        <w:t xml:space="preserve">to </w:t>
      </w:r>
      <w:r w:rsidR="00992A66">
        <w:t xml:space="preserve">repeal redundant provisions and </w:t>
      </w:r>
      <w:r w:rsidR="00BF0CD7">
        <w:t>harmonise registry provisions</w:t>
      </w:r>
    </w:p>
    <w:p w14:paraId="500E3352" w14:textId="6C30DA29" w:rsidR="00D535B0" w:rsidRPr="00E85468" w:rsidRDefault="00D535B0" w:rsidP="00D535B0">
      <w:pPr>
        <w:pStyle w:val="TableHeadingoutsidetable"/>
        <w:numPr>
          <w:ilvl w:val="0"/>
          <w:numId w:val="0"/>
        </w:numPr>
        <w:ind w:left="1134"/>
        <w:rPr>
          <w:i/>
        </w:rPr>
      </w:pPr>
      <w:r>
        <w:rPr>
          <w:i/>
        </w:rPr>
        <w:t>First tranche</w:t>
      </w:r>
      <w:r w:rsidRPr="00E85468">
        <w:rPr>
          <w:i/>
        </w:rPr>
        <w:t xml:space="preserve"> </w:t>
      </w:r>
      <w:r>
        <w:rPr>
          <w:i/>
        </w:rPr>
        <w:t xml:space="preserve">of exposure draft </w:t>
      </w:r>
      <w:r w:rsidRPr="00E85468">
        <w:rPr>
          <w:i/>
        </w:rPr>
        <w:t>amendments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742"/>
      </w:tblGrid>
      <w:tr w:rsidR="0085697B" w:rsidRPr="004666B8" w14:paraId="1C6881E7" w14:textId="77777777" w:rsidTr="0085697B">
        <w:trPr>
          <w:tblHeader/>
        </w:trPr>
        <w:tc>
          <w:tcPr>
            <w:tcW w:w="809" w:type="dxa"/>
          </w:tcPr>
          <w:p w14:paraId="06EBBA72" w14:textId="29444EC9" w:rsidR="0085697B" w:rsidRPr="004666B8" w:rsidRDefault="00936FF1" w:rsidP="0085697B">
            <w:pPr>
              <w:pStyle w:val="tableheaderwithintable"/>
              <w:rPr>
                <w:lang w:val="en-US" w:eastAsia="en-US"/>
              </w:rPr>
            </w:pPr>
            <w:r>
              <w:rPr>
                <w:lang w:val="en-US" w:eastAsia="en-US"/>
              </w:rPr>
              <w:t>Item</w:t>
            </w:r>
            <w:r>
              <w:rPr>
                <w:rStyle w:val="FootnoteReference"/>
                <w:lang w:val="en-US" w:eastAsia="en-US"/>
              </w:rPr>
              <w:footnoteReference w:id="72"/>
            </w:r>
          </w:p>
        </w:tc>
        <w:tc>
          <w:tcPr>
            <w:tcW w:w="5742" w:type="dxa"/>
          </w:tcPr>
          <w:p w14:paraId="1C5C4FA7" w14:textId="77777777" w:rsidR="0085697B" w:rsidRPr="004666B8" w:rsidRDefault="0085697B" w:rsidP="0085697B">
            <w:pPr>
              <w:pStyle w:val="tableheaderwithintable"/>
              <w:rPr>
                <w:lang w:val="en-US" w:eastAsia="en-US"/>
              </w:rPr>
            </w:pPr>
            <w:r>
              <w:rPr>
                <w:lang w:val="en-US" w:eastAsia="en-US"/>
              </w:rPr>
              <w:t>Provision</w:t>
            </w:r>
          </w:p>
        </w:tc>
      </w:tr>
      <w:tr w:rsidR="00947E92" w:rsidRPr="00255832" w14:paraId="3C8E0D7D"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363223A4" w14:textId="179AE57F" w:rsidR="00947E92" w:rsidRPr="006B273B" w:rsidRDefault="00947E92" w:rsidP="0085697B">
            <w:pPr>
              <w:pStyle w:val="tabletext"/>
              <w:rPr>
                <w:b/>
              </w:rPr>
            </w:pPr>
            <w:r w:rsidRPr="006B273B">
              <w:rPr>
                <w:b/>
              </w:rPr>
              <w:t>ABN Act</w:t>
            </w:r>
          </w:p>
        </w:tc>
      </w:tr>
      <w:tr w:rsidR="00F303BF" w:rsidRPr="00F303BF" w14:paraId="01DE889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A7BDB49" w14:textId="77777777" w:rsidR="00F303BF" w:rsidRPr="00F303BF" w:rsidRDefault="00F303BF" w:rsidP="00F303BF">
            <w:pPr>
              <w:pStyle w:val="tabletext"/>
              <w:rPr>
                <w:lang w:val="en-US" w:eastAsia="en-US"/>
              </w:rPr>
            </w:pPr>
            <w:r w:rsidRPr="00F303BF">
              <w:rPr>
                <w:lang w:val="en-US" w:eastAsia="en-US"/>
              </w:rPr>
              <w:t>19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9882CA" w14:textId="77777777" w:rsidR="00F303BF" w:rsidRPr="00F303BF" w:rsidRDefault="00F303BF" w:rsidP="00F303BF">
            <w:pPr>
              <w:pStyle w:val="tabletext"/>
            </w:pPr>
            <w:r w:rsidRPr="00F303BF">
              <w:t>Subsection 3(3)</w:t>
            </w:r>
          </w:p>
        </w:tc>
      </w:tr>
      <w:tr w:rsidR="00F303BF" w:rsidRPr="00F303BF" w14:paraId="5DE102C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12A5FB8" w14:textId="77777777" w:rsidR="00F303BF" w:rsidRPr="00F303BF" w:rsidRDefault="00F303BF" w:rsidP="00F303BF">
            <w:pPr>
              <w:pStyle w:val="tabletext"/>
              <w:rPr>
                <w:lang w:val="en-US" w:eastAsia="en-US"/>
              </w:rPr>
            </w:pPr>
            <w:r w:rsidRPr="00F303BF">
              <w:rPr>
                <w:lang w:val="en-US" w:eastAsia="en-US"/>
              </w:rPr>
              <w:t>77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1A6FA66" w14:textId="77777777" w:rsidR="00F303BF" w:rsidRPr="00F303BF" w:rsidRDefault="00F303BF" w:rsidP="00F303BF">
            <w:pPr>
              <w:pStyle w:val="tabletext"/>
            </w:pPr>
            <w:r w:rsidRPr="00F303BF">
              <w:t>Sections 26, 27, 28, 29A and 30</w:t>
            </w:r>
          </w:p>
        </w:tc>
      </w:tr>
      <w:tr w:rsidR="00F303BF" w:rsidRPr="00F303BF" w14:paraId="61C9E19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C338EF1" w14:textId="77777777" w:rsidR="00F303BF" w:rsidRPr="00F303BF" w:rsidRDefault="00F303BF" w:rsidP="00F303BF">
            <w:pPr>
              <w:pStyle w:val="tabletext"/>
              <w:rPr>
                <w:lang w:val="en-US" w:eastAsia="en-US"/>
              </w:rPr>
            </w:pPr>
            <w:r w:rsidRPr="00F303BF">
              <w:rPr>
                <w:lang w:val="en-US" w:eastAsia="en-US"/>
              </w:rPr>
              <w:t>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FF6B74" w14:textId="77777777" w:rsidR="00F303BF" w:rsidRPr="00F303BF" w:rsidRDefault="00F303BF" w:rsidP="00F303BF">
            <w:pPr>
              <w:pStyle w:val="tabletext"/>
            </w:pPr>
            <w:r w:rsidRPr="00F303BF">
              <w:t>Section 41</w:t>
            </w:r>
          </w:p>
        </w:tc>
      </w:tr>
      <w:tr w:rsidR="00F303BF" w:rsidRPr="00F303BF" w14:paraId="4874AB6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8E003EC" w14:textId="77777777" w:rsidR="00F303BF" w:rsidRPr="00F303BF" w:rsidRDefault="00F303BF" w:rsidP="00F303BF">
            <w:pPr>
              <w:pStyle w:val="tabletext"/>
              <w:rPr>
                <w:lang w:val="en-US" w:eastAsia="en-US"/>
              </w:rPr>
            </w:pPr>
            <w:r w:rsidRPr="00F303BF">
              <w:rPr>
                <w:lang w:val="en-US" w:eastAsia="en-US"/>
              </w:rPr>
              <w:t>79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5033E2A" w14:textId="37D8EF02" w:rsidR="00F303BF" w:rsidRPr="00F303BF" w:rsidRDefault="00F303BF" w:rsidP="00F303BF">
            <w:pPr>
              <w:pStyle w:val="tabletext"/>
            </w:pPr>
            <w:r w:rsidRPr="00F303BF">
              <w:t>Section 41 (definition of ABN (Australian Business Numbe</w:t>
            </w:r>
            <w:r w:rsidR="00E25C12">
              <w:t>r))</w:t>
            </w:r>
          </w:p>
        </w:tc>
      </w:tr>
      <w:tr w:rsidR="00F303BF" w:rsidRPr="00F303BF" w14:paraId="24EC5BE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EE02F3D" w14:textId="77777777" w:rsidR="00F303BF" w:rsidRPr="00F303BF" w:rsidRDefault="00F303BF" w:rsidP="00F303BF">
            <w:pPr>
              <w:pStyle w:val="tabletext"/>
              <w:rPr>
                <w:lang w:val="en-US" w:eastAsia="en-US"/>
              </w:rPr>
            </w:pPr>
            <w:r w:rsidRPr="00F303BF">
              <w:rPr>
                <w:lang w:val="en-US" w:eastAsia="en-US"/>
              </w:rPr>
              <w:t>81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9810011" w14:textId="77777777" w:rsidR="00F303BF" w:rsidRPr="00F303BF" w:rsidRDefault="00F303BF" w:rsidP="00F303BF">
            <w:pPr>
              <w:pStyle w:val="tabletext"/>
            </w:pPr>
            <w:r w:rsidRPr="00F303BF">
              <w:t>Section 41 (definition of approved form)</w:t>
            </w:r>
          </w:p>
        </w:tc>
      </w:tr>
      <w:tr w:rsidR="00F303BF" w:rsidRPr="00F303BF" w14:paraId="468C0E4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A8E6A96" w14:textId="77777777" w:rsidR="00F303BF" w:rsidRPr="00F303BF" w:rsidRDefault="00F303BF" w:rsidP="00F303BF">
            <w:pPr>
              <w:pStyle w:val="tabletext"/>
              <w:rPr>
                <w:lang w:val="en-US" w:eastAsia="en-US"/>
              </w:rPr>
            </w:pPr>
            <w:r w:rsidRPr="00F303BF">
              <w:rPr>
                <w:lang w:val="en-US" w:eastAsia="en-US"/>
              </w:rPr>
              <w:t>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49BC2C6" w14:textId="77777777" w:rsidR="00F303BF" w:rsidRPr="00F303BF" w:rsidRDefault="00F303BF" w:rsidP="00F303BF">
            <w:pPr>
              <w:pStyle w:val="tabletext"/>
            </w:pPr>
            <w:r w:rsidRPr="00F303BF">
              <w:t>Section 41 (definition of Australian Business Register)</w:t>
            </w:r>
          </w:p>
        </w:tc>
      </w:tr>
      <w:tr w:rsidR="00F303BF" w:rsidRPr="00F303BF" w14:paraId="21EEE9C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60DA127" w14:textId="77777777" w:rsidR="00F303BF" w:rsidRPr="00F303BF" w:rsidRDefault="00F303BF" w:rsidP="00F303BF">
            <w:pPr>
              <w:pStyle w:val="tabletext"/>
              <w:rPr>
                <w:lang w:val="en-US" w:eastAsia="en-US"/>
              </w:rPr>
            </w:pPr>
            <w:r w:rsidRPr="00F303BF">
              <w:rPr>
                <w:lang w:val="en-US" w:eastAsia="en-US"/>
              </w:rPr>
              <w:t>85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3EC0E56" w14:textId="77777777" w:rsidR="00F303BF" w:rsidRPr="00F303BF" w:rsidRDefault="00F303BF" w:rsidP="00F303BF">
            <w:pPr>
              <w:pStyle w:val="tabletext"/>
            </w:pPr>
            <w:r w:rsidRPr="00F303BF">
              <w:t>Section 41</w:t>
            </w:r>
          </w:p>
        </w:tc>
      </w:tr>
      <w:tr w:rsidR="00947E92" w:rsidRPr="00F303BF" w14:paraId="7261B072"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37311E3C" w14:textId="77777777" w:rsidR="00947E92" w:rsidRPr="006B273B" w:rsidRDefault="00947E92" w:rsidP="00F303BF">
            <w:pPr>
              <w:pStyle w:val="tabletext"/>
              <w:rPr>
                <w:b/>
              </w:rPr>
            </w:pPr>
            <w:r w:rsidRPr="006B273B">
              <w:rPr>
                <w:b/>
              </w:rPr>
              <w:t>A New Tax System (Goods and Services Tax) Act 1999</w:t>
            </w:r>
          </w:p>
        </w:tc>
      </w:tr>
      <w:tr w:rsidR="00F303BF" w:rsidRPr="00F303BF" w14:paraId="1B1F241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8BAFEA6" w14:textId="77777777" w:rsidR="00F303BF" w:rsidRPr="00F303BF" w:rsidRDefault="00F303BF" w:rsidP="00F303BF">
            <w:pPr>
              <w:pStyle w:val="tabletext"/>
              <w:rPr>
                <w:lang w:val="en-US" w:eastAsia="en-US"/>
              </w:rPr>
            </w:pPr>
            <w:r w:rsidRPr="00F303BF">
              <w:rPr>
                <w:lang w:val="en-US" w:eastAsia="en-US"/>
              </w:rPr>
              <w:t>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8C7FC19" w14:textId="77777777" w:rsidR="00F303BF" w:rsidRPr="00F303BF" w:rsidRDefault="00F303BF" w:rsidP="00F303BF">
            <w:pPr>
              <w:pStyle w:val="tabletext"/>
            </w:pPr>
            <w:r w:rsidRPr="00F303BF">
              <w:t>Paragraph 146-20(3)(b)</w:t>
            </w:r>
          </w:p>
        </w:tc>
      </w:tr>
      <w:tr w:rsidR="00F303BF" w:rsidRPr="00F303BF" w14:paraId="0CDDE1F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4B8A4D5" w14:textId="77777777" w:rsidR="00F303BF" w:rsidRPr="00F303BF" w:rsidRDefault="00F303BF" w:rsidP="00F303BF">
            <w:pPr>
              <w:pStyle w:val="tabletext"/>
              <w:rPr>
                <w:lang w:val="en-US" w:eastAsia="en-US"/>
              </w:rPr>
            </w:pPr>
            <w:r w:rsidRPr="00F303BF">
              <w:rPr>
                <w:lang w:val="en-US" w:eastAsia="en-US"/>
              </w:rPr>
              <w:t>93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983961" w14:textId="77777777" w:rsidR="00F303BF" w:rsidRPr="00F303BF" w:rsidRDefault="00F303BF" w:rsidP="00F303BF">
            <w:pPr>
              <w:pStyle w:val="tabletext"/>
            </w:pPr>
            <w:r w:rsidRPr="00F303BF">
              <w:t>Subsection 146-20(3) (note)</w:t>
            </w:r>
          </w:p>
        </w:tc>
      </w:tr>
      <w:tr w:rsidR="00F303BF" w:rsidRPr="00F303BF" w14:paraId="1495219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7332650" w14:textId="77777777" w:rsidR="00F303BF" w:rsidRPr="00F303BF" w:rsidRDefault="00F303BF" w:rsidP="00F303BF">
            <w:pPr>
              <w:pStyle w:val="tabletext"/>
              <w:rPr>
                <w:lang w:val="en-US" w:eastAsia="en-US"/>
              </w:rPr>
            </w:pPr>
            <w:r w:rsidRPr="00F303BF">
              <w:rPr>
                <w:lang w:val="en-US" w:eastAsia="en-US"/>
              </w:rPr>
              <w:t>94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0519385" w14:textId="1B92F547" w:rsidR="00F303BF" w:rsidRPr="00F303BF" w:rsidRDefault="00F303BF" w:rsidP="00F303BF">
            <w:pPr>
              <w:pStyle w:val="tabletext"/>
            </w:pPr>
            <w:r w:rsidRPr="00F303BF">
              <w:t>Section 195-1 (definition of Australian Business Registe</w:t>
            </w:r>
            <w:r w:rsidR="00E25C12">
              <w:t>r)</w:t>
            </w:r>
          </w:p>
        </w:tc>
      </w:tr>
      <w:tr w:rsidR="00F303BF" w:rsidRPr="00F303BF" w14:paraId="32F1B2A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8369A9D" w14:textId="77777777" w:rsidR="00F303BF" w:rsidRPr="00F303BF" w:rsidRDefault="00F303BF" w:rsidP="00F303BF">
            <w:pPr>
              <w:pStyle w:val="tabletext"/>
              <w:rPr>
                <w:lang w:val="en-US" w:eastAsia="en-US"/>
              </w:rPr>
            </w:pPr>
            <w:r w:rsidRPr="00F303BF">
              <w:rPr>
                <w:lang w:val="en-US" w:eastAsia="en-US"/>
              </w:rPr>
              <w:t>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D63D12" w14:textId="79070ED2" w:rsidR="00F303BF" w:rsidRPr="00F303BF" w:rsidRDefault="00F303BF" w:rsidP="00F303BF">
            <w:pPr>
              <w:pStyle w:val="tabletext"/>
            </w:pPr>
            <w:r w:rsidRPr="00F303BF">
              <w:t>Section 195-1 (definition of Australian Business Registr</w:t>
            </w:r>
            <w:r w:rsidR="00E25C12">
              <w:t>ar)</w:t>
            </w:r>
          </w:p>
        </w:tc>
      </w:tr>
      <w:tr w:rsidR="00947E92" w:rsidRPr="00F303BF" w14:paraId="3ED14745"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7EFCAEF7" w14:textId="77777777" w:rsidR="00947E92" w:rsidRPr="006B273B" w:rsidRDefault="00947E92" w:rsidP="00F303BF">
            <w:pPr>
              <w:pStyle w:val="tabletext"/>
              <w:rPr>
                <w:b/>
              </w:rPr>
            </w:pPr>
            <w:r w:rsidRPr="006B273B">
              <w:rPr>
                <w:b/>
              </w:rPr>
              <w:t>Australian Prudential Regulation Authority Act 1998</w:t>
            </w:r>
          </w:p>
        </w:tc>
      </w:tr>
      <w:tr w:rsidR="00F303BF" w:rsidRPr="00F303BF" w14:paraId="32D9434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DA8008C" w14:textId="77777777" w:rsidR="00F303BF" w:rsidRPr="00F303BF" w:rsidRDefault="00F303BF" w:rsidP="00F303BF">
            <w:pPr>
              <w:pStyle w:val="tabletext"/>
              <w:rPr>
                <w:lang w:val="en-US" w:eastAsia="en-US"/>
              </w:rPr>
            </w:pPr>
            <w:r w:rsidRPr="00F303BF">
              <w:rPr>
                <w:lang w:val="en-US" w:eastAsia="en-US"/>
              </w:rPr>
              <w:t>98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129FCF0" w14:textId="77777777" w:rsidR="00F303BF" w:rsidRPr="00F303BF" w:rsidRDefault="00F303BF" w:rsidP="00F303BF">
            <w:pPr>
              <w:pStyle w:val="tabletext"/>
            </w:pPr>
            <w:r w:rsidRPr="00F303BF">
              <w:t>Subsection 56(7C)</w:t>
            </w:r>
          </w:p>
        </w:tc>
      </w:tr>
      <w:tr w:rsidR="00F303BF" w:rsidRPr="00F303BF" w14:paraId="3752BEF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3F5D3B4" w14:textId="77777777" w:rsidR="00F303BF" w:rsidRPr="00F303BF" w:rsidRDefault="00F303BF" w:rsidP="00F303BF">
            <w:pPr>
              <w:pStyle w:val="tabletext"/>
              <w:rPr>
                <w:lang w:val="en-US" w:eastAsia="en-US"/>
              </w:rPr>
            </w:pPr>
            <w:r w:rsidRPr="00F303BF">
              <w:rPr>
                <w:lang w:val="en-US" w:eastAsia="en-US"/>
              </w:rPr>
              <w:t>99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8C777FC" w14:textId="77777777" w:rsidR="00F303BF" w:rsidRPr="00F303BF" w:rsidRDefault="00F303BF" w:rsidP="00F303BF">
            <w:pPr>
              <w:pStyle w:val="tabletext"/>
            </w:pPr>
            <w:r w:rsidRPr="00F303BF">
              <w:t>Subsection 56(7C)</w:t>
            </w:r>
          </w:p>
        </w:tc>
      </w:tr>
      <w:tr w:rsidR="00947E92" w:rsidRPr="00F303BF" w14:paraId="436398CC"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494050AB" w14:textId="77777777" w:rsidR="00947E92" w:rsidRPr="006B273B" w:rsidRDefault="00947E92" w:rsidP="00F303BF">
            <w:pPr>
              <w:pStyle w:val="tabletext"/>
              <w:rPr>
                <w:b/>
              </w:rPr>
            </w:pPr>
            <w:r w:rsidRPr="006B273B">
              <w:rPr>
                <w:b/>
              </w:rPr>
              <w:t>ASIC Act</w:t>
            </w:r>
          </w:p>
        </w:tc>
      </w:tr>
      <w:tr w:rsidR="00F303BF" w:rsidRPr="00F303BF" w14:paraId="35AF258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EE99A6E" w14:textId="77777777" w:rsidR="00F303BF" w:rsidRPr="00F303BF" w:rsidRDefault="00F303BF" w:rsidP="00F303BF">
            <w:pPr>
              <w:pStyle w:val="tabletext"/>
              <w:rPr>
                <w:lang w:val="en-US" w:eastAsia="en-US"/>
              </w:rPr>
            </w:pPr>
            <w:r w:rsidRPr="00F303BF">
              <w:rPr>
                <w:lang w:val="en-US" w:eastAsia="en-US"/>
              </w:rPr>
              <w:t>100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D66360" w14:textId="77777777" w:rsidR="00F303BF" w:rsidRPr="00F303BF" w:rsidRDefault="00F303BF" w:rsidP="00F303BF">
            <w:pPr>
              <w:pStyle w:val="tabletext"/>
            </w:pPr>
            <w:r w:rsidRPr="00F303BF">
              <w:t>Paragraph 12A(1)(k)</w:t>
            </w:r>
          </w:p>
        </w:tc>
      </w:tr>
      <w:tr w:rsidR="00E25C12" w:rsidRPr="00F303BF" w14:paraId="077DFFDB" w14:textId="77777777" w:rsidTr="009A1FC1">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141F153A" w14:textId="77777777" w:rsidR="00E25C12" w:rsidRPr="006B273B" w:rsidRDefault="00E25C12" w:rsidP="00F303BF">
            <w:pPr>
              <w:pStyle w:val="tabletext"/>
              <w:rPr>
                <w:b/>
              </w:rPr>
            </w:pPr>
            <w:r w:rsidRPr="006B273B">
              <w:rPr>
                <w:b/>
              </w:rPr>
              <w:t>BNR Act</w:t>
            </w:r>
          </w:p>
        </w:tc>
      </w:tr>
      <w:tr w:rsidR="00F303BF" w:rsidRPr="00F303BF" w14:paraId="17B4E7E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7CD275D" w14:textId="77777777" w:rsidR="00F303BF" w:rsidRPr="00F303BF" w:rsidRDefault="00F303BF" w:rsidP="00F303BF">
            <w:pPr>
              <w:pStyle w:val="tabletext"/>
              <w:rPr>
                <w:lang w:val="en-US" w:eastAsia="en-US"/>
              </w:rPr>
            </w:pPr>
            <w:r w:rsidRPr="00F303BF">
              <w:rPr>
                <w:lang w:val="en-US" w:eastAsia="en-US"/>
              </w:rPr>
              <w:t>101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46BD41A" w14:textId="77777777" w:rsidR="00F303BF" w:rsidRPr="00F303BF" w:rsidRDefault="00F303BF" w:rsidP="00F303BF">
            <w:pPr>
              <w:pStyle w:val="tabletext"/>
            </w:pPr>
            <w:r w:rsidRPr="00F303BF">
              <w:t>Section 3 (definition of ABN)</w:t>
            </w:r>
          </w:p>
        </w:tc>
      </w:tr>
      <w:tr w:rsidR="00F303BF" w:rsidRPr="00F303BF" w14:paraId="3336472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23239F4" w14:textId="77777777" w:rsidR="00F303BF" w:rsidRPr="00F303BF" w:rsidRDefault="00F303BF" w:rsidP="00F303BF">
            <w:pPr>
              <w:pStyle w:val="tabletext"/>
              <w:rPr>
                <w:lang w:val="en-US" w:eastAsia="en-US"/>
              </w:rPr>
            </w:pPr>
            <w:r w:rsidRPr="00F303BF">
              <w:rPr>
                <w:lang w:val="en-US" w:eastAsia="en-US"/>
              </w:rPr>
              <w:t>102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BE60ABA" w14:textId="77777777" w:rsidR="00F303BF" w:rsidRPr="00F303BF" w:rsidRDefault="00F303BF" w:rsidP="00F303BF">
            <w:pPr>
              <w:pStyle w:val="tabletext"/>
            </w:pPr>
            <w:r w:rsidRPr="00F303BF">
              <w:t>Section 3</w:t>
            </w:r>
          </w:p>
        </w:tc>
      </w:tr>
      <w:tr w:rsidR="00F303BF" w:rsidRPr="00F303BF" w14:paraId="16B575E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4557FBC" w14:textId="77777777" w:rsidR="00F303BF" w:rsidRPr="00F303BF" w:rsidRDefault="00F303BF" w:rsidP="00F303BF">
            <w:pPr>
              <w:pStyle w:val="tabletext"/>
              <w:rPr>
                <w:lang w:val="en-US" w:eastAsia="en-US"/>
              </w:rPr>
            </w:pPr>
            <w:r w:rsidRPr="00F303BF">
              <w:rPr>
                <w:lang w:val="en-US" w:eastAsia="en-US"/>
              </w:rPr>
              <w:t>103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F1228D7" w14:textId="77777777" w:rsidR="00F303BF" w:rsidRPr="00F303BF" w:rsidRDefault="00F303BF" w:rsidP="00F303BF">
            <w:pPr>
              <w:pStyle w:val="tabletext"/>
            </w:pPr>
            <w:r w:rsidRPr="00F303BF">
              <w:t>Section 3 (definition of application fee)</w:t>
            </w:r>
          </w:p>
        </w:tc>
      </w:tr>
      <w:tr w:rsidR="00F303BF" w:rsidRPr="00F303BF" w14:paraId="30119BC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A7908CB" w14:textId="77777777" w:rsidR="00F303BF" w:rsidRPr="00F303BF" w:rsidRDefault="00F303BF" w:rsidP="00F303BF">
            <w:pPr>
              <w:pStyle w:val="tabletext"/>
              <w:rPr>
                <w:lang w:val="en-US" w:eastAsia="en-US"/>
              </w:rPr>
            </w:pPr>
            <w:r w:rsidRPr="00F303BF">
              <w:rPr>
                <w:lang w:val="en-US" w:eastAsia="en-US"/>
              </w:rPr>
              <w:t>104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053207A" w14:textId="77777777" w:rsidR="00F303BF" w:rsidRPr="00F303BF" w:rsidRDefault="00F303BF" w:rsidP="00F303BF">
            <w:pPr>
              <w:pStyle w:val="tabletext"/>
            </w:pPr>
            <w:r w:rsidRPr="00F303BF">
              <w:t>Section 3 (definition of ASIC Act)</w:t>
            </w:r>
          </w:p>
        </w:tc>
      </w:tr>
      <w:tr w:rsidR="00F303BF" w:rsidRPr="00F303BF" w14:paraId="0160A69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E92B2C8" w14:textId="77777777" w:rsidR="00F303BF" w:rsidRPr="00F303BF" w:rsidRDefault="00F303BF" w:rsidP="00F303BF">
            <w:pPr>
              <w:pStyle w:val="tabletext"/>
              <w:rPr>
                <w:lang w:val="en-US" w:eastAsia="en-US"/>
              </w:rPr>
            </w:pPr>
            <w:r w:rsidRPr="00F303BF">
              <w:rPr>
                <w:lang w:val="en-US" w:eastAsia="en-US"/>
              </w:rPr>
              <w:t>105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CE17C0C" w14:textId="77777777" w:rsidR="00F303BF" w:rsidRPr="00F303BF" w:rsidRDefault="00F303BF" w:rsidP="00F303BF">
            <w:pPr>
              <w:pStyle w:val="tabletext"/>
            </w:pPr>
            <w:r w:rsidRPr="00F303BF">
              <w:t>Section 3 (definition of ASIC member)</w:t>
            </w:r>
          </w:p>
        </w:tc>
      </w:tr>
      <w:tr w:rsidR="00F303BF" w:rsidRPr="00F303BF" w14:paraId="2D1D0AB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3E3943E" w14:textId="77777777" w:rsidR="00F303BF" w:rsidRPr="00F303BF" w:rsidRDefault="00F303BF" w:rsidP="00F303BF">
            <w:pPr>
              <w:pStyle w:val="tabletext"/>
              <w:rPr>
                <w:lang w:val="en-US" w:eastAsia="en-US"/>
              </w:rPr>
            </w:pPr>
            <w:r w:rsidRPr="00F303BF">
              <w:rPr>
                <w:lang w:val="en-US" w:eastAsia="en-US"/>
              </w:rPr>
              <w:t>107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BB00DD" w14:textId="77777777" w:rsidR="00F303BF" w:rsidRPr="00F303BF" w:rsidRDefault="00F303BF" w:rsidP="00F303BF">
            <w:pPr>
              <w:pStyle w:val="tabletext"/>
            </w:pPr>
            <w:r w:rsidRPr="00F303BF">
              <w:t>Section 3 (definition of Australian Business Register)</w:t>
            </w:r>
          </w:p>
        </w:tc>
      </w:tr>
      <w:tr w:rsidR="00F303BF" w:rsidRPr="00F303BF" w14:paraId="7C2B306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E30954C" w14:textId="77777777" w:rsidR="00F303BF" w:rsidRPr="00F303BF" w:rsidRDefault="00F303BF" w:rsidP="00F303BF">
            <w:pPr>
              <w:pStyle w:val="tabletext"/>
              <w:rPr>
                <w:lang w:val="en-US" w:eastAsia="en-US"/>
              </w:rPr>
            </w:pPr>
            <w:r w:rsidRPr="00F303BF">
              <w:rPr>
                <w:lang w:val="en-US" w:eastAsia="en-US"/>
              </w:rPr>
              <w:t>108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DC72C1" w14:textId="77777777" w:rsidR="00F303BF" w:rsidRPr="00F303BF" w:rsidRDefault="00F303BF" w:rsidP="00F303BF">
            <w:pPr>
              <w:pStyle w:val="tabletext"/>
            </w:pPr>
            <w:r w:rsidRPr="00F303BF">
              <w:t>Section 3 (definition of Business Names Register)</w:t>
            </w:r>
          </w:p>
        </w:tc>
      </w:tr>
      <w:tr w:rsidR="00F303BF" w:rsidRPr="00F303BF" w14:paraId="0A61AC9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FECB48A" w14:textId="77777777" w:rsidR="00F303BF" w:rsidRPr="00F303BF" w:rsidRDefault="00F303BF" w:rsidP="00F303BF">
            <w:pPr>
              <w:pStyle w:val="tabletext"/>
              <w:rPr>
                <w:lang w:val="en-US" w:eastAsia="en-US"/>
              </w:rPr>
            </w:pPr>
            <w:r w:rsidRPr="00F303BF">
              <w:rPr>
                <w:lang w:val="en-US" w:eastAsia="en-US"/>
              </w:rPr>
              <w:t>110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6D6D2CB" w14:textId="77777777" w:rsidR="00F303BF" w:rsidRPr="00F303BF" w:rsidRDefault="00F303BF" w:rsidP="00F303BF">
            <w:pPr>
              <w:pStyle w:val="tabletext"/>
            </w:pPr>
            <w:r w:rsidRPr="00F303BF">
              <w:t>Section 3 (definition of staff member)</w:t>
            </w:r>
          </w:p>
        </w:tc>
      </w:tr>
      <w:tr w:rsidR="00F303BF" w:rsidRPr="00F303BF" w14:paraId="1F41780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026AD1D" w14:textId="77777777" w:rsidR="00F303BF" w:rsidRPr="00F303BF" w:rsidRDefault="00F303BF" w:rsidP="00F303BF">
            <w:pPr>
              <w:pStyle w:val="tabletext"/>
              <w:rPr>
                <w:lang w:val="en-US" w:eastAsia="en-US"/>
              </w:rPr>
            </w:pPr>
            <w:r w:rsidRPr="00F303BF">
              <w:rPr>
                <w:lang w:val="en-US" w:eastAsia="en-US"/>
              </w:rPr>
              <w:t>115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6CC1B55" w14:textId="77777777" w:rsidR="00F303BF" w:rsidRPr="00F303BF" w:rsidRDefault="00F303BF" w:rsidP="00F303BF">
            <w:pPr>
              <w:pStyle w:val="tabletext"/>
            </w:pPr>
            <w:r w:rsidRPr="00F303BF">
              <w:t>Section 22</w:t>
            </w:r>
          </w:p>
        </w:tc>
      </w:tr>
      <w:tr w:rsidR="00F303BF" w:rsidRPr="00F303BF" w14:paraId="255069A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DA575F6" w14:textId="77777777" w:rsidR="00F303BF" w:rsidRPr="00F303BF" w:rsidRDefault="00F303BF" w:rsidP="00F303BF">
            <w:pPr>
              <w:pStyle w:val="tabletext"/>
              <w:rPr>
                <w:lang w:val="en-US" w:eastAsia="en-US"/>
              </w:rPr>
            </w:pPr>
            <w:r w:rsidRPr="00F303BF">
              <w:rPr>
                <w:lang w:val="en-US" w:eastAsia="en-US"/>
              </w:rPr>
              <w:t>118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FAB2FAA" w14:textId="77777777" w:rsidR="00F303BF" w:rsidRPr="00F303BF" w:rsidRDefault="00F303BF" w:rsidP="00F303BF">
            <w:pPr>
              <w:pStyle w:val="tabletext"/>
            </w:pPr>
            <w:r w:rsidRPr="00F303BF">
              <w:t>Subsections 23(5) and (6)</w:t>
            </w:r>
          </w:p>
        </w:tc>
      </w:tr>
      <w:tr w:rsidR="00F303BF" w:rsidRPr="00F303BF" w14:paraId="243A9CE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8F2A7F4" w14:textId="77777777" w:rsidR="00F303BF" w:rsidRPr="00F303BF" w:rsidRDefault="00F303BF" w:rsidP="00F303BF">
            <w:pPr>
              <w:pStyle w:val="tabletext"/>
              <w:rPr>
                <w:lang w:val="en-US" w:eastAsia="en-US"/>
              </w:rPr>
            </w:pPr>
            <w:r w:rsidRPr="00F303BF">
              <w:rPr>
                <w:lang w:val="en-US" w:eastAsia="en-US"/>
              </w:rPr>
              <w:t>141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0220585" w14:textId="77777777" w:rsidR="00F303BF" w:rsidRPr="00F303BF" w:rsidRDefault="00F303BF" w:rsidP="00F303BF">
            <w:pPr>
              <w:pStyle w:val="tabletext"/>
            </w:pPr>
            <w:r w:rsidRPr="00F303BF">
              <w:t>Subsection 32(4)</w:t>
            </w:r>
          </w:p>
        </w:tc>
      </w:tr>
      <w:tr w:rsidR="00F303BF" w:rsidRPr="00F303BF" w14:paraId="13D9239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7A21EBC" w14:textId="77777777" w:rsidR="00F303BF" w:rsidRPr="00F303BF" w:rsidRDefault="00F303BF" w:rsidP="00F303BF">
            <w:pPr>
              <w:pStyle w:val="tabletext"/>
              <w:rPr>
                <w:lang w:val="en-US" w:eastAsia="en-US"/>
              </w:rPr>
            </w:pPr>
            <w:r w:rsidRPr="00F303BF">
              <w:rPr>
                <w:lang w:val="en-US" w:eastAsia="en-US"/>
              </w:rPr>
              <w:t>143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8203D1" w14:textId="77777777" w:rsidR="00F303BF" w:rsidRPr="00F303BF" w:rsidRDefault="00F303BF" w:rsidP="00F303BF">
            <w:pPr>
              <w:pStyle w:val="tabletext"/>
            </w:pPr>
            <w:r w:rsidRPr="00F303BF">
              <w:t>Subsection 33(1)</w:t>
            </w:r>
          </w:p>
        </w:tc>
      </w:tr>
      <w:tr w:rsidR="00F303BF" w:rsidRPr="00F303BF" w14:paraId="511E551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C3760AE" w14:textId="77777777" w:rsidR="00F303BF" w:rsidRPr="00F303BF" w:rsidRDefault="00F303BF" w:rsidP="00F303BF">
            <w:pPr>
              <w:pStyle w:val="tabletext"/>
              <w:rPr>
                <w:lang w:val="en-US" w:eastAsia="en-US"/>
              </w:rPr>
            </w:pPr>
            <w:r w:rsidRPr="00F303BF">
              <w:rPr>
                <w:lang w:val="en-US" w:eastAsia="en-US"/>
              </w:rPr>
              <w:t>149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849A40" w14:textId="77777777" w:rsidR="00F303BF" w:rsidRPr="00F303BF" w:rsidRDefault="00F303BF" w:rsidP="00F303BF">
            <w:pPr>
              <w:pStyle w:val="tabletext"/>
            </w:pPr>
            <w:r w:rsidRPr="00F303BF">
              <w:t>Subsection 33(7)</w:t>
            </w:r>
          </w:p>
        </w:tc>
      </w:tr>
      <w:tr w:rsidR="00F303BF" w:rsidRPr="00F303BF" w14:paraId="00658D2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3B2B337" w14:textId="77777777" w:rsidR="00F303BF" w:rsidRPr="00F303BF" w:rsidRDefault="00F303BF" w:rsidP="00F303BF">
            <w:pPr>
              <w:pStyle w:val="tabletext"/>
              <w:rPr>
                <w:lang w:val="en-US" w:eastAsia="en-US"/>
              </w:rPr>
            </w:pPr>
            <w:r w:rsidRPr="00F303BF">
              <w:rPr>
                <w:lang w:val="en-US" w:eastAsia="en-US"/>
              </w:rPr>
              <w:t>169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991FB61" w14:textId="77777777" w:rsidR="00F303BF" w:rsidRPr="00F303BF" w:rsidRDefault="00F303BF" w:rsidP="00F303BF">
            <w:pPr>
              <w:pStyle w:val="tabletext"/>
            </w:pPr>
            <w:r w:rsidRPr="00F303BF">
              <w:t>Subsection 35(1)</w:t>
            </w:r>
          </w:p>
        </w:tc>
      </w:tr>
      <w:tr w:rsidR="00F303BF" w:rsidRPr="00F303BF" w14:paraId="2F1816F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2E42379" w14:textId="77777777" w:rsidR="00F303BF" w:rsidRPr="00F303BF" w:rsidRDefault="00F303BF" w:rsidP="00F303BF">
            <w:pPr>
              <w:pStyle w:val="tabletext"/>
              <w:rPr>
                <w:lang w:val="en-US" w:eastAsia="en-US"/>
              </w:rPr>
            </w:pPr>
            <w:r w:rsidRPr="00F303BF">
              <w:rPr>
                <w:lang w:val="en-US" w:eastAsia="en-US"/>
              </w:rPr>
              <w:t>171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531B5CC" w14:textId="77777777" w:rsidR="00F303BF" w:rsidRPr="00F303BF" w:rsidRDefault="00F303BF" w:rsidP="00F303BF">
            <w:pPr>
              <w:pStyle w:val="tabletext"/>
            </w:pPr>
            <w:r w:rsidRPr="00F303BF">
              <w:t>Paragraph 35(1)(b)</w:t>
            </w:r>
          </w:p>
        </w:tc>
      </w:tr>
      <w:tr w:rsidR="00F303BF" w:rsidRPr="00F303BF" w14:paraId="4EB528E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A36FDD7" w14:textId="77777777" w:rsidR="00F303BF" w:rsidRPr="00F303BF" w:rsidRDefault="00F303BF" w:rsidP="00F303BF">
            <w:pPr>
              <w:pStyle w:val="tabletext"/>
              <w:rPr>
                <w:lang w:val="en-US" w:eastAsia="en-US"/>
              </w:rPr>
            </w:pPr>
            <w:r w:rsidRPr="00F303BF">
              <w:rPr>
                <w:lang w:val="en-US" w:eastAsia="en-US"/>
              </w:rPr>
              <w:t>173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AB50CB4" w14:textId="77777777" w:rsidR="00F303BF" w:rsidRPr="00F303BF" w:rsidRDefault="00F303BF" w:rsidP="00F303BF">
            <w:pPr>
              <w:pStyle w:val="tabletext"/>
            </w:pPr>
            <w:r w:rsidRPr="00F303BF">
              <w:t>Subsection 35(2)</w:t>
            </w:r>
          </w:p>
        </w:tc>
      </w:tr>
      <w:tr w:rsidR="00F303BF" w:rsidRPr="00F303BF" w14:paraId="0933EEB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6F046F9" w14:textId="77777777" w:rsidR="00F303BF" w:rsidRPr="00F303BF" w:rsidRDefault="00F303BF" w:rsidP="00F303BF">
            <w:pPr>
              <w:pStyle w:val="tabletext"/>
              <w:rPr>
                <w:lang w:val="en-US" w:eastAsia="en-US"/>
              </w:rPr>
            </w:pPr>
            <w:r w:rsidRPr="00F303BF">
              <w:rPr>
                <w:lang w:val="en-US" w:eastAsia="en-US"/>
              </w:rPr>
              <w:t>177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ADF7263" w14:textId="77777777" w:rsidR="00F303BF" w:rsidRPr="00F303BF" w:rsidRDefault="00F303BF" w:rsidP="00F303BF">
            <w:pPr>
              <w:pStyle w:val="tabletext"/>
            </w:pPr>
            <w:r w:rsidRPr="00F303BF">
              <w:t>Subsection 36(2)</w:t>
            </w:r>
          </w:p>
        </w:tc>
      </w:tr>
      <w:tr w:rsidR="00F303BF" w:rsidRPr="00F303BF" w14:paraId="3CBC880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859EFDF" w14:textId="77777777" w:rsidR="00F303BF" w:rsidRPr="00F303BF" w:rsidRDefault="00F303BF" w:rsidP="00F303BF">
            <w:pPr>
              <w:pStyle w:val="tabletext"/>
              <w:rPr>
                <w:lang w:val="en-US" w:eastAsia="en-US"/>
              </w:rPr>
            </w:pPr>
            <w:r w:rsidRPr="00F303BF">
              <w:rPr>
                <w:lang w:val="en-US" w:eastAsia="en-US"/>
              </w:rPr>
              <w:lastRenderedPageBreak/>
              <w:t>182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540E7D" w14:textId="77777777" w:rsidR="00F303BF" w:rsidRPr="00F303BF" w:rsidRDefault="00F303BF" w:rsidP="00F303BF">
            <w:pPr>
              <w:pStyle w:val="tabletext"/>
            </w:pPr>
            <w:r w:rsidRPr="00F303BF">
              <w:t>Subsections 37(6) to (8)</w:t>
            </w:r>
          </w:p>
        </w:tc>
      </w:tr>
      <w:tr w:rsidR="00F303BF" w:rsidRPr="00F303BF" w14:paraId="034B548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7BB84B5" w14:textId="77777777" w:rsidR="00F303BF" w:rsidRPr="00F303BF" w:rsidRDefault="00F303BF" w:rsidP="00F303BF">
            <w:pPr>
              <w:pStyle w:val="tabletext"/>
              <w:rPr>
                <w:lang w:val="en-US" w:eastAsia="en-US"/>
              </w:rPr>
            </w:pPr>
            <w:r w:rsidRPr="00F303BF">
              <w:rPr>
                <w:lang w:val="en-US" w:eastAsia="en-US"/>
              </w:rPr>
              <w:t>188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DED983" w14:textId="77777777" w:rsidR="00F303BF" w:rsidRPr="00F303BF" w:rsidRDefault="00F303BF" w:rsidP="00F303BF">
            <w:pPr>
              <w:pStyle w:val="tabletext"/>
            </w:pPr>
            <w:r w:rsidRPr="00F303BF">
              <w:t>Subsection 39(2)</w:t>
            </w:r>
          </w:p>
        </w:tc>
      </w:tr>
      <w:tr w:rsidR="00F303BF" w:rsidRPr="00F303BF" w14:paraId="658B0FD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BF77684" w14:textId="77777777" w:rsidR="00F303BF" w:rsidRPr="00F303BF" w:rsidRDefault="00F303BF" w:rsidP="00F303BF">
            <w:pPr>
              <w:pStyle w:val="tabletext"/>
              <w:rPr>
                <w:lang w:val="en-US" w:eastAsia="en-US"/>
              </w:rPr>
            </w:pPr>
            <w:r w:rsidRPr="00F303BF">
              <w:rPr>
                <w:lang w:val="en-US" w:eastAsia="en-US"/>
              </w:rPr>
              <w:t>192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F8AA93A" w14:textId="77777777" w:rsidR="00F303BF" w:rsidRPr="00F303BF" w:rsidRDefault="00F303BF" w:rsidP="00F303BF">
            <w:pPr>
              <w:pStyle w:val="tabletext"/>
            </w:pPr>
            <w:r w:rsidRPr="00F303BF">
              <w:t>Paragraph 39(3)(b)</w:t>
            </w:r>
          </w:p>
        </w:tc>
      </w:tr>
      <w:tr w:rsidR="00F303BF" w:rsidRPr="00F303BF" w14:paraId="035A698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2EB183A" w14:textId="77777777" w:rsidR="00F303BF" w:rsidRPr="00F303BF" w:rsidRDefault="00F303BF" w:rsidP="00F303BF">
            <w:pPr>
              <w:pStyle w:val="tabletext"/>
              <w:rPr>
                <w:lang w:val="en-US" w:eastAsia="en-US"/>
              </w:rPr>
            </w:pPr>
            <w:r w:rsidRPr="00F303BF">
              <w:rPr>
                <w:lang w:val="en-US" w:eastAsia="en-US"/>
              </w:rPr>
              <w:t>195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00D253D" w14:textId="77777777" w:rsidR="00F303BF" w:rsidRPr="00F303BF" w:rsidRDefault="00F303BF" w:rsidP="00F303BF">
            <w:pPr>
              <w:pStyle w:val="tabletext"/>
            </w:pPr>
            <w:r w:rsidRPr="00F303BF">
              <w:t>Subsections 40(3) and (4)</w:t>
            </w:r>
          </w:p>
        </w:tc>
      </w:tr>
      <w:tr w:rsidR="00F303BF" w:rsidRPr="00F303BF" w14:paraId="19E687C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E8F4E1D" w14:textId="77777777" w:rsidR="00F303BF" w:rsidRPr="00F303BF" w:rsidRDefault="00F303BF" w:rsidP="00F303BF">
            <w:pPr>
              <w:pStyle w:val="tabletext"/>
              <w:rPr>
                <w:lang w:val="en-US" w:eastAsia="en-US"/>
              </w:rPr>
            </w:pPr>
            <w:r w:rsidRPr="00F303BF">
              <w:rPr>
                <w:lang w:val="en-US" w:eastAsia="en-US"/>
              </w:rPr>
              <w:t>203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AB481DC" w14:textId="77777777" w:rsidR="00F303BF" w:rsidRPr="00F303BF" w:rsidRDefault="00F303BF" w:rsidP="00F303BF">
            <w:pPr>
              <w:pStyle w:val="tabletext"/>
            </w:pPr>
            <w:r w:rsidRPr="00F303BF">
              <w:t>Subsection 42(2)</w:t>
            </w:r>
          </w:p>
        </w:tc>
      </w:tr>
      <w:tr w:rsidR="00F303BF" w:rsidRPr="00F303BF" w14:paraId="0BED13F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BF483C3" w14:textId="77777777" w:rsidR="00F303BF" w:rsidRPr="00F303BF" w:rsidRDefault="00F303BF" w:rsidP="00F303BF">
            <w:pPr>
              <w:pStyle w:val="tabletext"/>
              <w:rPr>
                <w:lang w:val="en-US" w:eastAsia="en-US"/>
              </w:rPr>
            </w:pPr>
            <w:r w:rsidRPr="00F303BF">
              <w:rPr>
                <w:lang w:val="en-US" w:eastAsia="en-US"/>
              </w:rPr>
              <w:t>238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E6FA3D6" w14:textId="77777777" w:rsidR="00F303BF" w:rsidRPr="00F303BF" w:rsidRDefault="00F303BF" w:rsidP="00F303BF">
            <w:pPr>
              <w:pStyle w:val="tabletext"/>
            </w:pPr>
            <w:r w:rsidRPr="00F303BF">
              <w:t>Subsection 49(1)</w:t>
            </w:r>
          </w:p>
        </w:tc>
      </w:tr>
      <w:tr w:rsidR="00F303BF" w:rsidRPr="00F303BF" w14:paraId="4E8138F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123F906" w14:textId="77777777" w:rsidR="00F303BF" w:rsidRPr="00F303BF" w:rsidRDefault="00F303BF" w:rsidP="00F303BF">
            <w:pPr>
              <w:pStyle w:val="tabletext"/>
              <w:rPr>
                <w:lang w:val="en-US" w:eastAsia="en-US"/>
              </w:rPr>
            </w:pPr>
            <w:r w:rsidRPr="00F303BF">
              <w:rPr>
                <w:lang w:val="en-US" w:eastAsia="en-US"/>
              </w:rPr>
              <w:t>257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150C2E" w14:textId="77777777" w:rsidR="00F303BF" w:rsidRPr="00F303BF" w:rsidRDefault="00F303BF" w:rsidP="00F303BF">
            <w:pPr>
              <w:pStyle w:val="tabletext"/>
            </w:pPr>
            <w:r w:rsidRPr="00F303BF">
              <w:t>Section 56 (table item 11, column 1)</w:t>
            </w:r>
          </w:p>
        </w:tc>
      </w:tr>
      <w:tr w:rsidR="00F303BF" w:rsidRPr="00F303BF" w14:paraId="62F5849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E737076" w14:textId="77777777" w:rsidR="00F303BF" w:rsidRPr="00F303BF" w:rsidRDefault="00F303BF" w:rsidP="00F303BF">
            <w:pPr>
              <w:pStyle w:val="tabletext"/>
              <w:rPr>
                <w:lang w:val="en-US" w:eastAsia="en-US"/>
              </w:rPr>
            </w:pPr>
            <w:r w:rsidRPr="00F303BF">
              <w:rPr>
                <w:lang w:val="en-US" w:eastAsia="en-US"/>
              </w:rPr>
              <w:t>259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DAE4E10" w14:textId="77777777" w:rsidR="00F303BF" w:rsidRPr="00F303BF" w:rsidRDefault="00F303BF" w:rsidP="00F303BF">
            <w:pPr>
              <w:pStyle w:val="tabletext"/>
            </w:pPr>
            <w:r w:rsidRPr="00F303BF">
              <w:t>Section 56 (table item 12, column 1)</w:t>
            </w:r>
          </w:p>
        </w:tc>
      </w:tr>
      <w:tr w:rsidR="00F303BF" w:rsidRPr="00F303BF" w14:paraId="5E9131B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FEB96D3" w14:textId="77777777" w:rsidR="00F303BF" w:rsidRPr="00F303BF" w:rsidRDefault="00F303BF" w:rsidP="00F303BF">
            <w:pPr>
              <w:pStyle w:val="tabletext"/>
              <w:rPr>
                <w:lang w:val="en-US" w:eastAsia="en-US"/>
              </w:rPr>
            </w:pPr>
            <w:r w:rsidRPr="00F303BF">
              <w:rPr>
                <w:lang w:val="en-US" w:eastAsia="en-US"/>
              </w:rPr>
              <w:t>260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0608ED" w14:textId="77777777" w:rsidR="00F303BF" w:rsidRPr="00F303BF" w:rsidRDefault="00F303BF" w:rsidP="00F303BF">
            <w:pPr>
              <w:pStyle w:val="tabletext"/>
            </w:pPr>
            <w:r w:rsidRPr="00F303BF">
              <w:t>Section 56 (table items 16 and 17)</w:t>
            </w:r>
          </w:p>
        </w:tc>
      </w:tr>
      <w:tr w:rsidR="00F303BF" w:rsidRPr="00F303BF" w14:paraId="17FA828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32CBCC8" w14:textId="77777777" w:rsidR="00F303BF" w:rsidRPr="00F303BF" w:rsidRDefault="00F303BF" w:rsidP="00F303BF">
            <w:pPr>
              <w:pStyle w:val="tabletext"/>
              <w:rPr>
                <w:lang w:val="en-US" w:eastAsia="en-US"/>
              </w:rPr>
            </w:pPr>
            <w:r w:rsidRPr="00F303BF">
              <w:rPr>
                <w:lang w:val="en-US" w:eastAsia="en-US"/>
              </w:rPr>
              <w:t>275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652F7D5" w14:textId="77777777" w:rsidR="00F303BF" w:rsidRPr="00F303BF" w:rsidRDefault="00F303BF" w:rsidP="00F303BF">
            <w:pPr>
              <w:pStyle w:val="tabletext"/>
            </w:pPr>
            <w:r w:rsidRPr="00F303BF">
              <w:t>Part 8</w:t>
            </w:r>
          </w:p>
        </w:tc>
      </w:tr>
      <w:tr w:rsidR="00F303BF" w:rsidRPr="00F303BF" w14:paraId="75142F6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06EE904" w14:textId="77777777" w:rsidR="00F303BF" w:rsidRPr="00F303BF" w:rsidRDefault="00F303BF" w:rsidP="00F303BF">
            <w:pPr>
              <w:pStyle w:val="tabletext"/>
              <w:rPr>
                <w:lang w:val="en-US" w:eastAsia="en-US"/>
              </w:rPr>
            </w:pPr>
            <w:r w:rsidRPr="00F303BF">
              <w:rPr>
                <w:lang w:val="en-US" w:eastAsia="en-US"/>
              </w:rPr>
              <w:t>276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9EDDBC0" w14:textId="77777777" w:rsidR="00F303BF" w:rsidRPr="00F303BF" w:rsidRDefault="00F303BF" w:rsidP="00F303BF">
            <w:pPr>
              <w:pStyle w:val="tabletext"/>
            </w:pPr>
            <w:r w:rsidRPr="00F303BF">
              <w:t>Sections 63 and 64</w:t>
            </w:r>
          </w:p>
        </w:tc>
      </w:tr>
      <w:tr w:rsidR="00F303BF" w:rsidRPr="00F303BF" w14:paraId="6AC9D80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26BD292" w14:textId="77777777" w:rsidR="00F303BF" w:rsidRPr="00F303BF" w:rsidRDefault="00F303BF" w:rsidP="00F303BF">
            <w:pPr>
              <w:pStyle w:val="tabletext"/>
              <w:rPr>
                <w:lang w:val="en-US" w:eastAsia="en-US"/>
              </w:rPr>
            </w:pPr>
            <w:r w:rsidRPr="00F303BF">
              <w:rPr>
                <w:lang w:val="en-US" w:eastAsia="en-US"/>
              </w:rPr>
              <w:t>282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79F572" w14:textId="77777777" w:rsidR="00F303BF" w:rsidRPr="00F303BF" w:rsidRDefault="00F303BF" w:rsidP="00F303BF">
            <w:pPr>
              <w:pStyle w:val="tabletext"/>
            </w:pPr>
            <w:r w:rsidRPr="00F303BF">
              <w:t>Sections 66 to 68</w:t>
            </w:r>
          </w:p>
        </w:tc>
      </w:tr>
      <w:tr w:rsidR="00F303BF" w:rsidRPr="00F303BF" w14:paraId="181E634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C72490E" w14:textId="77777777" w:rsidR="00F303BF" w:rsidRPr="00F303BF" w:rsidRDefault="00F303BF" w:rsidP="00F303BF">
            <w:pPr>
              <w:pStyle w:val="tabletext"/>
              <w:rPr>
                <w:lang w:val="en-US" w:eastAsia="en-US"/>
              </w:rPr>
            </w:pPr>
            <w:r w:rsidRPr="00F303BF">
              <w:rPr>
                <w:lang w:val="en-US" w:eastAsia="en-US"/>
              </w:rPr>
              <w:t>291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769924D" w14:textId="77777777" w:rsidR="00F303BF" w:rsidRPr="00F303BF" w:rsidRDefault="00F303BF" w:rsidP="00F303BF">
            <w:pPr>
              <w:pStyle w:val="tabletext"/>
            </w:pPr>
            <w:r w:rsidRPr="00F303BF">
              <w:t>Subsection 69(2)</w:t>
            </w:r>
          </w:p>
        </w:tc>
      </w:tr>
      <w:tr w:rsidR="00F303BF" w:rsidRPr="00F303BF" w14:paraId="05F7B41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0D24878" w14:textId="77777777" w:rsidR="00F303BF" w:rsidRPr="00F303BF" w:rsidRDefault="00F303BF" w:rsidP="00F303BF">
            <w:pPr>
              <w:pStyle w:val="tabletext"/>
              <w:rPr>
                <w:lang w:val="en-US" w:eastAsia="en-US"/>
              </w:rPr>
            </w:pPr>
            <w:r w:rsidRPr="00F303BF">
              <w:rPr>
                <w:lang w:val="en-US" w:eastAsia="en-US"/>
              </w:rPr>
              <w:t>295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E330299" w14:textId="77777777" w:rsidR="00F303BF" w:rsidRPr="00F303BF" w:rsidRDefault="00F303BF" w:rsidP="00F303BF">
            <w:pPr>
              <w:pStyle w:val="tabletext"/>
            </w:pPr>
            <w:r w:rsidRPr="00F303BF">
              <w:t>Paragraphs 69(3)(a) and (b)</w:t>
            </w:r>
          </w:p>
        </w:tc>
      </w:tr>
      <w:tr w:rsidR="00F303BF" w:rsidRPr="00F303BF" w14:paraId="30ED55A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AC4068F" w14:textId="77777777" w:rsidR="00F303BF" w:rsidRPr="00F303BF" w:rsidRDefault="00F303BF" w:rsidP="00F303BF">
            <w:pPr>
              <w:pStyle w:val="tabletext"/>
              <w:rPr>
                <w:lang w:val="en-US" w:eastAsia="en-US"/>
              </w:rPr>
            </w:pPr>
            <w:r w:rsidRPr="00F303BF">
              <w:rPr>
                <w:lang w:val="en-US" w:eastAsia="en-US"/>
              </w:rPr>
              <w:t>311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3C64A2" w14:textId="77777777" w:rsidR="00F303BF" w:rsidRPr="00F303BF" w:rsidRDefault="00F303BF" w:rsidP="00F303BF">
            <w:pPr>
              <w:pStyle w:val="tabletext"/>
            </w:pPr>
            <w:r w:rsidRPr="00F303BF">
              <w:t>Section 74</w:t>
            </w:r>
          </w:p>
        </w:tc>
      </w:tr>
      <w:tr w:rsidR="00F303BF" w:rsidRPr="00F303BF" w14:paraId="7274171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BFC7184" w14:textId="77777777" w:rsidR="00F303BF" w:rsidRPr="00F303BF" w:rsidRDefault="00F303BF" w:rsidP="00F303BF">
            <w:pPr>
              <w:pStyle w:val="tabletext"/>
              <w:rPr>
                <w:lang w:val="en-US" w:eastAsia="en-US"/>
              </w:rPr>
            </w:pPr>
            <w:r w:rsidRPr="00F303BF">
              <w:rPr>
                <w:lang w:val="en-US" w:eastAsia="en-US"/>
              </w:rPr>
              <w:t>314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E9B9A1D" w14:textId="77777777" w:rsidR="00F303BF" w:rsidRPr="00F303BF" w:rsidRDefault="00F303BF" w:rsidP="00F303BF">
            <w:pPr>
              <w:pStyle w:val="tabletext"/>
            </w:pPr>
            <w:r w:rsidRPr="00F303BF">
              <w:t>Section 75</w:t>
            </w:r>
          </w:p>
        </w:tc>
      </w:tr>
      <w:tr w:rsidR="00F303BF" w:rsidRPr="00F303BF" w14:paraId="023C5D7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AA77F6F" w14:textId="77777777" w:rsidR="00F303BF" w:rsidRPr="00F303BF" w:rsidRDefault="00F303BF" w:rsidP="00F303BF">
            <w:pPr>
              <w:pStyle w:val="tabletext"/>
              <w:rPr>
                <w:lang w:val="en-US" w:eastAsia="en-US"/>
              </w:rPr>
            </w:pPr>
            <w:r w:rsidRPr="00F303BF">
              <w:rPr>
                <w:lang w:val="en-US" w:eastAsia="en-US"/>
              </w:rPr>
              <w:t>316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6D0C5AD" w14:textId="77777777" w:rsidR="00F303BF" w:rsidRPr="00F303BF" w:rsidRDefault="00F303BF" w:rsidP="00F303BF">
            <w:pPr>
              <w:pStyle w:val="tabletext"/>
            </w:pPr>
            <w:r w:rsidRPr="00F303BF">
              <w:t>Sections 76 and 77</w:t>
            </w:r>
          </w:p>
        </w:tc>
      </w:tr>
      <w:tr w:rsidR="00F303BF" w:rsidRPr="00F303BF" w14:paraId="09E0A8A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0DA22A6" w14:textId="77777777" w:rsidR="00F303BF" w:rsidRPr="00F303BF" w:rsidRDefault="00F303BF" w:rsidP="00F303BF">
            <w:pPr>
              <w:pStyle w:val="tabletext"/>
              <w:rPr>
                <w:lang w:val="en-US" w:eastAsia="en-US"/>
              </w:rPr>
            </w:pPr>
            <w:r w:rsidRPr="00F303BF">
              <w:rPr>
                <w:lang w:val="en-US" w:eastAsia="en-US"/>
              </w:rPr>
              <w:t>318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B702FA5" w14:textId="77777777" w:rsidR="00F303BF" w:rsidRPr="00F303BF" w:rsidRDefault="00F303BF" w:rsidP="00F303BF">
            <w:pPr>
              <w:pStyle w:val="tabletext"/>
            </w:pPr>
            <w:r w:rsidRPr="00F303BF">
              <w:t>Section 79</w:t>
            </w:r>
          </w:p>
        </w:tc>
      </w:tr>
      <w:tr w:rsidR="00947E92" w:rsidRPr="00F303BF" w14:paraId="33289294"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0E717F2D" w14:textId="77777777" w:rsidR="00947E92" w:rsidRPr="006B273B" w:rsidRDefault="00947E92" w:rsidP="00F303BF">
            <w:pPr>
              <w:pStyle w:val="tabletext"/>
              <w:rPr>
                <w:b/>
              </w:rPr>
            </w:pPr>
            <w:r w:rsidRPr="006B273B">
              <w:rPr>
                <w:b/>
              </w:rPr>
              <w:t>BNR (Transitional and Consequential Provisions) Act 2011</w:t>
            </w:r>
          </w:p>
        </w:tc>
      </w:tr>
      <w:tr w:rsidR="00F303BF" w:rsidRPr="00F303BF" w14:paraId="353495A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68BF834" w14:textId="77777777" w:rsidR="00F303BF" w:rsidRPr="00F303BF" w:rsidRDefault="00F303BF" w:rsidP="00F303BF">
            <w:pPr>
              <w:pStyle w:val="tabletext"/>
              <w:rPr>
                <w:lang w:val="en-US" w:eastAsia="en-US"/>
              </w:rPr>
            </w:pPr>
            <w:r w:rsidRPr="00F303BF">
              <w:rPr>
                <w:lang w:val="en-US" w:eastAsia="en-US"/>
              </w:rPr>
              <w:t>335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2BDC4D3" w14:textId="77777777" w:rsidR="00F303BF" w:rsidRPr="00F303BF" w:rsidRDefault="00F303BF" w:rsidP="00F303BF">
            <w:pPr>
              <w:pStyle w:val="tabletext"/>
            </w:pPr>
            <w:r w:rsidRPr="00F303BF">
              <w:t>Item 13 of Schedule 1</w:t>
            </w:r>
          </w:p>
        </w:tc>
      </w:tr>
      <w:tr w:rsidR="00F303BF" w:rsidRPr="00F303BF" w14:paraId="2CE57C3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D5D76E4" w14:textId="77777777" w:rsidR="00F303BF" w:rsidRPr="00F303BF" w:rsidRDefault="00F303BF" w:rsidP="00F303BF">
            <w:pPr>
              <w:pStyle w:val="tabletext"/>
              <w:rPr>
                <w:lang w:val="en-US" w:eastAsia="en-US"/>
              </w:rPr>
            </w:pPr>
            <w:r w:rsidRPr="00F303BF">
              <w:rPr>
                <w:lang w:val="en-US" w:eastAsia="en-US"/>
              </w:rPr>
              <w:t>339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A6D927" w14:textId="77777777" w:rsidR="00F303BF" w:rsidRPr="00F303BF" w:rsidRDefault="00F303BF" w:rsidP="00F303BF">
            <w:pPr>
              <w:pStyle w:val="tabletext"/>
            </w:pPr>
            <w:r w:rsidRPr="00F303BF">
              <w:t>Items 15 and 16 of Schedule 1</w:t>
            </w:r>
          </w:p>
        </w:tc>
      </w:tr>
      <w:tr w:rsidR="00F303BF" w:rsidRPr="00F303BF" w14:paraId="0BDB518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ADB3C05" w14:textId="77777777" w:rsidR="00F303BF" w:rsidRPr="00F303BF" w:rsidRDefault="00F303BF" w:rsidP="00F303BF">
            <w:pPr>
              <w:pStyle w:val="tabletext"/>
              <w:rPr>
                <w:lang w:val="en-US" w:eastAsia="en-US"/>
              </w:rPr>
            </w:pPr>
            <w:r w:rsidRPr="00F303BF">
              <w:rPr>
                <w:lang w:val="en-US" w:eastAsia="en-US"/>
              </w:rPr>
              <w:t>341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9A7730" w14:textId="2AE68AF8" w:rsidR="00F303BF" w:rsidRPr="00F303BF" w:rsidRDefault="00F303BF" w:rsidP="00F303BF">
            <w:pPr>
              <w:pStyle w:val="tabletext"/>
            </w:pPr>
            <w:r w:rsidRPr="00F303BF">
              <w:t>What the Registrar must do if information available on</w:t>
            </w:r>
            <w:r w:rsidR="00A43720">
              <w:t xml:space="preserve"> transition deficient</w:t>
            </w:r>
          </w:p>
        </w:tc>
      </w:tr>
      <w:tr w:rsidR="00F303BF" w:rsidRPr="00F303BF" w14:paraId="0F99117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7D31010" w14:textId="77777777" w:rsidR="00F303BF" w:rsidRPr="00F303BF" w:rsidRDefault="00F303BF" w:rsidP="00F303BF">
            <w:pPr>
              <w:pStyle w:val="tabletext"/>
              <w:rPr>
                <w:lang w:val="en-US" w:eastAsia="en-US"/>
              </w:rPr>
            </w:pPr>
            <w:r w:rsidRPr="00F303BF">
              <w:rPr>
                <w:lang w:val="en-US" w:eastAsia="en-US"/>
              </w:rPr>
              <w:t>342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71C3137" w14:textId="77777777" w:rsidR="00F303BF" w:rsidRPr="00F303BF" w:rsidRDefault="00F303BF" w:rsidP="00F303BF">
            <w:pPr>
              <w:pStyle w:val="tabletext"/>
            </w:pPr>
            <w:r w:rsidRPr="00F303BF">
              <w:t>Items 18 to 20 of Schedule 1</w:t>
            </w:r>
          </w:p>
        </w:tc>
      </w:tr>
      <w:tr w:rsidR="00F303BF" w:rsidRPr="00F303BF" w14:paraId="23F4E67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E4050F4" w14:textId="77777777" w:rsidR="00F303BF" w:rsidRPr="00F303BF" w:rsidRDefault="00F303BF" w:rsidP="00F303BF">
            <w:pPr>
              <w:pStyle w:val="tabletext"/>
              <w:rPr>
                <w:lang w:val="en-US" w:eastAsia="en-US"/>
              </w:rPr>
            </w:pPr>
            <w:r w:rsidRPr="00F303BF">
              <w:rPr>
                <w:lang w:val="en-US" w:eastAsia="en-US"/>
              </w:rPr>
              <w:t>343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46EA677" w14:textId="77777777" w:rsidR="00F303BF" w:rsidRPr="00F303BF" w:rsidRDefault="00F303BF" w:rsidP="00F303BF">
            <w:pPr>
              <w:pStyle w:val="tabletext"/>
            </w:pPr>
            <w:r w:rsidRPr="00F303BF">
              <w:t>Distinguishing words and expressions</w:t>
            </w:r>
          </w:p>
        </w:tc>
      </w:tr>
      <w:tr w:rsidR="00F303BF" w:rsidRPr="00F303BF" w14:paraId="797B9FB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5395445" w14:textId="77777777" w:rsidR="00F303BF" w:rsidRPr="00F303BF" w:rsidRDefault="00F303BF" w:rsidP="00F303BF">
            <w:pPr>
              <w:pStyle w:val="tabletext"/>
              <w:rPr>
                <w:lang w:val="en-US" w:eastAsia="en-US"/>
              </w:rPr>
            </w:pPr>
            <w:r w:rsidRPr="00F303BF">
              <w:rPr>
                <w:lang w:val="en-US" w:eastAsia="en-US"/>
              </w:rPr>
              <w:t>344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3629F08" w14:textId="77777777" w:rsidR="00F303BF" w:rsidRPr="00F303BF" w:rsidRDefault="00F303BF" w:rsidP="00F303BF">
            <w:pPr>
              <w:pStyle w:val="tabletext"/>
            </w:pPr>
            <w:r w:rsidRPr="00F303BF">
              <w:t>Meaning of distinguishing word or expression</w:t>
            </w:r>
          </w:p>
        </w:tc>
      </w:tr>
      <w:tr w:rsidR="00F303BF" w:rsidRPr="00F303BF" w14:paraId="5C40903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6AB16F6" w14:textId="77777777" w:rsidR="00F303BF" w:rsidRPr="00F303BF" w:rsidRDefault="00F303BF" w:rsidP="00F303BF">
            <w:pPr>
              <w:pStyle w:val="tabletext"/>
              <w:rPr>
                <w:lang w:val="en-US" w:eastAsia="en-US"/>
              </w:rPr>
            </w:pPr>
            <w:r w:rsidRPr="00F303BF">
              <w:rPr>
                <w:lang w:val="en-US" w:eastAsia="en-US"/>
              </w:rPr>
              <w:t>345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9C8900" w14:textId="31EF3E17" w:rsidR="00F303BF" w:rsidRPr="00F303BF" w:rsidRDefault="00F303BF" w:rsidP="00F303BF">
            <w:pPr>
              <w:pStyle w:val="tabletext"/>
            </w:pPr>
            <w:r w:rsidRPr="00F303BF">
              <w:t>The Registrar must record the distinguishing word or ex</w:t>
            </w:r>
            <w:r w:rsidR="000E3C26">
              <w:t>pression</w:t>
            </w:r>
          </w:p>
        </w:tc>
      </w:tr>
      <w:tr w:rsidR="00F303BF" w:rsidRPr="00F303BF" w14:paraId="1B9C364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3E9E8FF" w14:textId="77777777" w:rsidR="00F303BF" w:rsidRPr="00F303BF" w:rsidRDefault="00F303BF" w:rsidP="00F303BF">
            <w:pPr>
              <w:pStyle w:val="tabletext"/>
              <w:rPr>
                <w:lang w:val="en-US" w:eastAsia="en-US"/>
              </w:rPr>
            </w:pPr>
            <w:r w:rsidRPr="00F303BF">
              <w:rPr>
                <w:lang w:val="en-US" w:eastAsia="en-US"/>
              </w:rPr>
              <w:t>350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F9C5601" w14:textId="77777777" w:rsidR="00F303BF" w:rsidRPr="00F303BF" w:rsidRDefault="00F303BF" w:rsidP="00F303BF">
            <w:pPr>
              <w:pStyle w:val="tabletext"/>
            </w:pPr>
            <w:r w:rsidRPr="00F303BF">
              <w:t>Item 26 of Schedule 1</w:t>
            </w:r>
          </w:p>
        </w:tc>
      </w:tr>
      <w:tr w:rsidR="00F303BF" w:rsidRPr="00F303BF" w14:paraId="4815DD1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2DA7045" w14:textId="77777777" w:rsidR="00F303BF" w:rsidRPr="00F303BF" w:rsidRDefault="00F303BF" w:rsidP="00F303BF">
            <w:pPr>
              <w:pStyle w:val="tabletext"/>
              <w:rPr>
                <w:lang w:val="en-US" w:eastAsia="en-US"/>
              </w:rPr>
            </w:pPr>
            <w:r w:rsidRPr="00F303BF">
              <w:rPr>
                <w:lang w:val="en-US" w:eastAsia="en-US"/>
              </w:rPr>
              <w:t>351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11EF4B" w14:textId="77777777" w:rsidR="00F303BF" w:rsidRPr="00F303BF" w:rsidRDefault="00F303BF" w:rsidP="00F303BF">
            <w:pPr>
              <w:pStyle w:val="tabletext"/>
            </w:pPr>
            <w:r w:rsidRPr="00F303BF">
              <w:t>Item 27 of Schedule 1 (table item 3, column 2)</w:t>
            </w:r>
          </w:p>
        </w:tc>
      </w:tr>
      <w:tr w:rsidR="00F303BF" w:rsidRPr="00F303BF" w14:paraId="1B0BCAF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9D0D60B" w14:textId="77777777" w:rsidR="00F303BF" w:rsidRPr="00F303BF" w:rsidRDefault="00F303BF" w:rsidP="00F303BF">
            <w:pPr>
              <w:pStyle w:val="tabletext"/>
              <w:rPr>
                <w:lang w:val="en-US" w:eastAsia="en-US"/>
              </w:rPr>
            </w:pPr>
            <w:r w:rsidRPr="00F303BF">
              <w:rPr>
                <w:lang w:val="en-US" w:eastAsia="en-US"/>
              </w:rPr>
              <w:t>352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BB00710" w14:textId="77777777" w:rsidR="00F303BF" w:rsidRPr="00F303BF" w:rsidRDefault="00F303BF" w:rsidP="00F303BF">
            <w:pPr>
              <w:pStyle w:val="tabletext"/>
            </w:pPr>
            <w:r w:rsidRPr="00F303BF">
              <w:t>Item 27 of Schedule 1 (table item 4, column 2)</w:t>
            </w:r>
          </w:p>
        </w:tc>
      </w:tr>
      <w:tr w:rsidR="00F303BF" w:rsidRPr="00F303BF" w14:paraId="7C90E9A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E75B9D3" w14:textId="77777777" w:rsidR="00F303BF" w:rsidRPr="00F303BF" w:rsidRDefault="00F303BF" w:rsidP="00F303BF">
            <w:pPr>
              <w:pStyle w:val="tabletext"/>
              <w:rPr>
                <w:lang w:val="en-US" w:eastAsia="en-US"/>
              </w:rPr>
            </w:pPr>
            <w:r w:rsidRPr="00F303BF">
              <w:rPr>
                <w:lang w:val="en-US" w:eastAsia="en-US"/>
              </w:rPr>
              <w:t>353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5669C8E" w14:textId="77777777" w:rsidR="00F303BF" w:rsidRPr="00F303BF" w:rsidRDefault="00F303BF" w:rsidP="00F303BF">
            <w:pPr>
              <w:pStyle w:val="tabletext"/>
            </w:pPr>
            <w:r w:rsidRPr="00F303BF">
              <w:t>Item 27 of Schedule 1 (cell at table item 5, column 1)</w:t>
            </w:r>
          </w:p>
        </w:tc>
      </w:tr>
      <w:tr w:rsidR="00947E92" w:rsidRPr="00F303BF" w14:paraId="2DBA630B"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5634414F" w14:textId="77777777" w:rsidR="00947E92" w:rsidRPr="006B273B" w:rsidRDefault="00947E92" w:rsidP="00F303BF">
            <w:pPr>
              <w:pStyle w:val="tabletext"/>
              <w:rPr>
                <w:b/>
              </w:rPr>
            </w:pPr>
            <w:r w:rsidRPr="006B273B">
              <w:rPr>
                <w:b/>
              </w:rPr>
              <w:t>Corporations Act</w:t>
            </w:r>
          </w:p>
        </w:tc>
      </w:tr>
      <w:tr w:rsidR="00F303BF" w:rsidRPr="00F303BF" w14:paraId="5AB0797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27673B0" w14:textId="77777777" w:rsidR="00F303BF" w:rsidRPr="00F303BF" w:rsidRDefault="00F303BF" w:rsidP="00F303BF">
            <w:pPr>
              <w:pStyle w:val="tabletext"/>
              <w:rPr>
                <w:lang w:val="en-US" w:eastAsia="en-US"/>
              </w:rPr>
            </w:pPr>
            <w:r w:rsidRPr="00F303BF">
              <w:rPr>
                <w:lang w:val="en-US" w:eastAsia="en-US"/>
              </w:rPr>
              <w:t>363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54106D8" w14:textId="77777777" w:rsidR="00F303BF" w:rsidRPr="00F303BF" w:rsidRDefault="00F303BF" w:rsidP="00F303BF">
            <w:pPr>
              <w:pStyle w:val="tabletext"/>
            </w:pPr>
            <w:r w:rsidRPr="00F303BF">
              <w:t>Section 9 (definition of ASIC database)</w:t>
            </w:r>
          </w:p>
        </w:tc>
      </w:tr>
      <w:tr w:rsidR="00F303BF" w:rsidRPr="00F303BF" w14:paraId="2D4090F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F319557" w14:textId="77777777" w:rsidR="00F303BF" w:rsidRPr="00F303BF" w:rsidRDefault="00F303BF" w:rsidP="00F303BF">
            <w:pPr>
              <w:pStyle w:val="tabletext"/>
              <w:rPr>
                <w:lang w:val="en-US" w:eastAsia="en-US"/>
              </w:rPr>
            </w:pPr>
            <w:r w:rsidRPr="00F303BF">
              <w:rPr>
                <w:lang w:val="en-US" w:eastAsia="en-US"/>
              </w:rPr>
              <w:t>364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C3AF7C7" w14:textId="77777777" w:rsidR="00F303BF" w:rsidRPr="00F303BF" w:rsidRDefault="00F303BF" w:rsidP="00F303BF">
            <w:pPr>
              <w:pStyle w:val="tabletext"/>
            </w:pPr>
            <w:r w:rsidRPr="00F303BF">
              <w:t>Section 9 (definition of Business Names Register)</w:t>
            </w:r>
          </w:p>
        </w:tc>
      </w:tr>
      <w:tr w:rsidR="00F303BF" w:rsidRPr="00F303BF" w14:paraId="40A50A4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1054CF0" w14:textId="77777777" w:rsidR="00F303BF" w:rsidRPr="00F303BF" w:rsidRDefault="00F303BF" w:rsidP="00F303BF">
            <w:pPr>
              <w:pStyle w:val="tabletext"/>
              <w:rPr>
                <w:lang w:val="en-US" w:eastAsia="en-US"/>
              </w:rPr>
            </w:pPr>
            <w:r w:rsidRPr="00F303BF">
              <w:rPr>
                <w:lang w:val="en-US" w:eastAsia="en-US"/>
              </w:rPr>
              <w:t>367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3654F6E" w14:textId="6B80E6DD" w:rsidR="00F303BF" w:rsidRPr="00F303BF" w:rsidRDefault="00F303BF" w:rsidP="00F303BF">
            <w:pPr>
              <w:pStyle w:val="tabletext"/>
            </w:pPr>
            <w:r w:rsidRPr="00F303BF">
              <w:t>Section 9 (paragraph (a) of the definition of extract o</w:t>
            </w:r>
            <w:r w:rsidR="00792D0D">
              <w:t>f particulars)</w:t>
            </w:r>
          </w:p>
        </w:tc>
      </w:tr>
      <w:tr w:rsidR="00F303BF" w:rsidRPr="00F303BF" w14:paraId="2733D3A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688EF90" w14:textId="77777777" w:rsidR="00F303BF" w:rsidRPr="00F303BF" w:rsidRDefault="00F303BF" w:rsidP="00F303BF">
            <w:pPr>
              <w:pStyle w:val="tabletext"/>
              <w:rPr>
                <w:lang w:val="en-US" w:eastAsia="en-US"/>
              </w:rPr>
            </w:pPr>
            <w:r w:rsidRPr="00F303BF">
              <w:rPr>
                <w:lang w:val="en-US" w:eastAsia="en-US"/>
              </w:rPr>
              <w:t>411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E5B14A6" w14:textId="77777777" w:rsidR="00F303BF" w:rsidRPr="00F303BF" w:rsidRDefault="00F303BF" w:rsidP="00F303BF">
            <w:pPr>
              <w:pStyle w:val="tabletext"/>
            </w:pPr>
            <w:r w:rsidRPr="00F303BF">
              <w:t>Subsection 117(4)</w:t>
            </w:r>
          </w:p>
        </w:tc>
      </w:tr>
      <w:tr w:rsidR="00F303BF" w:rsidRPr="00F303BF" w14:paraId="1F37775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A4BCC72" w14:textId="77777777" w:rsidR="00F303BF" w:rsidRPr="00F303BF" w:rsidRDefault="00F303BF" w:rsidP="00F303BF">
            <w:pPr>
              <w:pStyle w:val="tabletext"/>
              <w:rPr>
                <w:lang w:val="en-US" w:eastAsia="en-US"/>
              </w:rPr>
            </w:pPr>
            <w:r w:rsidRPr="00F303BF">
              <w:rPr>
                <w:lang w:val="en-US" w:eastAsia="en-US"/>
              </w:rPr>
              <w:t>419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8EEE0EC" w14:textId="77777777" w:rsidR="00F303BF" w:rsidRPr="00F303BF" w:rsidRDefault="00F303BF" w:rsidP="00F303BF">
            <w:pPr>
              <w:pStyle w:val="tabletext"/>
            </w:pPr>
            <w:r w:rsidRPr="00F303BF">
              <w:t>Subsection 119A(2) (note 1)</w:t>
            </w:r>
          </w:p>
        </w:tc>
      </w:tr>
      <w:tr w:rsidR="00F303BF" w:rsidRPr="00F303BF" w14:paraId="28A8524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DEAABB0" w14:textId="77777777" w:rsidR="00F303BF" w:rsidRPr="00F303BF" w:rsidRDefault="00F303BF" w:rsidP="00F303BF">
            <w:pPr>
              <w:pStyle w:val="tabletext"/>
              <w:rPr>
                <w:lang w:val="en-US" w:eastAsia="en-US"/>
              </w:rPr>
            </w:pPr>
            <w:r w:rsidRPr="00F303BF">
              <w:rPr>
                <w:lang w:val="en-US" w:eastAsia="en-US"/>
              </w:rPr>
              <w:t>425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EC9394F" w14:textId="77777777" w:rsidR="00F303BF" w:rsidRPr="00F303BF" w:rsidRDefault="00F303BF" w:rsidP="00F303BF">
            <w:pPr>
              <w:pStyle w:val="tabletext"/>
            </w:pPr>
            <w:r w:rsidRPr="00F303BF">
              <w:t>Section 138</w:t>
            </w:r>
          </w:p>
        </w:tc>
      </w:tr>
      <w:tr w:rsidR="00F303BF" w:rsidRPr="00F303BF" w14:paraId="09EC833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C69720A" w14:textId="77777777" w:rsidR="00F303BF" w:rsidRPr="00F303BF" w:rsidRDefault="00F303BF" w:rsidP="00F303BF">
            <w:pPr>
              <w:pStyle w:val="tabletext"/>
              <w:rPr>
                <w:lang w:val="en-US" w:eastAsia="en-US"/>
              </w:rPr>
            </w:pPr>
            <w:r w:rsidRPr="00F303BF">
              <w:rPr>
                <w:lang w:val="en-US" w:eastAsia="en-US"/>
              </w:rPr>
              <w:t>441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448DA53" w14:textId="77777777" w:rsidR="00F303BF" w:rsidRPr="00F303BF" w:rsidRDefault="00F303BF" w:rsidP="00F303BF">
            <w:pPr>
              <w:pStyle w:val="tabletext"/>
            </w:pPr>
            <w:r w:rsidRPr="00F303BF">
              <w:t>Paragraph 147(1)(b)</w:t>
            </w:r>
          </w:p>
        </w:tc>
      </w:tr>
      <w:tr w:rsidR="00F303BF" w:rsidRPr="00F303BF" w14:paraId="1FA22B0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1718487" w14:textId="77777777" w:rsidR="00F303BF" w:rsidRPr="00F303BF" w:rsidRDefault="00F303BF" w:rsidP="00F303BF">
            <w:pPr>
              <w:pStyle w:val="tabletext"/>
              <w:rPr>
                <w:lang w:val="en-US" w:eastAsia="en-US"/>
              </w:rPr>
            </w:pPr>
            <w:r w:rsidRPr="00F303BF">
              <w:rPr>
                <w:lang w:val="en-US" w:eastAsia="en-US"/>
              </w:rPr>
              <w:t>469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F622D0" w14:textId="77777777" w:rsidR="00F303BF" w:rsidRPr="00F303BF" w:rsidRDefault="00F303BF" w:rsidP="00F303BF">
            <w:pPr>
              <w:pStyle w:val="tabletext"/>
            </w:pPr>
            <w:r w:rsidRPr="00F303BF">
              <w:t>Subparagraph 163(2)(c)(</w:t>
            </w:r>
            <w:proofErr w:type="spellStart"/>
            <w:r w:rsidRPr="00F303BF">
              <w:t>i</w:t>
            </w:r>
            <w:proofErr w:type="spellEnd"/>
            <w:r w:rsidRPr="00F303BF">
              <w:t>)</w:t>
            </w:r>
          </w:p>
        </w:tc>
      </w:tr>
      <w:tr w:rsidR="00F303BF" w:rsidRPr="00F303BF" w14:paraId="436792E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B597E7D" w14:textId="77777777" w:rsidR="00F303BF" w:rsidRPr="00F303BF" w:rsidRDefault="00F303BF" w:rsidP="00F303BF">
            <w:pPr>
              <w:pStyle w:val="tabletext"/>
              <w:rPr>
                <w:lang w:val="en-US" w:eastAsia="en-US"/>
              </w:rPr>
            </w:pPr>
            <w:r w:rsidRPr="00F303BF">
              <w:rPr>
                <w:lang w:val="en-US" w:eastAsia="en-US"/>
              </w:rPr>
              <w:t>476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565E2C" w14:textId="77777777" w:rsidR="00F303BF" w:rsidRPr="00F303BF" w:rsidRDefault="00F303BF" w:rsidP="00F303BF">
            <w:pPr>
              <w:pStyle w:val="tabletext"/>
            </w:pPr>
            <w:r w:rsidRPr="00F303BF">
              <w:t>Subsection 164(3)</w:t>
            </w:r>
          </w:p>
        </w:tc>
      </w:tr>
      <w:tr w:rsidR="00F303BF" w:rsidRPr="00F303BF" w14:paraId="430C5D6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77A93DB" w14:textId="77777777" w:rsidR="00F303BF" w:rsidRPr="00F303BF" w:rsidRDefault="00F303BF" w:rsidP="00F303BF">
            <w:pPr>
              <w:pStyle w:val="tabletext"/>
              <w:rPr>
                <w:lang w:val="en-US" w:eastAsia="en-US"/>
              </w:rPr>
            </w:pPr>
            <w:r w:rsidRPr="00F303BF">
              <w:rPr>
                <w:lang w:val="en-US" w:eastAsia="en-US"/>
              </w:rPr>
              <w:t>489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4873BC2" w14:textId="77777777" w:rsidR="00F303BF" w:rsidRPr="00F303BF" w:rsidRDefault="00F303BF" w:rsidP="00F303BF">
            <w:pPr>
              <w:pStyle w:val="tabletext"/>
            </w:pPr>
            <w:r w:rsidRPr="00F303BF">
              <w:t>Subsection 178A(1)</w:t>
            </w:r>
          </w:p>
        </w:tc>
      </w:tr>
      <w:tr w:rsidR="00F303BF" w:rsidRPr="00F303BF" w14:paraId="38DE11D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C68807A" w14:textId="77777777" w:rsidR="00F303BF" w:rsidRPr="00F303BF" w:rsidRDefault="00F303BF" w:rsidP="00F303BF">
            <w:pPr>
              <w:pStyle w:val="tabletext"/>
              <w:rPr>
                <w:lang w:val="en-US" w:eastAsia="en-US"/>
              </w:rPr>
            </w:pPr>
            <w:r w:rsidRPr="00F303BF">
              <w:rPr>
                <w:lang w:val="en-US" w:eastAsia="en-US"/>
              </w:rPr>
              <w:t>515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15A169" w14:textId="77777777" w:rsidR="00F303BF" w:rsidRPr="00F303BF" w:rsidRDefault="00F303BF" w:rsidP="00F303BF">
            <w:pPr>
              <w:pStyle w:val="tabletext"/>
            </w:pPr>
            <w:r w:rsidRPr="00F303BF">
              <w:t>Subsection 205B(3)</w:t>
            </w:r>
          </w:p>
        </w:tc>
      </w:tr>
      <w:tr w:rsidR="00F303BF" w:rsidRPr="00F303BF" w14:paraId="3593C77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A600129" w14:textId="77777777" w:rsidR="00F303BF" w:rsidRPr="00F303BF" w:rsidRDefault="00F303BF" w:rsidP="00F303BF">
            <w:pPr>
              <w:pStyle w:val="tabletext"/>
              <w:rPr>
                <w:lang w:val="en-US" w:eastAsia="en-US"/>
              </w:rPr>
            </w:pPr>
            <w:r w:rsidRPr="00F303BF">
              <w:rPr>
                <w:lang w:val="en-US" w:eastAsia="en-US"/>
              </w:rPr>
              <w:t>567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0194C60" w14:textId="77777777" w:rsidR="00F303BF" w:rsidRPr="00F303BF" w:rsidRDefault="00F303BF" w:rsidP="00F303BF">
            <w:pPr>
              <w:pStyle w:val="tabletext"/>
            </w:pPr>
            <w:r w:rsidRPr="00F303BF">
              <w:t>Subsection 260B(5)</w:t>
            </w:r>
          </w:p>
        </w:tc>
      </w:tr>
      <w:tr w:rsidR="00F303BF" w:rsidRPr="00F303BF" w14:paraId="1FA4608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15893E7" w14:textId="77777777" w:rsidR="00F303BF" w:rsidRPr="00F303BF" w:rsidRDefault="00F303BF" w:rsidP="00F303BF">
            <w:pPr>
              <w:pStyle w:val="tabletext"/>
              <w:rPr>
                <w:lang w:val="en-US" w:eastAsia="en-US"/>
              </w:rPr>
            </w:pPr>
            <w:r w:rsidRPr="00F303BF">
              <w:rPr>
                <w:lang w:val="en-US" w:eastAsia="en-US"/>
              </w:rPr>
              <w:lastRenderedPageBreak/>
              <w:t>575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E2EACB5" w14:textId="77777777" w:rsidR="00F303BF" w:rsidRPr="00F303BF" w:rsidRDefault="00F303BF" w:rsidP="00F303BF">
            <w:pPr>
              <w:pStyle w:val="tabletext"/>
            </w:pPr>
            <w:r w:rsidRPr="00F303BF">
              <w:t>Section 283BCA</w:t>
            </w:r>
          </w:p>
        </w:tc>
      </w:tr>
      <w:tr w:rsidR="00F303BF" w:rsidRPr="00F303BF" w14:paraId="45DB87D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01869B3" w14:textId="77777777" w:rsidR="00F303BF" w:rsidRPr="00F303BF" w:rsidRDefault="00F303BF" w:rsidP="00F303BF">
            <w:pPr>
              <w:pStyle w:val="tabletext"/>
              <w:rPr>
                <w:lang w:val="en-US" w:eastAsia="en-US"/>
              </w:rPr>
            </w:pPr>
            <w:r w:rsidRPr="00F303BF">
              <w:rPr>
                <w:lang w:val="en-US" w:eastAsia="en-US"/>
              </w:rPr>
              <w:t>595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9BAA28" w14:textId="77777777" w:rsidR="00F303BF" w:rsidRPr="00F303BF" w:rsidRDefault="00F303BF" w:rsidP="00F303BF">
            <w:pPr>
              <w:pStyle w:val="tabletext"/>
            </w:pPr>
            <w:r w:rsidRPr="00F303BF">
              <w:t>Paragraph 324BB(6)(a)</w:t>
            </w:r>
          </w:p>
        </w:tc>
      </w:tr>
      <w:tr w:rsidR="00F303BF" w:rsidRPr="00F303BF" w14:paraId="2BCC5D7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1F80DC4" w14:textId="77777777" w:rsidR="00F303BF" w:rsidRPr="00F303BF" w:rsidRDefault="00F303BF" w:rsidP="00F303BF">
            <w:pPr>
              <w:pStyle w:val="tabletext"/>
              <w:rPr>
                <w:lang w:val="en-US" w:eastAsia="en-US"/>
              </w:rPr>
            </w:pPr>
            <w:r w:rsidRPr="00F303BF">
              <w:rPr>
                <w:lang w:val="en-US" w:eastAsia="en-US"/>
              </w:rPr>
              <w:t>615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434E1EE" w14:textId="77777777" w:rsidR="00F303BF" w:rsidRPr="00F303BF" w:rsidRDefault="00F303BF" w:rsidP="00F303BF">
            <w:pPr>
              <w:pStyle w:val="tabletext"/>
            </w:pPr>
            <w:r w:rsidRPr="00F303BF">
              <w:t>Subsection 346A(2)</w:t>
            </w:r>
          </w:p>
        </w:tc>
      </w:tr>
      <w:tr w:rsidR="00F303BF" w:rsidRPr="00F303BF" w14:paraId="7901E03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A2AC817" w14:textId="77777777" w:rsidR="00F303BF" w:rsidRPr="00F303BF" w:rsidRDefault="00F303BF" w:rsidP="00F303BF">
            <w:pPr>
              <w:pStyle w:val="tabletext"/>
              <w:rPr>
                <w:lang w:val="en-US" w:eastAsia="en-US"/>
              </w:rPr>
            </w:pPr>
            <w:r w:rsidRPr="00F303BF">
              <w:rPr>
                <w:lang w:val="en-US" w:eastAsia="en-US"/>
              </w:rPr>
              <w:t>633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64B1217" w14:textId="77777777" w:rsidR="00F303BF" w:rsidRPr="00F303BF" w:rsidRDefault="00F303BF" w:rsidP="00F303BF">
            <w:pPr>
              <w:pStyle w:val="tabletext"/>
            </w:pPr>
            <w:r w:rsidRPr="00F303BF">
              <w:t>Subsection 348A(1)</w:t>
            </w:r>
          </w:p>
        </w:tc>
      </w:tr>
      <w:tr w:rsidR="00F303BF" w:rsidRPr="00F303BF" w14:paraId="3FB575B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8043C81" w14:textId="77777777" w:rsidR="00F303BF" w:rsidRPr="00F303BF" w:rsidRDefault="00F303BF" w:rsidP="00F303BF">
            <w:pPr>
              <w:pStyle w:val="tabletext"/>
              <w:rPr>
                <w:lang w:val="en-US" w:eastAsia="en-US"/>
              </w:rPr>
            </w:pPr>
            <w:r w:rsidRPr="00F303BF">
              <w:rPr>
                <w:lang w:val="en-US" w:eastAsia="en-US"/>
              </w:rPr>
              <w:t>634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92117B" w14:textId="77777777" w:rsidR="00F303BF" w:rsidRPr="00F303BF" w:rsidRDefault="00F303BF" w:rsidP="00F303BF">
            <w:pPr>
              <w:pStyle w:val="tabletext"/>
            </w:pPr>
            <w:r w:rsidRPr="00F303BF">
              <w:t>Subsection 348A(2)</w:t>
            </w:r>
          </w:p>
        </w:tc>
      </w:tr>
      <w:tr w:rsidR="00947E92" w:rsidRPr="00F303BF" w14:paraId="07E027D4"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6ADEFEC1" w14:textId="77777777" w:rsidR="00947E92" w:rsidRPr="006B273B" w:rsidRDefault="00947E92" w:rsidP="00F303BF">
            <w:pPr>
              <w:pStyle w:val="tabletext"/>
              <w:rPr>
                <w:b/>
              </w:rPr>
            </w:pPr>
            <w:r w:rsidRPr="006B273B">
              <w:rPr>
                <w:b/>
              </w:rPr>
              <w:t>Income Tax Assessment Act 1997</w:t>
            </w:r>
          </w:p>
        </w:tc>
      </w:tr>
      <w:tr w:rsidR="00F303BF" w:rsidRPr="00F303BF" w14:paraId="0A2B0CB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D64B147" w14:textId="77777777" w:rsidR="00F303BF" w:rsidRPr="00F303BF" w:rsidRDefault="00F303BF" w:rsidP="00F303BF">
            <w:pPr>
              <w:pStyle w:val="tabletext"/>
              <w:rPr>
                <w:lang w:val="en-US" w:eastAsia="en-US"/>
              </w:rPr>
            </w:pPr>
            <w:r w:rsidRPr="00F303BF">
              <w:rPr>
                <w:lang w:val="en-US" w:eastAsia="en-US"/>
              </w:rPr>
              <w:t>774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AF1D2A6" w14:textId="77777777" w:rsidR="00F303BF" w:rsidRPr="00F303BF" w:rsidRDefault="00F303BF" w:rsidP="00F303BF">
            <w:pPr>
              <w:pStyle w:val="tabletext"/>
            </w:pPr>
            <w:r w:rsidRPr="00F303BF">
              <w:t>Section 30-226</w:t>
            </w:r>
          </w:p>
        </w:tc>
      </w:tr>
      <w:tr w:rsidR="00F303BF" w:rsidRPr="00F303BF" w14:paraId="42BBEF7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092825F" w14:textId="77777777" w:rsidR="00F303BF" w:rsidRPr="00F303BF" w:rsidRDefault="00F303BF" w:rsidP="00F303BF">
            <w:pPr>
              <w:pStyle w:val="tabletext"/>
              <w:rPr>
                <w:lang w:val="en-US" w:eastAsia="en-US"/>
              </w:rPr>
            </w:pPr>
            <w:r w:rsidRPr="00F303BF">
              <w:rPr>
                <w:lang w:val="en-US" w:eastAsia="en-US"/>
              </w:rPr>
              <w:t>777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FA04675" w14:textId="77777777" w:rsidR="00F303BF" w:rsidRPr="00F303BF" w:rsidRDefault="00F303BF" w:rsidP="00F303BF">
            <w:pPr>
              <w:pStyle w:val="tabletext"/>
            </w:pPr>
            <w:r w:rsidRPr="00F303BF">
              <w:t>Subsection 30-229(1) (note 1)</w:t>
            </w:r>
          </w:p>
        </w:tc>
      </w:tr>
      <w:tr w:rsidR="00F303BF" w:rsidRPr="00F303BF" w14:paraId="0FDB117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EDD7BF9" w14:textId="77777777" w:rsidR="00F303BF" w:rsidRPr="00F303BF" w:rsidRDefault="00F303BF" w:rsidP="00F303BF">
            <w:pPr>
              <w:pStyle w:val="tabletext"/>
              <w:rPr>
                <w:lang w:val="en-US" w:eastAsia="en-US"/>
              </w:rPr>
            </w:pPr>
            <w:r w:rsidRPr="00F303BF">
              <w:rPr>
                <w:lang w:val="en-US" w:eastAsia="en-US"/>
              </w:rPr>
              <w:t>778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1E9C298" w14:textId="77777777" w:rsidR="00F303BF" w:rsidRPr="00F303BF" w:rsidRDefault="00F303BF" w:rsidP="00F303BF">
            <w:pPr>
              <w:pStyle w:val="tabletext"/>
            </w:pPr>
            <w:r w:rsidRPr="00F303BF">
              <w:t>Subsection 30-229(3)</w:t>
            </w:r>
          </w:p>
        </w:tc>
      </w:tr>
      <w:tr w:rsidR="00F303BF" w:rsidRPr="00F303BF" w14:paraId="2DCD60F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239F0AC" w14:textId="77777777" w:rsidR="00F303BF" w:rsidRPr="00F303BF" w:rsidRDefault="00F303BF" w:rsidP="00F303BF">
            <w:pPr>
              <w:pStyle w:val="tabletext"/>
              <w:rPr>
                <w:lang w:val="en-US" w:eastAsia="en-US"/>
              </w:rPr>
            </w:pPr>
            <w:r w:rsidRPr="00F303BF">
              <w:rPr>
                <w:lang w:val="en-US" w:eastAsia="en-US"/>
              </w:rPr>
              <w:t>780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3D2ECA5" w14:textId="77777777" w:rsidR="00F303BF" w:rsidRPr="00F303BF" w:rsidRDefault="00F303BF" w:rsidP="00F303BF">
            <w:pPr>
              <w:pStyle w:val="tabletext"/>
            </w:pPr>
            <w:r w:rsidRPr="00F303BF">
              <w:t>Subsection 30-229(4)</w:t>
            </w:r>
          </w:p>
        </w:tc>
      </w:tr>
      <w:tr w:rsidR="00F303BF" w:rsidRPr="00F303BF" w14:paraId="369FC8F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B0CBFB7" w14:textId="77777777" w:rsidR="00F303BF" w:rsidRPr="00F303BF" w:rsidRDefault="00F303BF" w:rsidP="00F303BF">
            <w:pPr>
              <w:pStyle w:val="tabletext"/>
              <w:rPr>
                <w:lang w:val="en-US" w:eastAsia="en-US"/>
              </w:rPr>
            </w:pPr>
            <w:r w:rsidRPr="00F303BF">
              <w:rPr>
                <w:lang w:val="en-US" w:eastAsia="en-US"/>
              </w:rPr>
              <w:t>781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32391DD" w14:textId="77777777" w:rsidR="00F303BF" w:rsidRPr="00F303BF" w:rsidRDefault="00F303BF" w:rsidP="00F303BF">
            <w:pPr>
              <w:pStyle w:val="tabletext"/>
            </w:pPr>
            <w:r w:rsidRPr="00F303BF">
              <w:t>Subsection 30-229(4)</w:t>
            </w:r>
          </w:p>
        </w:tc>
      </w:tr>
      <w:tr w:rsidR="00F303BF" w:rsidRPr="00F303BF" w14:paraId="5070A00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AEC908E" w14:textId="77777777" w:rsidR="00F303BF" w:rsidRPr="00F303BF" w:rsidRDefault="00F303BF" w:rsidP="00F303BF">
            <w:pPr>
              <w:pStyle w:val="tabletext"/>
              <w:rPr>
                <w:lang w:val="en-US" w:eastAsia="en-US"/>
              </w:rPr>
            </w:pPr>
            <w:r w:rsidRPr="00F303BF">
              <w:rPr>
                <w:lang w:val="en-US" w:eastAsia="en-US"/>
              </w:rPr>
              <w:t>782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0726A9B" w14:textId="77777777" w:rsidR="00F303BF" w:rsidRPr="00F303BF" w:rsidRDefault="00F303BF" w:rsidP="00F303BF">
            <w:pPr>
              <w:pStyle w:val="tabletext"/>
            </w:pPr>
            <w:r w:rsidRPr="00F303BF">
              <w:t>Paragraphs 30-229(4)(a) to (c)</w:t>
            </w:r>
          </w:p>
        </w:tc>
      </w:tr>
      <w:tr w:rsidR="00F303BF" w:rsidRPr="00F303BF" w14:paraId="1A59351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BB87069" w14:textId="77777777" w:rsidR="00F303BF" w:rsidRPr="00F303BF" w:rsidRDefault="00F303BF" w:rsidP="00F303BF">
            <w:pPr>
              <w:pStyle w:val="tabletext"/>
              <w:rPr>
                <w:lang w:val="en-US" w:eastAsia="en-US"/>
              </w:rPr>
            </w:pPr>
            <w:r w:rsidRPr="00F303BF">
              <w:rPr>
                <w:lang w:val="en-US" w:eastAsia="en-US"/>
              </w:rPr>
              <w:t>784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DBD1847" w14:textId="1F40AF0A" w:rsidR="00F303BF" w:rsidRPr="00F303BF" w:rsidRDefault="00F303BF" w:rsidP="00F303BF">
            <w:pPr>
              <w:pStyle w:val="tabletext"/>
            </w:pPr>
            <w:r w:rsidRPr="00F303BF">
              <w:t>Subsection 995-1(1) (definition of Australian Business</w:t>
            </w:r>
            <w:r w:rsidR="00186726">
              <w:t xml:space="preserve"> Register)</w:t>
            </w:r>
          </w:p>
        </w:tc>
      </w:tr>
      <w:tr w:rsidR="00F303BF" w:rsidRPr="00F303BF" w14:paraId="4141A65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B573A6D" w14:textId="77777777" w:rsidR="00F303BF" w:rsidRPr="00F303BF" w:rsidRDefault="00F303BF" w:rsidP="00F303BF">
            <w:pPr>
              <w:pStyle w:val="tabletext"/>
              <w:rPr>
                <w:lang w:val="en-US" w:eastAsia="en-US"/>
              </w:rPr>
            </w:pPr>
            <w:r w:rsidRPr="00F303BF">
              <w:rPr>
                <w:lang w:val="en-US" w:eastAsia="en-US"/>
              </w:rPr>
              <w:t>785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695DD7" w14:textId="28BA6FA0" w:rsidR="00F303BF" w:rsidRPr="00F303BF" w:rsidRDefault="00F303BF" w:rsidP="00F303BF">
            <w:pPr>
              <w:pStyle w:val="tabletext"/>
            </w:pPr>
            <w:r w:rsidRPr="00F303BF">
              <w:t>Subsection 995-1(1) (definition of Australian Business</w:t>
            </w:r>
            <w:r w:rsidR="00186726">
              <w:t xml:space="preserve"> Registrar)</w:t>
            </w:r>
          </w:p>
        </w:tc>
      </w:tr>
      <w:tr w:rsidR="00F303BF" w:rsidRPr="00F303BF" w14:paraId="51B5A3F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E976260" w14:textId="77777777" w:rsidR="00F303BF" w:rsidRPr="00F303BF" w:rsidRDefault="00F303BF" w:rsidP="00F303BF">
            <w:pPr>
              <w:pStyle w:val="tabletext"/>
              <w:rPr>
                <w:lang w:val="en-US" w:eastAsia="en-US"/>
              </w:rPr>
            </w:pPr>
            <w:r w:rsidRPr="00F303BF">
              <w:rPr>
                <w:lang w:val="en-US" w:eastAsia="en-US"/>
              </w:rPr>
              <w:t>788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A5BFA2" w14:textId="7ADD4EA0" w:rsidR="00F303BF" w:rsidRPr="00F303BF" w:rsidRDefault="00F303BF" w:rsidP="00F303BF">
            <w:pPr>
              <w:pStyle w:val="tabletext"/>
            </w:pPr>
            <w:r w:rsidRPr="00F303BF">
              <w:t>Subsection 995-1(1) (at the end of the definition of ta</w:t>
            </w:r>
            <w:r w:rsidR="00186726">
              <w:t>xation law)</w:t>
            </w:r>
          </w:p>
        </w:tc>
      </w:tr>
      <w:tr w:rsidR="00F303BF" w:rsidRPr="00F303BF" w14:paraId="21F91D7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060D73C" w14:textId="77777777" w:rsidR="00F303BF" w:rsidRPr="00F303BF" w:rsidRDefault="00F303BF" w:rsidP="00F303BF">
            <w:pPr>
              <w:pStyle w:val="tabletext"/>
              <w:rPr>
                <w:lang w:val="en-US" w:eastAsia="en-US"/>
              </w:rPr>
            </w:pP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E2DE6B9" w14:textId="77777777" w:rsidR="00F303BF" w:rsidRPr="00F303BF" w:rsidRDefault="00F303BF" w:rsidP="00F303BF">
            <w:pPr>
              <w:pStyle w:val="tabletext"/>
            </w:pPr>
            <w:r w:rsidRPr="00F303BF">
              <w:t>Credit Act</w:t>
            </w:r>
          </w:p>
        </w:tc>
      </w:tr>
      <w:tr w:rsidR="00F303BF" w:rsidRPr="00F303BF" w14:paraId="5071372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CEBA13D" w14:textId="77777777" w:rsidR="00F303BF" w:rsidRPr="00F303BF" w:rsidRDefault="00F303BF" w:rsidP="00F303BF">
            <w:pPr>
              <w:pStyle w:val="tabletext"/>
              <w:rPr>
                <w:lang w:val="en-US" w:eastAsia="en-US"/>
              </w:rPr>
            </w:pPr>
            <w:r w:rsidRPr="00F303BF">
              <w:rPr>
                <w:lang w:val="en-US" w:eastAsia="en-US"/>
              </w:rPr>
              <w:t>802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695808C" w14:textId="77777777" w:rsidR="00F303BF" w:rsidRPr="00F303BF" w:rsidRDefault="00F303BF" w:rsidP="00F303BF">
            <w:pPr>
              <w:pStyle w:val="tabletext"/>
            </w:pPr>
            <w:r w:rsidRPr="00F303BF">
              <w:t>Part 5-1 of Chapter 5 (heading)</w:t>
            </w:r>
          </w:p>
        </w:tc>
      </w:tr>
      <w:tr w:rsidR="00F303BF" w:rsidRPr="00F303BF" w14:paraId="12A54B3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25E9BA8" w14:textId="77777777" w:rsidR="00F303BF" w:rsidRPr="00F303BF" w:rsidRDefault="00F303BF" w:rsidP="00F303BF">
            <w:pPr>
              <w:pStyle w:val="tabletext"/>
              <w:rPr>
                <w:lang w:val="en-US" w:eastAsia="en-US"/>
              </w:rPr>
            </w:pPr>
            <w:r w:rsidRPr="00F303BF">
              <w:rPr>
                <w:lang w:val="en-US" w:eastAsia="en-US"/>
              </w:rPr>
              <w:t>803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2863B7F" w14:textId="77777777" w:rsidR="00F303BF" w:rsidRPr="00F303BF" w:rsidRDefault="00F303BF" w:rsidP="00F303BF">
            <w:pPr>
              <w:pStyle w:val="tabletext"/>
            </w:pPr>
            <w:r w:rsidRPr="00F303BF">
              <w:t>Section 212</w:t>
            </w:r>
          </w:p>
        </w:tc>
      </w:tr>
      <w:tr w:rsidR="00F303BF" w:rsidRPr="00F303BF" w14:paraId="52C500D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A430273" w14:textId="77777777" w:rsidR="00F303BF" w:rsidRPr="00F303BF" w:rsidRDefault="00F303BF" w:rsidP="00F303BF">
            <w:pPr>
              <w:pStyle w:val="tabletext"/>
              <w:rPr>
                <w:lang w:val="en-US" w:eastAsia="en-US"/>
              </w:rPr>
            </w:pPr>
            <w:r w:rsidRPr="00F303BF">
              <w:rPr>
                <w:lang w:val="en-US" w:eastAsia="en-US"/>
              </w:rPr>
              <w:t>804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7C1D995" w14:textId="77777777" w:rsidR="00F303BF" w:rsidRPr="00F303BF" w:rsidRDefault="00F303BF" w:rsidP="00F303BF">
            <w:pPr>
              <w:pStyle w:val="tabletext"/>
            </w:pPr>
            <w:r w:rsidRPr="00F303BF">
              <w:t>Division 2 of Part 5-1 of Chapter 5 (heading)</w:t>
            </w:r>
          </w:p>
        </w:tc>
      </w:tr>
      <w:tr w:rsidR="00F303BF" w:rsidRPr="00F303BF" w14:paraId="146744C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ABF3962" w14:textId="77777777" w:rsidR="00F303BF" w:rsidRPr="00F303BF" w:rsidRDefault="00F303BF" w:rsidP="00F303BF">
            <w:pPr>
              <w:pStyle w:val="tabletext"/>
              <w:rPr>
                <w:lang w:val="en-US" w:eastAsia="en-US"/>
              </w:rPr>
            </w:pPr>
            <w:r w:rsidRPr="00F303BF">
              <w:rPr>
                <w:lang w:val="en-US" w:eastAsia="en-US"/>
              </w:rPr>
              <w:t>805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0964A7" w14:textId="77777777" w:rsidR="00F303BF" w:rsidRPr="00F303BF" w:rsidRDefault="00F303BF" w:rsidP="00F303BF">
            <w:pPr>
              <w:pStyle w:val="tabletext"/>
            </w:pPr>
            <w:r w:rsidRPr="00F303BF">
              <w:t>Sections 213 and 214</w:t>
            </w:r>
          </w:p>
        </w:tc>
      </w:tr>
      <w:tr w:rsidR="00947E92" w:rsidRPr="00F303BF" w14:paraId="38B1AA89"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1C81C00E" w14:textId="77777777" w:rsidR="00947E92" w:rsidRPr="006B273B" w:rsidRDefault="00947E92" w:rsidP="00F303BF">
            <w:pPr>
              <w:pStyle w:val="tabletext"/>
              <w:rPr>
                <w:b/>
              </w:rPr>
            </w:pPr>
            <w:r w:rsidRPr="006B273B">
              <w:rPr>
                <w:b/>
              </w:rPr>
              <w:t>SIS Act</w:t>
            </w:r>
          </w:p>
        </w:tc>
      </w:tr>
      <w:tr w:rsidR="00F303BF" w:rsidRPr="00F303BF" w14:paraId="6962CB8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2E80E42" w14:textId="77777777" w:rsidR="00F303BF" w:rsidRPr="00F303BF" w:rsidRDefault="00F303BF" w:rsidP="00F303BF">
            <w:pPr>
              <w:pStyle w:val="tabletext"/>
              <w:rPr>
                <w:lang w:val="en-US" w:eastAsia="en-US"/>
              </w:rPr>
            </w:pPr>
            <w:r w:rsidRPr="00F303BF">
              <w:rPr>
                <w:lang w:val="en-US" w:eastAsia="en-US"/>
              </w:rPr>
              <w:t>824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B77AE33" w14:textId="77777777" w:rsidR="00F303BF" w:rsidRPr="00F303BF" w:rsidRDefault="00F303BF" w:rsidP="00F303BF">
            <w:pPr>
              <w:pStyle w:val="tabletext"/>
            </w:pPr>
            <w:r w:rsidRPr="00F303BF">
              <w:t>Paragraph 128H(c)</w:t>
            </w:r>
          </w:p>
        </w:tc>
      </w:tr>
      <w:tr w:rsidR="00F303BF" w:rsidRPr="00F303BF" w14:paraId="0E9B001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E2683DD" w14:textId="77777777" w:rsidR="00F303BF" w:rsidRPr="00F303BF" w:rsidRDefault="00F303BF" w:rsidP="00F303BF">
            <w:pPr>
              <w:pStyle w:val="tabletext"/>
              <w:rPr>
                <w:lang w:val="en-US" w:eastAsia="en-US"/>
              </w:rPr>
            </w:pPr>
            <w:r w:rsidRPr="00F303BF">
              <w:rPr>
                <w:lang w:val="en-US" w:eastAsia="en-US"/>
              </w:rPr>
              <w:t>828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69D60E4" w14:textId="77777777" w:rsidR="00F303BF" w:rsidRPr="00F303BF" w:rsidRDefault="00F303BF" w:rsidP="00F303BF">
            <w:pPr>
              <w:pStyle w:val="tabletext"/>
            </w:pPr>
            <w:r w:rsidRPr="00F303BF">
              <w:t>Subdivision C of Division 1A of Part 16</w:t>
            </w:r>
          </w:p>
        </w:tc>
      </w:tr>
      <w:tr w:rsidR="00F303BF" w:rsidRPr="00F303BF" w14:paraId="442B5F0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B5F5688" w14:textId="77777777" w:rsidR="00F303BF" w:rsidRPr="00F303BF" w:rsidRDefault="00F303BF" w:rsidP="00F303BF">
            <w:pPr>
              <w:pStyle w:val="tabletext"/>
              <w:rPr>
                <w:lang w:val="en-US" w:eastAsia="en-US"/>
              </w:rPr>
            </w:pPr>
            <w:r w:rsidRPr="00F303BF">
              <w:rPr>
                <w:lang w:val="en-US" w:eastAsia="en-US"/>
              </w:rPr>
              <w:t>832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8799FD" w14:textId="77777777" w:rsidR="00F303BF" w:rsidRPr="00F303BF" w:rsidRDefault="00F303BF" w:rsidP="00F303BF">
            <w:pPr>
              <w:pStyle w:val="tabletext"/>
            </w:pPr>
            <w:r w:rsidRPr="00F303BF">
              <w:t>Subsection 128L(5)</w:t>
            </w:r>
          </w:p>
        </w:tc>
      </w:tr>
      <w:tr w:rsidR="00F303BF" w:rsidRPr="00F303BF" w14:paraId="43A6486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EEA048F" w14:textId="77777777" w:rsidR="00F303BF" w:rsidRPr="00F303BF" w:rsidRDefault="00F303BF" w:rsidP="00F303BF">
            <w:pPr>
              <w:pStyle w:val="tabletext"/>
              <w:rPr>
                <w:lang w:val="en-US" w:eastAsia="en-US"/>
              </w:rPr>
            </w:pPr>
            <w:r w:rsidRPr="00F303BF">
              <w:rPr>
                <w:lang w:val="en-US" w:eastAsia="en-US"/>
              </w:rPr>
              <w:t>834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2BDBA72" w14:textId="77777777" w:rsidR="00F303BF" w:rsidRPr="00F303BF" w:rsidRDefault="00F303BF" w:rsidP="00F303BF">
            <w:pPr>
              <w:pStyle w:val="tabletext"/>
            </w:pPr>
            <w:r w:rsidRPr="00F303BF">
              <w:t>Section 128M</w:t>
            </w:r>
          </w:p>
        </w:tc>
      </w:tr>
      <w:tr w:rsidR="00947E92" w:rsidRPr="00F303BF" w14:paraId="0E2C3845"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22B829E7" w14:textId="77777777" w:rsidR="00947E92" w:rsidRPr="006B273B" w:rsidRDefault="00947E92" w:rsidP="00F303BF">
            <w:pPr>
              <w:pStyle w:val="tabletext"/>
              <w:rPr>
                <w:b/>
              </w:rPr>
            </w:pPr>
            <w:r w:rsidRPr="006B273B">
              <w:rPr>
                <w:b/>
              </w:rPr>
              <w:t>Taxation Administration Act 1953</w:t>
            </w:r>
          </w:p>
        </w:tc>
      </w:tr>
      <w:tr w:rsidR="00F303BF" w:rsidRPr="00F303BF" w14:paraId="0B3C08A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1776F21" w14:textId="77777777" w:rsidR="00F303BF" w:rsidRPr="00F303BF" w:rsidRDefault="00F303BF" w:rsidP="00F303BF">
            <w:pPr>
              <w:pStyle w:val="tabletext"/>
              <w:rPr>
                <w:lang w:val="en-US" w:eastAsia="en-US"/>
              </w:rPr>
            </w:pPr>
            <w:r w:rsidRPr="00F303BF">
              <w:rPr>
                <w:lang w:val="en-US" w:eastAsia="en-US"/>
              </w:rPr>
              <w:t>836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DEF2A70" w14:textId="77777777" w:rsidR="00F303BF" w:rsidRPr="00F303BF" w:rsidRDefault="00F303BF" w:rsidP="00F303BF">
            <w:pPr>
              <w:pStyle w:val="tabletext"/>
            </w:pPr>
            <w:r w:rsidRPr="00F303BF">
              <w:t>Subsection 6B(6A)</w:t>
            </w:r>
          </w:p>
        </w:tc>
      </w:tr>
      <w:tr w:rsidR="00F303BF" w:rsidRPr="00F303BF" w14:paraId="2C1C95D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9246275" w14:textId="77777777" w:rsidR="00F303BF" w:rsidRPr="00F303BF" w:rsidRDefault="00F303BF" w:rsidP="00F303BF">
            <w:pPr>
              <w:pStyle w:val="tabletext"/>
              <w:rPr>
                <w:lang w:val="en-US" w:eastAsia="en-US"/>
              </w:rPr>
            </w:pPr>
            <w:r w:rsidRPr="00F303BF">
              <w:rPr>
                <w:lang w:val="en-US" w:eastAsia="en-US"/>
              </w:rPr>
              <w:t>837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3E1E50B" w14:textId="77777777" w:rsidR="00F303BF" w:rsidRPr="00F303BF" w:rsidRDefault="00F303BF" w:rsidP="00F303BF">
            <w:pPr>
              <w:pStyle w:val="tabletext"/>
            </w:pPr>
            <w:r w:rsidRPr="00F303BF">
              <w:t>Subsection 8(1A)</w:t>
            </w:r>
          </w:p>
        </w:tc>
      </w:tr>
      <w:tr w:rsidR="00F303BF" w:rsidRPr="00F303BF" w14:paraId="41F516C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FAE01F8" w14:textId="77777777" w:rsidR="00F303BF" w:rsidRPr="00F303BF" w:rsidRDefault="00F303BF" w:rsidP="00F303BF">
            <w:pPr>
              <w:pStyle w:val="tabletext"/>
              <w:rPr>
                <w:lang w:val="en-US" w:eastAsia="en-US"/>
              </w:rPr>
            </w:pPr>
            <w:r w:rsidRPr="00F303BF">
              <w:rPr>
                <w:lang w:val="en-US" w:eastAsia="en-US"/>
              </w:rPr>
              <w:t>838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18E7A42" w14:textId="77777777" w:rsidR="00F303BF" w:rsidRPr="00F303BF" w:rsidRDefault="00F303BF" w:rsidP="00F303BF">
            <w:pPr>
              <w:pStyle w:val="tabletext"/>
            </w:pPr>
            <w:r w:rsidRPr="00F303BF">
              <w:t>Subsections 16-147(5) and (6) in Schedule 1</w:t>
            </w:r>
          </w:p>
        </w:tc>
      </w:tr>
      <w:tr w:rsidR="00F303BF" w:rsidRPr="00F303BF" w14:paraId="1C4DF58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277EA91" w14:textId="77777777" w:rsidR="00F303BF" w:rsidRPr="00F303BF" w:rsidRDefault="00F303BF" w:rsidP="00F303BF">
            <w:pPr>
              <w:pStyle w:val="tabletext"/>
              <w:rPr>
                <w:lang w:val="en-US" w:eastAsia="en-US"/>
              </w:rPr>
            </w:pPr>
            <w:r w:rsidRPr="00F303BF">
              <w:rPr>
                <w:lang w:val="en-US" w:eastAsia="en-US"/>
              </w:rPr>
              <w:t>840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D6EBCCD" w14:textId="77777777" w:rsidR="00F303BF" w:rsidRPr="00F303BF" w:rsidRDefault="00F303BF" w:rsidP="00F303BF">
            <w:pPr>
              <w:pStyle w:val="tabletext"/>
            </w:pPr>
            <w:r w:rsidRPr="00F303BF">
              <w:t>Subsection 16-148(7) in Schedule 1</w:t>
            </w:r>
          </w:p>
        </w:tc>
      </w:tr>
      <w:tr w:rsidR="00F303BF" w:rsidRPr="00F303BF" w14:paraId="22009BE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5D18CB7" w14:textId="77777777" w:rsidR="00F303BF" w:rsidRPr="00F303BF" w:rsidRDefault="00F303BF" w:rsidP="00F303BF">
            <w:pPr>
              <w:pStyle w:val="tabletext"/>
              <w:rPr>
                <w:lang w:val="en-US" w:eastAsia="en-US"/>
              </w:rPr>
            </w:pPr>
            <w:r w:rsidRPr="00F303BF">
              <w:rPr>
                <w:lang w:val="en-US" w:eastAsia="en-US"/>
              </w:rPr>
              <w:t>842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31043AB" w14:textId="77777777" w:rsidR="00F303BF" w:rsidRPr="00F303BF" w:rsidRDefault="00F303BF" w:rsidP="00F303BF">
            <w:pPr>
              <w:pStyle w:val="tabletext"/>
            </w:pPr>
            <w:r w:rsidRPr="00F303BF">
              <w:t>Section 426-1 in Schedule 1</w:t>
            </w:r>
          </w:p>
        </w:tc>
      </w:tr>
      <w:tr w:rsidR="00F303BF" w:rsidRPr="00F303BF" w14:paraId="4A982925"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C6A1A9C" w14:textId="77777777" w:rsidR="00F303BF" w:rsidRPr="00F303BF" w:rsidRDefault="00F303BF" w:rsidP="00F303BF">
            <w:pPr>
              <w:pStyle w:val="tabletext"/>
              <w:rPr>
                <w:lang w:val="en-US" w:eastAsia="en-US"/>
              </w:rPr>
            </w:pPr>
            <w:r w:rsidRPr="00F303BF">
              <w:rPr>
                <w:lang w:val="en-US" w:eastAsia="en-US"/>
              </w:rPr>
              <w:t>843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D8B786F" w14:textId="77777777" w:rsidR="00F303BF" w:rsidRPr="00F303BF" w:rsidRDefault="00F303BF" w:rsidP="00F303BF">
            <w:pPr>
              <w:pStyle w:val="tabletext"/>
            </w:pPr>
            <w:r w:rsidRPr="00F303BF">
              <w:t>Subdivision 426-C of Part 5-35 of Chapter 5 in Schedule</w:t>
            </w:r>
          </w:p>
        </w:tc>
      </w:tr>
      <w:tr w:rsidR="00F303BF" w:rsidRPr="00F303BF" w14:paraId="4CFC293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A6F3CB8" w14:textId="77777777" w:rsidR="00F303BF" w:rsidRPr="00F303BF" w:rsidRDefault="00F303BF" w:rsidP="00F303BF">
            <w:pPr>
              <w:pStyle w:val="tabletext"/>
              <w:rPr>
                <w:lang w:val="en-US" w:eastAsia="en-US"/>
              </w:rPr>
            </w:pPr>
            <w:r w:rsidRPr="00F303BF">
              <w:rPr>
                <w:lang w:val="en-US" w:eastAsia="en-US"/>
              </w:rPr>
              <w:t>844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879353D" w14:textId="77777777" w:rsidR="00F303BF" w:rsidRPr="00F303BF" w:rsidRDefault="00F303BF" w:rsidP="00F303BF">
            <w:pPr>
              <w:pStyle w:val="tabletext"/>
            </w:pPr>
            <w:r w:rsidRPr="00F303BF">
              <w:t>Section 426-65 in Schedule 1 (heading)</w:t>
            </w:r>
          </w:p>
        </w:tc>
      </w:tr>
      <w:tr w:rsidR="00F303BF" w:rsidRPr="00F303BF" w14:paraId="15934B9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0C53A4F" w14:textId="77777777" w:rsidR="00F303BF" w:rsidRPr="00F303BF" w:rsidRDefault="00F303BF" w:rsidP="00F303BF">
            <w:pPr>
              <w:pStyle w:val="tabletext"/>
              <w:rPr>
                <w:lang w:val="en-US" w:eastAsia="en-US"/>
              </w:rPr>
            </w:pPr>
            <w:r w:rsidRPr="00F303BF">
              <w:rPr>
                <w:lang w:val="en-US" w:eastAsia="en-US"/>
              </w:rPr>
              <w:t>846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95AA5B1" w14:textId="77777777" w:rsidR="00F303BF" w:rsidRPr="00F303BF" w:rsidRDefault="00F303BF" w:rsidP="00F303BF">
            <w:pPr>
              <w:pStyle w:val="tabletext"/>
            </w:pPr>
            <w:r w:rsidRPr="00F303BF">
              <w:t>Subsection 426-65(1) in Schedule 1</w:t>
            </w:r>
          </w:p>
        </w:tc>
      </w:tr>
      <w:tr w:rsidR="00F303BF" w:rsidRPr="00F303BF" w14:paraId="1547408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EC7F8D2" w14:textId="77777777" w:rsidR="00F303BF" w:rsidRPr="00F303BF" w:rsidRDefault="00F303BF" w:rsidP="00F303BF">
            <w:pPr>
              <w:pStyle w:val="tabletext"/>
              <w:rPr>
                <w:lang w:val="en-US" w:eastAsia="en-US"/>
              </w:rPr>
            </w:pPr>
            <w:r w:rsidRPr="00F303BF">
              <w:rPr>
                <w:lang w:val="en-US" w:eastAsia="en-US"/>
              </w:rPr>
              <w:t>847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8A17660" w14:textId="77777777" w:rsidR="00F303BF" w:rsidRPr="00F303BF" w:rsidRDefault="00F303BF" w:rsidP="00F303BF">
            <w:pPr>
              <w:pStyle w:val="tabletext"/>
            </w:pPr>
            <w:r w:rsidRPr="00F303BF">
              <w:t>Subsection 426-65(1) in Schedule 1 (note 1)</w:t>
            </w:r>
          </w:p>
        </w:tc>
      </w:tr>
      <w:tr w:rsidR="00F303BF" w:rsidRPr="00F303BF" w14:paraId="67CEEF9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9844ED7" w14:textId="77777777" w:rsidR="00F303BF" w:rsidRPr="00F303BF" w:rsidRDefault="00F303BF" w:rsidP="00F303BF">
            <w:pPr>
              <w:pStyle w:val="tabletext"/>
              <w:rPr>
                <w:lang w:val="en-US" w:eastAsia="en-US"/>
              </w:rPr>
            </w:pPr>
            <w:r w:rsidRPr="00F303BF">
              <w:rPr>
                <w:lang w:val="en-US" w:eastAsia="en-US"/>
              </w:rPr>
              <w:t>848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D18458" w14:textId="77777777" w:rsidR="00F303BF" w:rsidRPr="00F303BF" w:rsidRDefault="00F303BF" w:rsidP="00F303BF">
            <w:pPr>
              <w:pStyle w:val="tabletext"/>
            </w:pPr>
            <w:r w:rsidRPr="00F303BF">
              <w:t>Subsection 426-65(2) in Schedule 1</w:t>
            </w:r>
          </w:p>
        </w:tc>
      </w:tr>
      <w:tr w:rsidR="00F303BF" w:rsidRPr="00F303BF" w14:paraId="067B621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8C99872" w14:textId="77777777" w:rsidR="00F303BF" w:rsidRPr="00F303BF" w:rsidRDefault="00F303BF" w:rsidP="00F303BF">
            <w:pPr>
              <w:pStyle w:val="tabletext"/>
              <w:rPr>
                <w:lang w:val="en-US" w:eastAsia="en-US"/>
              </w:rPr>
            </w:pPr>
            <w:r w:rsidRPr="00F303BF">
              <w:rPr>
                <w:lang w:val="en-US" w:eastAsia="en-US"/>
              </w:rPr>
              <w:t>849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EA102D" w14:textId="77777777" w:rsidR="00F303BF" w:rsidRPr="00F303BF" w:rsidRDefault="00F303BF" w:rsidP="00F303BF">
            <w:pPr>
              <w:pStyle w:val="tabletext"/>
            </w:pPr>
            <w:r w:rsidRPr="00F303BF">
              <w:t>Subsection 426-65(2A) in Schedule 1</w:t>
            </w:r>
          </w:p>
        </w:tc>
      </w:tr>
      <w:tr w:rsidR="00F303BF" w:rsidRPr="00F303BF" w14:paraId="7466641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66FF596" w14:textId="77777777" w:rsidR="00F303BF" w:rsidRPr="00F303BF" w:rsidRDefault="00F303BF" w:rsidP="00F303BF">
            <w:pPr>
              <w:pStyle w:val="tabletext"/>
              <w:rPr>
                <w:lang w:val="en-US" w:eastAsia="en-US"/>
              </w:rPr>
            </w:pPr>
            <w:r w:rsidRPr="00F303BF">
              <w:rPr>
                <w:lang w:val="en-US" w:eastAsia="en-US"/>
              </w:rPr>
              <w:t>850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02D496B" w14:textId="77777777" w:rsidR="00F303BF" w:rsidRPr="00F303BF" w:rsidRDefault="00F303BF" w:rsidP="00F303BF">
            <w:pPr>
              <w:pStyle w:val="tabletext"/>
            </w:pPr>
            <w:r w:rsidRPr="00F303BF">
              <w:t>Subsection 426-65(2B) in Schedule 1</w:t>
            </w:r>
          </w:p>
        </w:tc>
      </w:tr>
      <w:tr w:rsidR="00F303BF" w:rsidRPr="00F303BF" w14:paraId="01E6686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71B8900" w14:textId="77777777" w:rsidR="00F303BF" w:rsidRPr="00F303BF" w:rsidRDefault="00F303BF" w:rsidP="00F303BF">
            <w:pPr>
              <w:pStyle w:val="tabletext"/>
              <w:rPr>
                <w:lang w:val="en-US" w:eastAsia="en-US"/>
              </w:rPr>
            </w:pPr>
            <w:r w:rsidRPr="00F303BF">
              <w:rPr>
                <w:lang w:val="en-US" w:eastAsia="en-US"/>
              </w:rPr>
              <w:t>851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6637E06" w14:textId="77777777" w:rsidR="00F303BF" w:rsidRPr="00F303BF" w:rsidRDefault="00F303BF" w:rsidP="00F303BF">
            <w:pPr>
              <w:pStyle w:val="tabletext"/>
            </w:pPr>
            <w:r w:rsidRPr="00F303BF">
              <w:t>Subsection 426-65(3) in Schedule 1</w:t>
            </w:r>
          </w:p>
        </w:tc>
      </w:tr>
      <w:tr w:rsidR="00F303BF" w:rsidRPr="00F303BF" w14:paraId="13C1188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F40D292" w14:textId="77777777" w:rsidR="00F303BF" w:rsidRPr="00F303BF" w:rsidRDefault="00F303BF" w:rsidP="00F303BF">
            <w:pPr>
              <w:pStyle w:val="tabletext"/>
              <w:rPr>
                <w:lang w:val="en-US" w:eastAsia="en-US"/>
              </w:rPr>
            </w:pPr>
            <w:r w:rsidRPr="00F303BF">
              <w:rPr>
                <w:lang w:val="en-US" w:eastAsia="en-US"/>
              </w:rPr>
              <w:t>852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4DB14FD" w14:textId="77777777" w:rsidR="00F303BF" w:rsidRPr="00F303BF" w:rsidRDefault="00F303BF" w:rsidP="00F303BF">
            <w:pPr>
              <w:pStyle w:val="tabletext"/>
            </w:pPr>
            <w:r w:rsidRPr="00F303BF">
              <w:t>Paragraph 426-65(3)(a) in Schedule 1</w:t>
            </w:r>
          </w:p>
        </w:tc>
      </w:tr>
      <w:tr w:rsidR="00F303BF" w:rsidRPr="00F303BF" w14:paraId="3B4CF9A9"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1D70586" w14:textId="77777777" w:rsidR="00F303BF" w:rsidRPr="00F303BF" w:rsidRDefault="00F303BF" w:rsidP="00F303BF">
            <w:pPr>
              <w:pStyle w:val="tabletext"/>
              <w:rPr>
                <w:lang w:val="en-US" w:eastAsia="en-US"/>
              </w:rPr>
            </w:pPr>
            <w:r w:rsidRPr="00F303BF">
              <w:rPr>
                <w:lang w:val="en-US" w:eastAsia="en-US"/>
              </w:rPr>
              <w:t>853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FBEA00" w14:textId="77777777" w:rsidR="00F303BF" w:rsidRPr="00F303BF" w:rsidRDefault="00F303BF" w:rsidP="00F303BF">
            <w:pPr>
              <w:pStyle w:val="tabletext"/>
            </w:pPr>
            <w:r w:rsidRPr="00F303BF">
              <w:t>Paragraph 426-65(3)(b) in Schedule 1</w:t>
            </w:r>
          </w:p>
        </w:tc>
      </w:tr>
      <w:tr w:rsidR="00F303BF" w:rsidRPr="00F303BF" w14:paraId="71472F7F"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312A54F" w14:textId="77777777" w:rsidR="00F303BF" w:rsidRPr="00F303BF" w:rsidRDefault="00F303BF" w:rsidP="00F303BF">
            <w:pPr>
              <w:pStyle w:val="tabletext"/>
              <w:rPr>
                <w:lang w:val="en-US" w:eastAsia="en-US"/>
              </w:rPr>
            </w:pPr>
            <w:r w:rsidRPr="00F303BF">
              <w:rPr>
                <w:lang w:val="en-US" w:eastAsia="en-US"/>
              </w:rPr>
              <w:t>854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D5C842A" w14:textId="77777777" w:rsidR="00F303BF" w:rsidRPr="00F303BF" w:rsidRDefault="00F303BF" w:rsidP="00F303BF">
            <w:pPr>
              <w:pStyle w:val="tabletext"/>
            </w:pPr>
            <w:r w:rsidRPr="00F303BF">
              <w:t>Paragraph 426-65(3)(c) in Schedule 1</w:t>
            </w:r>
          </w:p>
        </w:tc>
      </w:tr>
      <w:tr w:rsidR="00F303BF" w:rsidRPr="00F303BF" w14:paraId="4DEBCD96"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2F61F16" w14:textId="77777777" w:rsidR="00F303BF" w:rsidRPr="00F303BF" w:rsidRDefault="00F303BF" w:rsidP="00F303BF">
            <w:pPr>
              <w:pStyle w:val="tabletext"/>
              <w:rPr>
                <w:lang w:val="en-US" w:eastAsia="en-US"/>
              </w:rPr>
            </w:pPr>
            <w:r w:rsidRPr="00F303BF">
              <w:rPr>
                <w:lang w:val="en-US" w:eastAsia="en-US"/>
              </w:rPr>
              <w:t>855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1363E3" w14:textId="77777777" w:rsidR="00F303BF" w:rsidRPr="00F303BF" w:rsidRDefault="00F303BF" w:rsidP="00F303BF">
            <w:pPr>
              <w:pStyle w:val="tabletext"/>
            </w:pPr>
            <w:r w:rsidRPr="00F303BF">
              <w:t>Subsection 426-65(4) in Schedule 1</w:t>
            </w:r>
          </w:p>
        </w:tc>
      </w:tr>
      <w:tr w:rsidR="00F303BF" w:rsidRPr="00F303BF" w14:paraId="3E03113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A3AD053" w14:textId="77777777" w:rsidR="00F303BF" w:rsidRPr="00F303BF" w:rsidRDefault="00F303BF" w:rsidP="00F303BF">
            <w:pPr>
              <w:pStyle w:val="tabletext"/>
              <w:rPr>
                <w:lang w:val="en-US" w:eastAsia="en-US"/>
              </w:rPr>
            </w:pPr>
            <w:r w:rsidRPr="00F303BF">
              <w:rPr>
                <w:lang w:val="en-US" w:eastAsia="en-US"/>
              </w:rPr>
              <w:lastRenderedPageBreak/>
              <w:t>856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D570260" w14:textId="77777777" w:rsidR="00F303BF" w:rsidRPr="00F303BF" w:rsidRDefault="00F303BF" w:rsidP="00F303BF">
            <w:pPr>
              <w:pStyle w:val="tabletext"/>
            </w:pPr>
            <w:r w:rsidRPr="00F303BF">
              <w:t>Section 426-104 in Schedule 1 (heading)</w:t>
            </w:r>
          </w:p>
        </w:tc>
      </w:tr>
      <w:tr w:rsidR="00F303BF" w:rsidRPr="00F303BF" w14:paraId="479D56D8"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6B92E73" w14:textId="77777777" w:rsidR="00F303BF" w:rsidRPr="00F303BF" w:rsidRDefault="00F303BF" w:rsidP="00F303BF">
            <w:pPr>
              <w:pStyle w:val="tabletext"/>
              <w:rPr>
                <w:lang w:val="en-US" w:eastAsia="en-US"/>
              </w:rPr>
            </w:pPr>
            <w:r w:rsidRPr="00F303BF">
              <w:rPr>
                <w:lang w:val="en-US" w:eastAsia="en-US"/>
              </w:rPr>
              <w:t>857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937AAB9" w14:textId="77777777" w:rsidR="00F303BF" w:rsidRPr="00F303BF" w:rsidRDefault="00F303BF" w:rsidP="00F303BF">
            <w:pPr>
              <w:pStyle w:val="tabletext"/>
            </w:pPr>
            <w:r w:rsidRPr="00F303BF">
              <w:t>Subsection 426-104(1) in Schedule 1</w:t>
            </w:r>
          </w:p>
        </w:tc>
      </w:tr>
      <w:tr w:rsidR="00F303BF" w:rsidRPr="00F303BF" w14:paraId="1EBCC9C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A197BED" w14:textId="77777777" w:rsidR="00F303BF" w:rsidRPr="00F303BF" w:rsidRDefault="00F303BF" w:rsidP="00F303BF">
            <w:pPr>
              <w:pStyle w:val="tabletext"/>
              <w:rPr>
                <w:lang w:val="en-US" w:eastAsia="en-US"/>
              </w:rPr>
            </w:pPr>
            <w:r w:rsidRPr="00F303BF">
              <w:rPr>
                <w:lang w:val="en-US" w:eastAsia="en-US"/>
              </w:rPr>
              <w:t>858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EB41CAC" w14:textId="77777777" w:rsidR="00F303BF" w:rsidRPr="00F303BF" w:rsidRDefault="00F303BF" w:rsidP="00F303BF">
            <w:pPr>
              <w:pStyle w:val="tabletext"/>
            </w:pPr>
            <w:r w:rsidRPr="00F303BF">
              <w:t>Subsection 426-104(1) in Schedule 1 (note 1)</w:t>
            </w:r>
          </w:p>
        </w:tc>
      </w:tr>
      <w:tr w:rsidR="00F303BF" w:rsidRPr="00F303BF" w14:paraId="4BC46A54"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B95A239" w14:textId="77777777" w:rsidR="00F303BF" w:rsidRPr="00F303BF" w:rsidRDefault="00F303BF" w:rsidP="00F303BF">
            <w:pPr>
              <w:pStyle w:val="tabletext"/>
              <w:rPr>
                <w:lang w:val="en-US" w:eastAsia="en-US"/>
              </w:rPr>
            </w:pPr>
            <w:r w:rsidRPr="00F303BF">
              <w:rPr>
                <w:lang w:val="en-US" w:eastAsia="en-US"/>
              </w:rPr>
              <w:t>859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67D30C2" w14:textId="77777777" w:rsidR="00F303BF" w:rsidRPr="00F303BF" w:rsidRDefault="00F303BF" w:rsidP="00F303BF">
            <w:pPr>
              <w:pStyle w:val="tabletext"/>
            </w:pPr>
            <w:r w:rsidRPr="00F303BF">
              <w:t>Subsection 426-104(1) in Schedule 1 (note 2)</w:t>
            </w:r>
          </w:p>
        </w:tc>
      </w:tr>
      <w:tr w:rsidR="00F303BF" w:rsidRPr="00F303BF" w14:paraId="04A3E71A"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492FE8EA" w14:textId="77777777" w:rsidR="00F303BF" w:rsidRPr="00F303BF" w:rsidRDefault="00F303BF" w:rsidP="00F303BF">
            <w:pPr>
              <w:pStyle w:val="tabletext"/>
              <w:rPr>
                <w:lang w:val="en-US" w:eastAsia="en-US"/>
              </w:rPr>
            </w:pPr>
            <w:r w:rsidRPr="00F303BF">
              <w:rPr>
                <w:lang w:val="en-US" w:eastAsia="en-US"/>
              </w:rPr>
              <w:t>860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E072F06" w14:textId="77777777" w:rsidR="00F303BF" w:rsidRPr="00F303BF" w:rsidRDefault="00F303BF" w:rsidP="00F303BF">
            <w:pPr>
              <w:pStyle w:val="tabletext"/>
            </w:pPr>
            <w:r w:rsidRPr="00F303BF">
              <w:t>Subsection 426-104(2) in Schedule 1</w:t>
            </w:r>
          </w:p>
        </w:tc>
      </w:tr>
      <w:tr w:rsidR="00F303BF" w:rsidRPr="00F303BF" w14:paraId="073F390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EE595D5" w14:textId="77777777" w:rsidR="00F303BF" w:rsidRPr="00F303BF" w:rsidRDefault="00F303BF" w:rsidP="00F303BF">
            <w:pPr>
              <w:pStyle w:val="tabletext"/>
              <w:rPr>
                <w:lang w:val="en-US" w:eastAsia="en-US"/>
              </w:rPr>
            </w:pPr>
            <w:r w:rsidRPr="00F303BF">
              <w:rPr>
                <w:lang w:val="en-US" w:eastAsia="en-US"/>
              </w:rPr>
              <w:t>861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8B1C77F" w14:textId="77777777" w:rsidR="00F303BF" w:rsidRPr="00F303BF" w:rsidRDefault="00F303BF" w:rsidP="00F303BF">
            <w:pPr>
              <w:pStyle w:val="tabletext"/>
            </w:pPr>
            <w:r w:rsidRPr="00F303BF">
              <w:t>Paragraph 426-104(2)(a) in Schedule 1</w:t>
            </w:r>
          </w:p>
        </w:tc>
      </w:tr>
      <w:tr w:rsidR="00F303BF" w:rsidRPr="00F303BF" w14:paraId="3298DD2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1F7C0FAC" w14:textId="77777777" w:rsidR="00F303BF" w:rsidRPr="00F303BF" w:rsidRDefault="00F303BF" w:rsidP="00F303BF">
            <w:pPr>
              <w:pStyle w:val="tabletext"/>
              <w:rPr>
                <w:lang w:val="en-US" w:eastAsia="en-US"/>
              </w:rPr>
            </w:pPr>
            <w:r w:rsidRPr="00F303BF">
              <w:rPr>
                <w:lang w:val="en-US" w:eastAsia="en-US"/>
              </w:rPr>
              <w:t>862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572078F" w14:textId="77777777" w:rsidR="00F303BF" w:rsidRPr="00F303BF" w:rsidRDefault="00F303BF" w:rsidP="00F303BF">
            <w:pPr>
              <w:pStyle w:val="tabletext"/>
            </w:pPr>
            <w:r w:rsidRPr="00F303BF">
              <w:t>Paragraph 426-104(2)(b) in Schedule 1</w:t>
            </w:r>
          </w:p>
        </w:tc>
      </w:tr>
      <w:tr w:rsidR="00F303BF" w:rsidRPr="00F303BF" w14:paraId="21BECF6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D680F49" w14:textId="77777777" w:rsidR="00F303BF" w:rsidRPr="00F303BF" w:rsidRDefault="00F303BF" w:rsidP="00F303BF">
            <w:pPr>
              <w:pStyle w:val="tabletext"/>
              <w:rPr>
                <w:lang w:val="en-US" w:eastAsia="en-US"/>
              </w:rPr>
            </w:pPr>
            <w:r w:rsidRPr="00F303BF">
              <w:rPr>
                <w:lang w:val="en-US" w:eastAsia="en-US"/>
              </w:rPr>
              <w:t>863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1F2443" w14:textId="77777777" w:rsidR="00F303BF" w:rsidRPr="00F303BF" w:rsidRDefault="00F303BF" w:rsidP="00F303BF">
            <w:pPr>
              <w:pStyle w:val="tabletext"/>
            </w:pPr>
            <w:r w:rsidRPr="00F303BF">
              <w:t>Section 426-115 in Schedule 1 (heading)</w:t>
            </w:r>
          </w:p>
        </w:tc>
      </w:tr>
      <w:tr w:rsidR="00F303BF" w:rsidRPr="00F303BF" w14:paraId="648B963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302814BD" w14:textId="77777777" w:rsidR="00F303BF" w:rsidRPr="00F303BF" w:rsidRDefault="00F303BF" w:rsidP="00F303BF">
            <w:pPr>
              <w:pStyle w:val="tabletext"/>
              <w:rPr>
                <w:lang w:val="en-US" w:eastAsia="en-US"/>
              </w:rPr>
            </w:pPr>
            <w:r w:rsidRPr="00F303BF">
              <w:rPr>
                <w:lang w:val="en-US" w:eastAsia="en-US"/>
              </w:rPr>
              <w:t>864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CB05A79" w14:textId="77777777" w:rsidR="00F303BF" w:rsidRPr="00F303BF" w:rsidRDefault="00F303BF" w:rsidP="00F303BF">
            <w:pPr>
              <w:pStyle w:val="tabletext"/>
            </w:pPr>
            <w:r w:rsidRPr="00F303BF">
              <w:t>Subsection 426-115(1) in Schedule 1</w:t>
            </w:r>
          </w:p>
        </w:tc>
      </w:tr>
      <w:tr w:rsidR="00F303BF" w:rsidRPr="00F303BF" w14:paraId="2CEC50B7"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A0DC585" w14:textId="77777777" w:rsidR="00F303BF" w:rsidRPr="00F303BF" w:rsidRDefault="00F303BF" w:rsidP="00F303BF">
            <w:pPr>
              <w:pStyle w:val="tabletext"/>
              <w:rPr>
                <w:lang w:val="en-US" w:eastAsia="en-US"/>
              </w:rPr>
            </w:pPr>
            <w:r w:rsidRPr="00F303BF">
              <w:rPr>
                <w:lang w:val="en-US" w:eastAsia="en-US"/>
              </w:rPr>
              <w:t>865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D5F527C" w14:textId="77777777" w:rsidR="00F303BF" w:rsidRPr="00F303BF" w:rsidRDefault="00F303BF" w:rsidP="00F303BF">
            <w:pPr>
              <w:pStyle w:val="tabletext"/>
            </w:pPr>
            <w:r w:rsidRPr="00F303BF">
              <w:t>Subsection 426-115(1) in Schedule 1 (note 1)</w:t>
            </w:r>
          </w:p>
        </w:tc>
      </w:tr>
      <w:tr w:rsidR="00F303BF" w:rsidRPr="00F303BF" w14:paraId="63205083"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00E14504" w14:textId="77777777" w:rsidR="00F303BF" w:rsidRPr="00F303BF" w:rsidRDefault="00F303BF" w:rsidP="00F303BF">
            <w:pPr>
              <w:pStyle w:val="tabletext"/>
              <w:rPr>
                <w:lang w:val="en-US" w:eastAsia="en-US"/>
              </w:rPr>
            </w:pPr>
            <w:r w:rsidRPr="00F303BF">
              <w:rPr>
                <w:lang w:val="en-US" w:eastAsia="en-US"/>
              </w:rPr>
              <w:t>866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D215755" w14:textId="77777777" w:rsidR="00F303BF" w:rsidRPr="00F303BF" w:rsidRDefault="00F303BF" w:rsidP="00F303BF">
            <w:pPr>
              <w:pStyle w:val="tabletext"/>
            </w:pPr>
            <w:r w:rsidRPr="00F303BF">
              <w:t>Subsection 426-115(1) in Schedule 1 (note 2)</w:t>
            </w:r>
          </w:p>
        </w:tc>
      </w:tr>
      <w:tr w:rsidR="00F303BF" w:rsidRPr="00F303BF" w14:paraId="3AE800CE"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9BDA7D3" w14:textId="77777777" w:rsidR="00F303BF" w:rsidRPr="00F303BF" w:rsidRDefault="00F303BF" w:rsidP="00F303BF">
            <w:pPr>
              <w:pStyle w:val="tabletext"/>
              <w:rPr>
                <w:lang w:val="en-US" w:eastAsia="en-US"/>
              </w:rPr>
            </w:pPr>
            <w:r w:rsidRPr="00F303BF">
              <w:rPr>
                <w:lang w:val="en-US" w:eastAsia="en-US"/>
              </w:rPr>
              <w:t>867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BDC3B9F" w14:textId="77777777" w:rsidR="00F303BF" w:rsidRPr="00F303BF" w:rsidRDefault="00F303BF" w:rsidP="00F303BF">
            <w:pPr>
              <w:pStyle w:val="tabletext"/>
            </w:pPr>
            <w:r w:rsidRPr="00F303BF">
              <w:t>Subsection 426-115(2) in Schedule 1</w:t>
            </w:r>
          </w:p>
        </w:tc>
      </w:tr>
      <w:tr w:rsidR="00F303BF" w:rsidRPr="00F303BF" w14:paraId="5663DF61"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7173A198" w14:textId="77777777" w:rsidR="00F303BF" w:rsidRPr="00F303BF" w:rsidRDefault="00F303BF" w:rsidP="00F303BF">
            <w:pPr>
              <w:pStyle w:val="tabletext"/>
              <w:rPr>
                <w:lang w:val="en-US" w:eastAsia="en-US"/>
              </w:rPr>
            </w:pPr>
            <w:r w:rsidRPr="00F303BF">
              <w:rPr>
                <w:lang w:val="en-US" w:eastAsia="en-US"/>
              </w:rPr>
              <w:t>868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0B3E59" w14:textId="77777777" w:rsidR="00F303BF" w:rsidRPr="00F303BF" w:rsidRDefault="00F303BF" w:rsidP="00F303BF">
            <w:pPr>
              <w:pStyle w:val="tabletext"/>
            </w:pPr>
            <w:r w:rsidRPr="00F303BF">
              <w:t>Paragraph 426-115(2)(a) in Schedule 1</w:t>
            </w:r>
          </w:p>
        </w:tc>
      </w:tr>
      <w:tr w:rsidR="00F303BF" w:rsidRPr="00F303BF" w14:paraId="26F0E3E0"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507D809A" w14:textId="77777777" w:rsidR="00F303BF" w:rsidRPr="00F303BF" w:rsidRDefault="00F303BF" w:rsidP="00F303BF">
            <w:pPr>
              <w:pStyle w:val="tabletext"/>
              <w:rPr>
                <w:lang w:val="en-US" w:eastAsia="en-US"/>
              </w:rPr>
            </w:pPr>
            <w:r w:rsidRPr="00F303BF">
              <w:rPr>
                <w:lang w:val="en-US" w:eastAsia="en-US"/>
              </w:rPr>
              <w:t>869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9BB7127" w14:textId="77777777" w:rsidR="00F303BF" w:rsidRPr="00F303BF" w:rsidRDefault="00F303BF" w:rsidP="00F303BF">
            <w:pPr>
              <w:pStyle w:val="tabletext"/>
            </w:pPr>
            <w:r w:rsidRPr="00F303BF">
              <w:t>Paragraph 426-115(2)(b) in Schedule 1</w:t>
            </w:r>
          </w:p>
        </w:tc>
      </w:tr>
    </w:tbl>
    <w:p w14:paraId="78BA160D" w14:textId="77777777" w:rsidR="00741DE1" w:rsidRPr="00E85468" w:rsidRDefault="00741DE1" w:rsidP="00741DE1">
      <w:pPr>
        <w:pStyle w:val="TableHeadingoutsidetable"/>
        <w:numPr>
          <w:ilvl w:val="0"/>
          <w:numId w:val="0"/>
        </w:numPr>
        <w:ind w:left="1134"/>
        <w:rPr>
          <w:i/>
        </w:rPr>
      </w:pPr>
      <w:r>
        <w:rPr>
          <w:i/>
        </w:rPr>
        <w:t>Second tranche</w:t>
      </w:r>
      <w:r w:rsidRPr="00E85468">
        <w:rPr>
          <w:i/>
        </w:rPr>
        <w:t xml:space="preserve"> </w:t>
      </w:r>
      <w:r>
        <w:rPr>
          <w:i/>
        </w:rPr>
        <w:t xml:space="preserve">of exposure draft </w:t>
      </w:r>
      <w:r w:rsidRPr="00E85468">
        <w:rPr>
          <w:i/>
        </w:rPr>
        <w:t>amendments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742"/>
      </w:tblGrid>
      <w:tr w:rsidR="00741DE1" w:rsidRPr="004666B8" w14:paraId="22B3540E" w14:textId="77777777" w:rsidTr="00741DE1">
        <w:trPr>
          <w:tblHeader/>
        </w:trPr>
        <w:tc>
          <w:tcPr>
            <w:tcW w:w="809" w:type="dxa"/>
          </w:tcPr>
          <w:p w14:paraId="7050070D" w14:textId="3DC89BC1" w:rsidR="00741DE1" w:rsidRPr="004666B8" w:rsidRDefault="00936FF1" w:rsidP="00741DE1">
            <w:pPr>
              <w:pStyle w:val="tableheaderwithintable"/>
              <w:rPr>
                <w:lang w:val="en-US" w:eastAsia="en-US"/>
              </w:rPr>
            </w:pPr>
            <w:r>
              <w:rPr>
                <w:lang w:val="en-US" w:eastAsia="en-US"/>
              </w:rPr>
              <w:t>Item</w:t>
            </w:r>
            <w:r>
              <w:rPr>
                <w:rStyle w:val="FootnoteReference"/>
                <w:lang w:val="en-US" w:eastAsia="en-US"/>
              </w:rPr>
              <w:footnoteReference w:id="73"/>
            </w:r>
          </w:p>
        </w:tc>
        <w:tc>
          <w:tcPr>
            <w:tcW w:w="5742" w:type="dxa"/>
          </w:tcPr>
          <w:p w14:paraId="492B71A3" w14:textId="072BFE54" w:rsidR="00741DE1" w:rsidRPr="004666B8" w:rsidRDefault="00741DE1" w:rsidP="00741DE1">
            <w:pPr>
              <w:pStyle w:val="tableheaderwithintable"/>
              <w:rPr>
                <w:lang w:val="en-US" w:eastAsia="en-US"/>
              </w:rPr>
            </w:pPr>
            <w:r>
              <w:rPr>
                <w:lang w:val="en-US" w:eastAsia="en-US"/>
              </w:rPr>
              <w:t>Provision</w:t>
            </w:r>
          </w:p>
        </w:tc>
      </w:tr>
      <w:tr w:rsidR="00741DE1" w:rsidRPr="00741DE1" w14:paraId="2E054B7B" w14:textId="77777777" w:rsidTr="00741DE1">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60476547" w14:textId="7A08B111" w:rsidR="00741DE1" w:rsidRPr="00741DE1" w:rsidRDefault="00741DE1" w:rsidP="00741DE1">
            <w:pPr>
              <w:pStyle w:val="tabletext"/>
              <w:rPr>
                <w:b/>
              </w:rPr>
            </w:pPr>
            <w:r w:rsidRPr="00741DE1">
              <w:rPr>
                <w:b/>
              </w:rPr>
              <w:t>Corporations Act 2001</w:t>
            </w:r>
          </w:p>
        </w:tc>
      </w:tr>
      <w:tr w:rsidR="00741DE1" w:rsidRPr="00741DE1" w14:paraId="460052D4"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C2D7CBC" w14:textId="77777777" w:rsidR="00741DE1" w:rsidRPr="00741DE1" w:rsidRDefault="00741DE1" w:rsidP="00741DE1">
            <w:pPr>
              <w:pStyle w:val="tabletext"/>
              <w:rPr>
                <w:lang w:val="en-US" w:eastAsia="en-US"/>
              </w:rPr>
            </w:pPr>
            <w:r w:rsidRPr="00741DE1">
              <w:rPr>
                <w:lang w:val="en-US" w:eastAsia="en-US"/>
              </w:rPr>
              <w:t>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81703FA" w14:textId="77777777" w:rsidR="00741DE1" w:rsidRPr="00741DE1" w:rsidRDefault="00741DE1" w:rsidP="00741DE1">
            <w:pPr>
              <w:pStyle w:val="tabletext"/>
            </w:pPr>
            <w:r w:rsidRPr="00741DE1">
              <w:t>Paragraph 601AA(4)(c)</w:t>
            </w:r>
          </w:p>
        </w:tc>
      </w:tr>
      <w:tr w:rsidR="00741DE1" w:rsidRPr="00741DE1" w14:paraId="4C973188"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5767406" w14:textId="77777777" w:rsidR="00741DE1" w:rsidRPr="00741DE1" w:rsidRDefault="00741DE1" w:rsidP="00741DE1">
            <w:pPr>
              <w:pStyle w:val="tabletext"/>
              <w:rPr>
                <w:lang w:val="en-US" w:eastAsia="en-US"/>
              </w:rPr>
            </w:pPr>
            <w:r w:rsidRPr="00741DE1">
              <w:rPr>
                <w:lang w:val="en-US" w:eastAsia="en-US"/>
              </w:rPr>
              <w:t>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C4DB7F5" w14:textId="77777777" w:rsidR="00741DE1" w:rsidRPr="00741DE1" w:rsidRDefault="00741DE1" w:rsidP="00741DE1">
            <w:pPr>
              <w:pStyle w:val="tabletext"/>
            </w:pPr>
            <w:r w:rsidRPr="00741DE1">
              <w:t>Paragraph 601AA(4)(d)</w:t>
            </w:r>
          </w:p>
        </w:tc>
      </w:tr>
      <w:tr w:rsidR="00741DE1" w:rsidRPr="00741DE1" w14:paraId="345ACCD0"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F540E17" w14:textId="77777777" w:rsidR="00741DE1" w:rsidRPr="00741DE1" w:rsidRDefault="00741DE1" w:rsidP="00741DE1">
            <w:pPr>
              <w:pStyle w:val="tabletext"/>
              <w:rPr>
                <w:lang w:val="en-US" w:eastAsia="en-US"/>
              </w:rPr>
            </w:pPr>
            <w:r w:rsidRPr="00741DE1">
              <w:rPr>
                <w:lang w:val="en-US" w:eastAsia="en-US"/>
              </w:rPr>
              <w:t>26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6AD6079" w14:textId="77777777" w:rsidR="00741DE1" w:rsidRPr="00741DE1" w:rsidRDefault="00741DE1" w:rsidP="00741DE1">
            <w:pPr>
              <w:pStyle w:val="tabletext"/>
            </w:pPr>
            <w:r w:rsidRPr="00741DE1">
              <w:t>Subparagraph 601AB(3)(a)(iv)</w:t>
            </w:r>
          </w:p>
        </w:tc>
      </w:tr>
      <w:tr w:rsidR="00741DE1" w:rsidRPr="00741DE1" w14:paraId="7D303E07"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A700CA6" w14:textId="77777777" w:rsidR="00741DE1" w:rsidRPr="00741DE1" w:rsidRDefault="00741DE1" w:rsidP="00741DE1">
            <w:pPr>
              <w:pStyle w:val="tabletext"/>
              <w:rPr>
                <w:lang w:val="en-US" w:eastAsia="en-US"/>
              </w:rPr>
            </w:pPr>
            <w:r w:rsidRPr="00741DE1">
              <w:rPr>
                <w:lang w:val="en-US" w:eastAsia="en-US"/>
              </w:rPr>
              <w:t>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7A201E9" w14:textId="77777777" w:rsidR="00741DE1" w:rsidRPr="00741DE1" w:rsidRDefault="00741DE1" w:rsidP="00741DE1">
            <w:pPr>
              <w:pStyle w:val="tabletext"/>
            </w:pPr>
            <w:r w:rsidRPr="00741DE1">
              <w:t>Subsection 601BD(2)</w:t>
            </w:r>
          </w:p>
        </w:tc>
      </w:tr>
      <w:tr w:rsidR="00741DE1" w:rsidRPr="00741DE1" w14:paraId="34110026"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EC89272" w14:textId="77777777" w:rsidR="00741DE1" w:rsidRPr="00741DE1" w:rsidRDefault="00741DE1" w:rsidP="00741DE1">
            <w:pPr>
              <w:pStyle w:val="tabletext"/>
              <w:rPr>
                <w:lang w:val="en-US" w:eastAsia="en-US"/>
              </w:rPr>
            </w:pPr>
            <w:r w:rsidRPr="00741DE1">
              <w:rPr>
                <w:lang w:val="en-US" w:eastAsia="en-US"/>
              </w:rPr>
              <w:t>66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FA6FBA7" w14:textId="77777777" w:rsidR="00741DE1" w:rsidRPr="00741DE1" w:rsidRDefault="00741DE1" w:rsidP="00741DE1">
            <w:pPr>
              <w:pStyle w:val="tabletext"/>
            </w:pPr>
            <w:r w:rsidRPr="00741DE1">
              <w:t>Subsection 601BL(1)</w:t>
            </w:r>
          </w:p>
        </w:tc>
      </w:tr>
      <w:tr w:rsidR="00741DE1" w:rsidRPr="00741DE1" w14:paraId="6AA9DF92"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B3F7A6A" w14:textId="77777777" w:rsidR="00741DE1" w:rsidRPr="00741DE1" w:rsidRDefault="00741DE1" w:rsidP="00741DE1">
            <w:pPr>
              <w:pStyle w:val="tabletext"/>
              <w:rPr>
                <w:lang w:val="en-US" w:eastAsia="en-US"/>
              </w:rPr>
            </w:pPr>
            <w:r w:rsidRPr="00741DE1">
              <w:rPr>
                <w:lang w:val="en-US" w:eastAsia="en-US"/>
              </w:rPr>
              <w:t>67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47E85C" w14:textId="77777777" w:rsidR="00741DE1" w:rsidRPr="00741DE1" w:rsidRDefault="00741DE1" w:rsidP="00741DE1">
            <w:pPr>
              <w:pStyle w:val="tabletext"/>
            </w:pPr>
            <w:r w:rsidRPr="00741DE1">
              <w:t>Subsection 601BL(1)</w:t>
            </w:r>
          </w:p>
        </w:tc>
      </w:tr>
      <w:tr w:rsidR="00741DE1" w:rsidRPr="00741DE1" w14:paraId="35034C47"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1F2CF31" w14:textId="77777777" w:rsidR="00741DE1" w:rsidRPr="00741DE1" w:rsidRDefault="00741DE1" w:rsidP="00741DE1">
            <w:pPr>
              <w:pStyle w:val="tabletext"/>
              <w:rPr>
                <w:lang w:val="en-US" w:eastAsia="en-US"/>
              </w:rPr>
            </w:pPr>
            <w:r w:rsidRPr="00741DE1">
              <w:rPr>
                <w:lang w:val="en-US" w:eastAsia="en-US"/>
              </w:rPr>
              <w:t>68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B03348A" w14:textId="77777777" w:rsidR="00741DE1" w:rsidRPr="00741DE1" w:rsidRDefault="00741DE1" w:rsidP="00741DE1">
            <w:pPr>
              <w:pStyle w:val="tabletext"/>
            </w:pPr>
            <w:r w:rsidRPr="00741DE1">
              <w:t>Subsection 601BL(2)</w:t>
            </w:r>
          </w:p>
        </w:tc>
      </w:tr>
      <w:tr w:rsidR="00741DE1" w:rsidRPr="00741DE1" w14:paraId="42BB59B2"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A9217D5" w14:textId="77777777" w:rsidR="00741DE1" w:rsidRPr="00741DE1" w:rsidRDefault="00741DE1" w:rsidP="00741DE1">
            <w:pPr>
              <w:pStyle w:val="tabletext"/>
              <w:rPr>
                <w:lang w:val="en-US" w:eastAsia="en-US"/>
              </w:rPr>
            </w:pPr>
            <w:r w:rsidRPr="00741DE1">
              <w:rPr>
                <w:lang w:val="en-US" w:eastAsia="en-US"/>
              </w:rPr>
              <w:t>72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1A930A1" w14:textId="77777777" w:rsidR="00741DE1" w:rsidRPr="00741DE1" w:rsidRDefault="00741DE1" w:rsidP="00741DE1">
            <w:pPr>
              <w:pStyle w:val="tabletext"/>
            </w:pPr>
            <w:r w:rsidRPr="00741DE1">
              <w:t>Subsection 601CC(5)</w:t>
            </w:r>
          </w:p>
        </w:tc>
      </w:tr>
      <w:tr w:rsidR="00741DE1" w:rsidRPr="00741DE1" w14:paraId="45F6623A"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86CC6E6" w14:textId="77777777" w:rsidR="00741DE1" w:rsidRPr="00741DE1" w:rsidRDefault="00741DE1" w:rsidP="00741DE1">
            <w:pPr>
              <w:pStyle w:val="tabletext"/>
              <w:rPr>
                <w:lang w:val="en-US" w:eastAsia="en-US"/>
              </w:rPr>
            </w:pPr>
            <w:r w:rsidRPr="00741DE1">
              <w:rPr>
                <w:lang w:val="en-US" w:eastAsia="en-US"/>
              </w:rPr>
              <w:t>73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173919" w14:textId="77777777" w:rsidR="00741DE1" w:rsidRPr="00741DE1" w:rsidRDefault="00741DE1" w:rsidP="00741DE1">
            <w:pPr>
              <w:pStyle w:val="tabletext"/>
            </w:pPr>
            <w:r w:rsidRPr="00741DE1">
              <w:t>Subsection 601CC(6)</w:t>
            </w:r>
          </w:p>
        </w:tc>
      </w:tr>
      <w:tr w:rsidR="00741DE1" w:rsidRPr="00741DE1" w14:paraId="682A0828"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823255D" w14:textId="77777777" w:rsidR="00741DE1" w:rsidRPr="00741DE1" w:rsidRDefault="00741DE1" w:rsidP="00741DE1">
            <w:pPr>
              <w:pStyle w:val="tabletext"/>
              <w:rPr>
                <w:lang w:val="en-US" w:eastAsia="en-US"/>
              </w:rPr>
            </w:pPr>
            <w:r w:rsidRPr="00741DE1">
              <w:rPr>
                <w:lang w:val="en-US" w:eastAsia="en-US"/>
              </w:rPr>
              <w:t>74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75D0F8B" w14:textId="77777777" w:rsidR="00741DE1" w:rsidRPr="00741DE1" w:rsidRDefault="00741DE1" w:rsidP="00741DE1">
            <w:pPr>
              <w:pStyle w:val="tabletext"/>
            </w:pPr>
            <w:r w:rsidRPr="00741DE1">
              <w:t>Subsections 601CC(7) to (9)</w:t>
            </w:r>
          </w:p>
        </w:tc>
      </w:tr>
      <w:tr w:rsidR="00741DE1" w:rsidRPr="00741DE1" w14:paraId="76C3CE26"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F87DD5E" w14:textId="77777777" w:rsidR="00741DE1" w:rsidRPr="00741DE1" w:rsidRDefault="00741DE1" w:rsidP="00741DE1">
            <w:pPr>
              <w:pStyle w:val="tabletext"/>
              <w:rPr>
                <w:lang w:val="en-US" w:eastAsia="en-US"/>
              </w:rPr>
            </w:pPr>
            <w:r w:rsidRPr="00741DE1">
              <w:rPr>
                <w:lang w:val="en-US" w:eastAsia="en-US"/>
              </w:rPr>
              <w:t>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443C23" w14:textId="77777777" w:rsidR="00741DE1" w:rsidRPr="00741DE1" w:rsidRDefault="00741DE1" w:rsidP="00741DE1">
            <w:pPr>
              <w:pStyle w:val="tabletext"/>
            </w:pPr>
            <w:r w:rsidRPr="00741DE1">
              <w:t>Subsection 601CC(10)</w:t>
            </w:r>
          </w:p>
        </w:tc>
      </w:tr>
      <w:tr w:rsidR="00741DE1" w:rsidRPr="00741DE1" w14:paraId="617AD59E"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0C873ED" w14:textId="77777777" w:rsidR="00741DE1" w:rsidRPr="00741DE1" w:rsidRDefault="00741DE1" w:rsidP="00741DE1">
            <w:pPr>
              <w:pStyle w:val="tabletext"/>
              <w:rPr>
                <w:lang w:val="en-US" w:eastAsia="en-US"/>
              </w:rPr>
            </w:pPr>
            <w:r w:rsidRPr="00741DE1">
              <w:rPr>
                <w:lang w:val="en-US" w:eastAsia="en-US"/>
              </w:rPr>
              <w:t>98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142922" w14:textId="77777777" w:rsidR="00741DE1" w:rsidRPr="00741DE1" w:rsidRDefault="00741DE1" w:rsidP="00741DE1">
            <w:pPr>
              <w:pStyle w:val="tabletext"/>
            </w:pPr>
            <w:r w:rsidRPr="00741DE1">
              <w:t>Subsection 601CL(2)</w:t>
            </w:r>
          </w:p>
        </w:tc>
      </w:tr>
      <w:tr w:rsidR="00741DE1" w:rsidRPr="00741DE1" w14:paraId="19D2234D"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4061E730" w14:textId="77777777" w:rsidR="00741DE1" w:rsidRPr="00741DE1" w:rsidRDefault="00741DE1" w:rsidP="00741DE1">
            <w:pPr>
              <w:pStyle w:val="tabletext"/>
              <w:rPr>
                <w:lang w:val="en-US" w:eastAsia="en-US"/>
              </w:rPr>
            </w:pPr>
            <w:r w:rsidRPr="00741DE1">
              <w:rPr>
                <w:lang w:val="en-US" w:eastAsia="en-US"/>
              </w:rPr>
              <w:t>100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6EEFFA5" w14:textId="77777777" w:rsidR="00741DE1" w:rsidRPr="00741DE1" w:rsidRDefault="00741DE1" w:rsidP="00741DE1">
            <w:pPr>
              <w:pStyle w:val="tabletext"/>
            </w:pPr>
            <w:r w:rsidRPr="00741DE1">
              <w:t>Subsection 601CL(6)</w:t>
            </w:r>
          </w:p>
        </w:tc>
      </w:tr>
      <w:tr w:rsidR="00741DE1" w:rsidRPr="00741DE1" w14:paraId="3F6B18CA"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DA109F4" w14:textId="77777777" w:rsidR="00741DE1" w:rsidRPr="00741DE1" w:rsidRDefault="00741DE1" w:rsidP="00741DE1">
            <w:pPr>
              <w:pStyle w:val="tabletext"/>
              <w:rPr>
                <w:lang w:val="en-US" w:eastAsia="en-US"/>
              </w:rPr>
            </w:pPr>
            <w:r w:rsidRPr="00741DE1">
              <w:rPr>
                <w:lang w:val="en-US" w:eastAsia="en-US"/>
              </w:rPr>
              <w:t>101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607AC56" w14:textId="77777777" w:rsidR="00741DE1" w:rsidRPr="00741DE1" w:rsidRDefault="00741DE1" w:rsidP="00741DE1">
            <w:pPr>
              <w:pStyle w:val="tabletext"/>
            </w:pPr>
            <w:r w:rsidRPr="00741DE1">
              <w:t>Subsection 601CL(7)</w:t>
            </w:r>
          </w:p>
        </w:tc>
      </w:tr>
      <w:tr w:rsidR="00741DE1" w:rsidRPr="00741DE1" w14:paraId="52B1B99E"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AA2C40B" w14:textId="77777777" w:rsidR="00741DE1" w:rsidRPr="00741DE1" w:rsidRDefault="00741DE1" w:rsidP="00741DE1">
            <w:pPr>
              <w:pStyle w:val="tabletext"/>
              <w:rPr>
                <w:lang w:val="en-US" w:eastAsia="en-US"/>
              </w:rPr>
            </w:pPr>
            <w:r w:rsidRPr="00741DE1">
              <w:rPr>
                <w:lang w:val="en-US" w:eastAsia="en-US"/>
              </w:rPr>
              <w:t>102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47987D" w14:textId="77777777" w:rsidR="00741DE1" w:rsidRPr="00741DE1" w:rsidRDefault="00741DE1" w:rsidP="00741DE1">
            <w:pPr>
              <w:pStyle w:val="tabletext"/>
            </w:pPr>
            <w:r w:rsidRPr="00741DE1">
              <w:t>Subsections 601CL(8) to (10)</w:t>
            </w:r>
          </w:p>
        </w:tc>
      </w:tr>
      <w:tr w:rsidR="00741DE1" w:rsidRPr="00741DE1" w14:paraId="27A628BA"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72AC3CF" w14:textId="77777777" w:rsidR="00741DE1" w:rsidRPr="00741DE1" w:rsidRDefault="00741DE1" w:rsidP="00741DE1">
            <w:pPr>
              <w:pStyle w:val="tabletext"/>
              <w:rPr>
                <w:lang w:val="en-US" w:eastAsia="en-US"/>
              </w:rPr>
            </w:pPr>
            <w:r w:rsidRPr="00741DE1">
              <w:rPr>
                <w:lang w:val="en-US" w:eastAsia="en-US"/>
              </w:rPr>
              <w:t>103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EA694C6" w14:textId="77777777" w:rsidR="00741DE1" w:rsidRPr="00741DE1" w:rsidRDefault="00741DE1" w:rsidP="00741DE1">
            <w:pPr>
              <w:pStyle w:val="tabletext"/>
            </w:pPr>
            <w:r w:rsidRPr="00741DE1">
              <w:t>Subsection 601CL(11)</w:t>
            </w:r>
          </w:p>
        </w:tc>
      </w:tr>
      <w:tr w:rsidR="00741DE1" w:rsidRPr="00741DE1" w14:paraId="60F76B07"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C753546" w14:textId="77777777" w:rsidR="00741DE1" w:rsidRPr="00741DE1" w:rsidRDefault="00741DE1" w:rsidP="00741DE1">
            <w:pPr>
              <w:pStyle w:val="tabletext"/>
              <w:rPr>
                <w:lang w:val="en-US" w:eastAsia="en-US"/>
              </w:rPr>
            </w:pPr>
            <w:r w:rsidRPr="00741DE1">
              <w:rPr>
                <w:lang w:val="en-US" w:eastAsia="en-US"/>
              </w:rPr>
              <w:t>131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7897FC5" w14:textId="77777777" w:rsidR="00741DE1" w:rsidRPr="00741DE1" w:rsidRDefault="00741DE1" w:rsidP="00741DE1">
            <w:pPr>
              <w:pStyle w:val="tabletext"/>
            </w:pPr>
            <w:r w:rsidRPr="00741DE1">
              <w:t>Paragraph 601DC(1)(b)</w:t>
            </w:r>
          </w:p>
        </w:tc>
      </w:tr>
      <w:tr w:rsidR="00741DE1" w:rsidRPr="00741DE1" w14:paraId="6F9A485E"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ED1C9CE" w14:textId="77777777" w:rsidR="00741DE1" w:rsidRPr="00741DE1" w:rsidRDefault="00741DE1" w:rsidP="00741DE1">
            <w:pPr>
              <w:pStyle w:val="tabletext"/>
              <w:rPr>
                <w:lang w:val="en-US" w:eastAsia="en-US"/>
              </w:rPr>
            </w:pPr>
            <w:r w:rsidRPr="00741DE1">
              <w:rPr>
                <w:lang w:val="en-US" w:eastAsia="en-US"/>
              </w:rPr>
              <w:t>133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137AAA5" w14:textId="77777777" w:rsidR="00741DE1" w:rsidRPr="00741DE1" w:rsidRDefault="00741DE1" w:rsidP="00741DE1">
            <w:pPr>
              <w:pStyle w:val="tabletext"/>
            </w:pPr>
            <w:r w:rsidRPr="00741DE1">
              <w:t>Subsection 601DD(3)</w:t>
            </w:r>
          </w:p>
        </w:tc>
      </w:tr>
      <w:tr w:rsidR="00741DE1" w:rsidRPr="00741DE1" w14:paraId="5CB3F415"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CD7227B" w14:textId="77777777" w:rsidR="00741DE1" w:rsidRPr="00741DE1" w:rsidRDefault="00741DE1" w:rsidP="00741DE1">
            <w:pPr>
              <w:pStyle w:val="tabletext"/>
              <w:rPr>
                <w:lang w:val="en-US" w:eastAsia="en-US"/>
              </w:rPr>
            </w:pPr>
            <w:r w:rsidRPr="00741DE1">
              <w:rPr>
                <w:lang w:val="en-US" w:eastAsia="en-US"/>
              </w:rPr>
              <w:t>177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452848D" w14:textId="77777777" w:rsidR="00741DE1" w:rsidRPr="00741DE1" w:rsidRDefault="00741DE1" w:rsidP="00741DE1">
            <w:pPr>
              <w:pStyle w:val="tabletext"/>
            </w:pPr>
            <w:r w:rsidRPr="00741DE1">
              <w:t>Subsection 601PA(3)</w:t>
            </w:r>
          </w:p>
        </w:tc>
      </w:tr>
      <w:tr w:rsidR="00741DE1" w:rsidRPr="00741DE1" w14:paraId="5F9E647F"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7EA7A1D1" w14:textId="77777777" w:rsidR="00741DE1" w:rsidRPr="00741DE1" w:rsidRDefault="00741DE1" w:rsidP="00741DE1">
            <w:pPr>
              <w:pStyle w:val="tabletext"/>
              <w:rPr>
                <w:lang w:val="en-US" w:eastAsia="en-US"/>
              </w:rPr>
            </w:pPr>
            <w:r w:rsidRPr="00741DE1">
              <w:rPr>
                <w:lang w:val="en-US" w:eastAsia="en-US"/>
              </w:rPr>
              <w:t>180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FF7C71B" w14:textId="77777777" w:rsidR="00741DE1" w:rsidRPr="00741DE1" w:rsidRDefault="00741DE1" w:rsidP="00741DE1">
            <w:pPr>
              <w:pStyle w:val="tabletext"/>
            </w:pPr>
            <w:r w:rsidRPr="00741DE1">
              <w:t>Paragraph 601PB(2)(c)</w:t>
            </w:r>
          </w:p>
        </w:tc>
      </w:tr>
      <w:tr w:rsidR="00741DE1" w:rsidRPr="00741DE1" w14:paraId="03A7150D"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A82488F" w14:textId="77777777" w:rsidR="00741DE1" w:rsidRPr="00741DE1" w:rsidRDefault="00741DE1" w:rsidP="00741DE1">
            <w:pPr>
              <w:pStyle w:val="tabletext"/>
              <w:rPr>
                <w:lang w:val="en-US" w:eastAsia="en-US"/>
              </w:rPr>
            </w:pPr>
            <w:r w:rsidRPr="00741DE1">
              <w:rPr>
                <w:lang w:val="en-US" w:eastAsia="en-US"/>
              </w:rPr>
              <w:t>216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326696B" w14:textId="77777777" w:rsidR="00741DE1" w:rsidRPr="00741DE1" w:rsidRDefault="00741DE1" w:rsidP="00741DE1">
            <w:pPr>
              <w:pStyle w:val="tabletext"/>
            </w:pPr>
            <w:r w:rsidRPr="00741DE1">
              <w:t>Section 654B</w:t>
            </w:r>
          </w:p>
        </w:tc>
      </w:tr>
      <w:tr w:rsidR="00741DE1" w:rsidRPr="00741DE1" w14:paraId="14885640"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BDF4BC5" w14:textId="77777777" w:rsidR="00741DE1" w:rsidRPr="00741DE1" w:rsidRDefault="00741DE1" w:rsidP="00741DE1">
            <w:pPr>
              <w:pStyle w:val="tabletext"/>
              <w:rPr>
                <w:lang w:val="en-US" w:eastAsia="en-US"/>
              </w:rPr>
            </w:pPr>
            <w:r w:rsidRPr="00741DE1">
              <w:rPr>
                <w:lang w:val="en-US" w:eastAsia="en-US"/>
              </w:rPr>
              <w:t>272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6A9951" w14:textId="77777777" w:rsidR="00741DE1" w:rsidRPr="00741DE1" w:rsidRDefault="00741DE1" w:rsidP="00741DE1">
            <w:pPr>
              <w:pStyle w:val="tabletext"/>
            </w:pPr>
            <w:r w:rsidRPr="00741DE1">
              <w:t>After subsection 712(1)</w:t>
            </w:r>
          </w:p>
        </w:tc>
      </w:tr>
      <w:tr w:rsidR="00741DE1" w:rsidRPr="00741DE1" w14:paraId="5D1B80B2"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4D6193F7" w14:textId="77777777" w:rsidR="00741DE1" w:rsidRPr="00741DE1" w:rsidRDefault="00741DE1" w:rsidP="00741DE1">
            <w:pPr>
              <w:pStyle w:val="tabletext"/>
              <w:rPr>
                <w:lang w:val="en-US" w:eastAsia="en-US"/>
              </w:rPr>
            </w:pPr>
            <w:r w:rsidRPr="00741DE1">
              <w:rPr>
                <w:lang w:val="en-US" w:eastAsia="en-US"/>
              </w:rPr>
              <w:lastRenderedPageBreak/>
              <w:t>275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3765159" w14:textId="77777777" w:rsidR="00741DE1" w:rsidRPr="00741DE1" w:rsidRDefault="00741DE1" w:rsidP="00741DE1">
            <w:pPr>
              <w:pStyle w:val="tabletext"/>
            </w:pPr>
            <w:r w:rsidRPr="00741DE1">
              <w:t>Paragraph 713(3)(b)</w:t>
            </w:r>
          </w:p>
        </w:tc>
      </w:tr>
      <w:tr w:rsidR="00741DE1" w:rsidRPr="00741DE1" w14:paraId="707EA068"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32523CE" w14:textId="77777777" w:rsidR="00741DE1" w:rsidRPr="00741DE1" w:rsidRDefault="00741DE1" w:rsidP="00741DE1">
            <w:pPr>
              <w:pStyle w:val="tabletext"/>
              <w:rPr>
                <w:lang w:val="en-US" w:eastAsia="en-US"/>
              </w:rPr>
            </w:pPr>
            <w:r w:rsidRPr="00741DE1">
              <w:rPr>
                <w:lang w:val="en-US" w:eastAsia="en-US"/>
              </w:rPr>
              <w:t>289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DB41F8" w14:textId="77777777" w:rsidR="00741DE1" w:rsidRPr="00741DE1" w:rsidRDefault="00741DE1" w:rsidP="00741DE1">
            <w:pPr>
              <w:pStyle w:val="tabletext"/>
            </w:pPr>
            <w:r w:rsidRPr="00741DE1">
              <w:t>At the end of section 713E</w:t>
            </w:r>
          </w:p>
        </w:tc>
      </w:tr>
      <w:tr w:rsidR="00741DE1" w:rsidRPr="00741DE1" w14:paraId="76B8E348"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44DCBA68" w14:textId="77777777" w:rsidR="00741DE1" w:rsidRPr="00741DE1" w:rsidRDefault="00741DE1" w:rsidP="00741DE1">
            <w:pPr>
              <w:pStyle w:val="tabletext"/>
              <w:rPr>
                <w:lang w:val="en-US" w:eastAsia="en-US"/>
              </w:rPr>
            </w:pPr>
            <w:r w:rsidRPr="00741DE1">
              <w:rPr>
                <w:lang w:val="en-US" w:eastAsia="en-US"/>
              </w:rPr>
              <w:t>331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2E7EE96" w14:textId="77777777" w:rsidR="00741DE1" w:rsidRPr="00741DE1" w:rsidRDefault="00741DE1" w:rsidP="00741DE1">
            <w:pPr>
              <w:pStyle w:val="tabletext"/>
            </w:pPr>
            <w:r w:rsidRPr="00741DE1">
              <w:t>Paragraph 853A(c)</w:t>
            </w:r>
          </w:p>
        </w:tc>
      </w:tr>
      <w:tr w:rsidR="00741DE1" w:rsidRPr="00741DE1" w14:paraId="1031CAA8"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DF4257D" w14:textId="77777777" w:rsidR="00741DE1" w:rsidRPr="00741DE1" w:rsidRDefault="00741DE1" w:rsidP="00741DE1">
            <w:pPr>
              <w:pStyle w:val="tabletext"/>
              <w:rPr>
                <w:lang w:val="en-US" w:eastAsia="en-US"/>
              </w:rPr>
            </w:pPr>
            <w:r w:rsidRPr="00741DE1">
              <w:rPr>
                <w:lang w:val="en-US" w:eastAsia="en-US"/>
              </w:rPr>
              <w:t>336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A4EE848" w14:textId="77777777" w:rsidR="00741DE1" w:rsidRPr="00741DE1" w:rsidRDefault="00741DE1" w:rsidP="00741DE1">
            <w:pPr>
              <w:pStyle w:val="tabletext"/>
            </w:pPr>
            <w:r w:rsidRPr="00741DE1">
              <w:t>Section 910A (definition of Register of Relevant Providers)</w:t>
            </w:r>
          </w:p>
        </w:tc>
      </w:tr>
      <w:tr w:rsidR="00741DE1" w:rsidRPr="00741DE1" w14:paraId="630BA559"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613840DB" w14:textId="77777777" w:rsidR="00741DE1" w:rsidRPr="00741DE1" w:rsidRDefault="00741DE1" w:rsidP="00741DE1">
            <w:pPr>
              <w:pStyle w:val="tabletext"/>
              <w:rPr>
                <w:lang w:val="en-US" w:eastAsia="en-US"/>
              </w:rPr>
            </w:pPr>
            <w:r w:rsidRPr="00741DE1">
              <w:rPr>
                <w:lang w:val="en-US" w:eastAsia="en-US"/>
              </w:rPr>
              <w:t>343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61D09BE" w14:textId="77777777" w:rsidR="00741DE1" w:rsidRPr="00741DE1" w:rsidRDefault="00741DE1" w:rsidP="00741DE1">
            <w:pPr>
              <w:pStyle w:val="tabletext"/>
            </w:pPr>
            <w:r w:rsidRPr="00741DE1">
              <w:t>Paragraph 921J(2)(b)</w:t>
            </w:r>
          </w:p>
        </w:tc>
      </w:tr>
      <w:tr w:rsidR="00741DE1" w:rsidRPr="00741DE1" w14:paraId="2CDB3F6A"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0D333AD" w14:textId="77777777" w:rsidR="00741DE1" w:rsidRPr="00741DE1" w:rsidRDefault="00741DE1" w:rsidP="00741DE1">
            <w:pPr>
              <w:pStyle w:val="tabletext"/>
              <w:rPr>
                <w:lang w:val="en-US" w:eastAsia="en-US"/>
              </w:rPr>
            </w:pPr>
            <w:r w:rsidRPr="00741DE1">
              <w:rPr>
                <w:lang w:val="en-US" w:eastAsia="en-US"/>
              </w:rPr>
              <w:t>344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17266B6" w14:textId="77777777" w:rsidR="00741DE1" w:rsidRPr="00741DE1" w:rsidRDefault="00741DE1" w:rsidP="00741DE1">
            <w:pPr>
              <w:pStyle w:val="tabletext"/>
            </w:pPr>
            <w:r w:rsidRPr="00741DE1">
              <w:t>Division 9 of Part 7.6 (heading)</w:t>
            </w:r>
          </w:p>
        </w:tc>
      </w:tr>
      <w:tr w:rsidR="00741DE1" w:rsidRPr="00741DE1" w14:paraId="4FC088A1"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721CA38A" w14:textId="77777777" w:rsidR="00741DE1" w:rsidRPr="00741DE1" w:rsidRDefault="00741DE1" w:rsidP="00741DE1">
            <w:pPr>
              <w:pStyle w:val="tabletext"/>
              <w:rPr>
                <w:lang w:val="en-US" w:eastAsia="en-US"/>
              </w:rPr>
            </w:pPr>
            <w:r w:rsidRPr="00741DE1">
              <w:rPr>
                <w:lang w:val="en-US" w:eastAsia="en-US"/>
              </w:rPr>
              <w:t>345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FBAE3C3" w14:textId="77777777" w:rsidR="00741DE1" w:rsidRPr="00741DE1" w:rsidRDefault="00741DE1" w:rsidP="00741DE1">
            <w:pPr>
              <w:pStyle w:val="tabletext"/>
            </w:pPr>
            <w:r w:rsidRPr="00741DE1">
              <w:t>Subdivision A of Division 9 of Part 7.6</w:t>
            </w:r>
          </w:p>
        </w:tc>
      </w:tr>
      <w:tr w:rsidR="00741DE1" w:rsidRPr="00741DE1" w14:paraId="44BD7929"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8466BB2" w14:textId="77777777" w:rsidR="00741DE1" w:rsidRPr="00741DE1" w:rsidRDefault="00741DE1" w:rsidP="00741DE1">
            <w:pPr>
              <w:pStyle w:val="tabletext"/>
              <w:rPr>
                <w:lang w:val="en-US" w:eastAsia="en-US"/>
              </w:rPr>
            </w:pPr>
            <w:r w:rsidRPr="00741DE1">
              <w:rPr>
                <w:lang w:val="en-US" w:eastAsia="en-US"/>
              </w:rPr>
              <w:t>346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09E5206" w14:textId="77777777" w:rsidR="00741DE1" w:rsidRPr="00741DE1" w:rsidRDefault="00741DE1" w:rsidP="00741DE1">
            <w:pPr>
              <w:pStyle w:val="tabletext"/>
            </w:pPr>
            <w:r w:rsidRPr="00741DE1">
              <w:t>Subdivision B of Division 9 of Part 7.6 (heading)</w:t>
            </w:r>
          </w:p>
        </w:tc>
      </w:tr>
      <w:tr w:rsidR="00741DE1" w:rsidRPr="00741DE1" w14:paraId="59C15813"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3DDF096" w14:textId="77777777" w:rsidR="00741DE1" w:rsidRPr="00741DE1" w:rsidRDefault="00741DE1" w:rsidP="00741DE1">
            <w:pPr>
              <w:pStyle w:val="tabletext"/>
              <w:rPr>
                <w:lang w:val="en-US" w:eastAsia="en-US"/>
              </w:rPr>
            </w:pPr>
            <w:r w:rsidRPr="00741DE1">
              <w:rPr>
                <w:lang w:val="en-US" w:eastAsia="en-US"/>
              </w:rPr>
              <w:t>347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4638A66" w14:textId="77777777" w:rsidR="00741DE1" w:rsidRPr="00741DE1" w:rsidRDefault="00741DE1" w:rsidP="00741DE1">
            <w:pPr>
              <w:pStyle w:val="tabletext"/>
            </w:pPr>
            <w:r w:rsidRPr="00741DE1">
              <w:t>Sections 922D to 922G</w:t>
            </w:r>
          </w:p>
        </w:tc>
      </w:tr>
      <w:tr w:rsidR="00741DE1" w:rsidRPr="00741DE1" w14:paraId="65D5AFFB"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695CB5C1" w14:textId="77777777" w:rsidR="00741DE1" w:rsidRPr="00741DE1" w:rsidRDefault="00741DE1" w:rsidP="00741DE1">
            <w:pPr>
              <w:pStyle w:val="tabletext"/>
              <w:rPr>
                <w:lang w:val="en-US" w:eastAsia="en-US"/>
              </w:rPr>
            </w:pPr>
            <w:r w:rsidRPr="00741DE1">
              <w:rPr>
                <w:lang w:val="en-US" w:eastAsia="en-US"/>
              </w:rPr>
              <w:t>350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B599B0" w14:textId="77777777" w:rsidR="00741DE1" w:rsidRPr="00741DE1" w:rsidRDefault="00741DE1" w:rsidP="00741DE1">
            <w:pPr>
              <w:pStyle w:val="tabletext"/>
            </w:pPr>
            <w:r w:rsidRPr="00741DE1">
              <w:t>Paragraph 922H(1)(a)</w:t>
            </w:r>
          </w:p>
        </w:tc>
      </w:tr>
      <w:tr w:rsidR="00741DE1" w:rsidRPr="00741DE1" w14:paraId="5365FA26"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1CD0F1E" w14:textId="77777777" w:rsidR="00741DE1" w:rsidRPr="00741DE1" w:rsidRDefault="00741DE1" w:rsidP="00741DE1">
            <w:pPr>
              <w:pStyle w:val="tabletext"/>
              <w:rPr>
                <w:lang w:val="en-US" w:eastAsia="en-US"/>
              </w:rPr>
            </w:pPr>
            <w:r w:rsidRPr="00741DE1">
              <w:rPr>
                <w:lang w:val="en-US" w:eastAsia="en-US"/>
              </w:rPr>
              <w:t>355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2C9D10F" w14:textId="77777777" w:rsidR="00741DE1" w:rsidRPr="00741DE1" w:rsidRDefault="00741DE1" w:rsidP="00741DE1">
            <w:pPr>
              <w:pStyle w:val="tabletext"/>
            </w:pPr>
            <w:r w:rsidRPr="00741DE1">
              <w:t>Subdivision C of Division 9 of Part 7.6 (heading)</w:t>
            </w:r>
          </w:p>
        </w:tc>
      </w:tr>
      <w:tr w:rsidR="00741DE1" w:rsidRPr="00741DE1" w14:paraId="3CC86A33"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A3A6B82" w14:textId="77777777" w:rsidR="00741DE1" w:rsidRPr="00741DE1" w:rsidRDefault="00741DE1" w:rsidP="00741DE1">
            <w:pPr>
              <w:pStyle w:val="tabletext"/>
              <w:rPr>
                <w:lang w:val="en-US" w:eastAsia="en-US"/>
              </w:rPr>
            </w:pPr>
            <w:r w:rsidRPr="00741DE1">
              <w:rPr>
                <w:lang w:val="en-US" w:eastAsia="en-US"/>
              </w:rPr>
              <w:t>356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E3B1CAF" w14:textId="77777777" w:rsidR="00741DE1" w:rsidRPr="00741DE1" w:rsidRDefault="00741DE1" w:rsidP="00741DE1">
            <w:pPr>
              <w:pStyle w:val="tabletext"/>
            </w:pPr>
            <w:r w:rsidRPr="00741DE1">
              <w:t>Section 922Q</w:t>
            </w:r>
          </w:p>
        </w:tc>
      </w:tr>
      <w:tr w:rsidR="00741DE1" w:rsidRPr="00741DE1" w14:paraId="0F362C74"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6F9EED55" w14:textId="77777777" w:rsidR="00741DE1" w:rsidRPr="00741DE1" w:rsidRDefault="00741DE1" w:rsidP="00741DE1">
            <w:pPr>
              <w:pStyle w:val="tabletext"/>
              <w:rPr>
                <w:lang w:val="en-US" w:eastAsia="en-US"/>
              </w:rPr>
            </w:pPr>
            <w:r w:rsidRPr="00741DE1">
              <w:rPr>
                <w:lang w:val="en-US" w:eastAsia="en-US"/>
              </w:rPr>
              <w:t>358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F03C8AB" w14:textId="77777777" w:rsidR="00741DE1" w:rsidRPr="00741DE1" w:rsidRDefault="00741DE1" w:rsidP="00741DE1">
            <w:pPr>
              <w:pStyle w:val="tabletext"/>
            </w:pPr>
            <w:r w:rsidRPr="00741DE1">
              <w:t>Section 922S</w:t>
            </w:r>
          </w:p>
        </w:tc>
      </w:tr>
      <w:tr w:rsidR="00741DE1" w:rsidRPr="00741DE1" w14:paraId="4041F1CB"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C5419EF" w14:textId="77777777" w:rsidR="00741DE1" w:rsidRPr="00741DE1" w:rsidRDefault="00741DE1" w:rsidP="00741DE1">
            <w:pPr>
              <w:pStyle w:val="tabletext"/>
              <w:rPr>
                <w:lang w:val="en-US" w:eastAsia="en-US"/>
              </w:rPr>
            </w:pPr>
            <w:r w:rsidRPr="00741DE1">
              <w:rPr>
                <w:lang w:val="en-US" w:eastAsia="en-US"/>
              </w:rPr>
              <w:t>364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173BDB7" w14:textId="77777777" w:rsidR="00741DE1" w:rsidRPr="00741DE1" w:rsidRDefault="00741DE1" w:rsidP="00741DE1">
            <w:pPr>
              <w:pStyle w:val="tabletext"/>
            </w:pPr>
            <w:r w:rsidRPr="00741DE1">
              <w:t>Paragraph 1013I(2)(b)</w:t>
            </w:r>
          </w:p>
        </w:tc>
      </w:tr>
      <w:tr w:rsidR="00741DE1" w:rsidRPr="00741DE1" w14:paraId="1FDB4EE5"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CE5CA32" w14:textId="77777777" w:rsidR="00741DE1" w:rsidRPr="00741DE1" w:rsidRDefault="00741DE1" w:rsidP="00741DE1">
            <w:pPr>
              <w:pStyle w:val="tabletext"/>
              <w:rPr>
                <w:lang w:val="en-US" w:eastAsia="en-US"/>
              </w:rPr>
            </w:pPr>
            <w:r w:rsidRPr="00741DE1">
              <w:rPr>
                <w:lang w:val="en-US" w:eastAsia="en-US"/>
              </w:rPr>
              <w:t>413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68AA4A6" w14:textId="77777777" w:rsidR="00741DE1" w:rsidRPr="00741DE1" w:rsidRDefault="00741DE1" w:rsidP="00741DE1">
            <w:pPr>
              <w:pStyle w:val="tabletext"/>
            </w:pPr>
            <w:r w:rsidRPr="00741DE1">
              <w:t>Section 1231B</w:t>
            </w:r>
          </w:p>
        </w:tc>
      </w:tr>
      <w:tr w:rsidR="00741DE1" w:rsidRPr="00741DE1" w14:paraId="0FFCCC5B"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B6E71D2" w14:textId="77777777" w:rsidR="00741DE1" w:rsidRPr="00741DE1" w:rsidRDefault="00741DE1" w:rsidP="00741DE1">
            <w:pPr>
              <w:pStyle w:val="tabletext"/>
              <w:rPr>
                <w:lang w:val="en-US" w:eastAsia="en-US"/>
              </w:rPr>
            </w:pPr>
            <w:r w:rsidRPr="00741DE1">
              <w:rPr>
                <w:lang w:val="en-US" w:eastAsia="en-US"/>
              </w:rPr>
              <w:t>414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7115BD6" w14:textId="77777777" w:rsidR="00741DE1" w:rsidRPr="00741DE1" w:rsidRDefault="00741DE1" w:rsidP="00741DE1">
            <w:pPr>
              <w:pStyle w:val="tabletext"/>
            </w:pPr>
            <w:r w:rsidRPr="00741DE1">
              <w:t>Section 1231C</w:t>
            </w:r>
          </w:p>
        </w:tc>
      </w:tr>
      <w:tr w:rsidR="00741DE1" w:rsidRPr="00741DE1" w14:paraId="5BC43B67"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70386798" w14:textId="77777777" w:rsidR="00741DE1" w:rsidRPr="00741DE1" w:rsidRDefault="00741DE1" w:rsidP="00741DE1">
            <w:pPr>
              <w:pStyle w:val="tabletext"/>
              <w:rPr>
                <w:lang w:val="en-US" w:eastAsia="en-US"/>
              </w:rPr>
            </w:pPr>
            <w:r w:rsidRPr="00741DE1">
              <w:rPr>
                <w:lang w:val="en-US" w:eastAsia="en-US"/>
              </w:rPr>
              <w:t>441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EEB1653" w14:textId="77777777" w:rsidR="00741DE1" w:rsidRPr="00741DE1" w:rsidRDefault="00741DE1" w:rsidP="00741DE1">
            <w:pPr>
              <w:pStyle w:val="tabletext"/>
            </w:pPr>
            <w:r w:rsidRPr="00741DE1">
              <w:t>Section 1274AA (heading)</w:t>
            </w:r>
          </w:p>
        </w:tc>
      </w:tr>
      <w:tr w:rsidR="00741DE1" w:rsidRPr="00741DE1" w14:paraId="0D867180"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227C2AD" w14:textId="77777777" w:rsidR="00741DE1" w:rsidRPr="00741DE1" w:rsidRDefault="00741DE1" w:rsidP="00741DE1">
            <w:pPr>
              <w:pStyle w:val="tabletext"/>
              <w:rPr>
                <w:lang w:val="en-US" w:eastAsia="en-US"/>
              </w:rPr>
            </w:pPr>
            <w:r w:rsidRPr="00741DE1">
              <w:rPr>
                <w:lang w:val="en-US" w:eastAsia="en-US"/>
              </w:rPr>
              <w:t>442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A641BAD" w14:textId="77777777" w:rsidR="00741DE1" w:rsidRPr="00741DE1" w:rsidRDefault="00741DE1" w:rsidP="00741DE1">
            <w:pPr>
              <w:pStyle w:val="tabletext"/>
            </w:pPr>
            <w:r w:rsidRPr="00741DE1">
              <w:t>Subsection 1274AA(1)</w:t>
            </w:r>
          </w:p>
        </w:tc>
      </w:tr>
      <w:tr w:rsidR="00741DE1" w:rsidRPr="00741DE1" w14:paraId="25D4561A"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79BCF112" w14:textId="77777777" w:rsidR="00741DE1" w:rsidRPr="00741DE1" w:rsidRDefault="00741DE1" w:rsidP="00741DE1">
            <w:pPr>
              <w:pStyle w:val="tabletext"/>
              <w:rPr>
                <w:lang w:val="en-US" w:eastAsia="en-US"/>
              </w:rPr>
            </w:pPr>
            <w:r w:rsidRPr="00741DE1">
              <w:rPr>
                <w:lang w:val="en-US" w:eastAsia="en-US"/>
              </w:rPr>
              <w:t>443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793ADF" w14:textId="77777777" w:rsidR="00741DE1" w:rsidRPr="00741DE1" w:rsidRDefault="00741DE1" w:rsidP="00741DE1">
            <w:pPr>
              <w:pStyle w:val="tabletext"/>
            </w:pPr>
            <w:r w:rsidRPr="00741DE1">
              <w:t>Subsection 1274AA(2)</w:t>
            </w:r>
          </w:p>
        </w:tc>
      </w:tr>
      <w:tr w:rsidR="00741DE1" w:rsidRPr="00741DE1" w14:paraId="23E01BD5"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DF7FC29" w14:textId="77777777" w:rsidR="00741DE1" w:rsidRPr="00741DE1" w:rsidRDefault="00741DE1" w:rsidP="00741DE1">
            <w:pPr>
              <w:pStyle w:val="tabletext"/>
              <w:rPr>
                <w:lang w:val="en-US" w:eastAsia="en-US"/>
              </w:rPr>
            </w:pPr>
            <w:r w:rsidRPr="00741DE1">
              <w:rPr>
                <w:lang w:val="en-US" w:eastAsia="en-US"/>
              </w:rPr>
              <w:t>444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D918D22" w14:textId="77777777" w:rsidR="00741DE1" w:rsidRPr="00741DE1" w:rsidRDefault="00741DE1" w:rsidP="00741DE1">
            <w:pPr>
              <w:pStyle w:val="tabletext"/>
            </w:pPr>
            <w:r w:rsidRPr="00741DE1">
              <w:t>Subsection 1274AA(3)</w:t>
            </w:r>
          </w:p>
        </w:tc>
      </w:tr>
      <w:tr w:rsidR="00741DE1" w:rsidRPr="00741DE1" w14:paraId="6C9321FD"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679882FB" w14:textId="77777777" w:rsidR="00741DE1" w:rsidRPr="00741DE1" w:rsidRDefault="00741DE1" w:rsidP="00741DE1">
            <w:pPr>
              <w:pStyle w:val="tabletext"/>
              <w:rPr>
                <w:lang w:val="en-US" w:eastAsia="en-US"/>
              </w:rPr>
            </w:pPr>
            <w:r w:rsidRPr="00741DE1">
              <w:rPr>
                <w:lang w:val="en-US" w:eastAsia="en-US"/>
              </w:rPr>
              <w:t>445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0E5D7C2" w14:textId="77777777" w:rsidR="00741DE1" w:rsidRPr="00741DE1" w:rsidRDefault="00741DE1" w:rsidP="00741DE1">
            <w:pPr>
              <w:pStyle w:val="tabletext"/>
            </w:pPr>
            <w:r w:rsidRPr="00741DE1">
              <w:t>Sections 1274A to 1275</w:t>
            </w:r>
          </w:p>
        </w:tc>
      </w:tr>
      <w:tr w:rsidR="00741DE1" w:rsidRPr="00741DE1" w14:paraId="3CA6305E"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638BD20E" w14:textId="77777777" w:rsidR="00741DE1" w:rsidRPr="00741DE1" w:rsidRDefault="00741DE1" w:rsidP="00741DE1">
            <w:pPr>
              <w:pStyle w:val="tabletext"/>
              <w:rPr>
                <w:lang w:val="en-US" w:eastAsia="en-US"/>
              </w:rPr>
            </w:pPr>
            <w:r w:rsidRPr="00741DE1">
              <w:rPr>
                <w:lang w:val="en-US" w:eastAsia="en-US"/>
              </w:rPr>
              <w:t>446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606598D" w14:textId="77777777" w:rsidR="00741DE1" w:rsidRPr="00741DE1" w:rsidRDefault="00741DE1" w:rsidP="00741DE1">
            <w:pPr>
              <w:pStyle w:val="tabletext"/>
            </w:pPr>
            <w:r w:rsidRPr="00741DE1">
              <w:t>Section 1285</w:t>
            </w:r>
          </w:p>
        </w:tc>
      </w:tr>
      <w:tr w:rsidR="00741DE1" w:rsidRPr="00741DE1" w14:paraId="3E10C625"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4E9A5E30" w14:textId="77777777" w:rsidR="00741DE1" w:rsidRPr="00741DE1" w:rsidRDefault="00741DE1" w:rsidP="00741DE1">
            <w:pPr>
              <w:pStyle w:val="tabletext"/>
              <w:rPr>
                <w:lang w:val="en-US" w:eastAsia="en-US"/>
              </w:rPr>
            </w:pPr>
            <w:r w:rsidRPr="00741DE1">
              <w:rPr>
                <w:lang w:val="en-US" w:eastAsia="en-US"/>
              </w:rPr>
              <w:t>447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31C41B0" w14:textId="77777777" w:rsidR="00741DE1" w:rsidRPr="00741DE1" w:rsidRDefault="00741DE1" w:rsidP="00741DE1">
            <w:pPr>
              <w:pStyle w:val="tabletext"/>
            </w:pPr>
            <w:r w:rsidRPr="00741DE1">
              <w:t>Paragraph 1287(1)(b)</w:t>
            </w:r>
          </w:p>
        </w:tc>
      </w:tr>
      <w:tr w:rsidR="00741DE1" w:rsidRPr="00741DE1" w14:paraId="32245879"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48E3EAD" w14:textId="77777777" w:rsidR="00741DE1" w:rsidRPr="00741DE1" w:rsidRDefault="00741DE1" w:rsidP="00741DE1">
            <w:pPr>
              <w:pStyle w:val="tabletext"/>
              <w:rPr>
                <w:lang w:val="en-US" w:eastAsia="en-US"/>
              </w:rPr>
            </w:pPr>
            <w:r w:rsidRPr="00741DE1">
              <w:rPr>
                <w:lang w:val="en-US" w:eastAsia="en-US"/>
              </w:rPr>
              <w:t>454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074666" w14:textId="77777777" w:rsidR="00741DE1" w:rsidRPr="00741DE1" w:rsidRDefault="00741DE1" w:rsidP="00741DE1">
            <w:pPr>
              <w:pStyle w:val="tabletext"/>
            </w:pPr>
            <w:r w:rsidRPr="00741DE1">
              <w:t>Section 1299E</w:t>
            </w:r>
          </w:p>
        </w:tc>
      </w:tr>
      <w:tr w:rsidR="00741DE1" w:rsidRPr="00741DE1" w14:paraId="596937DA"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762F43F" w14:textId="77777777" w:rsidR="00741DE1" w:rsidRPr="00741DE1" w:rsidRDefault="00741DE1" w:rsidP="00741DE1">
            <w:pPr>
              <w:pStyle w:val="tabletext"/>
              <w:rPr>
                <w:lang w:val="en-US" w:eastAsia="en-US"/>
              </w:rPr>
            </w:pPr>
            <w:r w:rsidRPr="00741DE1">
              <w:rPr>
                <w:lang w:val="en-US" w:eastAsia="en-US"/>
              </w:rPr>
              <w:t>455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A40F7A4" w14:textId="77777777" w:rsidR="00741DE1" w:rsidRPr="00741DE1" w:rsidRDefault="00741DE1" w:rsidP="00741DE1">
            <w:pPr>
              <w:pStyle w:val="tabletext"/>
            </w:pPr>
            <w:r w:rsidRPr="00741DE1">
              <w:t>Subsection 1299F(3)</w:t>
            </w:r>
          </w:p>
        </w:tc>
      </w:tr>
      <w:tr w:rsidR="00741DE1" w:rsidRPr="00741DE1" w14:paraId="38682776"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49087E7" w14:textId="77777777" w:rsidR="00741DE1" w:rsidRPr="00741DE1" w:rsidRDefault="00741DE1" w:rsidP="00741DE1">
            <w:pPr>
              <w:pStyle w:val="tabletext"/>
              <w:rPr>
                <w:lang w:val="en-US" w:eastAsia="en-US"/>
              </w:rPr>
            </w:pPr>
            <w:r w:rsidRPr="00741DE1">
              <w:rPr>
                <w:lang w:val="en-US" w:eastAsia="en-US"/>
              </w:rPr>
              <w:t>458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7BA7D5D" w14:textId="77777777" w:rsidR="00741DE1" w:rsidRPr="00741DE1" w:rsidRDefault="00741DE1" w:rsidP="00741DE1">
            <w:pPr>
              <w:pStyle w:val="tabletext"/>
            </w:pPr>
            <w:r w:rsidRPr="00741DE1">
              <w:t>Paragraph 1299F(5)(a)</w:t>
            </w:r>
          </w:p>
        </w:tc>
      </w:tr>
      <w:tr w:rsidR="00741DE1" w:rsidRPr="00741DE1" w14:paraId="26388A84"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EBEA912" w14:textId="77777777" w:rsidR="00741DE1" w:rsidRPr="00741DE1" w:rsidRDefault="00741DE1" w:rsidP="00741DE1">
            <w:pPr>
              <w:pStyle w:val="tabletext"/>
              <w:rPr>
                <w:lang w:val="en-US" w:eastAsia="en-US"/>
              </w:rPr>
            </w:pPr>
            <w:r w:rsidRPr="00741DE1">
              <w:rPr>
                <w:lang w:val="en-US" w:eastAsia="en-US"/>
              </w:rPr>
              <w:t>495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368CACA" w14:textId="77777777" w:rsidR="00741DE1" w:rsidRPr="00741DE1" w:rsidRDefault="00741DE1" w:rsidP="00741DE1">
            <w:pPr>
              <w:pStyle w:val="tabletext"/>
            </w:pPr>
            <w:r w:rsidRPr="00741DE1">
              <w:t>Section 1392</w:t>
            </w:r>
          </w:p>
        </w:tc>
      </w:tr>
      <w:tr w:rsidR="00741DE1" w:rsidRPr="00741DE1" w14:paraId="012E22DC"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6226A957" w14:textId="77777777" w:rsidR="00741DE1" w:rsidRPr="00741DE1" w:rsidRDefault="00741DE1" w:rsidP="00741DE1">
            <w:pPr>
              <w:pStyle w:val="tabletext"/>
              <w:rPr>
                <w:lang w:val="en-US" w:eastAsia="en-US"/>
              </w:rPr>
            </w:pPr>
            <w:r w:rsidRPr="00741DE1">
              <w:rPr>
                <w:lang w:val="en-US" w:eastAsia="en-US"/>
              </w:rPr>
              <w:t>517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3B6213" w14:textId="77777777" w:rsidR="00741DE1" w:rsidRPr="00741DE1" w:rsidRDefault="00741DE1" w:rsidP="00741DE1">
            <w:pPr>
              <w:pStyle w:val="tabletext"/>
            </w:pPr>
            <w:r w:rsidRPr="00741DE1">
              <w:t>Section 1551 (definition of Register of Liquidators)</w:t>
            </w:r>
          </w:p>
        </w:tc>
      </w:tr>
      <w:tr w:rsidR="00741DE1" w:rsidRPr="00741DE1" w14:paraId="7F2772A7"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61FC0EFD" w14:textId="77777777" w:rsidR="00741DE1" w:rsidRPr="00741DE1" w:rsidRDefault="00741DE1" w:rsidP="00741DE1">
            <w:pPr>
              <w:pStyle w:val="tabletext"/>
              <w:rPr>
                <w:lang w:val="en-US" w:eastAsia="en-US"/>
              </w:rPr>
            </w:pPr>
            <w:r w:rsidRPr="00741DE1">
              <w:rPr>
                <w:lang w:val="en-US" w:eastAsia="en-US"/>
              </w:rPr>
              <w:t>518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DD7E98C" w14:textId="77777777" w:rsidR="00741DE1" w:rsidRPr="00741DE1" w:rsidRDefault="00741DE1" w:rsidP="00741DE1">
            <w:pPr>
              <w:pStyle w:val="tabletext"/>
            </w:pPr>
            <w:r w:rsidRPr="00741DE1">
              <w:t>Section 1554</w:t>
            </w:r>
          </w:p>
        </w:tc>
      </w:tr>
      <w:tr w:rsidR="00741DE1" w:rsidRPr="00741DE1" w14:paraId="258A010A"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76665DC" w14:textId="77777777" w:rsidR="00741DE1" w:rsidRPr="00741DE1" w:rsidRDefault="00741DE1" w:rsidP="00741DE1">
            <w:pPr>
              <w:pStyle w:val="tabletext"/>
              <w:rPr>
                <w:lang w:val="en-US" w:eastAsia="en-US"/>
              </w:rPr>
            </w:pPr>
            <w:r w:rsidRPr="00741DE1">
              <w:rPr>
                <w:lang w:val="en-US" w:eastAsia="en-US"/>
              </w:rPr>
              <w:t>522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E5E5FB2" w14:textId="77777777" w:rsidR="00741DE1" w:rsidRPr="00741DE1" w:rsidRDefault="00741DE1" w:rsidP="00741DE1">
            <w:pPr>
              <w:pStyle w:val="tabletext"/>
            </w:pPr>
            <w:r w:rsidRPr="00741DE1">
              <w:t>Section 5</w:t>
            </w:r>
            <w:r w:rsidRPr="00741DE1">
              <w:noBreakHyphen/>
              <w:t>5 of Schedule 2 (definition of Register of Liquidators)</w:t>
            </w:r>
          </w:p>
        </w:tc>
      </w:tr>
      <w:tr w:rsidR="00741DE1" w:rsidRPr="00741DE1" w14:paraId="55EFCC35"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A569A26" w14:textId="77777777" w:rsidR="00741DE1" w:rsidRPr="00741DE1" w:rsidRDefault="00741DE1" w:rsidP="00741DE1">
            <w:pPr>
              <w:pStyle w:val="tabletext"/>
              <w:rPr>
                <w:lang w:val="en-US" w:eastAsia="en-US"/>
              </w:rPr>
            </w:pPr>
            <w:r w:rsidRPr="00741DE1">
              <w:rPr>
                <w:lang w:val="en-US" w:eastAsia="en-US"/>
              </w:rPr>
              <w:t>523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7648284" w14:textId="77777777" w:rsidR="00741DE1" w:rsidRPr="00741DE1" w:rsidRDefault="00741DE1" w:rsidP="00741DE1">
            <w:pPr>
              <w:pStyle w:val="tabletext"/>
            </w:pPr>
            <w:r w:rsidRPr="00741DE1">
              <w:t>Division 15 of Part 2 of Schedule 2</w:t>
            </w:r>
          </w:p>
        </w:tc>
      </w:tr>
    </w:tbl>
    <w:p w14:paraId="62DE776A" w14:textId="77777777" w:rsidR="0085697B" w:rsidRDefault="0085697B" w:rsidP="00E623DE">
      <w:pPr>
        <w:pStyle w:val="base-text-paragraph"/>
        <w:numPr>
          <w:ilvl w:val="0"/>
          <w:numId w:val="0"/>
        </w:numPr>
      </w:pPr>
    </w:p>
    <w:p w14:paraId="2419C82A" w14:textId="0A225321" w:rsidR="00B24F94" w:rsidRDefault="00B24F94" w:rsidP="00B24F94">
      <w:pPr>
        <w:pStyle w:val="TableHeadingoutsidetable"/>
        <w:numPr>
          <w:ilvl w:val="0"/>
          <w:numId w:val="0"/>
        </w:numPr>
        <w:ind w:left="1134"/>
      </w:pPr>
      <w:r>
        <w:lastRenderedPageBreak/>
        <w:t>Table A</w:t>
      </w:r>
      <w:r w:rsidR="00B369AA">
        <w:t>4</w:t>
      </w:r>
      <w:r>
        <w:t xml:space="preserve"> – Amendments that make the registrar responsible for collecting fees</w:t>
      </w:r>
      <w:r w:rsidR="00BE0A98">
        <w:rPr>
          <w:rStyle w:val="FootnoteReference"/>
        </w:rPr>
        <w:footnoteReference w:id="74"/>
      </w:r>
    </w:p>
    <w:p w14:paraId="0364860E" w14:textId="0FFCDDDA" w:rsidR="00741DE1" w:rsidRPr="00741DE1" w:rsidRDefault="00741DE1" w:rsidP="00741DE1">
      <w:pPr>
        <w:pStyle w:val="TableHeadingoutsidetable"/>
        <w:numPr>
          <w:ilvl w:val="0"/>
          <w:numId w:val="0"/>
        </w:numPr>
        <w:ind w:left="1134"/>
        <w:rPr>
          <w:i/>
        </w:rPr>
      </w:pPr>
      <w:r>
        <w:rPr>
          <w:i/>
        </w:rPr>
        <w:t>First tranche</w:t>
      </w:r>
      <w:r w:rsidRPr="00E85468">
        <w:rPr>
          <w:i/>
        </w:rPr>
        <w:t xml:space="preserve"> </w:t>
      </w:r>
      <w:r>
        <w:rPr>
          <w:i/>
        </w:rPr>
        <w:t xml:space="preserve">of exposure draft </w:t>
      </w:r>
      <w:r w:rsidRPr="00E85468">
        <w:rPr>
          <w:i/>
        </w:rPr>
        <w:t>amendments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742"/>
      </w:tblGrid>
      <w:tr w:rsidR="006138A9" w:rsidRPr="004666B8" w14:paraId="584EA95A" w14:textId="77777777" w:rsidTr="00BF3A5C">
        <w:trPr>
          <w:tblHeader/>
        </w:trPr>
        <w:tc>
          <w:tcPr>
            <w:tcW w:w="809" w:type="dxa"/>
          </w:tcPr>
          <w:p w14:paraId="550621B6" w14:textId="22652413" w:rsidR="006138A9" w:rsidRPr="004666B8" w:rsidRDefault="00936FF1" w:rsidP="00BF3A5C">
            <w:pPr>
              <w:pStyle w:val="tableheaderwithintable"/>
              <w:rPr>
                <w:lang w:val="en-US" w:eastAsia="en-US"/>
              </w:rPr>
            </w:pPr>
            <w:r>
              <w:rPr>
                <w:lang w:val="en-US" w:eastAsia="en-US"/>
              </w:rPr>
              <w:t>Item</w:t>
            </w:r>
            <w:r>
              <w:rPr>
                <w:rStyle w:val="FootnoteReference"/>
                <w:lang w:val="en-US" w:eastAsia="en-US"/>
              </w:rPr>
              <w:footnoteReference w:id="75"/>
            </w:r>
          </w:p>
        </w:tc>
        <w:tc>
          <w:tcPr>
            <w:tcW w:w="5742" w:type="dxa"/>
          </w:tcPr>
          <w:p w14:paraId="6748360E" w14:textId="77777777" w:rsidR="006138A9" w:rsidRPr="004666B8" w:rsidRDefault="006138A9" w:rsidP="00BF3A5C">
            <w:pPr>
              <w:pStyle w:val="tableheaderwithintable"/>
              <w:rPr>
                <w:lang w:val="en-US" w:eastAsia="en-US"/>
              </w:rPr>
            </w:pPr>
            <w:r>
              <w:rPr>
                <w:lang w:val="en-US" w:eastAsia="en-US"/>
              </w:rPr>
              <w:t>Provision</w:t>
            </w:r>
          </w:p>
        </w:tc>
      </w:tr>
      <w:tr w:rsidR="00947E92" w:rsidRPr="00255832" w14:paraId="33745A55" w14:textId="77777777" w:rsidTr="00344688">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5C012850" w14:textId="1552F311" w:rsidR="00947E92" w:rsidRPr="006B273B" w:rsidRDefault="00947E92" w:rsidP="00BF3A5C">
            <w:pPr>
              <w:pStyle w:val="tabletext"/>
              <w:rPr>
                <w:b/>
              </w:rPr>
            </w:pPr>
            <w:r w:rsidRPr="006B273B">
              <w:rPr>
                <w:b/>
              </w:rPr>
              <w:t>SIS Act</w:t>
            </w:r>
          </w:p>
        </w:tc>
      </w:tr>
      <w:tr w:rsidR="00F303BF" w:rsidRPr="00F303BF" w14:paraId="2E0FA43B"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B6CBE8F" w14:textId="77777777" w:rsidR="00F303BF" w:rsidRPr="00F303BF" w:rsidRDefault="00F303BF" w:rsidP="00F303BF">
            <w:pPr>
              <w:pStyle w:val="tabletext"/>
              <w:rPr>
                <w:lang w:val="en-US" w:eastAsia="en-US"/>
              </w:rPr>
            </w:pPr>
            <w:r w:rsidRPr="00F303BF">
              <w:rPr>
                <w:lang w:val="en-US" w:eastAsia="en-US"/>
              </w:rPr>
              <w:t>829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5D7421A" w14:textId="77777777" w:rsidR="00F303BF" w:rsidRPr="00F303BF" w:rsidRDefault="00F303BF" w:rsidP="00F303BF">
            <w:pPr>
              <w:pStyle w:val="tabletext"/>
            </w:pPr>
            <w:r w:rsidRPr="00F303BF">
              <w:t>Subsection 128L(1) (table items 6 to 8)</w:t>
            </w:r>
          </w:p>
        </w:tc>
      </w:tr>
      <w:tr w:rsidR="00F303BF" w:rsidRPr="00F303BF" w14:paraId="09A3D90D"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291C3B89" w14:textId="77777777" w:rsidR="00F303BF" w:rsidRPr="00F303BF" w:rsidRDefault="00F303BF" w:rsidP="00F303BF">
            <w:pPr>
              <w:pStyle w:val="tabletext"/>
              <w:rPr>
                <w:lang w:val="en-US" w:eastAsia="en-US"/>
              </w:rPr>
            </w:pPr>
            <w:r w:rsidRPr="00F303BF">
              <w:rPr>
                <w:lang w:val="en-US" w:eastAsia="en-US"/>
              </w:rPr>
              <w:t>830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B24B0EA" w14:textId="77777777" w:rsidR="00F303BF" w:rsidRPr="00F303BF" w:rsidRDefault="00F303BF" w:rsidP="00F303BF">
            <w:pPr>
              <w:pStyle w:val="tabletext"/>
            </w:pPr>
            <w:r w:rsidRPr="00F303BF">
              <w:t>Subsections 128L(2) and (4)</w:t>
            </w:r>
          </w:p>
        </w:tc>
      </w:tr>
      <w:tr w:rsidR="00F303BF" w:rsidRPr="00F303BF" w14:paraId="470D850C"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DCA8B9B" w14:textId="77777777" w:rsidR="00F303BF" w:rsidRPr="00F303BF" w:rsidRDefault="00F303BF" w:rsidP="00F303BF">
            <w:pPr>
              <w:pStyle w:val="tabletext"/>
              <w:rPr>
                <w:lang w:val="en-US" w:eastAsia="en-US"/>
              </w:rPr>
            </w:pPr>
            <w:r w:rsidRPr="00F303BF">
              <w:rPr>
                <w:lang w:val="en-US" w:eastAsia="en-US"/>
              </w:rPr>
              <w:t>831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E5AA8E1" w14:textId="77777777" w:rsidR="00F303BF" w:rsidRPr="00F303BF" w:rsidRDefault="00F303BF" w:rsidP="00F303BF">
            <w:pPr>
              <w:pStyle w:val="tabletext"/>
            </w:pPr>
            <w:r w:rsidRPr="00F303BF">
              <w:t>Subsection 128L(4)</w:t>
            </w:r>
          </w:p>
        </w:tc>
      </w:tr>
      <w:tr w:rsidR="00F303BF" w:rsidRPr="00F303BF" w14:paraId="56BB0402" w14:textId="77777777" w:rsidTr="00F303BF">
        <w:tc>
          <w:tcPr>
            <w:tcW w:w="809" w:type="dxa"/>
            <w:tcBorders>
              <w:top w:val="single" w:sz="4" w:space="0" w:color="auto"/>
              <w:left w:val="single" w:sz="4" w:space="0" w:color="auto"/>
              <w:bottom w:val="single" w:sz="4" w:space="0" w:color="auto"/>
              <w:right w:val="single" w:sz="4" w:space="0" w:color="auto"/>
            </w:tcBorders>
            <w:shd w:val="clear" w:color="auto" w:fill="auto"/>
          </w:tcPr>
          <w:p w14:paraId="6CB5F7DF" w14:textId="77777777" w:rsidR="00F303BF" w:rsidRPr="00F303BF" w:rsidRDefault="00F303BF" w:rsidP="00F303BF">
            <w:pPr>
              <w:pStyle w:val="tabletext"/>
              <w:rPr>
                <w:lang w:val="en-US" w:eastAsia="en-US"/>
              </w:rPr>
            </w:pPr>
            <w:r w:rsidRPr="00F303BF">
              <w:rPr>
                <w:lang w:val="en-US" w:eastAsia="en-US"/>
              </w:rPr>
              <w:t>833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BF3100A" w14:textId="77777777" w:rsidR="00F303BF" w:rsidRPr="00F303BF" w:rsidRDefault="00F303BF" w:rsidP="00F303BF">
            <w:pPr>
              <w:pStyle w:val="tabletext"/>
            </w:pPr>
            <w:r w:rsidRPr="00F303BF">
              <w:t>Subsection 128L(6)</w:t>
            </w:r>
          </w:p>
        </w:tc>
      </w:tr>
    </w:tbl>
    <w:p w14:paraId="72D7B05B" w14:textId="77777777" w:rsidR="00741DE1" w:rsidRPr="00E85468" w:rsidRDefault="00741DE1" w:rsidP="00741DE1">
      <w:pPr>
        <w:pStyle w:val="TableHeadingoutsidetable"/>
        <w:numPr>
          <w:ilvl w:val="0"/>
          <w:numId w:val="0"/>
        </w:numPr>
        <w:ind w:left="1134"/>
        <w:rPr>
          <w:i/>
        </w:rPr>
      </w:pPr>
      <w:r>
        <w:rPr>
          <w:i/>
        </w:rPr>
        <w:t>Second tranche</w:t>
      </w:r>
      <w:r w:rsidRPr="00E85468">
        <w:rPr>
          <w:i/>
        </w:rPr>
        <w:t xml:space="preserve"> </w:t>
      </w:r>
      <w:r>
        <w:rPr>
          <w:i/>
        </w:rPr>
        <w:t xml:space="preserve">of exposure draft </w:t>
      </w:r>
      <w:r w:rsidRPr="00E85468">
        <w:rPr>
          <w:i/>
        </w:rPr>
        <w:t>amendments</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5742"/>
      </w:tblGrid>
      <w:tr w:rsidR="00741DE1" w:rsidRPr="004666B8" w14:paraId="192EE6E9" w14:textId="77777777" w:rsidTr="00741DE1">
        <w:trPr>
          <w:tblHeader/>
        </w:trPr>
        <w:tc>
          <w:tcPr>
            <w:tcW w:w="809" w:type="dxa"/>
          </w:tcPr>
          <w:p w14:paraId="1E4A2DB9" w14:textId="7A27A084" w:rsidR="00741DE1" w:rsidRPr="004666B8" w:rsidRDefault="00936FF1" w:rsidP="00741DE1">
            <w:pPr>
              <w:pStyle w:val="tableheaderwithintable"/>
              <w:rPr>
                <w:lang w:val="en-US" w:eastAsia="en-US"/>
              </w:rPr>
            </w:pPr>
            <w:r>
              <w:rPr>
                <w:lang w:val="en-US" w:eastAsia="en-US"/>
              </w:rPr>
              <w:t>Item</w:t>
            </w:r>
            <w:r>
              <w:rPr>
                <w:rStyle w:val="FootnoteReference"/>
                <w:lang w:val="en-US" w:eastAsia="en-US"/>
              </w:rPr>
              <w:footnoteReference w:id="76"/>
            </w:r>
          </w:p>
        </w:tc>
        <w:tc>
          <w:tcPr>
            <w:tcW w:w="5742" w:type="dxa"/>
          </w:tcPr>
          <w:p w14:paraId="1EC8D20C" w14:textId="04D4FE2C" w:rsidR="00741DE1" w:rsidRPr="004666B8" w:rsidRDefault="00741DE1" w:rsidP="00741DE1">
            <w:pPr>
              <w:pStyle w:val="tableheaderwithintable"/>
              <w:rPr>
                <w:lang w:val="en-US" w:eastAsia="en-US"/>
              </w:rPr>
            </w:pPr>
            <w:r>
              <w:rPr>
                <w:lang w:val="en-US" w:eastAsia="en-US"/>
              </w:rPr>
              <w:t>Provision</w:t>
            </w:r>
          </w:p>
        </w:tc>
      </w:tr>
      <w:tr w:rsidR="00741DE1" w:rsidRPr="00741DE1" w14:paraId="7C5B7C15" w14:textId="77777777" w:rsidTr="00741DE1">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615E5E7B" w14:textId="6D32A946" w:rsidR="00741DE1" w:rsidRPr="00741DE1" w:rsidRDefault="00741DE1" w:rsidP="00741DE1">
            <w:pPr>
              <w:pStyle w:val="tabletext"/>
              <w:rPr>
                <w:b/>
              </w:rPr>
            </w:pPr>
            <w:r w:rsidRPr="00741DE1">
              <w:rPr>
                <w:b/>
              </w:rPr>
              <w:t>Corporations Act 2001</w:t>
            </w:r>
          </w:p>
        </w:tc>
      </w:tr>
      <w:tr w:rsidR="00741DE1" w:rsidRPr="00741DE1" w14:paraId="67B8A8C9"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CB424F1" w14:textId="77777777" w:rsidR="00741DE1" w:rsidRPr="00741DE1" w:rsidRDefault="00741DE1" w:rsidP="00741DE1">
            <w:pPr>
              <w:pStyle w:val="tabletext"/>
              <w:rPr>
                <w:lang w:val="en-US" w:eastAsia="en-US"/>
              </w:rPr>
            </w:pPr>
            <w:r w:rsidRPr="00741DE1">
              <w:rPr>
                <w:lang w:val="en-US" w:eastAsia="en-US"/>
              </w:rPr>
              <w:t>345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5FA2060" w14:textId="77777777" w:rsidR="00741DE1" w:rsidRPr="00741DE1" w:rsidRDefault="00741DE1" w:rsidP="00741DE1">
            <w:pPr>
              <w:pStyle w:val="tabletext"/>
            </w:pPr>
            <w:r w:rsidRPr="00741DE1">
              <w:t>Subdivision A of Division 9 of Part 7.6</w:t>
            </w:r>
          </w:p>
        </w:tc>
      </w:tr>
      <w:tr w:rsidR="00741DE1" w:rsidRPr="00741DE1" w14:paraId="5A7866A8"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23023C7" w14:textId="77777777" w:rsidR="00741DE1" w:rsidRPr="00741DE1" w:rsidRDefault="00741DE1" w:rsidP="00741DE1">
            <w:pPr>
              <w:pStyle w:val="tabletext"/>
              <w:rPr>
                <w:lang w:val="en-US" w:eastAsia="en-US"/>
              </w:rPr>
            </w:pPr>
            <w:r w:rsidRPr="00741DE1">
              <w:rPr>
                <w:lang w:val="en-US" w:eastAsia="en-US"/>
              </w:rPr>
              <w:t>486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BD94D53" w14:textId="77777777" w:rsidR="00741DE1" w:rsidRPr="00741DE1" w:rsidRDefault="00741DE1" w:rsidP="00741DE1">
            <w:pPr>
              <w:pStyle w:val="tabletext"/>
            </w:pPr>
            <w:r w:rsidRPr="00741DE1">
              <w:t>Section 1355</w:t>
            </w:r>
          </w:p>
        </w:tc>
      </w:tr>
      <w:tr w:rsidR="00741DE1" w:rsidRPr="00741DE1" w14:paraId="3E6284F8"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8071E76" w14:textId="77777777" w:rsidR="00741DE1" w:rsidRPr="00741DE1" w:rsidRDefault="00741DE1" w:rsidP="00741DE1">
            <w:pPr>
              <w:pStyle w:val="tabletext"/>
              <w:rPr>
                <w:lang w:val="en-US" w:eastAsia="en-US"/>
              </w:rPr>
            </w:pPr>
            <w:r w:rsidRPr="00741DE1">
              <w:rPr>
                <w:lang w:val="en-US" w:eastAsia="en-US"/>
              </w:rPr>
              <w:t>488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4287022" w14:textId="77777777" w:rsidR="00741DE1" w:rsidRPr="00741DE1" w:rsidRDefault="00741DE1" w:rsidP="00741DE1">
            <w:pPr>
              <w:pStyle w:val="tabletext"/>
            </w:pPr>
            <w:r w:rsidRPr="00741DE1">
              <w:t>After paragraph 1362(a)</w:t>
            </w:r>
          </w:p>
        </w:tc>
      </w:tr>
      <w:tr w:rsidR="00741DE1" w:rsidRPr="00741DE1" w14:paraId="10F17F7B" w14:textId="77777777" w:rsidTr="00741DE1">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1B4DC0FE" w14:textId="57B3E847" w:rsidR="00741DE1" w:rsidRPr="00741DE1" w:rsidRDefault="00741DE1" w:rsidP="00741DE1">
            <w:pPr>
              <w:pStyle w:val="tabletext"/>
              <w:rPr>
                <w:b/>
              </w:rPr>
            </w:pPr>
            <w:r w:rsidRPr="00741DE1">
              <w:rPr>
                <w:b/>
              </w:rPr>
              <w:t>Business Names Registration (Fees) Act 2011</w:t>
            </w:r>
          </w:p>
        </w:tc>
      </w:tr>
      <w:tr w:rsidR="00741DE1" w:rsidRPr="00741DE1" w14:paraId="3514F2CB"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BB455CC" w14:textId="77777777" w:rsidR="00741DE1" w:rsidRPr="00741DE1" w:rsidRDefault="00741DE1" w:rsidP="00741DE1">
            <w:pPr>
              <w:pStyle w:val="tabletext"/>
              <w:rPr>
                <w:lang w:val="en-US" w:eastAsia="en-US"/>
              </w:rPr>
            </w:pPr>
            <w:r w:rsidRPr="00741DE1">
              <w:rPr>
                <w:lang w:val="en-US" w:eastAsia="en-US"/>
              </w:rPr>
              <w:t>574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4C2ADA" w14:textId="77777777" w:rsidR="00741DE1" w:rsidRPr="00741DE1" w:rsidRDefault="00741DE1" w:rsidP="00741DE1">
            <w:pPr>
              <w:pStyle w:val="tabletext"/>
            </w:pPr>
            <w:r w:rsidRPr="00741DE1">
              <w:t>Subsection 3(1) (paragraph (c) of the definition of chargeable matter)</w:t>
            </w:r>
          </w:p>
        </w:tc>
      </w:tr>
      <w:tr w:rsidR="00741DE1" w:rsidRPr="00741DE1" w14:paraId="07DC8716" w14:textId="77777777" w:rsidTr="00741DE1">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1771E7F6" w14:textId="57B1E066" w:rsidR="00741DE1" w:rsidRPr="00741DE1" w:rsidRDefault="00741DE1" w:rsidP="00741DE1">
            <w:pPr>
              <w:pStyle w:val="tabletext"/>
              <w:rPr>
                <w:b/>
              </w:rPr>
            </w:pPr>
            <w:bookmarkStart w:id="40" w:name="RANGE!B578"/>
            <w:r w:rsidRPr="00741DE1">
              <w:rPr>
                <w:b/>
              </w:rPr>
              <w:t>Corporations (Fees) Act 2001</w:t>
            </w:r>
            <w:bookmarkEnd w:id="40"/>
          </w:p>
        </w:tc>
      </w:tr>
      <w:tr w:rsidR="00741DE1" w:rsidRPr="00741DE1" w14:paraId="5FFB653B"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2370BBE" w14:textId="77777777" w:rsidR="00741DE1" w:rsidRPr="00741DE1" w:rsidRDefault="00741DE1" w:rsidP="00741DE1">
            <w:pPr>
              <w:pStyle w:val="tabletext"/>
              <w:rPr>
                <w:lang w:val="en-US" w:eastAsia="en-US"/>
              </w:rPr>
            </w:pPr>
            <w:r w:rsidRPr="00741DE1">
              <w:rPr>
                <w:lang w:val="en-US" w:eastAsia="en-US"/>
              </w:rPr>
              <w:t>575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4CA4D12" w14:textId="77777777" w:rsidR="00741DE1" w:rsidRPr="00741DE1" w:rsidRDefault="00741DE1" w:rsidP="00741DE1">
            <w:pPr>
              <w:pStyle w:val="tabletext"/>
            </w:pPr>
            <w:r w:rsidRPr="00741DE1">
              <w:t>Subsection 4(1) (paragraph (a) of the definition of chargeable matter)</w:t>
            </w:r>
          </w:p>
        </w:tc>
      </w:tr>
      <w:tr w:rsidR="00741DE1" w:rsidRPr="00741DE1" w14:paraId="2A5B3782"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4A678364" w14:textId="77777777" w:rsidR="00741DE1" w:rsidRPr="00741DE1" w:rsidRDefault="00741DE1" w:rsidP="00741DE1">
            <w:pPr>
              <w:pStyle w:val="tabletext"/>
              <w:rPr>
                <w:lang w:val="en-US" w:eastAsia="en-US"/>
              </w:rPr>
            </w:pPr>
            <w:r w:rsidRPr="00741DE1">
              <w:rPr>
                <w:lang w:val="en-US" w:eastAsia="en-US"/>
              </w:rPr>
              <w:t>576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0286FF2" w14:textId="77777777" w:rsidR="00741DE1" w:rsidRPr="00741DE1" w:rsidRDefault="00741DE1" w:rsidP="00741DE1">
            <w:pPr>
              <w:pStyle w:val="tabletext"/>
            </w:pPr>
            <w:r w:rsidRPr="00741DE1">
              <w:t>Subsection 4(1) (after paragraph (c) of the definition of chargeable matter)</w:t>
            </w:r>
          </w:p>
        </w:tc>
      </w:tr>
      <w:tr w:rsidR="00741DE1" w:rsidRPr="00741DE1" w14:paraId="3F88C3A0"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86D5098" w14:textId="77777777" w:rsidR="00741DE1" w:rsidRPr="00741DE1" w:rsidRDefault="00741DE1" w:rsidP="00741DE1">
            <w:pPr>
              <w:pStyle w:val="tabletext"/>
              <w:rPr>
                <w:lang w:val="en-US" w:eastAsia="en-US"/>
              </w:rPr>
            </w:pPr>
            <w:r w:rsidRPr="00741DE1">
              <w:rPr>
                <w:lang w:val="en-US" w:eastAsia="en-US"/>
              </w:rPr>
              <w:t>577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4B99B54" w14:textId="77777777" w:rsidR="00741DE1" w:rsidRPr="00741DE1" w:rsidRDefault="00741DE1" w:rsidP="00741DE1">
            <w:pPr>
              <w:pStyle w:val="tabletext"/>
            </w:pPr>
            <w:r w:rsidRPr="00741DE1">
              <w:t>Subsection 4(1) (paragraph (d) of the definition of chargeable matter)</w:t>
            </w:r>
          </w:p>
        </w:tc>
      </w:tr>
      <w:tr w:rsidR="00741DE1" w:rsidRPr="00741DE1" w14:paraId="2156EBF0"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7CC5B05B" w14:textId="77777777" w:rsidR="00741DE1" w:rsidRPr="00741DE1" w:rsidRDefault="00741DE1" w:rsidP="00741DE1">
            <w:pPr>
              <w:pStyle w:val="tabletext"/>
              <w:rPr>
                <w:lang w:val="en-US" w:eastAsia="en-US"/>
              </w:rPr>
            </w:pPr>
            <w:r w:rsidRPr="00741DE1">
              <w:rPr>
                <w:lang w:val="en-US" w:eastAsia="en-US"/>
              </w:rPr>
              <w:t>578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70B8E17" w14:textId="77777777" w:rsidR="00741DE1" w:rsidRPr="00741DE1" w:rsidRDefault="00741DE1" w:rsidP="00741DE1">
            <w:pPr>
              <w:pStyle w:val="tabletext"/>
            </w:pPr>
            <w:r w:rsidRPr="00741DE1">
              <w:t>Subsection 4(1) (after paragraph (e) of the definition of chargeable matter)</w:t>
            </w:r>
          </w:p>
        </w:tc>
      </w:tr>
      <w:tr w:rsidR="00741DE1" w:rsidRPr="00741DE1" w14:paraId="518D70F0"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EA61907" w14:textId="77777777" w:rsidR="00741DE1" w:rsidRPr="00741DE1" w:rsidRDefault="00741DE1" w:rsidP="00741DE1">
            <w:pPr>
              <w:pStyle w:val="tabletext"/>
              <w:rPr>
                <w:lang w:val="en-US" w:eastAsia="en-US"/>
              </w:rPr>
            </w:pPr>
            <w:r w:rsidRPr="00741DE1">
              <w:rPr>
                <w:lang w:val="en-US" w:eastAsia="en-US"/>
              </w:rPr>
              <w:t>579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51AD5EA" w14:textId="77777777" w:rsidR="00741DE1" w:rsidRPr="00741DE1" w:rsidRDefault="00741DE1" w:rsidP="00741DE1">
            <w:pPr>
              <w:pStyle w:val="tabletext"/>
            </w:pPr>
            <w:r w:rsidRPr="00741DE1">
              <w:t>Subsection 4(1) (paragraph (f) of the definition of chargeable matter)</w:t>
            </w:r>
          </w:p>
        </w:tc>
      </w:tr>
      <w:tr w:rsidR="00741DE1" w:rsidRPr="00741DE1" w14:paraId="619B5335"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A32757D" w14:textId="77777777" w:rsidR="00741DE1" w:rsidRPr="00741DE1" w:rsidRDefault="00741DE1" w:rsidP="00741DE1">
            <w:pPr>
              <w:pStyle w:val="tabletext"/>
              <w:rPr>
                <w:lang w:val="en-US" w:eastAsia="en-US"/>
              </w:rPr>
            </w:pPr>
            <w:r w:rsidRPr="00741DE1">
              <w:rPr>
                <w:lang w:val="en-US" w:eastAsia="en-US"/>
              </w:rPr>
              <w:t>580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CD20F22" w14:textId="77777777" w:rsidR="00741DE1" w:rsidRPr="00741DE1" w:rsidRDefault="00741DE1" w:rsidP="00741DE1">
            <w:pPr>
              <w:pStyle w:val="tabletext"/>
            </w:pPr>
            <w:r w:rsidRPr="00741DE1">
              <w:t>Subsection 4(1) (paragraph (g) of the definition of chargeable matter)</w:t>
            </w:r>
          </w:p>
        </w:tc>
      </w:tr>
      <w:tr w:rsidR="00741DE1" w:rsidRPr="00741DE1" w14:paraId="411C4CE5"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ED3F983" w14:textId="77777777" w:rsidR="00741DE1" w:rsidRPr="00741DE1" w:rsidRDefault="00741DE1" w:rsidP="00741DE1">
            <w:pPr>
              <w:pStyle w:val="tabletext"/>
              <w:rPr>
                <w:lang w:val="en-US" w:eastAsia="en-US"/>
              </w:rPr>
            </w:pPr>
            <w:r w:rsidRPr="00741DE1">
              <w:rPr>
                <w:lang w:val="en-US" w:eastAsia="en-US"/>
              </w:rPr>
              <w:t>581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517E796" w14:textId="77777777" w:rsidR="00741DE1" w:rsidRPr="00741DE1" w:rsidRDefault="00741DE1" w:rsidP="00741DE1">
            <w:pPr>
              <w:pStyle w:val="tabletext"/>
            </w:pPr>
            <w:r w:rsidRPr="00741DE1">
              <w:t>Paragraph 7(1)(c)</w:t>
            </w:r>
          </w:p>
        </w:tc>
      </w:tr>
      <w:tr w:rsidR="00741DE1" w:rsidRPr="00741DE1" w14:paraId="313894F6"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75BEBA24" w14:textId="77777777" w:rsidR="00741DE1" w:rsidRPr="00741DE1" w:rsidRDefault="00741DE1" w:rsidP="00741DE1">
            <w:pPr>
              <w:pStyle w:val="tabletext"/>
              <w:rPr>
                <w:lang w:val="en-US" w:eastAsia="en-US"/>
              </w:rPr>
            </w:pPr>
            <w:r w:rsidRPr="00741DE1">
              <w:rPr>
                <w:lang w:val="en-US" w:eastAsia="en-US"/>
              </w:rPr>
              <w:t>582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0F7E5D3" w14:textId="77777777" w:rsidR="00741DE1" w:rsidRPr="00741DE1" w:rsidRDefault="00741DE1" w:rsidP="00741DE1">
            <w:pPr>
              <w:pStyle w:val="tabletext"/>
            </w:pPr>
            <w:r w:rsidRPr="00741DE1">
              <w:t>Paragraph 7(1)(e)</w:t>
            </w:r>
          </w:p>
        </w:tc>
      </w:tr>
      <w:tr w:rsidR="00741DE1" w:rsidRPr="00741DE1" w14:paraId="23DF2381"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62B77BE1" w14:textId="77777777" w:rsidR="00741DE1" w:rsidRPr="00741DE1" w:rsidRDefault="00741DE1" w:rsidP="00741DE1">
            <w:pPr>
              <w:pStyle w:val="tabletext"/>
              <w:rPr>
                <w:lang w:val="en-US" w:eastAsia="en-US"/>
              </w:rPr>
            </w:pPr>
            <w:r w:rsidRPr="00741DE1">
              <w:rPr>
                <w:lang w:val="en-US" w:eastAsia="en-US"/>
              </w:rPr>
              <w:t>583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41850C3" w14:textId="77777777" w:rsidR="00741DE1" w:rsidRPr="00741DE1" w:rsidRDefault="00741DE1" w:rsidP="00741DE1">
            <w:pPr>
              <w:pStyle w:val="tabletext"/>
            </w:pPr>
            <w:r w:rsidRPr="00741DE1">
              <w:t>At the end of subparagraph 7(1)(e)(ii)</w:t>
            </w:r>
          </w:p>
        </w:tc>
      </w:tr>
      <w:tr w:rsidR="00741DE1" w:rsidRPr="00741DE1" w14:paraId="3E524B3B" w14:textId="77777777" w:rsidTr="00741DE1">
        <w:tc>
          <w:tcPr>
            <w:tcW w:w="6551" w:type="dxa"/>
            <w:gridSpan w:val="2"/>
            <w:tcBorders>
              <w:top w:val="single" w:sz="4" w:space="0" w:color="auto"/>
              <w:left w:val="single" w:sz="4" w:space="0" w:color="auto"/>
              <w:bottom w:val="single" w:sz="4" w:space="0" w:color="auto"/>
              <w:right w:val="single" w:sz="4" w:space="0" w:color="auto"/>
            </w:tcBorders>
            <w:shd w:val="clear" w:color="auto" w:fill="auto"/>
          </w:tcPr>
          <w:p w14:paraId="3F79CA4A" w14:textId="70833333" w:rsidR="00741DE1" w:rsidRPr="00741DE1" w:rsidRDefault="00741DE1" w:rsidP="00741DE1">
            <w:pPr>
              <w:pStyle w:val="tabletext"/>
              <w:rPr>
                <w:b/>
              </w:rPr>
            </w:pPr>
            <w:r w:rsidRPr="00741DE1">
              <w:rPr>
                <w:b/>
              </w:rPr>
              <w:t>National Consumer Credit Protection (Fees) Act 2009</w:t>
            </w:r>
          </w:p>
        </w:tc>
      </w:tr>
      <w:tr w:rsidR="00741DE1" w:rsidRPr="00741DE1" w14:paraId="6F150D02"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761CE1CF" w14:textId="77777777" w:rsidR="00741DE1" w:rsidRPr="00741DE1" w:rsidRDefault="00741DE1" w:rsidP="00741DE1">
            <w:pPr>
              <w:pStyle w:val="tabletext"/>
              <w:rPr>
                <w:lang w:val="en-US" w:eastAsia="en-US"/>
              </w:rPr>
            </w:pPr>
            <w:r w:rsidRPr="00741DE1">
              <w:rPr>
                <w:lang w:val="en-US" w:eastAsia="en-US"/>
              </w:rPr>
              <w:t>584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4D0FB810" w14:textId="77777777" w:rsidR="00741DE1" w:rsidRPr="00741DE1" w:rsidRDefault="00741DE1" w:rsidP="00741DE1">
            <w:pPr>
              <w:pStyle w:val="tabletext"/>
            </w:pPr>
            <w:r w:rsidRPr="00741DE1">
              <w:t>Subsection 4(1) (paragraph (b) of the definition of chargeable matter)</w:t>
            </w:r>
          </w:p>
        </w:tc>
      </w:tr>
      <w:tr w:rsidR="00741DE1" w:rsidRPr="00741DE1" w14:paraId="7A61AD11"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5A105B5" w14:textId="77777777" w:rsidR="00741DE1" w:rsidRPr="00741DE1" w:rsidRDefault="00741DE1" w:rsidP="00741DE1">
            <w:pPr>
              <w:pStyle w:val="tabletext"/>
              <w:rPr>
                <w:lang w:val="en-US" w:eastAsia="en-US"/>
              </w:rPr>
            </w:pPr>
            <w:r w:rsidRPr="00741DE1">
              <w:rPr>
                <w:lang w:val="en-US" w:eastAsia="en-US"/>
              </w:rPr>
              <w:lastRenderedPageBreak/>
              <w:t>585</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5D64AD85" w14:textId="77777777" w:rsidR="00741DE1" w:rsidRPr="00741DE1" w:rsidRDefault="00741DE1" w:rsidP="00741DE1">
            <w:pPr>
              <w:pStyle w:val="tabletext"/>
            </w:pPr>
            <w:r w:rsidRPr="00741DE1">
              <w:t>Subsection 4(1) (after paragraph (b) of the definition of chargeable matter)</w:t>
            </w:r>
          </w:p>
        </w:tc>
      </w:tr>
      <w:tr w:rsidR="00741DE1" w:rsidRPr="00741DE1" w14:paraId="405D517E"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103958A5" w14:textId="77777777" w:rsidR="00741DE1" w:rsidRPr="00741DE1" w:rsidRDefault="00741DE1" w:rsidP="00741DE1">
            <w:pPr>
              <w:pStyle w:val="tabletext"/>
              <w:rPr>
                <w:lang w:val="en-US" w:eastAsia="en-US"/>
              </w:rPr>
            </w:pPr>
            <w:r w:rsidRPr="00741DE1">
              <w:rPr>
                <w:lang w:val="en-US" w:eastAsia="en-US"/>
              </w:rPr>
              <w:t>586</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30A61F9" w14:textId="77777777" w:rsidR="00741DE1" w:rsidRPr="00741DE1" w:rsidRDefault="00741DE1" w:rsidP="00741DE1">
            <w:pPr>
              <w:pStyle w:val="tabletext"/>
            </w:pPr>
            <w:r w:rsidRPr="00741DE1">
              <w:t>Subsection 4(1) (after paragraph (c) of the definition of chargeable matter)</w:t>
            </w:r>
          </w:p>
        </w:tc>
      </w:tr>
      <w:tr w:rsidR="00741DE1" w:rsidRPr="00741DE1" w14:paraId="080AED61"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570C25EB" w14:textId="77777777" w:rsidR="00741DE1" w:rsidRPr="00741DE1" w:rsidRDefault="00741DE1" w:rsidP="00741DE1">
            <w:pPr>
              <w:pStyle w:val="tabletext"/>
              <w:rPr>
                <w:lang w:val="en-US" w:eastAsia="en-US"/>
              </w:rPr>
            </w:pPr>
            <w:r w:rsidRPr="00741DE1">
              <w:rPr>
                <w:lang w:val="en-US" w:eastAsia="en-US"/>
              </w:rPr>
              <w:t>587</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08177C5F" w14:textId="77777777" w:rsidR="00741DE1" w:rsidRPr="00741DE1" w:rsidRDefault="00741DE1" w:rsidP="00741DE1">
            <w:pPr>
              <w:pStyle w:val="tabletext"/>
            </w:pPr>
            <w:r w:rsidRPr="00741DE1">
              <w:t>Subsection 4(1) (paragraph (d) of the definition of chargeable matter)</w:t>
            </w:r>
          </w:p>
        </w:tc>
      </w:tr>
      <w:tr w:rsidR="00741DE1" w:rsidRPr="00741DE1" w14:paraId="1DA7B801"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264163CD" w14:textId="77777777" w:rsidR="00741DE1" w:rsidRPr="00741DE1" w:rsidRDefault="00741DE1" w:rsidP="00741DE1">
            <w:pPr>
              <w:pStyle w:val="tabletext"/>
              <w:rPr>
                <w:lang w:val="en-US" w:eastAsia="en-US"/>
              </w:rPr>
            </w:pPr>
            <w:r w:rsidRPr="00741DE1">
              <w:rPr>
                <w:lang w:val="en-US" w:eastAsia="en-US"/>
              </w:rPr>
              <w:t>588</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59E86D7" w14:textId="77777777" w:rsidR="00741DE1" w:rsidRPr="00741DE1" w:rsidRDefault="00741DE1" w:rsidP="00741DE1">
            <w:pPr>
              <w:pStyle w:val="tabletext"/>
            </w:pPr>
            <w:r w:rsidRPr="00741DE1">
              <w:t>Subsection 4(1) (after paragraph (e) of the definition of chargeable matter)</w:t>
            </w:r>
          </w:p>
        </w:tc>
      </w:tr>
      <w:tr w:rsidR="00741DE1" w:rsidRPr="00741DE1" w14:paraId="2745D5D6"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464AC64B" w14:textId="77777777" w:rsidR="00741DE1" w:rsidRPr="00741DE1" w:rsidRDefault="00741DE1" w:rsidP="00741DE1">
            <w:pPr>
              <w:pStyle w:val="tabletext"/>
              <w:rPr>
                <w:lang w:val="en-US" w:eastAsia="en-US"/>
              </w:rPr>
            </w:pPr>
            <w:r w:rsidRPr="00741DE1">
              <w:rPr>
                <w:lang w:val="en-US" w:eastAsia="en-US"/>
              </w:rPr>
              <w:t>589</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DA61379" w14:textId="77777777" w:rsidR="00741DE1" w:rsidRPr="00741DE1" w:rsidRDefault="00741DE1" w:rsidP="00741DE1">
            <w:pPr>
              <w:pStyle w:val="tabletext"/>
            </w:pPr>
            <w:r w:rsidRPr="00741DE1">
              <w:t>Subsection 4(1) (paragraph (f) of the definition of chargeable matter)</w:t>
            </w:r>
          </w:p>
        </w:tc>
      </w:tr>
      <w:tr w:rsidR="00741DE1" w:rsidRPr="00741DE1" w14:paraId="774BD681"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D293428" w14:textId="77777777" w:rsidR="00741DE1" w:rsidRPr="00741DE1" w:rsidRDefault="00741DE1" w:rsidP="00741DE1">
            <w:pPr>
              <w:pStyle w:val="tabletext"/>
              <w:rPr>
                <w:lang w:val="en-US" w:eastAsia="en-US"/>
              </w:rPr>
            </w:pPr>
            <w:r w:rsidRPr="00741DE1">
              <w:rPr>
                <w:lang w:val="en-US" w:eastAsia="en-US"/>
              </w:rPr>
              <w:t>590</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70C2ABF5" w14:textId="77777777" w:rsidR="00741DE1" w:rsidRPr="00741DE1" w:rsidRDefault="00741DE1" w:rsidP="00741DE1">
            <w:pPr>
              <w:pStyle w:val="tabletext"/>
            </w:pPr>
            <w:r w:rsidRPr="00741DE1">
              <w:t>Subsection 4(1) (paragraph (g) of the definition of chargeable matter)</w:t>
            </w:r>
          </w:p>
        </w:tc>
      </w:tr>
      <w:tr w:rsidR="00741DE1" w:rsidRPr="00741DE1" w14:paraId="6F2B5D35"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3371007C" w14:textId="77777777" w:rsidR="00741DE1" w:rsidRPr="00741DE1" w:rsidRDefault="00741DE1" w:rsidP="00741DE1">
            <w:pPr>
              <w:pStyle w:val="tabletext"/>
              <w:rPr>
                <w:lang w:val="en-US" w:eastAsia="en-US"/>
              </w:rPr>
            </w:pPr>
            <w:r w:rsidRPr="00741DE1">
              <w:rPr>
                <w:lang w:val="en-US" w:eastAsia="en-US"/>
              </w:rPr>
              <w:t>591</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112C6500" w14:textId="77777777" w:rsidR="00741DE1" w:rsidRPr="00741DE1" w:rsidRDefault="00741DE1" w:rsidP="00741DE1">
            <w:pPr>
              <w:pStyle w:val="tabletext"/>
            </w:pPr>
            <w:r w:rsidRPr="00741DE1">
              <w:t>After paragraph 9(b)</w:t>
            </w:r>
          </w:p>
        </w:tc>
      </w:tr>
      <w:tr w:rsidR="00741DE1" w:rsidRPr="00741DE1" w14:paraId="312BFE43"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6DA39A89" w14:textId="77777777" w:rsidR="00741DE1" w:rsidRPr="00741DE1" w:rsidRDefault="00741DE1" w:rsidP="00741DE1">
            <w:pPr>
              <w:pStyle w:val="tabletext"/>
              <w:rPr>
                <w:lang w:val="en-US" w:eastAsia="en-US"/>
              </w:rPr>
            </w:pPr>
            <w:r w:rsidRPr="00741DE1">
              <w:rPr>
                <w:lang w:val="en-US" w:eastAsia="en-US"/>
              </w:rPr>
              <w:t>592</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386C6358" w14:textId="77777777" w:rsidR="00741DE1" w:rsidRPr="00741DE1" w:rsidRDefault="00741DE1" w:rsidP="00741DE1">
            <w:pPr>
              <w:pStyle w:val="tabletext"/>
            </w:pPr>
            <w:r w:rsidRPr="00741DE1">
              <w:t>Paragraph 9(c)</w:t>
            </w:r>
          </w:p>
        </w:tc>
      </w:tr>
      <w:tr w:rsidR="00741DE1" w:rsidRPr="00741DE1" w14:paraId="1B2550D4"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7FC61B44" w14:textId="77777777" w:rsidR="00741DE1" w:rsidRPr="00741DE1" w:rsidRDefault="00741DE1" w:rsidP="00741DE1">
            <w:pPr>
              <w:pStyle w:val="tabletext"/>
              <w:rPr>
                <w:lang w:val="en-US" w:eastAsia="en-US"/>
              </w:rPr>
            </w:pPr>
            <w:r w:rsidRPr="00741DE1">
              <w:rPr>
                <w:lang w:val="en-US" w:eastAsia="en-US"/>
              </w:rPr>
              <w:t>593</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6E10F21E" w14:textId="77777777" w:rsidR="00741DE1" w:rsidRPr="00741DE1" w:rsidRDefault="00741DE1" w:rsidP="00741DE1">
            <w:pPr>
              <w:pStyle w:val="tabletext"/>
            </w:pPr>
            <w:r w:rsidRPr="00741DE1">
              <w:t>Paragraph 9(e)</w:t>
            </w:r>
          </w:p>
        </w:tc>
      </w:tr>
      <w:tr w:rsidR="00741DE1" w:rsidRPr="00741DE1" w14:paraId="3223814E" w14:textId="77777777" w:rsidTr="00741DE1">
        <w:tc>
          <w:tcPr>
            <w:tcW w:w="809" w:type="dxa"/>
            <w:tcBorders>
              <w:top w:val="single" w:sz="4" w:space="0" w:color="auto"/>
              <w:left w:val="single" w:sz="4" w:space="0" w:color="auto"/>
              <w:bottom w:val="single" w:sz="4" w:space="0" w:color="auto"/>
              <w:right w:val="single" w:sz="4" w:space="0" w:color="auto"/>
            </w:tcBorders>
            <w:shd w:val="clear" w:color="auto" w:fill="auto"/>
          </w:tcPr>
          <w:p w14:paraId="019A8619" w14:textId="77777777" w:rsidR="00741DE1" w:rsidRPr="00741DE1" w:rsidRDefault="00741DE1" w:rsidP="00741DE1">
            <w:pPr>
              <w:pStyle w:val="tabletext"/>
              <w:rPr>
                <w:lang w:val="en-US" w:eastAsia="en-US"/>
              </w:rPr>
            </w:pPr>
            <w:r w:rsidRPr="00741DE1">
              <w:rPr>
                <w:lang w:val="en-US" w:eastAsia="en-US"/>
              </w:rPr>
              <w:t>594</w:t>
            </w:r>
          </w:p>
        </w:tc>
        <w:tc>
          <w:tcPr>
            <w:tcW w:w="5742" w:type="dxa"/>
            <w:tcBorders>
              <w:top w:val="single" w:sz="4" w:space="0" w:color="auto"/>
              <w:left w:val="single" w:sz="4" w:space="0" w:color="auto"/>
              <w:bottom w:val="single" w:sz="4" w:space="0" w:color="auto"/>
              <w:right w:val="single" w:sz="4" w:space="0" w:color="auto"/>
            </w:tcBorders>
            <w:shd w:val="clear" w:color="auto" w:fill="auto"/>
          </w:tcPr>
          <w:p w14:paraId="20171F96" w14:textId="77777777" w:rsidR="00741DE1" w:rsidRPr="00741DE1" w:rsidRDefault="00741DE1" w:rsidP="00741DE1">
            <w:pPr>
              <w:pStyle w:val="tabletext"/>
            </w:pPr>
            <w:r w:rsidRPr="00741DE1">
              <w:t>At the end of subparagraph 9(e)(ii)</w:t>
            </w:r>
          </w:p>
        </w:tc>
      </w:tr>
    </w:tbl>
    <w:p w14:paraId="54DEE140" w14:textId="77777777" w:rsidR="00B24F94" w:rsidRDefault="00B24F94" w:rsidP="00E623DE">
      <w:pPr>
        <w:pStyle w:val="base-text-paragraph"/>
        <w:numPr>
          <w:ilvl w:val="0"/>
          <w:numId w:val="0"/>
        </w:numPr>
      </w:pPr>
    </w:p>
    <w:sectPr w:rsidR="00B24F94" w:rsidSect="006B273B">
      <w:footerReference w:type="even" r:id="rId38"/>
      <w:footerReference w:type="default" r:id="rId39"/>
      <w:footerReference w:type="first" r:id="rId40"/>
      <w:type w:val="oddPage"/>
      <w:pgSz w:w="11907" w:h="16839"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B51DB" w14:textId="77777777" w:rsidR="00BE0A98" w:rsidRDefault="00BE0A98" w:rsidP="00E679CA">
      <w:pPr>
        <w:spacing w:before="0" w:after="0"/>
      </w:pPr>
      <w:r>
        <w:separator/>
      </w:r>
    </w:p>
  </w:endnote>
  <w:endnote w:type="continuationSeparator" w:id="0">
    <w:p w14:paraId="58362CE8" w14:textId="77777777" w:rsidR="00BE0A98" w:rsidRDefault="00BE0A98" w:rsidP="00E679CA">
      <w:pPr>
        <w:spacing w:before="0" w:after="0"/>
      </w:pPr>
      <w:r>
        <w:continuationSeparator/>
      </w:r>
    </w:p>
  </w:endnote>
  <w:endnote w:type="continuationNotice" w:id="1">
    <w:p w14:paraId="22B97EB8" w14:textId="77777777" w:rsidR="00BE0A98" w:rsidRDefault="00BE0A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0" w14:textId="77777777" w:rsidR="00BE0A98" w:rsidRDefault="00BE0A98" w:rsidP="005E52FA">
    <w:pPr>
      <w:pStyle w:val="leftfooter"/>
    </w:pPr>
    <w:r>
      <w:fldChar w:fldCharType="begin"/>
    </w:r>
    <w:r>
      <w:instrText xml:space="preserve"> PAGE   \* MERGEFORMAT </w:instrText>
    </w:r>
    <w:r>
      <w:fldChar w:fldCharType="separate"/>
    </w:r>
    <w:r>
      <w:rPr>
        <w:noProof/>
      </w:rPr>
      <w:t>49</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D2" w14:textId="77777777" w:rsidR="00BE0A98" w:rsidRDefault="00BE0A98" w:rsidP="00FC5605">
    <w:pPr>
      <w:pStyle w:val="rightfooter"/>
    </w:pPr>
    <w:r>
      <w:fldChar w:fldCharType="begin"/>
    </w:r>
    <w:r>
      <w:instrText xml:space="preserve"> PAGE   \* MERGEFORMAT </w:instrText>
    </w:r>
    <w:r>
      <w:fldChar w:fldCharType="separate"/>
    </w:r>
    <w:r w:rsidR="00F3492D">
      <w:rPr>
        <w:noProof/>
      </w:rPr>
      <w:t>23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D3" w14:textId="77777777" w:rsidR="00BE0A98" w:rsidRDefault="00BE0A98" w:rsidP="00FC5605">
    <w:pPr>
      <w:pStyle w:val="rightfooter"/>
    </w:pPr>
    <w:r>
      <w:fldChar w:fldCharType="begin"/>
    </w:r>
    <w:r>
      <w:instrText xml:space="preserve"> PAGE  \* Arabic  \* MERGEFORMAT </w:instrText>
    </w:r>
    <w:r>
      <w:fldChar w:fldCharType="separate"/>
    </w:r>
    <w:r w:rsidR="00F3492D">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B36C2" w14:textId="77777777" w:rsidR="00BE0A98" w:rsidRDefault="00BE0A98" w:rsidP="00255832">
    <w:pPr>
      <w:pStyle w:val="leftfooter"/>
    </w:pPr>
    <w:r>
      <w:fldChar w:fldCharType="begin"/>
    </w:r>
    <w:r>
      <w:instrText xml:space="preserve"> PAGE   \* MERGEFORMAT </w:instrText>
    </w:r>
    <w:r>
      <w:fldChar w:fldCharType="separate"/>
    </w:r>
    <w:r w:rsidR="00F3492D">
      <w:rPr>
        <w:noProof/>
      </w:rPr>
      <w:t>44</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9FB37" w14:textId="77777777" w:rsidR="00BE0A98" w:rsidRDefault="00BE0A98" w:rsidP="00255832">
    <w:pPr>
      <w:pStyle w:val="rightfooter"/>
    </w:pPr>
    <w:r>
      <w:fldChar w:fldCharType="begin"/>
    </w:r>
    <w:r>
      <w:instrText xml:space="preserve"> PAGE   \* MERGEFORMAT </w:instrText>
    </w:r>
    <w:r>
      <w:fldChar w:fldCharType="separate"/>
    </w:r>
    <w:r w:rsidR="00F3492D">
      <w:rPr>
        <w:noProof/>
      </w:rPr>
      <w:t>45</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74511" w14:textId="77777777" w:rsidR="00BE0A98" w:rsidRDefault="00BE0A98" w:rsidP="00255832">
    <w:pPr>
      <w:pStyle w:val="rightfooter"/>
    </w:pPr>
    <w:r>
      <w:fldChar w:fldCharType="begin"/>
    </w:r>
    <w:r>
      <w:instrText xml:space="preserve"> PAGE  \* Arabic  \* MERGEFORMAT </w:instrText>
    </w:r>
    <w:r>
      <w:fldChar w:fldCharType="separate"/>
    </w:r>
    <w:r w:rsidR="00F3492D">
      <w:rPr>
        <w:noProof/>
      </w:rPr>
      <w:t>25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D4" w14:textId="77777777" w:rsidR="00BE0A98" w:rsidRDefault="00BE0A98" w:rsidP="005E52FA">
    <w:pPr>
      <w:pStyle w:val="leftfooter"/>
    </w:pPr>
    <w:r>
      <w:fldChar w:fldCharType="begin"/>
    </w:r>
    <w:r>
      <w:instrText xml:space="preserve"> PAGE   \* MERGEFORMAT </w:instrText>
    </w:r>
    <w:r>
      <w:fldChar w:fldCharType="separate"/>
    </w:r>
    <w:r w:rsidR="00F3492D">
      <w:rPr>
        <w:noProof/>
      </w:rPr>
      <w:t>88</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D5" w14:textId="77777777" w:rsidR="00BE0A98" w:rsidRDefault="00BE0A98" w:rsidP="005E52FA">
    <w:pPr>
      <w:pStyle w:val="rightfooter"/>
    </w:pPr>
    <w:r>
      <w:fldChar w:fldCharType="begin"/>
    </w:r>
    <w:r>
      <w:instrText xml:space="preserve"> PAGE   \* MERGEFORMAT </w:instrText>
    </w:r>
    <w:r>
      <w:fldChar w:fldCharType="separate"/>
    </w:r>
    <w:r w:rsidR="00F3492D">
      <w:rPr>
        <w:noProof/>
      </w:rPr>
      <w:t>87</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D6" w14:textId="77777777" w:rsidR="00BE0A98" w:rsidRDefault="00BE0A98" w:rsidP="005E52FA">
    <w:pPr>
      <w:pStyle w:val="rightfooter"/>
    </w:pPr>
    <w:r>
      <w:fldChar w:fldCharType="begin"/>
    </w:r>
    <w:r>
      <w:instrText xml:space="preserve"> PAGE  \* Arabic  \* MERGEFORMAT </w:instrText>
    </w:r>
    <w:r>
      <w:fldChar w:fldCharType="separate"/>
    </w:r>
    <w:r w:rsidR="00F3492D">
      <w:rPr>
        <w:noProof/>
      </w:rPr>
      <w:t>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1" w14:textId="77777777" w:rsidR="00BE0A98" w:rsidRDefault="00BE0A98" w:rsidP="005E52FA">
    <w:pPr>
      <w:pStyle w:val="rightfooter"/>
    </w:pPr>
    <w:r>
      <w:fldChar w:fldCharType="begin"/>
    </w:r>
    <w:r>
      <w:instrText xml:space="preserve"> PAGE   \* MERGEFORMAT </w:instrText>
    </w:r>
    <w:r>
      <w:fldChar w:fldCharType="separate"/>
    </w:r>
    <w:r>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5" w14:textId="77777777" w:rsidR="00BE0A98" w:rsidRDefault="00BE0A98" w:rsidP="005E52FA">
    <w:pPr>
      <w:pStyle w:val="leftfooter"/>
    </w:pPr>
    <w:r>
      <w:fldChar w:fldCharType="begin"/>
    </w:r>
    <w:r>
      <w:instrText xml:space="preserve"> PAGE   \* MERGEFORMAT </w:instrText>
    </w:r>
    <w:r>
      <w:fldChar w:fldCharType="separate"/>
    </w:r>
    <w:r>
      <w:rPr>
        <w:noProof/>
      </w:rPr>
      <w:t>49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6" w14:textId="77777777" w:rsidR="00BE0A98" w:rsidRDefault="00BE0A98" w:rsidP="005E52FA">
    <w:pPr>
      <w:pStyle w:val="rightfooter"/>
    </w:pPr>
    <w:r>
      <w:fldChar w:fldCharType="begin"/>
    </w:r>
    <w:r>
      <w:instrText xml:space="preserve"> PAGE   \* MERGEFORMAT </w:instrText>
    </w:r>
    <w:r>
      <w:fldChar w:fldCharType="separate"/>
    </w:r>
    <w:r>
      <w:rPr>
        <w:noProof/>
      </w:rPr>
      <w:t>49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8" w14:textId="77777777" w:rsidR="00BE0A98" w:rsidRPr="00B2068E" w:rsidRDefault="00BE0A98" w:rsidP="005E52F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B" w14:textId="77777777" w:rsidR="00BE0A98" w:rsidRDefault="00BE0A98" w:rsidP="005E52FA">
    <w:pPr>
      <w:pStyle w:val="leftfooter"/>
    </w:pPr>
    <w:r>
      <w:fldChar w:fldCharType="begin"/>
    </w:r>
    <w:r>
      <w:instrText xml:space="preserve"> PAGE   \* MERGEFORMAT </w:instrText>
    </w:r>
    <w:r>
      <w:fldChar w:fldCharType="separate"/>
    </w:r>
    <w:r w:rsidR="00F3492D">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C" w14:textId="77777777" w:rsidR="00BE0A98" w:rsidRDefault="00BE0A98" w:rsidP="005E52FA">
    <w:pPr>
      <w:pStyle w:val="rightfooter"/>
    </w:pPr>
    <w:r>
      <w:fldChar w:fldCharType="begin"/>
    </w:r>
    <w:r>
      <w:instrText xml:space="preserve"> PAGE   \* MERGEFORMAT </w:instrText>
    </w:r>
    <w:r>
      <w:fldChar w:fldCharType="separate"/>
    </w:r>
    <w:r>
      <w:rPr>
        <w:noProof/>
      </w:rPr>
      <w:t>49</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D" w14:textId="77777777" w:rsidR="00BE0A98" w:rsidRDefault="00BE0A98" w:rsidP="005E52FA">
    <w:pPr>
      <w:pStyle w:val="rightfooter"/>
    </w:pPr>
    <w:r>
      <w:fldChar w:fldCharType="begin"/>
    </w:r>
    <w:r>
      <w:instrText xml:space="preserve"> PAGE  \* Arabic  \* MERGEFORMAT </w:instrText>
    </w:r>
    <w:r>
      <w:fldChar w:fldCharType="separate"/>
    </w:r>
    <w:r w:rsidR="00F3492D">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D1" w14:textId="77777777" w:rsidR="00BE0A98" w:rsidRDefault="00BE0A98" w:rsidP="00FC5605">
    <w:pPr>
      <w:pStyle w:val="leftfooter"/>
    </w:pPr>
    <w:r>
      <w:fldChar w:fldCharType="begin"/>
    </w:r>
    <w:r>
      <w:instrText xml:space="preserve"> PAGE   \* MERGEFORMAT </w:instrText>
    </w:r>
    <w:r>
      <w:fldChar w:fldCharType="separate"/>
    </w:r>
    <w:r w:rsidR="00F3492D">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1E1BD" w14:textId="77777777" w:rsidR="00BE0A98" w:rsidRDefault="00BE0A98" w:rsidP="00E679CA">
      <w:pPr>
        <w:spacing w:before="0" w:after="0"/>
      </w:pPr>
      <w:r>
        <w:separator/>
      </w:r>
    </w:p>
  </w:footnote>
  <w:footnote w:type="continuationSeparator" w:id="0">
    <w:p w14:paraId="5F63C020" w14:textId="77777777" w:rsidR="00BE0A98" w:rsidRDefault="00BE0A98" w:rsidP="00E679CA">
      <w:pPr>
        <w:spacing w:before="0" w:after="0"/>
      </w:pPr>
      <w:r>
        <w:continuationSeparator/>
      </w:r>
    </w:p>
  </w:footnote>
  <w:footnote w:type="continuationNotice" w:id="1">
    <w:p w14:paraId="5DAF0302" w14:textId="77777777" w:rsidR="00BE0A98" w:rsidRDefault="00BE0A98">
      <w:pPr>
        <w:spacing w:before="0" w:after="0"/>
      </w:pPr>
    </w:p>
  </w:footnote>
  <w:footnote w:id="2">
    <w:p w14:paraId="0AD3C889" w14:textId="77777777" w:rsidR="00BE0A98" w:rsidRDefault="00BE0A98">
      <w:pPr>
        <w:pStyle w:val="FootnoteText"/>
      </w:pPr>
      <w:r>
        <w:rPr>
          <w:rStyle w:val="FootnoteReference"/>
        </w:rPr>
        <w:footnoteRef/>
      </w:r>
      <w:r>
        <w:t xml:space="preserve">  </w:t>
      </w:r>
      <w:r>
        <w:tab/>
      </w:r>
      <w:r>
        <w:rPr>
          <w:lang w:val="en-US" w:eastAsia="en-US"/>
        </w:rPr>
        <w:t>These amendments replicate the provisions of the Commonwealth Registers Bill in the Corporations Act, Credit Act, and Business Names Act.</w:t>
      </w:r>
    </w:p>
  </w:footnote>
  <w:footnote w:id="3">
    <w:p w14:paraId="371103D5" w14:textId="77777777" w:rsidR="00BE0A98" w:rsidRDefault="00BE0A98" w:rsidP="007861CA">
      <w:pPr>
        <w:pStyle w:val="FootnoteText"/>
      </w:pPr>
      <w:r>
        <w:rPr>
          <w:rStyle w:val="FootnoteReference"/>
        </w:rPr>
        <w:footnoteRef/>
      </w:r>
      <w:r>
        <w:t xml:space="preserve"> </w:t>
      </w:r>
      <w:r>
        <w:tab/>
        <w:t>These related amendments fall into two categories. First, amendments to the Corporations Act, the Credit Act and the Business Names Act that replicate the new Act almost in its entirety with no substantive differences. These replications are included for constitutional reasons related to the terms upon which the states referred power to the Commonwealth for relevant matters. These terms require amendments relying on the referrals to be made to the Commonwealth Acts that were tabled in state parliaments in connection with each respective referral. All references in this memorandum to the ‘the new Act’ include the replicated provisions in the Corporations Act, Credit Act and the Business Names Act unless indicated otherwise. Second, amendments made to a number of Acts as a result, or in support, of the new regime. These amendments are referred to as ‘consequential amendments’ in this memorandum.</w:t>
      </w:r>
    </w:p>
  </w:footnote>
  <w:footnote w:id="4">
    <w:p w14:paraId="20F6A9F9" w14:textId="7E984A46" w:rsidR="00BE0A98" w:rsidRDefault="00BE0A98">
      <w:pPr>
        <w:pStyle w:val="FootnoteText"/>
      </w:pPr>
      <w:r>
        <w:rPr>
          <w:rStyle w:val="FootnoteReference"/>
        </w:rPr>
        <w:footnoteRef/>
      </w:r>
      <w:r>
        <w:t xml:space="preserve"> </w:t>
      </w:r>
      <w:r>
        <w:tab/>
        <w:t>Subject to the passage of the Treasury Laws Amendment (Corporate Collective Investment Vehicle) Bill 2018, this register would also cover companies registered as corporate collective investment vehicles (CCIVs). See Tranche 2 exposure draft legislation: Items 413 to 419, sections 1231B to 1231D of the Corporations Act.</w:t>
      </w:r>
    </w:p>
  </w:footnote>
  <w:footnote w:id="5">
    <w:p w14:paraId="5360CFD8" w14:textId="77777777" w:rsidR="00BE0A98" w:rsidRDefault="00BE0A98">
      <w:pPr>
        <w:pStyle w:val="FootnoteText"/>
      </w:pPr>
      <w:r>
        <w:rPr>
          <w:rStyle w:val="FootnoteReference"/>
        </w:rPr>
        <w:footnoteRef/>
      </w:r>
      <w:r>
        <w:t xml:space="preserve">    The transitional arrangement ends on 30 January 2019. The registrar may continue to hold historical data after this date.</w:t>
      </w:r>
    </w:p>
  </w:footnote>
  <w:footnote w:id="6">
    <w:p w14:paraId="5360CFD9" w14:textId="55849FC8" w:rsidR="00BE0A98" w:rsidRPr="00905D8F" w:rsidRDefault="00BE0A98" w:rsidP="00CD5B00">
      <w:pPr>
        <w:pStyle w:val="FootnoteText"/>
      </w:pPr>
      <w:r>
        <w:rPr>
          <w:rStyle w:val="FootnoteReference"/>
        </w:rPr>
        <w:footnoteRef/>
      </w:r>
      <w:r>
        <w:t xml:space="preserve">    </w:t>
      </w:r>
      <w:r w:rsidRPr="00CD5B00">
        <w:t>Register originally kept by virtue of section 789 of Corporations Act (repealed by Act No. 122) of 2001 and before that by section</w:t>
      </w:r>
      <w:r>
        <w:t xml:space="preserve"> </w:t>
      </w:r>
      <w:r w:rsidRPr="00CD5B00">
        <w:t xml:space="preserve">789 of the Corporations Law (as set out in section 82 of the </w:t>
      </w:r>
      <w:r w:rsidRPr="007A14CA">
        <w:rPr>
          <w:i/>
        </w:rPr>
        <w:t>Corporations Act 1989</w:t>
      </w:r>
      <w:r w:rsidRPr="00CD5B00">
        <w:t>).</w:t>
      </w:r>
    </w:p>
  </w:footnote>
  <w:footnote w:id="7">
    <w:p w14:paraId="5360CFDA" w14:textId="77777777" w:rsidR="00BE0A98" w:rsidRPr="00905D8F" w:rsidRDefault="00BE0A98" w:rsidP="00CD5B00">
      <w:pPr>
        <w:pStyle w:val="FootnoteText"/>
      </w:pPr>
      <w:r>
        <w:rPr>
          <w:rStyle w:val="FootnoteReference"/>
        </w:rPr>
        <w:footnoteRef/>
      </w:r>
      <w:r>
        <w:t xml:space="preserve">    </w:t>
      </w:r>
      <w:r w:rsidRPr="00CD5B00">
        <w:t>Register originally kept by virtue of section 789 of Corporations Act (repealed by Act No. 122) of 2001 and before that by section</w:t>
      </w:r>
      <w:r>
        <w:t xml:space="preserve"> </w:t>
      </w:r>
      <w:r w:rsidRPr="00CD5B00">
        <w:t xml:space="preserve">789 of the Corporations Law (as set out in section 82 of the </w:t>
      </w:r>
      <w:r w:rsidRPr="007A14CA">
        <w:rPr>
          <w:i/>
        </w:rPr>
        <w:t>Corporations Act 1989</w:t>
      </w:r>
      <w:r w:rsidRPr="00CD5B00">
        <w:t>).</w:t>
      </w:r>
    </w:p>
  </w:footnote>
  <w:footnote w:id="8">
    <w:p w14:paraId="5360CFDB" w14:textId="77777777" w:rsidR="00BE0A98" w:rsidRDefault="00BE0A98">
      <w:pPr>
        <w:pStyle w:val="FootnoteText"/>
      </w:pPr>
      <w:r>
        <w:rPr>
          <w:rStyle w:val="FootnoteReference"/>
        </w:rPr>
        <w:footnoteRef/>
      </w:r>
      <w:r>
        <w:t xml:space="preserve">    </w:t>
      </w:r>
      <w:proofErr w:type="gramStart"/>
      <w:r>
        <w:t>Described as the ‘relevant provider’ register in the regulations.</w:t>
      </w:r>
      <w:proofErr w:type="gramEnd"/>
    </w:p>
  </w:footnote>
  <w:footnote w:id="9">
    <w:p w14:paraId="5360CFDC" w14:textId="77777777" w:rsidR="00BE0A98" w:rsidRDefault="00BE0A98">
      <w:pPr>
        <w:pStyle w:val="FootnoteText"/>
      </w:pPr>
      <w:r>
        <w:rPr>
          <w:rStyle w:val="FootnoteReference"/>
        </w:rPr>
        <w:footnoteRef/>
      </w:r>
      <w:r>
        <w:t xml:space="preserve">    </w:t>
      </w:r>
      <w:proofErr w:type="gramStart"/>
      <w:r>
        <w:t>Formally kept under section 1286 of the Corporations Act.</w:t>
      </w:r>
      <w:proofErr w:type="gramEnd"/>
      <w:r>
        <w:t xml:space="preserve"> Section 1286 was repealed in 2016 by the </w:t>
      </w:r>
      <w:r w:rsidRPr="0011378F">
        <w:rPr>
          <w:i/>
        </w:rPr>
        <w:t>Insolvency Law Reform Act 2016</w:t>
      </w:r>
      <w:r>
        <w:t>, which inserted section 15</w:t>
      </w:r>
      <w:r>
        <w:noBreakHyphen/>
        <w:t>1 of Schedule 2 to the Corporations Act.</w:t>
      </w:r>
    </w:p>
  </w:footnote>
  <w:footnote w:id="10">
    <w:p w14:paraId="5360CFDD" w14:textId="77777777" w:rsidR="00BE0A98" w:rsidRDefault="00BE0A98">
      <w:pPr>
        <w:pStyle w:val="FootnoteText"/>
      </w:pPr>
      <w:r>
        <w:rPr>
          <w:rStyle w:val="FootnoteReference"/>
        </w:rPr>
        <w:footnoteRef/>
      </w:r>
      <w:r>
        <w:t xml:space="preserve">    Regulation 10.2.96 preserves the operation of subsection 1155(1) of the Corporations Act as originally enacted.</w:t>
      </w:r>
    </w:p>
  </w:footnote>
  <w:footnote w:id="11">
    <w:p w14:paraId="5360CFDE" w14:textId="77777777" w:rsidR="00BE0A98" w:rsidRDefault="00BE0A98" w:rsidP="00FA2A20">
      <w:pPr>
        <w:pStyle w:val="FootnoteText"/>
      </w:pPr>
      <w:r>
        <w:rPr>
          <w:rStyle w:val="FootnoteReference"/>
        </w:rPr>
        <w:footnoteRef/>
      </w:r>
      <w:r>
        <w:t xml:space="preserve">    Regulation 10.2.96 preserves the operation of subsection 789(1) of the Corporations Act as originally enacted.</w:t>
      </w:r>
    </w:p>
  </w:footnote>
  <w:footnote w:id="12">
    <w:p w14:paraId="5360CFDF" w14:textId="77777777" w:rsidR="00BE0A98" w:rsidRDefault="00BE0A98">
      <w:pPr>
        <w:pStyle w:val="FootnoteText"/>
      </w:pPr>
      <w:r>
        <w:rPr>
          <w:rStyle w:val="FootnoteReference"/>
        </w:rPr>
        <w:footnoteRef/>
      </w:r>
      <w:r>
        <w:t xml:space="preserve"> </w:t>
      </w:r>
      <w:r>
        <w:tab/>
        <w:t>Regulation 10.2.96 preserves the operation of a register kept for the purposes of maintaining information obtained under section 791 of the Corporations Act as originally enacted.</w:t>
      </w:r>
    </w:p>
  </w:footnote>
  <w:footnote w:id="13">
    <w:p w14:paraId="5360CFE0" w14:textId="77777777" w:rsidR="00BE0A98" w:rsidRDefault="00BE0A98" w:rsidP="00AB4BF9">
      <w:pPr>
        <w:pStyle w:val="FootnoteText"/>
      </w:pPr>
      <w:r>
        <w:rPr>
          <w:rStyle w:val="FootnoteReference"/>
        </w:rPr>
        <w:footnoteRef/>
      </w:r>
      <w:r>
        <w:t xml:space="preserve">    Regulation 10.2.96 preserves the operation of section 31E of the </w:t>
      </w:r>
      <w:r>
        <w:rPr>
          <w:i/>
        </w:rPr>
        <w:t>Insurance (Agents and Brokers) Act 1984</w:t>
      </w:r>
      <w:r>
        <w:t xml:space="preserve"> as in force immediately before the FSR commencement.</w:t>
      </w:r>
    </w:p>
  </w:footnote>
  <w:footnote w:id="14">
    <w:p w14:paraId="5360CFE1" w14:textId="77777777" w:rsidR="00BE0A98" w:rsidRDefault="00BE0A98" w:rsidP="00AB4BF9">
      <w:pPr>
        <w:pStyle w:val="FootnoteText"/>
      </w:pPr>
      <w:r>
        <w:rPr>
          <w:rStyle w:val="FootnoteReference"/>
        </w:rPr>
        <w:footnoteRef/>
      </w:r>
      <w:r>
        <w:t xml:space="preserve">    Regulation 10.2.96 preserves the operation of subsection 22(1) of the </w:t>
      </w:r>
      <w:r>
        <w:rPr>
          <w:i/>
        </w:rPr>
        <w:t>Insurance (Agents and Brokers) Act 1984</w:t>
      </w:r>
      <w:r>
        <w:t xml:space="preserve"> as in force immediately before the FSR commencement.</w:t>
      </w:r>
    </w:p>
  </w:footnote>
  <w:footnote w:id="15">
    <w:p w14:paraId="5360CFE2" w14:textId="77777777" w:rsidR="00BE0A98" w:rsidRDefault="00BE0A98" w:rsidP="00AB4BF9">
      <w:pPr>
        <w:pStyle w:val="FootnoteText"/>
      </w:pPr>
      <w:r>
        <w:rPr>
          <w:rStyle w:val="FootnoteReference"/>
        </w:rPr>
        <w:footnoteRef/>
      </w:r>
      <w:r>
        <w:t xml:space="preserve">   Regulation 10.2.96 preserves the operation of subsection 22(1) of the </w:t>
      </w:r>
      <w:r>
        <w:rPr>
          <w:i/>
        </w:rPr>
        <w:t>Insurance (Agents and Brokers) Act 1984</w:t>
      </w:r>
      <w:r>
        <w:t xml:space="preserve"> as in force immediately before the FSR commencement.</w:t>
      </w:r>
    </w:p>
  </w:footnote>
  <w:footnote w:id="16">
    <w:p w14:paraId="5360CFE3" w14:textId="77777777" w:rsidR="00BE0A98" w:rsidRDefault="00BE0A98" w:rsidP="009A64FC">
      <w:pPr>
        <w:pStyle w:val="FootnoteText"/>
      </w:pPr>
      <w:r>
        <w:rPr>
          <w:rStyle w:val="FootnoteReference"/>
        </w:rPr>
        <w:footnoteRef/>
      </w:r>
      <w:r>
        <w:t xml:space="preserve">   Section 7 of the </w:t>
      </w:r>
      <w:r w:rsidRPr="009A64FC">
        <w:rPr>
          <w:i/>
        </w:rPr>
        <w:t>Public Service Act 1999</w:t>
      </w:r>
      <w:r>
        <w:t xml:space="preserve"> defines Agency to mean: a Department, an Executive Agency; or a Statutory Agency. Section 4A of the </w:t>
      </w:r>
      <w:r w:rsidRPr="003443D7">
        <w:rPr>
          <w:i/>
        </w:rPr>
        <w:t>Taxation Administration Act 1953</w:t>
      </w:r>
      <w:r>
        <w:t xml:space="preserve"> provides that for the purposes of the Public Service Act, the Commissioner and the APS employees assisting the Commissioner together constitute a Statutory Agency.</w:t>
      </w:r>
    </w:p>
  </w:footnote>
  <w:footnote w:id="17">
    <w:p w14:paraId="5360CFE5" w14:textId="77777777" w:rsidR="00BE0A98" w:rsidRDefault="00BE0A98">
      <w:pPr>
        <w:pStyle w:val="FootnoteText"/>
      </w:pPr>
      <w:r>
        <w:rPr>
          <w:rStyle w:val="FootnoteReference"/>
        </w:rPr>
        <w:footnoteRef/>
      </w:r>
      <w:r>
        <w:t xml:space="preserve">   The ability to integrate and link information is important to the effective and efficient administration of the new registry regime given that the data being brought into the new regime is currently maintained on a number of discrete registers and includes historical data.</w:t>
      </w:r>
    </w:p>
  </w:footnote>
  <w:footnote w:id="18">
    <w:p w14:paraId="5360CFE6" w14:textId="77777777" w:rsidR="00BE0A98" w:rsidRDefault="00BE0A98">
      <w:pPr>
        <w:pStyle w:val="FootnoteText"/>
      </w:pPr>
      <w:r>
        <w:rPr>
          <w:rStyle w:val="FootnoteReference"/>
        </w:rPr>
        <w:footnoteRef/>
      </w:r>
      <w:r>
        <w:t xml:space="preserve">   </w:t>
      </w:r>
      <w:r w:rsidRPr="001C3EED">
        <w:rPr>
          <w:b/>
        </w:rPr>
        <w:t>Official employment</w:t>
      </w:r>
      <w:r>
        <w:t xml:space="preserve"> is defined by the new law to capture persons who may have access to information under the new regime because they are employed by the Commonwealth or are a delegate of the registrar. In particular, a person is in official employment for the purposes of the new law if they are: appointed or employed by the Commonwealth; perform services for the Commonwealth (for example, as a contractor); or exercise powers or perform functions under a delegation by the registrar.</w:t>
      </w:r>
    </w:p>
  </w:footnote>
  <w:footnote w:id="19">
    <w:p w14:paraId="5360CFE7" w14:textId="77777777" w:rsidR="00BE0A98" w:rsidRPr="00D22FD1" w:rsidRDefault="00BE0A98">
      <w:pPr>
        <w:pStyle w:val="FootnoteText"/>
      </w:pPr>
      <w:r>
        <w:rPr>
          <w:rStyle w:val="FootnoteReference"/>
        </w:rPr>
        <w:footnoteRef/>
      </w:r>
      <w:r>
        <w:t xml:space="preserve">  </w:t>
      </w:r>
      <w:r>
        <w:tab/>
      </w:r>
      <w:r w:rsidRPr="00D22FD1">
        <w:rPr>
          <w:b/>
        </w:rPr>
        <w:t>Protected information</w:t>
      </w:r>
      <w:r>
        <w:rPr>
          <w:b/>
        </w:rPr>
        <w:t xml:space="preserve"> </w:t>
      </w:r>
      <w:r>
        <w:t>is defined in the new law so as to capture information disclosed or obtained by a person in the course of their duties in relation to the new registers regime. In particular, the new law defines protected information to mean information: obtained by a person in the course of the person’s official employment; and, disclosed to, or obtained by, any person under, or in relation to, the new registry regime (which includes the new Act or another Commonwealth law in connection with particular functions or powers of the Registrar).</w:t>
      </w:r>
    </w:p>
  </w:footnote>
  <w:footnote w:id="20">
    <w:p w14:paraId="5360CFE8" w14:textId="77777777" w:rsidR="00BE0A98" w:rsidRDefault="00BE0A98">
      <w:pPr>
        <w:pStyle w:val="FootnoteText"/>
      </w:pPr>
      <w:r>
        <w:rPr>
          <w:rStyle w:val="FootnoteReference"/>
        </w:rPr>
        <w:footnoteRef/>
      </w:r>
      <w:r>
        <w:t xml:space="preserve">   See section 127 of the ASIC Act.</w:t>
      </w:r>
    </w:p>
  </w:footnote>
  <w:footnote w:id="21">
    <w:p w14:paraId="5360CFE9" w14:textId="77777777" w:rsidR="00BE0A98" w:rsidRDefault="00BE0A98" w:rsidP="006F2367">
      <w:pPr>
        <w:pStyle w:val="FootnoteText"/>
      </w:pPr>
      <w:r>
        <w:rPr>
          <w:rStyle w:val="FootnoteReference"/>
        </w:rPr>
        <w:footnoteRef/>
      </w:r>
      <w:r>
        <w:t xml:space="preserve"> </w:t>
      </w:r>
      <w:r>
        <w:tab/>
        <w:t>See section 30 of the ABN Act.</w:t>
      </w:r>
    </w:p>
  </w:footnote>
  <w:footnote w:id="22">
    <w:p w14:paraId="5360CFEA" w14:textId="77777777" w:rsidR="00BE0A98" w:rsidRDefault="00BE0A98" w:rsidP="006F2367">
      <w:pPr>
        <w:pStyle w:val="FootnoteText"/>
      </w:pPr>
      <w:r>
        <w:rPr>
          <w:rStyle w:val="FootnoteReference"/>
        </w:rPr>
        <w:footnoteRef/>
      </w:r>
      <w:r>
        <w:t xml:space="preserve"> </w:t>
      </w:r>
      <w:r>
        <w:tab/>
        <w:t xml:space="preserve">See section 355-25 of Schedule 1 to the </w:t>
      </w:r>
      <w:r>
        <w:rPr>
          <w:i/>
        </w:rPr>
        <w:t>Taxation Administration Act 1953</w:t>
      </w:r>
      <w:r>
        <w:t>.</w:t>
      </w:r>
    </w:p>
  </w:footnote>
  <w:footnote w:id="23">
    <w:p w14:paraId="5360CFEB" w14:textId="77777777" w:rsidR="00BE0A98" w:rsidRDefault="00BE0A98" w:rsidP="006F2367">
      <w:pPr>
        <w:pStyle w:val="FootnoteText"/>
      </w:pPr>
      <w:r>
        <w:rPr>
          <w:rStyle w:val="FootnoteReference"/>
        </w:rPr>
        <w:footnoteRef/>
      </w:r>
      <w:r>
        <w:t xml:space="preserve"> </w:t>
      </w:r>
      <w:r>
        <w:tab/>
        <w:t>Attorney-General’s Department, September 2011 edition.</w:t>
      </w:r>
    </w:p>
  </w:footnote>
  <w:footnote w:id="24">
    <w:p w14:paraId="5360CFEC" w14:textId="4491D772" w:rsidR="00BE0A98" w:rsidRPr="00616547" w:rsidRDefault="00BE0A98">
      <w:pPr>
        <w:pStyle w:val="FootnoteText"/>
      </w:pPr>
      <w:r>
        <w:rPr>
          <w:rStyle w:val="FootnoteReference"/>
        </w:rPr>
        <w:footnoteRef/>
      </w:r>
      <w:r>
        <w:t xml:space="preserve"> </w:t>
      </w:r>
      <w:r>
        <w:tab/>
      </w:r>
      <w:r w:rsidRPr="00B273F0">
        <w:rPr>
          <w:b/>
        </w:rPr>
        <w:t>Government entity</w:t>
      </w:r>
      <w:r>
        <w:t xml:space="preserve"> is defined in the new law as having the meaning given by section 41 of the ABN Act. That section defines government entity as including: a department of state of the Commonwealth, a state or a territory; a department of the Parliament established under the </w:t>
      </w:r>
      <w:r w:rsidRPr="00616547">
        <w:rPr>
          <w:i/>
        </w:rPr>
        <w:t>Parliamentary Services Act 1999</w:t>
      </w:r>
      <w:r>
        <w:t xml:space="preserve">; an Executive Agency, or Statutory Agency, within the meaning of the </w:t>
      </w:r>
      <w:r w:rsidRPr="00616547">
        <w:rPr>
          <w:i/>
        </w:rPr>
        <w:t>Public Service Act 1999</w:t>
      </w:r>
      <w:r>
        <w:t>; and certain organisations established by the Commonwealth, a state or a territory to carry on an enterprise or established for a public purpose by an Australian law.</w:t>
      </w:r>
    </w:p>
  </w:footnote>
  <w:footnote w:id="25">
    <w:p w14:paraId="5360CFED" w14:textId="77777777" w:rsidR="00BE0A98" w:rsidRDefault="00BE0A98" w:rsidP="003443FA">
      <w:pPr>
        <w:pStyle w:val="FootnoteText"/>
      </w:pPr>
      <w:r>
        <w:rPr>
          <w:rStyle w:val="FootnoteReference"/>
        </w:rPr>
        <w:footnoteRef/>
      </w:r>
      <w:r>
        <w:t xml:space="preserve"> </w:t>
      </w:r>
      <w:r>
        <w:tab/>
        <w:t xml:space="preserve">See subsection 13.3(3) of the </w:t>
      </w:r>
      <w:r w:rsidRPr="00AC2F24">
        <w:rPr>
          <w:i/>
        </w:rPr>
        <w:t>Criminal Code</w:t>
      </w:r>
      <w:r>
        <w:t>.</w:t>
      </w:r>
    </w:p>
  </w:footnote>
  <w:footnote w:id="26">
    <w:p w14:paraId="5360CFEE" w14:textId="77777777" w:rsidR="00BE0A98" w:rsidRPr="002B7C53" w:rsidRDefault="00BE0A98">
      <w:pPr>
        <w:pStyle w:val="FootnoteText"/>
      </w:pPr>
      <w:r>
        <w:rPr>
          <w:rStyle w:val="FootnoteReference"/>
        </w:rPr>
        <w:footnoteRef/>
      </w:r>
      <w:r>
        <w:t xml:space="preserve"> </w:t>
      </w:r>
      <w:r>
        <w:tab/>
        <w:t xml:space="preserve">The new law defines </w:t>
      </w:r>
      <w:r w:rsidRPr="002B7C53">
        <w:rPr>
          <w:b/>
        </w:rPr>
        <w:t>secrecy provision</w:t>
      </w:r>
      <w:r>
        <w:t xml:space="preserve"> for this purpose as a provision of a law of the Commonwealth (other than under the new regime) that prohibits or regulates the use or disclosure of information.</w:t>
      </w:r>
    </w:p>
  </w:footnote>
  <w:footnote w:id="27">
    <w:p w14:paraId="5360CFEF" w14:textId="77777777" w:rsidR="00BE0A98" w:rsidRDefault="00BE0A98">
      <w:pPr>
        <w:pStyle w:val="FootnoteText"/>
      </w:pPr>
      <w:r>
        <w:rPr>
          <w:rStyle w:val="FootnoteReference"/>
        </w:rPr>
        <w:footnoteRef/>
      </w:r>
      <w:r>
        <w:t xml:space="preserve"> </w:t>
      </w:r>
      <w:r>
        <w:tab/>
        <w:t>The registrar may request and record tax file numbers only for the purposes of the director identification number regime (see Chapter 2 of this memorandum). The effect of designating section 8WB is that the Registrar is unable to disclose tax file information it holds unless otherwise authorised by law.</w:t>
      </w:r>
    </w:p>
  </w:footnote>
  <w:footnote w:id="28">
    <w:p w14:paraId="5360CFF0" w14:textId="77777777" w:rsidR="00BE0A98" w:rsidRDefault="00BE0A98">
      <w:pPr>
        <w:pStyle w:val="FootnoteText"/>
      </w:pPr>
      <w:r>
        <w:rPr>
          <w:rStyle w:val="FootnoteReference"/>
        </w:rPr>
        <w:footnoteRef/>
      </w:r>
      <w:r>
        <w:t xml:space="preserve"> </w:t>
      </w:r>
      <w:r>
        <w:tab/>
        <w:t>See the Productivity Commission report Data Availability and Use, May 2017, at pp 33, 131 to 133 and 331.</w:t>
      </w:r>
    </w:p>
  </w:footnote>
  <w:footnote w:id="29">
    <w:p w14:paraId="5360CFF1" w14:textId="77777777" w:rsidR="00BE0A98" w:rsidRDefault="00BE0A98">
      <w:pPr>
        <w:pStyle w:val="FootnoteText"/>
      </w:pPr>
      <w:r>
        <w:rPr>
          <w:rStyle w:val="FootnoteReference"/>
        </w:rPr>
        <w:footnoteRef/>
      </w:r>
      <w:r>
        <w:t xml:space="preserve"> </w:t>
      </w:r>
      <w:r>
        <w:tab/>
        <w:t>However, note that the definition in the new regime is confined to only Australian business laws.</w:t>
      </w:r>
    </w:p>
  </w:footnote>
  <w:footnote w:id="30">
    <w:p w14:paraId="5360CFF2" w14:textId="77777777" w:rsidR="00BE0A98" w:rsidRDefault="00BE0A98">
      <w:pPr>
        <w:pStyle w:val="FootnoteText"/>
      </w:pPr>
      <w:r>
        <w:rPr>
          <w:rStyle w:val="FootnoteReference"/>
        </w:rPr>
        <w:footnoteRef/>
      </w:r>
      <w:r>
        <w:t xml:space="preserve"> </w:t>
      </w:r>
      <w:r>
        <w:tab/>
        <w:t>Note that the relevant information may still be recorded or disclosed: for the purposes of the new law (for example, storing the information in a register); or, in the course of the performance of the duties of a person’s official employment in relation to the Registrar or any other government entity (for example, this may occur to assist an entity enforce a law of the Commonwealth).</w:t>
      </w:r>
    </w:p>
  </w:footnote>
  <w:footnote w:id="31">
    <w:p w14:paraId="5360CFF3" w14:textId="77777777" w:rsidR="00BE0A98" w:rsidRDefault="00BE0A98">
      <w:pPr>
        <w:pStyle w:val="FootnoteText"/>
      </w:pPr>
      <w:r>
        <w:rPr>
          <w:rStyle w:val="FootnoteReference"/>
        </w:rPr>
        <w:footnoteRef/>
      </w:r>
      <w:r>
        <w:t xml:space="preserve"> </w:t>
      </w:r>
      <w:r>
        <w:tab/>
        <w:t>S</w:t>
      </w:r>
      <w:r w:rsidRPr="00B623B1">
        <w:t xml:space="preserve">ee, for example, </w:t>
      </w:r>
      <w:r>
        <w:t xml:space="preserve">section 29 of the </w:t>
      </w:r>
      <w:r w:rsidRPr="00B623B1">
        <w:rPr>
          <w:i/>
        </w:rPr>
        <w:t>Competition and Consumer Act 2010</w:t>
      </w:r>
      <w:r>
        <w:t xml:space="preserve"> and </w:t>
      </w:r>
      <w:r w:rsidRPr="00B623B1">
        <w:t xml:space="preserve">section 12 of the </w:t>
      </w:r>
      <w:r>
        <w:rPr>
          <w:i/>
        </w:rPr>
        <w:t>Australian Securities and Investments Commission Act 2001</w:t>
      </w:r>
      <w:r w:rsidRPr="00B623B1">
        <w:t>.</w:t>
      </w:r>
    </w:p>
  </w:footnote>
  <w:footnote w:id="32">
    <w:p w14:paraId="5360CFF4" w14:textId="7FFC42A7" w:rsidR="00BE0A98" w:rsidRDefault="00BE0A98">
      <w:pPr>
        <w:pStyle w:val="FootnoteText"/>
      </w:pPr>
      <w:r>
        <w:rPr>
          <w:rStyle w:val="FootnoteReference"/>
        </w:rPr>
        <w:footnoteRef/>
      </w:r>
      <w:r>
        <w:t xml:space="preserve"> </w:t>
      </w:r>
      <w:r>
        <w:tab/>
        <w:t>As already noted, the use of rules as opposed to regulations reflects current drafting practice.</w:t>
      </w:r>
    </w:p>
  </w:footnote>
  <w:footnote w:id="33">
    <w:p w14:paraId="5360CFF5" w14:textId="77777777" w:rsidR="00BE0A98" w:rsidRDefault="00BE0A98" w:rsidP="0057501A">
      <w:pPr>
        <w:pStyle w:val="FootnoteText"/>
      </w:pPr>
      <w:r>
        <w:rPr>
          <w:rStyle w:val="FootnoteReference"/>
        </w:rPr>
        <w:footnoteRef/>
      </w:r>
      <w:r>
        <w:t xml:space="preserve">   See the </w:t>
      </w:r>
      <w:r w:rsidRPr="00155DC7">
        <w:rPr>
          <w:i/>
        </w:rPr>
        <w:t>Legislation Act 2003</w:t>
      </w:r>
      <w:r>
        <w:t>.</w:t>
      </w:r>
    </w:p>
  </w:footnote>
  <w:footnote w:id="34">
    <w:p w14:paraId="08D345DB" w14:textId="77777777" w:rsidR="00BE0A98" w:rsidRDefault="00BE0A98">
      <w:pPr>
        <w:pStyle w:val="FootnoteText"/>
      </w:pPr>
      <w:r>
        <w:rPr>
          <w:rStyle w:val="FootnoteReference"/>
        </w:rPr>
        <w:footnoteRef/>
      </w:r>
      <w:r>
        <w:t xml:space="preserve"> </w:t>
      </w:r>
      <w:r>
        <w:tab/>
        <w:t xml:space="preserve">These consequential amendments are contained in </w:t>
      </w:r>
      <w:r>
        <w:rPr>
          <w:lang w:val="en-US" w:eastAsia="en-US"/>
        </w:rPr>
        <w:t xml:space="preserve">Part 2 of Schedule 1 of the </w:t>
      </w:r>
      <w:r>
        <w:rPr>
          <w:lang w:eastAsia="en-US"/>
        </w:rPr>
        <w:t>Treasury Laws Amendment (R</w:t>
      </w:r>
      <w:r w:rsidRPr="00416AF8">
        <w:rPr>
          <w:lang w:eastAsia="en-US"/>
        </w:rPr>
        <w:t xml:space="preserve">egistries Modernisation and </w:t>
      </w:r>
      <w:r>
        <w:rPr>
          <w:lang w:eastAsia="en-US"/>
        </w:rPr>
        <w:t>Other Measures) Bill </w:t>
      </w:r>
      <w:r w:rsidRPr="00416AF8">
        <w:rPr>
          <w:lang w:eastAsia="en-US"/>
        </w:rPr>
        <w:t>2018</w:t>
      </w:r>
      <w:r>
        <w:rPr>
          <w:lang w:eastAsia="en-US"/>
        </w:rPr>
        <w:t>.</w:t>
      </w:r>
    </w:p>
  </w:footnote>
  <w:footnote w:id="35">
    <w:p w14:paraId="5360CFF6" w14:textId="77777777" w:rsidR="00BE0A98" w:rsidRDefault="00BE0A98">
      <w:pPr>
        <w:pStyle w:val="FootnoteText"/>
      </w:pPr>
      <w:r>
        <w:rPr>
          <w:rStyle w:val="FootnoteReference"/>
        </w:rPr>
        <w:footnoteRef/>
      </w:r>
      <w:r>
        <w:t xml:space="preserve"> </w:t>
      </w:r>
      <w:r>
        <w:tab/>
        <w:t xml:space="preserve">For example, ASIC retains the power to commence criminal proceedings for all offences under the Corporations Act (see section 1315 of that Act). There are also some key areas of regulatory function and power, which operate in tandem with register provision, that will remain with ASIC. These include: </w:t>
      </w:r>
      <w:r w:rsidRPr="006E2597">
        <w:t>deciding whether an entity should be registered for the purposes of some professional registers and for the Managed Investment Scheme register;</w:t>
      </w:r>
      <w:r>
        <w:t xml:space="preserve"> determining what information must be provided by administrators of insolvent companies; and using discretion to decide when entities should be deregistered on the basis of non-compliance with regulatory provisions.</w:t>
      </w:r>
    </w:p>
  </w:footnote>
  <w:footnote w:id="36">
    <w:p w14:paraId="5360CFF7" w14:textId="77777777" w:rsidR="00BE0A98" w:rsidRDefault="00BE0A98">
      <w:pPr>
        <w:pStyle w:val="FootnoteText"/>
      </w:pPr>
      <w:r>
        <w:rPr>
          <w:rStyle w:val="FootnoteReference"/>
        </w:rPr>
        <w:footnoteRef/>
      </w:r>
      <w:r>
        <w:t xml:space="preserve"> </w:t>
      </w:r>
      <w:r>
        <w:tab/>
        <w:t>In particular, the new law abolishes any subject matter specific registers in affected laws and replaces them with a regime in which all information related to those functions and powers is held by the registrar.</w:t>
      </w:r>
    </w:p>
  </w:footnote>
  <w:footnote w:id="37">
    <w:p w14:paraId="5360CFF8" w14:textId="77777777" w:rsidR="00BE0A98" w:rsidRDefault="00BE0A98">
      <w:pPr>
        <w:pStyle w:val="FootnoteText"/>
      </w:pPr>
      <w:r>
        <w:rPr>
          <w:rStyle w:val="FootnoteReference"/>
        </w:rPr>
        <w:footnoteRef/>
      </w:r>
      <w:r>
        <w:t xml:space="preserve">   S</w:t>
      </w:r>
      <w:r w:rsidRPr="00077B2C">
        <w:t xml:space="preserve">ee recommendation 15.6 of the </w:t>
      </w:r>
      <w:r>
        <w:t>Productivity C</w:t>
      </w:r>
      <w:r w:rsidRPr="00077B2C">
        <w:t>ommission’s report</w:t>
      </w:r>
    </w:p>
  </w:footnote>
  <w:footnote w:id="38">
    <w:p w14:paraId="5360CFF9" w14:textId="77777777" w:rsidR="00BE0A98" w:rsidRDefault="00BE0A98">
      <w:pPr>
        <w:pStyle w:val="FootnoteText"/>
      </w:pPr>
      <w:r>
        <w:rPr>
          <w:rStyle w:val="FootnoteReference"/>
        </w:rPr>
        <w:footnoteRef/>
      </w:r>
      <w:r>
        <w:t xml:space="preserve"> </w:t>
      </w:r>
      <w:r>
        <w:tab/>
        <w:t>A ‘de facto’ director is a person who is not validly appointed as a director but who acts in the position of a director. See the definition of ‘director’ in section 9 of the Corporations Act and section 683-1 of the CATSI Act.</w:t>
      </w:r>
    </w:p>
  </w:footnote>
  <w:footnote w:id="39">
    <w:p w14:paraId="5360CFFA" w14:textId="77777777" w:rsidR="00BE0A98" w:rsidRDefault="00BE0A98">
      <w:pPr>
        <w:pStyle w:val="FootnoteText"/>
      </w:pPr>
      <w:r>
        <w:rPr>
          <w:rStyle w:val="FootnoteReference"/>
        </w:rPr>
        <w:footnoteRef/>
      </w:r>
      <w:r>
        <w:t xml:space="preserve"> </w:t>
      </w:r>
      <w:r>
        <w:tab/>
        <w:t>A ‘shadow director’ is a person who is not validly appointed as a director but the directors of the body are accustomed to act in accordance with the person’s instructions or wishes.</w:t>
      </w:r>
    </w:p>
  </w:footnote>
  <w:footnote w:id="40">
    <w:p w14:paraId="5360CFFB" w14:textId="77777777" w:rsidR="00BE0A98" w:rsidRDefault="00BE0A98">
      <w:pPr>
        <w:pStyle w:val="FootnoteText"/>
      </w:pPr>
      <w:r>
        <w:rPr>
          <w:rStyle w:val="FootnoteReference"/>
        </w:rPr>
        <w:footnoteRef/>
      </w:r>
      <w:r>
        <w:t xml:space="preserve"> </w:t>
      </w:r>
      <w:r>
        <w:tab/>
        <w:t>The statement in the legislation that class exemptions are made by way of legislative instruments is inserted to assist readers. Such instruments are legislative in nature as they determine the law or alter the content of the law, rather than determine particular cases or particular circumstances in which the law is to apply or is not to apply.</w:t>
      </w:r>
    </w:p>
  </w:footnote>
  <w:footnote w:id="41">
    <w:p w14:paraId="5360CFFC" w14:textId="77777777" w:rsidR="00BE0A98" w:rsidRDefault="00BE0A98">
      <w:pPr>
        <w:pStyle w:val="FootnoteText"/>
      </w:pPr>
      <w:r>
        <w:rPr>
          <w:rStyle w:val="FootnoteReference"/>
        </w:rPr>
        <w:footnoteRef/>
      </w:r>
      <w:r>
        <w:t xml:space="preserve"> </w:t>
      </w:r>
      <w:r>
        <w:tab/>
        <w:t xml:space="preserve">See section 8 of the </w:t>
      </w:r>
      <w:r w:rsidRPr="004F2F4F">
        <w:rPr>
          <w:i/>
        </w:rPr>
        <w:t>Legislation Act 2003</w:t>
      </w:r>
      <w:r>
        <w:t>.</w:t>
      </w:r>
    </w:p>
  </w:footnote>
  <w:footnote w:id="42">
    <w:p w14:paraId="5360CFFD" w14:textId="77777777" w:rsidR="00BE0A98" w:rsidRDefault="00BE0A98">
      <w:pPr>
        <w:pStyle w:val="FootnoteText"/>
      </w:pPr>
      <w:r>
        <w:rPr>
          <w:rStyle w:val="FootnoteReference"/>
        </w:rPr>
        <w:footnoteRef/>
      </w:r>
      <w:r>
        <w:t xml:space="preserve"> </w:t>
      </w:r>
      <w:r>
        <w:tab/>
        <w:t>S</w:t>
      </w:r>
      <w:r w:rsidRPr="003938DE">
        <w:t>ee Part 2A.12</w:t>
      </w:r>
      <w:r>
        <w:t xml:space="preserve"> of the Corporations Act</w:t>
      </w:r>
    </w:p>
  </w:footnote>
  <w:footnote w:id="43">
    <w:p w14:paraId="5360CFFE" w14:textId="77777777" w:rsidR="00BE0A98" w:rsidRDefault="00BE0A98">
      <w:pPr>
        <w:pStyle w:val="FootnoteText"/>
      </w:pPr>
      <w:r>
        <w:rPr>
          <w:rStyle w:val="FootnoteReference"/>
        </w:rPr>
        <w:footnoteRef/>
      </w:r>
      <w:r>
        <w:t xml:space="preserve"> </w:t>
      </w:r>
      <w:r>
        <w:tab/>
        <w:t>S</w:t>
      </w:r>
      <w:r w:rsidRPr="003938DE">
        <w:t xml:space="preserve">ee </w:t>
      </w:r>
      <w:r>
        <w:t>P</w:t>
      </w:r>
      <w:r w:rsidRPr="003938DE">
        <w:t>art 2A.2</w:t>
      </w:r>
      <w:r>
        <w:t xml:space="preserve"> of the Corporations Act.</w:t>
      </w:r>
    </w:p>
  </w:footnote>
  <w:footnote w:id="44">
    <w:p w14:paraId="4F5B721E" w14:textId="77777777" w:rsidR="00BE0A98" w:rsidRDefault="00BE0A98">
      <w:pPr>
        <w:pStyle w:val="FootnoteText"/>
      </w:pPr>
      <w:r>
        <w:rPr>
          <w:rStyle w:val="FootnoteReference"/>
        </w:rPr>
        <w:footnoteRef/>
      </w:r>
      <w:r>
        <w:t xml:space="preserve"> </w:t>
      </w:r>
      <w:r>
        <w:tab/>
        <w:t>Under section 601FA of the Corporations Act</w:t>
      </w:r>
      <w:r w:rsidRPr="00EE1858">
        <w:t xml:space="preserve"> a responsible entity for </w:t>
      </w:r>
      <w:r>
        <w:t xml:space="preserve">such a scheme </w:t>
      </w:r>
      <w:r w:rsidRPr="00EE1858">
        <w:t>must be a public company</w:t>
      </w:r>
      <w:r>
        <w:t>.</w:t>
      </w:r>
    </w:p>
  </w:footnote>
  <w:footnote w:id="45">
    <w:p w14:paraId="0235D9AB" w14:textId="77777777" w:rsidR="00BE0A98" w:rsidRDefault="00BE0A98">
      <w:pPr>
        <w:pStyle w:val="FootnoteText"/>
      </w:pPr>
      <w:r>
        <w:rPr>
          <w:rStyle w:val="FootnoteReference"/>
        </w:rPr>
        <w:footnoteRef/>
      </w:r>
      <w:r>
        <w:t xml:space="preserve"> </w:t>
      </w:r>
      <w:r>
        <w:tab/>
        <w:t xml:space="preserve">The DIN requirement applies whether or not a company registered under the Corporations Act is also registered under another law for a particular purpose, for example as a not-for-profit entity under the </w:t>
      </w:r>
      <w:r w:rsidRPr="00E80312">
        <w:rPr>
          <w:i/>
        </w:rPr>
        <w:t>Australian Charities and Not-For Profits Commission Act 2012</w:t>
      </w:r>
      <w:r>
        <w:t>.</w:t>
      </w:r>
    </w:p>
  </w:footnote>
  <w:footnote w:id="46">
    <w:p w14:paraId="5360CFFF" w14:textId="77777777" w:rsidR="00BE0A98" w:rsidRDefault="00BE0A98" w:rsidP="0092530E">
      <w:pPr>
        <w:pStyle w:val="tabledotpoint"/>
        <w:numPr>
          <w:ilvl w:val="0"/>
          <w:numId w:val="0"/>
        </w:numPr>
        <w:ind w:left="284" w:hanging="284"/>
      </w:pPr>
      <w:r>
        <w:rPr>
          <w:rStyle w:val="FootnoteReference"/>
        </w:rPr>
        <w:footnoteRef/>
      </w:r>
      <w:r>
        <w:t xml:space="preserve"> </w:t>
      </w:r>
      <w:r>
        <w:tab/>
        <w:t>See s</w:t>
      </w:r>
      <w:r w:rsidRPr="00EE1858">
        <w:t>ection 1378</w:t>
      </w:r>
      <w:r>
        <w:t xml:space="preserve"> of the Corporations Act, which</w:t>
      </w:r>
      <w:r w:rsidRPr="00EE1858">
        <w:t xml:space="preserve"> provides that companies registered under Part 2A.2 of the old Corporations Law of a State or Territory continue to be registered as if they were registered under Part 2A.2 of the Corporations Act.</w:t>
      </w:r>
    </w:p>
  </w:footnote>
  <w:footnote w:id="47">
    <w:p w14:paraId="5360D000" w14:textId="77777777" w:rsidR="00BE0A98" w:rsidRDefault="00BE0A98" w:rsidP="00F373B9">
      <w:pPr>
        <w:pStyle w:val="FootnoteText"/>
      </w:pPr>
      <w:r>
        <w:rPr>
          <w:rStyle w:val="FootnoteReference"/>
        </w:rPr>
        <w:footnoteRef/>
      </w:r>
      <w:r>
        <w:t xml:space="preserve"> </w:t>
      </w:r>
      <w:r>
        <w:tab/>
        <w:t>Section 21 provides that a body corporate that has a place of business in Australia carries on business in Australia. The section (and Division 3 of Part 1.2 of the Act more generally) also provides some additional information to elucidate the concept of carrying on a business. However, the term is not comprehensively defined in the Act.</w:t>
      </w:r>
    </w:p>
  </w:footnote>
  <w:footnote w:id="48">
    <w:p w14:paraId="5360D001" w14:textId="77777777" w:rsidR="00BE0A98" w:rsidRPr="003B04FC" w:rsidRDefault="00BE0A98" w:rsidP="00F373B9">
      <w:pPr>
        <w:pStyle w:val="FootnoteText"/>
        <w:rPr>
          <w:lang w:val="en-US"/>
        </w:rPr>
      </w:pPr>
      <w:r>
        <w:rPr>
          <w:rStyle w:val="FootnoteReference"/>
        </w:rPr>
        <w:footnoteRef/>
      </w:r>
      <w:r>
        <w:t xml:space="preserve"> </w:t>
      </w:r>
      <w:r>
        <w:tab/>
        <w:t xml:space="preserve">‘In Australia’ or ‘in this jurisdiction’ means within the geographic area of each state and territory in Australia, including the coastal sea and, for the purposes of Chapter 7, any prescribed </w:t>
      </w:r>
      <w:r w:rsidRPr="003B04FC">
        <w:t>external</w:t>
      </w:r>
      <w:r>
        <w:t xml:space="preserve"> territory: see section 5 (General territorial application of Act) and the definition of ‘Australia’ in section 9.</w:t>
      </w:r>
    </w:p>
  </w:footnote>
  <w:footnote w:id="49">
    <w:p w14:paraId="5360D002" w14:textId="77777777" w:rsidR="00BE0A98" w:rsidRDefault="00BE0A98">
      <w:pPr>
        <w:pStyle w:val="FootnoteText"/>
      </w:pPr>
      <w:r>
        <w:rPr>
          <w:rStyle w:val="FootnoteReference"/>
        </w:rPr>
        <w:footnoteRef/>
      </w:r>
      <w:r>
        <w:t xml:space="preserve"> </w:t>
      </w:r>
      <w:r>
        <w:tab/>
        <w:t>See section 601CD of the Corporations Act.</w:t>
      </w:r>
    </w:p>
  </w:footnote>
  <w:footnote w:id="50">
    <w:p w14:paraId="5360D003" w14:textId="77777777" w:rsidR="00BE0A98" w:rsidRDefault="00BE0A98">
      <w:pPr>
        <w:pStyle w:val="FootnoteText"/>
      </w:pPr>
      <w:r>
        <w:rPr>
          <w:rStyle w:val="FootnoteReference"/>
        </w:rPr>
        <w:footnoteRef/>
      </w:r>
      <w:r>
        <w:t xml:space="preserve"> </w:t>
      </w:r>
      <w:r>
        <w:tab/>
        <w:t xml:space="preserve">See </w:t>
      </w:r>
      <w:r w:rsidRPr="005913B7">
        <w:t>section 601CE</w:t>
      </w:r>
      <w:r>
        <w:t xml:space="preserve"> of the Corporations Act.</w:t>
      </w:r>
    </w:p>
  </w:footnote>
  <w:footnote w:id="51">
    <w:p w14:paraId="5360D004" w14:textId="77777777" w:rsidR="00BE0A98" w:rsidRDefault="00BE0A98">
      <w:pPr>
        <w:pStyle w:val="FootnoteText"/>
      </w:pPr>
      <w:r>
        <w:rPr>
          <w:rStyle w:val="FootnoteReference"/>
        </w:rPr>
        <w:footnoteRef/>
      </w:r>
      <w:r>
        <w:t xml:space="preserve"> </w:t>
      </w:r>
      <w:r>
        <w:tab/>
        <w:t>See section 9 of the Corporations Act.</w:t>
      </w:r>
    </w:p>
  </w:footnote>
  <w:footnote w:id="52">
    <w:p w14:paraId="5360D005" w14:textId="77777777" w:rsidR="00BE0A98" w:rsidRDefault="00BE0A98" w:rsidP="0049403F">
      <w:pPr>
        <w:pStyle w:val="FootnoteText"/>
      </w:pPr>
      <w:r>
        <w:rPr>
          <w:rStyle w:val="FootnoteReference"/>
        </w:rPr>
        <w:footnoteRef/>
      </w:r>
      <w:r>
        <w:t xml:space="preserve">   Registrable Australian body is defined in section 9 as a body corporate (which is not a company, exempt public authority or corporation sole); or, an Australian unincorporated body that may sue or be sued or may hold</w:t>
      </w:r>
      <w:r w:rsidDel="00682445">
        <w:t xml:space="preserve"> </w:t>
      </w:r>
      <w:r>
        <w:t>property in the name of its secretary or an officer of the body.</w:t>
      </w:r>
    </w:p>
  </w:footnote>
  <w:footnote w:id="53">
    <w:p w14:paraId="5360D006" w14:textId="77777777" w:rsidR="00BE0A98" w:rsidRDefault="00BE0A98">
      <w:pPr>
        <w:pStyle w:val="FootnoteText"/>
      </w:pPr>
      <w:r>
        <w:rPr>
          <w:rStyle w:val="FootnoteReference"/>
        </w:rPr>
        <w:footnoteRef/>
      </w:r>
      <w:r>
        <w:t xml:space="preserve"> </w:t>
      </w:r>
      <w:r>
        <w:tab/>
        <w:t>For this reason, this memorandum refers to the relevant obligation as being to apply for a DIN within 28 days rather than as a requirement to have a DIN.</w:t>
      </w:r>
    </w:p>
  </w:footnote>
  <w:footnote w:id="54">
    <w:p w14:paraId="5360D007" w14:textId="77777777" w:rsidR="00BE0A98" w:rsidRDefault="00BE0A98">
      <w:pPr>
        <w:pStyle w:val="FootnoteText"/>
      </w:pPr>
      <w:r>
        <w:rPr>
          <w:rStyle w:val="FootnoteReference"/>
        </w:rPr>
        <w:footnoteRef/>
      </w:r>
      <w:r>
        <w:t xml:space="preserve"> </w:t>
      </w:r>
      <w:r>
        <w:tab/>
        <w:t>For example, this power could be applied to the benefit of directors residing in very remote areas should that remoteness affect their ability to apply for a DIN within the standard 28 day period.</w:t>
      </w:r>
    </w:p>
  </w:footnote>
  <w:footnote w:id="55">
    <w:p w14:paraId="5360D008" w14:textId="77777777" w:rsidR="00BE0A98" w:rsidRDefault="00BE0A98" w:rsidP="008062C8">
      <w:pPr>
        <w:pStyle w:val="FootnoteText"/>
      </w:pPr>
      <w:r>
        <w:rPr>
          <w:rStyle w:val="FootnoteReference"/>
        </w:rPr>
        <w:footnoteRef/>
      </w:r>
      <w:r>
        <w:t xml:space="preserve"> </w:t>
      </w:r>
      <w:r>
        <w:tab/>
        <w:t xml:space="preserve">See subsection 13.3(3) of the </w:t>
      </w:r>
      <w:r w:rsidRPr="00AC2F24">
        <w:rPr>
          <w:i/>
        </w:rPr>
        <w:t>Criminal Code</w:t>
      </w:r>
      <w:r>
        <w:t>.</w:t>
      </w:r>
    </w:p>
  </w:footnote>
  <w:footnote w:id="56">
    <w:p w14:paraId="5360D009" w14:textId="77777777" w:rsidR="00BE0A98" w:rsidRDefault="00BE0A98">
      <w:pPr>
        <w:pStyle w:val="FootnoteText"/>
      </w:pPr>
      <w:r>
        <w:rPr>
          <w:rStyle w:val="FootnoteReference"/>
        </w:rPr>
        <w:footnoteRef/>
      </w:r>
      <w:r>
        <w:t xml:space="preserve"> </w:t>
      </w:r>
      <w:r>
        <w:tab/>
        <w:t xml:space="preserve">The 28 day application </w:t>
      </w:r>
      <w:r w:rsidRPr="00EE1858">
        <w:t xml:space="preserve">period </w:t>
      </w:r>
      <w:r>
        <w:t xml:space="preserve">reflects the </w:t>
      </w:r>
      <w:r w:rsidRPr="00EE1858">
        <w:t>period that a company has to notify ASIC of the</w:t>
      </w:r>
      <w:r>
        <w:t xml:space="preserve"> appointment of a new director under </w:t>
      </w:r>
      <w:r w:rsidRPr="00EE1858">
        <w:t>section 205B</w:t>
      </w:r>
      <w:r>
        <w:t xml:space="preserve"> of the Corporations Act.</w:t>
      </w:r>
    </w:p>
  </w:footnote>
  <w:footnote w:id="57">
    <w:p w14:paraId="5360D00A" w14:textId="77777777" w:rsidR="00BE0A98" w:rsidRDefault="00BE0A98">
      <w:pPr>
        <w:pStyle w:val="FootnoteText"/>
      </w:pPr>
      <w:r>
        <w:rPr>
          <w:rStyle w:val="FootnoteReference"/>
        </w:rPr>
        <w:footnoteRef/>
      </w:r>
      <w:r>
        <w:t xml:space="preserve"> </w:t>
      </w:r>
      <w:r>
        <w:tab/>
        <w:t xml:space="preserve">The power of the registrar to extend the period is identical to that applicable to the first obligation discussed in paragraph </w:t>
      </w:r>
      <w:r>
        <w:fldChar w:fldCharType="begin"/>
      </w:r>
      <w:r>
        <w:instrText xml:space="preserve"> REF _Ref525156263 \n \h </w:instrText>
      </w:r>
      <w:r>
        <w:fldChar w:fldCharType="separate"/>
      </w:r>
      <w:r>
        <w:t>2.36</w:t>
      </w:r>
      <w:r>
        <w:fldChar w:fldCharType="end"/>
      </w:r>
      <w:r>
        <w:t xml:space="preserve"> of this memorandum.</w:t>
      </w:r>
    </w:p>
  </w:footnote>
  <w:footnote w:id="58">
    <w:p w14:paraId="5360D00B" w14:textId="682D3401" w:rsidR="00BE0A98" w:rsidRDefault="00BE0A98">
      <w:pPr>
        <w:pStyle w:val="FootnoteText"/>
      </w:pPr>
      <w:r>
        <w:rPr>
          <w:rStyle w:val="FootnoteReference"/>
        </w:rPr>
        <w:footnoteRef/>
      </w:r>
      <w:r>
        <w:t xml:space="preserve"> </w:t>
      </w:r>
      <w:r>
        <w:tab/>
        <w:t xml:space="preserve">A defendant bears an evidential burden in relation to this matter. The significance of this burden and the rational for imposing it on the defendant are as described in </w:t>
      </w:r>
      <w:r>
        <w:fldChar w:fldCharType="begin"/>
      </w:r>
      <w:r>
        <w:instrText xml:space="preserve"> REF _Ref525160096 \n \h </w:instrText>
      </w:r>
      <w:r>
        <w:fldChar w:fldCharType="separate"/>
      </w:r>
      <w:r>
        <w:t>2.38</w:t>
      </w:r>
      <w:r>
        <w:fldChar w:fldCharType="end"/>
      </w:r>
      <w:r>
        <w:t xml:space="preserve"> paragraph of this memorandum.</w:t>
      </w:r>
    </w:p>
  </w:footnote>
  <w:footnote w:id="59">
    <w:p w14:paraId="5360D00C" w14:textId="77777777" w:rsidR="00BE0A98" w:rsidRDefault="00BE0A98">
      <w:pPr>
        <w:pStyle w:val="FootnoteText"/>
      </w:pPr>
      <w:r>
        <w:rPr>
          <w:rStyle w:val="FootnoteReference"/>
        </w:rPr>
        <w:footnoteRef/>
      </w:r>
      <w:r>
        <w:t xml:space="preserve"> </w:t>
      </w:r>
      <w:r>
        <w:tab/>
        <w:t xml:space="preserve">Without these amendments made by the new law it would be an offence under section 8WA of the </w:t>
      </w:r>
      <w:r w:rsidRPr="0071319C">
        <w:rPr>
          <w:i/>
        </w:rPr>
        <w:t>Taxation Administration Act 1953</w:t>
      </w:r>
      <w:r>
        <w:t xml:space="preserve"> for the registrar to request a person’s tax file number. </w:t>
      </w:r>
    </w:p>
  </w:footnote>
  <w:footnote w:id="60">
    <w:p w14:paraId="5360D00D" w14:textId="52DD8161" w:rsidR="00BE0A98" w:rsidRDefault="00BE0A98">
      <w:pPr>
        <w:pStyle w:val="FootnoteText"/>
      </w:pPr>
      <w:r>
        <w:rPr>
          <w:rStyle w:val="FootnoteReference"/>
        </w:rPr>
        <w:footnoteRef/>
      </w:r>
      <w:r>
        <w:t xml:space="preserve"> </w:t>
      </w:r>
      <w:r>
        <w:tab/>
        <w:t>In particular, the registrar is generally permitted to disclose tax file information to the Commissioner for the purposes of verifying with the Commissioner that the number belongs to the person who provided it.</w:t>
      </w:r>
    </w:p>
  </w:footnote>
  <w:footnote w:id="61">
    <w:p w14:paraId="4709A94E" w14:textId="77777777" w:rsidR="00BE0A98" w:rsidRDefault="00BE0A98">
      <w:pPr>
        <w:pStyle w:val="FootnoteText"/>
      </w:pPr>
      <w:r>
        <w:rPr>
          <w:rStyle w:val="FootnoteReference"/>
        </w:rPr>
        <w:footnoteRef/>
      </w:r>
      <w:r>
        <w:t xml:space="preserve"> </w:t>
      </w:r>
      <w:r>
        <w:tab/>
        <w:t>It is a decision for the registrar as to how to treat cancelled numbers. The registrar could, for example, decide to reuse the number or to quarantine the number.</w:t>
      </w:r>
    </w:p>
  </w:footnote>
  <w:footnote w:id="62">
    <w:p w14:paraId="5360D00E" w14:textId="7AABDCE8" w:rsidR="00BE0A98" w:rsidRDefault="00BE0A98">
      <w:pPr>
        <w:pStyle w:val="FootnoteText"/>
      </w:pPr>
      <w:r>
        <w:rPr>
          <w:rStyle w:val="FootnoteReference"/>
        </w:rPr>
        <w:footnoteRef/>
      </w:r>
      <w:r>
        <w:t xml:space="preserve"> </w:t>
      </w:r>
      <w:r>
        <w:tab/>
        <w:t xml:space="preserve">As explained in paragraphs </w:t>
      </w:r>
      <w:r>
        <w:fldChar w:fldCharType="begin"/>
      </w:r>
      <w:r>
        <w:instrText xml:space="preserve"> REF _Ref524871738 \n \h </w:instrText>
      </w:r>
      <w:r>
        <w:fldChar w:fldCharType="separate"/>
      </w:r>
      <w:r>
        <w:t>1.38</w:t>
      </w:r>
      <w:r>
        <w:fldChar w:fldCharType="end"/>
      </w:r>
      <w:r>
        <w:t xml:space="preserve"> to </w:t>
      </w:r>
      <w:r>
        <w:fldChar w:fldCharType="begin"/>
      </w:r>
      <w:r>
        <w:instrText xml:space="preserve"> REF _Ref525248386 \n \h </w:instrText>
      </w:r>
      <w:r>
        <w:fldChar w:fldCharType="separate"/>
      </w:r>
      <w:r>
        <w:t>1.40</w:t>
      </w:r>
      <w:r>
        <w:fldChar w:fldCharType="end"/>
      </w:r>
      <w:r>
        <w:t xml:space="preserve"> of this memorandum, the registrar must also perform its functions and powers in accordance with any other applicable laws of the Commonwealth. An example of such a law is section 8WA of the </w:t>
      </w:r>
      <w:r w:rsidRPr="0071319C">
        <w:rPr>
          <w:i/>
        </w:rPr>
        <w:t>Taxation Administration Act 1953</w:t>
      </w:r>
      <w:r>
        <w:t>, which limits the use and disclosure of tax file number information.</w:t>
      </w:r>
    </w:p>
  </w:footnote>
  <w:footnote w:id="63">
    <w:p w14:paraId="5360D00F" w14:textId="77777777" w:rsidR="00BE0A98" w:rsidRDefault="00BE0A98">
      <w:pPr>
        <w:pStyle w:val="FootnoteText"/>
      </w:pPr>
      <w:r>
        <w:rPr>
          <w:rStyle w:val="FootnoteReference"/>
        </w:rPr>
        <w:footnoteRef/>
      </w:r>
      <w:r>
        <w:t xml:space="preserve"> </w:t>
      </w:r>
      <w:r>
        <w:tab/>
        <w:t>Note that while all these matters may be dealt with by the data standards this does not mean that they must be dealt with by the standards.</w:t>
      </w:r>
    </w:p>
  </w:footnote>
  <w:footnote w:id="64">
    <w:p w14:paraId="1769DC4C" w14:textId="77777777" w:rsidR="00BE0A98" w:rsidRDefault="00BE0A98">
      <w:pPr>
        <w:pStyle w:val="FootnoteText"/>
      </w:pPr>
      <w:r>
        <w:rPr>
          <w:rStyle w:val="FootnoteReference"/>
        </w:rPr>
        <w:footnoteRef/>
      </w:r>
      <w:r>
        <w:t xml:space="preserve"> </w:t>
      </w:r>
      <w:r>
        <w:tab/>
        <w:t xml:space="preserve">In particular, the registrar may decide to re-use a DIN that has previously been allocated to a person but then cancelled, whether or not the cancellation occurred by operation of law or because of a decision made by the registrar. </w:t>
      </w:r>
    </w:p>
  </w:footnote>
  <w:footnote w:id="65">
    <w:p w14:paraId="5360D010" w14:textId="77777777" w:rsidR="00BE0A98" w:rsidRDefault="00BE0A98" w:rsidP="003F557C">
      <w:pPr>
        <w:pStyle w:val="FootnoteText"/>
      </w:pPr>
      <w:r>
        <w:rPr>
          <w:rStyle w:val="FootnoteReference"/>
        </w:rPr>
        <w:footnoteRef/>
      </w:r>
      <w:r>
        <w:t xml:space="preserve"> </w:t>
      </w:r>
      <w:r>
        <w:tab/>
        <w:t>Attorney-General’s Department, September 2011 edition</w:t>
      </w:r>
    </w:p>
  </w:footnote>
  <w:footnote w:id="66">
    <w:p w14:paraId="5360D011" w14:textId="6A2AA0A8" w:rsidR="00BE0A98" w:rsidRDefault="00BE0A98">
      <w:pPr>
        <w:pStyle w:val="FootnoteText"/>
      </w:pPr>
      <w:r>
        <w:rPr>
          <w:rStyle w:val="FootnoteReference"/>
        </w:rPr>
        <w:footnoteRef/>
      </w:r>
      <w:r>
        <w:t xml:space="preserve"> </w:t>
      </w:r>
      <w:r>
        <w:tab/>
      </w:r>
      <w:r>
        <w:rPr>
          <w:lang w:val="en-GB"/>
        </w:rPr>
        <w:t>T</w:t>
      </w:r>
      <w:r w:rsidRPr="008D02C7">
        <w:rPr>
          <w:lang w:val="en-GB"/>
        </w:rPr>
        <w:t>h</w:t>
      </w:r>
      <w:r>
        <w:rPr>
          <w:lang w:val="en-GB"/>
        </w:rPr>
        <w:t>e Regulatory Powers Act provides that</w:t>
      </w:r>
      <w:r w:rsidRPr="008D02C7">
        <w:rPr>
          <w:lang w:val="en-GB"/>
        </w:rPr>
        <w:t xml:space="preserve"> a maximum penalty of 60 pen</w:t>
      </w:r>
      <w:r>
        <w:rPr>
          <w:lang w:val="en-GB"/>
        </w:rPr>
        <w:t>alty units can be imposed by</w:t>
      </w:r>
      <w:r w:rsidRPr="008D02C7">
        <w:rPr>
          <w:lang w:val="en-GB"/>
        </w:rPr>
        <w:t xml:space="preserve"> an infringement notice, which </w:t>
      </w:r>
      <w:proofErr w:type="gramStart"/>
      <w:r w:rsidRPr="008D02C7">
        <w:rPr>
          <w:lang w:val="en-GB"/>
        </w:rPr>
        <w:t>is the amount</w:t>
      </w:r>
      <w:proofErr w:type="gramEnd"/>
      <w:r w:rsidRPr="008D02C7">
        <w:rPr>
          <w:lang w:val="en-GB"/>
        </w:rPr>
        <w:t xml:space="preserve"> set out in </w:t>
      </w:r>
      <w:r w:rsidRPr="008D02C7">
        <w:rPr>
          <w:i/>
          <w:iCs/>
          <w:lang w:val="en-GB"/>
        </w:rPr>
        <w:t>A Guide to Framing Commonwealth Offences, Infringement Notices and Enforcement Power</w:t>
      </w:r>
      <w:r w:rsidRPr="008D02C7">
        <w:rPr>
          <w:lang w:val="en-GB"/>
        </w:rPr>
        <w:t>s, issued by the Attorney</w:t>
      </w:r>
      <w:r w:rsidRPr="008D02C7">
        <w:rPr>
          <w:lang w:val="en-GB"/>
        </w:rPr>
        <w:noBreakHyphen/>
        <w:t>General’s Department.</w:t>
      </w:r>
    </w:p>
  </w:footnote>
  <w:footnote w:id="67">
    <w:p w14:paraId="34F91DCE" w14:textId="745E21C6" w:rsidR="00BE0A98" w:rsidRDefault="00BE0A98">
      <w:pPr>
        <w:pStyle w:val="FootnoteText"/>
      </w:pPr>
      <w:r>
        <w:rPr>
          <w:rStyle w:val="FootnoteReference"/>
        </w:rPr>
        <w:footnoteRef/>
      </w:r>
      <w:r>
        <w:t xml:space="preserve"> </w:t>
      </w:r>
      <w:r>
        <w:tab/>
        <w:t xml:space="preserve">See paragraphs </w:t>
      </w:r>
      <w:r>
        <w:fldChar w:fldCharType="begin"/>
      </w:r>
      <w:r>
        <w:instrText xml:space="preserve"> REF _Ref525282973 \r \h </w:instrText>
      </w:r>
      <w:r>
        <w:fldChar w:fldCharType="separate"/>
      </w:r>
      <w:r>
        <w:t>1.88</w:t>
      </w:r>
      <w:r>
        <w:fldChar w:fldCharType="end"/>
      </w:r>
      <w:r>
        <w:t xml:space="preserve"> to </w:t>
      </w:r>
      <w:r>
        <w:fldChar w:fldCharType="begin"/>
      </w:r>
      <w:r>
        <w:instrText xml:space="preserve"> REF _Ref527327951 \r \h </w:instrText>
      </w:r>
      <w:r>
        <w:fldChar w:fldCharType="separate"/>
      </w:r>
      <w:r>
        <w:t>1.100</w:t>
      </w:r>
      <w:r>
        <w:fldChar w:fldCharType="end"/>
      </w:r>
      <w:r>
        <w:t xml:space="preserve"> of this memorandum. </w:t>
      </w:r>
    </w:p>
  </w:footnote>
  <w:footnote w:id="68">
    <w:p w14:paraId="1D56BC97" w14:textId="3C18405A" w:rsidR="00BE0A98" w:rsidRDefault="00BE0A98">
      <w:pPr>
        <w:pStyle w:val="FootnoteText"/>
      </w:pPr>
      <w:r>
        <w:rPr>
          <w:rStyle w:val="FootnoteReference"/>
        </w:rPr>
        <w:footnoteRef/>
      </w:r>
      <w:r>
        <w:t xml:space="preserve"> </w:t>
      </w:r>
      <w:r>
        <w:tab/>
        <w:t xml:space="preserve">Item refers to the item number of the relevant amendment in the </w:t>
      </w:r>
      <w:r>
        <w:rPr>
          <w:noProof/>
        </w:rPr>
        <w:t>Treasury Laws Amendment (Registries Modernisation and Other Measures) Bill 2018</w:t>
      </w:r>
    </w:p>
  </w:footnote>
  <w:footnote w:id="69">
    <w:p w14:paraId="52AF3304" w14:textId="77777777" w:rsidR="00BE0A98" w:rsidRDefault="00BE0A98" w:rsidP="00936FF1">
      <w:pPr>
        <w:pStyle w:val="FootnoteText"/>
      </w:pPr>
      <w:r>
        <w:rPr>
          <w:rStyle w:val="FootnoteReference"/>
        </w:rPr>
        <w:footnoteRef/>
      </w:r>
      <w:r>
        <w:t xml:space="preserve"> </w:t>
      </w:r>
      <w:r>
        <w:tab/>
        <w:t xml:space="preserve">Item refers to the item number of the relevant amendment in the </w:t>
      </w:r>
      <w:r>
        <w:rPr>
          <w:noProof/>
        </w:rPr>
        <w:t>Treasury Laws Amendment (Registries Modernisation and Other Measures) Bill 2018</w:t>
      </w:r>
    </w:p>
  </w:footnote>
  <w:footnote w:id="70">
    <w:p w14:paraId="08AA4DD0" w14:textId="77777777" w:rsidR="00BE0A98" w:rsidRDefault="00BE0A98" w:rsidP="00936FF1">
      <w:pPr>
        <w:pStyle w:val="FootnoteText"/>
      </w:pPr>
      <w:r>
        <w:rPr>
          <w:rStyle w:val="FootnoteReference"/>
        </w:rPr>
        <w:footnoteRef/>
      </w:r>
      <w:r>
        <w:t xml:space="preserve"> </w:t>
      </w:r>
      <w:r>
        <w:tab/>
        <w:t xml:space="preserve">Item refers to the item number of the relevant amendment in the </w:t>
      </w:r>
      <w:r>
        <w:rPr>
          <w:noProof/>
        </w:rPr>
        <w:t>Treasury Laws Amendment (Registries Modernisation and Other Measures) Bill 2018</w:t>
      </w:r>
    </w:p>
  </w:footnote>
  <w:footnote w:id="71">
    <w:p w14:paraId="27C6F456" w14:textId="77777777" w:rsidR="00BE0A98" w:rsidRDefault="00BE0A98" w:rsidP="00936FF1">
      <w:pPr>
        <w:pStyle w:val="FootnoteText"/>
      </w:pPr>
      <w:r>
        <w:rPr>
          <w:rStyle w:val="FootnoteReference"/>
        </w:rPr>
        <w:footnoteRef/>
      </w:r>
      <w:r>
        <w:t xml:space="preserve"> </w:t>
      </w:r>
      <w:r>
        <w:tab/>
        <w:t xml:space="preserve">Item refers to the item number of the relevant amendment in the </w:t>
      </w:r>
      <w:r>
        <w:rPr>
          <w:noProof/>
        </w:rPr>
        <w:t>Treasury Laws Amendment (Registries Modernisation and Other Measures) Bill 2018</w:t>
      </w:r>
    </w:p>
  </w:footnote>
  <w:footnote w:id="72">
    <w:p w14:paraId="3C8F3EC0" w14:textId="77777777" w:rsidR="00BE0A98" w:rsidRDefault="00BE0A98" w:rsidP="00936FF1">
      <w:pPr>
        <w:pStyle w:val="FootnoteText"/>
      </w:pPr>
      <w:r>
        <w:rPr>
          <w:rStyle w:val="FootnoteReference"/>
        </w:rPr>
        <w:footnoteRef/>
      </w:r>
      <w:r>
        <w:t xml:space="preserve"> </w:t>
      </w:r>
      <w:r>
        <w:tab/>
        <w:t xml:space="preserve">Item refers to the item number of the relevant amendment in the </w:t>
      </w:r>
      <w:r>
        <w:rPr>
          <w:noProof/>
        </w:rPr>
        <w:t>Treasury Laws Amendment (Registries Modernisation and Other Measures) Bill 2018</w:t>
      </w:r>
    </w:p>
  </w:footnote>
  <w:footnote w:id="73">
    <w:p w14:paraId="2ADD4EFD" w14:textId="77777777" w:rsidR="00BE0A98" w:rsidRDefault="00BE0A98" w:rsidP="00936FF1">
      <w:pPr>
        <w:pStyle w:val="FootnoteText"/>
      </w:pPr>
      <w:r>
        <w:rPr>
          <w:rStyle w:val="FootnoteReference"/>
        </w:rPr>
        <w:footnoteRef/>
      </w:r>
      <w:r>
        <w:t xml:space="preserve"> </w:t>
      </w:r>
      <w:r>
        <w:tab/>
        <w:t xml:space="preserve">Item refers to the item number of the relevant amendment in the </w:t>
      </w:r>
      <w:r>
        <w:rPr>
          <w:noProof/>
        </w:rPr>
        <w:t>Treasury Laws Amendment (Registries Modernisation and Other Measures) Bill 2018</w:t>
      </w:r>
    </w:p>
  </w:footnote>
  <w:footnote w:id="74">
    <w:p w14:paraId="61DBC4D2" w14:textId="683DDC3E" w:rsidR="00BE0A98" w:rsidRPr="00BE0A98" w:rsidRDefault="00BE0A98">
      <w:pPr>
        <w:pStyle w:val="FootnoteText"/>
      </w:pPr>
      <w:r>
        <w:rPr>
          <w:rStyle w:val="FootnoteReference"/>
        </w:rPr>
        <w:footnoteRef/>
      </w:r>
      <w:r>
        <w:t xml:space="preserve"> </w:t>
      </w:r>
      <w:r>
        <w:tab/>
        <w:t xml:space="preserve">Note: The amendments to the </w:t>
      </w:r>
      <w:r w:rsidRPr="00BE0A98">
        <w:rPr>
          <w:i/>
        </w:rPr>
        <w:t>Business Names registration (Fees) Act 2011</w:t>
      </w:r>
      <w:r>
        <w:t xml:space="preserve">, the </w:t>
      </w:r>
      <w:r>
        <w:rPr>
          <w:i/>
        </w:rPr>
        <w:t>Corporations (Fees) Act 2001</w:t>
      </w:r>
      <w:r>
        <w:t xml:space="preserve"> and the </w:t>
      </w:r>
      <w:r>
        <w:rPr>
          <w:i/>
        </w:rPr>
        <w:t>National Consumer Credit Protection (Fees) Act 2009</w:t>
      </w:r>
      <w:r>
        <w:t xml:space="preserve"> would be included as three separate Bills when the legislation is introduced into Parliament. </w:t>
      </w:r>
      <w:r w:rsidR="00A870A1">
        <w:t>Notwithstanding the consequential nature of the amendments being made, i</w:t>
      </w:r>
      <w:r>
        <w:t>t is OPC’s practice not to include amendments of imposition Acts in omnibus amendment Bills if the amendments of the imposition Acts could be characterised as, or may appear to be, impositions of taxation</w:t>
      </w:r>
      <w:r w:rsidR="00A870A1">
        <w:t>. This practice is aimed a</w:t>
      </w:r>
      <w:r w:rsidR="00333F63">
        <w:t xml:space="preserve">t </w:t>
      </w:r>
      <w:r w:rsidR="00A870A1">
        <w:t xml:space="preserve">ensuring that </w:t>
      </w:r>
      <w:r w:rsidR="005857E0">
        <w:t>such</w:t>
      </w:r>
      <w:r w:rsidR="00A870A1">
        <w:t xml:space="preserve"> amendments comply with section 55 of the constitution which requires</w:t>
      </w:r>
      <w:r w:rsidR="005857E0">
        <w:t xml:space="preserve"> </w:t>
      </w:r>
      <w:r w:rsidR="00A870A1">
        <w:t>laws imposing taxation</w:t>
      </w:r>
      <w:r w:rsidR="005857E0">
        <w:t xml:space="preserve"> to deal </w:t>
      </w:r>
      <w:r w:rsidR="00A870A1">
        <w:t>only</w:t>
      </w:r>
      <w:r w:rsidR="005857E0">
        <w:t xml:space="preserve"> with the imposition of taxation.</w:t>
      </w:r>
    </w:p>
  </w:footnote>
  <w:footnote w:id="75">
    <w:p w14:paraId="1D25B356" w14:textId="77777777" w:rsidR="00BE0A98" w:rsidRDefault="00BE0A98" w:rsidP="00936FF1">
      <w:pPr>
        <w:pStyle w:val="FootnoteText"/>
      </w:pPr>
      <w:r>
        <w:rPr>
          <w:rStyle w:val="FootnoteReference"/>
        </w:rPr>
        <w:footnoteRef/>
      </w:r>
      <w:r>
        <w:t xml:space="preserve"> </w:t>
      </w:r>
      <w:r>
        <w:tab/>
        <w:t xml:space="preserve">Item refers to the item number of the relevant amendment in the </w:t>
      </w:r>
      <w:r>
        <w:rPr>
          <w:noProof/>
        </w:rPr>
        <w:t>Treasury Laws Amendment (Registries Modernisation and Other Measures) Bill 2018</w:t>
      </w:r>
    </w:p>
  </w:footnote>
  <w:footnote w:id="76">
    <w:p w14:paraId="428509C7" w14:textId="77777777" w:rsidR="00BE0A98" w:rsidRDefault="00BE0A98" w:rsidP="00936FF1">
      <w:pPr>
        <w:pStyle w:val="FootnoteText"/>
      </w:pPr>
      <w:r>
        <w:rPr>
          <w:rStyle w:val="FootnoteReference"/>
        </w:rPr>
        <w:footnoteRef/>
      </w:r>
      <w:r>
        <w:t xml:space="preserve"> </w:t>
      </w:r>
      <w:r>
        <w:tab/>
        <w:t xml:space="preserve">Item refers to the item number of the relevant amendment in the </w:t>
      </w:r>
      <w:r>
        <w:rPr>
          <w:noProof/>
        </w:rPr>
        <w:t>Treasury Laws Amendment (Registries Modernisation and Other Measures) Bill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BE" w14:textId="77777777" w:rsidR="00BE0A98" w:rsidRDefault="00BE0A98" w:rsidP="005E52FA">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BF" w14:textId="77777777" w:rsidR="00BE0A98" w:rsidRDefault="00BE0A98" w:rsidP="005E52FA">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5360CFC2" w14:textId="77777777" w:rsidR="00BE0A98" w:rsidRDefault="00F3492D">
        <w:pPr>
          <w:pStyle w:val="Header"/>
        </w:pPr>
        <w:r>
          <w:rPr>
            <w:noProof/>
            <w:lang w:val="en-US" w:eastAsia="en-US"/>
          </w:rPr>
          <w:pict w14:anchorId="5360C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3" w14:textId="77777777" w:rsidR="00BE0A98" w:rsidRDefault="00BE0A98" w:rsidP="005E52FA">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4" w14:textId="77777777" w:rsidR="00BE0A98" w:rsidRDefault="00BE0A98" w:rsidP="005E52FA">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7" w14:textId="77777777" w:rsidR="00BE0A98" w:rsidRDefault="00BE0A9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9" w14:textId="44FA3309" w:rsidR="00BE0A98" w:rsidRPr="00422FA2" w:rsidRDefault="00F3492D" w:rsidP="00422FA2">
    <w:pPr>
      <w:pStyle w:val="leftheader"/>
    </w:pPr>
    <w:r>
      <w:fldChar w:fldCharType="begin"/>
    </w:r>
    <w:r>
      <w:instrText xml:space="preserve"> STYLEREF  "Bill Name"  \* MERGEFORMAT </w:instrText>
    </w:r>
    <w:r>
      <w:fldChar w:fldCharType="separate"/>
    </w:r>
    <w:r>
      <w:rPr>
        <w:noProof/>
      </w:rPr>
      <w:t>Commonwealth Registers Bill 2018</w:t>
    </w:r>
    <w:r>
      <w:rPr>
        <w:noProof/>
      </w:rPr>
      <w:br/>
      <w:t>Treasury Laws Amendment (Registries Modernisation and Other Measures) Bill 2018</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CFCA" w14:textId="77777777" w:rsidR="00BE0A98" w:rsidRDefault="00F3492D" w:rsidP="005E52FA">
    <w:pPr>
      <w:pStyle w:val="rightheader"/>
    </w:pPr>
    <w:r>
      <w:fldChar w:fldCharType="begin"/>
    </w:r>
    <w:r>
      <w:instrText xml:space="preserve"> STYLEREF  "ChapterNameOnly"  \* MERGEFORMAT </w:instrText>
    </w:r>
    <w:r>
      <w:fldChar w:fldCharType="separate"/>
    </w:r>
    <w:r>
      <w:rPr>
        <w:noProof/>
      </w:rPr>
      <w:t>Modernisation of Commonwealth registers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CE78F6"/>
    <w:multiLevelType w:val="multilevel"/>
    <w:tmpl w:val="B422FBDC"/>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FD646B8"/>
    <w:multiLevelType w:val="singleLevel"/>
    <w:tmpl w:val="1D56D744"/>
    <w:lvl w:ilvl="0">
      <w:start w:val="1"/>
      <w:numFmt w:val="bullet"/>
      <w:pStyle w:val="GHTableBullet1"/>
      <w:lvlText w:val=""/>
      <w:lvlJc w:val="left"/>
      <w:pPr>
        <w:tabs>
          <w:tab w:val="num" w:pos="434"/>
        </w:tabs>
        <w:ind w:left="290" w:hanging="216"/>
      </w:pPr>
      <w:rPr>
        <w:rFonts w:ascii="ZapfDingbats" w:hAnsi="ZapfDingbats" w:hint="default"/>
        <w:color w:val="auto"/>
        <w:sz w:val="16"/>
        <w:szCs w:val="16"/>
      </w:rPr>
    </w:lvl>
  </w:abstractNum>
  <w:abstractNum w:abstractNumId="12">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C295DBF"/>
    <w:multiLevelType w:val="multilevel"/>
    <w:tmpl w:val="5B72951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15C583B"/>
    <w:multiLevelType w:val="hybridMultilevel"/>
    <w:tmpl w:val="2B04C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3824974"/>
    <w:multiLevelType w:val="multilevel"/>
    <w:tmpl w:val="0C09001F"/>
    <w:styleLink w:val="111111"/>
    <w:lvl w:ilvl="0">
      <w:start w:val="1"/>
      <w:numFmt w:val="decimal"/>
      <w:pStyle w:val="Num-para-goo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3F1121"/>
    <w:multiLevelType w:val="multilevel"/>
    <w:tmpl w:val="B422FBDC"/>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D714D4B"/>
    <w:multiLevelType w:val="multilevel"/>
    <w:tmpl w:val="B7DA9544"/>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0B24ED"/>
    <w:multiLevelType w:val="multilevel"/>
    <w:tmpl w:val="6EC2A16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439701C"/>
    <w:multiLevelType w:val="hybridMultilevel"/>
    <w:tmpl w:val="4D22A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6CA75A6"/>
    <w:multiLevelType w:val="multilevel"/>
    <w:tmpl w:val="B422FBDC"/>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FBC7E8D"/>
    <w:multiLevelType w:val="singleLevel"/>
    <w:tmpl w:val="DFB26492"/>
    <w:name w:val="BaseTextParagraphList"/>
    <w:lvl w:ilvl="0">
      <w:start w:val="1"/>
      <w:numFmt w:val="decimal"/>
      <w:lvlText w:val="%1."/>
      <w:lvlJc w:val="left"/>
      <w:pPr>
        <w:tabs>
          <w:tab w:val="num" w:pos="1984"/>
        </w:tabs>
        <w:ind w:left="1140" w:firstLine="0"/>
      </w:pPr>
      <w:rPr>
        <w:b w:val="0"/>
        <w:i w:val="0"/>
        <w:strike w:val="0"/>
        <w:dstrike w:val="0"/>
        <w:color w:val="000000"/>
        <w:u w:val="none"/>
        <w:effect w:val="none"/>
      </w:rPr>
    </w:lvl>
  </w:abstractNum>
  <w:abstractNum w:abstractNumId="26">
    <w:nsid w:val="62354F84"/>
    <w:multiLevelType w:val="multilevel"/>
    <w:tmpl w:val="F88E113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4850AE7"/>
    <w:multiLevelType w:val="hybridMultilevel"/>
    <w:tmpl w:val="F66E95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65636635"/>
    <w:multiLevelType w:val="hybridMultilevel"/>
    <w:tmpl w:val="0FEE6AD8"/>
    <w:lvl w:ilvl="0" w:tplc="7B8C0656">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5DF6494"/>
    <w:multiLevelType w:val="multilevel"/>
    <w:tmpl w:val="B7DA9544"/>
    <w:numStyleLink w:val="ChapterList"/>
  </w:abstractNum>
  <w:abstractNum w:abstractNumId="30">
    <w:nsid w:val="6B5F6555"/>
    <w:multiLevelType w:val="multilevel"/>
    <w:tmpl w:val="28268DB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62" w:hanging="360"/>
      </w:pPr>
    </w:lvl>
    <w:lvl w:ilvl="4">
      <w:start w:val="1"/>
      <w:numFmt w:val="lowerLetter"/>
      <w:lvlText w:val="(%5)"/>
      <w:lvlJc w:val="left"/>
      <w:pPr>
        <w:ind w:left="1822" w:hanging="360"/>
      </w:pPr>
    </w:lvl>
    <w:lvl w:ilvl="5">
      <w:start w:val="1"/>
      <w:numFmt w:val="lowerRoman"/>
      <w:lvlText w:val="(%6)"/>
      <w:lvlJc w:val="left"/>
      <w:pPr>
        <w:ind w:left="2182" w:hanging="360"/>
      </w:pPr>
    </w:lvl>
    <w:lvl w:ilvl="6">
      <w:start w:val="1"/>
      <w:numFmt w:val="decimal"/>
      <w:lvlText w:val="%7."/>
      <w:lvlJc w:val="left"/>
      <w:pPr>
        <w:ind w:left="2542" w:hanging="360"/>
      </w:pPr>
    </w:lvl>
    <w:lvl w:ilvl="7">
      <w:start w:val="1"/>
      <w:numFmt w:val="lowerLetter"/>
      <w:lvlText w:val="%8."/>
      <w:lvlJc w:val="left"/>
      <w:pPr>
        <w:ind w:left="2902" w:hanging="360"/>
      </w:pPr>
    </w:lvl>
    <w:lvl w:ilvl="8">
      <w:start w:val="1"/>
      <w:numFmt w:val="lowerRoman"/>
      <w:lvlText w:val="%9."/>
      <w:lvlJc w:val="left"/>
      <w:pPr>
        <w:ind w:left="3262" w:hanging="360"/>
      </w:pPr>
    </w:lvl>
  </w:abstractNum>
  <w:abstractNum w:abstractNumId="31">
    <w:nsid w:val="6F293FE8"/>
    <w:multiLevelType w:val="multilevel"/>
    <w:tmpl w:val="B422FBDC"/>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32"/>
  </w:num>
  <w:num w:numId="3">
    <w:abstractNumId w:val="33"/>
  </w:num>
  <w:num w:numId="4">
    <w:abstractNumId w:val="29"/>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8"/>
  </w:num>
  <w:num w:numId="6">
    <w:abstractNumId w:val="19"/>
  </w:num>
  <w:num w:numId="7">
    <w:abstractNumId w:val="23"/>
  </w:num>
  <w:num w:numId="8">
    <w:abstractNumId w:val="23"/>
  </w:num>
  <w:num w:numId="9">
    <w:abstractNumId w:val="24"/>
  </w:num>
  <w:num w:numId="10">
    <w:abstractNumId w:val="2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4"/>
  </w:num>
  <w:num w:numId="23">
    <w:abstractNumId w:val="28"/>
  </w:num>
  <w:num w:numId="24">
    <w:abstractNumId w:val="20"/>
  </w:num>
  <w:num w:numId="25">
    <w:abstractNumId w:val="11"/>
  </w:num>
  <w:num w:numId="26">
    <w:abstractNumId w:val="21"/>
  </w:num>
  <w:num w:numId="27">
    <w:abstractNumId w:val="15"/>
  </w:num>
  <w:num w:numId="28">
    <w:abstractNumId w:val="26"/>
  </w:num>
  <w:num w:numId="29">
    <w:abstractNumId w:val="30"/>
  </w:num>
  <w:num w:numId="30">
    <w:abstractNumId w:val="29"/>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abstractNumId w:val="31"/>
  </w:num>
  <w:num w:numId="32">
    <w:abstractNumId w:val="29"/>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7"/>
  </w:num>
  <w:num w:numId="35">
    <w:abstractNumId w:val="27"/>
  </w:num>
  <w:num w:numId="36">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9"/>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abstractNumId w:val="22"/>
  </w:num>
  <w:num w:numId="42">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9"/>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abstractNumId w:val="29"/>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17"/>
  </w:num>
  <w:num w:numId="46">
    <w:abstractNumId w:val="29"/>
  </w:num>
  <w:num w:numId="47">
    <w:abstractNumId w:val="10"/>
  </w:num>
  <w:num w:numId="48">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19"/>
  </w:num>
  <w:num w:numId="50">
    <w:abstractNumId w:val="19"/>
  </w:num>
  <w:num w:numId="51">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3">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6">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8">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95"/>
    <w:rsid w:val="00003B96"/>
    <w:rsid w:val="00004156"/>
    <w:rsid w:val="00010E06"/>
    <w:rsid w:val="00012F2A"/>
    <w:rsid w:val="00014036"/>
    <w:rsid w:val="000145A5"/>
    <w:rsid w:val="00014BB0"/>
    <w:rsid w:val="00015903"/>
    <w:rsid w:val="00015C75"/>
    <w:rsid w:val="00017291"/>
    <w:rsid w:val="0002054A"/>
    <w:rsid w:val="000225B2"/>
    <w:rsid w:val="000237DE"/>
    <w:rsid w:val="00023C00"/>
    <w:rsid w:val="00024863"/>
    <w:rsid w:val="0002538C"/>
    <w:rsid w:val="000255B0"/>
    <w:rsid w:val="0002647C"/>
    <w:rsid w:val="00027AB8"/>
    <w:rsid w:val="00030A40"/>
    <w:rsid w:val="00031A83"/>
    <w:rsid w:val="00031EB6"/>
    <w:rsid w:val="000320B1"/>
    <w:rsid w:val="000323DC"/>
    <w:rsid w:val="000329C8"/>
    <w:rsid w:val="00033592"/>
    <w:rsid w:val="00033A4A"/>
    <w:rsid w:val="00033F1A"/>
    <w:rsid w:val="000340A6"/>
    <w:rsid w:val="00035AA7"/>
    <w:rsid w:val="00037EFA"/>
    <w:rsid w:val="00040AC7"/>
    <w:rsid w:val="00041B7F"/>
    <w:rsid w:val="00042075"/>
    <w:rsid w:val="0004332E"/>
    <w:rsid w:val="00043848"/>
    <w:rsid w:val="00043B69"/>
    <w:rsid w:val="00043C86"/>
    <w:rsid w:val="00043E74"/>
    <w:rsid w:val="00047967"/>
    <w:rsid w:val="00050728"/>
    <w:rsid w:val="00050FD3"/>
    <w:rsid w:val="00053552"/>
    <w:rsid w:val="000535F3"/>
    <w:rsid w:val="000546C4"/>
    <w:rsid w:val="00054888"/>
    <w:rsid w:val="000553AA"/>
    <w:rsid w:val="00055A13"/>
    <w:rsid w:val="0005756D"/>
    <w:rsid w:val="00060C78"/>
    <w:rsid w:val="0006117D"/>
    <w:rsid w:val="00061558"/>
    <w:rsid w:val="00061BB7"/>
    <w:rsid w:val="0006648B"/>
    <w:rsid w:val="000664B1"/>
    <w:rsid w:val="00066EC2"/>
    <w:rsid w:val="00067816"/>
    <w:rsid w:val="00070A7E"/>
    <w:rsid w:val="00070C64"/>
    <w:rsid w:val="00071500"/>
    <w:rsid w:val="00071AED"/>
    <w:rsid w:val="00072A57"/>
    <w:rsid w:val="00073635"/>
    <w:rsid w:val="00077B2C"/>
    <w:rsid w:val="00077E4C"/>
    <w:rsid w:val="00080237"/>
    <w:rsid w:val="0008123C"/>
    <w:rsid w:val="000816E4"/>
    <w:rsid w:val="00081DFD"/>
    <w:rsid w:val="00081EA7"/>
    <w:rsid w:val="00082038"/>
    <w:rsid w:val="000820E1"/>
    <w:rsid w:val="00082A65"/>
    <w:rsid w:val="000833A9"/>
    <w:rsid w:val="000849E6"/>
    <w:rsid w:val="00084BA3"/>
    <w:rsid w:val="00084FE2"/>
    <w:rsid w:val="000859A7"/>
    <w:rsid w:val="00095EB6"/>
    <w:rsid w:val="000A1649"/>
    <w:rsid w:val="000A2149"/>
    <w:rsid w:val="000A21CF"/>
    <w:rsid w:val="000A275D"/>
    <w:rsid w:val="000A2982"/>
    <w:rsid w:val="000A321D"/>
    <w:rsid w:val="000A3253"/>
    <w:rsid w:val="000A39F0"/>
    <w:rsid w:val="000A5072"/>
    <w:rsid w:val="000A7AAA"/>
    <w:rsid w:val="000B048D"/>
    <w:rsid w:val="000B0831"/>
    <w:rsid w:val="000B2980"/>
    <w:rsid w:val="000B2FEE"/>
    <w:rsid w:val="000B3BBE"/>
    <w:rsid w:val="000B3ECC"/>
    <w:rsid w:val="000B48FF"/>
    <w:rsid w:val="000B56D7"/>
    <w:rsid w:val="000B5DCF"/>
    <w:rsid w:val="000B6B9E"/>
    <w:rsid w:val="000B76DA"/>
    <w:rsid w:val="000C0888"/>
    <w:rsid w:val="000C0C4C"/>
    <w:rsid w:val="000C1472"/>
    <w:rsid w:val="000C2761"/>
    <w:rsid w:val="000C2A9D"/>
    <w:rsid w:val="000C4474"/>
    <w:rsid w:val="000C44D7"/>
    <w:rsid w:val="000C471F"/>
    <w:rsid w:val="000C4876"/>
    <w:rsid w:val="000C4C59"/>
    <w:rsid w:val="000C56B0"/>
    <w:rsid w:val="000C6D0C"/>
    <w:rsid w:val="000C71F6"/>
    <w:rsid w:val="000C770C"/>
    <w:rsid w:val="000D039C"/>
    <w:rsid w:val="000D04A2"/>
    <w:rsid w:val="000D0F18"/>
    <w:rsid w:val="000D1784"/>
    <w:rsid w:val="000D20F2"/>
    <w:rsid w:val="000D5092"/>
    <w:rsid w:val="000D6F1B"/>
    <w:rsid w:val="000E058C"/>
    <w:rsid w:val="000E2B00"/>
    <w:rsid w:val="000E3C26"/>
    <w:rsid w:val="000E453B"/>
    <w:rsid w:val="000E46D4"/>
    <w:rsid w:val="000E4B50"/>
    <w:rsid w:val="000E4D2F"/>
    <w:rsid w:val="000E7AFF"/>
    <w:rsid w:val="000E7D5B"/>
    <w:rsid w:val="000F0A80"/>
    <w:rsid w:val="000F19A7"/>
    <w:rsid w:val="000F2339"/>
    <w:rsid w:val="000F43CF"/>
    <w:rsid w:val="000F5275"/>
    <w:rsid w:val="000F59D0"/>
    <w:rsid w:val="000F6793"/>
    <w:rsid w:val="000F70CA"/>
    <w:rsid w:val="000F7E43"/>
    <w:rsid w:val="0010043D"/>
    <w:rsid w:val="00100F62"/>
    <w:rsid w:val="00101F7F"/>
    <w:rsid w:val="0010227E"/>
    <w:rsid w:val="00102DB0"/>
    <w:rsid w:val="00102F26"/>
    <w:rsid w:val="00103A9D"/>
    <w:rsid w:val="00103C71"/>
    <w:rsid w:val="00104DF5"/>
    <w:rsid w:val="001078B3"/>
    <w:rsid w:val="00107A5E"/>
    <w:rsid w:val="00110711"/>
    <w:rsid w:val="001108C2"/>
    <w:rsid w:val="001113AB"/>
    <w:rsid w:val="0011164D"/>
    <w:rsid w:val="00112CB9"/>
    <w:rsid w:val="0011378F"/>
    <w:rsid w:val="001142F4"/>
    <w:rsid w:val="00114BC6"/>
    <w:rsid w:val="0012124B"/>
    <w:rsid w:val="00121AFC"/>
    <w:rsid w:val="00123B9E"/>
    <w:rsid w:val="00123D23"/>
    <w:rsid w:val="00124B22"/>
    <w:rsid w:val="00125662"/>
    <w:rsid w:val="00127200"/>
    <w:rsid w:val="00127BE8"/>
    <w:rsid w:val="00127C24"/>
    <w:rsid w:val="0013053B"/>
    <w:rsid w:val="00131439"/>
    <w:rsid w:val="00132F94"/>
    <w:rsid w:val="001330F2"/>
    <w:rsid w:val="001347C8"/>
    <w:rsid w:val="00134A78"/>
    <w:rsid w:val="00135FD2"/>
    <w:rsid w:val="00136713"/>
    <w:rsid w:val="0013689A"/>
    <w:rsid w:val="0013718E"/>
    <w:rsid w:val="0013773E"/>
    <w:rsid w:val="00140111"/>
    <w:rsid w:val="00141CE9"/>
    <w:rsid w:val="00142E96"/>
    <w:rsid w:val="00144076"/>
    <w:rsid w:val="00147C70"/>
    <w:rsid w:val="00150BF2"/>
    <w:rsid w:val="00153ADD"/>
    <w:rsid w:val="001556CC"/>
    <w:rsid w:val="00156B43"/>
    <w:rsid w:val="00156F8F"/>
    <w:rsid w:val="001601BA"/>
    <w:rsid w:val="0016154E"/>
    <w:rsid w:val="00161968"/>
    <w:rsid w:val="0016383F"/>
    <w:rsid w:val="00163F3C"/>
    <w:rsid w:val="001640E8"/>
    <w:rsid w:val="00164278"/>
    <w:rsid w:val="00164EC0"/>
    <w:rsid w:val="0016545A"/>
    <w:rsid w:val="001664F6"/>
    <w:rsid w:val="00166C79"/>
    <w:rsid w:val="00167EC4"/>
    <w:rsid w:val="00170E61"/>
    <w:rsid w:val="001711E4"/>
    <w:rsid w:val="00171574"/>
    <w:rsid w:val="001718E1"/>
    <w:rsid w:val="00171989"/>
    <w:rsid w:val="00171B40"/>
    <w:rsid w:val="00173107"/>
    <w:rsid w:val="00174324"/>
    <w:rsid w:val="00174681"/>
    <w:rsid w:val="001747BB"/>
    <w:rsid w:val="00174A38"/>
    <w:rsid w:val="001753F4"/>
    <w:rsid w:val="00177097"/>
    <w:rsid w:val="00180B66"/>
    <w:rsid w:val="001848D2"/>
    <w:rsid w:val="001849CB"/>
    <w:rsid w:val="00184D9A"/>
    <w:rsid w:val="001850C1"/>
    <w:rsid w:val="0018517E"/>
    <w:rsid w:val="00185B2A"/>
    <w:rsid w:val="00185BF1"/>
    <w:rsid w:val="00185D14"/>
    <w:rsid w:val="0018655F"/>
    <w:rsid w:val="00186726"/>
    <w:rsid w:val="0018784D"/>
    <w:rsid w:val="001903A6"/>
    <w:rsid w:val="001906DF"/>
    <w:rsid w:val="00191AE7"/>
    <w:rsid w:val="001929F4"/>
    <w:rsid w:val="00192BA8"/>
    <w:rsid w:val="00194380"/>
    <w:rsid w:val="00195513"/>
    <w:rsid w:val="001A2268"/>
    <w:rsid w:val="001A2F31"/>
    <w:rsid w:val="001A4B6B"/>
    <w:rsid w:val="001A4C38"/>
    <w:rsid w:val="001A58E2"/>
    <w:rsid w:val="001A5F21"/>
    <w:rsid w:val="001B0CFB"/>
    <w:rsid w:val="001B12E2"/>
    <w:rsid w:val="001B2A91"/>
    <w:rsid w:val="001B2FF9"/>
    <w:rsid w:val="001B3367"/>
    <w:rsid w:val="001B468A"/>
    <w:rsid w:val="001B4CEB"/>
    <w:rsid w:val="001B5364"/>
    <w:rsid w:val="001B664F"/>
    <w:rsid w:val="001B676D"/>
    <w:rsid w:val="001B705C"/>
    <w:rsid w:val="001B781B"/>
    <w:rsid w:val="001C0CF9"/>
    <w:rsid w:val="001C109B"/>
    <w:rsid w:val="001C1751"/>
    <w:rsid w:val="001C22A4"/>
    <w:rsid w:val="001C2717"/>
    <w:rsid w:val="001C3EED"/>
    <w:rsid w:val="001C4F5F"/>
    <w:rsid w:val="001C5842"/>
    <w:rsid w:val="001C75EB"/>
    <w:rsid w:val="001D0F38"/>
    <w:rsid w:val="001D1DC4"/>
    <w:rsid w:val="001D4B14"/>
    <w:rsid w:val="001D527B"/>
    <w:rsid w:val="001E1820"/>
    <w:rsid w:val="001E1855"/>
    <w:rsid w:val="001E3CC4"/>
    <w:rsid w:val="001E4D58"/>
    <w:rsid w:val="001E5154"/>
    <w:rsid w:val="001E5540"/>
    <w:rsid w:val="001E5A83"/>
    <w:rsid w:val="001E7813"/>
    <w:rsid w:val="001F0342"/>
    <w:rsid w:val="001F115D"/>
    <w:rsid w:val="001F23B0"/>
    <w:rsid w:val="001F244E"/>
    <w:rsid w:val="001F3BDF"/>
    <w:rsid w:val="001F3CD4"/>
    <w:rsid w:val="001F60D3"/>
    <w:rsid w:val="001F6F7C"/>
    <w:rsid w:val="001F741A"/>
    <w:rsid w:val="001F7D03"/>
    <w:rsid w:val="00200CA1"/>
    <w:rsid w:val="002016F3"/>
    <w:rsid w:val="002017FB"/>
    <w:rsid w:val="00202B38"/>
    <w:rsid w:val="0020325D"/>
    <w:rsid w:val="0020524E"/>
    <w:rsid w:val="00205CAA"/>
    <w:rsid w:val="00206C0B"/>
    <w:rsid w:val="002071B5"/>
    <w:rsid w:val="002076BB"/>
    <w:rsid w:val="002108C5"/>
    <w:rsid w:val="00210B7E"/>
    <w:rsid w:val="002113DD"/>
    <w:rsid w:val="002127A6"/>
    <w:rsid w:val="00213969"/>
    <w:rsid w:val="002160F4"/>
    <w:rsid w:val="0022263F"/>
    <w:rsid w:val="00223D1C"/>
    <w:rsid w:val="00223D48"/>
    <w:rsid w:val="00225808"/>
    <w:rsid w:val="0022628C"/>
    <w:rsid w:val="00226C06"/>
    <w:rsid w:val="00227DFC"/>
    <w:rsid w:val="00230D70"/>
    <w:rsid w:val="00231A8C"/>
    <w:rsid w:val="00233269"/>
    <w:rsid w:val="002361EF"/>
    <w:rsid w:val="002363AF"/>
    <w:rsid w:val="00236614"/>
    <w:rsid w:val="002371E6"/>
    <w:rsid w:val="00240A91"/>
    <w:rsid w:val="002410D8"/>
    <w:rsid w:val="002414F9"/>
    <w:rsid w:val="0024159F"/>
    <w:rsid w:val="00241C36"/>
    <w:rsid w:val="00242772"/>
    <w:rsid w:val="00243D16"/>
    <w:rsid w:val="00244E87"/>
    <w:rsid w:val="00245E34"/>
    <w:rsid w:val="002501EC"/>
    <w:rsid w:val="00250891"/>
    <w:rsid w:val="00252B33"/>
    <w:rsid w:val="00252F39"/>
    <w:rsid w:val="00253102"/>
    <w:rsid w:val="00254C64"/>
    <w:rsid w:val="0025551E"/>
    <w:rsid w:val="00255832"/>
    <w:rsid w:val="00255D05"/>
    <w:rsid w:val="00260831"/>
    <w:rsid w:val="00261A7C"/>
    <w:rsid w:val="00262F69"/>
    <w:rsid w:val="00265420"/>
    <w:rsid w:val="0026600D"/>
    <w:rsid w:val="00267327"/>
    <w:rsid w:val="00270F7E"/>
    <w:rsid w:val="002718EB"/>
    <w:rsid w:val="002720A4"/>
    <w:rsid w:val="00272121"/>
    <w:rsid w:val="00273D37"/>
    <w:rsid w:val="0027467A"/>
    <w:rsid w:val="0027475F"/>
    <w:rsid w:val="002747DF"/>
    <w:rsid w:val="00275884"/>
    <w:rsid w:val="00275C19"/>
    <w:rsid w:val="00276C66"/>
    <w:rsid w:val="002778CA"/>
    <w:rsid w:val="00281594"/>
    <w:rsid w:val="002816DE"/>
    <w:rsid w:val="00281B2F"/>
    <w:rsid w:val="0028232D"/>
    <w:rsid w:val="00282A7D"/>
    <w:rsid w:val="00282EF2"/>
    <w:rsid w:val="00285189"/>
    <w:rsid w:val="002863C8"/>
    <w:rsid w:val="00286E51"/>
    <w:rsid w:val="0028780B"/>
    <w:rsid w:val="002878F2"/>
    <w:rsid w:val="00291C21"/>
    <w:rsid w:val="00291ED1"/>
    <w:rsid w:val="00292255"/>
    <w:rsid w:val="00292A52"/>
    <w:rsid w:val="0029355D"/>
    <w:rsid w:val="0029422B"/>
    <w:rsid w:val="00295ABD"/>
    <w:rsid w:val="0029665E"/>
    <w:rsid w:val="00297352"/>
    <w:rsid w:val="002A0334"/>
    <w:rsid w:val="002A063E"/>
    <w:rsid w:val="002A12CF"/>
    <w:rsid w:val="002A1B9B"/>
    <w:rsid w:val="002A2FCC"/>
    <w:rsid w:val="002A3BCB"/>
    <w:rsid w:val="002A4AE0"/>
    <w:rsid w:val="002A5B3D"/>
    <w:rsid w:val="002A63CB"/>
    <w:rsid w:val="002A763E"/>
    <w:rsid w:val="002A78FE"/>
    <w:rsid w:val="002B0CED"/>
    <w:rsid w:val="002B3437"/>
    <w:rsid w:val="002B37A3"/>
    <w:rsid w:val="002B480B"/>
    <w:rsid w:val="002B5D6B"/>
    <w:rsid w:val="002B673C"/>
    <w:rsid w:val="002B6F93"/>
    <w:rsid w:val="002B707D"/>
    <w:rsid w:val="002B70E3"/>
    <w:rsid w:val="002B7C53"/>
    <w:rsid w:val="002C0F8C"/>
    <w:rsid w:val="002C102E"/>
    <w:rsid w:val="002C164B"/>
    <w:rsid w:val="002C1D4E"/>
    <w:rsid w:val="002C2197"/>
    <w:rsid w:val="002C37C3"/>
    <w:rsid w:val="002C44C6"/>
    <w:rsid w:val="002C656F"/>
    <w:rsid w:val="002C6F6C"/>
    <w:rsid w:val="002C7019"/>
    <w:rsid w:val="002C767F"/>
    <w:rsid w:val="002D099B"/>
    <w:rsid w:val="002D0B73"/>
    <w:rsid w:val="002D0B7C"/>
    <w:rsid w:val="002D14A0"/>
    <w:rsid w:val="002D2065"/>
    <w:rsid w:val="002D498C"/>
    <w:rsid w:val="002D65FB"/>
    <w:rsid w:val="002D7442"/>
    <w:rsid w:val="002E01B0"/>
    <w:rsid w:val="002E0890"/>
    <w:rsid w:val="002E09FC"/>
    <w:rsid w:val="002E0AAE"/>
    <w:rsid w:val="002E0B18"/>
    <w:rsid w:val="002E26E6"/>
    <w:rsid w:val="002E2D58"/>
    <w:rsid w:val="002E3ABF"/>
    <w:rsid w:val="002E4AFB"/>
    <w:rsid w:val="002E4E88"/>
    <w:rsid w:val="002E4F51"/>
    <w:rsid w:val="002E520C"/>
    <w:rsid w:val="002E5250"/>
    <w:rsid w:val="002E52ED"/>
    <w:rsid w:val="002E5C12"/>
    <w:rsid w:val="002E5C89"/>
    <w:rsid w:val="002E7EBB"/>
    <w:rsid w:val="002F0B97"/>
    <w:rsid w:val="002F0D2B"/>
    <w:rsid w:val="002F15E1"/>
    <w:rsid w:val="002F1A7A"/>
    <w:rsid w:val="002F566F"/>
    <w:rsid w:val="002F5853"/>
    <w:rsid w:val="002F59EB"/>
    <w:rsid w:val="002F5A73"/>
    <w:rsid w:val="002F6993"/>
    <w:rsid w:val="002F6A4C"/>
    <w:rsid w:val="002F6D7A"/>
    <w:rsid w:val="002F7FF1"/>
    <w:rsid w:val="00300506"/>
    <w:rsid w:val="0030068C"/>
    <w:rsid w:val="0030115E"/>
    <w:rsid w:val="0030137F"/>
    <w:rsid w:val="00301817"/>
    <w:rsid w:val="00301BD6"/>
    <w:rsid w:val="00302CA4"/>
    <w:rsid w:val="00303717"/>
    <w:rsid w:val="00303F12"/>
    <w:rsid w:val="00307165"/>
    <w:rsid w:val="003107EC"/>
    <w:rsid w:val="00311946"/>
    <w:rsid w:val="00312D7B"/>
    <w:rsid w:val="0031319B"/>
    <w:rsid w:val="00314288"/>
    <w:rsid w:val="00315E93"/>
    <w:rsid w:val="003165F8"/>
    <w:rsid w:val="003175C6"/>
    <w:rsid w:val="00317803"/>
    <w:rsid w:val="00320FA5"/>
    <w:rsid w:val="003216AA"/>
    <w:rsid w:val="003217CF"/>
    <w:rsid w:val="00321D60"/>
    <w:rsid w:val="00323628"/>
    <w:rsid w:val="00323AA8"/>
    <w:rsid w:val="00325B74"/>
    <w:rsid w:val="00326F72"/>
    <w:rsid w:val="003276E0"/>
    <w:rsid w:val="00327B19"/>
    <w:rsid w:val="003307A1"/>
    <w:rsid w:val="00331535"/>
    <w:rsid w:val="00332145"/>
    <w:rsid w:val="003331ED"/>
    <w:rsid w:val="00333802"/>
    <w:rsid w:val="00333D65"/>
    <w:rsid w:val="00333F63"/>
    <w:rsid w:val="0033410E"/>
    <w:rsid w:val="00335A4F"/>
    <w:rsid w:val="00337C2E"/>
    <w:rsid w:val="003402D4"/>
    <w:rsid w:val="00341C92"/>
    <w:rsid w:val="00341EE1"/>
    <w:rsid w:val="003443D7"/>
    <w:rsid w:val="003443FA"/>
    <w:rsid w:val="00344688"/>
    <w:rsid w:val="00344CDD"/>
    <w:rsid w:val="00345EF5"/>
    <w:rsid w:val="00346302"/>
    <w:rsid w:val="00346BEA"/>
    <w:rsid w:val="00350772"/>
    <w:rsid w:val="003520A5"/>
    <w:rsid w:val="0035221E"/>
    <w:rsid w:val="0035275A"/>
    <w:rsid w:val="00353F39"/>
    <w:rsid w:val="003559DD"/>
    <w:rsid w:val="00356191"/>
    <w:rsid w:val="00356928"/>
    <w:rsid w:val="0036068C"/>
    <w:rsid w:val="00360AA5"/>
    <w:rsid w:val="00361445"/>
    <w:rsid w:val="00361ECF"/>
    <w:rsid w:val="00366793"/>
    <w:rsid w:val="003678B7"/>
    <w:rsid w:val="0037019E"/>
    <w:rsid w:val="003704C1"/>
    <w:rsid w:val="00372087"/>
    <w:rsid w:val="00372B5D"/>
    <w:rsid w:val="00373495"/>
    <w:rsid w:val="003744B8"/>
    <w:rsid w:val="003749E7"/>
    <w:rsid w:val="00374E2C"/>
    <w:rsid w:val="003755A4"/>
    <w:rsid w:val="00375AA6"/>
    <w:rsid w:val="00375F1D"/>
    <w:rsid w:val="00377F9D"/>
    <w:rsid w:val="00380B4F"/>
    <w:rsid w:val="003813AE"/>
    <w:rsid w:val="003815C3"/>
    <w:rsid w:val="00381A26"/>
    <w:rsid w:val="003828C5"/>
    <w:rsid w:val="00382DC6"/>
    <w:rsid w:val="00385043"/>
    <w:rsid w:val="0038616B"/>
    <w:rsid w:val="00386634"/>
    <w:rsid w:val="00387E4C"/>
    <w:rsid w:val="0039035A"/>
    <w:rsid w:val="00390722"/>
    <w:rsid w:val="003923C1"/>
    <w:rsid w:val="003938DE"/>
    <w:rsid w:val="003940BC"/>
    <w:rsid w:val="00394ED8"/>
    <w:rsid w:val="00395E1C"/>
    <w:rsid w:val="003972D6"/>
    <w:rsid w:val="003A0CBB"/>
    <w:rsid w:val="003A1A50"/>
    <w:rsid w:val="003A242F"/>
    <w:rsid w:val="003A2478"/>
    <w:rsid w:val="003A2737"/>
    <w:rsid w:val="003A353F"/>
    <w:rsid w:val="003A389F"/>
    <w:rsid w:val="003A5413"/>
    <w:rsid w:val="003A5ED0"/>
    <w:rsid w:val="003A616B"/>
    <w:rsid w:val="003A6355"/>
    <w:rsid w:val="003A657F"/>
    <w:rsid w:val="003A734C"/>
    <w:rsid w:val="003B1329"/>
    <w:rsid w:val="003B1730"/>
    <w:rsid w:val="003B1F0C"/>
    <w:rsid w:val="003B345D"/>
    <w:rsid w:val="003B445A"/>
    <w:rsid w:val="003B558F"/>
    <w:rsid w:val="003B59E3"/>
    <w:rsid w:val="003B5E34"/>
    <w:rsid w:val="003B6B47"/>
    <w:rsid w:val="003B7125"/>
    <w:rsid w:val="003B77F0"/>
    <w:rsid w:val="003B7A4B"/>
    <w:rsid w:val="003B7F06"/>
    <w:rsid w:val="003C0B5E"/>
    <w:rsid w:val="003C2678"/>
    <w:rsid w:val="003C2D5B"/>
    <w:rsid w:val="003C5DED"/>
    <w:rsid w:val="003C603D"/>
    <w:rsid w:val="003C631B"/>
    <w:rsid w:val="003C6DF2"/>
    <w:rsid w:val="003C72A1"/>
    <w:rsid w:val="003C72B1"/>
    <w:rsid w:val="003C73CA"/>
    <w:rsid w:val="003C7848"/>
    <w:rsid w:val="003C7DCE"/>
    <w:rsid w:val="003D243F"/>
    <w:rsid w:val="003D4B7D"/>
    <w:rsid w:val="003D4F69"/>
    <w:rsid w:val="003D520D"/>
    <w:rsid w:val="003D5878"/>
    <w:rsid w:val="003D6E88"/>
    <w:rsid w:val="003D6F5A"/>
    <w:rsid w:val="003E0455"/>
    <w:rsid w:val="003E05CE"/>
    <w:rsid w:val="003E2EFE"/>
    <w:rsid w:val="003E3666"/>
    <w:rsid w:val="003E3D78"/>
    <w:rsid w:val="003E5AB0"/>
    <w:rsid w:val="003E5CA8"/>
    <w:rsid w:val="003E6551"/>
    <w:rsid w:val="003E672A"/>
    <w:rsid w:val="003E7566"/>
    <w:rsid w:val="003E769F"/>
    <w:rsid w:val="003E7AB0"/>
    <w:rsid w:val="003E7E30"/>
    <w:rsid w:val="003F198D"/>
    <w:rsid w:val="003F22AD"/>
    <w:rsid w:val="003F277F"/>
    <w:rsid w:val="003F3407"/>
    <w:rsid w:val="003F557C"/>
    <w:rsid w:val="003F641A"/>
    <w:rsid w:val="003F6791"/>
    <w:rsid w:val="003F6891"/>
    <w:rsid w:val="003F6D62"/>
    <w:rsid w:val="003F7ABA"/>
    <w:rsid w:val="0040125F"/>
    <w:rsid w:val="004031C8"/>
    <w:rsid w:val="00403442"/>
    <w:rsid w:val="00403CC0"/>
    <w:rsid w:val="00405C1F"/>
    <w:rsid w:val="00405CD1"/>
    <w:rsid w:val="00405E64"/>
    <w:rsid w:val="00406AA4"/>
    <w:rsid w:val="00407483"/>
    <w:rsid w:val="00410933"/>
    <w:rsid w:val="004111D9"/>
    <w:rsid w:val="00411F40"/>
    <w:rsid w:val="00412BE3"/>
    <w:rsid w:val="00412D2D"/>
    <w:rsid w:val="0041438A"/>
    <w:rsid w:val="00415708"/>
    <w:rsid w:val="00415F3D"/>
    <w:rsid w:val="00416AF8"/>
    <w:rsid w:val="00416C0B"/>
    <w:rsid w:val="00420953"/>
    <w:rsid w:val="00420A5C"/>
    <w:rsid w:val="00422522"/>
    <w:rsid w:val="00422FA2"/>
    <w:rsid w:val="004242D4"/>
    <w:rsid w:val="00425163"/>
    <w:rsid w:val="0042681B"/>
    <w:rsid w:val="00426A98"/>
    <w:rsid w:val="00431E9A"/>
    <w:rsid w:val="00432F79"/>
    <w:rsid w:val="00433121"/>
    <w:rsid w:val="00433D2D"/>
    <w:rsid w:val="004346BB"/>
    <w:rsid w:val="004346C1"/>
    <w:rsid w:val="004348C1"/>
    <w:rsid w:val="00434C80"/>
    <w:rsid w:val="00435689"/>
    <w:rsid w:val="00435A0C"/>
    <w:rsid w:val="00435AB5"/>
    <w:rsid w:val="00436124"/>
    <w:rsid w:val="004366D4"/>
    <w:rsid w:val="00437772"/>
    <w:rsid w:val="00437D8A"/>
    <w:rsid w:val="00440776"/>
    <w:rsid w:val="00440AB7"/>
    <w:rsid w:val="00441A9F"/>
    <w:rsid w:val="00443248"/>
    <w:rsid w:val="004443AC"/>
    <w:rsid w:val="004445B1"/>
    <w:rsid w:val="00445AC4"/>
    <w:rsid w:val="00446C36"/>
    <w:rsid w:val="0044789E"/>
    <w:rsid w:val="00450067"/>
    <w:rsid w:val="0045236A"/>
    <w:rsid w:val="004525AD"/>
    <w:rsid w:val="004555B7"/>
    <w:rsid w:val="00457120"/>
    <w:rsid w:val="004602F2"/>
    <w:rsid w:val="004614DB"/>
    <w:rsid w:val="00461C49"/>
    <w:rsid w:val="00463E99"/>
    <w:rsid w:val="0046482D"/>
    <w:rsid w:val="00464CF1"/>
    <w:rsid w:val="00465BD0"/>
    <w:rsid w:val="00466890"/>
    <w:rsid w:val="004714CC"/>
    <w:rsid w:val="00472CDA"/>
    <w:rsid w:val="004735E5"/>
    <w:rsid w:val="004737C4"/>
    <w:rsid w:val="00474FAA"/>
    <w:rsid w:val="004762CF"/>
    <w:rsid w:val="00476F81"/>
    <w:rsid w:val="004775BD"/>
    <w:rsid w:val="00477D13"/>
    <w:rsid w:val="0048017A"/>
    <w:rsid w:val="00481832"/>
    <w:rsid w:val="00482C3C"/>
    <w:rsid w:val="00482CE2"/>
    <w:rsid w:val="004839A3"/>
    <w:rsid w:val="00484343"/>
    <w:rsid w:val="00486276"/>
    <w:rsid w:val="00486C08"/>
    <w:rsid w:val="00490140"/>
    <w:rsid w:val="00491797"/>
    <w:rsid w:val="00493AEF"/>
    <w:rsid w:val="0049403F"/>
    <w:rsid w:val="004971B5"/>
    <w:rsid w:val="004A0B74"/>
    <w:rsid w:val="004A1B11"/>
    <w:rsid w:val="004A1FB6"/>
    <w:rsid w:val="004A2137"/>
    <w:rsid w:val="004A43BD"/>
    <w:rsid w:val="004A498D"/>
    <w:rsid w:val="004A4DA5"/>
    <w:rsid w:val="004A5C06"/>
    <w:rsid w:val="004A5E9F"/>
    <w:rsid w:val="004A6262"/>
    <w:rsid w:val="004B1877"/>
    <w:rsid w:val="004B1E31"/>
    <w:rsid w:val="004B1E84"/>
    <w:rsid w:val="004B3E22"/>
    <w:rsid w:val="004B494D"/>
    <w:rsid w:val="004B4CE9"/>
    <w:rsid w:val="004B5EDD"/>
    <w:rsid w:val="004C016E"/>
    <w:rsid w:val="004C121F"/>
    <w:rsid w:val="004C1F61"/>
    <w:rsid w:val="004C2626"/>
    <w:rsid w:val="004C2D0E"/>
    <w:rsid w:val="004C3A5A"/>
    <w:rsid w:val="004C5FCE"/>
    <w:rsid w:val="004C6529"/>
    <w:rsid w:val="004C65E6"/>
    <w:rsid w:val="004C715D"/>
    <w:rsid w:val="004C7616"/>
    <w:rsid w:val="004D27A7"/>
    <w:rsid w:val="004D2FCF"/>
    <w:rsid w:val="004D32BB"/>
    <w:rsid w:val="004D45FC"/>
    <w:rsid w:val="004D4741"/>
    <w:rsid w:val="004D4ACA"/>
    <w:rsid w:val="004D4EE8"/>
    <w:rsid w:val="004D77B8"/>
    <w:rsid w:val="004D7DB6"/>
    <w:rsid w:val="004E07D7"/>
    <w:rsid w:val="004E0E90"/>
    <w:rsid w:val="004E167F"/>
    <w:rsid w:val="004E16A2"/>
    <w:rsid w:val="004E2079"/>
    <w:rsid w:val="004E2311"/>
    <w:rsid w:val="004E269A"/>
    <w:rsid w:val="004E3DC1"/>
    <w:rsid w:val="004E49BA"/>
    <w:rsid w:val="004E5250"/>
    <w:rsid w:val="004E608F"/>
    <w:rsid w:val="004F05E1"/>
    <w:rsid w:val="004F22B4"/>
    <w:rsid w:val="004F2F4F"/>
    <w:rsid w:val="004F3C00"/>
    <w:rsid w:val="004F4055"/>
    <w:rsid w:val="004F5D12"/>
    <w:rsid w:val="004F62CF"/>
    <w:rsid w:val="004F79D3"/>
    <w:rsid w:val="004F7EA0"/>
    <w:rsid w:val="0050094B"/>
    <w:rsid w:val="00500DAD"/>
    <w:rsid w:val="005021BE"/>
    <w:rsid w:val="005023D0"/>
    <w:rsid w:val="00502A87"/>
    <w:rsid w:val="0050368F"/>
    <w:rsid w:val="005064D5"/>
    <w:rsid w:val="00506DCD"/>
    <w:rsid w:val="0050749A"/>
    <w:rsid w:val="005102E4"/>
    <w:rsid w:val="005106E5"/>
    <w:rsid w:val="00510F08"/>
    <w:rsid w:val="005126C4"/>
    <w:rsid w:val="005127F8"/>
    <w:rsid w:val="00512A36"/>
    <w:rsid w:val="00514A8F"/>
    <w:rsid w:val="00514B61"/>
    <w:rsid w:val="00515824"/>
    <w:rsid w:val="00515BD4"/>
    <w:rsid w:val="00515F0E"/>
    <w:rsid w:val="0051776B"/>
    <w:rsid w:val="00521D0C"/>
    <w:rsid w:val="0052202E"/>
    <w:rsid w:val="005267A0"/>
    <w:rsid w:val="00526EF2"/>
    <w:rsid w:val="00531364"/>
    <w:rsid w:val="0053162C"/>
    <w:rsid w:val="00532E87"/>
    <w:rsid w:val="0053380D"/>
    <w:rsid w:val="0053579D"/>
    <w:rsid w:val="00535C07"/>
    <w:rsid w:val="00535F17"/>
    <w:rsid w:val="00536A64"/>
    <w:rsid w:val="00536B69"/>
    <w:rsid w:val="005370C2"/>
    <w:rsid w:val="005405CB"/>
    <w:rsid w:val="005417C1"/>
    <w:rsid w:val="00543971"/>
    <w:rsid w:val="00543E07"/>
    <w:rsid w:val="005475AB"/>
    <w:rsid w:val="005477F8"/>
    <w:rsid w:val="00547BA5"/>
    <w:rsid w:val="0055072E"/>
    <w:rsid w:val="0055086F"/>
    <w:rsid w:val="00550D92"/>
    <w:rsid w:val="00551665"/>
    <w:rsid w:val="00551AC9"/>
    <w:rsid w:val="00551D09"/>
    <w:rsid w:val="00552D3D"/>
    <w:rsid w:val="00553F9E"/>
    <w:rsid w:val="005544F1"/>
    <w:rsid w:val="00555C42"/>
    <w:rsid w:val="00555FA6"/>
    <w:rsid w:val="00556329"/>
    <w:rsid w:val="005573D8"/>
    <w:rsid w:val="00560252"/>
    <w:rsid w:val="005622A1"/>
    <w:rsid w:val="00562640"/>
    <w:rsid w:val="0056428F"/>
    <w:rsid w:val="00564DDD"/>
    <w:rsid w:val="005669B0"/>
    <w:rsid w:val="00567602"/>
    <w:rsid w:val="00570016"/>
    <w:rsid w:val="005701B4"/>
    <w:rsid w:val="005702DF"/>
    <w:rsid w:val="00570672"/>
    <w:rsid w:val="00570BAA"/>
    <w:rsid w:val="00570E90"/>
    <w:rsid w:val="00571FD5"/>
    <w:rsid w:val="005727D8"/>
    <w:rsid w:val="00572867"/>
    <w:rsid w:val="00574206"/>
    <w:rsid w:val="00574CA0"/>
    <w:rsid w:val="0057501A"/>
    <w:rsid w:val="00575645"/>
    <w:rsid w:val="0057598E"/>
    <w:rsid w:val="005762D1"/>
    <w:rsid w:val="005775EC"/>
    <w:rsid w:val="0057797D"/>
    <w:rsid w:val="0058012D"/>
    <w:rsid w:val="00580495"/>
    <w:rsid w:val="005815A8"/>
    <w:rsid w:val="00582CAB"/>
    <w:rsid w:val="00583942"/>
    <w:rsid w:val="00583E42"/>
    <w:rsid w:val="005840CE"/>
    <w:rsid w:val="005857E0"/>
    <w:rsid w:val="00585AFF"/>
    <w:rsid w:val="00585C90"/>
    <w:rsid w:val="00587608"/>
    <w:rsid w:val="00587F05"/>
    <w:rsid w:val="0059067B"/>
    <w:rsid w:val="00590986"/>
    <w:rsid w:val="00590B5E"/>
    <w:rsid w:val="005913B7"/>
    <w:rsid w:val="00591475"/>
    <w:rsid w:val="00592B91"/>
    <w:rsid w:val="00593537"/>
    <w:rsid w:val="005938D2"/>
    <w:rsid w:val="005942A9"/>
    <w:rsid w:val="005950C7"/>
    <w:rsid w:val="005968C2"/>
    <w:rsid w:val="00596945"/>
    <w:rsid w:val="005A0548"/>
    <w:rsid w:val="005A165F"/>
    <w:rsid w:val="005A47DC"/>
    <w:rsid w:val="005A496E"/>
    <w:rsid w:val="005A52DD"/>
    <w:rsid w:val="005A6734"/>
    <w:rsid w:val="005A6919"/>
    <w:rsid w:val="005B14E5"/>
    <w:rsid w:val="005B2990"/>
    <w:rsid w:val="005B51DA"/>
    <w:rsid w:val="005B571B"/>
    <w:rsid w:val="005B7306"/>
    <w:rsid w:val="005C1CF5"/>
    <w:rsid w:val="005C267C"/>
    <w:rsid w:val="005C31F7"/>
    <w:rsid w:val="005C32C4"/>
    <w:rsid w:val="005C3564"/>
    <w:rsid w:val="005C3B45"/>
    <w:rsid w:val="005C3B55"/>
    <w:rsid w:val="005C3CF6"/>
    <w:rsid w:val="005C520A"/>
    <w:rsid w:val="005C58D2"/>
    <w:rsid w:val="005C5CEF"/>
    <w:rsid w:val="005C6A90"/>
    <w:rsid w:val="005C7037"/>
    <w:rsid w:val="005D0277"/>
    <w:rsid w:val="005D11DF"/>
    <w:rsid w:val="005D3961"/>
    <w:rsid w:val="005D4B08"/>
    <w:rsid w:val="005D5507"/>
    <w:rsid w:val="005D5F9A"/>
    <w:rsid w:val="005D7FE1"/>
    <w:rsid w:val="005E04E3"/>
    <w:rsid w:val="005E100E"/>
    <w:rsid w:val="005E27EF"/>
    <w:rsid w:val="005E3647"/>
    <w:rsid w:val="005E44DD"/>
    <w:rsid w:val="005E4678"/>
    <w:rsid w:val="005E494F"/>
    <w:rsid w:val="005E52FA"/>
    <w:rsid w:val="005E5889"/>
    <w:rsid w:val="005E6A6B"/>
    <w:rsid w:val="005E6EF5"/>
    <w:rsid w:val="005E755B"/>
    <w:rsid w:val="005F055E"/>
    <w:rsid w:val="005F1040"/>
    <w:rsid w:val="005F185A"/>
    <w:rsid w:val="005F21FC"/>
    <w:rsid w:val="005F389B"/>
    <w:rsid w:val="005F4337"/>
    <w:rsid w:val="005F63B2"/>
    <w:rsid w:val="006014B6"/>
    <w:rsid w:val="00601510"/>
    <w:rsid w:val="006017B9"/>
    <w:rsid w:val="006019BD"/>
    <w:rsid w:val="00602FAF"/>
    <w:rsid w:val="00604499"/>
    <w:rsid w:val="0060522C"/>
    <w:rsid w:val="00605C52"/>
    <w:rsid w:val="00606237"/>
    <w:rsid w:val="00606F82"/>
    <w:rsid w:val="006106B9"/>
    <w:rsid w:val="0061090A"/>
    <w:rsid w:val="0061233C"/>
    <w:rsid w:val="006126D8"/>
    <w:rsid w:val="006138A9"/>
    <w:rsid w:val="006143C6"/>
    <w:rsid w:val="00616547"/>
    <w:rsid w:val="006168B0"/>
    <w:rsid w:val="006168F4"/>
    <w:rsid w:val="006176AA"/>
    <w:rsid w:val="00617DEE"/>
    <w:rsid w:val="00617E6D"/>
    <w:rsid w:val="006203E6"/>
    <w:rsid w:val="00621262"/>
    <w:rsid w:val="00622F78"/>
    <w:rsid w:val="0062305F"/>
    <w:rsid w:val="00623273"/>
    <w:rsid w:val="00623305"/>
    <w:rsid w:val="00623911"/>
    <w:rsid w:val="0062473A"/>
    <w:rsid w:val="006253E5"/>
    <w:rsid w:val="00625A88"/>
    <w:rsid w:val="0062785B"/>
    <w:rsid w:val="0063102F"/>
    <w:rsid w:val="00631093"/>
    <w:rsid w:val="0063127E"/>
    <w:rsid w:val="00631DF8"/>
    <w:rsid w:val="00633897"/>
    <w:rsid w:val="00634011"/>
    <w:rsid w:val="00635044"/>
    <w:rsid w:val="00635D40"/>
    <w:rsid w:val="00635D81"/>
    <w:rsid w:val="00636790"/>
    <w:rsid w:val="006370F7"/>
    <w:rsid w:val="00642028"/>
    <w:rsid w:val="0064264B"/>
    <w:rsid w:val="00642FCB"/>
    <w:rsid w:val="006442D8"/>
    <w:rsid w:val="00644F5E"/>
    <w:rsid w:val="00646260"/>
    <w:rsid w:val="00646EE0"/>
    <w:rsid w:val="00646F25"/>
    <w:rsid w:val="00647E11"/>
    <w:rsid w:val="00650427"/>
    <w:rsid w:val="00650A17"/>
    <w:rsid w:val="0065105A"/>
    <w:rsid w:val="0065276E"/>
    <w:rsid w:val="006527A7"/>
    <w:rsid w:val="006531CA"/>
    <w:rsid w:val="00654211"/>
    <w:rsid w:val="00654BE8"/>
    <w:rsid w:val="00654D17"/>
    <w:rsid w:val="0065655D"/>
    <w:rsid w:val="00656984"/>
    <w:rsid w:val="00656A83"/>
    <w:rsid w:val="00663134"/>
    <w:rsid w:val="00664739"/>
    <w:rsid w:val="006655C2"/>
    <w:rsid w:val="00665C88"/>
    <w:rsid w:val="00670003"/>
    <w:rsid w:val="00670274"/>
    <w:rsid w:val="00670A85"/>
    <w:rsid w:val="0067207B"/>
    <w:rsid w:val="0067345D"/>
    <w:rsid w:val="00673C21"/>
    <w:rsid w:val="00674F4F"/>
    <w:rsid w:val="006758DD"/>
    <w:rsid w:val="00675AF9"/>
    <w:rsid w:val="00676F54"/>
    <w:rsid w:val="006774F6"/>
    <w:rsid w:val="00680F77"/>
    <w:rsid w:val="00681435"/>
    <w:rsid w:val="006816E2"/>
    <w:rsid w:val="00682445"/>
    <w:rsid w:val="00682D52"/>
    <w:rsid w:val="006843DD"/>
    <w:rsid w:val="00684598"/>
    <w:rsid w:val="00684688"/>
    <w:rsid w:val="00685CF6"/>
    <w:rsid w:val="0068713F"/>
    <w:rsid w:val="006871F5"/>
    <w:rsid w:val="006873AB"/>
    <w:rsid w:val="0069245D"/>
    <w:rsid w:val="006933A0"/>
    <w:rsid w:val="00693B3E"/>
    <w:rsid w:val="006945BA"/>
    <w:rsid w:val="00694C03"/>
    <w:rsid w:val="00695B84"/>
    <w:rsid w:val="006A0262"/>
    <w:rsid w:val="006A030D"/>
    <w:rsid w:val="006A05D6"/>
    <w:rsid w:val="006A1120"/>
    <w:rsid w:val="006A1DCC"/>
    <w:rsid w:val="006A30D8"/>
    <w:rsid w:val="006A546A"/>
    <w:rsid w:val="006A72CB"/>
    <w:rsid w:val="006B076E"/>
    <w:rsid w:val="006B26D6"/>
    <w:rsid w:val="006B273B"/>
    <w:rsid w:val="006B3C29"/>
    <w:rsid w:val="006B483C"/>
    <w:rsid w:val="006B5978"/>
    <w:rsid w:val="006B5F94"/>
    <w:rsid w:val="006B676E"/>
    <w:rsid w:val="006B67B6"/>
    <w:rsid w:val="006B7070"/>
    <w:rsid w:val="006B7D9A"/>
    <w:rsid w:val="006C02E4"/>
    <w:rsid w:val="006C0FBB"/>
    <w:rsid w:val="006C1C87"/>
    <w:rsid w:val="006C2B39"/>
    <w:rsid w:val="006C426F"/>
    <w:rsid w:val="006C4B08"/>
    <w:rsid w:val="006C4EA5"/>
    <w:rsid w:val="006C4EC0"/>
    <w:rsid w:val="006C5B51"/>
    <w:rsid w:val="006C76F4"/>
    <w:rsid w:val="006D34A3"/>
    <w:rsid w:val="006D4FD1"/>
    <w:rsid w:val="006D50F9"/>
    <w:rsid w:val="006D5713"/>
    <w:rsid w:val="006D5F07"/>
    <w:rsid w:val="006D6109"/>
    <w:rsid w:val="006D6D40"/>
    <w:rsid w:val="006E1176"/>
    <w:rsid w:val="006E21D7"/>
    <w:rsid w:val="006E2597"/>
    <w:rsid w:val="006E2DA9"/>
    <w:rsid w:val="006E425E"/>
    <w:rsid w:val="006E42AC"/>
    <w:rsid w:val="006E4F2B"/>
    <w:rsid w:val="006E53AC"/>
    <w:rsid w:val="006E5DD4"/>
    <w:rsid w:val="006E6000"/>
    <w:rsid w:val="006E7F44"/>
    <w:rsid w:val="006F0506"/>
    <w:rsid w:val="006F053D"/>
    <w:rsid w:val="006F233D"/>
    <w:rsid w:val="006F2367"/>
    <w:rsid w:val="006F31CE"/>
    <w:rsid w:val="006F36DD"/>
    <w:rsid w:val="006F3722"/>
    <w:rsid w:val="006F4167"/>
    <w:rsid w:val="006F5D38"/>
    <w:rsid w:val="006F5EF4"/>
    <w:rsid w:val="006F623C"/>
    <w:rsid w:val="006F7B9C"/>
    <w:rsid w:val="00700E7F"/>
    <w:rsid w:val="0070233C"/>
    <w:rsid w:val="00703574"/>
    <w:rsid w:val="00705749"/>
    <w:rsid w:val="00705E70"/>
    <w:rsid w:val="00706115"/>
    <w:rsid w:val="00706CE0"/>
    <w:rsid w:val="007070BD"/>
    <w:rsid w:val="00707629"/>
    <w:rsid w:val="0071129C"/>
    <w:rsid w:val="00711696"/>
    <w:rsid w:val="00711AA6"/>
    <w:rsid w:val="0071319C"/>
    <w:rsid w:val="007140FD"/>
    <w:rsid w:val="0071443F"/>
    <w:rsid w:val="007145AC"/>
    <w:rsid w:val="007155F7"/>
    <w:rsid w:val="00716025"/>
    <w:rsid w:val="00716973"/>
    <w:rsid w:val="0071702A"/>
    <w:rsid w:val="007175C9"/>
    <w:rsid w:val="00717AA8"/>
    <w:rsid w:val="00717B66"/>
    <w:rsid w:val="007206AA"/>
    <w:rsid w:val="00720802"/>
    <w:rsid w:val="00720E0A"/>
    <w:rsid w:val="0072105E"/>
    <w:rsid w:val="00721147"/>
    <w:rsid w:val="00721DB0"/>
    <w:rsid w:val="00722355"/>
    <w:rsid w:val="00722595"/>
    <w:rsid w:val="0072290D"/>
    <w:rsid w:val="00722C16"/>
    <w:rsid w:val="007230E9"/>
    <w:rsid w:val="00723C1E"/>
    <w:rsid w:val="00724E11"/>
    <w:rsid w:val="00725D87"/>
    <w:rsid w:val="00727502"/>
    <w:rsid w:val="007277FE"/>
    <w:rsid w:val="00730140"/>
    <w:rsid w:val="0073248E"/>
    <w:rsid w:val="00732D99"/>
    <w:rsid w:val="00733B5A"/>
    <w:rsid w:val="00734F84"/>
    <w:rsid w:val="00737724"/>
    <w:rsid w:val="00741B55"/>
    <w:rsid w:val="00741D93"/>
    <w:rsid w:val="00741D9B"/>
    <w:rsid w:val="00741DE1"/>
    <w:rsid w:val="00742350"/>
    <w:rsid w:val="007426FC"/>
    <w:rsid w:val="0074477B"/>
    <w:rsid w:val="007449BC"/>
    <w:rsid w:val="00746FF2"/>
    <w:rsid w:val="00747A03"/>
    <w:rsid w:val="00751240"/>
    <w:rsid w:val="00752205"/>
    <w:rsid w:val="007532E0"/>
    <w:rsid w:val="00753360"/>
    <w:rsid w:val="007533A8"/>
    <w:rsid w:val="00753A23"/>
    <w:rsid w:val="00753F23"/>
    <w:rsid w:val="007543B1"/>
    <w:rsid w:val="00756D29"/>
    <w:rsid w:val="00761EB8"/>
    <w:rsid w:val="007622A9"/>
    <w:rsid w:val="00763635"/>
    <w:rsid w:val="00763F1C"/>
    <w:rsid w:val="00764D43"/>
    <w:rsid w:val="00765662"/>
    <w:rsid w:val="00765CE5"/>
    <w:rsid w:val="007676F3"/>
    <w:rsid w:val="00767D1E"/>
    <w:rsid w:val="00767E75"/>
    <w:rsid w:val="00770F41"/>
    <w:rsid w:val="00770FFB"/>
    <w:rsid w:val="00771C97"/>
    <w:rsid w:val="00771C98"/>
    <w:rsid w:val="00773B68"/>
    <w:rsid w:val="00776A8E"/>
    <w:rsid w:val="00776F2E"/>
    <w:rsid w:val="00777D67"/>
    <w:rsid w:val="00780066"/>
    <w:rsid w:val="007808FB"/>
    <w:rsid w:val="00782F64"/>
    <w:rsid w:val="007861CA"/>
    <w:rsid w:val="00786B25"/>
    <w:rsid w:val="00787BE0"/>
    <w:rsid w:val="0079136C"/>
    <w:rsid w:val="00792D0D"/>
    <w:rsid w:val="007948D4"/>
    <w:rsid w:val="00794F86"/>
    <w:rsid w:val="00795A45"/>
    <w:rsid w:val="0079666A"/>
    <w:rsid w:val="00796A53"/>
    <w:rsid w:val="00797826"/>
    <w:rsid w:val="007A0B40"/>
    <w:rsid w:val="007A1089"/>
    <w:rsid w:val="007A14CA"/>
    <w:rsid w:val="007A1C45"/>
    <w:rsid w:val="007A24C4"/>
    <w:rsid w:val="007A388B"/>
    <w:rsid w:val="007A418B"/>
    <w:rsid w:val="007A433D"/>
    <w:rsid w:val="007A4925"/>
    <w:rsid w:val="007A5129"/>
    <w:rsid w:val="007A54A8"/>
    <w:rsid w:val="007A5C5C"/>
    <w:rsid w:val="007A7A57"/>
    <w:rsid w:val="007A7E36"/>
    <w:rsid w:val="007B0D11"/>
    <w:rsid w:val="007B29FF"/>
    <w:rsid w:val="007B3D38"/>
    <w:rsid w:val="007B4D08"/>
    <w:rsid w:val="007B549C"/>
    <w:rsid w:val="007B5DB2"/>
    <w:rsid w:val="007B6004"/>
    <w:rsid w:val="007B7BB0"/>
    <w:rsid w:val="007C05F4"/>
    <w:rsid w:val="007C15A0"/>
    <w:rsid w:val="007C2588"/>
    <w:rsid w:val="007C2B20"/>
    <w:rsid w:val="007C301D"/>
    <w:rsid w:val="007C48D8"/>
    <w:rsid w:val="007C56D2"/>
    <w:rsid w:val="007C68DD"/>
    <w:rsid w:val="007C773A"/>
    <w:rsid w:val="007D04D0"/>
    <w:rsid w:val="007D333E"/>
    <w:rsid w:val="007D3B58"/>
    <w:rsid w:val="007D3D9B"/>
    <w:rsid w:val="007E0882"/>
    <w:rsid w:val="007E0C1A"/>
    <w:rsid w:val="007E1D55"/>
    <w:rsid w:val="007E27CF"/>
    <w:rsid w:val="007E2B65"/>
    <w:rsid w:val="007E32ED"/>
    <w:rsid w:val="007E35E6"/>
    <w:rsid w:val="007E3F95"/>
    <w:rsid w:val="007E41F2"/>
    <w:rsid w:val="007E48D9"/>
    <w:rsid w:val="007E61DD"/>
    <w:rsid w:val="007E665B"/>
    <w:rsid w:val="007F4A38"/>
    <w:rsid w:val="007F603F"/>
    <w:rsid w:val="007F6616"/>
    <w:rsid w:val="007F7431"/>
    <w:rsid w:val="007F79C5"/>
    <w:rsid w:val="007F7BAD"/>
    <w:rsid w:val="0080079B"/>
    <w:rsid w:val="00800ADF"/>
    <w:rsid w:val="00801D5D"/>
    <w:rsid w:val="00802646"/>
    <w:rsid w:val="0080334F"/>
    <w:rsid w:val="00803DE4"/>
    <w:rsid w:val="008040D3"/>
    <w:rsid w:val="00805E13"/>
    <w:rsid w:val="008062C8"/>
    <w:rsid w:val="00807338"/>
    <w:rsid w:val="008077D1"/>
    <w:rsid w:val="00807B48"/>
    <w:rsid w:val="0081139B"/>
    <w:rsid w:val="0081239E"/>
    <w:rsid w:val="00813A51"/>
    <w:rsid w:val="0081453B"/>
    <w:rsid w:val="008152DE"/>
    <w:rsid w:val="00815322"/>
    <w:rsid w:val="008172AD"/>
    <w:rsid w:val="0081790E"/>
    <w:rsid w:val="00817F24"/>
    <w:rsid w:val="00817F8E"/>
    <w:rsid w:val="00821719"/>
    <w:rsid w:val="00821F51"/>
    <w:rsid w:val="0082219E"/>
    <w:rsid w:val="008238DE"/>
    <w:rsid w:val="00823CBA"/>
    <w:rsid w:val="00824D13"/>
    <w:rsid w:val="008259BB"/>
    <w:rsid w:val="00826F64"/>
    <w:rsid w:val="00826F8A"/>
    <w:rsid w:val="008270B1"/>
    <w:rsid w:val="008302D7"/>
    <w:rsid w:val="0083142A"/>
    <w:rsid w:val="008319DA"/>
    <w:rsid w:val="00831DFF"/>
    <w:rsid w:val="00833C94"/>
    <w:rsid w:val="00834264"/>
    <w:rsid w:val="008348B7"/>
    <w:rsid w:val="0083556C"/>
    <w:rsid w:val="00836236"/>
    <w:rsid w:val="00840701"/>
    <w:rsid w:val="00840EBE"/>
    <w:rsid w:val="008412ED"/>
    <w:rsid w:val="00842C4B"/>
    <w:rsid w:val="0084415F"/>
    <w:rsid w:val="008449E2"/>
    <w:rsid w:val="00845BFB"/>
    <w:rsid w:val="008525C8"/>
    <w:rsid w:val="0085697B"/>
    <w:rsid w:val="008630A3"/>
    <w:rsid w:val="00863591"/>
    <w:rsid w:val="00865051"/>
    <w:rsid w:val="0086600C"/>
    <w:rsid w:val="008664F1"/>
    <w:rsid w:val="008700A7"/>
    <w:rsid w:val="0087014F"/>
    <w:rsid w:val="00870887"/>
    <w:rsid w:val="00871B13"/>
    <w:rsid w:val="008721F3"/>
    <w:rsid w:val="0087324C"/>
    <w:rsid w:val="00875EC6"/>
    <w:rsid w:val="008769D3"/>
    <w:rsid w:val="00877C63"/>
    <w:rsid w:val="00880D07"/>
    <w:rsid w:val="0088147B"/>
    <w:rsid w:val="008815C3"/>
    <w:rsid w:val="00881E9F"/>
    <w:rsid w:val="008835E7"/>
    <w:rsid w:val="0088463D"/>
    <w:rsid w:val="00884C85"/>
    <w:rsid w:val="0088761F"/>
    <w:rsid w:val="008907B6"/>
    <w:rsid w:val="00890828"/>
    <w:rsid w:val="00891ADD"/>
    <w:rsid w:val="00892902"/>
    <w:rsid w:val="00892C51"/>
    <w:rsid w:val="008932F6"/>
    <w:rsid w:val="0089390A"/>
    <w:rsid w:val="00894CB6"/>
    <w:rsid w:val="00896208"/>
    <w:rsid w:val="00896CEE"/>
    <w:rsid w:val="00896E4B"/>
    <w:rsid w:val="00897674"/>
    <w:rsid w:val="008A0247"/>
    <w:rsid w:val="008A12FB"/>
    <w:rsid w:val="008A257F"/>
    <w:rsid w:val="008A33C1"/>
    <w:rsid w:val="008A3DD1"/>
    <w:rsid w:val="008A3F07"/>
    <w:rsid w:val="008A3F3F"/>
    <w:rsid w:val="008A500C"/>
    <w:rsid w:val="008A51B0"/>
    <w:rsid w:val="008A6C62"/>
    <w:rsid w:val="008A6C93"/>
    <w:rsid w:val="008A77C0"/>
    <w:rsid w:val="008B3FA6"/>
    <w:rsid w:val="008B3FDB"/>
    <w:rsid w:val="008B43B0"/>
    <w:rsid w:val="008B4D2F"/>
    <w:rsid w:val="008B52B9"/>
    <w:rsid w:val="008B6237"/>
    <w:rsid w:val="008B69F6"/>
    <w:rsid w:val="008B7814"/>
    <w:rsid w:val="008C1667"/>
    <w:rsid w:val="008C21C7"/>
    <w:rsid w:val="008C31AE"/>
    <w:rsid w:val="008C3C9B"/>
    <w:rsid w:val="008C41B6"/>
    <w:rsid w:val="008C43A0"/>
    <w:rsid w:val="008C4465"/>
    <w:rsid w:val="008C4C18"/>
    <w:rsid w:val="008C5AE5"/>
    <w:rsid w:val="008C762E"/>
    <w:rsid w:val="008D0A8B"/>
    <w:rsid w:val="008D10B2"/>
    <w:rsid w:val="008D1382"/>
    <w:rsid w:val="008D16D2"/>
    <w:rsid w:val="008D2279"/>
    <w:rsid w:val="008D2BFC"/>
    <w:rsid w:val="008D49ED"/>
    <w:rsid w:val="008D4E43"/>
    <w:rsid w:val="008D4F94"/>
    <w:rsid w:val="008D6895"/>
    <w:rsid w:val="008D78FA"/>
    <w:rsid w:val="008D7C2B"/>
    <w:rsid w:val="008E01D5"/>
    <w:rsid w:val="008E04F7"/>
    <w:rsid w:val="008E0CB2"/>
    <w:rsid w:val="008E1949"/>
    <w:rsid w:val="008E3A4D"/>
    <w:rsid w:val="008E4432"/>
    <w:rsid w:val="008E453B"/>
    <w:rsid w:val="008E6C7D"/>
    <w:rsid w:val="008E6E38"/>
    <w:rsid w:val="008F1F04"/>
    <w:rsid w:val="008F1FC9"/>
    <w:rsid w:val="008F31F7"/>
    <w:rsid w:val="008F3375"/>
    <w:rsid w:val="008F4199"/>
    <w:rsid w:val="008F4782"/>
    <w:rsid w:val="008F5E04"/>
    <w:rsid w:val="008F64BE"/>
    <w:rsid w:val="008F6635"/>
    <w:rsid w:val="008F6DFD"/>
    <w:rsid w:val="008F7B46"/>
    <w:rsid w:val="00900960"/>
    <w:rsid w:val="00900D5C"/>
    <w:rsid w:val="00900ECC"/>
    <w:rsid w:val="00900FE7"/>
    <w:rsid w:val="00901551"/>
    <w:rsid w:val="009027EE"/>
    <w:rsid w:val="0090426A"/>
    <w:rsid w:val="00905D8F"/>
    <w:rsid w:val="00907118"/>
    <w:rsid w:val="00907950"/>
    <w:rsid w:val="009116C4"/>
    <w:rsid w:val="00912982"/>
    <w:rsid w:val="0091437F"/>
    <w:rsid w:val="0091544B"/>
    <w:rsid w:val="00917D1F"/>
    <w:rsid w:val="00917FA5"/>
    <w:rsid w:val="009200AB"/>
    <w:rsid w:val="00920222"/>
    <w:rsid w:val="00920BBC"/>
    <w:rsid w:val="00920F7B"/>
    <w:rsid w:val="00921B6B"/>
    <w:rsid w:val="00922057"/>
    <w:rsid w:val="0092281C"/>
    <w:rsid w:val="009229E1"/>
    <w:rsid w:val="00922AFF"/>
    <w:rsid w:val="0092530E"/>
    <w:rsid w:val="0092581E"/>
    <w:rsid w:val="0092724C"/>
    <w:rsid w:val="00927649"/>
    <w:rsid w:val="00930CCD"/>
    <w:rsid w:val="00931B7C"/>
    <w:rsid w:val="00932EF9"/>
    <w:rsid w:val="009332D9"/>
    <w:rsid w:val="0093363A"/>
    <w:rsid w:val="00933DE6"/>
    <w:rsid w:val="009348BD"/>
    <w:rsid w:val="00936FF1"/>
    <w:rsid w:val="00937D4D"/>
    <w:rsid w:val="00940B4C"/>
    <w:rsid w:val="009428EF"/>
    <w:rsid w:val="009438CC"/>
    <w:rsid w:val="009453C9"/>
    <w:rsid w:val="00945E6D"/>
    <w:rsid w:val="00946765"/>
    <w:rsid w:val="00946B26"/>
    <w:rsid w:val="00946C35"/>
    <w:rsid w:val="009474AF"/>
    <w:rsid w:val="0094777D"/>
    <w:rsid w:val="009479B0"/>
    <w:rsid w:val="00947E92"/>
    <w:rsid w:val="0095202E"/>
    <w:rsid w:val="0095232C"/>
    <w:rsid w:val="00952D38"/>
    <w:rsid w:val="00953084"/>
    <w:rsid w:val="00953599"/>
    <w:rsid w:val="0095487B"/>
    <w:rsid w:val="00954DB5"/>
    <w:rsid w:val="00957A05"/>
    <w:rsid w:val="00957DFE"/>
    <w:rsid w:val="00963AE0"/>
    <w:rsid w:val="00963B32"/>
    <w:rsid w:val="0096552F"/>
    <w:rsid w:val="00965BF7"/>
    <w:rsid w:val="009669ED"/>
    <w:rsid w:val="00966B79"/>
    <w:rsid w:val="00966BEB"/>
    <w:rsid w:val="00967C34"/>
    <w:rsid w:val="009712A1"/>
    <w:rsid w:val="00971425"/>
    <w:rsid w:val="0097182F"/>
    <w:rsid w:val="00971DFB"/>
    <w:rsid w:val="009722BD"/>
    <w:rsid w:val="0097257D"/>
    <w:rsid w:val="00972C1B"/>
    <w:rsid w:val="009737F7"/>
    <w:rsid w:val="00974585"/>
    <w:rsid w:val="00974944"/>
    <w:rsid w:val="00975214"/>
    <w:rsid w:val="00975D21"/>
    <w:rsid w:val="00975E90"/>
    <w:rsid w:val="00975FF4"/>
    <w:rsid w:val="00976922"/>
    <w:rsid w:val="009770C9"/>
    <w:rsid w:val="0097718E"/>
    <w:rsid w:val="0097734E"/>
    <w:rsid w:val="009776F4"/>
    <w:rsid w:val="0098085B"/>
    <w:rsid w:val="00980FA5"/>
    <w:rsid w:val="0098134F"/>
    <w:rsid w:val="00984015"/>
    <w:rsid w:val="009840B3"/>
    <w:rsid w:val="009857C0"/>
    <w:rsid w:val="00990127"/>
    <w:rsid w:val="00992361"/>
    <w:rsid w:val="00992687"/>
    <w:rsid w:val="00992A66"/>
    <w:rsid w:val="00993F43"/>
    <w:rsid w:val="00994BB7"/>
    <w:rsid w:val="00995077"/>
    <w:rsid w:val="00995A4C"/>
    <w:rsid w:val="00996308"/>
    <w:rsid w:val="00996787"/>
    <w:rsid w:val="009967D9"/>
    <w:rsid w:val="009976E5"/>
    <w:rsid w:val="00997BF5"/>
    <w:rsid w:val="009A13F1"/>
    <w:rsid w:val="009A1C82"/>
    <w:rsid w:val="009A1FC1"/>
    <w:rsid w:val="009A20CB"/>
    <w:rsid w:val="009A2260"/>
    <w:rsid w:val="009A30BF"/>
    <w:rsid w:val="009A50A0"/>
    <w:rsid w:val="009A59C5"/>
    <w:rsid w:val="009A64FC"/>
    <w:rsid w:val="009A737D"/>
    <w:rsid w:val="009A7548"/>
    <w:rsid w:val="009A78C1"/>
    <w:rsid w:val="009B0E69"/>
    <w:rsid w:val="009B1396"/>
    <w:rsid w:val="009B1FFD"/>
    <w:rsid w:val="009B3EEB"/>
    <w:rsid w:val="009B5E73"/>
    <w:rsid w:val="009B6BE8"/>
    <w:rsid w:val="009B71FE"/>
    <w:rsid w:val="009B7EF7"/>
    <w:rsid w:val="009C0282"/>
    <w:rsid w:val="009C05BC"/>
    <w:rsid w:val="009C0C37"/>
    <w:rsid w:val="009C215A"/>
    <w:rsid w:val="009C2F18"/>
    <w:rsid w:val="009C2FC2"/>
    <w:rsid w:val="009C3802"/>
    <w:rsid w:val="009C44C4"/>
    <w:rsid w:val="009C57B4"/>
    <w:rsid w:val="009C674D"/>
    <w:rsid w:val="009C675A"/>
    <w:rsid w:val="009C7A71"/>
    <w:rsid w:val="009D0497"/>
    <w:rsid w:val="009D078A"/>
    <w:rsid w:val="009D29E5"/>
    <w:rsid w:val="009D2DC3"/>
    <w:rsid w:val="009D3570"/>
    <w:rsid w:val="009D4B25"/>
    <w:rsid w:val="009D57B2"/>
    <w:rsid w:val="009D5893"/>
    <w:rsid w:val="009D5B1C"/>
    <w:rsid w:val="009D7466"/>
    <w:rsid w:val="009D7838"/>
    <w:rsid w:val="009D7D9D"/>
    <w:rsid w:val="009D7EAF"/>
    <w:rsid w:val="009D7ECD"/>
    <w:rsid w:val="009E126E"/>
    <w:rsid w:val="009E1FEE"/>
    <w:rsid w:val="009E2B27"/>
    <w:rsid w:val="009E37AF"/>
    <w:rsid w:val="009E5D38"/>
    <w:rsid w:val="009E6295"/>
    <w:rsid w:val="009E7068"/>
    <w:rsid w:val="009E7A7B"/>
    <w:rsid w:val="009F0631"/>
    <w:rsid w:val="009F0ABF"/>
    <w:rsid w:val="009F0F01"/>
    <w:rsid w:val="009F1ECE"/>
    <w:rsid w:val="009F31BF"/>
    <w:rsid w:val="009F3AE1"/>
    <w:rsid w:val="009F47A6"/>
    <w:rsid w:val="009F4BD3"/>
    <w:rsid w:val="009F4E9E"/>
    <w:rsid w:val="009F531D"/>
    <w:rsid w:val="009F5413"/>
    <w:rsid w:val="009F6899"/>
    <w:rsid w:val="009F6BBB"/>
    <w:rsid w:val="009F7CB6"/>
    <w:rsid w:val="00A0044A"/>
    <w:rsid w:val="00A0087E"/>
    <w:rsid w:val="00A00BD3"/>
    <w:rsid w:val="00A03F91"/>
    <w:rsid w:val="00A0653F"/>
    <w:rsid w:val="00A0731C"/>
    <w:rsid w:val="00A10BA7"/>
    <w:rsid w:val="00A12512"/>
    <w:rsid w:val="00A13EE5"/>
    <w:rsid w:val="00A15CD4"/>
    <w:rsid w:val="00A16232"/>
    <w:rsid w:val="00A17C2D"/>
    <w:rsid w:val="00A17FC2"/>
    <w:rsid w:val="00A21872"/>
    <w:rsid w:val="00A221CD"/>
    <w:rsid w:val="00A2308B"/>
    <w:rsid w:val="00A24B05"/>
    <w:rsid w:val="00A26551"/>
    <w:rsid w:val="00A26CF8"/>
    <w:rsid w:val="00A27107"/>
    <w:rsid w:val="00A3112B"/>
    <w:rsid w:val="00A3167E"/>
    <w:rsid w:val="00A31F71"/>
    <w:rsid w:val="00A336B3"/>
    <w:rsid w:val="00A33D52"/>
    <w:rsid w:val="00A352CE"/>
    <w:rsid w:val="00A365DF"/>
    <w:rsid w:val="00A37114"/>
    <w:rsid w:val="00A37938"/>
    <w:rsid w:val="00A40473"/>
    <w:rsid w:val="00A4057B"/>
    <w:rsid w:val="00A41D16"/>
    <w:rsid w:val="00A41EDC"/>
    <w:rsid w:val="00A435A8"/>
    <w:rsid w:val="00A43720"/>
    <w:rsid w:val="00A4439D"/>
    <w:rsid w:val="00A45D6A"/>
    <w:rsid w:val="00A46BC8"/>
    <w:rsid w:val="00A46E26"/>
    <w:rsid w:val="00A50947"/>
    <w:rsid w:val="00A522A2"/>
    <w:rsid w:val="00A52494"/>
    <w:rsid w:val="00A53255"/>
    <w:rsid w:val="00A5361B"/>
    <w:rsid w:val="00A54E96"/>
    <w:rsid w:val="00A55015"/>
    <w:rsid w:val="00A5565A"/>
    <w:rsid w:val="00A55EAC"/>
    <w:rsid w:val="00A572D8"/>
    <w:rsid w:val="00A609A7"/>
    <w:rsid w:val="00A61618"/>
    <w:rsid w:val="00A62492"/>
    <w:rsid w:val="00A628AA"/>
    <w:rsid w:val="00A6391E"/>
    <w:rsid w:val="00A64177"/>
    <w:rsid w:val="00A645C6"/>
    <w:rsid w:val="00A64DB6"/>
    <w:rsid w:val="00A656FC"/>
    <w:rsid w:val="00A671D9"/>
    <w:rsid w:val="00A705EC"/>
    <w:rsid w:val="00A717D9"/>
    <w:rsid w:val="00A7225D"/>
    <w:rsid w:val="00A72417"/>
    <w:rsid w:val="00A75C73"/>
    <w:rsid w:val="00A75FAC"/>
    <w:rsid w:val="00A76C66"/>
    <w:rsid w:val="00A7723D"/>
    <w:rsid w:val="00A77547"/>
    <w:rsid w:val="00A8027F"/>
    <w:rsid w:val="00A81243"/>
    <w:rsid w:val="00A82740"/>
    <w:rsid w:val="00A848E0"/>
    <w:rsid w:val="00A84E8C"/>
    <w:rsid w:val="00A84FC3"/>
    <w:rsid w:val="00A85561"/>
    <w:rsid w:val="00A85912"/>
    <w:rsid w:val="00A86697"/>
    <w:rsid w:val="00A870A1"/>
    <w:rsid w:val="00A91496"/>
    <w:rsid w:val="00A9294A"/>
    <w:rsid w:val="00A9295A"/>
    <w:rsid w:val="00A92F59"/>
    <w:rsid w:val="00A942BD"/>
    <w:rsid w:val="00A9546B"/>
    <w:rsid w:val="00A959D4"/>
    <w:rsid w:val="00A95ABF"/>
    <w:rsid w:val="00A97536"/>
    <w:rsid w:val="00AA00B5"/>
    <w:rsid w:val="00AA0355"/>
    <w:rsid w:val="00AA1D54"/>
    <w:rsid w:val="00AA2534"/>
    <w:rsid w:val="00AA384A"/>
    <w:rsid w:val="00AA58C5"/>
    <w:rsid w:val="00AA6F43"/>
    <w:rsid w:val="00AA707F"/>
    <w:rsid w:val="00AA7760"/>
    <w:rsid w:val="00AB0070"/>
    <w:rsid w:val="00AB09F9"/>
    <w:rsid w:val="00AB0CCA"/>
    <w:rsid w:val="00AB1D40"/>
    <w:rsid w:val="00AB419D"/>
    <w:rsid w:val="00AB4BF9"/>
    <w:rsid w:val="00AB4D57"/>
    <w:rsid w:val="00AB6012"/>
    <w:rsid w:val="00AB7AB4"/>
    <w:rsid w:val="00AB7F79"/>
    <w:rsid w:val="00AC076C"/>
    <w:rsid w:val="00AC0B98"/>
    <w:rsid w:val="00AC0D4F"/>
    <w:rsid w:val="00AC2666"/>
    <w:rsid w:val="00AC2E56"/>
    <w:rsid w:val="00AC2F24"/>
    <w:rsid w:val="00AD0058"/>
    <w:rsid w:val="00AD1A22"/>
    <w:rsid w:val="00AD1DA6"/>
    <w:rsid w:val="00AD2C56"/>
    <w:rsid w:val="00AD30F2"/>
    <w:rsid w:val="00AD3159"/>
    <w:rsid w:val="00AD4311"/>
    <w:rsid w:val="00AD48B8"/>
    <w:rsid w:val="00AD5047"/>
    <w:rsid w:val="00AD5A78"/>
    <w:rsid w:val="00AD5B62"/>
    <w:rsid w:val="00AD5F50"/>
    <w:rsid w:val="00AD6A11"/>
    <w:rsid w:val="00AD6C6A"/>
    <w:rsid w:val="00AD6CDE"/>
    <w:rsid w:val="00AD6F27"/>
    <w:rsid w:val="00AD74C0"/>
    <w:rsid w:val="00AE0900"/>
    <w:rsid w:val="00AE0E7A"/>
    <w:rsid w:val="00AE18BF"/>
    <w:rsid w:val="00AE5058"/>
    <w:rsid w:val="00AE5162"/>
    <w:rsid w:val="00AE5701"/>
    <w:rsid w:val="00AE5C6B"/>
    <w:rsid w:val="00AE6A19"/>
    <w:rsid w:val="00AE7619"/>
    <w:rsid w:val="00AE766A"/>
    <w:rsid w:val="00AF0129"/>
    <w:rsid w:val="00AF1063"/>
    <w:rsid w:val="00AF1175"/>
    <w:rsid w:val="00AF1A87"/>
    <w:rsid w:val="00AF2225"/>
    <w:rsid w:val="00AF2948"/>
    <w:rsid w:val="00AF2F9E"/>
    <w:rsid w:val="00AF4579"/>
    <w:rsid w:val="00AF45B7"/>
    <w:rsid w:val="00AF4EB8"/>
    <w:rsid w:val="00AF5496"/>
    <w:rsid w:val="00AF6C55"/>
    <w:rsid w:val="00AF7163"/>
    <w:rsid w:val="00AF76AA"/>
    <w:rsid w:val="00B0169C"/>
    <w:rsid w:val="00B02398"/>
    <w:rsid w:val="00B02930"/>
    <w:rsid w:val="00B0341B"/>
    <w:rsid w:val="00B03A80"/>
    <w:rsid w:val="00B040B3"/>
    <w:rsid w:val="00B0413C"/>
    <w:rsid w:val="00B04494"/>
    <w:rsid w:val="00B04946"/>
    <w:rsid w:val="00B04CB7"/>
    <w:rsid w:val="00B05BC1"/>
    <w:rsid w:val="00B06757"/>
    <w:rsid w:val="00B06D65"/>
    <w:rsid w:val="00B07AF2"/>
    <w:rsid w:val="00B101A8"/>
    <w:rsid w:val="00B1231C"/>
    <w:rsid w:val="00B139C1"/>
    <w:rsid w:val="00B13A74"/>
    <w:rsid w:val="00B1444A"/>
    <w:rsid w:val="00B151EB"/>
    <w:rsid w:val="00B152E0"/>
    <w:rsid w:val="00B15F40"/>
    <w:rsid w:val="00B162F4"/>
    <w:rsid w:val="00B16A8D"/>
    <w:rsid w:val="00B17774"/>
    <w:rsid w:val="00B20756"/>
    <w:rsid w:val="00B22C87"/>
    <w:rsid w:val="00B235C5"/>
    <w:rsid w:val="00B246A8"/>
    <w:rsid w:val="00B24F94"/>
    <w:rsid w:val="00B2547B"/>
    <w:rsid w:val="00B267EF"/>
    <w:rsid w:val="00B2730F"/>
    <w:rsid w:val="00B273F0"/>
    <w:rsid w:val="00B30127"/>
    <w:rsid w:val="00B3086F"/>
    <w:rsid w:val="00B31076"/>
    <w:rsid w:val="00B328E9"/>
    <w:rsid w:val="00B32E95"/>
    <w:rsid w:val="00B333EC"/>
    <w:rsid w:val="00B34381"/>
    <w:rsid w:val="00B346A8"/>
    <w:rsid w:val="00B35A26"/>
    <w:rsid w:val="00B368B2"/>
    <w:rsid w:val="00B369AA"/>
    <w:rsid w:val="00B36C82"/>
    <w:rsid w:val="00B36E09"/>
    <w:rsid w:val="00B37F3F"/>
    <w:rsid w:val="00B4220F"/>
    <w:rsid w:val="00B429E2"/>
    <w:rsid w:val="00B42FA8"/>
    <w:rsid w:val="00B44ED4"/>
    <w:rsid w:val="00B4515F"/>
    <w:rsid w:val="00B452D3"/>
    <w:rsid w:val="00B461D4"/>
    <w:rsid w:val="00B4791C"/>
    <w:rsid w:val="00B50178"/>
    <w:rsid w:val="00B50CA5"/>
    <w:rsid w:val="00B513FE"/>
    <w:rsid w:val="00B52FBA"/>
    <w:rsid w:val="00B53BF1"/>
    <w:rsid w:val="00B53D11"/>
    <w:rsid w:val="00B54427"/>
    <w:rsid w:val="00B54611"/>
    <w:rsid w:val="00B57422"/>
    <w:rsid w:val="00B57970"/>
    <w:rsid w:val="00B57E43"/>
    <w:rsid w:val="00B60E82"/>
    <w:rsid w:val="00B61275"/>
    <w:rsid w:val="00B61F94"/>
    <w:rsid w:val="00B623B1"/>
    <w:rsid w:val="00B6269D"/>
    <w:rsid w:val="00B63EC1"/>
    <w:rsid w:val="00B66385"/>
    <w:rsid w:val="00B66435"/>
    <w:rsid w:val="00B66B42"/>
    <w:rsid w:val="00B672D8"/>
    <w:rsid w:val="00B67ADC"/>
    <w:rsid w:val="00B67F56"/>
    <w:rsid w:val="00B71DEB"/>
    <w:rsid w:val="00B72564"/>
    <w:rsid w:val="00B72FF6"/>
    <w:rsid w:val="00B739A3"/>
    <w:rsid w:val="00B76966"/>
    <w:rsid w:val="00B76C76"/>
    <w:rsid w:val="00B77158"/>
    <w:rsid w:val="00B8192F"/>
    <w:rsid w:val="00B824F9"/>
    <w:rsid w:val="00B82804"/>
    <w:rsid w:val="00B830D6"/>
    <w:rsid w:val="00B83EB1"/>
    <w:rsid w:val="00B84256"/>
    <w:rsid w:val="00B85182"/>
    <w:rsid w:val="00B85309"/>
    <w:rsid w:val="00B86F98"/>
    <w:rsid w:val="00B86FBF"/>
    <w:rsid w:val="00B90D6B"/>
    <w:rsid w:val="00B92370"/>
    <w:rsid w:val="00B93306"/>
    <w:rsid w:val="00B94452"/>
    <w:rsid w:val="00B946C5"/>
    <w:rsid w:val="00B94EC3"/>
    <w:rsid w:val="00B95479"/>
    <w:rsid w:val="00B95FC8"/>
    <w:rsid w:val="00B962FF"/>
    <w:rsid w:val="00B96334"/>
    <w:rsid w:val="00B975E1"/>
    <w:rsid w:val="00BA09E0"/>
    <w:rsid w:val="00BA0D5D"/>
    <w:rsid w:val="00BA25E0"/>
    <w:rsid w:val="00BA409A"/>
    <w:rsid w:val="00BA68F8"/>
    <w:rsid w:val="00BA7BB9"/>
    <w:rsid w:val="00BA7EAC"/>
    <w:rsid w:val="00BB05F1"/>
    <w:rsid w:val="00BB34AA"/>
    <w:rsid w:val="00BB3F56"/>
    <w:rsid w:val="00BB5130"/>
    <w:rsid w:val="00BB576D"/>
    <w:rsid w:val="00BB72FC"/>
    <w:rsid w:val="00BB74AE"/>
    <w:rsid w:val="00BB7C58"/>
    <w:rsid w:val="00BC0185"/>
    <w:rsid w:val="00BC02DE"/>
    <w:rsid w:val="00BC078A"/>
    <w:rsid w:val="00BC0C47"/>
    <w:rsid w:val="00BC11C4"/>
    <w:rsid w:val="00BC2488"/>
    <w:rsid w:val="00BC36CD"/>
    <w:rsid w:val="00BC4367"/>
    <w:rsid w:val="00BC4E72"/>
    <w:rsid w:val="00BC63ED"/>
    <w:rsid w:val="00BC6484"/>
    <w:rsid w:val="00BD0162"/>
    <w:rsid w:val="00BD04EA"/>
    <w:rsid w:val="00BD09D0"/>
    <w:rsid w:val="00BD2854"/>
    <w:rsid w:val="00BD2A1D"/>
    <w:rsid w:val="00BD2BA4"/>
    <w:rsid w:val="00BD3244"/>
    <w:rsid w:val="00BD491C"/>
    <w:rsid w:val="00BD5995"/>
    <w:rsid w:val="00BD5E5C"/>
    <w:rsid w:val="00BD5F80"/>
    <w:rsid w:val="00BE0106"/>
    <w:rsid w:val="00BE042F"/>
    <w:rsid w:val="00BE0830"/>
    <w:rsid w:val="00BE0A98"/>
    <w:rsid w:val="00BE23DA"/>
    <w:rsid w:val="00BE27C2"/>
    <w:rsid w:val="00BE2DFD"/>
    <w:rsid w:val="00BE455C"/>
    <w:rsid w:val="00BE59E8"/>
    <w:rsid w:val="00BF0955"/>
    <w:rsid w:val="00BF0CD7"/>
    <w:rsid w:val="00BF0FA9"/>
    <w:rsid w:val="00BF2238"/>
    <w:rsid w:val="00BF2716"/>
    <w:rsid w:val="00BF2AAE"/>
    <w:rsid w:val="00BF3A5C"/>
    <w:rsid w:val="00BF4083"/>
    <w:rsid w:val="00BF59BA"/>
    <w:rsid w:val="00BF5CA7"/>
    <w:rsid w:val="00BF5DC5"/>
    <w:rsid w:val="00BF6002"/>
    <w:rsid w:val="00BF6299"/>
    <w:rsid w:val="00BF6DEC"/>
    <w:rsid w:val="00C0030A"/>
    <w:rsid w:val="00C00C07"/>
    <w:rsid w:val="00C012E4"/>
    <w:rsid w:val="00C036E7"/>
    <w:rsid w:val="00C03F8B"/>
    <w:rsid w:val="00C0503A"/>
    <w:rsid w:val="00C10279"/>
    <w:rsid w:val="00C10AC9"/>
    <w:rsid w:val="00C10CC7"/>
    <w:rsid w:val="00C10DD8"/>
    <w:rsid w:val="00C10E09"/>
    <w:rsid w:val="00C138FD"/>
    <w:rsid w:val="00C14EAE"/>
    <w:rsid w:val="00C1553C"/>
    <w:rsid w:val="00C15730"/>
    <w:rsid w:val="00C17BF7"/>
    <w:rsid w:val="00C20090"/>
    <w:rsid w:val="00C204BF"/>
    <w:rsid w:val="00C20562"/>
    <w:rsid w:val="00C22250"/>
    <w:rsid w:val="00C227F9"/>
    <w:rsid w:val="00C22836"/>
    <w:rsid w:val="00C2472F"/>
    <w:rsid w:val="00C248C7"/>
    <w:rsid w:val="00C27BC0"/>
    <w:rsid w:val="00C3007D"/>
    <w:rsid w:val="00C31E3C"/>
    <w:rsid w:val="00C32CEE"/>
    <w:rsid w:val="00C3578F"/>
    <w:rsid w:val="00C35C84"/>
    <w:rsid w:val="00C35E77"/>
    <w:rsid w:val="00C366ED"/>
    <w:rsid w:val="00C36F64"/>
    <w:rsid w:val="00C36F6C"/>
    <w:rsid w:val="00C406A3"/>
    <w:rsid w:val="00C417DF"/>
    <w:rsid w:val="00C42616"/>
    <w:rsid w:val="00C439A0"/>
    <w:rsid w:val="00C43C59"/>
    <w:rsid w:val="00C446DC"/>
    <w:rsid w:val="00C4541A"/>
    <w:rsid w:val="00C462F9"/>
    <w:rsid w:val="00C46FAF"/>
    <w:rsid w:val="00C471D6"/>
    <w:rsid w:val="00C51078"/>
    <w:rsid w:val="00C539F8"/>
    <w:rsid w:val="00C5428F"/>
    <w:rsid w:val="00C5436A"/>
    <w:rsid w:val="00C54C19"/>
    <w:rsid w:val="00C55E09"/>
    <w:rsid w:val="00C5602A"/>
    <w:rsid w:val="00C57F93"/>
    <w:rsid w:val="00C6002E"/>
    <w:rsid w:val="00C60AFD"/>
    <w:rsid w:val="00C60ECB"/>
    <w:rsid w:val="00C6129B"/>
    <w:rsid w:val="00C63B52"/>
    <w:rsid w:val="00C63DF3"/>
    <w:rsid w:val="00C647CE"/>
    <w:rsid w:val="00C648C9"/>
    <w:rsid w:val="00C649B1"/>
    <w:rsid w:val="00C64B75"/>
    <w:rsid w:val="00C650DA"/>
    <w:rsid w:val="00C654FB"/>
    <w:rsid w:val="00C65C3E"/>
    <w:rsid w:val="00C663D8"/>
    <w:rsid w:val="00C70DCB"/>
    <w:rsid w:val="00C725E4"/>
    <w:rsid w:val="00C72E25"/>
    <w:rsid w:val="00C73D9D"/>
    <w:rsid w:val="00C743D3"/>
    <w:rsid w:val="00C7584A"/>
    <w:rsid w:val="00C762EE"/>
    <w:rsid w:val="00C76760"/>
    <w:rsid w:val="00C76BFF"/>
    <w:rsid w:val="00C7715A"/>
    <w:rsid w:val="00C7778E"/>
    <w:rsid w:val="00C80463"/>
    <w:rsid w:val="00C80529"/>
    <w:rsid w:val="00C8189C"/>
    <w:rsid w:val="00C83EC4"/>
    <w:rsid w:val="00C84113"/>
    <w:rsid w:val="00C90635"/>
    <w:rsid w:val="00C90AF4"/>
    <w:rsid w:val="00C92670"/>
    <w:rsid w:val="00C947B7"/>
    <w:rsid w:val="00C95162"/>
    <w:rsid w:val="00C9642B"/>
    <w:rsid w:val="00C96572"/>
    <w:rsid w:val="00C97093"/>
    <w:rsid w:val="00CA088E"/>
    <w:rsid w:val="00CA0F36"/>
    <w:rsid w:val="00CA3A2B"/>
    <w:rsid w:val="00CA6D10"/>
    <w:rsid w:val="00CA7593"/>
    <w:rsid w:val="00CB008A"/>
    <w:rsid w:val="00CB10C0"/>
    <w:rsid w:val="00CB3F8D"/>
    <w:rsid w:val="00CB40B5"/>
    <w:rsid w:val="00CB47C8"/>
    <w:rsid w:val="00CB57C8"/>
    <w:rsid w:val="00CB6461"/>
    <w:rsid w:val="00CB6A8A"/>
    <w:rsid w:val="00CC0C03"/>
    <w:rsid w:val="00CC1873"/>
    <w:rsid w:val="00CC3430"/>
    <w:rsid w:val="00CC6499"/>
    <w:rsid w:val="00CC6E88"/>
    <w:rsid w:val="00CC714C"/>
    <w:rsid w:val="00CD1112"/>
    <w:rsid w:val="00CD1153"/>
    <w:rsid w:val="00CD1CA2"/>
    <w:rsid w:val="00CD27F1"/>
    <w:rsid w:val="00CD3290"/>
    <w:rsid w:val="00CD378C"/>
    <w:rsid w:val="00CD38E3"/>
    <w:rsid w:val="00CD3A6D"/>
    <w:rsid w:val="00CD436C"/>
    <w:rsid w:val="00CD53CA"/>
    <w:rsid w:val="00CD58C8"/>
    <w:rsid w:val="00CD5B00"/>
    <w:rsid w:val="00CD64E7"/>
    <w:rsid w:val="00CD7310"/>
    <w:rsid w:val="00CE047A"/>
    <w:rsid w:val="00CE1E3B"/>
    <w:rsid w:val="00CE3569"/>
    <w:rsid w:val="00CE38DD"/>
    <w:rsid w:val="00CE657D"/>
    <w:rsid w:val="00CE6E16"/>
    <w:rsid w:val="00CE7486"/>
    <w:rsid w:val="00CE74E2"/>
    <w:rsid w:val="00CF015C"/>
    <w:rsid w:val="00CF090C"/>
    <w:rsid w:val="00CF09B8"/>
    <w:rsid w:val="00CF09FF"/>
    <w:rsid w:val="00CF12E1"/>
    <w:rsid w:val="00CF2D98"/>
    <w:rsid w:val="00CF32CE"/>
    <w:rsid w:val="00CF38C4"/>
    <w:rsid w:val="00CF4170"/>
    <w:rsid w:val="00CF574E"/>
    <w:rsid w:val="00CF5B4B"/>
    <w:rsid w:val="00CF5BE1"/>
    <w:rsid w:val="00CF6179"/>
    <w:rsid w:val="00D00DDA"/>
    <w:rsid w:val="00D0103D"/>
    <w:rsid w:val="00D02C4E"/>
    <w:rsid w:val="00D0344D"/>
    <w:rsid w:val="00D0446C"/>
    <w:rsid w:val="00D0446D"/>
    <w:rsid w:val="00D046C8"/>
    <w:rsid w:val="00D0508A"/>
    <w:rsid w:val="00D05C64"/>
    <w:rsid w:val="00D06281"/>
    <w:rsid w:val="00D07387"/>
    <w:rsid w:val="00D10249"/>
    <w:rsid w:val="00D1119B"/>
    <w:rsid w:val="00D1187D"/>
    <w:rsid w:val="00D13E48"/>
    <w:rsid w:val="00D146CE"/>
    <w:rsid w:val="00D14F27"/>
    <w:rsid w:val="00D154F3"/>
    <w:rsid w:val="00D15553"/>
    <w:rsid w:val="00D15BFD"/>
    <w:rsid w:val="00D207C5"/>
    <w:rsid w:val="00D217B8"/>
    <w:rsid w:val="00D22146"/>
    <w:rsid w:val="00D22F3F"/>
    <w:rsid w:val="00D22FD1"/>
    <w:rsid w:val="00D25A5F"/>
    <w:rsid w:val="00D25C13"/>
    <w:rsid w:val="00D27783"/>
    <w:rsid w:val="00D305F7"/>
    <w:rsid w:val="00D311AF"/>
    <w:rsid w:val="00D31DBF"/>
    <w:rsid w:val="00D327B6"/>
    <w:rsid w:val="00D32959"/>
    <w:rsid w:val="00D32F8F"/>
    <w:rsid w:val="00D349B2"/>
    <w:rsid w:val="00D35482"/>
    <w:rsid w:val="00D37072"/>
    <w:rsid w:val="00D404B1"/>
    <w:rsid w:val="00D41AD7"/>
    <w:rsid w:val="00D41E35"/>
    <w:rsid w:val="00D4342B"/>
    <w:rsid w:val="00D43C83"/>
    <w:rsid w:val="00D440E7"/>
    <w:rsid w:val="00D443D1"/>
    <w:rsid w:val="00D461F0"/>
    <w:rsid w:val="00D46961"/>
    <w:rsid w:val="00D4784E"/>
    <w:rsid w:val="00D47D8A"/>
    <w:rsid w:val="00D51C6E"/>
    <w:rsid w:val="00D529DA"/>
    <w:rsid w:val="00D535B0"/>
    <w:rsid w:val="00D53824"/>
    <w:rsid w:val="00D53C3A"/>
    <w:rsid w:val="00D541D8"/>
    <w:rsid w:val="00D54C6A"/>
    <w:rsid w:val="00D54FE2"/>
    <w:rsid w:val="00D56621"/>
    <w:rsid w:val="00D5799D"/>
    <w:rsid w:val="00D57B61"/>
    <w:rsid w:val="00D61136"/>
    <w:rsid w:val="00D64240"/>
    <w:rsid w:val="00D66C27"/>
    <w:rsid w:val="00D67E59"/>
    <w:rsid w:val="00D67FE9"/>
    <w:rsid w:val="00D7013D"/>
    <w:rsid w:val="00D737EA"/>
    <w:rsid w:val="00D73823"/>
    <w:rsid w:val="00D73C40"/>
    <w:rsid w:val="00D74FEF"/>
    <w:rsid w:val="00D75CCA"/>
    <w:rsid w:val="00D7633B"/>
    <w:rsid w:val="00D76B96"/>
    <w:rsid w:val="00D7737E"/>
    <w:rsid w:val="00D7767B"/>
    <w:rsid w:val="00D80256"/>
    <w:rsid w:val="00D82A0C"/>
    <w:rsid w:val="00D83206"/>
    <w:rsid w:val="00D833AC"/>
    <w:rsid w:val="00D856AE"/>
    <w:rsid w:val="00D86325"/>
    <w:rsid w:val="00D86B47"/>
    <w:rsid w:val="00D9049F"/>
    <w:rsid w:val="00D90A63"/>
    <w:rsid w:val="00D91BB0"/>
    <w:rsid w:val="00D91EE3"/>
    <w:rsid w:val="00D92AA7"/>
    <w:rsid w:val="00D92EAB"/>
    <w:rsid w:val="00D949D4"/>
    <w:rsid w:val="00D962C2"/>
    <w:rsid w:val="00D965D6"/>
    <w:rsid w:val="00D9719F"/>
    <w:rsid w:val="00D976D7"/>
    <w:rsid w:val="00DA07D1"/>
    <w:rsid w:val="00DA0EF1"/>
    <w:rsid w:val="00DA1BA7"/>
    <w:rsid w:val="00DA2187"/>
    <w:rsid w:val="00DA4146"/>
    <w:rsid w:val="00DA48AE"/>
    <w:rsid w:val="00DA49A3"/>
    <w:rsid w:val="00DA5462"/>
    <w:rsid w:val="00DA5A10"/>
    <w:rsid w:val="00DA797B"/>
    <w:rsid w:val="00DB22D6"/>
    <w:rsid w:val="00DB2CB0"/>
    <w:rsid w:val="00DB4344"/>
    <w:rsid w:val="00DB5BED"/>
    <w:rsid w:val="00DB724E"/>
    <w:rsid w:val="00DC156C"/>
    <w:rsid w:val="00DC2578"/>
    <w:rsid w:val="00DC3355"/>
    <w:rsid w:val="00DC6221"/>
    <w:rsid w:val="00DC67C1"/>
    <w:rsid w:val="00DC786E"/>
    <w:rsid w:val="00DC7906"/>
    <w:rsid w:val="00DD0CCE"/>
    <w:rsid w:val="00DD0EC1"/>
    <w:rsid w:val="00DD22E8"/>
    <w:rsid w:val="00DD3CF0"/>
    <w:rsid w:val="00DD50AF"/>
    <w:rsid w:val="00DD6AD3"/>
    <w:rsid w:val="00DD6B72"/>
    <w:rsid w:val="00DD7625"/>
    <w:rsid w:val="00DD78DB"/>
    <w:rsid w:val="00DE02E8"/>
    <w:rsid w:val="00DE08CE"/>
    <w:rsid w:val="00DE1B8D"/>
    <w:rsid w:val="00DE3CFB"/>
    <w:rsid w:val="00DE4005"/>
    <w:rsid w:val="00DE50AA"/>
    <w:rsid w:val="00DE55C2"/>
    <w:rsid w:val="00DE56B9"/>
    <w:rsid w:val="00DE720B"/>
    <w:rsid w:val="00DF0CA3"/>
    <w:rsid w:val="00DF1A9C"/>
    <w:rsid w:val="00DF2059"/>
    <w:rsid w:val="00DF34CE"/>
    <w:rsid w:val="00DF4642"/>
    <w:rsid w:val="00DF4886"/>
    <w:rsid w:val="00DF50DE"/>
    <w:rsid w:val="00DF543A"/>
    <w:rsid w:val="00DF631D"/>
    <w:rsid w:val="00DF7209"/>
    <w:rsid w:val="00DF7307"/>
    <w:rsid w:val="00E00337"/>
    <w:rsid w:val="00E03014"/>
    <w:rsid w:val="00E07EBA"/>
    <w:rsid w:val="00E10318"/>
    <w:rsid w:val="00E107AB"/>
    <w:rsid w:val="00E125CA"/>
    <w:rsid w:val="00E14428"/>
    <w:rsid w:val="00E15883"/>
    <w:rsid w:val="00E159F0"/>
    <w:rsid w:val="00E25C12"/>
    <w:rsid w:val="00E2611B"/>
    <w:rsid w:val="00E26943"/>
    <w:rsid w:val="00E26EB7"/>
    <w:rsid w:val="00E2726C"/>
    <w:rsid w:val="00E3035F"/>
    <w:rsid w:val="00E306DD"/>
    <w:rsid w:val="00E30A14"/>
    <w:rsid w:val="00E31C3B"/>
    <w:rsid w:val="00E33A81"/>
    <w:rsid w:val="00E33D9C"/>
    <w:rsid w:val="00E3507B"/>
    <w:rsid w:val="00E352B9"/>
    <w:rsid w:val="00E355E7"/>
    <w:rsid w:val="00E364E9"/>
    <w:rsid w:val="00E401B9"/>
    <w:rsid w:val="00E402CF"/>
    <w:rsid w:val="00E41615"/>
    <w:rsid w:val="00E41B79"/>
    <w:rsid w:val="00E41F88"/>
    <w:rsid w:val="00E43A9D"/>
    <w:rsid w:val="00E43C06"/>
    <w:rsid w:val="00E46825"/>
    <w:rsid w:val="00E50ECF"/>
    <w:rsid w:val="00E50F57"/>
    <w:rsid w:val="00E51F5B"/>
    <w:rsid w:val="00E5385B"/>
    <w:rsid w:val="00E56169"/>
    <w:rsid w:val="00E562F9"/>
    <w:rsid w:val="00E5661A"/>
    <w:rsid w:val="00E56A6F"/>
    <w:rsid w:val="00E6024A"/>
    <w:rsid w:val="00E60754"/>
    <w:rsid w:val="00E60D66"/>
    <w:rsid w:val="00E60FFC"/>
    <w:rsid w:val="00E61240"/>
    <w:rsid w:val="00E623DE"/>
    <w:rsid w:val="00E62FCA"/>
    <w:rsid w:val="00E64E07"/>
    <w:rsid w:val="00E679CA"/>
    <w:rsid w:val="00E70812"/>
    <w:rsid w:val="00E71980"/>
    <w:rsid w:val="00E71F5A"/>
    <w:rsid w:val="00E73F05"/>
    <w:rsid w:val="00E74E50"/>
    <w:rsid w:val="00E75173"/>
    <w:rsid w:val="00E771ED"/>
    <w:rsid w:val="00E77358"/>
    <w:rsid w:val="00E778A4"/>
    <w:rsid w:val="00E8017B"/>
    <w:rsid w:val="00E80312"/>
    <w:rsid w:val="00E80C3B"/>
    <w:rsid w:val="00E814AD"/>
    <w:rsid w:val="00E81571"/>
    <w:rsid w:val="00E81942"/>
    <w:rsid w:val="00E81EFA"/>
    <w:rsid w:val="00E823DD"/>
    <w:rsid w:val="00E82E02"/>
    <w:rsid w:val="00E83982"/>
    <w:rsid w:val="00E84390"/>
    <w:rsid w:val="00E85468"/>
    <w:rsid w:val="00E85C70"/>
    <w:rsid w:val="00E900CC"/>
    <w:rsid w:val="00E91EF2"/>
    <w:rsid w:val="00E92F95"/>
    <w:rsid w:val="00E9381D"/>
    <w:rsid w:val="00E938C5"/>
    <w:rsid w:val="00E94625"/>
    <w:rsid w:val="00E95CB8"/>
    <w:rsid w:val="00E95D4C"/>
    <w:rsid w:val="00E969D4"/>
    <w:rsid w:val="00E978F1"/>
    <w:rsid w:val="00EA09DF"/>
    <w:rsid w:val="00EA0B9C"/>
    <w:rsid w:val="00EA24EC"/>
    <w:rsid w:val="00EA2897"/>
    <w:rsid w:val="00EA2995"/>
    <w:rsid w:val="00EA2A44"/>
    <w:rsid w:val="00EA2D7C"/>
    <w:rsid w:val="00EA34CC"/>
    <w:rsid w:val="00EA4842"/>
    <w:rsid w:val="00EA57AD"/>
    <w:rsid w:val="00EA59CC"/>
    <w:rsid w:val="00EA5BB7"/>
    <w:rsid w:val="00EA70DE"/>
    <w:rsid w:val="00EA7C41"/>
    <w:rsid w:val="00EB0474"/>
    <w:rsid w:val="00EB0BED"/>
    <w:rsid w:val="00EB1692"/>
    <w:rsid w:val="00EB1755"/>
    <w:rsid w:val="00EB307B"/>
    <w:rsid w:val="00EB43DF"/>
    <w:rsid w:val="00EB4EFD"/>
    <w:rsid w:val="00EB5CF4"/>
    <w:rsid w:val="00EB7201"/>
    <w:rsid w:val="00EB722E"/>
    <w:rsid w:val="00EC0F5E"/>
    <w:rsid w:val="00EC178F"/>
    <w:rsid w:val="00EC1AC5"/>
    <w:rsid w:val="00EC3DCD"/>
    <w:rsid w:val="00EC46FA"/>
    <w:rsid w:val="00EC57DB"/>
    <w:rsid w:val="00EC631A"/>
    <w:rsid w:val="00EC6E25"/>
    <w:rsid w:val="00EC7528"/>
    <w:rsid w:val="00EC7F97"/>
    <w:rsid w:val="00ED0524"/>
    <w:rsid w:val="00ED0898"/>
    <w:rsid w:val="00ED1E1A"/>
    <w:rsid w:val="00ED587D"/>
    <w:rsid w:val="00ED63B6"/>
    <w:rsid w:val="00ED69F0"/>
    <w:rsid w:val="00EE052D"/>
    <w:rsid w:val="00EE1858"/>
    <w:rsid w:val="00EE224A"/>
    <w:rsid w:val="00EE3B56"/>
    <w:rsid w:val="00EE3EAA"/>
    <w:rsid w:val="00EE4323"/>
    <w:rsid w:val="00EE4C4C"/>
    <w:rsid w:val="00EE5552"/>
    <w:rsid w:val="00EE5CB3"/>
    <w:rsid w:val="00EE70AB"/>
    <w:rsid w:val="00EF0DDD"/>
    <w:rsid w:val="00EF4F59"/>
    <w:rsid w:val="00EF6246"/>
    <w:rsid w:val="00EF7706"/>
    <w:rsid w:val="00F011B6"/>
    <w:rsid w:val="00F01F68"/>
    <w:rsid w:val="00F02D88"/>
    <w:rsid w:val="00F031A6"/>
    <w:rsid w:val="00F06B1E"/>
    <w:rsid w:val="00F0710C"/>
    <w:rsid w:val="00F07938"/>
    <w:rsid w:val="00F10DEF"/>
    <w:rsid w:val="00F11C84"/>
    <w:rsid w:val="00F14664"/>
    <w:rsid w:val="00F14CB8"/>
    <w:rsid w:val="00F14D7E"/>
    <w:rsid w:val="00F170CD"/>
    <w:rsid w:val="00F21F7A"/>
    <w:rsid w:val="00F2273B"/>
    <w:rsid w:val="00F23019"/>
    <w:rsid w:val="00F253A2"/>
    <w:rsid w:val="00F26C81"/>
    <w:rsid w:val="00F26DE6"/>
    <w:rsid w:val="00F273DE"/>
    <w:rsid w:val="00F274E5"/>
    <w:rsid w:val="00F303BF"/>
    <w:rsid w:val="00F3047F"/>
    <w:rsid w:val="00F30B18"/>
    <w:rsid w:val="00F30E8A"/>
    <w:rsid w:val="00F30E8B"/>
    <w:rsid w:val="00F3286E"/>
    <w:rsid w:val="00F32FC9"/>
    <w:rsid w:val="00F33756"/>
    <w:rsid w:val="00F3492D"/>
    <w:rsid w:val="00F35274"/>
    <w:rsid w:val="00F3567B"/>
    <w:rsid w:val="00F35F0A"/>
    <w:rsid w:val="00F36863"/>
    <w:rsid w:val="00F368DA"/>
    <w:rsid w:val="00F373B9"/>
    <w:rsid w:val="00F40CCE"/>
    <w:rsid w:val="00F419EC"/>
    <w:rsid w:val="00F42423"/>
    <w:rsid w:val="00F43C22"/>
    <w:rsid w:val="00F463ED"/>
    <w:rsid w:val="00F46D06"/>
    <w:rsid w:val="00F50191"/>
    <w:rsid w:val="00F50CFA"/>
    <w:rsid w:val="00F51071"/>
    <w:rsid w:val="00F5277D"/>
    <w:rsid w:val="00F54235"/>
    <w:rsid w:val="00F543BE"/>
    <w:rsid w:val="00F54AF5"/>
    <w:rsid w:val="00F5554B"/>
    <w:rsid w:val="00F57ADC"/>
    <w:rsid w:val="00F6009F"/>
    <w:rsid w:val="00F60476"/>
    <w:rsid w:val="00F60F68"/>
    <w:rsid w:val="00F61735"/>
    <w:rsid w:val="00F61CD6"/>
    <w:rsid w:val="00F653F7"/>
    <w:rsid w:val="00F71B14"/>
    <w:rsid w:val="00F7305A"/>
    <w:rsid w:val="00F74523"/>
    <w:rsid w:val="00F74D3C"/>
    <w:rsid w:val="00F75AB0"/>
    <w:rsid w:val="00F7628A"/>
    <w:rsid w:val="00F77C64"/>
    <w:rsid w:val="00F81547"/>
    <w:rsid w:val="00F82859"/>
    <w:rsid w:val="00F82F0C"/>
    <w:rsid w:val="00F83B70"/>
    <w:rsid w:val="00F848C0"/>
    <w:rsid w:val="00F85A14"/>
    <w:rsid w:val="00F8649B"/>
    <w:rsid w:val="00F86A57"/>
    <w:rsid w:val="00F86C05"/>
    <w:rsid w:val="00F86F18"/>
    <w:rsid w:val="00F9382B"/>
    <w:rsid w:val="00F94107"/>
    <w:rsid w:val="00F95DB5"/>
    <w:rsid w:val="00F960FA"/>
    <w:rsid w:val="00F974F5"/>
    <w:rsid w:val="00FA1087"/>
    <w:rsid w:val="00FA1352"/>
    <w:rsid w:val="00FA1DDF"/>
    <w:rsid w:val="00FA2A20"/>
    <w:rsid w:val="00FA4B3C"/>
    <w:rsid w:val="00FA5E28"/>
    <w:rsid w:val="00FA6775"/>
    <w:rsid w:val="00FB09AB"/>
    <w:rsid w:val="00FB15AD"/>
    <w:rsid w:val="00FB28B1"/>
    <w:rsid w:val="00FB28E8"/>
    <w:rsid w:val="00FB2AC4"/>
    <w:rsid w:val="00FB3E43"/>
    <w:rsid w:val="00FB4202"/>
    <w:rsid w:val="00FB4751"/>
    <w:rsid w:val="00FB5157"/>
    <w:rsid w:val="00FB5E61"/>
    <w:rsid w:val="00FB6218"/>
    <w:rsid w:val="00FB69C4"/>
    <w:rsid w:val="00FB6CB3"/>
    <w:rsid w:val="00FB7F71"/>
    <w:rsid w:val="00FC0043"/>
    <w:rsid w:val="00FC26DD"/>
    <w:rsid w:val="00FC3729"/>
    <w:rsid w:val="00FC4A33"/>
    <w:rsid w:val="00FC4D23"/>
    <w:rsid w:val="00FC5605"/>
    <w:rsid w:val="00FC588D"/>
    <w:rsid w:val="00FC6488"/>
    <w:rsid w:val="00FC691D"/>
    <w:rsid w:val="00FC719D"/>
    <w:rsid w:val="00FD0B55"/>
    <w:rsid w:val="00FD0FD5"/>
    <w:rsid w:val="00FD245C"/>
    <w:rsid w:val="00FD4618"/>
    <w:rsid w:val="00FD4A48"/>
    <w:rsid w:val="00FD529A"/>
    <w:rsid w:val="00FD732D"/>
    <w:rsid w:val="00FE261F"/>
    <w:rsid w:val="00FE2EAB"/>
    <w:rsid w:val="00FE31B0"/>
    <w:rsid w:val="00FE5C97"/>
    <w:rsid w:val="00FE6108"/>
    <w:rsid w:val="00FE764C"/>
    <w:rsid w:val="00FF0D2F"/>
    <w:rsid w:val="00FF1F77"/>
    <w:rsid w:val="00FF23CE"/>
    <w:rsid w:val="00FF46B5"/>
    <w:rsid w:val="00FF4B19"/>
    <w:rsid w:val="00FF562F"/>
    <w:rsid w:val="00FF572C"/>
    <w:rsid w:val="00FF696D"/>
    <w:rsid w:val="00FF6C9E"/>
    <w:rsid w:val="00FF7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60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index heading" w:uiPriority="99"/>
    <w:lsdException w:name="caption"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33"/>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3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33"/>
      </w:numPr>
      <w:spacing w:before="0" w:after="0"/>
    </w:pPr>
    <w:rPr>
      <w:b/>
    </w:rPr>
  </w:style>
  <w:style w:type="paragraph" w:customStyle="1" w:styleId="dotpoint">
    <w:name w:val="dot point"/>
    <w:basedOn w:val="Normal"/>
    <w:link w:val="dotpointChar"/>
    <w:qFormat/>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3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uiPriority w:val="99"/>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aliases w:val="FOOTNOTE,MAC footnote text"/>
    <w:basedOn w:val="Normal"/>
    <w:link w:val="FootnoteTextChar"/>
    <w:qFormat/>
    <w:rsid w:val="00E56A6F"/>
    <w:pPr>
      <w:tabs>
        <w:tab w:val="left" w:pos="284"/>
      </w:tabs>
      <w:spacing w:before="0" w:after="0"/>
      <w:ind w:left="284" w:hanging="284"/>
    </w:pPr>
    <w:rPr>
      <w:sz w:val="20"/>
    </w:rPr>
  </w:style>
  <w:style w:type="character" w:customStyle="1" w:styleId="FootnoteTextChar">
    <w:name w:val="Footnote Text Char"/>
    <w:aliases w:val="FOOTNOTE Char,MAC 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uiPriority w:val="99"/>
    <w:semiHidden/>
    <w:rsid w:val="00E56A6F"/>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33"/>
      </w:numPr>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5F63B2"/>
    <w:pPr>
      <w:numPr>
        <w:numId w:val="22"/>
      </w:numPr>
    </w:pPr>
  </w:style>
  <w:style w:type="character" w:customStyle="1" w:styleId="BulletChar">
    <w:name w:val="Bullet Char"/>
    <w:basedOn w:val="base-text-paragraphChar"/>
    <w:link w:val="Bullet"/>
    <w:rsid w:val="005F63B2"/>
    <w:rPr>
      <w:rFonts w:ascii="Times New Roman" w:eastAsia="Times New Roman" w:hAnsi="Times New Roman" w:cs="Times New Roman"/>
      <w:szCs w:val="20"/>
      <w:lang w:eastAsia="en-AU"/>
    </w:rPr>
  </w:style>
  <w:style w:type="paragraph" w:customStyle="1" w:styleId="Dash">
    <w:name w:val="Dash"/>
    <w:basedOn w:val="Normal"/>
    <w:link w:val="DashChar"/>
    <w:rsid w:val="005F63B2"/>
    <w:pPr>
      <w:numPr>
        <w:ilvl w:val="1"/>
        <w:numId w:val="22"/>
      </w:numPr>
    </w:pPr>
  </w:style>
  <w:style w:type="character" w:customStyle="1" w:styleId="DashChar">
    <w:name w:val="Dash Char"/>
    <w:basedOn w:val="base-text-paragraphChar"/>
    <w:link w:val="Dash"/>
    <w:rsid w:val="005F63B2"/>
    <w:rPr>
      <w:rFonts w:ascii="Times New Roman" w:eastAsia="Times New Roman" w:hAnsi="Times New Roman" w:cs="Times New Roman"/>
      <w:szCs w:val="20"/>
      <w:lang w:eastAsia="en-AU"/>
    </w:rPr>
  </w:style>
  <w:style w:type="paragraph" w:customStyle="1" w:styleId="DoubleDot">
    <w:name w:val="Double Dot"/>
    <w:basedOn w:val="Normal"/>
    <w:link w:val="DoubleDotChar"/>
    <w:rsid w:val="005F63B2"/>
    <w:pPr>
      <w:numPr>
        <w:ilvl w:val="2"/>
        <w:numId w:val="22"/>
      </w:numPr>
    </w:pPr>
  </w:style>
  <w:style w:type="character" w:customStyle="1" w:styleId="DoubleDotChar">
    <w:name w:val="Double Dot Char"/>
    <w:basedOn w:val="base-text-paragraphChar"/>
    <w:link w:val="DoubleDot"/>
    <w:rsid w:val="005F63B2"/>
    <w:rPr>
      <w:rFonts w:ascii="Times New Roman" w:eastAsia="Times New Roman" w:hAnsi="Times New Roman" w:cs="Times New Roman"/>
      <w:szCs w:val="20"/>
      <w:lang w:eastAsia="en-AU"/>
    </w:rPr>
  </w:style>
  <w:style w:type="paragraph" w:customStyle="1" w:styleId="Tabletext0">
    <w:name w:val="Tabletext"/>
    <w:aliases w:val="tt"/>
    <w:basedOn w:val="Normal"/>
    <w:rsid w:val="00281B2F"/>
    <w:pPr>
      <w:spacing w:before="60" w:after="0" w:line="240" w:lineRule="atLeast"/>
    </w:pPr>
    <w:rPr>
      <w:sz w:val="20"/>
    </w:rPr>
  </w:style>
  <w:style w:type="character" w:customStyle="1" w:styleId="Bullet-goodChar">
    <w:name w:val="Bullet-good Char"/>
    <w:basedOn w:val="DefaultParagraphFont"/>
    <w:link w:val="Bullet-good"/>
    <w:locked/>
    <w:rsid w:val="006A1DCC"/>
  </w:style>
  <w:style w:type="paragraph" w:customStyle="1" w:styleId="Bullet-good">
    <w:name w:val="Bullet-good"/>
    <w:basedOn w:val="Bullet"/>
    <w:link w:val="Bullet-goodChar"/>
    <w:qFormat/>
    <w:rsid w:val="006A1DCC"/>
    <w:pPr>
      <w:tabs>
        <w:tab w:val="clear" w:pos="520"/>
        <w:tab w:val="num" w:pos="1701"/>
      </w:tabs>
      <w:ind w:left="1701" w:firstLine="0"/>
    </w:pPr>
    <w:rPr>
      <w:rFonts w:asciiTheme="minorHAnsi" w:eastAsiaTheme="minorHAnsi" w:hAnsiTheme="minorHAnsi" w:cstheme="minorBidi"/>
      <w:szCs w:val="22"/>
      <w:lang w:eastAsia="en-US"/>
    </w:rPr>
  </w:style>
  <w:style w:type="character" w:customStyle="1" w:styleId="Dash-goodChar">
    <w:name w:val="Dash-good Char"/>
    <w:basedOn w:val="DefaultParagraphFont"/>
    <w:link w:val="Dash-good"/>
    <w:locked/>
    <w:rsid w:val="006A1DCC"/>
  </w:style>
  <w:style w:type="paragraph" w:customStyle="1" w:styleId="Dash-good">
    <w:name w:val="Dash-good"/>
    <w:basedOn w:val="Dash"/>
    <w:link w:val="Dash-goodChar"/>
    <w:qFormat/>
    <w:rsid w:val="006A1DCC"/>
    <w:pPr>
      <w:tabs>
        <w:tab w:val="clear" w:pos="1040"/>
        <w:tab w:val="num" w:pos="2552"/>
      </w:tabs>
      <w:ind w:left="2552" w:hanging="425"/>
    </w:pPr>
    <w:rPr>
      <w:rFonts w:asciiTheme="minorHAnsi" w:eastAsiaTheme="minorHAnsi" w:hAnsiTheme="minorHAnsi" w:cstheme="minorBidi"/>
      <w:szCs w:val="22"/>
      <w:lang w:eastAsia="en-US"/>
    </w:rPr>
  </w:style>
  <w:style w:type="character" w:customStyle="1" w:styleId="Num-para-goodChar">
    <w:name w:val="Num-para-good Char"/>
    <w:basedOn w:val="DefaultParagraphFont"/>
    <w:link w:val="Num-para-good"/>
    <w:locked/>
    <w:rsid w:val="006A1DCC"/>
  </w:style>
  <w:style w:type="paragraph" w:customStyle="1" w:styleId="Num-para-good">
    <w:name w:val="Num-para-good"/>
    <w:basedOn w:val="base-text-paragraph"/>
    <w:link w:val="Num-para-goodChar"/>
    <w:qFormat/>
    <w:rsid w:val="006A1DCC"/>
    <w:pPr>
      <w:numPr>
        <w:ilvl w:val="0"/>
        <w:numId w:val="1"/>
      </w:numPr>
      <w:tabs>
        <w:tab w:val="left" w:pos="1701"/>
      </w:tabs>
    </w:pPr>
    <w:rPr>
      <w:rFonts w:asciiTheme="minorHAnsi" w:eastAsiaTheme="minorHAnsi" w:hAnsiTheme="minorHAnsi" w:cstheme="minorBidi"/>
      <w:szCs w:val="22"/>
      <w:lang w:eastAsia="en-US"/>
    </w:rPr>
  </w:style>
  <w:style w:type="character" w:styleId="FootnoteReference">
    <w:name w:val="footnote reference"/>
    <w:aliases w:val="MAC footnote reference"/>
    <w:basedOn w:val="DefaultParagraphFont"/>
    <w:unhideWhenUsed/>
    <w:rsid w:val="006A1DCC"/>
    <w:rPr>
      <w:vertAlign w:val="superscript"/>
    </w:rPr>
  </w:style>
  <w:style w:type="paragraph" w:styleId="BalloonText">
    <w:name w:val="Balloon Text"/>
    <w:basedOn w:val="Normal"/>
    <w:link w:val="BalloonTextChar"/>
    <w:uiPriority w:val="99"/>
    <w:semiHidden/>
    <w:unhideWhenUsed/>
    <w:rsid w:val="00077B2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B2C"/>
    <w:rPr>
      <w:rFonts w:ascii="Tahoma" w:eastAsia="Times New Roman" w:hAnsi="Tahoma" w:cs="Tahoma"/>
      <w:sz w:val="16"/>
      <w:szCs w:val="16"/>
      <w:lang w:eastAsia="en-AU"/>
    </w:rPr>
  </w:style>
  <w:style w:type="paragraph" w:customStyle="1" w:styleId="GHTableHeading">
    <w:name w:val="GH Table Heading"/>
    <w:next w:val="BodyText"/>
    <w:link w:val="GHTableHeadingChar"/>
    <w:qFormat/>
    <w:rsid w:val="00077B2C"/>
    <w:pPr>
      <w:spacing w:before="120" w:after="120" w:line="240" w:lineRule="auto"/>
      <w:jc w:val="center"/>
    </w:pPr>
    <w:rPr>
      <w:rFonts w:ascii="Arial Bold" w:eastAsia="Arial Unicode MS" w:hAnsi="Arial Bold" w:cs="Times New Roman"/>
      <w:b/>
      <w:spacing w:val="20"/>
      <w:sz w:val="20"/>
    </w:rPr>
  </w:style>
  <w:style w:type="character" w:customStyle="1" w:styleId="GHTableHeadingChar">
    <w:name w:val="GH Table Heading Char"/>
    <w:link w:val="GHTableHeading"/>
    <w:rsid w:val="00077B2C"/>
    <w:rPr>
      <w:rFonts w:ascii="Arial Bold" w:eastAsia="Arial Unicode MS" w:hAnsi="Arial Bold" w:cs="Times New Roman"/>
      <w:b/>
      <w:spacing w:val="20"/>
      <w:sz w:val="20"/>
    </w:rPr>
  </w:style>
  <w:style w:type="paragraph" w:customStyle="1" w:styleId="GHTableBullet1">
    <w:name w:val="GH Table Bullet 1"/>
    <w:qFormat/>
    <w:rsid w:val="00077B2C"/>
    <w:pPr>
      <w:numPr>
        <w:numId w:val="25"/>
      </w:numPr>
      <w:tabs>
        <w:tab w:val="left" w:pos="284"/>
      </w:tabs>
      <w:spacing w:before="80" w:after="120" w:line="240" w:lineRule="exact"/>
    </w:pPr>
    <w:rPr>
      <w:rFonts w:ascii="Arial" w:eastAsia="Arial Unicode MS" w:hAnsi="Arial" w:cs="Times New Roman"/>
      <w:sz w:val="18"/>
      <w:szCs w:val="20"/>
    </w:rPr>
  </w:style>
  <w:style w:type="paragraph" w:customStyle="1" w:styleId="GHShadedHeading">
    <w:name w:val="GH Shaded Heading"/>
    <w:qFormat/>
    <w:rsid w:val="00077B2C"/>
    <w:pPr>
      <w:spacing w:before="120" w:after="120" w:line="240" w:lineRule="auto"/>
      <w:jc w:val="center"/>
    </w:pPr>
    <w:rPr>
      <w:rFonts w:ascii="Arial Bold" w:eastAsia="Arial Unicode MS" w:hAnsi="Arial Bold" w:cs="Times New Roman"/>
      <w:b/>
      <w:spacing w:val="20"/>
      <w:sz w:val="18"/>
      <w:lang w:eastAsia="zh-CN"/>
    </w:rPr>
  </w:style>
  <w:style w:type="paragraph" w:styleId="Caption">
    <w:name w:val="caption"/>
    <w:basedOn w:val="Normal"/>
    <w:next w:val="Normal"/>
    <w:qFormat/>
    <w:rsid w:val="00077B2C"/>
    <w:pPr>
      <w:ind w:left="1140"/>
    </w:pPr>
    <w:rPr>
      <w:b/>
      <w:bCs/>
      <w:sz w:val="20"/>
    </w:rPr>
  </w:style>
  <w:style w:type="paragraph" w:customStyle="1" w:styleId="OutlineNumbered1">
    <w:name w:val="Outline Numbered 1"/>
    <w:basedOn w:val="Normal"/>
    <w:link w:val="OutlineNumbered1Char"/>
    <w:rsid w:val="00077B2C"/>
    <w:pPr>
      <w:numPr>
        <w:numId w:val="28"/>
      </w:numPr>
    </w:pPr>
  </w:style>
  <w:style w:type="character" w:customStyle="1" w:styleId="OutlineNumbered1Char">
    <w:name w:val="Outline Numbered 1 Char"/>
    <w:basedOn w:val="base-text-paragraphChar"/>
    <w:link w:val="OutlineNumbered1"/>
    <w:rsid w:val="00077B2C"/>
    <w:rPr>
      <w:rFonts w:ascii="Times New Roman" w:eastAsia="Times New Roman" w:hAnsi="Times New Roman" w:cs="Times New Roman"/>
      <w:szCs w:val="20"/>
      <w:lang w:eastAsia="en-AU"/>
    </w:rPr>
  </w:style>
  <w:style w:type="paragraph" w:customStyle="1" w:styleId="OutlineNumbered2">
    <w:name w:val="Outline Numbered 2"/>
    <w:basedOn w:val="Normal"/>
    <w:rsid w:val="00077B2C"/>
    <w:pPr>
      <w:numPr>
        <w:ilvl w:val="1"/>
        <w:numId w:val="28"/>
      </w:numPr>
    </w:pPr>
  </w:style>
  <w:style w:type="paragraph" w:customStyle="1" w:styleId="OutlineNumbered3">
    <w:name w:val="Outline Numbered 3"/>
    <w:basedOn w:val="Normal"/>
    <w:rsid w:val="00077B2C"/>
    <w:pPr>
      <w:numPr>
        <w:ilvl w:val="2"/>
        <w:numId w:val="28"/>
      </w:numPr>
    </w:pPr>
  </w:style>
  <w:style w:type="paragraph" w:customStyle="1" w:styleId="NormalBullet">
    <w:name w:val="Normal Bullet"/>
    <w:basedOn w:val="Bullet"/>
    <w:link w:val="NormalBulletChar"/>
    <w:qFormat/>
    <w:rsid w:val="00077B2C"/>
  </w:style>
  <w:style w:type="character" w:customStyle="1" w:styleId="NormalBulletChar">
    <w:name w:val="Normal Bullet Char"/>
    <w:basedOn w:val="BulletChar"/>
    <w:link w:val="NormalBullet"/>
    <w:rsid w:val="00077B2C"/>
    <w:rPr>
      <w:rFonts w:ascii="Times New Roman" w:eastAsia="Times New Roman" w:hAnsi="Times New Roman" w:cs="Times New Roman"/>
      <w:szCs w:val="20"/>
      <w:lang w:eastAsia="en-AU"/>
    </w:rPr>
  </w:style>
  <w:style w:type="paragraph" w:customStyle="1" w:styleId="tabletext1">
    <w:name w:val="tabletext"/>
    <w:basedOn w:val="Normal"/>
    <w:rsid w:val="00EE1858"/>
    <w:pPr>
      <w:spacing w:before="100" w:beforeAutospacing="1" w:after="100" w:afterAutospacing="1"/>
    </w:pPr>
    <w:rPr>
      <w:sz w:val="24"/>
      <w:szCs w:val="24"/>
    </w:rPr>
  </w:style>
  <w:style w:type="character" w:customStyle="1" w:styleId="docsearchterm">
    <w:name w:val="docsearchterm"/>
    <w:basedOn w:val="DefaultParagraphFont"/>
    <w:rsid w:val="00EE1858"/>
  </w:style>
  <w:style w:type="paragraph" w:customStyle="1" w:styleId="Default">
    <w:name w:val="Default"/>
    <w:rsid w:val="0042095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C4474"/>
    <w:rPr>
      <w:sz w:val="16"/>
      <w:szCs w:val="16"/>
    </w:rPr>
  </w:style>
  <w:style w:type="paragraph" w:styleId="CommentText">
    <w:name w:val="annotation text"/>
    <w:basedOn w:val="Normal"/>
    <w:link w:val="CommentTextChar"/>
    <w:uiPriority w:val="99"/>
    <w:semiHidden/>
    <w:unhideWhenUsed/>
    <w:rsid w:val="000C4474"/>
    <w:rPr>
      <w:sz w:val="20"/>
    </w:rPr>
  </w:style>
  <w:style w:type="character" w:customStyle="1" w:styleId="CommentTextChar">
    <w:name w:val="Comment Text Char"/>
    <w:basedOn w:val="DefaultParagraphFont"/>
    <w:link w:val="CommentText"/>
    <w:uiPriority w:val="99"/>
    <w:semiHidden/>
    <w:rsid w:val="000C447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C4474"/>
    <w:rPr>
      <w:b/>
      <w:bCs/>
    </w:rPr>
  </w:style>
  <w:style w:type="character" w:customStyle="1" w:styleId="CommentSubjectChar">
    <w:name w:val="Comment Subject Char"/>
    <w:basedOn w:val="CommentTextChar"/>
    <w:link w:val="CommentSubject"/>
    <w:uiPriority w:val="99"/>
    <w:semiHidden/>
    <w:rsid w:val="000C4474"/>
    <w:rPr>
      <w:rFonts w:ascii="Times New Roman" w:eastAsia="Times New Roman" w:hAnsi="Times New Roman" w:cs="Times New Roman"/>
      <w:b/>
      <w:bCs/>
      <w:sz w:val="20"/>
      <w:szCs w:val="20"/>
      <w:lang w:eastAsia="en-AU"/>
    </w:rPr>
  </w:style>
  <w:style w:type="paragraph" w:customStyle="1" w:styleId="notedraft">
    <w:name w:val="note(draft)"/>
    <w:aliases w:val="nd"/>
    <w:basedOn w:val="Normal"/>
    <w:rsid w:val="00F031A6"/>
    <w:pPr>
      <w:spacing w:before="0" w:after="0" w:line="260" w:lineRule="atLeast"/>
    </w:pPr>
    <w:rPr>
      <w:rFonts w:eastAsiaTheme="minorHAnsi" w:cstheme="minorBidi"/>
      <w:lang w:eastAsia="en-US"/>
    </w:rPr>
  </w:style>
  <w:style w:type="paragraph" w:customStyle="1" w:styleId="TableTextBase">
    <w:name w:val="Table Text Base"/>
    <w:rsid w:val="00C1553C"/>
    <w:pPr>
      <w:spacing w:before="40" w:after="40" w:line="240" w:lineRule="auto"/>
    </w:pPr>
    <w:rPr>
      <w:rFonts w:ascii="Arial" w:eastAsia="Times New Roman" w:hAnsi="Arial" w:cs="Times New Roman"/>
      <w:color w:val="000000"/>
      <w:sz w:val="16"/>
      <w:szCs w:val="20"/>
      <w:lang w:eastAsia="en-AU"/>
    </w:rPr>
  </w:style>
  <w:style w:type="character" w:customStyle="1" w:styleId="dotpointChar">
    <w:name w:val="dot point Char"/>
    <w:basedOn w:val="DefaultParagraphFont"/>
    <w:link w:val="dotpoint"/>
    <w:rsid w:val="00582CAB"/>
    <w:rPr>
      <w:rFonts w:ascii="Times New Roman" w:eastAsia="Times New Roman" w:hAnsi="Times New Roman" w:cs="Times New Roman"/>
      <w:szCs w:val="20"/>
      <w:lang w:eastAsia="en-AU"/>
    </w:rPr>
  </w:style>
  <w:style w:type="paragraph" w:customStyle="1" w:styleId="Definition">
    <w:name w:val="Definition"/>
    <w:aliases w:val="dd"/>
    <w:basedOn w:val="Normal"/>
    <w:rsid w:val="00D7767B"/>
    <w:pPr>
      <w:spacing w:before="180" w:after="0"/>
      <w:ind w:left="1134"/>
    </w:pPr>
  </w:style>
  <w:style w:type="paragraph" w:customStyle="1" w:styleId="paragraph">
    <w:name w:val="paragraph"/>
    <w:aliases w:val="a"/>
    <w:basedOn w:val="Normal"/>
    <w:link w:val="paragraphChar"/>
    <w:rsid w:val="005B571B"/>
    <w:pPr>
      <w:tabs>
        <w:tab w:val="right" w:pos="1531"/>
      </w:tabs>
      <w:spacing w:before="40" w:after="0"/>
      <w:ind w:left="1644" w:hanging="1644"/>
    </w:pPr>
  </w:style>
  <w:style w:type="character" w:customStyle="1" w:styleId="paragraphChar">
    <w:name w:val="paragraph Char"/>
    <w:aliases w:val="a Char"/>
    <w:link w:val="paragraph"/>
    <w:locked/>
    <w:rsid w:val="005B571B"/>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F960FA"/>
    <w:pPr>
      <w:tabs>
        <w:tab w:val="right" w:pos="1021"/>
      </w:tabs>
      <w:spacing w:before="180" w:after="0"/>
      <w:ind w:left="1134" w:hanging="1134"/>
    </w:pPr>
  </w:style>
  <w:style w:type="paragraph" w:customStyle="1" w:styleId="subsection2">
    <w:name w:val="subsection2"/>
    <w:aliases w:val="ss2"/>
    <w:basedOn w:val="Normal"/>
    <w:next w:val="subsection"/>
    <w:rsid w:val="00F960FA"/>
    <w:pPr>
      <w:spacing w:before="40" w:after="0"/>
      <w:ind w:left="1134"/>
    </w:pPr>
  </w:style>
  <w:style w:type="character" w:customStyle="1" w:styleId="subsectionChar">
    <w:name w:val="subsection Char"/>
    <w:aliases w:val="ss Char"/>
    <w:link w:val="subsection"/>
    <w:locked/>
    <w:rsid w:val="00F960FA"/>
    <w:rPr>
      <w:rFonts w:ascii="Times New Roman" w:eastAsia="Times New Roman" w:hAnsi="Times New Roman" w:cs="Times New Roman"/>
      <w:szCs w:val="20"/>
      <w:lang w:eastAsia="en-AU"/>
    </w:rPr>
  </w:style>
  <w:style w:type="paragraph" w:customStyle="1" w:styleId="notesonclauses">
    <w:name w:val="notesonclauses"/>
    <w:basedOn w:val="Normal"/>
    <w:rsid w:val="005127F8"/>
    <w:pPr>
      <w:spacing w:before="100" w:beforeAutospacing="1" w:after="100" w:afterAutospacing="1"/>
    </w:pPr>
    <w:rPr>
      <w:rFonts w:ascii="Calibri" w:eastAsiaTheme="minorHAnsi" w:hAnsi="Calibri"/>
      <w:szCs w:val="22"/>
    </w:rPr>
  </w:style>
  <w:style w:type="character" w:customStyle="1" w:styleId="apple-converted-space">
    <w:name w:val="apple-converted-space"/>
    <w:basedOn w:val="DefaultParagraphFont"/>
    <w:rsid w:val="005127F8"/>
  </w:style>
  <w:style w:type="paragraph" w:styleId="Revision">
    <w:name w:val="Revision"/>
    <w:hidden/>
    <w:uiPriority w:val="99"/>
    <w:semiHidden/>
    <w:rsid w:val="00AB0CCA"/>
    <w:pPr>
      <w:spacing w:after="0" w:line="240" w:lineRule="auto"/>
    </w:pPr>
    <w:rPr>
      <w:rFonts w:ascii="Times New Roman" w:eastAsia="Times New Roman" w:hAnsi="Times New Roman" w:cs="Times New Roman"/>
      <w:szCs w:val="20"/>
      <w:lang w:eastAsia="en-AU"/>
    </w:rPr>
  </w:style>
  <w:style w:type="paragraph" w:customStyle="1" w:styleId="xl65">
    <w:name w:val="xl65"/>
    <w:basedOn w:val="Normal"/>
    <w:rsid w:val="00255832"/>
    <w:pPr>
      <w:spacing w:before="100" w:beforeAutospacing="1" w:after="100" w:afterAutospacing="1"/>
    </w:pPr>
    <w:rPr>
      <w:sz w:val="24"/>
      <w:szCs w:val="24"/>
    </w:rPr>
  </w:style>
  <w:style w:type="paragraph" w:customStyle="1" w:styleId="xl66">
    <w:name w:val="xl66"/>
    <w:basedOn w:val="Normal"/>
    <w:rsid w:val="00255832"/>
    <w:pPr>
      <w:spacing w:before="100" w:beforeAutospacing="1" w:after="100" w:afterAutospacing="1"/>
    </w:pPr>
    <w:rPr>
      <w:sz w:val="24"/>
      <w:szCs w:val="24"/>
    </w:rPr>
  </w:style>
  <w:style w:type="paragraph" w:customStyle="1" w:styleId="xl67">
    <w:name w:val="xl67"/>
    <w:basedOn w:val="Normal"/>
    <w:rsid w:val="00255832"/>
    <w:pPr>
      <w:spacing w:before="100" w:beforeAutospacing="1" w:after="100" w:afterAutospacing="1"/>
      <w:textAlignment w:val="center"/>
    </w:pPr>
    <w:rPr>
      <w:rFonts w:ascii="Arial" w:hAnsi="Arial" w:cs="Arial"/>
      <w:b/>
      <w:bCs/>
      <w:sz w:val="24"/>
      <w:szCs w:val="24"/>
    </w:rPr>
  </w:style>
  <w:style w:type="paragraph" w:customStyle="1" w:styleId="xl68">
    <w:name w:val="xl68"/>
    <w:basedOn w:val="Normal"/>
    <w:rsid w:val="00C0030A"/>
    <w:pPr>
      <w:spacing w:before="100" w:beforeAutospacing="1" w:after="100" w:afterAutospacing="1"/>
      <w:jc w:val="center"/>
      <w:textAlignment w:val="center"/>
    </w:pPr>
    <w:rPr>
      <w:b/>
      <w:bCs/>
      <w:i/>
      <w:i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index heading" w:uiPriority="99"/>
    <w:lsdException w:name="caption"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33"/>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3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33"/>
      </w:numPr>
      <w:spacing w:before="0" w:after="0"/>
    </w:pPr>
    <w:rPr>
      <w:b/>
    </w:rPr>
  </w:style>
  <w:style w:type="paragraph" w:customStyle="1" w:styleId="dotpoint">
    <w:name w:val="dot point"/>
    <w:basedOn w:val="Normal"/>
    <w:link w:val="dotpointChar"/>
    <w:qFormat/>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3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uiPriority w:val="99"/>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aliases w:val="FOOTNOTE,MAC footnote text"/>
    <w:basedOn w:val="Normal"/>
    <w:link w:val="FootnoteTextChar"/>
    <w:qFormat/>
    <w:rsid w:val="00E56A6F"/>
    <w:pPr>
      <w:tabs>
        <w:tab w:val="left" w:pos="284"/>
      </w:tabs>
      <w:spacing w:before="0" w:after="0"/>
      <w:ind w:left="284" w:hanging="284"/>
    </w:pPr>
    <w:rPr>
      <w:sz w:val="20"/>
    </w:rPr>
  </w:style>
  <w:style w:type="character" w:customStyle="1" w:styleId="FootnoteTextChar">
    <w:name w:val="Footnote Text Char"/>
    <w:aliases w:val="FOOTNOTE Char,MAC 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uiPriority w:val="99"/>
    <w:semiHidden/>
    <w:rsid w:val="00E56A6F"/>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33"/>
      </w:numPr>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5F63B2"/>
    <w:pPr>
      <w:numPr>
        <w:numId w:val="22"/>
      </w:numPr>
    </w:pPr>
  </w:style>
  <w:style w:type="character" w:customStyle="1" w:styleId="BulletChar">
    <w:name w:val="Bullet Char"/>
    <w:basedOn w:val="base-text-paragraphChar"/>
    <w:link w:val="Bullet"/>
    <w:rsid w:val="005F63B2"/>
    <w:rPr>
      <w:rFonts w:ascii="Times New Roman" w:eastAsia="Times New Roman" w:hAnsi="Times New Roman" w:cs="Times New Roman"/>
      <w:szCs w:val="20"/>
      <w:lang w:eastAsia="en-AU"/>
    </w:rPr>
  </w:style>
  <w:style w:type="paragraph" w:customStyle="1" w:styleId="Dash">
    <w:name w:val="Dash"/>
    <w:basedOn w:val="Normal"/>
    <w:link w:val="DashChar"/>
    <w:rsid w:val="005F63B2"/>
    <w:pPr>
      <w:numPr>
        <w:ilvl w:val="1"/>
        <w:numId w:val="22"/>
      </w:numPr>
    </w:pPr>
  </w:style>
  <w:style w:type="character" w:customStyle="1" w:styleId="DashChar">
    <w:name w:val="Dash Char"/>
    <w:basedOn w:val="base-text-paragraphChar"/>
    <w:link w:val="Dash"/>
    <w:rsid w:val="005F63B2"/>
    <w:rPr>
      <w:rFonts w:ascii="Times New Roman" w:eastAsia="Times New Roman" w:hAnsi="Times New Roman" w:cs="Times New Roman"/>
      <w:szCs w:val="20"/>
      <w:lang w:eastAsia="en-AU"/>
    </w:rPr>
  </w:style>
  <w:style w:type="paragraph" w:customStyle="1" w:styleId="DoubleDot">
    <w:name w:val="Double Dot"/>
    <w:basedOn w:val="Normal"/>
    <w:link w:val="DoubleDotChar"/>
    <w:rsid w:val="005F63B2"/>
    <w:pPr>
      <w:numPr>
        <w:ilvl w:val="2"/>
        <w:numId w:val="22"/>
      </w:numPr>
    </w:pPr>
  </w:style>
  <w:style w:type="character" w:customStyle="1" w:styleId="DoubleDotChar">
    <w:name w:val="Double Dot Char"/>
    <w:basedOn w:val="base-text-paragraphChar"/>
    <w:link w:val="DoubleDot"/>
    <w:rsid w:val="005F63B2"/>
    <w:rPr>
      <w:rFonts w:ascii="Times New Roman" w:eastAsia="Times New Roman" w:hAnsi="Times New Roman" w:cs="Times New Roman"/>
      <w:szCs w:val="20"/>
      <w:lang w:eastAsia="en-AU"/>
    </w:rPr>
  </w:style>
  <w:style w:type="paragraph" w:customStyle="1" w:styleId="Tabletext0">
    <w:name w:val="Tabletext"/>
    <w:aliases w:val="tt"/>
    <w:basedOn w:val="Normal"/>
    <w:rsid w:val="00281B2F"/>
    <w:pPr>
      <w:spacing w:before="60" w:after="0" w:line="240" w:lineRule="atLeast"/>
    </w:pPr>
    <w:rPr>
      <w:sz w:val="20"/>
    </w:rPr>
  </w:style>
  <w:style w:type="character" w:customStyle="1" w:styleId="Bullet-goodChar">
    <w:name w:val="Bullet-good Char"/>
    <w:basedOn w:val="DefaultParagraphFont"/>
    <w:link w:val="Bullet-good"/>
    <w:locked/>
    <w:rsid w:val="006A1DCC"/>
  </w:style>
  <w:style w:type="paragraph" w:customStyle="1" w:styleId="Bullet-good">
    <w:name w:val="Bullet-good"/>
    <w:basedOn w:val="Bullet"/>
    <w:link w:val="Bullet-goodChar"/>
    <w:qFormat/>
    <w:rsid w:val="006A1DCC"/>
    <w:pPr>
      <w:tabs>
        <w:tab w:val="clear" w:pos="520"/>
        <w:tab w:val="num" w:pos="1701"/>
      </w:tabs>
      <w:ind w:left="1701" w:firstLine="0"/>
    </w:pPr>
    <w:rPr>
      <w:rFonts w:asciiTheme="minorHAnsi" w:eastAsiaTheme="minorHAnsi" w:hAnsiTheme="minorHAnsi" w:cstheme="minorBidi"/>
      <w:szCs w:val="22"/>
      <w:lang w:eastAsia="en-US"/>
    </w:rPr>
  </w:style>
  <w:style w:type="character" w:customStyle="1" w:styleId="Dash-goodChar">
    <w:name w:val="Dash-good Char"/>
    <w:basedOn w:val="DefaultParagraphFont"/>
    <w:link w:val="Dash-good"/>
    <w:locked/>
    <w:rsid w:val="006A1DCC"/>
  </w:style>
  <w:style w:type="paragraph" w:customStyle="1" w:styleId="Dash-good">
    <w:name w:val="Dash-good"/>
    <w:basedOn w:val="Dash"/>
    <w:link w:val="Dash-goodChar"/>
    <w:qFormat/>
    <w:rsid w:val="006A1DCC"/>
    <w:pPr>
      <w:tabs>
        <w:tab w:val="clear" w:pos="1040"/>
        <w:tab w:val="num" w:pos="2552"/>
      </w:tabs>
      <w:ind w:left="2552" w:hanging="425"/>
    </w:pPr>
    <w:rPr>
      <w:rFonts w:asciiTheme="minorHAnsi" w:eastAsiaTheme="minorHAnsi" w:hAnsiTheme="minorHAnsi" w:cstheme="minorBidi"/>
      <w:szCs w:val="22"/>
      <w:lang w:eastAsia="en-US"/>
    </w:rPr>
  </w:style>
  <w:style w:type="character" w:customStyle="1" w:styleId="Num-para-goodChar">
    <w:name w:val="Num-para-good Char"/>
    <w:basedOn w:val="DefaultParagraphFont"/>
    <w:link w:val="Num-para-good"/>
    <w:locked/>
    <w:rsid w:val="006A1DCC"/>
  </w:style>
  <w:style w:type="paragraph" w:customStyle="1" w:styleId="Num-para-good">
    <w:name w:val="Num-para-good"/>
    <w:basedOn w:val="base-text-paragraph"/>
    <w:link w:val="Num-para-goodChar"/>
    <w:qFormat/>
    <w:rsid w:val="006A1DCC"/>
    <w:pPr>
      <w:numPr>
        <w:ilvl w:val="0"/>
        <w:numId w:val="1"/>
      </w:numPr>
      <w:tabs>
        <w:tab w:val="left" w:pos="1701"/>
      </w:tabs>
    </w:pPr>
    <w:rPr>
      <w:rFonts w:asciiTheme="minorHAnsi" w:eastAsiaTheme="minorHAnsi" w:hAnsiTheme="minorHAnsi" w:cstheme="minorBidi"/>
      <w:szCs w:val="22"/>
      <w:lang w:eastAsia="en-US"/>
    </w:rPr>
  </w:style>
  <w:style w:type="character" w:styleId="FootnoteReference">
    <w:name w:val="footnote reference"/>
    <w:aliases w:val="MAC footnote reference"/>
    <w:basedOn w:val="DefaultParagraphFont"/>
    <w:unhideWhenUsed/>
    <w:rsid w:val="006A1DCC"/>
    <w:rPr>
      <w:vertAlign w:val="superscript"/>
    </w:rPr>
  </w:style>
  <w:style w:type="paragraph" w:styleId="BalloonText">
    <w:name w:val="Balloon Text"/>
    <w:basedOn w:val="Normal"/>
    <w:link w:val="BalloonTextChar"/>
    <w:uiPriority w:val="99"/>
    <w:semiHidden/>
    <w:unhideWhenUsed/>
    <w:rsid w:val="00077B2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B2C"/>
    <w:rPr>
      <w:rFonts w:ascii="Tahoma" w:eastAsia="Times New Roman" w:hAnsi="Tahoma" w:cs="Tahoma"/>
      <w:sz w:val="16"/>
      <w:szCs w:val="16"/>
      <w:lang w:eastAsia="en-AU"/>
    </w:rPr>
  </w:style>
  <w:style w:type="paragraph" w:customStyle="1" w:styleId="GHTableHeading">
    <w:name w:val="GH Table Heading"/>
    <w:next w:val="BodyText"/>
    <w:link w:val="GHTableHeadingChar"/>
    <w:qFormat/>
    <w:rsid w:val="00077B2C"/>
    <w:pPr>
      <w:spacing w:before="120" w:after="120" w:line="240" w:lineRule="auto"/>
      <w:jc w:val="center"/>
    </w:pPr>
    <w:rPr>
      <w:rFonts w:ascii="Arial Bold" w:eastAsia="Arial Unicode MS" w:hAnsi="Arial Bold" w:cs="Times New Roman"/>
      <w:b/>
      <w:spacing w:val="20"/>
      <w:sz w:val="20"/>
    </w:rPr>
  </w:style>
  <w:style w:type="character" w:customStyle="1" w:styleId="GHTableHeadingChar">
    <w:name w:val="GH Table Heading Char"/>
    <w:link w:val="GHTableHeading"/>
    <w:rsid w:val="00077B2C"/>
    <w:rPr>
      <w:rFonts w:ascii="Arial Bold" w:eastAsia="Arial Unicode MS" w:hAnsi="Arial Bold" w:cs="Times New Roman"/>
      <w:b/>
      <w:spacing w:val="20"/>
      <w:sz w:val="20"/>
    </w:rPr>
  </w:style>
  <w:style w:type="paragraph" w:customStyle="1" w:styleId="GHTableBullet1">
    <w:name w:val="GH Table Bullet 1"/>
    <w:qFormat/>
    <w:rsid w:val="00077B2C"/>
    <w:pPr>
      <w:numPr>
        <w:numId w:val="25"/>
      </w:numPr>
      <w:tabs>
        <w:tab w:val="left" w:pos="284"/>
      </w:tabs>
      <w:spacing w:before="80" w:after="120" w:line="240" w:lineRule="exact"/>
    </w:pPr>
    <w:rPr>
      <w:rFonts w:ascii="Arial" w:eastAsia="Arial Unicode MS" w:hAnsi="Arial" w:cs="Times New Roman"/>
      <w:sz w:val="18"/>
      <w:szCs w:val="20"/>
    </w:rPr>
  </w:style>
  <w:style w:type="paragraph" w:customStyle="1" w:styleId="GHShadedHeading">
    <w:name w:val="GH Shaded Heading"/>
    <w:qFormat/>
    <w:rsid w:val="00077B2C"/>
    <w:pPr>
      <w:spacing w:before="120" w:after="120" w:line="240" w:lineRule="auto"/>
      <w:jc w:val="center"/>
    </w:pPr>
    <w:rPr>
      <w:rFonts w:ascii="Arial Bold" w:eastAsia="Arial Unicode MS" w:hAnsi="Arial Bold" w:cs="Times New Roman"/>
      <w:b/>
      <w:spacing w:val="20"/>
      <w:sz w:val="18"/>
      <w:lang w:eastAsia="zh-CN"/>
    </w:rPr>
  </w:style>
  <w:style w:type="paragraph" w:styleId="Caption">
    <w:name w:val="caption"/>
    <w:basedOn w:val="Normal"/>
    <w:next w:val="Normal"/>
    <w:qFormat/>
    <w:rsid w:val="00077B2C"/>
    <w:pPr>
      <w:ind w:left="1140"/>
    </w:pPr>
    <w:rPr>
      <w:b/>
      <w:bCs/>
      <w:sz w:val="20"/>
    </w:rPr>
  </w:style>
  <w:style w:type="paragraph" w:customStyle="1" w:styleId="OutlineNumbered1">
    <w:name w:val="Outline Numbered 1"/>
    <w:basedOn w:val="Normal"/>
    <w:link w:val="OutlineNumbered1Char"/>
    <w:rsid w:val="00077B2C"/>
    <w:pPr>
      <w:numPr>
        <w:numId w:val="28"/>
      </w:numPr>
    </w:pPr>
  </w:style>
  <w:style w:type="character" w:customStyle="1" w:styleId="OutlineNumbered1Char">
    <w:name w:val="Outline Numbered 1 Char"/>
    <w:basedOn w:val="base-text-paragraphChar"/>
    <w:link w:val="OutlineNumbered1"/>
    <w:rsid w:val="00077B2C"/>
    <w:rPr>
      <w:rFonts w:ascii="Times New Roman" w:eastAsia="Times New Roman" w:hAnsi="Times New Roman" w:cs="Times New Roman"/>
      <w:szCs w:val="20"/>
      <w:lang w:eastAsia="en-AU"/>
    </w:rPr>
  </w:style>
  <w:style w:type="paragraph" w:customStyle="1" w:styleId="OutlineNumbered2">
    <w:name w:val="Outline Numbered 2"/>
    <w:basedOn w:val="Normal"/>
    <w:rsid w:val="00077B2C"/>
    <w:pPr>
      <w:numPr>
        <w:ilvl w:val="1"/>
        <w:numId w:val="28"/>
      </w:numPr>
    </w:pPr>
  </w:style>
  <w:style w:type="paragraph" w:customStyle="1" w:styleId="OutlineNumbered3">
    <w:name w:val="Outline Numbered 3"/>
    <w:basedOn w:val="Normal"/>
    <w:rsid w:val="00077B2C"/>
    <w:pPr>
      <w:numPr>
        <w:ilvl w:val="2"/>
        <w:numId w:val="28"/>
      </w:numPr>
    </w:pPr>
  </w:style>
  <w:style w:type="paragraph" w:customStyle="1" w:styleId="NormalBullet">
    <w:name w:val="Normal Bullet"/>
    <w:basedOn w:val="Bullet"/>
    <w:link w:val="NormalBulletChar"/>
    <w:qFormat/>
    <w:rsid w:val="00077B2C"/>
  </w:style>
  <w:style w:type="character" w:customStyle="1" w:styleId="NormalBulletChar">
    <w:name w:val="Normal Bullet Char"/>
    <w:basedOn w:val="BulletChar"/>
    <w:link w:val="NormalBullet"/>
    <w:rsid w:val="00077B2C"/>
    <w:rPr>
      <w:rFonts w:ascii="Times New Roman" w:eastAsia="Times New Roman" w:hAnsi="Times New Roman" w:cs="Times New Roman"/>
      <w:szCs w:val="20"/>
      <w:lang w:eastAsia="en-AU"/>
    </w:rPr>
  </w:style>
  <w:style w:type="paragraph" w:customStyle="1" w:styleId="tabletext1">
    <w:name w:val="tabletext"/>
    <w:basedOn w:val="Normal"/>
    <w:rsid w:val="00EE1858"/>
    <w:pPr>
      <w:spacing w:before="100" w:beforeAutospacing="1" w:after="100" w:afterAutospacing="1"/>
    </w:pPr>
    <w:rPr>
      <w:sz w:val="24"/>
      <w:szCs w:val="24"/>
    </w:rPr>
  </w:style>
  <w:style w:type="character" w:customStyle="1" w:styleId="docsearchterm">
    <w:name w:val="docsearchterm"/>
    <w:basedOn w:val="DefaultParagraphFont"/>
    <w:rsid w:val="00EE1858"/>
  </w:style>
  <w:style w:type="paragraph" w:customStyle="1" w:styleId="Default">
    <w:name w:val="Default"/>
    <w:rsid w:val="0042095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C4474"/>
    <w:rPr>
      <w:sz w:val="16"/>
      <w:szCs w:val="16"/>
    </w:rPr>
  </w:style>
  <w:style w:type="paragraph" w:styleId="CommentText">
    <w:name w:val="annotation text"/>
    <w:basedOn w:val="Normal"/>
    <w:link w:val="CommentTextChar"/>
    <w:uiPriority w:val="99"/>
    <w:semiHidden/>
    <w:unhideWhenUsed/>
    <w:rsid w:val="000C4474"/>
    <w:rPr>
      <w:sz w:val="20"/>
    </w:rPr>
  </w:style>
  <w:style w:type="character" w:customStyle="1" w:styleId="CommentTextChar">
    <w:name w:val="Comment Text Char"/>
    <w:basedOn w:val="DefaultParagraphFont"/>
    <w:link w:val="CommentText"/>
    <w:uiPriority w:val="99"/>
    <w:semiHidden/>
    <w:rsid w:val="000C447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C4474"/>
    <w:rPr>
      <w:b/>
      <w:bCs/>
    </w:rPr>
  </w:style>
  <w:style w:type="character" w:customStyle="1" w:styleId="CommentSubjectChar">
    <w:name w:val="Comment Subject Char"/>
    <w:basedOn w:val="CommentTextChar"/>
    <w:link w:val="CommentSubject"/>
    <w:uiPriority w:val="99"/>
    <w:semiHidden/>
    <w:rsid w:val="000C4474"/>
    <w:rPr>
      <w:rFonts w:ascii="Times New Roman" w:eastAsia="Times New Roman" w:hAnsi="Times New Roman" w:cs="Times New Roman"/>
      <w:b/>
      <w:bCs/>
      <w:sz w:val="20"/>
      <w:szCs w:val="20"/>
      <w:lang w:eastAsia="en-AU"/>
    </w:rPr>
  </w:style>
  <w:style w:type="paragraph" w:customStyle="1" w:styleId="notedraft">
    <w:name w:val="note(draft)"/>
    <w:aliases w:val="nd"/>
    <w:basedOn w:val="Normal"/>
    <w:rsid w:val="00F031A6"/>
    <w:pPr>
      <w:spacing w:before="0" w:after="0" w:line="260" w:lineRule="atLeast"/>
    </w:pPr>
    <w:rPr>
      <w:rFonts w:eastAsiaTheme="minorHAnsi" w:cstheme="minorBidi"/>
      <w:lang w:eastAsia="en-US"/>
    </w:rPr>
  </w:style>
  <w:style w:type="paragraph" w:customStyle="1" w:styleId="TableTextBase">
    <w:name w:val="Table Text Base"/>
    <w:rsid w:val="00C1553C"/>
    <w:pPr>
      <w:spacing w:before="40" w:after="40" w:line="240" w:lineRule="auto"/>
    </w:pPr>
    <w:rPr>
      <w:rFonts w:ascii="Arial" w:eastAsia="Times New Roman" w:hAnsi="Arial" w:cs="Times New Roman"/>
      <w:color w:val="000000"/>
      <w:sz w:val="16"/>
      <w:szCs w:val="20"/>
      <w:lang w:eastAsia="en-AU"/>
    </w:rPr>
  </w:style>
  <w:style w:type="character" w:customStyle="1" w:styleId="dotpointChar">
    <w:name w:val="dot point Char"/>
    <w:basedOn w:val="DefaultParagraphFont"/>
    <w:link w:val="dotpoint"/>
    <w:rsid w:val="00582CAB"/>
    <w:rPr>
      <w:rFonts w:ascii="Times New Roman" w:eastAsia="Times New Roman" w:hAnsi="Times New Roman" w:cs="Times New Roman"/>
      <w:szCs w:val="20"/>
      <w:lang w:eastAsia="en-AU"/>
    </w:rPr>
  </w:style>
  <w:style w:type="paragraph" w:customStyle="1" w:styleId="Definition">
    <w:name w:val="Definition"/>
    <w:aliases w:val="dd"/>
    <w:basedOn w:val="Normal"/>
    <w:rsid w:val="00D7767B"/>
    <w:pPr>
      <w:spacing w:before="180" w:after="0"/>
      <w:ind w:left="1134"/>
    </w:pPr>
  </w:style>
  <w:style w:type="paragraph" w:customStyle="1" w:styleId="paragraph">
    <w:name w:val="paragraph"/>
    <w:aliases w:val="a"/>
    <w:basedOn w:val="Normal"/>
    <w:link w:val="paragraphChar"/>
    <w:rsid w:val="005B571B"/>
    <w:pPr>
      <w:tabs>
        <w:tab w:val="right" w:pos="1531"/>
      </w:tabs>
      <w:spacing w:before="40" w:after="0"/>
      <w:ind w:left="1644" w:hanging="1644"/>
    </w:pPr>
  </w:style>
  <w:style w:type="character" w:customStyle="1" w:styleId="paragraphChar">
    <w:name w:val="paragraph Char"/>
    <w:aliases w:val="a Char"/>
    <w:link w:val="paragraph"/>
    <w:locked/>
    <w:rsid w:val="005B571B"/>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F960FA"/>
    <w:pPr>
      <w:tabs>
        <w:tab w:val="right" w:pos="1021"/>
      </w:tabs>
      <w:spacing w:before="180" w:after="0"/>
      <w:ind w:left="1134" w:hanging="1134"/>
    </w:pPr>
  </w:style>
  <w:style w:type="paragraph" w:customStyle="1" w:styleId="subsection2">
    <w:name w:val="subsection2"/>
    <w:aliases w:val="ss2"/>
    <w:basedOn w:val="Normal"/>
    <w:next w:val="subsection"/>
    <w:rsid w:val="00F960FA"/>
    <w:pPr>
      <w:spacing w:before="40" w:after="0"/>
      <w:ind w:left="1134"/>
    </w:pPr>
  </w:style>
  <w:style w:type="character" w:customStyle="1" w:styleId="subsectionChar">
    <w:name w:val="subsection Char"/>
    <w:aliases w:val="ss Char"/>
    <w:link w:val="subsection"/>
    <w:locked/>
    <w:rsid w:val="00F960FA"/>
    <w:rPr>
      <w:rFonts w:ascii="Times New Roman" w:eastAsia="Times New Roman" w:hAnsi="Times New Roman" w:cs="Times New Roman"/>
      <w:szCs w:val="20"/>
      <w:lang w:eastAsia="en-AU"/>
    </w:rPr>
  </w:style>
  <w:style w:type="paragraph" w:customStyle="1" w:styleId="notesonclauses">
    <w:name w:val="notesonclauses"/>
    <w:basedOn w:val="Normal"/>
    <w:rsid w:val="005127F8"/>
    <w:pPr>
      <w:spacing w:before="100" w:beforeAutospacing="1" w:after="100" w:afterAutospacing="1"/>
    </w:pPr>
    <w:rPr>
      <w:rFonts w:ascii="Calibri" w:eastAsiaTheme="minorHAnsi" w:hAnsi="Calibri"/>
      <w:szCs w:val="22"/>
    </w:rPr>
  </w:style>
  <w:style w:type="character" w:customStyle="1" w:styleId="apple-converted-space">
    <w:name w:val="apple-converted-space"/>
    <w:basedOn w:val="DefaultParagraphFont"/>
    <w:rsid w:val="005127F8"/>
  </w:style>
  <w:style w:type="paragraph" w:styleId="Revision">
    <w:name w:val="Revision"/>
    <w:hidden/>
    <w:uiPriority w:val="99"/>
    <w:semiHidden/>
    <w:rsid w:val="00AB0CCA"/>
    <w:pPr>
      <w:spacing w:after="0" w:line="240" w:lineRule="auto"/>
    </w:pPr>
    <w:rPr>
      <w:rFonts w:ascii="Times New Roman" w:eastAsia="Times New Roman" w:hAnsi="Times New Roman" w:cs="Times New Roman"/>
      <w:szCs w:val="20"/>
      <w:lang w:eastAsia="en-AU"/>
    </w:rPr>
  </w:style>
  <w:style w:type="paragraph" w:customStyle="1" w:styleId="xl65">
    <w:name w:val="xl65"/>
    <w:basedOn w:val="Normal"/>
    <w:rsid w:val="00255832"/>
    <w:pPr>
      <w:spacing w:before="100" w:beforeAutospacing="1" w:after="100" w:afterAutospacing="1"/>
    </w:pPr>
    <w:rPr>
      <w:sz w:val="24"/>
      <w:szCs w:val="24"/>
    </w:rPr>
  </w:style>
  <w:style w:type="paragraph" w:customStyle="1" w:styleId="xl66">
    <w:name w:val="xl66"/>
    <w:basedOn w:val="Normal"/>
    <w:rsid w:val="00255832"/>
    <w:pPr>
      <w:spacing w:before="100" w:beforeAutospacing="1" w:after="100" w:afterAutospacing="1"/>
    </w:pPr>
    <w:rPr>
      <w:sz w:val="24"/>
      <w:szCs w:val="24"/>
    </w:rPr>
  </w:style>
  <w:style w:type="paragraph" w:customStyle="1" w:styleId="xl67">
    <w:name w:val="xl67"/>
    <w:basedOn w:val="Normal"/>
    <w:rsid w:val="00255832"/>
    <w:pPr>
      <w:spacing w:before="100" w:beforeAutospacing="1" w:after="100" w:afterAutospacing="1"/>
      <w:textAlignment w:val="center"/>
    </w:pPr>
    <w:rPr>
      <w:rFonts w:ascii="Arial" w:hAnsi="Arial" w:cs="Arial"/>
      <w:b/>
      <w:bCs/>
      <w:sz w:val="24"/>
      <w:szCs w:val="24"/>
    </w:rPr>
  </w:style>
  <w:style w:type="paragraph" w:customStyle="1" w:styleId="xl68">
    <w:name w:val="xl68"/>
    <w:basedOn w:val="Normal"/>
    <w:rsid w:val="00C0030A"/>
    <w:pPr>
      <w:spacing w:before="100" w:beforeAutospacing="1" w:after="100" w:afterAutospacing="1"/>
      <w:jc w:val="center"/>
      <w:textAlignment w:val="center"/>
    </w:pPr>
    <w:rPr>
      <w:b/>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4794">
      <w:bodyDiv w:val="1"/>
      <w:marLeft w:val="0"/>
      <w:marRight w:val="0"/>
      <w:marTop w:val="0"/>
      <w:marBottom w:val="0"/>
      <w:divBdr>
        <w:top w:val="none" w:sz="0" w:space="0" w:color="auto"/>
        <w:left w:val="none" w:sz="0" w:space="0" w:color="auto"/>
        <w:bottom w:val="none" w:sz="0" w:space="0" w:color="auto"/>
        <w:right w:val="none" w:sz="0" w:space="0" w:color="auto"/>
      </w:divBdr>
    </w:div>
    <w:div w:id="64497444">
      <w:bodyDiv w:val="1"/>
      <w:marLeft w:val="0"/>
      <w:marRight w:val="0"/>
      <w:marTop w:val="0"/>
      <w:marBottom w:val="0"/>
      <w:divBdr>
        <w:top w:val="none" w:sz="0" w:space="0" w:color="auto"/>
        <w:left w:val="none" w:sz="0" w:space="0" w:color="auto"/>
        <w:bottom w:val="none" w:sz="0" w:space="0" w:color="auto"/>
        <w:right w:val="none" w:sz="0" w:space="0" w:color="auto"/>
      </w:divBdr>
    </w:div>
    <w:div w:id="225410806">
      <w:bodyDiv w:val="1"/>
      <w:marLeft w:val="0"/>
      <w:marRight w:val="0"/>
      <w:marTop w:val="0"/>
      <w:marBottom w:val="0"/>
      <w:divBdr>
        <w:top w:val="none" w:sz="0" w:space="0" w:color="auto"/>
        <w:left w:val="none" w:sz="0" w:space="0" w:color="auto"/>
        <w:bottom w:val="none" w:sz="0" w:space="0" w:color="auto"/>
        <w:right w:val="none" w:sz="0" w:space="0" w:color="auto"/>
      </w:divBdr>
    </w:div>
    <w:div w:id="251625330">
      <w:bodyDiv w:val="1"/>
      <w:marLeft w:val="0"/>
      <w:marRight w:val="0"/>
      <w:marTop w:val="0"/>
      <w:marBottom w:val="0"/>
      <w:divBdr>
        <w:top w:val="none" w:sz="0" w:space="0" w:color="auto"/>
        <w:left w:val="none" w:sz="0" w:space="0" w:color="auto"/>
        <w:bottom w:val="none" w:sz="0" w:space="0" w:color="auto"/>
        <w:right w:val="none" w:sz="0" w:space="0" w:color="auto"/>
      </w:divBdr>
    </w:div>
    <w:div w:id="270862484">
      <w:bodyDiv w:val="1"/>
      <w:marLeft w:val="0"/>
      <w:marRight w:val="0"/>
      <w:marTop w:val="0"/>
      <w:marBottom w:val="0"/>
      <w:divBdr>
        <w:top w:val="none" w:sz="0" w:space="0" w:color="auto"/>
        <w:left w:val="none" w:sz="0" w:space="0" w:color="auto"/>
        <w:bottom w:val="none" w:sz="0" w:space="0" w:color="auto"/>
        <w:right w:val="none" w:sz="0" w:space="0" w:color="auto"/>
      </w:divBdr>
    </w:div>
    <w:div w:id="290668688">
      <w:bodyDiv w:val="1"/>
      <w:marLeft w:val="0"/>
      <w:marRight w:val="0"/>
      <w:marTop w:val="0"/>
      <w:marBottom w:val="0"/>
      <w:divBdr>
        <w:top w:val="none" w:sz="0" w:space="0" w:color="auto"/>
        <w:left w:val="none" w:sz="0" w:space="0" w:color="auto"/>
        <w:bottom w:val="none" w:sz="0" w:space="0" w:color="auto"/>
        <w:right w:val="none" w:sz="0" w:space="0" w:color="auto"/>
      </w:divBdr>
    </w:div>
    <w:div w:id="325666706">
      <w:bodyDiv w:val="1"/>
      <w:marLeft w:val="0"/>
      <w:marRight w:val="0"/>
      <w:marTop w:val="0"/>
      <w:marBottom w:val="0"/>
      <w:divBdr>
        <w:top w:val="none" w:sz="0" w:space="0" w:color="auto"/>
        <w:left w:val="none" w:sz="0" w:space="0" w:color="auto"/>
        <w:bottom w:val="none" w:sz="0" w:space="0" w:color="auto"/>
        <w:right w:val="none" w:sz="0" w:space="0" w:color="auto"/>
      </w:divBdr>
    </w:div>
    <w:div w:id="331958023">
      <w:bodyDiv w:val="1"/>
      <w:marLeft w:val="0"/>
      <w:marRight w:val="0"/>
      <w:marTop w:val="0"/>
      <w:marBottom w:val="0"/>
      <w:divBdr>
        <w:top w:val="none" w:sz="0" w:space="0" w:color="auto"/>
        <w:left w:val="none" w:sz="0" w:space="0" w:color="auto"/>
        <w:bottom w:val="none" w:sz="0" w:space="0" w:color="auto"/>
        <w:right w:val="none" w:sz="0" w:space="0" w:color="auto"/>
      </w:divBdr>
    </w:div>
    <w:div w:id="371804388">
      <w:bodyDiv w:val="1"/>
      <w:marLeft w:val="0"/>
      <w:marRight w:val="0"/>
      <w:marTop w:val="0"/>
      <w:marBottom w:val="0"/>
      <w:divBdr>
        <w:top w:val="none" w:sz="0" w:space="0" w:color="auto"/>
        <w:left w:val="none" w:sz="0" w:space="0" w:color="auto"/>
        <w:bottom w:val="none" w:sz="0" w:space="0" w:color="auto"/>
        <w:right w:val="none" w:sz="0" w:space="0" w:color="auto"/>
      </w:divBdr>
    </w:div>
    <w:div w:id="391928998">
      <w:bodyDiv w:val="1"/>
      <w:marLeft w:val="0"/>
      <w:marRight w:val="0"/>
      <w:marTop w:val="0"/>
      <w:marBottom w:val="0"/>
      <w:divBdr>
        <w:top w:val="none" w:sz="0" w:space="0" w:color="auto"/>
        <w:left w:val="none" w:sz="0" w:space="0" w:color="auto"/>
        <w:bottom w:val="none" w:sz="0" w:space="0" w:color="auto"/>
        <w:right w:val="none" w:sz="0" w:space="0" w:color="auto"/>
      </w:divBdr>
    </w:div>
    <w:div w:id="438529210">
      <w:bodyDiv w:val="1"/>
      <w:marLeft w:val="0"/>
      <w:marRight w:val="0"/>
      <w:marTop w:val="0"/>
      <w:marBottom w:val="0"/>
      <w:divBdr>
        <w:top w:val="none" w:sz="0" w:space="0" w:color="auto"/>
        <w:left w:val="none" w:sz="0" w:space="0" w:color="auto"/>
        <w:bottom w:val="none" w:sz="0" w:space="0" w:color="auto"/>
        <w:right w:val="none" w:sz="0" w:space="0" w:color="auto"/>
      </w:divBdr>
    </w:div>
    <w:div w:id="439573375">
      <w:bodyDiv w:val="1"/>
      <w:marLeft w:val="0"/>
      <w:marRight w:val="0"/>
      <w:marTop w:val="0"/>
      <w:marBottom w:val="0"/>
      <w:divBdr>
        <w:top w:val="none" w:sz="0" w:space="0" w:color="auto"/>
        <w:left w:val="none" w:sz="0" w:space="0" w:color="auto"/>
        <w:bottom w:val="none" w:sz="0" w:space="0" w:color="auto"/>
        <w:right w:val="none" w:sz="0" w:space="0" w:color="auto"/>
      </w:divBdr>
    </w:div>
    <w:div w:id="450830474">
      <w:bodyDiv w:val="1"/>
      <w:marLeft w:val="0"/>
      <w:marRight w:val="0"/>
      <w:marTop w:val="0"/>
      <w:marBottom w:val="0"/>
      <w:divBdr>
        <w:top w:val="none" w:sz="0" w:space="0" w:color="auto"/>
        <w:left w:val="none" w:sz="0" w:space="0" w:color="auto"/>
        <w:bottom w:val="none" w:sz="0" w:space="0" w:color="auto"/>
        <w:right w:val="none" w:sz="0" w:space="0" w:color="auto"/>
      </w:divBdr>
    </w:div>
    <w:div w:id="452482517">
      <w:bodyDiv w:val="1"/>
      <w:marLeft w:val="0"/>
      <w:marRight w:val="0"/>
      <w:marTop w:val="0"/>
      <w:marBottom w:val="0"/>
      <w:divBdr>
        <w:top w:val="none" w:sz="0" w:space="0" w:color="auto"/>
        <w:left w:val="none" w:sz="0" w:space="0" w:color="auto"/>
        <w:bottom w:val="none" w:sz="0" w:space="0" w:color="auto"/>
        <w:right w:val="none" w:sz="0" w:space="0" w:color="auto"/>
      </w:divBdr>
    </w:div>
    <w:div w:id="453015047">
      <w:bodyDiv w:val="1"/>
      <w:marLeft w:val="0"/>
      <w:marRight w:val="0"/>
      <w:marTop w:val="0"/>
      <w:marBottom w:val="0"/>
      <w:divBdr>
        <w:top w:val="none" w:sz="0" w:space="0" w:color="auto"/>
        <w:left w:val="none" w:sz="0" w:space="0" w:color="auto"/>
        <w:bottom w:val="none" w:sz="0" w:space="0" w:color="auto"/>
        <w:right w:val="none" w:sz="0" w:space="0" w:color="auto"/>
      </w:divBdr>
    </w:div>
    <w:div w:id="599992138">
      <w:bodyDiv w:val="1"/>
      <w:marLeft w:val="0"/>
      <w:marRight w:val="0"/>
      <w:marTop w:val="0"/>
      <w:marBottom w:val="0"/>
      <w:divBdr>
        <w:top w:val="none" w:sz="0" w:space="0" w:color="auto"/>
        <w:left w:val="none" w:sz="0" w:space="0" w:color="auto"/>
        <w:bottom w:val="none" w:sz="0" w:space="0" w:color="auto"/>
        <w:right w:val="none" w:sz="0" w:space="0" w:color="auto"/>
      </w:divBdr>
    </w:div>
    <w:div w:id="639304246">
      <w:bodyDiv w:val="1"/>
      <w:marLeft w:val="0"/>
      <w:marRight w:val="0"/>
      <w:marTop w:val="0"/>
      <w:marBottom w:val="0"/>
      <w:divBdr>
        <w:top w:val="none" w:sz="0" w:space="0" w:color="auto"/>
        <w:left w:val="none" w:sz="0" w:space="0" w:color="auto"/>
        <w:bottom w:val="none" w:sz="0" w:space="0" w:color="auto"/>
        <w:right w:val="none" w:sz="0" w:space="0" w:color="auto"/>
      </w:divBdr>
    </w:div>
    <w:div w:id="648023419">
      <w:bodyDiv w:val="1"/>
      <w:marLeft w:val="0"/>
      <w:marRight w:val="0"/>
      <w:marTop w:val="0"/>
      <w:marBottom w:val="0"/>
      <w:divBdr>
        <w:top w:val="none" w:sz="0" w:space="0" w:color="auto"/>
        <w:left w:val="none" w:sz="0" w:space="0" w:color="auto"/>
        <w:bottom w:val="none" w:sz="0" w:space="0" w:color="auto"/>
        <w:right w:val="none" w:sz="0" w:space="0" w:color="auto"/>
      </w:divBdr>
    </w:div>
    <w:div w:id="685449434">
      <w:bodyDiv w:val="1"/>
      <w:marLeft w:val="0"/>
      <w:marRight w:val="0"/>
      <w:marTop w:val="0"/>
      <w:marBottom w:val="0"/>
      <w:divBdr>
        <w:top w:val="none" w:sz="0" w:space="0" w:color="auto"/>
        <w:left w:val="none" w:sz="0" w:space="0" w:color="auto"/>
        <w:bottom w:val="none" w:sz="0" w:space="0" w:color="auto"/>
        <w:right w:val="none" w:sz="0" w:space="0" w:color="auto"/>
      </w:divBdr>
    </w:div>
    <w:div w:id="699352766">
      <w:bodyDiv w:val="1"/>
      <w:marLeft w:val="0"/>
      <w:marRight w:val="0"/>
      <w:marTop w:val="0"/>
      <w:marBottom w:val="0"/>
      <w:divBdr>
        <w:top w:val="none" w:sz="0" w:space="0" w:color="auto"/>
        <w:left w:val="none" w:sz="0" w:space="0" w:color="auto"/>
        <w:bottom w:val="none" w:sz="0" w:space="0" w:color="auto"/>
        <w:right w:val="none" w:sz="0" w:space="0" w:color="auto"/>
      </w:divBdr>
    </w:div>
    <w:div w:id="700861156">
      <w:bodyDiv w:val="1"/>
      <w:marLeft w:val="0"/>
      <w:marRight w:val="0"/>
      <w:marTop w:val="0"/>
      <w:marBottom w:val="0"/>
      <w:divBdr>
        <w:top w:val="none" w:sz="0" w:space="0" w:color="auto"/>
        <w:left w:val="none" w:sz="0" w:space="0" w:color="auto"/>
        <w:bottom w:val="none" w:sz="0" w:space="0" w:color="auto"/>
        <w:right w:val="none" w:sz="0" w:space="0" w:color="auto"/>
      </w:divBdr>
    </w:div>
    <w:div w:id="704407972">
      <w:bodyDiv w:val="1"/>
      <w:marLeft w:val="0"/>
      <w:marRight w:val="0"/>
      <w:marTop w:val="0"/>
      <w:marBottom w:val="0"/>
      <w:divBdr>
        <w:top w:val="none" w:sz="0" w:space="0" w:color="auto"/>
        <w:left w:val="none" w:sz="0" w:space="0" w:color="auto"/>
        <w:bottom w:val="none" w:sz="0" w:space="0" w:color="auto"/>
        <w:right w:val="none" w:sz="0" w:space="0" w:color="auto"/>
      </w:divBdr>
    </w:div>
    <w:div w:id="732656234">
      <w:bodyDiv w:val="1"/>
      <w:marLeft w:val="0"/>
      <w:marRight w:val="0"/>
      <w:marTop w:val="0"/>
      <w:marBottom w:val="0"/>
      <w:divBdr>
        <w:top w:val="none" w:sz="0" w:space="0" w:color="auto"/>
        <w:left w:val="none" w:sz="0" w:space="0" w:color="auto"/>
        <w:bottom w:val="none" w:sz="0" w:space="0" w:color="auto"/>
        <w:right w:val="none" w:sz="0" w:space="0" w:color="auto"/>
      </w:divBdr>
    </w:div>
    <w:div w:id="824857066">
      <w:bodyDiv w:val="1"/>
      <w:marLeft w:val="0"/>
      <w:marRight w:val="0"/>
      <w:marTop w:val="0"/>
      <w:marBottom w:val="0"/>
      <w:divBdr>
        <w:top w:val="none" w:sz="0" w:space="0" w:color="auto"/>
        <w:left w:val="none" w:sz="0" w:space="0" w:color="auto"/>
        <w:bottom w:val="none" w:sz="0" w:space="0" w:color="auto"/>
        <w:right w:val="none" w:sz="0" w:space="0" w:color="auto"/>
      </w:divBdr>
    </w:div>
    <w:div w:id="871891325">
      <w:bodyDiv w:val="1"/>
      <w:marLeft w:val="0"/>
      <w:marRight w:val="0"/>
      <w:marTop w:val="0"/>
      <w:marBottom w:val="0"/>
      <w:divBdr>
        <w:top w:val="none" w:sz="0" w:space="0" w:color="auto"/>
        <w:left w:val="none" w:sz="0" w:space="0" w:color="auto"/>
        <w:bottom w:val="none" w:sz="0" w:space="0" w:color="auto"/>
        <w:right w:val="none" w:sz="0" w:space="0" w:color="auto"/>
      </w:divBdr>
    </w:div>
    <w:div w:id="971522971">
      <w:bodyDiv w:val="1"/>
      <w:marLeft w:val="0"/>
      <w:marRight w:val="0"/>
      <w:marTop w:val="0"/>
      <w:marBottom w:val="0"/>
      <w:divBdr>
        <w:top w:val="none" w:sz="0" w:space="0" w:color="auto"/>
        <w:left w:val="none" w:sz="0" w:space="0" w:color="auto"/>
        <w:bottom w:val="none" w:sz="0" w:space="0" w:color="auto"/>
        <w:right w:val="none" w:sz="0" w:space="0" w:color="auto"/>
      </w:divBdr>
    </w:div>
    <w:div w:id="994143261">
      <w:bodyDiv w:val="1"/>
      <w:marLeft w:val="0"/>
      <w:marRight w:val="0"/>
      <w:marTop w:val="0"/>
      <w:marBottom w:val="0"/>
      <w:divBdr>
        <w:top w:val="none" w:sz="0" w:space="0" w:color="auto"/>
        <w:left w:val="none" w:sz="0" w:space="0" w:color="auto"/>
        <w:bottom w:val="none" w:sz="0" w:space="0" w:color="auto"/>
        <w:right w:val="none" w:sz="0" w:space="0" w:color="auto"/>
      </w:divBdr>
    </w:div>
    <w:div w:id="1062601803">
      <w:bodyDiv w:val="1"/>
      <w:marLeft w:val="0"/>
      <w:marRight w:val="0"/>
      <w:marTop w:val="0"/>
      <w:marBottom w:val="0"/>
      <w:divBdr>
        <w:top w:val="none" w:sz="0" w:space="0" w:color="auto"/>
        <w:left w:val="none" w:sz="0" w:space="0" w:color="auto"/>
        <w:bottom w:val="none" w:sz="0" w:space="0" w:color="auto"/>
        <w:right w:val="none" w:sz="0" w:space="0" w:color="auto"/>
      </w:divBdr>
    </w:div>
    <w:div w:id="1130589069">
      <w:bodyDiv w:val="1"/>
      <w:marLeft w:val="0"/>
      <w:marRight w:val="0"/>
      <w:marTop w:val="0"/>
      <w:marBottom w:val="0"/>
      <w:divBdr>
        <w:top w:val="none" w:sz="0" w:space="0" w:color="auto"/>
        <w:left w:val="none" w:sz="0" w:space="0" w:color="auto"/>
        <w:bottom w:val="none" w:sz="0" w:space="0" w:color="auto"/>
        <w:right w:val="none" w:sz="0" w:space="0" w:color="auto"/>
      </w:divBdr>
    </w:div>
    <w:div w:id="1147819611">
      <w:bodyDiv w:val="1"/>
      <w:marLeft w:val="0"/>
      <w:marRight w:val="0"/>
      <w:marTop w:val="0"/>
      <w:marBottom w:val="0"/>
      <w:divBdr>
        <w:top w:val="none" w:sz="0" w:space="0" w:color="auto"/>
        <w:left w:val="none" w:sz="0" w:space="0" w:color="auto"/>
        <w:bottom w:val="none" w:sz="0" w:space="0" w:color="auto"/>
        <w:right w:val="none" w:sz="0" w:space="0" w:color="auto"/>
      </w:divBdr>
    </w:div>
    <w:div w:id="1182008650">
      <w:bodyDiv w:val="1"/>
      <w:marLeft w:val="0"/>
      <w:marRight w:val="0"/>
      <w:marTop w:val="0"/>
      <w:marBottom w:val="0"/>
      <w:divBdr>
        <w:top w:val="none" w:sz="0" w:space="0" w:color="auto"/>
        <w:left w:val="none" w:sz="0" w:space="0" w:color="auto"/>
        <w:bottom w:val="none" w:sz="0" w:space="0" w:color="auto"/>
        <w:right w:val="none" w:sz="0" w:space="0" w:color="auto"/>
      </w:divBdr>
    </w:div>
    <w:div w:id="1243568612">
      <w:bodyDiv w:val="1"/>
      <w:marLeft w:val="0"/>
      <w:marRight w:val="0"/>
      <w:marTop w:val="0"/>
      <w:marBottom w:val="0"/>
      <w:divBdr>
        <w:top w:val="none" w:sz="0" w:space="0" w:color="auto"/>
        <w:left w:val="none" w:sz="0" w:space="0" w:color="auto"/>
        <w:bottom w:val="none" w:sz="0" w:space="0" w:color="auto"/>
        <w:right w:val="none" w:sz="0" w:space="0" w:color="auto"/>
      </w:divBdr>
    </w:div>
    <w:div w:id="1303390505">
      <w:bodyDiv w:val="1"/>
      <w:marLeft w:val="0"/>
      <w:marRight w:val="0"/>
      <w:marTop w:val="0"/>
      <w:marBottom w:val="0"/>
      <w:divBdr>
        <w:top w:val="none" w:sz="0" w:space="0" w:color="auto"/>
        <w:left w:val="none" w:sz="0" w:space="0" w:color="auto"/>
        <w:bottom w:val="none" w:sz="0" w:space="0" w:color="auto"/>
        <w:right w:val="none" w:sz="0" w:space="0" w:color="auto"/>
      </w:divBdr>
    </w:div>
    <w:div w:id="1331104237">
      <w:bodyDiv w:val="1"/>
      <w:marLeft w:val="0"/>
      <w:marRight w:val="0"/>
      <w:marTop w:val="0"/>
      <w:marBottom w:val="0"/>
      <w:divBdr>
        <w:top w:val="none" w:sz="0" w:space="0" w:color="auto"/>
        <w:left w:val="none" w:sz="0" w:space="0" w:color="auto"/>
        <w:bottom w:val="none" w:sz="0" w:space="0" w:color="auto"/>
        <w:right w:val="none" w:sz="0" w:space="0" w:color="auto"/>
      </w:divBdr>
    </w:div>
    <w:div w:id="1337735029">
      <w:bodyDiv w:val="1"/>
      <w:marLeft w:val="0"/>
      <w:marRight w:val="0"/>
      <w:marTop w:val="0"/>
      <w:marBottom w:val="0"/>
      <w:divBdr>
        <w:top w:val="none" w:sz="0" w:space="0" w:color="auto"/>
        <w:left w:val="none" w:sz="0" w:space="0" w:color="auto"/>
        <w:bottom w:val="none" w:sz="0" w:space="0" w:color="auto"/>
        <w:right w:val="none" w:sz="0" w:space="0" w:color="auto"/>
      </w:divBdr>
    </w:div>
    <w:div w:id="1350370078">
      <w:bodyDiv w:val="1"/>
      <w:marLeft w:val="0"/>
      <w:marRight w:val="0"/>
      <w:marTop w:val="0"/>
      <w:marBottom w:val="0"/>
      <w:divBdr>
        <w:top w:val="none" w:sz="0" w:space="0" w:color="auto"/>
        <w:left w:val="none" w:sz="0" w:space="0" w:color="auto"/>
        <w:bottom w:val="none" w:sz="0" w:space="0" w:color="auto"/>
        <w:right w:val="none" w:sz="0" w:space="0" w:color="auto"/>
      </w:divBdr>
    </w:div>
    <w:div w:id="1374501082">
      <w:bodyDiv w:val="1"/>
      <w:marLeft w:val="0"/>
      <w:marRight w:val="0"/>
      <w:marTop w:val="0"/>
      <w:marBottom w:val="0"/>
      <w:divBdr>
        <w:top w:val="none" w:sz="0" w:space="0" w:color="auto"/>
        <w:left w:val="none" w:sz="0" w:space="0" w:color="auto"/>
        <w:bottom w:val="none" w:sz="0" w:space="0" w:color="auto"/>
        <w:right w:val="none" w:sz="0" w:space="0" w:color="auto"/>
      </w:divBdr>
    </w:div>
    <w:div w:id="1489129582">
      <w:bodyDiv w:val="1"/>
      <w:marLeft w:val="0"/>
      <w:marRight w:val="0"/>
      <w:marTop w:val="0"/>
      <w:marBottom w:val="0"/>
      <w:divBdr>
        <w:top w:val="none" w:sz="0" w:space="0" w:color="auto"/>
        <w:left w:val="none" w:sz="0" w:space="0" w:color="auto"/>
        <w:bottom w:val="none" w:sz="0" w:space="0" w:color="auto"/>
        <w:right w:val="none" w:sz="0" w:space="0" w:color="auto"/>
      </w:divBdr>
    </w:div>
    <w:div w:id="1502117019">
      <w:bodyDiv w:val="1"/>
      <w:marLeft w:val="0"/>
      <w:marRight w:val="0"/>
      <w:marTop w:val="0"/>
      <w:marBottom w:val="0"/>
      <w:divBdr>
        <w:top w:val="none" w:sz="0" w:space="0" w:color="auto"/>
        <w:left w:val="none" w:sz="0" w:space="0" w:color="auto"/>
        <w:bottom w:val="none" w:sz="0" w:space="0" w:color="auto"/>
        <w:right w:val="none" w:sz="0" w:space="0" w:color="auto"/>
      </w:divBdr>
    </w:div>
    <w:div w:id="1634674198">
      <w:bodyDiv w:val="1"/>
      <w:marLeft w:val="0"/>
      <w:marRight w:val="0"/>
      <w:marTop w:val="0"/>
      <w:marBottom w:val="0"/>
      <w:divBdr>
        <w:top w:val="none" w:sz="0" w:space="0" w:color="auto"/>
        <w:left w:val="none" w:sz="0" w:space="0" w:color="auto"/>
        <w:bottom w:val="none" w:sz="0" w:space="0" w:color="auto"/>
        <w:right w:val="none" w:sz="0" w:space="0" w:color="auto"/>
      </w:divBdr>
    </w:div>
    <w:div w:id="1636638417">
      <w:bodyDiv w:val="1"/>
      <w:marLeft w:val="0"/>
      <w:marRight w:val="0"/>
      <w:marTop w:val="0"/>
      <w:marBottom w:val="0"/>
      <w:divBdr>
        <w:top w:val="none" w:sz="0" w:space="0" w:color="auto"/>
        <w:left w:val="none" w:sz="0" w:space="0" w:color="auto"/>
        <w:bottom w:val="none" w:sz="0" w:space="0" w:color="auto"/>
        <w:right w:val="none" w:sz="0" w:space="0" w:color="auto"/>
      </w:divBdr>
    </w:div>
    <w:div w:id="1706056491">
      <w:bodyDiv w:val="1"/>
      <w:marLeft w:val="0"/>
      <w:marRight w:val="0"/>
      <w:marTop w:val="0"/>
      <w:marBottom w:val="0"/>
      <w:divBdr>
        <w:top w:val="none" w:sz="0" w:space="0" w:color="auto"/>
        <w:left w:val="none" w:sz="0" w:space="0" w:color="auto"/>
        <w:bottom w:val="none" w:sz="0" w:space="0" w:color="auto"/>
        <w:right w:val="none" w:sz="0" w:space="0" w:color="auto"/>
      </w:divBdr>
    </w:div>
    <w:div w:id="1766262887">
      <w:bodyDiv w:val="1"/>
      <w:marLeft w:val="0"/>
      <w:marRight w:val="0"/>
      <w:marTop w:val="0"/>
      <w:marBottom w:val="0"/>
      <w:divBdr>
        <w:top w:val="none" w:sz="0" w:space="0" w:color="auto"/>
        <w:left w:val="none" w:sz="0" w:space="0" w:color="auto"/>
        <w:bottom w:val="none" w:sz="0" w:space="0" w:color="auto"/>
        <w:right w:val="none" w:sz="0" w:space="0" w:color="auto"/>
      </w:divBdr>
    </w:div>
    <w:div w:id="1869640038">
      <w:bodyDiv w:val="1"/>
      <w:marLeft w:val="0"/>
      <w:marRight w:val="0"/>
      <w:marTop w:val="0"/>
      <w:marBottom w:val="0"/>
      <w:divBdr>
        <w:top w:val="none" w:sz="0" w:space="0" w:color="auto"/>
        <w:left w:val="none" w:sz="0" w:space="0" w:color="auto"/>
        <w:bottom w:val="none" w:sz="0" w:space="0" w:color="auto"/>
        <w:right w:val="none" w:sz="0" w:space="0" w:color="auto"/>
      </w:divBdr>
    </w:div>
    <w:div w:id="1882208060">
      <w:bodyDiv w:val="1"/>
      <w:marLeft w:val="0"/>
      <w:marRight w:val="0"/>
      <w:marTop w:val="0"/>
      <w:marBottom w:val="0"/>
      <w:divBdr>
        <w:top w:val="none" w:sz="0" w:space="0" w:color="auto"/>
        <w:left w:val="none" w:sz="0" w:space="0" w:color="auto"/>
        <w:bottom w:val="none" w:sz="0" w:space="0" w:color="auto"/>
        <w:right w:val="none" w:sz="0" w:space="0" w:color="auto"/>
      </w:divBdr>
    </w:div>
    <w:div w:id="1905793318">
      <w:bodyDiv w:val="1"/>
      <w:marLeft w:val="0"/>
      <w:marRight w:val="0"/>
      <w:marTop w:val="0"/>
      <w:marBottom w:val="0"/>
      <w:divBdr>
        <w:top w:val="none" w:sz="0" w:space="0" w:color="auto"/>
        <w:left w:val="none" w:sz="0" w:space="0" w:color="auto"/>
        <w:bottom w:val="none" w:sz="0" w:space="0" w:color="auto"/>
        <w:right w:val="none" w:sz="0" w:space="0" w:color="auto"/>
      </w:divBdr>
    </w:div>
    <w:div w:id="1936130566">
      <w:bodyDiv w:val="1"/>
      <w:marLeft w:val="0"/>
      <w:marRight w:val="0"/>
      <w:marTop w:val="0"/>
      <w:marBottom w:val="0"/>
      <w:divBdr>
        <w:top w:val="none" w:sz="0" w:space="0" w:color="auto"/>
        <w:left w:val="none" w:sz="0" w:space="0" w:color="auto"/>
        <w:bottom w:val="none" w:sz="0" w:space="0" w:color="auto"/>
        <w:right w:val="none" w:sz="0" w:space="0" w:color="auto"/>
      </w:divBdr>
    </w:div>
    <w:div w:id="1946157696">
      <w:bodyDiv w:val="1"/>
      <w:marLeft w:val="0"/>
      <w:marRight w:val="0"/>
      <w:marTop w:val="0"/>
      <w:marBottom w:val="0"/>
      <w:divBdr>
        <w:top w:val="none" w:sz="0" w:space="0" w:color="auto"/>
        <w:left w:val="none" w:sz="0" w:space="0" w:color="auto"/>
        <w:bottom w:val="none" w:sz="0" w:space="0" w:color="auto"/>
        <w:right w:val="none" w:sz="0" w:space="0" w:color="auto"/>
      </w:divBdr>
    </w:div>
    <w:div w:id="1957249853">
      <w:bodyDiv w:val="1"/>
      <w:marLeft w:val="0"/>
      <w:marRight w:val="0"/>
      <w:marTop w:val="0"/>
      <w:marBottom w:val="0"/>
      <w:divBdr>
        <w:top w:val="none" w:sz="0" w:space="0" w:color="auto"/>
        <w:left w:val="none" w:sz="0" w:space="0" w:color="auto"/>
        <w:bottom w:val="none" w:sz="0" w:space="0" w:color="auto"/>
        <w:right w:val="none" w:sz="0" w:space="0" w:color="auto"/>
      </w:divBdr>
    </w:div>
    <w:div w:id="1998025634">
      <w:bodyDiv w:val="1"/>
      <w:marLeft w:val="0"/>
      <w:marRight w:val="0"/>
      <w:marTop w:val="0"/>
      <w:marBottom w:val="0"/>
      <w:divBdr>
        <w:top w:val="none" w:sz="0" w:space="0" w:color="auto"/>
        <w:left w:val="none" w:sz="0" w:space="0" w:color="auto"/>
        <w:bottom w:val="none" w:sz="0" w:space="0" w:color="auto"/>
        <w:right w:val="none" w:sz="0" w:space="0" w:color="auto"/>
      </w:divBdr>
    </w:div>
    <w:div w:id="2037805997">
      <w:bodyDiv w:val="1"/>
      <w:marLeft w:val="0"/>
      <w:marRight w:val="0"/>
      <w:marTop w:val="0"/>
      <w:marBottom w:val="0"/>
      <w:divBdr>
        <w:top w:val="none" w:sz="0" w:space="0" w:color="auto"/>
        <w:left w:val="none" w:sz="0" w:space="0" w:color="auto"/>
        <w:bottom w:val="none" w:sz="0" w:space="0" w:color="auto"/>
        <w:right w:val="none" w:sz="0" w:space="0" w:color="auto"/>
      </w:divBdr>
    </w:div>
    <w:div w:id="2038699724">
      <w:bodyDiv w:val="1"/>
      <w:marLeft w:val="0"/>
      <w:marRight w:val="0"/>
      <w:marTop w:val="0"/>
      <w:marBottom w:val="0"/>
      <w:divBdr>
        <w:top w:val="none" w:sz="0" w:space="0" w:color="auto"/>
        <w:left w:val="none" w:sz="0" w:space="0" w:color="auto"/>
        <w:bottom w:val="none" w:sz="0" w:space="0" w:color="auto"/>
        <w:right w:val="none" w:sz="0" w:space="0" w:color="auto"/>
      </w:divBdr>
    </w:div>
    <w:div w:id="2044284650">
      <w:bodyDiv w:val="1"/>
      <w:marLeft w:val="0"/>
      <w:marRight w:val="0"/>
      <w:marTop w:val="0"/>
      <w:marBottom w:val="0"/>
      <w:divBdr>
        <w:top w:val="none" w:sz="0" w:space="0" w:color="auto"/>
        <w:left w:val="none" w:sz="0" w:space="0" w:color="auto"/>
        <w:bottom w:val="none" w:sz="0" w:space="0" w:color="auto"/>
        <w:right w:val="none" w:sz="0" w:space="0" w:color="auto"/>
      </w:divBdr>
    </w:div>
    <w:div w:id="20892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legislation.gov.au/Details/C2013C00415"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yperlink" Target="http://www.austlii.edu.au/cgi-bin/viewdoc/au/legis/cth/consol_act/ca2001172/s1551.html" TargetMode="Externa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3.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26EFBF102293724BA14D3AC4224A6253" ma:contentTypeVersion="14821" ma:contentTypeDescription="" ma:contentTypeScope="" ma:versionID="e1d037d374f7a82c78c7ea459293e44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015cdfd610baefae58abc920fa79f52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2018MG-211-5218</_dlc_DocId>
    <_dlc_DocIdUrl xmlns="0f563589-9cf9-4143-b1eb-fb0534803d38">
      <Url>http://tweb/sites/mg/dp/_layouts/15/DocIdRedir.aspx?ID=2018MG-211-5218</Url>
      <Description>2018MG-211-5218</Description>
    </_dlc_DocIdUrl>
    <TaxCatchAll xmlns="0f563589-9cf9-4143-b1eb-fb0534803d38">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6615-DBBA-44BD-BBFF-E4F28B5D2760}"/>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D165FF3C-4EEE-4F1C-B398-A5096B3D0225}"/>
</file>

<file path=customXml/itemProps4.xml><?xml version="1.0" encoding="utf-8"?>
<ds:datastoreItem xmlns:ds="http://schemas.openxmlformats.org/officeDocument/2006/customXml" ds:itemID="{E484BCE1-B00C-45BB-B3CA-CEE712E03F53}">
  <ds:schemaRefs>
    <ds:schemaRef ds:uri="9f7bc583-7cbe-45b9-a2bd-8bbb6543b37e"/>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sharepoint/v4"/>
    <ds:schemaRef ds:uri="http://schemas.microsoft.com/office/2006/metadata/properties"/>
    <ds:schemaRef ds:uri="507a8a59-704d-43cf-b103-02b0cd527a9d"/>
    <ds:schemaRef ds:uri="http://www.w3.org/XML/1998/namespace"/>
    <ds:schemaRef ds:uri="http://schemas.microsoft.com/office/2006/documentManagement/types"/>
    <ds:schemaRef ds:uri="0f563589-9cf9-4143-b1eb-fb0534803d38"/>
    <ds:schemaRef ds:uri="http://purl.org/dc/dcmitype/"/>
    <ds:schemaRef ds:uri="http://purl.org/dc/elements/1.1/"/>
  </ds:schemaRefs>
</ds:datastoreItem>
</file>

<file path=customXml/itemProps5.xml><?xml version="1.0" encoding="utf-8"?>
<ds:datastoreItem xmlns:ds="http://schemas.openxmlformats.org/officeDocument/2006/customXml" ds:itemID="{0B24DCF0-F2C7-4D83-A663-3C0A4752F354}"/>
</file>

<file path=customXml/itemProps6.xml><?xml version="1.0" encoding="utf-8"?>
<ds:datastoreItem xmlns:ds="http://schemas.openxmlformats.org/officeDocument/2006/customXml" ds:itemID="{7E641FF4-0CF5-4BFC-83E2-6EE442E5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92</Pages>
  <Words>25020</Words>
  <Characters>142615</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167301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Bowd, Matthew</dc:creator>
  <cp:lastModifiedBy>Bowd, Matthew</cp:lastModifiedBy>
  <cp:revision>4</cp:revision>
  <cp:lastPrinted>2018-09-28T01:29:00Z</cp:lastPrinted>
  <dcterms:created xsi:type="dcterms:W3CDTF">2018-10-14T23:51:00Z</dcterms:created>
  <dcterms:modified xsi:type="dcterms:W3CDTF">2018-10-14T23:52:00Z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b99bfbbf-ee17-4798-af75-3aa9ffeae31b</vt:lpwstr>
  </property>
  <property fmtid="{D5CDD505-2E9C-101B-9397-08002B2CF9AE}" pid="3" name="ContentTypeId">
    <vt:lpwstr>0x010100E95D40E5DFEA714B90E88DB5CE07A6B50026EFBF102293724BA14D3AC4224A6253</vt:lpwstr>
  </property>
  <property fmtid="{D5CDD505-2E9C-101B-9397-08002B2CF9AE}" pid="4" name="TSYRecordClass">
    <vt:lpwstr>7;#TSY RA-9072 - Retain as national archives|d71911a4-1e32-4fc6-834f-26c4fc33e217</vt:lpwstr>
  </property>
  <property fmtid="{D5CDD505-2E9C-101B-9397-08002B2CF9AE}" pid="5" name="RecordPoint_ActiveItemUniqueId">
    <vt:lpwstr>{4f60a7a2-afbb-487a-adbc-0644597014f4}</vt:lpwstr>
  </property>
  <property fmtid="{D5CDD505-2E9C-101B-9397-08002B2CF9AE}" pid="6" name="RecordPoint_WorkflowType">
    <vt:lpwstr>ActiveSubmitStub</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{507a8a59-704d-43cf-b103-02b0cd527a9d}</vt:lpwstr>
  </property>
  <property fmtid="{D5CDD505-2E9C-101B-9397-08002B2CF9AE}" pid="10" name="RecordPoint_RecordNumberSubmitted">
    <vt:lpwstr>R0001907011</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_DocHome">
    <vt:i4>-1460806451</vt:i4>
  </property>
  <property fmtid="{D5CDD505-2E9C-101B-9397-08002B2CF9AE}" pid="15" name="RecordPoint_SubmissionCompleted">
    <vt:lpwstr>2018-10-15T01:16:40.4573986+11:00</vt:lpwstr>
  </property>
  <property fmtid="{D5CDD505-2E9C-101B-9397-08002B2CF9AE}" pid="16" name="_AdHocReviewCycleID">
    <vt:i4>-1140507046</vt:i4>
  </property>
  <property fmtid="{D5CDD505-2E9C-101B-9397-08002B2CF9AE}" pid="17" name="_NewReviewCycle">
    <vt:lpwstr/>
  </property>
  <property fmtid="{D5CDD505-2E9C-101B-9397-08002B2CF9AE}" pid="18" name="_EmailSubject">
    <vt:lpwstr>Tranche 2 Bill and EM</vt:lpwstr>
  </property>
  <property fmtid="{D5CDD505-2E9C-101B-9397-08002B2CF9AE}" pid="19" name="_AuthorEmail">
    <vt:lpwstr>Matthew.Bowd@TREASURY.GOV.AU</vt:lpwstr>
  </property>
  <property fmtid="{D5CDD505-2E9C-101B-9397-08002B2CF9AE}" pid="20" name="_AuthorEmailDisplayName">
    <vt:lpwstr>Bowd, Matthew</vt:lpwstr>
  </property>
</Properties>
</file>