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DD876" w14:textId="77777777" w:rsidR="000E0B74" w:rsidRPr="006D0240" w:rsidRDefault="000E0B74" w:rsidP="00C72318">
      <w:pPr>
        <w:pStyle w:val="Crest"/>
        <w:spacing w:after="3000"/>
        <w:jc w:val="right"/>
      </w:pPr>
      <w:bookmarkStart w:id="0" w:name="_GoBack"/>
      <w:bookmarkEnd w:id="0"/>
    </w:p>
    <w:p w14:paraId="6725E6B4" w14:textId="77777777" w:rsidR="00D8620B" w:rsidRDefault="00947876" w:rsidP="00947876">
      <w:pPr>
        <w:pStyle w:val="Title"/>
      </w:pPr>
      <w:r w:rsidRPr="00947876">
        <w:t>Strengthening Commercial Dealings in the Food and Grocery</w:t>
      </w:r>
      <w:r>
        <w:t> </w:t>
      </w:r>
      <w:r w:rsidRPr="00947876">
        <w:t>Industry</w:t>
      </w:r>
    </w:p>
    <w:p w14:paraId="34107E4E" w14:textId="77777777" w:rsidR="00947876" w:rsidRPr="00947876" w:rsidRDefault="00947876" w:rsidP="00947876">
      <w:pPr>
        <w:pStyle w:val="Subtitle"/>
      </w:pPr>
      <w:r w:rsidRPr="00947876">
        <w:t>Government Response to the Revi</w:t>
      </w:r>
      <w:r>
        <w:t>ew of the Food and Grocery Code </w:t>
      </w:r>
      <w:r w:rsidRPr="00947876">
        <w:t>of Conduct</w:t>
      </w:r>
    </w:p>
    <w:p w14:paraId="77CA33ED" w14:textId="69C856F7" w:rsidR="00947876" w:rsidRDefault="00740C8C" w:rsidP="00947876">
      <w:pPr>
        <w:pStyle w:val="ReportDate"/>
        <w:sectPr w:rsidR="00947876" w:rsidSect="00EB457C">
          <w:headerReference w:type="default" r:id="rId14"/>
          <w:footerReference w:type="even" r:id="rId15"/>
          <w:pgSz w:w="11906" w:h="16838"/>
          <w:pgMar w:top="1418" w:right="1418" w:bottom="1418" w:left="1418" w:header="709" w:footer="709" w:gutter="0"/>
          <w:cols w:space="720"/>
        </w:sectPr>
      </w:pPr>
      <w:r>
        <w:rPr>
          <w:rStyle w:val="ReportDateChar"/>
        </w:rPr>
        <w:t xml:space="preserve">March </w:t>
      </w:r>
      <w:r w:rsidR="00B83734" w:rsidRPr="00C067E2">
        <w:rPr>
          <w:rStyle w:val="ReportDateChar"/>
        </w:rPr>
        <w:t>201</w:t>
      </w:r>
      <w:r w:rsidR="00D8620B">
        <w:rPr>
          <w:rStyle w:val="ReportDateChar"/>
          <w:rFonts w:eastAsiaTheme="majorEastAsia"/>
        </w:rPr>
        <w:t>9</w:t>
      </w:r>
    </w:p>
    <w:p w14:paraId="2336F0C7" w14:textId="77777777" w:rsidR="00947876" w:rsidRPr="00947876" w:rsidRDefault="000D04E1" w:rsidP="00947876">
      <w:pPr>
        <w:spacing w:before="240"/>
        <w:rPr>
          <w:rFonts w:eastAsia="Calibri"/>
          <w:szCs w:val="22"/>
          <w:lang w:eastAsia="en-US"/>
        </w:rPr>
      </w:pPr>
      <w:r>
        <w:rPr>
          <w:rFonts w:eastAsia="Calibri"/>
          <w:szCs w:val="22"/>
          <w:lang w:eastAsia="en-US"/>
        </w:rPr>
        <w:lastRenderedPageBreak/>
        <w:t>© Commonwealth of Australia 2019</w:t>
      </w:r>
    </w:p>
    <w:p w14:paraId="0DBFC881" w14:textId="77777777" w:rsidR="00947876" w:rsidRPr="00947876" w:rsidRDefault="00947876" w:rsidP="00947876">
      <w:pPr>
        <w:spacing w:before="240" w:after="200" w:line="276" w:lineRule="auto"/>
        <w:rPr>
          <w:rFonts w:eastAsia="Calibri"/>
          <w:szCs w:val="22"/>
          <w:lang w:eastAsia="en-US"/>
        </w:rPr>
      </w:pPr>
      <w:r w:rsidRPr="00947876">
        <w:rPr>
          <w:rFonts w:eastAsia="Calibri"/>
          <w:szCs w:val="22"/>
          <w:lang w:eastAsia="en-US"/>
        </w:rPr>
        <w:t xml:space="preserve">ISBN: </w:t>
      </w:r>
      <w:r w:rsidR="003C67A6" w:rsidRPr="003C67A6">
        <w:rPr>
          <w:rFonts w:eastAsia="Calibri"/>
          <w:szCs w:val="22"/>
          <w:lang w:eastAsia="en-US"/>
        </w:rPr>
        <w:t>978-1-925504-95-8</w:t>
      </w:r>
    </w:p>
    <w:p w14:paraId="117BB7E9" w14:textId="77777777" w:rsidR="00947876" w:rsidRPr="00947876" w:rsidRDefault="00947876" w:rsidP="00947876">
      <w:pPr>
        <w:tabs>
          <w:tab w:val="left" w:pos="1650"/>
        </w:tabs>
        <w:spacing w:before="240" w:after="200" w:line="276" w:lineRule="auto"/>
        <w:rPr>
          <w:rFonts w:eastAsia="Calibri"/>
          <w:sz w:val="24"/>
          <w:szCs w:val="24"/>
          <w:lang w:eastAsia="en-US"/>
        </w:rPr>
      </w:pPr>
      <w:r w:rsidRPr="00947876">
        <w:rPr>
          <w:rFonts w:eastAsia="Calibri"/>
          <w:szCs w:val="22"/>
          <w:lang w:eastAsia="en-US"/>
        </w:rPr>
        <w:t>This publication is available for your use under a</w:t>
      </w:r>
      <w:r w:rsidRPr="00947876">
        <w:rPr>
          <w:rFonts w:eastAsia="Calibri" w:cs="Calibri"/>
          <w:sz w:val="24"/>
          <w:szCs w:val="24"/>
          <w:lang w:eastAsia="en-US"/>
        </w:rPr>
        <w:t xml:space="preserve"> </w:t>
      </w:r>
      <w:hyperlink r:id="rId16" w:history="1">
        <w:r w:rsidRPr="00947876">
          <w:rPr>
            <w:rFonts w:eastAsia="Calibri"/>
            <w:color w:val="004A7F"/>
            <w:szCs w:val="22"/>
            <w:lang w:eastAsia="en-US"/>
          </w:rPr>
          <w:t>Creative Commons Attribution 3.0 Australia</w:t>
        </w:r>
      </w:hyperlink>
      <w:r w:rsidRPr="00947876">
        <w:rPr>
          <w:rFonts w:eastAsia="Calibri" w:cs="Calibri"/>
          <w:sz w:val="24"/>
          <w:szCs w:val="24"/>
          <w:lang w:eastAsia="en-US"/>
        </w:rPr>
        <w:t xml:space="preserve"> </w:t>
      </w:r>
      <w:r w:rsidRPr="00947876">
        <w:rPr>
          <w:rFonts w:eastAsia="Calibri"/>
          <w:szCs w:val="22"/>
          <w:lang w:eastAsia="en-US"/>
        </w:rPr>
        <w:t>licence, with the exception of the Commonwealth Coat of Arms, the Treasury logo, photographs, images, signatures and where otherwise stated. The full licence terms are available from</w:t>
      </w:r>
      <w:r w:rsidRPr="00947876">
        <w:rPr>
          <w:rFonts w:eastAsia="Calibri" w:cs="Calibri"/>
          <w:sz w:val="24"/>
          <w:szCs w:val="24"/>
          <w:lang w:eastAsia="en-US"/>
        </w:rPr>
        <w:t xml:space="preserve"> </w:t>
      </w:r>
      <w:hyperlink r:id="rId17" w:history="1">
        <w:r w:rsidRPr="00947876">
          <w:rPr>
            <w:rFonts w:eastAsia="Calibri"/>
            <w:color w:val="004A7F"/>
            <w:szCs w:val="22"/>
            <w:lang w:eastAsia="en-US"/>
          </w:rPr>
          <w:t>http://creativecommons.org/licenses/by/3.0/au/legalcode</w:t>
        </w:r>
      </w:hyperlink>
      <w:r w:rsidRPr="00947876">
        <w:rPr>
          <w:rFonts w:eastAsia="Calibri"/>
          <w:color w:val="004A7F"/>
          <w:szCs w:val="22"/>
          <w:lang w:eastAsia="en-US"/>
        </w:rPr>
        <w:t>.</w:t>
      </w:r>
    </w:p>
    <w:p w14:paraId="524B1E37" w14:textId="77777777" w:rsidR="00947876" w:rsidRPr="00947876" w:rsidRDefault="00947876" w:rsidP="00947876">
      <w:pPr>
        <w:keepNext/>
        <w:spacing w:before="0" w:after="0"/>
        <w:rPr>
          <w:color w:val="004A7F"/>
          <w:sz w:val="20"/>
        </w:rPr>
      </w:pPr>
      <w:r w:rsidRPr="00947876">
        <w:rPr>
          <w:noProof/>
          <w:color w:val="004A7F"/>
          <w:sz w:val="20"/>
        </w:rPr>
        <w:drawing>
          <wp:inline distT="0" distB="0" distL="0" distR="0" wp14:anchorId="10AF468A" wp14:editId="2F31D9CD">
            <wp:extent cx="809625" cy="285750"/>
            <wp:effectExtent l="0" t="0" r="9525" b="0"/>
            <wp:docPr id="8"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6D30324" w14:textId="77777777" w:rsidR="00947876" w:rsidRPr="00947876" w:rsidRDefault="00947876" w:rsidP="00947876">
      <w:pPr>
        <w:tabs>
          <w:tab w:val="left" w:pos="1650"/>
        </w:tabs>
        <w:spacing w:before="240" w:after="200" w:line="276" w:lineRule="auto"/>
        <w:rPr>
          <w:rFonts w:eastAsia="Calibri"/>
          <w:szCs w:val="22"/>
          <w:lang w:eastAsia="en-US"/>
        </w:rPr>
      </w:pPr>
      <w:r w:rsidRPr="00947876">
        <w:rPr>
          <w:rFonts w:eastAsia="Calibri"/>
          <w:szCs w:val="22"/>
          <w:lang w:eastAsia="en-US"/>
        </w:rPr>
        <w:t>Use of Treasury material under a</w:t>
      </w:r>
      <w:r w:rsidRPr="00947876">
        <w:rPr>
          <w:rFonts w:eastAsia="Calibri" w:cs="Calibri"/>
          <w:sz w:val="24"/>
          <w:szCs w:val="24"/>
          <w:lang w:eastAsia="en-US"/>
        </w:rPr>
        <w:t xml:space="preserve"> </w:t>
      </w:r>
      <w:hyperlink r:id="rId19" w:history="1">
        <w:r w:rsidRPr="00947876">
          <w:rPr>
            <w:rFonts w:eastAsia="Calibri"/>
            <w:color w:val="004A7F"/>
            <w:szCs w:val="22"/>
            <w:lang w:eastAsia="en-US"/>
          </w:rPr>
          <w:t>Creative Commons Attribution 3.0 Australia</w:t>
        </w:r>
      </w:hyperlink>
      <w:r w:rsidRPr="00947876">
        <w:rPr>
          <w:rFonts w:eastAsia="Calibri"/>
          <w:color w:val="004A7F"/>
          <w:szCs w:val="22"/>
          <w:lang w:eastAsia="en-US"/>
        </w:rPr>
        <w:t xml:space="preserve"> </w:t>
      </w:r>
      <w:r w:rsidRPr="00947876">
        <w:rPr>
          <w:rFonts w:eastAsia="Calibri"/>
          <w:szCs w:val="22"/>
          <w:lang w:eastAsia="en-US"/>
        </w:rPr>
        <w:t>licence requires you to attribute the work (but not in any way that suggests that the Treasury endorses you or your use of the work).</w:t>
      </w:r>
    </w:p>
    <w:p w14:paraId="082C49C8" w14:textId="77777777" w:rsidR="00947876" w:rsidRPr="00947876" w:rsidRDefault="00947876" w:rsidP="00947876">
      <w:pPr>
        <w:spacing w:before="0" w:after="200" w:line="276" w:lineRule="auto"/>
        <w:ind w:left="709"/>
        <w:rPr>
          <w:rFonts w:eastAsia="Calibri"/>
          <w:i/>
          <w:szCs w:val="22"/>
          <w:lang w:eastAsia="en-US"/>
        </w:rPr>
      </w:pPr>
      <w:r w:rsidRPr="00947876">
        <w:rPr>
          <w:rFonts w:eastAsia="Calibri"/>
          <w:i/>
          <w:szCs w:val="22"/>
          <w:lang w:eastAsia="en-US"/>
        </w:rPr>
        <w:t>Treasury material used ‘as supplied’.</w:t>
      </w:r>
    </w:p>
    <w:p w14:paraId="26173EFF" w14:textId="77777777" w:rsidR="00947876" w:rsidRPr="00947876" w:rsidRDefault="00947876" w:rsidP="00947876">
      <w:pPr>
        <w:spacing w:before="240" w:after="200" w:line="276" w:lineRule="auto"/>
        <w:rPr>
          <w:rFonts w:eastAsia="Calibri"/>
          <w:szCs w:val="22"/>
          <w:lang w:eastAsia="en-US"/>
        </w:rPr>
      </w:pPr>
      <w:r w:rsidRPr="00947876">
        <w:rPr>
          <w:rFonts w:eastAsia="Calibri"/>
          <w:szCs w:val="22"/>
          <w:lang w:eastAsia="en-US"/>
        </w:rP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64D87F19" w14:textId="77777777" w:rsidR="00947876" w:rsidRPr="00947876" w:rsidRDefault="00947876" w:rsidP="00947876">
      <w:pPr>
        <w:spacing w:before="0" w:after="200" w:line="276" w:lineRule="auto"/>
        <w:ind w:firstLine="720"/>
        <w:rPr>
          <w:rFonts w:eastAsia="Calibri"/>
          <w:szCs w:val="22"/>
          <w:lang w:eastAsia="en-US"/>
        </w:rPr>
      </w:pPr>
      <w:r w:rsidRPr="00947876">
        <w:rPr>
          <w:rFonts w:eastAsia="Calibri"/>
          <w:i/>
          <w:szCs w:val="22"/>
          <w:lang w:eastAsia="en-US"/>
        </w:rPr>
        <w:t xml:space="preserve">Source: The </w:t>
      </w:r>
      <w:r w:rsidRPr="00947876">
        <w:rPr>
          <w:rFonts w:eastAsia="Calibri"/>
          <w:i/>
          <w:iCs/>
          <w:szCs w:val="22"/>
          <w:lang w:eastAsia="en-US"/>
        </w:rPr>
        <w:t>Australian Government the Treasury</w:t>
      </w:r>
      <w:r w:rsidRPr="00947876">
        <w:rPr>
          <w:rFonts w:eastAsia="Calibri"/>
          <w:szCs w:val="22"/>
          <w:lang w:eastAsia="en-US"/>
        </w:rPr>
        <w:t>.</w:t>
      </w:r>
    </w:p>
    <w:p w14:paraId="6090C057" w14:textId="77777777" w:rsidR="00947876" w:rsidRPr="00947876" w:rsidRDefault="00947876" w:rsidP="00947876">
      <w:pPr>
        <w:spacing w:before="240" w:after="200" w:line="276" w:lineRule="auto"/>
        <w:rPr>
          <w:rFonts w:eastAsia="Calibri"/>
          <w:szCs w:val="22"/>
          <w:lang w:eastAsia="en-US"/>
        </w:rPr>
      </w:pPr>
      <w:r w:rsidRPr="00947876">
        <w:rPr>
          <w:rFonts w:eastAsia="Calibri"/>
          <w:b/>
          <w:szCs w:val="22"/>
          <w:lang w:eastAsia="en-US"/>
        </w:rPr>
        <w:t>Derivative</w:t>
      </w:r>
      <w:r w:rsidRPr="00947876">
        <w:rPr>
          <w:rFonts w:eastAsia="Calibri"/>
          <w:szCs w:val="22"/>
          <w:lang w:eastAsia="en-US"/>
        </w:rPr>
        <w:t xml:space="preserve"> </w:t>
      </w:r>
      <w:r w:rsidRPr="00947876">
        <w:rPr>
          <w:rFonts w:eastAsia="Calibri"/>
          <w:b/>
          <w:szCs w:val="22"/>
          <w:lang w:eastAsia="en-US"/>
        </w:rPr>
        <w:t>material</w:t>
      </w:r>
    </w:p>
    <w:p w14:paraId="2C2FB6C7" w14:textId="77777777" w:rsidR="00947876" w:rsidRPr="00947876" w:rsidRDefault="00947876" w:rsidP="00947876">
      <w:pPr>
        <w:spacing w:before="0" w:after="200" w:line="276" w:lineRule="auto"/>
        <w:rPr>
          <w:rFonts w:eastAsia="Calibri"/>
          <w:szCs w:val="22"/>
          <w:lang w:eastAsia="en-US"/>
        </w:rPr>
      </w:pPr>
      <w:r w:rsidRPr="00947876">
        <w:rPr>
          <w:rFonts w:eastAsia="Calibri"/>
          <w:szCs w:val="22"/>
          <w:lang w:eastAsia="en-US"/>
        </w:rPr>
        <w:t>If you have modified or transformed Treasury material, or derived new material from those of the Treasury in any way, then Treasury prefers the following attribution:</w:t>
      </w:r>
    </w:p>
    <w:p w14:paraId="3D83BCB8" w14:textId="77777777" w:rsidR="00947876" w:rsidRPr="00947876" w:rsidRDefault="00947876" w:rsidP="00947876">
      <w:pPr>
        <w:spacing w:before="0" w:after="200" w:line="276" w:lineRule="auto"/>
        <w:ind w:firstLine="720"/>
        <w:rPr>
          <w:rFonts w:eastAsia="Calibri"/>
          <w:szCs w:val="22"/>
          <w:lang w:eastAsia="en-US"/>
        </w:rPr>
      </w:pPr>
      <w:r w:rsidRPr="00947876">
        <w:rPr>
          <w:rFonts w:eastAsia="Calibri"/>
          <w:i/>
          <w:szCs w:val="22"/>
          <w:lang w:eastAsia="en-US"/>
        </w:rPr>
        <w:t>Based on The Australian Government the Treasury data</w:t>
      </w:r>
      <w:r w:rsidRPr="00947876">
        <w:rPr>
          <w:rFonts w:eastAsia="Calibri"/>
          <w:szCs w:val="22"/>
          <w:lang w:eastAsia="en-US"/>
        </w:rPr>
        <w:t>.</w:t>
      </w:r>
    </w:p>
    <w:p w14:paraId="01EBC32D" w14:textId="77777777" w:rsidR="00947876" w:rsidRPr="00947876" w:rsidRDefault="00947876" w:rsidP="00947876">
      <w:pPr>
        <w:spacing w:before="240" w:after="200" w:line="276" w:lineRule="auto"/>
        <w:rPr>
          <w:rFonts w:eastAsia="Calibri"/>
          <w:b/>
          <w:szCs w:val="22"/>
          <w:lang w:eastAsia="en-US"/>
        </w:rPr>
      </w:pPr>
      <w:r w:rsidRPr="00947876">
        <w:rPr>
          <w:rFonts w:eastAsia="Calibri"/>
          <w:b/>
          <w:szCs w:val="22"/>
          <w:lang w:eastAsia="en-US"/>
        </w:rPr>
        <w:t>Use of the Coat of Arms</w:t>
      </w:r>
    </w:p>
    <w:p w14:paraId="4CAB5124" w14:textId="77777777" w:rsidR="00947876" w:rsidRPr="00947876" w:rsidRDefault="00947876" w:rsidP="00947876">
      <w:pPr>
        <w:spacing w:before="0" w:after="200" w:line="276" w:lineRule="auto"/>
        <w:rPr>
          <w:rFonts w:eastAsia="Calibri"/>
          <w:szCs w:val="22"/>
          <w:lang w:eastAsia="en-US"/>
        </w:rPr>
      </w:pPr>
      <w:r w:rsidRPr="00947876">
        <w:rPr>
          <w:rFonts w:eastAsia="Calibri"/>
          <w:szCs w:val="22"/>
          <w:lang w:eastAsia="en-US"/>
        </w:rPr>
        <w:t xml:space="preserve">The terms under which the Coat of Arms can be used are set out on the Department of the Prime Minister and Cabinet website (see </w:t>
      </w:r>
      <w:hyperlink r:id="rId20" w:history="1">
        <w:r w:rsidRPr="00947876">
          <w:rPr>
            <w:rFonts w:eastAsia="Calibri"/>
            <w:color w:val="004A7F"/>
            <w:szCs w:val="22"/>
            <w:lang w:eastAsia="en-US"/>
          </w:rPr>
          <w:t>www.pmc.gov.au/government/commonwealth-coat-arms</w:t>
        </w:r>
      </w:hyperlink>
      <w:r w:rsidRPr="00947876">
        <w:rPr>
          <w:rFonts w:eastAsia="Calibri"/>
          <w:szCs w:val="22"/>
          <w:lang w:eastAsia="en-US"/>
        </w:rPr>
        <w:t>).</w:t>
      </w:r>
    </w:p>
    <w:p w14:paraId="6354A9F8" w14:textId="77777777" w:rsidR="00947876" w:rsidRPr="00947876" w:rsidRDefault="00947876" w:rsidP="00947876">
      <w:pPr>
        <w:spacing w:before="240" w:after="200" w:line="276" w:lineRule="auto"/>
        <w:rPr>
          <w:rFonts w:eastAsia="Calibri"/>
          <w:b/>
          <w:szCs w:val="22"/>
          <w:lang w:eastAsia="en-US"/>
        </w:rPr>
      </w:pPr>
      <w:r w:rsidRPr="00947876">
        <w:rPr>
          <w:rFonts w:eastAsia="Calibri"/>
          <w:b/>
          <w:szCs w:val="22"/>
          <w:lang w:eastAsia="en-US"/>
        </w:rPr>
        <w:t>Other uses</w:t>
      </w:r>
    </w:p>
    <w:p w14:paraId="42098269" w14:textId="77777777" w:rsidR="00947876" w:rsidRPr="00947876" w:rsidRDefault="00947876" w:rsidP="00947876">
      <w:pPr>
        <w:spacing w:before="0" w:after="200" w:line="276" w:lineRule="auto"/>
        <w:rPr>
          <w:rFonts w:eastAsia="Calibri"/>
          <w:szCs w:val="22"/>
          <w:lang w:eastAsia="en-US"/>
        </w:rPr>
      </w:pPr>
      <w:r w:rsidRPr="00947876">
        <w:rPr>
          <w:rFonts w:eastAsia="Calibri"/>
          <w:szCs w:val="22"/>
          <w:lang w:eastAsia="en-US"/>
        </w:rPr>
        <w:t>Enquiries regarding this licence and any other use of this document are welcome at:</w:t>
      </w:r>
    </w:p>
    <w:p w14:paraId="01DCBE88" w14:textId="77777777" w:rsidR="000E0B74" w:rsidRPr="00947876" w:rsidRDefault="00947876" w:rsidP="00947876">
      <w:r w:rsidRPr="00947876">
        <w:rPr>
          <w:rFonts w:eastAsia="Calibri"/>
          <w:szCs w:val="22"/>
          <w:lang w:eastAsia="en-US"/>
        </w:rPr>
        <w:t>Manager</w:t>
      </w:r>
      <w:r w:rsidRPr="00947876">
        <w:rPr>
          <w:rFonts w:eastAsia="Calibri"/>
          <w:szCs w:val="22"/>
          <w:lang w:eastAsia="en-US"/>
        </w:rPr>
        <w:br/>
        <w:t>Media and Speeches Unit</w:t>
      </w:r>
      <w:r w:rsidRPr="00947876">
        <w:rPr>
          <w:rFonts w:eastAsia="Calibri"/>
          <w:szCs w:val="22"/>
          <w:lang w:eastAsia="en-US"/>
        </w:rPr>
        <w:br/>
        <w:t>The Treasury</w:t>
      </w:r>
      <w:r w:rsidRPr="00947876">
        <w:rPr>
          <w:rFonts w:eastAsia="Calibri"/>
          <w:szCs w:val="22"/>
          <w:lang w:eastAsia="en-US"/>
        </w:rPr>
        <w:br/>
        <w:t xml:space="preserve">Langton Crescent </w:t>
      </w:r>
      <w:r w:rsidRPr="00947876">
        <w:rPr>
          <w:rFonts w:eastAsia="Calibri"/>
          <w:szCs w:val="22"/>
          <w:lang w:eastAsia="en-US"/>
        </w:rPr>
        <w:br/>
        <w:t>Parkes  ACT  2600</w:t>
      </w:r>
      <w:r w:rsidRPr="00947876">
        <w:rPr>
          <w:rFonts w:eastAsia="Calibri"/>
          <w:szCs w:val="22"/>
          <w:lang w:eastAsia="en-US"/>
        </w:rPr>
        <w:br/>
        <w:t xml:space="preserve">Email: </w:t>
      </w:r>
      <w:hyperlink r:id="rId21" w:history="1">
        <w:r w:rsidRPr="00947876">
          <w:rPr>
            <w:rFonts w:eastAsia="Calibri"/>
            <w:color w:val="004A7F"/>
            <w:szCs w:val="22"/>
            <w:lang w:eastAsia="en-US"/>
          </w:rPr>
          <w:t>medialiaison@treasury.gov.au</w:t>
        </w:r>
      </w:hyperlink>
    </w:p>
    <w:p w14:paraId="0C86065B" w14:textId="77777777" w:rsidR="00947876" w:rsidRPr="002F1BC2" w:rsidRDefault="00947876" w:rsidP="000E0B74">
      <w:pPr>
        <w:ind w:left="720"/>
        <w:rPr>
          <w:rStyle w:val="Hyperlink"/>
        </w:rPr>
      </w:pPr>
    </w:p>
    <w:p w14:paraId="0CAE8537" w14:textId="77777777" w:rsidR="00F836F9" w:rsidRDefault="00F836F9" w:rsidP="00FC4C5D">
      <w:pPr>
        <w:pStyle w:val="Heading1"/>
        <w:sectPr w:rsidR="00F836F9" w:rsidSect="00EB457C">
          <w:footerReference w:type="default" r:id="rId22"/>
          <w:pgSz w:w="11906" w:h="16838" w:code="9"/>
          <w:pgMar w:top="1418" w:right="1418" w:bottom="1418" w:left="1418" w:header="709" w:footer="709" w:gutter="0"/>
          <w:pgNumType w:fmt="lowerRoman"/>
          <w:cols w:space="708"/>
          <w:docGrid w:linePitch="360"/>
        </w:sectPr>
      </w:pPr>
    </w:p>
    <w:p w14:paraId="1E394346" w14:textId="77777777" w:rsidR="00946E41" w:rsidRPr="00024ECD" w:rsidRDefault="00946E41" w:rsidP="00EB36F3">
      <w:pPr>
        <w:pStyle w:val="Heading1"/>
        <w:tabs>
          <w:tab w:val="left" w:pos="2340"/>
        </w:tabs>
        <w:spacing w:before="0" w:after="240"/>
        <w:rPr>
          <w:color w:val="F2F2F2" w:themeColor="background1" w:themeShade="F2"/>
        </w:rPr>
      </w:pPr>
      <w:bookmarkStart w:id="1" w:name="_Toc532896321"/>
      <w:r w:rsidRPr="00024ECD">
        <w:rPr>
          <w:color w:val="F2F2F2" w:themeColor="background1" w:themeShade="F2"/>
        </w:rPr>
        <w:lastRenderedPageBreak/>
        <w:t>Foreword</w:t>
      </w:r>
      <w:bookmarkEnd w:id="1"/>
    </w:p>
    <w:p w14:paraId="15D696C6" w14:textId="77777777" w:rsidR="00EB36F3" w:rsidRPr="00EB36F3" w:rsidRDefault="00EB36F3" w:rsidP="00EB36F3">
      <w:pPr>
        <w:spacing w:after="660"/>
        <w:rPr>
          <w:rFonts w:ascii="Calibri Light" w:hAnsi="Calibri Light"/>
          <w:color w:val="F2F2F2" w:themeColor="background1" w:themeShade="F2"/>
          <w:sz w:val="36"/>
        </w:rPr>
      </w:pPr>
      <w:r w:rsidRPr="00EB36F3">
        <w:rPr>
          <w:rFonts w:ascii="Calibri Light" w:hAnsi="Calibri Light"/>
          <w:color w:val="F2F2F2" w:themeColor="background1" w:themeShade="F2"/>
          <w:sz w:val="36"/>
        </w:rPr>
        <w:t>Healthy commercial dealings between our major supermarkets (retailers) or wholesalers and their suppliers guarantee that Australian consumers have the best choice and quality products on the shelves.</w:t>
      </w:r>
    </w:p>
    <w:p w14:paraId="6462DB4E" w14:textId="77777777" w:rsidR="00EB36F3" w:rsidRPr="00ED0986" w:rsidRDefault="00EB36F3" w:rsidP="00ED0986">
      <w:pPr>
        <w:rPr>
          <w:color w:val="F2F2F2" w:themeColor="background1" w:themeShade="F2"/>
        </w:rPr>
      </w:pPr>
      <w:r w:rsidRPr="00EB36F3">
        <w:rPr>
          <w:color w:val="F2F2F2" w:themeColor="background1" w:themeShade="F2"/>
        </w:rPr>
        <w:t>I am pleased to release the Australian Government’s response to the independent Review of the Food and Grocery Code (the review).</w:t>
      </w:r>
    </w:p>
    <w:p w14:paraId="3F843413" w14:textId="77777777" w:rsidR="00ED0986" w:rsidRPr="00ED0986" w:rsidRDefault="00D56B13" w:rsidP="00ED0986">
      <w:pPr>
        <w:rPr>
          <w:color w:val="F2F2F2" w:themeColor="background1" w:themeShade="F2"/>
        </w:rPr>
      </w:pPr>
      <w:r>
        <w:rPr>
          <w:color w:val="F2F2F2" w:themeColor="background1" w:themeShade="F2"/>
        </w:rPr>
        <w:t>T</w:t>
      </w:r>
      <w:r w:rsidR="00ED0986" w:rsidRPr="00ED0986">
        <w:rPr>
          <w:color w:val="F2F2F2" w:themeColor="background1" w:themeShade="F2"/>
        </w:rPr>
        <w:t>he Government is committed to ensuring that the right regulatory settings are in place to improve certainty, transparency and fairness between retailers/wholesalers and their suppliers</w:t>
      </w:r>
      <w:r w:rsidR="00ED0986">
        <w:rPr>
          <w:color w:val="F2F2F2" w:themeColor="background1" w:themeShade="F2"/>
        </w:rPr>
        <w:t>.</w:t>
      </w:r>
    </w:p>
    <w:p w14:paraId="4DCE9697" w14:textId="77777777" w:rsidR="00ED0986" w:rsidRPr="00ED0986" w:rsidRDefault="00ED0986" w:rsidP="00ED0986">
      <w:pPr>
        <w:rPr>
          <w:color w:val="F2F2F2" w:themeColor="background1" w:themeShade="F2"/>
        </w:rPr>
      </w:pPr>
      <w:r w:rsidRPr="00ED0986">
        <w:rPr>
          <w:color w:val="F2F2F2" w:themeColor="background1" w:themeShade="F2"/>
        </w:rPr>
        <w:t>This response outlines changes to be made to the Food and Grocery Code of Conduct (the Grocery Code) to improve its operation and meet the needs of the industry. Our response has been informed by the independent review led by Professor Graeme Samuel AC, which has involved extensive stakeholder consultations.</w:t>
      </w:r>
    </w:p>
    <w:p w14:paraId="097408F5" w14:textId="77777777" w:rsidR="00ED0986" w:rsidRDefault="00ED0986" w:rsidP="00ED0986">
      <w:pPr>
        <w:rPr>
          <w:color w:val="F2F2F2" w:themeColor="background1" w:themeShade="F2"/>
        </w:rPr>
      </w:pPr>
      <w:r w:rsidRPr="00ED0986">
        <w:rPr>
          <w:color w:val="F2F2F2" w:themeColor="background1" w:themeShade="F2"/>
        </w:rPr>
        <w:t>The Government has accepted almost all of the 14 recommendations in his report. It presents a strong case for making specific amendments to the Grocery Code that build upon the significant progress made by the industry towards changing business culture and fostering positive commercial relationships.</w:t>
      </w:r>
    </w:p>
    <w:p w14:paraId="43885A46" w14:textId="77777777" w:rsidR="00ED0986" w:rsidRPr="00F81378" w:rsidRDefault="00ED0986" w:rsidP="00ED0986">
      <w:pPr>
        <w:rPr>
          <w:color w:val="F2F2F2"/>
        </w:rPr>
      </w:pPr>
      <w:r w:rsidRPr="00F81378">
        <w:rPr>
          <w:color w:val="F2F2F2"/>
        </w:rPr>
        <w:t>The Government has listened to the industry and we intend to make a range of important changes to the Grocery Code, such as:</w:t>
      </w:r>
    </w:p>
    <w:p w14:paraId="60FBFCE7" w14:textId="77777777" w:rsidR="00ED0986" w:rsidRPr="00F81378" w:rsidRDefault="00ED0986" w:rsidP="00ED0986">
      <w:pPr>
        <w:pStyle w:val="Bullet"/>
        <w:rPr>
          <w:color w:val="F2F2F2"/>
        </w:rPr>
      </w:pPr>
      <w:r w:rsidRPr="00F81378">
        <w:rPr>
          <w:color w:val="F2F2F2"/>
        </w:rPr>
        <w:t xml:space="preserve">enhancing the </w:t>
      </w:r>
      <w:r w:rsidRPr="00F81378">
        <w:rPr>
          <w:b/>
          <w:i/>
          <w:color w:val="F2F2F2"/>
        </w:rPr>
        <w:t>good faith</w:t>
      </w:r>
      <w:r w:rsidRPr="00F81378">
        <w:rPr>
          <w:color w:val="F2F2F2"/>
        </w:rPr>
        <w:t xml:space="preserve"> obligations in the Grocery Code to make it clearer and more user friendly for the industry;</w:t>
      </w:r>
    </w:p>
    <w:p w14:paraId="3E222314" w14:textId="77777777" w:rsidR="00E046DD" w:rsidRDefault="0066259D" w:rsidP="002D5D37">
      <w:pPr>
        <w:spacing w:before="0" w:after="720"/>
        <w:jc w:val="center"/>
        <w:rPr>
          <w:color w:val="F2F2F2" w:themeColor="background1" w:themeShade="F2"/>
        </w:rPr>
      </w:pPr>
      <w:r>
        <w:rPr>
          <w:color w:val="F2F2F2" w:themeColor="background1" w:themeShade="F2"/>
        </w:rPr>
        <w:br w:type="column"/>
      </w:r>
      <w:r w:rsidR="0079307D">
        <w:rPr>
          <w:noProof/>
          <w:color w:val="F2F2F2" w:themeColor="background1" w:themeShade="F2"/>
        </w:rPr>
        <w:drawing>
          <wp:inline distT="0" distB="0" distL="0" distR="0" wp14:anchorId="267D53C2" wp14:editId="3102FB7D">
            <wp:extent cx="2294423" cy="2646311"/>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art Robert.png"/>
                    <pic:cNvPicPr/>
                  </pic:nvPicPr>
                  <pic:blipFill>
                    <a:blip r:embed="rId23">
                      <a:extLst>
                        <a:ext uri="{28A0092B-C50C-407E-A947-70E740481C1C}">
                          <a14:useLocalDpi xmlns:a14="http://schemas.microsoft.com/office/drawing/2010/main" val="0"/>
                        </a:ext>
                      </a:extLst>
                    </a:blip>
                    <a:stretch>
                      <a:fillRect/>
                    </a:stretch>
                  </pic:blipFill>
                  <pic:spPr>
                    <a:xfrm>
                      <a:off x="0" y="0"/>
                      <a:ext cx="2297423" cy="2649771"/>
                    </a:xfrm>
                    <a:prstGeom prst="rect">
                      <a:avLst/>
                    </a:prstGeom>
                  </pic:spPr>
                </pic:pic>
              </a:graphicData>
            </a:graphic>
          </wp:inline>
        </w:drawing>
      </w:r>
    </w:p>
    <w:p w14:paraId="3EA88517" w14:textId="77777777" w:rsidR="00F81378" w:rsidRPr="00F81378" w:rsidRDefault="00F81378" w:rsidP="00F81378">
      <w:pPr>
        <w:pStyle w:val="Bullet"/>
        <w:rPr>
          <w:color w:val="F2F2F2"/>
        </w:rPr>
      </w:pPr>
      <w:r w:rsidRPr="00F81378">
        <w:rPr>
          <w:color w:val="F2F2F2"/>
        </w:rPr>
        <w:t xml:space="preserve">strengthening the </w:t>
      </w:r>
      <w:r w:rsidRPr="00F81378">
        <w:rPr>
          <w:b/>
          <w:i/>
          <w:color w:val="F2F2F2"/>
        </w:rPr>
        <w:t>dispute resolution</w:t>
      </w:r>
      <w:r w:rsidRPr="00F81378">
        <w:rPr>
          <w:color w:val="F2F2F2"/>
        </w:rPr>
        <w:t xml:space="preserve"> procedures to give suppliers more confidence in raising their complaints and having them resolved; and</w:t>
      </w:r>
    </w:p>
    <w:p w14:paraId="6206A07D" w14:textId="77777777" w:rsidR="00F81378" w:rsidRPr="00F81378" w:rsidRDefault="00F81378" w:rsidP="00F81378">
      <w:pPr>
        <w:pStyle w:val="Bullet"/>
        <w:rPr>
          <w:color w:val="F2F2F2"/>
        </w:rPr>
      </w:pPr>
      <w:r w:rsidRPr="00F81378">
        <w:rPr>
          <w:color w:val="F2F2F2"/>
        </w:rPr>
        <w:t xml:space="preserve">setting limits on acceptable conduct during </w:t>
      </w:r>
      <w:r w:rsidRPr="00F81378">
        <w:rPr>
          <w:b/>
          <w:i/>
          <w:color w:val="F2F2F2"/>
        </w:rPr>
        <w:t xml:space="preserve">price rise </w:t>
      </w:r>
      <w:r w:rsidRPr="00F81378">
        <w:rPr>
          <w:color w:val="F2F2F2"/>
        </w:rPr>
        <w:t>negotiations between the parties to restore trust and cooperation between parties.</w:t>
      </w:r>
    </w:p>
    <w:p w14:paraId="3347D326" w14:textId="77777777" w:rsidR="00E046DD" w:rsidRPr="00E046DD" w:rsidRDefault="00E046DD" w:rsidP="00E046DD">
      <w:pPr>
        <w:rPr>
          <w:color w:val="F2F2F2" w:themeColor="background1" w:themeShade="F2"/>
        </w:rPr>
      </w:pPr>
      <w:r w:rsidRPr="00E046DD">
        <w:rPr>
          <w:color w:val="F2F2F2" w:themeColor="background1" w:themeShade="F2"/>
        </w:rPr>
        <w:t>I am confident that this approach will cultivate a competitive and sustainable grocery industry that will deliver benefits across the wider community.</w:t>
      </w:r>
    </w:p>
    <w:p w14:paraId="657C1652" w14:textId="77777777" w:rsidR="00024ECD" w:rsidRDefault="00E046DD" w:rsidP="00E046DD">
      <w:pPr>
        <w:rPr>
          <w:color w:val="F2F2F2" w:themeColor="background1" w:themeShade="F2"/>
        </w:rPr>
      </w:pPr>
      <w:r w:rsidRPr="00E046DD">
        <w:rPr>
          <w:color w:val="F2F2F2" w:themeColor="background1" w:themeShade="F2"/>
        </w:rPr>
        <w:t>I wish to thank Professor Samuel and his team for their productive engagement with the industry and valuable contribution towards shaping our food and grocery regulation. I would also like to thank all the businesses that gave their time during the review and Government consultations process.</w:t>
      </w:r>
    </w:p>
    <w:p w14:paraId="6471267F" w14:textId="77777777" w:rsidR="00E046DD" w:rsidRPr="00E046DD" w:rsidRDefault="00E046DD" w:rsidP="00E046DD">
      <w:pPr>
        <w:rPr>
          <w:color w:val="F2F2F2" w:themeColor="background1" w:themeShade="F2"/>
        </w:rPr>
      </w:pPr>
      <w:r w:rsidRPr="00E046DD">
        <w:rPr>
          <w:color w:val="F2F2F2" w:themeColor="background1" w:themeShade="F2"/>
        </w:rPr>
        <w:t xml:space="preserve">I look forward to continuing to work closely with you to implement these important changes to this industry-led initiative. </w:t>
      </w:r>
    </w:p>
    <w:p w14:paraId="63DEC6C1" w14:textId="77777777" w:rsidR="00E046DD" w:rsidRPr="00E046DD" w:rsidRDefault="00E046DD" w:rsidP="00E046DD">
      <w:pPr>
        <w:rPr>
          <w:color w:val="F2F2F2" w:themeColor="background1" w:themeShade="F2"/>
        </w:rPr>
      </w:pPr>
    </w:p>
    <w:p w14:paraId="747BB42D" w14:textId="77777777" w:rsidR="00E046DD" w:rsidRPr="00E046DD" w:rsidRDefault="00E046DD" w:rsidP="00E046DD">
      <w:pPr>
        <w:rPr>
          <w:color w:val="F2F2F2" w:themeColor="background1" w:themeShade="F2"/>
        </w:rPr>
      </w:pPr>
    </w:p>
    <w:p w14:paraId="48BC08ED" w14:textId="77777777" w:rsidR="00E046DD" w:rsidRPr="00E046DD" w:rsidRDefault="00E046DD" w:rsidP="00E046DD">
      <w:pPr>
        <w:rPr>
          <w:color w:val="F2F2F2" w:themeColor="background1" w:themeShade="F2"/>
        </w:rPr>
      </w:pPr>
      <w:r w:rsidRPr="00E046DD">
        <w:rPr>
          <w:color w:val="F2F2F2" w:themeColor="background1" w:themeShade="F2"/>
        </w:rPr>
        <w:t>The Hon Stuart Robert MP</w:t>
      </w:r>
    </w:p>
    <w:p w14:paraId="70AF3932" w14:textId="77777777" w:rsidR="00E046DD" w:rsidRDefault="00E046DD" w:rsidP="00E046DD">
      <w:pPr>
        <w:rPr>
          <w:color w:val="F2F2F2" w:themeColor="background1" w:themeShade="F2"/>
        </w:rPr>
      </w:pPr>
      <w:r w:rsidRPr="00E046DD">
        <w:rPr>
          <w:color w:val="F2F2F2" w:themeColor="background1" w:themeShade="F2"/>
        </w:rPr>
        <w:t>Assistant Treasurer</w:t>
      </w:r>
    </w:p>
    <w:p w14:paraId="0D322FD9" w14:textId="77777777" w:rsidR="00E046DD" w:rsidRPr="00946E41" w:rsidRDefault="00E046DD" w:rsidP="00024ECD">
      <w:pPr>
        <w:rPr>
          <w:color w:val="F2F2F2" w:themeColor="background1" w:themeShade="F2"/>
        </w:rPr>
      </w:pPr>
    </w:p>
    <w:p w14:paraId="596254E6" w14:textId="77777777" w:rsidR="00946E41" w:rsidRDefault="00946E41">
      <w:pPr>
        <w:spacing w:before="0" w:after="160" w:line="259" w:lineRule="auto"/>
        <w:sectPr w:rsidR="00946E41" w:rsidSect="000267E0">
          <w:headerReference w:type="default" r:id="rId24"/>
          <w:type w:val="continuous"/>
          <w:pgSz w:w="11906" w:h="16838" w:code="9"/>
          <w:pgMar w:top="1418" w:right="1134" w:bottom="1418" w:left="1134" w:header="709" w:footer="709" w:gutter="0"/>
          <w:pgNumType w:start="1"/>
          <w:cols w:num="2" w:space="568"/>
          <w:docGrid w:linePitch="360"/>
        </w:sectPr>
      </w:pPr>
    </w:p>
    <w:p w14:paraId="2C5FD6D2" w14:textId="77777777" w:rsidR="002B09B7" w:rsidRPr="001E6A73" w:rsidRDefault="009D22DC" w:rsidP="002B09B7">
      <w:pPr>
        <w:pStyle w:val="Heading1"/>
        <w:rPr>
          <w:color w:val="003150"/>
        </w:rPr>
      </w:pPr>
      <w:r w:rsidRPr="001E6A73">
        <w:rPr>
          <w:color w:val="003150"/>
        </w:rPr>
        <w:t>Government response</w:t>
      </w:r>
    </w:p>
    <w:p w14:paraId="73C0F2E7" w14:textId="77777777" w:rsidR="002B09B7" w:rsidRPr="001E6A73" w:rsidRDefault="002B09B7" w:rsidP="00757046">
      <w:pPr>
        <w:pStyle w:val="Heading2"/>
        <w:spacing w:after="360"/>
        <w:rPr>
          <w:color w:val="0084BC"/>
        </w:rPr>
      </w:pPr>
      <w:r w:rsidRPr="001E6A73">
        <w:rPr>
          <w:color w:val="0084BC"/>
        </w:rPr>
        <w:t>Government</w:t>
      </w:r>
      <w:r w:rsidR="00B51C73" w:rsidRPr="001E6A73">
        <w:rPr>
          <w:color w:val="0084BC"/>
        </w:rPr>
        <w:t xml:space="preserve"> Response to the Review of the Food and Grocery Code</w:t>
      </w:r>
    </w:p>
    <w:tbl>
      <w:tblPr>
        <w:tblStyle w:val="TableGrid1"/>
        <w:tblW w:w="14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8930"/>
      </w:tblGrid>
      <w:tr w:rsidR="00E55BA8" w:rsidRPr="00E55BA8" w14:paraId="3E7D252B" w14:textId="77777777" w:rsidTr="007C4A7C">
        <w:trPr>
          <w:cnfStyle w:val="100000000000" w:firstRow="1" w:lastRow="0" w:firstColumn="0" w:lastColumn="0" w:oddVBand="0" w:evenVBand="0" w:oddHBand="0" w:evenHBand="0" w:firstRowFirstColumn="0" w:firstRowLastColumn="0" w:lastRowFirstColumn="0" w:lastRowLastColumn="0"/>
          <w:cantSplit/>
          <w:tblHeader/>
        </w:trPr>
        <w:tc>
          <w:tcPr>
            <w:tcW w:w="5353" w:type="dxa"/>
            <w:shd w:val="clear" w:color="auto" w:fill="0072BB"/>
          </w:tcPr>
          <w:p w14:paraId="4C338619" w14:textId="77777777" w:rsidR="00E55BA8" w:rsidRPr="00877A8E" w:rsidRDefault="00E923F2" w:rsidP="00877A8E">
            <w:pPr>
              <w:jc w:val="center"/>
              <w:rPr>
                <w:color w:val="0072BB"/>
                <w:sz w:val="22"/>
                <w:szCs w:val="22"/>
              </w:rPr>
            </w:pPr>
            <w:r w:rsidRPr="00877A8E">
              <w:rPr>
                <w:szCs w:val="24"/>
              </w:rPr>
              <w:t xml:space="preserve">Review </w:t>
            </w:r>
            <w:r w:rsidR="00E55BA8" w:rsidRPr="00877A8E">
              <w:rPr>
                <w:szCs w:val="24"/>
              </w:rPr>
              <w:t>Recommendation</w:t>
            </w:r>
          </w:p>
        </w:tc>
        <w:tc>
          <w:tcPr>
            <w:tcW w:w="8930" w:type="dxa"/>
            <w:shd w:val="clear" w:color="auto" w:fill="002060"/>
          </w:tcPr>
          <w:p w14:paraId="6FAC426C" w14:textId="77777777" w:rsidR="00E55BA8" w:rsidRPr="00877A8E" w:rsidRDefault="00E55BA8" w:rsidP="00877A8E">
            <w:pPr>
              <w:jc w:val="center"/>
              <w:rPr>
                <w:szCs w:val="24"/>
              </w:rPr>
            </w:pPr>
            <w:r w:rsidRPr="00877A8E">
              <w:rPr>
                <w:szCs w:val="24"/>
              </w:rPr>
              <w:t>Government response</w:t>
            </w:r>
          </w:p>
        </w:tc>
      </w:tr>
      <w:tr w:rsidR="00E55BA8" w:rsidRPr="00E55BA8" w14:paraId="2F420EB5" w14:textId="77777777" w:rsidTr="003C31BD">
        <w:trPr>
          <w:cantSplit/>
        </w:trPr>
        <w:tc>
          <w:tcPr>
            <w:tcW w:w="5353" w:type="dxa"/>
            <w:tcBorders>
              <w:bottom w:val="single" w:sz="4" w:space="0" w:color="B2B3B5" w:themeColor="accent4" w:themeTint="99"/>
            </w:tcBorders>
          </w:tcPr>
          <w:p w14:paraId="6207A6BB" w14:textId="77777777" w:rsidR="00E55BA8" w:rsidRPr="00877A8E" w:rsidRDefault="007C4A7C" w:rsidP="00877A8E">
            <w:pPr>
              <w:rPr>
                <w:rFonts w:cs="Arial"/>
                <w:b/>
                <w:color w:val="0072BB"/>
                <w:kern w:val="32"/>
                <w:szCs w:val="22"/>
              </w:rPr>
            </w:pPr>
            <w:r w:rsidRPr="00877A8E">
              <w:rPr>
                <w:rFonts w:cs="Arial"/>
                <w:b/>
                <w:color w:val="0072BB"/>
                <w:kern w:val="32"/>
                <w:szCs w:val="22"/>
              </w:rPr>
              <w:t>Recommendation 1</w:t>
            </w:r>
          </w:p>
          <w:p w14:paraId="5A94320B" w14:textId="77777777" w:rsidR="007C4A7C" w:rsidRPr="00877A8E" w:rsidRDefault="007C4A7C" w:rsidP="00877A8E">
            <w:pPr>
              <w:rPr>
                <w:color w:val="0072BB"/>
                <w:szCs w:val="22"/>
              </w:rPr>
            </w:pPr>
            <w:r w:rsidRPr="00877A8E">
              <w:rPr>
                <w:color w:val="0072BB"/>
                <w:szCs w:val="22"/>
              </w:rPr>
              <w:t>The Grocery Code should remain as a prescribed voluntary code.</w:t>
            </w:r>
          </w:p>
          <w:p w14:paraId="0250AF3C" w14:textId="77777777" w:rsidR="00E55BA8" w:rsidRPr="00877A8E" w:rsidRDefault="007C4A7C" w:rsidP="00877A8E">
            <w:pPr>
              <w:rPr>
                <w:color w:val="0072BB"/>
                <w:szCs w:val="22"/>
              </w:rPr>
            </w:pPr>
            <w:r w:rsidRPr="00877A8E">
              <w:rPr>
                <w:color w:val="0072BB"/>
                <w:szCs w:val="22"/>
              </w:rPr>
              <w:t>The Government should consider introducing a targeted mandatory code for industry participants with significant market power that refuse to become signatories.</w:t>
            </w:r>
          </w:p>
        </w:tc>
        <w:tc>
          <w:tcPr>
            <w:tcW w:w="8930" w:type="dxa"/>
            <w:tcBorders>
              <w:bottom w:val="single" w:sz="4" w:space="0" w:color="B2B3B5" w:themeColor="accent4" w:themeTint="99"/>
            </w:tcBorders>
          </w:tcPr>
          <w:p w14:paraId="6C5F3F1A" w14:textId="77777777" w:rsidR="007C4A7C" w:rsidRPr="00877A8E" w:rsidRDefault="007C4A7C" w:rsidP="00877A8E">
            <w:pPr>
              <w:rPr>
                <w:b/>
                <w:color w:val="002060"/>
                <w:szCs w:val="22"/>
              </w:rPr>
            </w:pPr>
            <w:r w:rsidRPr="00877A8E">
              <w:rPr>
                <w:b/>
                <w:color w:val="002060"/>
                <w:szCs w:val="22"/>
              </w:rPr>
              <w:t>Agreed</w:t>
            </w:r>
          </w:p>
          <w:p w14:paraId="1D04AC08" w14:textId="77777777" w:rsidR="007C4A7C" w:rsidRPr="00877A8E" w:rsidRDefault="007C4A7C" w:rsidP="00877A8E">
            <w:pPr>
              <w:rPr>
                <w:color w:val="002060"/>
                <w:szCs w:val="22"/>
              </w:rPr>
            </w:pPr>
            <w:r w:rsidRPr="00877A8E">
              <w:rPr>
                <w:color w:val="002060"/>
                <w:szCs w:val="22"/>
              </w:rPr>
              <w:t>The Government agrees that the Grocery Code should remain as a voluntary industry code of conduct.</w:t>
            </w:r>
          </w:p>
          <w:p w14:paraId="57486262" w14:textId="77777777" w:rsidR="007C4A7C" w:rsidRPr="00877A8E" w:rsidRDefault="007C4A7C" w:rsidP="00877A8E">
            <w:pPr>
              <w:rPr>
                <w:color w:val="002060"/>
                <w:szCs w:val="22"/>
              </w:rPr>
            </w:pPr>
            <w:r w:rsidRPr="00877A8E">
              <w:rPr>
                <w:color w:val="002060"/>
                <w:szCs w:val="22"/>
              </w:rPr>
              <w:t>A voluntary commitment by retailers and wholesalers is the most effective way of nurturing a sustained culture of fair commercial dealings across the food and grocery industry.</w:t>
            </w:r>
          </w:p>
          <w:p w14:paraId="0EF31B47" w14:textId="77777777" w:rsidR="007C4A7C" w:rsidRPr="00877A8E" w:rsidRDefault="007C4A7C" w:rsidP="00877A8E">
            <w:pPr>
              <w:rPr>
                <w:color w:val="002060"/>
                <w:szCs w:val="22"/>
              </w:rPr>
            </w:pPr>
            <w:r w:rsidRPr="00877A8E">
              <w:rPr>
                <w:color w:val="002060"/>
                <w:szCs w:val="22"/>
              </w:rPr>
              <w:t>The Government believes that incumbent retailers or wholesalers and new entrants that reach a position of power and dominance in the Australian market should become signatories to the Grocery Code.</w:t>
            </w:r>
          </w:p>
          <w:p w14:paraId="1F6A25D2" w14:textId="77777777" w:rsidR="007C4A7C" w:rsidRPr="00877A8E" w:rsidRDefault="007C4A7C" w:rsidP="00877A8E">
            <w:pPr>
              <w:rPr>
                <w:color w:val="002060"/>
                <w:szCs w:val="22"/>
              </w:rPr>
            </w:pPr>
            <w:r w:rsidRPr="00877A8E">
              <w:rPr>
                <w:color w:val="002060"/>
                <w:szCs w:val="22"/>
              </w:rPr>
              <w:t>The Grocery Code will specify thresholds, above which retailers/wholesalers would be expected to sign up to the Grocery Code. The thresholds will be set at $5 billion in annual revenue or five per cent of market share (whichever is reached first).</w:t>
            </w:r>
          </w:p>
          <w:p w14:paraId="4639B784" w14:textId="77777777" w:rsidR="00E55BA8" w:rsidRPr="00877A8E" w:rsidRDefault="007C4A7C" w:rsidP="00F633CD">
            <w:pPr>
              <w:spacing w:after="240"/>
              <w:rPr>
                <w:color w:val="002060"/>
                <w:szCs w:val="22"/>
              </w:rPr>
            </w:pPr>
            <w:r w:rsidRPr="00877A8E">
              <w:rPr>
                <w:color w:val="002060"/>
                <w:szCs w:val="22"/>
              </w:rPr>
              <w:t>The Government is confident that this industry-led approach will deliver the best outcomes for suppliers and consumers. Metcash, Australia’s major wholesaler, has recently given an undertaking to become a signatory to the amended Grocery Code.</w:t>
            </w:r>
          </w:p>
        </w:tc>
      </w:tr>
      <w:tr w:rsidR="00E55BA8" w:rsidRPr="00E55BA8" w14:paraId="2244661A" w14:textId="77777777" w:rsidTr="003C31BD">
        <w:trPr>
          <w:cantSplit/>
        </w:trPr>
        <w:tc>
          <w:tcPr>
            <w:tcW w:w="5353" w:type="dxa"/>
            <w:tcBorders>
              <w:top w:val="single" w:sz="4" w:space="0" w:color="B2B3B5" w:themeColor="accent4" w:themeTint="99"/>
              <w:bottom w:val="single" w:sz="4" w:space="0" w:color="B2B3B5" w:themeColor="accent4" w:themeTint="99"/>
            </w:tcBorders>
          </w:tcPr>
          <w:p w14:paraId="143B01BC" w14:textId="77777777" w:rsidR="00D71BAC" w:rsidRPr="00877A8E" w:rsidRDefault="00D71BAC" w:rsidP="00877A8E">
            <w:pPr>
              <w:rPr>
                <w:rFonts w:cs="Arial"/>
                <w:b/>
                <w:color w:val="0072BB"/>
                <w:kern w:val="32"/>
                <w:szCs w:val="22"/>
              </w:rPr>
            </w:pPr>
            <w:r w:rsidRPr="00877A8E">
              <w:rPr>
                <w:rFonts w:cs="Arial"/>
                <w:b/>
                <w:color w:val="0072BB"/>
                <w:kern w:val="32"/>
                <w:szCs w:val="22"/>
              </w:rPr>
              <w:t>Recommendation 2</w:t>
            </w:r>
          </w:p>
          <w:p w14:paraId="36BE43D1" w14:textId="77777777" w:rsidR="00E55BA8" w:rsidRPr="00877A8E" w:rsidRDefault="00D71BAC" w:rsidP="00877A8E">
            <w:pPr>
              <w:rPr>
                <w:rFonts w:cs="Arial"/>
                <w:color w:val="0072BB"/>
                <w:kern w:val="32"/>
                <w:szCs w:val="22"/>
              </w:rPr>
            </w:pPr>
            <w:r w:rsidRPr="00877A8E">
              <w:rPr>
                <w:rFonts w:cs="Arial"/>
                <w:color w:val="0072BB"/>
                <w:kern w:val="32"/>
                <w:szCs w:val="22"/>
              </w:rPr>
              <w:t>The Grocery Code should be amended so that wholesalers are subject to the same Grocery Code obligations as retailers (including the general conduct provisions in Part 3), except for customer facing provisions that are only relevant to retailers.</w:t>
            </w:r>
          </w:p>
        </w:tc>
        <w:tc>
          <w:tcPr>
            <w:tcW w:w="8930" w:type="dxa"/>
            <w:tcBorders>
              <w:top w:val="single" w:sz="4" w:space="0" w:color="B2B3B5" w:themeColor="accent4" w:themeTint="99"/>
              <w:bottom w:val="single" w:sz="4" w:space="0" w:color="B2B3B5" w:themeColor="accent4" w:themeTint="99"/>
            </w:tcBorders>
          </w:tcPr>
          <w:p w14:paraId="3C3C7D72" w14:textId="77777777" w:rsidR="00D71BAC" w:rsidRPr="00877A8E" w:rsidRDefault="00D71BAC" w:rsidP="00877A8E">
            <w:pPr>
              <w:rPr>
                <w:b/>
                <w:color w:val="002060"/>
                <w:szCs w:val="22"/>
              </w:rPr>
            </w:pPr>
            <w:r w:rsidRPr="00877A8E">
              <w:rPr>
                <w:b/>
                <w:color w:val="002060"/>
                <w:szCs w:val="22"/>
              </w:rPr>
              <w:t>Agreed</w:t>
            </w:r>
          </w:p>
          <w:p w14:paraId="77A5540E" w14:textId="77777777" w:rsidR="00D71BAC" w:rsidRPr="00877A8E" w:rsidRDefault="00D71BAC" w:rsidP="00877A8E">
            <w:pPr>
              <w:rPr>
                <w:color w:val="002060"/>
                <w:szCs w:val="22"/>
              </w:rPr>
            </w:pPr>
            <w:r w:rsidRPr="00877A8E">
              <w:rPr>
                <w:color w:val="002060"/>
                <w:szCs w:val="22"/>
              </w:rPr>
              <w:t>The Government agrees that suppliers should be afforded the same protections under the Grocery Code regardless of whether they are supplying to a major retailer or wholesaler.</w:t>
            </w:r>
          </w:p>
          <w:p w14:paraId="1C968E88" w14:textId="77777777" w:rsidR="00D71BAC" w:rsidRPr="00877A8E" w:rsidRDefault="00D71BAC" w:rsidP="00877A8E">
            <w:pPr>
              <w:rPr>
                <w:color w:val="002060"/>
                <w:szCs w:val="22"/>
              </w:rPr>
            </w:pPr>
            <w:r w:rsidRPr="00877A8E">
              <w:rPr>
                <w:color w:val="002060"/>
                <w:szCs w:val="22"/>
              </w:rPr>
              <w:t xml:space="preserve">The Government recognises that certain provisions in Part 3 of the </w:t>
            </w:r>
            <w:r w:rsidR="005219FB">
              <w:rPr>
                <w:color w:val="002060"/>
                <w:szCs w:val="22"/>
              </w:rPr>
              <w:t xml:space="preserve">Grocery </w:t>
            </w:r>
            <w:r w:rsidRPr="00877A8E">
              <w:rPr>
                <w:color w:val="002060"/>
                <w:szCs w:val="22"/>
              </w:rPr>
              <w:t>Code need to be modified to better align with the wholesaling business model. For example, wholesalers will be exempt from requirements that relate to shelf space.</w:t>
            </w:r>
          </w:p>
          <w:p w14:paraId="56E6AB08" w14:textId="77777777" w:rsidR="00D71BAC" w:rsidRPr="00877A8E" w:rsidRDefault="00D71BAC" w:rsidP="00877A8E">
            <w:pPr>
              <w:rPr>
                <w:color w:val="002060"/>
                <w:szCs w:val="22"/>
              </w:rPr>
            </w:pPr>
            <w:r w:rsidRPr="00877A8E">
              <w:rPr>
                <w:color w:val="002060"/>
                <w:szCs w:val="22"/>
              </w:rPr>
              <w:t>Wholesalers that sign up to the Grocery Code will be given a transitional period of 12 months before provisions relating to contracting practices apply. This will allow sufficient time for wholesalers to renegotiate existing contracts with suppliers to become code compliant.</w:t>
            </w:r>
          </w:p>
          <w:p w14:paraId="6A3C3183" w14:textId="4D11289E" w:rsidR="00E55BA8" w:rsidRPr="00877A8E" w:rsidRDefault="00D71BAC" w:rsidP="00C157BF">
            <w:pPr>
              <w:spacing w:after="240"/>
              <w:rPr>
                <w:color w:val="002060"/>
                <w:szCs w:val="22"/>
              </w:rPr>
            </w:pPr>
            <w:r w:rsidRPr="00877A8E">
              <w:rPr>
                <w:color w:val="002060"/>
                <w:szCs w:val="22"/>
              </w:rPr>
              <w:t>Provisions relating to good faith will take effect immediately upon a wholesaler becoming a signatory to the Grocery Code</w:t>
            </w:r>
            <w:r w:rsidR="00333A89">
              <w:rPr>
                <w:color w:val="002060"/>
                <w:szCs w:val="22"/>
              </w:rPr>
              <w:t xml:space="preserve">, and access to </w:t>
            </w:r>
            <w:r w:rsidR="00C157BF">
              <w:rPr>
                <w:color w:val="002060"/>
                <w:szCs w:val="22"/>
              </w:rPr>
              <w:t xml:space="preserve">the new </w:t>
            </w:r>
            <w:r w:rsidR="00333A89">
              <w:rPr>
                <w:color w:val="002060"/>
                <w:szCs w:val="22"/>
              </w:rPr>
              <w:t xml:space="preserve">dispute resolution mechanisms to take effect after </w:t>
            </w:r>
            <w:r w:rsidR="001E6CD7">
              <w:rPr>
                <w:color w:val="002060"/>
                <w:szCs w:val="22"/>
              </w:rPr>
              <w:t>six</w:t>
            </w:r>
            <w:r w:rsidR="00333A89">
              <w:rPr>
                <w:color w:val="002060"/>
                <w:szCs w:val="22"/>
              </w:rPr>
              <w:t xml:space="preserve"> months</w:t>
            </w:r>
            <w:r w:rsidRPr="00877A8E">
              <w:rPr>
                <w:color w:val="002060"/>
                <w:szCs w:val="22"/>
              </w:rPr>
              <w:t>.</w:t>
            </w:r>
          </w:p>
        </w:tc>
      </w:tr>
      <w:tr w:rsidR="00E55BA8" w:rsidRPr="00E55BA8" w14:paraId="2D238DFB" w14:textId="77777777" w:rsidTr="003C31BD">
        <w:trPr>
          <w:cantSplit/>
        </w:trPr>
        <w:tc>
          <w:tcPr>
            <w:tcW w:w="5353" w:type="dxa"/>
            <w:tcBorders>
              <w:top w:val="single" w:sz="4" w:space="0" w:color="B2B3B5" w:themeColor="accent4" w:themeTint="99"/>
              <w:bottom w:val="single" w:sz="4" w:space="0" w:color="B2B3B5" w:themeColor="accent4" w:themeTint="99"/>
            </w:tcBorders>
          </w:tcPr>
          <w:p w14:paraId="350DC26C" w14:textId="77777777" w:rsidR="00D71BAC" w:rsidRPr="00877A8E" w:rsidRDefault="00D71BAC" w:rsidP="00877A8E">
            <w:pPr>
              <w:rPr>
                <w:rFonts w:cs="Arial"/>
                <w:b/>
                <w:color w:val="0072BB"/>
                <w:kern w:val="32"/>
                <w:szCs w:val="22"/>
              </w:rPr>
            </w:pPr>
            <w:r w:rsidRPr="00877A8E">
              <w:rPr>
                <w:rFonts w:cs="Arial"/>
                <w:b/>
                <w:color w:val="0072BB"/>
                <w:kern w:val="32"/>
                <w:szCs w:val="22"/>
              </w:rPr>
              <w:t>Recommendation 3</w:t>
            </w:r>
          </w:p>
          <w:p w14:paraId="6BE86DF1" w14:textId="77777777" w:rsidR="00E55BA8" w:rsidRPr="00877A8E" w:rsidRDefault="00D71BAC" w:rsidP="00877A8E">
            <w:pPr>
              <w:rPr>
                <w:rFonts w:cs="Arial"/>
                <w:color w:val="0072BB"/>
                <w:kern w:val="32"/>
                <w:szCs w:val="22"/>
              </w:rPr>
            </w:pPr>
            <w:r w:rsidRPr="00877A8E">
              <w:rPr>
                <w:rFonts w:cs="Arial"/>
                <w:color w:val="0072BB"/>
                <w:kern w:val="32"/>
                <w:szCs w:val="22"/>
              </w:rPr>
              <w:t>The current coverage of products under the Grocery Code should remain unchanged.</w:t>
            </w:r>
          </w:p>
        </w:tc>
        <w:tc>
          <w:tcPr>
            <w:tcW w:w="8930" w:type="dxa"/>
            <w:tcBorders>
              <w:top w:val="single" w:sz="4" w:space="0" w:color="B2B3B5" w:themeColor="accent4" w:themeTint="99"/>
              <w:bottom w:val="single" w:sz="4" w:space="0" w:color="B2B3B5" w:themeColor="accent4" w:themeTint="99"/>
            </w:tcBorders>
          </w:tcPr>
          <w:p w14:paraId="4ECEA60B" w14:textId="77777777" w:rsidR="00E55BA8" w:rsidRPr="00877A8E" w:rsidRDefault="00D71BAC" w:rsidP="00877A8E">
            <w:pPr>
              <w:rPr>
                <w:rFonts w:asciiTheme="minorHAnsi" w:hAnsiTheme="minorHAnsi"/>
                <w:b/>
                <w:color w:val="002060"/>
                <w:szCs w:val="22"/>
              </w:rPr>
            </w:pPr>
            <w:r w:rsidRPr="00877A8E">
              <w:rPr>
                <w:b/>
                <w:color w:val="002060"/>
                <w:szCs w:val="22"/>
              </w:rPr>
              <w:t>Agreed</w:t>
            </w:r>
          </w:p>
          <w:p w14:paraId="68C4D89F" w14:textId="77777777" w:rsidR="00D71BAC" w:rsidRPr="00877A8E" w:rsidRDefault="00D71BAC" w:rsidP="00877A8E">
            <w:pPr>
              <w:rPr>
                <w:rFonts w:asciiTheme="minorHAnsi" w:hAnsiTheme="minorHAnsi"/>
                <w:color w:val="002060"/>
                <w:szCs w:val="22"/>
              </w:rPr>
            </w:pPr>
            <w:r w:rsidRPr="00877A8E">
              <w:rPr>
                <w:rFonts w:asciiTheme="minorHAnsi" w:hAnsiTheme="minorHAnsi"/>
                <w:color w:val="002060"/>
                <w:szCs w:val="22"/>
              </w:rPr>
              <w:t>The Government agrees that the current scope of grocery products covered under the Grocery Code is appropriate and should remain unchanged.</w:t>
            </w:r>
          </w:p>
          <w:p w14:paraId="62B749CA" w14:textId="77777777" w:rsidR="00D71BAC" w:rsidRPr="00877A8E" w:rsidRDefault="00D71BAC" w:rsidP="00877A8E">
            <w:pPr>
              <w:rPr>
                <w:rFonts w:asciiTheme="minorHAnsi" w:hAnsiTheme="minorHAnsi"/>
                <w:color w:val="002060"/>
                <w:szCs w:val="22"/>
              </w:rPr>
            </w:pPr>
            <w:r w:rsidRPr="00877A8E">
              <w:rPr>
                <w:rFonts w:asciiTheme="minorHAnsi" w:hAnsiTheme="minorHAnsi"/>
                <w:color w:val="002060"/>
                <w:szCs w:val="22"/>
              </w:rPr>
              <w:t>Products currently excluded from the Grocery Code, such as alcoholic beverages, often have greater avenues to distribute their products, which limits the ability of the major retailers or wholesalers to exert their bargaining power. These differences in market dynamics suggest that regulatory intervention is not warranted in all cases.</w:t>
            </w:r>
          </w:p>
          <w:p w14:paraId="2C96B827" w14:textId="77777777" w:rsidR="00D71BAC" w:rsidRPr="00877A8E" w:rsidRDefault="00D71BAC" w:rsidP="00F633CD">
            <w:pPr>
              <w:spacing w:after="240"/>
              <w:rPr>
                <w:rFonts w:asciiTheme="minorHAnsi" w:hAnsiTheme="minorHAnsi"/>
                <w:color w:val="002060"/>
                <w:szCs w:val="22"/>
              </w:rPr>
            </w:pPr>
            <w:r w:rsidRPr="00877A8E">
              <w:rPr>
                <w:rFonts w:asciiTheme="minorHAnsi" w:hAnsiTheme="minorHAnsi"/>
                <w:color w:val="002060"/>
                <w:szCs w:val="22"/>
              </w:rPr>
              <w:t xml:space="preserve">The general fair trading provisions in the </w:t>
            </w:r>
            <w:r w:rsidRPr="005219FB">
              <w:rPr>
                <w:rFonts w:asciiTheme="minorHAnsi" w:hAnsiTheme="minorHAnsi"/>
                <w:i/>
                <w:color w:val="002060"/>
                <w:szCs w:val="22"/>
              </w:rPr>
              <w:t>Competition and Consumer Act 2010</w:t>
            </w:r>
            <w:r w:rsidRPr="00877A8E">
              <w:rPr>
                <w:rFonts w:asciiTheme="minorHAnsi" w:hAnsiTheme="minorHAnsi"/>
                <w:color w:val="002060"/>
                <w:szCs w:val="22"/>
              </w:rPr>
              <w:t xml:space="preserve"> will continue to offer all suppliers protection against unconscionable conduct by retailers or wholesalers.</w:t>
            </w:r>
          </w:p>
        </w:tc>
      </w:tr>
      <w:tr w:rsidR="00E55BA8" w:rsidRPr="00E55BA8" w14:paraId="15056B1A" w14:textId="77777777" w:rsidTr="003C31BD">
        <w:trPr>
          <w:cantSplit/>
        </w:trPr>
        <w:tc>
          <w:tcPr>
            <w:tcW w:w="5353" w:type="dxa"/>
            <w:tcBorders>
              <w:top w:val="single" w:sz="4" w:space="0" w:color="B2B3B5" w:themeColor="accent4" w:themeTint="99"/>
              <w:bottom w:val="single" w:sz="4" w:space="0" w:color="B2B3B5" w:themeColor="accent4" w:themeTint="99"/>
            </w:tcBorders>
          </w:tcPr>
          <w:p w14:paraId="480A998B" w14:textId="77777777" w:rsidR="00D71BAC" w:rsidRPr="00877A8E" w:rsidRDefault="00D71BAC" w:rsidP="00877A8E">
            <w:pPr>
              <w:rPr>
                <w:rFonts w:cs="Arial"/>
                <w:b/>
                <w:color w:val="0072BB"/>
                <w:kern w:val="32"/>
                <w:szCs w:val="22"/>
              </w:rPr>
            </w:pPr>
            <w:r w:rsidRPr="00877A8E">
              <w:rPr>
                <w:rFonts w:cs="Arial"/>
                <w:b/>
                <w:color w:val="0072BB"/>
                <w:kern w:val="32"/>
                <w:szCs w:val="22"/>
              </w:rPr>
              <w:t>Recommendation 4</w:t>
            </w:r>
          </w:p>
          <w:p w14:paraId="59B14EA6" w14:textId="77777777" w:rsidR="00D71BAC" w:rsidRPr="00877A8E" w:rsidRDefault="00D71BAC" w:rsidP="00877A8E">
            <w:pPr>
              <w:rPr>
                <w:rFonts w:cs="Arial"/>
                <w:color w:val="0072BB"/>
                <w:kern w:val="32"/>
                <w:szCs w:val="22"/>
              </w:rPr>
            </w:pPr>
            <w:r w:rsidRPr="00877A8E">
              <w:rPr>
                <w:rFonts w:cs="Arial"/>
                <w:color w:val="0072BB"/>
                <w:kern w:val="32"/>
                <w:szCs w:val="22"/>
              </w:rPr>
              <w:t>Enhance the current obligation to act in good faith (clause 28), including the addition of indicators of acting in good faith that are easy to understand and apply; and to introduce the concept of ‘fair dealings’ as guiding principles for the Code Arbiters.</w:t>
            </w:r>
          </w:p>
          <w:p w14:paraId="02231864" w14:textId="77777777" w:rsidR="00E55BA8" w:rsidRPr="00877A8E" w:rsidRDefault="00D71BAC" w:rsidP="00877A8E">
            <w:pPr>
              <w:rPr>
                <w:color w:val="0072BB"/>
                <w:szCs w:val="22"/>
              </w:rPr>
            </w:pPr>
            <w:r w:rsidRPr="00877A8E">
              <w:rPr>
                <w:rFonts w:cs="Arial"/>
                <w:color w:val="0072BB"/>
                <w:kern w:val="32"/>
                <w:szCs w:val="22"/>
              </w:rPr>
              <w:t>The ACCC should be tasked with enhancing its guidance materials to include detailed examples of how the Grocery Code provisions may be interpreted and applied in practice.</w:t>
            </w:r>
          </w:p>
        </w:tc>
        <w:tc>
          <w:tcPr>
            <w:tcW w:w="8930" w:type="dxa"/>
            <w:tcBorders>
              <w:top w:val="single" w:sz="4" w:space="0" w:color="B2B3B5" w:themeColor="accent4" w:themeTint="99"/>
              <w:bottom w:val="single" w:sz="4" w:space="0" w:color="B2B3B5" w:themeColor="accent4" w:themeTint="99"/>
            </w:tcBorders>
          </w:tcPr>
          <w:p w14:paraId="176B5EE4" w14:textId="77777777" w:rsidR="00D71BAC" w:rsidRPr="00877A8E" w:rsidRDefault="00D71BAC" w:rsidP="00877A8E">
            <w:pPr>
              <w:rPr>
                <w:rFonts w:asciiTheme="minorHAnsi" w:hAnsiTheme="minorHAnsi"/>
                <w:b/>
                <w:color w:val="002060"/>
                <w:szCs w:val="22"/>
              </w:rPr>
            </w:pPr>
            <w:r w:rsidRPr="00877A8E">
              <w:rPr>
                <w:rFonts w:asciiTheme="minorHAnsi" w:hAnsiTheme="minorHAnsi"/>
                <w:b/>
                <w:color w:val="002060"/>
                <w:szCs w:val="22"/>
              </w:rPr>
              <w:t>Agreed in part</w:t>
            </w:r>
          </w:p>
          <w:p w14:paraId="0D240AE7" w14:textId="77777777" w:rsidR="00D71BAC" w:rsidRPr="00877A8E" w:rsidRDefault="00D71BAC" w:rsidP="00877A8E">
            <w:pPr>
              <w:rPr>
                <w:rFonts w:asciiTheme="minorHAnsi" w:hAnsiTheme="minorHAnsi"/>
                <w:color w:val="002060"/>
                <w:szCs w:val="22"/>
              </w:rPr>
            </w:pPr>
            <w:r w:rsidRPr="00877A8E">
              <w:rPr>
                <w:rFonts w:asciiTheme="minorHAnsi" w:hAnsiTheme="minorHAnsi"/>
                <w:color w:val="002060"/>
                <w:szCs w:val="22"/>
              </w:rPr>
              <w:t>The Government will amend the good faith provision under the Grocery Code by including additional indicators to help guide consistent interpretation and make it easier for industry participants to apply in practice.</w:t>
            </w:r>
          </w:p>
          <w:p w14:paraId="3AC301A1" w14:textId="77777777" w:rsidR="00D71BAC" w:rsidRPr="00877A8E" w:rsidRDefault="00D71BAC" w:rsidP="00877A8E">
            <w:pPr>
              <w:rPr>
                <w:rFonts w:asciiTheme="minorHAnsi" w:hAnsiTheme="minorHAnsi"/>
                <w:color w:val="002060"/>
                <w:szCs w:val="22"/>
              </w:rPr>
            </w:pPr>
            <w:r w:rsidRPr="00877A8E">
              <w:rPr>
                <w:rFonts w:asciiTheme="minorHAnsi" w:hAnsiTheme="minorHAnsi"/>
                <w:color w:val="002060"/>
                <w:szCs w:val="22"/>
              </w:rPr>
              <w:t>The meaning of good faith under the Grocery Code will be informed by other industry codes that contain similar provisions and the common law. The good faith provision will be relocated towards the front of the Grocery Code to reinforce its importance in underpinning fair commercial dealings.</w:t>
            </w:r>
          </w:p>
          <w:p w14:paraId="662262CA" w14:textId="77777777" w:rsidR="00D71BAC" w:rsidRPr="00877A8E" w:rsidRDefault="00D71BAC" w:rsidP="00877A8E">
            <w:pPr>
              <w:rPr>
                <w:rFonts w:asciiTheme="minorHAnsi" w:hAnsiTheme="minorHAnsi"/>
                <w:color w:val="002060"/>
                <w:szCs w:val="22"/>
              </w:rPr>
            </w:pPr>
            <w:r w:rsidRPr="00877A8E">
              <w:rPr>
                <w:rFonts w:asciiTheme="minorHAnsi" w:hAnsiTheme="minorHAnsi"/>
                <w:color w:val="002060"/>
                <w:szCs w:val="22"/>
              </w:rPr>
              <w:t>New guiding principles to support fairness of outcome for suppliers will also be introduced. This will be in the form of a non-exhaustive list of factors that Code Arbiters may refer to when resolving disputes between the parties (recommendation 5 refers).</w:t>
            </w:r>
          </w:p>
          <w:p w14:paraId="5034CF66" w14:textId="77777777" w:rsidR="00E55BA8" w:rsidRPr="00877A8E" w:rsidRDefault="00D71BAC" w:rsidP="00F633CD">
            <w:pPr>
              <w:spacing w:after="240"/>
              <w:rPr>
                <w:rFonts w:asciiTheme="minorHAnsi" w:hAnsiTheme="minorHAnsi"/>
                <w:color w:val="002060"/>
                <w:szCs w:val="22"/>
              </w:rPr>
            </w:pPr>
            <w:r w:rsidRPr="00877A8E">
              <w:rPr>
                <w:rFonts w:asciiTheme="minorHAnsi" w:hAnsiTheme="minorHAnsi"/>
                <w:color w:val="002060"/>
                <w:szCs w:val="22"/>
              </w:rPr>
              <w:t>The Government notes the Review’s recommendation that the ACCC be tasked with enhancing its guidance materials.</w:t>
            </w:r>
          </w:p>
        </w:tc>
      </w:tr>
      <w:tr w:rsidR="00E55BA8" w:rsidRPr="00E55BA8" w14:paraId="6FE0DDF9" w14:textId="77777777" w:rsidTr="003C31BD">
        <w:trPr>
          <w:cantSplit/>
        </w:trPr>
        <w:tc>
          <w:tcPr>
            <w:tcW w:w="5353" w:type="dxa"/>
            <w:tcBorders>
              <w:top w:val="single" w:sz="4" w:space="0" w:color="B2B3B5" w:themeColor="accent4" w:themeTint="99"/>
              <w:bottom w:val="single" w:sz="4" w:space="0" w:color="B2B3B5" w:themeColor="accent4" w:themeTint="99"/>
            </w:tcBorders>
          </w:tcPr>
          <w:p w14:paraId="0BEA7F44" w14:textId="77777777" w:rsidR="00385781" w:rsidRPr="00877A8E" w:rsidRDefault="00385781" w:rsidP="00877A8E">
            <w:pPr>
              <w:rPr>
                <w:rFonts w:cs="Arial"/>
                <w:b/>
                <w:color w:val="0072BB"/>
                <w:kern w:val="32"/>
                <w:szCs w:val="22"/>
              </w:rPr>
            </w:pPr>
            <w:r w:rsidRPr="00877A8E">
              <w:rPr>
                <w:rFonts w:cs="Arial"/>
                <w:b/>
                <w:color w:val="0072BB"/>
                <w:kern w:val="32"/>
                <w:szCs w:val="22"/>
              </w:rPr>
              <w:t>Recommendation 5</w:t>
            </w:r>
          </w:p>
          <w:p w14:paraId="3E211DBC" w14:textId="77777777" w:rsidR="00E55BA8" w:rsidRPr="00877A8E" w:rsidRDefault="00385781" w:rsidP="00877A8E">
            <w:pPr>
              <w:rPr>
                <w:rFonts w:cs="Arial"/>
                <w:color w:val="0072BB"/>
                <w:kern w:val="32"/>
                <w:szCs w:val="22"/>
              </w:rPr>
            </w:pPr>
            <w:r w:rsidRPr="00877A8E">
              <w:rPr>
                <w:rFonts w:cs="Arial"/>
                <w:color w:val="0072BB"/>
                <w:kern w:val="32"/>
                <w:szCs w:val="22"/>
              </w:rPr>
              <w:t>The Code Compliance Manager should be replaced with an independent Code Arbiter, which would be governed by specific new provisions added to the Grocery Code that set criteria including independence from the signatory, confidentiality requirements, ability to make binding decisions and annual reporting and surveying requirements.</w:t>
            </w:r>
          </w:p>
        </w:tc>
        <w:tc>
          <w:tcPr>
            <w:tcW w:w="8930" w:type="dxa"/>
            <w:tcBorders>
              <w:top w:val="single" w:sz="4" w:space="0" w:color="B2B3B5" w:themeColor="accent4" w:themeTint="99"/>
              <w:bottom w:val="single" w:sz="4" w:space="0" w:color="B2B3B5" w:themeColor="accent4" w:themeTint="99"/>
            </w:tcBorders>
          </w:tcPr>
          <w:p w14:paraId="177E7A75" w14:textId="77777777" w:rsidR="00385781" w:rsidRPr="00877A8E" w:rsidRDefault="00385781" w:rsidP="00877A8E">
            <w:pPr>
              <w:rPr>
                <w:b/>
                <w:color w:val="002060"/>
                <w:szCs w:val="22"/>
              </w:rPr>
            </w:pPr>
            <w:r w:rsidRPr="00877A8E">
              <w:rPr>
                <w:b/>
                <w:color w:val="002060"/>
                <w:szCs w:val="22"/>
              </w:rPr>
              <w:t>Agreed</w:t>
            </w:r>
          </w:p>
          <w:p w14:paraId="6A2CA714" w14:textId="77777777" w:rsidR="00385781" w:rsidRPr="00877A8E" w:rsidRDefault="00385781" w:rsidP="00877A8E">
            <w:pPr>
              <w:rPr>
                <w:color w:val="002060"/>
                <w:szCs w:val="22"/>
              </w:rPr>
            </w:pPr>
            <w:r w:rsidRPr="00877A8E">
              <w:rPr>
                <w:color w:val="002060"/>
                <w:szCs w:val="22"/>
              </w:rPr>
              <w:t>The Government agrees to changes to the Grocery Code’s dispute resolution mechanisms to ensure it is fit for purpose.</w:t>
            </w:r>
          </w:p>
          <w:p w14:paraId="4E129C88" w14:textId="77777777" w:rsidR="00385781" w:rsidRPr="00877A8E" w:rsidRDefault="00385781" w:rsidP="00877A8E">
            <w:pPr>
              <w:rPr>
                <w:color w:val="002060"/>
                <w:szCs w:val="22"/>
              </w:rPr>
            </w:pPr>
            <w:r w:rsidRPr="00877A8E">
              <w:rPr>
                <w:color w:val="002060"/>
                <w:szCs w:val="22"/>
              </w:rPr>
              <w:t>Amendments will be made to replace Code Compliance Managers with Code Arbiters – a new position empowered to resolve supplier complaints in an equitable and timely manner.</w:t>
            </w:r>
          </w:p>
          <w:p w14:paraId="3B0BE752" w14:textId="77777777" w:rsidR="00385781" w:rsidRPr="00877A8E" w:rsidRDefault="00385781" w:rsidP="00877A8E">
            <w:pPr>
              <w:rPr>
                <w:color w:val="002060"/>
                <w:szCs w:val="22"/>
              </w:rPr>
            </w:pPr>
            <w:r w:rsidRPr="00877A8E">
              <w:rPr>
                <w:color w:val="002060"/>
                <w:szCs w:val="22"/>
              </w:rPr>
              <w:t>Code Arbiters will be appointed by the signatories for fixed terms and have three key characteristics:</w:t>
            </w:r>
          </w:p>
          <w:p w14:paraId="52B60D6E" w14:textId="620C1D27" w:rsidR="00385781" w:rsidRPr="00877A8E" w:rsidRDefault="00385781" w:rsidP="00877A8E">
            <w:pPr>
              <w:pStyle w:val="Bullet"/>
              <w:rPr>
                <w:color w:val="002060"/>
              </w:rPr>
            </w:pPr>
            <w:r w:rsidRPr="00877A8E">
              <w:rPr>
                <w:b/>
                <w:color w:val="002060"/>
              </w:rPr>
              <w:t>Independence</w:t>
            </w:r>
            <w:r w:rsidRPr="00877A8E">
              <w:rPr>
                <w:color w:val="002060"/>
              </w:rPr>
              <w:t xml:space="preserve"> –</w:t>
            </w:r>
            <w:r w:rsidR="00142436">
              <w:rPr>
                <w:color w:val="002060"/>
              </w:rPr>
              <w:t xml:space="preserve"> must be free to make decisions </w:t>
            </w:r>
            <w:r w:rsidR="00333A89">
              <w:rPr>
                <w:color w:val="002060"/>
              </w:rPr>
              <w:t>that are impartial</w:t>
            </w:r>
            <w:r w:rsidR="003B193F">
              <w:rPr>
                <w:color w:val="002060"/>
              </w:rPr>
              <w:t xml:space="preserve"> and without influence from the signatory</w:t>
            </w:r>
            <w:r w:rsidR="00300096">
              <w:rPr>
                <w:color w:val="002060"/>
              </w:rPr>
              <w:t>.</w:t>
            </w:r>
          </w:p>
          <w:p w14:paraId="2D2E0A3B" w14:textId="77777777" w:rsidR="00385781" w:rsidRPr="00877A8E" w:rsidRDefault="00385781" w:rsidP="00877A8E">
            <w:pPr>
              <w:pStyle w:val="Bullet"/>
              <w:rPr>
                <w:color w:val="002060"/>
              </w:rPr>
            </w:pPr>
            <w:r w:rsidRPr="00877A8E">
              <w:rPr>
                <w:b/>
                <w:color w:val="002060"/>
              </w:rPr>
              <w:t>Separation</w:t>
            </w:r>
            <w:r w:rsidRPr="00877A8E">
              <w:rPr>
                <w:color w:val="002060"/>
              </w:rPr>
              <w:t xml:space="preserve"> – must sit outside the signatory’s organisational </w:t>
            </w:r>
            <w:r w:rsidR="003B193F">
              <w:rPr>
                <w:color w:val="002060"/>
              </w:rPr>
              <w:t xml:space="preserve">group </w:t>
            </w:r>
            <w:r w:rsidRPr="00877A8E">
              <w:rPr>
                <w:color w:val="002060"/>
              </w:rPr>
              <w:t>structure</w:t>
            </w:r>
            <w:r w:rsidR="003B193F">
              <w:rPr>
                <w:color w:val="002060"/>
              </w:rPr>
              <w:t xml:space="preserve">, including senior management, </w:t>
            </w:r>
            <w:r w:rsidR="00FF5EDE">
              <w:rPr>
                <w:color w:val="002060"/>
              </w:rPr>
              <w:t>buying teams</w:t>
            </w:r>
            <w:r w:rsidR="003B193F">
              <w:rPr>
                <w:color w:val="002060"/>
              </w:rPr>
              <w:t xml:space="preserve"> and legal departments</w:t>
            </w:r>
            <w:r w:rsidRPr="00877A8E">
              <w:rPr>
                <w:color w:val="002060"/>
              </w:rPr>
              <w:t>.</w:t>
            </w:r>
          </w:p>
          <w:p w14:paraId="5A4B4808" w14:textId="05C75AC8" w:rsidR="00385781" w:rsidRPr="00877A8E" w:rsidRDefault="00385781" w:rsidP="00877A8E">
            <w:pPr>
              <w:pStyle w:val="Bullet"/>
              <w:rPr>
                <w:color w:val="002060"/>
              </w:rPr>
            </w:pPr>
            <w:r w:rsidRPr="00877A8E">
              <w:rPr>
                <w:b/>
                <w:color w:val="002060"/>
              </w:rPr>
              <w:t>Authority</w:t>
            </w:r>
            <w:r w:rsidRPr="00877A8E">
              <w:rPr>
                <w:color w:val="002060"/>
              </w:rPr>
              <w:t xml:space="preserve"> – must have the authority to make decisions that</w:t>
            </w:r>
            <w:r w:rsidR="001B58AF">
              <w:rPr>
                <w:color w:val="002060"/>
              </w:rPr>
              <w:t>,</w:t>
            </w:r>
            <w:r w:rsidR="000A08A9">
              <w:rPr>
                <w:color w:val="002060"/>
              </w:rPr>
              <w:t xml:space="preserve"> once agreed to by the supplier</w:t>
            </w:r>
            <w:r w:rsidR="001B58AF">
              <w:rPr>
                <w:color w:val="002060"/>
              </w:rPr>
              <w:t>,</w:t>
            </w:r>
            <w:r w:rsidR="000A08A9">
              <w:rPr>
                <w:color w:val="002060"/>
              </w:rPr>
              <w:t xml:space="preserve"> become</w:t>
            </w:r>
            <w:r w:rsidR="006F3C78">
              <w:rPr>
                <w:color w:val="002060"/>
              </w:rPr>
              <w:t xml:space="preserve"> binding </w:t>
            </w:r>
            <w:r w:rsidR="001B58AF">
              <w:rPr>
                <w:color w:val="002060"/>
              </w:rPr>
              <w:t>and</w:t>
            </w:r>
            <w:r w:rsidRPr="00877A8E">
              <w:rPr>
                <w:color w:val="002060"/>
              </w:rPr>
              <w:t xml:space="preserve"> cannot be overturned by the signatory.</w:t>
            </w:r>
          </w:p>
          <w:p w14:paraId="15174981" w14:textId="77777777" w:rsidR="00385781" w:rsidRPr="00877A8E" w:rsidRDefault="00385781" w:rsidP="00877A8E">
            <w:pPr>
              <w:rPr>
                <w:color w:val="002060"/>
                <w:szCs w:val="22"/>
              </w:rPr>
            </w:pPr>
            <w:r w:rsidRPr="00877A8E">
              <w:rPr>
                <w:color w:val="002060"/>
                <w:szCs w:val="22"/>
              </w:rPr>
              <w:t>Code Arbiters will be given enhanced powers under the Grocery Code to resolve disputes, including the powers to:</w:t>
            </w:r>
          </w:p>
          <w:p w14:paraId="396B913C" w14:textId="77777777" w:rsidR="00385781" w:rsidRPr="00877A8E" w:rsidRDefault="00385781" w:rsidP="00877A8E">
            <w:pPr>
              <w:pStyle w:val="Bullet"/>
              <w:rPr>
                <w:color w:val="002060"/>
              </w:rPr>
            </w:pPr>
            <w:r w:rsidRPr="00877A8E">
              <w:rPr>
                <w:color w:val="002060"/>
              </w:rPr>
              <w:t>receive and investigate complaints from suppliers;</w:t>
            </w:r>
          </w:p>
          <w:p w14:paraId="6EAF8D8D" w14:textId="77777777" w:rsidR="00385781" w:rsidRPr="00877A8E" w:rsidRDefault="00385781" w:rsidP="00877A8E">
            <w:pPr>
              <w:pStyle w:val="Bullet"/>
              <w:rPr>
                <w:color w:val="002060"/>
              </w:rPr>
            </w:pPr>
            <w:r w:rsidRPr="00877A8E">
              <w:rPr>
                <w:color w:val="002060"/>
              </w:rPr>
              <w:t>access relevant documents and records of the signatory;</w:t>
            </w:r>
          </w:p>
          <w:p w14:paraId="5FD6437F" w14:textId="4A35C89D" w:rsidR="00385781" w:rsidRPr="00877A8E" w:rsidRDefault="001B58AF" w:rsidP="00877A8E">
            <w:pPr>
              <w:pStyle w:val="Bullet"/>
              <w:rPr>
                <w:color w:val="002060"/>
              </w:rPr>
            </w:pPr>
            <w:r>
              <w:rPr>
                <w:color w:val="002060"/>
              </w:rPr>
              <w:t>make</w:t>
            </w:r>
            <w:r w:rsidRPr="00785889">
              <w:rPr>
                <w:color w:val="002060"/>
              </w:rPr>
              <w:t xml:space="preserve"> </w:t>
            </w:r>
            <w:r w:rsidR="00385781" w:rsidRPr="00785889">
              <w:rPr>
                <w:color w:val="002060"/>
              </w:rPr>
              <w:t>decisions that are binding on the signatory</w:t>
            </w:r>
          </w:p>
          <w:p w14:paraId="39E840EB" w14:textId="737409F7" w:rsidR="00385781" w:rsidRPr="00785889" w:rsidRDefault="001B58AF" w:rsidP="00877A8E">
            <w:pPr>
              <w:pStyle w:val="Bullet"/>
              <w:rPr>
                <w:color w:val="002060"/>
              </w:rPr>
            </w:pPr>
            <w:r>
              <w:rPr>
                <w:color w:val="002060"/>
              </w:rPr>
              <w:t>offer</w:t>
            </w:r>
            <w:r w:rsidRPr="00785889">
              <w:rPr>
                <w:color w:val="002060"/>
              </w:rPr>
              <w:t xml:space="preserve"> </w:t>
            </w:r>
            <w:r w:rsidR="00385781" w:rsidRPr="00785889">
              <w:rPr>
                <w:color w:val="002060"/>
              </w:rPr>
              <w:t xml:space="preserve">restitution such as compensation to suppliers or require changes to be made to </w:t>
            </w:r>
            <w:r w:rsidR="0006588C">
              <w:rPr>
                <w:color w:val="002060"/>
              </w:rPr>
              <w:t>G</w:t>
            </w:r>
            <w:r w:rsidR="00385781" w:rsidRPr="00785889">
              <w:rPr>
                <w:color w:val="002060"/>
              </w:rPr>
              <w:t xml:space="preserve">rocery </w:t>
            </w:r>
            <w:r w:rsidR="0006588C">
              <w:rPr>
                <w:color w:val="002060"/>
              </w:rPr>
              <w:t>S</w:t>
            </w:r>
            <w:r w:rsidR="00385781" w:rsidRPr="00785889">
              <w:rPr>
                <w:color w:val="002060"/>
              </w:rPr>
              <w:t xml:space="preserve">upply </w:t>
            </w:r>
            <w:r w:rsidR="0006588C">
              <w:rPr>
                <w:color w:val="002060"/>
              </w:rPr>
              <w:t>A</w:t>
            </w:r>
            <w:r w:rsidR="00385781" w:rsidRPr="00785889">
              <w:rPr>
                <w:color w:val="002060"/>
              </w:rPr>
              <w:t>greements to avoid future issues; and</w:t>
            </w:r>
          </w:p>
          <w:p w14:paraId="1E0F52C9" w14:textId="77777777" w:rsidR="00385781" w:rsidRPr="00877A8E" w:rsidRDefault="00385781" w:rsidP="00877A8E">
            <w:pPr>
              <w:pStyle w:val="Bullet"/>
              <w:rPr>
                <w:color w:val="002060"/>
              </w:rPr>
            </w:pPr>
            <w:r w:rsidRPr="00877A8E">
              <w:rPr>
                <w:color w:val="002060"/>
              </w:rPr>
              <w:t>monitor the dispute for any potential retribution by retailers.</w:t>
            </w:r>
          </w:p>
          <w:p w14:paraId="4CE7B393" w14:textId="77777777" w:rsidR="00E55BA8" w:rsidRPr="00877A8E" w:rsidRDefault="00385781" w:rsidP="00F633CD">
            <w:pPr>
              <w:spacing w:after="240"/>
              <w:rPr>
                <w:color w:val="002060"/>
                <w:szCs w:val="22"/>
              </w:rPr>
            </w:pPr>
            <w:r w:rsidRPr="00877A8E">
              <w:rPr>
                <w:color w:val="002060"/>
                <w:szCs w:val="22"/>
              </w:rPr>
              <w:t>Code Arbiters will be required to publish an annual report on supplier complaints.</w:t>
            </w:r>
          </w:p>
        </w:tc>
      </w:tr>
      <w:tr w:rsidR="00E55BA8" w:rsidRPr="00E55BA8" w14:paraId="74BAFDB0" w14:textId="77777777" w:rsidTr="003C31BD">
        <w:trPr>
          <w:cantSplit/>
        </w:trPr>
        <w:tc>
          <w:tcPr>
            <w:tcW w:w="5353" w:type="dxa"/>
            <w:tcBorders>
              <w:top w:val="single" w:sz="4" w:space="0" w:color="B2B3B5" w:themeColor="accent4" w:themeTint="99"/>
              <w:bottom w:val="single" w:sz="4" w:space="0" w:color="B2B3B5" w:themeColor="accent4" w:themeTint="99"/>
            </w:tcBorders>
          </w:tcPr>
          <w:p w14:paraId="20B095EA" w14:textId="77777777" w:rsidR="00FB5FF2" w:rsidRPr="00877A8E" w:rsidRDefault="00FB5FF2" w:rsidP="00877A8E">
            <w:pPr>
              <w:rPr>
                <w:rFonts w:cs="Arial"/>
                <w:b/>
                <w:color w:val="0072BB"/>
                <w:kern w:val="32"/>
                <w:szCs w:val="22"/>
              </w:rPr>
            </w:pPr>
            <w:r w:rsidRPr="00877A8E">
              <w:rPr>
                <w:rFonts w:cs="Arial"/>
                <w:b/>
                <w:color w:val="0072BB"/>
                <w:kern w:val="32"/>
                <w:szCs w:val="22"/>
              </w:rPr>
              <w:t>Recommendation 6</w:t>
            </w:r>
          </w:p>
          <w:p w14:paraId="3174009C" w14:textId="77777777" w:rsidR="00FB5FF2" w:rsidRPr="00877A8E" w:rsidRDefault="00FB5FF2" w:rsidP="00877A8E">
            <w:pPr>
              <w:rPr>
                <w:rFonts w:cs="Arial"/>
                <w:color w:val="0072BB"/>
                <w:kern w:val="32"/>
                <w:szCs w:val="22"/>
              </w:rPr>
            </w:pPr>
            <w:r w:rsidRPr="00877A8E">
              <w:rPr>
                <w:rFonts w:cs="Arial"/>
                <w:color w:val="0072BB"/>
                <w:kern w:val="32"/>
                <w:szCs w:val="22"/>
              </w:rPr>
              <w:t>The Government should appoint an Independent Reviewer to:</w:t>
            </w:r>
          </w:p>
          <w:p w14:paraId="4A4828E7" w14:textId="77777777" w:rsidR="00FB5FF2" w:rsidRPr="00877A8E" w:rsidRDefault="00FB5FF2" w:rsidP="00877A8E">
            <w:pPr>
              <w:pStyle w:val="Bullet"/>
              <w:rPr>
                <w:color w:val="0072BB"/>
              </w:rPr>
            </w:pPr>
            <w:r w:rsidRPr="00877A8E">
              <w:rPr>
                <w:color w:val="0072BB"/>
              </w:rPr>
              <w:t>review the Code Arbiters’ determinations for consistency with the requirements of the Grocery Code (at the request of a supplier); and</w:t>
            </w:r>
          </w:p>
          <w:p w14:paraId="4D5603A7" w14:textId="77777777" w:rsidR="00877A8E" w:rsidRPr="00877A8E" w:rsidRDefault="00D96C60" w:rsidP="00877A8E">
            <w:pPr>
              <w:pStyle w:val="Bullet"/>
              <w:rPr>
                <w:color w:val="0072BB"/>
              </w:rPr>
            </w:pPr>
            <w:r w:rsidRPr="00877A8E">
              <w:rPr>
                <w:color w:val="0072BB"/>
              </w:rPr>
              <w:t>work collaboratively with Code Arbiters, signatories and the ACCC, meeting regularly to discuss issues under the Grocery Code.</w:t>
            </w:r>
          </w:p>
        </w:tc>
        <w:tc>
          <w:tcPr>
            <w:tcW w:w="8930" w:type="dxa"/>
            <w:tcBorders>
              <w:top w:val="single" w:sz="4" w:space="0" w:color="B2B3B5" w:themeColor="accent4" w:themeTint="99"/>
              <w:bottom w:val="single" w:sz="4" w:space="0" w:color="B2B3B5" w:themeColor="accent4" w:themeTint="99"/>
            </w:tcBorders>
          </w:tcPr>
          <w:p w14:paraId="77D7006C" w14:textId="77777777" w:rsidR="00D96C60" w:rsidRPr="00877A8E" w:rsidRDefault="00D96C60" w:rsidP="00877A8E">
            <w:pPr>
              <w:rPr>
                <w:b/>
                <w:color w:val="002060"/>
                <w:szCs w:val="22"/>
              </w:rPr>
            </w:pPr>
            <w:r w:rsidRPr="00877A8E">
              <w:rPr>
                <w:b/>
                <w:color w:val="002060"/>
                <w:szCs w:val="22"/>
              </w:rPr>
              <w:t>Agreed</w:t>
            </w:r>
          </w:p>
          <w:p w14:paraId="0E381883" w14:textId="77777777" w:rsidR="00D96C60" w:rsidRPr="00877A8E" w:rsidRDefault="00D96C60" w:rsidP="00877A8E">
            <w:pPr>
              <w:rPr>
                <w:color w:val="002060"/>
                <w:szCs w:val="22"/>
              </w:rPr>
            </w:pPr>
            <w:r w:rsidRPr="00877A8E">
              <w:rPr>
                <w:color w:val="002060"/>
                <w:szCs w:val="22"/>
              </w:rPr>
              <w:t>Encouraging the parties to resolve disputes commercially is the ideal outcome for the industry because it offers the best chance of preserving ongoing business relationships.</w:t>
            </w:r>
          </w:p>
          <w:p w14:paraId="19111503" w14:textId="77777777" w:rsidR="00D96C60" w:rsidRPr="00877A8E" w:rsidRDefault="00D96C60" w:rsidP="00877A8E">
            <w:pPr>
              <w:rPr>
                <w:color w:val="002060"/>
                <w:szCs w:val="22"/>
              </w:rPr>
            </w:pPr>
            <w:r w:rsidRPr="00877A8E">
              <w:rPr>
                <w:color w:val="002060"/>
                <w:szCs w:val="22"/>
              </w:rPr>
              <w:t>To provide public assurance that the dispute resolution system of each of the signatories is working properly, the Government will appoint an Independent Reviewer to act as a check and balance.</w:t>
            </w:r>
          </w:p>
          <w:p w14:paraId="3F5FC924" w14:textId="3C9BAF22" w:rsidR="00D96C60" w:rsidRPr="00877A8E" w:rsidRDefault="00D96C60" w:rsidP="00877A8E">
            <w:pPr>
              <w:rPr>
                <w:color w:val="002060"/>
                <w:szCs w:val="22"/>
              </w:rPr>
            </w:pPr>
            <w:r w:rsidRPr="00877A8E">
              <w:rPr>
                <w:color w:val="002060"/>
                <w:szCs w:val="22"/>
              </w:rPr>
              <w:t>The role of the Independent Reviewer will be to ensure due process is observed during the dispute resolution process at all times. Suppliers dissatisfied with the Code Arbiter’s process can raise concerns to the Independent Reviewer, who will assess the case</w:t>
            </w:r>
            <w:r w:rsidR="00FF5EDE">
              <w:rPr>
                <w:color w:val="002060"/>
                <w:szCs w:val="22"/>
              </w:rPr>
              <w:t>, determine whether further review is warranted</w:t>
            </w:r>
            <w:r w:rsidRPr="00877A8E">
              <w:rPr>
                <w:color w:val="002060"/>
                <w:szCs w:val="22"/>
              </w:rPr>
              <w:t xml:space="preserve"> and </w:t>
            </w:r>
            <w:r w:rsidR="00FF5EDE">
              <w:rPr>
                <w:color w:val="002060"/>
                <w:szCs w:val="22"/>
              </w:rPr>
              <w:t xml:space="preserve">where appropriate </w:t>
            </w:r>
            <w:r w:rsidRPr="00877A8E">
              <w:rPr>
                <w:color w:val="002060"/>
                <w:szCs w:val="22"/>
              </w:rPr>
              <w:t xml:space="preserve">make recommendations to the </w:t>
            </w:r>
            <w:r w:rsidR="00FF5EDE">
              <w:rPr>
                <w:color w:val="002060"/>
                <w:szCs w:val="22"/>
              </w:rPr>
              <w:t xml:space="preserve">Code Arbiter, </w:t>
            </w:r>
            <w:r w:rsidR="00E867D7">
              <w:rPr>
                <w:color w:val="002060"/>
                <w:szCs w:val="22"/>
              </w:rPr>
              <w:t>including that</w:t>
            </w:r>
            <w:r w:rsidR="0045131E">
              <w:rPr>
                <w:color w:val="002060"/>
                <w:szCs w:val="22"/>
              </w:rPr>
              <w:t xml:space="preserve"> the</w:t>
            </w:r>
            <w:r w:rsidR="00E867D7">
              <w:rPr>
                <w:color w:val="002060"/>
                <w:szCs w:val="22"/>
              </w:rPr>
              <w:t xml:space="preserve"> case should be reconsidered</w:t>
            </w:r>
            <w:r w:rsidRPr="00877A8E">
              <w:rPr>
                <w:color w:val="002060"/>
                <w:szCs w:val="22"/>
              </w:rPr>
              <w:t>.</w:t>
            </w:r>
          </w:p>
          <w:p w14:paraId="58B434A1" w14:textId="77777777" w:rsidR="00D96C60" w:rsidRPr="00877A8E" w:rsidRDefault="00D96C60" w:rsidP="00877A8E">
            <w:pPr>
              <w:rPr>
                <w:color w:val="002060"/>
                <w:szCs w:val="22"/>
              </w:rPr>
            </w:pPr>
            <w:r w:rsidRPr="00877A8E">
              <w:rPr>
                <w:color w:val="002060"/>
                <w:szCs w:val="22"/>
              </w:rPr>
              <w:t>The Independent Reviewer will work with Code Arbiters, industry participants and the ACCC to identify emerging issues and make recommendations to the signatories on strategies for addressing problematic behaviours before they become systemic.</w:t>
            </w:r>
          </w:p>
          <w:p w14:paraId="1453FA6E" w14:textId="77777777" w:rsidR="00E55BA8" w:rsidRPr="00877A8E" w:rsidRDefault="00D96C60" w:rsidP="00F633CD">
            <w:pPr>
              <w:spacing w:after="240"/>
              <w:rPr>
                <w:color w:val="002060"/>
                <w:szCs w:val="22"/>
              </w:rPr>
            </w:pPr>
            <w:r w:rsidRPr="00877A8E">
              <w:rPr>
                <w:color w:val="002060"/>
                <w:szCs w:val="22"/>
              </w:rPr>
              <w:t>The Independent Reviewer will produce an annual report on their activities and industry outcomes.</w:t>
            </w:r>
          </w:p>
        </w:tc>
      </w:tr>
      <w:tr w:rsidR="00E55BA8" w:rsidRPr="00E55BA8" w14:paraId="09B17860" w14:textId="77777777" w:rsidTr="003C31BD">
        <w:trPr>
          <w:cantSplit/>
        </w:trPr>
        <w:tc>
          <w:tcPr>
            <w:tcW w:w="5353" w:type="dxa"/>
            <w:tcBorders>
              <w:top w:val="single" w:sz="4" w:space="0" w:color="B2B3B5" w:themeColor="accent4" w:themeTint="99"/>
              <w:bottom w:val="single" w:sz="4" w:space="0" w:color="B2B3B5" w:themeColor="accent4" w:themeTint="99"/>
            </w:tcBorders>
          </w:tcPr>
          <w:p w14:paraId="44A33DD3" w14:textId="77777777" w:rsidR="00E923F2" w:rsidRPr="00877A8E" w:rsidRDefault="00E923F2" w:rsidP="00877A8E">
            <w:pPr>
              <w:rPr>
                <w:rFonts w:cs="Arial"/>
                <w:b/>
                <w:color w:val="0072BB"/>
                <w:kern w:val="32"/>
                <w:szCs w:val="22"/>
              </w:rPr>
            </w:pPr>
            <w:r w:rsidRPr="00877A8E">
              <w:rPr>
                <w:rFonts w:cs="Arial"/>
                <w:b/>
                <w:color w:val="0072BB"/>
                <w:kern w:val="32"/>
                <w:szCs w:val="22"/>
              </w:rPr>
              <w:t>Recommendation 7</w:t>
            </w:r>
          </w:p>
          <w:p w14:paraId="4587AF47" w14:textId="77777777" w:rsidR="00E55BA8" w:rsidRPr="00877A8E" w:rsidRDefault="00E923F2" w:rsidP="00F633CD">
            <w:pPr>
              <w:spacing w:after="240"/>
              <w:rPr>
                <w:rFonts w:asciiTheme="minorHAnsi" w:eastAsiaTheme="minorHAnsi" w:hAnsiTheme="minorHAnsi" w:cstheme="minorBidi"/>
                <w:color w:val="0072BB"/>
                <w:szCs w:val="22"/>
                <w:lang w:eastAsia="en-US"/>
              </w:rPr>
            </w:pPr>
            <w:r w:rsidRPr="00877A8E">
              <w:rPr>
                <w:rFonts w:cs="Arial"/>
                <w:color w:val="0072BB"/>
                <w:kern w:val="32"/>
                <w:szCs w:val="22"/>
              </w:rPr>
              <w:t>The ACCC should also consider adopting a collaborative approach with signatories, Code Arbiters and the Independent Reviewer to encourage more active compliance with the Grocery Code.</w:t>
            </w:r>
          </w:p>
        </w:tc>
        <w:tc>
          <w:tcPr>
            <w:tcW w:w="8930" w:type="dxa"/>
            <w:tcBorders>
              <w:top w:val="single" w:sz="4" w:space="0" w:color="B2B3B5" w:themeColor="accent4" w:themeTint="99"/>
              <w:bottom w:val="single" w:sz="4" w:space="0" w:color="B2B3B5" w:themeColor="accent4" w:themeTint="99"/>
            </w:tcBorders>
          </w:tcPr>
          <w:p w14:paraId="015C18A7" w14:textId="77777777" w:rsidR="00E923F2" w:rsidRPr="00877A8E" w:rsidRDefault="00E923F2" w:rsidP="00877A8E">
            <w:pPr>
              <w:rPr>
                <w:b/>
                <w:color w:val="002060"/>
                <w:szCs w:val="22"/>
              </w:rPr>
            </w:pPr>
            <w:r w:rsidRPr="00877A8E">
              <w:rPr>
                <w:b/>
                <w:color w:val="002060"/>
                <w:szCs w:val="22"/>
              </w:rPr>
              <w:t>Noted</w:t>
            </w:r>
          </w:p>
          <w:p w14:paraId="452A7AAF" w14:textId="77777777" w:rsidR="00E55BA8" w:rsidRPr="00877A8E" w:rsidRDefault="00E923F2" w:rsidP="00877A8E">
            <w:pPr>
              <w:rPr>
                <w:color w:val="002060"/>
                <w:szCs w:val="22"/>
              </w:rPr>
            </w:pPr>
            <w:r w:rsidRPr="00877A8E">
              <w:rPr>
                <w:color w:val="002060"/>
                <w:szCs w:val="22"/>
              </w:rPr>
              <w:t>The Government notes this recommendation.</w:t>
            </w:r>
          </w:p>
        </w:tc>
      </w:tr>
      <w:tr w:rsidR="00E55BA8" w:rsidRPr="00E55BA8" w14:paraId="049AB316" w14:textId="77777777" w:rsidTr="003C31BD">
        <w:trPr>
          <w:cantSplit/>
        </w:trPr>
        <w:tc>
          <w:tcPr>
            <w:tcW w:w="5353" w:type="dxa"/>
            <w:tcBorders>
              <w:top w:val="single" w:sz="4" w:space="0" w:color="B2B3B5" w:themeColor="accent4" w:themeTint="99"/>
              <w:bottom w:val="single" w:sz="4" w:space="0" w:color="B2B3B5" w:themeColor="accent4" w:themeTint="99"/>
            </w:tcBorders>
          </w:tcPr>
          <w:p w14:paraId="7863AFEC" w14:textId="77777777" w:rsidR="00E923F2" w:rsidRPr="00DC62EE" w:rsidRDefault="00E923F2" w:rsidP="00F633CD">
            <w:pPr>
              <w:spacing w:before="240"/>
              <w:rPr>
                <w:rFonts w:cs="Arial"/>
                <w:b/>
                <w:color w:val="0072BB"/>
                <w:kern w:val="32"/>
                <w:szCs w:val="22"/>
              </w:rPr>
            </w:pPr>
            <w:r w:rsidRPr="00DC62EE">
              <w:rPr>
                <w:rFonts w:cs="Arial"/>
                <w:b/>
                <w:color w:val="0072BB"/>
                <w:kern w:val="32"/>
                <w:szCs w:val="22"/>
              </w:rPr>
              <w:t>Recommendation 8</w:t>
            </w:r>
          </w:p>
          <w:p w14:paraId="2360E1A7" w14:textId="77777777" w:rsidR="00E923F2" w:rsidRPr="00877A8E" w:rsidRDefault="00E923F2" w:rsidP="00877A8E">
            <w:pPr>
              <w:rPr>
                <w:rFonts w:cs="Arial"/>
                <w:color w:val="0072BB"/>
                <w:kern w:val="32"/>
                <w:szCs w:val="22"/>
              </w:rPr>
            </w:pPr>
            <w:r w:rsidRPr="00877A8E">
              <w:rPr>
                <w:rFonts w:cs="Arial"/>
                <w:color w:val="0072BB"/>
                <w:kern w:val="32"/>
                <w:szCs w:val="22"/>
              </w:rPr>
              <w:t>The Grocery Code should be amended to give suppliers the right to request further details on the reasons for delisting decisions, following the initial receipt of a signatory’s reasons.</w:t>
            </w:r>
          </w:p>
          <w:p w14:paraId="56BD9351" w14:textId="77777777" w:rsidR="00E55BA8" w:rsidRPr="00877A8E" w:rsidRDefault="00E923F2" w:rsidP="00877A8E">
            <w:pPr>
              <w:rPr>
                <w:rFonts w:asciiTheme="minorHAnsi" w:eastAsiaTheme="minorHAnsi" w:hAnsiTheme="minorHAnsi" w:cstheme="minorBidi"/>
                <w:color w:val="0072BB"/>
                <w:szCs w:val="22"/>
                <w:lang w:eastAsia="en-US"/>
              </w:rPr>
            </w:pPr>
            <w:r w:rsidRPr="00877A8E">
              <w:rPr>
                <w:rFonts w:cs="Arial"/>
                <w:color w:val="0072BB"/>
                <w:kern w:val="32"/>
                <w:szCs w:val="22"/>
              </w:rPr>
              <w:t>The protection and notification requirements for the delisting of a product should be extended to a significant limiting of distribution resulting from range reviews.</w:t>
            </w:r>
          </w:p>
        </w:tc>
        <w:tc>
          <w:tcPr>
            <w:tcW w:w="8930" w:type="dxa"/>
            <w:tcBorders>
              <w:top w:val="single" w:sz="4" w:space="0" w:color="B2B3B5" w:themeColor="accent4" w:themeTint="99"/>
              <w:bottom w:val="single" w:sz="4" w:space="0" w:color="B2B3B5" w:themeColor="accent4" w:themeTint="99"/>
            </w:tcBorders>
          </w:tcPr>
          <w:p w14:paraId="41C9677D" w14:textId="77777777" w:rsidR="00E923F2" w:rsidRPr="00DC62EE" w:rsidRDefault="00E923F2" w:rsidP="00F633CD">
            <w:pPr>
              <w:spacing w:before="240"/>
              <w:rPr>
                <w:b/>
                <w:color w:val="002060"/>
                <w:szCs w:val="22"/>
              </w:rPr>
            </w:pPr>
            <w:r w:rsidRPr="00DC62EE">
              <w:rPr>
                <w:b/>
                <w:color w:val="002060"/>
                <w:szCs w:val="22"/>
              </w:rPr>
              <w:t>Agreed</w:t>
            </w:r>
          </w:p>
          <w:p w14:paraId="6693F0D0" w14:textId="77777777" w:rsidR="00E923F2" w:rsidRPr="00877A8E" w:rsidRDefault="00E923F2" w:rsidP="00877A8E">
            <w:pPr>
              <w:rPr>
                <w:color w:val="002060"/>
                <w:szCs w:val="22"/>
              </w:rPr>
            </w:pPr>
            <w:r w:rsidRPr="00877A8E">
              <w:rPr>
                <w:color w:val="002060"/>
                <w:szCs w:val="22"/>
              </w:rPr>
              <w:t xml:space="preserve">The Government supports robust delisting procedures so that suppliers can be confident that </w:t>
            </w:r>
            <w:proofErr w:type="spellStart"/>
            <w:r w:rsidRPr="00877A8E">
              <w:rPr>
                <w:color w:val="002060"/>
                <w:szCs w:val="22"/>
              </w:rPr>
              <w:t>delistings</w:t>
            </w:r>
            <w:proofErr w:type="spellEnd"/>
            <w:r w:rsidRPr="00877A8E">
              <w:rPr>
                <w:color w:val="002060"/>
                <w:szCs w:val="22"/>
              </w:rPr>
              <w:t xml:space="preserve"> occur due to genuine commercial reasons and not as punishment for making a complaint or enforcing legitimate rights.</w:t>
            </w:r>
          </w:p>
          <w:p w14:paraId="548A4390" w14:textId="77777777" w:rsidR="00E923F2" w:rsidRPr="00877A8E" w:rsidRDefault="00E923F2" w:rsidP="00877A8E">
            <w:pPr>
              <w:rPr>
                <w:color w:val="002060"/>
                <w:szCs w:val="22"/>
              </w:rPr>
            </w:pPr>
            <w:r w:rsidRPr="00877A8E">
              <w:rPr>
                <w:color w:val="002060"/>
                <w:szCs w:val="22"/>
              </w:rPr>
              <w:t>The delisting provisions will be amended to give suppliers the right to request additional information and details on the reasons for a delisting.</w:t>
            </w:r>
          </w:p>
          <w:p w14:paraId="574EC9A5" w14:textId="77777777" w:rsidR="00E55BA8" w:rsidRPr="00877A8E" w:rsidRDefault="00E923F2" w:rsidP="00FF5EDE">
            <w:pPr>
              <w:spacing w:after="240"/>
              <w:rPr>
                <w:color w:val="002060"/>
                <w:szCs w:val="22"/>
              </w:rPr>
            </w:pPr>
            <w:r w:rsidRPr="00877A8E">
              <w:rPr>
                <w:color w:val="002060"/>
                <w:szCs w:val="22"/>
              </w:rPr>
              <w:t>Significantly limiting the distribution of a supplier’s product across a retailer’s stores is akin to delisting. The Grocery Code will be amended to impose similar notice and procedural requirements for significant reductions in distribution.</w:t>
            </w:r>
          </w:p>
        </w:tc>
      </w:tr>
      <w:tr w:rsidR="00E55BA8" w:rsidRPr="00E55BA8" w14:paraId="3C69E9FE" w14:textId="77777777" w:rsidTr="003C31BD">
        <w:trPr>
          <w:cantSplit/>
        </w:trPr>
        <w:tc>
          <w:tcPr>
            <w:tcW w:w="5353" w:type="dxa"/>
            <w:tcBorders>
              <w:bottom w:val="single" w:sz="4" w:space="0" w:color="B2B3B5" w:themeColor="accent4" w:themeTint="99"/>
            </w:tcBorders>
          </w:tcPr>
          <w:p w14:paraId="3DD4F4EF" w14:textId="77777777" w:rsidR="00E923F2" w:rsidRPr="00DC62EE" w:rsidRDefault="00E923F2" w:rsidP="00F633CD">
            <w:pPr>
              <w:spacing w:before="240"/>
              <w:rPr>
                <w:rFonts w:cs="Arial"/>
                <w:b/>
                <w:color w:val="0072BB"/>
                <w:kern w:val="32"/>
                <w:szCs w:val="22"/>
              </w:rPr>
            </w:pPr>
            <w:r w:rsidRPr="00DC62EE">
              <w:rPr>
                <w:rFonts w:cs="Arial"/>
                <w:b/>
                <w:color w:val="0072BB"/>
                <w:kern w:val="32"/>
                <w:szCs w:val="22"/>
              </w:rPr>
              <w:t>Recommendation 9</w:t>
            </w:r>
          </w:p>
          <w:p w14:paraId="2DC55987" w14:textId="77777777" w:rsidR="00E55BA8" w:rsidRPr="00877A8E" w:rsidRDefault="00E923F2" w:rsidP="00877A8E">
            <w:pPr>
              <w:rPr>
                <w:rFonts w:asciiTheme="minorHAnsi" w:eastAsiaTheme="minorHAnsi" w:hAnsiTheme="minorHAnsi" w:cstheme="minorBidi"/>
                <w:color w:val="0072BB"/>
                <w:szCs w:val="22"/>
                <w:lang w:eastAsia="en-US"/>
              </w:rPr>
            </w:pPr>
            <w:r w:rsidRPr="00877A8E">
              <w:rPr>
                <w:rFonts w:cs="Arial"/>
                <w:color w:val="0072BB"/>
                <w:kern w:val="32"/>
                <w:szCs w:val="22"/>
              </w:rPr>
              <w:t>It should be clarified that the term Grocery Supply Agreement, as defined in clause 3 of the Grocery Code, applies to all agreements between a supplier and signatory, including freight and promotional agreements, which relate to the supply of groceries.</w:t>
            </w:r>
          </w:p>
        </w:tc>
        <w:tc>
          <w:tcPr>
            <w:tcW w:w="8930" w:type="dxa"/>
            <w:tcBorders>
              <w:bottom w:val="single" w:sz="4" w:space="0" w:color="B2B3B5" w:themeColor="accent4" w:themeTint="99"/>
            </w:tcBorders>
          </w:tcPr>
          <w:p w14:paraId="07086EAE" w14:textId="77777777" w:rsidR="00E923F2" w:rsidRPr="00DC62EE" w:rsidRDefault="00E923F2" w:rsidP="00F633CD">
            <w:pPr>
              <w:spacing w:before="240"/>
              <w:rPr>
                <w:b/>
                <w:color w:val="002060"/>
                <w:szCs w:val="22"/>
              </w:rPr>
            </w:pPr>
            <w:r w:rsidRPr="00DC62EE">
              <w:rPr>
                <w:b/>
                <w:color w:val="002060"/>
                <w:szCs w:val="22"/>
              </w:rPr>
              <w:t>Agreed</w:t>
            </w:r>
          </w:p>
          <w:p w14:paraId="698ACC7F" w14:textId="77777777" w:rsidR="00E923F2" w:rsidRPr="00877A8E" w:rsidRDefault="00E923F2" w:rsidP="00877A8E">
            <w:pPr>
              <w:rPr>
                <w:color w:val="002060"/>
                <w:szCs w:val="22"/>
              </w:rPr>
            </w:pPr>
            <w:r w:rsidRPr="00877A8E">
              <w:rPr>
                <w:color w:val="002060"/>
                <w:szCs w:val="22"/>
              </w:rPr>
              <w:t>The Government will amend the Grocery Code to make it clear that the term Grocery Supply Agreement applies to all agreements between a supplier and a signatory which relate to the supply of grocery products.</w:t>
            </w:r>
          </w:p>
          <w:p w14:paraId="0CD40253" w14:textId="77777777" w:rsidR="00E55BA8" w:rsidRPr="00877A8E" w:rsidRDefault="00E923F2" w:rsidP="00F633CD">
            <w:pPr>
              <w:spacing w:after="240"/>
              <w:rPr>
                <w:color w:val="002060"/>
                <w:szCs w:val="22"/>
              </w:rPr>
            </w:pPr>
            <w:r w:rsidRPr="00877A8E">
              <w:rPr>
                <w:color w:val="002060"/>
                <w:szCs w:val="22"/>
              </w:rPr>
              <w:t>This will help ensure that the protections that apply to Grocery Supply Agreements are not circumvented by signatories purporting to make separate agreements that are not subject to the Grocery Code.</w:t>
            </w:r>
          </w:p>
        </w:tc>
      </w:tr>
      <w:tr w:rsidR="00E55BA8" w:rsidRPr="00E55BA8" w14:paraId="38778A1F" w14:textId="77777777" w:rsidTr="003C31BD">
        <w:trPr>
          <w:cantSplit/>
        </w:trPr>
        <w:tc>
          <w:tcPr>
            <w:tcW w:w="5353" w:type="dxa"/>
            <w:tcBorders>
              <w:top w:val="single" w:sz="4" w:space="0" w:color="B2B3B5" w:themeColor="accent4" w:themeTint="99"/>
              <w:bottom w:val="single" w:sz="4" w:space="0" w:color="B2B3B5" w:themeColor="accent4" w:themeTint="99"/>
            </w:tcBorders>
          </w:tcPr>
          <w:p w14:paraId="464285D2" w14:textId="77777777" w:rsidR="00E923F2" w:rsidRPr="00DC62EE" w:rsidRDefault="00E923F2" w:rsidP="00F633CD">
            <w:pPr>
              <w:spacing w:before="240"/>
              <w:rPr>
                <w:rFonts w:cs="Arial"/>
                <w:b/>
                <w:color w:val="0072BB"/>
                <w:kern w:val="32"/>
                <w:szCs w:val="22"/>
              </w:rPr>
            </w:pPr>
            <w:r w:rsidRPr="00DC62EE">
              <w:rPr>
                <w:rFonts w:cs="Arial"/>
                <w:b/>
                <w:color w:val="0072BB"/>
                <w:kern w:val="32"/>
                <w:szCs w:val="22"/>
              </w:rPr>
              <w:t>Recommendation 10</w:t>
            </w:r>
          </w:p>
          <w:p w14:paraId="0114AD3F" w14:textId="77777777" w:rsidR="00E55BA8" w:rsidRPr="00877A8E" w:rsidRDefault="00E923F2" w:rsidP="00F633CD">
            <w:pPr>
              <w:spacing w:after="240"/>
              <w:rPr>
                <w:rFonts w:asciiTheme="minorHAnsi" w:eastAsiaTheme="minorHAnsi" w:hAnsiTheme="minorHAnsi" w:cstheme="minorBidi"/>
                <w:color w:val="0072BB"/>
                <w:szCs w:val="22"/>
                <w:lang w:eastAsia="en-US"/>
              </w:rPr>
            </w:pPr>
            <w:r w:rsidRPr="00877A8E">
              <w:rPr>
                <w:rFonts w:cs="Arial"/>
                <w:color w:val="0072BB"/>
                <w:kern w:val="32"/>
                <w:szCs w:val="22"/>
              </w:rPr>
              <w:t>Clause 10 of the Grocery Code should be amended so that there is a ban on variations to Grocery Supply Agreements that have retrospective effect.</w:t>
            </w:r>
          </w:p>
        </w:tc>
        <w:tc>
          <w:tcPr>
            <w:tcW w:w="8930" w:type="dxa"/>
            <w:tcBorders>
              <w:top w:val="single" w:sz="4" w:space="0" w:color="B2B3B5" w:themeColor="accent4" w:themeTint="99"/>
              <w:bottom w:val="single" w:sz="4" w:space="0" w:color="B2B3B5" w:themeColor="accent4" w:themeTint="99"/>
            </w:tcBorders>
          </w:tcPr>
          <w:p w14:paraId="11470934" w14:textId="77777777" w:rsidR="00CF08E1" w:rsidRPr="00DC62EE" w:rsidRDefault="00CF08E1" w:rsidP="00F633CD">
            <w:pPr>
              <w:spacing w:before="240"/>
              <w:rPr>
                <w:b/>
                <w:color w:val="002060"/>
                <w:szCs w:val="22"/>
              </w:rPr>
            </w:pPr>
            <w:r w:rsidRPr="00DC62EE">
              <w:rPr>
                <w:b/>
                <w:color w:val="002060"/>
                <w:szCs w:val="22"/>
              </w:rPr>
              <w:t>Agreed</w:t>
            </w:r>
          </w:p>
          <w:p w14:paraId="6D38D606" w14:textId="77777777" w:rsidR="00E55BA8" w:rsidRPr="00877A8E" w:rsidRDefault="00CF08E1" w:rsidP="00F633CD">
            <w:pPr>
              <w:spacing w:after="240"/>
              <w:rPr>
                <w:color w:val="002060"/>
                <w:szCs w:val="22"/>
              </w:rPr>
            </w:pPr>
            <w:r w:rsidRPr="00877A8E">
              <w:rPr>
                <w:color w:val="002060"/>
                <w:szCs w:val="22"/>
              </w:rPr>
              <w:t>The Government agrees to amend clause 10 of the Grocery Code so that signatories may not “opt out” of the existing ban on variations to Grocery Supply Agreements that have retrospective effect.</w:t>
            </w:r>
          </w:p>
        </w:tc>
      </w:tr>
      <w:tr w:rsidR="00E55BA8" w:rsidRPr="00E55BA8" w14:paraId="0B6CBE32" w14:textId="77777777" w:rsidTr="003C31BD">
        <w:trPr>
          <w:cantSplit/>
        </w:trPr>
        <w:tc>
          <w:tcPr>
            <w:tcW w:w="5353" w:type="dxa"/>
            <w:tcBorders>
              <w:top w:val="single" w:sz="4" w:space="0" w:color="B2B3B5" w:themeColor="accent4" w:themeTint="99"/>
              <w:bottom w:val="single" w:sz="4" w:space="0" w:color="B2B3B5" w:themeColor="accent4" w:themeTint="99"/>
            </w:tcBorders>
          </w:tcPr>
          <w:p w14:paraId="5CFA9290" w14:textId="77777777" w:rsidR="00CF08E1" w:rsidRPr="00DC62EE" w:rsidRDefault="00CF08E1" w:rsidP="00F633CD">
            <w:pPr>
              <w:spacing w:before="240"/>
              <w:rPr>
                <w:rFonts w:cs="Arial"/>
                <w:b/>
                <w:color w:val="0072BB"/>
                <w:kern w:val="32"/>
                <w:szCs w:val="22"/>
              </w:rPr>
            </w:pPr>
            <w:r w:rsidRPr="00DC62EE">
              <w:rPr>
                <w:rFonts w:cs="Arial"/>
                <w:b/>
                <w:color w:val="0072BB"/>
                <w:kern w:val="32"/>
                <w:szCs w:val="22"/>
              </w:rPr>
              <w:t>Recommendation 11</w:t>
            </w:r>
          </w:p>
          <w:p w14:paraId="13D58D36" w14:textId="77777777" w:rsidR="00E55BA8" w:rsidRPr="00877A8E" w:rsidRDefault="00CF08E1" w:rsidP="00877A8E">
            <w:pPr>
              <w:rPr>
                <w:rFonts w:asciiTheme="minorHAnsi" w:eastAsiaTheme="minorHAnsi" w:hAnsiTheme="minorHAnsi" w:cstheme="minorBidi"/>
                <w:color w:val="0072BB"/>
                <w:szCs w:val="22"/>
                <w:lang w:eastAsia="en-US"/>
              </w:rPr>
            </w:pPr>
            <w:r w:rsidRPr="00877A8E">
              <w:rPr>
                <w:rFonts w:cs="Arial"/>
                <w:color w:val="0072BB"/>
                <w:kern w:val="32"/>
                <w:szCs w:val="22"/>
              </w:rPr>
              <w:t>Clause 14 should be amended to protect a supplier’s right to negotiate a lower wastage charge (if they have reduced their actual wastage) without it jeopardising other terms and conditions in their agreement.</w:t>
            </w:r>
          </w:p>
        </w:tc>
        <w:tc>
          <w:tcPr>
            <w:tcW w:w="8930" w:type="dxa"/>
            <w:tcBorders>
              <w:top w:val="single" w:sz="4" w:space="0" w:color="B2B3B5" w:themeColor="accent4" w:themeTint="99"/>
              <w:bottom w:val="single" w:sz="4" w:space="0" w:color="B2B3B5" w:themeColor="accent4" w:themeTint="99"/>
            </w:tcBorders>
          </w:tcPr>
          <w:p w14:paraId="0296FD81" w14:textId="77777777" w:rsidR="00CF08E1" w:rsidRPr="00DC62EE" w:rsidRDefault="00CF08E1" w:rsidP="00F633CD">
            <w:pPr>
              <w:spacing w:before="240"/>
              <w:rPr>
                <w:b/>
                <w:color w:val="002060"/>
                <w:szCs w:val="22"/>
              </w:rPr>
            </w:pPr>
            <w:r w:rsidRPr="00DC62EE">
              <w:rPr>
                <w:b/>
                <w:color w:val="002060"/>
                <w:szCs w:val="22"/>
              </w:rPr>
              <w:t>Agreed</w:t>
            </w:r>
          </w:p>
          <w:p w14:paraId="7587E9C5" w14:textId="77777777" w:rsidR="00CF08E1" w:rsidRPr="00877A8E" w:rsidRDefault="00CF08E1" w:rsidP="00877A8E">
            <w:pPr>
              <w:rPr>
                <w:color w:val="002060"/>
                <w:szCs w:val="22"/>
              </w:rPr>
            </w:pPr>
            <w:r w:rsidRPr="00877A8E">
              <w:rPr>
                <w:color w:val="002060"/>
                <w:szCs w:val="22"/>
              </w:rPr>
              <w:t>The Government agrees that reducing wastage in grocery products is in the best interests of the industry and community.</w:t>
            </w:r>
          </w:p>
          <w:p w14:paraId="7A201557" w14:textId="77777777" w:rsidR="00CF08E1" w:rsidRPr="00877A8E" w:rsidRDefault="00CF08E1" w:rsidP="00877A8E">
            <w:pPr>
              <w:rPr>
                <w:color w:val="002060"/>
                <w:szCs w:val="22"/>
              </w:rPr>
            </w:pPr>
            <w:r w:rsidRPr="00877A8E">
              <w:rPr>
                <w:color w:val="002060"/>
                <w:szCs w:val="22"/>
              </w:rPr>
              <w:t>Clause 14 will be amended to provide suppliers with the right to renegotiate their wastage payments without being required to renegotiate other terms of their Grocery Supply Agreement.</w:t>
            </w:r>
          </w:p>
          <w:p w14:paraId="3BDF953B" w14:textId="77777777" w:rsidR="00E55BA8" w:rsidRPr="00877A8E" w:rsidRDefault="00CF08E1" w:rsidP="00F633CD">
            <w:pPr>
              <w:spacing w:after="240"/>
              <w:rPr>
                <w:color w:val="002060"/>
                <w:szCs w:val="22"/>
              </w:rPr>
            </w:pPr>
            <w:r w:rsidRPr="00877A8E">
              <w:rPr>
                <w:color w:val="002060"/>
                <w:szCs w:val="22"/>
              </w:rPr>
              <w:t>This will ensure that suppliers that invest in reducing wastage are able to negotiate with retailers to realise the financial savings without fear of jeopardising other agreed terms.</w:t>
            </w:r>
          </w:p>
        </w:tc>
      </w:tr>
      <w:tr w:rsidR="00E55BA8" w:rsidRPr="00E55BA8" w14:paraId="420BFCE2" w14:textId="77777777" w:rsidTr="003C31BD">
        <w:trPr>
          <w:cantSplit/>
        </w:trPr>
        <w:tc>
          <w:tcPr>
            <w:tcW w:w="5353" w:type="dxa"/>
            <w:tcBorders>
              <w:top w:val="single" w:sz="4" w:space="0" w:color="B2B3B5" w:themeColor="accent4" w:themeTint="99"/>
              <w:bottom w:val="single" w:sz="4" w:space="0" w:color="B2B3B5" w:themeColor="accent4" w:themeTint="99"/>
            </w:tcBorders>
          </w:tcPr>
          <w:p w14:paraId="65C93BC2" w14:textId="77777777" w:rsidR="001C264E" w:rsidRPr="00DC62EE" w:rsidRDefault="001C264E" w:rsidP="00F633CD">
            <w:pPr>
              <w:spacing w:before="240"/>
              <w:rPr>
                <w:rFonts w:cs="Arial"/>
                <w:b/>
                <w:color w:val="0072BB"/>
                <w:kern w:val="32"/>
                <w:szCs w:val="22"/>
              </w:rPr>
            </w:pPr>
            <w:r w:rsidRPr="00DC62EE">
              <w:rPr>
                <w:rFonts w:cs="Arial"/>
                <w:b/>
                <w:color w:val="0072BB"/>
                <w:kern w:val="32"/>
                <w:szCs w:val="22"/>
              </w:rPr>
              <w:t>Recommendation 12</w:t>
            </w:r>
          </w:p>
          <w:p w14:paraId="74067922" w14:textId="77777777" w:rsidR="00E55BA8" w:rsidRPr="00877A8E" w:rsidRDefault="001C264E" w:rsidP="00F633CD">
            <w:pPr>
              <w:spacing w:after="240"/>
              <w:rPr>
                <w:rFonts w:asciiTheme="minorHAnsi" w:eastAsiaTheme="minorHAnsi" w:hAnsiTheme="minorHAnsi" w:cstheme="minorBidi"/>
                <w:color w:val="0072BB"/>
                <w:szCs w:val="22"/>
                <w:lang w:eastAsia="en-US"/>
              </w:rPr>
            </w:pPr>
            <w:r w:rsidRPr="00877A8E">
              <w:rPr>
                <w:rFonts w:cs="Arial"/>
                <w:color w:val="0072BB"/>
                <w:kern w:val="32"/>
                <w:szCs w:val="22"/>
              </w:rPr>
              <w:t>To amend clause 21 relating to fresh produce standards and quality specifications to make it clear that the requirements apply only to fruit and vegetables.</w:t>
            </w:r>
          </w:p>
        </w:tc>
        <w:tc>
          <w:tcPr>
            <w:tcW w:w="8930" w:type="dxa"/>
            <w:tcBorders>
              <w:top w:val="single" w:sz="4" w:space="0" w:color="B2B3B5" w:themeColor="accent4" w:themeTint="99"/>
              <w:bottom w:val="single" w:sz="4" w:space="0" w:color="B2B3B5" w:themeColor="accent4" w:themeTint="99"/>
            </w:tcBorders>
          </w:tcPr>
          <w:p w14:paraId="376210A0" w14:textId="77777777" w:rsidR="001C264E" w:rsidRPr="00DC62EE" w:rsidRDefault="001C264E" w:rsidP="00F633CD">
            <w:pPr>
              <w:spacing w:before="240"/>
              <w:rPr>
                <w:b/>
                <w:color w:val="002060"/>
                <w:szCs w:val="22"/>
              </w:rPr>
            </w:pPr>
            <w:r w:rsidRPr="00DC62EE">
              <w:rPr>
                <w:b/>
                <w:color w:val="002060"/>
                <w:szCs w:val="22"/>
              </w:rPr>
              <w:t>Agreed</w:t>
            </w:r>
          </w:p>
          <w:p w14:paraId="4824ACF5" w14:textId="77777777" w:rsidR="00E55BA8" w:rsidRPr="00877A8E" w:rsidRDefault="001C264E" w:rsidP="00877A8E">
            <w:pPr>
              <w:rPr>
                <w:color w:val="002060"/>
                <w:szCs w:val="22"/>
              </w:rPr>
            </w:pPr>
            <w:r w:rsidRPr="00877A8E">
              <w:rPr>
                <w:color w:val="002060"/>
                <w:szCs w:val="22"/>
              </w:rPr>
              <w:t>The Government agrees to amend clause 21 to provide clarity to stakeholders that the fresh produce standards and quality specifications requirements only apply to fruit and vegetables.</w:t>
            </w:r>
          </w:p>
        </w:tc>
      </w:tr>
      <w:tr w:rsidR="00E55BA8" w:rsidRPr="00E55BA8" w14:paraId="48E71F02" w14:textId="77777777" w:rsidTr="003C31BD">
        <w:trPr>
          <w:cantSplit/>
        </w:trPr>
        <w:tc>
          <w:tcPr>
            <w:tcW w:w="5353" w:type="dxa"/>
            <w:tcBorders>
              <w:top w:val="single" w:sz="4" w:space="0" w:color="B2B3B5" w:themeColor="accent4" w:themeTint="99"/>
              <w:bottom w:val="single" w:sz="4" w:space="0" w:color="B2B3B5" w:themeColor="accent4" w:themeTint="99"/>
            </w:tcBorders>
          </w:tcPr>
          <w:p w14:paraId="60F147AF" w14:textId="77777777" w:rsidR="001C264E" w:rsidRPr="00DC62EE" w:rsidRDefault="001C264E" w:rsidP="00F633CD">
            <w:pPr>
              <w:spacing w:before="240"/>
              <w:rPr>
                <w:rFonts w:cs="Arial"/>
                <w:b/>
                <w:color w:val="0072BB"/>
                <w:kern w:val="32"/>
                <w:szCs w:val="22"/>
              </w:rPr>
            </w:pPr>
            <w:r w:rsidRPr="00DC62EE">
              <w:rPr>
                <w:rFonts w:cs="Arial"/>
                <w:b/>
                <w:color w:val="0072BB"/>
                <w:kern w:val="32"/>
                <w:szCs w:val="22"/>
              </w:rPr>
              <w:t>Recommendation 13</w:t>
            </w:r>
          </w:p>
          <w:p w14:paraId="2357FFC2" w14:textId="77777777" w:rsidR="001C264E" w:rsidRPr="00877A8E" w:rsidRDefault="001C264E" w:rsidP="00877A8E">
            <w:pPr>
              <w:rPr>
                <w:rFonts w:cs="Arial"/>
                <w:color w:val="0072BB"/>
                <w:kern w:val="32"/>
                <w:szCs w:val="22"/>
              </w:rPr>
            </w:pPr>
            <w:r w:rsidRPr="00877A8E">
              <w:rPr>
                <w:rFonts w:cs="Arial"/>
                <w:color w:val="0072BB"/>
                <w:kern w:val="32"/>
                <w:szCs w:val="22"/>
              </w:rPr>
              <w:t>A new provision relating to price rise processes should be introduced to:</w:t>
            </w:r>
          </w:p>
          <w:p w14:paraId="01FB80A2" w14:textId="77777777" w:rsidR="001C264E" w:rsidRPr="00DC62EE" w:rsidRDefault="00DC62EE" w:rsidP="00DC62EE">
            <w:pPr>
              <w:pStyle w:val="OutlineNumbered1"/>
              <w:rPr>
                <w:color w:val="0072BB"/>
              </w:rPr>
            </w:pPr>
            <w:r w:rsidRPr="00DC62EE">
              <w:rPr>
                <w:color w:val="0072BB"/>
              </w:rPr>
              <w:t>P</w:t>
            </w:r>
            <w:r w:rsidR="001C264E" w:rsidRPr="00DC62EE">
              <w:rPr>
                <w:color w:val="0072BB"/>
              </w:rPr>
              <w:t>revent signatories from requiring a supplier to disclose commercially sensitive information;</w:t>
            </w:r>
          </w:p>
          <w:p w14:paraId="28828172" w14:textId="77777777" w:rsidR="001C264E" w:rsidRPr="00DC62EE" w:rsidRDefault="00DC62EE" w:rsidP="00DC62EE">
            <w:pPr>
              <w:pStyle w:val="OutlineNumbered1"/>
              <w:rPr>
                <w:color w:val="0072BB"/>
              </w:rPr>
            </w:pPr>
            <w:r w:rsidRPr="00DC62EE">
              <w:rPr>
                <w:color w:val="0072BB"/>
              </w:rPr>
              <w:t>R</w:t>
            </w:r>
            <w:r w:rsidR="001C264E" w:rsidRPr="00DC62EE">
              <w:rPr>
                <w:color w:val="0072BB"/>
              </w:rPr>
              <w:t>equire that signatories take no longer than 30</w:t>
            </w:r>
            <w:r w:rsidR="00ED6B0D">
              <w:rPr>
                <w:color w:val="0072BB"/>
              </w:rPr>
              <w:t> </w:t>
            </w:r>
            <w:r w:rsidR="001C264E" w:rsidRPr="00DC62EE">
              <w:rPr>
                <w:color w:val="0072BB"/>
              </w:rPr>
              <w:t>days to consider a price rise request from a supplier, unless circumstances exist that justify a reasonable extension that is negotiated with and agreed to by the supplier; and</w:t>
            </w:r>
          </w:p>
          <w:p w14:paraId="31ACCDE8" w14:textId="77777777" w:rsidR="00DC62EE" w:rsidRPr="00DC62EE" w:rsidRDefault="00DC62EE" w:rsidP="00DC62EE">
            <w:pPr>
              <w:pStyle w:val="OutlineNumbered1"/>
              <w:rPr>
                <w:rFonts w:asciiTheme="minorHAnsi" w:eastAsiaTheme="minorHAnsi" w:hAnsiTheme="minorHAnsi" w:cstheme="minorBidi"/>
                <w:color w:val="0072BB"/>
                <w:lang w:eastAsia="en-US"/>
              </w:rPr>
            </w:pPr>
            <w:r w:rsidRPr="00DC62EE">
              <w:rPr>
                <w:color w:val="0072BB"/>
              </w:rPr>
              <w:t>Require</w:t>
            </w:r>
            <w:r w:rsidR="001C264E" w:rsidRPr="00DC62EE">
              <w:rPr>
                <w:color w:val="0072BB"/>
              </w:rPr>
              <w:t xml:space="preserve"> that signatories report on the times taken to make a price rise decision, to be published in the Code Arbiters’ annual reports.</w:t>
            </w:r>
          </w:p>
        </w:tc>
        <w:tc>
          <w:tcPr>
            <w:tcW w:w="8930" w:type="dxa"/>
            <w:tcBorders>
              <w:top w:val="single" w:sz="4" w:space="0" w:color="B2B3B5" w:themeColor="accent4" w:themeTint="99"/>
              <w:bottom w:val="single" w:sz="4" w:space="0" w:color="B2B3B5" w:themeColor="accent4" w:themeTint="99"/>
            </w:tcBorders>
          </w:tcPr>
          <w:p w14:paraId="4D63FF71" w14:textId="77777777" w:rsidR="001C264E" w:rsidRPr="00DC62EE" w:rsidRDefault="001C264E" w:rsidP="00F633CD">
            <w:pPr>
              <w:spacing w:before="240"/>
              <w:rPr>
                <w:b/>
                <w:color w:val="002060"/>
                <w:szCs w:val="22"/>
              </w:rPr>
            </w:pPr>
            <w:r w:rsidRPr="00DC62EE">
              <w:rPr>
                <w:b/>
                <w:color w:val="002060"/>
                <w:szCs w:val="22"/>
              </w:rPr>
              <w:t>Agreed with some modifications</w:t>
            </w:r>
          </w:p>
          <w:p w14:paraId="104B7ACE" w14:textId="77777777" w:rsidR="001C264E" w:rsidRPr="00877A8E" w:rsidRDefault="001C264E" w:rsidP="00877A8E">
            <w:pPr>
              <w:rPr>
                <w:color w:val="002060"/>
                <w:szCs w:val="22"/>
              </w:rPr>
            </w:pPr>
            <w:r w:rsidRPr="00877A8E">
              <w:rPr>
                <w:color w:val="002060"/>
                <w:szCs w:val="22"/>
              </w:rPr>
              <w:t>The Government recognises that price rise negotiations have become a key source of tension in the food and grocery industry, which has led to growing mistrust and resentment between the parties.</w:t>
            </w:r>
          </w:p>
          <w:p w14:paraId="3AB2E1C4" w14:textId="77777777" w:rsidR="001C264E" w:rsidRPr="00877A8E" w:rsidRDefault="001C264E" w:rsidP="00877A8E">
            <w:pPr>
              <w:rPr>
                <w:color w:val="002060"/>
                <w:szCs w:val="22"/>
              </w:rPr>
            </w:pPr>
            <w:r w:rsidRPr="00877A8E">
              <w:rPr>
                <w:color w:val="002060"/>
                <w:szCs w:val="22"/>
              </w:rPr>
              <w:t>The current price verification process being used by retailers is not leading to the best outcomes for suppliers or consumers.</w:t>
            </w:r>
          </w:p>
          <w:p w14:paraId="7B8BE721" w14:textId="77777777" w:rsidR="001C264E" w:rsidRPr="00877A8E" w:rsidRDefault="001C264E" w:rsidP="00877A8E">
            <w:pPr>
              <w:rPr>
                <w:color w:val="002060"/>
                <w:szCs w:val="22"/>
              </w:rPr>
            </w:pPr>
            <w:r w:rsidRPr="00877A8E">
              <w:rPr>
                <w:color w:val="002060"/>
                <w:szCs w:val="22"/>
              </w:rPr>
              <w:t>The Government agrees to:</w:t>
            </w:r>
          </w:p>
          <w:p w14:paraId="412ECF67" w14:textId="77777777" w:rsidR="001C264E" w:rsidRPr="00DC62EE" w:rsidRDefault="001C264E" w:rsidP="00DC62EE">
            <w:pPr>
              <w:pStyle w:val="OutlineNumbered1"/>
              <w:numPr>
                <w:ilvl w:val="0"/>
                <w:numId w:val="27"/>
              </w:numPr>
              <w:rPr>
                <w:color w:val="002060"/>
              </w:rPr>
            </w:pPr>
            <w:r w:rsidRPr="00DC62EE">
              <w:rPr>
                <w:color w:val="002060"/>
              </w:rPr>
              <w:t>Amend the Grocery Code to introduce a new provision to prevent signatories from requiring a supplier to disclose commercially sensitive information as a condition of commencing price rise negotiations.</w:t>
            </w:r>
          </w:p>
          <w:p w14:paraId="3BD78A58" w14:textId="77777777" w:rsidR="001C264E" w:rsidRPr="00DC62EE" w:rsidRDefault="001C264E" w:rsidP="00DC62EE">
            <w:pPr>
              <w:pStyle w:val="OutlineNumbered1"/>
              <w:rPr>
                <w:color w:val="002060"/>
              </w:rPr>
            </w:pPr>
            <w:r w:rsidRPr="00DC62EE">
              <w:rPr>
                <w:color w:val="002060"/>
              </w:rPr>
              <w:t>Impose a 30 day limit that commences once both parties have agreed that all relevant information has been provided for consideration of the price rise. Extensions will be made available to signatories if reasonable circumstances exist to justify it.</w:t>
            </w:r>
          </w:p>
          <w:p w14:paraId="56E32956" w14:textId="77777777" w:rsidR="001C264E" w:rsidRPr="00877A8E" w:rsidRDefault="001C264E" w:rsidP="00DC62EE">
            <w:pPr>
              <w:pStyle w:val="OutlineNumbered1"/>
            </w:pPr>
            <w:r w:rsidRPr="00DC62EE">
              <w:rPr>
                <w:color w:val="002060"/>
              </w:rPr>
              <w:t>Require that signatories report on the number of cases that have taken longer than 30</w:t>
            </w:r>
            <w:r w:rsidR="00FF5EDE">
              <w:rPr>
                <w:color w:val="002060"/>
              </w:rPr>
              <w:t> </w:t>
            </w:r>
            <w:r w:rsidRPr="00DC62EE">
              <w:rPr>
                <w:color w:val="002060"/>
              </w:rPr>
              <w:t>days (also to be represented as a percentage of the total number of price rise cases considered annually).</w:t>
            </w:r>
          </w:p>
          <w:p w14:paraId="63B59A23" w14:textId="77777777" w:rsidR="00E55BA8" w:rsidRPr="00877A8E" w:rsidRDefault="001C264E" w:rsidP="00F633CD">
            <w:pPr>
              <w:spacing w:after="240"/>
              <w:rPr>
                <w:color w:val="002060"/>
                <w:szCs w:val="22"/>
              </w:rPr>
            </w:pPr>
            <w:r w:rsidRPr="00877A8E">
              <w:rPr>
                <w:color w:val="002060"/>
                <w:szCs w:val="22"/>
              </w:rPr>
              <w:t>These measures allow the parties to undertake productive and robust price negotiations, while increasing transparency and accountability to strengthen commercial relationships.</w:t>
            </w:r>
          </w:p>
        </w:tc>
      </w:tr>
      <w:tr w:rsidR="00E55BA8" w:rsidRPr="00E55BA8" w14:paraId="67DD5A47" w14:textId="77777777" w:rsidTr="003C31BD">
        <w:trPr>
          <w:cantSplit/>
        </w:trPr>
        <w:tc>
          <w:tcPr>
            <w:tcW w:w="5353" w:type="dxa"/>
            <w:tcBorders>
              <w:top w:val="single" w:sz="4" w:space="0" w:color="B2B3B5" w:themeColor="accent4" w:themeTint="99"/>
              <w:bottom w:val="single" w:sz="4" w:space="0" w:color="B2B3B5" w:themeColor="accent4" w:themeTint="99"/>
            </w:tcBorders>
          </w:tcPr>
          <w:p w14:paraId="659D77F3" w14:textId="77777777" w:rsidR="001C264E" w:rsidRPr="00DC62EE" w:rsidRDefault="001C264E" w:rsidP="00F633CD">
            <w:pPr>
              <w:spacing w:before="240"/>
              <w:rPr>
                <w:rFonts w:cs="Arial"/>
                <w:b/>
                <w:color w:val="0072BB"/>
                <w:kern w:val="32"/>
                <w:szCs w:val="22"/>
              </w:rPr>
            </w:pPr>
            <w:r w:rsidRPr="00DC62EE">
              <w:rPr>
                <w:rFonts w:cs="Arial"/>
                <w:b/>
                <w:color w:val="0072BB"/>
                <w:kern w:val="32"/>
                <w:szCs w:val="22"/>
              </w:rPr>
              <w:t>Recommendation 14</w:t>
            </w:r>
          </w:p>
          <w:p w14:paraId="650F9884" w14:textId="77777777" w:rsidR="00E55BA8" w:rsidRPr="00877A8E" w:rsidRDefault="001C264E" w:rsidP="00877A8E">
            <w:pPr>
              <w:rPr>
                <w:rFonts w:asciiTheme="minorHAnsi" w:eastAsiaTheme="minorHAnsi" w:hAnsiTheme="minorHAnsi" w:cstheme="minorBidi"/>
                <w:color w:val="0072BB"/>
                <w:szCs w:val="22"/>
                <w:lang w:eastAsia="en-US"/>
              </w:rPr>
            </w:pPr>
            <w:r w:rsidRPr="00877A8E">
              <w:rPr>
                <w:rFonts w:cs="Arial"/>
                <w:color w:val="0072BB"/>
                <w:kern w:val="32"/>
                <w:szCs w:val="22"/>
              </w:rPr>
              <w:t>There should be a review of the Grocery Code within three to five years of implementation of any changes as a result of this Review.</w:t>
            </w:r>
          </w:p>
        </w:tc>
        <w:tc>
          <w:tcPr>
            <w:tcW w:w="8930" w:type="dxa"/>
            <w:tcBorders>
              <w:top w:val="single" w:sz="4" w:space="0" w:color="B2B3B5" w:themeColor="accent4" w:themeTint="99"/>
              <w:bottom w:val="single" w:sz="4" w:space="0" w:color="B2B3B5" w:themeColor="accent4" w:themeTint="99"/>
            </w:tcBorders>
          </w:tcPr>
          <w:p w14:paraId="225AE7BB" w14:textId="77777777" w:rsidR="001C264E" w:rsidRPr="00DC62EE" w:rsidRDefault="001C264E" w:rsidP="00F633CD">
            <w:pPr>
              <w:spacing w:before="240"/>
              <w:rPr>
                <w:b/>
                <w:color w:val="002060"/>
                <w:szCs w:val="22"/>
              </w:rPr>
            </w:pPr>
            <w:r w:rsidRPr="00DC62EE">
              <w:rPr>
                <w:b/>
                <w:color w:val="002060"/>
                <w:szCs w:val="22"/>
              </w:rPr>
              <w:t>Agreed</w:t>
            </w:r>
          </w:p>
          <w:p w14:paraId="1478BA5E" w14:textId="77777777" w:rsidR="001C264E" w:rsidRPr="00877A8E" w:rsidRDefault="001C264E" w:rsidP="00877A8E">
            <w:pPr>
              <w:rPr>
                <w:color w:val="002060"/>
                <w:szCs w:val="22"/>
              </w:rPr>
            </w:pPr>
            <w:r w:rsidRPr="00877A8E">
              <w:rPr>
                <w:color w:val="002060"/>
                <w:szCs w:val="22"/>
              </w:rPr>
              <w:t>The Government agrees that there should be a review of the Grocery Code within three years after the amended Grocery Code has come into force.</w:t>
            </w:r>
          </w:p>
          <w:p w14:paraId="76925BEC" w14:textId="77777777" w:rsidR="00E55BA8" w:rsidRPr="00877A8E" w:rsidRDefault="001C264E" w:rsidP="00F633CD">
            <w:pPr>
              <w:spacing w:after="240"/>
              <w:rPr>
                <w:color w:val="002060"/>
                <w:szCs w:val="22"/>
              </w:rPr>
            </w:pPr>
            <w:r w:rsidRPr="00877A8E">
              <w:rPr>
                <w:color w:val="002060"/>
                <w:szCs w:val="22"/>
              </w:rPr>
              <w:t>A three year review timeframe will allow sufficient time for any changes to become embedded in the sector.</w:t>
            </w:r>
          </w:p>
        </w:tc>
      </w:tr>
    </w:tbl>
    <w:p w14:paraId="31DD4510" w14:textId="77777777" w:rsidR="002B09B7" w:rsidRPr="002B09B7" w:rsidRDefault="002B09B7" w:rsidP="00F36CD6">
      <w:pPr>
        <w:tabs>
          <w:tab w:val="left" w:pos="990"/>
        </w:tabs>
        <w:spacing w:before="0" w:after="0"/>
      </w:pPr>
    </w:p>
    <w:sectPr w:rsidR="002B09B7" w:rsidRPr="002B09B7" w:rsidSect="00EB457C">
      <w:headerReference w:type="even" r:id="rId25"/>
      <w:headerReference w:type="default" r:id="rId26"/>
      <w:footerReference w:type="default" r:id="rId27"/>
      <w:pgSz w:w="16838" w:h="11906" w:orient="landscape" w:code="9"/>
      <w:pgMar w:top="1418" w:right="1418" w:bottom="1418" w:left="1418"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DF481" w14:textId="77777777" w:rsidR="00A97FEB" w:rsidRDefault="00A97FEB">
      <w:pPr>
        <w:spacing w:before="0" w:after="0"/>
      </w:pPr>
      <w:r>
        <w:separator/>
      </w:r>
    </w:p>
  </w:endnote>
  <w:endnote w:type="continuationSeparator" w:id="0">
    <w:p w14:paraId="3F49DC0C" w14:textId="77777777" w:rsidR="00A97FEB" w:rsidRDefault="00A97FEB">
      <w:pPr>
        <w:spacing w:before="0" w:after="0"/>
      </w:pPr>
      <w:r>
        <w:continuationSeparator/>
      </w:r>
    </w:p>
  </w:endnote>
  <w:endnote w:type="continuationNotice" w:id="1">
    <w:p w14:paraId="773E0E2A" w14:textId="77777777" w:rsidR="00A97FEB" w:rsidRDefault="00A97F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BF236" w14:textId="77777777" w:rsidR="004131CF" w:rsidRPr="001E6A73" w:rsidRDefault="004131CF" w:rsidP="003C24B4">
    <w:pPr>
      <w:pStyle w:val="FooterEven"/>
      <w:rPr>
        <w:color w:val="0084BC"/>
      </w:rPr>
    </w:pPr>
    <w:r w:rsidRPr="001E6A73">
      <w:rPr>
        <w:noProof w:val="0"/>
        <w:color w:val="0084BC"/>
      </w:rPr>
      <w:fldChar w:fldCharType="begin"/>
    </w:r>
    <w:r w:rsidRPr="001E6A73">
      <w:rPr>
        <w:color w:val="0084BC"/>
      </w:rPr>
      <w:instrText xml:space="preserve"> PAGE   \* MERGEFORMAT </w:instrText>
    </w:r>
    <w:r w:rsidRPr="001E6A73">
      <w:rPr>
        <w:noProof w:val="0"/>
        <w:color w:val="0084BC"/>
      </w:rPr>
      <w:fldChar w:fldCharType="separate"/>
    </w:r>
    <w:r w:rsidR="00722784">
      <w:rPr>
        <w:color w:val="0084BC"/>
      </w:rPr>
      <w:t>8</w:t>
    </w:r>
    <w:r w:rsidRPr="001E6A73">
      <w:rPr>
        <w:color w:val="0084B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4CC43" w14:textId="77777777" w:rsidR="004131CF" w:rsidRPr="000267E0" w:rsidRDefault="004131CF" w:rsidP="000267E0">
    <w:pPr>
      <w:pStyle w:val="FooterOdd"/>
    </w:pPr>
    <w:r w:rsidRPr="00354CA7">
      <w:rPr>
        <w:color w:val="FFFFFF" w:themeColor="background1"/>
      </w:rPr>
      <w:fldChar w:fldCharType="begin"/>
    </w:r>
    <w:r w:rsidRPr="00354CA7">
      <w:rPr>
        <w:color w:val="FFFFFF" w:themeColor="background1"/>
      </w:rPr>
      <w:instrText xml:space="preserve"> PAGE   \* MERGEFORMAT </w:instrText>
    </w:r>
    <w:r w:rsidRPr="00354CA7">
      <w:rPr>
        <w:color w:val="FFFFFF" w:themeColor="background1"/>
      </w:rPr>
      <w:fldChar w:fldCharType="separate"/>
    </w:r>
    <w:r w:rsidR="00722784">
      <w:rPr>
        <w:noProof/>
        <w:color w:val="FFFFFF" w:themeColor="background1"/>
      </w:rPr>
      <w:t>1</w:t>
    </w:r>
    <w:r w:rsidRPr="00354CA7">
      <w:rPr>
        <w:noProof/>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46BA0" w14:textId="77777777" w:rsidR="001E6A73" w:rsidRPr="001E6A73" w:rsidRDefault="001E6A73" w:rsidP="000267E0">
    <w:pPr>
      <w:pStyle w:val="FooterOdd"/>
      <w:rPr>
        <w:color w:val="0084BC"/>
      </w:rPr>
    </w:pPr>
    <w:r w:rsidRPr="001E6A73">
      <w:rPr>
        <w:color w:val="0084BC"/>
      </w:rPr>
      <w:fldChar w:fldCharType="begin"/>
    </w:r>
    <w:r w:rsidRPr="001E6A73">
      <w:rPr>
        <w:color w:val="0084BC"/>
      </w:rPr>
      <w:instrText xml:space="preserve"> PAGE   \* MERGEFORMAT </w:instrText>
    </w:r>
    <w:r w:rsidRPr="001E6A73">
      <w:rPr>
        <w:color w:val="0084BC"/>
      </w:rPr>
      <w:fldChar w:fldCharType="separate"/>
    </w:r>
    <w:r w:rsidR="00722784">
      <w:rPr>
        <w:noProof/>
        <w:color w:val="0084BC"/>
      </w:rPr>
      <w:t>9</w:t>
    </w:r>
    <w:r w:rsidRPr="001E6A73">
      <w:rPr>
        <w:noProof/>
        <w:color w:val="0084B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6C539" w14:textId="77777777" w:rsidR="00A97FEB" w:rsidRDefault="00A97FEB">
      <w:pPr>
        <w:spacing w:before="0" w:after="0"/>
      </w:pPr>
      <w:r>
        <w:separator/>
      </w:r>
    </w:p>
  </w:footnote>
  <w:footnote w:type="continuationSeparator" w:id="0">
    <w:p w14:paraId="514B43B4" w14:textId="77777777" w:rsidR="00A97FEB" w:rsidRDefault="00A97FEB">
      <w:pPr>
        <w:spacing w:before="0" w:after="0"/>
      </w:pPr>
      <w:r>
        <w:continuationSeparator/>
      </w:r>
    </w:p>
  </w:footnote>
  <w:footnote w:type="continuationNotice" w:id="1">
    <w:p w14:paraId="426B36BF" w14:textId="77777777" w:rsidR="00A97FEB" w:rsidRDefault="00A97FE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618C6" w14:textId="77777777" w:rsidR="004131CF" w:rsidRDefault="00C067E2" w:rsidP="00D8620B">
    <w:pPr>
      <w:pStyle w:val="Header"/>
      <w:spacing w:before="1080"/>
    </w:pPr>
    <w:r>
      <w:rPr>
        <w:noProof/>
      </w:rPr>
      <w:drawing>
        <wp:inline distT="0" distB="0" distL="0" distR="0" wp14:anchorId="56B4AFAE" wp14:editId="6CC49301">
          <wp:extent cx="2203708" cy="53644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708" cy="53644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E7C63" w14:textId="77777777" w:rsidR="004131CF" w:rsidRPr="00ED0986" w:rsidRDefault="00254BEC" w:rsidP="0051001E">
    <w:pPr>
      <w:pStyle w:val="HeaderOdd"/>
      <w:tabs>
        <w:tab w:val="center" w:pos="4819"/>
        <w:tab w:val="right" w:pos="9638"/>
      </w:tabs>
      <w:rPr>
        <w:color w:val="FFFFFF" w:themeColor="background1"/>
      </w:rPr>
    </w:pPr>
    <w:r>
      <w:rPr>
        <w:noProof/>
      </w:rPr>
      <mc:AlternateContent>
        <mc:Choice Requires="wps">
          <w:drawing>
            <wp:anchor distT="0" distB="0" distL="114300" distR="114300" simplePos="0" relativeHeight="251657728" behindDoc="1" locked="0" layoutInCell="1" allowOverlap="1" wp14:anchorId="4C4883AD" wp14:editId="14F0567F">
              <wp:simplePos x="0" y="0"/>
              <wp:positionH relativeFrom="page">
                <wp:align>center</wp:align>
              </wp:positionH>
              <wp:positionV relativeFrom="page">
                <wp:posOffset>180340</wp:posOffset>
              </wp:positionV>
              <wp:extent cx="7200000" cy="10296525"/>
              <wp:effectExtent l="0" t="0" r="1270" b="9525"/>
              <wp:wrapNone/>
              <wp:docPr id="1" name="Rectangle 1"/>
              <wp:cNvGraphicFramePr/>
              <a:graphic xmlns:a="http://schemas.openxmlformats.org/drawingml/2006/main">
                <a:graphicData uri="http://schemas.microsoft.com/office/word/2010/wordprocessingShape">
                  <wps:wsp>
                    <wps:cNvSpPr/>
                    <wps:spPr>
                      <a:xfrm>
                        <a:off x="0" y="0"/>
                        <a:ext cx="7200000" cy="10296525"/>
                      </a:xfrm>
                      <a:prstGeom prst="rect">
                        <a:avLst/>
                      </a:prstGeom>
                      <a:solidFill>
                        <a:schemeClr val="accent3">
                          <a:lumMod val="90000"/>
                          <a:lumOff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14.2pt;width:566.95pt;height:810.75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" fillcolor="#004b7b [2902]" stroked="f" strokeweight="2pt">
              <w10:wrap anchorx="page" anchory="page"/>
            </v:rect>
          </w:pict>
        </mc:Fallback>
      </mc:AlternateContent>
    </w:r>
    <w:r w:rsidR="009D22DC" w:rsidRPr="00ED0986">
      <w:rPr>
        <w:color w:val="FFFFFF" w:themeColor="background1"/>
      </w:rPr>
      <w:fldChar w:fldCharType="begin"/>
    </w:r>
    <w:r w:rsidR="009D22DC" w:rsidRPr="00ED0986">
      <w:rPr>
        <w:color w:val="FFFFFF" w:themeColor="background1"/>
      </w:rPr>
      <w:instrText xml:space="preserve"> STYLEREF  "Heading 1"  \* MERGEFORMAT </w:instrText>
    </w:r>
    <w:r w:rsidR="009D22DC" w:rsidRPr="00ED0986">
      <w:rPr>
        <w:color w:val="FFFFFF" w:themeColor="background1"/>
      </w:rPr>
      <w:fldChar w:fldCharType="separate"/>
    </w:r>
    <w:r w:rsidR="00722784">
      <w:rPr>
        <w:noProof/>
        <w:color w:val="FFFFFF" w:themeColor="background1"/>
      </w:rPr>
      <w:t>Foreword</w:t>
    </w:r>
    <w:r w:rsidR="009D22DC" w:rsidRPr="00ED0986">
      <w:rPr>
        <w:noProof/>
        <w:color w:val="FFFFFF" w:themeColor="background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A0520" w14:textId="77777777" w:rsidR="002B09B7" w:rsidRPr="001E6A73" w:rsidRDefault="000267E0" w:rsidP="000267E0">
    <w:pPr>
      <w:pStyle w:val="HeaderEven"/>
      <w:rPr>
        <w:color w:val="0084BC"/>
      </w:rPr>
    </w:pPr>
    <w:r w:rsidRPr="001E6A73">
      <w:rPr>
        <w:color w:val="0084BC"/>
      </w:rPr>
      <w:t>Government Response to the Review of the Food and Grocery Code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1BFFD" w14:textId="77777777" w:rsidR="002B09B7" w:rsidRPr="001E6A73" w:rsidRDefault="000267E0" w:rsidP="000267E0">
    <w:pPr>
      <w:pStyle w:val="Header"/>
      <w:rPr>
        <w:color w:val="0084BC"/>
      </w:rPr>
    </w:pPr>
    <w:r w:rsidRPr="001E6A73">
      <w:rPr>
        <w:color w:val="0084BC"/>
      </w:rPr>
      <w:t>Government Response to the Review of the Food and Grocery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CC4E5D"/>
    <w:multiLevelType w:val="multilevel"/>
    <w:tmpl w:val="D10E9CF6"/>
    <w:numStyleLink w:val="OneLevelList"/>
  </w:abstractNum>
  <w:abstractNum w:abstractNumId="4">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6">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BC87B0D"/>
    <w:multiLevelType w:val="multilevel"/>
    <w:tmpl w:val="B4DCF22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3">
    <w:nsid w:val="510D2021"/>
    <w:multiLevelType w:val="multilevel"/>
    <w:tmpl w:val="72F8140E"/>
    <w:numStyleLink w:val="OutlineList"/>
  </w:abstractNum>
  <w:abstractNum w:abstractNumId="14">
    <w:nsid w:val="5DF71FF7"/>
    <w:multiLevelType w:val="multilevel"/>
    <w:tmpl w:val="C6FAFD1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15">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24534A8"/>
    <w:multiLevelType w:val="hybridMultilevel"/>
    <w:tmpl w:val="AD400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8"/>
  </w:num>
  <w:num w:numId="2">
    <w:abstractNumId w:val="0"/>
  </w:num>
  <w:num w:numId="3">
    <w:abstractNumId w:val="10"/>
  </w:num>
  <w:num w:numId="4">
    <w:abstractNumId w:val="2"/>
  </w:num>
  <w:num w:numId="5">
    <w:abstractNumId w:val="3"/>
  </w:num>
  <w:num w:numId="6">
    <w:abstractNumId w:val="13"/>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7"/>
  </w:num>
  <w:num w:numId="11">
    <w:abstractNumId w:val="18"/>
  </w:num>
  <w:num w:numId="12">
    <w:abstractNumId w:val="13"/>
  </w:num>
  <w:num w:numId="13">
    <w:abstractNumId w:val="19"/>
  </w:num>
  <w:num w:numId="14">
    <w:abstractNumId w:val="12"/>
  </w:num>
  <w:num w:numId="15">
    <w:abstractNumId w:val="6"/>
  </w:num>
  <w:num w:numId="16">
    <w:abstractNumId w:val="15"/>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5"/>
  </w:num>
  <w:num w:numId="21">
    <w:abstractNumId w:val="14"/>
  </w:num>
  <w:num w:numId="22">
    <w:abstractNumId w:val="8"/>
  </w:num>
  <w:num w:numId="23">
    <w:abstractNumId w:val="11"/>
  </w:num>
  <w:num w:numId="24">
    <w:abstractNumId w:val="8"/>
  </w:num>
  <w:num w:numId="25">
    <w:abstractNumId w:val="13"/>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defaultTabStop w:val="720"/>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88E"/>
    <w:rsid w:val="00011725"/>
    <w:rsid w:val="00012C62"/>
    <w:rsid w:val="000138B5"/>
    <w:rsid w:val="00022440"/>
    <w:rsid w:val="000242D6"/>
    <w:rsid w:val="00024ECD"/>
    <w:rsid w:val="0002544D"/>
    <w:rsid w:val="000267E0"/>
    <w:rsid w:val="0004274D"/>
    <w:rsid w:val="00043348"/>
    <w:rsid w:val="0004483F"/>
    <w:rsid w:val="00044C63"/>
    <w:rsid w:val="00046D19"/>
    <w:rsid w:val="0005138B"/>
    <w:rsid w:val="000522B7"/>
    <w:rsid w:val="00056880"/>
    <w:rsid w:val="00057304"/>
    <w:rsid w:val="0006588C"/>
    <w:rsid w:val="000675D1"/>
    <w:rsid w:val="00073521"/>
    <w:rsid w:val="000749A6"/>
    <w:rsid w:val="000775DE"/>
    <w:rsid w:val="00087FAF"/>
    <w:rsid w:val="000A08A9"/>
    <w:rsid w:val="000B7C06"/>
    <w:rsid w:val="000C19EB"/>
    <w:rsid w:val="000C571D"/>
    <w:rsid w:val="000C5F40"/>
    <w:rsid w:val="000D04E1"/>
    <w:rsid w:val="000D3584"/>
    <w:rsid w:val="000E0B74"/>
    <w:rsid w:val="000E465B"/>
    <w:rsid w:val="000E7901"/>
    <w:rsid w:val="001219B3"/>
    <w:rsid w:val="00131DC3"/>
    <w:rsid w:val="00135E4C"/>
    <w:rsid w:val="001373F5"/>
    <w:rsid w:val="00142436"/>
    <w:rsid w:val="001606CF"/>
    <w:rsid w:val="0016128D"/>
    <w:rsid w:val="0017089D"/>
    <w:rsid w:val="0019101A"/>
    <w:rsid w:val="001972D2"/>
    <w:rsid w:val="001A479D"/>
    <w:rsid w:val="001B58AF"/>
    <w:rsid w:val="001C264E"/>
    <w:rsid w:val="001C358D"/>
    <w:rsid w:val="001E3996"/>
    <w:rsid w:val="001E6A73"/>
    <w:rsid w:val="001E6CD7"/>
    <w:rsid w:val="001F02A4"/>
    <w:rsid w:val="001F1B27"/>
    <w:rsid w:val="001F43A6"/>
    <w:rsid w:val="00221EC0"/>
    <w:rsid w:val="00231049"/>
    <w:rsid w:val="002314D2"/>
    <w:rsid w:val="0023305C"/>
    <w:rsid w:val="002372BC"/>
    <w:rsid w:val="002407A3"/>
    <w:rsid w:val="00241881"/>
    <w:rsid w:val="0024294C"/>
    <w:rsid w:val="00254BEC"/>
    <w:rsid w:val="0025652F"/>
    <w:rsid w:val="00263B6C"/>
    <w:rsid w:val="002700FB"/>
    <w:rsid w:val="00272939"/>
    <w:rsid w:val="0027590B"/>
    <w:rsid w:val="00285969"/>
    <w:rsid w:val="00292CB2"/>
    <w:rsid w:val="002A5782"/>
    <w:rsid w:val="002A74EF"/>
    <w:rsid w:val="002B09B7"/>
    <w:rsid w:val="002B3829"/>
    <w:rsid w:val="002C15FE"/>
    <w:rsid w:val="002C22EF"/>
    <w:rsid w:val="002D5D37"/>
    <w:rsid w:val="002E4239"/>
    <w:rsid w:val="002E454C"/>
    <w:rsid w:val="002F22D5"/>
    <w:rsid w:val="002F617F"/>
    <w:rsid w:val="00300096"/>
    <w:rsid w:val="00300109"/>
    <w:rsid w:val="0030300C"/>
    <w:rsid w:val="0030408A"/>
    <w:rsid w:val="00306894"/>
    <w:rsid w:val="003122F4"/>
    <w:rsid w:val="00316104"/>
    <w:rsid w:val="003268D5"/>
    <w:rsid w:val="0033100A"/>
    <w:rsid w:val="00333A89"/>
    <w:rsid w:val="003448F6"/>
    <w:rsid w:val="00350759"/>
    <w:rsid w:val="00354AFB"/>
    <w:rsid w:val="00354B61"/>
    <w:rsid w:val="00354CA7"/>
    <w:rsid w:val="00354D27"/>
    <w:rsid w:val="0035738A"/>
    <w:rsid w:val="00385781"/>
    <w:rsid w:val="003858A6"/>
    <w:rsid w:val="00392DCC"/>
    <w:rsid w:val="003A5B36"/>
    <w:rsid w:val="003B193F"/>
    <w:rsid w:val="003C24B4"/>
    <w:rsid w:val="003C67A6"/>
    <w:rsid w:val="003E20D6"/>
    <w:rsid w:val="003E4D87"/>
    <w:rsid w:val="00401082"/>
    <w:rsid w:val="004131CF"/>
    <w:rsid w:val="00416762"/>
    <w:rsid w:val="00416E55"/>
    <w:rsid w:val="0042518A"/>
    <w:rsid w:val="00427E71"/>
    <w:rsid w:val="00445265"/>
    <w:rsid w:val="0045131E"/>
    <w:rsid w:val="004559CE"/>
    <w:rsid w:val="00460E1A"/>
    <w:rsid w:val="0046140F"/>
    <w:rsid w:val="00463DF8"/>
    <w:rsid w:val="00475085"/>
    <w:rsid w:val="00476CF6"/>
    <w:rsid w:val="00477AA8"/>
    <w:rsid w:val="0049281C"/>
    <w:rsid w:val="00492FCB"/>
    <w:rsid w:val="00497ABD"/>
    <w:rsid w:val="004A0F11"/>
    <w:rsid w:val="004A3EAA"/>
    <w:rsid w:val="004A7D97"/>
    <w:rsid w:val="004B5133"/>
    <w:rsid w:val="004B5F92"/>
    <w:rsid w:val="004C41B6"/>
    <w:rsid w:val="004D4D7E"/>
    <w:rsid w:val="004D6E37"/>
    <w:rsid w:val="004E00EA"/>
    <w:rsid w:val="004F4B92"/>
    <w:rsid w:val="0051001E"/>
    <w:rsid w:val="00516785"/>
    <w:rsid w:val="005219FB"/>
    <w:rsid w:val="0052419D"/>
    <w:rsid w:val="005301F8"/>
    <w:rsid w:val="005312FC"/>
    <w:rsid w:val="0053569E"/>
    <w:rsid w:val="0053603D"/>
    <w:rsid w:val="0053742A"/>
    <w:rsid w:val="00537C85"/>
    <w:rsid w:val="005403C0"/>
    <w:rsid w:val="00541D29"/>
    <w:rsid w:val="0056171D"/>
    <w:rsid w:val="00562F17"/>
    <w:rsid w:val="0056582C"/>
    <w:rsid w:val="005868DE"/>
    <w:rsid w:val="00594A99"/>
    <w:rsid w:val="005966B7"/>
    <w:rsid w:val="005A4311"/>
    <w:rsid w:val="005A462A"/>
    <w:rsid w:val="005B435E"/>
    <w:rsid w:val="005B5E2A"/>
    <w:rsid w:val="005C02A4"/>
    <w:rsid w:val="005C20D2"/>
    <w:rsid w:val="005C32FE"/>
    <w:rsid w:val="005D024A"/>
    <w:rsid w:val="005D2F63"/>
    <w:rsid w:val="005D4FD4"/>
    <w:rsid w:val="005D66F4"/>
    <w:rsid w:val="005D6D64"/>
    <w:rsid w:val="005E17DC"/>
    <w:rsid w:val="00601650"/>
    <w:rsid w:val="00605AFD"/>
    <w:rsid w:val="006123D4"/>
    <w:rsid w:val="0061445B"/>
    <w:rsid w:val="00621493"/>
    <w:rsid w:val="00624C4B"/>
    <w:rsid w:val="00631902"/>
    <w:rsid w:val="00661588"/>
    <w:rsid w:val="0066259D"/>
    <w:rsid w:val="00682677"/>
    <w:rsid w:val="00685CF7"/>
    <w:rsid w:val="00686165"/>
    <w:rsid w:val="00691CB5"/>
    <w:rsid w:val="006A37F5"/>
    <w:rsid w:val="006A4472"/>
    <w:rsid w:val="006C1892"/>
    <w:rsid w:val="006C5B73"/>
    <w:rsid w:val="006C645D"/>
    <w:rsid w:val="006E3CC3"/>
    <w:rsid w:val="006F3C78"/>
    <w:rsid w:val="00702E19"/>
    <w:rsid w:val="007042A8"/>
    <w:rsid w:val="00706E8E"/>
    <w:rsid w:val="00722784"/>
    <w:rsid w:val="00722B53"/>
    <w:rsid w:val="00736270"/>
    <w:rsid w:val="00740C8C"/>
    <w:rsid w:val="007509DD"/>
    <w:rsid w:val="00757046"/>
    <w:rsid w:val="007626B5"/>
    <w:rsid w:val="00763474"/>
    <w:rsid w:val="00766EAF"/>
    <w:rsid w:val="0077504E"/>
    <w:rsid w:val="00780F39"/>
    <w:rsid w:val="00784C0A"/>
    <w:rsid w:val="00785889"/>
    <w:rsid w:val="0079307D"/>
    <w:rsid w:val="00794B40"/>
    <w:rsid w:val="007A1079"/>
    <w:rsid w:val="007A3927"/>
    <w:rsid w:val="007B76AB"/>
    <w:rsid w:val="007C3AE9"/>
    <w:rsid w:val="007C4A7C"/>
    <w:rsid w:val="007D0E90"/>
    <w:rsid w:val="007D183D"/>
    <w:rsid w:val="007D4BDA"/>
    <w:rsid w:val="007D4E1E"/>
    <w:rsid w:val="007D592B"/>
    <w:rsid w:val="007D5AA6"/>
    <w:rsid w:val="007D7A91"/>
    <w:rsid w:val="007E24FD"/>
    <w:rsid w:val="007E5EF3"/>
    <w:rsid w:val="007E6456"/>
    <w:rsid w:val="007F5B01"/>
    <w:rsid w:val="008031B7"/>
    <w:rsid w:val="00811943"/>
    <w:rsid w:val="00813DF2"/>
    <w:rsid w:val="008311B8"/>
    <w:rsid w:val="00834243"/>
    <w:rsid w:val="00840F64"/>
    <w:rsid w:val="00843BB9"/>
    <w:rsid w:val="008454F3"/>
    <w:rsid w:val="00854E9C"/>
    <w:rsid w:val="00857969"/>
    <w:rsid w:val="0087211C"/>
    <w:rsid w:val="00877A8E"/>
    <w:rsid w:val="00882CC4"/>
    <w:rsid w:val="00886399"/>
    <w:rsid w:val="0089347F"/>
    <w:rsid w:val="008C7F71"/>
    <w:rsid w:val="008D339F"/>
    <w:rsid w:val="008E3527"/>
    <w:rsid w:val="008E6229"/>
    <w:rsid w:val="008E6292"/>
    <w:rsid w:val="009035F4"/>
    <w:rsid w:val="00917815"/>
    <w:rsid w:val="00925AA5"/>
    <w:rsid w:val="00926443"/>
    <w:rsid w:val="009308B6"/>
    <w:rsid w:val="0093540D"/>
    <w:rsid w:val="0094019D"/>
    <w:rsid w:val="00942C11"/>
    <w:rsid w:val="0094351F"/>
    <w:rsid w:val="00946E41"/>
    <w:rsid w:val="00947169"/>
    <w:rsid w:val="00947876"/>
    <w:rsid w:val="009547F8"/>
    <w:rsid w:val="009570EC"/>
    <w:rsid w:val="0096255E"/>
    <w:rsid w:val="009729D4"/>
    <w:rsid w:val="009817B0"/>
    <w:rsid w:val="009821CE"/>
    <w:rsid w:val="0099242E"/>
    <w:rsid w:val="009A012D"/>
    <w:rsid w:val="009A277C"/>
    <w:rsid w:val="009A658F"/>
    <w:rsid w:val="009C009A"/>
    <w:rsid w:val="009C488E"/>
    <w:rsid w:val="009D22DC"/>
    <w:rsid w:val="009E171B"/>
    <w:rsid w:val="009E33AB"/>
    <w:rsid w:val="00A015E8"/>
    <w:rsid w:val="00A07D47"/>
    <w:rsid w:val="00A12F62"/>
    <w:rsid w:val="00A14FE9"/>
    <w:rsid w:val="00A22F34"/>
    <w:rsid w:val="00A238E5"/>
    <w:rsid w:val="00A268E4"/>
    <w:rsid w:val="00A319FE"/>
    <w:rsid w:val="00A3749B"/>
    <w:rsid w:val="00A37D87"/>
    <w:rsid w:val="00A50D88"/>
    <w:rsid w:val="00A56923"/>
    <w:rsid w:val="00A62E42"/>
    <w:rsid w:val="00A64A71"/>
    <w:rsid w:val="00A66EFC"/>
    <w:rsid w:val="00A72960"/>
    <w:rsid w:val="00A72D8F"/>
    <w:rsid w:val="00A91F9A"/>
    <w:rsid w:val="00A93401"/>
    <w:rsid w:val="00A96E69"/>
    <w:rsid w:val="00A97FEB"/>
    <w:rsid w:val="00AB74B8"/>
    <w:rsid w:val="00AC3196"/>
    <w:rsid w:val="00AC351F"/>
    <w:rsid w:val="00AD1D33"/>
    <w:rsid w:val="00AD21EB"/>
    <w:rsid w:val="00AE2F90"/>
    <w:rsid w:val="00AE718E"/>
    <w:rsid w:val="00B0047E"/>
    <w:rsid w:val="00B03DD6"/>
    <w:rsid w:val="00B159BA"/>
    <w:rsid w:val="00B168C7"/>
    <w:rsid w:val="00B3583B"/>
    <w:rsid w:val="00B36A4C"/>
    <w:rsid w:val="00B37A8F"/>
    <w:rsid w:val="00B51C73"/>
    <w:rsid w:val="00B57B18"/>
    <w:rsid w:val="00B60CC1"/>
    <w:rsid w:val="00B65347"/>
    <w:rsid w:val="00B7518E"/>
    <w:rsid w:val="00B75C80"/>
    <w:rsid w:val="00B83734"/>
    <w:rsid w:val="00B87927"/>
    <w:rsid w:val="00BA1627"/>
    <w:rsid w:val="00BA70BC"/>
    <w:rsid w:val="00BD26AA"/>
    <w:rsid w:val="00BD454F"/>
    <w:rsid w:val="00C01DCC"/>
    <w:rsid w:val="00C067E2"/>
    <w:rsid w:val="00C14F23"/>
    <w:rsid w:val="00C157BF"/>
    <w:rsid w:val="00C1777F"/>
    <w:rsid w:val="00C202B3"/>
    <w:rsid w:val="00C2187E"/>
    <w:rsid w:val="00C21EE0"/>
    <w:rsid w:val="00C30297"/>
    <w:rsid w:val="00C42E66"/>
    <w:rsid w:val="00C52A1C"/>
    <w:rsid w:val="00C72318"/>
    <w:rsid w:val="00C724E6"/>
    <w:rsid w:val="00C747A5"/>
    <w:rsid w:val="00C85314"/>
    <w:rsid w:val="00CA0116"/>
    <w:rsid w:val="00CA1C96"/>
    <w:rsid w:val="00CA4BC0"/>
    <w:rsid w:val="00CA5CA8"/>
    <w:rsid w:val="00CB0157"/>
    <w:rsid w:val="00CB5205"/>
    <w:rsid w:val="00CC559D"/>
    <w:rsid w:val="00CD44BC"/>
    <w:rsid w:val="00CD654B"/>
    <w:rsid w:val="00CE223E"/>
    <w:rsid w:val="00CE3854"/>
    <w:rsid w:val="00CF08E1"/>
    <w:rsid w:val="00CF3F0D"/>
    <w:rsid w:val="00D017C1"/>
    <w:rsid w:val="00D0414F"/>
    <w:rsid w:val="00D145F5"/>
    <w:rsid w:val="00D14F2A"/>
    <w:rsid w:val="00D34D6C"/>
    <w:rsid w:val="00D355F0"/>
    <w:rsid w:val="00D43AC8"/>
    <w:rsid w:val="00D56113"/>
    <w:rsid w:val="00D56B13"/>
    <w:rsid w:val="00D602F4"/>
    <w:rsid w:val="00D71BAC"/>
    <w:rsid w:val="00D833D9"/>
    <w:rsid w:val="00D83BD9"/>
    <w:rsid w:val="00D8620B"/>
    <w:rsid w:val="00D91B41"/>
    <w:rsid w:val="00D94DCF"/>
    <w:rsid w:val="00D94EAE"/>
    <w:rsid w:val="00D96B39"/>
    <w:rsid w:val="00D96C60"/>
    <w:rsid w:val="00DA586F"/>
    <w:rsid w:val="00DB08DA"/>
    <w:rsid w:val="00DB3B11"/>
    <w:rsid w:val="00DB7F09"/>
    <w:rsid w:val="00DC00E8"/>
    <w:rsid w:val="00DC1C56"/>
    <w:rsid w:val="00DC4756"/>
    <w:rsid w:val="00DC62EE"/>
    <w:rsid w:val="00DC6379"/>
    <w:rsid w:val="00DD73CE"/>
    <w:rsid w:val="00DE030A"/>
    <w:rsid w:val="00DE312F"/>
    <w:rsid w:val="00DE3C77"/>
    <w:rsid w:val="00DE53C0"/>
    <w:rsid w:val="00DF6F61"/>
    <w:rsid w:val="00E046DD"/>
    <w:rsid w:val="00E101C6"/>
    <w:rsid w:val="00E10E60"/>
    <w:rsid w:val="00E22D51"/>
    <w:rsid w:val="00E42654"/>
    <w:rsid w:val="00E50E7C"/>
    <w:rsid w:val="00E51545"/>
    <w:rsid w:val="00E51D9E"/>
    <w:rsid w:val="00E537D1"/>
    <w:rsid w:val="00E55BA8"/>
    <w:rsid w:val="00E567E6"/>
    <w:rsid w:val="00E56971"/>
    <w:rsid w:val="00E61484"/>
    <w:rsid w:val="00E711D7"/>
    <w:rsid w:val="00E815E1"/>
    <w:rsid w:val="00E867D7"/>
    <w:rsid w:val="00E902B0"/>
    <w:rsid w:val="00E902E8"/>
    <w:rsid w:val="00E923F2"/>
    <w:rsid w:val="00E932DD"/>
    <w:rsid w:val="00EA23AC"/>
    <w:rsid w:val="00EA4E53"/>
    <w:rsid w:val="00EA7C3D"/>
    <w:rsid w:val="00EB36F3"/>
    <w:rsid w:val="00EB457C"/>
    <w:rsid w:val="00EB67EA"/>
    <w:rsid w:val="00EB6878"/>
    <w:rsid w:val="00EC1E0E"/>
    <w:rsid w:val="00EC236D"/>
    <w:rsid w:val="00EC6B16"/>
    <w:rsid w:val="00ED0986"/>
    <w:rsid w:val="00ED6B0D"/>
    <w:rsid w:val="00EE1447"/>
    <w:rsid w:val="00EF145E"/>
    <w:rsid w:val="00EF2BBB"/>
    <w:rsid w:val="00F0082D"/>
    <w:rsid w:val="00F015AB"/>
    <w:rsid w:val="00F0355E"/>
    <w:rsid w:val="00F077E8"/>
    <w:rsid w:val="00F07C90"/>
    <w:rsid w:val="00F36CD6"/>
    <w:rsid w:val="00F57BED"/>
    <w:rsid w:val="00F633CD"/>
    <w:rsid w:val="00F7613A"/>
    <w:rsid w:val="00F81378"/>
    <w:rsid w:val="00F82746"/>
    <w:rsid w:val="00F8335D"/>
    <w:rsid w:val="00F836F9"/>
    <w:rsid w:val="00F845D7"/>
    <w:rsid w:val="00F92279"/>
    <w:rsid w:val="00F92AC0"/>
    <w:rsid w:val="00FA67B3"/>
    <w:rsid w:val="00FB4D21"/>
    <w:rsid w:val="00FB5FF2"/>
    <w:rsid w:val="00FB762B"/>
    <w:rsid w:val="00FC4C5D"/>
    <w:rsid w:val="00FC5835"/>
    <w:rsid w:val="00FC6ADA"/>
    <w:rsid w:val="00FF5E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A1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2DC"/>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9D22DC"/>
    <w:pPr>
      <w:spacing w:before="240"/>
      <w:outlineLvl w:val="0"/>
    </w:pPr>
    <w:rPr>
      <w:b/>
      <w:bCs w:val="0"/>
      <w:color w:val="003150" w:themeColor="accent3"/>
      <w:sz w:val="40"/>
    </w:rPr>
  </w:style>
  <w:style w:type="paragraph" w:styleId="Heading2">
    <w:name w:val="heading 2"/>
    <w:basedOn w:val="HeadingBase"/>
    <w:next w:val="Normal"/>
    <w:link w:val="Heading2Char"/>
    <w:qFormat/>
    <w:rsid w:val="009D22DC"/>
    <w:pPr>
      <w:spacing w:before="360"/>
      <w:outlineLvl w:val="1"/>
    </w:pPr>
    <w:rPr>
      <w:bCs w:val="0"/>
      <w:iCs/>
      <w:color w:val="0084BC" w:themeColor="accent1"/>
      <w:sz w:val="32"/>
      <w:szCs w:val="28"/>
    </w:rPr>
  </w:style>
  <w:style w:type="paragraph" w:styleId="Heading3">
    <w:name w:val="heading 3"/>
    <w:basedOn w:val="HeadingBase"/>
    <w:next w:val="Normal"/>
    <w:link w:val="Heading3Char"/>
    <w:qFormat/>
    <w:rsid w:val="009D22DC"/>
    <w:pPr>
      <w:spacing w:before="240"/>
      <w:outlineLvl w:val="2"/>
    </w:pPr>
    <w:rPr>
      <w:bCs w:val="0"/>
      <w:color w:val="7F7F7F"/>
      <w:sz w:val="28"/>
      <w:szCs w:val="26"/>
    </w:rPr>
  </w:style>
  <w:style w:type="paragraph" w:styleId="Heading4">
    <w:name w:val="heading 4"/>
    <w:basedOn w:val="HeadingBase"/>
    <w:next w:val="Normal"/>
    <w:link w:val="Heading4Char"/>
    <w:qFormat/>
    <w:rsid w:val="009D22DC"/>
    <w:pPr>
      <w:outlineLvl w:val="3"/>
    </w:pPr>
    <w:rPr>
      <w:bCs w:val="0"/>
      <w:color w:val="396984"/>
      <w:sz w:val="24"/>
      <w:szCs w:val="26"/>
    </w:rPr>
  </w:style>
  <w:style w:type="paragraph" w:styleId="Heading5">
    <w:name w:val="heading 5"/>
    <w:basedOn w:val="HeadingBase"/>
    <w:next w:val="Normal"/>
    <w:link w:val="Heading5Char"/>
    <w:qFormat/>
    <w:rsid w:val="009D22DC"/>
    <w:pPr>
      <w:outlineLvl w:val="4"/>
    </w:pPr>
    <w:rPr>
      <w:b/>
      <w:bCs w:val="0"/>
      <w:iCs/>
      <w:sz w:val="22"/>
    </w:rPr>
  </w:style>
  <w:style w:type="paragraph" w:styleId="Heading6">
    <w:name w:val="heading 6"/>
    <w:basedOn w:val="HeadingBase"/>
    <w:next w:val="Normal"/>
    <w:link w:val="Heading6Char"/>
    <w:qFormat/>
    <w:rsid w:val="009D22DC"/>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2DC"/>
    <w:rPr>
      <w:rFonts w:ascii="Calibri" w:eastAsia="Times New Roman" w:hAnsi="Calibri" w:cs="Arial"/>
      <w:b/>
      <w:color w:val="003150" w:themeColor="accent3"/>
      <w:kern w:val="32"/>
      <w:sz w:val="40"/>
      <w:szCs w:val="36"/>
      <w:lang w:eastAsia="en-AU"/>
    </w:rPr>
  </w:style>
  <w:style w:type="character" w:customStyle="1" w:styleId="Heading2Char">
    <w:name w:val="Heading 2 Char"/>
    <w:basedOn w:val="DefaultParagraphFont"/>
    <w:link w:val="Heading2"/>
    <w:rsid w:val="009D22DC"/>
    <w:rPr>
      <w:rFonts w:ascii="Calibri" w:eastAsia="Times New Roman" w:hAnsi="Calibri" w:cs="Arial"/>
      <w:iCs/>
      <w:color w:val="0084BC" w:themeColor="accent1"/>
      <w:kern w:val="32"/>
      <w:sz w:val="32"/>
      <w:szCs w:val="28"/>
      <w:lang w:eastAsia="en-AU"/>
    </w:rPr>
  </w:style>
  <w:style w:type="character" w:customStyle="1" w:styleId="Heading3Char">
    <w:name w:val="Heading 3 Char"/>
    <w:basedOn w:val="DefaultParagraphFont"/>
    <w:link w:val="Heading3"/>
    <w:rsid w:val="009D22DC"/>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9D22DC"/>
    <w:rPr>
      <w:rFonts w:ascii="Calibri" w:eastAsia="Times New Roman" w:hAnsi="Calibri" w:cs="Arial"/>
      <w:color w:val="396984"/>
      <w:kern w:val="32"/>
      <w:sz w:val="24"/>
      <w:szCs w:val="26"/>
      <w:lang w:eastAsia="en-AU"/>
    </w:rPr>
  </w:style>
  <w:style w:type="character" w:customStyle="1" w:styleId="Heading5Char">
    <w:name w:val="Heading 5 Char"/>
    <w:basedOn w:val="DefaultParagraphFont"/>
    <w:link w:val="Heading5"/>
    <w:rsid w:val="009D22DC"/>
    <w:rPr>
      <w:rFonts w:ascii="Calibri" w:eastAsia="Times New Roman" w:hAnsi="Calibri" w:cs="Arial"/>
      <w:b/>
      <w:iCs/>
      <w:color w:val="2D4B6E"/>
      <w:kern w:val="32"/>
      <w:szCs w:val="36"/>
      <w:lang w:eastAsia="en-AU"/>
    </w:rPr>
  </w:style>
  <w:style w:type="character" w:customStyle="1" w:styleId="Heading6Char">
    <w:name w:val="Heading 6 Char"/>
    <w:basedOn w:val="DefaultParagraphFont"/>
    <w:link w:val="Heading6"/>
    <w:rsid w:val="009D22DC"/>
    <w:rPr>
      <w:rFonts w:ascii="Calibri" w:eastAsia="Times New Roman" w:hAnsi="Calibri" w:cs="Arial"/>
      <w:color w:val="2D4B6E"/>
      <w:kern w:val="32"/>
      <w:lang w:eastAsia="en-AU"/>
    </w:rPr>
  </w:style>
  <w:style w:type="paragraph" w:customStyle="1" w:styleId="ChartGraphic">
    <w:name w:val="Chart Graphic"/>
    <w:basedOn w:val="Normal"/>
    <w:next w:val="Normal"/>
    <w:rsid w:val="009D22DC"/>
    <w:pPr>
      <w:keepNext/>
      <w:spacing w:before="0" w:after="0"/>
      <w:jc w:val="center"/>
    </w:pPr>
    <w:rPr>
      <w:color w:val="004A7F"/>
      <w:sz w:val="20"/>
    </w:rPr>
  </w:style>
  <w:style w:type="paragraph" w:customStyle="1" w:styleId="AlphaParagraph">
    <w:name w:val="Alpha Paragraph"/>
    <w:basedOn w:val="Normal"/>
    <w:qFormat/>
    <w:rsid w:val="009D22DC"/>
    <w:pPr>
      <w:numPr>
        <w:ilvl w:val="1"/>
        <w:numId w:val="10"/>
      </w:numPr>
      <w:spacing w:before="0"/>
    </w:pPr>
  </w:style>
  <w:style w:type="paragraph" w:customStyle="1" w:styleId="BoxBullet">
    <w:name w:val="Box Bullet"/>
    <w:basedOn w:val="Normal"/>
    <w:rsid w:val="009D22DC"/>
    <w:pPr>
      <w:numPr>
        <w:numId w:val="2"/>
      </w:numPr>
      <w:spacing w:before="0"/>
      <w:ind w:left="284" w:hanging="284"/>
    </w:pPr>
  </w:style>
  <w:style w:type="paragraph" w:customStyle="1" w:styleId="BoxDash">
    <w:name w:val="Box Dash"/>
    <w:basedOn w:val="Normal"/>
    <w:rsid w:val="009D22DC"/>
    <w:pPr>
      <w:numPr>
        <w:ilvl w:val="1"/>
        <w:numId w:val="2"/>
      </w:numPr>
      <w:spacing w:before="0"/>
      <w:ind w:left="568"/>
    </w:pPr>
  </w:style>
  <w:style w:type="paragraph" w:customStyle="1" w:styleId="BoxDoubleDot">
    <w:name w:val="Box Double Dot"/>
    <w:basedOn w:val="Normal"/>
    <w:rsid w:val="009D22DC"/>
    <w:pPr>
      <w:numPr>
        <w:ilvl w:val="2"/>
        <w:numId w:val="2"/>
      </w:numPr>
      <w:spacing w:before="0"/>
      <w:ind w:left="851" w:hanging="284"/>
    </w:pPr>
  </w:style>
  <w:style w:type="paragraph" w:customStyle="1" w:styleId="BoxHeading">
    <w:name w:val="Box Heading"/>
    <w:basedOn w:val="Normal"/>
    <w:next w:val="Normal"/>
    <w:rsid w:val="009D22DC"/>
    <w:pPr>
      <w:keepNext/>
      <w:spacing w:before="240"/>
    </w:pPr>
    <w:rPr>
      <w:b/>
      <w:color w:val="004A7F"/>
      <w:sz w:val="26"/>
      <w:szCs w:val="26"/>
    </w:rPr>
  </w:style>
  <w:style w:type="paragraph" w:customStyle="1" w:styleId="BoxText">
    <w:name w:val="Box Text"/>
    <w:basedOn w:val="Normal"/>
    <w:rsid w:val="009D22DC"/>
  </w:style>
  <w:style w:type="paragraph" w:customStyle="1" w:styleId="Bullet">
    <w:name w:val="Bullet"/>
    <w:basedOn w:val="Normal"/>
    <w:link w:val="BulletChar"/>
    <w:qFormat/>
    <w:rsid w:val="009D22DC"/>
    <w:pPr>
      <w:numPr>
        <w:numId w:val="1"/>
      </w:numPr>
      <w:spacing w:before="0"/>
    </w:pPr>
  </w:style>
  <w:style w:type="paragraph" w:customStyle="1" w:styleId="ChartandTableFootnoteAlpha">
    <w:name w:val="Chart and Table Footnote Alpha"/>
    <w:rsid w:val="009D22DC"/>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9D22DC"/>
    <w:pPr>
      <w:jc w:val="center"/>
    </w:pPr>
  </w:style>
  <w:style w:type="paragraph" w:customStyle="1" w:styleId="ChartorTableNote">
    <w:name w:val="Chart or Table Note"/>
    <w:next w:val="Normal"/>
    <w:rsid w:val="009D22DC"/>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2DC"/>
    <w:pPr>
      <w:jc w:val="center"/>
    </w:pPr>
  </w:style>
  <w:style w:type="paragraph" w:customStyle="1" w:styleId="ReportDate">
    <w:name w:val="Report Date"/>
    <w:basedOn w:val="Normal"/>
    <w:link w:val="ReportDateChar"/>
    <w:rsid w:val="009D22DC"/>
    <w:pPr>
      <w:keepNext/>
      <w:spacing w:before="1080" w:after="360"/>
      <w:jc w:val="right"/>
    </w:pPr>
    <w:rPr>
      <w:color w:val="0084BC" w:themeColor="accent1"/>
      <w:sz w:val="44"/>
    </w:rPr>
  </w:style>
  <w:style w:type="paragraph" w:customStyle="1" w:styleId="Dash">
    <w:name w:val="Dash"/>
    <w:basedOn w:val="Normal"/>
    <w:rsid w:val="009D22DC"/>
    <w:pPr>
      <w:numPr>
        <w:ilvl w:val="1"/>
        <w:numId w:val="1"/>
      </w:numPr>
      <w:spacing w:before="0"/>
      <w:ind w:left="568"/>
    </w:pPr>
  </w:style>
  <w:style w:type="paragraph" w:customStyle="1" w:styleId="DoubleDot">
    <w:name w:val="Double Dot"/>
    <w:basedOn w:val="Normal"/>
    <w:rsid w:val="009D22DC"/>
    <w:pPr>
      <w:numPr>
        <w:ilvl w:val="2"/>
        <w:numId w:val="1"/>
      </w:numPr>
      <w:spacing w:before="0"/>
      <w:ind w:left="851" w:hanging="284"/>
    </w:pPr>
  </w:style>
  <w:style w:type="paragraph" w:customStyle="1" w:styleId="TableMainHeading">
    <w:name w:val="Table Main Heading"/>
    <w:basedOn w:val="Heading3"/>
    <w:next w:val="Normal"/>
    <w:rsid w:val="009D22DC"/>
    <w:pPr>
      <w:spacing w:before="120" w:after="0"/>
    </w:pPr>
    <w:rPr>
      <w:b/>
    </w:rPr>
  </w:style>
  <w:style w:type="paragraph" w:customStyle="1" w:styleId="FooterEven">
    <w:name w:val="Footer Even"/>
    <w:basedOn w:val="Footer"/>
    <w:rsid w:val="009D22DC"/>
    <w:pPr>
      <w:keepNext/>
      <w:tabs>
        <w:tab w:val="clear" w:pos="4513"/>
        <w:tab w:val="clear" w:pos="9026"/>
      </w:tabs>
      <w:jc w:val="left"/>
    </w:pPr>
    <w:rPr>
      <w:noProof/>
      <w:color w:val="0084BC" w:themeColor="accent1"/>
    </w:rPr>
  </w:style>
  <w:style w:type="paragraph" w:customStyle="1" w:styleId="FooterOdd">
    <w:name w:val="Footer Odd"/>
    <w:basedOn w:val="Footer"/>
    <w:rsid w:val="009D22DC"/>
    <w:pPr>
      <w:keepNext/>
      <w:tabs>
        <w:tab w:val="clear" w:pos="4513"/>
        <w:tab w:val="clear" w:pos="9026"/>
      </w:tabs>
      <w:jc w:val="right"/>
    </w:pPr>
    <w:rPr>
      <w:color w:val="0084BC" w:themeColor="accent1"/>
    </w:rPr>
  </w:style>
  <w:style w:type="character" w:styleId="Hyperlink">
    <w:name w:val="Hyperlink"/>
    <w:basedOn w:val="DefaultParagraphFont"/>
    <w:uiPriority w:val="99"/>
    <w:rsid w:val="009D22DC"/>
    <w:rPr>
      <w:color w:val="396984"/>
      <w:u w:val="none"/>
    </w:rPr>
  </w:style>
  <w:style w:type="paragraph" w:customStyle="1" w:styleId="OutlineNumbered1">
    <w:name w:val="Outline Numbered 1"/>
    <w:basedOn w:val="Normal"/>
    <w:rsid w:val="009D22DC"/>
    <w:pPr>
      <w:numPr>
        <w:numId w:val="6"/>
      </w:numPr>
      <w:spacing w:before="0"/>
    </w:pPr>
  </w:style>
  <w:style w:type="paragraph" w:customStyle="1" w:styleId="OneLevelNumberedParagraph">
    <w:name w:val="One Level Numbered Paragraph"/>
    <w:basedOn w:val="Normal"/>
    <w:rsid w:val="009D22DC"/>
    <w:pPr>
      <w:numPr>
        <w:numId w:val="5"/>
      </w:numPr>
      <w:spacing w:before="0"/>
    </w:pPr>
  </w:style>
  <w:style w:type="paragraph" w:customStyle="1" w:styleId="OutlineNumbered2">
    <w:name w:val="Outline Numbered 2"/>
    <w:basedOn w:val="Normal"/>
    <w:rsid w:val="009D22DC"/>
    <w:pPr>
      <w:numPr>
        <w:ilvl w:val="1"/>
        <w:numId w:val="6"/>
      </w:numPr>
      <w:spacing w:before="0"/>
    </w:pPr>
  </w:style>
  <w:style w:type="paragraph" w:customStyle="1" w:styleId="OutlineNumbered3">
    <w:name w:val="Outline Numbered 3"/>
    <w:basedOn w:val="Normal"/>
    <w:rsid w:val="009D22DC"/>
    <w:pPr>
      <w:numPr>
        <w:ilvl w:val="2"/>
        <w:numId w:val="6"/>
      </w:numPr>
      <w:spacing w:before="0"/>
    </w:pPr>
  </w:style>
  <w:style w:type="paragraph" w:customStyle="1" w:styleId="Romannumeral">
    <w:name w:val="Roman numeral"/>
    <w:basedOn w:val="Normal"/>
    <w:rsid w:val="009D22DC"/>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9D22DC"/>
    <w:pPr>
      <w:spacing w:before="0" w:after="0"/>
    </w:pPr>
  </w:style>
  <w:style w:type="paragraph" w:customStyle="1" w:styleId="TableSecondHeading">
    <w:name w:val="Table Second Heading"/>
    <w:basedOn w:val="Normal"/>
    <w:next w:val="Normal"/>
    <w:rsid w:val="009D22DC"/>
    <w:pPr>
      <w:keepNext/>
      <w:spacing w:before="0" w:after="20"/>
    </w:pPr>
    <w:rPr>
      <w:b/>
      <w:color w:val="396984"/>
    </w:rPr>
  </w:style>
  <w:style w:type="paragraph" w:customStyle="1" w:styleId="TableColumnHeadingCentred">
    <w:name w:val="Table Column Heading Centred"/>
    <w:basedOn w:val="TableTextLeft"/>
    <w:rsid w:val="009D22DC"/>
    <w:pPr>
      <w:jc w:val="center"/>
    </w:pPr>
    <w:rPr>
      <w:b/>
      <w:color w:val="FFFFFF" w:themeColor="background1"/>
      <w:sz w:val="24"/>
    </w:rPr>
  </w:style>
  <w:style w:type="paragraph" w:customStyle="1" w:styleId="TableColumnHeadingLeft">
    <w:name w:val="Table Column Heading Left"/>
    <w:basedOn w:val="TableTextLeft"/>
    <w:rsid w:val="009D22DC"/>
    <w:rPr>
      <w:b/>
      <w:color w:val="FFFFFF" w:themeColor="background1"/>
      <w:sz w:val="24"/>
    </w:rPr>
  </w:style>
  <w:style w:type="paragraph" w:customStyle="1" w:styleId="TableColumnHeadingRight">
    <w:name w:val="Table Column Heading Right"/>
    <w:basedOn w:val="TableTextLeft"/>
    <w:rsid w:val="009D22DC"/>
    <w:pPr>
      <w:jc w:val="right"/>
    </w:pPr>
    <w:rPr>
      <w:b/>
      <w:color w:val="FFFFFF" w:themeColor="background1"/>
      <w:sz w:val="24"/>
    </w:rPr>
  </w:style>
  <w:style w:type="table" w:styleId="TableGrid">
    <w:name w:val="Table Grid"/>
    <w:basedOn w:val="TableNormal"/>
    <w:rsid w:val="009D22DC"/>
    <w:pPr>
      <w:spacing w:before="120" w:after="120" w:line="240" w:lineRule="auto"/>
    </w:pPr>
    <w:rPr>
      <w:rFonts w:eastAsia="Times New Roman" w:cs="Times New Roman"/>
      <w:szCs w:val="20"/>
      <w:lang w:eastAsia="en-AU"/>
    </w:rPr>
    <w:tblPr>
      <w:tblBorders>
        <w:top w:val="single" w:sz="4" w:space="0" w:color="396984"/>
        <w:left w:val="single" w:sz="4" w:space="0" w:color="396984"/>
        <w:bottom w:val="single" w:sz="4" w:space="0" w:color="396984"/>
        <w:right w:val="single" w:sz="4" w:space="0" w:color="396984"/>
        <w:insideH w:val="single" w:sz="4" w:space="0" w:color="396984"/>
        <w:insideV w:val="single" w:sz="4" w:space="0" w:color="396984"/>
      </w:tblBorders>
    </w:tblPr>
    <w:tcPr>
      <w:shd w:val="clear" w:color="auto" w:fill="auto"/>
    </w:tcPr>
    <w:tblStylePr w:type="firstRow">
      <w:pPr>
        <w:jc w:val="left"/>
      </w:pPr>
      <w:rPr>
        <w:rFonts w:asciiTheme="minorHAnsi" w:hAnsiTheme="minorHAnsi"/>
        <w:b/>
        <w:color w:val="FFFFFF" w:themeColor="background1"/>
        <w:sz w:val="24"/>
      </w:rPr>
      <w:tblPr/>
      <w:tcPr>
        <w:shd w:val="clear" w:color="auto" w:fill="396984"/>
        <w:vAlign w:val="center"/>
      </w:tcPr>
    </w:tblStylePr>
  </w:style>
  <w:style w:type="paragraph" w:customStyle="1" w:styleId="TableTextCentered">
    <w:name w:val="Table Text Centered"/>
    <w:basedOn w:val="TableTextRight"/>
    <w:rsid w:val="009D22DC"/>
    <w:pPr>
      <w:jc w:val="center"/>
    </w:pPr>
  </w:style>
  <w:style w:type="paragraph" w:customStyle="1" w:styleId="TableTextLeft">
    <w:name w:val="Table Text Left"/>
    <w:basedOn w:val="TableTextRight"/>
    <w:rsid w:val="009D22DC"/>
    <w:pPr>
      <w:jc w:val="left"/>
    </w:pPr>
  </w:style>
  <w:style w:type="paragraph" w:customStyle="1" w:styleId="TableTextRight">
    <w:name w:val="Table Text Right"/>
    <w:basedOn w:val="Normal"/>
    <w:rsid w:val="009D22DC"/>
    <w:pPr>
      <w:spacing w:before="40" w:after="40"/>
      <w:jc w:val="right"/>
    </w:pPr>
    <w:rPr>
      <w:color w:val="000000"/>
      <w:sz w:val="20"/>
    </w:rPr>
  </w:style>
  <w:style w:type="paragraph" w:styleId="TOC1">
    <w:name w:val="toc 1"/>
    <w:basedOn w:val="Normal"/>
    <w:next w:val="Normal"/>
    <w:uiPriority w:val="39"/>
    <w:qFormat/>
    <w:rsid w:val="009D22DC"/>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9D22DC"/>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9D22DC"/>
    <w:pPr>
      <w:tabs>
        <w:tab w:val="right" w:leader="dot" w:pos="9072"/>
      </w:tabs>
      <w:spacing w:before="20" w:after="0"/>
      <w:ind w:left="284" w:right="-2"/>
    </w:pPr>
    <w:rPr>
      <w:rFonts w:cs="Calibri"/>
      <w:noProof/>
    </w:rPr>
  </w:style>
  <w:style w:type="numbering" w:customStyle="1" w:styleId="OutlineList">
    <w:name w:val="OutlineList"/>
    <w:uiPriority w:val="99"/>
    <w:rsid w:val="009D22DC"/>
    <w:pPr>
      <w:numPr>
        <w:numId w:val="4"/>
      </w:numPr>
    </w:pPr>
  </w:style>
  <w:style w:type="numbering" w:customStyle="1" w:styleId="BulletedList">
    <w:name w:val="Bulleted List"/>
    <w:uiPriority w:val="99"/>
    <w:rsid w:val="009D22DC"/>
    <w:pPr>
      <w:numPr>
        <w:numId w:val="1"/>
      </w:numPr>
    </w:pPr>
  </w:style>
  <w:style w:type="numbering" w:customStyle="1" w:styleId="BoxBulletedList">
    <w:name w:val="Box Bulleted List"/>
    <w:uiPriority w:val="99"/>
    <w:rsid w:val="009D22DC"/>
    <w:pPr>
      <w:numPr>
        <w:numId w:val="2"/>
      </w:numPr>
    </w:pPr>
  </w:style>
  <w:style w:type="numbering" w:customStyle="1" w:styleId="OneLevelList">
    <w:name w:val="OneLevelList"/>
    <w:uiPriority w:val="99"/>
    <w:rsid w:val="009D22DC"/>
    <w:pPr>
      <w:numPr>
        <w:numId w:val="3"/>
      </w:numPr>
    </w:pPr>
  </w:style>
  <w:style w:type="numbering" w:customStyle="1" w:styleId="ChartandTableFootnoteAlphaList">
    <w:name w:val="ChartandTableFootnoteAlphaList"/>
    <w:uiPriority w:val="99"/>
    <w:rsid w:val="009D22DC"/>
    <w:pPr>
      <w:numPr>
        <w:numId w:val="17"/>
      </w:numPr>
    </w:pPr>
  </w:style>
  <w:style w:type="paragraph" w:customStyle="1" w:styleId="Crest">
    <w:name w:val="Crest"/>
    <w:basedOn w:val="Header"/>
    <w:rsid w:val="009D22DC"/>
    <w:pPr>
      <w:spacing w:after="480"/>
      <w:jc w:val="center"/>
    </w:pPr>
    <w:rPr>
      <w:color w:val="000000" w:themeColor="text1"/>
    </w:rPr>
  </w:style>
  <w:style w:type="paragraph" w:customStyle="1" w:styleId="Heading1Numbered">
    <w:name w:val="Heading 1 Numbered"/>
    <w:basedOn w:val="Heading1"/>
    <w:next w:val="Normal"/>
    <w:rsid w:val="009D22DC"/>
    <w:pPr>
      <w:numPr>
        <w:numId w:val="8"/>
      </w:numPr>
    </w:pPr>
  </w:style>
  <w:style w:type="character" w:customStyle="1" w:styleId="SingleParagraphChar">
    <w:name w:val="Single Paragraph Char"/>
    <w:basedOn w:val="DefaultParagraphFont"/>
    <w:link w:val="SingleParagraph"/>
    <w:rsid w:val="009D22DC"/>
    <w:rPr>
      <w:rFonts w:ascii="Calibri" w:eastAsia="Times New Roman" w:hAnsi="Calibri" w:cs="Times New Roman"/>
      <w:szCs w:val="20"/>
      <w:lang w:eastAsia="en-AU"/>
    </w:rPr>
  </w:style>
  <w:style w:type="paragraph" w:customStyle="1" w:styleId="Heading2Numbered">
    <w:name w:val="Heading 2 Numbered"/>
    <w:basedOn w:val="Heading2"/>
    <w:next w:val="Normal"/>
    <w:rsid w:val="009D22DC"/>
    <w:pPr>
      <w:numPr>
        <w:ilvl w:val="1"/>
        <w:numId w:val="8"/>
      </w:numPr>
      <w:ind w:left="284" w:hanging="284"/>
    </w:pPr>
  </w:style>
  <w:style w:type="paragraph" w:customStyle="1" w:styleId="Heading3Numbered">
    <w:name w:val="Heading 3 Numbered"/>
    <w:basedOn w:val="Heading3"/>
    <w:qFormat/>
    <w:rsid w:val="009D22DC"/>
    <w:pPr>
      <w:numPr>
        <w:ilvl w:val="2"/>
        <w:numId w:val="8"/>
      </w:numPr>
      <w:ind w:left="284" w:hanging="284"/>
    </w:pPr>
  </w:style>
  <w:style w:type="paragraph" w:styleId="Title">
    <w:name w:val="Title"/>
    <w:basedOn w:val="Normal"/>
    <w:next w:val="Normal"/>
    <w:link w:val="TitleChar"/>
    <w:uiPriority w:val="10"/>
    <w:qFormat/>
    <w:rsid w:val="009D22DC"/>
    <w:pPr>
      <w:spacing w:before="0"/>
      <w:contextualSpacing/>
      <w:jc w:val="right"/>
    </w:pPr>
    <w:rPr>
      <w:rFonts w:eastAsiaTheme="majorEastAsia" w:cstheme="majorBidi"/>
      <w:b/>
      <w:caps/>
      <w:color w:val="003150" w:themeColor="accent3"/>
      <w:spacing w:val="5"/>
      <w:kern w:val="28"/>
      <w:sz w:val="52"/>
      <w:szCs w:val="68"/>
    </w:rPr>
  </w:style>
  <w:style w:type="character" w:customStyle="1" w:styleId="TitleChar">
    <w:name w:val="Title Char"/>
    <w:basedOn w:val="DefaultParagraphFont"/>
    <w:link w:val="Title"/>
    <w:uiPriority w:val="10"/>
    <w:rsid w:val="009D22DC"/>
    <w:rPr>
      <w:rFonts w:ascii="Calibri" w:eastAsiaTheme="majorEastAsia" w:hAnsi="Calibri" w:cstheme="majorBidi"/>
      <w:b/>
      <w:caps/>
      <w:color w:val="003150" w:themeColor="accent3"/>
      <w:spacing w:val="5"/>
      <w:kern w:val="28"/>
      <w:sz w:val="52"/>
      <w:szCs w:val="68"/>
      <w:lang w:eastAsia="en-AU"/>
    </w:rPr>
  </w:style>
  <w:style w:type="paragraph" w:styleId="Subtitle">
    <w:name w:val="Subtitle"/>
    <w:basedOn w:val="Normal"/>
    <w:next w:val="Normal"/>
    <w:link w:val="SubtitleChar"/>
    <w:uiPriority w:val="11"/>
    <w:qFormat/>
    <w:rsid w:val="009D22DC"/>
    <w:pPr>
      <w:numPr>
        <w:ilvl w:val="1"/>
      </w:numPr>
      <w:jc w:val="right"/>
    </w:pPr>
    <w:rPr>
      <w:rFonts w:eastAsiaTheme="majorEastAsia" w:cstheme="majorBidi"/>
      <w:iCs/>
      <w:color w:val="7F7F7F" w:themeColor="text1" w:themeTint="80"/>
      <w:sz w:val="32"/>
      <w:szCs w:val="44"/>
    </w:rPr>
  </w:style>
  <w:style w:type="character" w:customStyle="1" w:styleId="SubtitleChar">
    <w:name w:val="Subtitle Char"/>
    <w:basedOn w:val="DefaultParagraphFont"/>
    <w:link w:val="Subtitle"/>
    <w:uiPriority w:val="11"/>
    <w:rsid w:val="009D22DC"/>
    <w:rPr>
      <w:rFonts w:ascii="Calibri" w:eastAsiaTheme="majorEastAsia" w:hAnsi="Calibri" w:cstheme="majorBidi"/>
      <w:iCs/>
      <w:color w:val="7F7F7F" w:themeColor="text1" w:themeTint="80"/>
      <w:sz w:val="32"/>
      <w:szCs w:val="44"/>
      <w:lang w:eastAsia="en-AU"/>
    </w:rPr>
  </w:style>
  <w:style w:type="character" w:styleId="SubtleEmphasis">
    <w:name w:val="Subtle Emphasis"/>
    <w:basedOn w:val="DefaultParagraphFont"/>
    <w:uiPriority w:val="19"/>
    <w:qFormat/>
    <w:rsid w:val="009D22DC"/>
    <w:rPr>
      <w:i/>
      <w:iCs/>
      <w:color w:val="808080" w:themeColor="text1" w:themeTint="7F"/>
    </w:rPr>
  </w:style>
  <w:style w:type="paragraph" w:styleId="Footer">
    <w:name w:val="footer"/>
    <w:basedOn w:val="Normal"/>
    <w:link w:val="FooterChar"/>
    <w:unhideWhenUsed/>
    <w:rsid w:val="009D22DC"/>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9D22DC"/>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9D22DC"/>
    <w:pPr>
      <w:keepNext/>
      <w:spacing w:before="0" w:after="0"/>
      <w:jc w:val="right"/>
    </w:pPr>
    <w:rPr>
      <w:color w:val="004A7F"/>
      <w:sz w:val="20"/>
    </w:rPr>
  </w:style>
  <w:style w:type="character" w:customStyle="1" w:styleId="HeaderChar">
    <w:name w:val="Header Char"/>
    <w:basedOn w:val="DefaultParagraphFont"/>
    <w:link w:val="Header"/>
    <w:uiPriority w:val="99"/>
    <w:rsid w:val="009D22DC"/>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9D22DC"/>
    <w:rPr>
      <w:color w:val="808080"/>
    </w:rPr>
  </w:style>
  <w:style w:type="paragraph" w:customStyle="1" w:styleId="AppendixHeading">
    <w:name w:val="Appendix Heading"/>
    <w:basedOn w:val="Normal"/>
    <w:next w:val="Normal"/>
    <w:rsid w:val="009D22DC"/>
    <w:pPr>
      <w:keepNext/>
      <w:spacing w:before="720" w:after="360"/>
    </w:pPr>
    <w:rPr>
      <w:rFonts w:ascii="Arial Bold" w:hAnsi="Arial Bold"/>
      <w:b/>
      <w:smallCaps/>
      <w:color w:val="004A7F"/>
      <w:sz w:val="36"/>
      <w:szCs w:val="36"/>
    </w:rPr>
  </w:style>
  <w:style w:type="paragraph" w:customStyle="1" w:styleId="HeadingBase">
    <w:name w:val="Heading Base"/>
    <w:qFormat/>
    <w:rsid w:val="009D22DC"/>
    <w:pPr>
      <w:keepNext/>
      <w:spacing w:after="120" w:line="240" w:lineRule="auto"/>
    </w:pPr>
    <w:rPr>
      <w:rFonts w:ascii="Calibri" w:eastAsia="Times New Roman" w:hAnsi="Calibri" w:cs="Arial"/>
      <w:bCs/>
      <w:color w:val="2D4B6E"/>
      <w:kern w:val="32"/>
      <w:sz w:val="48"/>
      <w:szCs w:val="36"/>
      <w:lang w:eastAsia="en-AU"/>
    </w:rPr>
  </w:style>
  <w:style w:type="character" w:customStyle="1" w:styleId="ReportDateChar">
    <w:name w:val="Report Date Char"/>
    <w:basedOn w:val="DefaultParagraphFont"/>
    <w:link w:val="ReportDate"/>
    <w:rsid w:val="009D22DC"/>
    <w:rPr>
      <w:rFonts w:ascii="Calibri" w:eastAsia="Times New Roman" w:hAnsi="Calibri" w:cs="Times New Roman"/>
      <w:color w:val="0084BC" w:themeColor="accent1"/>
      <w:sz w:val="44"/>
      <w:szCs w:val="20"/>
      <w:lang w:eastAsia="en-AU"/>
    </w:rPr>
  </w:style>
  <w:style w:type="paragraph" w:customStyle="1" w:styleId="Disclaimer">
    <w:name w:val="Disclaimer"/>
    <w:basedOn w:val="ReportDate"/>
    <w:rsid w:val="009D22DC"/>
    <w:pPr>
      <w:spacing w:after="1800"/>
      <w:ind w:right="142"/>
    </w:pPr>
    <w:rPr>
      <w:rFonts w:ascii="Century Gothic" w:hAnsi="Century Gothic"/>
      <w:b/>
      <w:bCs/>
      <w:color w:val="000000" w:themeColor="text2"/>
      <w:sz w:val="22"/>
    </w:rPr>
  </w:style>
  <w:style w:type="paragraph" w:customStyle="1" w:styleId="NotesHeading">
    <w:name w:val="Notes Heading"/>
    <w:basedOn w:val="Normal"/>
    <w:rsid w:val="009D22DC"/>
    <w:pPr>
      <w:keepNext/>
      <w:spacing w:before="240" w:after="360"/>
      <w:jc w:val="center"/>
    </w:pPr>
    <w:rPr>
      <w:rFonts w:ascii="Century Gothic" w:hAnsi="Century Gothic"/>
      <w:smallCaps/>
      <w:color w:val="000000" w:themeColor="text2"/>
      <w:sz w:val="36"/>
      <w:szCs w:val="36"/>
    </w:rPr>
  </w:style>
  <w:style w:type="paragraph" w:customStyle="1" w:styleId="Divider">
    <w:name w:val="Divider"/>
    <w:basedOn w:val="ReportDate"/>
    <w:rsid w:val="009D22DC"/>
    <w:pPr>
      <w:spacing w:after="1800"/>
    </w:pPr>
    <w:rPr>
      <w:rFonts w:ascii="Rockwell" w:hAnsi="Rockwell"/>
      <w:sz w:val="24"/>
    </w:rPr>
  </w:style>
  <w:style w:type="character" w:customStyle="1" w:styleId="FramedFooter">
    <w:name w:val="Framed Footer"/>
    <w:rsid w:val="009D22DC"/>
    <w:rPr>
      <w:rFonts w:ascii="Arial" w:hAnsi="Arial"/>
      <w:color w:val="004A7F"/>
      <w:sz w:val="18"/>
    </w:rPr>
  </w:style>
  <w:style w:type="character" w:customStyle="1" w:styleId="FramedHeader">
    <w:name w:val="Framed Header"/>
    <w:basedOn w:val="DefaultParagraphFont"/>
    <w:rsid w:val="009D22DC"/>
    <w:rPr>
      <w:rFonts w:ascii="Arial" w:hAnsi="Arial"/>
      <w:dstrike w:val="0"/>
      <w:color w:val="auto"/>
      <w:sz w:val="18"/>
      <w:vertAlign w:val="baseline"/>
    </w:rPr>
  </w:style>
  <w:style w:type="paragraph" w:customStyle="1" w:styleId="TableTextIndented">
    <w:name w:val="Table Text Indented"/>
    <w:basedOn w:val="TableTextLeft"/>
    <w:qFormat/>
    <w:rsid w:val="009D22DC"/>
    <w:pPr>
      <w:ind w:left="284"/>
    </w:pPr>
  </w:style>
  <w:style w:type="paragraph" w:customStyle="1" w:styleId="TableHeadingContinued">
    <w:name w:val="Table Heading Continued"/>
    <w:basedOn w:val="TableMainHeading"/>
    <w:next w:val="TableGraphic"/>
    <w:qFormat/>
    <w:rsid w:val="009D22DC"/>
  </w:style>
  <w:style w:type="paragraph" w:customStyle="1" w:styleId="TableGraphic">
    <w:name w:val="Table Graphic"/>
    <w:basedOn w:val="HeadingBase"/>
    <w:next w:val="Normal"/>
    <w:qFormat/>
    <w:rsid w:val="009D22DC"/>
    <w:pPr>
      <w:spacing w:after="0"/>
    </w:pPr>
  </w:style>
  <w:style w:type="paragraph" w:customStyle="1" w:styleId="HeaderEven">
    <w:name w:val="Header Even"/>
    <w:basedOn w:val="Header"/>
    <w:qFormat/>
    <w:rsid w:val="009D22DC"/>
    <w:pPr>
      <w:jc w:val="left"/>
    </w:pPr>
    <w:rPr>
      <w:color w:val="0084BC" w:themeColor="accent1"/>
    </w:rPr>
  </w:style>
  <w:style w:type="paragraph" w:customStyle="1" w:styleId="HeaderOdd">
    <w:name w:val="Header Odd"/>
    <w:basedOn w:val="Header"/>
    <w:qFormat/>
    <w:rsid w:val="009D22DC"/>
    <w:rPr>
      <w:color w:val="0084BC" w:themeColor="accent1"/>
    </w:rPr>
  </w:style>
  <w:style w:type="paragraph" w:styleId="FootnoteText">
    <w:name w:val="footnote text"/>
    <w:basedOn w:val="Normal"/>
    <w:link w:val="FootnoteTextChar"/>
    <w:uiPriority w:val="99"/>
    <w:rsid w:val="009D22DC"/>
    <w:pPr>
      <w:tabs>
        <w:tab w:val="left" w:pos="284"/>
      </w:tabs>
      <w:spacing w:before="0" w:after="0"/>
    </w:pPr>
    <w:rPr>
      <w:sz w:val="20"/>
    </w:rPr>
  </w:style>
  <w:style w:type="character" w:customStyle="1" w:styleId="FootnoteTextChar">
    <w:name w:val="Footnote Text Char"/>
    <w:basedOn w:val="DefaultParagraphFont"/>
    <w:link w:val="FootnoteText"/>
    <w:uiPriority w:val="99"/>
    <w:rsid w:val="009D22DC"/>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9D22DC"/>
    <w:rPr>
      <w:rFonts w:ascii="Calibri" w:hAnsi="Calibri"/>
      <w:sz w:val="20"/>
      <w:vertAlign w:val="baseline"/>
    </w:rPr>
  </w:style>
  <w:style w:type="paragraph" w:styleId="BalloonText">
    <w:name w:val="Balloon Text"/>
    <w:basedOn w:val="Normal"/>
    <w:link w:val="BalloonTextChar"/>
    <w:uiPriority w:val="99"/>
    <w:semiHidden/>
    <w:unhideWhenUsed/>
    <w:rsid w:val="009D22D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2DC"/>
    <w:rPr>
      <w:rFonts w:ascii="Tahoma" w:eastAsia="Times New Roman" w:hAnsi="Tahoma" w:cs="Tahoma"/>
      <w:sz w:val="16"/>
      <w:szCs w:val="16"/>
      <w:lang w:eastAsia="en-AU"/>
    </w:rPr>
  </w:style>
  <w:style w:type="paragraph" w:styleId="NoSpacing">
    <w:name w:val="No Spacing"/>
    <w:uiPriority w:val="1"/>
    <w:qFormat/>
    <w:rsid w:val="009D22DC"/>
    <w:pPr>
      <w:spacing w:after="0" w:line="240" w:lineRule="auto"/>
    </w:pPr>
    <w:rPr>
      <w:rFonts w:ascii="Calibri" w:eastAsia="Times New Roman" w:hAnsi="Calibri" w:cs="Times New Roman"/>
      <w:szCs w:val="20"/>
      <w:lang w:eastAsia="en-AU"/>
    </w:rPr>
  </w:style>
  <w:style w:type="paragraph" w:styleId="IntenseQuote">
    <w:name w:val="Intense Quote"/>
    <w:basedOn w:val="Normal"/>
    <w:next w:val="Normal"/>
    <w:link w:val="IntenseQuoteChar"/>
    <w:uiPriority w:val="30"/>
    <w:qFormat/>
    <w:rsid w:val="009D22DC"/>
    <w:pPr>
      <w:pBdr>
        <w:bottom w:val="single" w:sz="4" w:space="4" w:color="0084BC" w:themeColor="accent1"/>
      </w:pBdr>
      <w:spacing w:before="200" w:after="280"/>
      <w:ind w:left="936" w:right="936"/>
    </w:pPr>
    <w:rPr>
      <w:b/>
      <w:bCs/>
      <w:i/>
      <w:iCs/>
      <w:color w:val="0084BC" w:themeColor="accent1"/>
    </w:rPr>
  </w:style>
  <w:style w:type="character" w:customStyle="1" w:styleId="IntenseQuoteChar">
    <w:name w:val="Intense Quote Char"/>
    <w:basedOn w:val="DefaultParagraphFont"/>
    <w:link w:val="IntenseQuote"/>
    <w:uiPriority w:val="30"/>
    <w:rsid w:val="009D22DC"/>
    <w:rPr>
      <w:rFonts w:ascii="Calibri" w:eastAsia="Times New Roman" w:hAnsi="Calibri" w:cs="Times New Roman"/>
      <w:b/>
      <w:bCs/>
      <w:i/>
      <w:iCs/>
      <w:color w:val="0084BC" w:themeColor="accent1"/>
      <w:szCs w:val="20"/>
      <w:lang w:eastAsia="en-AU"/>
    </w:rPr>
  </w:style>
  <w:style w:type="character" w:styleId="IntenseEmphasis">
    <w:name w:val="Intense Emphasis"/>
    <w:basedOn w:val="DefaultParagraphFont"/>
    <w:uiPriority w:val="21"/>
    <w:qFormat/>
    <w:rsid w:val="009D22DC"/>
    <w:rPr>
      <w:b/>
      <w:bCs/>
      <w:i/>
      <w:iCs/>
      <w:color w:val="0084BC" w:themeColor="accent1"/>
    </w:rPr>
  </w:style>
  <w:style w:type="numbering" w:customStyle="1" w:styleId="Bulletlist">
    <w:name w:val="Bullet list"/>
    <w:uiPriority w:val="99"/>
    <w:rsid w:val="009D22DC"/>
    <w:pPr>
      <w:numPr>
        <w:numId w:val="20"/>
      </w:numPr>
    </w:pPr>
  </w:style>
  <w:style w:type="character" w:customStyle="1" w:styleId="BulletChar">
    <w:name w:val="Bullet Char"/>
    <w:basedOn w:val="DefaultParagraphFont"/>
    <w:link w:val="Bullet"/>
    <w:rsid w:val="009D22DC"/>
    <w:rPr>
      <w:rFonts w:ascii="Calibri" w:eastAsia="Times New Roman" w:hAnsi="Calibri" w:cs="Times New Roman"/>
      <w:szCs w:val="20"/>
      <w:lang w:eastAsia="en-AU"/>
    </w:rPr>
  </w:style>
  <w:style w:type="table" w:customStyle="1" w:styleId="LightList-Accent51">
    <w:name w:val="Light List - Accent 51"/>
    <w:basedOn w:val="TableNormal"/>
    <w:next w:val="LightList-Accent5"/>
    <w:uiPriority w:val="61"/>
    <w:rsid w:val="009D22D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CommentReference">
    <w:name w:val="annotation reference"/>
    <w:basedOn w:val="DefaultParagraphFont"/>
    <w:uiPriority w:val="99"/>
    <w:semiHidden/>
    <w:unhideWhenUsed/>
    <w:rsid w:val="009D22DC"/>
    <w:rPr>
      <w:sz w:val="16"/>
      <w:szCs w:val="16"/>
    </w:rPr>
  </w:style>
  <w:style w:type="paragraph" w:styleId="CommentText">
    <w:name w:val="annotation text"/>
    <w:basedOn w:val="Normal"/>
    <w:link w:val="CommentTextChar"/>
    <w:uiPriority w:val="99"/>
    <w:semiHidden/>
    <w:unhideWhenUsed/>
    <w:rsid w:val="009D22DC"/>
    <w:rPr>
      <w:rFonts w:ascii="Arial" w:eastAsiaTheme="minorHAnsi" w:hAnsi="Arial" w:cstheme="minorBidi"/>
      <w:sz w:val="20"/>
      <w:lang w:eastAsia="en-US"/>
    </w:rPr>
  </w:style>
  <w:style w:type="character" w:customStyle="1" w:styleId="CommentTextChar">
    <w:name w:val="Comment Text Char"/>
    <w:basedOn w:val="DefaultParagraphFont"/>
    <w:link w:val="CommentText"/>
    <w:uiPriority w:val="99"/>
    <w:semiHidden/>
    <w:rsid w:val="009D22DC"/>
    <w:rPr>
      <w:rFonts w:ascii="Arial" w:hAnsi="Arial"/>
      <w:sz w:val="20"/>
      <w:szCs w:val="20"/>
    </w:rPr>
  </w:style>
  <w:style w:type="table" w:styleId="LightList-Accent5">
    <w:name w:val="Light List Accent 5"/>
    <w:basedOn w:val="TableNormal"/>
    <w:uiPriority w:val="61"/>
    <w:rsid w:val="009D22DC"/>
    <w:pPr>
      <w:spacing w:after="0" w:line="240" w:lineRule="auto"/>
    </w:pPr>
    <w:tblPr>
      <w:tblStyleRowBandSize w:val="1"/>
      <w:tblStyleColBandSize w:val="1"/>
      <w:tblBorders>
        <w:top w:val="single" w:sz="8" w:space="0" w:color="99CEE4" w:themeColor="accent5"/>
        <w:left w:val="single" w:sz="8" w:space="0" w:color="99CEE4" w:themeColor="accent5"/>
        <w:bottom w:val="single" w:sz="8" w:space="0" w:color="99CEE4" w:themeColor="accent5"/>
        <w:right w:val="single" w:sz="8" w:space="0" w:color="99CEE4" w:themeColor="accent5"/>
      </w:tblBorders>
    </w:tblPr>
    <w:tblStylePr w:type="firstRow">
      <w:pPr>
        <w:spacing w:before="0" w:after="0" w:line="240" w:lineRule="auto"/>
      </w:pPr>
      <w:rPr>
        <w:b/>
        <w:bCs/>
        <w:color w:val="FFFFFF" w:themeColor="background1"/>
      </w:rPr>
      <w:tblPr/>
      <w:tcPr>
        <w:shd w:val="clear" w:color="auto" w:fill="99CEE4" w:themeFill="accent5"/>
      </w:tcPr>
    </w:tblStylePr>
    <w:tblStylePr w:type="lastRow">
      <w:pPr>
        <w:spacing w:before="0" w:after="0" w:line="240" w:lineRule="auto"/>
      </w:pPr>
      <w:rPr>
        <w:b/>
        <w:bCs/>
      </w:rPr>
      <w:tblPr/>
      <w:tcPr>
        <w:tcBorders>
          <w:top w:val="double" w:sz="6" w:space="0" w:color="99CEE4" w:themeColor="accent5"/>
          <w:left w:val="single" w:sz="8" w:space="0" w:color="99CEE4" w:themeColor="accent5"/>
          <w:bottom w:val="single" w:sz="8" w:space="0" w:color="99CEE4" w:themeColor="accent5"/>
          <w:right w:val="single" w:sz="8" w:space="0" w:color="99CEE4" w:themeColor="accent5"/>
        </w:tcBorders>
      </w:tcPr>
    </w:tblStylePr>
    <w:tblStylePr w:type="firstCol">
      <w:rPr>
        <w:b/>
        <w:bCs/>
      </w:rPr>
    </w:tblStylePr>
    <w:tblStylePr w:type="lastCol">
      <w:rPr>
        <w:b/>
        <w:bCs/>
      </w:rPr>
    </w:tblStylePr>
    <w:tblStylePr w:type="band1Vert">
      <w:tblPr/>
      <w:tcPr>
        <w:tcBorders>
          <w:top w:val="single" w:sz="8" w:space="0" w:color="99CEE4" w:themeColor="accent5"/>
          <w:left w:val="single" w:sz="8" w:space="0" w:color="99CEE4" w:themeColor="accent5"/>
          <w:bottom w:val="single" w:sz="8" w:space="0" w:color="99CEE4" w:themeColor="accent5"/>
          <w:right w:val="single" w:sz="8" w:space="0" w:color="99CEE4" w:themeColor="accent5"/>
        </w:tcBorders>
      </w:tcPr>
    </w:tblStylePr>
    <w:tblStylePr w:type="band1Horz">
      <w:tblPr/>
      <w:tcPr>
        <w:tcBorders>
          <w:top w:val="single" w:sz="8" w:space="0" w:color="99CEE4" w:themeColor="accent5"/>
          <w:left w:val="single" w:sz="8" w:space="0" w:color="99CEE4" w:themeColor="accent5"/>
          <w:bottom w:val="single" w:sz="8" w:space="0" w:color="99CEE4" w:themeColor="accent5"/>
          <w:right w:val="single" w:sz="8" w:space="0" w:color="99CEE4" w:themeColor="accent5"/>
        </w:tcBorders>
      </w:tcPr>
    </w:tblStylePr>
  </w:style>
  <w:style w:type="paragraph" w:styleId="CommentSubject">
    <w:name w:val="annotation subject"/>
    <w:basedOn w:val="CommentText"/>
    <w:next w:val="CommentText"/>
    <w:link w:val="CommentSubjectChar"/>
    <w:uiPriority w:val="99"/>
    <w:semiHidden/>
    <w:unhideWhenUsed/>
    <w:rsid w:val="009D22DC"/>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9D22DC"/>
    <w:rPr>
      <w:rFonts w:ascii="Calibri" w:eastAsia="Times New Roman" w:hAnsi="Calibri" w:cs="Times New Roman"/>
      <w:b/>
      <w:bCs/>
      <w:sz w:val="20"/>
      <w:szCs w:val="20"/>
      <w:lang w:eastAsia="en-AU"/>
    </w:rPr>
  </w:style>
  <w:style w:type="table" w:styleId="LightList-Accent3">
    <w:name w:val="Light List Accent 3"/>
    <w:basedOn w:val="TableNormal"/>
    <w:uiPriority w:val="61"/>
    <w:rsid w:val="009D22DC"/>
    <w:pPr>
      <w:spacing w:after="0" w:line="240" w:lineRule="auto"/>
    </w:pPr>
    <w:tblPr>
      <w:tblStyleRowBandSize w:val="1"/>
      <w:tblStyleColBandSize w:val="1"/>
      <w:tblBorders>
        <w:top w:val="single" w:sz="8" w:space="0" w:color="003150" w:themeColor="accent3"/>
        <w:left w:val="single" w:sz="8" w:space="0" w:color="003150" w:themeColor="accent3"/>
        <w:bottom w:val="single" w:sz="8" w:space="0" w:color="003150" w:themeColor="accent3"/>
        <w:right w:val="single" w:sz="8" w:space="0" w:color="003150" w:themeColor="accent3"/>
      </w:tblBorders>
    </w:tblPr>
    <w:tblStylePr w:type="firstRow">
      <w:pPr>
        <w:spacing w:before="0" w:after="0" w:line="240" w:lineRule="auto"/>
      </w:pPr>
      <w:rPr>
        <w:b/>
        <w:bCs/>
        <w:color w:val="FFFFFF" w:themeColor="background1"/>
      </w:rPr>
      <w:tblPr/>
      <w:tcPr>
        <w:shd w:val="clear" w:color="auto" w:fill="003150" w:themeFill="accent3"/>
      </w:tcPr>
    </w:tblStylePr>
    <w:tblStylePr w:type="lastRow">
      <w:pPr>
        <w:spacing w:before="0" w:after="0" w:line="240" w:lineRule="auto"/>
      </w:pPr>
      <w:rPr>
        <w:b/>
        <w:bCs/>
      </w:rPr>
      <w:tblPr/>
      <w:tcPr>
        <w:tcBorders>
          <w:top w:val="double" w:sz="6" w:space="0" w:color="003150" w:themeColor="accent3"/>
          <w:left w:val="single" w:sz="8" w:space="0" w:color="003150" w:themeColor="accent3"/>
          <w:bottom w:val="single" w:sz="8" w:space="0" w:color="003150" w:themeColor="accent3"/>
          <w:right w:val="single" w:sz="8" w:space="0" w:color="003150" w:themeColor="accent3"/>
        </w:tcBorders>
      </w:tcPr>
    </w:tblStylePr>
    <w:tblStylePr w:type="firstCol">
      <w:rPr>
        <w:b/>
        <w:bCs/>
      </w:rPr>
    </w:tblStylePr>
    <w:tblStylePr w:type="lastCol">
      <w:rPr>
        <w:b/>
        <w:bCs/>
      </w:rPr>
    </w:tblStylePr>
    <w:tblStylePr w:type="band1Vert">
      <w:tblPr/>
      <w:tcPr>
        <w:tcBorders>
          <w:top w:val="single" w:sz="8" w:space="0" w:color="003150" w:themeColor="accent3"/>
          <w:left w:val="single" w:sz="8" w:space="0" w:color="003150" w:themeColor="accent3"/>
          <w:bottom w:val="single" w:sz="8" w:space="0" w:color="003150" w:themeColor="accent3"/>
          <w:right w:val="single" w:sz="8" w:space="0" w:color="003150" w:themeColor="accent3"/>
        </w:tcBorders>
      </w:tcPr>
    </w:tblStylePr>
    <w:tblStylePr w:type="band1Horz">
      <w:tblPr/>
      <w:tcPr>
        <w:tcBorders>
          <w:top w:val="single" w:sz="8" w:space="0" w:color="003150" w:themeColor="accent3"/>
          <w:left w:val="single" w:sz="8" w:space="0" w:color="003150" w:themeColor="accent3"/>
          <w:bottom w:val="single" w:sz="8" w:space="0" w:color="003150" w:themeColor="accent3"/>
          <w:right w:val="single" w:sz="8" w:space="0" w:color="003150" w:themeColor="accent3"/>
        </w:tcBorders>
      </w:tcPr>
    </w:tblStylePr>
  </w:style>
  <w:style w:type="paragraph" w:styleId="TOCHeading">
    <w:name w:val="TOC Heading"/>
    <w:basedOn w:val="Heading1"/>
    <w:next w:val="Normal"/>
    <w:uiPriority w:val="39"/>
    <w:semiHidden/>
    <w:unhideWhenUsed/>
    <w:qFormat/>
    <w:rsid w:val="009D22DC"/>
    <w:pPr>
      <w:keepLines/>
      <w:spacing w:before="480" w:after="0" w:line="276" w:lineRule="auto"/>
      <w:outlineLvl w:val="9"/>
    </w:pPr>
    <w:rPr>
      <w:rFonts w:asciiTheme="majorHAnsi" w:eastAsiaTheme="majorEastAsia" w:hAnsiTheme="majorHAnsi" w:cstheme="majorBidi"/>
      <w:bCs/>
      <w:color w:val="00628C" w:themeColor="accent1" w:themeShade="BF"/>
      <w:kern w:val="0"/>
      <w:sz w:val="28"/>
      <w:szCs w:val="28"/>
      <w:lang w:val="en-US" w:eastAsia="ja-JP"/>
    </w:rPr>
  </w:style>
  <w:style w:type="paragraph" w:customStyle="1" w:styleId="RecommendationHeading">
    <w:name w:val="Recommendation Heading"/>
    <w:basedOn w:val="Heading3"/>
    <w:qFormat/>
    <w:rsid w:val="000242D6"/>
    <w:pPr>
      <w:keepNext w:val="0"/>
    </w:pPr>
    <w:rPr>
      <w:color w:val="0072BB" w:themeColor="accent3" w:themeTint="BF"/>
      <w:sz w:val="24"/>
    </w:rPr>
  </w:style>
  <w:style w:type="character" w:customStyle="1" w:styleId="Bluebold">
    <w:name w:val="Blue bold"/>
    <w:basedOn w:val="DefaultParagraphFont"/>
    <w:uiPriority w:val="1"/>
    <w:qFormat/>
    <w:rsid w:val="009D22DC"/>
    <w:rPr>
      <w:b/>
      <w:color w:val="396984"/>
    </w:rPr>
  </w:style>
  <w:style w:type="paragraph" w:customStyle="1" w:styleId="RecommendationHedaing">
    <w:name w:val="Recommendation Hedaing"/>
    <w:basedOn w:val="Heading3"/>
    <w:qFormat/>
    <w:rsid w:val="009D22DC"/>
    <w:rPr>
      <w:color w:val="396984"/>
      <w:sz w:val="24"/>
    </w:rPr>
  </w:style>
  <w:style w:type="table" w:customStyle="1" w:styleId="TableGrid1">
    <w:name w:val="Table Grid1"/>
    <w:basedOn w:val="TableNormal"/>
    <w:next w:val="TableGrid"/>
    <w:rsid w:val="00E55BA8"/>
    <w:pPr>
      <w:spacing w:before="120" w:after="120" w:line="240" w:lineRule="auto"/>
    </w:pPr>
    <w:rPr>
      <w:rFonts w:eastAsia="Times New Roman" w:cs="Times New Roman"/>
      <w:szCs w:val="20"/>
      <w:lang w:eastAsia="en-AU"/>
    </w:rPr>
    <w:tblPr>
      <w:tblBorders>
        <w:top w:val="single" w:sz="4" w:space="0" w:color="396984"/>
        <w:left w:val="single" w:sz="4" w:space="0" w:color="396984"/>
        <w:bottom w:val="single" w:sz="4" w:space="0" w:color="396984"/>
        <w:right w:val="single" w:sz="4" w:space="0" w:color="396984"/>
        <w:insideH w:val="single" w:sz="4" w:space="0" w:color="396984"/>
        <w:insideV w:val="single" w:sz="4" w:space="0" w:color="396984"/>
      </w:tblBorders>
    </w:tblPr>
    <w:tcPr>
      <w:shd w:val="clear" w:color="auto" w:fill="auto"/>
    </w:tcPr>
    <w:tblStylePr w:type="firstRow">
      <w:pPr>
        <w:jc w:val="left"/>
      </w:pPr>
      <w:rPr>
        <w:rFonts w:asciiTheme="minorHAnsi" w:hAnsiTheme="minorHAnsi"/>
        <w:b/>
        <w:color w:val="FFFFFF" w:themeColor="background1"/>
        <w:sz w:val="24"/>
      </w:rPr>
      <w:tblPr/>
      <w:tcPr>
        <w:shd w:val="clear" w:color="auto" w:fill="396984"/>
        <w:vAlign w:val="center"/>
      </w:tcPr>
    </w:tblStylePr>
  </w:style>
  <w:style w:type="paragraph" w:styleId="Revision">
    <w:name w:val="Revision"/>
    <w:hidden/>
    <w:uiPriority w:val="99"/>
    <w:semiHidden/>
    <w:rsid w:val="00DD73CE"/>
    <w:pPr>
      <w:spacing w:after="0" w:line="240" w:lineRule="auto"/>
    </w:pPr>
    <w:rPr>
      <w:rFonts w:ascii="Calibri" w:eastAsia="Times New Roman" w:hAnsi="Calibri"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2DC"/>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9D22DC"/>
    <w:pPr>
      <w:spacing w:before="240"/>
      <w:outlineLvl w:val="0"/>
    </w:pPr>
    <w:rPr>
      <w:b/>
      <w:bCs w:val="0"/>
      <w:color w:val="003150" w:themeColor="accent3"/>
      <w:sz w:val="40"/>
    </w:rPr>
  </w:style>
  <w:style w:type="paragraph" w:styleId="Heading2">
    <w:name w:val="heading 2"/>
    <w:basedOn w:val="HeadingBase"/>
    <w:next w:val="Normal"/>
    <w:link w:val="Heading2Char"/>
    <w:qFormat/>
    <w:rsid w:val="009D22DC"/>
    <w:pPr>
      <w:spacing w:before="360"/>
      <w:outlineLvl w:val="1"/>
    </w:pPr>
    <w:rPr>
      <w:bCs w:val="0"/>
      <w:iCs/>
      <w:color w:val="0084BC" w:themeColor="accent1"/>
      <w:sz w:val="32"/>
      <w:szCs w:val="28"/>
    </w:rPr>
  </w:style>
  <w:style w:type="paragraph" w:styleId="Heading3">
    <w:name w:val="heading 3"/>
    <w:basedOn w:val="HeadingBase"/>
    <w:next w:val="Normal"/>
    <w:link w:val="Heading3Char"/>
    <w:qFormat/>
    <w:rsid w:val="009D22DC"/>
    <w:pPr>
      <w:spacing w:before="240"/>
      <w:outlineLvl w:val="2"/>
    </w:pPr>
    <w:rPr>
      <w:bCs w:val="0"/>
      <w:color w:val="7F7F7F"/>
      <w:sz w:val="28"/>
      <w:szCs w:val="26"/>
    </w:rPr>
  </w:style>
  <w:style w:type="paragraph" w:styleId="Heading4">
    <w:name w:val="heading 4"/>
    <w:basedOn w:val="HeadingBase"/>
    <w:next w:val="Normal"/>
    <w:link w:val="Heading4Char"/>
    <w:qFormat/>
    <w:rsid w:val="009D22DC"/>
    <w:pPr>
      <w:outlineLvl w:val="3"/>
    </w:pPr>
    <w:rPr>
      <w:bCs w:val="0"/>
      <w:color w:val="396984"/>
      <w:sz w:val="24"/>
      <w:szCs w:val="26"/>
    </w:rPr>
  </w:style>
  <w:style w:type="paragraph" w:styleId="Heading5">
    <w:name w:val="heading 5"/>
    <w:basedOn w:val="HeadingBase"/>
    <w:next w:val="Normal"/>
    <w:link w:val="Heading5Char"/>
    <w:qFormat/>
    <w:rsid w:val="009D22DC"/>
    <w:pPr>
      <w:outlineLvl w:val="4"/>
    </w:pPr>
    <w:rPr>
      <w:b/>
      <w:bCs w:val="0"/>
      <w:iCs/>
      <w:sz w:val="22"/>
    </w:rPr>
  </w:style>
  <w:style w:type="paragraph" w:styleId="Heading6">
    <w:name w:val="heading 6"/>
    <w:basedOn w:val="HeadingBase"/>
    <w:next w:val="Normal"/>
    <w:link w:val="Heading6Char"/>
    <w:qFormat/>
    <w:rsid w:val="009D22DC"/>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2DC"/>
    <w:rPr>
      <w:rFonts w:ascii="Calibri" w:eastAsia="Times New Roman" w:hAnsi="Calibri" w:cs="Arial"/>
      <w:b/>
      <w:color w:val="003150" w:themeColor="accent3"/>
      <w:kern w:val="32"/>
      <w:sz w:val="40"/>
      <w:szCs w:val="36"/>
      <w:lang w:eastAsia="en-AU"/>
    </w:rPr>
  </w:style>
  <w:style w:type="character" w:customStyle="1" w:styleId="Heading2Char">
    <w:name w:val="Heading 2 Char"/>
    <w:basedOn w:val="DefaultParagraphFont"/>
    <w:link w:val="Heading2"/>
    <w:rsid w:val="009D22DC"/>
    <w:rPr>
      <w:rFonts w:ascii="Calibri" w:eastAsia="Times New Roman" w:hAnsi="Calibri" w:cs="Arial"/>
      <w:iCs/>
      <w:color w:val="0084BC" w:themeColor="accent1"/>
      <w:kern w:val="32"/>
      <w:sz w:val="32"/>
      <w:szCs w:val="28"/>
      <w:lang w:eastAsia="en-AU"/>
    </w:rPr>
  </w:style>
  <w:style w:type="character" w:customStyle="1" w:styleId="Heading3Char">
    <w:name w:val="Heading 3 Char"/>
    <w:basedOn w:val="DefaultParagraphFont"/>
    <w:link w:val="Heading3"/>
    <w:rsid w:val="009D22DC"/>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9D22DC"/>
    <w:rPr>
      <w:rFonts w:ascii="Calibri" w:eastAsia="Times New Roman" w:hAnsi="Calibri" w:cs="Arial"/>
      <w:color w:val="396984"/>
      <w:kern w:val="32"/>
      <w:sz w:val="24"/>
      <w:szCs w:val="26"/>
      <w:lang w:eastAsia="en-AU"/>
    </w:rPr>
  </w:style>
  <w:style w:type="character" w:customStyle="1" w:styleId="Heading5Char">
    <w:name w:val="Heading 5 Char"/>
    <w:basedOn w:val="DefaultParagraphFont"/>
    <w:link w:val="Heading5"/>
    <w:rsid w:val="009D22DC"/>
    <w:rPr>
      <w:rFonts w:ascii="Calibri" w:eastAsia="Times New Roman" w:hAnsi="Calibri" w:cs="Arial"/>
      <w:b/>
      <w:iCs/>
      <w:color w:val="2D4B6E"/>
      <w:kern w:val="32"/>
      <w:szCs w:val="36"/>
      <w:lang w:eastAsia="en-AU"/>
    </w:rPr>
  </w:style>
  <w:style w:type="character" w:customStyle="1" w:styleId="Heading6Char">
    <w:name w:val="Heading 6 Char"/>
    <w:basedOn w:val="DefaultParagraphFont"/>
    <w:link w:val="Heading6"/>
    <w:rsid w:val="009D22DC"/>
    <w:rPr>
      <w:rFonts w:ascii="Calibri" w:eastAsia="Times New Roman" w:hAnsi="Calibri" w:cs="Arial"/>
      <w:color w:val="2D4B6E"/>
      <w:kern w:val="32"/>
      <w:lang w:eastAsia="en-AU"/>
    </w:rPr>
  </w:style>
  <w:style w:type="paragraph" w:customStyle="1" w:styleId="ChartGraphic">
    <w:name w:val="Chart Graphic"/>
    <w:basedOn w:val="Normal"/>
    <w:next w:val="Normal"/>
    <w:rsid w:val="009D22DC"/>
    <w:pPr>
      <w:keepNext/>
      <w:spacing w:before="0" w:after="0"/>
      <w:jc w:val="center"/>
    </w:pPr>
    <w:rPr>
      <w:color w:val="004A7F"/>
      <w:sz w:val="20"/>
    </w:rPr>
  </w:style>
  <w:style w:type="paragraph" w:customStyle="1" w:styleId="AlphaParagraph">
    <w:name w:val="Alpha Paragraph"/>
    <w:basedOn w:val="Normal"/>
    <w:qFormat/>
    <w:rsid w:val="009D22DC"/>
    <w:pPr>
      <w:numPr>
        <w:ilvl w:val="1"/>
        <w:numId w:val="10"/>
      </w:numPr>
      <w:spacing w:before="0"/>
    </w:pPr>
  </w:style>
  <w:style w:type="paragraph" w:customStyle="1" w:styleId="BoxBullet">
    <w:name w:val="Box Bullet"/>
    <w:basedOn w:val="Normal"/>
    <w:rsid w:val="009D22DC"/>
    <w:pPr>
      <w:numPr>
        <w:numId w:val="2"/>
      </w:numPr>
      <w:spacing w:before="0"/>
      <w:ind w:left="284" w:hanging="284"/>
    </w:pPr>
  </w:style>
  <w:style w:type="paragraph" w:customStyle="1" w:styleId="BoxDash">
    <w:name w:val="Box Dash"/>
    <w:basedOn w:val="Normal"/>
    <w:rsid w:val="009D22DC"/>
    <w:pPr>
      <w:numPr>
        <w:ilvl w:val="1"/>
        <w:numId w:val="2"/>
      </w:numPr>
      <w:spacing w:before="0"/>
      <w:ind w:left="568"/>
    </w:pPr>
  </w:style>
  <w:style w:type="paragraph" w:customStyle="1" w:styleId="BoxDoubleDot">
    <w:name w:val="Box Double Dot"/>
    <w:basedOn w:val="Normal"/>
    <w:rsid w:val="009D22DC"/>
    <w:pPr>
      <w:numPr>
        <w:ilvl w:val="2"/>
        <w:numId w:val="2"/>
      </w:numPr>
      <w:spacing w:before="0"/>
      <w:ind w:left="851" w:hanging="284"/>
    </w:pPr>
  </w:style>
  <w:style w:type="paragraph" w:customStyle="1" w:styleId="BoxHeading">
    <w:name w:val="Box Heading"/>
    <w:basedOn w:val="Normal"/>
    <w:next w:val="Normal"/>
    <w:rsid w:val="009D22DC"/>
    <w:pPr>
      <w:keepNext/>
      <w:spacing w:before="240"/>
    </w:pPr>
    <w:rPr>
      <w:b/>
      <w:color w:val="004A7F"/>
      <w:sz w:val="26"/>
      <w:szCs w:val="26"/>
    </w:rPr>
  </w:style>
  <w:style w:type="paragraph" w:customStyle="1" w:styleId="BoxText">
    <w:name w:val="Box Text"/>
    <w:basedOn w:val="Normal"/>
    <w:rsid w:val="009D22DC"/>
  </w:style>
  <w:style w:type="paragraph" w:customStyle="1" w:styleId="Bullet">
    <w:name w:val="Bullet"/>
    <w:basedOn w:val="Normal"/>
    <w:link w:val="BulletChar"/>
    <w:qFormat/>
    <w:rsid w:val="009D22DC"/>
    <w:pPr>
      <w:numPr>
        <w:numId w:val="1"/>
      </w:numPr>
      <w:spacing w:before="0"/>
    </w:pPr>
  </w:style>
  <w:style w:type="paragraph" w:customStyle="1" w:styleId="ChartandTableFootnoteAlpha">
    <w:name w:val="Chart and Table Footnote Alpha"/>
    <w:rsid w:val="009D22DC"/>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9D22DC"/>
    <w:pPr>
      <w:jc w:val="center"/>
    </w:pPr>
  </w:style>
  <w:style w:type="paragraph" w:customStyle="1" w:styleId="ChartorTableNote">
    <w:name w:val="Chart or Table Note"/>
    <w:next w:val="Normal"/>
    <w:rsid w:val="009D22DC"/>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2DC"/>
    <w:pPr>
      <w:jc w:val="center"/>
    </w:pPr>
  </w:style>
  <w:style w:type="paragraph" w:customStyle="1" w:styleId="ReportDate">
    <w:name w:val="Report Date"/>
    <w:basedOn w:val="Normal"/>
    <w:link w:val="ReportDateChar"/>
    <w:rsid w:val="009D22DC"/>
    <w:pPr>
      <w:keepNext/>
      <w:spacing w:before="1080" w:after="360"/>
      <w:jc w:val="right"/>
    </w:pPr>
    <w:rPr>
      <w:color w:val="0084BC" w:themeColor="accent1"/>
      <w:sz w:val="44"/>
    </w:rPr>
  </w:style>
  <w:style w:type="paragraph" w:customStyle="1" w:styleId="Dash">
    <w:name w:val="Dash"/>
    <w:basedOn w:val="Normal"/>
    <w:rsid w:val="009D22DC"/>
    <w:pPr>
      <w:numPr>
        <w:ilvl w:val="1"/>
        <w:numId w:val="1"/>
      </w:numPr>
      <w:spacing w:before="0"/>
      <w:ind w:left="568"/>
    </w:pPr>
  </w:style>
  <w:style w:type="paragraph" w:customStyle="1" w:styleId="DoubleDot">
    <w:name w:val="Double Dot"/>
    <w:basedOn w:val="Normal"/>
    <w:rsid w:val="009D22DC"/>
    <w:pPr>
      <w:numPr>
        <w:ilvl w:val="2"/>
        <w:numId w:val="1"/>
      </w:numPr>
      <w:spacing w:before="0"/>
      <w:ind w:left="851" w:hanging="284"/>
    </w:pPr>
  </w:style>
  <w:style w:type="paragraph" w:customStyle="1" w:styleId="TableMainHeading">
    <w:name w:val="Table Main Heading"/>
    <w:basedOn w:val="Heading3"/>
    <w:next w:val="Normal"/>
    <w:rsid w:val="009D22DC"/>
    <w:pPr>
      <w:spacing w:before="120" w:after="0"/>
    </w:pPr>
    <w:rPr>
      <w:b/>
    </w:rPr>
  </w:style>
  <w:style w:type="paragraph" w:customStyle="1" w:styleId="FooterEven">
    <w:name w:val="Footer Even"/>
    <w:basedOn w:val="Footer"/>
    <w:rsid w:val="009D22DC"/>
    <w:pPr>
      <w:keepNext/>
      <w:tabs>
        <w:tab w:val="clear" w:pos="4513"/>
        <w:tab w:val="clear" w:pos="9026"/>
      </w:tabs>
      <w:jc w:val="left"/>
    </w:pPr>
    <w:rPr>
      <w:noProof/>
      <w:color w:val="0084BC" w:themeColor="accent1"/>
    </w:rPr>
  </w:style>
  <w:style w:type="paragraph" w:customStyle="1" w:styleId="FooterOdd">
    <w:name w:val="Footer Odd"/>
    <w:basedOn w:val="Footer"/>
    <w:rsid w:val="009D22DC"/>
    <w:pPr>
      <w:keepNext/>
      <w:tabs>
        <w:tab w:val="clear" w:pos="4513"/>
        <w:tab w:val="clear" w:pos="9026"/>
      </w:tabs>
      <w:jc w:val="right"/>
    </w:pPr>
    <w:rPr>
      <w:color w:val="0084BC" w:themeColor="accent1"/>
    </w:rPr>
  </w:style>
  <w:style w:type="character" w:styleId="Hyperlink">
    <w:name w:val="Hyperlink"/>
    <w:basedOn w:val="DefaultParagraphFont"/>
    <w:uiPriority w:val="99"/>
    <w:rsid w:val="009D22DC"/>
    <w:rPr>
      <w:color w:val="396984"/>
      <w:u w:val="none"/>
    </w:rPr>
  </w:style>
  <w:style w:type="paragraph" w:customStyle="1" w:styleId="OutlineNumbered1">
    <w:name w:val="Outline Numbered 1"/>
    <w:basedOn w:val="Normal"/>
    <w:rsid w:val="009D22DC"/>
    <w:pPr>
      <w:numPr>
        <w:numId w:val="6"/>
      </w:numPr>
      <w:spacing w:before="0"/>
    </w:pPr>
  </w:style>
  <w:style w:type="paragraph" w:customStyle="1" w:styleId="OneLevelNumberedParagraph">
    <w:name w:val="One Level Numbered Paragraph"/>
    <w:basedOn w:val="Normal"/>
    <w:rsid w:val="009D22DC"/>
    <w:pPr>
      <w:numPr>
        <w:numId w:val="5"/>
      </w:numPr>
      <w:spacing w:before="0"/>
    </w:pPr>
  </w:style>
  <w:style w:type="paragraph" w:customStyle="1" w:styleId="OutlineNumbered2">
    <w:name w:val="Outline Numbered 2"/>
    <w:basedOn w:val="Normal"/>
    <w:rsid w:val="009D22DC"/>
    <w:pPr>
      <w:numPr>
        <w:ilvl w:val="1"/>
        <w:numId w:val="6"/>
      </w:numPr>
      <w:spacing w:before="0"/>
    </w:pPr>
  </w:style>
  <w:style w:type="paragraph" w:customStyle="1" w:styleId="OutlineNumbered3">
    <w:name w:val="Outline Numbered 3"/>
    <w:basedOn w:val="Normal"/>
    <w:rsid w:val="009D22DC"/>
    <w:pPr>
      <w:numPr>
        <w:ilvl w:val="2"/>
        <w:numId w:val="6"/>
      </w:numPr>
      <w:spacing w:before="0"/>
    </w:pPr>
  </w:style>
  <w:style w:type="paragraph" w:customStyle="1" w:styleId="Romannumeral">
    <w:name w:val="Roman numeral"/>
    <w:basedOn w:val="Normal"/>
    <w:rsid w:val="009D22DC"/>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9D22DC"/>
    <w:pPr>
      <w:spacing w:before="0" w:after="0"/>
    </w:pPr>
  </w:style>
  <w:style w:type="paragraph" w:customStyle="1" w:styleId="TableSecondHeading">
    <w:name w:val="Table Second Heading"/>
    <w:basedOn w:val="Normal"/>
    <w:next w:val="Normal"/>
    <w:rsid w:val="009D22DC"/>
    <w:pPr>
      <w:keepNext/>
      <w:spacing w:before="0" w:after="20"/>
    </w:pPr>
    <w:rPr>
      <w:b/>
      <w:color w:val="396984"/>
    </w:rPr>
  </w:style>
  <w:style w:type="paragraph" w:customStyle="1" w:styleId="TableColumnHeadingCentred">
    <w:name w:val="Table Column Heading Centred"/>
    <w:basedOn w:val="TableTextLeft"/>
    <w:rsid w:val="009D22DC"/>
    <w:pPr>
      <w:jc w:val="center"/>
    </w:pPr>
    <w:rPr>
      <w:b/>
      <w:color w:val="FFFFFF" w:themeColor="background1"/>
      <w:sz w:val="24"/>
    </w:rPr>
  </w:style>
  <w:style w:type="paragraph" w:customStyle="1" w:styleId="TableColumnHeadingLeft">
    <w:name w:val="Table Column Heading Left"/>
    <w:basedOn w:val="TableTextLeft"/>
    <w:rsid w:val="009D22DC"/>
    <w:rPr>
      <w:b/>
      <w:color w:val="FFFFFF" w:themeColor="background1"/>
      <w:sz w:val="24"/>
    </w:rPr>
  </w:style>
  <w:style w:type="paragraph" w:customStyle="1" w:styleId="TableColumnHeadingRight">
    <w:name w:val="Table Column Heading Right"/>
    <w:basedOn w:val="TableTextLeft"/>
    <w:rsid w:val="009D22DC"/>
    <w:pPr>
      <w:jc w:val="right"/>
    </w:pPr>
    <w:rPr>
      <w:b/>
      <w:color w:val="FFFFFF" w:themeColor="background1"/>
      <w:sz w:val="24"/>
    </w:rPr>
  </w:style>
  <w:style w:type="table" w:styleId="TableGrid">
    <w:name w:val="Table Grid"/>
    <w:basedOn w:val="TableNormal"/>
    <w:rsid w:val="009D22DC"/>
    <w:pPr>
      <w:spacing w:before="120" w:after="120" w:line="240" w:lineRule="auto"/>
    </w:pPr>
    <w:rPr>
      <w:rFonts w:eastAsia="Times New Roman" w:cs="Times New Roman"/>
      <w:szCs w:val="20"/>
      <w:lang w:eastAsia="en-AU"/>
    </w:rPr>
    <w:tblPr>
      <w:tblBorders>
        <w:top w:val="single" w:sz="4" w:space="0" w:color="396984"/>
        <w:left w:val="single" w:sz="4" w:space="0" w:color="396984"/>
        <w:bottom w:val="single" w:sz="4" w:space="0" w:color="396984"/>
        <w:right w:val="single" w:sz="4" w:space="0" w:color="396984"/>
        <w:insideH w:val="single" w:sz="4" w:space="0" w:color="396984"/>
        <w:insideV w:val="single" w:sz="4" w:space="0" w:color="396984"/>
      </w:tblBorders>
    </w:tblPr>
    <w:tcPr>
      <w:shd w:val="clear" w:color="auto" w:fill="auto"/>
    </w:tcPr>
    <w:tblStylePr w:type="firstRow">
      <w:pPr>
        <w:jc w:val="left"/>
      </w:pPr>
      <w:rPr>
        <w:rFonts w:asciiTheme="minorHAnsi" w:hAnsiTheme="minorHAnsi"/>
        <w:b/>
        <w:color w:val="FFFFFF" w:themeColor="background1"/>
        <w:sz w:val="24"/>
      </w:rPr>
      <w:tblPr/>
      <w:tcPr>
        <w:shd w:val="clear" w:color="auto" w:fill="396984"/>
        <w:vAlign w:val="center"/>
      </w:tcPr>
    </w:tblStylePr>
  </w:style>
  <w:style w:type="paragraph" w:customStyle="1" w:styleId="TableTextCentered">
    <w:name w:val="Table Text Centered"/>
    <w:basedOn w:val="TableTextRight"/>
    <w:rsid w:val="009D22DC"/>
    <w:pPr>
      <w:jc w:val="center"/>
    </w:pPr>
  </w:style>
  <w:style w:type="paragraph" w:customStyle="1" w:styleId="TableTextLeft">
    <w:name w:val="Table Text Left"/>
    <w:basedOn w:val="TableTextRight"/>
    <w:rsid w:val="009D22DC"/>
    <w:pPr>
      <w:jc w:val="left"/>
    </w:pPr>
  </w:style>
  <w:style w:type="paragraph" w:customStyle="1" w:styleId="TableTextRight">
    <w:name w:val="Table Text Right"/>
    <w:basedOn w:val="Normal"/>
    <w:rsid w:val="009D22DC"/>
    <w:pPr>
      <w:spacing w:before="40" w:after="40"/>
      <w:jc w:val="right"/>
    </w:pPr>
    <w:rPr>
      <w:color w:val="000000"/>
      <w:sz w:val="20"/>
    </w:rPr>
  </w:style>
  <w:style w:type="paragraph" w:styleId="TOC1">
    <w:name w:val="toc 1"/>
    <w:basedOn w:val="Normal"/>
    <w:next w:val="Normal"/>
    <w:uiPriority w:val="39"/>
    <w:qFormat/>
    <w:rsid w:val="009D22DC"/>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9D22DC"/>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9D22DC"/>
    <w:pPr>
      <w:tabs>
        <w:tab w:val="right" w:leader="dot" w:pos="9072"/>
      </w:tabs>
      <w:spacing w:before="20" w:after="0"/>
      <w:ind w:left="284" w:right="-2"/>
    </w:pPr>
    <w:rPr>
      <w:rFonts w:cs="Calibri"/>
      <w:noProof/>
    </w:rPr>
  </w:style>
  <w:style w:type="numbering" w:customStyle="1" w:styleId="OutlineList">
    <w:name w:val="OutlineList"/>
    <w:uiPriority w:val="99"/>
    <w:rsid w:val="009D22DC"/>
    <w:pPr>
      <w:numPr>
        <w:numId w:val="4"/>
      </w:numPr>
    </w:pPr>
  </w:style>
  <w:style w:type="numbering" w:customStyle="1" w:styleId="BulletedList">
    <w:name w:val="Bulleted List"/>
    <w:uiPriority w:val="99"/>
    <w:rsid w:val="009D22DC"/>
    <w:pPr>
      <w:numPr>
        <w:numId w:val="1"/>
      </w:numPr>
    </w:pPr>
  </w:style>
  <w:style w:type="numbering" w:customStyle="1" w:styleId="BoxBulletedList">
    <w:name w:val="Box Bulleted List"/>
    <w:uiPriority w:val="99"/>
    <w:rsid w:val="009D22DC"/>
    <w:pPr>
      <w:numPr>
        <w:numId w:val="2"/>
      </w:numPr>
    </w:pPr>
  </w:style>
  <w:style w:type="numbering" w:customStyle="1" w:styleId="OneLevelList">
    <w:name w:val="OneLevelList"/>
    <w:uiPriority w:val="99"/>
    <w:rsid w:val="009D22DC"/>
    <w:pPr>
      <w:numPr>
        <w:numId w:val="3"/>
      </w:numPr>
    </w:pPr>
  </w:style>
  <w:style w:type="numbering" w:customStyle="1" w:styleId="ChartandTableFootnoteAlphaList">
    <w:name w:val="ChartandTableFootnoteAlphaList"/>
    <w:uiPriority w:val="99"/>
    <w:rsid w:val="009D22DC"/>
    <w:pPr>
      <w:numPr>
        <w:numId w:val="17"/>
      </w:numPr>
    </w:pPr>
  </w:style>
  <w:style w:type="paragraph" w:customStyle="1" w:styleId="Crest">
    <w:name w:val="Crest"/>
    <w:basedOn w:val="Header"/>
    <w:rsid w:val="009D22DC"/>
    <w:pPr>
      <w:spacing w:after="480"/>
      <w:jc w:val="center"/>
    </w:pPr>
    <w:rPr>
      <w:color w:val="000000" w:themeColor="text1"/>
    </w:rPr>
  </w:style>
  <w:style w:type="paragraph" w:customStyle="1" w:styleId="Heading1Numbered">
    <w:name w:val="Heading 1 Numbered"/>
    <w:basedOn w:val="Heading1"/>
    <w:next w:val="Normal"/>
    <w:rsid w:val="009D22DC"/>
    <w:pPr>
      <w:numPr>
        <w:numId w:val="8"/>
      </w:numPr>
    </w:pPr>
  </w:style>
  <w:style w:type="character" w:customStyle="1" w:styleId="SingleParagraphChar">
    <w:name w:val="Single Paragraph Char"/>
    <w:basedOn w:val="DefaultParagraphFont"/>
    <w:link w:val="SingleParagraph"/>
    <w:rsid w:val="009D22DC"/>
    <w:rPr>
      <w:rFonts w:ascii="Calibri" w:eastAsia="Times New Roman" w:hAnsi="Calibri" w:cs="Times New Roman"/>
      <w:szCs w:val="20"/>
      <w:lang w:eastAsia="en-AU"/>
    </w:rPr>
  </w:style>
  <w:style w:type="paragraph" w:customStyle="1" w:styleId="Heading2Numbered">
    <w:name w:val="Heading 2 Numbered"/>
    <w:basedOn w:val="Heading2"/>
    <w:next w:val="Normal"/>
    <w:rsid w:val="009D22DC"/>
    <w:pPr>
      <w:numPr>
        <w:ilvl w:val="1"/>
        <w:numId w:val="8"/>
      </w:numPr>
      <w:ind w:left="284" w:hanging="284"/>
    </w:pPr>
  </w:style>
  <w:style w:type="paragraph" w:customStyle="1" w:styleId="Heading3Numbered">
    <w:name w:val="Heading 3 Numbered"/>
    <w:basedOn w:val="Heading3"/>
    <w:qFormat/>
    <w:rsid w:val="009D22DC"/>
    <w:pPr>
      <w:numPr>
        <w:ilvl w:val="2"/>
        <w:numId w:val="8"/>
      </w:numPr>
      <w:ind w:left="284" w:hanging="284"/>
    </w:pPr>
  </w:style>
  <w:style w:type="paragraph" w:styleId="Title">
    <w:name w:val="Title"/>
    <w:basedOn w:val="Normal"/>
    <w:next w:val="Normal"/>
    <w:link w:val="TitleChar"/>
    <w:uiPriority w:val="10"/>
    <w:qFormat/>
    <w:rsid w:val="009D22DC"/>
    <w:pPr>
      <w:spacing w:before="0"/>
      <w:contextualSpacing/>
      <w:jc w:val="right"/>
    </w:pPr>
    <w:rPr>
      <w:rFonts w:eastAsiaTheme="majorEastAsia" w:cstheme="majorBidi"/>
      <w:b/>
      <w:caps/>
      <w:color w:val="003150" w:themeColor="accent3"/>
      <w:spacing w:val="5"/>
      <w:kern w:val="28"/>
      <w:sz w:val="52"/>
      <w:szCs w:val="68"/>
    </w:rPr>
  </w:style>
  <w:style w:type="character" w:customStyle="1" w:styleId="TitleChar">
    <w:name w:val="Title Char"/>
    <w:basedOn w:val="DefaultParagraphFont"/>
    <w:link w:val="Title"/>
    <w:uiPriority w:val="10"/>
    <w:rsid w:val="009D22DC"/>
    <w:rPr>
      <w:rFonts w:ascii="Calibri" w:eastAsiaTheme="majorEastAsia" w:hAnsi="Calibri" w:cstheme="majorBidi"/>
      <w:b/>
      <w:caps/>
      <w:color w:val="003150" w:themeColor="accent3"/>
      <w:spacing w:val="5"/>
      <w:kern w:val="28"/>
      <w:sz w:val="52"/>
      <w:szCs w:val="68"/>
      <w:lang w:eastAsia="en-AU"/>
    </w:rPr>
  </w:style>
  <w:style w:type="paragraph" w:styleId="Subtitle">
    <w:name w:val="Subtitle"/>
    <w:basedOn w:val="Normal"/>
    <w:next w:val="Normal"/>
    <w:link w:val="SubtitleChar"/>
    <w:uiPriority w:val="11"/>
    <w:qFormat/>
    <w:rsid w:val="009D22DC"/>
    <w:pPr>
      <w:numPr>
        <w:ilvl w:val="1"/>
      </w:numPr>
      <w:jc w:val="right"/>
    </w:pPr>
    <w:rPr>
      <w:rFonts w:eastAsiaTheme="majorEastAsia" w:cstheme="majorBidi"/>
      <w:iCs/>
      <w:color w:val="7F7F7F" w:themeColor="text1" w:themeTint="80"/>
      <w:sz w:val="32"/>
      <w:szCs w:val="44"/>
    </w:rPr>
  </w:style>
  <w:style w:type="character" w:customStyle="1" w:styleId="SubtitleChar">
    <w:name w:val="Subtitle Char"/>
    <w:basedOn w:val="DefaultParagraphFont"/>
    <w:link w:val="Subtitle"/>
    <w:uiPriority w:val="11"/>
    <w:rsid w:val="009D22DC"/>
    <w:rPr>
      <w:rFonts w:ascii="Calibri" w:eastAsiaTheme="majorEastAsia" w:hAnsi="Calibri" w:cstheme="majorBidi"/>
      <w:iCs/>
      <w:color w:val="7F7F7F" w:themeColor="text1" w:themeTint="80"/>
      <w:sz w:val="32"/>
      <w:szCs w:val="44"/>
      <w:lang w:eastAsia="en-AU"/>
    </w:rPr>
  </w:style>
  <w:style w:type="character" w:styleId="SubtleEmphasis">
    <w:name w:val="Subtle Emphasis"/>
    <w:basedOn w:val="DefaultParagraphFont"/>
    <w:uiPriority w:val="19"/>
    <w:qFormat/>
    <w:rsid w:val="009D22DC"/>
    <w:rPr>
      <w:i/>
      <w:iCs/>
      <w:color w:val="808080" w:themeColor="text1" w:themeTint="7F"/>
    </w:rPr>
  </w:style>
  <w:style w:type="paragraph" w:styleId="Footer">
    <w:name w:val="footer"/>
    <w:basedOn w:val="Normal"/>
    <w:link w:val="FooterChar"/>
    <w:unhideWhenUsed/>
    <w:rsid w:val="009D22DC"/>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9D22DC"/>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9D22DC"/>
    <w:pPr>
      <w:keepNext/>
      <w:spacing w:before="0" w:after="0"/>
      <w:jc w:val="right"/>
    </w:pPr>
    <w:rPr>
      <w:color w:val="004A7F"/>
      <w:sz w:val="20"/>
    </w:rPr>
  </w:style>
  <w:style w:type="character" w:customStyle="1" w:styleId="HeaderChar">
    <w:name w:val="Header Char"/>
    <w:basedOn w:val="DefaultParagraphFont"/>
    <w:link w:val="Header"/>
    <w:uiPriority w:val="99"/>
    <w:rsid w:val="009D22DC"/>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9D22DC"/>
    <w:rPr>
      <w:color w:val="808080"/>
    </w:rPr>
  </w:style>
  <w:style w:type="paragraph" w:customStyle="1" w:styleId="AppendixHeading">
    <w:name w:val="Appendix Heading"/>
    <w:basedOn w:val="Normal"/>
    <w:next w:val="Normal"/>
    <w:rsid w:val="009D22DC"/>
    <w:pPr>
      <w:keepNext/>
      <w:spacing w:before="720" w:after="360"/>
    </w:pPr>
    <w:rPr>
      <w:rFonts w:ascii="Arial Bold" w:hAnsi="Arial Bold"/>
      <w:b/>
      <w:smallCaps/>
      <w:color w:val="004A7F"/>
      <w:sz w:val="36"/>
      <w:szCs w:val="36"/>
    </w:rPr>
  </w:style>
  <w:style w:type="paragraph" w:customStyle="1" w:styleId="HeadingBase">
    <w:name w:val="Heading Base"/>
    <w:qFormat/>
    <w:rsid w:val="009D22DC"/>
    <w:pPr>
      <w:keepNext/>
      <w:spacing w:after="120" w:line="240" w:lineRule="auto"/>
    </w:pPr>
    <w:rPr>
      <w:rFonts w:ascii="Calibri" w:eastAsia="Times New Roman" w:hAnsi="Calibri" w:cs="Arial"/>
      <w:bCs/>
      <w:color w:val="2D4B6E"/>
      <w:kern w:val="32"/>
      <w:sz w:val="48"/>
      <w:szCs w:val="36"/>
      <w:lang w:eastAsia="en-AU"/>
    </w:rPr>
  </w:style>
  <w:style w:type="character" w:customStyle="1" w:styleId="ReportDateChar">
    <w:name w:val="Report Date Char"/>
    <w:basedOn w:val="DefaultParagraphFont"/>
    <w:link w:val="ReportDate"/>
    <w:rsid w:val="009D22DC"/>
    <w:rPr>
      <w:rFonts w:ascii="Calibri" w:eastAsia="Times New Roman" w:hAnsi="Calibri" w:cs="Times New Roman"/>
      <w:color w:val="0084BC" w:themeColor="accent1"/>
      <w:sz w:val="44"/>
      <w:szCs w:val="20"/>
      <w:lang w:eastAsia="en-AU"/>
    </w:rPr>
  </w:style>
  <w:style w:type="paragraph" w:customStyle="1" w:styleId="Disclaimer">
    <w:name w:val="Disclaimer"/>
    <w:basedOn w:val="ReportDate"/>
    <w:rsid w:val="009D22DC"/>
    <w:pPr>
      <w:spacing w:after="1800"/>
      <w:ind w:right="142"/>
    </w:pPr>
    <w:rPr>
      <w:rFonts w:ascii="Century Gothic" w:hAnsi="Century Gothic"/>
      <w:b/>
      <w:bCs/>
      <w:color w:val="000000" w:themeColor="text2"/>
      <w:sz w:val="22"/>
    </w:rPr>
  </w:style>
  <w:style w:type="paragraph" w:customStyle="1" w:styleId="NotesHeading">
    <w:name w:val="Notes Heading"/>
    <w:basedOn w:val="Normal"/>
    <w:rsid w:val="009D22DC"/>
    <w:pPr>
      <w:keepNext/>
      <w:spacing w:before="240" w:after="360"/>
      <w:jc w:val="center"/>
    </w:pPr>
    <w:rPr>
      <w:rFonts w:ascii="Century Gothic" w:hAnsi="Century Gothic"/>
      <w:smallCaps/>
      <w:color w:val="000000" w:themeColor="text2"/>
      <w:sz w:val="36"/>
      <w:szCs w:val="36"/>
    </w:rPr>
  </w:style>
  <w:style w:type="paragraph" w:customStyle="1" w:styleId="Divider">
    <w:name w:val="Divider"/>
    <w:basedOn w:val="ReportDate"/>
    <w:rsid w:val="009D22DC"/>
    <w:pPr>
      <w:spacing w:after="1800"/>
    </w:pPr>
    <w:rPr>
      <w:rFonts w:ascii="Rockwell" w:hAnsi="Rockwell"/>
      <w:sz w:val="24"/>
    </w:rPr>
  </w:style>
  <w:style w:type="character" w:customStyle="1" w:styleId="FramedFooter">
    <w:name w:val="Framed Footer"/>
    <w:rsid w:val="009D22DC"/>
    <w:rPr>
      <w:rFonts w:ascii="Arial" w:hAnsi="Arial"/>
      <w:color w:val="004A7F"/>
      <w:sz w:val="18"/>
    </w:rPr>
  </w:style>
  <w:style w:type="character" w:customStyle="1" w:styleId="FramedHeader">
    <w:name w:val="Framed Header"/>
    <w:basedOn w:val="DefaultParagraphFont"/>
    <w:rsid w:val="009D22DC"/>
    <w:rPr>
      <w:rFonts w:ascii="Arial" w:hAnsi="Arial"/>
      <w:dstrike w:val="0"/>
      <w:color w:val="auto"/>
      <w:sz w:val="18"/>
      <w:vertAlign w:val="baseline"/>
    </w:rPr>
  </w:style>
  <w:style w:type="paragraph" w:customStyle="1" w:styleId="TableTextIndented">
    <w:name w:val="Table Text Indented"/>
    <w:basedOn w:val="TableTextLeft"/>
    <w:qFormat/>
    <w:rsid w:val="009D22DC"/>
    <w:pPr>
      <w:ind w:left="284"/>
    </w:pPr>
  </w:style>
  <w:style w:type="paragraph" w:customStyle="1" w:styleId="TableHeadingContinued">
    <w:name w:val="Table Heading Continued"/>
    <w:basedOn w:val="TableMainHeading"/>
    <w:next w:val="TableGraphic"/>
    <w:qFormat/>
    <w:rsid w:val="009D22DC"/>
  </w:style>
  <w:style w:type="paragraph" w:customStyle="1" w:styleId="TableGraphic">
    <w:name w:val="Table Graphic"/>
    <w:basedOn w:val="HeadingBase"/>
    <w:next w:val="Normal"/>
    <w:qFormat/>
    <w:rsid w:val="009D22DC"/>
    <w:pPr>
      <w:spacing w:after="0"/>
    </w:pPr>
  </w:style>
  <w:style w:type="paragraph" w:customStyle="1" w:styleId="HeaderEven">
    <w:name w:val="Header Even"/>
    <w:basedOn w:val="Header"/>
    <w:qFormat/>
    <w:rsid w:val="009D22DC"/>
    <w:pPr>
      <w:jc w:val="left"/>
    </w:pPr>
    <w:rPr>
      <w:color w:val="0084BC" w:themeColor="accent1"/>
    </w:rPr>
  </w:style>
  <w:style w:type="paragraph" w:customStyle="1" w:styleId="HeaderOdd">
    <w:name w:val="Header Odd"/>
    <w:basedOn w:val="Header"/>
    <w:qFormat/>
    <w:rsid w:val="009D22DC"/>
    <w:rPr>
      <w:color w:val="0084BC" w:themeColor="accent1"/>
    </w:rPr>
  </w:style>
  <w:style w:type="paragraph" w:styleId="FootnoteText">
    <w:name w:val="footnote text"/>
    <w:basedOn w:val="Normal"/>
    <w:link w:val="FootnoteTextChar"/>
    <w:uiPriority w:val="99"/>
    <w:rsid w:val="009D22DC"/>
    <w:pPr>
      <w:tabs>
        <w:tab w:val="left" w:pos="284"/>
      </w:tabs>
      <w:spacing w:before="0" w:after="0"/>
    </w:pPr>
    <w:rPr>
      <w:sz w:val="20"/>
    </w:rPr>
  </w:style>
  <w:style w:type="character" w:customStyle="1" w:styleId="FootnoteTextChar">
    <w:name w:val="Footnote Text Char"/>
    <w:basedOn w:val="DefaultParagraphFont"/>
    <w:link w:val="FootnoteText"/>
    <w:uiPriority w:val="99"/>
    <w:rsid w:val="009D22DC"/>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9D22DC"/>
    <w:rPr>
      <w:rFonts w:ascii="Calibri" w:hAnsi="Calibri"/>
      <w:sz w:val="20"/>
      <w:vertAlign w:val="baseline"/>
    </w:rPr>
  </w:style>
  <w:style w:type="paragraph" w:styleId="BalloonText">
    <w:name w:val="Balloon Text"/>
    <w:basedOn w:val="Normal"/>
    <w:link w:val="BalloonTextChar"/>
    <w:uiPriority w:val="99"/>
    <w:semiHidden/>
    <w:unhideWhenUsed/>
    <w:rsid w:val="009D22D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2DC"/>
    <w:rPr>
      <w:rFonts w:ascii="Tahoma" w:eastAsia="Times New Roman" w:hAnsi="Tahoma" w:cs="Tahoma"/>
      <w:sz w:val="16"/>
      <w:szCs w:val="16"/>
      <w:lang w:eastAsia="en-AU"/>
    </w:rPr>
  </w:style>
  <w:style w:type="paragraph" w:styleId="NoSpacing">
    <w:name w:val="No Spacing"/>
    <w:uiPriority w:val="1"/>
    <w:qFormat/>
    <w:rsid w:val="009D22DC"/>
    <w:pPr>
      <w:spacing w:after="0" w:line="240" w:lineRule="auto"/>
    </w:pPr>
    <w:rPr>
      <w:rFonts w:ascii="Calibri" w:eastAsia="Times New Roman" w:hAnsi="Calibri" w:cs="Times New Roman"/>
      <w:szCs w:val="20"/>
      <w:lang w:eastAsia="en-AU"/>
    </w:rPr>
  </w:style>
  <w:style w:type="paragraph" w:styleId="IntenseQuote">
    <w:name w:val="Intense Quote"/>
    <w:basedOn w:val="Normal"/>
    <w:next w:val="Normal"/>
    <w:link w:val="IntenseQuoteChar"/>
    <w:uiPriority w:val="30"/>
    <w:qFormat/>
    <w:rsid w:val="009D22DC"/>
    <w:pPr>
      <w:pBdr>
        <w:bottom w:val="single" w:sz="4" w:space="4" w:color="0084BC" w:themeColor="accent1"/>
      </w:pBdr>
      <w:spacing w:before="200" w:after="280"/>
      <w:ind w:left="936" w:right="936"/>
    </w:pPr>
    <w:rPr>
      <w:b/>
      <w:bCs/>
      <w:i/>
      <w:iCs/>
      <w:color w:val="0084BC" w:themeColor="accent1"/>
    </w:rPr>
  </w:style>
  <w:style w:type="character" w:customStyle="1" w:styleId="IntenseQuoteChar">
    <w:name w:val="Intense Quote Char"/>
    <w:basedOn w:val="DefaultParagraphFont"/>
    <w:link w:val="IntenseQuote"/>
    <w:uiPriority w:val="30"/>
    <w:rsid w:val="009D22DC"/>
    <w:rPr>
      <w:rFonts w:ascii="Calibri" w:eastAsia="Times New Roman" w:hAnsi="Calibri" w:cs="Times New Roman"/>
      <w:b/>
      <w:bCs/>
      <w:i/>
      <w:iCs/>
      <w:color w:val="0084BC" w:themeColor="accent1"/>
      <w:szCs w:val="20"/>
      <w:lang w:eastAsia="en-AU"/>
    </w:rPr>
  </w:style>
  <w:style w:type="character" w:styleId="IntenseEmphasis">
    <w:name w:val="Intense Emphasis"/>
    <w:basedOn w:val="DefaultParagraphFont"/>
    <w:uiPriority w:val="21"/>
    <w:qFormat/>
    <w:rsid w:val="009D22DC"/>
    <w:rPr>
      <w:b/>
      <w:bCs/>
      <w:i/>
      <w:iCs/>
      <w:color w:val="0084BC" w:themeColor="accent1"/>
    </w:rPr>
  </w:style>
  <w:style w:type="numbering" w:customStyle="1" w:styleId="Bulletlist">
    <w:name w:val="Bullet list"/>
    <w:uiPriority w:val="99"/>
    <w:rsid w:val="009D22DC"/>
    <w:pPr>
      <w:numPr>
        <w:numId w:val="20"/>
      </w:numPr>
    </w:pPr>
  </w:style>
  <w:style w:type="character" w:customStyle="1" w:styleId="BulletChar">
    <w:name w:val="Bullet Char"/>
    <w:basedOn w:val="DefaultParagraphFont"/>
    <w:link w:val="Bullet"/>
    <w:rsid w:val="009D22DC"/>
    <w:rPr>
      <w:rFonts w:ascii="Calibri" w:eastAsia="Times New Roman" w:hAnsi="Calibri" w:cs="Times New Roman"/>
      <w:szCs w:val="20"/>
      <w:lang w:eastAsia="en-AU"/>
    </w:rPr>
  </w:style>
  <w:style w:type="table" w:customStyle="1" w:styleId="LightList-Accent51">
    <w:name w:val="Light List - Accent 51"/>
    <w:basedOn w:val="TableNormal"/>
    <w:next w:val="LightList-Accent5"/>
    <w:uiPriority w:val="61"/>
    <w:rsid w:val="009D22DC"/>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CommentReference">
    <w:name w:val="annotation reference"/>
    <w:basedOn w:val="DefaultParagraphFont"/>
    <w:uiPriority w:val="99"/>
    <w:semiHidden/>
    <w:unhideWhenUsed/>
    <w:rsid w:val="009D22DC"/>
    <w:rPr>
      <w:sz w:val="16"/>
      <w:szCs w:val="16"/>
    </w:rPr>
  </w:style>
  <w:style w:type="paragraph" w:styleId="CommentText">
    <w:name w:val="annotation text"/>
    <w:basedOn w:val="Normal"/>
    <w:link w:val="CommentTextChar"/>
    <w:uiPriority w:val="99"/>
    <w:semiHidden/>
    <w:unhideWhenUsed/>
    <w:rsid w:val="009D22DC"/>
    <w:rPr>
      <w:rFonts w:ascii="Arial" w:eastAsiaTheme="minorHAnsi" w:hAnsi="Arial" w:cstheme="minorBidi"/>
      <w:sz w:val="20"/>
      <w:lang w:eastAsia="en-US"/>
    </w:rPr>
  </w:style>
  <w:style w:type="character" w:customStyle="1" w:styleId="CommentTextChar">
    <w:name w:val="Comment Text Char"/>
    <w:basedOn w:val="DefaultParagraphFont"/>
    <w:link w:val="CommentText"/>
    <w:uiPriority w:val="99"/>
    <w:semiHidden/>
    <w:rsid w:val="009D22DC"/>
    <w:rPr>
      <w:rFonts w:ascii="Arial" w:hAnsi="Arial"/>
      <w:sz w:val="20"/>
      <w:szCs w:val="20"/>
    </w:rPr>
  </w:style>
  <w:style w:type="table" w:styleId="LightList-Accent5">
    <w:name w:val="Light List Accent 5"/>
    <w:basedOn w:val="TableNormal"/>
    <w:uiPriority w:val="61"/>
    <w:rsid w:val="009D22DC"/>
    <w:pPr>
      <w:spacing w:after="0" w:line="240" w:lineRule="auto"/>
    </w:pPr>
    <w:tblPr>
      <w:tblStyleRowBandSize w:val="1"/>
      <w:tblStyleColBandSize w:val="1"/>
      <w:tblBorders>
        <w:top w:val="single" w:sz="8" w:space="0" w:color="99CEE4" w:themeColor="accent5"/>
        <w:left w:val="single" w:sz="8" w:space="0" w:color="99CEE4" w:themeColor="accent5"/>
        <w:bottom w:val="single" w:sz="8" w:space="0" w:color="99CEE4" w:themeColor="accent5"/>
        <w:right w:val="single" w:sz="8" w:space="0" w:color="99CEE4" w:themeColor="accent5"/>
      </w:tblBorders>
    </w:tblPr>
    <w:tblStylePr w:type="firstRow">
      <w:pPr>
        <w:spacing w:before="0" w:after="0" w:line="240" w:lineRule="auto"/>
      </w:pPr>
      <w:rPr>
        <w:b/>
        <w:bCs/>
        <w:color w:val="FFFFFF" w:themeColor="background1"/>
      </w:rPr>
      <w:tblPr/>
      <w:tcPr>
        <w:shd w:val="clear" w:color="auto" w:fill="99CEE4" w:themeFill="accent5"/>
      </w:tcPr>
    </w:tblStylePr>
    <w:tblStylePr w:type="lastRow">
      <w:pPr>
        <w:spacing w:before="0" w:after="0" w:line="240" w:lineRule="auto"/>
      </w:pPr>
      <w:rPr>
        <w:b/>
        <w:bCs/>
      </w:rPr>
      <w:tblPr/>
      <w:tcPr>
        <w:tcBorders>
          <w:top w:val="double" w:sz="6" w:space="0" w:color="99CEE4" w:themeColor="accent5"/>
          <w:left w:val="single" w:sz="8" w:space="0" w:color="99CEE4" w:themeColor="accent5"/>
          <w:bottom w:val="single" w:sz="8" w:space="0" w:color="99CEE4" w:themeColor="accent5"/>
          <w:right w:val="single" w:sz="8" w:space="0" w:color="99CEE4" w:themeColor="accent5"/>
        </w:tcBorders>
      </w:tcPr>
    </w:tblStylePr>
    <w:tblStylePr w:type="firstCol">
      <w:rPr>
        <w:b/>
        <w:bCs/>
      </w:rPr>
    </w:tblStylePr>
    <w:tblStylePr w:type="lastCol">
      <w:rPr>
        <w:b/>
        <w:bCs/>
      </w:rPr>
    </w:tblStylePr>
    <w:tblStylePr w:type="band1Vert">
      <w:tblPr/>
      <w:tcPr>
        <w:tcBorders>
          <w:top w:val="single" w:sz="8" w:space="0" w:color="99CEE4" w:themeColor="accent5"/>
          <w:left w:val="single" w:sz="8" w:space="0" w:color="99CEE4" w:themeColor="accent5"/>
          <w:bottom w:val="single" w:sz="8" w:space="0" w:color="99CEE4" w:themeColor="accent5"/>
          <w:right w:val="single" w:sz="8" w:space="0" w:color="99CEE4" w:themeColor="accent5"/>
        </w:tcBorders>
      </w:tcPr>
    </w:tblStylePr>
    <w:tblStylePr w:type="band1Horz">
      <w:tblPr/>
      <w:tcPr>
        <w:tcBorders>
          <w:top w:val="single" w:sz="8" w:space="0" w:color="99CEE4" w:themeColor="accent5"/>
          <w:left w:val="single" w:sz="8" w:space="0" w:color="99CEE4" w:themeColor="accent5"/>
          <w:bottom w:val="single" w:sz="8" w:space="0" w:color="99CEE4" w:themeColor="accent5"/>
          <w:right w:val="single" w:sz="8" w:space="0" w:color="99CEE4" w:themeColor="accent5"/>
        </w:tcBorders>
      </w:tcPr>
    </w:tblStylePr>
  </w:style>
  <w:style w:type="paragraph" w:styleId="CommentSubject">
    <w:name w:val="annotation subject"/>
    <w:basedOn w:val="CommentText"/>
    <w:next w:val="CommentText"/>
    <w:link w:val="CommentSubjectChar"/>
    <w:uiPriority w:val="99"/>
    <w:semiHidden/>
    <w:unhideWhenUsed/>
    <w:rsid w:val="009D22DC"/>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9D22DC"/>
    <w:rPr>
      <w:rFonts w:ascii="Calibri" w:eastAsia="Times New Roman" w:hAnsi="Calibri" w:cs="Times New Roman"/>
      <w:b/>
      <w:bCs/>
      <w:sz w:val="20"/>
      <w:szCs w:val="20"/>
      <w:lang w:eastAsia="en-AU"/>
    </w:rPr>
  </w:style>
  <w:style w:type="table" w:styleId="LightList-Accent3">
    <w:name w:val="Light List Accent 3"/>
    <w:basedOn w:val="TableNormal"/>
    <w:uiPriority w:val="61"/>
    <w:rsid w:val="009D22DC"/>
    <w:pPr>
      <w:spacing w:after="0" w:line="240" w:lineRule="auto"/>
    </w:pPr>
    <w:tblPr>
      <w:tblStyleRowBandSize w:val="1"/>
      <w:tblStyleColBandSize w:val="1"/>
      <w:tblBorders>
        <w:top w:val="single" w:sz="8" w:space="0" w:color="003150" w:themeColor="accent3"/>
        <w:left w:val="single" w:sz="8" w:space="0" w:color="003150" w:themeColor="accent3"/>
        <w:bottom w:val="single" w:sz="8" w:space="0" w:color="003150" w:themeColor="accent3"/>
        <w:right w:val="single" w:sz="8" w:space="0" w:color="003150" w:themeColor="accent3"/>
      </w:tblBorders>
    </w:tblPr>
    <w:tblStylePr w:type="firstRow">
      <w:pPr>
        <w:spacing w:before="0" w:after="0" w:line="240" w:lineRule="auto"/>
      </w:pPr>
      <w:rPr>
        <w:b/>
        <w:bCs/>
        <w:color w:val="FFFFFF" w:themeColor="background1"/>
      </w:rPr>
      <w:tblPr/>
      <w:tcPr>
        <w:shd w:val="clear" w:color="auto" w:fill="003150" w:themeFill="accent3"/>
      </w:tcPr>
    </w:tblStylePr>
    <w:tblStylePr w:type="lastRow">
      <w:pPr>
        <w:spacing w:before="0" w:after="0" w:line="240" w:lineRule="auto"/>
      </w:pPr>
      <w:rPr>
        <w:b/>
        <w:bCs/>
      </w:rPr>
      <w:tblPr/>
      <w:tcPr>
        <w:tcBorders>
          <w:top w:val="double" w:sz="6" w:space="0" w:color="003150" w:themeColor="accent3"/>
          <w:left w:val="single" w:sz="8" w:space="0" w:color="003150" w:themeColor="accent3"/>
          <w:bottom w:val="single" w:sz="8" w:space="0" w:color="003150" w:themeColor="accent3"/>
          <w:right w:val="single" w:sz="8" w:space="0" w:color="003150" w:themeColor="accent3"/>
        </w:tcBorders>
      </w:tcPr>
    </w:tblStylePr>
    <w:tblStylePr w:type="firstCol">
      <w:rPr>
        <w:b/>
        <w:bCs/>
      </w:rPr>
    </w:tblStylePr>
    <w:tblStylePr w:type="lastCol">
      <w:rPr>
        <w:b/>
        <w:bCs/>
      </w:rPr>
    </w:tblStylePr>
    <w:tblStylePr w:type="band1Vert">
      <w:tblPr/>
      <w:tcPr>
        <w:tcBorders>
          <w:top w:val="single" w:sz="8" w:space="0" w:color="003150" w:themeColor="accent3"/>
          <w:left w:val="single" w:sz="8" w:space="0" w:color="003150" w:themeColor="accent3"/>
          <w:bottom w:val="single" w:sz="8" w:space="0" w:color="003150" w:themeColor="accent3"/>
          <w:right w:val="single" w:sz="8" w:space="0" w:color="003150" w:themeColor="accent3"/>
        </w:tcBorders>
      </w:tcPr>
    </w:tblStylePr>
    <w:tblStylePr w:type="band1Horz">
      <w:tblPr/>
      <w:tcPr>
        <w:tcBorders>
          <w:top w:val="single" w:sz="8" w:space="0" w:color="003150" w:themeColor="accent3"/>
          <w:left w:val="single" w:sz="8" w:space="0" w:color="003150" w:themeColor="accent3"/>
          <w:bottom w:val="single" w:sz="8" w:space="0" w:color="003150" w:themeColor="accent3"/>
          <w:right w:val="single" w:sz="8" w:space="0" w:color="003150" w:themeColor="accent3"/>
        </w:tcBorders>
      </w:tcPr>
    </w:tblStylePr>
  </w:style>
  <w:style w:type="paragraph" w:styleId="TOCHeading">
    <w:name w:val="TOC Heading"/>
    <w:basedOn w:val="Heading1"/>
    <w:next w:val="Normal"/>
    <w:uiPriority w:val="39"/>
    <w:semiHidden/>
    <w:unhideWhenUsed/>
    <w:qFormat/>
    <w:rsid w:val="009D22DC"/>
    <w:pPr>
      <w:keepLines/>
      <w:spacing w:before="480" w:after="0" w:line="276" w:lineRule="auto"/>
      <w:outlineLvl w:val="9"/>
    </w:pPr>
    <w:rPr>
      <w:rFonts w:asciiTheme="majorHAnsi" w:eastAsiaTheme="majorEastAsia" w:hAnsiTheme="majorHAnsi" w:cstheme="majorBidi"/>
      <w:bCs/>
      <w:color w:val="00628C" w:themeColor="accent1" w:themeShade="BF"/>
      <w:kern w:val="0"/>
      <w:sz w:val="28"/>
      <w:szCs w:val="28"/>
      <w:lang w:val="en-US" w:eastAsia="ja-JP"/>
    </w:rPr>
  </w:style>
  <w:style w:type="paragraph" w:customStyle="1" w:styleId="RecommendationHeading">
    <w:name w:val="Recommendation Heading"/>
    <w:basedOn w:val="Heading3"/>
    <w:qFormat/>
    <w:rsid w:val="000242D6"/>
    <w:pPr>
      <w:keepNext w:val="0"/>
    </w:pPr>
    <w:rPr>
      <w:color w:val="0072BB" w:themeColor="accent3" w:themeTint="BF"/>
      <w:sz w:val="24"/>
    </w:rPr>
  </w:style>
  <w:style w:type="character" w:customStyle="1" w:styleId="Bluebold">
    <w:name w:val="Blue bold"/>
    <w:basedOn w:val="DefaultParagraphFont"/>
    <w:uiPriority w:val="1"/>
    <w:qFormat/>
    <w:rsid w:val="009D22DC"/>
    <w:rPr>
      <w:b/>
      <w:color w:val="396984"/>
    </w:rPr>
  </w:style>
  <w:style w:type="paragraph" w:customStyle="1" w:styleId="RecommendationHedaing">
    <w:name w:val="Recommendation Hedaing"/>
    <w:basedOn w:val="Heading3"/>
    <w:qFormat/>
    <w:rsid w:val="009D22DC"/>
    <w:rPr>
      <w:color w:val="396984"/>
      <w:sz w:val="24"/>
    </w:rPr>
  </w:style>
  <w:style w:type="table" w:customStyle="1" w:styleId="TableGrid1">
    <w:name w:val="Table Grid1"/>
    <w:basedOn w:val="TableNormal"/>
    <w:next w:val="TableGrid"/>
    <w:rsid w:val="00E55BA8"/>
    <w:pPr>
      <w:spacing w:before="120" w:after="120" w:line="240" w:lineRule="auto"/>
    </w:pPr>
    <w:rPr>
      <w:rFonts w:eastAsia="Times New Roman" w:cs="Times New Roman"/>
      <w:szCs w:val="20"/>
      <w:lang w:eastAsia="en-AU"/>
    </w:rPr>
    <w:tblPr>
      <w:tblBorders>
        <w:top w:val="single" w:sz="4" w:space="0" w:color="396984"/>
        <w:left w:val="single" w:sz="4" w:space="0" w:color="396984"/>
        <w:bottom w:val="single" w:sz="4" w:space="0" w:color="396984"/>
        <w:right w:val="single" w:sz="4" w:space="0" w:color="396984"/>
        <w:insideH w:val="single" w:sz="4" w:space="0" w:color="396984"/>
        <w:insideV w:val="single" w:sz="4" w:space="0" w:color="396984"/>
      </w:tblBorders>
    </w:tblPr>
    <w:tcPr>
      <w:shd w:val="clear" w:color="auto" w:fill="auto"/>
    </w:tcPr>
    <w:tblStylePr w:type="firstRow">
      <w:pPr>
        <w:jc w:val="left"/>
      </w:pPr>
      <w:rPr>
        <w:rFonts w:asciiTheme="minorHAnsi" w:hAnsiTheme="minorHAnsi"/>
        <w:b/>
        <w:color w:val="FFFFFF" w:themeColor="background1"/>
        <w:sz w:val="24"/>
      </w:rPr>
      <w:tblPr/>
      <w:tcPr>
        <w:shd w:val="clear" w:color="auto" w:fill="396984"/>
        <w:vAlign w:val="center"/>
      </w:tcPr>
    </w:tblStylePr>
  </w:style>
  <w:style w:type="paragraph" w:styleId="Revision">
    <w:name w:val="Revision"/>
    <w:hidden/>
    <w:uiPriority w:val="99"/>
    <w:semiHidden/>
    <w:rsid w:val="00DD73CE"/>
    <w:pPr>
      <w:spacing w:after="0" w:line="240" w:lineRule="auto"/>
    </w:pPr>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5279">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1631401037">
      <w:bodyDiv w:val="1"/>
      <w:marLeft w:val="0"/>
      <w:marRight w:val="0"/>
      <w:marTop w:val="0"/>
      <w:marBottom w:val="0"/>
      <w:divBdr>
        <w:top w:val="none" w:sz="0" w:space="0" w:color="auto"/>
        <w:left w:val="none" w:sz="0" w:space="0" w:color="auto"/>
        <w:bottom w:val="none" w:sz="0" w:space="0" w:color="auto"/>
        <w:right w:val="none" w:sz="0" w:space="0" w:color="auto"/>
      </w:divBdr>
      <w:divsChild>
        <w:div w:id="698698425">
          <w:marLeft w:val="1080"/>
          <w:marRight w:val="0"/>
          <w:marTop w:val="0"/>
          <w:marBottom w:val="0"/>
          <w:divBdr>
            <w:top w:val="none" w:sz="0" w:space="0" w:color="auto"/>
            <w:left w:val="none" w:sz="0" w:space="0" w:color="auto"/>
            <w:bottom w:val="none" w:sz="0" w:space="0" w:color="auto"/>
            <w:right w:val="none" w:sz="0" w:space="0" w:color="auto"/>
          </w:divBdr>
        </w:div>
        <w:div w:id="1895726735">
          <w:marLeft w:val="1080"/>
          <w:marRight w:val="0"/>
          <w:marTop w:val="0"/>
          <w:marBottom w:val="0"/>
          <w:divBdr>
            <w:top w:val="none" w:sz="0" w:space="0" w:color="auto"/>
            <w:left w:val="none" w:sz="0" w:space="0" w:color="auto"/>
            <w:bottom w:val="none" w:sz="0" w:space="0" w:color="auto"/>
            <w:right w:val="none" w:sz="0" w:space="0" w:color="auto"/>
          </w:divBdr>
        </w:div>
        <w:div w:id="1089698009">
          <w:marLeft w:val="1080"/>
          <w:marRight w:val="0"/>
          <w:marTop w:val="0"/>
          <w:marBottom w:val="0"/>
          <w:divBdr>
            <w:top w:val="none" w:sz="0" w:space="0" w:color="auto"/>
            <w:left w:val="none" w:sz="0" w:space="0" w:color="auto"/>
            <w:bottom w:val="none" w:sz="0" w:space="0" w:color="auto"/>
            <w:right w:val="none" w:sz="0" w:space="0" w:color="auto"/>
          </w:divBdr>
        </w:div>
        <w:div w:id="1444375799">
          <w:marLeft w:val="1080"/>
          <w:marRight w:val="0"/>
          <w:marTop w:val="0"/>
          <w:marBottom w:val="0"/>
          <w:divBdr>
            <w:top w:val="none" w:sz="0" w:space="0" w:color="auto"/>
            <w:left w:val="none" w:sz="0" w:space="0" w:color="auto"/>
            <w:bottom w:val="none" w:sz="0" w:space="0" w:color="auto"/>
            <w:right w:val="none" w:sz="0" w:space="0" w:color="auto"/>
          </w:divBdr>
        </w:div>
        <w:div w:id="2003317034">
          <w:marLeft w:val="1080"/>
          <w:marRight w:val="0"/>
          <w:marTop w:val="0"/>
          <w:marBottom w:val="0"/>
          <w:divBdr>
            <w:top w:val="none" w:sz="0" w:space="0" w:color="auto"/>
            <w:left w:val="none" w:sz="0" w:space="0" w:color="auto"/>
            <w:bottom w:val="none" w:sz="0" w:space="0" w:color="auto"/>
            <w:right w:val="none" w:sz="0" w:space="0" w:color="auto"/>
          </w:divBdr>
        </w:div>
        <w:div w:id="765031620">
          <w:marLeft w:val="1080"/>
          <w:marRight w:val="0"/>
          <w:marTop w:val="0"/>
          <w:marBottom w:val="0"/>
          <w:divBdr>
            <w:top w:val="none" w:sz="0" w:space="0" w:color="auto"/>
            <w:left w:val="none" w:sz="0" w:space="0" w:color="auto"/>
            <w:bottom w:val="none" w:sz="0" w:space="0" w:color="auto"/>
            <w:right w:val="none" w:sz="0" w:space="0" w:color="auto"/>
          </w:divBdr>
        </w:div>
        <w:div w:id="63574747">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lossy - Health">
  <a:themeElements>
    <a:clrScheme name="Glossy - Health">
      <a:dk1>
        <a:sysClr val="windowText" lastClr="000000"/>
      </a:dk1>
      <a:lt1>
        <a:sysClr val="window" lastClr="FFFFFF"/>
      </a:lt1>
      <a:dk2>
        <a:srgbClr val="000000"/>
      </a:dk2>
      <a:lt2>
        <a:srgbClr val="EEECE1"/>
      </a:lt2>
      <a:accent1>
        <a:srgbClr val="0084BC"/>
      </a:accent1>
      <a:accent2>
        <a:srgbClr val="FCAF17"/>
      </a:accent2>
      <a:accent3>
        <a:srgbClr val="003150"/>
      </a:accent3>
      <a:accent4>
        <a:srgbClr val="808285"/>
      </a:accent4>
      <a:accent5>
        <a:srgbClr val="99CEE4"/>
      </a:accent5>
      <a:accent6>
        <a:srgbClr val="FEDFA2"/>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Value>
    </TaxCatchAll>
    <_dlc_DocId xmlns="0f563589-9cf9-4143-b1eb-fb0534803d38">2019MG-133-37683</_dlc_DocId>
    <_dlc_DocIdUrl xmlns="0f563589-9cf9-4143-b1eb-fb0534803d38">
      <Url>http://tweb/sites/mg/sbccpd/_layouts/15/DocIdRedir.aspx?ID=2019MG-133-37683</Url>
      <Description>2019MG-133-37683</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IconOverlay xmlns="http://schemas.microsoft.com/sharepoint/v4" xsi:nil="true"/>
    <TaxKeywordTaxHTField xmlns="0f563589-9cf9-4143-b1eb-fb0534803d38">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8577" ma:contentTypeDescription="" ma:contentTypeScope="" ma:versionID="ecdf093d7f888721debce31cb6207bd6">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0570D-C0CF-485B-807D-9844D7DCE307}">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4dd4adf-ddb3-46a3-8d7c-fab3fb2a6bc7"/>
    <ds:schemaRef ds:uri="http://schemas.microsoft.com/sharepoint/v3"/>
    <ds:schemaRef ds:uri="http://schemas.microsoft.com/sharepoint/v4"/>
    <ds:schemaRef ds:uri="0f563589-9cf9-4143-b1eb-fb0534803d38"/>
    <ds:schemaRef ds:uri="http://www.w3.org/XML/1998/namespace"/>
  </ds:schemaRefs>
</ds:datastoreItem>
</file>

<file path=customXml/itemProps2.xml><?xml version="1.0" encoding="utf-8"?>
<ds:datastoreItem xmlns:ds="http://schemas.openxmlformats.org/officeDocument/2006/customXml" ds:itemID="{DAD61BEF-BE47-4EEB-88A8-013C722348CB}">
  <ds:schemaRefs>
    <ds:schemaRef ds:uri="http://schemas.microsoft.com/sharepoint/v3/contenttype/forms"/>
  </ds:schemaRefs>
</ds:datastoreItem>
</file>

<file path=customXml/itemProps3.xml><?xml version="1.0" encoding="utf-8"?>
<ds:datastoreItem xmlns:ds="http://schemas.openxmlformats.org/officeDocument/2006/customXml" ds:itemID="{3C4EDD91-A1B5-4793-837F-B9AC6682F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A9D1D-15E0-4CFA-9F2C-46B20159EB8B}">
  <ds:schemaRefs>
    <ds:schemaRef ds:uri="office.server.policy"/>
  </ds:schemaRefs>
</ds:datastoreItem>
</file>

<file path=customXml/itemProps5.xml><?xml version="1.0" encoding="utf-8"?>
<ds:datastoreItem xmlns:ds="http://schemas.openxmlformats.org/officeDocument/2006/customXml" ds:itemID="{76313B7E-DC65-4D57-AFB1-79950EB02287}">
  <ds:schemaRefs>
    <ds:schemaRef ds:uri="http://schemas.microsoft.com/sharepoint/events"/>
  </ds:schemaRefs>
</ds:datastoreItem>
</file>

<file path=customXml/itemProps6.xml><?xml version="1.0" encoding="utf-8"?>
<ds:datastoreItem xmlns:ds="http://schemas.openxmlformats.org/officeDocument/2006/customXml" ds:itemID="{A763120F-D6A6-4EEC-A26D-CD4779585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2682</Words>
  <Characters>15076</Characters>
  <Application>Microsoft Office Word</Application>
  <DocSecurity>0</DocSecurity>
  <Lines>350</Lines>
  <Paragraphs>169</Paragraphs>
  <ScaleCrop>false</ScaleCrop>
  <HeadingPairs>
    <vt:vector size="2" baseType="variant">
      <vt:variant>
        <vt:lpstr>Title</vt:lpstr>
      </vt:variant>
      <vt:variant>
        <vt:i4>1</vt:i4>
      </vt:variant>
    </vt:vector>
  </HeadingPairs>
  <TitlesOfParts>
    <vt:vector size="1" baseType="lpstr">
      <vt:lpstr>Strenthening Commercial Dealings in the Food and Grocery Industry</vt:lpstr>
    </vt:vector>
  </TitlesOfParts>
  <Company>Australian Government - The Treasury</Company>
  <LinksUpToDate>false</LinksUpToDate>
  <CharactersWithSpaces>17589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Strenthening Commercial Dealings in the Food and Grocery Industry</dc:title>
  <dc:subject>Government’s response to the Independent Review of the Food and Grocery Code of Conduct</dc:subject>
  <dc:creator>The Treasury</dc:creator>
  <cp:lastModifiedBy>Hill, Christine</cp:lastModifiedBy>
  <cp:revision>4</cp:revision>
  <cp:lastPrinted>2018-04-08T22:30:00Z</cp:lastPrinted>
  <dcterms:created xsi:type="dcterms:W3CDTF">2019-03-21T01:39:00Z</dcterms:created>
  <dcterms:modified xsi:type="dcterms:W3CDTF">2019-03-22T00:31:00Z</dcterms:modified>
</cp:coreProperties>
</file>