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2D157" w14:textId="77777777" w:rsidR="00BF4754" w:rsidRDefault="00BF4754" w:rsidP="00BF4754">
      <w:pPr>
        <w:spacing w:before="360"/>
        <w:jc w:val="center"/>
      </w:pPr>
      <w:bookmarkStart w:id="0" w:name="_GoBack"/>
      <w:bookmarkEnd w:id="0"/>
      <w:r>
        <w:rPr>
          <w:caps/>
          <w:noProof/>
          <w:lang w:eastAsia="en-AU"/>
        </w:rPr>
        <w:drawing>
          <wp:inline distT="0" distB="0" distL="0" distR="0" wp14:anchorId="7379FE12" wp14:editId="2A14E15E">
            <wp:extent cx="2465705" cy="1371600"/>
            <wp:effectExtent l="0" t="0" r="0" b="0"/>
            <wp:docPr id="1"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103602BA" w14:textId="6EFE6B17" w:rsidR="00BF4754" w:rsidRPr="008F4563" w:rsidRDefault="00BF4754" w:rsidP="00BF4754">
      <w:pPr>
        <w:spacing w:before="360"/>
        <w:jc w:val="center"/>
        <w:rPr>
          <w:rFonts w:ascii="Times New Roman" w:eastAsia="Times New Roman" w:hAnsi="Times New Roman" w:cs="Times New Roman"/>
          <w:sz w:val="36"/>
          <w:szCs w:val="36"/>
        </w:rPr>
      </w:pPr>
      <w:r w:rsidRPr="008F4563">
        <w:rPr>
          <w:rFonts w:ascii="Times New Roman" w:eastAsia="Times New Roman" w:hAnsi="Times New Roman" w:cs="Times New Roman"/>
          <w:sz w:val="36"/>
          <w:szCs w:val="36"/>
        </w:rPr>
        <w:t xml:space="preserve">Australian Government response to the </w:t>
      </w:r>
      <w:r w:rsidRPr="008F4563">
        <w:rPr>
          <w:rFonts w:ascii="Times New Roman" w:eastAsia="Times New Roman" w:hAnsi="Times New Roman" w:cs="Times New Roman"/>
          <w:sz w:val="36"/>
          <w:szCs w:val="36"/>
        </w:rPr>
        <w:br/>
      </w:r>
      <w:r w:rsidR="00483D00" w:rsidRPr="00483D00">
        <w:rPr>
          <w:rFonts w:ascii="Times New Roman" w:eastAsia="Times New Roman" w:hAnsi="Times New Roman" w:cs="Times New Roman"/>
          <w:sz w:val="36"/>
          <w:szCs w:val="36"/>
        </w:rPr>
        <w:t xml:space="preserve">Senate Economics Legislation Committee report Foreign Acquisitions and Takeovers Legislation Amendment Bill 2015 and related </w:t>
      </w:r>
      <w:r w:rsidR="00B942F8">
        <w:rPr>
          <w:rFonts w:ascii="Times New Roman" w:eastAsia="Times New Roman" w:hAnsi="Times New Roman" w:cs="Times New Roman"/>
          <w:sz w:val="36"/>
          <w:szCs w:val="36"/>
        </w:rPr>
        <w:t>B</w:t>
      </w:r>
      <w:r w:rsidR="00483D00" w:rsidRPr="00483D00">
        <w:rPr>
          <w:rFonts w:ascii="Times New Roman" w:eastAsia="Times New Roman" w:hAnsi="Times New Roman" w:cs="Times New Roman"/>
          <w:sz w:val="36"/>
          <w:szCs w:val="36"/>
        </w:rPr>
        <w:t>ills [Provisions]</w:t>
      </w:r>
    </w:p>
    <w:p w14:paraId="03134050" w14:textId="7EEB4319" w:rsidR="00BF4754" w:rsidRPr="00FD3906" w:rsidRDefault="002A655C" w:rsidP="00BF4754">
      <w:pPr>
        <w:spacing w:before="6840" w:after="120"/>
        <w:jc w:val="right"/>
        <w:rPr>
          <w:rFonts w:ascii="Times New Roman" w:hAnsi="Times New Roman" w:cs="Times New Roman"/>
          <w:caps/>
          <w:sz w:val="28"/>
          <w:szCs w:val="28"/>
        </w:rPr>
      </w:pPr>
      <w:r>
        <w:rPr>
          <w:rFonts w:ascii="Times New Roman" w:hAnsi="Times New Roman" w:cs="Times New Roman"/>
          <w:sz w:val="28"/>
          <w:szCs w:val="28"/>
        </w:rPr>
        <w:t xml:space="preserve">August </w:t>
      </w:r>
      <w:r w:rsidR="00C51C22">
        <w:rPr>
          <w:rFonts w:ascii="Times New Roman" w:hAnsi="Times New Roman" w:cs="Times New Roman"/>
          <w:sz w:val="28"/>
          <w:szCs w:val="28"/>
        </w:rPr>
        <w:t>2018</w:t>
      </w:r>
      <w:r w:rsidR="00BF4754" w:rsidRPr="00FD3906">
        <w:rPr>
          <w:rFonts w:ascii="Times New Roman" w:hAnsi="Times New Roman" w:cs="Times New Roman"/>
          <w:caps/>
          <w:sz w:val="28"/>
          <w:szCs w:val="28"/>
        </w:rPr>
        <w:br/>
      </w:r>
    </w:p>
    <w:p w14:paraId="1496ED05" w14:textId="77777777" w:rsidR="00BF4754" w:rsidRPr="00FD3906" w:rsidRDefault="00BF4754">
      <w:pPr>
        <w:rPr>
          <w:rFonts w:ascii="Times New Roman" w:eastAsiaTheme="majorEastAsia" w:hAnsi="Times New Roman" w:cs="Times New Roman"/>
          <w:b/>
          <w:bCs/>
          <w:color w:val="4F81BD" w:themeColor="accent1"/>
          <w:sz w:val="26"/>
          <w:szCs w:val="26"/>
        </w:rPr>
      </w:pPr>
      <w:r w:rsidRPr="00FD3906">
        <w:rPr>
          <w:rFonts w:ascii="Times New Roman" w:hAnsi="Times New Roman" w:cs="Times New Roman"/>
        </w:rPr>
        <w:br w:type="page"/>
      </w:r>
    </w:p>
    <w:p w14:paraId="1D5419AF" w14:textId="02DC97A9" w:rsidR="00D55CF8" w:rsidRPr="00FD3906" w:rsidRDefault="00D55CF8" w:rsidP="00D55CF8">
      <w:pPr>
        <w:rPr>
          <w:rFonts w:ascii="Times New Roman" w:hAnsi="Times New Roman" w:cs="Times New Roman"/>
          <w:b/>
          <w:sz w:val="24"/>
          <w:szCs w:val="24"/>
        </w:rPr>
      </w:pPr>
      <w:r w:rsidRPr="00FD3906">
        <w:rPr>
          <w:rFonts w:ascii="Times New Roman" w:hAnsi="Times New Roman" w:cs="Times New Roman"/>
          <w:b/>
          <w:sz w:val="24"/>
          <w:szCs w:val="24"/>
        </w:rPr>
        <w:lastRenderedPageBreak/>
        <w:t>Response to the Committee’s Recommendations</w:t>
      </w:r>
    </w:p>
    <w:p w14:paraId="5803B3D7" w14:textId="105BD799" w:rsidR="00EE1E9F" w:rsidRPr="00FD3906" w:rsidRDefault="00A61242" w:rsidP="00047922">
      <w:pPr>
        <w:rPr>
          <w:rFonts w:ascii="Times New Roman" w:hAnsi="Times New Roman" w:cs="Times New Roman"/>
          <w:sz w:val="24"/>
          <w:szCs w:val="24"/>
        </w:rPr>
      </w:pPr>
      <w:r w:rsidRPr="00FD3906">
        <w:rPr>
          <w:rFonts w:ascii="Times New Roman" w:hAnsi="Times New Roman" w:cs="Times New Roman"/>
          <w:sz w:val="24"/>
          <w:szCs w:val="24"/>
        </w:rPr>
        <w:t xml:space="preserve">The Senate Economics Legislation Committee report </w:t>
      </w:r>
      <w:r w:rsidR="00BB5E49" w:rsidRPr="00FD3906">
        <w:rPr>
          <w:rFonts w:ascii="Times New Roman" w:hAnsi="Times New Roman" w:cs="Times New Roman"/>
          <w:sz w:val="24"/>
          <w:szCs w:val="24"/>
        </w:rPr>
        <w:t>‘</w:t>
      </w:r>
      <w:r w:rsidRPr="00FD3906">
        <w:rPr>
          <w:rFonts w:ascii="Times New Roman" w:hAnsi="Times New Roman" w:cs="Times New Roman"/>
          <w:sz w:val="24"/>
          <w:szCs w:val="24"/>
        </w:rPr>
        <w:t>Foreign Acquisitions and Takeovers Legislation Amendment Bill 2015 and related bills</w:t>
      </w:r>
      <w:r w:rsidR="00BB5E49" w:rsidRPr="00FD3906">
        <w:rPr>
          <w:rFonts w:ascii="Times New Roman" w:hAnsi="Times New Roman" w:cs="Times New Roman"/>
          <w:sz w:val="24"/>
          <w:szCs w:val="24"/>
        </w:rPr>
        <w:t>’</w:t>
      </w:r>
      <w:r w:rsidRPr="00FD3906">
        <w:rPr>
          <w:rFonts w:ascii="Times New Roman" w:hAnsi="Times New Roman" w:cs="Times New Roman"/>
          <w:sz w:val="24"/>
          <w:szCs w:val="24"/>
        </w:rPr>
        <w:t xml:space="preserve"> had a number of recommendations. Most </w:t>
      </w:r>
      <w:r w:rsidR="007D425D" w:rsidRPr="00FD3906">
        <w:rPr>
          <w:rFonts w:ascii="Times New Roman" w:hAnsi="Times New Roman" w:cs="Times New Roman"/>
          <w:sz w:val="24"/>
          <w:szCs w:val="24"/>
        </w:rPr>
        <w:t>of the</w:t>
      </w:r>
      <w:r w:rsidRPr="00FD3906">
        <w:rPr>
          <w:rFonts w:ascii="Times New Roman" w:hAnsi="Times New Roman" w:cs="Times New Roman"/>
          <w:sz w:val="24"/>
          <w:szCs w:val="24"/>
        </w:rPr>
        <w:t>se</w:t>
      </w:r>
      <w:r w:rsidR="007D425D" w:rsidRPr="00FD3906">
        <w:rPr>
          <w:rFonts w:ascii="Times New Roman" w:hAnsi="Times New Roman" w:cs="Times New Roman"/>
          <w:sz w:val="24"/>
          <w:szCs w:val="24"/>
        </w:rPr>
        <w:t xml:space="preserve"> recommendations were dealt with in </w:t>
      </w:r>
      <w:r w:rsidR="00EE1E9F" w:rsidRPr="00FD3906">
        <w:rPr>
          <w:rFonts w:ascii="Times New Roman" w:hAnsi="Times New Roman" w:cs="Times New Roman"/>
          <w:sz w:val="24"/>
          <w:szCs w:val="24"/>
        </w:rPr>
        <w:t xml:space="preserve">the </w:t>
      </w:r>
      <w:r w:rsidR="007D425D" w:rsidRPr="00FD3906">
        <w:rPr>
          <w:rFonts w:ascii="Times New Roman" w:hAnsi="Times New Roman" w:cs="Times New Roman"/>
          <w:sz w:val="24"/>
          <w:szCs w:val="24"/>
        </w:rPr>
        <w:t xml:space="preserve">debate and by passing </w:t>
      </w:r>
      <w:r w:rsidR="00DC6EA8" w:rsidRPr="00FD3906">
        <w:rPr>
          <w:rFonts w:ascii="Times New Roman" w:hAnsi="Times New Roman" w:cs="Times New Roman"/>
          <w:sz w:val="24"/>
          <w:szCs w:val="24"/>
        </w:rPr>
        <w:t xml:space="preserve">the </w:t>
      </w:r>
      <w:r w:rsidR="004C0A1A" w:rsidRPr="00FD3906">
        <w:rPr>
          <w:rFonts w:ascii="Times New Roman" w:hAnsi="Times New Roman" w:cs="Times New Roman"/>
          <w:sz w:val="24"/>
          <w:szCs w:val="24"/>
        </w:rPr>
        <w:t>Foreign Acquisitions and Takeovers Legislation Amendment Bill 2015 and related bills</w:t>
      </w:r>
      <w:r w:rsidR="00DC6EA8" w:rsidRPr="00FD3906">
        <w:rPr>
          <w:rFonts w:ascii="Times New Roman" w:hAnsi="Times New Roman" w:cs="Times New Roman"/>
          <w:sz w:val="24"/>
          <w:szCs w:val="24"/>
        </w:rPr>
        <w:t>.</w:t>
      </w:r>
      <w:r w:rsidR="00EE1E9F" w:rsidRPr="00FD3906">
        <w:rPr>
          <w:rFonts w:ascii="Times New Roman" w:hAnsi="Times New Roman" w:cs="Times New Roman"/>
          <w:sz w:val="24"/>
          <w:szCs w:val="24"/>
        </w:rPr>
        <w:t xml:space="preserve"> The key pages of Hansard which address most of the recommendations are page 8601 (2015) and page 13540 (2015).  </w:t>
      </w:r>
      <w:r w:rsidR="00DC6EA8" w:rsidRPr="00FD3906">
        <w:rPr>
          <w:rFonts w:ascii="Times New Roman" w:hAnsi="Times New Roman" w:cs="Times New Roman"/>
          <w:sz w:val="24"/>
          <w:szCs w:val="24"/>
        </w:rPr>
        <w:t xml:space="preserve"> </w:t>
      </w:r>
    </w:p>
    <w:p w14:paraId="53CA653A" w14:textId="0EF2499E" w:rsidR="007D425D" w:rsidRPr="00FD3906" w:rsidRDefault="00DC6EA8" w:rsidP="00047922">
      <w:pPr>
        <w:rPr>
          <w:rFonts w:ascii="Times New Roman" w:hAnsi="Times New Roman" w:cs="Times New Roman"/>
          <w:sz w:val="24"/>
          <w:szCs w:val="24"/>
        </w:rPr>
      </w:pPr>
      <w:r w:rsidRPr="00FD3906">
        <w:rPr>
          <w:rFonts w:ascii="Times New Roman" w:hAnsi="Times New Roman" w:cs="Times New Roman"/>
          <w:sz w:val="24"/>
          <w:szCs w:val="24"/>
        </w:rPr>
        <w:t xml:space="preserve">The following recommendations still require a response. </w:t>
      </w:r>
    </w:p>
    <w:p w14:paraId="658E4C4C" w14:textId="77904288" w:rsidR="00E20038" w:rsidRPr="00FD3906" w:rsidRDefault="00E20038" w:rsidP="00047922">
      <w:pPr>
        <w:spacing w:before="240"/>
        <w:rPr>
          <w:rFonts w:ascii="Times New Roman" w:hAnsi="Times New Roman" w:cs="Times New Roman"/>
          <w:sz w:val="24"/>
          <w:szCs w:val="24"/>
        </w:rPr>
      </w:pPr>
      <w:r w:rsidRPr="00FD3906">
        <w:rPr>
          <w:rFonts w:ascii="Times New Roman" w:hAnsi="Times New Roman" w:cs="Times New Roman"/>
          <w:b/>
          <w:noProof/>
          <w:sz w:val="24"/>
          <w:szCs w:val="24"/>
          <w:lang w:eastAsia="en-AU"/>
        </w:rPr>
        <mc:AlternateContent>
          <mc:Choice Requires="wps">
            <w:drawing>
              <wp:inline distT="0" distB="0" distL="0" distR="0" wp14:anchorId="1CEC6D67" wp14:editId="352DBD18">
                <wp:extent cx="6238875" cy="802640"/>
                <wp:effectExtent l="0" t="0" r="28575" b="1651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802640"/>
                        </a:xfrm>
                        <a:prstGeom prst="rect">
                          <a:avLst/>
                        </a:prstGeom>
                        <a:solidFill>
                          <a:srgbClr val="FFFFFF"/>
                        </a:solidFill>
                        <a:ln w="9525">
                          <a:solidFill>
                            <a:srgbClr val="000000"/>
                          </a:solidFill>
                          <a:miter lim="800000"/>
                          <a:headEnd/>
                          <a:tailEnd/>
                        </a:ln>
                      </wps:spPr>
                      <wps:txbx>
                        <w:txbxContent>
                          <w:p w14:paraId="60C931F0" w14:textId="77777777" w:rsidR="00E20038" w:rsidRPr="00FD3906" w:rsidRDefault="00E20038" w:rsidP="00E20038">
                            <w:pPr>
                              <w:rPr>
                                <w:rFonts w:ascii="Times New Roman" w:hAnsi="Times New Roman" w:cs="Times New Roman"/>
                                <w:sz w:val="24"/>
                                <w:szCs w:val="24"/>
                              </w:rPr>
                            </w:pPr>
                            <w:r w:rsidRPr="00FD3906">
                              <w:rPr>
                                <w:rFonts w:ascii="Times New Roman" w:hAnsi="Times New Roman" w:cs="Times New Roman"/>
                                <w:b/>
                                <w:sz w:val="24"/>
                                <w:szCs w:val="24"/>
                              </w:rPr>
                              <w:t>Dissenting Recommendation 5</w:t>
                            </w:r>
                            <w:r w:rsidRPr="00FD3906">
                              <w:rPr>
                                <w:rFonts w:ascii="Times New Roman" w:hAnsi="Times New Roman" w:cs="Times New Roman"/>
                                <w:sz w:val="24"/>
                                <w:szCs w:val="24"/>
                              </w:rPr>
                              <w:br/>
                              <w:t xml:space="preserve">That the Government amend the </w:t>
                            </w:r>
                            <w:r w:rsidRPr="00FD3906">
                              <w:rPr>
                                <w:rFonts w:ascii="Times New Roman" w:hAnsi="Times New Roman" w:cs="Times New Roman"/>
                                <w:i/>
                                <w:sz w:val="24"/>
                                <w:szCs w:val="24"/>
                              </w:rPr>
                              <w:t>Foreign Acquisitions and Takeovers Fees Imposition Bill 2015</w:t>
                            </w:r>
                            <w:r w:rsidRPr="00FD3906">
                              <w:rPr>
                                <w:rFonts w:ascii="Times New Roman" w:hAnsi="Times New Roman" w:cs="Times New Roman"/>
                                <w:sz w:val="24"/>
                                <w:szCs w:val="24"/>
                              </w:rPr>
                              <w:t xml:space="preserve"> to establish a more consistent, simpler and streamlined approach to fees.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1.25pt;height:6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">
                <v:textbox>
                  <w:txbxContent>
                    <w:p w14:paraId="60C931F0" w14:textId="77777777" w:rsidR="00E20038" w:rsidRPr="00FD3906" w:rsidRDefault="00E20038" w:rsidP="00E20038">
                      <w:pPr>
                        <w:rPr>
                          <w:rFonts w:ascii="Times New Roman" w:hAnsi="Times New Roman" w:cs="Times New Roman"/>
                          <w:sz w:val="24"/>
                          <w:szCs w:val="24"/>
                        </w:rPr>
                      </w:pPr>
                      <w:r w:rsidRPr="00FD3906">
                        <w:rPr>
                          <w:rFonts w:ascii="Times New Roman" w:hAnsi="Times New Roman" w:cs="Times New Roman"/>
                          <w:b/>
                          <w:sz w:val="24"/>
                          <w:szCs w:val="24"/>
                        </w:rPr>
                        <w:t>Dissenting Recommendation 5</w:t>
                      </w:r>
                      <w:r w:rsidRPr="00FD3906">
                        <w:rPr>
                          <w:rFonts w:ascii="Times New Roman" w:hAnsi="Times New Roman" w:cs="Times New Roman"/>
                          <w:sz w:val="24"/>
                          <w:szCs w:val="24"/>
                        </w:rPr>
                        <w:br/>
                      </w:r>
                      <w:proofErr w:type="gramStart"/>
                      <w:r w:rsidRPr="00FD3906">
                        <w:rPr>
                          <w:rFonts w:ascii="Times New Roman" w:hAnsi="Times New Roman" w:cs="Times New Roman"/>
                          <w:sz w:val="24"/>
                          <w:szCs w:val="24"/>
                        </w:rPr>
                        <w:t>That</w:t>
                      </w:r>
                      <w:proofErr w:type="gramEnd"/>
                      <w:r w:rsidRPr="00FD3906">
                        <w:rPr>
                          <w:rFonts w:ascii="Times New Roman" w:hAnsi="Times New Roman" w:cs="Times New Roman"/>
                          <w:sz w:val="24"/>
                          <w:szCs w:val="24"/>
                        </w:rPr>
                        <w:t xml:space="preserve"> the Government amend the </w:t>
                      </w:r>
                      <w:r w:rsidRPr="00FD3906">
                        <w:rPr>
                          <w:rFonts w:ascii="Times New Roman" w:hAnsi="Times New Roman" w:cs="Times New Roman"/>
                          <w:i/>
                          <w:sz w:val="24"/>
                          <w:szCs w:val="24"/>
                        </w:rPr>
                        <w:t>Foreign Acquisitions and Takeovers Fees Imposition Bill 2015</w:t>
                      </w:r>
                      <w:r w:rsidRPr="00FD3906">
                        <w:rPr>
                          <w:rFonts w:ascii="Times New Roman" w:hAnsi="Times New Roman" w:cs="Times New Roman"/>
                          <w:sz w:val="24"/>
                          <w:szCs w:val="24"/>
                        </w:rPr>
                        <w:t xml:space="preserve"> to establish a more consistent, simpler and streamlined approach to fees.</w:t>
                      </w:r>
                    </w:p>
                  </w:txbxContent>
                </v:textbox>
                <w10:anchorlock/>
              </v:shape>
            </w:pict>
          </mc:Fallback>
        </mc:AlternateContent>
      </w:r>
      <w:r w:rsidR="00F64629" w:rsidRPr="00FD3906">
        <w:rPr>
          <w:rFonts w:ascii="Times New Roman" w:hAnsi="Times New Roman" w:cs="Times New Roman"/>
          <w:sz w:val="24"/>
          <w:szCs w:val="24"/>
        </w:rPr>
        <w:t xml:space="preserve">The Australian Government </w:t>
      </w:r>
      <w:r w:rsidR="00F64629" w:rsidRPr="00FD3906">
        <w:rPr>
          <w:rFonts w:ascii="Times New Roman" w:hAnsi="Times New Roman" w:cs="Times New Roman"/>
          <w:b/>
          <w:sz w:val="24"/>
          <w:szCs w:val="24"/>
        </w:rPr>
        <w:t>notes</w:t>
      </w:r>
      <w:r w:rsidR="00F64629" w:rsidRPr="00FD3906">
        <w:rPr>
          <w:rFonts w:ascii="Times New Roman" w:hAnsi="Times New Roman" w:cs="Times New Roman"/>
          <w:sz w:val="24"/>
          <w:szCs w:val="24"/>
        </w:rPr>
        <w:t xml:space="preserve"> this recommendation</w:t>
      </w:r>
      <w:r w:rsidRPr="00FD3906">
        <w:rPr>
          <w:rFonts w:ascii="Times New Roman" w:hAnsi="Times New Roman" w:cs="Times New Roman"/>
          <w:sz w:val="24"/>
          <w:szCs w:val="24"/>
        </w:rPr>
        <w:t>.</w:t>
      </w:r>
    </w:p>
    <w:p w14:paraId="1F11F506" w14:textId="77777777" w:rsidR="00E20038" w:rsidRPr="00FD3906" w:rsidRDefault="00E20038" w:rsidP="00E20038">
      <w:pPr>
        <w:rPr>
          <w:rFonts w:ascii="Times New Roman" w:hAnsi="Times New Roman" w:cs="Times New Roman"/>
          <w:sz w:val="24"/>
          <w:szCs w:val="24"/>
        </w:rPr>
      </w:pPr>
      <w:r w:rsidRPr="00FD3906">
        <w:rPr>
          <w:rFonts w:ascii="Times New Roman" w:hAnsi="Times New Roman" w:cs="Times New Roman"/>
          <w:sz w:val="24"/>
          <w:szCs w:val="24"/>
        </w:rPr>
        <w:t>One of the key elements of the Government’s reform package was the introduction of application fees to improve service delivery and ensure that Australian taxpayers no longer have to fund the cost of administering the system.</w:t>
      </w:r>
    </w:p>
    <w:p w14:paraId="69154698" w14:textId="323AA27C" w:rsidR="00256F8A" w:rsidRPr="00FD3906" w:rsidRDefault="00C51C22" w:rsidP="00256F8A">
      <w:pPr>
        <w:rPr>
          <w:rFonts w:ascii="Times New Roman" w:hAnsi="Times New Roman" w:cs="Times New Roman"/>
          <w:sz w:val="24"/>
          <w:szCs w:val="24"/>
        </w:rPr>
      </w:pPr>
      <w:r>
        <w:rPr>
          <w:rFonts w:ascii="Times New Roman" w:hAnsi="Times New Roman" w:cs="Times New Roman"/>
          <w:sz w:val="24"/>
          <w:szCs w:val="24"/>
        </w:rPr>
        <w:t>S</w:t>
      </w:r>
      <w:r w:rsidR="00E20038" w:rsidRPr="00FD3906">
        <w:rPr>
          <w:rFonts w:ascii="Times New Roman" w:hAnsi="Times New Roman" w:cs="Times New Roman"/>
          <w:sz w:val="24"/>
          <w:szCs w:val="24"/>
        </w:rPr>
        <w:t xml:space="preserve">ince the reforms were implemented, the Government has been seeking ongoing feedback from stakeholders on how the reforms are working in practice. </w:t>
      </w:r>
      <w:r w:rsidR="00256F8A" w:rsidRPr="00FD3906">
        <w:rPr>
          <w:rFonts w:ascii="Times New Roman" w:hAnsi="Times New Roman" w:cs="Times New Roman"/>
          <w:sz w:val="24"/>
          <w:szCs w:val="24"/>
        </w:rPr>
        <w:t xml:space="preserve">The introduction of fees was a significant change, and feedback highlighted the complexities for end-users in estimating the correct fee for commercial transactions. </w:t>
      </w:r>
    </w:p>
    <w:p w14:paraId="2F40DA67" w14:textId="0560FBBB" w:rsidR="00F64629" w:rsidRPr="00FD3906" w:rsidRDefault="00256F8A" w:rsidP="00F64629">
      <w:pPr>
        <w:spacing w:before="240"/>
        <w:rPr>
          <w:rFonts w:ascii="Times New Roman" w:hAnsi="Times New Roman" w:cs="Times New Roman"/>
          <w:sz w:val="24"/>
          <w:szCs w:val="24"/>
        </w:rPr>
      </w:pPr>
      <w:r w:rsidRPr="00FD3906">
        <w:rPr>
          <w:rFonts w:ascii="Times New Roman" w:hAnsi="Times New Roman" w:cs="Times New Roman"/>
          <w:sz w:val="24"/>
          <w:szCs w:val="24"/>
        </w:rPr>
        <w:t xml:space="preserve">These </w:t>
      </w:r>
      <w:r w:rsidR="00F64629" w:rsidRPr="00FD3906">
        <w:rPr>
          <w:rFonts w:ascii="Times New Roman" w:hAnsi="Times New Roman" w:cs="Times New Roman"/>
          <w:sz w:val="24"/>
          <w:szCs w:val="24"/>
        </w:rPr>
        <w:t>issues were recently addressed through a suite of legislative and regulatory amendments to streamline and simplify the operation of the foreign investment framework including the fee regime</w:t>
      </w:r>
      <w:r w:rsidR="007D425D" w:rsidRPr="00FD3906">
        <w:rPr>
          <w:rFonts w:ascii="Times New Roman" w:hAnsi="Times New Roman" w:cs="Times New Roman"/>
          <w:sz w:val="24"/>
          <w:szCs w:val="24"/>
        </w:rPr>
        <w:t xml:space="preserve"> (</w:t>
      </w:r>
      <w:r w:rsidR="007D425D" w:rsidRPr="00FD3906">
        <w:rPr>
          <w:rFonts w:ascii="Times New Roman" w:hAnsi="Times New Roman" w:cs="Times New Roman"/>
          <w:i/>
          <w:sz w:val="24"/>
          <w:szCs w:val="24"/>
        </w:rPr>
        <w:t>Foreign Acquisitions and Takeovers Fees Imposition Amendment (Fee Streamlining and Other Measures) Bill 2017</w:t>
      </w:r>
      <w:r w:rsidR="007D425D" w:rsidRPr="00FD3906">
        <w:rPr>
          <w:rFonts w:ascii="Times New Roman" w:hAnsi="Times New Roman" w:cs="Times New Roman"/>
          <w:sz w:val="24"/>
          <w:szCs w:val="24"/>
        </w:rPr>
        <w:t>)</w:t>
      </w:r>
      <w:r w:rsidR="00F64629" w:rsidRPr="00FD3906">
        <w:rPr>
          <w:rFonts w:ascii="Times New Roman" w:hAnsi="Times New Roman" w:cs="Times New Roman"/>
          <w:sz w:val="24"/>
          <w:szCs w:val="24"/>
        </w:rPr>
        <w:t>. The changes were announced in the 2017-18 Budget and took effect from 1 July 2017. The changes were informed by a four week public consultation and stakeholder engagement process in March 2017 and further consultation following the 2017</w:t>
      </w:r>
      <w:r w:rsidR="00F64629" w:rsidRPr="00FD3906">
        <w:rPr>
          <w:rFonts w:ascii="Times New Roman" w:hAnsi="Times New Roman" w:cs="Times New Roman"/>
          <w:sz w:val="24"/>
          <w:szCs w:val="24"/>
        </w:rPr>
        <w:noBreakHyphen/>
        <w:t xml:space="preserve">18 Budget. </w:t>
      </w:r>
    </w:p>
    <w:p w14:paraId="5675FD5F" w14:textId="1F8F738F" w:rsidR="00F64629" w:rsidRPr="00FD3906" w:rsidRDefault="00F64629">
      <w:pPr>
        <w:rPr>
          <w:rFonts w:ascii="Times New Roman" w:hAnsi="Times New Roman" w:cs="Times New Roman"/>
          <w:i/>
          <w:sz w:val="24"/>
          <w:szCs w:val="24"/>
          <w:u w:val="single"/>
        </w:rPr>
      </w:pPr>
      <w:r w:rsidRPr="00FD3906">
        <w:rPr>
          <w:rFonts w:ascii="Times New Roman" w:hAnsi="Times New Roman" w:cs="Times New Roman"/>
          <w:b/>
          <w:noProof/>
          <w:sz w:val="24"/>
          <w:szCs w:val="24"/>
          <w:lang w:eastAsia="en-AU"/>
        </w:rPr>
        <mc:AlternateContent>
          <mc:Choice Requires="wps">
            <w:drawing>
              <wp:inline distT="0" distB="0" distL="0" distR="0" wp14:anchorId="04F9E360" wp14:editId="01949167">
                <wp:extent cx="6238875" cy="802640"/>
                <wp:effectExtent l="0" t="0" r="28575" b="1651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802640"/>
                        </a:xfrm>
                        <a:prstGeom prst="rect">
                          <a:avLst/>
                        </a:prstGeom>
                        <a:solidFill>
                          <a:srgbClr val="FFFFFF"/>
                        </a:solidFill>
                        <a:ln w="9525">
                          <a:solidFill>
                            <a:srgbClr val="000000"/>
                          </a:solidFill>
                          <a:miter lim="800000"/>
                          <a:headEnd/>
                          <a:tailEnd/>
                        </a:ln>
                      </wps:spPr>
                      <wps:txbx>
                        <w:txbxContent>
                          <w:p w14:paraId="0031D8DE" w14:textId="77777777" w:rsidR="00F64629" w:rsidRPr="00FD3906" w:rsidRDefault="00F64629" w:rsidP="00F64629">
                            <w:pPr>
                              <w:rPr>
                                <w:rFonts w:ascii="Times New Roman" w:hAnsi="Times New Roman" w:cs="Times New Roman"/>
                                <w:b/>
                                <w:sz w:val="24"/>
                                <w:szCs w:val="24"/>
                              </w:rPr>
                            </w:pPr>
                            <w:r w:rsidRPr="00FD3906">
                              <w:rPr>
                                <w:rFonts w:ascii="Times New Roman" w:hAnsi="Times New Roman" w:cs="Times New Roman"/>
                                <w:b/>
                                <w:sz w:val="24"/>
                                <w:szCs w:val="24"/>
                              </w:rPr>
                              <w:t>Xenophon Recommendation 1</w:t>
                            </w:r>
                          </w:p>
                          <w:p w14:paraId="72327E68" w14:textId="3A1AECEA"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That Australia's Foreign Investment Policy and the associated regulations be amended to change the threshold test for purchases of agricultural land of $15 million to $5 million.</w:t>
                            </w:r>
                          </w:p>
                        </w:txbxContent>
                      </wps:txbx>
                      <wps:bodyPr rot="0" vert="horz" wrap="square" lIns="91440" tIns="45720" rIns="91440" bIns="45720" anchor="t" anchorCtr="0">
                        <a:noAutofit/>
                      </wps:bodyPr>
                    </wps:wsp>
                  </a:graphicData>
                </a:graphic>
              </wp:inline>
            </w:drawing>
          </mc:Choice>
          <mc:Fallback>
            <w:pict>
              <v:shape id="_x0000_s1027" type="#_x0000_t202" style="width:491.25pt;height:6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">
                <v:textbox>
                  <w:txbxContent>
                    <w:p w14:paraId="0031D8DE" w14:textId="77777777" w:rsidR="00F64629" w:rsidRPr="00FD3906" w:rsidRDefault="00F64629" w:rsidP="00F64629">
                      <w:pPr>
                        <w:rPr>
                          <w:rFonts w:ascii="Times New Roman" w:hAnsi="Times New Roman" w:cs="Times New Roman"/>
                          <w:b/>
                          <w:sz w:val="24"/>
                          <w:szCs w:val="24"/>
                        </w:rPr>
                      </w:pPr>
                      <w:r w:rsidRPr="00FD3906">
                        <w:rPr>
                          <w:rFonts w:ascii="Times New Roman" w:hAnsi="Times New Roman" w:cs="Times New Roman"/>
                          <w:b/>
                          <w:sz w:val="24"/>
                          <w:szCs w:val="24"/>
                        </w:rPr>
                        <w:t>Xenophon Recommendation 1</w:t>
                      </w:r>
                    </w:p>
                    <w:p w14:paraId="72327E68" w14:textId="3A1AECEA"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 xml:space="preserve">That Australia's Foreign Investment Policy and the associated regulations </w:t>
                      </w:r>
                      <w:proofErr w:type="gramStart"/>
                      <w:r w:rsidRPr="00FD3906">
                        <w:rPr>
                          <w:rFonts w:ascii="Times New Roman" w:hAnsi="Times New Roman" w:cs="Times New Roman"/>
                          <w:sz w:val="24"/>
                          <w:szCs w:val="24"/>
                        </w:rPr>
                        <w:t>be</w:t>
                      </w:r>
                      <w:proofErr w:type="gramEnd"/>
                      <w:r w:rsidRPr="00FD3906">
                        <w:rPr>
                          <w:rFonts w:ascii="Times New Roman" w:hAnsi="Times New Roman" w:cs="Times New Roman"/>
                          <w:sz w:val="24"/>
                          <w:szCs w:val="24"/>
                        </w:rPr>
                        <w:t xml:space="preserve"> amended to change the threshold test for purchases of agricultural land of $15 million to $5 million.</w:t>
                      </w:r>
                    </w:p>
                  </w:txbxContent>
                </v:textbox>
                <w10:anchorlock/>
              </v:shape>
            </w:pict>
          </mc:Fallback>
        </mc:AlternateContent>
      </w:r>
    </w:p>
    <w:p w14:paraId="0D59E570" w14:textId="1B357037"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 xml:space="preserve">The Australian Government </w:t>
      </w:r>
      <w:r w:rsidRPr="00FD3906">
        <w:rPr>
          <w:rFonts w:ascii="Times New Roman" w:hAnsi="Times New Roman" w:cs="Times New Roman"/>
          <w:b/>
          <w:sz w:val="24"/>
          <w:szCs w:val="24"/>
        </w:rPr>
        <w:t>does not support</w:t>
      </w:r>
      <w:r w:rsidRPr="00FD3906">
        <w:rPr>
          <w:rFonts w:ascii="Times New Roman" w:hAnsi="Times New Roman" w:cs="Times New Roman"/>
          <w:sz w:val="24"/>
          <w:szCs w:val="24"/>
        </w:rPr>
        <w:t xml:space="preserve"> this recommendation.</w:t>
      </w:r>
    </w:p>
    <w:p w14:paraId="0D0D10F2" w14:textId="74A5F9DD"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 xml:space="preserve">Lowering the threshold to $5 million would put </w:t>
      </w:r>
      <w:r w:rsidR="00256F8A" w:rsidRPr="00FD3906">
        <w:rPr>
          <w:rFonts w:ascii="Times New Roman" w:hAnsi="Times New Roman" w:cs="Times New Roman"/>
          <w:sz w:val="24"/>
          <w:szCs w:val="24"/>
        </w:rPr>
        <w:t>Australia</w:t>
      </w:r>
      <w:r w:rsidRPr="00FD3906">
        <w:rPr>
          <w:rFonts w:ascii="Times New Roman" w:hAnsi="Times New Roman" w:cs="Times New Roman"/>
          <w:sz w:val="24"/>
          <w:szCs w:val="24"/>
        </w:rPr>
        <w:t xml:space="preserve"> in breach of our free trade agreement commitments.</w:t>
      </w:r>
    </w:p>
    <w:p w14:paraId="1628076A" w14:textId="77777777"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 xml:space="preserve">The $15 million screening threshold for agricultural land is cumulative. Once a foreign investor owns $15 million of agricultural land, all subsequent purchases will be scrutinised regardless of the value. Bringing lower value properties into the FIRB net in the way </w:t>
      </w:r>
      <w:r w:rsidRPr="00FD3906">
        <w:rPr>
          <w:rFonts w:ascii="Times New Roman" w:hAnsi="Times New Roman" w:cs="Times New Roman"/>
          <w:sz w:val="24"/>
          <w:szCs w:val="24"/>
        </w:rPr>
        <w:lastRenderedPageBreak/>
        <w:t xml:space="preserve">suggested would involve scrutiny of smaller size properties that are not of particular interest which would unnecessarily increase compliance costs for investors and generate further administration costs for government. </w:t>
      </w:r>
    </w:p>
    <w:p w14:paraId="6078DC21" w14:textId="77777777"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 xml:space="preserve">All direct interests and land acquisitions by foreign government investors (regardless of origin) continue to be screened from $0.  </w:t>
      </w:r>
    </w:p>
    <w:p w14:paraId="0E145B25" w14:textId="77777777" w:rsidR="00F64629" w:rsidRPr="00FD3906" w:rsidRDefault="00F64629" w:rsidP="00F64629">
      <w:pPr>
        <w:rPr>
          <w:rFonts w:ascii="Times New Roman" w:hAnsi="Times New Roman" w:cs="Times New Roman"/>
          <w:i/>
          <w:sz w:val="24"/>
          <w:szCs w:val="24"/>
          <w:u w:val="single"/>
        </w:rPr>
      </w:pPr>
      <w:r w:rsidRPr="00FD3906">
        <w:rPr>
          <w:rFonts w:ascii="Times New Roman" w:hAnsi="Times New Roman" w:cs="Times New Roman"/>
          <w:b/>
          <w:noProof/>
          <w:sz w:val="24"/>
          <w:szCs w:val="24"/>
          <w:lang w:eastAsia="en-AU"/>
        </w:rPr>
        <mc:AlternateContent>
          <mc:Choice Requires="wps">
            <w:drawing>
              <wp:inline distT="0" distB="0" distL="0" distR="0" wp14:anchorId="0AFFB99E" wp14:editId="0F808B8A">
                <wp:extent cx="6238875" cy="802640"/>
                <wp:effectExtent l="0" t="0" r="28575" b="1651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802640"/>
                        </a:xfrm>
                        <a:prstGeom prst="rect">
                          <a:avLst/>
                        </a:prstGeom>
                        <a:solidFill>
                          <a:srgbClr val="FFFFFF"/>
                        </a:solidFill>
                        <a:ln w="9525">
                          <a:solidFill>
                            <a:srgbClr val="000000"/>
                          </a:solidFill>
                          <a:miter lim="800000"/>
                          <a:headEnd/>
                          <a:tailEnd/>
                        </a:ln>
                      </wps:spPr>
                      <wps:txbx>
                        <w:txbxContent>
                          <w:p w14:paraId="365F7980" w14:textId="309B84D7" w:rsidR="00F64629" w:rsidRPr="00FD3906" w:rsidRDefault="00F64629" w:rsidP="00F64629">
                            <w:pPr>
                              <w:rPr>
                                <w:rFonts w:ascii="Times New Roman" w:hAnsi="Times New Roman" w:cs="Times New Roman"/>
                                <w:b/>
                                <w:sz w:val="24"/>
                                <w:szCs w:val="24"/>
                              </w:rPr>
                            </w:pPr>
                            <w:r w:rsidRPr="00FD3906">
                              <w:rPr>
                                <w:rFonts w:ascii="Times New Roman" w:hAnsi="Times New Roman" w:cs="Times New Roman"/>
                                <w:b/>
                                <w:sz w:val="24"/>
                                <w:szCs w:val="24"/>
                              </w:rPr>
                              <w:t>Xenophon Recommendation 2</w:t>
                            </w:r>
                          </w:p>
                          <w:p w14:paraId="07C4E8D0" w14:textId="4605A5DE"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That the criteria used in New Zealand's Overseas Investment Act 2005 be broadly adopted to ensure greater levels of accountability and transparency.</w:t>
                            </w:r>
                          </w:p>
                        </w:txbxContent>
                      </wps:txbx>
                      <wps:bodyPr rot="0" vert="horz" wrap="square" lIns="91440" tIns="45720" rIns="91440" bIns="45720" anchor="t" anchorCtr="0">
                        <a:noAutofit/>
                      </wps:bodyPr>
                    </wps:wsp>
                  </a:graphicData>
                </a:graphic>
              </wp:inline>
            </w:drawing>
          </mc:Choice>
          <mc:Fallback>
            <w:pict>
              <v:shape id="Text Box 3" o:spid="_x0000_s1028" type="#_x0000_t202" style="width:491.25pt;height:6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">
                <v:textbox>
                  <w:txbxContent>
                    <w:p w14:paraId="365F7980" w14:textId="309B84D7" w:rsidR="00F64629" w:rsidRPr="00FD3906" w:rsidRDefault="00F64629" w:rsidP="00F64629">
                      <w:pPr>
                        <w:rPr>
                          <w:rFonts w:ascii="Times New Roman" w:hAnsi="Times New Roman" w:cs="Times New Roman"/>
                          <w:b/>
                          <w:sz w:val="24"/>
                          <w:szCs w:val="24"/>
                        </w:rPr>
                      </w:pPr>
                      <w:r w:rsidRPr="00FD3906">
                        <w:rPr>
                          <w:rFonts w:ascii="Times New Roman" w:hAnsi="Times New Roman" w:cs="Times New Roman"/>
                          <w:b/>
                          <w:sz w:val="24"/>
                          <w:szCs w:val="24"/>
                        </w:rPr>
                        <w:t>Xenophon Recommendation 2</w:t>
                      </w:r>
                    </w:p>
                    <w:p w14:paraId="07C4E8D0" w14:textId="4605A5DE"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That the criteria used in New Zealand's Overseas Investment Act 2005 be broadly adopted to ensure greater levels of accountability and transparency.</w:t>
                      </w:r>
                    </w:p>
                  </w:txbxContent>
                </v:textbox>
                <w10:anchorlock/>
              </v:shape>
            </w:pict>
          </mc:Fallback>
        </mc:AlternateContent>
      </w:r>
    </w:p>
    <w:p w14:paraId="3DF94EBE" w14:textId="77777777"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 xml:space="preserve">The Australian Government </w:t>
      </w:r>
      <w:r w:rsidRPr="00FD3906">
        <w:rPr>
          <w:rFonts w:ascii="Times New Roman" w:hAnsi="Times New Roman" w:cs="Times New Roman"/>
          <w:b/>
          <w:sz w:val="24"/>
          <w:szCs w:val="24"/>
        </w:rPr>
        <w:t>does not support</w:t>
      </w:r>
      <w:r w:rsidRPr="00FD3906">
        <w:rPr>
          <w:rFonts w:ascii="Times New Roman" w:hAnsi="Times New Roman" w:cs="Times New Roman"/>
          <w:sz w:val="24"/>
          <w:szCs w:val="24"/>
        </w:rPr>
        <w:t xml:space="preserve"> this recommendation.</w:t>
      </w:r>
    </w:p>
    <w:p w14:paraId="71FE3AB1" w14:textId="77777777"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 xml:space="preserve">The foreign investment framework seeks to strike an appropriate balance between maintaining community confidence in foreign investment, protecting the national interest and ensuring that Australia remains an attractive destination for foreign investment by providing certainty for investors. </w:t>
      </w:r>
    </w:p>
    <w:p w14:paraId="4DF59CCD" w14:textId="1E6F97B0"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Consistent with this objective, the Government reviews foreign investment proposals on a case-by</w:t>
      </w:r>
      <w:r w:rsidR="00256F8A" w:rsidRPr="00FD3906">
        <w:rPr>
          <w:rFonts w:ascii="Times New Roman" w:hAnsi="Times New Roman" w:cs="Times New Roman"/>
          <w:sz w:val="24"/>
          <w:szCs w:val="24"/>
        </w:rPr>
        <w:noBreakHyphen/>
      </w:r>
      <w:r w:rsidRPr="00FD3906">
        <w:rPr>
          <w:rFonts w:ascii="Times New Roman" w:hAnsi="Times New Roman" w:cs="Times New Roman"/>
          <w:sz w:val="24"/>
          <w:szCs w:val="24"/>
        </w:rPr>
        <w:t>case basis to ensure they are not contrary to the national interest. The case-by-case approach is a fundamental part of the foreign investment framework because the national interest can change over time.</w:t>
      </w:r>
    </w:p>
    <w:p w14:paraId="5DB0CAD9" w14:textId="77777777"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In practice, the Government typically considers a range of factors when assessing foreign investment proposals (including national security, competition, taxation, impact on the economy and the community and the character of the investor). These are outlined in the Policy.</w:t>
      </w:r>
    </w:p>
    <w:p w14:paraId="1B23A019" w14:textId="77777777" w:rsidR="00F64629" w:rsidRPr="00FD3906" w:rsidRDefault="00F64629" w:rsidP="00F64629">
      <w:pPr>
        <w:rPr>
          <w:rFonts w:ascii="Times New Roman" w:hAnsi="Times New Roman" w:cs="Times New Roman"/>
          <w:i/>
          <w:sz w:val="24"/>
          <w:szCs w:val="24"/>
          <w:u w:val="single"/>
        </w:rPr>
      </w:pPr>
      <w:r w:rsidRPr="00FD3906">
        <w:rPr>
          <w:rFonts w:ascii="Times New Roman" w:hAnsi="Times New Roman" w:cs="Times New Roman"/>
          <w:b/>
          <w:noProof/>
          <w:sz w:val="24"/>
          <w:szCs w:val="24"/>
          <w:lang w:eastAsia="en-AU"/>
        </w:rPr>
        <mc:AlternateContent>
          <mc:Choice Requires="wps">
            <w:drawing>
              <wp:inline distT="0" distB="0" distL="0" distR="0" wp14:anchorId="3721CC75" wp14:editId="62148F9E">
                <wp:extent cx="6238875" cy="1297460"/>
                <wp:effectExtent l="0" t="0" r="28575" b="1714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297460"/>
                        </a:xfrm>
                        <a:prstGeom prst="rect">
                          <a:avLst/>
                        </a:prstGeom>
                        <a:solidFill>
                          <a:srgbClr val="FFFFFF"/>
                        </a:solidFill>
                        <a:ln w="9525">
                          <a:solidFill>
                            <a:srgbClr val="000000"/>
                          </a:solidFill>
                          <a:miter lim="800000"/>
                          <a:headEnd/>
                          <a:tailEnd/>
                        </a:ln>
                      </wps:spPr>
                      <wps:txbx>
                        <w:txbxContent>
                          <w:p w14:paraId="7ABB8D57" w14:textId="079FAE2D" w:rsidR="00F64629" w:rsidRPr="00FD3906" w:rsidRDefault="00F64629" w:rsidP="00F64629">
                            <w:pPr>
                              <w:rPr>
                                <w:rFonts w:ascii="Times New Roman" w:hAnsi="Times New Roman" w:cs="Times New Roman"/>
                                <w:b/>
                                <w:sz w:val="24"/>
                                <w:szCs w:val="24"/>
                              </w:rPr>
                            </w:pPr>
                            <w:r w:rsidRPr="00FD3906">
                              <w:rPr>
                                <w:rFonts w:ascii="Times New Roman" w:hAnsi="Times New Roman" w:cs="Times New Roman"/>
                                <w:b/>
                                <w:sz w:val="24"/>
                                <w:szCs w:val="24"/>
                              </w:rPr>
                              <w:t>Xenophon Recommendation 3</w:t>
                            </w:r>
                          </w:p>
                          <w:p w14:paraId="744BEBC9" w14:textId="77777777"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That there be an urgent review by an independent body (such as the Productivity Commission) to examine the advantages foreign firms may have in investing in Australian agricultural land and any relative disadvantages local investors may have. Furthermore, the ability of superannuation funds to invest in agribusiness needs to be examined.</w:t>
                            </w:r>
                          </w:p>
                          <w:p w14:paraId="082A3134" w14:textId="5223B7E6" w:rsidR="00F64629" w:rsidRDefault="00F64629" w:rsidP="00F64629"/>
                        </w:txbxContent>
                      </wps:txbx>
                      <wps:bodyPr rot="0" vert="horz" wrap="square" lIns="91440" tIns="45720" rIns="91440" bIns="45720" anchor="t" anchorCtr="0">
                        <a:noAutofit/>
                      </wps:bodyPr>
                    </wps:wsp>
                  </a:graphicData>
                </a:graphic>
              </wp:inline>
            </w:drawing>
          </mc:Choice>
          <mc:Fallback>
            <w:pict>
              <v:shape id="Text Box 4" o:spid="_x0000_s1029" type="#_x0000_t202" style="width:491.25pt;height:1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kwKAIAAEw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">
                <v:textbox>
                  <w:txbxContent>
                    <w:p w14:paraId="7ABB8D57" w14:textId="079FAE2D" w:rsidR="00F64629" w:rsidRPr="00FD3906" w:rsidRDefault="00F64629" w:rsidP="00F64629">
                      <w:pPr>
                        <w:rPr>
                          <w:rFonts w:ascii="Times New Roman" w:hAnsi="Times New Roman" w:cs="Times New Roman"/>
                          <w:b/>
                          <w:sz w:val="24"/>
                          <w:szCs w:val="24"/>
                        </w:rPr>
                      </w:pPr>
                      <w:r w:rsidRPr="00FD3906">
                        <w:rPr>
                          <w:rFonts w:ascii="Times New Roman" w:hAnsi="Times New Roman" w:cs="Times New Roman"/>
                          <w:b/>
                          <w:sz w:val="24"/>
                          <w:szCs w:val="24"/>
                        </w:rPr>
                        <w:t>Xenophon Recommendation 3</w:t>
                      </w:r>
                    </w:p>
                    <w:p w14:paraId="744BEBC9" w14:textId="77777777"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That there be an urgent review by an independent body (such as the Productivity Commission) to examine the advantages foreign firms may have in investing in Australian agricultural land and any relative disadvantages local investors may have. Furthermore, the ability of superannuation funds to invest in agribusiness needs to be examined.</w:t>
                      </w:r>
                    </w:p>
                    <w:p w14:paraId="082A3134" w14:textId="5223B7E6" w:rsidR="00F64629" w:rsidRDefault="00F64629" w:rsidP="00F64629"/>
                  </w:txbxContent>
                </v:textbox>
                <w10:anchorlock/>
              </v:shape>
            </w:pict>
          </mc:Fallback>
        </mc:AlternateContent>
      </w:r>
    </w:p>
    <w:p w14:paraId="40C1A1FE" w14:textId="1953CD45"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 xml:space="preserve">The Australian Government </w:t>
      </w:r>
      <w:r w:rsidRPr="00FD3906">
        <w:rPr>
          <w:rFonts w:ascii="Times New Roman" w:hAnsi="Times New Roman" w:cs="Times New Roman"/>
          <w:b/>
          <w:sz w:val="24"/>
          <w:szCs w:val="24"/>
        </w:rPr>
        <w:t>notes</w:t>
      </w:r>
      <w:r w:rsidRPr="00FD3906">
        <w:rPr>
          <w:rFonts w:ascii="Times New Roman" w:hAnsi="Times New Roman" w:cs="Times New Roman"/>
          <w:sz w:val="24"/>
          <w:szCs w:val="24"/>
        </w:rPr>
        <w:t xml:space="preserve"> this recommendation.</w:t>
      </w:r>
    </w:p>
    <w:p w14:paraId="39851DC1" w14:textId="77777777"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Through the foreign investment screening process, the Australian Government is ensuring that the sale of Australian agricultural land and agribusinesses is consistent with the national interest. In particular, the Government seeks to ensure that Australian investors are afforded the opportunity to participate in the sales process for agricultural land and agribusinesses.</w:t>
      </w:r>
    </w:p>
    <w:p w14:paraId="421923FF" w14:textId="77777777" w:rsidR="00F64629" w:rsidRPr="00FD3906" w:rsidRDefault="00F64629" w:rsidP="00F64629">
      <w:pPr>
        <w:rPr>
          <w:rFonts w:ascii="Times New Roman" w:hAnsi="Times New Roman" w:cs="Times New Roman"/>
          <w:sz w:val="24"/>
          <w:szCs w:val="24"/>
        </w:rPr>
      </w:pPr>
      <w:r w:rsidRPr="00FD3906">
        <w:rPr>
          <w:rFonts w:ascii="Times New Roman" w:hAnsi="Times New Roman" w:cs="Times New Roman"/>
          <w:sz w:val="24"/>
          <w:szCs w:val="24"/>
        </w:rPr>
        <w:t xml:space="preserve">Whether superannuation funds invest in long term capital assets, including Australian agricultural assets, is a matter for the fund’s trustees, who have a fiduciary duty to make investment decisions in the best interests of all members of the fund. Trustees have to </w:t>
      </w:r>
      <w:r w:rsidRPr="00FD3906">
        <w:rPr>
          <w:rFonts w:ascii="Times New Roman" w:hAnsi="Times New Roman" w:cs="Times New Roman"/>
          <w:sz w:val="24"/>
          <w:szCs w:val="24"/>
        </w:rPr>
        <w:lastRenderedPageBreak/>
        <w:t xml:space="preserve">formulate and give effect to an investment strategy that considers, among other things, the risk and return, diversification and liquidity of investments. </w:t>
      </w:r>
    </w:p>
    <w:p w14:paraId="723333DB" w14:textId="22C1E371" w:rsidR="00F64629" w:rsidRPr="00FD3906" w:rsidRDefault="00F64629" w:rsidP="00F64629">
      <w:pPr>
        <w:rPr>
          <w:rFonts w:ascii="Times New Roman" w:hAnsi="Times New Roman" w:cs="Times New Roman"/>
          <w:i/>
          <w:u w:val="single"/>
        </w:rPr>
      </w:pPr>
      <w:r w:rsidRPr="00FD3906">
        <w:rPr>
          <w:rFonts w:ascii="Times New Roman" w:hAnsi="Times New Roman" w:cs="Times New Roman"/>
          <w:sz w:val="24"/>
          <w:szCs w:val="24"/>
        </w:rPr>
        <w:t>The Government will monitor developments in this area to ensure Australian investors, including superannuation funds, continue to be able to invest in Au</w:t>
      </w:r>
      <w:r w:rsidRPr="001F7E3D">
        <w:rPr>
          <w:rFonts w:ascii="Times New Roman" w:hAnsi="Times New Roman" w:cs="Times New Roman"/>
          <w:sz w:val="24"/>
          <w:szCs w:val="24"/>
        </w:rPr>
        <w:t>stralian agriculture should they choose to do so.</w:t>
      </w:r>
    </w:p>
    <w:p w14:paraId="43356BEB" w14:textId="77777777" w:rsidR="0035294D" w:rsidRPr="00FD3906" w:rsidRDefault="0035294D" w:rsidP="00047922">
      <w:pPr>
        <w:ind w:left="720"/>
        <w:rPr>
          <w:rFonts w:ascii="Times New Roman" w:hAnsi="Times New Roman" w:cs="Times New Roman"/>
        </w:rPr>
      </w:pPr>
    </w:p>
    <w:sectPr w:rsidR="0035294D" w:rsidRPr="00FD390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EAD11" w14:textId="77777777" w:rsidR="00FB588B" w:rsidRDefault="00FB588B" w:rsidP="00FB588B">
      <w:pPr>
        <w:spacing w:after="0" w:line="240" w:lineRule="auto"/>
      </w:pPr>
      <w:r>
        <w:separator/>
      </w:r>
    </w:p>
  </w:endnote>
  <w:endnote w:type="continuationSeparator" w:id="0">
    <w:p w14:paraId="026D1621" w14:textId="77777777" w:rsidR="00FB588B" w:rsidRDefault="00FB588B" w:rsidP="00FB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014374"/>
      <w:docPartObj>
        <w:docPartGallery w:val="Page Numbers (Bottom of Page)"/>
        <w:docPartUnique/>
      </w:docPartObj>
    </w:sdtPr>
    <w:sdtEndPr>
      <w:rPr>
        <w:noProof/>
      </w:rPr>
    </w:sdtEndPr>
    <w:sdtContent>
      <w:p w14:paraId="25E045C3" w14:textId="7F5CC755" w:rsidR="00FB588B" w:rsidRDefault="00FB588B">
        <w:pPr>
          <w:pStyle w:val="Footer"/>
          <w:jc w:val="center"/>
        </w:pPr>
        <w:r>
          <w:fldChar w:fldCharType="begin"/>
        </w:r>
        <w:r>
          <w:instrText xml:space="preserve"> PAGE   \* MERGEFORMAT </w:instrText>
        </w:r>
        <w:r>
          <w:fldChar w:fldCharType="separate"/>
        </w:r>
        <w:r w:rsidR="00863E89">
          <w:rPr>
            <w:noProof/>
          </w:rPr>
          <w:t>2</w:t>
        </w:r>
        <w:r>
          <w:rPr>
            <w:noProof/>
          </w:rPr>
          <w:fldChar w:fldCharType="end"/>
        </w:r>
      </w:p>
    </w:sdtContent>
  </w:sdt>
  <w:p w14:paraId="7B88E8DA" w14:textId="77777777" w:rsidR="00FB588B" w:rsidRDefault="00FB5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C2FD6" w14:textId="77777777" w:rsidR="00FB588B" w:rsidRDefault="00FB588B" w:rsidP="00FB588B">
      <w:pPr>
        <w:spacing w:after="0" w:line="240" w:lineRule="auto"/>
      </w:pPr>
      <w:r>
        <w:separator/>
      </w:r>
    </w:p>
  </w:footnote>
  <w:footnote w:type="continuationSeparator" w:id="0">
    <w:p w14:paraId="77567A7B" w14:textId="77777777" w:rsidR="00FB588B" w:rsidRDefault="00FB588B" w:rsidP="00FB58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31FB5"/>
    <w:multiLevelType w:val="multilevel"/>
    <w:tmpl w:val="C32614F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330"/>
    <w:rsid w:val="00047922"/>
    <w:rsid w:val="000C4BE8"/>
    <w:rsid w:val="001F7E3D"/>
    <w:rsid w:val="00256F8A"/>
    <w:rsid w:val="002A655C"/>
    <w:rsid w:val="00325330"/>
    <w:rsid w:val="0035294D"/>
    <w:rsid w:val="00483D00"/>
    <w:rsid w:val="004C0A1A"/>
    <w:rsid w:val="004D25EC"/>
    <w:rsid w:val="006324CF"/>
    <w:rsid w:val="00656666"/>
    <w:rsid w:val="007D425D"/>
    <w:rsid w:val="00863E89"/>
    <w:rsid w:val="008F4563"/>
    <w:rsid w:val="00A33355"/>
    <w:rsid w:val="00A61242"/>
    <w:rsid w:val="00B942F8"/>
    <w:rsid w:val="00BB5E49"/>
    <w:rsid w:val="00BC3CCB"/>
    <w:rsid w:val="00BF4754"/>
    <w:rsid w:val="00C51C22"/>
    <w:rsid w:val="00C57EC5"/>
    <w:rsid w:val="00CB4868"/>
    <w:rsid w:val="00D55CF8"/>
    <w:rsid w:val="00DC6EA8"/>
    <w:rsid w:val="00E20038"/>
    <w:rsid w:val="00E46AE8"/>
    <w:rsid w:val="00EE1E9F"/>
    <w:rsid w:val="00F64629"/>
    <w:rsid w:val="00FB588B"/>
    <w:rsid w:val="00FD39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330"/>
  </w:style>
  <w:style w:type="paragraph" w:styleId="Heading2">
    <w:name w:val="heading 2"/>
    <w:basedOn w:val="Normal"/>
    <w:next w:val="Normal"/>
    <w:link w:val="Heading2Char"/>
    <w:uiPriority w:val="9"/>
    <w:unhideWhenUsed/>
    <w:qFormat/>
    <w:rsid w:val="003253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533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325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754"/>
    <w:rPr>
      <w:rFonts w:ascii="Tahoma" w:hAnsi="Tahoma" w:cs="Tahoma"/>
      <w:sz w:val="16"/>
      <w:szCs w:val="16"/>
    </w:rPr>
  </w:style>
  <w:style w:type="paragraph" w:customStyle="1" w:styleId="Bullet">
    <w:name w:val="Bullet"/>
    <w:basedOn w:val="Normal"/>
    <w:link w:val="BulletChar"/>
    <w:rsid w:val="00E20038"/>
    <w:pPr>
      <w:numPr>
        <w:numId w:val="1"/>
      </w:numPr>
      <w:spacing w:before="280" w:line="240" w:lineRule="auto"/>
    </w:pPr>
    <w:rPr>
      <w:rFonts w:ascii="Times New Roman" w:eastAsia="Times New Roman" w:hAnsi="Times New Roman" w:cs="Times New Roman"/>
      <w:sz w:val="24"/>
      <w:szCs w:val="20"/>
    </w:rPr>
  </w:style>
  <w:style w:type="character" w:customStyle="1" w:styleId="BulletChar">
    <w:name w:val="Bullet Char"/>
    <w:basedOn w:val="DefaultParagraphFont"/>
    <w:link w:val="Bullet"/>
    <w:rsid w:val="00E20038"/>
    <w:rPr>
      <w:rFonts w:ascii="Times New Roman" w:eastAsia="Times New Roman" w:hAnsi="Times New Roman" w:cs="Times New Roman"/>
      <w:sz w:val="24"/>
      <w:szCs w:val="20"/>
    </w:rPr>
  </w:style>
  <w:style w:type="paragraph" w:customStyle="1" w:styleId="Dash">
    <w:name w:val="Dash"/>
    <w:basedOn w:val="Normal"/>
    <w:rsid w:val="00E20038"/>
    <w:pPr>
      <w:numPr>
        <w:ilvl w:val="1"/>
        <w:numId w:val="1"/>
      </w:numPr>
      <w:spacing w:before="280" w:line="240" w:lineRule="auto"/>
    </w:pPr>
    <w:rPr>
      <w:rFonts w:ascii="Times New Roman" w:eastAsia="Times New Roman" w:hAnsi="Times New Roman" w:cs="Times New Roman"/>
      <w:sz w:val="24"/>
      <w:szCs w:val="20"/>
    </w:rPr>
  </w:style>
  <w:style w:type="paragraph" w:customStyle="1" w:styleId="DoubleDot">
    <w:name w:val="Double Dot"/>
    <w:basedOn w:val="Normal"/>
    <w:rsid w:val="00E20038"/>
    <w:pPr>
      <w:numPr>
        <w:ilvl w:val="2"/>
        <w:numId w:val="1"/>
      </w:numPr>
      <w:spacing w:before="28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C4BE8"/>
    <w:rPr>
      <w:sz w:val="16"/>
      <w:szCs w:val="16"/>
    </w:rPr>
  </w:style>
  <w:style w:type="paragraph" w:styleId="CommentText">
    <w:name w:val="annotation text"/>
    <w:basedOn w:val="Normal"/>
    <w:link w:val="CommentTextChar"/>
    <w:uiPriority w:val="99"/>
    <w:semiHidden/>
    <w:unhideWhenUsed/>
    <w:rsid w:val="000C4BE8"/>
    <w:pPr>
      <w:spacing w:line="240" w:lineRule="auto"/>
    </w:pPr>
    <w:rPr>
      <w:sz w:val="20"/>
      <w:szCs w:val="20"/>
    </w:rPr>
  </w:style>
  <w:style w:type="character" w:customStyle="1" w:styleId="CommentTextChar">
    <w:name w:val="Comment Text Char"/>
    <w:basedOn w:val="DefaultParagraphFont"/>
    <w:link w:val="CommentText"/>
    <w:uiPriority w:val="99"/>
    <w:semiHidden/>
    <w:rsid w:val="000C4BE8"/>
    <w:rPr>
      <w:sz w:val="20"/>
      <w:szCs w:val="20"/>
    </w:rPr>
  </w:style>
  <w:style w:type="paragraph" w:styleId="CommentSubject">
    <w:name w:val="annotation subject"/>
    <w:basedOn w:val="CommentText"/>
    <w:next w:val="CommentText"/>
    <w:link w:val="CommentSubjectChar"/>
    <w:uiPriority w:val="99"/>
    <w:semiHidden/>
    <w:unhideWhenUsed/>
    <w:rsid w:val="000C4BE8"/>
    <w:rPr>
      <w:b/>
      <w:bCs/>
    </w:rPr>
  </w:style>
  <w:style w:type="character" w:customStyle="1" w:styleId="CommentSubjectChar">
    <w:name w:val="Comment Subject Char"/>
    <w:basedOn w:val="CommentTextChar"/>
    <w:link w:val="CommentSubject"/>
    <w:uiPriority w:val="99"/>
    <w:semiHidden/>
    <w:rsid w:val="000C4BE8"/>
    <w:rPr>
      <w:b/>
      <w:bCs/>
      <w:sz w:val="20"/>
      <w:szCs w:val="20"/>
    </w:rPr>
  </w:style>
  <w:style w:type="paragraph" w:styleId="Header">
    <w:name w:val="header"/>
    <w:basedOn w:val="Normal"/>
    <w:link w:val="HeaderChar"/>
    <w:uiPriority w:val="99"/>
    <w:unhideWhenUsed/>
    <w:rsid w:val="00FB5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88B"/>
  </w:style>
  <w:style w:type="paragraph" w:styleId="Footer">
    <w:name w:val="footer"/>
    <w:basedOn w:val="Normal"/>
    <w:link w:val="FooterChar"/>
    <w:uiPriority w:val="99"/>
    <w:unhideWhenUsed/>
    <w:rsid w:val="00FB5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330"/>
  </w:style>
  <w:style w:type="paragraph" w:styleId="Heading2">
    <w:name w:val="heading 2"/>
    <w:basedOn w:val="Normal"/>
    <w:next w:val="Normal"/>
    <w:link w:val="Heading2Char"/>
    <w:uiPriority w:val="9"/>
    <w:unhideWhenUsed/>
    <w:qFormat/>
    <w:rsid w:val="003253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533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325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754"/>
    <w:rPr>
      <w:rFonts w:ascii="Tahoma" w:hAnsi="Tahoma" w:cs="Tahoma"/>
      <w:sz w:val="16"/>
      <w:szCs w:val="16"/>
    </w:rPr>
  </w:style>
  <w:style w:type="paragraph" w:customStyle="1" w:styleId="Bullet">
    <w:name w:val="Bullet"/>
    <w:basedOn w:val="Normal"/>
    <w:link w:val="BulletChar"/>
    <w:rsid w:val="00E20038"/>
    <w:pPr>
      <w:numPr>
        <w:numId w:val="1"/>
      </w:numPr>
      <w:spacing w:before="280" w:line="240" w:lineRule="auto"/>
    </w:pPr>
    <w:rPr>
      <w:rFonts w:ascii="Times New Roman" w:eastAsia="Times New Roman" w:hAnsi="Times New Roman" w:cs="Times New Roman"/>
      <w:sz w:val="24"/>
      <w:szCs w:val="20"/>
    </w:rPr>
  </w:style>
  <w:style w:type="character" w:customStyle="1" w:styleId="BulletChar">
    <w:name w:val="Bullet Char"/>
    <w:basedOn w:val="DefaultParagraphFont"/>
    <w:link w:val="Bullet"/>
    <w:rsid w:val="00E20038"/>
    <w:rPr>
      <w:rFonts w:ascii="Times New Roman" w:eastAsia="Times New Roman" w:hAnsi="Times New Roman" w:cs="Times New Roman"/>
      <w:sz w:val="24"/>
      <w:szCs w:val="20"/>
    </w:rPr>
  </w:style>
  <w:style w:type="paragraph" w:customStyle="1" w:styleId="Dash">
    <w:name w:val="Dash"/>
    <w:basedOn w:val="Normal"/>
    <w:rsid w:val="00E20038"/>
    <w:pPr>
      <w:numPr>
        <w:ilvl w:val="1"/>
        <w:numId w:val="1"/>
      </w:numPr>
      <w:spacing w:before="280" w:line="240" w:lineRule="auto"/>
    </w:pPr>
    <w:rPr>
      <w:rFonts w:ascii="Times New Roman" w:eastAsia="Times New Roman" w:hAnsi="Times New Roman" w:cs="Times New Roman"/>
      <w:sz w:val="24"/>
      <w:szCs w:val="20"/>
    </w:rPr>
  </w:style>
  <w:style w:type="paragraph" w:customStyle="1" w:styleId="DoubleDot">
    <w:name w:val="Double Dot"/>
    <w:basedOn w:val="Normal"/>
    <w:rsid w:val="00E20038"/>
    <w:pPr>
      <w:numPr>
        <w:ilvl w:val="2"/>
        <w:numId w:val="1"/>
      </w:numPr>
      <w:spacing w:before="28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C4BE8"/>
    <w:rPr>
      <w:sz w:val="16"/>
      <w:szCs w:val="16"/>
    </w:rPr>
  </w:style>
  <w:style w:type="paragraph" w:styleId="CommentText">
    <w:name w:val="annotation text"/>
    <w:basedOn w:val="Normal"/>
    <w:link w:val="CommentTextChar"/>
    <w:uiPriority w:val="99"/>
    <w:semiHidden/>
    <w:unhideWhenUsed/>
    <w:rsid w:val="000C4BE8"/>
    <w:pPr>
      <w:spacing w:line="240" w:lineRule="auto"/>
    </w:pPr>
    <w:rPr>
      <w:sz w:val="20"/>
      <w:szCs w:val="20"/>
    </w:rPr>
  </w:style>
  <w:style w:type="character" w:customStyle="1" w:styleId="CommentTextChar">
    <w:name w:val="Comment Text Char"/>
    <w:basedOn w:val="DefaultParagraphFont"/>
    <w:link w:val="CommentText"/>
    <w:uiPriority w:val="99"/>
    <w:semiHidden/>
    <w:rsid w:val="000C4BE8"/>
    <w:rPr>
      <w:sz w:val="20"/>
      <w:szCs w:val="20"/>
    </w:rPr>
  </w:style>
  <w:style w:type="paragraph" w:styleId="CommentSubject">
    <w:name w:val="annotation subject"/>
    <w:basedOn w:val="CommentText"/>
    <w:next w:val="CommentText"/>
    <w:link w:val="CommentSubjectChar"/>
    <w:uiPriority w:val="99"/>
    <w:semiHidden/>
    <w:unhideWhenUsed/>
    <w:rsid w:val="000C4BE8"/>
    <w:rPr>
      <w:b/>
      <w:bCs/>
    </w:rPr>
  </w:style>
  <w:style w:type="character" w:customStyle="1" w:styleId="CommentSubjectChar">
    <w:name w:val="Comment Subject Char"/>
    <w:basedOn w:val="CommentTextChar"/>
    <w:link w:val="CommentSubject"/>
    <w:uiPriority w:val="99"/>
    <w:semiHidden/>
    <w:rsid w:val="000C4BE8"/>
    <w:rPr>
      <w:b/>
      <w:bCs/>
      <w:sz w:val="20"/>
      <w:szCs w:val="20"/>
    </w:rPr>
  </w:style>
  <w:style w:type="paragraph" w:styleId="Header">
    <w:name w:val="header"/>
    <w:basedOn w:val="Normal"/>
    <w:link w:val="HeaderChar"/>
    <w:uiPriority w:val="99"/>
    <w:unhideWhenUsed/>
    <w:rsid w:val="00FB5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88B"/>
  </w:style>
  <w:style w:type="paragraph" w:styleId="Footer">
    <w:name w:val="footer"/>
    <w:basedOn w:val="Normal"/>
    <w:link w:val="FooterChar"/>
    <w:uiPriority w:val="99"/>
    <w:unhideWhenUsed/>
    <w:rsid w:val="00FB5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EA67F8A6F1EA03408B8153AB8DC59945" ma:contentTypeVersion="13167" ma:contentTypeDescription=" " ma:contentTypeScope="" ma:versionID="0d758d25d443a1f3c973fff612853d06">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c2766e5e8bd6b7613bb685c2bc154978"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6;#TSY RA-8909 - Retain as national archives|783df9f6-6a3b-4626-95aa-7d6467e087f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RA-8909 - Retain as national archives</TermName>
          <TermId xmlns="http://schemas.microsoft.com/office/infopath/2007/PartnerControls">783df9f6-6a3b-4626-95aa-7d6467e087f0</TermId>
        </TermInfo>
      </Terms>
    </lb508a4dc5e84436a0fe496b536466aa>
    <TaxCatchAll xmlns="0f563589-9cf9-4143-b1eb-fb0534803d38">
      <Value>16</Value>
    </TaxCatchAll>
    <_dlc_DocId xmlns="0f563589-9cf9-4143-b1eb-fb0534803d38">2018MG-87-10672</_dlc_DocId>
    <_dlc_DocIdUrl xmlns="0f563589-9cf9-4143-b1eb-fb0534803d38">
      <Url>http://tweb/sites/mg/fitpd/_layouts/15/DocIdRedir.aspx?ID=2018MG-87-10672</Url>
      <Description>2018MG-87-10672</Description>
    </_dlc_DocIdUrl>
  </documentManagement>
</p:properties>
</file>

<file path=customXml/itemProps1.xml><?xml version="1.0" encoding="utf-8"?>
<ds:datastoreItem xmlns:ds="http://schemas.openxmlformats.org/officeDocument/2006/customXml" ds:itemID="{4611B415-4974-496C-AFEB-474F7BB1456D}">
  <ds:schemaRefs>
    <ds:schemaRef ds:uri="http://schemas.microsoft.com/sharepoint/v3/contenttype/forms"/>
  </ds:schemaRefs>
</ds:datastoreItem>
</file>

<file path=customXml/itemProps2.xml><?xml version="1.0" encoding="utf-8"?>
<ds:datastoreItem xmlns:ds="http://schemas.openxmlformats.org/officeDocument/2006/customXml" ds:itemID="{11E57AE8-063C-4FDC-A60A-A611958A1746}">
  <ds:schemaRefs>
    <ds:schemaRef ds:uri="office.server.policy"/>
  </ds:schemaRefs>
</ds:datastoreItem>
</file>

<file path=customXml/itemProps3.xml><?xml version="1.0" encoding="utf-8"?>
<ds:datastoreItem xmlns:ds="http://schemas.openxmlformats.org/officeDocument/2006/customXml" ds:itemID="{47332619-702A-4CDB-A655-13A1EBE84F61}">
  <ds:schemaRefs>
    <ds:schemaRef ds:uri="http://schemas.microsoft.com/sharepoint/events"/>
  </ds:schemaRefs>
</ds:datastoreItem>
</file>

<file path=customXml/itemProps4.xml><?xml version="1.0" encoding="utf-8"?>
<ds:datastoreItem xmlns:ds="http://schemas.openxmlformats.org/officeDocument/2006/customXml" ds:itemID="{EF6FE39E-48E1-4F23-AB3A-A64C598A7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4C5BEE-88A1-4B01-90B2-E2CF12E905E9}">
  <ds:schemaRefs>
    <ds:schemaRef ds:uri="http://www.w3.org/XML/1998/namespace"/>
    <ds:schemaRef ds:uri="http://purl.org/dc/elements/1.1/"/>
    <ds:schemaRef ds:uri="d4dd4adf-ddb3-46a3-8d7c-fab3fb2a6bc7"/>
    <ds:schemaRef ds:uri="http://purl.org/dc/terms/"/>
    <ds:schemaRef ds:uri="http://purl.org/dc/dcmitype/"/>
    <ds:schemaRef ds:uri="http://schemas.microsoft.com/sharepoint/v4"/>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0f563589-9cf9-4143-b1eb-fb0534803d3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666</Words>
  <Characters>4020</Characters>
  <Application>Microsoft Office Word</Application>
  <DocSecurity>0</DocSecurity>
  <Lines>73</Lines>
  <Paragraphs>24</Paragraphs>
  <ScaleCrop>false</ScaleCrop>
  <HeadingPairs>
    <vt:vector size="2" baseType="variant">
      <vt:variant>
        <vt:lpstr>Title</vt:lpstr>
      </vt:variant>
      <vt:variant>
        <vt:i4>1</vt:i4>
      </vt:variant>
    </vt:vector>
  </HeadingPairs>
  <TitlesOfParts>
    <vt:vector size="1" baseType="lpstr">
      <vt:lpstr>Government response to the Senate Economics Legislation Committee report: Foreign Acquisitions and Takeovers Legislation Amendment Bill 2015 and related Bills [Provisions]</vt:lpstr>
    </vt:vector>
  </TitlesOfParts>
  <Company>Australian Government - The Treasury</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Senate Economics Legislation Committee report: Foreign Acquisitions and Takeovers Legislation Amendment Bill 2015 and related Bills [Provisions]</dc:title>
  <dc:creator>Australian Government</dc:creator>
  <cp:lastModifiedBy>Hill, Christine</cp:lastModifiedBy>
  <cp:revision>3</cp:revision>
  <dcterms:created xsi:type="dcterms:W3CDTF">2018-08-03T00:30:00Z</dcterms:created>
  <dcterms:modified xsi:type="dcterms:W3CDTF">2018-08-10T00:41:00Z</dcterms:modified>
</cp:coreProperties>
</file>