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30D2" w14:textId="77777777" w:rsidR="0075018E" w:rsidRPr="002930DD" w:rsidRDefault="0075018E" w:rsidP="0075018E">
      <w:pPr>
        <w:spacing w:before="360"/>
        <w:jc w:val="center"/>
      </w:pPr>
      <w:bookmarkStart w:id="0" w:name="_GoBack"/>
      <w:bookmarkEnd w:id="0"/>
      <w:r w:rsidRPr="002930DD">
        <w:rPr>
          <w:caps/>
          <w:noProof/>
          <w:lang w:eastAsia="en-AU"/>
        </w:rPr>
        <w:drawing>
          <wp:inline distT="0" distB="0" distL="0" distR="0" wp14:anchorId="4806D563" wp14:editId="49350231">
            <wp:extent cx="2465705" cy="1371600"/>
            <wp:effectExtent l="0" t="0" r="0" b="0"/>
            <wp:docPr id="1"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2BB791A6" w14:textId="77777777" w:rsidR="000F2BB7" w:rsidRDefault="000F2BB7" w:rsidP="0075018E">
      <w:pPr>
        <w:spacing w:before="360"/>
        <w:jc w:val="center"/>
        <w:rPr>
          <w:sz w:val="36"/>
          <w:szCs w:val="36"/>
        </w:rPr>
      </w:pPr>
    </w:p>
    <w:p w14:paraId="5F6ABCA8" w14:textId="6B5A67B6" w:rsidR="0075018E" w:rsidRPr="002930DD" w:rsidRDefault="0075018E" w:rsidP="0075018E">
      <w:pPr>
        <w:spacing w:before="360"/>
        <w:jc w:val="center"/>
        <w:rPr>
          <w:sz w:val="36"/>
          <w:szCs w:val="36"/>
        </w:rPr>
      </w:pPr>
      <w:r w:rsidRPr="002930DD">
        <w:rPr>
          <w:sz w:val="36"/>
          <w:szCs w:val="36"/>
        </w:rPr>
        <w:t xml:space="preserve">Australian Government response to the </w:t>
      </w:r>
      <w:r w:rsidRPr="002930DD">
        <w:rPr>
          <w:sz w:val="36"/>
          <w:szCs w:val="36"/>
        </w:rPr>
        <w:br/>
      </w:r>
      <w:r w:rsidR="00237E96" w:rsidRPr="002930DD">
        <w:rPr>
          <w:sz w:val="36"/>
          <w:szCs w:val="36"/>
        </w:rPr>
        <w:t xml:space="preserve">Senate </w:t>
      </w:r>
      <w:r w:rsidR="009016AE" w:rsidRPr="002930DD">
        <w:rPr>
          <w:sz w:val="36"/>
          <w:szCs w:val="36"/>
        </w:rPr>
        <w:t xml:space="preserve">Rural and Regional Affairs and Transport References </w:t>
      </w:r>
      <w:r w:rsidR="00237E96" w:rsidRPr="002930DD">
        <w:rPr>
          <w:sz w:val="36"/>
          <w:szCs w:val="36"/>
        </w:rPr>
        <w:t>Committee</w:t>
      </w:r>
      <w:r w:rsidRPr="002930DD">
        <w:rPr>
          <w:sz w:val="36"/>
          <w:szCs w:val="36"/>
        </w:rPr>
        <w:t xml:space="preserve"> report:</w:t>
      </w:r>
    </w:p>
    <w:p w14:paraId="1CD4671A" w14:textId="07C72DFB" w:rsidR="0075018E" w:rsidRDefault="0075018E" w:rsidP="0075018E">
      <w:pPr>
        <w:spacing w:before="240"/>
        <w:jc w:val="center"/>
        <w:rPr>
          <w:sz w:val="36"/>
          <w:szCs w:val="36"/>
        </w:rPr>
      </w:pPr>
      <w:r w:rsidRPr="002930DD">
        <w:rPr>
          <w:sz w:val="36"/>
          <w:szCs w:val="36"/>
        </w:rPr>
        <w:t xml:space="preserve">Foreign investment </w:t>
      </w:r>
      <w:r w:rsidR="009016AE" w:rsidRPr="002930DD">
        <w:rPr>
          <w:sz w:val="36"/>
          <w:szCs w:val="36"/>
        </w:rPr>
        <w:t>and the national interest</w:t>
      </w:r>
    </w:p>
    <w:p w14:paraId="3C5B650C" w14:textId="77777777" w:rsidR="000F2BB7" w:rsidRDefault="000F2BB7" w:rsidP="0075018E">
      <w:pPr>
        <w:spacing w:before="240"/>
        <w:jc w:val="center"/>
        <w:rPr>
          <w:sz w:val="36"/>
          <w:szCs w:val="36"/>
        </w:rPr>
      </w:pPr>
    </w:p>
    <w:p w14:paraId="19404BBD" w14:textId="77777777" w:rsidR="000F2BB7" w:rsidRDefault="000F2BB7" w:rsidP="0075018E">
      <w:pPr>
        <w:spacing w:before="240"/>
        <w:jc w:val="center"/>
        <w:rPr>
          <w:sz w:val="36"/>
          <w:szCs w:val="36"/>
        </w:rPr>
      </w:pPr>
    </w:p>
    <w:p w14:paraId="4FB161A5" w14:textId="77777777" w:rsidR="000F2BB7" w:rsidRPr="00755A08" w:rsidRDefault="000F2BB7" w:rsidP="000F2BB7">
      <w:pPr>
        <w:spacing w:before="360"/>
        <w:jc w:val="center"/>
        <w:rPr>
          <w:b/>
          <w:sz w:val="36"/>
          <w:szCs w:val="36"/>
        </w:rPr>
      </w:pPr>
      <w:r w:rsidRPr="00755A08">
        <w:rPr>
          <w:b/>
          <w:sz w:val="36"/>
          <w:szCs w:val="36"/>
        </w:rPr>
        <w:t>ADDENDUM</w:t>
      </w:r>
    </w:p>
    <w:p w14:paraId="313F938C" w14:textId="77777777" w:rsidR="00AE59FB" w:rsidRDefault="00425803" w:rsidP="000F2BB7">
      <w:pPr>
        <w:spacing w:before="4200" w:after="120"/>
        <w:jc w:val="right"/>
        <w:rPr>
          <w:sz w:val="28"/>
          <w:szCs w:val="28"/>
        </w:rPr>
      </w:pPr>
      <w:r>
        <w:rPr>
          <w:sz w:val="28"/>
          <w:szCs w:val="28"/>
        </w:rPr>
        <w:t xml:space="preserve">August </w:t>
      </w:r>
      <w:r w:rsidR="008C2DCF">
        <w:rPr>
          <w:sz w:val="28"/>
          <w:szCs w:val="28"/>
        </w:rPr>
        <w:t>2018</w:t>
      </w:r>
    </w:p>
    <w:p w14:paraId="3BA1DCD1" w14:textId="77777777" w:rsidR="00AE59FB" w:rsidRDefault="00AE59FB" w:rsidP="00B41C7C">
      <w:pPr>
        <w:rPr>
          <w:szCs w:val="20"/>
        </w:rPr>
      </w:pPr>
    </w:p>
    <w:p w14:paraId="61CCBC06" w14:textId="77777777" w:rsidR="00CA1DA9" w:rsidRDefault="00CA1DA9">
      <w:pPr>
        <w:spacing w:after="200" w:line="276" w:lineRule="auto"/>
        <w:rPr>
          <w:b/>
          <w:szCs w:val="20"/>
        </w:rPr>
      </w:pPr>
      <w:r>
        <w:rPr>
          <w:b/>
          <w:szCs w:val="20"/>
        </w:rPr>
        <w:br w:type="page"/>
      </w:r>
    </w:p>
    <w:p w14:paraId="79176C1F" w14:textId="640653E1" w:rsidR="00CA1DA9" w:rsidRDefault="00AE59FB" w:rsidP="00AE59FB">
      <w:pPr>
        <w:spacing w:before="360"/>
        <w:rPr>
          <w:b/>
          <w:szCs w:val="20"/>
        </w:rPr>
      </w:pPr>
      <w:r w:rsidRPr="00AE59FB">
        <w:rPr>
          <w:b/>
          <w:szCs w:val="20"/>
        </w:rPr>
        <w:lastRenderedPageBreak/>
        <w:t xml:space="preserve">Due to a formatting error with the previous tabled response, the provided response to recommendation 16 was incomplete. </w:t>
      </w:r>
    </w:p>
    <w:p w14:paraId="0817FDDE" w14:textId="129BD481" w:rsidR="00AE59FB" w:rsidRPr="00AE59FB" w:rsidRDefault="00AE59FB" w:rsidP="00AE59FB">
      <w:pPr>
        <w:spacing w:before="360"/>
        <w:rPr>
          <w:b/>
          <w:szCs w:val="20"/>
        </w:rPr>
      </w:pPr>
      <w:r w:rsidRPr="00AE59FB">
        <w:rPr>
          <w:b/>
          <w:szCs w:val="20"/>
        </w:rPr>
        <w:t>This addendum provides the complete response to recommendation 16.</w:t>
      </w:r>
    </w:p>
    <w:p w14:paraId="774F21AD" w14:textId="5EF0C568" w:rsidR="001F694B" w:rsidRPr="000537C6" w:rsidRDefault="001F694B" w:rsidP="00B41C7C">
      <w:pPr>
        <w:rPr>
          <w:szCs w:val="20"/>
        </w:rPr>
      </w:pPr>
    </w:p>
    <w:p w14:paraId="71C3BFAD" w14:textId="77777777" w:rsidR="00880B34" w:rsidRDefault="00880B34" w:rsidP="001F694B">
      <w:pPr>
        <w:rPr>
          <w:szCs w:val="20"/>
        </w:rPr>
      </w:pPr>
    </w:p>
    <w:p w14:paraId="50F5E535" w14:textId="55D1FD79" w:rsidR="00880B34" w:rsidRDefault="00CA1DA9" w:rsidP="001F694B">
      <w:pPr>
        <w:rPr>
          <w:szCs w:val="20"/>
        </w:rPr>
      </w:pPr>
      <w:r w:rsidRPr="002930DD">
        <w:rPr>
          <w:b/>
          <w:noProof/>
          <w:sz w:val="28"/>
          <w:szCs w:val="28"/>
          <w:lang w:eastAsia="en-AU"/>
        </w:rPr>
        <mc:AlternateContent>
          <mc:Choice Requires="wps">
            <w:drawing>
              <wp:anchor distT="0" distB="0" distL="114300" distR="114300" simplePos="0" relativeHeight="251661824" behindDoc="0" locked="0" layoutInCell="1" allowOverlap="1" wp14:anchorId="7E703990" wp14:editId="73F5EADD">
                <wp:simplePos x="0" y="0"/>
                <wp:positionH relativeFrom="column">
                  <wp:posOffset>-2540</wp:posOffset>
                </wp:positionH>
                <wp:positionV relativeFrom="paragraph">
                  <wp:posOffset>24130</wp:posOffset>
                </wp:positionV>
                <wp:extent cx="6238875" cy="22002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200275"/>
                        </a:xfrm>
                        <a:prstGeom prst="rect">
                          <a:avLst/>
                        </a:prstGeom>
                        <a:solidFill>
                          <a:srgbClr val="FFFFFF"/>
                        </a:solidFill>
                        <a:ln w="9525">
                          <a:solidFill>
                            <a:srgbClr val="000000"/>
                          </a:solidFill>
                          <a:miter lim="800000"/>
                          <a:headEnd/>
                          <a:tailEnd/>
                        </a:ln>
                      </wps:spPr>
                      <wps:txbx>
                        <w:txbxContent>
                          <w:p w14:paraId="3DD7B58A" w14:textId="77777777" w:rsidR="00BB1285" w:rsidRDefault="00BB1285" w:rsidP="001F694B">
                            <w:r w:rsidRPr="000C3E47">
                              <w:rPr>
                                <w:b/>
                              </w:rPr>
                              <w:t xml:space="preserve">Recommendation </w:t>
                            </w:r>
                            <w:r>
                              <w:rPr>
                                <w:b/>
                              </w:rPr>
                              <w:t>16</w:t>
                            </w:r>
                            <w:r>
                              <w:br/>
                              <w:t>The committee recommends that, in line with recommendation 4, the government develop a stronger, more rigorous and more transparent system for examining cases of foreign investment in Australia, including Australian agriculture. Particular focus should be made on forensically examining:</w:t>
                            </w:r>
                          </w:p>
                          <w:p w14:paraId="12D7D2CC" w14:textId="77777777" w:rsidR="00BB1285" w:rsidRDefault="00BB1285" w:rsidP="001F694B">
                            <w:pPr>
                              <w:pStyle w:val="Bullet"/>
                              <w:spacing w:before="120" w:after="120"/>
                            </w:pPr>
                            <w:r>
                              <w:t>company structures (including management relationships in joint Australian/foreign ventures);</w:t>
                            </w:r>
                          </w:p>
                          <w:p w14:paraId="5A98858C" w14:textId="77777777" w:rsidR="00BB1285" w:rsidRDefault="00BB1285" w:rsidP="001F694B">
                            <w:pPr>
                              <w:pStyle w:val="Bullet"/>
                              <w:spacing w:before="120" w:after="120"/>
                            </w:pPr>
                            <w:r>
                              <w:t>the relationship between a foreign government's acquisitions strategy (such as food security) and the commercial operation of their subsidiary businesses in Australia; and</w:t>
                            </w:r>
                          </w:p>
                          <w:p w14:paraId="51D2CD33" w14:textId="2848446C" w:rsidR="00BB1285" w:rsidRDefault="00BB1285" w:rsidP="001F694B">
                            <w:pPr>
                              <w:pStyle w:val="Bullet"/>
                              <w:spacing w:before="120" w:after="120"/>
                            </w:pPr>
                            <w:r>
                              <w:t>ways of setting clear and auditable ongoing undertakings that are in the 'national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pt;margin-top:1.9pt;width:491.25pt;height:17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">
                <v:textbox>
                  <w:txbxContent>
                    <w:p w14:paraId="3DD7B58A" w14:textId="77777777" w:rsidR="00BB1285" w:rsidRDefault="00BB1285" w:rsidP="001F694B">
                      <w:r w:rsidRPr="000C3E47">
                        <w:rPr>
                          <w:b/>
                        </w:rPr>
                        <w:t xml:space="preserve">Recommendation </w:t>
                      </w:r>
                      <w:r>
                        <w:rPr>
                          <w:b/>
                        </w:rPr>
                        <w:t>16</w:t>
                      </w:r>
                      <w:r>
                        <w:br/>
                      </w:r>
                      <w:proofErr w:type="gramStart"/>
                      <w:r>
                        <w:t>The</w:t>
                      </w:r>
                      <w:proofErr w:type="gramEnd"/>
                      <w:r>
                        <w:t xml:space="preserve"> committee recommends that, in line with recommendation 4, the government develop a stronger, more rigorous and more transparent system for examining cases of foreign investment in Australia, including Australian agriculture. Particular focus should be made on forensically examining:</w:t>
                      </w:r>
                    </w:p>
                    <w:p w14:paraId="12D7D2CC" w14:textId="77777777" w:rsidR="00BB1285" w:rsidRDefault="00BB1285" w:rsidP="001F694B">
                      <w:pPr>
                        <w:pStyle w:val="Bullet"/>
                        <w:spacing w:before="120" w:after="120"/>
                      </w:pPr>
                      <w:r>
                        <w:t>company structures (including management relationships in joint Australian/foreign ventures);</w:t>
                      </w:r>
                    </w:p>
                    <w:p w14:paraId="5A98858C" w14:textId="77777777" w:rsidR="00BB1285" w:rsidRDefault="00BB1285" w:rsidP="001F694B">
                      <w:pPr>
                        <w:pStyle w:val="Bullet"/>
                        <w:spacing w:before="120" w:after="120"/>
                      </w:pPr>
                      <w:r>
                        <w:t>the relationship between a foreign government's acquisitions strategy (such as food security) and the commercial operation of their subsidiary businesses in Australia; and</w:t>
                      </w:r>
                    </w:p>
                    <w:p w14:paraId="51D2CD33" w14:textId="2848446C" w:rsidR="00BB1285" w:rsidRDefault="00BB1285" w:rsidP="001F694B">
                      <w:pPr>
                        <w:pStyle w:val="Bullet"/>
                        <w:spacing w:before="120" w:after="120"/>
                      </w:pPr>
                      <w:proofErr w:type="gramStart"/>
                      <w:r>
                        <w:t>ways</w:t>
                      </w:r>
                      <w:proofErr w:type="gramEnd"/>
                      <w:r>
                        <w:t xml:space="preserve"> of setting clear and auditable ongoing undertakings that are in the 'national interest'.</w:t>
                      </w:r>
                    </w:p>
                  </w:txbxContent>
                </v:textbox>
              </v:shape>
            </w:pict>
          </mc:Fallback>
        </mc:AlternateContent>
      </w:r>
    </w:p>
    <w:p w14:paraId="046705D6" w14:textId="77777777" w:rsidR="00880B34" w:rsidRDefault="00880B34" w:rsidP="001F694B">
      <w:pPr>
        <w:rPr>
          <w:szCs w:val="20"/>
        </w:rPr>
      </w:pPr>
    </w:p>
    <w:p w14:paraId="7F57A593" w14:textId="77777777" w:rsidR="00880B34" w:rsidRDefault="00880B34" w:rsidP="001F694B">
      <w:pPr>
        <w:rPr>
          <w:szCs w:val="20"/>
        </w:rPr>
      </w:pPr>
    </w:p>
    <w:p w14:paraId="6077F981" w14:textId="77777777" w:rsidR="00880B34" w:rsidRDefault="00880B34" w:rsidP="001F694B">
      <w:pPr>
        <w:rPr>
          <w:szCs w:val="20"/>
        </w:rPr>
      </w:pPr>
    </w:p>
    <w:p w14:paraId="781A9B82" w14:textId="77777777" w:rsidR="00880B34" w:rsidRDefault="00880B34" w:rsidP="001F694B">
      <w:pPr>
        <w:rPr>
          <w:szCs w:val="20"/>
        </w:rPr>
      </w:pPr>
    </w:p>
    <w:p w14:paraId="5EE34B1B" w14:textId="77777777" w:rsidR="00880B34" w:rsidRDefault="00880B34" w:rsidP="001F694B">
      <w:pPr>
        <w:rPr>
          <w:szCs w:val="20"/>
        </w:rPr>
      </w:pPr>
    </w:p>
    <w:p w14:paraId="2FCCCD0D" w14:textId="77777777" w:rsidR="00880B34" w:rsidRDefault="00880B34" w:rsidP="001F694B">
      <w:pPr>
        <w:rPr>
          <w:szCs w:val="20"/>
        </w:rPr>
      </w:pPr>
    </w:p>
    <w:p w14:paraId="7F341A46" w14:textId="77777777" w:rsidR="00CA1DA9" w:rsidRDefault="00CA1DA9" w:rsidP="00AE59FB">
      <w:pPr>
        <w:spacing w:before="240"/>
        <w:rPr>
          <w:szCs w:val="20"/>
        </w:rPr>
      </w:pPr>
    </w:p>
    <w:p w14:paraId="0CE0DF3A" w14:textId="77777777" w:rsidR="00CA1DA9" w:rsidRDefault="00CA1DA9" w:rsidP="00AE59FB">
      <w:pPr>
        <w:spacing w:before="240"/>
        <w:rPr>
          <w:szCs w:val="20"/>
        </w:rPr>
      </w:pPr>
    </w:p>
    <w:p w14:paraId="29E067D9" w14:textId="77777777" w:rsidR="00CA1DA9" w:rsidRDefault="00CA1DA9" w:rsidP="00AE59FB">
      <w:pPr>
        <w:spacing w:before="240"/>
        <w:rPr>
          <w:szCs w:val="20"/>
        </w:rPr>
      </w:pPr>
    </w:p>
    <w:p w14:paraId="20FCB704" w14:textId="77777777" w:rsidR="00CA1DA9" w:rsidRDefault="00CA1DA9" w:rsidP="00AE59FB">
      <w:pPr>
        <w:spacing w:before="240"/>
        <w:rPr>
          <w:szCs w:val="20"/>
        </w:rPr>
      </w:pPr>
    </w:p>
    <w:p w14:paraId="663040A3" w14:textId="6F86E14F" w:rsidR="001F694B" w:rsidRPr="002930DD" w:rsidRDefault="001F694B" w:rsidP="00AE59FB">
      <w:pPr>
        <w:spacing w:before="240"/>
        <w:rPr>
          <w:szCs w:val="20"/>
        </w:rPr>
      </w:pPr>
      <w:r w:rsidRPr="002930DD">
        <w:rPr>
          <w:szCs w:val="20"/>
        </w:rPr>
        <w:t xml:space="preserve">The Australian Government </w:t>
      </w:r>
      <w:r w:rsidRPr="002930DD">
        <w:rPr>
          <w:b/>
          <w:szCs w:val="20"/>
          <w:u w:val="single"/>
        </w:rPr>
        <w:t>notes</w:t>
      </w:r>
      <w:r w:rsidRPr="002930DD">
        <w:rPr>
          <w:szCs w:val="20"/>
        </w:rPr>
        <w:t xml:space="preserve"> this recommendation.</w:t>
      </w:r>
    </w:p>
    <w:p w14:paraId="0E48756D" w14:textId="77777777" w:rsidR="001F694B" w:rsidRPr="002930DD" w:rsidRDefault="001F694B" w:rsidP="001F694B">
      <w:pPr>
        <w:rPr>
          <w:szCs w:val="20"/>
        </w:rPr>
      </w:pPr>
    </w:p>
    <w:p w14:paraId="642CA64C" w14:textId="77777777" w:rsidR="001F694B" w:rsidRPr="002930DD" w:rsidRDefault="001F694B" w:rsidP="001F694B">
      <w:pPr>
        <w:rPr>
          <w:szCs w:val="20"/>
        </w:rPr>
      </w:pPr>
      <w:r w:rsidRPr="002930DD">
        <w:rPr>
          <w:szCs w:val="20"/>
        </w:rPr>
        <w:t xml:space="preserve">The Government has already taken a number of steps to strengthen the screening arrangements that apply to foreign investment, including in the agricultural sector. </w:t>
      </w:r>
    </w:p>
    <w:p w14:paraId="1FF49FD5" w14:textId="77777777" w:rsidR="001F694B" w:rsidRPr="002930DD" w:rsidRDefault="001F694B" w:rsidP="001F694B">
      <w:pPr>
        <w:rPr>
          <w:szCs w:val="20"/>
        </w:rPr>
      </w:pPr>
    </w:p>
    <w:p w14:paraId="06A46947" w14:textId="77777777" w:rsidR="001F694B" w:rsidRPr="002930DD" w:rsidRDefault="001F694B" w:rsidP="001F694B">
      <w:pPr>
        <w:rPr>
          <w:szCs w:val="20"/>
        </w:rPr>
      </w:pPr>
      <w:r w:rsidRPr="002930DD">
        <w:rPr>
          <w:szCs w:val="20"/>
        </w:rPr>
        <w:t xml:space="preserve">The Government reviews foreign investment proposals against the national interest on a case by case basis. The national interest, and what would be contrary to it, is not defined in the Act. Instead, the Act confers upon the Treasurer the power to decide in each case whether a particular investment would be contrary to the national interest. </w:t>
      </w:r>
    </w:p>
    <w:p w14:paraId="6C67736D" w14:textId="77777777" w:rsidR="001F694B" w:rsidRPr="002930DD" w:rsidRDefault="001F694B" w:rsidP="001F694B">
      <w:pPr>
        <w:rPr>
          <w:szCs w:val="20"/>
        </w:rPr>
      </w:pPr>
    </w:p>
    <w:p w14:paraId="57C403FF" w14:textId="77777777" w:rsidR="001F694B" w:rsidRPr="002930DD" w:rsidRDefault="001F694B" w:rsidP="001F694B">
      <w:pPr>
        <w:rPr>
          <w:szCs w:val="20"/>
        </w:rPr>
      </w:pPr>
      <w:r w:rsidRPr="002930DD">
        <w:rPr>
          <w:szCs w:val="20"/>
        </w:rPr>
        <w:t>To assist foreign investors in their applications, the Government has provided general guidance on the national interest factors that are typically considered when assessing foreign investment proposals. These include: national security, competition, other Australian Government policies (including tax), impact on the economy and the community and the investor’s character.</w:t>
      </w:r>
    </w:p>
    <w:p w14:paraId="15DA40F4" w14:textId="77777777" w:rsidR="001F694B" w:rsidRPr="002930DD" w:rsidRDefault="001F694B" w:rsidP="001F694B">
      <w:pPr>
        <w:rPr>
          <w:szCs w:val="20"/>
        </w:rPr>
      </w:pPr>
    </w:p>
    <w:p w14:paraId="70FA9905" w14:textId="77777777" w:rsidR="001F694B" w:rsidRPr="002930DD" w:rsidRDefault="001F694B" w:rsidP="001F694B">
      <w:pPr>
        <w:rPr>
          <w:szCs w:val="20"/>
        </w:rPr>
      </w:pPr>
      <w:r w:rsidRPr="002930DD">
        <w:rPr>
          <w:szCs w:val="20"/>
        </w:rPr>
        <w:t xml:space="preserve">The Government considers the same broad factors when considering whether an investment by a foreign government investor or a private investor is contrary to the national interest. </w:t>
      </w:r>
    </w:p>
    <w:p w14:paraId="58CD407D" w14:textId="77777777" w:rsidR="001F694B" w:rsidRPr="002930DD" w:rsidRDefault="001F694B" w:rsidP="001F694B">
      <w:pPr>
        <w:rPr>
          <w:szCs w:val="20"/>
        </w:rPr>
      </w:pPr>
    </w:p>
    <w:p w14:paraId="552FD5FF" w14:textId="77777777" w:rsidR="001F694B" w:rsidRPr="002930DD" w:rsidRDefault="001F694B" w:rsidP="001F694B">
      <w:pPr>
        <w:rPr>
          <w:szCs w:val="20"/>
        </w:rPr>
      </w:pPr>
      <w:r w:rsidRPr="002930DD">
        <w:rPr>
          <w:szCs w:val="20"/>
        </w:rPr>
        <w:t>However, where a proposal involves a foreign government investor, the Government also considers the commerciality of the investment. This includes assessing whether the investment is commercial in nature or if the investor may be pursuing broader political or strategic objectives</w:t>
      </w:r>
    </w:p>
    <w:p w14:paraId="273188A1" w14:textId="77777777" w:rsidR="001F694B" w:rsidRPr="002930DD" w:rsidRDefault="001F694B" w:rsidP="001F694B">
      <w:pPr>
        <w:rPr>
          <w:szCs w:val="20"/>
        </w:rPr>
      </w:pPr>
    </w:p>
    <w:p w14:paraId="36627DAE" w14:textId="77777777" w:rsidR="00AA6F6F" w:rsidRDefault="001F694B" w:rsidP="001F694B">
      <w:pPr>
        <w:rPr>
          <w:szCs w:val="20"/>
        </w:rPr>
      </w:pPr>
      <w:r w:rsidRPr="002930DD">
        <w:rPr>
          <w:szCs w:val="20"/>
        </w:rPr>
        <w:t xml:space="preserve">The Government considers the current framework provides flexibility to consider proposals on a case-by-case basis. This flexibility is fundamental to the operation of the foreign investment framework because the national interest can change over time. </w:t>
      </w:r>
    </w:p>
    <w:p w14:paraId="00275252" w14:textId="34F4C536" w:rsidR="00CE0136" w:rsidRPr="007C4780" w:rsidRDefault="00CE0136" w:rsidP="007C4780">
      <w:pPr>
        <w:spacing w:after="200" w:line="276" w:lineRule="auto"/>
        <w:rPr>
          <w:szCs w:val="20"/>
        </w:rPr>
      </w:pPr>
    </w:p>
    <w:sectPr w:rsidR="00CE0136" w:rsidRPr="007C4780" w:rsidSect="002B04B5">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4F603" w14:textId="77777777" w:rsidR="00BB1285" w:rsidRDefault="00BB1285" w:rsidP="000073E8">
      <w:r>
        <w:separator/>
      </w:r>
    </w:p>
  </w:endnote>
  <w:endnote w:type="continuationSeparator" w:id="0">
    <w:p w14:paraId="27DB2A89" w14:textId="77777777" w:rsidR="00BB1285" w:rsidRDefault="00BB1285" w:rsidP="000073E8">
      <w:r>
        <w:continuationSeparator/>
      </w:r>
    </w:p>
  </w:endnote>
  <w:endnote w:type="continuationNotice" w:id="1">
    <w:p w14:paraId="0C6BA740" w14:textId="77777777" w:rsidR="00B2565E" w:rsidRDefault="00B25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80107"/>
      <w:docPartObj>
        <w:docPartGallery w:val="Page Numbers (Bottom of Page)"/>
        <w:docPartUnique/>
      </w:docPartObj>
    </w:sdtPr>
    <w:sdtEndPr>
      <w:rPr>
        <w:noProof/>
      </w:rPr>
    </w:sdtEndPr>
    <w:sdtContent>
      <w:p w14:paraId="3845774B" w14:textId="431F1004" w:rsidR="00BB1285" w:rsidRDefault="00BB1285">
        <w:pPr>
          <w:pStyle w:val="Footer"/>
          <w:jc w:val="right"/>
        </w:pPr>
        <w:r>
          <w:fldChar w:fldCharType="begin"/>
        </w:r>
        <w:r>
          <w:instrText xml:space="preserve"> PAGE   \* MERGEFORMAT </w:instrText>
        </w:r>
        <w:r>
          <w:fldChar w:fldCharType="separate"/>
        </w:r>
        <w:r w:rsidR="008F757A">
          <w:rPr>
            <w:noProof/>
          </w:rPr>
          <w:t>2</w:t>
        </w:r>
        <w:r>
          <w:rPr>
            <w:noProof/>
          </w:rPr>
          <w:fldChar w:fldCharType="end"/>
        </w:r>
      </w:p>
    </w:sdtContent>
  </w:sdt>
  <w:p w14:paraId="7254247B" w14:textId="77777777" w:rsidR="00BB1285" w:rsidRDefault="00BB1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72018" w14:textId="77777777" w:rsidR="00BB1285" w:rsidRDefault="00BB1285" w:rsidP="000073E8">
      <w:r>
        <w:separator/>
      </w:r>
    </w:p>
  </w:footnote>
  <w:footnote w:type="continuationSeparator" w:id="0">
    <w:p w14:paraId="7A5C1769" w14:textId="77777777" w:rsidR="00BB1285" w:rsidRDefault="00BB1285" w:rsidP="000073E8">
      <w:r>
        <w:continuationSeparator/>
      </w:r>
    </w:p>
  </w:footnote>
  <w:footnote w:type="continuationNotice" w:id="1">
    <w:p w14:paraId="2EFC94C5" w14:textId="77777777" w:rsidR="00B2565E" w:rsidRDefault="00B256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46C7"/>
    <w:multiLevelType w:val="hybridMultilevel"/>
    <w:tmpl w:val="26B2C346"/>
    <w:lvl w:ilvl="0" w:tplc="0C090005">
      <w:start w:val="9"/>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131FB5"/>
    <w:multiLevelType w:val="multilevel"/>
    <w:tmpl w:val="EF4CECD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54A52A4"/>
    <w:multiLevelType w:val="hybridMultilevel"/>
    <w:tmpl w:val="3836B99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91F0E7F"/>
    <w:multiLevelType w:val="hybridMultilevel"/>
    <w:tmpl w:val="8FFE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8E"/>
    <w:rsid w:val="000073E8"/>
    <w:rsid w:val="000271E1"/>
    <w:rsid w:val="000537C6"/>
    <w:rsid w:val="000C5A32"/>
    <w:rsid w:val="000F2BB7"/>
    <w:rsid w:val="00121BFE"/>
    <w:rsid w:val="00130DAC"/>
    <w:rsid w:val="00154E9A"/>
    <w:rsid w:val="0017651F"/>
    <w:rsid w:val="00176CDD"/>
    <w:rsid w:val="001826ED"/>
    <w:rsid w:val="0019150E"/>
    <w:rsid w:val="001A595B"/>
    <w:rsid w:val="001B2FE0"/>
    <w:rsid w:val="001D5661"/>
    <w:rsid w:val="001E4344"/>
    <w:rsid w:val="001F183F"/>
    <w:rsid w:val="001F694B"/>
    <w:rsid w:val="00202408"/>
    <w:rsid w:val="00223E5E"/>
    <w:rsid w:val="00224E87"/>
    <w:rsid w:val="00225E70"/>
    <w:rsid w:val="00237E96"/>
    <w:rsid w:val="0026660E"/>
    <w:rsid w:val="00283E0B"/>
    <w:rsid w:val="00292F57"/>
    <w:rsid w:val="002930DD"/>
    <w:rsid w:val="002B04B5"/>
    <w:rsid w:val="00302122"/>
    <w:rsid w:val="003067C6"/>
    <w:rsid w:val="0031574C"/>
    <w:rsid w:val="00350BA1"/>
    <w:rsid w:val="003D40A6"/>
    <w:rsid w:val="00422C95"/>
    <w:rsid w:val="00425803"/>
    <w:rsid w:val="00446719"/>
    <w:rsid w:val="00455F66"/>
    <w:rsid w:val="004A2A28"/>
    <w:rsid w:val="004C245D"/>
    <w:rsid w:val="004F616E"/>
    <w:rsid w:val="00505910"/>
    <w:rsid w:val="005079FB"/>
    <w:rsid w:val="005A7223"/>
    <w:rsid w:val="005C1D83"/>
    <w:rsid w:val="005D368A"/>
    <w:rsid w:val="00610E07"/>
    <w:rsid w:val="00632A1A"/>
    <w:rsid w:val="00682921"/>
    <w:rsid w:val="006B1FC1"/>
    <w:rsid w:val="006C24C7"/>
    <w:rsid w:val="006D18C4"/>
    <w:rsid w:val="006D7051"/>
    <w:rsid w:val="0075018E"/>
    <w:rsid w:val="00755A08"/>
    <w:rsid w:val="00762EDD"/>
    <w:rsid w:val="00780D70"/>
    <w:rsid w:val="00783278"/>
    <w:rsid w:val="007C4780"/>
    <w:rsid w:val="007F4EA7"/>
    <w:rsid w:val="00861A76"/>
    <w:rsid w:val="0087460A"/>
    <w:rsid w:val="00880B34"/>
    <w:rsid w:val="008B726D"/>
    <w:rsid w:val="008C2DCF"/>
    <w:rsid w:val="008F0D01"/>
    <w:rsid w:val="008F757A"/>
    <w:rsid w:val="009016AE"/>
    <w:rsid w:val="00913175"/>
    <w:rsid w:val="00914ECD"/>
    <w:rsid w:val="009437E3"/>
    <w:rsid w:val="009441C5"/>
    <w:rsid w:val="00952CA6"/>
    <w:rsid w:val="00952F9B"/>
    <w:rsid w:val="009805AE"/>
    <w:rsid w:val="009A6962"/>
    <w:rsid w:val="009B0FCD"/>
    <w:rsid w:val="009C6BA8"/>
    <w:rsid w:val="009F161E"/>
    <w:rsid w:val="00A766AA"/>
    <w:rsid w:val="00A95445"/>
    <w:rsid w:val="00AA6F6F"/>
    <w:rsid w:val="00AE59FB"/>
    <w:rsid w:val="00AF2AA7"/>
    <w:rsid w:val="00B00DDE"/>
    <w:rsid w:val="00B2565E"/>
    <w:rsid w:val="00B3482F"/>
    <w:rsid w:val="00B419A2"/>
    <w:rsid w:val="00B41C7C"/>
    <w:rsid w:val="00B54768"/>
    <w:rsid w:val="00B670D7"/>
    <w:rsid w:val="00BB1285"/>
    <w:rsid w:val="00BD5C9B"/>
    <w:rsid w:val="00C2168E"/>
    <w:rsid w:val="00C22EB2"/>
    <w:rsid w:val="00C24843"/>
    <w:rsid w:val="00C34DF2"/>
    <w:rsid w:val="00C96645"/>
    <w:rsid w:val="00CA1DA9"/>
    <w:rsid w:val="00CB138F"/>
    <w:rsid w:val="00CD4FE2"/>
    <w:rsid w:val="00CE0136"/>
    <w:rsid w:val="00D04861"/>
    <w:rsid w:val="00D106F0"/>
    <w:rsid w:val="00D1288C"/>
    <w:rsid w:val="00D151B3"/>
    <w:rsid w:val="00D31238"/>
    <w:rsid w:val="00D428D3"/>
    <w:rsid w:val="00D46E2E"/>
    <w:rsid w:val="00D54B46"/>
    <w:rsid w:val="00D8077F"/>
    <w:rsid w:val="00DD2091"/>
    <w:rsid w:val="00E07642"/>
    <w:rsid w:val="00E50144"/>
    <w:rsid w:val="00E61B8B"/>
    <w:rsid w:val="00E62F01"/>
    <w:rsid w:val="00E76D2B"/>
    <w:rsid w:val="00ED0585"/>
    <w:rsid w:val="00ED0667"/>
    <w:rsid w:val="00EE32B7"/>
    <w:rsid w:val="00F211E0"/>
    <w:rsid w:val="00F21F98"/>
    <w:rsid w:val="00F87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8E"/>
    <w:rPr>
      <w:rFonts w:ascii="Tahoma" w:hAnsi="Tahoma" w:cs="Tahoma"/>
      <w:sz w:val="16"/>
      <w:szCs w:val="16"/>
    </w:rPr>
  </w:style>
  <w:style w:type="character" w:customStyle="1" w:styleId="BalloonTextChar">
    <w:name w:val="Balloon Text Char"/>
    <w:basedOn w:val="DefaultParagraphFont"/>
    <w:link w:val="BalloonText"/>
    <w:uiPriority w:val="99"/>
    <w:semiHidden/>
    <w:rsid w:val="0075018E"/>
    <w:rPr>
      <w:rFonts w:ascii="Tahoma" w:eastAsia="Times New Roman" w:hAnsi="Tahoma" w:cs="Tahoma"/>
      <w:sz w:val="16"/>
      <w:szCs w:val="16"/>
    </w:rPr>
  </w:style>
  <w:style w:type="paragraph" w:styleId="ListParagraph">
    <w:name w:val="List Paragraph"/>
    <w:basedOn w:val="Normal"/>
    <w:uiPriority w:val="34"/>
    <w:qFormat/>
    <w:rsid w:val="00783278"/>
    <w:pPr>
      <w:ind w:left="720"/>
      <w:contextualSpacing/>
    </w:pPr>
  </w:style>
  <w:style w:type="paragraph" w:customStyle="1" w:styleId="Bullet">
    <w:name w:val="Bullet"/>
    <w:basedOn w:val="Normal"/>
    <w:link w:val="BulletChar"/>
    <w:rsid w:val="00C96645"/>
    <w:pPr>
      <w:numPr>
        <w:numId w:val="2"/>
      </w:numPr>
      <w:spacing w:before="280" w:after="200"/>
    </w:pPr>
    <w:rPr>
      <w:szCs w:val="20"/>
    </w:rPr>
  </w:style>
  <w:style w:type="character" w:customStyle="1" w:styleId="BulletChar">
    <w:name w:val="Bullet Char"/>
    <w:basedOn w:val="DefaultParagraphFont"/>
    <w:link w:val="Bullet"/>
    <w:rsid w:val="00C96645"/>
    <w:rPr>
      <w:rFonts w:ascii="Times New Roman" w:eastAsia="Times New Roman" w:hAnsi="Times New Roman" w:cs="Times New Roman"/>
      <w:sz w:val="24"/>
      <w:szCs w:val="20"/>
    </w:rPr>
  </w:style>
  <w:style w:type="paragraph" w:customStyle="1" w:styleId="Dash">
    <w:name w:val="Dash"/>
    <w:basedOn w:val="Normal"/>
    <w:link w:val="DashChar"/>
    <w:rsid w:val="00C96645"/>
    <w:pPr>
      <w:numPr>
        <w:ilvl w:val="1"/>
        <w:numId w:val="2"/>
      </w:numPr>
      <w:spacing w:before="280" w:after="200"/>
    </w:pPr>
    <w:rPr>
      <w:szCs w:val="20"/>
    </w:rPr>
  </w:style>
  <w:style w:type="character" w:customStyle="1" w:styleId="DashChar">
    <w:name w:val="Dash Char"/>
    <w:basedOn w:val="DefaultParagraphFont"/>
    <w:link w:val="Dash"/>
    <w:rsid w:val="00C96645"/>
    <w:rPr>
      <w:rFonts w:ascii="Times New Roman" w:eastAsia="Times New Roman" w:hAnsi="Times New Roman" w:cs="Times New Roman"/>
      <w:sz w:val="24"/>
      <w:szCs w:val="20"/>
    </w:rPr>
  </w:style>
  <w:style w:type="paragraph" w:customStyle="1" w:styleId="DoubleDot">
    <w:name w:val="Double Dot"/>
    <w:basedOn w:val="Normal"/>
    <w:link w:val="DoubleDotChar"/>
    <w:rsid w:val="00C96645"/>
    <w:pPr>
      <w:numPr>
        <w:ilvl w:val="2"/>
        <w:numId w:val="2"/>
      </w:numPr>
      <w:spacing w:before="280" w:after="200"/>
    </w:pPr>
    <w:rPr>
      <w:szCs w:val="20"/>
    </w:rPr>
  </w:style>
  <w:style w:type="character" w:customStyle="1" w:styleId="DoubleDotChar">
    <w:name w:val="Double Dot Char"/>
    <w:basedOn w:val="DefaultParagraphFont"/>
    <w:link w:val="DoubleDot"/>
    <w:rsid w:val="00C9664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073E8"/>
    <w:pPr>
      <w:tabs>
        <w:tab w:val="center" w:pos="4513"/>
        <w:tab w:val="right" w:pos="9026"/>
      </w:tabs>
    </w:pPr>
  </w:style>
  <w:style w:type="character" w:customStyle="1" w:styleId="HeaderChar">
    <w:name w:val="Header Char"/>
    <w:basedOn w:val="DefaultParagraphFont"/>
    <w:link w:val="Header"/>
    <w:uiPriority w:val="99"/>
    <w:rsid w:val="00007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3E8"/>
    <w:pPr>
      <w:tabs>
        <w:tab w:val="center" w:pos="4513"/>
        <w:tab w:val="right" w:pos="9026"/>
      </w:tabs>
    </w:pPr>
  </w:style>
  <w:style w:type="character" w:customStyle="1" w:styleId="FooterChar">
    <w:name w:val="Footer Char"/>
    <w:basedOn w:val="DefaultParagraphFont"/>
    <w:link w:val="Footer"/>
    <w:uiPriority w:val="99"/>
    <w:rsid w:val="00007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80</Value>
    </TaxCatchAll>
    <_dlc_DocId xmlns="0f563589-9cf9-4143-b1eb-fb0534803d38">2018CSSG-468-57380</_dlc_DocId>
    <_dlc_DocIdUrl xmlns="0f563589-9cf9-4143-b1eb-fb0534803d38">
      <Url>http://tweb/sites/cssg/mcd/psu/_layouts/15/DocIdRedir.aspx?ID=2018CSSG-468-57380</Url>
      <Description>2018CSSG-468-57380</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AE-20270-Destroy 10 years after action completed</TermName>
          <TermId xmlns="http://schemas.microsoft.com/office/infopath/2007/PartnerControls">1abfcffb-6564-46dc-9a41-fba39b005b0c</TermId>
        </TermInfo>
      </Terms>
    </lb508a4dc5e84436a0fe496b536466aa>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8FA9B76332A751488A4F118C1079A7B4" ma:contentTypeVersion="13389" ma:contentTypeDescription=" " ma:contentTypeScope="" ma:versionID="4c681e71f8d2d11ab467eb9afc28abfe">
  <xsd:schema xmlns:xsd="http://www.w3.org/2001/XMLSchema" xmlns:xs="http://www.w3.org/2001/XMLSchema" xmlns:p="http://schemas.microsoft.com/office/2006/metadata/properties" xmlns:ns1="http://schemas.microsoft.com/sharepoint/v3" xmlns:ns2="0f563589-9cf9-4143-b1eb-fb0534803d38" xmlns:ns3="eb47d8b7-fefc-4923-b53c-9685ba6b7210" xmlns:ns5="http://schemas.microsoft.com/sharepoint/v4" targetNamespace="http://schemas.microsoft.com/office/2006/metadata/properties" ma:root="true" ma:fieldsID="822e673ea46f170519be842bb42e9e95" ns1:_="" ns2:_="" ns3:_="" ns5:_="">
    <xsd:import namespace="http://schemas.microsoft.com/sharepoint/v3"/>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3"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80;#AE-20270-Destroy 10 years after action completed|1abfcffb-6564-46dc-9a41-fba39b005b0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33DE-D820-426C-8BC6-86E59AF8A233}">
  <ds:schemaRefs>
    <ds:schemaRef ds:uri="http://schemas.microsoft.com/sharepoint/v3/contenttype/forms"/>
  </ds:schemaRefs>
</ds:datastoreItem>
</file>

<file path=customXml/itemProps2.xml><?xml version="1.0" encoding="utf-8"?>
<ds:datastoreItem xmlns:ds="http://schemas.openxmlformats.org/officeDocument/2006/customXml" ds:itemID="{7EDE1C02-0B11-47B8-8C2D-61F583E760B5}">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0f563589-9cf9-4143-b1eb-fb0534803d38"/>
    <ds:schemaRef ds:uri="http://schemas.microsoft.com/office/infopath/2007/PartnerControls"/>
    <ds:schemaRef ds:uri="http://schemas.openxmlformats.org/package/2006/metadata/core-properties"/>
    <ds:schemaRef ds:uri="http://schemas.microsoft.com/sharepoint/v4"/>
    <ds:schemaRef ds:uri="eb47d8b7-fefc-4923-b53c-9685ba6b7210"/>
    <ds:schemaRef ds:uri="http://schemas.microsoft.com/sharepoint/v3"/>
    <ds:schemaRef ds:uri="http://purl.org/dc/dcmitype/"/>
  </ds:schemaRefs>
</ds:datastoreItem>
</file>

<file path=customXml/itemProps3.xml><?xml version="1.0" encoding="utf-8"?>
<ds:datastoreItem xmlns:ds="http://schemas.openxmlformats.org/officeDocument/2006/customXml" ds:itemID="{AAC5D35C-9AB9-436E-8BAA-966A4846C51A}">
  <ds:schemaRefs>
    <ds:schemaRef ds:uri="office.server.policy"/>
  </ds:schemaRefs>
</ds:datastoreItem>
</file>

<file path=customXml/itemProps4.xml><?xml version="1.0" encoding="utf-8"?>
<ds:datastoreItem xmlns:ds="http://schemas.openxmlformats.org/officeDocument/2006/customXml" ds:itemID="{DB7DD5CA-0B2D-437F-89EE-123EF74B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A8D78-7AE3-4530-977E-68B679DF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1728</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Australian Government response to the Senate Rural and Regional Affairs and Transport References Committee report: Foreign investment and the national interest</vt:lpstr>
    </vt:vector>
  </TitlesOfParts>
  <Company>Australian Government - The Treasury</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Rural and Regional Affairs and Transport References Committee report: Foreign investment and the national interest</dc:title>
  <dc:creator>Australian Government</dc:creator>
  <cp:lastModifiedBy>Hill, Christine</cp:lastModifiedBy>
  <cp:revision>3</cp:revision>
  <cp:lastPrinted>2018-08-05T23:34:00Z</cp:lastPrinted>
  <dcterms:created xsi:type="dcterms:W3CDTF">2018-08-17T02:52:00Z</dcterms:created>
  <dcterms:modified xsi:type="dcterms:W3CDTF">2018-08-17T03:12:00Z</dcterms:modified>
</cp:coreProperties>
</file>