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31DC7" w14:textId="77777777" w:rsidR="00B00DAF" w:rsidRPr="00AE3BD4" w:rsidRDefault="00B00DAF" w:rsidP="00B00DAF">
      <w:pPr>
        <w:jc w:val="center"/>
        <w:rPr>
          <w:caps/>
        </w:rPr>
      </w:pPr>
      <w:bookmarkStart w:id="0" w:name="_Toc505874923"/>
      <w:r w:rsidRPr="00AE3BD4">
        <w:rPr>
          <w:caps/>
          <w:noProof/>
          <w:lang w:eastAsia="en-AU"/>
        </w:rPr>
        <w:drawing>
          <wp:inline distT="0" distB="0" distL="0" distR="0" wp14:anchorId="14331EE9" wp14:editId="08357BA8">
            <wp:extent cx="246697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574A168F" w14:textId="77777777" w:rsidR="00B00DAF" w:rsidRPr="00AE3BD4" w:rsidRDefault="00B00DAF" w:rsidP="00B00DAF">
      <w:pPr>
        <w:spacing w:after="0"/>
        <w:jc w:val="center"/>
      </w:pPr>
    </w:p>
    <w:p w14:paraId="50505FCA" w14:textId="77777777" w:rsidR="00B00DAF" w:rsidRDefault="00B00DAF" w:rsidP="00B00DAF">
      <w:pPr>
        <w:spacing w:after="0"/>
      </w:pPr>
    </w:p>
    <w:p w14:paraId="5F794314" w14:textId="65E430BC" w:rsidR="00EE091D" w:rsidRDefault="00EE091D" w:rsidP="00B00DAF">
      <w:pPr>
        <w:spacing w:after="0"/>
      </w:pPr>
    </w:p>
    <w:p w14:paraId="61ED4104" w14:textId="77777777" w:rsidR="00EE091D" w:rsidRDefault="00EE091D" w:rsidP="00B00DAF">
      <w:pPr>
        <w:spacing w:after="0"/>
      </w:pPr>
    </w:p>
    <w:p w14:paraId="36BCECB0" w14:textId="793D75EC" w:rsidR="00E1032F" w:rsidRDefault="00E1032F" w:rsidP="00B00DAF">
      <w:pPr>
        <w:spacing w:after="0"/>
      </w:pPr>
    </w:p>
    <w:p w14:paraId="5BCA4171" w14:textId="77777777" w:rsidR="00E1032F" w:rsidRDefault="00E1032F" w:rsidP="00B00DAF">
      <w:pPr>
        <w:spacing w:after="0"/>
      </w:pPr>
    </w:p>
    <w:p w14:paraId="686742CE" w14:textId="77777777" w:rsidR="00E1032F" w:rsidRDefault="00E1032F" w:rsidP="00B00DAF">
      <w:pPr>
        <w:spacing w:after="0"/>
      </w:pPr>
    </w:p>
    <w:p w14:paraId="520688E5" w14:textId="77777777" w:rsidR="00E1032F" w:rsidRDefault="00E1032F" w:rsidP="00B00DAF">
      <w:pPr>
        <w:spacing w:after="0"/>
      </w:pPr>
    </w:p>
    <w:p w14:paraId="29E37391" w14:textId="77777777" w:rsidR="00E1032F" w:rsidRDefault="00E1032F" w:rsidP="00B00DAF">
      <w:pPr>
        <w:spacing w:after="0"/>
      </w:pPr>
      <w:bookmarkStart w:id="1" w:name="_GoBack"/>
      <w:bookmarkEnd w:id="1"/>
    </w:p>
    <w:p w14:paraId="235CFC55" w14:textId="77777777" w:rsidR="00E1032F" w:rsidRDefault="00E1032F" w:rsidP="00B00DAF">
      <w:pPr>
        <w:spacing w:after="0"/>
      </w:pPr>
    </w:p>
    <w:p w14:paraId="4FAB5FAB" w14:textId="77777777" w:rsidR="00E1032F" w:rsidRDefault="00E1032F" w:rsidP="00B00DAF">
      <w:pPr>
        <w:spacing w:after="0"/>
      </w:pPr>
    </w:p>
    <w:p w14:paraId="010664D6" w14:textId="77777777" w:rsidR="00E1032F" w:rsidRPr="00AE3BD4" w:rsidRDefault="00E1032F" w:rsidP="00B00DAF">
      <w:pPr>
        <w:spacing w:after="0"/>
      </w:pPr>
    </w:p>
    <w:p w14:paraId="36779B2E" w14:textId="77777777" w:rsidR="00B00DAF" w:rsidRPr="00AE3BD4" w:rsidRDefault="00B00DAF" w:rsidP="00B00DAF">
      <w:pPr>
        <w:spacing w:after="0"/>
      </w:pPr>
    </w:p>
    <w:p w14:paraId="2589028A" w14:textId="19DD0289" w:rsidR="00B00DAF" w:rsidRPr="00E1032F" w:rsidRDefault="00B00DAF" w:rsidP="00B00DAF">
      <w:pPr>
        <w:jc w:val="center"/>
        <w:rPr>
          <w:rFonts w:ascii="Times New Roman" w:hAnsi="Times New Roman" w:cs="Times New Roman"/>
          <w:sz w:val="36"/>
        </w:rPr>
      </w:pPr>
      <w:r w:rsidRPr="00E1032F">
        <w:rPr>
          <w:rFonts w:ascii="Times New Roman" w:hAnsi="Times New Roman" w:cs="Times New Roman"/>
          <w:sz w:val="36"/>
        </w:rPr>
        <w:t xml:space="preserve">Australian Government response to the </w:t>
      </w:r>
      <w:r w:rsidRPr="00E1032F">
        <w:rPr>
          <w:rFonts w:ascii="Times New Roman" w:hAnsi="Times New Roman" w:cs="Times New Roman"/>
          <w:sz w:val="36"/>
        </w:rPr>
        <w:br/>
        <w:t xml:space="preserve">Financial Reporting Council’s </w:t>
      </w:r>
      <w:r w:rsidR="00755074">
        <w:rPr>
          <w:rFonts w:ascii="Times New Roman" w:hAnsi="Times New Roman" w:cs="Times New Roman"/>
          <w:sz w:val="36"/>
        </w:rPr>
        <w:br/>
      </w:r>
      <w:r w:rsidRPr="00E1032F">
        <w:rPr>
          <w:rFonts w:ascii="Times New Roman" w:hAnsi="Times New Roman" w:cs="Times New Roman"/>
          <w:i/>
          <w:sz w:val="36"/>
        </w:rPr>
        <w:t>Auditor Disciplinary Processes: Review</w:t>
      </w:r>
    </w:p>
    <w:bookmarkEnd w:id="0"/>
    <w:p w14:paraId="4B6934A6" w14:textId="77777777" w:rsidR="00E1032F" w:rsidRDefault="00E1032F"/>
    <w:p w14:paraId="479EBE60" w14:textId="039B5B71" w:rsidR="00AC62C3" w:rsidRDefault="00AC62C3"/>
    <w:p w14:paraId="388B3C87" w14:textId="77777777" w:rsidR="00AC62C3" w:rsidRPr="00AC62C3" w:rsidRDefault="00AC62C3" w:rsidP="00AC62C3"/>
    <w:p w14:paraId="531C9788" w14:textId="77777777" w:rsidR="00AC62C3" w:rsidRPr="00AC62C3" w:rsidRDefault="00AC62C3" w:rsidP="00AC62C3"/>
    <w:p w14:paraId="6D5663D9" w14:textId="77777777" w:rsidR="00AC62C3" w:rsidRPr="00AC62C3" w:rsidRDefault="00AC62C3" w:rsidP="00AC62C3"/>
    <w:p w14:paraId="344F6FEC" w14:textId="77777777" w:rsidR="00AC62C3" w:rsidRPr="00AC62C3" w:rsidRDefault="00AC62C3" w:rsidP="00AC62C3"/>
    <w:p w14:paraId="28E34073" w14:textId="77777777" w:rsidR="00AC62C3" w:rsidRPr="00AC62C3" w:rsidRDefault="00AC62C3" w:rsidP="00AC62C3"/>
    <w:p w14:paraId="0D0E3DE0" w14:textId="77777777" w:rsidR="00AC62C3" w:rsidRPr="00AC62C3" w:rsidRDefault="00AC62C3" w:rsidP="00AC62C3"/>
    <w:p w14:paraId="2039AB23" w14:textId="77777777" w:rsidR="00AC62C3" w:rsidRPr="00AC62C3" w:rsidRDefault="00AC62C3" w:rsidP="00AC62C3"/>
    <w:p w14:paraId="10789190" w14:textId="77777777" w:rsidR="00AC62C3" w:rsidRPr="00AC62C3" w:rsidRDefault="00AC62C3" w:rsidP="00AC62C3"/>
    <w:p w14:paraId="2D55C144" w14:textId="70A436E3" w:rsidR="00AC62C3" w:rsidRPr="00AC62C3" w:rsidRDefault="00AC62C3" w:rsidP="00AC62C3">
      <w:pPr>
        <w:tabs>
          <w:tab w:val="left" w:pos="7530"/>
        </w:tabs>
      </w:pPr>
      <w:r>
        <w:tab/>
      </w:r>
    </w:p>
    <w:p w14:paraId="7A0FB20C" w14:textId="4F5AB601" w:rsidR="00E1032F" w:rsidRPr="00AC62C3" w:rsidRDefault="00AC62C3" w:rsidP="00AC62C3">
      <w:pPr>
        <w:tabs>
          <w:tab w:val="left" w:pos="7530"/>
        </w:tabs>
        <w:sectPr w:rsidR="00E1032F" w:rsidRPr="00AC62C3" w:rsidSect="00E1032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971" w:gutter="0"/>
          <w:cols w:space="708"/>
          <w:titlePg/>
          <w:docGrid w:linePitch="360"/>
        </w:sectPr>
      </w:pPr>
      <w:r>
        <w:lastRenderedPageBreak/>
        <w:tab/>
      </w:r>
    </w:p>
    <w:p w14:paraId="7AD0EC1D" w14:textId="48854B19" w:rsidR="00E1032F" w:rsidRDefault="00E1032F" w:rsidP="00E1032F">
      <w:pPr>
        <w:jc w:val="center"/>
        <w:rPr>
          <w:rFonts w:ascii="Times New Roman" w:hAnsi="Times New Roman" w:cs="Times New Roman"/>
          <w:b/>
          <w:sz w:val="28"/>
          <w:szCs w:val="28"/>
        </w:rPr>
      </w:pPr>
      <w:r w:rsidRPr="00E1032F">
        <w:rPr>
          <w:rFonts w:ascii="Times New Roman" w:hAnsi="Times New Roman" w:cs="Times New Roman"/>
          <w:b/>
          <w:sz w:val="28"/>
          <w:szCs w:val="28"/>
        </w:rPr>
        <w:lastRenderedPageBreak/>
        <w:t xml:space="preserve">AUSTRALIAN GOVERNMENT RESPONSE TO THE </w:t>
      </w:r>
      <w:r w:rsidRPr="00E1032F">
        <w:rPr>
          <w:rFonts w:ascii="Times New Roman" w:hAnsi="Times New Roman" w:cs="Times New Roman"/>
          <w:b/>
          <w:sz w:val="28"/>
          <w:szCs w:val="28"/>
        </w:rPr>
        <w:br/>
        <w:t xml:space="preserve">FINANCIAL REPORTING COUNCIL’S </w:t>
      </w:r>
      <w:r>
        <w:rPr>
          <w:rFonts w:ascii="Times New Roman" w:hAnsi="Times New Roman" w:cs="Times New Roman"/>
          <w:b/>
          <w:sz w:val="28"/>
          <w:szCs w:val="28"/>
        </w:rPr>
        <w:br/>
      </w:r>
      <w:r w:rsidRPr="00E1032F">
        <w:rPr>
          <w:rFonts w:ascii="Times New Roman" w:hAnsi="Times New Roman" w:cs="Times New Roman"/>
          <w:b/>
          <w:sz w:val="28"/>
          <w:szCs w:val="28"/>
        </w:rPr>
        <w:t>AUDITOR DISCIPLINARY PROCESSES: REVIEW</w:t>
      </w:r>
    </w:p>
    <w:p w14:paraId="3C9EE004" w14:textId="77777777" w:rsidR="00E1032F" w:rsidRPr="00E1032F" w:rsidRDefault="00E1032F" w:rsidP="00E1032F">
      <w:pPr>
        <w:jc w:val="center"/>
        <w:rPr>
          <w:rFonts w:ascii="Times New Roman" w:hAnsi="Times New Roman" w:cs="Times New Roman"/>
          <w:b/>
          <w:sz w:val="28"/>
          <w:szCs w:val="28"/>
        </w:rPr>
      </w:pPr>
    </w:p>
    <w:p w14:paraId="4B3A5DBA" w14:textId="531FE60D" w:rsidR="00636C5A" w:rsidRPr="00031FA6" w:rsidRDefault="001C483C" w:rsidP="00E1032F">
      <w:pPr>
        <w:rPr>
          <w:rFonts w:ascii="Times New Roman" w:hAnsi="Times New Roman" w:cs="Times New Roman"/>
          <w:sz w:val="24"/>
        </w:rPr>
      </w:pPr>
      <w:r w:rsidRPr="00031FA6">
        <w:rPr>
          <w:rFonts w:ascii="Times New Roman" w:hAnsi="Times New Roman" w:cs="Times New Roman"/>
          <w:sz w:val="24"/>
        </w:rPr>
        <w:t>The Government</w:t>
      </w:r>
      <w:r w:rsidR="00682AF7">
        <w:rPr>
          <w:rFonts w:ascii="Times New Roman" w:hAnsi="Times New Roman" w:cs="Times New Roman"/>
          <w:sz w:val="24"/>
        </w:rPr>
        <w:t xml:space="preserve"> recognises the </w:t>
      </w:r>
      <w:r w:rsidRPr="00031FA6">
        <w:rPr>
          <w:rFonts w:ascii="Times New Roman" w:hAnsi="Times New Roman" w:cs="Times New Roman"/>
          <w:sz w:val="24"/>
        </w:rPr>
        <w:t>important role</w:t>
      </w:r>
      <w:r w:rsidR="00682AF7">
        <w:rPr>
          <w:rFonts w:ascii="Times New Roman" w:hAnsi="Times New Roman" w:cs="Times New Roman"/>
          <w:sz w:val="24"/>
        </w:rPr>
        <w:t xml:space="preserve"> that auditors play</w:t>
      </w:r>
      <w:r w:rsidRPr="00031FA6">
        <w:rPr>
          <w:rFonts w:ascii="Times New Roman" w:hAnsi="Times New Roman" w:cs="Times New Roman"/>
          <w:sz w:val="24"/>
        </w:rPr>
        <w:t xml:space="preserve"> in fostering confidence in the integrity of our markets. </w:t>
      </w:r>
      <w:r w:rsidR="00636C5A" w:rsidRPr="00031FA6">
        <w:rPr>
          <w:rFonts w:ascii="Times New Roman" w:hAnsi="Times New Roman" w:cs="Times New Roman"/>
          <w:sz w:val="24"/>
        </w:rPr>
        <w:t>The Government is committed to ensuring auditors are held to a high standard</w:t>
      </w:r>
      <w:r w:rsidR="001948EE" w:rsidRPr="00031FA6">
        <w:rPr>
          <w:rFonts w:ascii="Times New Roman" w:hAnsi="Times New Roman" w:cs="Times New Roman"/>
          <w:sz w:val="24"/>
        </w:rPr>
        <w:t>,</w:t>
      </w:r>
      <w:r w:rsidR="00636C5A" w:rsidRPr="00031FA6">
        <w:rPr>
          <w:rFonts w:ascii="Times New Roman" w:hAnsi="Times New Roman" w:cs="Times New Roman"/>
          <w:sz w:val="24"/>
        </w:rPr>
        <w:t xml:space="preserve"> and auditors that fail to discharge their statutory or professional duties are appropriately sanctioned. </w:t>
      </w:r>
    </w:p>
    <w:p w14:paraId="204D936D" w14:textId="63DE5C8B" w:rsidR="00636C5A" w:rsidRPr="00031FA6" w:rsidRDefault="00636C5A" w:rsidP="00E1032F">
      <w:pPr>
        <w:rPr>
          <w:rFonts w:ascii="Times New Roman" w:hAnsi="Times New Roman" w:cs="Times New Roman"/>
          <w:sz w:val="24"/>
        </w:rPr>
      </w:pPr>
      <w:r w:rsidRPr="00031FA6">
        <w:rPr>
          <w:rFonts w:ascii="Times New Roman" w:hAnsi="Times New Roman" w:cs="Times New Roman"/>
          <w:sz w:val="24"/>
        </w:rPr>
        <w:t xml:space="preserve">In line with this commitment, on 7 November 2018, the Government </w:t>
      </w:r>
      <w:r w:rsidR="0056085E" w:rsidRPr="00031FA6">
        <w:rPr>
          <w:rFonts w:ascii="Times New Roman" w:hAnsi="Times New Roman" w:cs="Times New Roman"/>
          <w:sz w:val="24"/>
        </w:rPr>
        <w:t xml:space="preserve">requested </w:t>
      </w:r>
      <w:r w:rsidR="004F5C71">
        <w:rPr>
          <w:rFonts w:ascii="Times New Roman" w:hAnsi="Times New Roman" w:cs="Times New Roman"/>
          <w:sz w:val="24"/>
        </w:rPr>
        <w:t xml:space="preserve">that </w:t>
      </w:r>
      <w:r w:rsidRPr="00031FA6">
        <w:rPr>
          <w:rFonts w:ascii="Times New Roman" w:hAnsi="Times New Roman" w:cs="Times New Roman"/>
          <w:sz w:val="24"/>
        </w:rPr>
        <w:t xml:space="preserve">the Financial Reporting Council (FRC) conduct a review of the </w:t>
      </w:r>
      <w:r w:rsidR="00E1032F" w:rsidRPr="00D334CC">
        <w:rPr>
          <w:rFonts w:ascii="Times New Roman" w:hAnsi="Times New Roman" w:cs="Times New Roman"/>
          <w:sz w:val="24"/>
          <w:szCs w:val="24"/>
        </w:rPr>
        <w:t xml:space="preserve">adequacy of </w:t>
      </w:r>
      <w:r w:rsidR="002D108E" w:rsidRPr="00D334CC">
        <w:rPr>
          <w:rFonts w:ascii="Times New Roman" w:hAnsi="Times New Roman" w:cs="Times New Roman"/>
          <w:sz w:val="24"/>
          <w:szCs w:val="24"/>
        </w:rPr>
        <w:t>disciplinary processes for auditors</w:t>
      </w:r>
      <w:r w:rsidRPr="00D334CC">
        <w:rPr>
          <w:rFonts w:ascii="Times New Roman" w:hAnsi="Times New Roman" w:cs="Times New Roman"/>
          <w:sz w:val="24"/>
          <w:szCs w:val="24"/>
        </w:rPr>
        <w:t>.</w:t>
      </w:r>
      <w:r w:rsidR="002D108E" w:rsidRPr="00D334CC">
        <w:rPr>
          <w:rFonts w:ascii="Times New Roman" w:hAnsi="Times New Roman" w:cs="Times New Roman"/>
          <w:sz w:val="24"/>
          <w:szCs w:val="24"/>
        </w:rPr>
        <w:t xml:space="preserve"> </w:t>
      </w:r>
      <w:r w:rsidRPr="00031FA6">
        <w:rPr>
          <w:rFonts w:ascii="Times New Roman" w:hAnsi="Times New Roman" w:cs="Times New Roman"/>
          <w:sz w:val="24"/>
        </w:rPr>
        <w:t xml:space="preserve">The </w:t>
      </w:r>
      <w:r w:rsidR="0056085E" w:rsidRPr="00031FA6">
        <w:rPr>
          <w:rFonts w:ascii="Times New Roman" w:hAnsi="Times New Roman" w:cs="Times New Roman"/>
          <w:sz w:val="24"/>
        </w:rPr>
        <w:t>request to the FRC was made in response</w:t>
      </w:r>
      <w:r w:rsidRPr="00031FA6">
        <w:rPr>
          <w:rFonts w:ascii="Times New Roman" w:hAnsi="Times New Roman" w:cs="Times New Roman"/>
          <w:sz w:val="24"/>
        </w:rPr>
        <w:t xml:space="preserve"> to </w:t>
      </w:r>
      <w:r w:rsidR="0056085E" w:rsidRPr="00031FA6">
        <w:rPr>
          <w:rFonts w:ascii="Times New Roman" w:hAnsi="Times New Roman" w:cs="Times New Roman"/>
          <w:sz w:val="24"/>
        </w:rPr>
        <w:t xml:space="preserve">the </w:t>
      </w:r>
      <w:r w:rsidRPr="00031FA6">
        <w:rPr>
          <w:rFonts w:ascii="Times New Roman" w:hAnsi="Times New Roman" w:cs="Times New Roman"/>
          <w:sz w:val="24"/>
        </w:rPr>
        <w:t xml:space="preserve">recommendation of the Parliamentary Joint Committee on Corporations and Financial Services in its </w:t>
      </w:r>
      <w:r w:rsidRPr="00031FA6">
        <w:rPr>
          <w:rFonts w:ascii="Times New Roman" w:hAnsi="Times New Roman" w:cs="Times New Roman"/>
          <w:i/>
          <w:sz w:val="24"/>
        </w:rPr>
        <w:t>Report on 2016</w:t>
      </w:r>
      <w:r w:rsidRPr="00031FA6">
        <w:rPr>
          <w:rFonts w:ascii="Times New Roman" w:hAnsi="Times New Roman" w:cs="Times New Roman"/>
          <w:i/>
          <w:sz w:val="24"/>
        </w:rPr>
        <w:noBreakHyphen/>
        <w:t>2017 Annual Reports of Bodies Established under the ASIC Act</w:t>
      </w:r>
      <w:r w:rsidRPr="00031FA6">
        <w:rPr>
          <w:rFonts w:ascii="Times New Roman" w:hAnsi="Times New Roman" w:cs="Times New Roman"/>
          <w:sz w:val="24"/>
        </w:rPr>
        <w:t>.</w:t>
      </w:r>
    </w:p>
    <w:p w14:paraId="264D93C5" w14:textId="10A369F3" w:rsidR="00636C5A" w:rsidRPr="00031FA6" w:rsidRDefault="00636C5A" w:rsidP="00636C5A">
      <w:pPr>
        <w:rPr>
          <w:rFonts w:ascii="Times New Roman" w:hAnsi="Times New Roman" w:cs="Times New Roman"/>
          <w:sz w:val="24"/>
        </w:rPr>
      </w:pPr>
      <w:r w:rsidRPr="00031FA6">
        <w:rPr>
          <w:rFonts w:ascii="Times New Roman" w:hAnsi="Times New Roman" w:cs="Times New Roman"/>
          <w:sz w:val="24"/>
        </w:rPr>
        <w:t xml:space="preserve">The FRC’s </w:t>
      </w:r>
      <w:r w:rsidRPr="00031FA6">
        <w:rPr>
          <w:rFonts w:ascii="Times New Roman" w:hAnsi="Times New Roman" w:cs="Times New Roman"/>
          <w:i/>
          <w:sz w:val="24"/>
        </w:rPr>
        <w:t>Auditor Disciplinary Processes: Review</w:t>
      </w:r>
      <w:r w:rsidRPr="00031FA6">
        <w:rPr>
          <w:rFonts w:ascii="Times New Roman" w:hAnsi="Times New Roman" w:cs="Times New Roman"/>
          <w:sz w:val="24"/>
        </w:rPr>
        <w:t xml:space="preserve"> report was presented to the Assistant Treasurer, the Hon Stuart Robert MP on </w:t>
      </w:r>
      <w:r w:rsidR="00103C74" w:rsidRPr="00031FA6">
        <w:rPr>
          <w:rFonts w:ascii="Times New Roman" w:hAnsi="Times New Roman" w:cs="Times New Roman"/>
          <w:sz w:val="24"/>
        </w:rPr>
        <w:t xml:space="preserve">7 </w:t>
      </w:r>
      <w:r w:rsidRPr="00031FA6">
        <w:rPr>
          <w:rFonts w:ascii="Times New Roman" w:hAnsi="Times New Roman" w:cs="Times New Roman"/>
          <w:sz w:val="24"/>
        </w:rPr>
        <w:t>March 2019. The Government agrees, agrees-in-principle, or supports  1</w:t>
      </w:r>
      <w:r w:rsidR="00C21CF3">
        <w:rPr>
          <w:rFonts w:ascii="Times New Roman" w:hAnsi="Times New Roman" w:cs="Times New Roman"/>
          <w:sz w:val="24"/>
        </w:rPr>
        <w:t>7</w:t>
      </w:r>
      <w:r w:rsidRPr="00031FA6">
        <w:rPr>
          <w:rFonts w:ascii="Times New Roman" w:hAnsi="Times New Roman" w:cs="Times New Roman"/>
          <w:sz w:val="24"/>
        </w:rPr>
        <w:t xml:space="preserve"> recommendations </w:t>
      </w:r>
      <w:r w:rsidR="00370B49">
        <w:rPr>
          <w:rFonts w:ascii="Times New Roman" w:hAnsi="Times New Roman" w:cs="Times New Roman"/>
          <w:sz w:val="24"/>
        </w:rPr>
        <w:t>and does not support one recommendation</w:t>
      </w:r>
      <w:r w:rsidR="00370B49" w:rsidRPr="00031FA6">
        <w:rPr>
          <w:rFonts w:ascii="Times New Roman" w:hAnsi="Times New Roman" w:cs="Times New Roman"/>
          <w:sz w:val="24"/>
        </w:rPr>
        <w:t xml:space="preserve"> </w:t>
      </w:r>
      <w:r w:rsidRPr="00031FA6">
        <w:rPr>
          <w:rFonts w:ascii="Times New Roman" w:hAnsi="Times New Roman" w:cs="Times New Roman"/>
          <w:sz w:val="24"/>
        </w:rPr>
        <w:t xml:space="preserve">made by the FRC in its report. </w:t>
      </w:r>
    </w:p>
    <w:p w14:paraId="78626FE3" w14:textId="50AC0899" w:rsidR="00636C5A" w:rsidRPr="00031FA6" w:rsidRDefault="001C483C" w:rsidP="00636C5A">
      <w:pPr>
        <w:rPr>
          <w:rFonts w:ascii="Times New Roman" w:hAnsi="Times New Roman" w:cs="Times New Roman"/>
          <w:sz w:val="24"/>
        </w:rPr>
      </w:pPr>
      <w:r w:rsidRPr="00031FA6">
        <w:rPr>
          <w:rFonts w:ascii="Times New Roman" w:hAnsi="Times New Roman" w:cs="Times New Roman"/>
          <w:sz w:val="24"/>
        </w:rPr>
        <w:t xml:space="preserve">The Government agrees with the FRC’s </w:t>
      </w:r>
      <w:r w:rsidR="001948EE" w:rsidRPr="00031FA6">
        <w:rPr>
          <w:rFonts w:ascii="Times New Roman" w:hAnsi="Times New Roman" w:cs="Times New Roman"/>
          <w:sz w:val="24"/>
        </w:rPr>
        <w:t xml:space="preserve">view </w:t>
      </w:r>
      <w:r w:rsidRPr="00031FA6">
        <w:rPr>
          <w:rFonts w:ascii="Times New Roman" w:hAnsi="Times New Roman" w:cs="Times New Roman"/>
          <w:sz w:val="24"/>
        </w:rPr>
        <w:t xml:space="preserve">that </w:t>
      </w:r>
      <w:r w:rsidR="004F5C71">
        <w:rPr>
          <w:rFonts w:ascii="Times New Roman" w:hAnsi="Times New Roman" w:cs="Times New Roman"/>
          <w:sz w:val="24"/>
        </w:rPr>
        <w:t>the Australian Securities and Investments Commission’s (</w:t>
      </w:r>
      <w:r w:rsidRPr="00031FA6">
        <w:rPr>
          <w:rFonts w:ascii="Times New Roman" w:hAnsi="Times New Roman" w:cs="Times New Roman"/>
          <w:sz w:val="24"/>
        </w:rPr>
        <w:t>ASIC</w:t>
      </w:r>
      <w:r w:rsidR="004F5C71">
        <w:rPr>
          <w:rFonts w:ascii="Times New Roman" w:hAnsi="Times New Roman" w:cs="Times New Roman"/>
          <w:sz w:val="24"/>
        </w:rPr>
        <w:t>)</w:t>
      </w:r>
      <w:r w:rsidRPr="00031FA6">
        <w:rPr>
          <w:rFonts w:ascii="Times New Roman" w:hAnsi="Times New Roman" w:cs="Times New Roman"/>
          <w:sz w:val="24"/>
        </w:rPr>
        <w:t xml:space="preserve"> processes should be improved</w:t>
      </w:r>
      <w:r w:rsidR="001948EE" w:rsidRPr="00031FA6">
        <w:rPr>
          <w:rFonts w:ascii="Times New Roman" w:hAnsi="Times New Roman" w:cs="Times New Roman"/>
          <w:sz w:val="24"/>
        </w:rPr>
        <w:t>,</w:t>
      </w:r>
      <w:r w:rsidRPr="00031FA6">
        <w:rPr>
          <w:rFonts w:ascii="Times New Roman" w:hAnsi="Times New Roman" w:cs="Times New Roman"/>
          <w:sz w:val="24"/>
        </w:rPr>
        <w:t xml:space="preserve"> that </w:t>
      </w:r>
      <w:r w:rsidR="004F5C71">
        <w:rPr>
          <w:rFonts w:ascii="Times New Roman" w:hAnsi="Times New Roman" w:cs="Times New Roman"/>
          <w:sz w:val="24"/>
        </w:rPr>
        <w:t>the Companies Auditors Disciplinary Board (</w:t>
      </w:r>
      <w:r w:rsidRPr="00031FA6">
        <w:rPr>
          <w:rFonts w:ascii="Times New Roman" w:hAnsi="Times New Roman" w:cs="Times New Roman"/>
          <w:sz w:val="24"/>
        </w:rPr>
        <w:t>CADB</w:t>
      </w:r>
      <w:r w:rsidR="004F5C71">
        <w:rPr>
          <w:rFonts w:ascii="Times New Roman" w:hAnsi="Times New Roman" w:cs="Times New Roman"/>
          <w:sz w:val="24"/>
        </w:rPr>
        <w:t>)</w:t>
      </w:r>
      <w:r w:rsidRPr="00031FA6">
        <w:rPr>
          <w:rFonts w:ascii="Times New Roman" w:hAnsi="Times New Roman" w:cs="Times New Roman"/>
          <w:sz w:val="24"/>
        </w:rPr>
        <w:t xml:space="preserve"> </w:t>
      </w:r>
      <w:r w:rsidR="001948EE" w:rsidRPr="00031FA6">
        <w:rPr>
          <w:rFonts w:ascii="Times New Roman" w:hAnsi="Times New Roman" w:cs="Times New Roman"/>
          <w:sz w:val="24"/>
        </w:rPr>
        <w:t>conduct its affairs with less formality and technicality, and that professional accounting bodies should refer disciplinary matters to ASIC where it suspects the law may have been breached</w:t>
      </w:r>
      <w:r w:rsidRPr="00031FA6">
        <w:rPr>
          <w:rFonts w:ascii="Times New Roman" w:hAnsi="Times New Roman" w:cs="Times New Roman"/>
          <w:sz w:val="24"/>
        </w:rPr>
        <w:t xml:space="preserve">.  </w:t>
      </w:r>
    </w:p>
    <w:p w14:paraId="5361D978" w14:textId="04394397" w:rsidR="001948EE" w:rsidRPr="00031FA6" w:rsidRDefault="001948EE" w:rsidP="00975E88">
      <w:pPr>
        <w:rPr>
          <w:rFonts w:ascii="Times New Roman" w:hAnsi="Times New Roman" w:cs="Times New Roman"/>
          <w:sz w:val="24"/>
        </w:rPr>
      </w:pPr>
      <w:r w:rsidRPr="00031FA6">
        <w:rPr>
          <w:rFonts w:ascii="Times New Roman" w:hAnsi="Times New Roman" w:cs="Times New Roman"/>
          <w:sz w:val="24"/>
        </w:rPr>
        <w:t xml:space="preserve">The Government has agreed and supported several recommendations to improve the transparency of auditor disciplinary processes. </w:t>
      </w:r>
      <w:r w:rsidRPr="00C21CF3">
        <w:rPr>
          <w:rFonts w:ascii="Times New Roman" w:hAnsi="Times New Roman" w:cs="Times New Roman"/>
          <w:sz w:val="24"/>
        </w:rPr>
        <w:t>Th</w:t>
      </w:r>
      <w:r w:rsidR="00975E88">
        <w:rPr>
          <w:rFonts w:ascii="Times New Roman" w:hAnsi="Times New Roman" w:cs="Times New Roman"/>
          <w:sz w:val="24"/>
        </w:rPr>
        <w:t xml:space="preserve">is includes CADB publishing the commencement of proceedings including naming the </w:t>
      </w:r>
      <w:r w:rsidR="00A36342">
        <w:rPr>
          <w:rFonts w:ascii="Times New Roman" w:hAnsi="Times New Roman" w:cs="Times New Roman"/>
          <w:sz w:val="24"/>
        </w:rPr>
        <w:t>registered company auditor (</w:t>
      </w:r>
      <w:r w:rsidR="00975E88">
        <w:rPr>
          <w:rFonts w:ascii="Times New Roman" w:hAnsi="Times New Roman" w:cs="Times New Roman"/>
          <w:sz w:val="24"/>
        </w:rPr>
        <w:t>RCA</w:t>
      </w:r>
      <w:r w:rsidR="00A36342">
        <w:rPr>
          <w:rFonts w:ascii="Times New Roman" w:hAnsi="Times New Roman" w:cs="Times New Roman"/>
          <w:sz w:val="24"/>
        </w:rPr>
        <w:t>)</w:t>
      </w:r>
      <w:r w:rsidR="00975E88">
        <w:rPr>
          <w:rFonts w:ascii="Times New Roman" w:hAnsi="Times New Roman" w:cs="Times New Roman"/>
          <w:sz w:val="24"/>
        </w:rPr>
        <w:t xml:space="preserve"> subject to the proceedings</w:t>
      </w:r>
      <w:r w:rsidR="00EF1D84">
        <w:rPr>
          <w:rFonts w:ascii="Times New Roman" w:hAnsi="Times New Roman" w:cs="Times New Roman"/>
          <w:sz w:val="24"/>
        </w:rPr>
        <w:t xml:space="preserve"> and his or her firm</w:t>
      </w:r>
      <w:r w:rsidR="00D04002">
        <w:rPr>
          <w:rFonts w:ascii="Times New Roman" w:hAnsi="Times New Roman" w:cs="Times New Roman"/>
          <w:sz w:val="24"/>
        </w:rPr>
        <w:t>,</w:t>
      </w:r>
      <w:r w:rsidR="00975E88">
        <w:rPr>
          <w:rFonts w:ascii="Times New Roman" w:hAnsi="Times New Roman" w:cs="Times New Roman"/>
          <w:sz w:val="24"/>
        </w:rPr>
        <w:t xml:space="preserve"> </w:t>
      </w:r>
      <w:r w:rsidRPr="00C21CF3">
        <w:rPr>
          <w:rFonts w:ascii="Times New Roman" w:hAnsi="Times New Roman" w:cs="Times New Roman"/>
          <w:sz w:val="24"/>
        </w:rPr>
        <w:t>and the naming of firms that are found by ASIC’s audit inspection program to have conducted audits that do not meet Australian standards.</w:t>
      </w:r>
      <w:r w:rsidRPr="00031FA6">
        <w:rPr>
          <w:rFonts w:ascii="Times New Roman" w:hAnsi="Times New Roman" w:cs="Times New Roman"/>
          <w:sz w:val="24"/>
        </w:rPr>
        <w:t xml:space="preserve"> </w:t>
      </w:r>
    </w:p>
    <w:p w14:paraId="23565F0A" w14:textId="472C0DF3" w:rsidR="00E1032F" w:rsidRPr="00031FA6" w:rsidRDefault="001948EE" w:rsidP="001948EE">
      <w:pPr>
        <w:rPr>
          <w:rFonts w:ascii="Times New Roman" w:hAnsi="Times New Roman" w:cs="Times New Roman"/>
          <w:sz w:val="24"/>
        </w:rPr>
      </w:pPr>
      <w:r w:rsidRPr="00031FA6">
        <w:rPr>
          <w:rFonts w:ascii="Times New Roman" w:hAnsi="Times New Roman" w:cs="Times New Roman"/>
          <w:sz w:val="24"/>
        </w:rPr>
        <w:t xml:space="preserve">In agreeing to these recommendations, the Government acknowledges that effective auditor disciplinary processes should provide a general deterrent against poor audit quality or auditor misconduct, as well as the specific deterrent provided by existing mechanisms. </w:t>
      </w:r>
    </w:p>
    <w:p w14:paraId="1E4D766D" w14:textId="39D23051" w:rsidR="00C17125" w:rsidRPr="00636C5A" w:rsidRDefault="00C17125">
      <w:pPr>
        <w:rPr>
          <w:rFonts w:ascii="Times New Roman" w:hAnsi="Times New Roman"/>
          <w:sz w:val="24"/>
        </w:rPr>
        <w:sectPr w:rsidR="00C17125" w:rsidRPr="00636C5A" w:rsidSect="00E1032F">
          <w:headerReference w:type="first" r:id="rId22"/>
          <w:footerReference w:type="first" r:id="rId23"/>
          <w:pgSz w:w="11906" w:h="16838"/>
          <w:pgMar w:top="1440" w:right="1440" w:bottom="1440" w:left="1440" w:header="708" w:footer="971" w:gutter="0"/>
          <w:cols w:space="708"/>
          <w:titlePg/>
          <w:docGrid w:linePitch="360"/>
        </w:sectPr>
      </w:pPr>
      <w:r w:rsidRPr="00031FA6">
        <w:rPr>
          <w:rFonts w:ascii="Times New Roman" w:hAnsi="Times New Roman" w:cs="Times New Roman"/>
          <w:sz w:val="24"/>
        </w:rPr>
        <w:t>The Government thanks the FRC for conducting its review.</w:t>
      </w:r>
    </w:p>
    <w:tbl>
      <w:tblPr>
        <w:tblStyle w:val="TableGrid"/>
        <w:tblW w:w="15167" w:type="dxa"/>
        <w:tblInd w:w="-459" w:type="dxa"/>
        <w:tblLook w:val="04A0" w:firstRow="1" w:lastRow="0" w:firstColumn="1" w:lastColumn="0" w:noHBand="0" w:noVBand="1"/>
      </w:tblPr>
      <w:tblGrid>
        <w:gridCol w:w="851"/>
        <w:gridCol w:w="7654"/>
        <w:gridCol w:w="6662"/>
      </w:tblGrid>
      <w:tr w:rsidR="00657791" w14:paraId="6E28612E" w14:textId="77777777" w:rsidTr="00902E8F">
        <w:trPr>
          <w:cantSplit/>
        </w:trPr>
        <w:tc>
          <w:tcPr>
            <w:tcW w:w="851" w:type="dxa"/>
          </w:tcPr>
          <w:p w14:paraId="745E720A" w14:textId="77777777" w:rsidR="00657791" w:rsidRPr="00E74712" w:rsidRDefault="00657791" w:rsidP="00657791">
            <w:pPr>
              <w:pStyle w:val="OutlineNumbered1"/>
              <w:numPr>
                <w:ilvl w:val="0"/>
                <w:numId w:val="0"/>
              </w:numPr>
              <w:ind w:left="520"/>
              <w:jc w:val="left"/>
              <w:rPr>
                <w:rFonts w:ascii="Times New Roman" w:hAnsi="Times New Roman" w:cs="Times New Roman"/>
              </w:rPr>
            </w:pPr>
          </w:p>
        </w:tc>
        <w:tc>
          <w:tcPr>
            <w:tcW w:w="7654" w:type="dxa"/>
          </w:tcPr>
          <w:p w14:paraId="007BB874" w14:textId="3D189D7C" w:rsidR="00657791" w:rsidRPr="00E74712" w:rsidRDefault="00657791" w:rsidP="0067477B">
            <w:pPr>
              <w:spacing w:before="120" w:after="120"/>
              <w:jc w:val="center"/>
              <w:rPr>
                <w:rFonts w:ascii="Times New Roman" w:hAnsi="Times New Roman" w:cs="Times New Roman"/>
                <w:b/>
              </w:rPr>
            </w:pPr>
            <w:r w:rsidRPr="00E74712">
              <w:rPr>
                <w:rFonts w:ascii="Times New Roman" w:hAnsi="Times New Roman" w:cs="Times New Roman"/>
                <w:b/>
              </w:rPr>
              <w:t>Recommendation</w:t>
            </w:r>
          </w:p>
        </w:tc>
        <w:tc>
          <w:tcPr>
            <w:tcW w:w="6662" w:type="dxa"/>
          </w:tcPr>
          <w:p w14:paraId="255FFAE1" w14:textId="0C67CFDA" w:rsidR="00657791" w:rsidRPr="00E74712" w:rsidRDefault="00657791" w:rsidP="007564CD">
            <w:pPr>
              <w:spacing w:before="120" w:after="120"/>
              <w:jc w:val="center"/>
              <w:rPr>
                <w:rFonts w:ascii="Times New Roman" w:hAnsi="Times New Roman" w:cs="Times New Roman"/>
                <w:b/>
              </w:rPr>
            </w:pPr>
            <w:r w:rsidRPr="00E74712">
              <w:rPr>
                <w:rFonts w:ascii="Times New Roman" w:hAnsi="Times New Roman" w:cs="Times New Roman"/>
                <w:b/>
              </w:rPr>
              <w:t xml:space="preserve">Government </w:t>
            </w:r>
            <w:r w:rsidR="007564CD" w:rsidRPr="00E74712">
              <w:rPr>
                <w:rFonts w:ascii="Times New Roman" w:hAnsi="Times New Roman" w:cs="Times New Roman"/>
                <w:b/>
              </w:rPr>
              <w:t>r</w:t>
            </w:r>
            <w:r w:rsidRPr="00E74712">
              <w:rPr>
                <w:rFonts w:ascii="Times New Roman" w:hAnsi="Times New Roman" w:cs="Times New Roman"/>
                <w:b/>
              </w:rPr>
              <w:t>esponse</w:t>
            </w:r>
          </w:p>
        </w:tc>
      </w:tr>
      <w:tr w:rsidR="00657791" w14:paraId="0D66FFC4" w14:textId="77777777" w:rsidTr="00902E8F">
        <w:trPr>
          <w:cantSplit/>
        </w:trPr>
        <w:tc>
          <w:tcPr>
            <w:tcW w:w="15167" w:type="dxa"/>
            <w:gridSpan w:val="3"/>
            <w:shd w:val="clear" w:color="auto" w:fill="D9D9D9" w:themeFill="background1" w:themeFillShade="D9"/>
          </w:tcPr>
          <w:p w14:paraId="1E250614" w14:textId="75ADEF10" w:rsidR="00657791" w:rsidRPr="00E74712" w:rsidRDefault="00657791" w:rsidP="00657791">
            <w:pPr>
              <w:spacing w:before="120" w:after="120"/>
              <w:jc w:val="center"/>
              <w:rPr>
                <w:rFonts w:ascii="Times New Roman" w:hAnsi="Times New Roman" w:cs="Times New Roman"/>
              </w:rPr>
            </w:pPr>
            <w:r w:rsidRPr="00E74712">
              <w:rPr>
                <w:rFonts w:ascii="Times New Roman" w:hAnsi="Times New Roman" w:cs="Times New Roman"/>
              </w:rPr>
              <w:t>ASIC’s detection, investigation, and enforcement processes</w:t>
            </w:r>
          </w:p>
        </w:tc>
      </w:tr>
      <w:tr w:rsidR="00657791" w14:paraId="72C7C341" w14:textId="77777777" w:rsidTr="00902E8F">
        <w:trPr>
          <w:cantSplit/>
        </w:trPr>
        <w:tc>
          <w:tcPr>
            <w:tcW w:w="851" w:type="dxa"/>
          </w:tcPr>
          <w:p w14:paraId="1138ADF5" w14:textId="77777777" w:rsidR="00657791" w:rsidRPr="00E74712" w:rsidRDefault="00657791" w:rsidP="00657791">
            <w:pPr>
              <w:pStyle w:val="OutlineNumbered1"/>
              <w:rPr>
                <w:rFonts w:ascii="Times New Roman" w:hAnsi="Times New Roman" w:cs="Times New Roman"/>
              </w:rPr>
            </w:pPr>
          </w:p>
        </w:tc>
        <w:tc>
          <w:tcPr>
            <w:tcW w:w="7654" w:type="dxa"/>
          </w:tcPr>
          <w:p w14:paraId="436EB528" w14:textId="65A9AB19" w:rsidR="00657791" w:rsidRPr="00E74712" w:rsidRDefault="00657791" w:rsidP="007564CD">
            <w:pPr>
              <w:spacing w:before="120" w:after="120"/>
              <w:rPr>
                <w:rFonts w:ascii="Times New Roman" w:hAnsi="Times New Roman" w:cs="Times New Roman"/>
              </w:rPr>
            </w:pPr>
            <w:r w:rsidRPr="00E74712">
              <w:rPr>
                <w:rFonts w:ascii="Times New Roman" w:hAnsi="Times New Roman" w:cs="Times New Roman"/>
              </w:rPr>
              <w:t>ASIC should adopt a more structured and consistent approach to preliminary investigations of</w:t>
            </w:r>
            <w:r w:rsidR="007564CD" w:rsidRPr="00E74712">
              <w:rPr>
                <w:rFonts w:ascii="Times New Roman" w:hAnsi="Times New Roman" w:cs="Times New Roman"/>
              </w:rPr>
              <w:t xml:space="preserve"> Registered Company Auditor (</w:t>
            </w:r>
            <w:r w:rsidRPr="00E74712">
              <w:rPr>
                <w:rFonts w:ascii="Times New Roman" w:hAnsi="Times New Roman" w:cs="Times New Roman"/>
              </w:rPr>
              <w:t>RCA</w:t>
            </w:r>
            <w:r w:rsidR="007564CD" w:rsidRPr="00E74712">
              <w:rPr>
                <w:rFonts w:ascii="Times New Roman" w:hAnsi="Times New Roman" w:cs="Times New Roman"/>
              </w:rPr>
              <w:t>)</w:t>
            </w:r>
            <w:r w:rsidRPr="00E74712">
              <w:rPr>
                <w:rFonts w:ascii="Times New Roman" w:hAnsi="Times New Roman" w:cs="Times New Roman"/>
              </w:rPr>
              <w:t xml:space="preserve"> misconduct matters.</w:t>
            </w:r>
          </w:p>
        </w:tc>
        <w:tc>
          <w:tcPr>
            <w:tcW w:w="6662" w:type="dxa"/>
          </w:tcPr>
          <w:p w14:paraId="092886CB"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 </w:t>
            </w:r>
          </w:p>
        </w:tc>
      </w:tr>
      <w:tr w:rsidR="00657791" w14:paraId="47C0FAB1" w14:textId="77777777" w:rsidTr="00902E8F">
        <w:trPr>
          <w:cantSplit/>
        </w:trPr>
        <w:tc>
          <w:tcPr>
            <w:tcW w:w="851" w:type="dxa"/>
          </w:tcPr>
          <w:p w14:paraId="4739C09E" w14:textId="77777777" w:rsidR="00657791" w:rsidRPr="00E74712" w:rsidRDefault="00657791" w:rsidP="00657791">
            <w:pPr>
              <w:pStyle w:val="OutlineNumbered1"/>
              <w:rPr>
                <w:rFonts w:ascii="Times New Roman" w:hAnsi="Times New Roman" w:cs="Times New Roman"/>
              </w:rPr>
            </w:pPr>
          </w:p>
        </w:tc>
        <w:tc>
          <w:tcPr>
            <w:tcW w:w="7654" w:type="dxa"/>
          </w:tcPr>
          <w:p w14:paraId="749A8694" w14:textId="5D23F34D"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ASIC should improve its record keeping and data management systems to ensure key decision points in relation to RCA matters are easily tracked across the organisation.</w:t>
            </w:r>
          </w:p>
        </w:tc>
        <w:tc>
          <w:tcPr>
            <w:tcW w:w="6662" w:type="dxa"/>
          </w:tcPr>
          <w:p w14:paraId="6729C03E"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w:t>
            </w:r>
          </w:p>
        </w:tc>
      </w:tr>
      <w:tr w:rsidR="00657791" w14:paraId="5AD6B5D7" w14:textId="77777777" w:rsidTr="00902E8F">
        <w:trPr>
          <w:cantSplit/>
        </w:trPr>
        <w:tc>
          <w:tcPr>
            <w:tcW w:w="851" w:type="dxa"/>
          </w:tcPr>
          <w:p w14:paraId="44F742E3" w14:textId="77777777" w:rsidR="00657791" w:rsidRPr="00E74712" w:rsidRDefault="00657791" w:rsidP="00657791">
            <w:pPr>
              <w:pStyle w:val="OutlineNumbered1"/>
              <w:rPr>
                <w:rFonts w:ascii="Times New Roman" w:hAnsi="Times New Roman" w:cs="Times New Roman"/>
              </w:rPr>
            </w:pPr>
          </w:p>
        </w:tc>
        <w:tc>
          <w:tcPr>
            <w:tcW w:w="7654" w:type="dxa"/>
          </w:tcPr>
          <w:p w14:paraId="515E2EEB" w14:textId="10EF3CAC"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ASIC should evaluate whether the criteria used for resourcing a RCA misconduct matter for enforcement action appropriately recognises the market</w:t>
            </w:r>
            <w:r w:rsidRPr="00E74712">
              <w:rPr>
                <w:rFonts w:ascii="Cambria Math" w:hAnsi="Cambria Math" w:cs="Cambria Math"/>
              </w:rPr>
              <w:t>‐</w:t>
            </w:r>
            <w:r w:rsidRPr="00E74712">
              <w:rPr>
                <w:rFonts w:ascii="Times New Roman" w:hAnsi="Times New Roman" w:cs="Times New Roman"/>
              </w:rPr>
              <w:t>wide benefits of improving audit quality.</w:t>
            </w:r>
          </w:p>
        </w:tc>
        <w:tc>
          <w:tcPr>
            <w:tcW w:w="6662" w:type="dxa"/>
          </w:tcPr>
          <w:p w14:paraId="253AC650"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w:t>
            </w:r>
          </w:p>
        </w:tc>
      </w:tr>
      <w:tr w:rsidR="00657791" w14:paraId="6DAD935A" w14:textId="77777777" w:rsidTr="00902E8F">
        <w:trPr>
          <w:cantSplit/>
          <w:trHeight w:val="740"/>
        </w:trPr>
        <w:tc>
          <w:tcPr>
            <w:tcW w:w="851" w:type="dxa"/>
          </w:tcPr>
          <w:p w14:paraId="2557E868" w14:textId="77777777" w:rsidR="00657791" w:rsidRPr="00E74712" w:rsidRDefault="00657791" w:rsidP="00657791">
            <w:pPr>
              <w:pStyle w:val="OutlineNumbered1"/>
              <w:rPr>
                <w:rFonts w:ascii="Times New Roman" w:hAnsi="Times New Roman" w:cs="Times New Roman"/>
              </w:rPr>
            </w:pPr>
          </w:p>
        </w:tc>
        <w:tc>
          <w:tcPr>
            <w:tcW w:w="7654" w:type="dxa"/>
          </w:tcPr>
          <w:p w14:paraId="7A0ADD95" w14:textId="23364C75" w:rsidR="00657791" w:rsidRPr="00E74712" w:rsidRDefault="00657791" w:rsidP="0067477B">
            <w:pPr>
              <w:tabs>
                <w:tab w:val="left" w:pos="3225"/>
              </w:tabs>
              <w:spacing w:before="120" w:after="120"/>
              <w:rPr>
                <w:rFonts w:ascii="Times New Roman" w:hAnsi="Times New Roman" w:cs="Times New Roman"/>
              </w:rPr>
            </w:pPr>
            <w:r w:rsidRPr="00E74712">
              <w:rPr>
                <w:rFonts w:ascii="Times New Roman" w:hAnsi="Times New Roman" w:cs="Times New Roman"/>
              </w:rPr>
              <w:t>ASIC should outline how their ‘why not litigate’ enforcement strategy wi</w:t>
            </w:r>
            <w:r w:rsidR="00D334CC" w:rsidRPr="00E74712">
              <w:rPr>
                <w:rFonts w:ascii="Times New Roman" w:hAnsi="Times New Roman" w:cs="Times New Roman"/>
              </w:rPr>
              <w:t>ll apply to misconduct by RCAs.</w:t>
            </w:r>
          </w:p>
        </w:tc>
        <w:tc>
          <w:tcPr>
            <w:tcW w:w="6662" w:type="dxa"/>
          </w:tcPr>
          <w:p w14:paraId="0DE38D3A"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w:t>
            </w:r>
          </w:p>
        </w:tc>
      </w:tr>
      <w:tr w:rsidR="00657791" w14:paraId="4785D380" w14:textId="77777777" w:rsidTr="00902E8F">
        <w:trPr>
          <w:cantSplit/>
        </w:trPr>
        <w:tc>
          <w:tcPr>
            <w:tcW w:w="851" w:type="dxa"/>
          </w:tcPr>
          <w:p w14:paraId="263A8680" w14:textId="77777777" w:rsidR="00657791" w:rsidRPr="00E74712" w:rsidRDefault="00657791" w:rsidP="00657791">
            <w:pPr>
              <w:pStyle w:val="OutlineNumbered1"/>
              <w:rPr>
                <w:rFonts w:ascii="Times New Roman" w:hAnsi="Times New Roman" w:cs="Times New Roman"/>
              </w:rPr>
            </w:pPr>
          </w:p>
        </w:tc>
        <w:tc>
          <w:tcPr>
            <w:tcW w:w="7654" w:type="dxa"/>
          </w:tcPr>
          <w:p w14:paraId="36FAE71F" w14:textId="2C4D22BD"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Barriers to ASIC making a factual public announcement when a RCA voluntarily cancels his or her registration while under investigation should be identified and addressed.</w:t>
            </w:r>
          </w:p>
        </w:tc>
        <w:tc>
          <w:tcPr>
            <w:tcW w:w="6662" w:type="dxa"/>
          </w:tcPr>
          <w:p w14:paraId="5CC18F78" w14:textId="475994D3" w:rsidR="004C3EF7" w:rsidRDefault="00C21CF3" w:rsidP="00C21CF3">
            <w:pPr>
              <w:spacing w:before="120" w:after="120"/>
              <w:rPr>
                <w:rFonts w:ascii="Times New Roman" w:hAnsi="Times New Roman" w:cs="Times New Roman"/>
              </w:rPr>
            </w:pPr>
            <w:r w:rsidRPr="00E74712">
              <w:rPr>
                <w:rFonts w:ascii="Times New Roman" w:hAnsi="Times New Roman" w:cs="Times New Roman"/>
              </w:rPr>
              <w:t xml:space="preserve">The Government </w:t>
            </w:r>
            <w:r w:rsidR="004C3EF7" w:rsidRPr="00902E8F">
              <w:rPr>
                <w:rFonts w:ascii="Times New Roman" w:hAnsi="Times New Roman" w:cs="Times New Roman"/>
                <w:b/>
              </w:rPr>
              <w:t>does</w:t>
            </w:r>
            <w:r w:rsidR="004C3EF7">
              <w:rPr>
                <w:rFonts w:ascii="Times New Roman" w:hAnsi="Times New Roman" w:cs="Times New Roman"/>
                <w:b/>
              </w:rPr>
              <w:t xml:space="preserve"> not agree</w:t>
            </w:r>
            <w:r w:rsidR="004C3EF7">
              <w:rPr>
                <w:rFonts w:ascii="Times New Roman" w:hAnsi="Times New Roman" w:cs="Times New Roman"/>
              </w:rPr>
              <w:t xml:space="preserve"> </w:t>
            </w:r>
            <w:r w:rsidR="00682AF7">
              <w:rPr>
                <w:rFonts w:ascii="Times New Roman" w:hAnsi="Times New Roman" w:cs="Times New Roman"/>
              </w:rPr>
              <w:t xml:space="preserve">that ASIC should be empowered to make an announcement when a RCA voluntarily cancels his or her registration while under investigation, and </w:t>
            </w:r>
            <w:r w:rsidRPr="00902E8F">
              <w:rPr>
                <w:rFonts w:ascii="Times New Roman" w:hAnsi="Times New Roman" w:cs="Times New Roman"/>
              </w:rPr>
              <w:t>only supports ASIC</w:t>
            </w:r>
            <w:r>
              <w:rPr>
                <w:rFonts w:ascii="Times New Roman" w:hAnsi="Times New Roman" w:cs="Times New Roman"/>
              </w:rPr>
              <w:t xml:space="preserve"> publishing </w:t>
            </w:r>
            <w:r w:rsidR="004C3EF7">
              <w:rPr>
                <w:rFonts w:ascii="Times New Roman" w:hAnsi="Times New Roman" w:cs="Times New Roman"/>
              </w:rPr>
              <w:t xml:space="preserve">such </w:t>
            </w:r>
            <w:r>
              <w:rPr>
                <w:rFonts w:ascii="Times New Roman" w:hAnsi="Times New Roman" w:cs="Times New Roman"/>
              </w:rPr>
              <w:t xml:space="preserve">a notice where a RCA consents to this announcement. </w:t>
            </w:r>
          </w:p>
          <w:p w14:paraId="52815AD1" w14:textId="6FD3AC5D" w:rsidR="00657791" w:rsidRPr="00E74712" w:rsidRDefault="00C21CF3" w:rsidP="00975E88">
            <w:pPr>
              <w:spacing w:before="120" w:after="120"/>
              <w:rPr>
                <w:rFonts w:ascii="Times New Roman" w:hAnsi="Times New Roman" w:cs="Times New Roman"/>
              </w:rPr>
            </w:pPr>
            <w:r>
              <w:rPr>
                <w:rFonts w:ascii="Times New Roman" w:hAnsi="Times New Roman" w:cs="Times New Roman"/>
              </w:rPr>
              <w:t>The Government notes</w:t>
            </w:r>
            <w:r w:rsidR="005B4324">
              <w:rPr>
                <w:rFonts w:ascii="Times New Roman" w:hAnsi="Times New Roman" w:cs="Times New Roman"/>
              </w:rPr>
              <w:t xml:space="preserve"> that naming RCAs while under investigation could cause reputational damage to the RCA without due process.</w:t>
            </w:r>
            <w:r w:rsidR="00682AF7">
              <w:rPr>
                <w:rFonts w:ascii="Times New Roman" w:hAnsi="Times New Roman" w:cs="Times New Roman"/>
              </w:rPr>
              <w:t xml:space="preserve"> Instead</w:t>
            </w:r>
            <w:r w:rsidR="005B4324">
              <w:rPr>
                <w:rFonts w:ascii="Times New Roman" w:hAnsi="Times New Roman" w:cs="Times New Roman"/>
              </w:rPr>
              <w:t>, the Government</w:t>
            </w:r>
            <w:r>
              <w:rPr>
                <w:rFonts w:ascii="Times New Roman" w:hAnsi="Times New Roman" w:cs="Times New Roman"/>
              </w:rPr>
              <w:t xml:space="preserve"> considers expanding CADB’s disciplinary powers </w:t>
            </w:r>
            <w:r w:rsidR="00682AF7">
              <w:rPr>
                <w:rFonts w:ascii="Times New Roman" w:hAnsi="Times New Roman" w:cs="Times New Roman"/>
              </w:rPr>
              <w:t xml:space="preserve">and remit beyond the extension proposed in </w:t>
            </w:r>
            <w:r>
              <w:rPr>
                <w:rFonts w:ascii="Times New Roman" w:hAnsi="Times New Roman" w:cs="Times New Roman"/>
              </w:rPr>
              <w:t>recommendation 8</w:t>
            </w:r>
            <w:r w:rsidR="00DF4777" w:rsidRPr="00DF4777">
              <w:rPr>
                <w:rFonts w:ascii="Times New Roman" w:hAnsi="Times New Roman" w:cs="Times New Roman"/>
              </w:rPr>
              <w:t xml:space="preserve"> to include auditors that have been deregistered would strengthen the disciplinary process and ensure</w:t>
            </w:r>
            <w:r w:rsidR="00682C47">
              <w:rPr>
                <w:rFonts w:ascii="Times New Roman" w:hAnsi="Times New Roman" w:cs="Times New Roman"/>
              </w:rPr>
              <w:t>s</w:t>
            </w:r>
            <w:r w:rsidR="00DF4777" w:rsidRPr="00DF4777">
              <w:rPr>
                <w:rFonts w:ascii="Times New Roman" w:hAnsi="Times New Roman" w:cs="Times New Roman"/>
              </w:rPr>
              <w:t xml:space="preserve"> disciplinary action can still take place even where an auditor voluntarily cancels his or her registration.</w:t>
            </w:r>
          </w:p>
        </w:tc>
      </w:tr>
      <w:tr w:rsidR="00657791" w14:paraId="1836B4BF" w14:textId="77777777" w:rsidTr="00902E8F">
        <w:trPr>
          <w:cantSplit/>
        </w:trPr>
        <w:tc>
          <w:tcPr>
            <w:tcW w:w="15167" w:type="dxa"/>
            <w:gridSpan w:val="3"/>
            <w:shd w:val="clear" w:color="auto" w:fill="D9D9D9" w:themeFill="background1" w:themeFillShade="D9"/>
          </w:tcPr>
          <w:p w14:paraId="740FAB97" w14:textId="73358843" w:rsidR="00657791" w:rsidRPr="00E74712" w:rsidRDefault="00657791" w:rsidP="00902E8F">
            <w:pPr>
              <w:keepNext/>
              <w:spacing w:before="120" w:after="120"/>
              <w:jc w:val="center"/>
              <w:rPr>
                <w:rFonts w:ascii="Times New Roman" w:hAnsi="Times New Roman" w:cs="Times New Roman"/>
              </w:rPr>
            </w:pPr>
            <w:r w:rsidRPr="00E74712">
              <w:rPr>
                <w:rFonts w:ascii="Times New Roman" w:hAnsi="Times New Roman" w:cs="Times New Roman"/>
              </w:rPr>
              <w:t>Companies Auditors Disciplinary Board (CADB)</w:t>
            </w:r>
          </w:p>
        </w:tc>
      </w:tr>
      <w:tr w:rsidR="00657791" w14:paraId="23A46547" w14:textId="77777777" w:rsidTr="00902E8F">
        <w:trPr>
          <w:cantSplit/>
        </w:trPr>
        <w:tc>
          <w:tcPr>
            <w:tcW w:w="851" w:type="dxa"/>
          </w:tcPr>
          <w:p w14:paraId="1CD55AED" w14:textId="77777777" w:rsidR="00657791" w:rsidRPr="00E74712" w:rsidRDefault="00657791" w:rsidP="00902E8F">
            <w:pPr>
              <w:pStyle w:val="OutlineNumbered1"/>
              <w:keepNext/>
              <w:rPr>
                <w:rFonts w:ascii="Times New Roman" w:hAnsi="Times New Roman" w:cs="Times New Roman"/>
              </w:rPr>
            </w:pPr>
          </w:p>
        </w:tc>
        <w:tc>
          <w:tcPr>
            <w:tcW w:w="7654" w:type="dxa"/>
          </w:tcPr>
          <w:p w14:paraId="05C0C4A7" w14:textId="279F213F" w:rsidR="00657791" w:rsidRPr="00E74712" w:rsidRDefault="00657791" w:rsidP="00902E8F">
            <w:pPr>
              <w:keepNext/>
              <w:tabs>
                <w:tab w:val="left" w:pos="1365"/>
              </w:tabs>
              <w:spacing w:before="120" w:after="120"/>
              <w:rPr>
                <w:rFonts w:ascii="Times New Roman" w:hAnsi="Times New Roman" w:cs="Times New Roman"/>
              </w:rPr>
            </w:pPr>
            <w:r w:rsidRPr="00E74712">
              <w:rPr>
                <w:rFonts w:ascii="Times New Roman" w:hAnsi="Times New Roman" w:cs="Times New Roman"/>
              </w:rPr>
              <w:t>CADB and ASIC should work to adopt a less formal and a more timely approach to the carriage of CADB matters. This should include a review of CADB’s p</w:t>
            </w:r>
            <w:r w:rsidR="00D334CC" w:rsidRPr="00E74712">
              <w:rPr>
                <w:rFonts w:ascii="Times New Roman" w:hAnsi="Times New Roman" w:cs="Times New Roman"/>
              </w:rPr>
              <w:t>ractice and procedures manuals.</w:t>
            </w:r>
          </w:p>
        </w:tc>
        <w:tc>
          <w:tcPr>
            <w:tcW w:w="6662" w:type="dxa"/>
          </w:tcPr>
          <w:p w14:paraId="4F44F629" w14:textId="77777777" w:rsidR="00657791" w:rsidRPr="00E74712" w:rsidRDefault="00657791" w:rsidP="00902E8F">
            <w:pPr>
              <w:keepNext/>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CADB and ASIC</w:t>
            </w:r>
            <w:r w:rsidRPr="00E74712">
              <w:rPr>
                <w:rFonts w:ascii="Times New Roman" w:hAnsi="Times New Roman" w:cs="Times New Roman"/>
              </w:rPr>
              <w:t xml:space="preserve"> acting on this recommendation.</w:t>
            </w:r>
          </w:p>
        </w:tc>
      </w:tr>
      <w:tr w:rsidR="00657791" w14:paraId="27C5A277" w14:textId="77777777" w:rsidTr="00902E8F">
        <w:trPr>
          <w:cantSplit/>
        </w:trPr>
        <w:tc>
          <w:tcPr>
            <w:tcW w:w="851" w:type="dxa"/>
          </w:tcPr>
          <w:p w14:paraId="6BFD5357" w14:textId="77777777" w:rsidR="00657791" w:rsidRPr="00E74712" w:rsidRDefault="00657791" w:rsidP="00657791">
            <w:pPr>
              <w:pStyle w:val="OutlineNumbered1"/>
              <w:rPr>
                <w:rFonts w:ascii="Times New Roman" w:hAnsi="Times New Roman" w:cs="Times New Roman"/>
              </w:rPr>
            </w:pPr>
          </w:p>
        </w:tc>
        <w:tc>
          <w:tcPr>
            <w:tcW w:w="7654" w:type="dxa"/>
          </w:tcPr>
          <w:p w14:paraId="74CE1B39" w14:textId="3A83C3DA"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The Government should consider revising provisions so that CADB may publish the commencement of proceedings including naming the RCA subject to the proceedings and his or her firm.</w:t>
            </w:r>
          </w:p>
        </w:tc>
        <w:tc>
          <w:tcPr>
            <w:tcW w:w="6662" w:type="dxa"/>
          </w:tcPr>
          <w:p w14:paraId="21F75005" w14:textId="30D0B743" w:rsidR="00657791" w:rsidRPr="00E74712" w:rsidRDefault="00657791" w:rsidP="00103C74">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agrees</w:t>
            </w:r>
            <w:r w:rsidRPr="00E74712">
              <w:rPr>
                <w:rFonts w:ascii="Times New Roman" w:hAnsi="Times New Roman" w:cs="Times New Roman"/>
              </w:rPr>
              <w:t xml:space="preserve"> with this recommendation </w:t>
            </w:r>
            <w:r w:rsidR="00052EB6" w:rsidRPr="00E74712">
              <w:rPr>
                <w:rFonts w:ascii="Times New Roman" w:hAnsi="Times New Roman" w:cs="Times New Roman"/>
              </w:rPr>
              <w:t>and will consider revising provisions</w:t>
            </w:r>
            <w:r w:rsidR="00213E6A" w:rsidRPr="00E74712">
              <w:rPr>
                <w:rFonts w:ascii="Times New Roman" w:hAnsi="Times New Roman" w:cs="Times New Roman"/>
              </w:rPr>
              <w:t xml:space="preserve">, </w:t>
            </w:r>
            <w:r w:rsidR="00052EB6" w:rsidRPr="00E74712">
              <w:rPr>
                <w:rFonts w:ascii="Times New Roman" w:hAnsi="Times New Roman" w:cs="Times New Roman"/>
              </w:rPr>
              <w:t xml:space="preserve">with regard to ensuring that proceedings are publicised only </w:t>
            </w:r>
            <w:r w:rsidR="00213E6A" w:rsidRPr="00E74712">
              <w:rPr>
                <w:rFonts w:ascii="Times New Roman" w:hAnsi="Times New Roman" w:cs="Times New Roman"/>
              </w:rPr>
              <w:t>whe</w:t>
            </w:r>
            <w:r w:rsidR="00052EB6" w:rsidRPr="00E74712">
              <w:rPr>
                <w:rFonts w:ascii="Times New Roman" w:hAnsi="Times New Roman" w:cs="Times New Roman"/>
              </w:rPr>
              <w:t>n</w:t>
            </w:r>
            <w:r w:rsidR="00213E6A" w:rsidRPr="00E74712">
              <w:rPr>
                <w:rFonts w:ascii="Times New Roman" w:hAnsi="Times New Roman" w:cs="Times New Roman"/>
              </w:rPr>
              <w:t xml:space="preserve"> </w:t>
            </w:r>
            <w:r w:rsidR="00052EB6" w:rsidRPr="00E74712">
              <w:rPr>
                <w:rFonts w:ascii="Times New Roman" w:hAnsi="Times New Roman" w:cs="Times New Roman"/>
              </w:rPr>
              <w:t xml:space="preserve">it is </w:t>
            </w:r>
            <w:r w:rsidR="00213E6A" w:rsidRPr="00E74712">
              <w:rPr>
                <w:rFonts w:ascii="Times New Roman" w:hAnsi="Times New Roman" w:cs="Times New Roman"/>
              </w:rPr>
              <w:t>appropriate to do so.</w:t>
            </w:r>
          </w:p>
        </w:tc>
      </w:tr>
      <w:tr w:rsidR="00657791" w14:paraId="026EB86B" w14:textId="77777777" w:rsidTr="00902E8F">
        <w:trPr>
          <w:cantSplit/>
        </w:trPr>
        <w:tc>
          <w:tcPr>
            <w:tcW w:w="851" w:type="dxa"/>
          </w:tcPr>
          <w:p w14:paraId="16F55A1E" w14:textId="77777777" w:rsidR="00657791" w:rsidRPr="00E74712" w:rsidRDefault="00657791" w:rsidP="00657791">
            <w:pPr>
              <w:pStyle w:val="OutlineNumbered1"/>
              <w:rPr>
                <w:rFonts w:ascii="Times New Roman" w:hAnsi="Times New Roman" w:cs="Times New Roman"/>
              </w:rPr>
            </w:pPr>
          </w:p>
        </w:tc>
        <w:tc>
          <w:tcPr>
            <w:tcW w:w="7654" w:type="dxa"/>
          </w:tcPr>
          <w:p w14:paraId="63F6701E" w14:textId="2ADDB855"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The Government should consider providing CADB with additional disciplinary powers, including powers to suspend registration during a CADB proceeding and impose fines against individual RCAs or the firms that employ them, if adverse findings are made.</w:t>
            </w:r>
          </w:p>
        </w:tc>
        <w:tc>
          <w:tcPr>
            <w:tcW w:w="6662" w:type="dxa"/>
          </w:tcPr>
          <w:p w14:paraId="4CE6ECD2" w14:textId="77777777" w:rsidR="00657791"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agrees</w:t>
            </w:r>
            <w:r w:rsidR="00052EB6" w:rsidRPr="00E74712">
              <w:rPr>
                <w:rFonts w:ascii="Times New Roman" w:hAnsi="Times New Roman" w:cs="Times New Roman"/>
                <w:b/>
              </w:rPr>
              <w:t>-in-principle</w:t>
            </w:r>
            <w:r w:rsidRPr="00E74712">
              <w:rPr>
                <w:rFonts w:ascii="Times New Roman" w:hAnsi="Times New Roman" w:cs="Times New Roman"/>
              </w:rPr>
              <w:t xml:space="preserve"> with this recommendation and will </w:t>
            </w:r>
            <w:r w:rsidR="00E1032F" w:rsidRPr="00E74712">
              <w:rPr>
                <w:rFonts w:ascii="Times New Roman" w:hAnsi="Times New Roman" w:cs="Times New Roman"/>
              </w:rPr>
              <w:t>consult on reforms to provide</w:t>
            </w:r>
            <w:r w:rsidRPr="00E74712">
              <w:rPr>
                <w:rFonts w:ascii="Times New Roman" w:hAnsi="Times New Roman" w:cs="Times New Roman"/>
              </w:rPr>
              <w:t xml:space="preserve"> CADB with additional</w:t>
            </w:r>
            <w:r w:rsidR="00F25EF0" w:rsidRPr="00E74712">
              <w:rPr>
                <w:rFonts w:ascii="Times New Roman" w:hAnsi="Times New Roman" w:cs="Times New Roman"/>
              </w:rPr>
              <w:t xml:space="preserve"> disciplinary</w:t>
            </w:r>
            <w:r w:rsidRPr="00E74712">
              <w:rPr>
                <w:rFonts w:ascii="Times New Roman" w:hAnsi="Times New Roman" w:cs="Times New Roman"/>
              </w:rPr>
              <w:t xml:space="preserve"> powers. </w:t>
            </w:r>
          </w:p>
          <w:p w14:paraId="00381448" w14:textId="2434767C" w:rsidR="004C3EF7" w:rsidRPr="00E74712" w:rsidRDefault="006967EF" w:rsidP="0086649E">
            <w:pPr>
              <w:spacing w:before="120" w:after="120"/>
              <w:rPr>
                <w:rFonts w:ascii="Times New Roman" w:hAnsi="Times New Roman" w:cs="Times New Roman"/>
              </w:rPr>
            </w:pPr>
            <w:r>
              <w:rPr>
                <w:rFonts w:ascii="Times New Roman" w:hAnsi="Times New Roman" w:cs="Times New Roman"/>
              </w:rPr>
              <w:t>Additionally, t</w:t>
            </w:r>
            <w:r w:rsidR="004C3EF7">
              <w:rPr>
                <w:rFonts w:ascii="Times New Roman" w:hAnsi="Times New Roman" w:cs="Times New Roman"/>
              </w:rPr>
              <w:t xml:space="preserve">he Government </w:t>
            </w:r>
            <w:r>
              <w:rPr>
                <w:rFonts w:ascii="Times New Roman" w:hAnsi="Times New Roman" w:cs="Times New Roman"/>
              </w:rPr>
              <w:t xml:space="preserve">will </w:t>
            </w:r>
            <w:r w:rsidR="00DF4777">
              <w:rPr>
                <w:rFonts w:ascii="Times New Roman" w:hAnsi="Times New Roman" w:cs="Times New Roman"/>
              </w:rPr>
              <w:t xml:space="preserve">consult on reforms to </w:t>
            </w:r>
            <w:r w:rsidR="00EE5429">
              <w:rPr>
                <w:rFonts w:ascii="Times New Roman" w:hAnsi="Times New Roman" w:cs="Times New Roman"/>
              </w:rPr>
              <w:t>expand</w:t>
            </w:r>
            <w:r w:rsidR="00FA2494">
              <w:rPr>
                <w:rFonts w:ascii="Times New Roman" w:hAnsi="Times New Roman" w:cs="Times New Roman"/>
              </w:rPr>
              <w:t xml:space="preserve"> CADB</w:t>
            </w:r>
            <w:r w:rsidR="00682AF7">
              <w:rPr>
                <w:rFonts w:ascii="Times New Roman" w:hAnsi="Times New Roman" w:cs="Times New Roman"/>
              </w:rPr>
              <w:t>’s remit and</w:t>
            </w:r>
            <w:r w:rsidR="00FA2494">
              <w:rPr>
                <w:rFonts w:ascii="Times New Roman" w:hAnsi="Times New Roman" w:cs="Times New Roman"/>
              </w:rPr>
              <w:t xml:space="preserve"> power</w:t>
            </w:r>
            <w:r w:rsidR="00EE5429">
              <w:rPr>
                <w:rFonts w:ascii="Times New Roman" w:hAnsi="Times New Roman" w:cs="Times New Roman"/>
              </w:rPr>
              <w:t>s</w:t>
            </w:r>
            <w:r w:rsidR="00682AF7">
              <w:rPr>
                <w:rFonts w:ascii="Times New Roman" w:hAnsi="Times New Roman" w:cs="Times New Roman"/>
              </w:rPr>
              <w:t xml:space="preserve"> to allow</w:t>
            </w:r>
            <w:r w:rsidR="00EE5429">
              <w:rPr>
                <w:rFonts w:ascii="Times New Roman" w:hAnsi="Times New Roman" w:cs="Times New Roman"/>
              </w:rPr>
              <w:t xml:space="preserve"> </w:t>
            </w:r>
            <w:r w:rsidR="00DF4777">
              <w:rPr>
                <w:rFonts w:ascii="Times New Roman" w:hAnsi="Times New Roman" w:cs="Times New Roman"/>
              </w:rPr>
              <w:t>CADB</w:t>
            </w:r>
            <w:r w:rsidR="00EE5429">
              <w:rPr>
                <w:rFonts w:ascii="Times New Roman" w:hAnsi="Times New Roman" w:cs="Times New Roman"/>
              </w:rPr>
              <w:t xml:space="preserve"> </w:t>
            </w:r>
            <w:r w:rsidR="00FA2494">
              <w:rPr>
                <w:rFonts w:ascii="Times New Roman" w:hAnsi="Times New Roman" w:cs="Times New Roman"/>
              </w:rPr>
              <w:t>to impose sanctions against individuals for conduct while they were a RCA</w:t>
            </w:r>
            <w:r w:rsidR="00682AF7">
              <w:rPr>
                <w:rFonts w:ascii="Times New Roman" w:hAnsi="Times New Roman" w:cs="Times New Roman"/>
              </w:rPr>
              <w:t>,</w:t>
            </w:r>
            <w:r w:rsidR="00FA2494">
              <w:rPr>
                <w:rFonts w:ascii="Times New Roman" w:hAnsi="Times New Roman" w:cs="Times New Roman"/>
              </w:rPr>
              <w:t xml:space="preserve"> even if they are no longer</w:t>
            </w:r>
            <w:r w:rsidR="00FD33B7">
              <w:rPr>
                <w:rFonts w:ascii="Times New Roman" w:hAnsi="Times New Roman" w:cs="Times New Roman"/>
              </w:rPr>
              <w:t xml:space="preserve"> registered</w:t>
            </w:r>
            <w:r w:rsidR="00FA2494">
              <w:rPr>
                <w:rFonts w:ascii="Times New Roman" w:hAnsi="Times New Roman" w:cs="Times New Roman"/>
              </w:rPr>
              <w:t xml:space="preserve">. This </w:t>
            </w:r>
            <w:r w:rsidR="00682AF7">
              <w:rPr>
                <w:rFonts w:ascii="Times New Roman" w:hAnsi="Times New Roman" w:cs="Times New Roman"/>
              </w:rPr>
              <w:t xml:space="preserve">reform would </w:t>
            </w:r>
            <w:r w:rsidR="00FA2494">
              <w:rPr>
                <w:rFonts w:ascii="Times New Roman" w:hAnsi="Times New Roman" w:cs="Times New Roman"/>
              </w:rPr>
              <w:t xml:space="preserve">ensure disciplinary action can still take place even where a RCA voluntarily cancels his or her registration. </w:t>
            </w:r>
          </w:p>
        </w:tc>
      </w:tr>
      <w:tr w:rsidR="00657791" w14:paraId="06A07F0F" w14:textId="77777777" w:rsidTr="00902E8F">
        <w:trPr>
          <w:cantSplit/>
        </w:trPr>
        <w:tc>
          <w:tcPr>
            <w:tcW w:w="851" w:type="dxa"/>
          </w:tcPr>
          <w:p w14:paraId="72786071" w14:textId="77777777" w:rsidR="00657791" w:rsidRPr="00E74712" w:rsidRDefault="00657791" w:rsidP="00657791">
            <w:pPr>
              <w:pStyle w:val="OutlineNumbered1"/>
              <w:rPr>
                <w:rFonts w:ascii="Times New Roman" w:hAnsi="Times New Roman" w:cs="Times New Roman"/>
              </w:rPr>
            </w:pPr>
          </w:p>
        </w:tc>
        <w:tc>
          <w:tcPr>
            <w:tcW w:w="7654" w:type="dxa"/>
          </w:tcPr>
          <w:p w14:paraId="6CA5A56E" w14:textId="5E25FD6E"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If a greater number of applications are made to CADB as a result of current and upcoming reforms, the Government should consider whether CADB will require additional administrative support to ensure matters are dealt with.</w:t>
            </w:r>
          </w:p>
        </w:tc>
        <w:tc>
          <w:tcPr>
            <w:tcW w:w="6662" w:type="dxa"/>
          </w:tcPr>
          <w:p w14:paraId="29C85CE5" w14:textId="6B0F9A6A" w:rsidR="00657791" w:rsidRPr="00E74712" w:rsidRDefault="00657791" w:rsidP="007564CD">
            <w:pPr>
              <w:spacing w:before="120" w:after="120"/>
              <w:rPr>
                <w:rFonts w:ascii="Times New Roman" w:hAnsi="Times New Roman" w:cs="Times New Roman"/>
              </w:rPr>
            </w:pPr>
            <w:r w:rsidRPr="00E74712">
              <w:rPr>
                <w:rFonts w:ascii="Times New Roman" w:hAnsi="Times New Roman" w:cs="Times New Roman"/>
              </w:rPr>
              <w:t xml:space="preserve">The Government </w:t>
            </w:r>
            <w:r w:rsidR="001D4B9C" w:rsidRPr="00E74712">
              <w:rPr>
                <w:rFonts w:ascii="Times New Roman" w:hAnsi="Times New Roman" w:cs="Times New Roman"/>
                <w:b/>
              </w:rPr>
              <w:t>agrees</w:t>
            </w:r>
            <w:r w:rsidR="001D4B9C" w:rsidRPr="00E74712">
              <w:rPr>
                <w:rFonts w:ascii="Times New Roman" w:hAnsi="Times New Roman" w:cs="Times New Roman"/>
              </w:rPr>
              <w:t xml:space="preserve"> with this recommendation and </w:t>
            </w:r>
            <w:r w:rsidRPr="00E74712">
              <w:rPr>
                <w:rFonts w:ascii="Times New Roman" w:hAnsi="Times New Roman" w:cs="Times New Roman"/>
                <w:b/>
              </w:rPr>
              <w:t>will monitor</w:t>
            </w:r>
            <w:r w:rsidRPr="00E74712">
              <w:rPr>
                <w:rFonts w:ascii="Times New Roman" w:hAnsi="Times New Roman" w:cs="Times New Roman"/>
              </w:rPr>
              <w:t xml:space="preserve"> CADB’s workload to </w:t>
            </w:r>
            <w:r w:rsidR="000D55F6" w:rsidRPr="00E74712">
              <w:rPr>
                <w:rFonts w:ascii="Times New Roman" w:hAnsi="Times New Roman" w:cs="Times New Roman"/>
              </w:rPr>
              <w:t>consider</w:t>
            </w:r>
            <w:r w:rsidRPr="00E74712">
              <w:rPr>
                <w:rFonts w:ascii="Times New Roman" w:hAnsi="Times New Roman" w:cs="Times New Roman"/>
              </w:rPr>
              <w:t xml:space="preserve"> </w:t>
            </w:r>
            <w:r w:rsidR="000D55F6" w:rsidRPr="00E74712">
              <w:rPr>
                <w:rFonts w:ascii="Times New Roman" w:hAnsi="Times New Roman" w:cs="Times New Roman"/>
              </w:rPr>
              <w:t xml:space="preserve">whether it </w:t>
            </w:r>
            <w:r w:rsidRPr="00E74712">
              <w:rPr>
                <w:rFonts w:ascii="Times New Roman" w:hAnsi="Times New Roman" w:cs="Times New Roman"/>
              </w:rPr>
              <w:t xml:space="preserve">is appropriately resourced. </w:t>
            </w:r>
          </w:p>
        </w:tc>
      </w:tr>
      <w:tr w:rsidR="00657791" w14:paraId="185FAD25" w14:textId="77777777" w:rsidTr="00902E8F">
        <w:trPr>
          <w:cantSplit/>
        </w:trPr>
        <w:tc>
          <w:tcPr>
            <w:tcW w:w="15167" w:type="dxa"/>
            <w:gridSpan w:val="3"/>
            <w:shd w:val="clear" w:color="auto" w:fill="D9D9D9" w:themeFill="background1" w:themeFillShade="D9"/>
          </w:tcPr>
          <w:p w14:paraId="563708F6" w14:textId="67A27F0A" w:rsidR="00657791" w:rsidRPr="00E74712" w:rsidRDefault="00657791" w:rsidP="00657791">
            <w:pPr>
              <w:spacing w:before="120" w:after="120"/>
              <w:jc w:val="center"/>
              <w:rPr>
                <w:rFonts w:ascii="Times New Roman" w:hAnsi="Times New Roman" w:cs="Times New Roman"/>
              </w:rPr>
            </w:pPr>
            <w:r w:rsidRPr="00E74712">
              <w:rPr>
                <w:rFonts w:ascii="Times New Roman" w:hAnsi="Times New Roman" w:cs="Times New Roman"/>
              </w:rPr>
              <w:t>ASIC’s Audit Inspection Program</w:t>
            </w:r>
          </w:p>
        </w:tc>
      </w:tr>
      <w:tr w:rsidR="00657791" w14:paraId="1E8E055A" w14:textId="77777777" w:rsidTr="00902E8F">
        <w:trPr>
          <w:cantSplit/>
        </w:trPr>
        <w:tc>
          <w:tcPr>
            <w:tcW w:w="851" w:type="dxa"/>
          </w:tcPr>
          <w:p w14:paraId="3EF006BB" w14:textId="77777777" w:rsidR="00657791" w:rsidRPr="00E74712" w:rsidRDefault="00657791" w:rsidP="00657791">
            <w:pPr>
              <w:pStyle w:val="OutlineNumbered1"/>
              <w:rPr>
                <w:rFonts w:ascii="Times New Roman" w:hAnsi="Times New Roman" w:cs="Times New Roman"/>
              </w:rPr>
            </w:pPr>
          </w:p>
        </w:tc>
        <w:tc>
          <w:tcPr>
            <w:tcW w:w="7654" w:type="dxa"/>
          </w:tcPr>
          <w:p w14:paraId="29822DDF" w14:textId="0393249B"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Potential breaches of the law and failures of RCAs to meet their obligations identified in ASIC’s Audit Inspection Program should be reviewed for possible enforcement action.</w:t>
            </w:r>
          </w:p>
        </w:tc>
        <w:tc>
          <w:tcPr>
            <w:tcW w:w="6662" w:type="dxa"/>
          </w:tcPr>
          <w:p w14:paraId="02269E28"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w:t>
            </w:r>
          </w:p>
        </w:tc>
      </w:tr>
      <w:tr w:rsidR="00657791" w14:paraId="2193B973" w14:textId="77777777" w:rsidTr="00902E8F">
        <w:trPr>
          <w:cantSplit/>
        </w:trPr>
        <w:tc>
          <w:tcPr>
            <w:tcW w:w="851" w:type="dxa"/>
          </w:tcPr>
          <w:p w14:paraId="3E152926" w14:textId="77777777" w:rsidR="00657791" w:rsidRPr="00E74712" w:rsidRDefault="00657791" w:rsidP="00657791">
            <w:pPr>
              <w:pStyle w:val="OutlineNumbered1"/>
              <w:rPr>
                <w:rFonts w:ascii="Times New Roman" w:hAnsi="Times New Roman" w:cs="Times New Roman"/>
              </w:rPr>
            </w:pPr>
          </w:p>
        </w:tc>
        <w:tc>
          <w:tcPr>
            <w:tcW w:w="7654" w:type="dxa"/>
          </w:tcPr>
          <w:p w14:paraId="4970169A" w14:textId="5099F9E8"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ASIC should publish the results of audit inspections in greater detail, including naming firms.</w:t>
            </w:r>
          </w:p>
        </w:tc>
        <w:tc>
          <w:tcPr>
            <w:tcW w:w="6662" w:type="dxa"/>
          </w:tcPr>
          <w:p w14:paraId="6C1FF8AB" w14:textId="545BB299" w:rsidR="00657791" w:rsidRPr="00E74712" w:rsidRDefault="00657791" w:rsidP="0002367A">
            <w:pPr>
              <w:spacing w:before="120" w:after="120"/>
              <w:rPr>
                <w:rFonts w:ascii="Times New Roman" w:hAnsi="Times New Roman" w:cs="Times New Roman"/>
              </w:rPr>
            </w:pPr>
            <w:r w:rsidRPr="00E74712">
              <w:rPr>
                <w:rFonts w:ascii="Times New Roman" w:hAnsi="Times New Roman" w:cs="Times New Roman"/>
              </w:rPr>
              <w:t xml:space="preserve">The Government </w:t>
            </w:r>
            <w:r w:rsidR="0002367A" w:rsidRPr="00E74712">
              <w:rPr>
                <w:rFonts w:ascii="Times New Roman" w:hAnsi="Times New Roman" w:cs="Times New Roman"/>
              </w:rPr>
              <w:t xml:space="preserve">notes that while this is a recommendation for ASIC, it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w:t>
            </w:r>
            <w:r w:rsidR="0002367A" w:rsidRPr="00E74712">
              <w:rPr>
                <w:rFonts w:ascii="Times New Roman" w:hAnsi="Times New Roman" w:cs="Times New Roman"/>
              </w:rPr>
              <w:t xml:space="preserve"> should it choose to do so</w:t>
            </w:r>
            <w:r w:rsidRPr="00E74712">
              <w:rPr>
                <w:rFonts w:ascii="Times New Roman" w:hAnsi="Times New Roman" w:cs="Times New Roman"/>
              </w:rPr>
              <w:t>.</w:t>
            </w:r>
          </w:p>
        </w:tc>
      </w:tr>
      <w:tr w:rsidR="00657791" w14:paraId="447F340B" w14:textId="77777777" w:rsidTr="00902E8F">
        <w:trPr>
          <w:cantSplit/>
        </w:trPr>
        <w:tc>
          <w:tcPr>
            <w:tcW w:w="851" w:type="dxa"/>
          </w:tcPr>
          <w:p w14:paraId="4251BA7E" w14:textId="77777777" w:rsidR="00657791" w:rsidRPr="00E74712" w:rsidRDefault="00657791" w:rsidP="00657791">
            <w:pPr>
              <w:pStyle w:val="OutlineNumbered1"/>
              <w:rPr>
                <w:rFonts w:ascii="Times New Roman" w:hAnsi="Times New Roman" w:cs="Times New Roman"/>
              </w:rPr>
            </w:pPr>
          </w:p>
        </w:tc>
        <w:tc>
          <w:tcPr>
            <w:tcW w:w="7654" w:type="dxa"/>
          </w:tcPr>
          <w:p w14:paraId="3B3E3809" w14:textId="03B7EED3"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ASIC be given the power to compel remediation of defective audits, alongside the power to publish notices when this occurs.</w:t>
            </w:r>
          </w:p>
        </w:tc>
        <w:tc>
          <w:tcPr>
            <w:tcW w:w="6662" w:type="dxa"/>
          </w:tcPr>
          <w:p w14:paraId="5CF88124" w14:textId="28FF7DB8" w:rsidR="00657791" w:rsidRPr="00E74712" w:rsidRDefault="00657791" w:rsidP="00657791">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agrees-in-principle</w:t>
            </w:r>
            <w:r w:rsidRPr="00E74712">
              <w:rPr>
                <w:rFonts w:ascii="Times New Roman" w:hAnsi="Times New Roman" w:cs="Times New Roman"/>
              </w:rPr>
              <w:t xml:space="preserve"> with this recommendation and will consult on reforms to empower ASIC to compel remediation of defective audits.</w:t>
            </w:r>
          </w:p>
        </w:tc>
      </w:tr>
      <w:tr w:rsidR="00657791" w14:paraId="2726407C" w14:textId="77777777" w:rsidTr="00902E8F">
        <w:trPr>
          <w:cantSplit/>
        </w:trPr>
        <w:tc>
          <w:tcPr>
            <w:tcW w:w="851" w:type="dxa"/>
          </w:tcPr>
          <w:p w14:paraId="22E4DB7C" w14:textId="77777777" w:rsidR="00657791" w:rsidRPr="00E74712" w:rsidRDefault="00657791" w:rsidP="00657791">
            <w:pPr>
              <w:pStyle w:val="OutlineNumbered1"/>
              <w:rPr>
                <w:rFonts w:ascii="Times New Roman" w:hAnsi="Times New Roman" w:cs="Times New Roman"/>
              </w:rPr>
            </w:pPr>
          </w:p>
        </w:tc>
        <w:tc>
          <w:tcPr>
            <w:tcW w:w="7654" w:type="dxa"/>
          </w:tcPr>
          <w:p w14:paraId="5EFC6E66" w14:textId="2D11E758"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ASIC should consider the division of resources between audit inspection and financial reporting surveillance work to ensure that ASIC’s resources are being used effectively to ensure good RCA audit quality.</w:t>
            </w:r>
          </w:p>
        </w:tc>
        <w:tc>
          <w:tcPr>
            <w:tcW w:w="6662" w:type="dxa"/>
          </w:tcPr>
          <w:p w14:paraId="1524282F"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w:t>
            </w:r>
            <w:r w:rsidRPr="00E74712">
              <w:rPr>
                <w:rFonts w:ascii="Times New Roman" w:hAnsi="Times New Roman" w:cs="Times New Roman"/>
              </w:rPr>
              <w:t xml:space="preserve"> acting on this recommendation.</w:t>
            </w:r>
          </w:p>
        </w:tc>
      </w:tr>
      <w:tr w:rsidR="00657791" w14:paraId="381C63EF" w14:textId="77777777" w:rsidTr="00902E8F">
        <w:trPr>
          <w:cantSplit/>
        </w:trPr>
        <w:tc>
          <w:tcPr>
            <w:tcW w:w="851" w:type="dxa"/>
          </w:tcPr>
          <w:p w14:paraId="64C319F9" w14:textId="77777777" w:rsidR="00657791" w:rsidRPr="00E74712" w:rsidRDefault="00657791" w:rsidP="00657791">
            <w:pPr>
              <w:pStyle w:val="OutlineNumbered1"/>
              <w:rPr>
                <w:rFonts w:ascii="Times New Roman" w:hAnsi="Times New Roman" w:cs="Times New Roman"/>
              </w:rPr>
            </w:pPr>
          </w:p>
        </w:tc>
        <w:tc>
          <w:tcPr>
            <w:tcW w:w="7654" w:type="dxa"/>
          </w:tcPr>
          <w:p w14:paraId="01848B60" w14:textId="7BE60030"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ASIC and the F</w:t>
            </w:r>
            <w:r w:rsidR="00D334CC" w:rsidRPr="00E74712">
              <w:rPr>
                <w:rFonts w:ascii="Times New Roman" w:hAnsi="Times New Roman" w:cs="Times New Roman"/>
              </w:rPr>
              <w:t>inancial Reporting Council (F</w:t>
            </w:r>
            <w:r w:rsidRPr="00E74712">
              <w:rPr>
                <w:rFonts w:ascii="Times New Roman" w:hAnsi="Times New Roman" w:cs="Times New Roman"/>
              </w:rPr>
              <w:t>RC</w:t>
            </w:r>
            <w:r w:rsidR="00D334CC" w:rsidRPr="00E74712">
              <w:rPr>
                <w:rFonts w:ascii="Times New Roman" w:hAnsi="Times New Roman" w:cs="Times New Roman"/>
              </w:rPr>
              <w:t>)</w:t>
            </w:r>
            <w:r w:rsidRPr="00E74712">
              <w:rPr>
                <w:rFonts w:ascii="Times New Roman" w:hAnsi="Times New Roman" w:cs="Times New Roman"/>
              </w:rPr>
              <w:t xml:space="preserve"> will work together to implement the Parliamentary Joint Committee on Corporations and Financial Services report Oversight of ASIC, the Takeovers Panel and the Corporations Legislation No.1 of the 45th Parliament recommendation to devise a study that would track audit quality over time.</w:t>
            </w:r>
          </w:p>
        </w:tc>
        <w:tc>
          <w:tcPr>
            <w:tcW w:w="6662" w:type="dxa"/>
          </w:tcPr>
          <w:p w14:paraId="54E38970" w14:textId="77777777"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ASIC and the FRC</w:t>
            </w:r>
            <w:r w:rsidRPr="00E74712">
              <w:rPr>
                <w:rFonts w:ascii="Times New Roman" w:hAnsi="Times New Roman" w:cs="Times New Roman"/>
              </w:rPr>
              <w:t xml:space="preserve"> acting on this recommendation.</w:t>
            </w:r>
          </w:p>
        </w:tc>
      </w:tr>
      <w:tr w:rsidR="00657791" w14:paraId="11CD7256" w14:textId="77777777" w:rsidTr="00902E8F">
        <w:trPr>
          <w:cantSplit/>
        </w:trPr>
        <w:tc>
          <w:tcPr>
            <w:tcW w:w="15167" w:type="dxa"/>
            <w:gridSpan w:val="3"/>
            <w:shd w:val="clear" w:color="auto" w:fill="D9D9D9" w:themeFill="background1" w:themeFillShade="D9"/>
          </w:tcPr>
          <w:p w14:paraId="34328963" w14:textId="4ECC2136" w:rsidR="00657791" w:rsidRPr="00E74712" w:rsidRDefault="00657791" w:rsidP="00D334CC">
            <w:pPr>
              <w:keepNext/>
              <w:spacing w:before="120" w:after="120"/>
              <w:jc w:val="center"/>
              <w:rPr>
                <w:rFonts w:ascii="Times New Roman" w:hAnsi="Times New Roman" w:cs="Times New Roman"/>
              </w:rPr>
            </w:pPr>
            <w:r w:rsidRPr="00E74712">
              <w:rPr>
                <w:rFonts w:ascii="Times New Roman" w:hAnsi="Times New Roman" w:cs="Times New Roman"/>
              </w:rPr>
              <w:t>Professional accounting bodies</w:t>
            </w:r>
          </w:p>
        </w:tc>
      </w:tr>
      <w:tr w:rsidR="00657791" w14:paraId="33651CEF" w14:textId="77777777" w:rsidTr="00902E8F">
        <w:trPr>
          <w:cantSplit/>
        </w:trPr>
        <w:tc>
          <w:tcPr>
            <w:tcW w:w="851" w:type="dxa"/>
          </w:tcPr>
          <w:p w14:paraId="5397A47D" w14:textId="77777777" w:rsidR="00657791" w:rsidRPr="00E74712" w:rsidRDefault="00657791" w:rsidP="00657791">
            <w:pPr>
              <w:pStyle w:val="OutlineNumbered1"/>
              <w:rPr>
                <w:rFonts w:ascii="Times New Roman" w:hAnsi="Times New Roman" w:cs="Times New Roman"/>
              </w:rPr>
            </w:pPr>
          </w:p>
        </w:tc>
        <w:tc>
          <w:tcPr>
            <w:tcW w:w="7654" w:type="dxa"/>
          </w:tcPr>
          <w:p w14:paraId="11A7F8C7" w14:textId="4ED4C508"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Professional bodies should refer to ASIC all matters relating to RCAs where there appears there may be a breach of the law.</w:t>
            </w:r>
          </w:p>
        </w:tc>
        <w:tc>
          <w:tcPr>
            <w:tcW w:w="6662" w:type="dxa"/>
          </w:tcPr>
          <w:p w14:paraId="73FFB239" w14:textId="77777777" w:rsidR="00657791" w:rsidRPr="00E74712" w:rsidRDefault="00657791" w:rsidP="0030632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professional accounting bodies</w:t>
            </w:r>
            <w:r w:rsidRPr="00E74712">
              <w:rPr>
                <w:rFonts w:ascii="Times New Roman" w:hAnsi="Times New Roman" w:cs="Times New Roman"/>
              </w:rPr>
              <w:t xml:space="preserve"> acting on this recommendation.</w:t>
            </w:r>
          </w:p>
        </w:tc>
      </w:tr>
      <w:tr w:rsidR="00657791" w14:paraId="3F6A7528" w14:textId="77777777" w:rsidTr="00902E8F">
        <w:trPr>
          <w:cantSplit/>
        </w:trPr>
        <w:tc>
          <w:tcPr>
            <w:tcW w:w="851" w:type="dxa"/>
          </w:tcPr>
          <w:p w14:paraId="338287B6" w14:textId="77777777" w:rsidR="00657791" w:rsidRPr="00E74712" w:rsidRDefault="00657791" w:rsidP="00657791">
            <w:pPr>
              <w:pStyle w:val="OutlineNumbered1"/>
              <w:rPr>
                <w:rFonts w:ascii="Times New Roman" w:hAnsi="Times New Roman" w:cs="Times New Roman"/>
              </w:rPr>
            </w:pPr>
          </w:p>
        </w:tc>
        <w:tc>
          <w:tcPr>
            <w:tcW w:w="7654" w:type="dxa"/>
          </w:tcPr>
          <w:p w14:paraId="4913C9C6" w14:textId="0CA1BAA8"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Professional bodies should accurately record all disciplinary processes, including those that lead to no substantive action, and the reasons for the decision. They should also distinguish between lack of evidence that conduct was inappropriate and lack of evidence because information was not provided.</w:t>
            </w:r>
          </w:p>
        </w:tc>
        <w:tc>
          <w:tcPr>
            <w:tcW w:w="6662" w:type="dxa"/>
          </w:tcPr>
          <w:p w14:paraId="17309FAD" w14:textId="31FD95DE"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professional accounting bodies</w:t>
            </w:r>
            <w:r w:rsidRPr="00E74712">
              <w:rPr>
                <w:rFonts w:ascii="Times New Roman" w:hAnsi="Times New Roman" w:cs="Times New Roman"/>
              </w:rPr>
              <w:t xml:space="preserve"> acting on this recommendation.</w:t>
            </w:r>
          </w:p>
        </w:tc>
      </w:tr>
      <w:tr w:rsidR="00657791" w14:paraId="0335948F" w14:textId="77777777" w:rsidTr="00902E8F">
        <w:trPr>
          <w:cantSplit/>
        </w:trPr>
        <w:tc>
          <w:tcPr>
            <w:tcW w:w="851" w:type="dxa"/>
          </w:tcPr>
          <w:p w14:paraId="3EF42E55" w14:textId="77777777" w:rsidR="00657791" w:rsidRPr="00E74712" w:rsidRDefault="00657791" w:rsidP="00657791">
            <w:pPr>
              <w:pStyle w:val="OutlineNumbered1"/>
              <w:rPr>
                <w:rFonts w:ascii="Times New Roman" w:hAnsi="Times New Roman" w:cs="Times New Roman"/>
              </w:rPr>
            </w:pPr>
          </w:p>
        </w:tc>
        <w:tc>
          <w:tcPr>
            <w:tcW w:w="7654" w:type="dxa"/>
          </w:tcPr>
          <w:p w14:paraId="721D5A0B" w14:textId="5FB1B185"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Professional bodies should formalise processes for advising each other and the FRC of their disciplinary proceedings, particularly regarding RCAs.</w:t>
            </w:r>
          </w:p>
        </w:tc>
        <w:tc>
          <w:tcPr>
            <w:tcW w:w="6662" w:type="dxa"/>
          </w:tcPr>
          <w:p w14:paraId="6B144204" w14:textId="5658FC81"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professional accounting bodies</w:t>
            </w:r>
            <w:r w:rsidRPr="00E74712">
              <w:rPr>
                <w:rFonts w:ascii="Times New Roman" w:hAnsi="Times New Roman" w:cs="Times New Roman"/>
              </w:rPr>
              <w:t xml:space="preserve"> acting on this recommendation.</w:t>
            </w:r>
          </w:p>
        </w:tc>
      </w:tr>
      <w:tr w:rsidR="00657791" w14:paraId="6AE6A135" w14:textId="77777777" w:rsidTr="00902E8F">
        <w:trPr>
          <w:cantSplit/>
          <w:trHeight w:val="70"/>
        </w:trPr>
        <w:tc>
          <w:tcPr>
            <w:tcW w:w="851" w:type="dxa"/>
          </w:tcPr>
          <w:p w14:paraId="66375856" w14:textId="77777777" w:rsidR="00657791" w:rsidRPr="00E74712" w:rsidRDefault="00657791" w:rsidP="00657791">
            <w:pPr>
              <w:pStyle w:val="OutlineNumbered1"/>
              <w:rPr>
                <w:rFonts w:ascii="Times New Roman" w:hAnsi="Times New Roman" w:cs="Times New Roman"/>
              </w:rPr>
            </w:pPr>
          </w:p>
        </w:tc>
        <w:tc>
          <w:tcPr>
            <w:tcW w:w="7654" w:type="dxa"/>
          </w:tcPr>
          <w:p w14:paraId="3990E43A" w14:textId="659A2982"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Professional bodies should publicly report statistics on the number of complaints they receive, and the number of complaints that do not proceed.</w:t>
            </w:r>
          </w:p>
        </w:tc>
        <w:tc>
          <w:tcPr>
            <w:tcW w:w="6662" w:type="dxa"/>
          </w:tcPr>
          <w:p w14:paraId="06905A58" w14:textId="42AF8DDC" w:rsidR="00657791" w:rsidRPr="00E74712" w:rsidRDefault="00657791" w:rsidP="0067477B">
            <w:pPr>
              <w:spacing w:before="120" w:after="120"/>
              <w:rPr>
                <w:rFonts w:ascii="Times New Roman" w:hAnsi="Times New Roman" w:cs="Times New Roman"/>
              </w:rPr>
            </w:pPr>
            <w:r w:rsidRPr="00E74712">
              <w:rPr>
                <w:rFonts w:ascii="Times New Roman" w:hAnsi="Times New Roman" w:cs="Times New Roman"/>
              </w:rPr>
              <w:t xml:space="preserve">The Government </w:t>
            </w:r>
            <w:r w:rsidRPr="00E74712">
              <w:rPr>
                <w:rFonts w:ascii="Times New Roman" w:hAnsi="Times New Roman" w:cs="Times New Roman"/>
                <w:b/>
              </w:rPr>
              <w:t>supports professional accounting bodies</w:t>
            </w:r>
            <w:r w:rsidRPr="00E74712">
              <w:rPr>
                <w:rFonts w:ascii="Times New Roman" w:hAnsi="Times New Roman" w:cs="Times New Roman"/>
              </w:rPr>
              <w:t xml:space="preserve"> acting on this recommendation.</w:t>
            </w:r>
          </w:p>
        </w:tc>
      </w:tr>
    </w:tbl>
    <w:p w14:paraId="2CC353C9" w14:textId="77777777" w:rsidR="00A4212A" w:rsidRDefault="00A4212A"/>
    <w:sectPr w:rsidR="00A4212A" w:rsidSect="00A85A76">
      <w:pgSz w:w="16838" w:h="11906" w:orient="landscape"/>
      <w:pgMar w:top="1440" w:right="1440" w:bottom="1440" w:left="1440" w:header="708" w:footer="9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13267" w14:textId="77777777" w:rsidR="00233FD0" w:rsidRDefault="00233FD0" w:rsidP="001B6451">
      <w:pPr>
        <w:spacing w:after="0" w:line="240" w:lineRule="auto"/>
      </w:pPr>
      <w:r>
        <w:separator/>
      </w:r>
    </w:p>
  </w:endnote>
  <w:endnote w:type="continuationSeparator" w:id="0">
    <w:p w14:paraId="4C0CE550" w14:textId="77777777" w:rsidR="00233FD0" w:rsidRDefault="00233FD0" w:rsidP="001B6451">
      <w:pPr>
        <w:spacing w:after="0" w:line="240" w:lineRule="auto"/>
      </w:pPr>
      <w:r>
        <w:continuationSeparator/>
      </w:r>
    </w:p>
  </w:endnote>
  <w:endnote w:type="continuationNotice" w:id="1">
    <w:p w14:paraId="3A3B0E4E" w14:textId="77777777" w:rsidR="00233FD0" w:rsidRDefault="00233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E4157" w14:textId="77777777" w:rsidR="00AC62C3" w:rsidRDefault="00AC6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251005"/>
      <w:docPartObj>
        <w:docPartGallery w:val="Page Numbers (Bottom of Page)"/>
        <w:docPartUnique/>
      </w:docPartObj>
    </w:sdtPr>
    <w:sdtEndPr>
      <w:rPr>
        <w:noProof/>
      </w:rPr>
    </w:sdtEndPr>
    <w:sdtContent>
      <w:p w14:paraId="726EE2EA" w14:textId="3647B5B8" w:rsidR="00233FD0" w:rsidRDefault="00233FD0">
        <w:pPr>
          <w:pStyle w:val="Footer"/>
          <w:jc w:val="right"/>
        </w:pPr>
        <w:r>
          <w:fldChar w:fldCharType="begin"/>
        </w:r>
        <w:r>
          <w:instrText xml:space="preserve"> PAGE   \* MERGEFORMAT </w:instrText>
        </w:r>
        <w:r>
          <w:fldChar w:fldCharType="separate"/>
        </w:r>
        <w:r w:rsidR="00A41FE0">
          <w:rPr>
            <w:noProof/>
          </w:rPr>
          <w:t>5</w:t>
        </w:r>
        <w:r>
          <w:rPr>
            <w:noProof/>
          </w:rPr>
          <w:fldChar w:fldCharType="end"/>
        </w:r>
      </w:p>
    </w:sdtContent>
  </w:sdt>
  <w:p w14:paraId="1A8A5669" w14:textId="77777777" w:rsidR="00233FD0" w:rsidRDefault="00233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F0AA6" w14:textId="03942984" w:rsidR="00233FD0" w:rsidRPr="00F7348C" w:rsidRDefault="00AC62C3" w:rsidP="00A85A76">
    <w:pPr>
      <w:pStyle w:val="Footer"/>
      <w:jc w:val="right"/>
      <w:rPr>
        <w:rFonts w:ascii="Times New Roman" w:hAnsi="Times New Roman" w:cs="Times New Roman"/>
        <w:sz w:val="32"/>
        <w:szCs w:val="32"/>
      </w:rPr>
    </w:pPr>
    <w:r w:rsidRPr="00AC62C3">
      <w:rPr>
        <w:rFonts w:ascii="Times New Roman" w:hAnsi="Times New Roman" w:cs="Times New Roman"/>
        <w:sz w:val="32"/>
        <w:szCs w:val="32"/>
      </w:rPr>
      <w:t>April</w:t>
    </w:r>
    <w:r w:rsidR="00233FD0" w:rsidRPr="00AC62C3">
      <w:rPr>
        <w:rFonts w:ascii="Times New Roman" w:hAnsi="Times New Roman" w:cs="Times New Roman"/>
        <w:sz w:val="32"/>
        <w:szCs w:val="32"/>
      </w:rPr>
      <w:t xml:space="preserve"> 2019</w:t>
    </w:r>
  </w:p>
  <w:p w14:paraId="733CFC39" w14:textId="77777777" w:rsidR="00233FD0" w:rsidRDefault="00233F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516929"/>
      <w:docPartObj>
        <w:docPartGallery w:val="Page Numbers (Bottom of Page)"/>
        <w:docPartUnique/>
      </w:docPartObj>
    </w:sdtPr>
    <w:sdtEndPr>
      <w:rPr>
        <w:noProof/>
      </w:rPr>
    </w:sdtEndPr>
    <w:sdtContent>
      <w:p w14:paraId="44C01521" w14:textId="563BAB1A" w:rsidR="00233FD0" w:rsidRDefault="00233FD0">
        <w:pPr>
          <w:pStyle w:val="Footer"/>
          <w:jc w:val="right"/>
        </w:pPr>
        <w:r>
          <w:fldChar w:fldCharType="begin"/>
        </w:r>
        <w:r>
          <w:instrText xml:space="preserve"> PAGE   \* MERGEFORMAT </w:instrText>
        </w:r>
        <w:r>
          <w:fldChar w:fldCharType="separate"/>
        </w:r>
        <w:r w:rsidR="00A41FE0">
          <w:rPr>
            <w:noProof/>
          </w:rPr>
          <w:t>4</w:t>
        </w:r>
        <w:r>
          <w:rPr>
            <w:noProof/>
          </w:rPr>
          <w:fldChar w:fldCharType="end"/>
        </w:r>
      </w:p>
    </w:sdtContent>
  </w:sdt>
  <w:p w14:paraId="59AEED2A" w14:textId="77777777" w:rsidR="00233FD0" w:rsidRDefault="00233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3489E" w14:textId="77777777" w:rsidR="00233FD0" w:rsidRDefault="00233FD0" w:rsidP="001B6451">
      <w:pPr>
        <w:spacing w:after="0" w:line="240" w:lineRule="auto"/>
      </w:pPr>
      <w:r>
        <w:separator/>
      </w:r>
    </w:p>
  </w:footnote>
  <w:footnote w:type="continuationSeparator" w:id="0">
    <w:p w14:paraId="76115C3A" w14:textId="77777777" w:rsidR="00233FD0" w:rsidRDefault="00233FD0" w:rsidP="001B6451">
      <w:pPr>
        <w:spacing w:after="0" w:line="240" w:lineRule="auto"/>
      </w:pPr>
      <w:r>
        <w:continuationSeparator/>
      </w:r>
    </w:p>
  </w:footnote>
  <w:footnote w:type="continuationNotice" w:id="1">
    <w:p w14:paraId="53615173" w14:textId="77777777" w:rsidR="00233FD0" w:rsidRDefault="00233F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5D74" w14:textId="77777777" w:rsidR="00AC62C3" w:rsidRDefault="00AC6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4CF67" w14:textId="77777777" w:rsidR="00AC62C3" w:rsidRDefault="00AC62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AF90" w14:textId="77777777" w:rsidR="00AC62C3" w:rsidRDefault="00AC62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B1734" w14:textId="77777777" w:rsidR="00233FD0" w:rsidRDefault="00233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1906"/>
    <w:multiLevelType w:val="multilevel"/>
    <w:tmpl w:val="08DC37E8"/>
    <w:name w:val="StandardNumberedList"/>
    <w:lvl w:ilvl="0">
      <w:start w:val="1"/>
      <w:numFmt w:val="decimal"/>
      <w:pStyle w:val="OutlineNumbered1"/>
      <w:lvlText w:val="%1."/>
      <w:lvlJc w:val="left"/>
      <w:pPr>
        <w:tabs>
          <w:tab w:val="num" w:pos="520"/>
        </w:tabs>
        <w:ind w:left="520" w:hanging="520"/>
      </w:pPr>
      <w:rPr>
        <w:b w:val="0"/>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7B"/>
    <w:rsid w:val="00022E36"/>
    <w:rsid w:val="0002367A"/>
    <w:rsid w:val="000254AC"/>
    <w:rsid w:val="00031FA6"/>
    <w:rsid w:val="00041F8D"/>
    <w:rsid w:val="00052EB6"/>
    <w:rsid w:val="000666C8"/>
    <w:rsid w:val="000C5B04"/>
    <w:rsid w:val="000C77B5"/>
    <w:rsid w:val="000D55F6"/>
    <w:rsid w:val="000F1CF3"/>
    <w:rsid w:val="000F67F1"/>
    <w:rsid w:val="000F6C91"/>
    <w:rsid w:val="00103C74"/>
    <w:rsid w:val="001427E9"/>
    <w:rsid w:val="00160016"/>
    <w:rsid w:val="00160C14"/>
    <w:rsid w:val="00180206"/>
    <w:rsid w:val="001948EE"/>
    <w:rsid w:val="001B6451"/>
    <w:rsid w:val="001B78B9"/>
    <w:rsid w:val="001C0B96"/>
    <w:rsid w:val="001C483C"/>
    <w:rsid w:val="001C5439"/>
    <w:rsid w:val="001C6F4D"/>
    <w:rsid w:val="001D42B4"/>
    <w:rsid w:val="001D4B9C"/>
    <w:rsid w:val="00213E6A"/>
    <w:rsid w:val="00225D3C"/>
    <w:rsid w:val="00233FD0"/>
    <w:rsid w:val="002A0079"/>
    <w:rsid w:val="002D108E"/>
    <w:rsid w:val="0030632B"/>
    <w:rsid w:val="00307FCE"/>
    <w:rsid w:val="003204E6"/>
    <w:rsid w:val="00370294"/>
    <w:rsid w:val="00370B49"/>
    <w:rsid w:val="00397814"/>
    <w:rsid w:val="003B3E5C"/>
    <w:rsid w:val="004105C6"/>
    <w:rsid w:val="00461F65"/>
    <w:rsid w:val="00475F19"/>
    <w:rsid w:val="004A736D"/>
    <w:rsid w:val="004C3EF7"/>
    <w:rsid w:val="004D071B"/>
    <w:rsid w:val="004F5C71"/>
    <w:rsid w:val="0050443D"/>
    <w:rsid w:val="00522D9C"/>
    <w:rsid w:val="005262F3"/>
    <w:rsid w:val="00532B3D"/>
    <w:rsid w:val="0056085E"/>
    <w:rsid w:val="005A2B3B"/>
    <w:rsid w:val="005A6761"/>
    <w:rsid w:val="005B4324"/>
    <w:rsid w:val="005E3BE1"/>
    <w:rsid w:val="00636C5A"/>
    <w:rsid w:val="006469A1"/>
    <w:rsid w:val="00657791"/>
    <w:rsid w:val="0067477B"/>
    <w:rsid w:val="00682AF7"/>
    <w:rsid w:val="00682C47"/>
    <w:rsid w:val="006967EF"/>
    <w:rsid w:val="006B5864"/>
    <w:rsid w:val="006C7E0C"/>
    <w:rsid w:val="006F2BA6"/>
    <w:rsid w:val="006F5B64"/>
    <w:rsid w:val="00755074"/>
    <w:rsid w:val="007564CD"/>
    <w:rsid w:val="00767D71"/>
    <w:rsid w:val="007824CA"/>
    <w:rsid w:val="007A5E92"/>
    <w:rsid w:val="007B20C3"/>
    <w:rsid w:val="007C29FE"/>
    <w:rsid w:val="007D3870"/>
    <w:rsid w:val="007D551E"/>
    <w:rsid w:val="008172F5"/>
    <w:rsid w:val="00846307"/>
    <w:rsid w:val="0086649E"/>
    <w:rsid w:val="00870C58"/>
    <w:rsid w:val="0089724E"/>
    <w:rsid w:val="00902E8F"/>
    <w:rsid w:val="00933555"/>
    <w:rsid w:val="00975E88"/>
    <w:rsid w:val="00977092"/>
    <w:rsid w:val="009B5F8B"/>
    <w:rsid w:val="009E51AE"/>
    <w:rsid w:val="009F0568"/>
    <w:rsid w:val="00A059ED"/>
    <w:rsid w:val="00A16A17"/>
    <w:rsid w:val="00A327C3"/>
    <w:rsid w:val="00A36342"/>
    <w:rsid w:val="00A41FE0"/>
    <w:rsid w:val="00A420FD"/>
    <w:rsid w:val="00A4212A"/>
    <w:rsid w:val="00A75C02"/>
    <w:rsid w:val="00A85A76"/>
    <w:rsid w:val="00A90ACA"/>
    <w:rsid w:val="00AB42FF"/>
    <w:rsid w:val="00AC62C3"/>
    <w:rsid w:val="00AD16BE"/>
    <w:rsid w:val="00AE31D5"/>
    <w:rsid w:val="00B00DAF"/>
    <w:rsid w:val="00B05521"/>
    <w:rsid w:val="00B05BC8"/>
    <w:rsid w:val="00B06628"/>
    <w:rsid w:val="00B120B0"/>
    <w:rsid w:val="00B17B96"/>
    <w:rsid w:val="00B3381F"/>
    <w:rsid w:val="00B43ECC"/>
    <w:rsid w:val="00B45EA0"/>
    <w:rsid w:val="00BE422B"/>
    <w:rsid w:val="00BE5059"/>
    <w:rsid w:val="00BF2F6E"/>
    <w:rsid w:val="00BF3476"/>
    <w:rsid w:val="00C1109F"/>
    <w:rsid w:val="00C17125"/>
    <w:rsid w:val="00C21CF3"/>
    <w:rsid w:val="00CA1485"/>
    <w:rsid w:val="00CB6211"/>
    <w:rsid w:val="00CC7D75"/>
    <w:rsid w:val="00CF1932"/>
    <w:rsid w:val="00D04002"/>
    <w:rsid w:val="00D21A64"/>
    <w:rsid w:val="00D334CC"/>
    <w:rsid w:val="00D96BAB"/>
    <w:rsid w:val="00DB21D3"/>
    <w:rsid w:val="00DE382C"/>
    <w:rsid w:val="00DF4777"/>
    <w:rsid w:val="00E01566"/>
    <w:rsid w:val="00E1032F"/>
    <w:rsid w:val="00E22660"/>
    <w:rsid w:val="00E325D0"/>
    <w:rsid w:val="00E45C36"/>
    <w:rsid w:val="00E74712"/>
    <w:rsid w:val="00E90DF4"/>
    <w:rsid w:val="00EC02CE"/>
    <w:rsid w:val="00ED03AA"/>
    <w:rsid w:val="00EE091D"/>
    <w:rsid w:val="00EE5429"/>
    <w:rsid w:val="00EF1D84"/>
    <w:rsid w:val="00F07BF2"/>
    <w:rsid w:val="00F12E9D"/>
    <w:rsid w:val="00F21495"/>
    <w:rsid w:val="00F25EF0"/>
    <w:rsid w:val="00F7348C"/>
    <w:rsid w:val="00F81E58"/>
    <w:rsid w:val="00F90BBC"/>
    <w:rsid w:val="00FA2494"/>
    <w:rsid w:val="00FD3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7E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51"/>
  </w:style>
  <w:style w:type="paragraph" w:styleId="Footer">
    <w:name w:val="footer"/>
    <w:basedOn w:val="Normal"/>
    <w:link w:val="FooterChar"/>
    <w:uiPriority w:val="99"/>
    <w:unhideWhenUsed/>
    <w:rsid w:val="001B6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51"/>
  </w:style>
  <w:style w:type="paragraph" w:styleId="BalloonText">
    <w:name w:val="Balloon Text"/>
    <w:basedOn w:val="Normal"/>
    <w:link w:val="BalloonTextChar"/>
    <w:uiPriority w:val="99"/>
    <w:semiHidden/>
    <w:unhideWhenUsed/>
    <w:rsid w:val="001B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51"/>
    <w:rPr>
      <w:rFonts w:ascii="Tahoma" w:hAnsi="Tahoma" w:cs="Tahoma"/>
      <w:sz w:val="16"/>
      <w:szCs w:val="16"/>
    </w:rPr>
  </w:style>
  <w:style w:type="character" w:styleId="CommentReference">
    <w:name w:val="annotation reference"/>
    <w:basedOn w:val="DefaultParagraphFont"/>
    <w:uiPriority w:val="99"/>
    <w:semiHidden/>
    <w:unhideWhenUsed/>
    <w:rsid w:val="005E3BE1"/>
    <w:rPr>
      <w:sz w:val="16"/>
      <w:szCs w:val="16"/>
    </w:rPr>
  </w:style>
  <w:style w:type="paragraph" w:styleId="CommentText">
    <w:name w:val="annotation text"/>
    <w:basedOn w:val="Normal"/>
    <w:link w:val="CommentTextChar"/>
    <w:uiPriority w:val="99"/>
    <w:semiHidden/>
    <w:unhideWhenUsed/>
    <w:rsid w:val="005E3BE1"/>
    <w:pPr>
      <w:spacing w:line="240" w:lineRule="auto"/>
    </w:pPr>
    <w:rPr>
      <w:sz w:val="20"/>
      <w:szCs w:val="20"/>
    </w:rPr>
  </w:style>
  <w:style w:type="character" w:customStyle="1" w:styleId="CommentTextChar">
    <w:name w:val="Comment Text Char"/>
    <w:basedOn w:val="DefaultParagraphFont"/>
    <w:link w:val="CommentText"/>
    <w:uiPriority w:val="99"/>
    <w:semiHidden/>
    <w:rsid w:val="005E3BE1"/>
    <w:rPr>
      <w:sz w:val="20"/>
      <w:szCs w:val="20"/>
    </w:rPr>
  </w:style>
  <w:style w:type="paragraph" w:styleId="CommentSubject">
    <w:name w:val="annotation subject"/>
    <w:basedOn w:val="CommentText"/>
    <w:next w:val="CommentText"/>
    <w:link w:val="CommentSubjectChar"/>
    <w:uiPriority w:val="99"/>
    <w:semiHidden/>
    <w:unhideWhenUsed/>
    <w:rsid w:val="005E3BE1"/>
    <w:rPr>
      <w:b/>
      <w:bCs/>
    </w:rPr>
  </w:style>
  <w:style w:type="character" w:customStyle="1" w:styleId="CommentSubjectChar">
    <w:name w:val="Comment Subject Char"/>
    <w:basedOn w:val="CommentTextChar"/>
    <w:link w:val="CommentSubject"/>
    <w:uiPriority w:val="99"/>
    <w:semiHidden/>
    <w:rsid w:val="005E3BE1"/>
    <w:rPr>
      <w:b/>
      <w:bCs/>
      <w:sz w:val="20"/>
      <w:szCs w:val="20"/>
    </w:rPr>
  </w:style>
  <w:style w:type="paragraph" w:customStyle="1" w:styleId="OutlineNumbered1">
    <w:name w:val="Outline Numbered 1"/>
    <w:basedOn w:val="Normal"/>
    <w:link w:val="OutlineNumbered1Char"/>
    <w:rsid w:val="00657791"/>
    <w:pPr>
      <w:numPr>
        <w:numId w:val="1"/>
      </w:numPr>
      <w:spacing w:before="120" w:after="120" w:line="240" w:lineRule="auto"/>
      <w:jc w:val="center"/>
    </w:pPr>
    <w:rPr>
      <w:b/>
    </w:rPr>
  </w:style>
  <w:style w:type="character" w:customStyle="1" w:styleId="OutlineNumbered1Char">
    <w:name w:val="Outline Numbered 1 Char"/>
    <w:basedOn w:val="DefaultParagraphFont"/>
    <w:link w:val="OutlineNumbered1"/>
    <w:rsid w:val="00657791"/>
    <w:rPr>
      <w:b/>
    </w:rPr>
  </w:style>
  <w:style w:type="paragraph" w:customStyle="1" w:styleId="OutlineNumbered2">
    <w:name w:val="Outline Numbered 2"/>
    <w:basedOn w:val="Normal"/>
    <w:link w:val="OutlineNumbered2Char"/>
    <w:rsid w:val="00657791"/>
    <w:pPr>
      <w:numPr>
        <w:ilvl w:val="1"/>
        <w:numId w:val="1"/>
      </w:numPr>
      <w:spacing w:before="120" w:after="120" w:line="240" w:lineRule="auto"/>
      <w:jc w:val="center"/>
    </w:pPr>
    <w:rPr>
      <w:b/>
    </w:rPr>
  </w:style>
  <w:style w:type="character" w:customStyle="1" w:styleId="OutlineNumbered2Char">
    <w:name w:val="Outline Numbered 2 Char"/>
    <w:basedOn w:val="DefaultParagraphFont"/>
    <w:link w:val="OutlineNumbered2"/>
    <w:rsid w:val="00657791"/>
    <w:rPr>
      <w:b/>
    </w:rPr>
  </w:style>
  <w:style w:type="paragraph" w:customStyle="1" w:styleId="OutlineNumbered3">
    <w:name w:val="Outline Numbered 3"/>
    <w:basedOn w:val="Normal"/>
    <w:link w:val="OutlineNumbered3Char"/>
    <w:rsid w:val="00657791"/>
    <w:pPr>
      <w:numPr>
        <w:ilvl w:val="2"/>
        <w:numId w:val="1"/>
      </w:numPr>
      <w:spacing w:before="120" w:after="120" w:line="240" w:lineRule="auto"/>
      <w:jc w:val="center"/>
    </w:pPr>
    <w:rPr>
      <w:b/>
    </w:rPr>
  </w:style>
  <w:style w:type="character" w:customStyle="1" w:styleId="OutlineNumbered3Char">
    <w:name w:val="Outline Numbered 3 Char"/>
    <w:basedOn w:val="DefaultParagraphFont"/>
    <w:link w:val="OutlineNumbered3"/>
    <w:rsid w:val="00657791"/>
    <w:rPr>
      <w:b/>
    </w:rPr>
  </w:style>
  <w:style w:type="paragraph" w:styleId="Revision">
    <w:name w:val="Revision"/>
    <w:hidden/>
    <w:uiPriority w:val="99"/>
    <w:semiHidden/>
    <w:rsid w:val="00A420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451"/>
  </w:style>
  <w:style w:type="paragraph" w:styleId="Footer">
    <w:name w:val="footer"/>
    <w:basedOn w:val="Normal"/>
    <w:link w:val="FooterChar"/>
    <w:uiPriority w:val="99"/>
    <w:unhideWhenUsed/>
    <w:rsid w:val="001B6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451"/>
  </w:style>
  <w:style w:type="paragraph" w:styleId="BalloonText">
    <w:name w:val="Balloon Text"/>
    <w:basedOn w:val="Normal"/>
    <w:link w:val="BalloonTextChar"/>
    <w:uiPriority w:val="99"/>
    <w:semiHidden/>
    <w:unhideWhenUsed/>
    <w:rsid w:val="001B6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51"/>
    <w:rPr>
      <w:rFonts w:ascii="Tahoma" w:hAnsi="Tahoma" w:cs="Tahoma"/>
      <w:sz w:val="16"/>
      <w:szCs w:val="16"/>
    </w:rPr>
  </w:style>
  <w:style w:type="character" w:styleId="CommentReference">
    <w:name w:val="annotation reference"/>
    <w:basedOn w:val="DefaultParagraphFont"/>
    <w:uiPriority w:val="99"/>
    <w:semiHidden/>
    <w:unhideWhenUsed/>
    <w:rsid w:val="005E3BE1"/>
    <w:rPr>
      <w:sz w:val="16"/>
      <w:szCs w:val="16"/>
    </w:rPr>
  </w:style>
  <w:style w:type="paragraph" w:styleId="CommentText">
    <w:name w:val="annotation text"/>
    <w:basedOn w:val="Normal"/>
    <w:link w:val="CommentTextChar"/>
    <w:uiPriority w:val="99"/>
    <w:semiHidden/>
    <w:unhideWhenUsed/>
    <w:rsid w:val="005E3BE1"/>
    <w:pPr>
      <w:spacing w:line="240" w:lineRule="auto"/>
    </w:pPr>
    <w:rPr>
      <w:sz w:val="20"/>
      <w:szCs w:val="20"/>
    </w:rPr>
  </w:style>
  <w:style w:type="character" w:customStyle="1" w:styleId="CommentTextChar">
    <w:name w:val="Comment Text Char"/>
    <w:basedOn w:val="DefaultParagraphFont"/>
    <w:link w:val="CommentText"/>
    <w:uiPriority w:val="99"/>
    <w:semiHidden/>
    <w:rsid w:val="005E3BE1"/>
    <w:rPr>
      <w:sz w:val="20"/>
      <w:szCs w:val="20"/>
    </w:rPr>
  </w:style>
  <w:style w:type="paragraph" w:styleId="CommentSubject">
    <w:name w:val="annotation subject"/>
    <w:basedOn w:val="CommentText"/>
    <w:next w:val="CommentText"/>
    <w:link w:val="CommentSubjectChar"/>
    <w:uiPriority w:val="99"/>
    <w:semiHidden/>
    <w:unhideWhenUsed/>
    <w:rsid w:val="005E3BE1"/>
    <w:rPr>
      <w:b/>
      <w:bCs/>
    </w:rPr>
  </w:style>
  <w:style w:type="character" w:customStyle="1" w:styleId="CommentSubjectChar">
    <w:name w:val="Comment Subject Char"/>
    <w:basedOn w:val="CommentTextChar"/>
    <w:link w:val="CommentSubject"/>
    <w:uiPriority w:val="99"/>
    <w:semiHidden/>
    <w:rsid w:val="005E3BE1"/>
    <w:rPr>
      <w:b/>
      <w:bCs/>
      <w:sz w:val="20"/>
      <w:szCs w:val="20"/>
    </w:rPr>
  </w:style>
  <w:style w:type="paragraph" w:customStyle="1" w:styleId="OutlineNumbered1">
    <w:name w:val="Outline Numbered 1"/>
    <w:basedOn w:val="Normal"/>
    <w:link w:val="OutlineNumbered1Char"/>
    <w:rsid w:val="00657791"/>
    <w:pPr>
      <w:numPr>
        <w:numId w:val="1"/>
      </w:numPr>
      <w:spacing w:before="120" w:after="120" w:line="240" w:lineRule="auto"/>
      <w:jc w:val="center"/>
    </w:pPr>
    <w:rPr>
      <w:b/>
    </w:rPr>
  </w:style>
  <w:style w:type="character" w:customStyle="1" w:styleId="OutlineNumbered1Char">
    <w:name w:val="Outline Numbered 1 Char"/>
    <w:basedOn w:val="DefaultParagraphFont"/>
    <w:link w:val="OutlineNumbered1"/>
    <w:rsid w:val="00657791"/>
    <w:rPr>
      <w:b/>
    </w:rPr>
  </w:style>
  <w:style w:type="paragraph" w:customStyle="1" w:styleId="OutlineNumbered2">
    <w:name w:val="Outline Numbered 2"/>
    <w:basedOn w:val="Normal"/>
    <w:link w:val="OutlineNumbered2Char"/>
    <w:rsid w:val="00657791"/>
    <w:pPr>
      <w:numPr>
        <w:ilvl w:val="1"/>
        <w:numId w:val="1"/>
      </w:numPr>
      <w:spacing w:before="120" w:after="120" w:line="240" w:lineRule="auto"/>
      <w:jc w:val="center"/>
    </w:pPr>
    <w:rPr>
      <w:b/>
    </w:rPr>
  </w:style>
  <w:style w:type="character" w:customStyle="1" w:styleId="OutlineNumbered2Char">
    <w:name w:val="Outline Numbered 2 Char"/>
    <w:basedOn w:val="DefaultParagraphFont"/>
    <w:link w:val="OutlineNumbered2"/>
    <w:rsid w:val="00657791"/>
    <w:rPr>
      <w:b/>
    </w:rPr>
  </w:style>
  <w:style w:type="paragraph" w:customStyle="1" w:styleId="OutlineNumbered3">
    <w:name w:val="Outline Numbered 3"/>
    <w:basedOn w:val="Normal"/>
    <w:link w:val="OutlineNumbered3Char"/>
    <w:rsid w:val="00657791"/>
    <w:pPr>
      <w:numPr>
        <w:ilvl w:val="2"/>
        <w:numId w:val="1"/>
      </w:numPr>
      <w:spacing w:before="120" w:after="120" w:line="240" w:lineRule="auto"/>
      <w:jc w:val="center"/>
    </w:pPr>
    <w:rPr>
      <w:b/>
    </w:rPr>
  </w:style>
  <w:style w:type="character" w:customStyle="1" w:styleId="OutlineNumbered3Char">
    <w:name w:val="Outline Numbered 3 Char"/>
    <w:basedOn w:val="DefaultParagraphFont"/>
    <w:link w:val="OutlineNumbered3"/>
    <w:rsid w:val="00657791"/>
    <w:rPr>
      <w:b/>
    </w:rPr>
  </w:style>
  <w:style w:type="paragraph" w:styleId="Revision">
    <w:name w:val="Revision"/>
    <w:hidden/>
    <w:uiPriority w:val="99"/>
    <w:semiHidden/>
    <w:rsid w:val="00A42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8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4.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18912" ma:contentTypeDescription=" " ma:contentTypeScope="" ma:versionID="f39cb8de69ee1f122bd5d8c1cbc6f224">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843d60eec696d0f6fa0d86daaf2d7ae"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2019MG-90-23214</_dlc_DocId>
    <_dlc_DocIdUrl xmlns="0f563589-9cf9-4143-b1eb-fb0534803d38">
      <Url>http://tweb/sites/mg/fsd/_layouts/15/DocIdRedir.aspx?ID=2019MG-90-23214</Url>
      <Description>2019MG-90-23214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7FBD-202F-4392-9364-0207F808A0B7}">
  <ds:schemaRefs>
    <ds:schemaRef ds:uri="http://schemas.microsoft.com/sharepoint/events"/>
  </ds:schemaRefs>
</ds:datastoreItem>
</file>

<file path=customXml/itemProps2.xml><?xml version="1.0" encoding="utf-8"?>
<ds:datastoreItem xmlns:ds="http://schemas.openxmlformats.org/officeDocument/2006/customXml" ds:itemID="{33FF7E89-CBC1-45DA-B021-8DCA2BC3B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60C93-7632-4780-BC86-6DC7D2510DF5}">
  <ds:schemaRef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 ds:uri="d4dd4adf-ddb3-46a3-8d7c-fab3fb2a6bc7"/>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1408DAA8-6807-4480-9810-21FE715723ED}">
  <ds:schemaRefs>
    <ds:schemaRef ds:uri="http://schemas.microsoft.com/sharepoint/v3/contenttype/forms"/>
  </ds:schemaRefs>
</ds:datastoreItem>
</file>

<file path=customXml/itemProps5.xml><?xml version="1.0" encoding="utf-8"?>
<ds:datastoreItem xmlns:ds="http://schemas.openxmlformats.org/officeDocument/2006/customXml" ds:itemID="{94E589BB-05FB-4072-8AA5-01892B99D80A}">
  <ds:schemaRefs>
    <ds:schemaRef ds:uri="office.server.policy"/>
  </ds:schemaRefs>
</ds:datastoreItem>
</file>

<file path=customXml/itemProps6.xml><?xml version="1.0" encoding="utf-8"?>
<ds:datastoreItem xmlns:ds="http://schemas.openxmlformats.org/officeDocument/2006/customXml" ds:itemID="{DF2CE910-5895-4858-852B-714EF4F7DD5F}">
  <ds:schemaRefs>
    <ds:schemaRef ds:uri="http://schemas.microsoft.com/sharepoint/events"/>
  </ds:schemaRefs>
</ds:datastoreItem>
</file>

<file path=customXml/itemProps7.xml><?xml version="1.0" encoding="utf-8"?>
<ds:datastoreItem xmlns:ds="http://schemas.openxmlformats.org/officeDocument/2006/customXml" ds:itemID="{A031CF92-273D-4B1F-8A6D-C8B0E4E0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Pages>
  <Words>1247</Words>
  <Characters>7320</Characters>
  <Application>Microsoft Office Word</Application>
  <DocSecurity>0</DocSecurity>
  <Lines>187</Lines>
  <Paragraphs>83</Paragraphs>
  <ScaleCrop>false</ScaleCrop>
  <HeadingPairs>
    <vt:vector size="2" baseType="variant">
      <vt:variant>
        <vt:lpstr>Title</vt:lpstr>
      </vt:variant>
      <vt:variant>
        <vt:i4>1</vt:i4>
      </vt:variant>
    </vt:vector>
  </HeadingPairs>
  <TitlesOfParts>
    <vt:vector size="1" baseType="lpstr">
      <vt:lpstr>Government response to the Financial Reporting Council's Auditor Disciplinary Processes: Review</vt:lpstr>
    </vt:vector>
  </TitlesOfParts>
  <Company>Australian Government - The Treasury</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Financial Reporting Council's Auditor Disciplinary Processes: Review</dc:title>
  <dc:subject/>
  <dc:creator>The Treasury</dc:creator>
  <cp:keywords/>
  <dc:description/>
  <cp:lastModifiedBy>Hill, Christine</cp:lastModifiedBy>
  <cp:revision>77</cp:revision>
  <cp:lastPrinted>2019-03-24T23:08:00Z</cp:lastPrinted>
  <dcterms:created xsi:type="dcterms:W3CDTF">2019-03-12T23:55:00Z</dcterms:created>
  <dcterms:modified xsi:type="dcterms:W3CDTF">2019-04-04T02:35:00Z</dcterms:modified>
</cp:coreProperties>
</file>