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B6816" w14:textId="77777777" w:rsidR="00F012EA" w:rsidRPr="00DD5DF9" w:rsidRDefault="00E85BB5" w:rsidP="009C12A2">
      <w:pPr>
        <w:pStyle w:val="Title"/>
      </w:pPr>
      <w:r>
        <w:t>Wage Growth</w:t>
      </w:r>
      <w:r w:rsidR="00C41BBB">
        <w:t xml:space="preserve"> </w:t>
      </w:r>
      <w:r w:rsidR="006F7544">
        <w:t>in Australia</w:t>
      </w:r>
      <w:r>
        <w:t>: Lessons from Longitudinal Microdata</w:t>
      </w:r>
    </w:p>
    <w:p w14:paraId="0534D3D6" w14:textId="77777777" w:rsidR="00F012EA" w:rsidRDefault="006F7544" w:rsidP="001C06AD">
      <w:pPr>
        <w:pStyle w:val="AuthorName"/>
        <w:rPr>
          <w:sz w:val="32"/>
          <w:szCs w:val="24"/>
          <w:vertAlign w:val="superscript"/>
        </w:rPr>
      </w:pPr>
      <w:r w:rsidRPr="002473C7">
        <w:rPr>
          <w:sz w:val="32"/>
          <w:szCs w:val="24"/>
        </w:rPr>
        <w:t>Dan Andrews</w:t>
      </w:r>
      <w:r w:rsidR="00E85BB5" w:rsidRPr="002473C7">
        <w:rPr>
          <w:sz w:val="32"/>
          <w:szCs w:val="24"/>
        </w:rPr>
        <w:t>, Nathan Deutscher</w:t>
      </w:r>
      <w:r w:rsidR="007C3C59" w:rsidRPr="002473C7">
        <w:rPr>
          <w:sz w:val="32"/>
          <w:szCs w:val="24"/>
        </w:rPr>
        <w:t>, Jonathan Hambur</w:t>
      </w:r>
      <w:r w:rsidRPr="002473C7">
        <w:rPr>
          <w:sz w:val="32"/>
          <w:szCs w:val="24"/>
        </w:rPr>
        <w:t xml:space="preserve"> and David Hansell</w:t>
      </w:r>
      <w:r w:rsidR="00F012EA" w:rsidRPr="002473C7">
        <w:rPr>
          <w:rStyle w:val="FootnoteReference"/>
          <w:sz w:val="32"/>
          <w:szCs w:val="24"/>
        </w:rPr>
        <w:footnoteReference w:id="2"/>
      </w:r>
      <w:r w:rsidR="002473C7" w:rsidRPr="002473C7">
        <w:rPr>
          <w:sz w:val="32"/>
          <w:szCs w:val="24"/>
          <w:vertAlign w:val="superscript"/>
        </w:rPr>
        <w:t>,</w:t>
      </w:r>
      <w:r w:rsidR="002473C7" w:rsidRPr="002473C7">
        <w:rPr>
          <w:rStyle w:val="FootnoteReference"/>
          <w:sz w:val="32"/>
          <w:szCs w:val="40"/>
        </w:rPr>
        <w:footnoteReference w:id="3"/>
      </w:r>
    </w:p>
    <w:p w14:paraId="56AF62ED" w14:textId="77777777" w:rsidR="00EB222D" w:rsidRPr="00F8009C" w:rsidRDefault="00EB222D" w:rsidP="00EB222D">
      <w:pPr>
        <w:pStyle w:val="Subtitle"/>
        <w:rPr>
          <w:szCs w:val="36"/>
        </w:rPr>
      </w:pPr>
      <w:r>
        <w:rPr>
          <w:szCs w:val="36"/>
        </w:rPr>
        <w:t>2019</w:t>
      </w:r>
      <w:r>
        <w:rPr>
          <w:szCs w:val="36"/>
        </w:rPr>
        <w:noBreakHyphen/>
        <w:t>04</w:t>
      </w:r>
    </w:p>
    <w:p w14:paraId="2173020E" w14:textId="77777777" w:rsidR="00EB222D" w:rsidRPr="0018497C" w:rsidRDefault="00EB222D" w:rsidP="00EB222D">
      <w:pPr>
        <w:pStyle w:val="SeriesNumber"/>
        <w:spacing w:before="120" w:after="120"/>
        <w:rPr>
          <w:sz w:val="24"/>
          <w:szCs w:val="24"/>
        </w:rPr>
      </w:pPr>
      <w:r w:rsidRPr="0018497C">
        <w:rPr>
          <w:sz w:val="24"/>
          <w:szCs w:val="24"/>
        </w:rPr>
        <w:t xml:space="preserve">Date created: </w:t>
      </w:r>
      <w:r>
        <w:rPr>
          <w:sz w:val="24"/>
          <w:szCs w:val="24"/>
        </w:rPr>
        <w:t>July 2019</w:t>
      </w:r>
    </w:p>
    <w:p w14:paraId="54229266" w14:textId="77777777" w:rsidR="00CD6F46" w:rsidRDefault="00CD6F46" w:rsidP="001C06AD">
      <w:pPr>
        <w:pStyle w:val="AuthorName"/>
        <w:rPr>
          <w:sz w:val="32"/>
          <w:szCs w:val="24"/>
        </w:rPr>
        <w:sectPr w:rsidR="00CD6F46" w:rsidSect="00496BF2">
          <w:headerReference w:type="even" r:id="rId12"/>
          <w:footerReference w:type="default" r:id="rId13"/>
          <w:headerReference w:type="first" r:id="rId14"/>
          <w:type w:val="continuous"/>
          <w:pgSz w:w="11906" w:h="16838" w:code="9"/>
          <w:pgMar w:top="1418" w:right="1304" w:bottom="1418" w:left="1304" w:header="567" w:footer="567" w:gutter="0"/>
          <w:cols w:space="720"/>
          <w:titlePg/>
          <w:docGrid w:linePitch="360"/>
        </w:sectPr>
      </w:pPr>
    </w:p>
    <w:p w14:paraId="4D573F8D" w14:textId="77777777" w:rsidR="000464B6" w:rsidRDefault="000464B6" w:rsidP="000464B6">
      <w:r w:rsidRPr="00661BF0">
        <w:lastRenderedPageBreak/>
        <w:t xml:space="preserve">© Commonwealth of Australia </w:t>
      </w:r>
      <w:r w:rsidRPr="00EB222D">
        <w:t>20</w:t>
      </w:r>
      <w:r w:rsidR="00EB222D" w:rsidRPr="00EB222D">
        <w:t>19</w:t>
      </w:r>
    </w:p>
    <w:p w14:paraId="272DDEAA"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5"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6"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25C3DC74"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04C6CBE5" wp14:editId="5988BEDF">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5ED068F"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8"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51219389" w14:textId="77777777" w:rsidR="000464B6" w:rsidRPr="002F1BC2" w:rsidRDefault="000464B6" w:rsidP="000464B6">
      <w:pPr>
        <w:rPr>
          <w:i/>
        </w:rPr>
      </w:pPr>
      <w:r w:rsidRPr="002F1BC2">
        <w:rPr>
          <w:i/>
        </w:rPr>
        <w:t>Treasury material used 'as supplied'</w:t>
      </w:r>
    </w:p>
    <w:p w14:paraId="1025C4B7"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3F86112"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3AB0B90B" w14:textId="77777777" w:rsidR="000464B6" w:rsidRPr="006627B4" w:rsidRDefault="000464B6" w:rsidP="000464B6">
      <w:r w:rsidRPr="006627B4">
        <w:t>Derivative material</w:t>
      </w:r>
    </w:p>
    <w:p w14:paraId="28B7BC1B"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2BB81ADF" w14:textId="77777777" w:rsidR="000464B6" w:rsidRPr="006627B4" w:rsidRDefault="000464B6" w:rsidP="000464B6">
      <w:pPr>
        <w:ind w:firstLine="720"/>
      </w:pPr>
      <w:r w:rsidRPr="002F1BC2">
        <w:rPr>
          <w:i/>
        </w:rPr>
        <w:t>Based on The Australian Government the Treasury data</w:t>
      </w:r>
    </w:p>
    <w:p w14:paraId="50EBA64A" w14:textId="77777777" w:rsidR="000464B6" w:rsidRPr="006627B4" w:rsidRDefault="000464B6" w:rsidP="000464B6">
      <w:pPr>
        <w:spacing w:after="40"/>
        <w:rPr>
          <w:b/>
        </w:rPr>
      </w:pPr>
      <w:r w:rsidRPr="006627B4">
        <w:rPr>
          <w:b/>
        </w:rPr>
        <w:t>Use of the Coat of Arms</w:t>
      </w:r>
    </w:p>
    <w:p w14:paraId="7B575772" w14:textId="77777777"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19" w:history="1">
        <w:r w:rsidRPr="005A283B">
          <w:rPr>
            <w:rStyle w:val="Hyperlink"/>
          </w:rPr>
          <w:t>www.pmc.gov.au/government/commonwealth-coat-arms</w:t>
        </w:r>
      </w:hyperlink>
      <w:r w:rsidRPr="00A40BA2">
        <w:t>).</w:t>
      </w:r>
    </w:p>
    <w:p w14:paraId="60C2A633" w14:textId="77777777" w:rsidR="000464B6" w:rsidRPr="006627B4" w:rsidRDefault="00A57848" w:rsidP="000464B6">
      <w:pPr>
        <w:spacing w:after="40"/>
        <w:rPr>
          <w:b/>
        </w:rPr>
      </w:pPr>
      <w:r>
        <w:rPr>
          <w:b/>
        </w:rPr>
        <w:t>Other u</w:t>
      </w:r>
      <w:r w:rsidR="000464B6" w:rsidRPr="006627B4">
        <w:rPr>
          <w:b/>
        </w:rPr>
        <w:t>ses</w:t>
      </w:r>
    </w:p>
    <w:p w14:paraId="266EE10C" w14:textId="77777777" w:rsidR="000464B6" w:rsidRPr="006627B4" w:rsidRDefault="00A57848" w:rsidP="00A57848">
      <w:pPr>
        <w:spacing w:after="120"/>
      </w:pPr>
      <w:r>
        <w:t>E</w:t>
      </w:r>
      <w:r w:rsidR="000464B6" w:rsidRPr="006627B4">
        <w:t>nquiries regarding this licence and any other use of this document are welcome at:</w:t>
      </w:r>
    </w:p>
    <w:p w14:paraId="06BC6021" w14:textId="77777777" w:rsidR="000464B6" w:rsidRPr="006627B4" w:rsidRDefault="000464B6" w:rsidP="000464B6">
      <w:pPr>
        <w:spacing w:after="0"/>
        <w:ind w:left="720"/>
      </w:pPr>
      <w:r w:rsidRPr="006627B4">
        <w:t>Manager</w:t>
      </w:r>
    </w:p>
    <w:p w14:paraId="03C09281" w14:textId="77777777" w:rsidR="000464B6" w:rsidRPr="006627B4" w:rsidRDefault="00A57848" w:rsidP="000464B6">
      <w:pPr>
        <w:spacing w:after="0"/>
        <w:ind w:left="720"/>
      </w:pPr>
      <w:r>
        <w:t>Media Unit</w:t>
      </w:r>
    </w:p>
    <w:p w14:paraId="0DC12167" w14:textId="77777777" w:rsidR="000464B6" w:rsidRPr="006627B4" w:rsidRDefault="000464B6" w:rsidP="000464B6">
      <w:pPr>
        <w:spacing w:after="0"/>
        <w:ind w:left="720"/>
      </w:pPr>
      <w:r w:rsidRPr="006627B4">
        <w:t>The Treasury</w:t>
      </w:r>
    </w:p>
    <w:p w14:paraId="452B2B48" w14:textId="77777777" w:rsidR="000464B6" w:rsidRPr="006627B4" w:rsidRDefault="000464B6" w:rsidP="000464B6">
      <w:pPr>
        <w:spacing w:after="0"/>
        <w:ind w:left="720"/>
      </w:pPr>
      <w:r w:rsidRPr="006627B4">
        <w:t xml:space="preserve">Langton Crescent </w:t>
      </w:r>
      <w:r w:rsidR="00A57848">
        <w:br/>
      </w:r>
      <w:r w:rsidRPr="006627B4">
        <w:t>Parkes ACT 2600</w:t>
      </w:r>
    </w:p>
    <w:p w14:paraId="24285235" w14:textId="77777777" w:rsidR="000464B6" w:rsidRDefault="000464B6" w:rsidP="000464B6">
      <w:pPr>
        <w:spacing w:after="0"/>
        <w:ind w:left="720"/>
        <w:rPr>
          <w:rStyle w:val="Hyperlink"/>
        </w:rPr>
      </w:pPr>
      <w:r w:rsidRPr="006627B4">
        <w:t xml:space="preserve">Email: </w:t>
      </w:r>
      <w:hyperlink r:id="rId20" w:history="1">
        <w:r w:rsidRPr="00573329">
          <w:rPr>
            <w:rStyle w:val="Hyperlink"/>
          </w:rPr>
          <w:t>medialiaison@treasury.gov.au</w:t>
        </w:r>
      </w:hyperlink>
      <w:r w:rsidRPr="002F1BC2">
        <w:rPr>
          <w:rStyle w:val="Hyperlink"/>
        </w:rPr>
        <w:t xml:space="preserve"> </w:t>
      </w:r>
    </w:p>
    <w:p w14:paraId="39E6880E" w14:textId="77777777" w:rsidR="00CD6F46" w:rsidRDefault="00CD6F46" w:rsidP="000464B6">
      <w:pPr>
        <w:sectPr w:rsidR="00CD6F46" w:rsidSect="00CD6F46">
          <w:headerReference w:type="first" r:id="rId21"/>
          <w:pgSz w:w="11906" w:h="16838" w:code="9"/>
          <w:pgMar w:top="1418" w:right="1304" w:bottom="1418" w:left="1304" w:header="567" w:footer="567" w:gutter="0"/>
          <w:cols w:space="720"/>
          <w:titlePg/>
          <w:docGrid w:linePitch="360"/>
        </w:sectPr>
      </w:pPr>
    </w:p>
    <w:p w14:paraId="5BFE61E4" w14:textId="77777777" w:rsidR="00F012EA" w:rsidRDefault="00E85BB5" w:rsidP="00F012EA">
      <w:pPr>
        <w:pStyle w:val="SingleParagraph"/>
      </w:pPr>
      <w:r>
        <w:lastRenderedPageBreak/>
        <w:t>Wage Growth</w:t>
      </w:r>
      <w:r w:rsidR="006F7544">
        <w:t xml:space="preserve"> in Australia</w:t>
      </w:r>
      <w:r>
        <w:t>: Lessons from Longitudinal Microdata</w:t>
      </w:r>
    </w:p>
    <w:p w14:paraId="48FE5BBE" w14:textId="77777777" w:rsidR="00F012EA" w:rsidRDefault="006F7544" w:rsidP="00F012EA">
      <w:pPr>
        <w:pStyle w:val="SingleParagraph"/>
      </w:pPr>
      <w:r>
        <w:t>Dan Andrews</w:t>
      </w:r>
      <w:r w:rsidR="00E85BB5">
        <w:t>, Nathan Deutscher</w:t>
      </w:r>
      <w:r w:rsidR="007C3C59">
        <w:t xml:space="preserve">, </w:t>
      </w:r>
      <w:r w:rsidR="007C3C59">
        <w:rPr>
          <w:szCs w:val="24"/>
        </w:rPr>
        <w:t>Jonathan Hambur</w:t>
      </w:r>
      <w:r>
        <w:t xml:space="preserve"> and David Hansell</w:t>
      </w:r>
    </w:p>
    <w:p w14:paraId="611261C9" w14:textId="77777777" w:rsidR="00EB222D" w:rsidRDefault="00EB222D" w:rsidP="00EB222D">
      <w:pPr>
        <w:pStyle w:val="SingleParagraph"/>
      </w:pPr>
      <w:r>
        <w:t>2019</w:t>
      </w:r>
      <w:r w:rsidR="001A5C5D">
        <w:t>-</w:t>
      </w:r>
      <w:r>
        <w:t>04</w:t>
      </w:r>
    </w:p>
    <w:p w14:paraId="193E4D17" w14:textId="77777777" w:rsidR="00EB222D" w:rsidRDefault="00EB222D" w:rsidP="00EB222D">
      <w:pPr>
        <w:pStyle w:val="SingleParagraph"/>
      </w:pPr>
      <w:r>
        <w:t>July 2019</w:t>
      </w:r>
    </w:p>
    <w:p w14:paraId="06202282" w14:textId="77777777" w:rsidR="00F012EA" w:rsidRDefault="00F012EA" w:rsidP="00F012EA">
      <w:pPr>
        <w:pStyle w:val="Heading1"/>
      </w:pPr>
      <w:r>
        <w:t>Abstract</w:t>
      </w:r>
    </w:p>
    <w:p w14:paraId="19D87CB7" w14:textId="1221C49A" w:rsidR="000D4DD6" w:rsidRDefault="00547D4C" w:rsidP="00547D4C">
      <w:pPr>
        <w:spacing w:after="0"/>
        <w:jc w:val="both"/>
        <w:rPr>
          <w:color w:val="auto"/>
        </w:rPr>
      </w:pPr>
      <w:r w:rsidRPr="00547D4C">
        <w:rPr>
          <w:color w:val="auto"/>
        </w:rPr>
        <w:t xml:space="preserve">This paper uses novel microdata </w:t>
      </w:r>
      <w:r w:rsidR="001C6379" w:rsidRPr="00547D4C">
        <w:rPr>
          <w:color w:val="auto"/>
        </w:rPr>
        <w:t>sources</w:t>
      </w:r>
      <w:r w:rsidR="001C6379">
        <w:rPr>
          <w:color w:val="auto"/>
        </w:rPr>
        <w:t xml:space="preserve"> spanning 2001</w:t>
      </w:r>
      <w:r w:rsidR="00484F02">
        <w:rPr>
          <w:color w:val="auto"/>
        </w:rPr>
        <w:t>-</w:t>
      </w:r>
      <w:r w:rsidR="001C6379">
        <w:rPr>
          <w:color w:val="auto"/>
        </w:rPr>
        <w:t>02 to 2015</w:t>
      </w:r>
      <w:r w:rsidR="00484F02">
        <w:rPr>
          <w:color w:val="auto"/>
        </w:rPr>
        <w:t>-</w:t>
      </w:r>
      <w:r w:rsidR="001C6379">
        <w:rPr>
          <w:color w:val="auto"/>
        </w:rPr>
        <w:t xml:space="preserve">16 to </w:t>
      </w:r>
      <w:r w:rsidRPr="00547D4C">
        <w:rPr>
          <w:color w:val="auto"/>
        </w:rPr>
        <w:t>explore the structural drivers of wage growth in Australia</w:t>
      </w:r>
      <w:r w:rsidR="00323530">
        <w:rPr>
          <w:color w:val="auto"/>
        </w:rPr>
        <w:t xml:space="preserve">, with a view to </w:t>
      </w:r>
      <w:r w:rsidR="00D7358C">
        <w:rPr>
          <w:color w:val="auto"/>
        </w:rPr>
        <w:t>better</w:t>
      </w:r>
      <w:r w:rsidR="00323530">
        <w:rPr>
          <w:color w:val="auto"/>
        </w:rPr>
        <w:t xml:space="preserve"> understand</w:t>
      </w:r>
      <w:r w:rsidR="00D939CA">
        <w:rPr>
          <w:color w:val="auto"/>
        </w:rPr>
        <w:t>ing</w:t>
      </w:r>
      <w:r w:rsidR="00323530">
        <w:rPr>
          <w:color w:val="auto"/>
        </w:rPr>
        <w:t xml:space="preserve"> recent weak wage growth</w:t>
      </w:r>
      <w:r w:rsidR="00E75347">
        <w:rPr>
          <w:color w:val="auto"/>
        </w:rPr>
        <w:t xml:space="preserve"> – a</w:t>
      </w:r>
      <w:r w:rsidR="00A00DB1">
        <w:rPr>
          <w:color w:val="auto"/>
        </w:rPr>
        <w:t xml:space="preserve"> phenomenon observed across a range of advanced economies</w:t>
      </w:r>
      <w:r w:rsidRPr="00547D4C">
        <w:rPr>
          <w:color w:val="auto"/>
        </w:rPr>
        <w:t xml:space="preserve">. Controlling for a range of cyclical and other </w:t>
      </w:r>
      <w:r w:rsidR="00765427" w:rsidRPr="00547D4C">
        <w:rPr>
          <w:color w:val="auto"/>
        </w:rPr>
        <w:t>factors</w:t>
      </w:r>
      <w:r w:rsidRPr="00547D4C">
        <w:rPr>
          <w:color w:val="auto"/>
        </w:rPr>
        <w:t xml:space="preserve">, we show that </w:t>
      </w:r>
      <w:r w:rsidR="00173E16">
        <w:rPr>
          <w:color w:val="auto"/>
        </w:rPr>
        <w:t>part</w:t>
      </w:r>
      <w:r w:rsidR="00323530">
        <w:rPr>
          <w:color w:val="auto"/>
        </w:rPr>
        <w:t xml:space="preserve"> of firms</w:t>
      </w:r>
      <w:r w:rsidR="00AB0139">
        <w:rPr>
          <w:color w:val="auto"/>
        </w:rPr>
        <w:t>’</w:t>
      </w:r>
      <w:r w:rsidR="00323530">
        <w:rPr>
          <w:color w:val="auto"/>
        </w:rPr>
        <w:t xml:space="preserve"> idiosyncratic productivity growth tends to be passed-through to workers in the form of higher wag</w:t>
      </w:r>
      <w:r w:rsidR="00154411">
        <w:rPr>
          <w:color w:val="auto"/>
        </w:rPr>
        <w:t>e</w:t>
      </w:r>
      <w:r w:rsidR="00323530">
        <w:rPr>
          <w:color w:val="auto"/>
        </w:rPr>
        <w:t xml:space="preserve"> growth</w:t>
      </w:r>
      <w:r w:rsidRPr="00547D4C">
        <w:rPr>
          <w:color w:val="auto"/>
        </w:rPr>
        <w:t xml:space="preserve">, consistent with the idea that firms share rents with their workers. The </w:t>
      </w:r>
      <w:r w:rsidR="00D15F27">
        <w:rPr>
          <w:color w:val="auto"/>
        </w:rPr>
        <w:t>size</w:t>
      </w:r>
      <w:r w:rsidR="00D15F27" w:rsidRPr="00547D4C">
        <w:rPr>
          <w:color w:val="auto"/>
        </w:rPr>
        <w:t xml:space="preserve"> </w:t>
      </w:r>
      <w:r w:rsidRPr="00547D4C">
        <w:rPr>
          <w:color w:val="auto"/>
        </w:rPr>
        <w:t>of this pass</w:t>
      </w:r>
      <w:r w:rsidR="00A00DB1">
        <w:rPr>
          <w:color w:val="auto"/>
        </w:rPr>
        <w:noBreakHyphen/>
      </w:r>
      <w:r w:rsidRPr="00547D4C">
        <w:rPr>
          <w:color w:val="auto"/>
        </w:rPr>
        <w:t>through</w:t>
      </w:r>
      <w:r w:rsidR="00A00DB1">
        <w:rPr>
          <w:color w:val="auto"/>
        </w:rPr>
        <w:t xml:space="preserve"> is around the midpoint of leading international estimates</w:t>
      </w:r>
      <w:r w:rsidRPr="00547D4C">
        <w:rPr>
          <w:color w:val="auto"/>
        </w:rPr>
        <w:t xml:space="preserve">, </w:t>
      </w:r>
      <w:r w:rsidR="00A00DB1">
        <w:rPr>
          <w:color w:val="auto"/>
        </w:rPr>
        <w:t>and</w:t>
      </w:r>
      <w:r w:rsidRPr="00547D4C">
        <w:rPr>
          <w:color w:val="auto"/>
        </w:rPr>
        <w:t xml:space="preserve"> </w:t>
      </w:r>
      <w:r w:rsidR="00E75347">
        <w:rPr>
          <w:color w:val="auto"/>
        </w:rPr>
        <w:t xml:space="preserve">appears to </w:t>
      </w:r>
      <w:r w:rsidRPr="00547D4C">
        <w:rPr>
          <w:color w:val="auto"/>
        </w:rPr>
        <w:t xml:space="preserve">decline modestly after </w:t>
      </w:r>
      <w:r w:rsidR="00E75347">
        <w:rPr>
          <w:color w:val="auto"/>
        </w:rPr>
        <w:t>201</w:t>
      </w:r>
      <w:r w:rsidR="00A314E7">
        <w:rPr>
          <w:color w:val="auto"/>
        </w:rPr>
        <w:t>2</w:t>
      </w:r>
      <w:r w:rsidR="00E75347">
        <w:rPr>
          <w:color w:val="auto"/>
        </w:rPr>
        <w:t>-1</w:t>
      </w:r>
      <w:r w:rsidR="00A314E7">
        <w:rPr>
          <w:color w:val="auto"/>
        </w:rPr>
        <w:t>3</w:t>
      </w:r>
      <w:r w:rsidRPr="00547D4C">
        <w:rPr>
          <w:color w:val="auto"/>
        </w:rPr>
        <w:t xml:space="preserve">, when aggregate wage growth begins to slow. We then </w:t>
      </w:r>
      <w:r w:rsidR="003C18CE">
        <w:rPr>
          <w:color w:val="auto"/>
        </w:rPr>
        <w:t xml:space="preserve">discuss </w:t>
      </w:r>
      <w:r w:rsidRPr="00547D4C">
        <w:rPr>
          <w:color w:val="auto"/>
        </w:rPr>
        <w:t xml:space="preserve">a range of possible mechanisms for this </w:t>
      </w:r>
      <w:r w:rsidR="00233BE9">
        <w:rPr>
          <w:color w:val="auto"/>
        </w:rPr>
        <w:t xml:space="preserve">modest </w:t>
      </w:r>
      <w:r w:rsidR="00A00DB1">
        <w:rPr>
          <w:color w:val="auto"/>
        </w:rPr>
        <w:t>decline</w:t>
      </w:r>
      <w:r w:rsidRPr="00547D4C">
        <w:rPr>
          <w:color w:val="auto"/>
        </w:rPr>
        <w:t xml:space="preserve">, including </w:t>
      </w:r>
      <w:r w:rsidR="003C18CE">
        <w:rPr>
          <w:color w:val="auto"/>
        </w:rPr>
        <w:t>the transition from the mining boom, globalisation,</w:t>
      </w:r>
      <w:r w:rsidR="00692B85">
        <w:rPr>
          <w:color w:val="auto"/>
        </w:rPr>
        <w:t xml:space="preserve"> changing shock processes,</w:t>
      </w:r>
      <w:r w:rsidR="003C18CE">
        <w:rPr>
          <w:color w:val="auto"/>
        </w:rPr>
        <w:t xml:space="preserve"> </w:t>
      </w:r>
      <w:r w:rsidRPr="00547D4C">
        <w:rPr>
          <w:color w:val="auto"/>
        </w:rPr>
        <w:t>declining labour market fluidity</w:t>
      </w:r>
      <w:r w:rsidR="00A00DB1">
        <w:rPr>
          <w:color w:val="auto"/>
        </w:rPr>
        <w:t xml:space="preserve"> and</w:t>
      </w:r>
      <w:r w:rsidRPr="00547D4C">
        <w:rPr>
          <w:color w:val="auto"/>
        </w:rPr>
        <w:t xml:space="preserve"> uneven technology diffusion</w:t>
      </w:r>
      <w:r w:rsidR="00323530">
        <w:rPr>
          <w:color w:val="auto"/>
        </w:rPr>
        <w:t>.</w:t>
      </w:r>
      <w:r w:rsidR="00AB0139">
        <w:rPr>
          <w:color w:val="auto"/>
        </w:rPr>
        <w:t xml:space="preserve"> </w:t>
      </w:r>
      <w:r w:rsidR="00C36CA2">
        <w:rPr>
          <w:color w:val="auto"/>
        </w:rPr>
        <w:t xml:space="preserve">Given that our dataset </w:t>
      </w:r>
      <w:r w:rsidR="00086882">
        <w:rPr>
          <w:color w:val="auto"/>
        </w:rPr>
        <w:t>does not cover the past few years</w:t>
      </w:r>
      <w:r w:rsidR="00C36CA2">
        <w:rPr>
          <w:color w:val="auto"/>
        </w:rPr>
        <w:t>, however, it is not clear whether lower pass-through of productivity to wages has persisted. In this respect, o</w:t>
      </w:r>
      <w:r w:rsidR="00D71E5B">
        <w:rPr>
          <w:color w:val="auto"/>
        </w:rPr>
        <w:t xml:space="preserve">ur </w:t>
      </w:r>
      <w:r w:rsidR="00AB0139">
        <w:rPr>
          <w:color w:val="auto"/>
        </w:rPr>
        <w:t xml:space="preserve">results </w:t>
      </w:r>
      <w:r w:rsidR="00A00DB1">
        <w:rPr>
          <w:color w:val="auto"/>
        </w:rPr>
        <w:t xml:space="preserve">represent a tentative first step in examining the microeconomic drivers of </w:t>
      </w:r>
      <w:r w:rsidR="00FB1DB1">
        <w:rPr>
          <w:color w:val="auto"/>
        </w:rPr>
        <w:t xml:space="preserve">a </w:t>
      </w:r>
      <w:r w:rsidR="00A00DB1">
        <w:rPr>
          <w:color w:val="auto"/>
        </w:rPr>
        <w:t>macroeconomic phenomenon</w:t>
      </w:r>
      <w:r w:rsidR="00E678D6">
        <w:rPr>
          <w:color w:val="auto"/>
        </w:rPr>
        <w:t xml:space="preserve"> with particular reference to wages</w:t>
      </w:r>
      <w:r w:rsidR="00A00DB1">
        <w:rPr>
          <w:color w:val="auto"/>
        </w:rPr>
        <w:t xml:space="preserve">. We provide a proof-of-principle demonstration of the value </w:t>
      </w:r>
      <w:r w:rsidR="00D71E5B">
        <w:rPr>
          <w:color w:val="auto"/>
        </w:rPr>
        <w:t>of</w:t>
      </w:r>
      <w:r w:rsidR="00A00DB1">
        <w:rPr>
          <w:color w:val="auto"/>
        </w:rPr>
        <w:t xml:space="preserve"> longitudinal microdata</w:t>
      </w:r>
      <w:r w:rsidR="00D71E5B">
        <w:rPr>
          <w:color w:val="auto"/>
        </w:rPr>
        <w:t xml:space="preserve"> and empirical techniques to</w:t>
      </w:r>
      <w:r w:rsidR="00A00DB1">
        <w:rPr>
          <w:color w:val="auto"/>
        </w:rPr>
        <w:t xml:space="preserve"> such investigations, and </w:t>
      </w:r>
      <w:r w:rsidR="00AB0139">
        <w:rPr>
          <w:color w:val="auto"/>
        </w:rPr>
        <w:t xml:space="preserve">suggest </w:t>
      </w:r>
      <w:r w:rsidR="006F1BE9">
        <w:rPr>
          <w:color w:val="auto"/>
        </w:rPr>
        <w:t xml:space="preserve">further analysis into the factors behind declining </w:t>
      </w:r>
      <w:r w:rsidR="00AB0139">
        <w:rPr>
          <w:color w:val="auto"/>
        </w:rPr>
        <w:t>labour market fluidit</w:t>
      </w:r>
      <w:r w:rsidR="006F1BE9">
        <w:rPr>
          <w:color w:val="auto"/>
        </w:rPr>
        <w:t xml:space="preserve">y </w:t>
      </w:r>
      <w:r w:rsidR="008A5160">
        <w:rPr>
          <w:color w:val="auto"/>
        </w:rPr>
        <w:t xml:space="preserve">would be </w:t>
      </w:r>
      <w:r w:rsidR="00D71E5B">
        <w:rPr>
          <w:color w:val="auto"/>
        </w:rPr>
        <w:t xml:space="preserve">a </w:t>
      </w:r>
      <w:r w:rsidR="008A5160">
        <w:rPr>
          <w:color w:val="auto"/>
        </w:rPr>
        <w:t xml:space="preserve">fruitful </w:t>
      </w:r>
      <w:r w:rsidR="00D71E5B">
        <w:rPr>
          <w:color w:val="auto"/>
        </w:rPr>
        <w:t>exercise.</w:t>
      </w:r>
    </w:p>
    <w:p w14:paraId="213547C2" w14:textId="77777777" w:rsidR="00547D4C" w:rsidRDefault="00547D4C" w:rsidP="00E83C63">
      <w:pPr>
        <w:spacing w:after="0"/>
        <w:rPr>
          <w:highlight w:val="yellow"/>
        </w:rPr>
      </w:pPr>
    </w:p>
    <w:p w14:paraId="140E97B3" w14:textId="77777777" w:rsidR="00F012EA" w:rsidRPr="00CD6F46" w:rsidRDefault="00F012EA" w:rsidP="00CD6F46"/>
    <w:p w14:paraId="0EDE66AD" w14:textId="77777777" w:rsidR="00CD6F46" w:rsidRDefault="00CD6F46" w:rsidP="00CD6F46">
      <w:pPr>
        <w:sectPr w:rsidR="00CD6F46" w:rsidSect="00CD6F46">
          <w:pgSz w:w="11906" w:h="16838" w:code="9"/>
          <w:pgMar w:top="1418" w:right="1304" w:bottom="1418" w:left="1304" w:header="567" w:footer="567" w:gutter="0"/>
          <w:cols w:space="720"/>
          <w:titlePg/>
          <w:docGrid w:linePitch="360"/>
        </w:sectPr>
      </w:pPr>
    </w:p>
    <w:p w14:paraId="0515BA9E" w14:textId="77777777" w:rsidR="00F012EA" w:rsidRPr="00A57848" w:rsidRDefault="00F012EA" w:rsidP="00A57848">
      <w:pPr>
        <w:pStyle w:val="Heading2"/>
      </w:pPr>
      <w:bookmarkStart w:id="0" w:name="_Toc271526783"/>
      <w:bookmarkStart w:id="1" w:name="_Toc320810314"/>
      <w:r w:rsidRPr="00A57848">
        <w:lastRenderedPageBreak/>
        <w:t>Introduction</w:t>
      </w:r>
      <w:bookmarkEnd w:id="0"/>
      <w:bookmarkEnd w:id="1"/>
    </w:p>
    <w:p w14:paraId="2DA4E29E" w14:textId="36D799C0" w:rsidR="00200CF4" w:rsidRDefault="00200CF4" w:rsidP="00200CF4">
      <w:pPr>
        <w:jc w:val="both"/>
        <w:rPr>
          <w:color w:val="auto"/>
        </w:rPr>
      </w:pPr>
      <w:r>
        <w:rPr>
          <w:color w:val="auto"/>
        </w:rPr>
        <w:t xml:space="preserve">Across a variety </w:t>
      </w:r>
      <w:r w:rsidR="009E410F">
        <w:rPr>
          <w:color w:val="auto"/>
        </w:rPr>
        <w:t xml:space="preserve">of </w:t>
      </w:r>
      <w:r>
        <w:rPr>
          <w:color w:val="auto"/>
        </w:rPr>
        <w:t>measures, wage growth has been slow in</w:t>
      </w:r>
      <w:r w:rsidR="00700D8A">
        <w:rPr>
          <w:color w:val="auto"/>
        </w:rPr>
        <w:t xml:space="preserve"> Australia, and in</w:t>
      </w:r>
      <w:r w:rsidR="00D71E5B">
        <w:rPr>
          <w:color w:val="auto"/>
        </w:rPr>
        <w:t xml:space="preserve"> many</w:t>
      </w:r>
      <w:r w:rsidR="00700D8A">
        <w:rPr>
          <w:color w:val="auto"/>
        </w:rPr>
        <w:t xml:space="preserve"> other</w:t>
      </w:r>
      <w:r w:rsidR="00D71E5B">
        <w:rPr>
          <w:color w:val="auto"/>
        </w:rPr>
        <w:t xml:space="preserve"> advanced economies, </w:t>
      </w:r>
      <w:r>
        <w:rPr>
          <w:color w:val="auto"/>
        </w:rPr>
        <w:t>over recent years (Treasury 2017</w:t>
      </w:r>
      <w:r w:rsidR="00FB1DB1">
        <w:rPr>
          <w:color w:val="auto"/>
        </w:rPr>
        <w:t xml:space="preserve">; </w:t>
      </w:r>
      <w:proofErr w:type="spellStart"/>
      <w:r w:rsidR="00FB1DB1">
        <w:rPr>
          <w:color w:val="auto"/>
        </w:rPr>
        <w:t>Arsov</w:t>
      </w:r>
      <w:proofErr w:type="spellEnd"/>
      <w:r w:rsidR="00FB1DB1">
        <w:rPr>
          <w:color w:val="auto"/>
        </w:rPr>
        <w:t xml:space="preserve"> and Evans 2018</w:t>
      </w:r>
      <w:r>
        <w:rPr>
          <w:color w:val="auto"/>
        </w:rPr>
        <w:t xml:space="preserve">). </w:t>
      </w:r>
      <w:r w:rsidR="00EA2761">
        <w:rPr>
          <w:color w:val="auto"/>
        </w:rPr>
        <w:t>A</w:t>
      </w:r>
      <w:r>
        <w:rPr>
          <w:color w:val="auto"/>
        </w:rPr>
        <w:t xml:space="preserve"> range of an</w:t>
      </w:r>
      <w:r w:rsidRPr="007C3C59">
        <w:rPr>
          <w:color w:val="auto"/>
        </w:rPr>
        <w:t>alys</w:t>
      </w:r>
      <w:r>
        <w:rPr>
          <w:color w:val="auto"/>
        </w:rPr>
        <w:t>e</w:t>
      </w:r>
      <w:r w:rsidR="00947F2B">
        <w:rPr>
          <w:color w:val="auto"/>
        </w:rPr>
        <w:t>s suggest</w:t>
      </w:r>
      <w:r w:rsidR="00154411">
        <w:rPr>
          <w:color w:val="auto"/>
        </w:rPr>
        <w:t xml:space="preserve"> that wage</w:t>
      </w:r>
      <w:r w:rsidRPr="007C3C59">
        <w:rPr>
          <w:color w:val="auto"/>
        </w:rPr>
        <w:t xml:space="preserve"> growth has been lower than can be explained by measures of labour market spare capacity, inflation expectations and output price inflation, and the usual lags between these variables and wage growth</w:t>
      </w:r>
      <w:r w:rsidR="00DE528D">
        <w:rPr>
          <w:color w:val="auto"/>
        </w:rPr>
        <w:t xml:space="preserve"> (e.g. Cassidy 2019)</w:t>
      </w:r>
      <w:r>
        <w:rPr>
          <w:color w:val="auto"/>
        </w:rPr>
        <w:t xml:space="preserve">. This has </w:t>
      </w:r>
      <w:r w:rsidR="00D71E5B">
        <w:rPr>
          <w:color w:val="auto"/>
        </w:rPr>
        <w:t>led to suggestions</w:t>
      </w:r>
      <w:r>
        <w:rPr>
          <w:color w:val="auto"/>
        </w:rPr>
        <w:t xml:space="preserve"> </w:t>
      </w:r>
      <w:r w:rsidRPr="007C3C59">
        <w:rPr>
          <w:color w:val="auto"/>
        </w:rPr>
        <w:t>that</w:t>
      </w:r>
      <w:r>
        <w:rPr>
          <w:color w:val="auto"/>
        </w:rPr>
        <w:t xml:space="preserve"> deeper </w:t>
      </w:r>
      <w:r>
        <w:t xml:space="preserve">structural factors may be at play, </w:t>
      </w:r>
      <w:r>
        <w:rPr>
          <w:color w:val="auto"/>
        </w:rPr>
        <w:t xml:space="preserve">including </w:t>
      </w:r>
      <w:r w:rsidRPr="007C3C59">
        <w:rPr>
          <w:color w:val="auto"/>
        </w:rPr>
        <w:t>changes in competitive dynamics owing to globalisation and technological change</w:t>
      </w:r>
      <w:r>
        <w:rPr>
          <w:color w:val="auto"/>
        </w:rPr>
        <w:t xml:space="preserve"> (Lowe 2018). But systematic evidence on the contribution of these structural factors in Australia is scarce and there is growing recognition that the answers to these questions may lie at the micro rather than the macro level (Weir 2018).</w:t>
      </w:r>
    </w:p>
    <w:p w14:paraId="2996891D" w14:textId="77777777" w:rsidR="00200CF4" w:rsidRDefault="00200CF4" w:rsidP="00200CF4">
      <w:pPr>
        <w:jc w:val="both"/>
        <w:rPr>
          <w:color w:val="auto"/>
        </w:rPr>
      </w:pPr>
      <w:r>
        <w:rPr>
          <w:color w:val="auto"/>
        </w:rPr>
        <w:t xml:space="preserve">Accordingly, this paper </w:t>
      </w:r>
      <w:r w:rsidR="00D71E5B">
        <w:rPr>
          <w:color w:val="auto"/>
        </w:rPr>
        <w:t xml:space="preserve">uses </w:t>
      </w:r>
      <w:r>
        <w:rPr>
          <w:color w:val="auto"/>
        </w:rPr>
        <w:t xml:space="preserve">novel microdata sources </w:t>
      </w:r>
      <w:r w:rsidRPr="00547D4C">
        <w:rPr>
          <w:color w:val="auto"/>
        </w:rPr>
        <w:t xml:space="preserve">to explore the structural </w:t>
      </w:r>
      <w:r w:rsidR="009757C3">
        <w:rPr>
          <w:color w:val="auto"/>
        </w:rPr>
        <w:t xml:space="preserve">sources </w:t>
      </w:r>
      <w:r>
        <w:rPr>
          <w:color w:val="auto"/>
        </w:rPr>
        <w:t>of wage growth in Australia.</w:t>
      </w:r>
      <w:r w:rsidR="00BD7087">
        <w:rPr>
          <w:color w:val="auto"/>
        </w:rPr>
        <w:t xml:space="preserve"> More specifically, we are interested in understanding that </w:t>
      </w:r>
      <w:r w:rsidR="00C06EF8">
        <w:rPr>
          <w:color w:val="auto"/>
        </w:rPr>
        <w:t xml:space="preserve">modest </w:t>
      </w:r>
      <w:r w:rsidR="00BD7087">
        <w:rPr>
          <w:color w:val="auto"/>
        </w:rPr>
        <w:t>port</w:t>
      </w:r>
      <w:r w:rsidR="00C06EF8">
        <w:rPr>
          <w:color w:val="auto"/>
        </w:rPr>
        <w:t xml:space="preserve">ion of weakness in wage growth </w:t>
      </w:r>
      <w:r w:rsidR="00BD7087">
        <w:rPr>
          <w:color w:val="auto"/>
        </w:rPr>
        <w:t xml:space="preserve">that cannot be explained by </w:t>
      </w:r>
      <w:r w:rsidR="00C06EF8">
        <w:rPr>
          <w:color w:val="auto"/>
        </w:rPr>
        <w:t>historical relationship</w:t>
      </w:r>
      <w:r w:rsidR="00880B16">
        <w:rPr>
          <w:color w:val="auto"/>
        </w:rPr>
        <w:t>s</w:t>
      </w:r>
      <w:r w:rsidR="00C06EF8">
        <w:rPr>
          <w:color w:val="auto"/>
        </w:rPr>
        <w:t xml:space="preserve"> with labour market slack, labour productivity and inflation</w:t>
      </w:r>
      <w:r w:rsidR="00BD7087">
        <w:rPr>
          <w:color w:val="auto"/>
        </w:rPr>
        <w:t>.</w:t>
      </w:r>
      <w:r>
        <w:rPr>
          <w:color w:val="auto"/>
        </w:rPr>
        <w:t xml:space="preserve"> Conceptually, we follow Summers and Stansbury (2017) and note that </w:t>
      </w:r>
      <w:r w:rsidR="009A3668">
        <w:rPr>
          <w:color w:val="auto"/>
        </w:rPr>
        <w:t xml:space="preserve">recent </w:t>
      </w:r>
      <w:r>
        <w:rPr>
          <w:color w:val="auto"/>
        </w:rPr>
        <w:t>wage growth could have</w:t>
      </w:r>
      <w:r w:rsidR="00947F2B">
        <w:rPr>
          <w:color w:val="auto"/>
        </w:rPr>
        <w:t xml:space="preserve"> been</w:t>
      </w:r>
      <w:r>
        <w:rPr>
          <w:color w:val="auto"/>
        </w:rPr>
        <w:t xml:space="preserve"> weaker than expected either because there has been a</w:t>
      </w:r>
      <w:r w:rsidR="009A3668">
        <w:rPr>
          <w:color w:val="auto"/>
        </w:rPr>
        <w:t xml:space="preserve"> recent and potentially transient change in either the relationship between</w:t>
      </w:r>
      <w:r>
        <w:rPr>
          <w:color w:val="auto"/>
        </w:rPr>
        <w:t xml:space="preserve"> wages and productivity; or</w:t>
      </w:r>
      <w:r w:rsidR="00947F2B">
        <w:rPr>
          <w:color w:val="auto"/>
        </w:rPr>
        <w:t xml:space="preserve"> because</w:t>
      </w:r>
      <w:r>
        <w:rPr>
          <w:color w:val="auto"/>
        </w:rPr>
        <w:t xml:space="preserve"> the </w:t>
      </w:r>
      <w:r w:rsidR="009A3668">
        <w:rPr>
          <w:color w:val="auto"/>
        </w:rPr>
        <w:t>relationship</w:t>
      </w:r>
      <w:r>
        <w:rPr>
          <w:color w:val="auto"/>
        </w:rPr>
        <w:t xml:space="preserve"> remains </w:t>
      </w:r>
      <w:r w:rsidR="009A3668">
        <w:rPr>
          <w:color w:val="auto"/>
        </w:rPr>
        <w:t xml:space="preserve">the same </w:t>
      </w:r>
      <w:r>
        <w:rPr>
          <w:color w:val="auto"/>
        </w:rPr>
        <w:t xml:space="preserve">but something else has </w:t>
      </w:r>
      <w:r w:rsidR="00947F2B">
        <w:rPr>
          <w:color w:val="auto"/>
        </w:rPr>
        <w:t>weighed on wages</w:t>
      </w:r>
      <w:r>
        <w:rPr>
          <w:color w:val="auto"/>
        </w:rPr>
        <w:t xml:space="preserve">. Since the latter explanation tends to encompass a number of cyclical aspects – such as mismeasurement of labour market slack – we focus our efforts on identifying the underlying structural link between wages and productivity. Empirically, credible identification depends on </w:t>
      </w:r>
      <w:r w:rsidR="00947F2B">
        <w:rPr>
          <w:color w:val="auto"/>
        </w:rPr>
        <w:t>the</w:t>
      </w:r>
      <w:r>
        <w:rPr>
          <w:color w:val="auto"/>
        </w:rPr>
        <w:t xml:space="preserve"> ability to link workers to firms – through the use of </w:t>
      </w:r>
      <w:r w:rsidR="00305AA0">
        <w:rPr>
          <w:color w:val="auto"/>
        </w:rPr>
        <w:t>matched firm-worker data</w:t>
      </w:r>
      <w:r w:rsidR="00580FBC">
        <w:rPr>
          <w:color w:val="auto"/>
        </w:rPr>
        <w:t xml:space="preserve"> –</w:t>
      </w:r>
      <w:r w:rsidR="00305AA0">
        <w:rPr>
          <w:color w:val="auto"/>
        </w:rPr>
        <w:t xml:space="preserve"> </w:t>
      </w:r>
      <w:r>
        <w:rPr>
          <w:color w:val="auto"/>
        </w:rPr>
        <w:t>in order to control for unobserved worker and firm characteristics</w:t>
      </w:r>
      <w:r w:rsidR="00947F2B">
        <w:rPr>
          <w:color w:val="auto"/>
        </w:rPr>
        <w:t>,</w:t>
      </w:r>
      <w:r>
        <w:rPr>
          <w:color w:val="auto"/>
        </w:rPr>
        <w:t xml:space="preserve"> and </w:t>
      </w:r>
      <w:r w:rsidR="0027226F">
        <w:rPr>
          <w:color w:val="auto"/>
        </w:rPr>
        <w:t>the increasing tendency of high-</w:t>
      </w:r>
      <w:r>
        <w:rPr>
          <w:color w:val="auto"/>
        </w:rPr>
        <w:t xml:space="preserve">ability workers to sort </w:t>
      </w:r>
      <w:r w:rsidR="00947F2B">
        <w:rPr>
          <w:color w:val="auto"/>
        </w:rPr>
        <w:t>in</w:t>
      </w:r>
      <w:r>
        <w:rPr>
          <w:color w:val="auto"/>
        </w:rPr>
        <w:t xml:space="preserve">to high productivity firms. </w:t>
      </w:r>
      <w:r w:rsidR="007E72C8" w:rsidRPr="007E72C8">
        <w:rPr>
          <w:color w:val="auto"/>
        </w:rPr>
        <w:t>We thus follow a recent literature that seeks to understand aggregate wage outcomes in terms of the important links that exist bet</w:t>
      </w:r>
      <w:r w:rsidR="007E72C8">
        <w:rPr>
          <w:color w:val="auto"/>
        </w:rPr>
        <w:t>w</w:t>
      </w:r>
      <w:r w:rsidR="007E72C8" w:rsidRPr="007E72C8">
        <w:rPr>
          <w:color w:val="auto"/>
        </w:rPr>
        <w:t>een the dispersion in fi</w:t>
      </w:r>
      <w:r w:rsidR="007E72C8">
        <w:rPr>
          <w:color w:val="auto"/>
        </w:rPr>
        <w:t>rm-</w:t>
      </w:r>
      <w:r w:rsidR="007E72C8" w:rsidRPr="007E72C8">
        <w:rPr>
          <w:color w:val="auto"/>
        </w:rPr>
        <w:t xml:space="preserve">level productivity and worker-level wages within narrowly defined sectors </w:t>
      </w:r>
      <w:r>
        <w:rPr>
          <w:color w:val="auto"/>
        </w:rPr>
        <w:t>(Card</w:t>
      </w:r>
      <w:r w:rsidR="00F51A74">
        <w:rPr>
          <w:color w:val="auto"/>
        </w:rPr>
        <w:t xml:space="preserve">, </w:t>
      </w:r>
      <w:proofErr w:type="spellStart"/>
      <w:r w:rsidR="00F51A74">
        <w:rPr>
          <w:color w:val="auto"/>
        </w:rPr>
        <w:t>Heining</w:t>
      </w:r>
      <w:proofErr w:type="spellEnd"/>
      <w:r w:rsidR="00F51A74">
        <w:rPr>
          <w:color w:val="auto"/>
        </w:rPr>
        <w:t xml:space="preserve"> and </w:t>
      </w:r>
      <w:r w:rsidR="00F51A74" w:rsidRPr="001C4B2D">
        <w:rPr>
          <w:color w:val="auto"/>
        </w:rPr>
        <w:t>Kline</w:t>
      </w:r>
      <w:r w:rsidR="00583308">
        <w:rPr>
          <w:color w:val="auto"/>
        </w:rPr>
        <w:t> </w:t>
      </w:r>
      <w:r w:rsidR="00F51A74" w:rsidRPr="001C4B2D">
        <w:rPr>
          <w:color w:val="auto"/>
        </w:rPr>
        <w:t>2013</w:t>
      </w:r>
      <w:r w:rsidRPr="001C4B2D">
        <w:rPr>
          <w:color w:val="auto"/>
        </w:rPr>
        <w:t>; Bagger et al 2</w:t>
      </w:r>
      <w:r w:rsidR="001C4B2D" w:rsidRPr="001C4B2D">
        <w:rPr>
          <w:color w:val="auto"/>
        </w:rPr>
        <w:t>014</w:t>
      </w:r>
      <w:r>
        <w:rPr>
          <w:color w:val="auto"/>
        </w:rPr>
        <w:t>).</w:t>
      </w:r>
    </w:p>
    <w:p w14:paraId="0F16DC7A" w14:textId="77520698" w:rsidR="00B949BD" w:rsidRDefault="00200CF4" w:rsidP="00200CF4">
      <w:pPr>
        <w:jc w:val="both"/>
        <w:rPr>
          <w:color w:val="auto"/>
        </w:rPr>
      </w:pPr>
      <w:r>
        <w:rPr>
          <w:color w:val="auto"/>
        </w:rPr>
        <w:t>We first document an im</w:t>
      </w:r>
      <w:r w:rsidR="00947F2B">
        <w:rPr>
          <w:color w:val="auto"/>
        </w:rPr>
        <w:t>portant link between individual</w:t>
      </w:r>
      <w:r>
        <w:rPr>
          <w:color w:val="auto"/>
        </w:rPr>
        <w:t>s</w:t>
      </w:r>
      <w:r w:rsidR="00947F2B">
        <w:rPr>
          <w:color w:val="auto"/>
        </w:rPr>
        <w:t>’</w:t>
      </w:r>
      <w:r>
        <w:rPr>
          <w:color w:val="auto"/>
        </w:rPr>
        <w:t xml:space="preserve"> wage</w:t>
      </w:r>
      <w:r w:rsidR="00013813">
        <w:rPr>
          <w:color w:val="auto"/>
        </w:rPr>
        <w:t>s</w:t>
      </w:r>
      <w:r>
        <w:rPr>
          <w:color w:val="auto"/>
        </w:rPr>
        <w:t xml:space="preserve"> and firm-level productivity </w:t>
      </w:r>
      <w:r w:rsidR="001C6379">
        <w:rPr>
          <w:color w:val="auto"/>
        </w:rPr>
        <w:t>over the period 2001</w:t>
      </w:r>
      <w:r w:rsidR="00484F02">
        <w:rPr>
          <w:color w:val="auto"/>
        </w:rPr>
        <w:t>-</w:t>
      </w:r>
      <w:r w:rsidR="001C6379">
        <w:rPr>
          <w:color w:val="auto"/>
        </w:rPr>
        <w:t>02 to 2015</w:t>
      </w:r>
      <w:r w:rsidR="00484F02">
        <w:rPr>
          <w:color w:val="auto"/>
        </w:rPr>
        <w:t>-</w:t>
      </w:r>
      <w:r w:rsidR="001C6379">
        <w:rPr>
          <w:color w:val="auto"/>
        </w:rPr>
        <w:t>16</w:t>
      </w:r>
      <w:r>
        <w:rPr>
          <w:color w:val="auto"/>
        </w:rPr>
        <w:t xml:space="preserve">, consistent with the idea that firms share rents with their workers. </w:t>
      </w:r>
      <w:r w:rsidR="009A3668">
        <w:rPr>
          <w:color w:val="auto"/>
        </w:rPr>
        <w:t xml:space="preserve">Such a link does not arise in neoclassical models of wages, where all firms pay the same wage, but is an empirical regularity in the international literature </w:t>
      </w:r>
      <w:r w:rsidR="00FB1DB1">
        <w:rPr>
          <w:color w:val="auto"/>
        </w:rPr>
        <w:t>and</w:t>
      </w:r>
      <w:r w:rsidR="009A3668">
        <w:rPr>
          <w:color w:val="auto"/>
        </w:rPr>
        <w:t xml:space="preserve"> is consistent with leading models of job search. </w:t>
      </w:r>
      <w:r>
        <w:rPr>
          <w:color w:val="auto"/>
        </w:rPr>
        <w:t>Our estimates – which are the first for Australia – imply that an idiosyncratic shock to firm-level productivity of 10</w:t>
      </w:r>
      <w:r w:rsidR="00551406">
        <w:rPr>
          <w:color w:val="auto"/>
        </w:rPr>
        <w:t> per cent</w:t>
      </w:r>
      <w:r>
        <w:rPr>
          <w:color w:val="auto"/>
        </w:rPr>
        <w:t xml:space="preserve"> is associated with an increase </w:t>
      </w:r>
      <w:r w:rsidR="005045F7">
        <w:rPr>
          <w:color w:val="auto"/>
        </w:rPr>
        <w:t>in</w:t>
      </w:r>
      <w:r>
        <w:rPr>
          <w:color w:val="auto"/>
        </w:rPr>
        <w:t xml:space="preserve"> wage</w:t>
      </w:r>
      <w:r w:rsidR="00634538">
        <w:rPr>
          <w:color w:val="auto"/>
        </w:rPr>
        <w:t>s</w:t>
      </w:r>
      <w:r>
        <w:rPr>
          <w:color w:val="auto"/>
        </w:rPr>
        <w:t xml:space="preserve"> of around 1</w:t>
      </w:r>
      <w:r w:rsidR="00551406">
        <w:rPr>
          <w:color w:val="auto"/>
        </w:rPr>
        <w:t> per cent</w:t>
      </w:r>
      <w:r>
        <w:rPr>
          <w:color w:val="auto"/>
        </w:rPr>
        <w:t xml:space="preserve">, controlling for a battery of time-varying cyclical </w:t>
      </w:r>
      <w:proofErr w:type="spellStart"/>
      <w:r>
        <w:rPr>
          <w:color w:val="auto"/>
        </w:rPr>
        <w:t>shocks</w:t>
      </w:r>
      <w:proofErr w:type="spellEnd"/>
      <w:r>
        <w:rPr>
          <w:color w:val="auto"/>
        </w:rPr>
        <w:t xml:space="preserve"> and assortative matching between high</w:t>
      </w:r>
      <w:r w:rsidR="00AA7208">
        <w:rPr>
          <w:color w:val="auto"/>
        </w:rPr>
        <w:t>-</w:t>
      </w:r>
      <w:r>
        <w:rPr>
          <w:color w:val="auto"/>
        </w:rPr>
        <w:t xml:space="preserve">ability workers and high productivity firms. </w:t>
      </w:r>
      <w:r w:rsidR="00947F2B">
        <w:rPr>
          <w:color w:val="auto"/>
        </w:rPr>
        <w:t>T</w:t>
      </w:r>
      <w:r>
        <w:rPr>
          <w:color w:val="auto"/>
        </w:rPr>
        <w:t>his is around the midpoint of the range of leading international estimates</w:t>
      </w:r>
      <w:r w:rsidR="00700D8A">
        <w:rPr>
          <w:color w:val="auto"/>
        </w:rPr>
        <w:t>, and</w:t>
      </w:r>
      <w:r w:rsidR="00B949BD">
        <w:rPr>
          <w:color w:val="auto"/>
        </w:rPr>
        <w:t xml:space="preserve"> highlights the important link between</w:t>
      </w:r>
      <w:r w:rsidR="00700D8A">
        <w:rPr>
          <w:color w:val="auto"/>
        </w:rPr>
        <w:t xml:space="preserve"> firm</w:t>
      </w:r>
      <w:r w:rsidR="00B949BD">
        <w:rPr>
          <w:color w:val="auto"/>
        </w:rPr>
        <w:t xml:space="preserve"> productivity and wages</w:t>
      </w:r>
      <w:r w:rsidR="00700D8A">
        <w:rPr>
          <w:color w:val="auto"/>
        </w:rPr>
        <w:t>, consistent with recent analysis using firm level data (Treasury 2017)</w:t>
      </w:r>
      <w:r w:rsidR="00947F2B">
        <w:rPr>
          <w:color w:val="auto"/>
        </w:rPr>
        <w:t xml:space="preserve">. </w:t>
      </w:r>
    </w:p>
    <w:p w14:paraId="12BA3B5E" w14:textId="77777777" w:rsidR="00685945" w:rsidRDefault="00947F2B" w:rsidP="00200CF4">
      <w:pPr>
        <w:jc w:val="both"/>
        <w:rPr>
          <w:color w:val="auto"/>
        </w:rPr>
      </w:pPr>
      <w:r>
        <w:rPr>
          <w:color w:val="auto"/>
        </w:rPr>
        <w:t>We also</w:t>
      </w:r>
      <w:r w:rsidR="00200CF4">
        <w:rPr>
          <w:color w:val="auto"/>
        </w:rPr>
        <w:t xml:space="preserve"> </w:t>
      </w:r>
      <w:r w:rsidR="00E75347">
        <w:rPr>
          <w:color w:val="auto"/>
        </w:rPr>
        <w:t>find evidence</w:t>
      </w:r>
      <w:r w:rsidR="00200CF4">
        <w:rPr>
          <w:color w:val="auto"/>
        </w:rPr>
        <w:t xml:space="preserve"> that </w:t>
      </w:r>
      <w:r>
        <w:rPr>
          <w:color w:val="auto"/>
        </w:rPr>
        <w:t xml:space="preserve">this pass-through </w:t>
      </w:r>
      <w:r w:rsidR="00E75347">
        <w:rPr>
          <w:color w:val="auto"/>
        </w:rPr>
        <w:t xml:space="preserve">may have </w:t>
      </w:r>
      <w:r w:rsidR="00200CF4">
        <w:rPr>
          <w:color w:val="auto"/>
        </w:rPr>
        <w:t xml:space="preserve">declined modestly in the period after </w:t>
      </w:r>
      <w:r w:rsidR="00E75347">
        <w:rPr>
          <w:color w:val="auto"/>
        </w:rPr>
        <w:t>20</w:t>
      </w:r>
      <w:r w:rsidR="00A314E7">
        <w:rPr>
          <w:color w:val="auto"/>
        </w:rPr>
        <w:t>12</w:t>
      </w:r>
      <w:r w:rsidR="00E75347">
        <w:rPr>
          <w:color w:val="auto"/>
        </w:rPr>
        <w:t>-1</w:t>
      </w:r>
      <w:r w:rsidR="00A314E7">
        <w:rPr>
          <w:color w:val="auto"/>
        </w:rPr>
        <w:t>3</w:t>
      </w:r>
      <w:r w:rsidR="00200CF4">
        <w:rPr>
          <w:color w:val="auto"/>
        </w:rPr>
        <w:t>, when aggregate wage growth slows.</w:t>
      </w:r>
      <w:r w:rsidR="00CB0D23">
        <w:rPr>
          <w:color w:val="auto"/>
        </w:rPr>
        <w:t xml:space="preserve"> </w:t>
      </w:r>
      <w:r w:rsidR="00200CF4">
        <w:rPr>
          <w:color w:val="auto"/>
        </w:rPr>
        <w:t xml:space="preserve">Drawing aggregate implications from these structural micro-level relationships </w:t>
      </w:r>
      <w:r w:rsidR="009A3668">
        <w:rPr>
          <w:color w:val="auto"/>
        </w:rPr>
        <w:t xml:space="preserve">is </w:t>
      </w:r>
      <w:r w:rsidR="00200CF4">
        <w:rPr>
          <w:color w:val="auto"/>
        </w:rPr>
        <w:t>complex,</w:t>
      </w:r>
      <w:r w:rsidR="009A3668">
        <w:rPr>
          <w:color w:val="auto"/>
        </w:rPr>
        <w:t xml:space="preserve"> reflecting the </w:t>
      </w:r>
      <w:r w:rsidR="001667C2">
        <w:rPr>
          <w:color w:val="auto"/>
        </w:rPr>
        <w:t xml:space="preserve">many </w:t>
      </w:r>
      <w:r w:rsidR="009A3668">
        <w:rPr>
          <w:color w:val="auto"/>
        </w:rPr>
        <w:t>assumptions required to extrapolate</w:t>
      </w:r>
      <w:r w:rsidR="001667C2">
        <w:rPr>
          <w:color w:val="auto"/>
        </w:rPr>
        <w:t xml:space="preserve"> with any confidence</w:t>
      </w:r>
      <w:r w:rsidR="009A3668">
        <w:rPr>
          <w:color w:val="auto"/>
        </w:rPr>
        <w:t xml:space="preserve"> from estimates </w:t>
      </w:r>
      <w:r w:rsidR="00A12C6A">
        <w:rPr>
          <w:color w:val="auto"/>
        </w:rPr>
        <w:t>from the micro</w:t>
      </w:r>
      <w:r w:rsidR="00A12C6A" w:rsidDel="00A12C6A">
        <w:rPr>
          <w:color w:val="auto"/>
        </w:rPr>
        <w:t xml:space="preserve"> </w:t>
      </w:r>
      <w:r w:rsidR="00621E02">
        <w:rPr>
          <w:color w:val="auto"/>
        </w:rPr>
        <w:t xml:space="preserve">-level to the aggregate economy. Indeed, this reflects the more general tension that can at times exist between the internal and external validity of results in empirical work (Roe and Just 2009). </w:t>
      </w:r>
    </w:p>
    <w:p w14:paraId="7B14FDF9" w14:textId="3718F108" w:rsidR="00200CF4" w:rsidRDefault="001667C2" w:rsidP="00200CF4">
      <w:pPr>
        <w:jc w:val="both"/>
        <w:rPr>
          <w:color w:val="auto"/>
        </w:rPr>
      </w:pPr>
      <w:r>
        <w:rPr>
          <w:color w:val="auto"/>
        </w:rPr>
        <w:t>A</w:t>
      </w:r>
      <w:r w:rsidR="00621E02">
        <w:rPr>
          <w:color w:val="auto"/>
        </w:rPr>
        <w:t xml:space="preserve"> </w:t>
      </w:r>
      <w:r w:rsidR="00200CF4">
        <w:rPr>
          <w:color w:val="auto"/>
        </w:rPr>
        <w:t xml:space="preserve">back-of-the-envelope estimate </w:t>
      </w:r>
      <w:r>
        <w:rPr>
          <w:color w:val="auto"/>
        </w:rPr>
        <w:t xml:space="preserve">nonetheless provides useful context, </w:t>
      </w:r>
      <w:r w:rsidR="00200CF4">
        <w:rPr>
          <w:color w:val="auto"/>
        </w:rPr>
        <w:t>suggest</w:t>
      </w:r>
      <w:r>
        <w:rPr>
          <w:color w:val="auto"/>
        </w:rPr>
        <w:t>ing</w:t>
      </w:r>
      <w:r w:rsidR="00200CF4">
        <w:rPr>
          <w:color w:val="auto"/>
        </w:rPr>
        <w:t xml:space="preserve"> that growth in the aggregate wage price index could have been around 0.15</w:t>
      </w:r>
      <w:r w:rsidR="00551406">
        <w:rPr>
          <w:color w:val="auto"/>
        </w:rPr>
        <w:t> </w:t>
      </w:r>
      <w:r w:rsidR="005045F7">
        <w:rPr>
          <w:color w:val="auto"/>
        </w:rPr>
        <w:t xml:space="preserve">percentage points </w:t>
      </w:r>
      <w:r w:rsidR="00200CF4">
        <w:rPr>
          <w:color w:val="auto"/>
        </w:rPr>
        <w:t xml:space="preserve">higher annually after </w:t>
      </w:r>
      <w:r w:rsidR="00E75347">
        <w:rPr>
          <w:color w:val="auto"/>
        </w:rPr>
        <w:t>201</w:t>
      </w:r>
      <w:r w:rsidR="00A314E7">
        <w:rPr>
          <w:color w:val="auto"/>
        </w:rPr>
        <w:t>2</w:t>
      </w:r>
      <w:r w:rsidR="00E75347">
        <w:rPr>
          <w:color w:val="auto"/>
        </w:rPr>
        <w:t>-1</w:t>
      </w:r>
      <w:r w:rsidR="00A314E7">
        <w:rPr>
          <w:color w:val="auto"/>
        </w:rPr>
        <w:t>3</w:t>
      </w:r>
      <w:r w:rsidR="00200CF4">
        <w:rPr>
          <w:color w:val="auto"/>
        </w:rPr>
        <w:t xml:space="preserve">, had </w:t>
      </w:r>
      <w:r>
        <w:rPr>
          <w:color w:val="auto"/>
        </w:rPr>
        <w:t>an aggregate shift in pass-through</w:t>
      </w:r>
      <w:r w:rsidR="00A12C6A">
        <w:rPr>
          <w:color w:val="auto"/>
        </w:rPr>
        <w:t xml:space="preserve"> – equivalent to </w:t>
      </w:r>
      <w:r>
        <w:rPr>
          <w:color w:val="auto"/>
        </w:rPr>
        <w:t xml:space="preserve">the same magnitude as </w:t>
      </w:r>
      <w:r w:rsidR="00A12C6A">
        <w:rPr>
          <w:color w:val="auto"/>
        </w:rPr>
        <w:t>estimated from</w:t>
      </w:r>
      <w:r>
        <w:rPr>
          <w:color w:val="auto"/>
        </w:rPr>
        <w:t xml:space="preserve"> </w:t>
      </w:r>
      <w:r w:rsidR="0027188E">
        <w:rPr>
          <w:color w:val="auto"/>
        </w:rPr>
        <w:t>micro-</w:t>
      </w:r>
      <w:r>
        <w:rPr>
          <w:color w:val="auto"/>
        </w:rPr>
        <w:t>data over this period</w:t>
      </w:r>
      <w:r w:rsidR="00A12C6A">
        <w:rPr>
          <w:color w:val="auto"/>
        </w:rPr>
        <w:t xml:space="preserve"> –</w:t>
      </w:r>
      <w:r>
        <w:rPr>
          <w:color w:val="auto"/>
        </w:rPr>
        <w:t xml:space="preserve"> not occurred</w:t>
      </w:r>
      <w:r w:rsidR="00200CF4">
        <w:rPr>
          <w:color w:val="auto"/>
        </w:rPr>
        <w:t>.</w:t>
      </w:r>
      <w:r w:rsidR="00CB0D23">
        <w:rPr>
          <w:color w:val="auto"/>
        </w:rPr>
        <w:t xml:space="preserve"> </w:t>
      </w:r>
      <w:r w:rsidR="00685945">
        <w:rPr>
          <w:color w:val="auto"/>
        </w:rPr>
        <w:t xml:space="preserve">This </w:t>
      </w:r>
      <w:r w:rsidR="00D7358C">
        <w:rPr>
          <w:color w:val="auto"/>
        </w:rPr>
        <w:t xml:space="preserve">corresponds </w:t>
      </w:r>
      <w:r w:rsidR="00685945">
        <w:rPr>
          <w:color w:val="auto"/>
        </w:rPr>
        <w:t>to around</w:t>
      </w:r>
      <w:r w:rsidR="00D7358C">
        <w:rPr>
          <w:color w:val="auto"/>
        </w:rPr>
        <w:t xml:space="preserve"> one-third</w:t>
      </w:r>
      <w:r w:rsidR="00685945">
        <w:rPr>
          <w:color w:val="auto"/>
        </w:rPr>
        <w:t xml:space="preserve"> of the unexplained weakness in wages growth observed in recent years. </w:t>
      </w:r>
      <w:r w:rsidR="00B94408">
        <w:rPr>
          <w:color w:val="auto"/>
        </w:rPr>
        <w:t>T</w:t>
      </w:r>
      <w:r w:rsidR="00CB0D23">
        <w:rPr>
          <w:color w:val="auto"/>
        </w:rPr>
        <w:t xml:space="preserve">he </w:t>
      </w:r>
      <w:r w:rsidR="00A91547">
        <w:rPr>
          <w:color w:val="auto"/>
        </w:rPr>
        <w:t>change in the relationship between</w:t>
      </w:r>
      <w:r w:rsidR="00CB0D23">
        <w:rPr>
          <w:color w:val="auto"/>
        </w:rPr>
        <w:t xml:space="preserve"> workers</w:t>
      </w:r>
      <w:r>
        <w:rPr>
          <w:color w:val="auto"/>
        </w:rPr>
        <w:t>’</w:t>
      </w:r>
      <w:r w:rsidR="00CB0D23">
        <w:rPr>
          <w:color w:val="auto"/>
        </w:rPr>
        <w:t xml:space="preserve"> wages </w:t>
      </w:r>
      <w:r w:rsidR="00A91547">
        <w:rPr>
          <w:color w:val="auto"/>
        </w:rPr>
        <w:t xml:space="preserve">and </w:t>
      </w:r>
      <w:r w:rsidR="00CB0D23">
        <w:rPr>
          <w:color w:val="auto"/>
        </w:rPr>
        <w:lastRenderedPageBreak/>
        <w:t>firm</w:t>
      </w:r>
      <w:r w:rsidR="00B94408">
        <w:rPr>
          <w:color w:val="auto"/>
        </w:rPr>
        <w:noBreakHyphen/>
      </w:r>
      <w:r w:rsidR="00CB0D23">
        <w:rPr>
          <w:color w:val="auto"/>
        </w:rPr>
        <w:t xml:space="preserve">level productivity </w:t>
      </w:r>
      <w:r w:rsidR="00B94408">
        <w:rPr>
          <w:color w:val="auto"/>
        </w:rPr>
        <w:t xml:space="preserve">thus </w:t>
      </w:r>
      <w:r w:rsidR="00CB0D23">
        <w:rPr>
          <w:color w:val="auto"/>
        </w:rPr>
        <w:t>provides a new mechanism to understand the</w:t>
      </w:r>
      <w:r w:rsidR="00B94408">
        <w:rPr>
          <w:color w:val="auto"/>
        </w:rPr>
        <w:t xml:space="preserve"> meaningful but</w:t>
      </w:r>
      <w:r w:rsidR="00CB0D23">
        <w:rPr>
          <w:color w:val="auto"/>
        </w:rPr>
        <w:t xml:space="preserve"> </w:t>
      </w:r>
      <w:r w:rsidR="00B94408">
        <w:rPr>
          <w:color w:val="auto"/>
        </w:rPr>
        <w:t xml:space="preserve">modest portion of </w:t>
      </w:r>
      <w:r w:rsidR="00A147A1">
        <w:rPr>
          <w:color w:val="auto"/>
        </w:rPr>
        <w:t>the weakness in</w:t>
      </w:r>
      <w:r w:rsidR="00CB0D23">
        <w:rPr>
          <w:color w:val="auto"/>
        </w:rPr>
        <w:t xml:space="preserve"> aggregate wage growth over recent years that</w:t>
      </w:r>
      <w:r w:rsidR="00A147A1">
        <w:rPr>
          <w:color w:val="auto"/>
        </w:rPr>
        <w:t xml:space="preserve"> cannot be explained by historical relationships</w:t>
      </w:r>
      <w:r w:rsidR="00CB0D23">
        <w:rPr>
          <w:color w:val="auto"/>
        </w:rPr>
        <w:t>.</w:t>
      </w:r>
      <w:r w:rsidR="00981BF3">
        <w:rPr>
          <w:color w:val="auto"/>
        </w:rPr>
        <w:t xml:space="preserve"> Given that our dataset</w:t>
      </w:r>
      <w:r w:rsidR="00992146">
        <w:rPr>
          <w:color w:val="auto"/>
        </w:rPr>
        <w:t xml:space="preserve"> for this part of the analysis</w:t>
      </w:r>
      <w:r w:rsidR="00981BF3">
        <w:rPr>
          <w:color w:val="auto"/>
        </w:rPr>
        <w:t xml:space="preserve"> concludes in 201</w:t>
      </w:r>
      <w:r w:rsidR="00992146">
        <w:rPr>
          <w:color w:val="auto"/>
        </w:rPr>
        <w:t>4</w:t>
      </w:r>
      <w:r w:rsidR="00484F02">
        <w:rPr>
          <w:color w:val="auto"/>
        </w:rPr>
        <w:t>-</w:t>
      </w:r>
      <w:r w:rsidR="00981BF3">
        <w:rPr>
          <w:color w:val="auto"/>
        </w:rPr>
        <w:t>1</w:t>
      </w:r>
      <w:r w:rsidR="00992146">
        <w:rPr>
          <w:color w:val="auto"/>
        </w:rPr>
        <w:t>5</w:t>
      </w:r>
      <w:r w:rsidR="00981BF3">
        <w:rPr>
          <w:color w:val="auto"/>
        </w:rPr>
        <w:t>, however, it is not clear whether lower pass-through of productivity to wages has persisted.</w:t>
      </w:r>
    </w:p>
    <w:p w14:paraId="6F602880" w14:textId="77777777" w:rsidR="007039A2" w:rsidRDefault="00200CF4" w:rsidP="00200CF4">
      <w:pPr>
        <w:jc w:val="both"/>
        <w:rPr>
          <w:lang w:val="en-US" w:eastAsia="en-AU"/>
        </w:rPr>
      </w:pPr>
      <w:r w:rsidRPr="00F27452">
        <w:rPr>
          <w:color w:val="auto"/>
        </w:rPr>
        <w:t>W</w:t>
      </w:r>
      <w:r>
        <w:rPr>
          <w:color w:val="auto"/>
        </w:rPr>
        <w:t>e then</w:t>
      </w:r>
      <w:r w:rsidRPr="00F27452">
        <w:rPr>
          <w:color w:val="auto"/>
        </w:rPr>
        <w:t xml:space="preserve"> </w:t>
      </w:r>
      <w:r w:rsidR="00CB0D23">
        <w:rPr>
          <w:color w:val="auto"/>
        </w:rPr>
        <w:t xml:space="preserve">indirectly </w:t>
      </w:r>
      <w:r>
        <w:rPr>
          <w:color w:val="auto"/>
        </w:rPr>
        <w:t xml:space="preserve">explore </w:t>
      </w:r>
      <w:r w:rsidR="00700D8A">
        <w:rPr>
          <w:color w:val="auto"/>
        </w:rPr>
        <w:t>and discuss some</w:t>
      </w:r>
      <w:r>
        <w:rPr>
          <w:color w:val="auto"/>
        </w:rPr>
        <w:t xml:space="preserve"> potential mechanisms for </w:t>
      </w:r>
      <w:r w:rsidRPr="00F27452">
        <w:rPr>
          <w:color w:val="auto"/>
        </w:rPr>
        <w:t xml:space="preserve">this </w:t>
      </w:r>
      <w:r>
        <w:rPr>
          <w:color w:val="auto"/>
        </w:rPr>
        <w:t>apparent</w:t>
      </w:r>
      <w:r w:rsidR="00233BE9">
        <w:rPr>
          <w:color w:val="auto"/>
        </w:rPr>
        <w:t xml:space="preserve"> modest</w:t>
      </w:r>
      <w:r w:rsidR="00A147A1">
        <w:rPr>
          <w:color w:val="auto"/>
        </w:rPr>
        <w:t>,</w:t>
      </w:r>
      <w:r>
        <w:rPr>
          <w:color w:val="auto"/>
        </w:rPr>
        <w:t xml:space="preserve"> </w:t>
      </w:r>
      <w:r w:rsidR="00B94408">
        <w:rPr>
          <w:color w:val="auto"/>
        </w:rPr>
        <w:t>and potentially transient</w:t>
      </w:r>
      <w:r w:rsidR="00A147A1">
        <w:rPr>
          <w:color w:val="auto"/>
        </w:rPr>
        <w:t>,</w:t>
      </w:r>
      <w:r w:rsidR="00B94408">
        <w:rPr>
          <w:color w:val="auto"/>
        </w:rPr>
        <w:t xml:space="preserve"> shift in the relationship between</w:t>
      </w:r>
      <w:r w:rsidRPr="00F27452">
        <w:rPr>
          <w:color w:val="auto"/>
        </w:rPr>
        <w:t xml:space="preserve"> wages </w:t>
      </w:r>
      <w:r w:rsidR="00B94408">
        <w:rPr>
          <w:color w:val="auto"/>
        </w:rPr>
        <w:t>and firm-level</w:t>
      </w:r>
      <w:r w:rsidR="00B94408" w:rsidRPr="00F27452">
        <w:rPr>
          <w:color w:val="auto"/>
        </w:rPr>
        <w:t xml:space="preserve"> </w:t>
      </w:r>
      <w:r w:rsidRPr="00F27452">
        <w:rPr>
          <w:color w:val="auto"/>
        </w:rPr>
        <w:t>productivity</w:t>
      </w:r>
      <w:r>
        <w:rPr>
          <w:color w:val="auto"/>
        </w:rPr>
        <w:t xml:space="preserve">. </w:t>
      </w:r>
      <w:r w:rsidR="00700D8A">
        <w:rPr>
          <w:color w:val="auto"/>
        </w:rPr>
        <w:t>We start by discussing some Australia-specific explanations, such as the notion that there might be a real wage ‘overhang’ following the end of the mining boom</w:t>
      </w:r>
      <w:r w:rsidR="00750938">
        <w:rPr>
          <w:color w:val="auto"/>
        </w:rPr>
        <w:t xml:space="preserve">, </w:t>
      </w:r>
      <w:r w:rsidR="001264B0">
        <w:rPr>
          <w:color w:val="auto"/>
        </w:rPr>
        <w:t xml:space="preserve">or that the shock processes affecting firms </w:t>
      </w:r>
      <w:r w:rsidR="00885D42">
        <w:rPr>
          <w:color w:val="auto"/>
        </w:rPr>
        <w:t xml:space="preserve">might </w:t>
      </w:r>
      <w:r w:rsidR="001264B0">
        <w:rPr>
          <w:color w:val="auto"/>
        </w:rPr>
        <w:t>have changed</w:t>
      </w:r>
      <w:r w:rsidR="00700D8A">
        <w:rPr>
          <w:color w:val="auto"/>
        </w:rPr>
        <w:t xml:space="preserve">. </w:t>
      </w:r>
      <w:r w:rsidR="0084756F">
        <w:rPr>
          <w:color w:val="auto"/>
        </w:rPr>
        <w:t>Reflecting the fact that</w:t>
      </w:r>
      <w:r w:rsidR="007039A2">
        <w:rPr>
          <w:color w:val="auto"/>
        </w:rPr>
        <w:t xml:space="preserve"> </w:t>
      </w:r>
      <w:r w:rsidR="007039A2">
        <w:rPr>
          <w:lang w:val="en-US" w:eastAsia="en-AU"/>
        </w:rPr>
        <w:t>wage growth has been unexpectedly low in a number of advanced ec</w:t>
      </w:r>
      <w:r w:rsidR="004B1403">
        <w:rPr>
          <w:lang w:val="en-US" w:eastAsia="en-AU"/>
        </w:rPr>
        <w:t>onomies over the past few years,</w:t>
      </w:r>
      <w:r w:rsidR="007039A2">
        <w:rPr>
          <w:lang w:val="en-US" w:eastAsia="en-AU"/>
        </w:rPr>
        <w:t xml:space="preserve"> we then go on to explore </w:t>
      </w:r>
      <w:r w:rsidR="0011762D">
        <w:rPr>
          <w:lang w:val="en-US" w:eastAsia="en-AU"/>
        </w:rPr>
        <w:t xml:space="preserve">in more detail </w:t>
      </w:r>
      <w:r w:rsidR="007039A2">
        <w:rPr>
          <w:lang w:val="en-US" w:eastAsia="en-AU"/>
        </w:rPr>
        <w:t xml:space="preserve">two </w:t>
      </w:r>
      <w:r w:rsidR="0011762D">
        <w:rPr>
          <w:lang w:val="en-US" w:eastAsia="en-AU"/>
        </w:rPr>
        <w:t>explanations that are more ‘global’ in nature</w:t>
      </w:r>
      <w:r w:rsidR="007039A2">
        <w:rPr>
          <w:lang w:val="en-US" w:eastAsia="en-AU"/>
        </w:rPr>
        <w:t>.</w:t>
      </w:r>
    </w:p>
    <w:p w14:paraId="56FE97D5" w14:textId="02BBF904" w:rsidR="00200CF4" w:rsidRDefault="007039A2" w:rsidP="00200CF4">
      <w:pPr>
        <w:jc w:val="both"/>
        <w:rPr>
          <w:color w:val="auto"/>
          <w:lang w:val="en-US" w:eastAsia="en-AU"/>
        </w:rPr>
      </w:pPr>
      <w:r>
        <w:rPr>
          <w:color w:val="auto"/>
        </w:rPr>
        <w:t xml:space="preserve">The first is the decline in labour market fluidity, which has been documented for the </w:t>
      </w:r>
      <w:r w:rsidR="00CC28E2">
        <w:rPr>
          <w:color w:val="auto"/>
        </w:rPr>
        <w:t>United States (US)</w:t>
      </w:r>
      <w:r>
        <w:rPr>
          <w:color w:val="auto"/>
        </w:rPr>
        <w:t xml:space="preserve"> and which we document for Australia. T</w:t>
      </w:r>
      <w:r w:rsidR="00200CF4">
        <w:rPr>
          <w:color w:val="auto"/>
          <w:lang w:val="en-US" w:eastAsia="en-AU"/>
        </w:rPr>
        <w:t xml:space="preserve">o the </w:t>
      </w:r>
      <w:r w:rsidR="00200CF4">
        <w:rPr>
          <w:color w:val="auto"/>
        </w:rPr>
        <w:t>extent that</w:t>
      </w:r>
      <w:r w:rsidR="00200CF4" w:rsidRPr="00F85A69">
        <w:rPr>
          <w:color w:val="auto"/>
          <w:lang w:val="en-US" w:eastAsia="en-AU"/>
        </w:rPr>
        <w:t xml:space="preserve"> </w:t>
      </w:r>
      <w:r w:rsidR="00236D08">
        <w:rPr>
          <w:color w:val="auto"/>
          <w:lang w:val="en-US" w:eastAsia="en-AU"/>
        </w:rPr>
        <w:t xml:space="preserve">it </w:t>
      </w:r>
      <w:r w:rsidR="00200CF4">
        <w:rPr>
          <w:color w:val="auto"/>
          <w:lang w:val="en-US" w:eastAsia="en-AU"/>
        </w:rPr>
        <w:t>implies fewer</w:t>
      </w:r>
      <w:r w:rsidR="00200CF4" w:rsidRPr="00F85A69">
        <w:rPr>
          <w:color w:val="auto"/>
          <w:lang w:val="en-US" w:eastAsia="en-AU"/>
        </w:rPr>
        <w:t xml:space="preserve"> outside options</w:t>
      </w:r>
      <w:r>
        <w:rPr>
          <w:color w:val="auto"/>
          <w:lang w:val="en-US" w:eastAsia="en-AU"/>
        </w:rPr>
        <w:t xml:space="preserve"> for workers, lower labour market fluidity</w:t>
      </w:r>
      <w:r w:rsidR="00200CF4">
        <w:rPr>
          <w:color w:val="auto"/>
          <w:lang w:val="en-US" w:eastAsia="en-AU"/>
        </w:rPr>
        <w:t xml:space="preserve"> may have reduced workers’ </w:t>
      </w:r>
      <w:r w:rsidR="00B94408">
        <w:rPr>
          <w:color w:val="auto"/>
          <w:lang w:val="en-US" w:eastAsia="en-AU"/>
        </w:rPr>
        <w:t xml:space="preserve">confidence and </w:t>
      </w:r>
      <w:r w:rsidR="00200CF4">
        <w:rPr>
          <w:color w:val="auto"/>
          <w:lang w:val="en-US" w:eastAsia="en-AU"/>
        </w:rPr>
        <w:t>power</w:t>
      </w:r>
      <w:r w:rsidR="00B94408">
        <w:rPr>
          <w:color w:val="auto"/>
          <w:lang w:val="en-US" w:eastAsia="en-AU"/>
        </w:rPr>
        <w:t xml:space="preserve"> in negotiations,</w:t>
      </w:r>
      <w:r w:rsidR="00200CF4">
        <w:rPr>
          <w:color w:val="auto"/>
          <w:lang w:val="en-US" w:eastAsia="en-AU"/>
        </w:rPr>
        <w:t xml:space="preserve"> and thus</w:t>
      </w:r>
      <w:r w:rsidR="0011762D">
        <w:rPr>
          <w:color w:val="auto"/>
          <w:lang w:val="en-US" w:eastAsia="en-AU"/>
        </w:rPr>
        <w:t xml:space="preserve"> lowered</w:t>
      </w:r>
      <w:r w:rsidR="00200CF4">
        <w:rPr>
          <w:color w:val="auto"/>
          <w:lang w:val="en-US" w:eastAsia="en-AU"/>
        </w:rPr>
        <w:t xml:space="preserve"> </w:t>
      </w:r>
      <w:r w:rsidR="004B1403">
        <w:rPr>
          <w:color w:val="auto"/>
          <w:lang w:val="en-US" w:eastAsia="en-AU"/>
        </w:rPr>
        <w:t xml:space="preserve">the </w:t>
      </w:r>
      <w:r w:rsidR="00200CF4">
        <w:rPr>
          <w:color w:val="auto"/>
          <w:lang w:val="en-US" w:eastAsia="en-AU"/>
        </w:rPr>
        <w:t>scope for</w:t>
      </w:r>
      <w:r w:rsidR="00200CF4" w:rsidRPr="00F85A69">
        <w:rPr>
          <w:color w:val="auto"/>
          <w:lang w:val="en-US" w:eastAsia="en-AU"/>
        </w:rPr>
        <w:t xml:space="preserve"> rent sharing</w:t>
      </w:r>
      <w:r w:rsidR="00200CF4">
        <w:rPr>
          <w:color w:val="auto"/>
          <w:lang w:val="en-US" w:eastAsia="en-AU"/>
        </w:rPr>
        <w:t>.</w:t>
      </w:r>
      <w:r w:rsidR="00A147A1">
        <w:rPr>
          <w:color w:val="auto"/>
          <w:lang w:val="en-US" w:eastAsia="en-AU"/>
        </w:rPr>
        <w:t xml:space="preserve"> Equally, </w:t>
      </w:r>
      <w:r w:rsidR="004B1403">
        <w:rPr>
          <w:color w:val="auto"/>
          <w:lang w:val="en-US" w:eastAsia="en-AU"/>
        </w:rPr>
        <w:t>lower labour market fluidity</w:t>
      </w:r>
      <w:r w:rsidR="00A147A1">
        <w:rPr>
          <w:color w:val="auto"/>
          <w:lang w:val="en-US" w:eastAsia="en-AU"/>
        </w:rPr>
        <w:t xml:space="preserve"> could reflect decreased feelings of job </w:t>
      </w:r>
      <w:r w:rsidR="00D15F27">
        <w:rPr>
          <w:color w:val="auto"/>
          <w:lang w:val="en-US" w:eastAsia="en-AU"/>
        </w:rPr>
        <w:t>security</w:t>
      </w:r>
      <w:r w:rsidR="00A147A1">
        <w:rPr>
          <w:color w:val="auto"/>
          <w:lang w:val="en-US" w:eastAsia="en-AU"/>
        </w:rPr>
        <w:t xml:space="preserve"> amongst workers due to </w:t>
      </w:r>
      <w:proofErr w:type="spellStart"/>
      <w:r w:rsidR="00A147A1">
        <w:rPr>
          <w:color w:val="auto"/>
          <w:lang w:val="en-US" w:eastAsia="en-AU"/>
        </w:rPr>
        <w:t>gl</w:t>
      </w:r>
      <w:r w:rsidR="0027188E">
        <w:rPr>
          <w:color w:val="auto"/>
          <w:lang w:val="en-US" w:eastAsia="en-AU"/>
        </w:rPr>
        <w:t>o</w:t>
      </w:r>
      <w:r w:rsidR="00A147A1">
        <w:rPr>
          <w:color w:val="auto"/>
          <w:lang w:val="en-US" w:eastAsia="en-AU"/>
        </w:rPr>
        <w:t>balisation</w:t>
      </w:r>
      <w:proofErr w:type="spellEnd"/>
      <w:r w:rsidR="00A147A1">
        <w:rPr>
          <w:color w:val="auto"/>
          <w:lang w:val="en-US" w:eastAsia="en-AU"/>
        </w:rPr>
        <w:t xml:space="preserve"> and technological advancement (Lowe 2018).</w:t>
      </w:r>
      <w:r w:rsidR="00200CF4">
        <w:rPr>
          <w:color w:val="auto"/>
          <w:lang w:val="en-US" w:eastAsia="en-AU"/>
        </w:rPr>
        <w:t xml:space="preserve"> Consistent with </w:t>
      </w:r>
      <w:r w:rsidR="00A147A1">
        <w:rPr>
          <w:color w:val="auto"/>
          <w:lang w:val="en-US" w:eastAsia="en-AU"/>
        </w:rPr>
        <w:t>both of these</w:t>
      </w:r>
      <w:r w:rsidR="00200CF4">
        <w:rPr>
          <w:color w:val="auto"/>
          <w:lang w:val="en-US" w:eastAsia="en-AU"/>
        </w:rPr>
        <w:t>, we discuss recent evidence which shows that</w:t>
      </w:r>
      <w:r w:rsidR="00236D08">
        <w:rPr>
          <w:color w:val="auto"/>
          <w:lang w:val="en-US" w:eastAsia="en-AU"/>
        </w:rPr>
        <w:t xml:space="preserve"> higher job switching rates </w:t>
      </w:r>
      <w:r w:rsidR="00947F2B">
        <w:rPr>
          <w:color w:val="auto"/>
          <w:lang w:val="en-US" w:eastAsia="en-AU"/>
        </w:rPr>
        <w:t>are</w:t>
      </w:r>
      <w:r w:rsidR="00200CF4">
        <w:rPr>
          <w:color w:val="auto"/>
          <w:lang w:val="en-US" w:eastAsia="en-AU"/>
        </w:rPr>
        <w:t xml:space="preserve"> associated with</w:t>
      </w:r>
      <w:r w:rsidR="00154411">
        <w:rPr>
          <w:color w:val="auto"/>
          <w:lang w:val="en-US" w:eastAsia="en-AU"/>
        </w:rPr>
        <w:t xml:space="preserve"> higher wage</w:t>
      </w:r>
      <w:r w:rsidR="00200CF4">
        <w:rPr>
          <w:color w:val="auto"/>
          <w:lang w:val="en-US" w:eastAsia="en-AU"/>
        </w:rPr>
        <w:t xml:space="preserve"> growth</w:t>
      </w:r>
      <w:r w:rsidR="00236D08">
        <w:rPr>
          <w:color w:val="auto"/>
          <w:lang w:val="en-US" w:eastAsia="en-AU"/>
        </w:rPr>
        <w:t xml:space="preserve"> at the local labo</w:t>
      </w:r>
      <w:r w:rsidR="00704089">
        <w:rPr>
          <w:color w:val="auto"/>
          <w:lang w:val="en-US" w:eastAsia="en-AU"/>
        </w:rPr>
        <w:t>u</w:t>
      </w:r>
      <w:r w:rsidR="00236D08">
        <w:rPr>
          <w:color w:val="auto"/>
          <w:lang w:val="en-US" w:eastAsia="en-AU"/>
        </w:rPr>
        <w:t>r market level</w:t>
      </w:r>
      <w:r>
        <w:rPr>
          <w:color w:val="auto"/>
          <w:lang w:val="en-US" w:eastAsia="en-AU"/>
        </w:rPr>
        <w:t xml:space="preserve"> in Australia</w:t>
      </w:r>
      <w:r w:rsidR="00200CF4">
        <w:rPr>
          <w:color w:val="auto"/>
          <w:lang w:val="en-US" w:eastAsia="en-AU"/>
        </w:rPr>
        <w:t xml:space="preserve">, </w:t>
      </w:r>
      <w:r w:rsidR="00236D08">
        <w:rPr>
          <w:color w:val="auto"/>
          <w:lang w:val="en-US" w:eastAsia="en-AU"/>
        </w:rPr>
        <w:t xml:space="preserve">even </w:t>
      </w:r>
      <w:r w:rsidR="00200CF4">
        <w:rPr>
          <w:color w:val="auto"/>
          <w:lang w:val="en-US" w:eastAsia="en-AU"/>
        </w:rPr>
        <w:t>after controlling for a range of cyclical and demographic factors. Moreover, even workers who remain with their incumbent employer</w:t>
      </w:r>
      <w:r w:rsidR="0011762D">
        <w:rPr>
          <w:color w:val="auto"/>
          <w:lang w:val="en-US" w:eastAsia="en-AU"/>
        </w:rPr>
        <w:t xml:space="preserve"> appear to</w:t>
      </w:r>
      <w:r w:rsidR="00200CF4">
        <w:rPr>
          <w:color w:val="auto"/>
          <w:lang w:val="en-US" w:eastAsia="en-AU"/>
        </w:rPr>
        <w:t xml:space="preserve"> benefit from more fluid labour markets</w:t>
      </w:r>
      <w:r w:rsidR="0011762D">
        <w:rPr>
          <w:color w:val="auto"/>
          <w:lang w:val="en-US" w:eastAsia="en-AU"/>
        </w:rPr>
        <w:t>, which</w:t>
      </w:r>
      <w:r w:rsidR="00200CF4">
        <w:rPr>
          <w:color w:val="auto"/>
          <w:lang w:val="en-US" w:eastAsia="en-AU"/>
        </w:rPr>
        <w:t xml:space="preserve"> </w:t>
      </w:r>
      <w:r w:rsidR="0011762D">
        <w:rPr>
          <w:color w:val="auto"/>
          <w:lang w:val="en-US" w:eastAsia="en-AU"/>
        </w:rPr>
        <w:t>provides further evidence</w:t>
      </w:r>
      <w:r w:rsidR="00200CF4">
        <w:rPr>
          <w:color w:val="auto"/>
          <w:lang w:val="en-US" w:eastAsia="en-AU"/>
        </w:rPr>
        <w:t xml:space="preserve"> that the decline in job switching rates – to the extent it is structural – could </w:t>
      </w:r>
      <w:r w:rsidR="00A147A1">
        <w:rPr>
          <w:color w:val="auto"/>
          <w:lang w:val="en-US" w:eastAsia="en-AU"/>
        </w:rPr>
        <w:t>be related</w:t>
      </w:r>
      <w:r w:rsidR="00200CF4">
        <w:rPr>
          <w:color w:val="auto"/>
          <w:lang w:val="en-US" w:eastAsia="en-AU"/>
        </w:rPr>
        <w:t xml:space="preserve"> to</w:t>
      </w:r>
      <w:r w:rsidR="00D52536">
        <w:rPr>
          <w:color w:val="auto"/>
          <w:lang w:val="en-US" w:eastAsia="en-AU"/>
        </w:rPr>
        <w:t xml:space="preserve"> the</w:t>
      </w:r>
      <w:r w:rsidR="00200CF4">
        <w:rPr>
          <w:color w:val="auto"/>
          <w:lang w:val="en-US" w:eastAsia="en-AU"/>
        </w:rPr>
        <w:t xml:space="preserve"> </w:t>
      </w:r>
      <w:r w:rsidR="00B94408">
        <w:rPr>
          <w:color w:val="auto"/>
          <w:lang w:val="en-US" w:eastAsia="en-AU"/>
        </w:rPr>
        <w:t>shift in rent-sharing</w:t>
      </w:r>
      <w:r w:rsidR="00200CF4">
        <w:rPr>
          <w:color w:val="auto"/>
          <w:lang w:val="en-US" w:eastAsia="en-AU"/>
        </w:rPr>
        <w:t>.</w:t>
      </w:r>
    </w:p>
    <w:p w14:paraId="00139E6D" w14:textId="482BA567" w:rsidR="00200CF4" w:rsidRDefault="00200CF4" w:rsidP="00200CF4">
      <w:pPr>
        <w:jc w:val="both"/>
        <w:rPr>
          <w:color w:val="auto"/>
        </w:rPr>
      </w:pPr>
      <w:r>
        <w:rPr>
          <w:color w:val="auto"/>
          <w:lang w:val="en-US" w:eastAsia="en-AU"/>
        </w:rPr>
        <w:t xml:space="preserve">Second, we </w:t>
      </w:r>
      <w:r w:rsidRPr="00F85A69">
        <w:rPr>
          <w:color w:val="auto"/>
        </w:rPr>
        <w:t xml:space="preserve">explore the conjecture that given </w:t>
      </w:r>
      <w:r>
        <w:rPr>
          <w:color w:val="auto"/>
        </w:rPr>
        <w:t>the</w:t>
      </w:r>
      <w:r w:rsidRPr="00F85A69">
        <w:rPr>
          <w:color w:val="auto"/>
        </w:rPr>
        <w:t xml:space="preserve"> </w:t>
      </w:r>
      <w:r>
        <w:rPr>
          <w:color w:val="auto"/>
        </w:rPr>
        <w:t xml:space="preserve">rising </w:t>
      </w:r>
      <w:r w:rsidRPr="00F85A69">
        <w:rPr>
          <w:color w:val="auto"/>
        </w:rPr>
        <w:t xml:space="preserve">productivity gap between </w:t>
      </w:r>
      <w:r>
        <w:rPr>
          <w:color w:val="auto"/>
        </w:rPr>
        <w:t xml:space="preserve">frontier </w:t>
      </w:r>
      <w:r w:rsidRPr="00F85A69">
        <w:rPr>
          <w:color w:val="auto"/>
        </w:rPr>
        <w:t>and laggard</w:t>
      </w:r>
      <w:r>
        <w:rPr>
          <w:color w:val="auto"/>
        </w:rPr>
        <w:t xml:space="preserve"> firm</w:t>
      </w:r>
      <w:r w:rsidRPr="00F85A69">
        <w:rPr>
          <w:color w:val="auto"/>
        </w:rPr>
        <w:t>s</w:t>
      </w:r>
      <w:r>
        <w:rPr>
          <w:color w:val="auto"/>
        </w:rPr>
        <w:t xml:space="preserve"> observed internationally </w:t>
      </w:r>
      <w:r w:rsidRPr="00F85A69">
        <w:rPr>
          <w:color w:val="auto"/>
        </w:rPr>
        <w:t xml:space="preserve">(Andrews, </w:t>
      </w:r>
      <w:proofErr w:type="spellStart"/>
      <w:r w:rsidRPr="00F85A69">
        <w:rPr>
          <w:color w:val="auto"/>
        </w:rPr>
        <w:t>Criscuolo</w:t>
      </w:r>
      <w:proofErr w:type="spellEnd"/>
      <w:r w:rsidRPr="00F85A69">
        <w:rPr>
          <w:color w:val="auto"/>
        </w:rPr>
        <w:t xml:space="preserve"> and Gal 201</w:t>
      </w:r>
      <w:r w:rsidR="00F51A74">
        <w:rPr>
          <w:color w:val="auto"/>
        </w:rPr>
        <w:t>5</w:t>
      </w:r>
      <w:r w:rsidR="005045F7">
        <w:rPr>
          <w:color w:val="auto"/>
        </w:rPr>
        <w:t>,</w:t>
      </w:r>
      <w:r w:rsidR="00CB0D23">
        <w:rPr>
          <w:color w:val="auto"/>
        </w:rPr>
        <w:t xml:space="preserve"> 2016</w:t>
      </w:r>
      <w:r w:rsidRPr="00F85A69">
        <w:rPr>
          <w:color w:val="auto"/>
        </w:rPr>
        <w:t>), laggard firms may try to cut costs</w:t>
      </w:r>
      <w:r>
        <w:rPr>
          <w:color w:val="auto"/>
        </w:rPr>
        <w:t xml:space="preserve"> </w:t>
      </w:r>
      <w:r w:rsidRPr="00F85A69">
        <w:rPr>
          <w:color w:val="auto"/>
        </w:rPr>
        <w:t>to compete, lead</w:t>
      </w:r>
      <w:r>
        <w:rPr>
          <w:color w:val="auto"/>
        </w:rPr>
        <w:t>ing</w:t>
      </w:r>
      <w:r w:rsidRPr="00F85A69">
        <w:rPr>
          <w:color w:val="auto"/>
        </w:rPr>
        <w:t xml:space="preserve"> their wages </w:t>
      </w:r>
      <w:r>
        <w:rPr>
          <w:color w:val="auto"/>
        </w:rPr>
        <w:t xml:space="preserve">to be </w:t>
      </w:r>
      <w:r w:rsidRPr="00F85A69">
        <w:rPr>
          <w:color w:val="auto"/>
        </w:rPr>
        <w:t>less responsive to productivity (Weir 2018)</w:t>
      </w:r>
      <w:r>
        <w:rPr>
          <w:color w:val="auto"/>
        </w:rPr>
        <w:t xml:space="preserve">. </w:t>
      </w:r>
      <w:r>
        <w:t xml:space="preserve">While this explanation </w:t>
      </w:r>
      <w:r w:rsidR="00236D08">
        <w:t>may be</w:t>
      </w:r>
      <w:r>
        <w:t xml:space="preserve"> relevant for a number of OECD countries, </w:t>
      </w:r>
      <w:r>
        <w:rPr>
          <w:color w:val="auto"/>
        </w:rPr>
        <w:t>it does no</w:t>
      </w:r>
      <w:r w:rsidR="00B37CC9">
        <w:rPr>
          <w:color w:val="auto"/>
        </w:rPr>
        <w:t>t appear to</w:t>
      </w:r>
      <w:r>
        <w:rPr>
          <w:color w:val="auto"/>
        </w:rPr>
        <w:t xml:space="preserve"> fit the Australian data. This is not to say that technology does not influence wages and productivity. Instead, the two necessary ingredients for the technology diffusion argument – namely noticeable increases firm-level productivity dispersion</w:t>
      </w:r>
      <w:r w:rsidR="00D52536">
        <w:rPr>
          <w:color w:val="auto"/>
        </w:rPr>
        <w:t>,</w:t>
      </w:r>
      <w:r>
        <w:rPr>
          <w:color w:val="auto"/>
        </w:rPr>
        <w:t xml:space="preserve"> and </w:t>
      </w:r>
      <w:r w:rsidR="00D52536">
        <w:rPr>
          <w:color w:val="auto"/>
        </w:rPr>
        <w:t xml:space="preserve">growing </w:t>
      </w:r>
      <w:r>
        <w:rPr>
          <w:color w:val="auto"/>
        </w:rPr>
        <w:t xml:space="preserve">wage inequality driven by differences in average wages paid </w:t>
      </w:r>
      <w:r w:rsidR="007039A2">
        <w:rPr>
          <w:color w:val="auto"/>
        </w:rPr>
        <w:t>between</w:t>
      </w:r>
      <w:r>
        <w:rPr>
          <w:color w:val="auto"/>
        </w:rPr>
        <w:t xml:space="preserve"> firms – </w:t>
      </w:r>
      <w:r w:rsidR="00D7358C">
        <w:rPr>
          <w:color w:val="auto"/>
        </w:rPr>
        <w:t>are less</w:t>
      </w:r>
      <w:r w:rsidR="00B37CC9">
        <w:rPr>
          <w:color w:val="auto"/>
        </w:rPr>
        <w:t xml:space="preserve"> evident</w:t>
      </w:r>
      <w:r>
        <w:rPr>
          <w:color w:val="auto"/>
        </w:rPr>
        <w:t xml:space="preserve"> in Australia.</w:t>
      </w:r>
    </w:p>
    <w:p w14:paraId="0BB1591F" w14:textId="77777777" w:rsidR="00200CF4" w:rsidRDefault="00200CF4" w:rsidP="00200CF4">
      <w:pPr>
        <w:jc w:val="both"/>
        <w:rPr>
          <w:color w:val="auto"/>
        </w:rPr>
      </w:pPr>
      <w:r>
        <w:rPr>
          <w:color w:val="auto"/>
        </w:rPr>
        <w:t xml:space="preserve">Finally, even if </w:t>
      </w:r>
      <w:r w:rsidR="00236D08">
        <w:rPr>
          <w:color w:val="auto"/>
        </w:rPr>
        <w:t xml:space="preserve">the </w:t>
      </w:r>
      <w:r w:rsidR="006E6921">
        <w:rPr>
          <w:color w:val="auto"/>
        </w:rPr>
        <w:t xml:space="preserve">shift in the relationship between wages and firm-level productivity </w:t>
      </w:r>
      <w:r>
        <w:rPr>
          <w:color w:val="auto"/>
        </w:rPr>
        <w:t xml:space="preserve">had not occurred, </w:t>
      </w:r>
      <w:r w:rsidR="00A12C6A">
        <w:rPr>
          <w:color w:val="auto"/>
        </w:rPr>
        <w:t xml:space="preserve">aggregate wage growth may still have been affected by </w:t>
      </w:r>
      <w:r>
        <w:rPr>
          <w:color w:val="auto"/>
        </w:rPr>
        <w:t>changing patterns of within-industry labour reallocation.</w:t>
      </w:r>
      <w:r w:rsidRPr="000A123C">
        <w:t xml:space="preserve"> </w:t>
      </w:r>
      <w:r>
        <w:t>In</w:t>
      </w:r>
      <w:r w:rsidR="009025B0">
        <w:t xml:space="preserve">deed, </w:t>
      </w:r>
      <w:r>
        <w:t xml:space="preserve">the period of low aggregate wage growth </w:t>
      </w:r>
      <w:r w:rsidR="009025B0">
        <w:t xml:space="preserve">has </w:t>
      </w:r>
      <w:r>
        <w:t xml:space="preserve">coincided with a slowdown in the extent </w:t>
      </w:r>
      <w:r w:rsidR="00D52536">
        <w:t>to which</w:t>
      </w:r>
      <w:r>
        <w:t xml:space="preserve"> labour is reallocated from less productive to more productive firms. Given high productivity firms pay higher wages, </w:t>
      </w:r>
      <w:r w:rsidR="009025B0">
        <w:t>slowing</w:t>
      </w:r>
      <w:r w:rsidR="00D52536">
        <w:t xml:space="preserve"> reallocation</w:t>
      </w:r>
      <w:r>
        <w:t xml:space="preserve"> implies that few</w:t>
      </w:r>
      <w:r>
        <w:rPr>
          <w:color w:val="auto"/>
        </w:rPr>
        <w:t>er high paying jobs are being created than otherwise</w:t>
      </w:r>
      <w:r>
        <w:t xml:space="preserve">. We consider this compositional effect separate from the </w:t>
      </w:r>
      <w:r w:rsidR="00192398">
        <w:t>relationship between wages and productivity</w:t>
      </w:r>
      <w:r w:rsidR="00A147A1">
        <w:t>,</w:t>
      </w:r>
      <w:r w:rsidR="00192398">
        <w:t xml:space="preserve"> </w:t>
      </w:r>
      <w:r>
        <w:t xml:space="preserve">as it implies both lower </w:t>
      </w:r>
      <w:r w:rsidR="00154411">
        <w:t>aggregate productivity and wage</w:t>
      </w:r>
      <w:r>
        <w:t xml:space="preserve"> growth.</w:t>
      </w:r>
    </w:p>
    <w:p w14:paraId="2DB4C378" w14:textId="1BF1DF55" w:rsidR="00200CF4" w:rsidRDefault="00200CF4" w:rsidP="00981BF3">
      <w:pPr>
        <w:jc w:val="both"/>
        <w:rPr>
          <w:color w:val="auto"/>
        </w:rPr>
      </w:pPr>
      <w:r>
        <w:t>Overall,</w:t>
      </w:r>
      <w:r>
        <w:rPr>
          <w:color w:val="auto"/>
        </w:rPr>
        <w:t xml:space="preserve"> what emerges is not a single unified </w:t>
      </w:r>
      <w:r w:rsidR="00236D08">
        <w:rPr>
          <w:color w:val="auto"/>
        </w:rPr>
        <w:t>explanation of</w:t>
      </w:r>
      <w:r>
        <w:rPr>
          <w:color w:val="auto"/>
        </w:rPr>
        <w:t xml:space="preserve"> slow</w:t>
      </w:r>
      <w:r w:rsidR="00EA2761">
        <w:rPr>
          <w:color w:val="auto"/>
        </w:rPr>
        <w:t>er</w:t>
      </w:r>
      <w:r>
        <w:rPr>
          <w:color w:val="auto"/>
        </w:rPr>
        <w:t xml:space="preserve"> aggregate wage growth</w:t>
      </w:r>
      <w:r w:rsidR="00236D08">
        <w:rPr>
          <w:color w:val="auto"/>
        </w:rPr>
        <w:t>,</w:t>
      </w:r>
      <w:r w:rsidR="004F34D1">
        <w:rPr>
          <w:color w:val="auto"/>
        </w:rPr>
        <w:t xml:space="preserve"> but rather </w:t>
      </w:r>
      <w:r w:rsidR="00E75347">
        <w:rPr>
          <w:color w:val="auto"/>
        </w:rPr>
        <w:t>a pattern of</w:t>
      </w:r>
      <w:r w:rsidR="004F34D1">
        <w:rPr>
          <w:color w:val="auto"/>
        </w:rPr>
        <w:t xml:space="preserve"> evidence </w:t>
      </w:r>
      <w:r>
        <w:rPr>
          <w:color w:val="auto"/>
        </w:rPr>
        <w:t>that lend</w:t>
      </w:r>
      <w:r w:rsidR="00E75347">
        <w:rPr>
          <w:color w:val="auto"/>
        </w:rPr>
        <w:t>s</w:t>
      </w:r>
      <w:r>
        <w:rPr>
          <w:color w:val="auto"/>
        </w:rPr>
        <w:t xml:space="preserve"> </w:t>
      </w:r>
      <w:r w:rsidRPr="004E5EBB">
        <w:rPr>
          <w:color w:val="auto"/>
        </w:rPr>
        <w:t>credence to the idea that structur</w:t>
      </w:r>
      <w:r w:rsidR="00236D08">
        <w:rPr>
          <w:color w:val="auto"/>
        </w:rPr>
        <w:t xml:space="preserve">al factors </w:t>
      </w:r>
      <w:r w:rsidR="004F34D1">
        <w:rPr>
          <w:color w:val="auto"/>
        </w:rPr>
        <w:t xml:space="preserve">may </w:t>
      </w:r>
      <w:r w:rsidR="001C6379">
        <w:rPr>
          <w:color w:val="auto"/>
        </w:rPr>
        <w:t xml:space="preserve">have </w:t>
      </w:r>
      <w:r w:rsidR="00236D08">
        <w:rPr>
          <w:color w:val="auto"/>
        </w:rPr>
        <w:t>weigh</w:t>
      </w:r>
      <w:r w:rsidR="001C6379">
        <w:rPr>
          <w:color w:val="auto"/>
        </w:rPr>
        <w:t>ed</w:t>
      </w:r>
      <w:r w:rsidR="00236D08">
        <w:rPr>
          <w:color w:val="auto"/>
        </w:rPr>
        <w:t xml:space="preserve"> on wage</w:t>
      </w:r>
      <w:r w:rsidRPr="004E5EBB">
        <w:rPr>
          <w:color w:val="auto"/>
        </w:rPr>
        <w:t xml:space="preserve"> growth in Australia</w:t>
      </w:r>
      <w:r w:rsidR="001C6379">
        <w:rPr>
          <w:color w:val="auto"/>
        </w:rPr>
        <w:t xml:space="preserve"> up until at least 201</w:t>
      </w:r>
      <w:r w:rsidR="00992146">
        <w:rPr>
          <w:color w:val="auto"/>
        </w:rPr>
        <w:t>4</w:t>
      </w:r>
      <w:r w:rsidR="00484F02">
        <w:rPr>
          <w:color w:val="auto"/>
        </w:rPr>
        <w:t>-</w:t>
      </w:r>
      <w:r w:rsidR="001C6379">
        <w:rPr>
          <w:color w:val="auto"/>
        </w:rPr>
        <w:t>1</w:t>
      </w:r>
      <w:r w:rsidR="00992146">
        <w:rPr>
          <w:color w:val="auto"/>
        </w:rPr>
        <w:t>5</w:t>
      </w:r>
      <w:r w:rsidRPr="004E5EBB">
        <w:rPr>
          <w:color w:val="auto"/>
        </w:rPr>
        <w:t>.</w:t>
      </w:r>
      <w:r w:rsidR="00580FBC">
        <w:rPr>
          <w:color w:val="auto"/>
        </w:rPr>
        <w:t xml:space="preserve"> </w:t>
      </w:r>
      <w:r w:rsidR="00A12C6A">
        <w:rPr>
          <w:color w:val="auto"/>
        </w:rPr>
        <w:t>On the one hand</w:t>
      </w:r>
      <w:r w:rsidR="00580FBC">
        <w:rPr>
          <w:color w:val="auto"/>
        </w:rPr>
        <w:t>, it is consistent with the idea that the response of wages to improving labour market conditions has been slower and more muted than in past cycles (MYEFO, 2018).</w:t>
      </w:r>
      <w:r w:rsidRPr="004E5EBB">
        <w:rPr>
          <w:color w:val="auto"/>
        </w:rPr>
        <w:t xml:space="preserve"> </w:t>
      </w:r>
      <w:r w:rsidR="00E75347">
        <w:rPr>
          <w:color w:val="auto"/>
        </w:rPr>
        <w:t xml:space="preserve">This suggests </w:t>
      </w:r>
      <w:r w:rsidR="0027188E">
        <w:rPr>
          <w:color w:val="auto"/>
        </w:rPr>
        <w:t>a</w:t>
      </w:r>
      <w:r w:rsidR="00E75347">
        <w:rPr>
          <w:color w:val="auto"/>
        </w:rPr>
        <w:t xml:space="preserve"> need to</w:t>
      </w:r>
      <w:r w:rsidR="00580FBC">
        <w:rPr>
          <w:color w:val="auto"/>
        </w:rPr>
        <w:t xml:space="preserve"> continue to</w:t>
      </w:r>
      <w:r w:rsidR="00E75347">
        <w:rPr>
          <w:color w:val="auto"/>
        </w:rPr>
        <w:t xml:space="preserve"> look beyond these old relationships </w:t>
      </w:r>
      <w:r w:rsidR="00A12C6A">
        <w:rPr>
          <w:color w:val="auto"/>
        </w:rPr>
        <w:t xml:space="preserve">when considering the outlook for </w:t>
      </w:r>
      <w:r w:rsidR="0027188E">
        <w:rPr>
          <w:color w:val="auto"/>
        </w:rPr>
        <w:t xml:space="preserve">wages </w:t>
      </w:r>
      <w:r w:rsidR="00E75347">
        <w:rPr>
          <w:color w:val="auto"/>
        </w:rPr>
        <w:t>growth</w:t>
      </w:r>
      <w:r w:rsidR="00B6524B">
        <w:rPr>
          <w:color w:val="auto"/>
        </w:rPr>
        <w:t xml:space="preserve">. </w:t>
      </w:r>
      <w:r w:rsidR="00A12C6A">
        <w:rPr>
          <w:color w:val="auto"/>
        </w:rPr>
        <w:t>On the other hand, to the extent that</w:t>
      </w:r>
      <w:r w:rsidR="00130599">
        <w:rPr>
          <w:color w:val="auto"/>
        </w:rPr>
        <w:t xml:space="preserve"> </w:t>
      </w:r>
      <w:r w:rsidR="00580FBC">
        <w:rPr>
          <w:color w:val="auto"/>
        </w:rPr>
        <w:t>we have not</w:t>
      </w:r>
      <w:r w:rsidR="00130599">
        <w:rPr>
          <w:color w:val="auto"/>
        </w:rPr>
        <w:t xml:space="preserve"> explicitly</w:t>
      </w:r>
      <w:r w:rsidR="00580FBC">
        <w:rPr>
          <w:color w:val="auto"/>
        </w:rPr>
        <w:t xml:space="preserve"> identified the drivers of the reduced pass-through of productivity to wages, it is not clear whether this effect will persist into the medium</w:t>
      </w:r>
      <w:r w:rsidR="005045F7">
        <w:rPr>
          <w:color w:val="auto"/>
        </w:rPr>
        <w:t>-</w:t>
      </w:r>
      <w:r w:rsidR="00580FBC">
        <w:rPr>
          <w:color w:val="auto"/>
        </w:rPr>
        <w:t>ter</w:t>
      </w:r>
      <w:r w:rsidR="00580FBC" w:rsidRPr="00580FBC">
        <w:rPr>
          <w:color w:val="auto"/>
        </w:rPr>
        <w:t>m</w:t>
      </w:r>
      <w:r w:rsidR="00A12C6A">
        <w:rPr>
          <w:color w:val="auto"/>
        </w:rPr>
        <w:t xml:space="preserve"> and may well turn out to be a transient phenomenon</w:t>
      </w:r>
      <w:r w:rsidR="00B6524B" w:rsidRPr="00580FBC">
        <w:rPr>
          <w:color w:val="auto"/>
        </w:rPr>
        <w:t>.</w:t>
      </w:r>
      <w:r w:rsidR="00B6524B">
        <w:rPr>
          <w:color w:val="auto"/>
        </w:rPr>
        <w:t xml:space="preserve"> </w:t>
      </w:r>
      <w:r w:rsidR="00DE12FF">
        <w:rPr>
          <w:color w:val="auto"/>
        </w:rPr>
        <w:t>A</w:t>
      </w:r>
      <w:r>
        <w:rPr>
          <w:color w:val="auto"/>
        </w:rPr>
        <w:t xml:space="preserve"> key priority </w:t>
      </w:r>
      <w:r w:rsidR="00DE12FF">
        <w:rPr>
          <w:color w:val="auto"/>
        </w:rPr>
        <w:t xml:space="preserve">for future work will be </w:t>
      </w:r>
      <w:r w:rsidR="00837D65">
        <w:rPr>
          <w:color w:val="auto"/>
        </w:rPr>
        <w:t xml:space="preserve">to </w:t>
      </w:r>
      <w:r>
        <w:rPr>
          <w:color w:val="auto"/>
        </w:rPr>
        <w:t>understand the</w:t>
      </w:r>
      <w:r w:rsidR="00DE12FF">
        <w:rPr>
          <w:color w:val="auto"/>
        </w:rPr>
        <w:t>se drivers, their origins and potential responses.</w:t>
      </w:r>
    </w:p>
    <w:p w14:paraId="0ABBA57D" w14:textId="77777777" w:rsidR="00200CF4" w:rsidRPr="00DC50A4" w:rsidRDefault="00200CF4" w:rsidP="00200CF4">
      <w:pPr>
        <w:jc w:val="both"/>
        <w:rPr>
          <w:color w:val="auto"/>
        </w:rPr>
      </w:pPr>
      <w:r>
        <w:rPr>
          <w:color w:val="auto"/>
        </w:rPr>
        <w:lastRenderedPageBreak/>
        <w:t xml:space="preserve">The remainder of the paper is structured as follows. The next section reviews what we know about low wage growth in Australia and presents some new evidence illustrating the broad-based nature of the wage slowdown at the firm and worker level. Section 3 then </w:t>
      </w:r>
      <w:r w:rsidR="00B917E5">
        <w:rPr>
          <w:color w:val="auto"/>
        </w:rPr>
        <w:t xml:space="preserve">examines </w:t>
      </w:r>
      <w:r>
        <w:rPr>
          <w:color w:val="auto"/>
        </w:rPr>
        <w:t xml:space="preserve">the empirical link between individual wages and firm-level labour productivity, while Section 4 </w:t>
      </w:r>
      <w:r w:rsidR="00B107A4">
        <w:rPr>
          <w:color w:val="auto"/>
        </w:rPr>
        <w:t xml:space="preserve">indirectly </w:t>
      </w:r>
      <w:r>
        <w:rPr>
          <w:color w:val="auto"/>
        </w:rPr>
        <w:t xml:space="preserve">explores </w:t>
      </w:r>
      <w:r w:rsidR="007039A2">
        <w:rPr>
          <w:color w:val="auto"/>
        </w:rPr>
        <w:t>some</w:t>
      </w:r>
      <w:r>
        <w:rPr>
          <w:color w:val="auto"/>
        </w:rPr>
        <w:t xml:space="preserve"> potential mechanisms behind the observed </w:t>
      </w:r>
      <w:r w:rsidR="00192398">
        <w:rPr>
          <w:color w:val="auto"/>
        </w:rPr>
        <w:t>changes in the relationship between</w:t>
      </w:r>
      <w:r>
        <w:rPr>
          <w:color w:val="auto"/>
        </w:rPr>
        <w:t xml:space="preserve"> wages and productivity. Section</w:t>
      </w:r>
      <w:r w:rsidR="00A756AD">
        <w:rPr>
          <w:color w:val="auto"/>
        </w:rPr>
        <w:t> </w:t>
      </w:r>
      <w:r>
        <w:rPr>
          <w:color w:val="auto"/>
        </w:rPr>
        <w:t>5 examines the implications of changing patterns of labour reallocation for aggregate wages and then Section 6 discusses some implications for future research.</w:t>
      </w:r>
    </w:p>
    <w:p w14:paraId="5BC853F9" w14:textId="77777777" w:rsidR="00F012EA" w:rsidRDefault="00ED1766" w:rsidP="00A57848">
      <w:pPr>
        <w:pStyle w:val="Heading2"/>
      </w:pPr>
      <w:r>
        <w:t xml:space="preserve">Low </w:t>
      </w:r>
      <w:r w:rsidR="00C76E03">
        <w:t>w</w:t>
      </w:r>
      <w:r>
        <w:t xml:space="preserve">age </w:t>
      </w:r>
      <w:r w:rsidR="00C76E03">
        <w:t>g</w:t>
      </w:r>
      <w:r>
        <w:t>rowth in Australia</w:t>
      </w:r>
    </w:p>
    <w:p w14:paraId="2F4A4DB3" w14:textId="77777777" w:rsidR="00692B85" w:rsidRDefault="00692514" w:rsidP="00692514">
      <w:pPr>
        <w:jc w:val="both"/>
        <w:rPr>
          <w:color w:val="auto"/>
        </w:rPr>
      </w:pPr>
      <w:r>
        <w:rPr>
          <w:color w:val="auto"/>
        </w:rPr>
        <w:t>Wage growth has been low in recent years, relative to history. Moreover, it has generally been somewhat lower tha</w:t>
      </w:r>
      <w:r w:rsidR="00762ACA">
        <w:rPr>
          <w:color w:val="auto"/>
        </w:rPr>
        <w:t>n</w:t>
      </w:r>
      <w:r>
        <w:rPr>
          <w:color w:val="auto"/>
        </w:rPr>
        <w:t xml:space="preserve"> would have been predicted based on its historical relationship with </w:t>
      </w:r>
      <w:r w:rsidR="00C06EF8">
        <w:rPr>
          <w:color w:val="auto"/>
        </w:rPr>
        <w:t xml:space="preserve">labour market slack, </w:t>
      </w:r>
      <w:r>
        <w:rPr>
          <w:color w:val="auto"/>
        </w:rPr>
        <w:t>labour productivity</w:t>
      </w:r>
      <w:r w:rsidR="00B917E5">
        <w:rPr>
          <w:color w:val="auto"/>
        </w:rPr>
        <w:t>,</w:t>
      </w:r>
      <w:r>
        <w:rPr>
          <w:color w:val="auto"/>
        </w:rPr>
        <w:t xml:space="preserve"> inflation expectations</w:t>
      </w:r>
      <w:r w:rsidR="0041286C">
        <w:rPr>
          <w:color w:val="auto"/>
        </w:rPr>
        <w:t>, and other</w:t>
      </w:r>
      <w:r>
        <w:rPr>
          <w:color w:val="auto"/>
        </w:rPr>
        <w:t xml:space="preserve"> key theoretical determinants (Treasury 2017; </w:t>
      </w:r>
      <w:r w:rsidRPr="00F51A74">
        <w:t>Bishop and Cassidy 2017</w:t>
      </w:r>
      <w:r>
        <w:rPr>
          <w:color w:val="auto"/>
        </w:rPr>
        <w:t xml:space="preserve">; </w:t>
      </w:r>
      <w:proofErr w:type="spellStart"/>
      <w:r>
        <w:rPr>
          <w:color w:val="auto"/>
        </w:rPr>
        <w:t>Arsov</w:t>
      </w:r>
      <w:proofErr w:type="spellEnd"/>
      <w:r>
        <w:rPr>
          <w:color w:val="auto"/>
        </w:rPr>
        <w:t xml:space="preserve"> and Evans 2018).</w:t>
      </w:r>
      <w:r w:rsidR="00692B85">
        <w:rPr>
          <w:color w:val="auto"/>
        </w:rPr>
        <w:t xml:space="preserve"> For example, the lower rate of inflation, or inflation expectations, in recent years would be expected to lower nominal wages growth one-for-one. But wages growth has been lower than expected even after accounting for this, and other changes in relevant determinants. </w:t>
      </w:r>
      <w:r w:rsidR="00BB7C14">
        <w:rPr>
          <w:color w:val="auto"/>
        </w:rPr>
        <w:t xml:space="preserve">In this regard, the RBA’s </w:t>
      </w:r>
      <w:r w:rsidR="00BB7C14" w:rsidRPr="00BB7C14">
        <w:rPr>
          <w:color w:val="auto"/>
        </w:rPr>
        <w:t xml:space="preserve">Phillips curve model </w:t>
      </w:r>
      <w:r w:rsidR="00154411">
        <w:rPr>
          <w:color w:val="auto"/>
        </w:rPr>
        <w:t>has over-estimated actual wage</w:t>
      </w:r>
      <w:r w:rsidR="00BB7C14">
        <w:rPr>
          <w:color w:val="auto"/>
        </w:rPr>
        <w:t xml:space="preserve"> growth (based on the WPI) by </w:t>
      </w:r>
      <w:r w:rsidR="009323B7">
        <w:rPr>
          <w:color w:val="auto"/>
        </w:rPr>
        <w:t xml:space="preserve">around </w:t>
      </w:r>
      <w:r w:rsidR="00BB7C14" w:rsidRPr="00BA2CF5">
        <w:rPr>
          <w:color w:val="auto"/>
        </w:rPr>
        <w:t>½</w:t>
      </w:r>
      <w:r w:rsidR="00BB7C14">
        <w:rPr>
          <w:color w:val="auto"/>
        </w:rPr>
        <w:t xml:space="preserve"> percentage points</w:t>
      </w:r>
      <w:r w:rsidR="00A56EDB">
        <w:rPr>
          <w:color w:val="auto"/>
        </w:rPr>
        <w:t xml:space="preserve"> per annum</w:t>
      </w:r>
      <w:r w:rsidR="00BB7C14">
        <w:rPr>
          <w:color w:val="auto"/>
        </w:rPr>
        <w:t xml:space="preserve"> </w:t>
      </w:r>
      <w:r w:rsidR="00A314E7">
        <w:rPr>
          <w:color w:val="auto"/>
        </w:rPr>
        <w:t>over past 5 </w:t>
      </w:r>
      <w:r w:rsidR="00BB7C14" w:rsidRPr="00BB7C14">
        <w:rPr>
          <w:color w:val="auto"/>
        </w:rPr>
        <w:t xml:space="preserve">years </w:t>
      </w:r>
      <w:r w:rsidR="00BB7C14">
        <w:rPr>
          <w:color w:val="auto"/>
        </w:rPr>
        <w:t>(</w:t>
      </w:r>
      <w:r w:rsidR="00A314E7">
        <w:rPr>
          <w:color w:val="auto"/>
        </w:rPr>
        <w:t>Figure 1; Cassidy 2019</w:t>
      </w:r>
      <w:r w:rsidR="00BB7C14">
        <w:rPr>
          <w:color w:val="auto"/>
        </w:rPr>
        <w:t>)</w:t>
      </w:r>
      <w:r w:rsidR="00E338A5">
        <w:rPr>
          <w:color w:val="auto"/>
        </w:rPr>
        <w:t xml:space="preserve"> – and it is this </w:t>
      </w:r>
      <w:r w:rsidR="00C2726A">
        <w:rPr>
          <w:color w:val="auto"/>
        </w:rPr>
        <w:t xml:space="preserve">unexplained </w:t>
      </w:r>
      <w:r w:rsidR="00E338A5">
        <w:rPr>
          <w:color w:val="auto"/>
        </w:rPr>
        <w:t xml:space="preserve">portion of wages weakness that we are </w:t>
      </w:r>
      <w:r w:rsidR="00C2726A">
        <w:rPr>
          <w:color w:val="auto"/>
        </w:rPr>
        <w:t xml:space="preserve">particularly </w:t>
      </w:r>
      <w:r w:rsidR="00E338A5">
        <w:rPr>
          <w:color w:val="auto"/>
        </w:rPr>
        <w:t>interested</w:t>
      </w:r>
      <w:r w:rsidR="00583308">
        <w:rPr>
          <w:color w:val="auto"/>
        </w:rPr>
        <w:t> </w:t>
      </w:r>
      <w:r w:rsidR="00E338A5">
        <w:rPr>
          <w:color w:val="auto"/>
        </w:rPr>
        <w:t>in</w:t>
      </w:r>
      <w:r w:rsidR="00BB7C14">
        <w:rPr>
          <w:color w:val="auto"/>
        </w:rPr>
        <w:t xml:space="preserve">. </w:t>
      </w:r>
    </w:p>
    <w:p w14:paraId="5093A87D" w14:textId="77777777" w:rsidR="00A314E7" w:rsidRPr="00A04D1A" w:rsidRDefault="00A314E7" w:rsidP="00AB6B2F">
      <w:pPr>
        <w:pStyle w:val="FigureHeading"/>
        <w:rPr>
          <w:b w:val="0"/>
          <w:color w:val="auto"/>
        </w:rPr>
      </w:pPr>
      <w:r w:rsidRPr="00A53913">
        <w:t xml:space="preserve">Figure 1: </w:t>
      </w:r>
      <w:r w:rsidR="00611E99">
        <w:t>Contribution to Wage Growth – RBA Model</w:t>
      </w:r>
    </w:p>
    <w:p w14:paraId="4BB3A2CB" w14:textId="5F327CC5" w:rsidR="00251435" w:rsidRPr="00A756AD" w:rsidRDefault="007C455A" w:rsidP="00A82E17">
      <w:pPr>
        <w:pStyle w:val="ChartGraphic"/>
      </w:pPr>
      <w:r>
        <w:object w:dxaOrig="8895" w:dyaOrig="4876" w14:anchorId="31AD4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1pt;height:242.9pt" o:ole="">
            <v:imagedata r:id="rId22" o:title=""/>
          </v:shape>
          <o:OLEObject Type="Link" ProgID="Excel.Sheet.12" ShapeID="_x0000_i1025" DrawAspect="Content" r:id="rId23" UpdateMode="Always">
            <o:LinkType>EnhancedMetaFile</o:LinkType>
            <o:LockedField/>
          </o:OLEObject>
        </w:object>
      </w:r>
    </w:p>
    <w:p w14:paraId="4579285A" w14:textId="77777777" w:rsidR="00611E99" w:rsidRDefault="00611E99" w:rsidP="00A82E17">
      <w:pPr>
        <w:pStyle w:val="ChartorTableNote"/>
      </w:pPr>
      <w:r>
        <w:t>Notes: Wage growth measure is year-ended private WPI growth; all series shown as year-ended deviations from own mean.</w:t>
      </w:r>
    </w:p>
    <w:p w14:paraId="540DE008" w14:textId="77777777" w:rsidR="00A82E17" w:rsidRPr="0035498A" w:rsidRDefault="00A82E17" w:rsidP="00A82E17">
      <w:pPr>
        <w:pStyle w:val="ChartorTableNote"/>
      </w:pPr>
      <w:r w:rsidRPr="0035498A">
        <w:t>Sources: ABS; RBA</w:t>
      </w:r>
    </w:p>
    <w:p w14:paraId="33587CDB" w14:textId="77777777" w:rsidR="00A34A87" w:rsidRPr="00A34A87" w:rsidRDefault="00A34A87" w:rsidP="00A34A87">
      <w:pPr>
        <w:pStyle w:val="SingleParagraph"/>
        <w:rPr>
          <w:lang w:eastAsia="en-AU"/>
        </w:rPr>
      </w:pPr>
    </w:p>
    <w:p w14:paraId="64BAB140" w14:textId="77777777" w:rsidR="00692514" w:rsidRDefault="00BB7C14" w:rsidP="00692514">
      <w:pPr>
        <w:jc w:val="both"/>
        <w:rPr>
          <w:color w:val="auto"/>
        </w:rPr>
      </w:pPr>
      <w:r>
        <w:rPr>
          <w:color w:val="auto"/>
        </w:rPr>
        <w:t xml:space="preserve">Relatedly, </w:t>
      </w:r>
      <w:r w:rsidR="00692514">
        <w:rPr>
          <w:color w:val="auto"/>
        </w:rPr>
        <w:t xml:space="preserve">there has also been a </w:t>
      </w:r>
      <w:r>
        <w:rPr>
          <w:color w:val="auto"/>
        </w:rPr>
        <w:t xml:space="preserve">marked </w:t>
      </w:r>
      <w:r w:rsidR="00692514">
        <w:rPr>
          <w:color w:val="auto"/>
        </w:rPr>
        <w:t>divergence between wages and other cyclical measures that tend to co-move closely with wages</w:t>
      </w:r>
      <w:r w:rsidR="001346F1">
        <w:rPr>
          <w:color w:val="auto"/>
        </w:rPr>
        <w:t>, such as measures of capacity constraints</w:t>
      </w:r>
      <w:r w:rsidR="00692514">
        <w:rPr>
          <w:color w:val="auto"/>
        </w:rPr>
        <w:t xml:space="preserve"> (F</w:t>
      </w:r>
      <w:r w:rsidR="00A314E7">
        <w:rPr>
          <w:color w:val="auto"/>
        </w:rPr>
        <w:t>igure 2</w:t>
      </w:r>
      <w:r w:rsidR="00692514">
        <w:rPr>
          <w:color w:val="auto"/>
        </w:rPr>
        <w:t xml:space="preserve"> Panel </w:t>
      </w:r>
      <w:r>
        <w:rPr>
          <w:color w:val="auto"/>
        </w:rPr>
        <w:t>A</w:t>
      </w:r>
      <w:r w:rsidR="00692514">
        <w:rPr>
          <w:color w:val="auto"/>
        </w:rPr>
        <w:t>).</w:t>
      </w:r>
      <w:r>
        <w:rPr>
          <w:color w:val="auto"/>
        </w:rPr>
        <w:t xml:space="preserve"> Perhaps unsurprisingl</w:t>
      </w:r>
      <w:r w:rsidR="00154411">
        <w:rPr>
          <w:color w:val="auto"/>
        </w:rPr>
        <w:t>y then, actual wage</w:t>
      </w:r>
      <w:r>
        <w:rPr>
          <w:color w:val="auto"/>
        </w:rPr>
        <w:t xml:space="preserve"> growth has persistently been below that forecast</w:t>
      </w:r>
      <w:r w:rsidR="00A314E7">
        <w:rPr>
          <w:color w:val="auto"/>
        </w:rPr>
        <w:t xml:space="preserve"> by the RBA since 2011 (Figure 2</w:t>
      </w:r>
      <w:r>
        <w:rPr>
          <w:color w:val="auto"/>
        </w:rPr>
        <w:t>, Panel B).</w:t>
      </w:r>
      <w:r>
        <w:rPr>
          <w:rStyle w:val="FootnoteReference"/>
          <w:color w:val="auto"/>
        </w:rPr>
        <w:footnoteReference w:id="4"/>
      </w:r>
    </w:p>
    <w:p w14:paraId="692EE054" w14:textId="0958D6AF" w:rsidR="0025653A" w:rsidRDefault="00692B85" w:rsidP="007C455A">
      <w:pPr>
        <w:keepLines/>
        <w:jc w:val="both"/>
        <w:rPr>
          <w:color w:val="auto"/>
        </w:rPr>
      </w:pPr>
      <w:r>
        <w:rPr>
          <w:color w:val="auto"/>
        </w:rPr>
        <w:lastRenderedPageBreak/>
        <w:t xml:space="preserve">A number of papers </w:t>
      </w:r>
      <w:r w:rsidR="005045F7">
        <w:rPr>
          <w:color w:val="auto"/>
        </w:rPr>
        <w:t xml:space="preserve">have </w:t>
      </w:r>
      <w:r>
        <w:rPr>
          <w:color w:val="auto"/>
        </w:rPr>
        <w:t xml:space="preserve">tried to </w:t>
      </w:r>
      <w:r w:rsidR="004D607B">
        <w:rPr>
          <w:color w:val="auto"/>
        </w:rPr>
        <w:t>explain</w:t>
      </w:r>
      <w:r>
        <w:rPr>
          <w:color w:val="auto"/>
        </w:rPr>
        <w:t xml:space="preserve"> recent low wage growth. </w:t>
      </w:r>
      <w:r w:rsidR="0025653A">
        <w:rPr>
          <w:color w:val="auto"/>
        </w:rPr>
        <w:t xml:space="preserve">Most of these analyses have been done using economy-wide macro-data. While such analyses are useful, they necessarily have some shortcomings. As the period we are considering is relatively short, it can be difficult to identify any structural change, and also to differentiate between different explanations for </w:t>
      </w:r>
      <w:r w:rsidR="00D7358C">
        <w:rPr>
          <w:color w:val="auto"/>
        </w:rPr>
        <w:t xml:space="preserve">the </w:t>
      </w:r>
      <w:r w:rsidR="0025653A">
        <w:rPr>
          <w:color w:val="auto"/>
        </w:rPr>
        <w:t>change. Moreover, economy-wide data are not particularly useful if we are trying to identify the effects of compositional</w:t>
      </w:r>
      <w:r w:rsidR="00583308">
        <w:rPr>
          <w:color w:val="auto"/>
        </w:rPr>
        <w:t> </w:t>
      </w:r>
      <w:r w:rsidR="0025653A">
        <w:rPr>
          <w:color w:val="auto"/>
        </w:rPr>
        <w:t xml:space="preserve">change. </w:t>
      </w:r>
    </w:p>
    <w:p w14:paraId="4660EEED" w14:textId="77777777" w:rsidR="00840A36" w:rsidRDefault="00A314E7" w:rsidP="00AB6B2F">
      <w:pPr>
        <w:pStyle w:val="FigureHeading"/>
      </w:pPr>
      <w:r>
        <w:t>Figure 2</w:t>
      </w:r>
      <w:r w:rsidR="00840A36" w:rsidRPr="00A53913">
        <w:t>: The Slowdown in Aggregate Wage Growth in Australia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08"/>
      </w:tblGrid>
      <w:tr w:rsidR="00A82E17" w14:paraId="39D44F14" w14:textId="77777777" w:rsidTr="00611E99">
        <w:tc>
          <w:tcPr>
            <w:tcW w:w="4654" w:type="dxa"/>
          </w:tcPr>
          <w:p w14:paraId="0FBACFF8" w14:textId="77777777" w:rsidR="00A82E17" w:rsidRPr="0035420F" w:rsidRDefault="00A82E17" w:rsidP="00A758FD">
            <w:pPr>
              <w:pStyle w:val="FigureSecondHeading"/>
            </w:pPr>
            <w:r>
              <w:t>Panel A: Constraints on Output and Wage</w:t>
            </w:r>
            <w:r w:rsidRPr="00A53913">
              <w:t xml:space="preserve"> Growth</w:t>
            </w:r>
          </w:p>
          <w:p w14:paraId="0CC916B8" w14:textId="7E2528B0" w:rsidR="00A82E17" w:rsidRDefault="007C455A" w:rsidP="00A82E17">
            <w:pPr>
              <w:pStyle w:val="ChartGraphic"/>
            </w:pPr>
            <w:r>
              <w:object w:dxaOrig="4605" w:dyaOrig="4876" w14:anchorId="58F65B9B">
                <v:shape id="_x0000_i1026" type="#_x0000_t75" style="width:230.15pt;height:242.9pt" o:ole="">
                  <v:imagedata r:id="rId24" o:title=""/>
                </v:shape>
                <o:OLEObject Type="Link" ProgID="Excel.Sheet.12" ShapeID="_x0000_i1026" DrawAspect="Content" r:id="rId25" UpdateMode="Always">
                  <o:LinkType>EnhancedMetaFile</o:LinkType>
                  <o:LockedField/>
                </o:OLEObject>
              </w:object>
            </w:r>
          </w:p>
        </w:tc>
        <w:tc>
          <w:tcPr>
            <w:tcW w:w="4644" w:type="dxa"/>
          </w:tcPr>
          <w:p w14:paraId="1979381C" w14:textId="77777777" w:rsidR="00A82E17" w:rsidRPr="0035420F" w:rsidRDefault="00A82E17" w:rsidP="00611E99">
            <w:pPr>
              <w:pStyle w:val="FigureHeading"/>
            </w:pPr>
            <w:r w:rsidRPr="005538C5">
              <w:rPr>
                <w:rFonts w:asciiTheme="majorHAnsi" w:hAnsiTheme="majorHAnsi"/>
                <w:b w:val="0"/>
                <w:sz w:val="20"/>
                <w:szCs w:val="20"/>
              </w:rPr>
              <w:t xml:space="preserve">Panel B: </w:t>
            </w:r>
            <w:r w:rsidR="00611E99">
              <w:rPr>
                <w:rFonts w:asciiTheme="majorHAnsi" w:hAnsiTheme="majorHAnsi"/>
                <w:b w:val="0"/>
                <w:sz w:val="20"/>
                <w:szCs w:val="20"/>
              </w:rPr>
              <w:t>RBA Wage Price Index Forecasts</w:t>
            </w:r>
          </w:p>
          <w:p w14:paraId="5A6A448A" w14:textId="7D4E914E" w:rsidR="00A82E17" w:rsidRPr="00611E99" w:rsidRDefault="008527DA" w:rsidP="008527DA">
            <w:pPr>
              <w:pStyle w:val="ChartGraphic"/>
            </w:pPr>
            <w:r>
              <w:object w:dxaOrig="4525" w:dyaOrig="4525" w14:anchorId="7B2937BC">
                <v:shape id="_x0000_i1027" type="#_x0000_t75" style="width:226.1pt;height:226.1pt" o:ole="">
                  <v:imagedata r:id="rId26" o:title=""/>
                </v:shape>
                <o:OLEObject Type="Link" ProgID="Excel.Sheet.12" ShapeID="_x0000_i1027" DrawAspect="Content" r:id="rId27" UpdateMode="Always">
                  <o:LinkType>EnhancedMetaFile</o:LinkType>
                  <o:LockedField/>
                </o:OLEObject>
              </w:object>
            </w:r>
          </w:p>
        </w:tc>
      </w:tr>
    </w:tbl>
    <w:p w14:paraId="20EA9027" w14:textId="77777777" w:rsidR="00611E99" w:rsidRDefault="00611E99" w:rsidP="00611E99">
      <w:pPr>
        <w:pStyle w:val="ChartorTableNote"/>
      </w:pPr>
      <w:r>
        <w:t xml:space="preserve">Notes: In left panel, wage growth measure is year-ended growth in WPI. NAB survey measure shows share of firms reporting </w:t>
      </w:r>
      <w:r w:rsidR="00622AA6">
        <w:t>availability of suitable labour as a minor or significant constraint on output. In right panel, forecasts are from February Statement of Monetary Policy.</w:t>
      </w:r>
    </w:p>
    <w:p w14:paraId="61A8F27F" w14:textId="77777777" w:rsidR="00611E99" w:rsidRPr="0035498A" w:rsidRDefault="00611E99" w:rsidP="00611E99">
      <w:pPr>
        <w:pStyle w:val="ChartorTableNote"/>
      </w:pPr>
      <w:r w:rsidRPr="0035498A">
        <w:t>Sources: ABS;</w:t>
      </w:r>
      <w:r w:rsidR="00622AA6">
        <w:t xml:space="preserve"> NAB;</w:t>
      </w:r>
      <w:r w:rsidRPr="0035498A">
        <w:t xml:space="preserve"> RBA</w:t>
      </w:r>
    </w:p>
    <w:p w14:paraId="296BD32C" w14:textId="77777777" w:rsidR="0035498A" w:rsidRPr="0035498A" w:rsidRDefault="0035498A" w:rsidP="00A34A87">
      <w:pPr>
        <w:pStyle w:val="SingleParagraph"/>
        <w:rPr>
          <w:lang w:eastAsia="en-AU"/>
        </w:rPr>
      </w:pPr>
    </w:p>
    <w:p w14:paraId="2890FB14" w14:textId="3BE1C6C0" w:rsidR="00692514" w:rsidRDefault="00692514" w:rsidP="00692514">
      <w:pPr>
        <w:jc w:val="both"/>
        <w:rPr>
          <w:color w:val="auto"/>
        </w:rPr>
      </w:pPr>
      <w:r>
        <w:rPr>
          <w:color w:val="auto"/>
        </w:rPr>
        <w:t>Digging deep</w:t>
      </w:r>
      <w:r w:rsidR="00B917E5">
        <w:rPr>
          <w:color w:val="auto"/>
        </w:rPr>
        <w:t>er, recent analysis using micro</w:t>
      </w:r>
      <w:r>
        <w:rPr>
          <w:color w:val="auto"/>
        </w:rPr>
        <w:t>data suggests that the slowdown in wage growth is relatively broad</w:t>
      </w:r>
      <w:r w:rsidR="00634538">
        <w:rPr>
          <w:color w:val="auto"/>
        </w:rPr>
        <w:t xml:space="preserve"> </w:t>
      </w:r>
      <w:r>
        <w:rPr>
          <w:color w:val="auto"/>
        </w:rPr>
        <w:t xml:space="preserve">based and has been experienced across income, education, age and occupation categories (Treasury 2017). Moreover, the slowdown </w:t>
      </w:r>
      <w:r w:rsidR="004F0DC7">
        <w:rPr>
          <w:color w:val="auto"/>
        </w:rPr>
        <w:t xml:space="preserve">in wage growth </w:t>
      </w:r>
      <w:r>
        <w:rPr>
          <w:color w:val="auto"/>
        </w:rPr>
        <w:t>is apparent even when follow</w:t>
      </w:r>
      <w:r w:rsidR="00154411">
        <w:rPr>
          <w:color w:val="auto"/>
        </w:rPr>
        <w:t>ing trends in wage</w:t>
      </w:r>
      <w:r>
        <w:rPr>
          <w:color w:val="auto"/>
        </w:rPr>
        <w:t xml:space="preserve"> growt</w:t>
      </w:r>
      <w:r w:rsidR="00A314E7">
        <w:rPr>
          <w:color w:val="auto"/>
        </w:rPr>
        <w:t>h for individual firms (Figure 3</w:t>
      </w:r>
      <w:r>
        <w:rPr>
          <w:color w:val="auto"/>
        </w:rPr>
        <w:t>)</w:t>
      </w:r>
      <w:r w:rsidR="00B917E5">
        <w:rPr>
          <w:color w:val="auto"/>
        </w:rPr>
        <w:t>,</w:t>
      </w:r>
      <w:r w:rsidR="004F0DC7">
        <w:rPr>
          <w:color w:val="auto"/>
        </w:rPr>
        <w:t xml:space="preserve"> </w:t>
      </w:r>
      <w:r w:rsidR="00FB694B">
        <w:rPr>
          <w:color w:val="auto"/>
        </w:rPr>
        <w:t xml:space="preserve">with average wage growth within firms around </w:t>
      </w:r>
      <w:r w:rsidR="00877888">
        <w:rPr>
          <w:color w:val="auto"/>
        </w:rPr>
        <w:t>2</w:t>
      </w:r>
      <w:r w:rsidR="00FB694B">
        <w:rPr>
          <w:color w:val="auto"/>
        </w:rPr>
        <w:t xml:space="preserve"> </w:t>
      </w:r>
      <w:r w:rsidR="009C4392">
        <w:rPr>
          <w:color w:val="auto"/>
        </w:rPr>
        <w:t>percentage points lower in 2015-</w:t>
      </w:r>
      <w:r w:rsidR="00FB694B">
        <w:rPr>
          <w:color w:val="auto"/>
        </w:rPr>
        <w:t xml:space="preserve">16, relative to </w:t>
      </w:r>
      <w:r w:rsidR="009C4392">
        <w:rPr>
          <w:color w:val="auto"/>
        </w:rPr>
        <w:t>2010-</w:t>
      </w:r>
      <w:r w:rsidR="00FB694B">
        <w:rPr>
          <w:color w:val="auto"/>
        </w:rPr>
        <w:t>1</w:t>
      </w:r>
      <w:r w:rsidR="009C4392">
        <w:rPr>
          <w:color w:val="auto"/>
        </w:rPr>
        <w:t>1</w:t>
      </w:r>
      <w:r w:rsidR="00FB694B">
        <w:rPr>
          <w:color w:val="auto"/>
        </w:rPr>
        <w:t xml:space="preserve">. We also see a </w:t>
      </w:r>
      <w:r w:rsidR="0027188E">
        <w:rPr>
          <w:color w:val="auto"/>
        </w:rPr>
        <w:t>similar</w:t>
      </w:r>
      <w:r w:rsidR="00877888">
        <w:rPr>
          <w:color w:val="auto"/>
        </w:rPr>
        <w:t xml:space="preserve"> decline</w:t>
      </w:r>
      <w:r w:rsidR="00FB694B">
        <w:rPr>
          <w:color w:val="auto"/>
        </w:rPr>
        <w:t xml:space="preserve"> when we track </w:t>
      </w:r>
      <w:r>
        <w:rPr>
          <w:color w:val="auto"/>
        </w:rPr>
        <w:t>wage growth for individual worker</w:t>
      </w:r>
      <w:r w:rsidR="001346F1">
        <w:rPr>
          <w:color w:val="auto"/>
        </w:rPr>
        <w:t>s</w:t>
      </w:r>
      <w:r>
        <w:rPr>
          <w:color w:val="auto"/>
        </w:rPr>
        <w:t>, or</w:t>
      </w:r>
      <w:r w:rsidR="00FB694B">
        <w:rPr>
          <w:color w:val="auto"/>
        </w:rPr>
        <w:t xml:space="preserve"> fixed</w:t>
      </w:r>
      <w:r>
        <w:rPr>
          <w:color w:val="auto"/>
        </w:rPr>
        <w:t xml:space="preserve"> firm-worker relationships </w:t>
      </w:r>
      <w:r w:rsidR="004F0DC7">
        <w:rPr>
          <w:color w:val="auto"/>
        </w:rPr>
        <w:t xml:space="preserve">– that is, </w:t>
      </w:r>
      <w:r>
        <w:rPr>
          <w:color w:val="auto"/>
        </w:rPr>
        <w:t xml:space="preserve">just looking at variation in the wages of a </w:t>
      </w:r>
      <w:r w:rsidR="001346F1">
        <w:rPr>
          <w:color w:val="auto"/>
        </w:rPr>
        <w:t xml:space="preserve">worker that remains at one </w:t>
      </w:r>
      <w:r w:rsidR="001346F1" w:rsidRPr="00877888">
        <w:rPr>
          <w:color w:val="auto"/>
        </w:rPr>
        <w:t>firm</w:t>
      </w:r>
      <w:r w:rsidR="00FB694B" w:rsidRPr="004D607B">
        <w:rPr>
          <w:color w:val="auto"/>
        </w:rPr>
        <w:t xml:space="preserve"> (</w:t>
      </w:r>
      <w:r w:rsidR="005D06C6">
        <w:rPr>
          <w:color w:val="auto"/>
        </w:rPr>
        <w:t>Appendix B</w:t>
      </w:r>
      <w:r w:rsidR="005045F7">
        <w:rPr>
          <w:color w:val="auto"/>
        </w:rPr>
        <w:t>,</w:t>
      </w:r>
      <w:r w:rsidR="005D06C6">
        <w:rPr>
          <w:color w:val="auto"/>
        </w:rPr>
        <w:t xml:space="preserve"> </w:t>
      </w:r>
      <w:r w:rsidR="00FB694B" w:rsidRPr="004D607B">
        <w:rPr>
          <w:color w:val="auto"/>
        </w:rPr>
        <w:t xml:space="preserve">Figure </w:t>
      </w:r>
      <w:r w:rsidR="00011FBF" w:rsidRPr="004D607B">
        <w:rPr>
          <w:color w:val="auto"/>
        </w:rPr>
        <w:t>B1</w:t>
      </w:r>
      <w:r w:rsidR="00FB694B" w:rsidRPr="00877888">
        <w:rPr>
          <w:color w:val="auto"/>
        </w:rPr>
        <w:t>)</w:t>
      </w:r>
      <w:r w:rsidRPr="00877888">
        <w:rPr>
          <w:color w:val="auto"/>
        </w:rPr>
        <w:t>. This</w:t>
      </w:r>
      <w:r>
        <w:rPr>
          <w:color w:val="auto"/>
        </w:rPr>
        <w:t xml:space="preserve"> set of results rules out a number of compositional explanations.  For example, the slowdown is not driven by the changing nature of workers (</w:t>
      </w:r>
      <w:r w:rsidR="00583308">
        <w:rPr>
          <w:color w:val="auto"/>
        </w:rPr>
        <w:t>for example,</w:t>
      </w:r>
      <w:r>
        <w:rPr>
          <w:color w:val="auto"/>
        </w:rPr>
        <w:t xml:space="preserve"> skills or age) or firms (</w:t>
      </w:r>
      <w:r w:rsidR="00583308">
        <w:rPr>
          <w:color w:val="auto"/>
        </w:rPr>
        <w:t>for example,</w:t>
      </w:r>
      <w:r w:rsidR="00B917E5">
        <w:rPr>
          <w:color w:val="auto"/>
        </w:rPr>
        <w:t xml:space="preserve"> </w:t>
      </w:r>
      <w:r>
        <w:rPr>
          <w:color w:val="auto"/>
        </w:rPr>
        <w:t>industry)</w:t>
      </w:r>
      <w:r w:rsidR="001346F1">
        <w:rPr>
          <w:color w:val="auto"/>
        </w:rPr>
        <w:t>, at least not entirely</w:t>
      </w:r>
      <w:r>
        <w:rPr>
          <w:color w:val="auto"/>
        </w:rPr>
        <w:t xml:space="preserve">.  </w:t>
      </w:r>
    </w:p>
    <w:p w14:paraId="5CFCFBAA" w14:textId="77777777" w:rsidR="00F134A0" w:rsidRDefault="00356C6B" w:rsidP="00AB6B2F">
      <w:pPr>
        <w:pStyle w:val="FigureHeading"/>
      </w:pPr>
      <w:r w:rsidRPr="00A53913">
        <w:lastRenderedPageBreak/>
        <w:t xml:space="preserve">Figure </w:t>
      </w:r>
      <w:r w:rsidR="00A314E7">
        <w:t>3</w:t>
      </w:r>
      <w:r w:rsidRPr="00A53913">
        <w:t xml:space="preserve">: </w:t>
      </w:r>
      <w:r>
        <w:t>Broad-based slowdown in wages</w:t>
      </w:r>
    </w:p>
    <w:p w14:paraId="704F9AF2" w14:textId="116F36DD" w:rsidR="009F2983" w:rsidRDefault="00B35E37" w:rsidP="00B35E37">
      <w:pPr>
        <w:pStyle w:val="ChartGraphic"/>
      </w:pPr>
      <w:r>
        <w:rPr>
          <w:noProof/>
        </w:rPr>
        <w:object w:dxaOrig="8780" w:dyaOrig="4525" w14:anchorId="669C189C">
          <v:shape id="_x0000_i1028" type="#_x0000_t75" style="width:438.75pt;height:226.1pt" o:ole="">
            <v:imagedata r:id="rId28" o:title=""/>
          </v:shape>
          <o:OLEObject Type="Link" ProgID="Excel.Sheet.12" ShapeID="_x0000_i1028" DrawAspect="Content" r:id="rId29" UpdateMode="Always">
            <o:LinkType>EnhancedMetaFile</o:LinkType>
            <o:LockedField/>
          </o:OLEObject>
        </w:object>
      </w:r>
    </w:p>
    <w:p w14:paraId="38F82F39" w14:textId="187294D0" w:rsidR="00356C6B" w:rsidRDefault="00356C6B" w:rsidP="0035498A">
      <w:pPr>
        <w:pStyle w:val="ChartorTableNote"/>
      </w:pPr>
      <w:r w:rsidRPr="00A53913">
        <w:t>Note:</w:t>
      </w:r>
      <w:r w:rsidR="009F2983">
        <w:t xml:space="preserve"> Presents coefficients from a regression of change in log annual wages on financial year dummies and</w:t>
      </w:r>
      <w:r w:rsidR="00BB2C53">
        <w:t xml:space="preserve"> either: no controls;</w:t>
      </w:r>
      <w:r w:rsidR="00683128">
        <w:t xml:space="preserve"> </w:t>
      </w:r>
      <w:r w:rsidR="00BB2C53">
        <w:t>or</w:t>
      </w:r>
      <w:r w:rsidR="00683128">
        <w:t xml:space="preserve"> firm fixed </w:t>
      </w:r>
      <w:r w:rsidR="00683128" w:rsidRPr="0035498A">
        <w:t>effects</w:t>
      </w:r>
      <w:r w:rsidR="00B35E37">
        <w:t>. Values represent deviation of nominal wages growth from 2003 level</w:t>
      </w:r>
      <w:r w:rsidR="0026560F">
        <w:t>.</w:t>
      </w:r>
      <w:r w:rsidR="009F2983">
        <w:rPr>
          <w:b/>
        </w:rPr>
        <w:br/>
      </w:r>
      <w:r w:rsidRPr="00A53913">
        <w:t>Source:</w:t>
      </w:r>
      <w:r>
        <w:t xml:space="preserve"> </w:t>
      </w:r>
      <w:r w:rsidR="007767A2" w:rsidRPr="004C2440">
        <w:rPr>
          <w:lang w:val="en-US"/>
        </w:rPr>
        <w:t>Treasury analysis of de-identified tax data</w:t>
      </w:r>
      <w:r>
        <w:t>.</w:t>
      </w:r>
    </w:p>
    <w:p w14:paraId="24387A8C" w14:textId="77777777" w:rsidR="0035498A" w:rsidRPr="0035498A" w:rsidRDefault="0035498A" w:rsidP="00A34A87">
      <w:pPr>
        <w:pStyle w:val="SingleParagraph"/>
        <w:rPr>
          <w:lang w:eastAsia="en-AU"/>
        </w:rPr>
      </w:pPr>
    </w:p>
    <w:p w14:paraId="25C2025C" w14:textId="77777777" w:rsidR="00692514" w:rsidRDefault="0041286C" w:rsidP="00692514">
      <w:pPr>
        <w:jc w:val="both"/>
        <w:rPr>
          <w:color w:val="auto"/>
        </w:rPr>
      </w:pPr>
      <w:r>
        <w:rPr>
          <w:color w:val="auto"/>
        </w:rPr>
        <w:t>Another advantage of</w:t>
      </w:r>
      <w:r w:rsidR="00B917E5">
        <w:rPr>
          <w:color w:val="auto"/>
        </w:rPr>
        <w:t xml:space="preserve"> micro</w:t>
      </w:r>
      <w:r w:rsidR="00692514">
        <w:rPr>
          <w:color w:val="auto"/>
        </w:rPr>
        <w:t xml:space="preserve">data is that </w:t>
      </w:r>
      <w:r w:rsidR="00B917E5">
        <w:rPr>
          <w:color w:val="auto"/>
        </w:rPr>
        <w:t>they</w:t>
      </w:r>
      <w:r w:rsidR="00692514">
        <w:rPr>
          <w:color w:val="auto"/>
        </w:rPr>
        <w:t xml:space="preserve"> can make it easier to abstract from cyclical factors</w:t>
      </w:r>
      <w:r w:rsidR="000226F0">
        <w:rPr>
          <w:color w:val="auto"/>
        </w:rPr>
        <w:t xml:space="preserve"> –</w:t>
      </w:r>
      <w:r w:rsidR="00692514">
        <w:rPr>
          <w:color w:val="auto"/>
        </w:rPr>
        <w:t xml:space="preserve"> or even certain forms of mismeasurement, for example in inflation expectations or labour market slack</w:t>
      </w:r>
      <w:r w:rsidR="000226F0">
        <w:rPr>
          <w:color w:val="auto"/>
        </w:rPr>
        <w:t xml:space="preserve"> –</w:t>
      </w:r>
      <w:r w:rsidR="00692514">
        <w:rPr>
          <w:color w:val="auto"/>
        </w:rPr>
        <w:t xml:space="preserve"> and to identify structural factors. This is because we can</w:t>
      </w:r>
      <w:r w:rsidR="000226F0">
        <w:rPr>
          <w:color w:val="auto"/>
        </w:rPr>
        <w:t xml:space="preserve"> include</w:t>
      </w:r>
      <w:r w:rsidR="009025B0">
        <w:rPr>
          <w:color w:val="auto"/>
        </w:rPr>
        <w:t xml:space="preserve"> time-varying</w:t>
      </w:r>
      <w:r w:rsidR="00692514">
        <w:rPr>
          <w:color w:val="auto"/>
        </w:rPr>
        <w:t xml:space="preserve"> controls </w:t>
      </w:r>
      <w:r w:rsidR="000226F0">
        <w:rPr>
          <w:color w:val="auto"/>
        </w:rPr>
        <w:t>at</w:t>
      </w:r>
      <w:r w:rsidR="00692514">
        <w:rPr>
          <w:color w:val="auto"/>
        </w:rPr>
        <w:t xml:space="preserve"> the state and industry level</w:t>
      </w:r>
      <w:r w:rsidR="000226F0">
        <w:rPr>
          <w:color w:val="auto"/>
        </w:rPr>
        <w:t xml:space="preserve"> that</w:t>
      </w:r>
      <w:r w:rsidR="00692514">
        <w:rPr>
          <w:color w:val="auto"/>
        </w:rPr>
        <w:t xml:space="preserve"> a</w:t>
      </w:r>
      <w:r w:rsidR="00B917E5">
        <w:rPr>
          <w:color w:val="auto"/>
        </w:rPr>
        <w:t>llow us to abstract from these aggregate</w:t>
      </w:r>
      <w:r w:rsidR="00692514">
        <w:rPr>
          <w:color w:val="auto"/>
        </w:rPr>
        <w:t xml:space="preserve"> influences. </w:t>
      </w:r>
    </w:p>
    <w:p w14:paraId="1EE1516D" w14:textId="77777777" w:rsidR="00692514" w:rsidRDefault="00692514" w:rsidP="00692514">
      <w:pPr>
        <w:jc w:val="both"/>
        <w:rPr>
          <w:color w:val="auto"/>
        </w:rPr>
      </w:pPr>
      <w:r>
        <w:rPr>
          <w:color w:val="auto"/>
        </w:rPr>
        <w:t>These points highlight the po</w:t>
      </w:r>
      <w:r w:rsidR="00B917E5">
        <w:rPr>
          <w:color w:val="auto"/>
        </w:rPr>
        <w:t>tential benefits of using micro</w:t>
      </w:r>
      <w:r>
        <w:rPr>
          <w:color w:val="auto"/>
        </w:rPr>
        <w:t xml:space="preserve">data </w:t>
      </w:r>
      <w:r w:rsidR="009025B0">
        <w:rPr>
          <w:color w:val="auto"/>
        </w:rPr>
        <w:t xml:space="preserve">to </w:t>
      </w:r>
      <w:r>
        <w:rPr>
          <w:color w:val="auto"/>
        </w:rPr>
        <w:t>try to</w:t>
      </w:r>
      <w:r w:rsidR="009025B0">
        <w:rPr>
          <w:color w:val="auto"/>
        </w:rPr>
        <w:t xml:space="preserve"> better understand the recent un</w:t>
      </w:r>
      <w:r>
        <w:rPr>
          <w:color w:val="auto"/>
        </w:rPr>
        <w:t>explain</w:t>
      </w:r>
      <w:r w:rsidR="009025B0">
        <w:rPr>
          <w:color w:val="auto"/>
        </w:rPr>
        <w:t>ed</w:t>
      </w:r>
      <w:r>
        <w:rPr>
          <w:color w:val="auto"/>
        </w:rPr>
        <w:t xml:space="preserve"> weak</w:t>
      </w:r>
      <w:r w:rsidR="009025B0">
        <w:rPr>
          <w:color w:val="auto"/>
        </w:rPr>
        <w:t>ness in</w:t>
      </w:r>
      <w:r>
        <w:rPr>
          <w:color w:val="auto"/>
        </w:rPr>
        <w:t xml:space="preserve"> wage growth. </w:t>
      </w:r>
      <w:r w:rsidR="000226F0">
        <w:rPr>
          <w:color w:val="auto"/>
        </w:rPr>
        <w:t xml:space="preserve">There have been relatively few such analyses to date, and these have tended to focus </w:t>
      </w:r>
      <w:r>
        <w:rPr>
          <w:color w:val="auto"/>
        </w:rPr>
        <w:t xml:space="preserve">on firm-level data. But firm-level data is only likely to get us so far. Numerous papers have documented the role of worker heterogeneity in explaining heterogeneous wage outcomes across firms </w:t>
      </w:r>
      <w:r w:rsidR="00583308">
        <w:rPr>
          <w:lang w:val="en-US" w:eastAsia="en-AU"/>
        </w:rPr>
        <w:t>(for example,</w:t>
      </w:r>
      <w:r>
        <w:rPr>
          <w:lang w:val="en-US" w:eastAsia="en-AU"/>
        </w:rPr>
        <w:t xml:space="preserve"> </w:t>
      </w:r>
      <w:r w:rsidRPr="00F51A74">
        <w:t>Song et al 2019</w:t>
      </w:r>
      <w:r>
        <w:t xml:space="preserve">; </w:t>
      </w:r>
      <w:r w:rsidRPr="00F51A74">
        <w:t>Card et al 2016</w:t>
      </w:r>
      <w:r>
        <w:t>)</w:t>
      </w:r>
      <w:r>
        <w:rPr>
          <w:color w:val="auto"/>
        </w:rPr>
        <w:t xml:space="preserve">. Failing to account for worker differences can lead to incorrect inference, </w:t>
      </w:r>
      <w:r w:rsidR="000226F0">
        <w:rPr>
          <w:color w:val="auto"/>
        </w:rPr>
        <w:t xml:space="preserve">reflecting the fact that </w:t>
      </w:r>
      <w:r>
        <w:rPr>
          <w:color w:val="auto"/>
        </w:rPr>
        <w:t xml:space="preserve">highly skilled workers will tend to raise firm productivity, and given high productivity workers may tend to congregate at certain firms. </w:t>
      </w:r>
    </w:p>
    <w:p w14:paraId="44FD7972" w14:textId="77777777" w:rsidR="00692514" w:rsidRDefault="00692514" w:rsidP="00692514">
      <w:pPr>
        <w:jc w:val="both"/>
        <w:rPr>
          <w:color w:val="auto"/>
        </w:rPr>
      </w:pPr>
      <w:r>
        <w:rPr>
          <w:color w:val="auto"/>
        </w:rPr>
        <w:t xml:space="preserve">As such, this paper makes use of </w:t>
      </w:r>
      <w:r w:rsidR="00F263CA">
        <w:rPr>
          <w:color w:val="auto"/>
        </w:rPr>
        <w:t xml:space="preserve">de-identified </w:t>
      </w:r>
      <w:r w:rsidR="00305AA0">
        <w:rPr>
          <w:color w:val="auto"/>
        </w:rPr>
        <w:t>matched firm-worker panel data</w:t>
      </w:r>
      <w:r>
        <w:rPr>
          <w:color w:val="auto"/>
        </w:rPr>
        <w:t xml:space="preserve"> that allows us to account for worker heterogeneity </w:t>
      </w:r>
      <w:r w:rsidR="00FF6E25">
        <w:rPr>
          <w:color w:val="auto"/>
        </w:rPr>
        <w:t>when</w:t>
      </w:r>
      <w:r>
        <w:rPr>
          <w:color w:val="auto"/>
        </w:rPr>
        <w:t xml:space="preserve"> try</w:t>
      </w:r>
      <w:r w:rsidR="00FF6E25">
        <w:rPr>
          <w:color w:val="auto"/>
        </w:rPr>
        <w:t>ing</w:t>
      </w:r>
      <w:r>
        <w:rPr>
          <w:color w:val="auto"/>
        </w:rPr>
        <w:t xml:space="preserve"> to shed light on the factors affecting aggregate wage growth in Australia. This is the first paper to use such a database in Australia.</w:t>
      </w:r>
    </w:p>
    <w:p w14:paraId="4B28E2C1" w14:textId="77777777" w:rsidR="00692514" w:rsidRDefault="00692514" w:rsidP="00AB6B2F">
      <w:pPr>
        <w:pStyle w:val="Heading2"/>
      </w:pPr>
      <w:r w:rsidRPr="00AB6B2F">
        <w:t>Micro</w:t>
      </w:r>
      <w:r>
        <w:t xml:space="preserve"> evidence on Wage</w:t>
      </w:r>
      <w:r w:rsidR="00192398">
        <w:t>s</w:t>
      </w:r>
      <w:r>
        <w:t xml:space="preserve"> and Productivity</w:t>
      </w:r>
    </w:p>
    <w:p w14:paraId="7A8FE5DE" w14:textId="43FC5C6E" w:rsidR="00692514" w:rsidRDefault="00692514" w:rsidP="00692514">
      <w:pPr>
        <w:jc w:val="both"/>
        <w:rPr>
          <w:color w:val="auto"/>
        </w:rPr>
      </w:pPr>
      <w:r>
        <w:rPr>
          <w:color w:val="auto"/>
        </w:rPr>
        <w:t xml:space="preserve">One useful framework for thinking about the slowdown in wage growth is that proposed in </w:t>
      </w:r>
      <w:r w:rsidRPr="00F51A74">
        <w:t>Summers and Stansbury (2017)</w:t>
      </w:r>
      <w:r>
        <w:rPr>
          <w:color w:val="auto"/>
        </w:rPr>
        <w:t xml:space="preserve">. Broadly, we can think of two potential sets of explanations for the fact that wage growth has been weaker than expected: there has been a </w:t>
      </w:r>
      <w:r w:rsidR="006E6921">
        <w:rPr>
          <w:color w:val="auto"/>
        </w:rPr>
        <w:t>shift in the relationship between</w:t>
      </w:r>
      <w:r>
        <w:rPr>
          <w:color w:val="auto"/>
        </w:rPr>
        <w:t xml:space="preserve"> productivity and wage growth; or, the wages-productivity </w:t>
      </w:r>
      <w:r w:rsidR="006E6921">
        <w:rPr>
          <w:color w:val="auto"/>
        </w:rPr>
        <w:t xml:space="preserve">relationship </w:t>
      </w:r>
      <w:r>
        <w:rPr>
          <w:color w:val="auto"/>
        </w:rPr>
        <w:t>has remained unchanged</w:t>
      </w:r>
      <w:r w:rsidR="00D7358C">
        <w:rPr>
          <w:color w:val="auto"/>
        </w:rPr>
        <w:t xml:space="preserve"> but</w:t>
      </w:r>
      <w:r>
        <w:rPr>
          <w:color w:val="auto"/>
        </w:rPr>
        <w:t xml:space="preserve"> something else has been weighing on wage growth. </w:t>
      </w:r>
    </w:p>
    <w:p w14:paraId="7D727B18" w14:textId="47479117" w:rsidR="00692514" w:rsidRDefault="00692514" w:rsidP="00692514">
      <w:pPr>
        <w:jc w:val="both"/>
        <w:rPr>
          <w:color w:val="auto"/>
        </w:rPr>
      </w:pPr>
      <w:r>
        <w:rPr>
          <w:color w:val="auto"/>
        </w:rPr>
        <w:t>Many of the</w:t>
      </w:r>
      <w:r w:rsidR="007A160E">
        <w:rPr>
          <w:color w:val="auto"/>
        </w:rPr>
        <w:t xml:space="preserve"> more</w:t>
      </w:r>
      <w:r>
        <w:rPr>
          <w:color w:val="auto"/>
        </w:rPr>
        <w:t xml:space="preserve"> structural explanations </w:t>
      </w:r>
      <w:r w:rsidR="006B2766">
        <w:rPr>
          <w:color w:val="auto"/>
        </w:rPr>
        <w:t>posited to date</w:t>
      </w:r>
      <w:r>
        <w:rPr>
          <w:color w:val="auto"/>
        </w:rPr>
        <w:t xml:space="preserve"> can broadly be</w:t>
      </w:r>
      <w:r w:rsidR="00FF6E25">
        <w:rPr>
          <w:color w:val="auto"/>
        </w:rPr>
        <w:t xml:space="preserve"> </w:t>
      </w:r>
      <w:r>
        <w:rPr>
          <w:color w:val="auto"/>
        </w:rPr>
        <w:t xml:space="preserve">interpreted as a </w:t>
      </w:r>
      <w:r w:rsidR="006E6921">
        <w:rPr>
          <w:color w:val="auto"/>
        </w:rPr>
        <w:t xml:space="preserve">change in the relationship between </w:t>
      </w:r>
      <w:r>
        <w:rPr>
          <w:color w:val="auto"/>
        </w:rPr>
        <w:t>wage and productivity growth. For example,</w:t>
      </w:r>
      <w:r w:rsidR="00443D27">
        <w:rPr>
          <w:color w:val="auto"/>
        </w:rPr>
        <w:t xml:space="preserve"> as suggested by </w:t>
      </w:r>
      <w:r w:rsidR="00443D27" w:rsidRPr="00F51A74">
        <w:t xml:space="preserve">Foster and Guttmann </w:t>
      </w:r>
      <w:r w:rsidR="00443D27">
        <w:t>(</w:t>
      </w:r>
      <w:r w:rsidR="00443D27" w:rsidRPr="00F51A74">
        <w:t>2018</w:t>
      </w:r>
      <w:r w:rsidR="00443D27">
        <w:t>),</w:t>
      </w:r>
      <w:r>
        <w:rPr>
          <w:color w:val="auto"/>
        </w:rPr>
        <w:t xml:space="preserve"> </w:t>
      </w:r>
      <w:r w:rsidR="000226F0">
        <w:rPr>
          <w:color w:val="auto"/>
        </w:rPr>
        <w:t>if worker</w:t>
      </w:r>
      <w:r w:rsidR="007A160E">
        <w:rPr>
          <w:color w:val="auto"/>
        </w:rPr>
        <w:t>s</w:t>
      </w:r>
      <w:r w:rsidR="000226F0">
        <w:rPr>
          <w:color w:val="auto"/>
        </w:rPr>
        <w:t xml:space="preserve"> feel less secure in their jobs</w:t>
      </w:r>
      <w:r>
        <w:rPr>
          <w:color w:val="auto"/>
        </w:rPr>
        <w:t xml:space="preserve"> </w:t>
      </w:r>
      <w:r w:rsidR="000226F0">
        <w:rPr>
          <w:color w:val="auto"/>
        </w:rPr>
        <w:t>this is likely to lower their</w:t>
      </w:r>
      <w:r>
        <w:rPr>
          <w:color w:val="auto"/>
        </w:rPr>
        <w:t xml:space="preserve"> wage bargaining power</w:t>
      </w:r>
      <w:r w:rsidR="0011762D">
        <w:rPr>
          <w:color w:val="auto"/>
        </w:rPr>
        <w:t xml:space="preserve"> and mean that</w:t>
      </w:r>
      <w:r w:rsidR="000226F0">
        <w:rPr>
          <w:color w:val="auto"/>
        </w:rPr>
        <w:t xml:space="preserve"> more </w:t>
      </w:r>
      <w:r>
        <w:rPr>
          <w:color w:val="auto"/>
        </w:rPr>
        <w:t xml:space="preserve">of the gains from increases in productivity and profits </w:t>
      </w:r>
      <w:r w:rsidR="000226F0">
        <w:rPr>
          <w:color w:val="auto"/>
        </w:rPr>
        <w:t xml:space="preserve">are likely to flow to </w:t>
      </w:r>
      <w:r w:rsidR="00FF6E25">
        <w:rPr>
          <w:color w:val="auto"/>
        </w:rPr>
        <w:t>employers</w:t>
      </w:r>
      <w:r w:rsidR="0011762D">
        <w:rPr>
          <w:color w:val="auto"/>
        </w:rPr>
        <w:t xml:space="preserve"> instead of workers. This would lead to a weakening of the</w:t>
      </w:r>
      <w:r w:rsidR="000226F0">
        <w:rPr>
          <w:color w:val="auto"/>
        </w:rPr>
        <w:t xml:space="preserve"> relationship between wages and productivity</w:t>
      </w:r>
      <w:r>
        <w:rPr>
          <w:color w:val="auto"/>
        </w:rPr>
        <w:t xml:space="preserve">. </w:t>
      </w:r>
      <w:r>
        <w:rPr>
          <w:color w:val="auto"/>
        </w:rPr>
        <w:lastRenderedPageBreak/>
        <w:t>Increasing integration of local and global labour markets might have similar effects</w:t>
      </w:r>
      <w:r w:rsidR="005558F4">
        <w:rPr>
          <w:color w:val="auto"/>
        </w:rPr>
        <w:t xml:space="preserve"> (</w:t>
      </w:r>
      <w:r w:rsidR="005558F4" w:rsidRPr="00F51A74">
        <w:t>Lowe 2017</w:t>
      </w:r>
      <w:r w:rsidR="005558F4">
        <w:rPr>
          <w:color w:val="auto"/>
        </w:rPr>
        <w:t>)</w:t>
      </w:r>
      <w:r>
        <w:rPr>
          <w:color w:val="auto"/>
        </w:rPr>
        <w:t>.</w:t>
      </w:r>
      <w:r w:rsidR="00762ACA">
        <w:rPr>
          <w:color w:val="auto"/>
        </w:rPr>
        <w:t xml:space="preserve"> These contrast to some of the more cyclical explanations, such as mismeasured labour market slack, </w:t>
      </w:r>
      <w:r w:rsidR="00991FE5">
        <w:rPr>
          <w:color w:val="auto"/>
        </w:rPr>
        <w:t>that will</w:t>
      </w:r>
      <w:r w:rsidR="00762ACA">
        <w:rPr>
          <w:color w:val="auto"/>
        </w:rPr>
        <w:t xml:space="preserve"> weigh on wage growth, but </w:t>
      </w:r>
      <w:r w:rsidR="009757C3">
        <w:rPr>
          <w:color w:val="auto"/>
        </w:rPr>
        <w:t>will not</w:t>
      </w:r>
      <w:r w:rsidR="00762ACA">
        <w:rPr>
          <w:color w:val="auto"/>
        </w:rPr>
        <w:t xml:space="preserve"> necessarily affect the relationship between wages and productivity</w:t>
      </w:r>
      <w:r w:rsidR="009757C3">
        <w:rPr>
          <w:color w:val="auto"/>
        </w:rPr>
        <w:t xml:space="preserve">, </w:t>
      </w:r>
      <w:r w:rsidR="00762ACA">
        <w:rPr>
          <w:color w:val="auto"/>
        </w:rPr>
        <w:t>particularly at the micro level.</w:t>
      </w:r>
    </w:p>
    <w:p w14:paraId="2BE934E4" w14:textId="30D432C7" w:rsidR="00692514" w:rsidRDefault="00692514" w:rsidP="00692514">
      <w:pPr>
        <w:jc w:val="both"/>
        <w:rPr>
          <w:color w:val="auto"/>
        </w:rPr>
      </w:pPr>
      <w:r>
        <w:rPr>
          <w:color w:val="auto"/>
        </w:rPr>
        <w:t xml:space="preserve">As we are interested </w:t>
      </w:r>
      <w:r w:rsidR="00371238">
        <w:rPr>
          <w:color w:val="auto"/>
        </w:rPr>
        <w:t xml:space="preserve">in identifying </w:t>
      </w:r>
      <w:r>
        <w:rPr>
          <w:color w:val="auto"/>
        </w:rPr>
        <w:t xml:space="preserve">whether there are structural explanations for recent weak wage growth, we </w:t>
      </w:r>
      <w:r w:rsidR="006B2766">
        <w:rPr>
          <w:color w:val="auto"/>
        </w:rPr>
        <w:t xml:space="preserve">explore </w:t>
      </w:r>
      <w:r>
        <w:rPr>
          <w:color w:val="auto"/>
        </w:rPr>
        <w:t xml:space="preserve">whether there is evidence of a </w:t>
      </w:r>
      <w:r w:rsidR="006E6921">
        <w:rPr>
          <w:color w:val="auto"/>
        </w:rPr>
        <w:t xml:space="preserve">shift in the relationship between </w:t>
      </w:r>
      <w:r>
        <w:rPr>
          <w:color w:val="auto"/>
        </w:rPr>
        <w:t xml:space="preserve">wage and </w:t>
      </w:r>
      <w:r w:rsidR="00D7358C">
        <w:rPr>
          <w:color w:val="auto"/>
        </w:rPr>
        <w:t xml:space="preserve">firm </w:t>
      </w:r>
      <w:r>
        <w:rPr>
          <w:color w:val="auto"/>
        </w:rPr>
        <w:t>productivity growth</w:t>
      </w:r>
      <w:r w:rsidR="00D7358C">
        <w:rPr>
          <w:color w:val="auto"/>
        </w:rPr>
        <w:t xml:space="preserve"> </w:t>
      </w:r>
      <w:r w:rsidR="00D939CA">
        <w:rPr>
          <w:color w:val="auto"/>
        </w:rPr>
        <w:t>in</w:t>
      </w:r>
      <w:r w:rsidR="00D7358C">
        <w:rPr>
          <w:color w:val="auto"/>
        </w:rPr>
        <w:t xml:space="preserve"> recent years</w:t>
      </w:r>
      <w:r>
        <w:rPr>
          <w:color w:val="auto"/>
        </w:rPr>
        <w:t>.</w:t>
      </w:r>
    </w:p>
    <w:p w14:paraId="2C9EDB55" w14:textId="77777777" w:rsidR="00692514" w:rsidRPr="00292B1D" w:rsidRDefault="00692514" w:rsidP="00A756AD">
      <w:pPr>
        <w:pStyle w:val="Heading3"/>
      </w:pPr>
      <w:r>
        <w:t xml:space="preserve">3.1 Wages, productivity and rent </w:t>
      </w:r>
      <w:r w:rsidRPr="00A756AD">
        <w:t>sharing</w:t>
      </w:r>
    </w:p>
    <w:p w14:paraId="655110D0" w14:textId="2F60185B" w:rsidR="00692514" w:rsidRDefault="00692514" w:rsidP="00721F95">
      <w:pPr>
        <w:jc w:val="both"/>
      </w:pPr>
      <w:r>
        <w:t>To consider whether the link between productivity and wages has changed in the past few years, we draw on the rent-sharing literature. In the presence of labour market frictions, any job-worker match will generate some economic surplus, or ‘rent’. This rent will be split between the worker and the firm, and this split will be a function of the worker</w:t>
      </w:r>
      <w:r w:rsidR="005045F7">
        <w:t>’</w:t>
      </w:r>
      <w:r>
        <w:t>s bargaining power.</w:t>
      </w:r>
    </w:p>
    <w:p w14:paraId="71FED998" w14:textId="77777777" w:rsidR="00692514" w:rsidRDefault="00692514" w:rsidP="00721F95">
      <w:pPr>
        <w:jc w:val="both"/>
      </w:pPr>
      <w:r>
        <w:t>Within these models there is a link between productivity and wages, as worker productivity affects the amount of rent available to split. In particular, wages usually take on the reduced-form:</w:t>
      </w:r>
    </w:p>
    <w:p w14:paraId="58EE9AD9" w14:textId="77777777" w:rsidR="00692514" w:rsidRDefault="00692514" w:rsidP="00721F95">
      <w:pPr>
        <w:jc w:val="both"/>
      </w:pPr>
      <m:oMathPara>
        <m:oMath>
          <m:r>
            <w:rPr>
              <w:rFonts w:ascii="Cambria Math" w:hAnsi="Cambria Math"/>
              <w:lang w:val="en-US" w:eastAsia="en-AU"/>
            </w:rPr>
            <m:t>log</m:t>
          </m:r>
          <m:d>
            <m:dPr>
              <m:ctrlPr>
                <w:rPr>
                  <w:rFonts w:ascii="Cambria Math" w:hAnsi="Cambria Math"/>
                  <w:i/>
                  <w:lang w:val="en-US" w:eastAsia="en-AU"/>
                </w:rPr>
              </m:ctrlPr>
            </m:dPr>
            <m:e>
              <m:sSub>
                <m:sSubPr>
                  <m:ctrlPr>
                    <w:rPr>
                      <w:rFonts w:ascii="Cambria Math" w:hAnsi="Cambria Math"/>
                      <w:i/>
                      <w:lang w:val="en-US" w:eastAsia="en-AU"/>
                    </w:rPr>
                  </m:ctrlPr>
                </m:sSubPr>
                <m:e>
                  <m:r>
                    <w:rPr>
                      <w:rFonts w:ascii="Cambria Math" w:hAnsi="Cambria Math"/>
                      <w:lang w:val="en-US" w:eastAsia="en-AU"/>
                    </w:rPr>
                    <m:t>wage</m:t>
                  </m:r>
                </m:e>
                <m:sub>
                  <m:r>
                    <w:rPr>
                      <w:rFonts w:ascii="Cambria Math" w:hAnsi="Cambria Math"/>
                      <w:lang w:val="en-US" w:eastAsia="en-AU"/>
                    </w:rPr>
                    <m:t>i</m:t>
                  </m:r>
                </m:sub>
              </m:sSub>
            </m:e>
          </m:d>
          <m:r>
            <w:rPr>
              <w:rFonts w:ascii="Cambria Math" w:hAnsi="Cambria Math"/>
              <w:lang w:val="en-US" w:eastAsia="en-AU"/>
            </w:rPr>
            <m:t>=γlog</m:t>
          </m:r>
          <m:d>
            <m:dPr>
              <m:ctrlPr>
                <w:rPr>
                  <w:rFonts w:ascii="Cambria Math" w:hAnsi="Cambria Math"/>
                  <w:i/>
                  <w:lang w:val="en-US" w:eastAsia="en-AU"/>
                </w:rPr>
              </m:ctrlPr>
            </m:dPr>
            <m:e>
              <m:sSub>
                <m:sSubPr>
                  <m:ctrlPr>
                    <w:rPr>
                      <w:rFonts w:ascii="Cambria Math" w:hAnsi="Cambria Math"/>
                      <w:i/>
                      <w:lang w:val="en-US" w:eastAsia="en-AU"/>
                    </w:rPr>
                  </m:ctrlPr>
                </m:sSubPr>
                <m:e>
                  <m:r>
                    <w:rPr>
                      <w:rFonts w:ascii="Cambria Math" w:hAnsi="Cambria Math"/>
                      <w:lang w:val="en-US" w:eastAsia="en-AU"/>
                    </w:rPr>
                    <m:t>LP</m:t>
                  </m:r>
                </m:e>
                <m:sub>
                  <m:r>
                    <w:rPr>
                      <w:rFonts w:ascii="Cambria Math" w:hAnsi="Cambria Math"/>
                      <w:lang w:val="en-US" w:eastAsia="en-AU"/>
                    </w:rPr>
                    <m:t>i</m:t>
                  </m:r>
                </m:sub>
              </m:sSub>
            </m:e>
          </m:d>
          <m:r>
            <w:rPr>
              <w:rFonts w:ascii="Cambria Math" w:hAnsi="Cambria Math"/>
              <w:lang w:val="en-US" w:eastAsia="en-AU"/>
            </w:rPr>
            <m:t>+(1-γ)</m:t>
          </m:r>
          <m:sSub>
            <m:sSubPr>
              <m:ctrlPr>
                <w:rPr>
                  <w:rFonts w:ascii="Cambria Math" w:hAnsi="Cambria Math"/>
                  <w:i/>
                  <w:lang w:val="en-US" w:eastAsia="en-AU"/>
                </w:rPr>
              </m:ctrlPr>
            </m:sSubPr>
            <m:e>
              <m:r>
                <w:rPr>
                  <w:rFonts w:ascii="Cambria Math" w:hAnsi="Cambria Math"/>
                  <w:lang w:val="en-US" w:eastAsia="en-AU"/>
                </w:rPr>
                <m:t>b</m:t>
              </m:r>
            </m:e>
            <m:sub>
              <m:r>
                <w:rPr>
                  <w:rFonts w:ascii="Cambria Math" w:hAnsi="Cambria Math"/>
                  <w:lang w:val="en-US" w:eastAsia="en-AU"/>
                </w:rPr>
                <m:t>i</m:t>
              </m:r>
            </m:sub>
          </m:sSub>
        </m:oMath>
      </m:oMathPara>
    </w:p>
    <w:p w14:paraId="54B74FC5" w14:textId="77777777" w:rsidR="00692514" w:rsidRDefault="00692514" w:rsidP="00721F95">
      <w:pPr>
        <w:jc w:val="both"/>
        <w:rPr>
          <w:rFonts w:eastAsiaTheme="minorEastAsia"/>
          <w:lang w:val="en-US" w:eastAsia="en-AU"/>
        </w:rPr>
      </w:pPr>
      <w:r>
        <w:t xml:space="preserve">Where </w:t>
      </w:r>
      <m:oMath>
        <m:sSub>
          <m:sSubPr>
            <m:ctrlPr>
              <w:rPr>
                <w:rFonts w:ascii="Cambria Math" w:hAnsi="Cambria Math"/>
                <w:i/>
                <w:lang w:val="en-US" w:eastAsia="en-AU"/>
              </w:rPr>
            </m:ctrlPr>
          </m:sSubPr>
          <m:e>
            <m:r>
              <w:rPr>
                <w:rFonts w:ascii="Cambria Math" w:hAnsi="Cambria Math"/>
                <w:lang w:val="en-US" w:eastAsia="en-AU"/>
              </w:rPr>
              <m:t>LP</m:t>
            </m:r>
          </m:e>
          <m:sub>
            <m:r>
              <w:rPr>
                <w:rFonts w:ascii="Cambria Math" w:hAnsi="Cambria Math"/>
                <w:lang w:val="en-US" w:eastAsia="en-AU"/>
              </w:rPr>
              <m:t>i</m:t>
            </m:r>
          </m:sub>
        </m:sSub>
      </m:oMath>
      <w:r>
        <w:rPr>
          <w:rFonts w:eastAsiaTheme="minorEastAsia"/>
          <w:lang w:val="en-US" w:eastAsia="en-AU"/>
        </w:rPr>
        <w:t xml:space="preserve"> is</w:t>
      </w:r>
      <w:r w:rsidR="00FF6E25">
        <w:rPr>
          <w:rFonts w:eastAsiaTheme="minorEastAsia"/>
          <w:lang w:val="en-US" w:eastAsia="en-AU"/>
        </w:rPr>
        <w:t xml:space="preserve"> the productivity of the worker</w:t>
      </w:r>
      <w:r>
        <w:rPr>
          <w:rFonts w:eastAsiaTheme="minorEastAsia"/>
          <w:lang w:val="en-US" w:eastAsia="en-AU"/>
        </w:rPr>
        <w:t xml:space="preserve"> and </w:t>
      </w:r>
      <m:oMath>
        <m:sSub>
          <m:sSubPr>
            <m:ctrlPr>
              <w:rPr>
                <w:rFonts w:ascii="Cambria Math" w:hAnsi="Cambria Math"/>
                <w:i/>
                <w:lang w:val="en-US" w:eastAsia="en-AU"/>
              </w:rPr>
            </m:ctrlPr>
          </m:sSubPr>
          <m:e>
            <m:r>
              <w:rPr>
                <w:rFonts w:ascii="Cambria Math" w:hAnsi="Cambria Math"/>
                <w:lang w:val="en-US" w:eastAsia="en-AU"/>
              </w:rPr>
              <m:t>b</m:t>
            </m:r>
          </m:e>
          <m:sub>
            <m:r>
              <w:rPr>
                <w:rFonts w:ascii="Cambria Math" w:hAnsi="Cambria Math"/>
                <w:lang w:val="en-US" w:eastAsia="en-AU"/>
              </w:rPr>
              <m:t>i</m:t>
            </m:r>
          </m:sub>
        </m:sSub>
      </m:oMath>
      <w:r w:rsidR="007A160E">
        <w:rPr>
          <w:rFonts w:eastAsiaTheme="minorEastAsia"/>
          <w:lang w:val="en-US" w:eastAsia="en-AU"/>
        </w:rPr>
        <w:t xml:space="preserve"> is a reservation wage, which </w:t>
      </w:r>
      <w:r>
        <w:rPr>
          <w:rFonts w:eastAsiaTheme="minorEastAsia"/>
          <w:lang w:val="en-US" w:eastAsia="en-AU"/>
        </w:rPr>
        <w:t xml:space="preserve">captures the outside option of the worker. The parameter </w:t>
      </w:r>
      <m:oMath>
        <m:r>
          <w:rPr>
            <w:rFonts w:ascii="Cambria Math" w:hAnsi="Cambria Math"/>
            <w:lang w:val="en-US" w:eastAsia="en-AU"/>
          </w:rPr>
          <m:t>γ</m:t>
        </m:r>
      </m:oMath>
      <w:r>
        <w:rPr>
          <w:rFonts w:eastAsiaTheme="minorEastAsia"/>
          <w:lang w:val="en-US" w:eastAsia="en-AU"/>
        </w:rPr>
        <w:t xml:space="preserve"> captures the worker’s degree of bargaining power.</w:t>
      </w:r>
    </w:p>
    <w:p w14:paraId="177C29B6" w14:textId="77777777" w:rsidR="004D36D4" w:rsidRDefault="004D36D4" w:rsidP="00721F95">
      <w:pPr>
        <w:jc w:val="both"/>
        <w:rPr>
          <w:rFonts w:eastAsiaTheme="minorEastAsia"/>
          <w:lang w:val="en-US" w:eastAsia="en-AU"/>
        </w:rPr>
      </w:pPr>
      <w:r>
        <w:rPr>
          <w:rFonts w:eastAsiaTheme="minorEastAsia"/>
          <w:lang w:val="en-US" w:eastAsia="en-AU"/>
        </w:rPr>
        <w:t>As such, to consider the relationship between firm productivity and worker wages, we estimate the following equation:</w:t>
      </w:r>
    </w:p>
    <w:p w14:paraId="1158E93C" w14:textId="77777777" w:rsidR="004D36D4" w:rsidRPr="00BA799A" w:rsidRDefault="004D36D4" w:rsidP="004D36D4">
      <w:pPr>
        <w:jc w:val="both"/>
        <w:rPr>
          <w:rFonts w:eastAsiaTheme="minorEastAsia"/>
          <w:lang w:val="en-US" w:eastAsia="en-AU"/>
        </w:rPr>
      </w:pPr>
      <m:oMathPara>
        <m:oMath>
          <m:r>
            <w:rPr>
              <w:rFonts w:ascii="Cambria Math" w:hAnsi="Cambria Math"/>
              <w:lang w:val="en-US" w:eastAsia="en-AU"/>
            </w:rPr>
            <m:t>log</m:t>
          </m:r>
          <m:d>
            <m:dPr>
              <m:ctrlPr>
                <w:rPr>
                  <w:rFonts w:ascii="Cambria Math" w:hAnsi="Cambria Math"/>
                  <w:i/>
                  <w:lang w:val="en-US" w:eastAsia="en-AU"/>
                </w:rPr>
              </m:ctrlPr>
            </m:dPr>
            <m:e>
              <m:sSub>
                <m:sSubPr>
                  <m:ctrlPr>
                    <w:rPr>
                      <w:rFonts w:ascii="Cambria Math" w:hAnsi="Cambria Math"/>
                      <w:i/>
                      <w:lang w:val="en-US" w:eastAsia="en-AU"/>
                    </w:rPr>
                  </m:ctrlPr>
                </m:sSubPr>
                <m:e>
                  <m:r>
                    <w:rPr>
                      <w:rFonts w:ascii="Cambria Math" w:hAnsi="Cambria Math"/>
                      <w:lang w:val="en-US" w:eastAsia="en-AU"/>
                    </w:rPr>
                    <m:t>wage</m:t>
                  </m:r>
                </m:e>
                <m:sub>
                  <m:r>
                    <w:rPr>
                      <w:rFonts w:ascii="Cambria Math" w:hAnsi="Cambria Math"/>
                      <w:lang w:val="en-US" w:eastAsia="en-AU"/>
                    </w:rPr>
                    <m:t>ijt</m:t>
                  </m:r>
                </m:sub>
              </m:sSub>
            </m:e>
          </m:d>
          <m:r>
            <w:rPr>
              <w:rFonts w:ascii="Cambria Math" w:hAnsi="Cambria Math"/>
              <w:lang w:val="en-US" w:eastAsia="en-AU"/>
            </w:rPr>
            <m:t>=∝+</m:t>
          </m:r>
          <m:sSub>
            <m:sSubPr>
              <m:ctrlPr>
                <w:rPr>
                  <w:rFonts w:ascii="Cambria Math" w:hAnsi="Cambria Math"/>
                  <w:i/>
                  <w:lang w:val="en-US" w:eastAsia="en-AU"/>
                </w:rPr>
              </m:ctrlPr>
            </m:sSubPr>
            <m:e>
              <m:r>
                <w:rPr>
                  <w:rFonts w:ascii="Cambria Math" w:hAnsi="Cambria Math"/>
                  <w:lang w:val="en-US" w:eastAsia="en-AU"/>
                </w:rPr>
                <m:t>β</m:t>
              </m:r>
            </m:e>
            <m:sub>
              <m:r>
                <w:rPr>
                  <w:rFonts w:ascii="Cambria Math" w:hAnsi="Cambria Math"/>
                  <w:lang w:val="en-US" w:eastAsia="en-AU"/>
                </w:rPr>
                <m:t>1</m:t>
              </m:r>
            </m:sub>
          </m:sSub>
          <m:r>
            <w:rPr>
              <w:rFonts w:ascii="Cambria Math" w:hAnsi="Cambria Math"/>
              <w:lang w:val="en-US" w:eastAsia="en-AU"/>
            </w:rPr>
            <m:t>log</m:t>
          </m:r>
          <m:d>
            <m:dPr>
              <m:ctrlPr>
                <w:rPr>
                  <w:rFonts w:ascii="Cambria Math" w:hAnsi="Cambria Math"/>
                  <w:i/>
                  <w:lang w:val="en-US" w:eastAsia="en-AU"/>
                </w:rPr>
              </m:ctrlPr>
            </m:dPr>
            <m:e>
              <m:sSub>
                <m:sSubPr>
                  <m:ctrlPr>
                    <w:rPr>
                      <w:rFonts w:ascii="Cambria Math" w:hAnsi="Cambria Math"/>
                      <w:i/>
                      <w:lang w:val="en-US" w:eastAsia="en-AU"/>
                    </w:rPr>
                  </m:ctrlPr>
                </m:sSubPr>
                <m:e>
                  <m:r>
                    <w:rPr>
                      <w:rFonts w:ascii="Cambria Math" w:hAnsi="Cambria Math"/>
                      <w:lang w:val="en-US" w:eastAsia="en-AU"/>
                    </w:rPr>
                    <m:t>LP</m:t>
                  </m:r>
                </m:e>
                <m:sub>
                  <m:r>
                    <w:rPr>
                      <w:rFonts w:ascii="Cambria Math" w:hAnsi="Cambria Math"/>
                      <w:lang w:val="en-US" w:eastAsia="en-AU"/>
                    </w:rPr>
                    <m:t>jt</m:t>
                  </m:r>
                </m:sub>
              </m:sSub>
            </m:e>
          </m:d>
          <m:r>
            <w:rPr>
              <w:rFonts w:ascii="Cambria Math" w:hAnsi="Cambria Math"/>
              <w:lang w:val="en-US" w:eastAsia="en-AU"/>
            </w:rPr>
            <m:t>+δ</m:t>
          </m:r>
          <m:sSup>
            <m:sSupPr>
              <m:ctrlPr>
                <w:rPr>
                  <w:rFonts w:ascii="Cambria Math" w:hAnsi="Cambria Math"/>
                  <w:i/>
                  <w:lang w:val="en-US" w:eastAsia="en-AU"/>
                </w:rPr>
              </m:ctrlPr>
            </m:sSupPr>
            <m:e>
              <m:r>
                <w:rPr>
                  <w:rFonts w:ascii="Cambria Math" w:hAnsi="Cambria Math"/>
                  <w:lang w:val="en-US" w:eastAsia="en-AU"/>
                </w:rPr>
                <m:t>X</m:t>
              </m:r>
            </m:e>
            <m:sup>
              <m:r>
                <w:rPr>
                  <w:rFonts w:ascii="Cambria Math" w:hAnsi="Cambria Math"/>
                  <w:lang w:val="en-US" w:eastAsia="en-AU"/>
                </w:rPr>
                <m:t>'</m:t>
              </m:r>
            </m:sup>
          </m:sSup>
          <m:r>
            <w:rPr>
              <w:rFonts w:ascii="Cambria Math" w:hAnsi="Cambria Math"/>
              <w:lang w:val="en-US" w:eastAsia="en-AU"/>
            </w:rPr>
            <m:t>+</m:t>
          </m:r>
          <m:sSub>
            <m:sSubPr>
              <m:ctrlPr>
                <w:rPr>
                  <w:rFonts w:ascii="Cambria Math" w:hAnsi="Cambria Math"/>
                  <w:i/>
                  <w:lang w:val="en-US" w:eastAsia="en-AU"/>
                </w:rPr>
              </m:ctrlPr>
            </m:sSubPr>
            <m:e>
              <m:r>
                <w:rPr>
                  <w:rFonts w:ascii="Cambria Math" w:hAnsi="Cambria Math"/>
                  <w:lang w:val="en-US" w:eastAsia="en-AU"/>
                </w:rPr>
                <m:t>ε</m:t>
              </m:r>
            </m:e>
            <m:sub>
              <m:r>
                <w:rPr>
                  <w:rFonts w:ascii="Cambria Math" w:hAnsi="Cambria Math"/>
                  <w:lang w:val="en-US" w:eastAsia="en-AU"/>
                </w:rPr>
                <m:t>ijt</m:t>
              </m:r>
            </m:sub>
          </m:sSub>
        </m:oMath>
      </m:oMathPara>
    </w:p>
    <w:p w14:paraId="1AF86C87" w14:textId="20060F6A" w:rsidR="004D36D4" w:rsidRDefault="004D36D4" w:rsidP="004D36D4">
      <w:pPr>
        <w:jc w:val="both"/>
        <w:rPr>
          <w:rFonts w:eastAsiaTheme="minorEastAsia"/>
          <w:lang w:val="en-US" w:eastAsia="en-AU"/>
        </w:rPr>
      </w:pPr>
      <w:r>
        <w:rPr>
          <w:lang w:val="en-US" w:eastAsia="en-AU"/>
        </w:rPr>
        <w:t xml:space="preserve">The vector </w:t>
      </w:r>
      <m:oMath>
        <m:sSup>
          <m:sSupPr>
            <m:ctrlPr>
              <w:rPr>
                <w:rFonts w:ascii="Cambria Math" w:hAnsi="Cambria Math"/>
                <w:i/>
                <w:lang w:val="en-US" w:eastAsia="en-AU"/>
              </w:rPr>
            </m:ctrlPr>
          </m:sSupPr>
          <m:e>
            <m:r>
              <w:rPr>
                <w:rFonts w:ascii="Cambria Math" w:hAnsi="Cambria Math"/>
                <w:lang w:val="en-US" w:eastAsia="en-AU"/>
              </w:rPr>
              <m:t>X</m:t>
            </m:r>
          </m:e>
          <m:sup>
            <m:r>
              <w:rPr>
                <w:rFonts w:ascii="Cambria Math" w:hAnsi="Cambria Math"/>
                <w:lang w:val="en-US" w:eastAsia="en-AU"/>
              </w:rPr>
              <m:t>'</m:t>
            </m:r>
          </m:sup>
        </m:sSup>
      </m:oMath>
      <w:r>
        <w:rPr>
          <w:rFonts w:eastAsiaTheme="minorEastAsia"/>
          <w:lang w:val="en-US" w:eastAsia="en-AU"/>
        </w:rPr>
        <w:t xml:space="preserve"> has a number of controls, including various fixed effects. It includes a number of time fixed effects that account for time-varying state- and industry-specific shocks. </w:t>
      </w:r>
      <w:r w:rsidR="00D7358C">
        <w:rPr>
          <w:rFonts w:eastAsiaTheme="minorEastAsia"/>
          <w:lang w:val="en-US" w:eastAsia="en-AU"/>
        </w:rPr>
        <w:t>This implies that</w:t>
      </w:r>
      <w:r>
        <w:rPr>
          <w:rFonts w:eastAsiaTheme="minorEastAsia"/>
          <w:lang w:val="en-US" w:eastAsia="en-AU"/>
        </w:rPr>
        <w:t xml:space="preserve"> our estimates give information on the pass-through of shocks to idiosyncratic fir</w:t>
      </w:r>
      <w:r w:rsidR="00583308">
        <w:rPr>
          <w:rFonts w:eastAsiaTheme="minorEastAsia"/>
          <w:lang w:val="en-US" w:eastAsia="en-AU"/>
        </w:rPr>
        <w:t>m productivity onto wages – that is,</w:t>
      </w:r>
      <w:r>
        <w:rPr>
          <w:rFonts w:eastAsiaTheme="minorEastAsia"/>
          <w:lang w:val="en-US" w:eastAsia="en-AU"/>
        </w:rPr>
        <w:t xml:space="preserve"> they net out the effects of average changes in these variables at the state and industry level.</w:t>
      </w:r>
      <w:r w:rsidRPr="00E05BF8">
        <w:rPr>
          <w:rFonts w:eastAsiaTheme="minorEastAsia"/>
          <w:lang w:val="en-US" w:eastAsia="en-AU"/>
        </w:rPr>
        <w:t xml:space="preserve"> </w:t>
      </w:r>
      <w:r>
        <w:rPr>
          <w:rFonts w:eastAsiaTheme="minorEastAsia"/>
          <w:lang w:val="en-US" w:eastAsia="en-AU"/>
        </w:rPr>
        <w:t>This will ensure that our results are not unduly affected by cyclical factors, such as conditions and wages in the rest of the industry, which are likely to be a key determinant of the reservation wage. One potential cost, however, is that it is more difficult to infer aggregate implications (see below). The regression also includes a variety of firm and worker fixed effects, which are included to control for time-invariant factors, such as a worker’s work ethic or a firm’s inherent innovativeness.</w:t>
      </w:r>
    </w:p>
    <w:p w14:paraId="476846B1" w14:textId="77777777" w:rsidR="00692514" w:rsidRDefault="00692514" w:rsidP="00721F95">
      <w:pPr>
        <w:jc w:val="both"/>
        <w:rPr>
          <w:rFonts w:eastAsiaTheme="minorEastAsia"/>
          <w:lang w:val="en-US" w:eastAsia="en-AU"/>
        </w:rPr>
      </w:pPr>
      <w:r>
        <w:rPr>
          <w:rFonts w:eastAsiaTheme="minorEastAsia"/>
          <w:lang w:val="en-US" w:eastAsia="en-AU"/>
        </w:rPr>
        <w:t>A large number of papers have estimated equations of this form to examine whether there is a link between firm- or industry-level productivity and wages. Or, more precisely, they try to examine whether shocks to firm- or industry-level productivity flow through to wages</w:t>
      </w:r>
      <w:r w:rsidR="00371238">
        <w:rPr>
          <w:rFonts w:eastAsiaTheme="minorEastAsia"/>
          <w:lang w:val="en-US" w:eastAsia="en-AU"/>
        </w:rPr>
        <w:t xml:space="preserve">, while trying to avoid any endogenous changes in both wages and productivity due to, for example, demand shocks. </w:t>
      </w:r>
      <w:r>
        <w:rPr>
          <w:rFonts w:eastAsiaTheme="minorEastAsia"/>
          <w:lang w:val="en-US" w:eastAsia="en-AU"/>
        </w:rPr>
        <w:t xml:space="preserve">These papers are well summarized in </w:t>
      </w:r>
      <w:r w:rsidRPr="00F51A74">
        <w:t>Card et al (2016)</w:t>
      </w:r>
      <w:r>
        <w:t xml:space="preserve"> and </w:t>
      </w:r>
      <w:r w:rsidRPr="00F51A74">
        <w:t>Manning (2011)</w:t>
      </w:r>
      <w:r>
        <w:t xml:space="preserve">. Estimates from more recent papers, which exploit both firm-level productivity data and worker-level wage data, generally find estimates of </w:t>
      </w:r>
      <m:oMath>
        <m:r>
          <w:rPr>
            <w:rFonts w:ascii="Cambria Math" w:hAnsi="Cambria Math"/>
            <w:lang w:val="en-US" w:eastAsia="en-AU"/>
          </w:rPr>
          <m:t>γ</m:t>
        </m:r>
      </m:oMath>
      <w:r>
        <w:rPr>
          <w:rFonts w:eastAsiaTheme="minorEastAsia"/>
          <w:lang w:val="en-US" w:eastAsia="en-AU"/>
        </w:rPr>
        <w:t xml:space="preserve"> ranging from</w:t>
      </w:r>
      <w:r w:rsidR="00583308">
        <w:rPr>
          <w:rFonts w:eastAsiaTheme="minorEastAsia"/>
          <w:lang w:val="en-US" w:eastAsia="en-AU"/>
        </w:rPr>
        <w:t> </w:t>
      </w:r>
      <w:r>
        <w:rPr>
          <w:rFonts w:eastAsiaTheme="minorEastAsia"/>
          <w:lang w:val="en-US" w:eastAsia="en-AU"/>
        </w:rPr>
        <w:t xml:space="preserve">0.05 to 0.15. </w:t>
      </w:r>
    </w:p>
    <w:p w14:paraId="066CD15E" w14:textId="77777777" w:rsidR="00692514" w:rsidRDefault="004D36D4" w:rsidP="004D36D4">
      <w:pPr>
        <w:jc w:val="both"/>
      </w:pPr>
      <w:r>
        <w:rPr>
          <w:rFonts w:eastAsiaTheme="minorEastAsia"/>
          <w:lang w:val="en-US" w:eastAsia="en-AU"/>
        </w:rPr>
        <w:t xml:space="preserve">While the relationship </w:t>
      </w:r>
      <w:r w:rsidR="00692514">
        <w:t>between wages and productivity</w:t>
      </w:r>
      <w:r>
        <w:t xml:space="preserve"> is of interest, the motivation of this paper is to examine whether this relationship</w:t>
      </w:r>
      <w:r w:rsidR="00692514">
        <w:t xml:space="preserve"> has changed</w:t>
      </w:r>
      <w:r>
        <w:t>. To do so, we</w:t>
      </w:r>
      <w:r w:rsidR="00484F02">
        <w:t xml:space="preserve"> </w:t>
      </w:r>
      <w:r w:rsidR="002E4C6E">
        <w:t xml:space="preserve">also </w:t>
      </w:r>
      <w:r w:rsidR="00692514">
        <w:t>estimate the following equation:</w:t>
      </w:r>
    </w:p>
    <w:p w14:paraId="17A8A731" w14:textId="77777777" w:rsidR="00692514" w:rsidRPr="00BA799A" w:rsidRDefault="00692514" w:rsidP="00721F95">
      <w:pPr>
        <w:jc w:val="both"/>
        <w:rPr>
          <w:rFonts w:eastAsiaTheme="minorEastAsia"/>
          <w:lang w:val="en-US" w:eastAsia="en-AU"/>
        </w:rPr>
      </w:pPr>
      <m:oMathPara>
        <m:oMath>
          <m:r>
            <w:rPr>
              <w:rFonts w:ascii="Cambria Math" w:hAnsi="Cambria Math"/>
              <w:lang w:val="en-US" w:eastAsia="en-AU"/>
            </w:rPr>
            <m:t>∆log</m:t>
          </m:r>
          <m:d>
            <m:dPr>
              <m:ctrlPr>
                <w:rPr>
                  <w:rFonts w:ascii="Cambria Math" w:hAnsi="Cambria Math"/>
                  <w:i/>
                  <w:lang w:val="en-US" w:eastAsia="en-AU"/>
                </w:rPr>
              </m:ctrlPr>
            </m:dPr>
            <m:e>
              <m:sSub>
                <m:sSubPr>
                  <m:ctrlPr>
                    <w:rPr>
                      <w:rFonts w:ascii="Cambria Math" w:hAnsi="Cambria Math"/>
                      <w:i/>
                      <w:lang w:val="en-US" w:eastAsia="en-AU"/>
                    </w:rPr>
                  </m:ctrlPr>
                </m:sSubPr>
                <m:e>
                  <m:r>
                    <w:rPr>
                      <w:rFonts w:ascii="Cambria Math" w:hAnsi="Cambria Math"/>
                      <w:lang w:val="en-US" w:eastAsia="en-AU"/>
                    </w:rPr>
                    <m:t>wage</m:t>
                  </m:r>
                </m:e>
                <m:sub>
                  <m:r>
                    <w:rPr>
                      <w:rFonts w:ascii="Cambria Math" w:hAnsi="Cambria Math"/>
                      <w:lang w:val="en-US" w:eastAsia="en-AU"/>
                    </w:rPr>
                    <m:t>ijt</m:t>
                  </m:r>
                </m:sub>
              </m:sSub>
            </m:e>
          </m:d>
          <m:r>
            <w:rPr>
              <w:rFonts w:ascii="Cambria Math" w:hAnsi="Cambria Math"/>
              <w:lang w:val="en-US" w:eastAsia="en-AU"/>
            </w:rPr>
            <m:t>=∝+</m:t>
          </m:r>
          <m:sSub>
            <m:sSubPr>
              <m:ctrlPr>
                <w:rPr>
                  <w:rFonts w:ascii="Cambria Math" w:hAnsi="Cambria Math"/>
                  <w:i/>
                  <w:lang w:val="en-US" w:eastAsia="en-AU"/>
                </w:rPr>
              </m:ctrlPr>
            </m:sSubPr>
            <m:e>
              <m:r>
                <w:rPr>
                  <w:rFonts w:ascii="Cambria Math" w:hAnsi="Cambria Math"/>
                  <w:lang w:val="en-US" w:eastAsia="en-AU"/>
                </w:rPr>
                <m:t>β</m:t>
              </m:r>
            </m:e>
            <m:sub>
              <m:r>
                <w:rPr>
                  <w:rFonts w:ascii="Cambria Math" w:hAnsi="Cambria Math"/>
                  <w:lang w:val="en-US" w:eastAsia="en-AU"/>
                </w:rPr>
                <m:t>1</m:t>
              </m:r>
            </m:sub>
          </m:sSub>
          <m:r>
            <w:rPr>
              <w:rFonts w:ascii="Cambria Math" w:hAnsi="Cambria Math"/>
              <w:lang w:val="en-US" w:eastAsia="en-AU"/>
            </w:rPr>
            <m:t>∆log</m:t>
          </m:r>
          <m:d>
            <m:dPr>
              <m:ctrlPr>
                <w:rPr>
                  <w:rFonts w:ascii="Cambria Math" w:hAnsi="Cambria Math"/>
                  <w:i/>
                  <w:lang w:val="en-US" w:eastAsia="en-AU"/>
                </w:rPr>
              </m:ctrlPr>
            </m:dPr>
            <m:e>
              <m:sSub>
                <m:sSubPr>
                  <m:ctrlPr>
                    <w:rPr>
                      <w:rFonts w:ascii="Cambria Math" w:hAnsi="Cambria Math"/>
                      <w:i/>
                      <w:lang w:val="en-US" w:eastAsia="en-AU"/>
                    </w:rPr>
                  </m:ctrlPr>
                </m:sSubPr>
                <m:e>
                  <m:r>
                    <w:rPr>
                      <w:rFonts w:ascii="Cambria Math" w:hAnsi="Cambria Math"/>
                      <w:lang w:val="en-US" w:eastAsia="en-AU"/>
                    </w:rPr>
                    <m:t>LP</m:t>
                  </m:r>
                </m:e>
                <m:sub>
                  <m:r>
                    <w:rPr>
                      <w:rFonts w:ascii="Cambria Math" w:hAnsi="Cambria Math"/>
                      <w:lang w:val="en-US" w:eastAsia="en-AU"/>
                    </w:rPr>
                    <m:t>jt</m:t>
                  </m:r>
                </m:sub>
              </m:sSub>
            </m:e>
          </m:d>
          <m:r>
            <w:rPr>
              <w:rFonts w:ascii="Cambria Math" w:hAnsi="Cambria Math"/>
              <w:lang w:val="en-US" w:eastAsia="en-AU"/>
            </w:rPr>
            <m:t>+</m:t>
          </m:r>
          <m:sSub>
            <m:sSubPr>
              <m:ctrlPr>
                <w:rPr>
                  <w:rFonts w:ascii="Cambria Math" w:hAnsi="Cambria Math"/>
                  <w:i/>
                  <w:lang w:val="en-US" w:eastAsia="en-AU"/>
                </w:rPr>
              </m:ctrlPr>
            </m:sSubPr>
            <m:e>
              <m:r>
                <w:rPr>
                  <w:rFonts w:ascii="Cambria Math" w:hAnsi="Cambria Math"/>
                  <w:lang w:val="en-US" w:eastAsia="en-AU"/>
                </w:rPr>
                <m:t>β</m:t>
              </m:r>
            </m:e>
            <m:sub>
              <m:r>
                <w:rPr>
                  <w:rFonts w:ascii="Cambria Math" w:hAnsi="Cambria Math"/>
                  <w:lang w:val="en-US" w:eastAsia="en-AU"/>
                </w:rPr>
                <m:t>2</m:t>
              </m:r>
            </m:sub>
          </m:sSub>
          <m:d>
            <m:dPr>
              <m:begChr m:val="["/>
              <m:endChr m:val="]"/>
              <m:ctrlPr>
                <w:rPr>
                  <w:rFonts w:ascii="Cambria Math" w:hAnsi="Cambria Math"/>
                  <w:i/>
                  <w:lang w:val="en-US" w:eastAsia="en-AU"/>
                </w:rPr>
              </m:ctrlPr>
            </m:dPr>
            <m:e>
              <m:r>
                <w:rPr>
                  <w:rFonts w:ascii="Cambria Math" w:hAnsi="Cambria Math"/>
                  <w:lang w:val="en-US" w:eastAsia="en-AU"/>
                </w:rPr>
                <m:t>∆log</m:t>
              </m:r>
              <m:d>
                <m:dPr>
                  <m:ctrlPr>
                    <w:rPr>
                      <w:rFonts w:ascii="Cambria Math" w:hAnsi="Cambria Math"/>
                      <w:i/>
                      <w:lang w:val="en-US" w:eastAsia="en-AU"/>
                    </w:rPr>
                  </m:ctrlPr>
                </m:dPr>
                <m:e>
                  <m:sSub>
                    <m:sSubPr>
                      <m:ctrlPr>
                        <w:rPr>
                          <w:rFonts w:ascii="Cambria Math" w:hAnsi="Cambria Math"/>
                          <w:i/>
                          <w:lang w:val="en-US" w:eastAsia="en-AU"/>
                        </w:rPr>
                      </m:ctrlPr>
                    </m:sSubPr>
                    <m:e>
                      <m:r>
                        <w:rPr>
                          <w:rFonts w:ascii="Cambria Math" w:hAnsi="Cambria Math"/>
                          <w:lang w:val="en-US" w:eastAsia="en-AU"/>
                        </w:rPr>
                        <m:t>LP</m:t>
                      </m:r>
                    </m:e>
                    <m:sub>
                      <m:r>
                        <w:rPr>
                          <w:rFonts w:ascii="Cambria Math" w:hAnsi="Cambria Math"/>
                          <w:lang w:val="en-US" w:eastAsia="en-AU"/>
                        </w:rPr>
                        <m:t>jt</m:t>
                      </m:r>
                    </m:sub>
                  </m:sSub>
                </m:e>
              </m:d>
              <m:r>
                <w:rPr>
                  <w:rFonts w:ascii="Cambria Math" w:hAnsi="Cambria Math"/>
                  <w:lang w:val="en-US" w:eastAsia="en-AU"/>
                </w:rPr>
                <m:t>*</m:t>
              </m:r>
              <m:sSubSup>
                <m:sSubSupPr>
                  <m:ctrlPr>
                    <w:rPr>
                      <w:rFonts w:ascii="Cambria Math" w:hAnsi="Cambria Math"/>
                      <w:i/>
                      <w:lang w:val="en-US" w:eastAsia="en-AU"/>
                    </w:rPr>
                  </m:ctrlPr>
                </m:sSubSupPr>
                <m:e>
                  <m:r>
                    <w:rPr>
                      <w:rFonts w:ascii="Cambria Math" w:hAnsi="Cambria Math"/>
                      <w:lang w:val="en-US" w:eastAsia="en-AU"/>
                    </w:rPr>
                    <m:t>D</m:t>
                  </m:r>
                </m:e>
                <m:sub>
                  <m:r>
                    <w:rPr>
                      <w:rFonts w:ascii="Cambria Math" w:hAnsi="Cambria Math"/>
                      <w:lang w:val="en-US" w:eastAsia="en-AU"/>
                    </w:rPr>
                    <m:t>12/13</m:t>
                  </m:r>
                </m:sub>
                <m:sup>
                  <m:r>
                    <w:rPr>
                      <w:rFonts w:ascii="Cambria Math" w:hAnsi="Cambria Math"/>
                      <w:lang w:val="en-US" w:eastAsia="en-AU"/>
                    </w:rPr>
                    <m:t>Post</m:t>
                  </m:r>
                </m:sup>
              </m:sSubSup>
            </m:e>
          </m:d>
          <m:r>
            <w:rPr>
              <w:rFonts w:ascii="Cambria Math" w:hAnsi="Cambria Math"/>
              <w:lang w:val="en-US" w:eastAsia="en-AU"/>
            </w:rPr>
            <m:t>+δ</m:t>
          </m:r>
          <m:sSup>
            <m:sSupPr>
              <m:ctrlPr>
                <w:rPr>
                  <w:rFonts w:ascii="Cambria Math" w:hAnsi="Cambria Math"/>
                  <w:i/>
                  <w:lang w:val="en-US" w:eastAsia="en-AU"/>
                </w:rPr>
              </m:ctrlPr>
            </m:sSupPr>
            <m:e>
              <m:r>
                <w:rPr>
                  <w:rFonts w:ascii="Cambria Math" w:hAnsi="Cambria Math"/>
                  <w:lang w:val="en-US" w:eastAsia="en-AU"/>
                </w:rPr>
                <m:t>X</m:t>
              </m:r>
            </m:e>
            <m:sup>
              <m:r>
                <w:rPr>
                  <w:rFonts w:ascii="Cambria Math" w:hAnsi="Cambria Math"/>
                  <w:lang w:val="en-US" w:eastAsia="en-AU"/>
                </w:rPr>
                <m:t>'</m:t>
              </m:r>
            </m:sup>
          </m:sSup>
          <m:r>
            <w:rPr>
              <w:rFonts w:ascii="Cambria Math" w:hAnsi="Cambria Math"/>
              <w:lang w:val="en-US" w:eastAsia="en-AU"/>
            </w:rPr>
            <m:t>+</m:t>
          </m:r>
          <m:sSub>
            <m:sSubPr>
              <m:ctrlPr>
                <w:rPr>
                  <w:rFonts w:ascii="Cambria Math" w:hAnsi="Cambria Math"/>
                  <w:i/>
                  <w:lang w:val="en-US" w:eastAsia="en-AU"/>
                </w:rPr>
              </m:ctrlPr>
            </m:sSubPr>
            <m:e>
              <m:r>
                <w:rPr>
                  <w:rFonts w:ascii="Cambria Math" w:hAnsi="Cambria Math"/>
                  <w:lang w:val="en-US" w:eastAsia="en-AU"/>
                </w:rPr>
                <m:t>ε</m:t>
              </m:r>
            </m:e>
            <m:sub>
              <m:r>
                <w:rPr>
                  <w:rFonts w:ascii="Cambria Math" w:hAnsi="Cambria Math"/>
                  <w:lang w:val="en-US" w:eastAsia="en-AU"/>
                </w:rPr>
                <m:t>ijt</m:t>
              </m:r>
            </m:sub>
          </m:sSub>
        </m:oMath>
      </m:oMathPara>
    </w:p>
    <w:p w14:paraId="3C22C470" w14:textId="77777777" w:rsidR="00BD3591" w:rsidRDefault="00BD3591" w:rsidP="00BD3591">
      <w:pPr>
        <w:jc w:val="both"/>
        <w:rPr>
          <w:rFonts w:eastAsiaTheme="minorEastAsia"/>
          <w:lang w:val="en-US" w:eastAsia="en-AU"/>
        </w:rPr>
      </w:pPr>
      <w:r>
        <w:rPr>
          <w:rFonts w:eastAsiaTheme="minorEastAsia"/>
          <w:lang w:val="en-US" w:eastAsia="en-AU"/>
        </w:rPr>
        <w:lastRenderedPageBreak/>
        <w:t xml:space="preserve">Where </w:t>
      </w:r>
      <m:oMath>
        <m:sSubSup>
          <m:sSubSupPr>
            <m:ctrlPr>
              <w:rPr>
                <w:rFonts w:ascii="Cambria Math" w:hAnsi="Cambria Math"/>
                <w:i/>
                <w:lang w:val="en-US" w:eastAsia="en-AU"/>
              </w:rPr>
            </m:ctrlPr>
          </m:sSubSupPr>
          <m:e>
            <m:r>
              <w:rPr>
                <w:rFonts w:ascii="Cambria Math" w:hAnsi="Cambria Math"/>
                <w:lang w:val="en-US" w:eastAsia="en-AU"/>
              </w:rPr>
              <m:t>D</m:t>
            </m:r>
          </m:e>
          <m:sub>
            <m:r>
              <w:rPr>
                <w:rFonts w:ascii="Cambria Math" w:hAnsi="Cambria Math"/>
                <w:lang w:val="en-US" w:eastAsia="en-AU"/>
              </w:rPr>
              <m:t>12/13</m:t>
            </m:r>
          </m:sub>
          <m:sup>
            <m:r>
              <w:rPr>
                <w:rFonts w:ascii="Cambria Math" w:hAnsi="Cambria Math"/>
                <w:lang w:val="en-US" w:eastAsia="en-AU"/>
              </w:rPr>
              <m:t>Post</m:t>
            </m:r>
          </m:sup>
        </m:sSubSup>
      </m:oMath>
      <w:r>
        <w:rPr>
          <w:rFonts w:eastAsiaTheme="minorEastAsia"/>
          <w:lang w:val="en-US" w:eastAsia="en-AU"/>
        </w:rPr>
        <w:t xml:space="preserve"> is a dummy that takes on the value one for 2012-13 onwards, and zero otherwise. Therefore, our coefficient of interest is </w:t>
      </w:r>
      <m:oMath>
        <m:sSub>
          <m:sSubPr>
            <m:ctrlPr>
              <w:rPr>
                <w:rFonts w:ascii="Cambria Math" w:hAnsi="Cambria Math"/>
                <w:i/>
                <w:lang w:val="en-US" w:eastAsia="en-AU"/>
              </w:rPr>
            </m:ctrlPr>
          </m:sSubPr>
          <m:e>
            <m:r>
              <w:rPr>
                <w:rFonts w:ascii="Cambria Math" w:hAnsi="Cambria Math"/>
                <w:lang w:val="en-US" w:eastAsia="en-AU"/>
              </w:rPr>
              <m:t>β</m:t>
            </m:r>
          </m:e>
          <m:sub>
            <m:r>
              <w:rPr>
                <w:rFonts w:ascii="Cambria Math" w:hAnsi="Cambria Math"/>
                <w:lang w:val="en-US" w:eastAsia="en-AU"/>
              </w:rPr>
              <m:t>2</m:t>
            </m:r>
          </m:sub>
        </m:sSub>
      </m:oMath>
      <w:r>
        <w:rPr>
          <w:rFonts w:eastAsiaTheme="minorEastAsia"/>
          <w:lang w:val="en-US" w:eastAsia="en-AU"/>
        </w:rPr>
        <w:t>, which identifies whether there has been a change in the relationship between firm-level productivity and wages over the recent period where unexplained weakness in aggregate wage growth emerges. We choose 2012-13 to coincide with period of unexplained weakness in wages growth per the RBA’s Philips curve model, though some basic testing suggests our results are</w:t>
      </w:r>
      <w:r w:rsidR="00484F02">
        <w:rPr>
          <w:rFonts w:eastAsiaTheme="minorEastAsia"/>
          <w:lang w:val="en-US" w:eastAsia="en-AU"/>
        </w:rPr>
        <w:t xml:space="preserve"> generally</w:t>
      </w:r>
      <w:r>
        <w:rPr>
          <w:rFonts w:eastAsiaTheme="minorEastAsia"/>
          <w:lang w:val="en-US" w:eastAsia="en-AU"/>
        </w:rPr>
        <w:t xml:space="preserve"> robust to the exact choice of year.</w:t>
      </w:r>
    </w:p>
    <w:p w14:paraId="1CD6DB06" w14:textId="77777777" w:rsidR="00BD3591" w:rsidRDefault="00BD3591" w:rsidP="00BD3591">
      <w:pPr>
        <w:jc w:val="both"/>
      </w:pPr>
      <w:r>
        <w:rPr>
          <w:rFonts w:eastAsiaTheme="minorEastAsia"/>
          <w:lang w:val="en-US" w:eastAsia="en-AU"/>
        </w:rPr>
        <w:t>We prefer a differences specification when trying to identify a change in the relationship, rather than the levels specification that is more common in the literature and that we use for identifying rent sharing. This is because the differences specification is likely to be more suited to capturing a change in the relationship between wages and productivity. For example, if the change reflects a shift in worker bargaining power, we would expect it to affect the sharing of future rents, but not necessarily past rents, making the differences specification more appropriate. More generally, if we are transitioning to a new and different relationship between the levels of wages and productivity, the transition is likely to take a number of years, and can be better accommodated by the differences specification. The differences specification can also help to control for variation in worker quality (</w:t>
      </w:r>
      <w:r w:rsidRPr="00F51A74">
        <w:t>Card et al 2016)</w:t>
      </w:r>
      <w:r>
        <w:t>, though this is not overly important for our application as we have access to employee-level data.</w:t>
      </w:r>
      <w:r>
        <w:rPr>
          <w:rStyle w:val="FootnoteReference"/>
        </w:rPr>
        <w:footnoteReference w:id="5"/>
      </w:r>
    </w:p>
    <w:p w14:paraId="799D42F4" w14:textId="77777777" w:rsidR="00583AC3" w:rsidRDefault="002D6BB6" w:rsidP="00721F95">
      <w:pPr>
        <w:jc w:val="both"/>
        <w:rPr>
          <w:rFonts w:eastAsiaTheme="minorEastAsia"/>
          <w:lang w:val="en-US" w:eastAsia="en-AU"/>
        </w:rPr>
      </w:pPr>
      <w:r>
        <w:rPr>
          <w:rFonts w:eastAsiaTheme="minorEastAsia"/>
          <w:lang w:val="en-US" w:eastAsia="en-AU"/>
        </w:rPr>
        <w:t xml:space="preserve">At the macro level, the relationship between wages and productivity will reflect not only the idiosyncratic firm productivity shocks that we capture, but also common productivity shocks </w:t>
      </w:r>
      <w:r w:rsidR="006063DC">
        <w:rPr>
          <w:rFonts w:eastAsiaTheme="minorEastAsia"/>
          <w:lang w:val="en-US" w:eastAsia="en-AU"/>
        </w:rPr>
        <w:t>at the national, state and industry levels</w:t>
      </w:r>
      <w:r w:rsidR="00AB0E3D">
        <w:rPr>
          <w:rFonts w:eastAsiaTheme="minorEastAsia"/>
          <w:lang w:val="en-US" w:eastAsia="en-AU"/>
        </w:rPr>
        <w:t xml:space="preserve"> that are absorb</w:t>
      </w:r>
      <w:r w:rsidR="00443D27">
        <w:rPr>
          <w:rFonts w:eastAsiaTheme="minorEastAsia"/>
          <w:lang w:val="en-US" w:eastAsia="en-AU"/>
        </w:rPr>
        <w:t>ed</w:t>
      </w:r>
      <w:r w:rsidR="00AB0E3D">
        <w:rPr>
          <w:rFonts w:eastAsiaTheme="minorEastAsia"/>
          <w:lang w:val="en-US" w:eastAsia="en-AU"/>
        </w:rPr>
        <w:t xml:space="preserve"> through our fixed effects structure</w:t>
      </w:r>
      <w:r>
        <w:rPr>
          <w:rFonts w:eastAsiaTheme="minorEastAsia"/>
          <w:lang w:val="en-US" w:eastAsia="en-AU"/>
        </w:rPr>
        <w:t>.</w:t>
      </w:r>
      <w:r w:rsidR="00152836">
        <w:rPr>
          <w:rFonts w:eastAsiaTheme="minorEastAsia"/>
          <w:lang w:val="en-US" w:eastAsia="en-AU"/>
        </w:rPr>
        <w:t xml:space="preserve"> </w:t>
      </w:r>
      <w:r w:rsidR="006063DC">
        <w:rPr>
          <w:rFonts w:eastAsiaTheme="minorEastAsia"/>
          <w:lang w:val="en-US" w:eastAsia="en-AU"/>
        </w:rPr>
        <w:t xml:space="preserve">Despite these apparent costs, </w:t>
      </w:r>
      <w:r w:rsidR="00583AC3">
        <w:rPr>
          <w:rFonts w:eastAsiaTheme="minorEastAsia"/>
          <w:lang w:val="en-US" w:eastAsia="en-AU"/>
        </w:rPr>
        <w:t xml:space="preserve">we include </w:t>
      </w:r>
      <w:r w:rsidR="006063DC">
        <w:rPr>
          <w:rFonts w:eastAsiaTheme="minorEastAsia"/>
          <w:lang w:val="en-US" w:eastAsia="en-AU"/>
        </w:rPr>
        <w:t xml:space="preserve">fixed effects since our aim to </w:t>
      </w:r>
      <w:r w:rsidR="00583AC3">
        <w:rPr>
          <w:rFonts w:eastAsiaTheme="minorEastAsia"/>
          <w:lang w:val="en-US" w:eastAsia="en-AU"/>
        </w:rPr>
        <w:t xml:space="preserve">credibly identify the </w:t>
      </w:r>
      <w:r w:rsidR="0027226F">
        <w:rPr>
          <w:rFonts w:eastAsiaTheme="minorEastAsia"/>
          <w:lang w:val="en-US" w:eastAsia="en-AU"/>
        </w:rPr>
        <w:t>causal</w:t>
      </w:r>
      <w:r w:rsidR="00583AC3">
        <w:rPr>
          <w:rFonts w:eastAsiaTheme="minorEastAsia"/>
          <w:lang w:val="en-US" w:eastAsia="en-AU"/>
        </w:rPr>
        <w:t xml:space="preserve"> relationship between productivity and wages, and any change therein. </w:t>
      </w:r>
      <w:r w:rsidR="008202C4">
        <w:rPr>
          <w:rFonts w:eastAsiaTheme="minorEastAsia"/>
          <w:lang w:val="en-US" w:eastAsia="en-AU"/>
        </w:rPr>
        <w:t xml:space="preserve">To the extent that this aids </w:t>
      </w:r>
      <w:r w:rsidR="0027226F">
        <w:rPr>
          <w:rFonts w:eastAsiaTheme="minorEastAsia"/>
          <w:lang w:val="en-US" w:eastAsia="en-AU"/>
        </w:rPr>
        <w:t xml:space="preserve">causal </w:t>
      </w:r>
      <w:r w:rsidR="00152836">
        <w:rPr>
          <w:rFonts w:eastAsiaTheme="minorEastAsia"/>
          <w:lang w:val="en-US" w:eastAsia="en-AU"/>
        </w:rPr>
        <w:t>identification</w:t>
      </w:r>
      <w:r w:rsidR="00583AC3">
        <w:rPr>
          <w:rFonts w:eastAsiaTheme="minorEastAsia"/>
          <w:lang w:val="en-US" w:eastAsia="en-AU"/>
        </w:rPr>
        <w:t xml:space="preserve">, if we find any evidence of a change in the relationship between firm-level productivity and wages, </w:t>
      </w:r>
      <w:r w:rsidR="008202C4">
        <w:rPr>
          <w:rFonts w:eastAsiaTheme="minorEastAsia"/>
          <w:lang w:val="en-US" w:eastAsia="en-AU"/>
        </w:rPr>
        <w:t xml:space="preserve">then </w:t>
      </w:r>
      <w:r w:rsidR="00583AC3">
        <w:rPr>
          <w:rFonts w:eastAsiaTheme="minorEastAsia"/>
          <w:lang w:val="en-US" w:eastAsia="en-AU"/>
        </w:rPr>
        <w:t>it will</w:t>
      </w:r>
      <w:r w:rsidR="008202C4">
        <w:rPr>
          <w:rFonts w:eastAsiaTheme="minorEastAsia"/>
          <w:lang w:val="en-US" w:eastAsia="en-AU"/>
        </w:rPr>
        <w:t xml:space="preserve"> likely</w:t>
      </w:r>
      <w:r w:rsidR="00583AC3">
        <w:rPr>
          <w:rFonts w:eastAsiaTheme="minorEastAsia"/>
          <w:lang w:val="en-US" w:eastAsia="en-AU"/>
        </w:rPr>
        <w:t xml:space="preserve"> be suggestive of a change in the aggregate</w:t>
      </w:r>
      <w:r w:rsidR="00152836">
        <w:rPr>
          <w:rFonts w:eastAsiaTheme="minorEastAsia"/>
          <w:lang w:val="en-US" w:eastAsia="en-AU"/>
        </w:rPr>
        <w:t xml:space="preserve"> relationship</w:t>
      </w:r>
      <w:r w:rsidR="00EA2761">
        <w:rPr>
          <w:rFonts w:eastAsiaTheme="minorEastAsia"/>
          <w:lang w:val="en-US" w:eastAsia="en-AU"/>
        </w:rPr>
        <w:t>. This will be the case</w:t>
      </w:r>
      <w:r>
        <w:rPr>
          <w:rFonts w:eastAsiaTheme="minorEastAsia"/>
          <w:lang w:val="en-US" w:eastAsia="en-AU"/>
        </w:rPr>
        <w:t xml:space="preserve"> even if the responsiveness of wages to </w:t>
      </w:r>
      <w:r w:rsidR="004C30DA">
        <w:rPr>
          <w:rFonts w:eastAsiaTheme="minorEastAsia"/>
          <w:lang w:val="en-US" w:eastAsia="en-AU"/>
        </w:rPr>
        <w:t>common</w:t>
      </w:r>
      <w:r>
        <w:rPr>
          <w:rFonts w:eastAsiaTheme="minorEastAsia"/>
          <w:lang w:val="en-US" w:eastAsia="en-AU"/>
        </w:rPr>
        <w:t xml:space="preserve"> and </w:t>
      </w:r>
      <w:r w:rsidR="004C30DA">
        <w:rPr>
          <w:rFonts w:eastAsiaTheme="minorEastAsia"/>
          <w:lang w:val="en-US" w:eastAsia="en-AU"/>
        </w:rPr>
        <w:t>idiosyncratic</w:t>
      </w:r>
      <w:r>
        <w:rPr>
          <w:rFonts w:eastAsiaTheme="minorEastAsia"/>
          <w:lang w:val="en-US" w:eastAsia="en-AU"/>
        </w:rPr>
        <w:t xml:space="preserve"> shocks differs somewhat (as has been demonstrated in Card </w:t>
      </w:r>
      <w:r w:rsidRPr="00634538">
        <w:rPr>
          <w:rFonts w:eastAsiaTheme="minorEastAsia"/>
          <w:lang w:val="en-US" w:eastAsia="en-AU"/>
        </w:rPr>
        <w:t>et al</w:t>
      </w:r>
      <w:r>
        <w:rPr>
          <w:rFonts w:eastAsiaTheme="minorEastAsia"/>
          <w:lang w:val="en-US" w:eastAsia="en-AU"/>
        </w:rPr>
        <w:t xml:space="preserve"> (2016</w:t>
      </w:r>
      <w:r w:rsidR="004C30DA">
        <w:rPr>
          <w:rFonts w:eastAsiaTheme="minorEastAsia"/>
          <w:lang w:val="en-US" w:eastAsia="en-AU"/>
        </w:rPr>
        <w:t>)</w:t>
      </w:r>
      <w:r>
        <w:rPr>
          <w:rFonts w:eastAsiaTheme="minorEastAsia"/>
          <w:lang w:val="en-US" w:eastAsia="en-AU"/>
        </w:rPr>
        <w:t>).</w:t>
      </w:r>
    </w:p>
    <w:p w14:paraId="211E7950" w14:textId="77777777" w:rsidR="00992146" w:rsidRDefault="00A23AD0" w:rsidP="00721F95">
      <w:pPr>
        <w:jc w:val="both"/>
        <w:rPr>
          <w:rFonts w:eastAsiaTheme="minorEastAsia"/>
          <w:lang w:val="en-US" w:eastAsia="en-AU"/>
        </w:rPr>
      </w:pPr>
      <w:r>
        <w:rPr>
          <w:rFonts w:eastAsiaTheme="minorEastAsia"/>
          <w:lang w:val="en-US" w:eastAsia="en-AU"/>
        </w:rPr>
        <w:t xml:space="preserve">Our measure of wages is </w:t>
      </w:r>
      <w:r w:rsidR="00152836">
        <w:rPr>
          <w:rFonts w:eastAsiaTheme="minorEastAsia"/>
          <w:lang w:val="en-US" w:eastAsia="en-AU"/>
        </w:rPr>
        <w:t xml:space="preserve">the </w:t>
      </w:r>
      <w:r>
        <w:rPr>
          <w:rFonts w:eastAsiaTheme="minorEastAsia"/>
          <w:lang w:val="en-US" w:eastAsia="en-AU"/>
        </w:rPr>
        <w:t>gross wages received by t</w:t>
      </w:r>
      <w:r w:rsidR="0035498A">
        <w:rPr>
          <w:rFonts w:eastAsiaTheme="minorEastAsia"/>
          <w:lang w:val="en-US" w:eastAsia="en-AU"/>
        </w:rPr>
        <w:t>he worker in their main job (that is,</w:t>
      </w:r>
      <w:r>
        <w:rPr>
          <w:rFonts w:eastAsiaTheme="minorEastAsia"/>
          <w:lang w:val="en-US" w:eastAsia="en-AU"/>
        </w:rPr>
        <w:t xml:space="preserve"> the </w:t>
      </w:r>
      <w:r w:rsidR="00A3575C">
        <w:rPr>
          <w:rFonts w:eastAsiaTheme="minorEastAsia"/>
          <w:lang w:val="en-US" w:eastAsia="en-AU"/>
        </w:rPr>
        <w:t xml:space="preserve">job that pays </w:t>
      </w:r>
      <w:r w:rsidR="00152836">
        <w:rPr>
          <w:rFonts w:eastAsiaTheme="minorEastAsia"/>
          <w:lang w:val="en-US" w:eastAsia="en-AU"/>
        </w:rPr>
        <w:t xml:space="preserve">them </w:t>
      </w:r>
      <w:r w:rsidR="00A3575C">
        <w:rPr>
          <w:rFonts w:eastAsiaTheme="minorEastAsia"/>
          <w:lang w:val="en-US" w:eastAsia="en-AU"/>
        </w:rPr>
        <w:t>the most)</w:t>
      </w:r>
      <w:r>
        <w:rPr>
          <w:rFonts w:eastAsiaTheme="minorEastAsia"/>
          <w:lang w:val="en-US" w:eastAsia="en-AU"/>
        </w:rPr>
        <w:t>.</w:t>
      </w:r>
      <w:r w:rsidR="00773BC9">
        <w:rPr>
          <w:rFonts w:eastAsiaTheme="minorEastAsia"/>
          <w:lang w:val="en-US" w:eastAsia="en-AU"/>
        </w:rPr>
        <w:t xml:space="preserve"> </w:t>
      </w:r>
      <w:r w:rsidR="008202C4">
        <w:rPr>
          <w:rFonts w:eastAsiaTheme="minorEastAsia"/>
          <w:lang w:val="en-US" w:eastAsia="en-AU"/>
        </w:rPr>
        <w:t>As demonstrated in Appendix A</w:t>
      </w:r>
      <w:r w:rsidR="00773BC9">
        <w:rPr>
          <w:rFonts w:eastAsiaTheme="minorEastAsia"/>
          <w:lang w:val="en-US" w:eastAsia="en-AU"/>
        </w:rPr>
        <w:t xml:space="preserve">, this measure tracks official aggregate wage measures (such as the WPI and AENA) reasonably well in trend terms, although some </w:t>
      </w:r>
      <w:r w:rsidR="008202C4">
        <w:rPr>
          <w:rFonts w:eastAsiaTheme="minorEastAsia"/>
          <w:lang w:val="en-US" w:eastAsia="en-AU"/>
        </w:rPr>
        <w:t xml:space="preserve">non-trivial </w:t>
      </w:r>
      <w:r w:rsidR="00773BC9">
        <w:rPr>
          <w:rFonts w:eastAsiaTheme="minorEastAsia"/>
          <w:lang w:val="en-US" w:eastAsia="en-AU"/>
        </w:rPr>
        <w:t>differences arise due to definitional issues.</w:t>
      </w:r>
      <w:r>
        <w:rPr>
          <w:rFonts w:eastAsiaTheme="minorEastAsia"/>
          <w:lang w:val="en-US" w:eastAsia="en-AU"/>
        </w:rPr>
        <w:t xml:space="preserve"> </w:t>
      </w:r>
      <w:r w:rsidR="00A3575C">
        <w:rPr>
          <w:rFonts w:eastAsiaTheme="minorEastAsia"/>
          <w:lang w:val="en-US" w:eastAsia="en-AU"/>
        </w:rPr>
        <w:t>Our measure of</w:t>
      </w:r>
      <w:r w:rsidR="00A73C2C">
        <w:rPr>
          <w:rFonts w:eastAsiaTheme="minorEastAsia"/>
          <w:lang w:val="en-US" w:eastAsia="en-AU"/>
        </w:rPr>
        <w:t xml:space="preserve"> labour productivity </w:t>
      </w:r>
      <w:r w:rsidR="00A3575C">
        <w:rPr>
          <w:rFonts w:eastAsiaTheme="minorEastAsia"/>
          <w:lang w:val="en-US" w:eastAsia="en-AU"/>
        </w:rPr>
        <w:t>is</w:t>
      </w:r>
      <w:r w:rsidR="00A73C2C">
        <w:rPr>
          <w:rFonts w:eastAsiaTheme="minorEastAsia"/>
          <w:lang w:val="en-US" w:eastAsia="en-AU"/>
        </w:rPr>
        <w:t xml:space="preserve"> the firm’s real value added</w:t>
      </w:r>
      <w:r w:rsidR="00A3575C">
        <w:rPr>
          <w:rFonts w:eastAsiaTheme="minorEastAsia"/>
          <w:lang w:val="en-US" w:eastAsia="en-AU"/>
        </w:rPr>
        <w:t>,</w:t>
      </w:r>
      <w:r w:rsidR="00A73C2C">
        <w:rPr>
          <w:rFonts w:eastAsiaTheme="minorEastAsia"/>
          <w:lang w:val="en-US" w:eastAsia="en-AU"/>
        </w:rPr>
        <w:t xml:space="preserve"> divided by the number of employees at the f</w:t>
      </w:r>
      <w:r w:rsidR="00A3575C">
        <w:rPr>
          <w:rFonts w:eastAsiaTheme="minorEastAsia"/>
          <w:lang w:val="en-US" w:eastAsia="en-AU"/>
        </w:rPr>
        <w:t>i</w:t>
      </w:r>
      <w:r w:rsidR="00A73C2C">
        <w:rPr>
          <w:rFonts w:eastAsiaTheme="minorEastAsia"/>
          <w:lang w:val="en-US" w:eastAsia="en-AU"/>
        </w:rPr>
        <w:t>rm</w:t>
      </w:r>
      <w:r w:rsidR="00A3575C">
        <w:rPr>
          <w:rFonts w:eastAsiaTheme="minorEastAsia"/>
          <w:lang w:val="en-US" w:eastAsia="en-AU"/>
        </w:rPr>
        <w:t xml:space="preserve"> during the year. We construct the measure of </w:t>
      </w:r>
      <w:r w:rsidR="00A73C2C">
        <w:rPr>
          <w:rFonts w:eastAsiaTheme="minorEastAsia"/>
          <w:lang w:val="en-US" w:eastAsia="en-AU"/>
        </w:rPr>
        <w:t xml:space="preserve">real value added by deflating nominal value added by </w:t>
      </w:r>
      <w:r w:rsidR="00A3575C">
        <w:rPr>
          <w:rFonts w:eastAsiaTheme="minorEastAsia"/>
          <w:lang w:val="en-US" w:eastAsia="en-AU"/>
        </w:rPr>
        <w:t>an</w:t>
      </w:r>
      <w:r w:rsidR="00A73C2C">
        <w:rPr>
          <w:rFonts w:eastAsiaTheme="minorEastAsia"/>
          <w:lang w:val="en-US" w:eastAsia="en-AU"/>
        </w:rPr>
        <w:t xml:space="preserve"> industry</w:t>
      </w:r>
      <w:r w:rsidR="00A3575C">
        <w:rPr>
          <w:rFonts w:eastAsiaTheme="minorEastAsia"/>
          <w:lang w:val="en-US" w:eastAsia="en-AU"/>
        </w:rPr>
        <w:t>-specific</w:t>
      </w:r>
      <w:r w:rsidR="00A73C2C">
        <w:rPr>
          <w:rFonts w:eastAsiaTheme="minorEastAsia"/>
          <w:lang w:val="en-US" w:eastAsia="en-AU"/>
        </w:rPr>
        <w:t xml:space="preserve"> value-added deflator.</w:t>
      </w:r>
      <w:r w:rsidR="00152836">
        <w:rPr>
          <w:rStyle w:val="FootnoteReference"/>
          <w:rFonts w:eastAsiaTheme="minorEastAsia"/>
          <w:lang w:val="en-US" w:eastAsia="en-AU"/>
        </w:rPr>
        <w:footnoteReference w:id="6"/>
      </w:r>
      <w:r w:rsidR="00A3575C">
        <w:rPr>
          <w:rFonts w:eastAsiaTheme="minorEastAsia"/>
          <w:lang w:val="en-US" w:eastAsia="en-AU"/>
        </w:rPr>
        <w:t xml:space="preserve"> </w:t>
      </w:r>
      <w:r w:rsidR="00583308">
        <w:rPr>
          <w:rFonts w:eastAsiaTheme="minorEastAsia"/>
          <w:lang w:val="en-US" w:eastAsia="en-AU"/>
        </w:rPr>
        <w:t>We only have data on value</w:t>
      </w:r>
      <w:r w:rsidR="00583308">
        <w:rPr>
          <w:rFonts w:eastAsiaTheme="minorEastAsia"/>
          <w:lang w:val="en-US" w:eastAsia="en-AU"/>
        </w:rPr>
        <w:noBreakHyphen/>
      </w:r>
      <w:r w:rsidR="00992146">
        <w:rPr>
          <w:rFonts w:eastAsiaTheme="minorEastAsia"/>
          <w:lang w:val="en-US" w:eastAsia="en-AU"/>
        </w:rPr>
        <w:t>added up to 2014-15, so this limits the sample for this part of the analysis.</w:t>
      </w:r>
    </w:p>
    <w:p w14:paraId="2920B07B" w14:textId="77777777" w:rsidR="00A73C2C" w:rsidRDefault="007962CB" w:rsidP="00721F95">
      <w:pPr>
        <w:jc w:val="both"/>
        <w:rPr>
          <w:rFonts w:eastAsiaTheme="minorEastAsia"/>
          <w:lang w:val="en-US" w:eastAsia="en-AU"/>
        </w:rPr>
      </w:pPr>
      <w:r>
        <w:rPr>
          <w:rFonts w:eastAsiaTheme="minorEastAsia"/>
          <w:lang w:val="en-US" w:eastAsia="en-AU"/>
        </w:rPr>
        <w:t>It would be preferable to measure both wages and productivity on an hours basis, as this might be more robust to changes along the intensive hours margin (</w:t>
      </w:r>
      <w:r w:rsidR="003B2681">
        <w:rPr>
          <w:rFonts w:eastAsiaTheme="minorEastAsia"/>
          <w:lang w:val="en-US" w:eastAsia="en-AU"/>
        </w:rPr>
        <w:t>for example,</w:t>
      </w:r>
      <w:r>
        <w:rPr>
          <w:rFonts w:eastAsiaTheme="minorEastAsia"/>
          <w:lang w:val="en-US" w:eastAsia="en-AU"/>
        </w:rPr>
        <w:t xml:space="preserve"> Bishop, Gustafsson and Plumb 2016</w:t>
      </w:r>
      <w:r w:rsidR="00FD1060">
        <w:rPr>
          <w:rFonts w:eastAsiaTheme="minorEastAsia"/>
          <w:lang w:val="en-US" w:eastAsia="en-AU"/>
        </w:rPr>
        <w:t>), which could be particularly important given the growth of the ‘gig economy’</w:t>
      </w:r>
      <w:r>
        <w:rPr>
          <w:rFonts w:eastAsiaTheme="minorEastAsia"/>
          <w:lang w:val="en-US" w:eastAsia="en-AU"/>
        </w:rPr>
        <w:t>. But, so long as both are measured on the same basis, any such adjustment is unlikely to substantially affect our results.</w:t>
      </w:r>
    </w:p>
    <w:p w14:paraId="661F1DEC" w14:textId="0E1E8EE5" w:rsidR="00692514" w:rsidRDefault="00692514" w:rsidP="00356C87">
      <w:pPr>
        <w:pStyle w:val="Heading3"/>
      </w:pPr>
      <w:r>
        <w:t xml:space="preserve">3.2 Is there a relationship between wages and </w:t>
      </w:r>
      <w:r w:rsidR="00D7358C">
        <w:t xml:space="preserve">firm </w:t>
      </w:r>
      <w:r>
        <w:t>productivity in Australia</w:t>
      </w:r>
      <w:r w:rsidR="00423B8F">
        <w:t>?</w:t>
      </w:r>
    </w:p>
    <w:p w14:paraId="52CBCC43" w14:textId="77777777" w:rsidR="00692514" w:rsidRDefault="00692514" w:rsidP="00721F95">
      <w:pPr>
        <w:jc w:val="both"/>
        <w:rPr>
          <w:lang w:val="en-US" w:eastAsia="en-AU"/>
        </w:rPr>
      </w:pPr>
      <w:r>
        <w:rPr>
          <w:lang w:val="en-US" w:eastAsia="en-AU"/>
        </w:rPr>
        <w:t>Table 1 outlines the results from five specifications with different fixed effects structures. In all specifications there is a positive and significant relationship between firm productivity and worker wages</w:t>
      </w:r>
      <w:r w:rsidR="00421B9A">
        <w:rPr>
          <w:lang w:val="en-US" w:eastAsia="en-AU"/>
        </w:rPr>
        <w:t xml:space="preserve"> over the period 2001/02-201</w:t>
      </w:r>
      <w:r w:rsidR="00992146">
        <w:rPr>
          <w:lang w:val="en-US" w:eastAsia="en-AU"/>
        </w:rPr>
        <w:t>4</w:t>
      </w:r>
      <w:r w:rsidR="00421B9A">
        <w:rPr>
          <w:lang w:val="en-US" w:eastAsia="en-AU"/>
        </w:rPr>
        <w:t>/1</w:t>
      </w:r>
      <w:r w:rsidR="00992146">
        <w:rPr>
          <w:lang w:val="en-US" w:eastAsia="en-AU"/>
        </w:rPr>
        <w:t>5</w:t>
      </w:r>
      <w:r>
        <w:rPr>
          <w:lang w:val="en-US" w:eastAsia="en-AU"/>
        </w:rPr>
        <w:t>. The estimates are around 0.1, whic</w:t>
      </w:r>
      <w:r w:rsidR="00583308">
        <w:rPr>
          <w:lang w:val="en-US" w:eastAsia="en-AU"/>
        </w:rPr>
        <w:t>h implies that an unexpected 10 </w:t>
      </w:r>
      <w:r>
        <w:rPr>
          <w:lang w:val="en-US" w:eastAsia="en-AU"/>
        </w:rPr>
        <w:t>per</w:t>
      </w:r>
      <w:r w:rsidR="00583308">
        <w:rPr>
          <w:lang w:val="en-US" w:eastAsia="en-AU"/>
        </w:rPr>
        <w:t> </w:t>
      </w:r>
      <w:r>
        <w:rPr>
          <w:lang w:val="en-US" w:eastAsia="en-AU"/>
        </w:rPr>
        <w:t xml:space="preserve">cent increase in firm productivity leads to a 1 per cent increase in worker wages. This is around </w:t>
      </w:r>
      <w:r>
        <w:rPr>
          <w:lang w:val="en-US" w:eastAsia="en-AU"/>
        </w:rPr>
        <w:lastRenderedPageBreak/>
        <w:t>the midpoint of the leading estimates from the international literature.</w:t>
      </w:r>
      <w:r w:rsidR="00294B4F">
        <w:rPr>
          <w:lang w:val="en-US" w:eastAsia="en-AU"/>
        </w:rPr>
        <w:t xml:space="preserve"> For context</w:t>
      </w:r>
      <w:r w:rsidR="00820831">
        <w:rPr>
          <w:lang w:val="en-US" w:eastAsia="en-AU"/>
        </w:rPr>
        <w:t>,</w:t>
      </w:r>
      <w:r w:rsidR="00294B4F">
        <w:rPr>
          <w:lang w:val="en-US" w:eastAsia="en-AU"/>
        </w:rPr>
        <w:t xml:space="preserve"> a firm that has productivity one standard deviation above the </w:t>
      </w:r>
      <w:r w:rsidR="00796524">
        <w:rPr>
          <w:lang w:val="en-US" w:eastAsia="en-AU"/>
        </w:rPr>
        <w:t xml:space="preserve">industry </w:t>
      </w:r>
      <w:r w:rsidR="00294B4F">
        <w:rPr>
          <w:lang w:val="en-US" w:eastAsia="en-AU"/>
        </w:rPr>
        <w:t>mean will have wage</w:t>
      </w:r>
      <w:r w:rsidR="00D47C36">
        <w:rPr>
          <w:lang w:val="en-US" w:eastAsia="en-AU"/>
        </w:rPr>
        <w:t>s</w:t>
      </w:r>
      <w:r w:rsidR="00294B4F">
        <w:rPr>
          <w:lang w:val="en-US" w:eastAsia="en-AU"/>
        </w:rPr>
        <w:t xml:space="preserve"> </w:t>
      </w:r>
      <w:r w:rsidR="00820831">
        <w:rPr>
          <w:lang w:val="en-US" w:eastAsia="en-AU"/>
        </w:rPr>
        <w:t xml:space="preserve">that </w:t>
      </w:r>
      <w:r w:rsidR="00DB48FC">
        <w:rPr>
          <w:lang w:val="en-US" w:eastAsia="en-AU"/>
        </w:rPr>
        <w:t>are</w:t>
      </w:r>
      <w:r w:rsidR="00820831" w:rsidRPr="00580FBC">
        <w:rPr>
          <w:lang w:val="en-US" w:eastAsia="en-AU"/>
        </w:rPr>
        <w:t xml:space="preserve"> </w:t>
      </w:r>
      <w:r w:rsidR="00294B4F" w:rsidRPr="00580FBC">
        <w:rPr>
          <w:lang w:val="en-US" w:eastAsia="en-AU"/>
        </w:rPr>
        <w:t>about 10 per cent higher.</w:t>
      </w:r>
      <w:r w:rsidR="00423B8F" w:rsidRPr="00580FBC">
        <w:rPr>
          <w:rStyle w:val="FootnoteReference"/>
          <w:lang w:val="en-US" w:eastAsia="en-AU"/>
        </w:rPr>
        <w:footnoteReference w:id="7"/>
      </w:r>
      <w:r w:rsidR="00B6524B" w:rsidRPr="00580FBC">
        <w:rPr>
          <w:lang w:val="en-US" w:eastAsia="en-AU"/>
        </w:rPr>
        <w:t xml:space="preserve"> The fact that we find a relationship between firms’ productivity and wages is consistent with Treasury (2017), which finds that more productive firms tend to pay higher wages.</w:t>
      </w:r>
      <w:r w:rsidR="00B949BD">
        <w:rPr>
          <w:lang w:val="en-US" w:eastAsia="en-AU"/>
        </w:rPr>
        <w:t xml:space="preserve"> </w:t>
      </w:r>
    </w:p>
    <w:p w14:paraId="6F6804E6" w14:textId="035FD637" w:rsidR="00A34A87" w:rsidRDefault="00692514" w:rsidP="00AB6B2F">
      <w:pPr>
        <w:pStyle w:val="FigureHeading"/>
      </w:pPr>
      <w:r>
        <w:t>Table 1: The link between</w:t>
      </w:r>
      <w:r w:rsidR="00D7358C">
        <w:t xml:space="preserve"> wages and firm</w:t>
      </w:r>
      <w:r>
        <w:t xml:space="preserve"> productivity </w:t>
      </w:r>
      <w:r>
        <w:br/>
      </w:r>
      <w:r w:rsidRPr="0091735D">
        <w:t xml:space="preserve">Dependent variable: </w:t>
      </w:r>
      <w:r w:rsidR="005735AB">
        <w:t>Log</w:t>
      </w:r>
      <w:r w:rsidRPr="0091735D">
        <w:t xml:space="preserve"> wages of the individual</w:t>
      </w:r>
    </w:p>
    <w:p w14:paraId="0490CE3D" w14:textId="77777777" w:rsidR="00692514" w:rsidRDefault="00AF01B0" w:rsidP="00CB7264">
      <w:pPr>
        <w:pStyle w:val="ChartGraphic"/>
      </w:pPr>
      <w:r w:rsidRPr="00AF01B0">
        <w:rPr>
          <w:noProof/>
        </w:rPr>
        <w:drawing>
          <wp:inline distT="0" distB="0" distL="0" distR="0" wp14:anchorId="331C5A43" wp14:editId="61BF9BDF">
            <wp:extent cx="4913630" cy="249682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3630" cy="2496820"/>
                    </a:xfrm>
                    <a:prstGeom prst="rect">
                      <a:avLst/>
                    </a:prstGeom>
                    <a:noFill/>
                    <a:ln>
                      <a:noFill/>
                    </a:ln>
                  </pic:spPr>
                </pic:pic>
              </a:graphicData>
            </a:graphic>
          </wp:inline>
        </w:drawing>
      </w:r>
    </w:p>
    <w:p w14:paraId="4244B62E" w14:textId="77777777" w:rsidR="00692514" w:rsidRDefault="00692514" w:rsidP="0035498A">
      <w:pPr>
        <w:pStyle w:val="ChartorTableNote"/>
      </w:pPr>
      <w:r w:rsidRPr="004D7F6C">
        <w:t xml:space="preserve">Note: All regressions include a set of common controls covering worker characteristics (sex, a quadratic in age and residential location (Statistical Area 4)), firm characteristics (size and industry division), and </w:t>
      </w:r>
      <w:r w:rsidR="003D5EB1">
        <w:t>state- and division-wide time-varying factors</w:t>
      </w:r>
      <w:r w:rsidRPr="004D7F6C">
        <w:t xml:space="preserve"> (state and industry division separately interacted with financial year)</w:t>
      </w:r>
      <w:r w:rsidR="001D1566">
        <w:t xml:space="preserve">. </w:t>
      </w:r>
      <w:r w:rsidR="003D5EB1">
        <w:t>Errors are clustered at the firm-level.</w:t>
      </w:r>
    </w:p>
    <w:p w14:paraId="610DC924" w14:textId="77777777" w:rsidR="0035498A" w:rsidRDefault="0035498A" w:rsidP="0035498A">
      <w:pPr>
        <w:pStyle w:val="SingleParagraph"/>
        <w:rPr>
          <w:lang w:val="en-US" w:eastAsia="en-AU"/>
        </w:rPr>
      </w:pPr>
    </w:p>
    <w:p w14:paraId="68EA6063" w14:textId="77777777" w:rsidR="009F5FCA" w:rsidRDefault="009F5FCA" w:rsidP="009F5FCA">
      <w:pPr>
        <w:jc w:val="both"/>
        <w:rPr>
          <w:lang w:val="en-US" w:eastAsia="en-AU"/>
        </w:rPr>
      </w:pPr>
      <w:r>
        <w:rPr>
          <w:lang w:val="en-US" w:eastAsia="en-AU"/>
        </w:rPr>
        <w:t>It is worth noting that, while the pass-through of firm productivity to wages seems low,</w:t>
      </w:r>
      <w:r w:rsidRPr="00EA2E28">
        <w:rPr>
          <w:lang w:val="en-US" w:eastAsia="en-AU"/>
        </w:rPr>
        <w:t xml:space="preserve"> in a neoclassical model it will be zero, as all firms pay the same wage.</w:t>
      </w:r>
      <w:r>
        <w:rPr>
          <w:lang w:val="en-US" w:eastAsia="en-AU"/>
        </w:rPr>
        <w:t xml:space="preserve"> Moreover, we are on</w:t>
      </w:r>
      <w:r w:rsidR="00583308">
        <w:rPr>
          <w:lang w:val="en-US" w:eastAsia="en-AU"/>
        </w:rPr>
        <w:t>ly capturing the short-run pass</w:t>
      </w:r>
      <w:r w:rsidR="00583308">
        <w:rPr>
          <w:lang w:val="en-US" w:eastAsia="en-AU"/>
        </w:rPr>
        <w:noBreakHyphen/>
      </w:r>
      <w:r>
        <w:rPr>
          <w:lang w:val="en-US" w:eastAsia="en-AU"/>
        </w:rPr>
        <w:t>through and any nominal rigidity in wages</w:t>
      </w:r>
      <w:r w:rsidR="00C17DA2">
        <w:rPr>
          <w:lang w:val="en-US" w:eastAsia="en-AU"/>
        </w:rPr>
        <w:t>,</w:t>
      </w:r>
      <w:r>
        <w:rPr>
          <w:lang w:val="en-US" w:eastAsia="en-AU"/>
        </w:rPr>
        <w:t xml:space="preserve"> as might occur if individuals sign multi-year contracts, </w:t>
      </w:r>
      <w:r w:rsidR="00C17DA2">
        <w:rPr>
          <w:lang w:val="en-US" w:eastAsia="en-AU"/>
        </w:rPr>
        <w:t>will necessarily</w:t>
      </w:r>
      <w:r>
        <w:rPr>
          <w:lang w:val="en-US" w:eastAsia="en-AU"/>
        </w:rPr>
        <w:t xml:space="preserve"> lower the measured pass-through. Such rigidities could also be important if firms expect some of the producti</w:t>
      </w:r>
      <w:r w:rsidR="00583308">
        <w:rPr>
          <w:lang w:val="en-US" w:eastAsia="en-AU"/>
        </w:rPr>
        <w:t>vity growth to be retraced (that is,</w:t>
      </w:r>
      <w:r>
        <w:rPr>
          <w:lang w:val="en-US" w:eastAsia="en-AU"/>
        </w:rPr>
        <w:t xml:space="preserve"> firm-specific productivity </w:t>
      </w:r>
      <w:r w:rsidR="00645EA1">
        <w:rPr>
          <w:lang w:val="en-US" w:eastAsia="en-AU"/>
        </w:rPr>
        <w:t>does not have a unit root</w:t>
      </w:r>
      <w:r>
        <w:rPr>
          <w:lang w:val="en-US" w:eastAsia="en-AU"/>
        </w:rPr>
        <w:t xml:space="preserve">). In fact, </w:t>
      </w:r>
      <w:r w:rsidRPr="00EA2E28">
        <w:t>Card et al (2016) finds some evidence th</w:t>
      </w:r>
      <w:r w:rsidRPr="00152836">
        <w:t>at the pass-through of industry</w:t>
      </w:r>
      <w:r>
        <w:t>-</w:t>
      </w:r>
      <w:r w:rsidRPr="00EA2E28">
        <w:t>level productivity to wages is stronger than the pass-through of firm-level productivity.</w:t>
      </w:r>
      <w:r>
        <w:t xml:space="preserve"> </w:t>
      </w:r>
      <w:r w:rsidR="00583308">
        <w:t>So the micro-level productivity</w:t>
      </w:r>
      <w:r w:rsidR="00583308">
        <w:noBreakHyphen/>
      </w:r>
      <w:r>
        <w:t>wage nexus can coexist with the longer-run one-to-one association present in macro studies.</w:t>
      </w:r>
    </w:p>
    <w:p w14:paraId="0280AEE7" w14:textId="77777777" w:rsidR="00692514" w:rsidRDefault="00692514" w:rsidP="00721F95">
      <w:pPr>
        <w:jc w:val="both"/>
      </w:pPr>
      <w:r>
        <w:rPr>
          <w:lang w:val="en-US" w:eastAsia="en-AU"/>
        </w:rPr>
        <w:t xml:space="preserve">As we move from </w:t>
      </w:r>
      <w:r w:rsidR="005558F4">
        <w:rPr>
          <w:lang w:val="en-US" w:eastAsia="en-AU"/>
        </w:rPr>
        <w:t>Columns</w:t>
      </w:r>
      <w:r>
        <w:rPr>
          <w:lang w:val="en-US" w:eastAsia="en-AU"/>
        </w:rPr>
        <w:t xml:space="preserve"> 1 to 5, we incorporate increasingly demanding micro fixed effects </w:t>
      </w:r>
      <w:r w:rsidR="00820831">
        <w:rPr>
          <w:lang w:val="en-US" w:eastAsia="en-AU"/>
        </w:rPr>
        <w:t>structures</w:t>
      </w:r>
      <w:r>
        <w:rPr>
          <w:lang w:val="en-US" w:eastAsia="en-AU"/>
        </w:rPr>
        <w:t xml:space="preserve"> and </w:t>
      </w:r>
      <w:r w:rsidR="005558F4">
        <w:rPr>
          <w:lang w:val="en-US" w:eastAsia="en-AU"/>
        </w:rPr>
        <w:t xml:space="preserve">the </w:t>
      </w:r>
      <w:r>
        <w:rPr>
          <w:lang w:val="en-US" w:eastAsia="en-AU"/>
        </w:rPr>
        <w:t>explanatory power of the model</w:t>
      </w:r>
      <w:r w:rsidR="00423B8F">
        <w:rPr>
          <w:lang w:val="en-US" w:eastAsia="en-AU"/>
        </w:rPr>
        <w:t>s</w:t>
      </w:r>
      <w:r>
        <w:rPr>
          <w:lang w:val="en-US" w:eastAsia="en-AU"/>
        </w:rPr>
        <w:t xml:space="preserve"> increase accordingly. In particular, the inclusion of worker fixed effects in Column 3 leads to a particularly large increase in explanatory power,</w:t>
      </w:r>
      <w:r w:rsidRPr="00966179">
        <w:rPr>
          <w:lang w:val="en-US" w:eastAsia="en-AU"/>
        </w:rPr>
        <w:t xml:space="preserve"> </w:t>
      </w:r>
      <w:r>
        <w:rPr>
          <w:lang w:val="en-US" w:eastAsia="en-AU"/>
        </w:rPr>
        <w:t>which is consistent with numerous papers that find that variation in worker quality explains a large share of variation in wages (</w:t>
      </w:r>
      <w:r w:rsidR="00583308">
        <w:rPr>
          <w:lang w:val="en-US" w:eastAsia="en-AU"/>
        </w:rPr>
        <w:t>for example,</w:t>
      </w:r>
      <w:r>
        <w:rPr>
          <w:lang w:val="en-US" w:eastAsia="en-AU"/>
        </w:rPr>
        <w:t xml:space="preserve"> </w:t>
      </w:r>
      <w:r w:rsidRPr="00F51A74">
        <w:t xml:space="preserve">Song et al </w:t>
      </w:r>
      <w:r w:rsidR="00820831">
        <w:t>(</w:t>
      </w:r>
      <w:r w:rsidRPr="00F51A74">
        <w:t>2019</w:t>
      </w:r>
      <w:r w:rsidR="00820831">
        <w:t>)</w:t>
      </w:r>
      <w:r>
        <w:t xml:space="preserve">; </w:t>
      </w:r>
      <w:r w:rsidRPr="00F51A74">
        <w:t xml:space="preserve">Card et al </w:t>
      </w:r>
      <w:r w:rsidR="00820831">
        <w:t>(</w:t>
      </w:r>
      <w:r w:rsidRPr="00F51A74">
        <w:t>2016</w:t>
      </w:r>
      <w:r w:rsidR="00820831">
        <w:t>)</w:t>
      </w:r>
      <w:r>
        <w:t xml:space="preserve">). </w:t>
      </w:r>
      <w:r w:rsidR="00FD1060">
        <w:t>This highlights the importance of human capital and skills in the determination of wages.</w:t>
      </w:r>
    </w:p>
    <w:p w14:paraId="1DC28DD7" w14:textId="0A250CAE" w:rsidR="00692514" w:rsidRDefault="00692514" w:rsidP="00721F95">
      <w:pPr>
        <w:jc w:val="both"/>
        <w:rPr>
          <w:lang w:val="en-US" w:eastAsia="en-AU"/>
        </w:rPr>
      </w:pPr>
      <w:r>
        <w:t>At the same time, the coefficient on productivity tends to decline</w:t>
      </w:r>
      <w:r>
        <w:rPr>
          <w:lang w:val="en-US" w:eastAsia="en-AU"/>
        </w:rPr>
        <w:t xml:space="preserve"> when we include worker fixed effects</w:t>
      </w:r>
      <w:r w:rsidR="00AF01B0">
        <w:rPr>
          <w:lang w:val="en-US" w:eastAsia="en-AU"/>
        </w:rPr>
        <w:t>, compared to the case with no fixed effects</w:t>
      </w:r>
      <w:r>
        <w:rPr>
          <w:lang w:val="en-US" w:eastAsia="en-AU"/>
        </w:rPr>
        <w:t>. This suggests that failing to account for worker effects leads to an upward bias in the coefficient, consistent with Dobbleaere and Mairesse (2018). The bias reflects the fact that firms that employ higher productivity workers are likely to have both higher wages and productivity. Indeed, the inclusion of interacted worker-firm fixed effects in Column 5 allows us to control for the assortative matching of high</w:t>
      </w:r>
      <w:r w:rsidR="0027226F">
        <w:rPr>
          <w:lang w:val="en-US" w:eastAsia="en-AU"/>
        </w:rPr>
        <w:t>-</w:t>
      </w:r>
      <w:r>
        <w:rPr>
          <w:lang w:val="en-US" w:eastAsia="en-AU"/>
        </w:rPr>
        <w:t>ability workers to high productivity firms. Given our aim is to isolate the pass-through of exogenous productivity ‘shocks’ to wages, it is crucial to abstract from these compositional effects.</w:t>
      </w:r>
      <w:r w:rsidR="002E4C6E">
        <w:rPr>
          <w:lang w:val="en-US" w:eastAsia="en-AU"/>
        </w:rPr>
        <w:t xml:space="preserve"> This highlights the importance of having linked employer-employee data.</w:t>
      </w:r>
    </w:p>
    <w:p w14:paraId="4BC8343E" w14:textId="21EAADDB" w:rsidR="0052144A" w:rsidRDefault="0052144A" w:rsidP="0052144A">
      <w:pPr>
        <w:pStyle w:val="Heading3"/>
      </w:pPr>
      <w:r>
        <w:lastRenderedPageBreak/>
        <w:t>3.</w:t>
      </w:r>
      <w:r w:rsidR="001E428A">
        <w:t xml:space="preserve">3 Has the </w:t>
      </w:r>
      <w:r>
        <w:t xml:space="preserve">relationship between wages and </w:t>
      </w:r>
      <w:r w:rsidR="00E62B21">
        <w:t xml:space="preserve">firm </w:t>
      </w:r>
      <w:r>
        <w:t xml:space="preserve">productivity </w:t>
      </w:r>
      <w:r w:rsidR="00CC28E2">
        <w:t>changed</w:t>
      </w:r>
      <w:r>
        <w:t>?</w:t>
      </w:r>
    </w:p>
    <w:p w14:paraId="5A8915C6" w14:textId="485F4891" w:rsidR="0052144A" w:rsidRDefault="0052144A" w:rsidP="00721F95">
      <w:pPr>
        <w:jc w:val="both"/>
        <w:rPr>
          <w:lang w:val="en-US" w:eastAsia="en-AU"/>
        </w:rPr>
      </w:pPr>
      <w:r>
        <w:rPr>
          <w:lang w:val="en-US" w:eastAsia="en-AU"/>
        </w:rPr>
        <w:t>Table</w:t>
      </w:r>
      <w:r w:rsidR="000E37AD">
        <w:rPr>
          <w:lang w:val="en-US" w:eastAsia="en-AU"/>
        </w:rPr>
        <w:t xml:space="preserve"> 2</w:t>
      </w:r>
      <w:r>
        <w:rPr>
          <w:lang w:val="en-US" w:eastAsia="en-AU"/>
        </w:rPr>
        <w:t xml:space="preserve"> shows the results</w:t>
      </w:r>
      <w:r w:rsidR="000E37AD">
        <w:rPr>
          <w:lang w:val="en-US" w:eastAsia="en-AU"/>
        </w:rPr>
        <w:t xml:space="preserve"> from </w:t>
      </w:r>
      <w:r w:rsidR="002F2C00">
        <w:rPr>
          <w:lang w:val="en-US" w:eastAsia="en-AU"/>
        </w:rPr>
        <w:t>the</w:t>
      </w:r>
      <w:r w:rsidR="000E37AD">
        <w:rPr>
          <w:lang w:val="en-US" w:eastAsia="en-AU"/>
        </w:rPr>
        <w:t xml:space="preserve"> regression that looks for changes in the relationship between firm productivity and wages. Again, as we move from Column 1 to 5 we incorporate an increasingly burdensome fixed effects structure. As the model is in differences, firm and worker fixed effects are now allowing for differential trends</w:t>
      </w:r>
      <w:r w:rsidR="00C12AF4">
        <w:rPr>
          <w:lang w:val="en-US" w:eastAsia="en-AU"/>
        </w:rPr>
        <w:t xml:space="preserve"> in wages.</w:t>
      </w:r>
      <w:r w:rsidR="008C4214">
        <w:rPr>
          <w:rStyle w:val="FootnoteReference"/>
          <w:lang w:val="en-US" w:eastAsia="en-AU"/>
        </w:rPr>
        <w:footnoteReference w:id="8"/>
      </w:r>
      <w:r w:rsidR="00C12AF4">
        <w:rPr>
          <w:lang w:val="en-US" w:eastAsia="en-AU"/>
        </w:rPr>
        <w:t xml:space="preserve"> </w:t>
      </w:r>
    </w:p>
    <w:p w14:paraId="5815324E" w14:textId="0BB5D7B0" w:rsidR="00A34A87" w:rsidRDefault="000E37AD" w:rsidP="00AB6B2F">
      <w:pPr>
        <w:pStyle w:val="FigureHeading"/>
      </w:pPr>
      <w:r>
        <w:t xml:space="preserve">Table 2: </w:t>
      </w:r>
      <w:r w:rsidR="008C4214">
        <w:t>The changing</w:t>
      </w:r>
      <w:r>
        <w:t xml:space="preserve"> in the link between </w:t>
      </w:r>
      <w:r w:rsidR="00E62B21">
        <w:t xml:space="preserve">wage growth and firm </w:t>
      </w:r>
      <w:r>
        <w:t xml:space="preserve">productivity growth </w:t>
      </w:r>
      <w:r>
        <w:br/>
      </w:r>
      <w:r w:rsidRPr="0091735D">
        <w:t xml:space="preserve">Dependent variable: </w:t>
      </w:r>
      <w:r>
        <w:t xml:space="preserve">Change in </w:t>
      </w:r>
      <w:r w:rsidR="00D80DD3">
        <w:t>l</w:t>
      </w:r>
      <w:r>
        <w:t>og</w:t>
      </w:r>
      <w:r w:rsidRPr="0091735D">
        <w:t xml:space="preserve"> wages of the individual</w:t>
      </w:r>
    </w:p>
    <w:p w14:paraId="4037D153" w14:textId="4276DB5A" w:rsidR="000E37AD" w:rsidRDefault="00CC28E2" w:rsidP="00CB7264">
      <w:pPr>
        <w:pStyle w:val="ChartGraphic"/>
      </w:pPr>
      <w:r w:rsidRPr="00CC28E2">
        <w:rPr>
          <w:noProof/>
        </w:rPr>
        <w:drawing>
          <wp:inline distT="0" distB="0" distL="0" distR="0" wp14:anchorId="19250418" wp14:editId="32ECD367">
            <wp:extent cx="5029200" cy="2947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0" cy="2947670"/>
                    </a:xfrm>
                    <a:prstGeom prst="rect">
                      <a:avLst/>
                    </a:prstGeom>
                    <a:noFill/>
                    <a:ln>
                      <a:noFill/>
                    </a:ln>
                  </pic:spPr>
                </pic:pic>
              </a:graphicData>
            </a:graphic>
          </wp:inline>
        </w:drawing>
      </w:r>
    </w:p>
    <w:p w14:paraId="386621B6" w14:textId="77777777" w:rsidR="000E37AD" w:rsidRDefault="000E37AD" w:rsidP="0035498A">
      <w:pPr>
        <w:pStyle w:val="ChartorTableNote"/>
      </w:pPr>
      <w:r w:rsidRPr="004D7F6C">
        <w:t xml:space="preserve">Note: All regressions include a set of common controls covering worker characteristics (sex, a quadratic in age and residential location (Statistical Area 4)), firm characteristics (size and industry division), and </w:t>
      </w:r>
      <w:r>
        <w:t>state- and division-wide time-varying factors</w:t>
      </w:r>
      <w:r w:rsidRPr="004D7F6C">
        <w:t xml:space="preserve"> (state and industry division separately interacted with financial year)</w:t>
      </w:r>
      <w:r>
        <w:t>. All are interacted with the post13 dummy. Errors are clustered at the firm-level.</w:t>
      </w:r>
    </w:p>
    <w:p w14:paraId="412824AD" w14:textId="77777777" w:rsidR="0035498A" w:rsidRPr="0035498A" w:rsidRDefault="0035498A" w:rsidP="0035498A">
      <w:pPr>
        <w:pStyle w:val="SingleParagraph"/>
        <w:rPr>
          <w:lang w:eastAsia="en-AU"/>
        </w:rPr>
      </w:pPr>
    </w:p>
    <w:p w14:paraId="3C13C75B" w14:textId="77777777" w:rsidR="00692514" w:rsidRDefault="00692514" w:rsidP="00721F95">
      <w:pPr>
        <w:jc w:val="both"/>
        <w:rPr>
          <w:lang w:val="en-US" w:eastAsia="en-AU"/>
        </w:rPr>
      </w:pPr>
      <w:r>
        <w:rPr>
          <w:lang w:val="en-US" w:eastAsia="en-AU"/>
        </w:rPr>
        <w:t xml:space="preserve">Turning now to our </w:t>
      </w:r>
      <w:r w:rsidR="00C17DA2">
        <w:rPr>
          <w:lang w:val="en-US" w:eastAsia="en-AU"/>
        </w:rPr>
        <w:t>variable</w:t>
      </w:r>
      <w:r w:rsidR="0035498A">
        <w:rPr>
          <w:lang w:val="en-US" w:eastAsia="en-AU"/>
        </w:rPr>
        <w:t xml:space="preserve"> of interest (that is,</w:t>
      </w:r>
      <w:r w:rsidR="00977AA6">
        <w:rPr>
          <w:lang w:val="en-US" w:eastAsia="en-AU"/>
        </w:rPr>
        <w:t xml:space="preserve"> </w:t>
      </w:r>
      <w:r>
        <w:rPr>
          <w:lang w:val="en-US" w:eastAsia="en-AU"/>
        </w:rPr>
        <w:t>productivity#</w:t>
      </w:r>
      <w:r w:rsidR="00250EC6">
        <w:rPr>
          <w:lang w:val="en-US" w:eastAsia="en-AU"/>
        </w:rPr>
        <w:t>post13</w:t>
      </w:r>
      <w:r>
        <w:rPr>
          <w:lang w:val="en-US" w:eastAsia="en-AU"/>
        </w:rPr>
        <w:t xml:space="preserve">), </w:t>
      </w:r>
      <w:r w:rsidR="00C17DA2">
        <w:rPr>
          <w:lang w:val="en-US" w:eastAsia="en-AU"/>
        </w:rPr>
        <w:t>the negative coefficient on the interaction term</w:t>
      </w:r>
      <w:r>
        <w:rPr>
          <w:lang w:val="en-US" w:eastAsia="en-AU"/>
        </w:rPr>
        <w:t xml:space="preserve"> suggest</w:t>
      </w:r>
      <w:r w:rsidR="00C17DA2">
        <w:rPr>
          <w:lang w:val="en-US" w:eastAsia="en-AU"/>
        </w:rPr>
        <w:t>s</w:t>
      </w:r>
      <w:r>
        <w:rPr>
          <w:lang w:val="en-US" w:eastAsia="en-AU"/>
        </w:rPr>
        <w:t xml:space="preserve"> that there has been some weakening in the relationship between productivity and wages in recent years.  </w:t>
      </w:r>
      <w:r w:rsidR="00480B37">
        <w:rPr>
          <w:lang w:val="en-US" w:eastAsia="en-AU"/>
        </w:rPr>
        <w:t>Our estimates suggest that the relationship weakened by 10</w:t>
      </w:r>
      <w:r w:rsidR="00C12AF4">
        <w:rPr>
          <w:lang w:val="en-US" w:eastAsia="en-AU"/>
        </w:rPr>
        <w:t>-20</w:t>
      </w:r>
      <w:r w:rsidR="00480B37">
        <w:rPr>
          <w:lang w:val="en-US" w:eastAsia="en-AU"/>
        </w:rPr>
        <w:t> per cent</w:t>
      </w:r>
      <w:r w:rsidR="00C12AF4">
        <w:rPr>
          <w:lang w:val="en-US" w:eastAsia="en-AU"/>
        </w:rPr>
        <w:t>, depending on the specification.</w:t>
      </w:r>
    </w:p>
    <w:p w14:paraId="5DD3C4F9" w14:textId="77777777" w:rsidR="00296592" w:rsidRDefault="00692514" w:rsidP="00296592">
      <w:pPr>
        <w:jc w:val="both"/>
        <w:rPr>
          <w:lang w:val="en-US" w:eastAsia="en-AU"/>
        </w:rPr>
      </w:pPr>
      <w:r>
        <w:rPr>
          <w:lang w:val="en-US" w:eastAsia="en-AU"/>
        </w:rPr>
        <w:t>Overall, the results indicate that the relationship between wages and productivity has declined modestly in recent years</w:t>
      </w:r>
      <w:r w:rsidR="00480B37">
        <w:rPr>
          <w:lang w:val="en-US" w:eastAsia="en-AU"/>
        </w:rPr>
        <w:t>.</w:t>
      </w:r>
      <w:r w:rsidR="00421B9A">
        <w:rPr>
          <w:lang w:val="en-US" w:eastAsia="en-AU"/>
        </w:rPr>
        <w:t xml:space="preserve"> </w:t>
      </w:r>
      <w:r w:rsidR="00296592">
        <w:rPr>
          <w:lang w:val="en-US" w:eastAsia="en-AU"/>
        </w:rPr>
        <w:t xml:space="preserve">While the results specifically relate to the relationship between idiosyncratic firm productivity and wages (as discussed above), they are suggestive of a broader weakening in the relationship. This </w:t>
      </w:r>
      <w:r w:rsidR="005C2153">
        <w:rPr>
          <w:lang w:val="en-US" w:eastAsia="en-AU"/>
        </w:rPr>
        <w:t xml:space="preserve">lends credence to the view that </w:t>
      </w:r>
      <w:r w:rsidR="00296592">
        <w:rPr>
          <w:lang w:val="en-US" w:eastAsia="en-AU"/>
        </w:rPr>
        <w:t xml:space="preserve">structural factors </w:t>
      </w:r>
      <w:r w:rsidR="00C17DA2">
        <w:rPr>
          <w:lang w:val="en-US" w:eastAsia="en-AU"/>
        </w:rPr>
        <w:t>may</w:t>
      </w:r>
      <w:r w:rsidR="00296592">
        <w:rPr>
          <w:lang w:val="en-US" w:eastAsia="en-AU"/>
        </w:rPr>
        <w:t xml:space="preserve"> hav</w:t>
      </w:r>
      <w:r w:rsidR="00154411">
        <w:rPr>
          <w:lang w:val="en-US" w:eastAsia="en-AU"/>
        </w:rPr>
        <w:t>e weighed on wage</w:t>
      </w:r>
      <w:r w:rsidR="00296592">
        <w:rPr>
          <w:lang w:val="en-US" w:eastAsia="en-AU"/>
        </w:rPr>
        <w:t xml:space="preserve"> growth in recent years. </w:t>
      </w:r>
      <w:r w:rsidR="00C17DA2">
        <w:rPr>
          <w:lang w:val="en-US" w:eastAsia="en-AU"/>
        </w:rPr>
        <w:t xml:space="preserve">We explore this in more detail in the next section. Nevertheless, </w:t>
      </w:r>
      <w:r w:rsidR="00C17DA2">
        <w:rPr>
          <w:color w:val="auto"/>
        </w:rPr>
        <w:t>given</w:t>
      </w:r>
      <w:r w:rsidR="00421B9A">
        <w:rPr>
          <w:color w:val="auto"/>
        </w:rPr>
        <w:t xml:space="preserve"> ou</w:t>
      </w:r>
      <w:r w:rsidR="00C17DA2">
        <w:rPr>
          <w:color w:val="auto"/>
        </w:rPr>
        <w:t xml:space="preserve">r dataset concludes in </w:t>
      </w:r>
      <w:r w:rsidR="001B721D">
        <w:rPr>
          <w:color w:val="auto"/>
        </w:rPr>
        <w:t xml:space="preserve">2014-15 </w:t>
      </w:r>
      <w:r w:rsidR="00421B9A">
        <w:rPr>
          <w:color w:val="auto"/>
        </w:rPr>
        <w:t>it is not clear whether lower pass-through of productivity to wages has persisted.</w:t>
      </w:r>
      <w:r w:rsidR="00421B9A">
        <w:rPr>
          <w:lang w:val="en-US" w:eastAsia="en-AU"/>
        </w:rPr>
        <w:t xml:space="preserve"> </w:t>
      </w:r>
    </w:p>
    <w:p w14:paraId="20387946" w14:textId="58CA20C8" w:rsidR="00480B37" w:rsidRDefault="00DC5BEA" w:rsidP="00296592">
      <w:pPr>
        <w:jc w:val="both"/>
        <w:rPr>
          <w:lang w:val="en-US" w:eastAsia="en-AU"/>
        </w:rPr>
      </w:pPr>
      <w:r>
        <w:rPr>
          <w:lang w:val="en-US" w:eastAsia="en-AU"/>
        </w:rPr>
        <w:t xml:space="preserve">To try to quantify these effects, we run a simple counterfactual. We assume that prior to </w:t>
      </w:r>
      <w:r w:rsidR="00250EC6">
        <w:rPr>
          <w:lang w:val="en-US" w:eastAsia="en-AU"/>
        </w:rPr>
        <w:t>2012</w:t>
      </w:r>
      <w:r w:rsidR="00E75347">
        <w:rPr>
          <w:lang w:val="en-US" w:eastAsia="en-AU"/>
        </w:rPr>
        <w:t>-</w:t>
      </w:r>
      <w:r w:rsidR="00250EC6">
        <w:rPr>
          <w:lang w:val="en-US" w:eastAsia="en-AU"/>
        </w:rPr>
        <w:t xml:space="preserve">13 </w:t>
      </w:r>
      <w:r>
        <w:rPr>
          <w:lang w:val="en-US" w:eastAsia="en-AU"/>
        </w:rPr>
        <w:t>there was a (long-run) one-to-one relationship between wages and productivity</w:t>
      </w:r>
      <w:r w:rsidR="00C17DA2">
        <w:rPr>
          <w:lang w:val="en-US" w:eastAsia="en-AU"/>
        </w:rPr>
        <w:t xml:space="preserve"> at the aggregate level</w:t>
      </w:r>
      <w:r w:rsidR="00480B37">
        <w:rPr>
          <w:lang w:val="en-US" w:eastAsia="en-AU"/>
        </w:rPr>
        <w:t>.</w:t>
      </w:r>
      <w:r w:rsidR="00480B37">
        <w:rPr>
          <w:rStyle w:val="FootnoteReference"/>
          <w:lang w:val="en-US" w:eastAsia="en-AU"/>
        </w:rPr>
        <w:footnoteReference w:id="9"/>
      </w:r>
      <w:r>
        <w:rPr>
          <w:lang w:val="en-US" w:eastAsia="en-AU"/>
        </w:rPr>
        <w:t xml:space="preserve"> We </w:t>
      </w:r>
      <w:r w:rsidR="00480B37">
        <w:rPr>
          <w:lang w:val="en-US" w:eastAsia="en-AU"/>
        </w:rPr>
        <w:t>also</w:t>
      </w:r>
      <w:r>
        <w:rPr>
          <w:lang w:val="en-US" w:eastAsia="en-AU"/>
        </w:rPr>
        <w:t xml:space="preserve"> assume that the 10 per cent weakening in the </w:t>
      </w:r>
      <w:r w:rsidR="00480B37">
        <w:rPr>
          <w:lang w:val="en-US" w:eastAsia="en-AU"/>
        </w:rPr>
        <w:t>relationship</w:t>
      </w:r>
      <w:r>
        <w:rPr>
          <w:lang w:val="en-US" w:eastAsia="en-AU"/>
        </w:rPr>
        <w:t xml:space="preserve"> evident</w:t>
      </w:r>
      <w:r w:rsidR="00480B37">
        <w:rPr>
          <w:lang w:val="en-US" w:eastAsia="en-AU"/>
        </w:rPr>
        <w:t xml:space="preserve"> at the micro level can be </w:t>
      </w:r>
      <w:r w:rsidR="00480B37">
        <w:rPr>
          <w:lang w:val="en-US" w:eastAsia="en-AU"/>
        </w:rPr>
        <w:lastRenderedPageBreak/>
        <w:t>generalized to the macro level.</w:t>
      </w:r>
      <w:r w:rsidR="001B721D">
        <w:rPr>
          <w:rStyle w:val="FootnoteReference"/>
          <w:lang w:val="en-US" w:eastAsia="en-AU"/>
        </w:rPr>
        <w:footnoteReference w:id="10"/>
      </w:r>
      <w:r w:rsidR="00480B37">
        <w:rPr>
          <w:lang w:val="en-US" w:eastAsia="en-AU"/>
        </w:rPr>
        <w:t xml:space="preserve"> Our counterfac</w:t>
      </w:r>
      <w:r w:rsidR="00154411">
        <w:rPr>
          <w:lang w:val="en-US" w:eastAsia="en-AU"/>
        </w:rPr>
        <w:t>tual then asks, what would wage</w:t>
      </w:r>
      <w:r w:rsidR="00480B37">
        <w:rPr>
          <w:lang w:val="en-US" w:eastAsia="en-AU"/>
        </w:rPr>
        <w:t xml:space="preserve"> growth have looked like if the relationship had not weakened, given </w:t>
      </w:r>
      <w:r w:rsidR="00820831" w:rsidRPr="00820831">
        <w:rPr>
          <w:lang w:eastAsia="en-AU"/>
        </w:rPr>
        <w:t>labour</w:t>
      </w:r>
      <w:r w:rsidR="00820831">
        <w:rPr>
          <w:lang w:val="en-US" w:eastAsia="en-AU"/>
        </w:rPr>
        <w:t xml:space="preserve"> </w:t>
      </w:r>
      <w:r w:rsidR="00480B37">
        <w:rPr>
          <w:lang w:val="en-US" w:eastAsia="en-AU"/>
        </w:rPr>
        <w:t xml:space="preserve">productivity growth of around 1½ per cent? </w:t>
      </w:r>
    </w:p>
    <w:p w14:paraId="31912CBA" w14:textId="19751637" w:rsidR="00DC5BEA" w:rsidRPr="00154411" w:rsidRDefault="00C872C3" w:rsidP="00C872C3">
      <w:pPr>
        <w:jc w:val="both"/>
        <w:rPr>
          <w:lang w:val="en-US" w:eastAsia="en-AU"/>
        </w:rPr>
      </w:pPr>
      <w:r>
        <w:t>The red line in Figure 4 plots this counterfactual wage growth series.</w:t>
      </w:r>
      <w:r w:rsidRPr="00C872C3">
        <w:rPr>
          <w:rStyle w:val="FootnoteReference"/>
          <w:lang w:val="en-US" w:eastAsia="en-AU"/>
        </w:rPr>
        <w:t xml:space="preserve"> </w:t>
      </w:r>
      <w:r>
        <w:rPr>
          <w:rStyle w:val="FootnoteReference"/>
          <w:lang w:val="en-US" w:eastAsia="en-AU"/>
        </w:rPr>
        <w:footnoteReference w:id="11"/>
      </w:r>
      <w:r>
        <w:t xml:space="preserve"> In this case, aggregate nominal wage growth might have been about 0.15 percentage points higher in each year since 2012-13, eliminating around 1/3 of the unexplained weakness in nominal wage growth.</w:t>
      </w:r>
      <w:r w:rsidR="00480B37">
        <w:rPr>
          <w:lang w:val="en-US" w:eastAsia="en-AU"/>
        </w:rPr>
        <w:t xml:space="preserve"> The results are obviously only illustrative, but they do suggest that structural forces could</w:t>
      </w:r>
      <w:r w:rsidR="00720070">
        <w:rPr>
          <w:lang w:val="en-US" w:eastAsia="en-AU"/>
        </w:rPr>
        <w:t xml:space="preserve"> pote</w:t>
      </w:r>
      <w:r w:rsidR="00CB6AEC">
        <w:rPr>
          <w:lang w:val="en-US" w:eastAsia="en-AU"/>
        </w:rPr>
        <w:t>n</w:t>
      </w:r>
      <w:r w:rsidR="00720070">
        <w:rPr>
          <w:lang w:val="en-US" w:eastAsia="en-AU"/>
        </w:rPr>
        <w:t>tially</w:t>
      </w:r>
      <w:r w:rsidR="00480B37">
        <w:rPr>
          <w:lang w:val="en-US" w:eastAsia="en-AU"/>
        </w:rPr>
        <w:t xml:space="preserve"> account for a </w:t>
      </w:r>
      <w:r w:rsidR="00720070">
        <w:rPr>
          <w:lang w:val="en-US" w:eastAsia="en-AU"/>
        </w:rPr>
        <w:t xml:space="preserve">non-trivial </w:t>
      </w:r>
      <w:r w:rsidR="00480B37">
        <w:rPr>
          <w:lang w:val="en-US" w:eastAsia="en-AU"/>
        </w:rPr>
        <w:t>share of the unexplained weakness observed in recent years</w:t>
      </w:r>
      <w:r>
        <w:rPr>
          <w:lang w:val="en-US" w:eastAsia="en-AU"/>
        </w:rPr>
        <w:t>.</w:t>
      </w:r>
    </w:p>
    <w:p w14:paraId="296D9B30" w14:textId="77777777" w:rsidR="00CC08E4" w:rsidRDefault="00296592" w:rsidP="00AB6B2F">
      <w:pPr>
        <w:pStyle w:val="FigureHeading"/>
      </w:pPr>
      <w:r w:rsidRPr="00692B85">
        <w:t xml:space="preserve">Figure </w:t>
      </w:r>
      <w:r w:rsidR="00A314E7">
        <w:t>4</w:t>
      </w:r>
      <w:r w:rsidRPr="00692B85">
        <w:t xml:space="preserve">: A modest drag on aggregate wage growth </w:t>
      </w:r>
    </w:p>
    <w:p w14:paraId="6CE73C14" w14:textId="716B492A" w:rsidR="00622AA6" w:rsidRPr="00622AA6" w:rsidRDefault="007C455A" w:rsidP="00CE7E96">
      <w:pPr>
        <w:pStyle w:val="ChartGraphic"/>
      </w:pPr>
      <w:r>
        <w:object w:dxaOrig="8775" w:dyaOrig="4531" w14:anchorId="3D9DFFCE">
          <v:shape id="_x0000_i1029" type="#_x0000_t75" style="width:439.4pt;height:226.75pt" o:ole="">
            <v:imagedata r:id="rId32" o:title=""/>
          </v:shape>
          <o:OLEObject Type="Link" ProgID="Excel.Sheet.12" ShapeID="_x0000_i1029" DrawAspect="Content" r:id="rId33" UpdateMode="Always">
            <o:LinkType>EnhancedMetaFile</o:LinkType>
            <o:LockedField/>
          </o:OLEObject>
        </w:object>
      </w:r>
    </w:p>
    <w:p w14:paraId="7DF8BB94" w14:textId="77777777" w:rsidR="00296592" w:rsidRDefault="00296592" w:rsidP="0035498A">
      <w:pPr>
        <w:pStyle w:val="ChartorTableNote"/>
        <w:rPr>
          <w:lang w:val="en-US"/>
        </w:rPr>
      </w:pPr>
      <w:r w:rsidRPr="006015C2">
        <w:rPr>
          <w:lang w:val="en-US"/>
        </w:rPr>
        <w:t>Notes</w:t>
      </w:r>
      <w:r w:rsidR="00423B8F" w:rsidRPr="006015C2">
        <w:rPr>
          <w:lang w:val="en-US"/>
        </w:rPr>
        <w:t xml:space="preserve">: </w:t>
      </w:r>
      <w:r w:rsidR="00622AA6">
        <w:rPr>
          <w:lang w:val="en-US"/>
        </w:rPr>
        <w:t xml:space="preserve">Wage growth measure is year-ended growth in WPI. </w:t>
      </w:r>
      <w:r w:rsidR="00423B8F" w:rsidRPr="006015C2">
        <w:rPr>
          <w:lang w:val="en-US"/>
        </w:rPr>
        <w:t xml:space="preserve">Counterfactual assumes a one-to-one historical relationship between </w:t>
      </w:r>
      <w:r w:rsidR="00423B8F" w:rsidRPr="006015C2">
        <w:t>labour</w:t>
      </w:r>
      <w:r w:rsidR="00423B8F" w:rsidRPr="006015C2">
        <w:rPr>
          <w:lang w:val="en-US"/>
        </w:rPr>
        <w:t xml:space="preserve"> productivity and wages, and that the relationship has weakened by 10 per cent.</w:t>
      </w:r>
      <w:r w:rsidR="006015C2">
        <w:rPr>
          <w:lang w:val="en-US"/>
        </w:rPr>
        <w:br/>
        <w:t>Source: ABS; Authors</w:t>
      </w:r>
      <w:r w:rsidR="00622AA6">
        <w:rPr>
          <w:lang w:val="en-US"/>
        </w:rPr>
        <w:t>’</w:t>
      </w:r>
      <w:r w:rsidR="006015C2">
        <w:rPr>
          <w:lang w:val="en-US"/>
        </w:rPr>
        <w:t xml:space="preserve"> calculations</w:t>
      </w:r>
    </w:p>
    <w:p w14:paraId="4A4127C2" w14:textId="77777777" w:rsidR="00692514" w:rsidRDefault="00312A61" w:rsidP="00AB6B2F">
      <w:pPr>
        <w:pStyle w:val="Heading2"/>
      </w:pPr>
      <w:r w:rsidRPr="00AB6B2F">
        <w:t>P</w:t>
      </w:r>
      <w:r w:rsidR="00692514" w:rsidRPr="00AB6B2F">
        <w:t>otential</w:t>
      </w:r>
      <w:r w:rsidR="00692514">
        <w:t xml:space="preserve"> explanations</w:t>
      </w:r>
      <w:r w:rsidR="0027188E">
        <w:t xml:space="preserve"> for</w:t>
      </w:r>
      <w:r w:rsidR="00692514">
        <w:t xml:space="preserve"> </w:t>
      </w:r>
      <w:r w:rsidR="00CC08E4">
        <w:t>the changing relationship</w:t>
      </w:r>
    </w:p>
    <w:p w14:paraId="409F1538" w14:textId="04438F06" w:rsidR="00011037" w:rsidRDefault="00011037" w:rsidP="00011037">
      <w:pPr>
        <w:jc w:val="both"/>
        <w:rPr>
          <w:lang w:val="en-US" w:eastAsia="en-AU"/>
        </w:rPr>
      </w:pPr>
      <w:r>
        <w:rPr>
          <w:lang w:val="en-US" w:eastAsia="en-AU"/>
        </w:rPr>
        <w:t>There are numerous potential explanations for a recent, potentially transient, shift in the relationship between productivity and wages, and for unexpectedly low</w:t>
      </w:r>
      <w:r w:rsidR="00A116A8">
        <w:rPr>
          <w:lang w:val="en-US" w:eastAsia="en-AU"/>
        </w:rPr>
        <w:t>er</w:t>
      </w:r>
      <w:r>
        <w:rPr>
          <w:lang w:val="en-US" w:eastAsia="en-AU"/>
        </w:rPr>
        <w:t xml:space="preserve"> wage growth more generally.</w:t>
      </w:r>
      <w:r>
        <w:rPr>
          <w:rStyle w:val="FootnoteReference"/>
          <w:lang w:val="en-US" w:eastAsia="en-AU"/>
        </w:rPr>
        <w:footnoteReference w:id="12"/>
      </w:r>
      <w:r>
        <w:rPr>
          <w:lang w:val="en-US" w:eastAsia="en-AU"/>
        </w:rPr>
        <w:t xml:space="preserve"> Some of these are more Australia</w:t>
      </w:r>
      <w:r w:rsidR="00013813">
        <w:rPr>
          <w:lang w:val="en-US" w:eastAsia="en-AU"/>
        </w:rPr>
        <w:t xml:space="preserve"> </w:t>
      </w:r>
      <w:r>
        <w:rPr>
          <w:lang w:val="en-US" w:eastAsia="en-AU"/>
        </w:rPr>
        <w:t>specific and we briefly discuss a few of these in Section 4.1.</w:t>
      </w:r>
    </w:p>
    <w:p w14:paraId="31FDD3B8" w14:textId="77777777" w:rsidR="00011037" w:rsidRDefault="00011037" w:rsidP="00011037">
      <w:pPr>
        <w:jc w:val="both"/>
        <w:rPr>
          <w:lang w:val="en-US" w:eastAsia="en-AU"/>
        </w:rPr>
      </w:pPr>
      <w:r>
        <w:rPr>
          <w:lang w:val="en-US" w:eastAsia="en-AU"/>
        </w:rPr>
        <w:t>Nevertheless, as discussed in Arsov and Evans (2018), wage growth has been unexpectedly low in a number of advanced economies over the past few years. This would suggest that these phenomena are unlikely to be explained solely by domestic factors.</w:t>
      </w:r>
    </w:p>
    <w:p w14:paraId="71B01388" w14:textId="77777777" w:rsidR="00011037" w:rsidRDefault="00011037" w:rsidP="00011037">
      <w:pPr>
        <w:jc w:val="both"/>
        <w:rPr>
          <w:lang w:val="en-US" w:eastAsia="en-AU"/>
        </w:rPr>
      </w:pPr>
      <w:r>
        <w:rPr>
          <w:lang w:val="en-US" w:eastAsia="en-AU"/>
        </w:rPr>
        <w:t>As such, we then go on to explore some explanations that are more global in nature. One explanation is declining labour market fluidity, which has been documented in the U</w:t>
      </w:r>
      <w:r w:rsidR="00A56EDB">
        <w:rPr>
          <w:lang w:val="en-US" w:eastAsia="en-AU"/>
        </w:rPr>
        <w:t xml:space="preserve">nited </w:t>
      </w:r>
      <w:r>
        <w:rPr>
          <w:lang w:val="en-US" w:eastAsia="en-AU"/>
        </w:rPr>
        <w:t>S</w:t>
      </w:r>
      <w:r w:rsidR="00A56EDB">
        <w:rPr>
          <w:lang w:val="en-US" w:eastAsia="en-AU"/>
        </w:rPr>
        <w:t>tates</w:t>
      </w:r>
      <w:r>
        <w:rPr>
          <w:lang w:val="en-US" w:eastAsia="en-AU"/>
        </w:rPr>
        <w:t xml:space="preserve">. Declines in fluidity could reflect increasing distortions and adjustment costs, and so could be the cause of lower wage growth and the change in the relationship between firm productivity and wages we observe in the data. But it </w:t>
      </w:r>
      <w:r>
        <w:rPr>
          <w:lang w:val="en-US" w:eastAsia="en-AU"/>
        </w:rPr>
        <w:lastRenderedPageBreak/>
        <w:t>could also be symptomatic of factors such as technological progress and globalisation that make workers feel less secure and therefore less willing to change jobs.</w:t>
      </w:r>
    </w:p>
    <w:p w14:paraId="0AEA3282" w14:textId="24370735" w:rsidR="00011037" w:rsidRDefault="00011037" w:rsidP="00011037">
      <w:pPr>
        <w:jc w:val="both"/>
        <w:rPr>
          <w:color w:val="auto"/>
        </w:rPr>
      </w:pPr>
      <w:r w:rsidRPr="00F85A69">
        <w:rPr>
          <w:color w:val="auto"/>
        </w:rPr>
        <w:t xml:space="preserve">Section 4.2 then explores </w:t>
      </w:r>
      <w:r>
        <w:rPr>
          <w:color w:val="auto"/>
        </w:rPr>
        <w:t>that the role of the growing</w:t>
      </w:r>
      <w:r w:rsidRPr="00F85A69">
        <w:rPr>
          <w:color w:val="auto"/>
        </w:rPr>
        <w:t xml:space="preserve"> productivity gap between the productivity of ‘leaders’ and ‘laggards’ (Andrews, Criscuolo and Gal 201</w:t>
      </w:r>
      <w:r>
        <w:rPr>
          <w:color w:val="auto"/>
        </w:rPr>
        <w:t>5</w:t>
      </w:r>
      <w:r w:rsidR="002441DB">
        <w:rPr>
          <w:color w:val="auto"/>
        </w:rPr>
        <w:t>,</w:t>
      </w:r>
      <w:r>
        <w:rPr>
          <w:color w:val="auto"/>
        </w:rPr>
        <w:t xml:space="preserve"> 2016</w:t>
      </w:r>
      <w:r w:rsidRPr="00F85A69">
        <w:rPr>
          <w:color w:val="auto"/>
        </w:rPr>
        <w:t>)</w:t>
      </w:r>
      <w:r>
        <w:rPr>
          <w:color w:val="auto"/>
        </w:rPr>
        <w:t xml:space="preserve"> in explaining the change in the relationship between firm productivity and wages, and low wage growth</w:t>
      </w:r>
      <w:r w:rsidRPr="00F85A69">
        <w:rPr>
          <w:color w:val="auto"/>
        </w:rPr>
        <w:t xml:space="preserve"> (see Weir 2018).</w:t>
      </w:r>
      <w:r w:rsidRPr="00F85A69">
        <w:rPr>
          <w:rStyle w:val="FootnoteReference"/>
          <w:color w:val="auto"/>
        </w:rPr>
        <w:footnoteReference w:id="13"/>
      </w:r>
      <w:r w:rsidRPr="00F85A69">
        <w:rPr>
          <w:color w:val="auto"/>
        </w:rPr>
        <w:t xml:space="preserve"> </w:t>
      </w:r>
    </w:p>
    <w:p w14:paraId="55A0607E" w14:textId="77777777" w:rsidR="00011037" w:rsidRDefault="00011037" w:rsidP="00011037">
      <w:pPr>
        <w:pStyle w:val="Heading3"/>
      </w:pPr>
      <w:r>
        <w:t>4.1 Australia-specific explanation</w:t>
      </w:r>
      <w:r w:rsidR="002441DB">
        <w:t>s</w:t>
      </w:r>
    </w:p>
    <w:p w14:paraId="04A2B59E" w14:textId="77777777" w:rsidR="00011037" w:rsidRDefault="00011037" w:rsidP="00011037">
      <w:pPr>
        <w:jc w:val="both"/>
        <w:rPr>
          <w:lang w:val="en-US" w:eastAsia="en-AU"/>
        </w:rPr>
      </w:pPr>
      <w:r>
        <w:rPr>
          <w:lang w:val="en-US" w:eastAsia="en-AU"/>
        </w:rPr>
        <w:t xml:space="preserve">A number of potential explanations for </w:t>
      </w:r>
      <w:r w:rsidR="002F5EDF">
        <w:rPr>
          <w:lang w:val="en-US" w:eastAsia="en-AU"/>
        </w:rPr>
        <w:t>any change in the relationship between</w:t>
      </w:r>
      <w:r w:rsidR="00E70C47">
        <w:rPr>
          <w:lang w:val="en-US" w:eastAsia="en-AU"/>
        </w:rPr>
        <w:t xml:space="preserve"> </w:t>
      </w:r>
      <w:r>
        <w:rPr>
          <w:lang w:val="en-US" w:eastAsia="en-AU"/>
        </w:rPr>
        <w:t>firm</w:t>
      </w:r>
      <w:r w:rsidR="002F5EDF">
        <w:rPr>
          <w:lang w:val="en-US" w:eastAsia="en-AU"/>
        </w:rPr>
        <w:t>-level</w:t>
      </w:r>
      <w:r>
        <w:rPr>
          <w:lang w:val="en-US" w:eastAsia="en-AU"/>
        </w:rPr>
        <w:t xml:space="preserve"> productivity and wages relate specifically to Australia. One prominent example is that wages grew faster than productivity during the mining boom, and now need to grow more slowly than productivity for a period.</w:t>
      </w:r>
      <w:r>
        <w:rPr>
          <w:rStyle w:val="FootnoteReference"/>
          <w:lang w:val="en-US" w:eastAsia="en-AU"/>
        </w:rPr>
        <w:footnoteReference w:id="14"/>
      </w:r>
      <w:r>
        <w:rPr>
          <w:lang w:val="en-US" w:eastAsia="en-AU"/>
        </w:rPr>
        <w:t xml:space="preserve"> </w:t>
      </w:r>
    </w:p>
    <w:p w14:paraId="711E1AD4" w14:textId="77777777" w:rsidR="00011037" w:rsidRDefault="00011037" w:rsidP="00011037">
      <w:pPr>
        <w:jc w:val="both"/>
        <w:rPr>
          <w:lang w:val="en-US" w:eastAsia="en-AU"/>
        </w:rPr>
      </w:pPr>
      <w:r>
        <w:rPr>
          <w:lang w:val="en-US" w:eastAsia="en-AU"/>
        </w:rPr>
        <w:t xml:space="preserve">Assessing this real wage overhang explanation is complicated by the fact that the relevant wage for consumers and firms differs. Consumers care about how much they can buy with their wage, and so the relevant deflator is the Consumer Price Index (CPI). The nominal wage deflated by the CPI is often referred to as the real consumer wage. In contrast, firms care about how much their labor inputs cost relative to what they can sell their goods for, so the relevant deflator is the Producer Price Index (PPI). The nominal wage deflated by the PPI is often referred to as the real producer wage. As documented by Treasury (2017), the real consumer wage grew faster than productivity during the mining boom, while the real producer wage tracked labour productivity fairly closely. </w:t>
      </w:r>
    </w:p>
    <w:p w14:paraId="2AF82C35" w14:textId="77777777" w:rsidR="00011037" w:rsidRDefault="00011037" w:rsidP="00011037">
      <w:pPr>
        <w:jc w:val="both"/>
        <w:rPr>
          <w:lang w:val="en-US" w:eastAsia="en-AU"/>
        </w:rPr>
      </w:pPr>
      <w:r>
        <w:rPr>
          <w:lang w:val="en-US" w:eastAsia="en-AU"/>
        </w:rPr>
        <w:t xml:space="preserve">If the weakness in wages that has been observed in recent years does reflect some form of real wage overhang, it could potentially account for the </w:t>
      </w:r>
      <w:r w:rsidR="002F5EDF">
        <w:rPr>
          <w:lang w:val="en-US" w:eastAsia="en-AU"/>
        </w:rPr>
        <w:t>decline in rent-sharing</w:t>
      </w:r>
      <w:r>
        <w:rPr>
          <w:lang w:val="en-US" w:eastAsia="en-AU"/>
        </w:rPr>
        <w:t xml:space="preserve">. In particular, if firms were handing out an ‘abnormally’ large share of productivity gains to workers during the boom, and are now trying to ‘claw’ this back by giving out a lower share, this could account for the decrease in the rent sharing coefficient. That said, we might expect any such change to be more evident when looking at the relationship between the aggregate or industry-wide component of productivity and wages, rather than between the firm-specific component and wages. </w:t>
      </w:r>
    </w:p>
    <w:p w14:paraId="0DC4A408" w14:textId="77777777" w:rsidR="00011037" w:rsidRDefault="00011037" w:rsidP="00011037">
      <w:pPr>
        <w:jc w:val="both"/>
        <w:rPr>
          <w:lang w:val="en-US" w:eastAsia="en-AU"/>
        </w:rPr>
      </w:pPr>
      <w:r>
        <w:rPr>
          <w:lang w:val="en-US" w:eastAsia="en-AU"/>
        </w:rPr>
        <w:t>A</w:t>
      </w:r>
      <w:r w:rsidR="00B90044">
        <w:rPr>
          <w:lang w:val="en-US" w:eastAsia="en-AU"/>
        </w:rPr>
        <w:t>nother</w:t>
      </w:r>
      <w:r>
        <w:rPr>
          <w:lang w:val="en-US" w:eastAsia="en-AU"/>
        </w:rPr>
        <w:t xml:space="preserve"> potential explanation for the observed </w:t>
      </w:r>
      <w:r w:rsidR="002F5EDF">
        <w:rPr>
          <w:lang w:val="en-US" w:eastAsia="en-AU"/>
        </w:rPr>
        <w:t>decline in rent-sharing</w:t>
      </w:r>
      <w:r>
        <w:rPr>
          <w:lang w:val="en-US" w:eastAsia="en-AU"/>
        </w:rPr>
        <w:t xml:space="preserve"> that specifically relates to our study is a change in the economy’s shock process. In order to isolate firm-specific productivity shocks, and to abstract from demand or other shocks that could affect firm’s measured productivity and wages, many rent sharing studies instrument their productivity variables. We choose not to do so for two reasons. First, we do not have access to any instruments that we feel are valid.</w:t>
      </w:r>
      <w:r>
        <w:rPr>
          <w:rStyle w:val="FootnoteReference"/>
          <w:lang w:val="en-US" w:eastAsia="en-AU"/>
        </w:rPr>
        <w:footnoteReference w:id="15"/>
      </w:r>
      <w:r>
        <w:rPr>
          <w:lang w:val="en-US" w:eastAsia="en-AU"/>
        </w:rPr>
        <w:t xml:space="preserve"> Second</w:t>
      </w:r>
      <w:r w:rsidR="00B90044">
        <w:rPr>
          <w:lang w:val="en-US" w:eastAsia="en-AU"/>
        </w:rPr>
        <w:t>,</w:t>
      </w:r>
      <w:r>
        <w:rPr>
          <w:lang w:val="en-US" w:eastAsia="en-AU"/>
        </w:rPr>
        <w:t xml:space="preserve"> to the extent that firm-specific demand shocks raise firm’s profits, for example by raising the prices of their goods, we might still be interested in how they are passed on to wages.</w:t>
      </w:r>
    </w:p>
    <w:p w14:paraId="4BD571EA" w14:textId="77777777" w:rsidR="00011037" w:rsidRDefault="00011037" w:rsidP="00011037">
      <w:pPr>
        <w:jc w:val="both"/>
        <w:rPr>
          <w:lang w:val="en-US" w:eastAsia="en-AU"/>
        </w:rPr>
      </w:pPr>
      <w:r>
        <w:rPr>
          <w:lang w:val="en-US" w:eastAsia="en-AU"/>
        </w:rPr>
        <w:t>One concern, though, is that the pass-through of increased profits from productivity and demand shocks could differ if, for example, the persistence of the two shocks differs. Firm-specific productivity shocks might be more persistent than firm-specific demand shocks, and as such the pass-through of these shocks could be higher. This would be consistent with van Reenen (1996), who finds a much larger estimate of rent sharing when he instruments using a measure of patents. If this is the case, our estimated coefficient will be an average of the two pass-throughs, weighted by the relative importan</w:t>
      </w:r>
      <w:r w:rsidR="002F5EDF">
        <w:rPr>
          <w:lang w:val="en-US" w:eastAsia="en-AU"/>
        </w:rPr>
        <w:t>ce</w:t>
      </w:r>
      <w:r>
        <w:rPr>
          <w:lang w:val="en-US" w:eastAsia="en-AU"/>
        </w:rPr>
        <w:t xml:space="preserve"> of the two shocks. </w:t>
      </w:r>
      <w:r>
        <w:rPr>
          <w:lang w:val="en-US" w:eastAsia="en-AU"/>
        </w:rPr>
        <w:lastRenderedPageBreak/>
        <w:t>Moreover, if the relative importance of the two shocks has changed in recent years, this could lead to a change in the estimated coefficient.</w:t>
      </w:r>
    </w:p>
    <w:p w14:paraId="568001E3" w14:textId="15FB73FA" w:rsidR="00011037" w:rsidRDefault="00011037" w:rsidP="004443F7">
      <w:pPr>
        <w:jc w:val="both"/>
        <w:rPr>
          <w:lang w:val="en-US" w:eastAsia="en-AU"/>
        </w:rPr>
      </w:pPr>
      <w:r w:rsidRPr="00E007E8">
        <w:rPr>
          <w:lang w:val="en-US" w:eastAsia="en-AU"/>
        </w:rPr>
        <w:t xml:space="preserve">While this is possible, there is </w:t>
      </w:r>
      <w:r w:rsidR="00692B85" w:rsidRPr="004D607B">
        <w:rPr>
          <w:lang w:val="en-US" w:eastAsia="en-AU"/>
        </w:rPr>
        <w:t>little evidence</w:t>
      </w:r>
      <w:r w:rsidRPr="00E007E8">
        <w:rPr>
          <w:lang w:val="en-US" w:eastAsia="en-AU"/>
        </w:rPr>
        <w:t xml:space="preserve"> of such a change in the relative importance of firm-specific demand and productivity shocks. For one,</w:t>
      </w:r>
      <w:r w:rsidRPr="004D607B">
        <w:rPr>
          <w:lang w:val="en-US" w:eastAsia="en-AU"/>
        </w:rPr>
        <w:t xml:space="preserve"> if productivity shocks had become less important, we might expect </w:t>
      </w:r>
      <w:r w:rsidR="00692B85" w:rsidRPr="004D607B">
        <w:rPr>
          <w:lang w:val="en-US" w:eastAsia="en-AU"/>
        </w:rPr>
        <w:t xml:space="preserve">to see a broad-based decline in the </w:t>
      </w:r>
      <w:r w:rsidRPr="00E007E8">
        <w:rPr>
          <w:lang w:val="en-US" w:eastAsia="en-AU"/>
        </w:rPr>
        <w:t xml:space="preserve">dispersion of productivity amongst firms in recent years. As discussed in Section 4.3, there is little evidence of such </w:t>
      </w:r>
      <w:r w:rsidR="00692B85" w:rsidRPr="004D607B">
        <w:rPr>
          <w:lang w:val="en-US" w:eastAsia="en-AU"/>
        </w:rPr>
        <w:t>a broad-based decline</w:t>
      </w:r>
      <w:r w:rsidR="00E007E8" w:rsidRPr="004D607B">
        <w:rPr>
          <w:lang w:val="en-US" w:eastAsia="en-AU"/>
        </w:rPr>
        <w:t xml:space="preserve">. </w:t>
      </w:r>
      <w:r w:rsidR="0005200B">
        <w:rPr>
          <w:lang w:val="en-US" w:eastAsia="en-AU"/>
        </w:rPr>
        <w:t>Th</w:t>
      </w:r>
      <w:r w:rsidR="00E62B21">
        <w:rPr>
          <w:lang w:val="en-US" w:eastAsia="en-AU"/>
        </w:rPr>
        <w:t>at said</w:t>
      </w:r>
      <w:r w:rsidR="00E007E8" w:rsidRPr="004D607B">
        <w:rPr>
          <w:lang w:val="en-US" w:eastAsia="en-AU"/>
        </w:rPr>
        <w:t>,</w:t>
      </w:r>
      <w:r w:rsidR="00692B85" w:rsidRPr="004D607B">
        <w:rPr>
          <w:lang w:val="en-US" w:eastAsia="en-AU"/>
        </w:rPr>
        <w:t xml:space="preserve"> </w:t>
      </w:r>
      <w:r w:rsidR="00E007E8" w:rsidRPr="004D607B">
        <w:rPr>
          <w:lang w:val="en-US" w:eastAsia="en-AU"/>
        </w:rPr>
        <w:t xml:space="preserve">Campbell </w:t>
      </w:r>
      <w:r w:rsidR="00E007E8" w:rsidRPr="00013813">
        <w:rPr>
          <w:lang w:val="en-US" w:eastAsia="en-AU"/>
        </w:rPr>
        <w:t>et al</w:t>
      </w:r>
      <w:r w:rsidR="00E007E8" w:rsidRPr="004D607B">
        <w:rPr>
          <w:lang w:val="en-US" w:eastAsia="en-AU"/>
        </w:rPr>
        <w:t xml:space="preserve"> (2019) do find some evidence</w:t>
      </w:r>
      <w:r w:rsidR="0005200B">
        <w:rPr>
          <w:lang w:val="en-US" w:eastAsia="en-AU"/>
        </w:rPr>
        <w:t xml:space="preserve"> of a decline</w:t>
      </w:r>
      <w:r w:rsidR="00E007E8" w:rsidRPr="004D607B">
        <w:rPr>
          <w:lang w:val="en-US" w:eastAsia="en-AU"/>
        </w:rPr>
        <w:t xml:space="preserve"> for certain industries, so this could be worth exploring in future</w:t>
      </w:r>
      <w:r w:rsidR="003B2681">
        <w:rPr>
          <w:lang w:val="en-US" w:eastAsia="en-AU"/>
        </w:rPr>
        <w:t> </w:t>
      </w:r>
      <w:r w:rsidR="00E007E8" w:rsidRPr="004D607B">
        <w:rPr>
          <w:lang w:val="en-US" w:eastAsia="en-AU"/>
        </w:rPr>
        <w:t>work.</w:t>
      </w:r>
    </w:p>
    <w:p w14:paraId="503615A6" w14:textId="3D82AB23" w:rsidR="00305713" w:rsidRDefault="00305713" w:rsidP="004443F7">
      <w:pPr>
        <w:jc w:val="both"/>
        <w:rPr>
          <w:color w:val="auto"/>
        </w:rPr>
      </w:pPr>
      <w:r>
        <w:rPr>
          <w:lang w:val="en-US" w:eastAsia="en-AU"/>
        </w:rPr>
        <w:t>Similar arguments could be made regarding efficiency wages: firms paying higher wages to promote greater productivity. This has the potential to lead to reverse causality</w:t>
      </w:r>
      <w:r w:rsidR="00C872C3">
        <w:rPr>
          <w:lang w:val="en-US" w:eastAsia="en-AU"/>
        </w:rPr>
        <w:t>,</w:t>
      </w:r>
      <w:r>
        <w:rPr>
          <w:lang w:val="en-US" w:eastAsia="en-AU"/>
        </w:rPr>
        <w:t xml:space="preserve"> and therefore bias our estimates of the relationship between firm idiosyncratic productivity and worker wages. However, it is unlikely to affect our estimates of the change in this relationship, unless the propensity to use efficiency wages has changed.</w:t>
      </w:r>
    </w:p>
    <w:p w14:paraId="07D5402E" w14:textId="77777777" w:rsidR="00692514" w:rsidRDefault="00692514" w:rsidP="00356C87">
      <w:pPr>
        <w:pStyle w:val="Heading3"/>
      </w:pPr>
      <w:r w:rsidRPr="00840A36">
        <w:t>4</w:t>
      </w:r>
      <w:r>
        <w:t>.</w:t>
      </w:r>
      <w:r w:rsidR="00011037">
        <w:t>2</w:t>
      </w:r>
      <w:r>
        <w:t xml:space="preserve"> </w:t>
      </w:r>
      <w:r w:rsidR="00312A61">
        <w:t xml:space="preserve">Declining </w:t>
      </w:r>
      <w:r>
        <w:t>labour market fluidity</w:t>
      </w:r>
    </w:p>
    <w:p w14:paraId="1B0BC89B" w14:textId="7FA120AF" w:rsidR="00011037" w:rsidRDefault="00011037" w:rsidP="00011037">
      <w:pPr>
        <w:jc w:val="both"/>
        <w:rPr>
          <w:lang w:val="en-US" w:eastAsia="en-AU"/>
        </w:rPr>
      </w:pPr>
      <w:r>
        <w:rPr>
          <w:lang w:val="en-US" w:eastAsia="en-AU"/>
        </w:rPr>
        <w:t>A number of papers have documented the fact that labour market fluid</w:t>
      </w:r>
      <w:r w:rsidR="003B2681">
        <w:rPr>
          <w:lang w:val="en-US" w:eastAsia="en-AU"/>
        </w:rPr>
        <w:t xml:space="preserve">ity has declined in the US (for example, </w:t>
      </w:r>
      <w:r>
        <w:t>Davis and Haltiwanger</w:t>
      </w:r>
      <w:r w:rsidR="00B90044">
        <w:t>,</w:t>
      </w:r>
      <w:r>
        <w:t xml:space="preserve"> 2014). Moreover, </w:t>
      </w:r>
      <w:r>
        <w:rPr>
          <w:lang w:val="en-US" w:eastAsia="en-AU"/>
        </w:rPr>
        <w:t xml:space="preserve">a nascent literature from the United States suggests that lower job switching rates are associated with lower wage growth (Faberman and Justiniano 2015; Karahan et al 2017; Moscarini and Postel-Vinay 2017). This association has been found in a variety of settings, and is robust to different definitions of local labour markets – such as demarcated by geography (states) or demography (sex, race, age and skills) – and to using both aggregate- and individual-level wages. The job switching rate emerges as a more important correlate of wages than the unemployment to employment transition rate, </w:t>
      </w:r>
      <w:r w:rsidR="002441DB">
        <w:rPr>
          <w:lang w:val="en-US" w:eastAsia="en-AU"/>
        </w:rPr>
        <w:t>a common</w:t>
      </w:r>
      <w:r>
        <w:rPr>
          <w:lang w:val="en-US" w:eastAsia="en-AU"/>
        </w:rPr>
        <w:t xml:space="preserve"> cyclical indicator of labour market strength.</w:t>
      </w:r>
    </w:p>
    <w:p w14:paraId="2E1B9603" w14:textId="77777777" w:rsidR="00011037" w:rsidRDefault="00011037" w:rsidP="00011037">
      <w:pPr>
        <w:jc w:val="both"/>
        <w:rPr>
          <w:lang w:val="en-US" w:eastAsia="en-AU"/>
        </w:rPr>
      </w:pPr>
      <w:r>
        <w:rPr>
          <w:lang w:val="en-US" w:eastAsia="en-AU"/>
        </w:rPr>
        <w:t xml:space="preserve">A more fluid </w:t>
      </w:r>
      <w:r w:rsidRPr="00833B77">
        <w:rPr>
          <w:lang w:eastAsia="en-AU"/>
        </w:rPr>
        <w:t>labour</w:t>
      </w:r>
      <w:r>
        <w:rPr>
          <w:lang w:val="en-US" w:eastAsia="en-AU"/>
        </w:rPr>
        <w:t xml:space="preserve"> market can benefit workers’ wages in two broad ways. First, it may lift </w:t>
      </w:r>
      <w:r w:rsidRPr="00833B77">
        <w:rPr>
          <w:lang w:eastAsia="en-AU"/>
        </w:rPr>
        <w:t>labour</w:t>
      </w:r>
      <w:r>
        <w:rPr>
          <w:lang w:val="en-US" w:eastAsia="en-AU"/>
        </w:rPr>
        <w:t xml:space="preserve"> productivity by facilitating moves from low to high productivity firms, as examined in Section 5, and ensuring workers’ skills and firms’ needs are well matched. Second, it may improve the bargaining position of workers. If a worker has more credible outside options in more fluid labour markets, then they will be better placed to negotiate higher wages with their employer, and therefore to earn a higher share of the rent from the match. As such, declines in labour market fluidity associated with, for example, increasing adjustment costs, could weigh on aggregate wages and help to explain the </w:t>
      </w:r>
      <w:r w:rsidR="004D607B">
        <w:rPr>
          <w:lang w:val="en-US" w:eastAsia="en-AU"/>
        </w:rPr>
        <w:t>micro</w:t>
      </w:r>
      <w:r>
        <w:rPr>
          <w:lang w:val="en-US" w:eastAsia="en-AU"/>
        </w:rPr>
        <w:t xml:space="preserve"> decoupling evident in the data.</w:t>
      </w:r>
    </w:p>
    <w:p w14:paraId="7356B14D" w14:textId="51C6C66E" w:rsidR="00011037" w:rsidRDefault="00011037" w:rsidP="00011037">
      <w:pPr>
        <w:jc w:val="both"/>
        <w:rPr>
          <w:lang w:val="en-US" w:eastAsia="en-AU"/>
        </w:rPr>
      </w:pPr>
      <w:r>
        <w:rPr>
          <w:lang w:val="en-US" w:eastAsia="en-AU"/>
        </w:rPr>
        <w:t>At the same time though, lower labour market fluidity co</w:t>
      </w:r>
      <w:r w:rsidR="00A116A8">
        <w:rPr>
          <w:lang w:val="en-US" w:eastAsia="en-AU"/>
        </w:rPr>
        <w:t>u</w:t>
      </w:r>
      <w:r>
        <w:rPr>
          <w:lang w:val="en-US" w:eastAsia="en-AU"/>
        </w:rPr>
        <w:t>ld also be a symptom of other, b</w:t>
      </w:r>
      <w:r w:rsidR="005D06C6">
        <w:rPr>
          <w:lang w:val="en-US" w:eastAsia="en-AU"/>
        </w:rPr>
        <w:t>r</w:t>
      </w:r>
      <w:r>
        <w:rPr>
          <w:lang w:val="en-US" w:eastAsia="en-AU"/>
        </w:rPr>
        <w:t>oader factors. A number of academics and policymakers have argued that factors such as increasingly globalised labour market and technological innovation could make workers feel less s</w:t>
      </w:r>
      <w:r w:rsidR="003B2681">
        <w:rPr>
          <w:lang w:val="en-US" w:eastAsia="en-AU"/>
        </w:rPr>
        <w:t>ecure in their jobs (</w:t>
      </w:r>
      <w:r w:rsidR="00E62B21">
        <w:rPr>
          <w:lang w:val="en-US" w:eastAsia="en-AU"/>
        </w:rPr>
        <w:t>see:</w:t>
      </w:r>
      <w:r>
        <w:rPr>
          <w:lang w:val="en-US" w:eastAsia="en-AU"/>
        </w:rPr>
        <w:t xml:space="preserve"> Lowe</w:t>
      </w:r>
      <w:r w:rsidR="003B2681">
        <w:rPr>
          <w:lang w:val="en-US" w:eastAsia="en-AU"/>
        </w:rPr>
        <w:t> </w:t>
      </w:r>
      <w:r>
        <w:rPr>
          <w:lang w:val="en-US" w:eastAsia="en-AU"/>
        </w:rPr>
        <w:t>2018; Foster and Guttmann 2018).</w:t>
      </w:r>
      <w:r w:rsidR="00B90044">
        <w:rPr>
          <w:lang w:val="en-US" w:eastAsia="en-AU"/>
        </w:rPr>
        <w:t xml:space="preserve"> For example, cross-country evidence shows that those sectors that experienced a larger </w:t>
      </w:r>
      <w:r w:rsidR="00B90044">
        <w:rPr>
          <w:color w:val="000000"/>
          <w:shd w:val="clear" w:color="auto" w:fill="FFFFFF"/>
        </w:rPr>
        <w:t xml:space="preserve">increase in global value chain integration recorded lower wages growth, especially when low-wage countries are integrated in supply chains (Andrews, Gal and Witheridge 2018). Indeed, </w:t>
      </w:r>
      <w:r w:rsidR="004D607B">
        <w:rPr>
          <w:lang w:val="en-US" w:eastAsia="en-AU"/>
        </w:rPr>
        <w:t>workers</w:t>
      </w:r>
      <w:r>
        <w:rPr>
          <w:lang w:val="en-US" w:eastAsia="en-AU"/>
        </w:rPr>
        <w:t xml:space="preserve"> that feel less secure might be less willing to change job, particularly if they worry that, as the newest employees, they might be the first to be fired in any downturn. Moreover, to the extent that globalisation </w:t>
      </w:r>
      <w:r w:rsidR="003B2681">
        <w:rPr>
          <w:lang w:val="en-US" w:eastAsia="en-AU"/>
        </w:rPr>
        <w:t>benefits the largest firms (for example,</w:t>
      </w:r>
      <w:r>
        <w:rPr>
          <w:lang w:val="en-US" w:eastAsia="en-AU"/>
        </w:rPr>
        <w:t xml:space="preserve"> Autor </w:t>
      </w:r>
      <w:r w:rsidRPr="00013813">
        <w:rPr>
          <w:lang w:val="en-US" w:eastAsia="en-AU"/>
        </w:rPr>
        <w:t>et al</w:t>
      </w:r>
      <w:r>
        <w:rPr>
          <w:i/>
          <w:lang w:val="en-US" w:eastAsia="en-AU"/>
        </w:rPr>
        <w:t xml:space="preserve"> </w:t>
      </w:r>
      <w:r>
        <w:rPr>
          <w:lang w:val="en-US" w:eastAsia="en-AU"/>
        </w:rPr>
        <w:t>2017), and could therefore weigh on the entry and growth rates of new firms that drive much of the labour market turnover, it could directly affect labour market fluidity (</w:t>
      </w:r>
      <w:r>
        <w:t>Davis and Haltiwanger 2014).</w:t>
      </w:r>
    </w:p>
    <w:p w14:paraId="5FDCCA5C" w14:textId="77777777" w:rsidR="00056CB9" w:rsidRDefault="00011037" w:rsidP="00B60DC7">
      <w:pPr>
        <w:pStyle w:val="Bullet"/>
        <w:keepNext w:val="0"/>
        <w:keepLines/>
        <w:numPr>
          <w:ilvl w:val="0"/>
          <w:numId w:val="0"/>
        </w:numPr>
        <w:jc w:val="both"/>
        <w:rPr>
          <w:lang w:val="en-US" w:eastAsia="en-AU"/>
        </w:rPr>
      </w:pPr>
      <w:r>
        <w:rPr>
          <w:lang w:val="en-US" w:eastAsia="en-AU"/>
        </w:rPr>
        <w:lastRenderedPageBreak/>
        <w:t xml:space="preserve">Consistent with the US evidence, </w:t>
      </w:r>
      <w:r w:rsidR="00833B77">
        <w:rPr>
          <w:lang w:val="en-US" w:eastAsia="en-AU"/>
        </w:rPr>
        <w:t>Australian l</w:t>
      </w:r>
      <w:r w:rsidR="00312A61">
        <w:rPr>
          <w:lang w:val="en-US" w:eastAsia="en-AU"/>
        </w:rPr>
        <w:t xml:space="preserve">abour markets appear to have become less fluid in recent years. This is demonstrated in Figure </w:t>
      </w:r>
      <w:r w:rsidR="00A314E7">
        <w:rPr>
          <w:lang w:val="en-US" w:eastAsia="en-AU"/>
        </w:rPr>
        <w:t>5</w:t>
      </w:r>
      <w:r w:rsidR="00312A61">
        <w:rPr>
          <w:lang w:val="en-US" w:eastAsia="en-AU"/>
        </w:rPr>
        <w:t>, which shows declines in excess job reallocation rates (Panel A)</w:t>
      </w:r>
      <w:r w:rsidR="001402CD">
        <w:rPr>
          <w:lang w:val="en-US" w:eastAsia="en-AU"/>
        </w:rPr>
        <w:t xml:space="preserve"> –</w:t>
      </w:r>
      <w:r w:rsidR="00312A61">
        <w:rPr>
          <w:lang w:val="en-US" w:eastAsia="en-AU"/>
        </w:rPr>
        <w:t xml:space="preserve"> </w:t>
      </w:r>
      <w:r w:rsidR="00C17DA2">
        <w:rPr>
          <w:lang w:val="en-US" w:eastAsia="en-AU"/>
        </w:rPr>
        <w:t>job churn in excess of what is required to accommodate net job creation</w:t>
      </w:r>
      <w:r w:rsidR="00312A61">
        <w:rPr>
          <w:lang w:val="en-US" w:eastAsia="en-AU"/>
        </w:rPr>
        <w:t xml:space="preserve"> (</w:t>
      </w:r>
      <w:r w:rsidR="00F51A74">
        <w:t>see Davis and Haltiwanger (2014</w:t>
      </w:r>
      <w:r w:rsidR="00312A61">
        <w:t>) for details)</w:t>
      </w:r>
      <w:r w:rsidR="001402CD">
        <w:t xml:space="preserve"> –</w:t>
      </w:r>
      <w:r w:rsidR="00312A61">
        <w:rPr>
          <w:lang w:val="en-US" w:eastAsia="en-AU"/>
        </w:rPr>
        <w:t xml:space="preserve"> and job-to-job switching rates (Panel B). </w:t>
      </w:r>
      <w:r w:rsidR="00056CB9">
        <w:rPr>
          <w:lang w:val="en-US" w:eastAsia="en-AU"/>
        </w:rPr>
        <w:t>Abstracting from cyclical fluctuations, both appear to have trended down over the sample.</w:t>
      </w:r>
      <w:r w:rsidR="00985C48">
        <w:rPr>
          <w:rStyle w:val="FootnoteReference"/>
          <w:lang w:val="en-US" w:eastAsia="en-AU"/>
        </w:rPr>
        <w:footnoteReference w:id="16"/>
      </w:r>
    </w:p>
    <w:p w14:paraId="344C2123" w14:textId="77777777" w:rsidR="00312A61" w:rsidRPr="00D61EC8" w:rsidRDefault="00312A61" w:rsidP="00AB6B2F">
      <w:pPr>
        <w:pStyle w:val="FigureHeading"/>
      </w:pPr>
      <w:r w:rsidRPr="00D61EC8">
        <w:t>Figure</w:t>
      </w:r>
      <w:r w:rsidR="00A314E7">
        <w:t xml:space="preserve"> 5</w:t>
      </w:r>
      <w:r w:rsidRPr="00D61EC8">
        <w:t>: Labour market fluidity has declined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312A61" w14:paraId="66BD413A" w14:textId="77777777" w:rsidTr="00056CB9">
        <w:tc>
          <w:tcPr>
            <w:tcW w:w="4757" w:type="dxa"/>
          </w:tcPr>
          <w:p w14:paraId="679FFCE6" w14:textId="77777777" w:rsidR="00312A61" w:rsidRPr="0035420F" w:rsidRDefault="00312A61" w:rsidP="00F134A0">
            <w:pPr>
              <w:pStyle w:val="FigureSecondHeading"/>
            </w:pPr>
            <w:r w:rsidRPr="0035420F">
              <w:t xml:space="preserve">Panel A: </w:t>
            </w:r>
            <w:r>
              <w:t>Excess job reallocation rates</w:t>
            </w:r>
          </w:p>
          <w:p w14:paraId="7FB604CD" w14:textId="33E5CE39" w:rsidR="00312A61" w:rsidRDefault="007C455A" w:rsidP="00CE7E96">
            <w:pPr>
              <w:pStyle w:val="ChartGraphic"/>
            </w:pPr>
            <w:r>
              <w:object w:dxaOrig="4515" w:dyaOrig="4531" w14:anchorId="21903249">
                <v:shape id="_x0000_i1030" type="#_x0000_t75" style="width:226.1pt;height:226.75pt" o:ole="">
                  <v:imagedata r:id="rId34" o:title=""/>
                </v:shape>
                <o:OLEObject Type="Link" ProgID="Excel.Sheet.12" ShapeID="_x0000_i1030" DrawAspect="Content" r:id="rId35" UpdateMode="Always">
                  <o:LinkType>EnhancedMetaFile</o:LinkType>
                  <o:LockedField/>
                </o:OLEObject>
              </w:object>
            </w:r>
          </w:p>
        </w:tc>
        <w:tc>
          <w:tcPr>
            <w:tcW w:w="4757" w:type="dxa"/>
          </w:tcPr>
          <w:p w14:paraId="04E33957" w14:textId="77777777" w:rsidR="00312A61" w:rsidRPr="0035420F" w:rsidRDefault="00312A61" w:rsidP="00F134A0">
            <w:pPr>
              <w:pStyle w:val="FigureSecondHeading"/>
            </w:pPr>
            <w:r w:rsidRPr="0035420F">
              <w:t xml:space="preserve">Panel B: </w:t>
            </w:r>
            <w:r>
              <w:t>Job switching rate</w:t>
            </w:r>
          </w:p>
          <w:p w14:paraId="1C1B84AA" w14:textId="5E13D0D8" w:rsidR="00312A61" w:rsidRDefault="007C455A" w:rsidP="00CE7E96">
            <w:pPr>
              <w:pStyle w:val="ChartGraphic"/>
            </w:pPr>
            <w:r>
              <w:object w:dxaOrig="4515" w:dyaOrig="4531" w14:anchorId="3949C4E8">
                <v:shape id="_x0000_i1031" type="#_x0000_t75" style="width:226.1pt;height:226.75pt" o:ole="">
                  <v:imagedata r:id="rId36" o:title=""/>
                </v:shape>
                <o:OLEObject Type="Link" ProgID="Excel.Sheet.12" ShapeID="_x0000_i1031" DrawAspect="Content" r:id="rId37" UpdateMode="Always">
                  <o:LinkType>EnhancedMetaFile</o:LinkType>
                  <o:LockedField/>
                </o:OLEObject>
              </w:object>
            </w:r>
          </w:p>
        </w:tc>
      </w:tr>
    </w:tbl>
    <w:p w14:paraId="057C3540" w14:textId="77777777" w:rsidR="00312A61" w:rsidRPr="006015C2" w:rsidRDefault="00312A61" w:rsidP="0035498A">
      <w:pPr>
        <w:pStyle w:val="ChartorTableNote"/>
      </w:pPr>
      <w:r w:rsidRPr="006015C2">
        <w:t>Notes: In Panel A, excess job reallocation is calculated as (JC+JD)/|(JC-JD)| where JC refers to job creation rates and JD refers to job destruction rates. The smoothed series utilises STATA's robust nonlinear smoothing command "smooth" (option = 4235eh).</w:t>
      </w:r>
      <w:r w:rsidR="001402CD" w:rsidRPr="006015C2">
        <w:t xml:space="preserve"> The job switching rate is calculated as the number of workers that switch jobs, divided by the number that </w:t>
      </w:r>
      <w:r w:rsidR="006015C2" w:rsidRPr="006015C2">
        <w:t>have</w:t>
      </w:r>
      <w:r w:rsidR="001402CD" w:rsidRPr="006015C2">
        <w:t xml:space="preserve"> jobs at the start and end of the year.</w:t>
      </w:r>
    </w:p>
    <w:p w14:paraId="0913904D" w14:textId="77777777" w:rsidR="006015C2" w:rsidRDefault="006015C2" w:rsidP="0035498A">
      <w:pPr>
        <w:pStyle w:val="ChartorTableNote"/>
      </w:pPr>
      <w:r w:rsidRPr="006015C2">
        <w:t>Source:  Treasury analysis of de-identified tax data.</w:t>
      </w:r>
    </w:p>
    <w:p w14:paraId="4E93885A" w14:textId="77777777" w:rsidR="0035498A" w:rsidRPr="0035498A" w:rsidRDefault="0035498A" w:rsidP="0035498A">
      <w:pPr>
        <w:pStyle w:val="SingleParagraph"/>
        <w:rPr>
          <w:lang w:eastAsia="en-AU"/>
        </w:rPr>
      </w:pPr>
    </w:p>
    <w:p w14:paraId="0CE2CF3F" w14:textId="77777777" w:rsidR="00833B77" w:rsidRPr="00833B77" w:rsidRDefault="00833B77" w:rsidP="00056CB9">
      <w:pPr>
        <w:pStyle w:val="Bullet"/>
        <w:numPr>
          <w:ilvl w:val="0"/>
          <w:numId w:val="0"/>
        </w:numPr>
        <w:jc w:val="both"/>
        <w:rPr>
          <w:b/>
          <w:lang w:val="en-US" w:eastAsia="en-AU"/>
        </w:rPr>
      </w:pPr>
      <w:r>
        <w:rPr>
          <w:lang w:val="en-US" w:eastAsia="en-AU"/>
        </w:rPr>
        <w:t xml:space="preserve">Could the decline in job </w:t>
      </w:r>
      <w:r w:rsidRPr="00892614">
        <w:rPr>
          <w:lang w:val="en-US" w:eastAsia="en-AU"/>
        </w:rPr>
        <w:t xml:space="preserve">switching rates </w:t>
      </w:r>
      <w:r w:rsidR="00392B16" w:rsidRPr="00892614">
        <w:rPr>
          <w:lang w:val="en-US" w:eastAsia="en-AU"/>
        </w:rPr>
        <w:t>be associated with less</w:t>
      </w:r>
      <w:r w:rsidRPr="00892614">
        <w:rPr>
          <w:lang w:val="en-US" w:eastAsia="en-AU"/>
        </w:rPr>
        <w:t xml:space="preserve"> upward pressure on Australian wages?  </w:t>
      </w:r>
    </w:p>
    <w:p w14:paraId="74356299" w14:textId="2C6F21C9" w:rsidR="00692514" w:rsidRDefault="00692514" w:rsidP="00356C87">
      <w:pPr>
        <w:jc w:val="both"/>
        <w:rPr>
          <w:lang w:val="en-US" w:eastAsia="en-AU"/>
        </w:rPr>
      </w:pPr>
      <w:r>
        <w:rPr>
          <w:lang w:val="en-US" w:eastAsia="en-AU"/>
        </w:rPr>
        <w:t xml:space="preserve">Deutscher </w:t>
      </w:r>
      <w:r w:rsidR="00AF7C5E">
        <w:rPr>
          <w:lang w:val="en-US" w:eastAsia="en-AU"/>
        </w:rPr>
        <w:t>(</w:t>
      </w:r>
      <w:r>
        <w:rPr>
          <w:lang w:val="en-US" w:eastAsia="en-AU"/>
        </w:rPr>
        <w:t>2019</w:t>
      </w:r>
      <w:r w:rsidR="00AF7C5E">
        <w:rPr>
          <w:lang w:val="en-US" w:eastAsia="en-AU"/>
        </w:rPr>
        <w:t>)</w:t>
      </w:r>
      <w:r>
        <w:rPr>
          <w:lang w:val="en-US" w:eastAsia="en-AU"/>
        </w:rPr>
        <w:t xml:space="preserve"> </w:t>
      </w:r>
      <w:r w:rsidR="00AF7C5E">
        <w:rPr>
          <w:lang w:val="en-US" w:eastAsia="en-AU"/>
        </w:rPr>
        <w:t>examines the effects of job switching on wages in Australia and find</w:t>
      </w:r>
      <w:r w:rsidR="00392B16">
        <w:rPr>
          <w:lang w:val="en-US" w:eastAsia="en-AU"/>
        </w:rPr>
        <w:t>s</w:t>
      </w:r>
      <w:r w:rsidR="00AF7C5E">
        <w:rPr>
          <w:lang w:val="en-US" w:eastAsia="en-AU"/>
        </w:rPr>
        <w:t xml:space="preserve"> that </w:t>
      </w:r>
      <w:r w:rsidR="00392B16">
        <w:rPr>
          <w:lang w:val="en-US" w:eastAsia="en-AU"/>
        </w:rPr>
        <w:t>local labour markets that have higher job switching rates have higher wage growth</w:t>
      </w:r>
      <w:r w:rsidR="00E62B21">
        <w:rPr>
          <w:lang w:val="en-US" w:eastAsia="en-AU"/>
        </w:rPr>
        <w:t>. This result remains after controlling for demographic influences and a range of time-varying shocks</w:t>
      </w:r>
      <w:r w:rsidR="00634056">
        <w:rPr>
          <w:lang w:val="en-US" w:eastAsia="en-AU"/>
        </w:rPr>
        <w:t xml:space="preserve">, </w:t>
      </w:r>
      <w:r w:rsidR="00E62B21">
        <w:rPr>
          <w:lang w:val="en-US" w:eastAsia="en-AU"/>
        </w:rPr>
        <w:t xml:space="preserve">including </w:t>
      </w:r>
      <w:r w:rsidR="00634056">
        <w:rPr>
          <w:lang w:val="en-US" w:eastAsia="en-AU"/>
        </w:rPr>
        <w:t>the unemployment to employment transition rate</w:t>
      </w:r>
      <w:r>
        <w:rPr>
          <w:lang w:val="en-US" w:eastAsia="en-AU"/>
        </w:rPr>
        <w:t xml:space="preserve">.  A one percentage point increase in the rate at which workers switch jobs is associated with a ½ percentage point increase in growth in average wages.  While the association is stronger for those </w:t>
      </w:r>
      <w:r w:rsidR="00392B16">
        <w:rPr>
          <w:lang w:val="en-US" w:eastAsia="en-AU"/>
        </w:rPr>
        <w:t>that</w:t>
      </w:r>
      <w:r>
        <w:rPr>
          <w:lang w:val="en-US" w:eastAsia="en-AU"/>
        </w:rPr>
        <w:t xml:space="preserve"> switch jobs, who may be in the best position to negotiate wages, it remains for those </w:t>
      </w:r>
      <w:r w:rsidR="00392B16">
        <w:rPr>
          <w:lang w:val="en-US" w:eastAsia="en-AU"/>
        </w:rPr>
        <w:t>that</w:t>
      </w:r>
      <w:r>
        <w:rPr>
          <w:lang w:val="en-US" w:eastAsia="en-AU"/>
        </w:rPr>
        <w:t xml:space="preserve"> stay in their job.</w:t>
      </w:r>
      <w:r w:rsidR="00180BF6">
        <w:rPr>
          <w:lang w:val="en-US" w:eastAsia="en-AU"/>
        </w:rPr>
        <w:t xml:space="preserve"> This provides evidence that it is not only the act of switching jobs that affects worker wages, but also the </w:t>
      </w:r>
      <w:r w:rsidR="00634056">
        <w:rPr>
          <w:lang w:val="en-US" w:eastAsia="en-AU"/>
        </w:rPr>
        <w:t>potential</w:t>
      </w:r>
      <w:r w:rsidR="00180BF6">
        <w:rPr>
          <w:lang w:val="en-US" w:eastAsia="en-AU"/>
        </w:rPr>
        <w:t xml:space="preserve"> to switch jobs, as it provides </w:t>
      </w:r>
      <w:r w:rsidR="003B1EC2">
        <w:rPr>
          <w:lang w:val="en-US" w:eastAsia="en-AU"/>
        </w:rPr>
        <w:t>workers</w:t>
      </w:r>
      <w:r w:rsidR="00180BF6">
        <w:rPr>
          <w:lang w:val="en-US" w:eastAsia="en-AU"/>
        </w:rPr>
        <w:t xml:space="preserve"> with an outside option and therefore a stronger bargaining position. </w:t>
      </w:r>
      <w:r>
        <w:rPr>
          <w:lang w:val="en-US" w:eastAsia="en-AU"/>
        </w:rPr>
        <w:t>The</w:t>
      </w:r>
      <w:r w:rsidR="00C53585">
        <w:rPr>
          <w:lang w:val="en-US" w:eastAsia="en-AU"/>
        </w:rPr>
        <w:t>se</w:t>
      </w:r>
      <w:r>
        <w:rPr>
          <w:lang w:val="en-US" w:eastAsia="en-AU"/>
        </w:rPr>
        <w:t xml:space="preserve"> associations</w:t>
      </w:r>
      <w:r w:rsidR="00C53585">
        <w:rPr>
          <w:lang w:val="en-US" w:eastAsia="en-AU"/>
        </w:rPr>
        <w:t xml:space="preserve"> also </w:t>
      </w:r>
      <w:r>
        <w:rPr>
          <w:lang w:val="en-US" w:eastAsia="en-AU"/>
        </w:rPr>
        <w:t xml:space="preserve">hold when estimated </w:t>
      </w:r>
      <w:r w:rsidR="003B1EC2">
        <w:rPr>
          <w:lang w:val="en-US" w:eastAsia="en-AU"/>
        </w:rPr>
        <w:t>using</w:t>
      </w:r>
      <w:r>
        <w:rPr>
          <w:lang w:val="en-US" w:eastAsia="en-AU"/>
        </w:rPr>
        <w:t xml:space="preserve"> </w:t>
      </w:r>
      <w:r w:rsidR="003B1EC2">
        <w:rPr>
          <w:lang w:val="en-US" w:eastAsia="en-AU"/>
        </w:rPr>
        <w:t>employee-</w:t>
      </w:r>
      <w:r>
        <w:rPr>
          <w:lang w:val="en-US" w:eastAsia="en-AU"/>
        </w:rPr>
        <w:t>level data, which allows for a rich set of controls.</w:t>
      </w:r>
    </w:p>
    <w:p w14:paraId="4291EAFA" w14:textId="77777777" w:rsidR="00250921" w:rsidRDefault="00692514" w:rsidP="00250921">
      <w:pPr>
        <w:jc w:val="both"/>
        <w:rPr>
          <w:b/>
          <w:lang w:val="en-US" w:eastAsia="en-AU"/>
        </w:rPr>
      </w:pPr>
      <w:r>
        <w:rPr>
          <w:lang w:val="en-US" w:eastAsia="en-AU"/>
        </w:rPr>
        <w:t xml:space="preserve">The association between job switching and wages is economically meaningful, with plausible </w:t>
      </w:r>
      <w:r w:rsidR="00180BF6">
        <w:rPr>
          <w:lang w:val="en-US" w:eastAsia="en-AU"/>
        </w:rPr>
        <w:t>variation</w:t>
      </w:r>
      <w:r>
        <w:rPr>
          <w:lang w:val="en-US" w:eastAsia="en-AU"/>
        </w:rPr>
        <w:t xml:space="preserve"> in switching rates</w:t>
      </w:r>
      <w:r w:rsidR="00180BF6">
        <w:rPr>
          <w:lang w:val="en-US" w:eastAsia="en-AU"/>
        </w:rPr>
        <w:t xml:space="preserve"> being</w:t>
      </w:r>
      <w:r w:rsidR="00154411">
        <w:rPr>
          <w:lang w:val="en-US" w:eastAsia="en-AU"/>
        </w:rPr>
        <w:t xml:space="preserve"> associated with wage</w:t>
      </w:r>
      <w:r>
        <w:rPr>
          <w:lang w:val="en-US" w:eastAsia="en-AU"/>
        </w:rPr>
        <w:t xml:space="preserve"> growth worth hundreds of dollars a year to the typical worker.  As an illustration of this, Figure </w:t>
      </w:r>
      <w:r w:rsidR="00A314E7">
        <w:rPr>
          <w:lang w:val="en-US" w:eastAsia="en-AU"/>
        </w:rPr>
        <w:t>6</w:t>
      </w:r>
      <w:r>
        <w:rPr>
          <w:lang w:val="en-US" w:eastAsia="en-AU"/>
        </w:rPr>
        <w:t xml:space="preserve"> shows</w:t>
      </w:r>
      <w:r w:rsidR="00180BF6">
        <w:rPr>
          <w:lang w:val="en-US" w:eastAsia="en-AU"/>
        </w:rPr>
        <w:t xml:space="preserve"> the predicted effect of a 2 percentage point </w:t>
      </w:r>
      <w:r w:rsidR="004F3523">
        <w:rPr>
          <w:lang w:val="en-US" w:eastAsia="en-AU"/>
        </w:rPr>
        <w:t>decrease</w:t>
      </w:r>
      <w:r w:rsidR="003B2681">
        <w:rPr>
          <w:lang w:val="en-US" w:eastAsia="en-AU"/>
        </w:rPr>
        <w:t xml:space="preserve"> in the job</w:t>
      </w:r>
      <w:r w:rsidR="003B2681">
        <w:rPr>
          <w:lang w:val="en-US" w:eastAsia="en-AU"/>
        </w:rPr>
        <w:noBreakHyphen/>
      </w:r>
      <w:r w:rsidR="00180BF6">
        <w:rPr>
          <w:lang w:val="en-US" w:eastAsia="en-AU"/>
        </w:rPr>
        <w:t xml:space="preserve">switching rate </w:t>
      </w:r>
      <w:r w:rsidR="00EA0F8D">
        <w:rPr>
          <w:lang w:val="en-US" w:eastAsia="en-AU"/>
        </w:rPr>
        <w:t>– which roughly corresponds to the decline in</w:t>
      </w:r>
      <w:r w:rsidR="00403B38">
        <w:rPr>
          <w:lang w:val="en-US" w:eastAsia="en-AU"/>
        </w:rPr>
        <w:t xml:space="preserve"> the</w:t>
      </w:r>
      <w:r w:rsidR="00EA0F8D">
        <w:rPr>
          <w:lang w:val="en-US" w:eastAsia="en-AU"/>
        </w:rPr>
        <w:t xml:space="preserve"> aggregate switching rate observed </w:t>
      </w:r>
      <w:r w:rsidR="00403B38">
        <w:rPr>
          <w:lang w:val="en-US" w:eastAsia="en-AU"/>
        </w:rPr>
        <w:t>in the sample we analyse</w:t>
      </w:r>
      <w:r w:rsidR="00EA0F8D">
        <w:rPr>
          <w:lang w:val="en-US" w:eastAsia="en-AU"/>
        </w:rPr>
        <w:t xml:space="preserve"> – </w:t>
      </w:r>
      <w:r w:rsidR="00180BF6">
        <w:rPr>
          <w:lang w:val="en-US" w:eastAsia="en-AU"/>
        </w:rPr>
        <w:t>for a worker on the mean wage.</w:t>
      </w:r>
      <w:r w:rsidR="00403B38">
        <w:rPr>
          <w:rStyle w:val="FootnoteReference"/>
          <w:lang w:val="en-US" w:eastAsia="en-AU"/>
        </w:rPr>
        <w:footnoteReference w:id="17"/>
      </w:r>
      <w:r>
        <w:rPr>
          <w:lang w:val="en-US" w:eastAsia="en-AU"/>
        </w:rPr>
        <w:t xml:space="preserve"> F</w:t>
      </w:r>
      <w:r w:rsidR="004C2440" w:rsidRPr="004C2440">
        <w:rPr>
          <w:lang w:val="en-US" w:eastAsia="en-AU"/>
        </w:rPr>
        <w:t xml:space="preserve">or the full sample, the predicted effect is </w:t>
      </w:r>
      <w:r w:rsidR="004C2440" w:rsidRPr="004C2440">
        <w:rPr>
          <w:lang w:val="en-US" w:eastAsia="en-AU"/>
        </w:rPr>
        <w:lastRenderedPageBreak/>
        <w:t>a decline in wage growth of around 1</w:t>
      </w:r>
      <w:r w:rsidR="003B2681">
        <w:rPr>
          <w:lang w:val="en-US" w:eastAsia="en-AU"/>
        </w:rPr>
        <w:t> per cent</w:t>
      </w:r>
      <w:r w:rsidR="004C2440" w:rsidRPr="004C2440">
        <w:rPr>
          <w:lang w:val="en-US" w:eastAsia="en-AU"/>
        </w:rPr>
        <w:t xml:space="preserve"> (or $600) a year. This reflects a predicted effect of around -3</w:t>
      </w:r>
      <w:r w:rsidR="003B2681">
        <w:rPr>
          <w:lang w:val="en-US" w:eastAsia="en-AU"/>
        </w:rPr>
        <w:t> per cent</w:t>
      </w:r>
      <w:r w:rsidR="004C2440" w:rsidRPr="004C2440">
        <w:rPr>
          <w:lang w:val="en-US" w:eastAsia="en-AU"/>
        </w:rPr>
        <w:t xml:space="preserve"> (or $1600) a year fo</w:t>
      </w:r>
      <w:r w:rsidR="003B2681">
        <w:rPr>
          <w:lang w:val="en-US" w:eastAsia="en-AU"/>
        </w:rPr>
        <w:t>r job switchers and around -0.6 per cent</w:t>
      </w:r>
      <w:r w:rsidR="004C2440" w:rsidRPr="004C2440">
        <w:rPr>
          <w:lang w:val="en-US" w:eastAsia="en-AU"/>
        </w:rPr>
        <w:t xml:space="preserve"> (or $300) a year for job stayers.  </w:t>
      </w:r>
    </w:p>
    <w:p w14:paraId="11DAD97F" w14:textId="23099B27" w:rsidR="004C2440" w:rsidRPr="00250921" w:rsidRDefault="004C2440" w:rsidP="00250921">
      <w:pPr>
        <w:pStyle w:val="Caption1"/>
        <w:rPr>
          <w:b/>
          <w:lang w:val="en-US"/>
        </w:rPr>
      </w:pPr>
      <w:r w:rsidRPr="004C2440">
        <w:rPr>
          <w:lang w:val="en-US"/>
        </w:rPr>
        <w:t xml:space="preserve">Figure </w:t>
      </w:r>
      <w:r w:rsidR="00A314E7">
        <w:rPr>
          <w:lang w:val="en-US"/>
        </w:rPr>
        <w:t>6</w:t>
      </w:r>
      <w:r w:rsidRPr="004C2440">
        <w:rPr>
          <w:lang w:val="en-US"/>
        </w:rPr>
        <w:t xml:space="preserve">: Predicted impact on wages of a 2 percentage point </w:t>
      </w:r>
      <w:r>
        <w:rPr>
          <w:lang w:val="en-US"/>
        </w:rPr>
        <w:t xml:space="preserve">decline </w:t>
      </w:r>
      <w:r w:rsidRPr="004C2440">
        <w:rPr>
          <w:lang w:val="en-US"/>
        </w:rPr>
        <w:t>in</w:t>
      </w:r>
      <w:r>
        <w:rPr>
          <w:lang w:val="en-US"/>
        </w:rPr>
        <w:t xml:space="preserve"> the</w:t>
      </w:r>
      <w:r w:rsidRPr="004C2440">
        <w:rPr>
          <w:lang w:val="en-US"/>
        </w:rPr>
        <w:t xml:space="preserve"> job-switching rate in a local labour market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DD011E" w14:paraId="7E05DA40" w14:textId="77777777" w:rsidTr="00DD011E">
        <w:tc>
          <w:tcPr>
            <w:tcW w:w="4644" w:type="dxa"/>
          </w:tcPr>
          <w:p w14:paraId="5A27A063" w14:textId="720DB636" w:rsidR="00DD011E" w:rsidRDefault="00191696" w:rsidP="004C2440">
            <w:pPr>
              <w:spacing w:after="0"/>
              <w:jc w:val="center"/>
              <w:rPr>
                <w:lang w:val="en-US"/>
              </w:rPr>
            </w:pPr>
            <w:r>
              <w:rPr>
                <w:rFonts w:asciiTheme="majorHAnsi" w:hAnsiTheme="majorHAnsi"/>
                <w:color w:val="003057"/>
              </w:rPr>
              <w:t xml:space="preserve">Panel A: </w:t>
            </w:r>
            <w:r w:rsidRPr="00191696">
              <w:rPr>
                <w:rFonts w:asciiTheme="majorHAnsi" w:hAnsiTheme="majorHAnsi"/>
                <w:color w:val="003057"/>
              </w:rPr>
              <w:t>Dollar decrease</w:t>
            </w:r>
            <w:r>
              <w:rPr>
                <w:rFonts w:asciiTheme="majorHAnsi" w:hAnsiTheme="majorHAnsi"/>
                <w:color w:val="003057"/>
              </w:rPr>
              <w:t xml:space="preserve"> (2016 dollars)</w:t>
            </w:r>
          </w:p>
        </w:tc>
        <w:tc>
          <w:tcPr>
            <w:tcW w:w="4644" w:type="dxa"/>
          </w:tcPr>
          <w:p w14:paraId="3D40E7B5" w14:textId="27A9F70C" w:rsidR="00DD011E" w:rsidRDefault="00191696" w:rsidP="00191696">
            <w:pPr>
              <w:spacing w:after="0"/>
              <w:jc w:val="center"/>
              <w:rPr>
                <w:lang w:val="en-US"/>
              </w:rPr>
            </w:pPr>
            <w:r>
              <w:rPr>
                <w:rFonts w:asciiTheme="majorHAnsi" w:hAnsiTheme="majorHAnsi"/>
                <w:color w:val="003057"/>
              </w:rPr>
              <w:t>Panel B: Percentage point decrease</w:t>
            </w:r>
          </w:p>
        </w:tc>
      </w:tr>
      <w:tr w:rsidR="00DD011E" w14:paraId="29063697" w14:textId="77777777" w:rsidTr="00DD011E">
        <w:tc>
          <w:tcPr>
            <w:tcW w:w="4644" w:type="dxa"/>
          </w:tcPr>
          <w:p w14:paraId="4192BEBD" w14:textId="173977BA" w:rsidR="00DD011E" w:rsidRDefault="00191696" w:rsidP="00191696">
            <w:pPr>
              <w:pStyle w:val="ChartGraphic"/>
              <w:rPr>
                <w:lang w:val="en-US"/>
              </w:rPr>
            </w:pPr>
            <w:r>
              <w:rPr>
                <w:lang w:val="en-US"/>
              </w:rPr>
              <w:object w:dxaOrig="4525" w:dyaOrig="4525" w14:anchorId="50F4DEEC">
                <v:shape id="_x0000_i1032" type="#_x0000_t75" style="width:226.1pt;height:226.1pt" o:ole="">
                  <v:imagedata r:id="rId38" o:title=""/>
                </v:shape>
                <o:OLEObject Type="Link" ProgID="Excel.Sheet.12" ShapeID="_x0000_i1032" DrawAspect="Content" r:id="rId39" UpdateMode="Always">
                  <o:LinkType>EnhancedMetaFile</o:LinkType>
                  <o:LockedField/>
                </o:OLEObject>
              </w:object>
            </w:r>
          </w:p>
        </w:tc>
        <w:tc>
          <w:tcPr>
            <w:tcW w:w="4644" w:type="dxa"/>
          </w:tcPr>
          <w:p w14:paraId="35AC2B4F" w14:textId="4E569DE3" w:rsidR="00DD011E" w:rsidRDefault="00C3122D" w:rsidP="00C3122D">
            <w:pPr>
              <w:pStyle w:val="ChartGraphic"/>
              <w:rPr>
                <w:lang w:val="en-US"/>
              </w:rPr>
            </w:pPr>
            <w:r>
              <w:rPr>
                <w:lang w:val="en-US"/>
              </w:rPr>
              <w:object w:dxaOrig="4525" w:dyaOrig="4525" w14:anchorId="5E5BD825">
                <v:shape id="_x0000_i1033" type="#_x0000_t75" style="width:226.1pt;height:226.1pt" o:ole="">
                  <v:imagedata r:id="rId40" o:title=""/>
                </v:shape>
                <o:OLEObject Type="Link" ProgID="Excel.Sheet.12" ShapeID="_x0000_i1033" DrawAspect="Content" r:id="rId41" UpdateMode="Always">
                  <o:LinkType>EnhancedMetaFile</o:LinkType>
                  <o:LockedField/>
                </o:OLEObject>
              </w:object>
            </w:r>
          </w:p>
        </w:tc>
      </w:tr>
    </w:tbl>
    <w:p w14:paraId="13D696D6" w14:textId="3BC6E790" w:rsidR="004C2440" w:rsidRDefault="004C2440" w:rsidP="004C2440">
      <w:pPr>
        <w:spacing w:after="0"/>
        <w:jc w:val="center"/>
        <w:rPr>
          <w:lang w:val="en-US" w:eastAsia="en-AU"/>
        </w:rPr>
      </w:pPr>
    </w:p>
    <w:p w14:paraId="2A653DF9" w14:textId="780979B0" w:rsidR="004C2440" w:rsidRPr="004C2440" w:rsidRDefault="004C2440" w:rsidP="0035498A">
      <w:pPr>
        <w:pStyle w:val="ChartorTableNote"/>
        <w:rPr>
          <w:lang w:val="en-US"/>
        </w:rPr>
      </w:pPr>
      <w:r w:rsidRPr="004C2440">
        <w:rPr>
          <w:lang w:val="en-US"/>
        </w:rPr>
        <w:t xml:space="preserve">Notes: Based on coefficients from an OLS regression of the change in the natural logarithm of average wages in an SA4 in a given year on the job-to-job and unemployment-to-job transition rates and a set of control variables.  The control variables include year and SA4 fixed effects, state interacted with year, and a set of SA4 time-varying controls encompassing a linear trend, the unemployment rate, average number of weeks searching for a job, share of workers in each of 19 one-digit industry classifications, and the average age and proportion </w:t>
      </w:r>
      <w:r w:rsidR="00B35E37">
        <w:rPr>
          <w:lang w:val="en-US"/>
        </w:rPr>
        <w:t xml:space="preserve">female of the relevant sample. </w:t>
      </w:r>
      <w:r w:rsidRPr="004C2440">
        <w:rPr>
          <w:lang w:val="en-US"/>
        </w:rPr>
        <w:t>The regression is run on three samples: all wage earners; job-switchers; and job-stayers.</w:t>
      </w:r>
    </w:p>
    <w:p w14:paraId="09075612" w14:textId="77777777" w:rsidR="004C2440" w:rsidRDefault="004C2440" w:rsidP="0035498A">
      <w:pPr>
        <w:pStyle w:val="ChartorTableNote"/>
        <w:rPr>
          <w:lang w:val="en-US"/>
        </w:rPr>
      </w:pPr>
      <w:r w:rsidRPr="004C2440">
        <w:rPr>
          <w:lang w:val="en-US"/>
        </w:rPr>
        <w:t>Source:  Treasury analysis of de-identified tax data.</w:t>
      </w:r>
    </w:p>
    <w:p w14:paraId="797DB77E" w14:textId="77777777" w:rsidR="0035498A" w:rsidRPr="0035498A" w:rsidRDefault="0035498A" w:rsidP="0035498A">
      <w:pPr>
        <w:pStyle w:val="SingleParagraph"/>
        <w:rPr>
          <w:lang w:val="en-US" w:eastAsia="en-AU"/>
        </w:rPr>
      </w:pPr>
    </w:p>
    <w:p w14:paraId="66F55D80" w14:textId="77777777" w:rsidR="00F861BF" w:rsidRPr="00055864" w:rsidRDefault="00F861BF" w:rsidP="00055864">
      <w:pPr>
        <w:spacing w:after="0"/>
        <w:jc w:val="center"/>
        <w:rPr>
          <w:sz w:val="2"/>
          <w:szCs w:val="2"/>
        </w:rPr>
      </w:pPr>
    </w:p>
    <w:p w14:paraId="6E10D3BC" w14:textId="77777777" w:rsidR="0025653A" w:rsidRDefault="0025653A" w:rsidP="0025653A">
      <w:pPr>
        <w:spacing w:after="200"/>
        <w:jc w:val="both"/>
        <w:rPr>
          <w:lang w:val="en-US" w:eastAsia="en-AU"/>
        </w:rPr>
      </w:pPr>
      <w:r>
        <w:rPr>
          <w:lang w:val="en-US" w:eastAsia="en-AU"/>
        </w:rPr>
        <w:t>The results of this exercise suggest that labour market fluidity may be an important factor in the evolution of wages – benefitting not just those who switch but those who choose to stay in their job.  Given the trend decline in labour switching rates has been coincident with the unexplained weakness in wages, it seems likely that the two are related. Moreover, to the extent that lower job switching rates imply fewer outside options for workers,</w:t>
      </w:r>
      <w:r w:rsidR="00011037">
        <w:rPr>
          <w:lang w:val="en-US" w:eastAsia="en-AU"/>
        </w:rPr>
        <w:t xml:space="preserve"> or reflect declines in workers’ sense of </w:t>
      </w:r>
      <w:r w:rsidR="00FA5309">
        <w:rPr>
          <w:lang w:val="en-US" w:eastAsia="en-AU"/>
        </w:rPr>
        <w:t>security</w:t>
      </w:r>
      <w:r w:rsidR="00011037">
        <w:rPr>
          <w:lang w:val="en-US" w:eastAsia="en-AU"/>
        </w:rPr>
        <w:t xml:space="preserve"> more generally,</w:t>
      </w:r>
      <w:r>
        <w:rPr>
          <w:lang w:val="en-US" w:eastAsia="en-AU"/>
        </w:rPr>
        <w:t xml:space="preserve"> it could help to explain the modest </w:t>
      </w:r>
      <w:r w:rsidR="00192398">
        <w:rPr>
          <w:lang w:val="en-US" w:eastAsia="en-AU"/>
        </w:rPr>
        <w:t>decline in rent-sharing</w:t>
      </w:r>
      <w:r>
        <w:rPr>
          <w:lang w:val="en-US" w:eastAsia="en-AU"/>
        </w:rPr>
        <w:t xml:space="preserve">. </w:t>
      </w:r>
    </w:p>
    <w:p w14:paraId="1697C424" w14:textId="3CA1D119" w:rsidR="0025653A" w:rsidRDefault="0025653A" w:rsidP="0025653A">
      <w:pPr>
        <w:spacing w:after="120"/>
        <w:jc w:val="both"/>
        <w:rPr>
          <w:lang w:val="en-US" w:eastAsia="en-AU"/>
        </w:rPr>
      </w:pPr>
      <w:r>
        <w:rPr>
          <w:lang w:val="en-US" w:eastAsia="en-AU"/>
        </w:rPr>
        <w:t xml:space="preserve">As with the majority of this paper’s analysis, these findings rely on rich underlying microdata following workers and firms over time. A logical next step would be to directly examine whether the </w:t>
      </w:r>
      <w:r w:rsidR="003B2681">
        <w:rPr>
          <w:lang w:val="en-US" w:eastAsia="en-AU"/>
        </w:rPr>
        <w:t>decline in rent</w:t>
      </w:r>
      <w:r w:rsidR="003B2681">
        <w:rPr>
          <w:lang w:val="en-US" w:eastAsia="en-AU"/>
        </w:rPr>
        <w:noBreakHyphen/>
      </w:r>
      <w:r w:rsidR="00192398">
        <w:rPr>
          <w:lang w:val="en-US" w:eastAsia="en-AU"/>
        </w:rPr>
        <w:t>sharing</w:t>
      </w:r>
      <w:r>
        <w:rPr>
          <w:lang w:val="en-US" w:eastAsia="en-AU"/>
        </w:rPr>
        <w:t xml:space="preserve"> was more pronounced in local labour markets where job switching declined more. As more comprehensive and finely-grained data become available, further light will be able to be shone on the role of job switching on productivity, and on individual careers and wages. </w:t>
      </w:r>
      <w:r w:rsidR="00C53585">
        <w:rPr>
          <w:lang w:val="en-US" w:eastAsia="en-AU"/>
        </w:rPr>
        <w:t>S</w:t>
      </w:r>
      <w:r>
        <w:rPr>
          <w:lang w:val="en-US" w:eastAsia="en-AU"/>
        </w:rPr>
        <w:t>uch data will</w:t>
      </w:r>
      <w:r w:rsidR="00C53585">
        <w:rPr>
          <w:lang w:val="en-US" w:eastAsia="en-AU"/>
        </w:rPr>
        <w:t xml:space="preserve"> also</w:t>
      </w:r>
      <w:r>
        <w:rPr>
          <w:lang w:val="en-US" w:eastAsia="en-AU"/>
        </w:rPr>
        <w:t xml:space="preserve"> help to identify the underlying causes of the decline in job switching rates.</w:t>
      </w:r>
    </w:p>
    <w:p w14:paraId="574C61D5" w14:textId="77777777" w:rsidR="00055864" w:rsidRPr="001B5435" w:rsidRDefault="00055864" w:rsidP="00055864">
      <w:pPr>
        <w:pStyle w:val="Heading3"/>
      </w:pPr>
      <w:r>
        <w:t>4</w:t>
      </w:r>
      <w:r w:rsidR="0005200B">
        <w:t>.</w:t>
      </w:r>
      <w:r w:rsidR="00011037">
        <w:t>3</w:t>
      </w:r>
      <w:r w:rsidRPr="00C927A8">
        <w:t xml:space="preserve"> </w:t>
      </w:r>
      <w:r>
        <w:t>Uneven technology diffusion</w:t>
      </w:r>
    </w:p>
    <w:p w14:paraId="28521088" w14:textId="3C4F4B7C" w:rsidR="00B14D2D" w:rsidRDefault="00B14D2D" w:rsidP="00AE5412">
      <w:pPr>
        <w:jc w:val="both"/>
      </w:pPr>
      <w:r>
        <w:t>Another factor that could be contributing to weak wage growth in Australia is an increasingly uneven diffusion of technology that leads to a growing divergence between the productivity of ‘leaders’ and ‘laggards’. A growing divergence in productivity outcomes is likely to be associated with a growing divergence between the wages paid by high and low productivity firms, and therefore increasing wage inequality, particularly if the technologies requ</w:t>
      </w:r>
      <w:r w:rsidR="003B2681">
        <w:t>ire highly skilled workers (for example,</w:t>
      </w:r>
      <w:r>
        <w:t xml:space="preserve"> </w:t>
      </w:r>
      <w:r w:rsidRPr="00F51A74">
        <w:t>Caselli 1999</w:t>
      </w:r>
      <w:r>
        <w:t>).</w:t>
      </w:r>
    </w:p>
    <w:p w14:paraId="6F50F750" w14:textId="77777777" w:rsidR="00B14D2D" w:rsidRDefault="00B14D2D" w:rsidP="00AE5412">
      <w:pPr>
        <w:jc w:val="both"/>
      </w:pPr>
      <w:r>
        <w:lastRenderedPageBreak/>
        <w:t>As well as leading to greater wage inequality, these dynamics cou</w:t>
      </w:r>
      <w:r w:rsidR="00154411">
        <w:t>ld also weigh on aggregate wage</w:t>
      </w:r>
      <w:r>
        <w:t xml:space="preserve"> growth, </w:t>
      </w:r>
      <w:r w:rsidR="00FA5309">
        <w:t xml:space="preserve">as </w:t>
      </w:r>
      <w:r>
        <w:t xml:space="preserve">discussed in Weir (2018) and Lowe (2018). In order to compete less productive firms will need to try to cut costs, and might do </w:t>
      </w:r>
      <w:r w:rsidR="00FA5309">
        <w:t>so</w:t>
      </w:r>
      <w:r>
        <w:t xml:space="preserve"> by paying lower wages. This would place down</w:t>
      </w:r>
      <w:r w:rsidR="00DE443A">
        <w:t>ward pressure on aggregate wage</w:t>
      </w:r>
      <w:r>
        <w:t xml:space="preserve"> growth, and would lead to a further divergence between the wages paid by high and low productivity firms, beyond what would be implied by the differing marginal productivities of labour at these firms.</w:t>
      </w:r>
      <w:r w:rsidR="00985C48">
        <w:t xml:space="preserve"> As this might make the wages of low productivity firms less responsive to productivity changes, it could also help to explain the </w:t>
      </w:r>
      <w:r w:rsidR="00192398">
        <w:t>decline in rent-sharing</w:t>
      </w:r>
      <w:r w:rsidR="00985C48">
        <w:t>.</w:t>
      </w:r>
    </w:p>
    <w:p w14:paraId="102CA3F6" w14:textId="0AE677F5" w:rsidR="00B14D2D" w:rsidRDefault="00B14D2D" w:rsidP="00AE5412">
      <w:pPr>
        <w:jc w:val="both"/>
      </w:pPr>
      <w:r>
        <w:t xml:space="preserve">There is some tentative evidence for such dynamics overseas. For example, a number of papers have documented a growing gap between the productivity of leader and laggard firms, such as Andrews </w:t>
      </w:r>
      <w:r w:rsidRPr="00013813">
        <w:t>et al</w:t>
      </w:r>
      <w:r>
        <w:rPr>
          <w:i/>
        </w:rPr>
        <w:t xml:space="preserve"> </w:t>
      </w:r>
      <w:r>
        <w:t>(2015</w:t>
      </w:r>
      <w:r w:rsidR="002441DB">
        <w:t>,</w:t>
      </w:r>
      <w:r w:rsidR="00FA5309">
        <w:t xml:space="preserve"> 2016</w:t>
      </w:r>
      <w:r>
        <w:t xml:space="preserve">) for a range of OECD countries, and </w:t>
      </w:r>
      <w:r w:rsidRPr="00F51A74">
        <w:t>Haldane (2018)</w:t>
      </w:r>
      <w:r>
        <w:t xml:space="preserve"> for the U</w:t>
      </w:r>
      <w:r w:rsidR="00C53585">
        <w:t xml:space="preserve">nited </w:t>
      </w:r>
      <w:r>
        <w:t>K</w:t>
      </w:r>
      <w:r w:rsidR="00C53585">
        <w:t>ingdom</w:t>
      </w:r>
      <w:r>
        <w:t>. A number of papers have also documented that the dispersion of wages paid by firms has increased over time (</w:t>
      </w:r>
      <w:r w:rsidR="003B2681">
        <w:t>for example,</w:t>
      </w:r>
      <w:r>
        <w:t xml:space="preserve"> </w:t>
      </w:r>
      <w:r w:rsidRPr="00F51A74">
        <w:t>Card, Heining and Kilne 2013</w:t>
      </w:r>
      <w:r>
        <w:t xml:space="preserve">; </w:t>
      </w:r>
      <w:r w:rsidRPr="00F51A74">
        <w:t>Song et al 2019</w:t>
      </w:r>
      <w:r>
        <w:t xml:space="preserve">). Moreover, </w:t>
      </w:r>
      <w:r w:rsidRPr="00F51A74">
        <w:t>Berlinegieri, Blanchenay and Cri</w:t>
      </w:r>
      <w:r w:rsidR="00AE5412" w:rsidRPr="00F51A74">
        <w:t>s</w:t>
      </w:r>
      <w:r w:rsidRPr="00F51A74">
        <w:t>cuolo (2017)</w:t>
      </w:r>
      <w:r>
        <w:t xml:space="preserve"> find some evidence that the relationship between productivity and wages is weaker for low productivity firms, and that much of the increase in the dispersion of wages between firms reflects weakness in wage growth for firms at the bottom of the wages distribution. Both of these finding are consistent with low productivity firms having to lower wages to compete with their highly productive competitors.</w:t>
      </w:r>
    </w:p>
    <w:p w14:paraId="1B9ADD6D" w14:textId="6F845EDD" w:rsidR="00B14D2D" w:rsidRDefault="00B14D2D" w:rsidP="00AE5412">
      <w:pPr>
        <w:jc w:val="both"/>
      </w:pPr>
      <w:r>
        <w:t xml:space="preserve">However, the evidence for Australia is far less compelling. In particular, there is </w:t>
      </w:r>
      <w:r w:rsidR="00C1268D">
        <w:t xml:space="preserve">little </w:t>
      </w:r>
      <w:r>
        <w:t>evidence of</w:t>
      </w:r>
      <w:r w:rsidR="00FA5309">
        <w:t xml:space="preserve"> rising productivity dispersion in general, or </w:t>
      </w:r>
      <w:r>
        <w:t xml:space="preserve">a growing divergence between the productivity of leaders and laggards in Australia. This is evident in Figure </w:t>
      </w:r>
      <w:r w:rsidR="00A314E7">
        <w:t>7</w:t>
      </w:r>
      <w:r w:rsidR="006F4473">
        <w:t xml:space="preserve"> Panel A</w:t>
      </w:r>
      <w:r>
        <w:t xml:space="preserve">, which is constructed by calculating the ratio of value-added labour productivity for firms at the top of the industry productivity distribution to all other firms in </w:t>
      </w:r>
      <w:r w:rsidR="00DE443A">
        <w:t>an</w:t>
      </w:r>
      <w:r>
        <w:t xml:space="preserve"> industry, and then taking the median across industries.</w:t>
      </w:r>
      <w:r>
        <w:rPr>
          <w:rStyle w:val="FootnoteReference"/>
        </w:rPr>
        <w:footnoteReference w:id="18"/>
      </w:r>
      <w:r>
        <w:t xml:space="preserve"> </w:t>
      </w:r>
      <w:r w:rsidR="00FA5309">
        <w:t>These findings are</w:t>
      </w:r>
      <w:r>
        <w:t xml:space="preserve"> consistent with the findings in </w:t>
      </w:r>
      <w:r w:rsidRPr="00F51A74">
        <w:t>Treasury (2017)</w:t>
      </w:r>
      <w:r>
        <w:t xml:space="preserve"> and </w:t>
      </w:r>
      <w:r w:rsidRPr="00F51A74">
        <w:t>Campbell et al (2019)</w:t>
      </w:r>
      <w:r>
        <w:t xml:space="preserve"> and </w:t>
      </w:r>
      <w:r w:rsidR="00FA5309">
        <w:t>are</w:t>
      </w:r>
      <w:r>
        <w:t xml:space="preserve"> robust to different industry definitions, weighting and trimming rules, divergence measures, </w:t>
      </w:r>
      <w:r w:rsidR="00742BC1">
        <w:t xml:space="preserve">to focusing on the top 5 percentile instead of the top 10 percentile, </w:t>
      </w:r>
      <w:r>
        <w:t>and to using estimates of multi-factor productivity.</w:t>
      </w:r>
    </w:p>
    <w:p w14:paraId="1F2D55E6" w14:textId="0B20C3E1" w:rsidR="00B14D2D" w:rsidRDefault="00B14D2D" w:rsidP="00AE5412">
      <w:pPr>
        <w:jc w:val="both"/>
      </w:pPr>
      <w:r>
        <w:t xml:space="preserve">There is also </w:t>
      </w:r>
      <w:r w:rsidR="00C1268D">
        <w:t xml:space="preserve">little </w:t>
      </w:r>
      <w:r>
        <w:t xml:space="preserve">evidence of a growing divergence between wages paid by firms at the top and bottom of the productivity distribution. Despite some volatility, the ratio of wages paid by the most productive firms to those paid by other firms has been broadly stable over the sample (Figure </w:t>
      </w:r>
      <w:r w:rsidR="00A314E7">
        <w:t>7</w:t>
      </w:r>
      <w:r w:rsidR="00CF5DB8">
        <w:t>, P</w:t>
      </w:r>
      <w:r>
        <w:t>anel</w:t>
      </w:r>
      <w:r w:rsidR="00CF5DB8">
        <w:t xml:space="preserve"> B</w:t>
      </w:r>
      <w:r>
        <w:t>).</w:t>
      </w:r>
      <w:r>
        <w:rPr>
          <w:rStyle w:val="FootnoteReference"/>
        </w:rPr>
        <w:footnoteReference w:id="19"/>
      </w:r>
      <w:r>
        <w:t xml:space="preserve"> </w:t>
      </w:r>
    </w:p>
    <w:p w14:paraId="29450DFB" w14:textId="77777777" w:rsidR="00B14D2D" w:rsidRDefault="00B14D2D" w:rsidP="00B60DC7">
      <w:pPr>
        <w:pStyle w:val="FigureHeading"/>
        <w:keepLines/>
      </w:pPr>
      <w:r>
        <w:lastRenderedPageBreak/>
        <w:t xml:space="preserve">Figure </w:t>
      </w:r>
      <w:r w:rsidR="00A314E7">
        <w:t>7</w:t>
      </w:r>
      <w:r>
        <w:t>: Key components of technology diffusion-based explanations</w:t>
      </w: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187"/>
      </w:tblGrid>
      <w:tr w:rsidR="00B14D2D" w14:paraId="0AE038D4" w14:textId="77777777" w:rsidTr="00F63837">
        <w:tc>
          <w:tcPr>
            <w:tcW w:w="5020" w:type="dxa"/>
          </w:tcPr>
          <w:p w14:paraId="59361D37" w14:textId="4E9B24FD" w:rsidR="00B14D2D" w:rsidRDefault="00B14D2D" w:rsidP="00B60DC7">
            <w:pPr>
              <w:pStyle w:val="FigureSecondHeading"/>
              <w:keepLines/>
              <w:spacing w:after="0"/>
            </w:pPr>
            <w:r w:rsidRPr="00CF5DB8">
              <w:t xml:space="preserve">Panel A: </w:t>
            </w:r>
            <w:r w:rsidR="000A5C8B">
              <w:t>Ratio of productivity for most productive firms to all other firms has not risen</w:t>
            </w:r>
            <w:r w:rsidR="00F134A0">
              <w:br/>
            </w:r>
            <w:r w:rsidR="007C455A">
              <w:rPr>
                <w:noProof/>
              </w:rPr>
              <w:object w:dxaOrig="4525" w:dyaOrig="4525" w14:anchorId="30E6CCA9">
                <v:shape id="_x0000_i1034" type="#_x0000_t75" style="width:226.1pt;height:226.1pt" o:ole="">
                  <v:imagedata r:id="rId42" o:title=""/>
                </v:shape>
                <o:OLEObject Type="Link" ProgID="Excel.Sheet.12" ShapeID="_x0000_i1034" DrawAspect="Content" r:id="rId43" UpdateMode="Always">
                  <o:LinkType>EnhancedMetaFile</o:LinkType>
                  <o:LockedField>false</o:LockedField>
                </o:OLEObject>
              </w:object>
            </w:r>
          </w:p>
        </w:tc>
        <w:tc>
          <w:tcPr>
            <w:tcW w:w="5187" w:type="dxa"/>
          </w:tcPr>
          <w:p w14:paraId="0C0BA851" w14:textId="77777777" w:rsidR="00B14D2D" w:rsidRPr="00CF5DB8" w:rsidRDefault="00B14D2D" w:rsidP="00B60DC7">
            <w:pPr>
              <w:pStyle w:val="FigureSecondHeading"/>
              <w:keepLines/>
              <w:spacing w:after="0"/>
            </w:pPr>
            <w:r w:rsidRPr="00CF5DB8">
              <w:t xml:space="preserve">Panel B: </w:t>
            </w:r>
            <w:r w:rsidR="00CF5DB8">
              <w:t>Ratio of wages paid by most productive firms to all other firms</w:t>
            </w:r>
            <w:r w:rsidR="000A5C8B">
              <w:t xml:space="preserve"> has not risen</w:t>
            </w:r>
          </w:p>
          <w:p w14:paraId="3644DD07" w14:textId="51B81284" w:rsidR="00B14D2D" w:rsidRDefault="008C5CB9" w:rsidP="00B60DC7">
            <w:pPr>
              <w:pStyle w:val="ChartGraphic"/>
              <w:keepLines/>
            </w:pPr>
            <w:r>
              <w:rPr>
                <w:noProof/>
              </w:rPr>
              <w:object w:dxaOrig="4525" w:dyaOrig="4525" w14:anchorId="2B23E54A">
                <v:shape id="_x0000_i1035" type="#_x0000_t75" style="width:226.1pt;height:226.1pt" o:ole="">
                  <v:imagedata r:id="rId44" o:title=""/>
                </v:shape>
                <o:OLEObject Type="Link" ProgID="Excel.Sheet.12" ShapeID="_x0000_i1035" DrawAspect="Content" r:id="rId45" UpdateMode="Always">
                  <o:LinkType>EnhancedMetaFile</o:LinkType>
                  <o:LockedField/>
                </o:OLEObject>
              </w:object>
            </w:r>
          </w:p>
        </w:tc>
      </w:tr>
    </w:tbl>
    <w:p w14:paraId="56F0C3FA" w14:textId="77777777" w:rsidR="00B14D2D" w:rsidRDefault="00B14D2D" w:rsidP="00B60DC7">
      <w:pPr>
        <w:pStyle w:val="ChartorTableNote"/>
        <w:keepNext/>
        <w:keepLines/>
        <w:spacing w:before="20"/>
      </w:pPr>
      <w:r w:rsidRPr="0035420F">
        <w:t>Notes:</w:t>
      </w:r>
      <w:r w:rsidR="000A5C8B">
        <w:t xml:space="preserve"> Ratios calculated as average productivity or wages for top 10 percentile of firms </w:t>
      </w:r>
      <w:r w:rsidR="00742BC1">
        <w:t>in a 4-digit industry, over average for rest of industry. Goods sector includes manufacturing, construction, wholesale trade, retail trade and transport; services sector includes accommodation, information media &amp; technology, rental services &amp; real estate, professional services and administrative services. In left panel, o</w:t>
      </w:r>
      <w:r w:rsidR="00226481">
        <w:t>ne added to all firm FTE</w:t>
      </w:r>
      <w:r w:rsidR="00742BC1">
        <w:t xml:space="preserve"> to account for owner managers.</w:t>
      </w:r>
    </w:p>
    <w:p w14:paraId="6D9B390A" w14:textId="77777777" w:rsidR="00226481" w:rsidRDefault="00226481" w:rsidP="00B60DC7">
      <w:pPr>
        <w:pStyle w:val="ChartorTableNote"/>
        <w:keepNext/>
        <w:keepLines/>
      </w:pPr>
      <w:r w:rsidRPr="00356C87">
        <w:t>Source</w:t>
      </w:r>
      <w:r>
        <w:t>: ABS</w:t>
      </w:r>
      <w:r w:rsidR="006015C2">
        <w:t xml:space="preserve"> BLADE database</w:t>
      </w:r>
    </w:p>
    <w:p w14:paraId="76E8320F" w14:textId="77777777" w:rsidR="0035498A" w:rsidRPr="0035498A" w:rsidRDefault="0035498A" w:rsidP="0035498A">
      <w:pPr>
        <w:pStyle w:val="SingleParagraph"/>
        <w:rPr>
          <w:lang w:eastAsia="en-AU"/>
        </w:rPr>
      </w:pPr>
    </w:p>
    <w:p w14:paraId="44D56C59" w14:textId="77777777" w:rsidR="00B14D2D" w:rsidRDefault="00AA1428" w:rsidP="00B14D2D">
      <w:pPr>
        <w:jc w:val="both"/>
      </w:pPr>
      <w:r>
        <w:t>So far we have focused on firm-</w:t>
      </w:r>
      <w:r w:rsidR="00DE443A">
        <w:t>level data, but employee-</w:t>
      </w:r>
      <w:r w:rsidR="00B14D2D">
        <w:t xml:space="preserve">level data may provide additional insights </w:t>
      </w:r>
      <w:r>
        <w:t xml:space="preserve">as </w:t>
      </w:r>
      <w:r w:rsidR="00B14D2D">
        <w:t>we can examine individual wage outcomes, rather than</w:t>
      </w:r>
      <w:r w:rsidR="00FA5309">
        <w:t xml:space="preserve"> the</w:t>
      </w:r>
      <w:r w:rsidR="00B14D2D">
        <w:t xml:space="preserve"> firm</w:t>
      </w:r>
      <w:r w:rsidR="00FA5309">
        <w:t>s’ average wages</w:t>
      </w:r>
      <w:r w:rsidR="00B14D2D">
        <w:t xml:space="preserve">. Using our </w:t>
      </w:r>
      <w:r w:rsidR="00F263CA">
        <w:t xml:space="preserve">de-identified </w:t>
      </w:r>
      <w:r w:rsidR="00305AA0">
        <w:rPr>
          <w:color w:val="auto"/>
        </w:rPr>
        <w:t xml:space="preserve">matched firm-worker panel </w:t>
      </w:r>
      <w:r w:rsidR="00B14D2D">
        <w:t xml:space="preserve">data we follow </w:t>
      </w:r>
      <w:r w:rsidR="00B14D2D" w:rsidRPr="00F51A74">
        <w:t>Song et al (2019</w:t>
      </w:r>
      <w:r w:rsidR="00B14D2D">
        <w:t xml:space="preserve">) and decompose the total variation in individuals’ wages into two components: a </w:t>
      </w:r>
      <w:r w:rsidR="006F4473">
        <w:t xml:space="preserve">between-firm </w:t>
      </w:r>
      <w:r w:rsidR="00B14D2D">
        <w:t xml:space="preserve">component that captures variation in average wages across firms; and a </w:t>
      </w:r>
      <w:r w:rsidR="006F4473">
        <w:t xml:space="preserve">within-firm </w:t>
      </w:r>
      <w:r w:rsidR="00B14D2D">
        <w:t>component that captures variation in individuals’ wages within firms</w:t>
      </w:r>
      <w:r w:rsidR="00723AB4">
        <w:t xml:space="preserve"> (see Box 1)</w:t>
      </w:r>
      <w:r w:rsidR="00B14D2D">
        <w:t>. If uneven technology diffusion was important, we would expect to see a substantial increase in the between</w:t>
      </w:r>
      <w:r w:rsidR="00DE443A">
        <w:t>-</w:t>
      </w:r>
      <w:r w:rsidR="00B14D2D">
        <w:t xml:space="preserve">firm component. While there has been some increase, it has been fairly small at only around 0.03 log points, and has only accounted for around half of the overall increase in wage dispersion (Figure </w:t>
      </w:r>
      <w:r w:rsidR="00A314E7">
        <w:t>8</w:t>
      </w:r>
      <w:r w:rsidR="00B14D2D">
        <w:t xml:space="preserve">). In contrast, </w:t>
      </w:r>
      <w:r w:rsidR="00DE443A">
        <w:t xml:space="preserve">in the US </w:t>
      </w:r>
      <w:r w:rsidR="00B14D2D">
        <w:t xml:space="preserve">over the same sample the between component increased by around 0.1 log points, and accounted for the </w:t>
      </w:r>
      <w:r w:rsidR="00B6524B">
        <w:t>majority</w:t>
      </w:r>
      <w:r w:rsidR="00B14D2D">
        <w:t xml:space="preserve"> increase wage dispersion over the sample (</w:t>
      </w:r>
      <w:r w:rsidR="00B14D2D" w:rsidRPr="00F51A74">
        <w:t>Song et al 2019</w:t>
      </w:r>
      <w:r w:rsidR="00B14D2D">
        <w:t>).</w:t>
      </w:r>
    </w:p>
    <w:p w14:paraId="4AAA78C2" w14:textId="77777777" w:rsidR="00B14D2D" w:rsidRDefault="00B14D2D" w:rsidP="00B60DC7">
      <w:pPr>
        <w:pStyle w:val="FigureHeading"/>
        <w:keepLines/>
      </w:pPr>
      <w:r>
        <w:lastRenderedPageBreak/>
        <w:t xml:space="preserve">Figure </w:t>
      </w:r>
      <w:r w:rsidR="00A314E7">
        <w:t>8</w:t>
      </w:r>
      <w:r>
        <w:t>: Decomposing wage dispersion</w:t>
      </w:r>
    </w:p>
    <w:p w14:paraId="08E78FEF" w14:textId="0DD6ED0D" w:rsidR="00B14D2D" w:rsidRDefault="008C5CB9" w:rsidP="00B60DC7">
      <w:pPr>
        <w:pStyle w:val="ChartGraphic"/>
        <w:keepLines/>
      </w:pPr>
      <w:r>
        <w:object w:dxaOrig="8775" w:dyaOrig="4516" w14:anchorId="36C710A9">
          <v:shape id="_x0000_i1036" type="#_x0000_t75" style="width:439.4pt;height:226.1pt" o:ole="">
            <v:imagedata r:id="rId46" o:title=""/>
          </v:shape>
          <o:OLEObject Type="Link" ProgID="Excel.Sheet.12" ShapeID="_x0000_i1036" DrawAspect="Content" r:id="rId47" UpdateMode="Always">
            <o:LinkType>EnhancedMetaFile</o:LinkType>
            <o:LockedField/>
          </o:OLEObject>
        </w:object>
      </w:r>
    </w:p>
    <w:p w14:paraId="3689750E" w14:textId="77777777" w:rsidR="0035420F" w:rsidRDefault="0035420F" w:rsidP="00B60DC7">
      <w:pPr>
        <w:pStyle w:val="ChartorTableNote"/>
        <w:keepLines/>
      </w:pPr>
      <w:r w:rsidRPr="0035420F">
        <w:t>Notes:</w:t>
      </w:r>
      <w:r w:rsidR="006015C2">
        <w:t xml:space="preserve"> See Box 1</w:t>
      </w:r>
    </w:p>
    <w:p w14:paraId="525C5A86" w14:textId="0FA267D1" w:rsidR="006015C2" w:rsidRDefault="006015C2" w:rsidP="00B60DC7">
      <w:pPr>
        <w:pStyle w:val="ChartorTableNote"/>
        <w:keepLines/>
      </w:pPr>
      <w:r>
        <w:t>Source: Treasury analysis of de-identified tax data.</w:t>
      </w:r>
    </w:p>
    <w:p w14:paraId="64757BCA" w14:textId="77777777" w:rsidR="00B60DC7" w:rsidRPr="00B60DC7" w:rsidRDefault="00B60DC7" w:rsidP="00B60DC7">
      <w:pPr>
        <w:rPr>
          <w:lang w:eastAsia="en-AU"/>
        </w:rPr>
      </w:pPr>
    </w:p>
    <w:tbl>
      <w:tblPr>
        <w:tblStyle w:val="TableGrid"/>
        <w:tblW w:w="0" w:type="auto"/>
        <w:tblBorders>
          <w:top w:val="single" w:sz="4" w:space="0" w:color="002B54" w:themeColor="accent1"/>
          <w:left w:val="single" w:sz="4" w:space="0" w:color="002B54" w:themeColor="accent1"/>
          <w:bottom w:val="single" w:sz="4" w:space="0" w:color="002B54" w:themeColor="accent1"/>
          <w:right w:val="single" w:sz="4" w:space="0" w:color="002B54" w:themeColor="accent1"/>
          <w:insideH w:val="none" w:sz="0" w:space="0" w:color="auto"/>
          <w:insideV w:val="none" w:sz="0" w:space="0" w:color="auto"/>
        </w:tblBorders>
        <w:tblLook w:val="04A0" w:firstRow="1" w:lastRow="0" w:firstColumn="1" w:lastColumn="0" w:noHBand="0" w:noVBand="1"/>
      </w:tblPr>
      <w:tblGrid>
        <w:gridCol w:w="9288"/>
      </w:tblGrid>
      <w:tr w:rsidR="00723AB4" w14:paraId="67A6C10D" w14:textId="77777777" w:rsidTr="00F11BE9">
        <w:tc>
          <w:tcPr>
            <w:tcW w:w="9514" w:type="dxa"/>
          </w:tcPr>
          <w:p w14:paraId="3C09A89D" w14:textId="77777777" w:rsidR="00723AB4" w:rsidRPr="00723AB4" w:rsidRDefault="00723AB4" w:rsidP="00B60DC7">
            <w:pPr>
              <w:pStyle w:val="BoxHeading"/>
              <w:keepNext w:val="0"/>
              <w:jc w:val="center"/>
            </w:pPr>
            <w:r w:rsidRPr="00723AB4">
              <w:t>Box 1: Wage Variance Decomposition</w:t>
            </w:r>
          </w:p>
          <w:p w14:paraId="59965205" w14:textId="77777777" w:rsidR="00723AB4" w:rsidRDefault="00723AB4" w:rsidP="00B60DC7">
            <w:r>
              <w:t>In order to compare Australian and US trends in earnings equality, we adopt the approach of Song et al (201</w:t>
            </w:r>
            <w:r w:rsidR="00DE443A">
              <w:t>9</w:t>
            </w:r>
            <w:r>
              <w:t xml:space="preserve">) and decompose the cross-sectional variance of log earnings into within and between components. That is, we let </w:t>
            </w:r>
            <m:oMath>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i,j</m:t>
                  </m:r>
                </m:sup>
              </m:sSubSup>
            </m:oMath>
            <w:r w:rsidR="00DE443A">
              <w:t xml:space="preserve"> be log wages of employee i</w:t>
            </w:r>
            <w:r>
              <w:t xml:space="preserve"> at firm j in period t. Thus, </w:t>
            </w:r>
          </w:p>
          <w:p w14:paraId="76D5727D" w14:textId="77777777" w:rsidR="00723AB4" w:rsidRDefault="007776AC" w:rsidP="00B60DC7">
            <w:pPr>
              <w:ind w:firstLine="720"/>
            </w:pPr>
            <m:oMath>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i,j</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w</m:t>
                      </m:r>
                    </m:e>
                  </m:acc>
                </m:e>
                <m:sub>
                  <m:r>
                    <w:rPr>
                      <w:rFonts w:ascii="Cambria Math" w:hAnsi="Cambria Math"/>
                    </w:rPr>
                    <m:t>t</m:t>
                  </m:r>
                </m:sub>
                <m:sup>
                  <m:r>
                    <w:rPr>
                      <w:rFonts w:ascii="Cambria Math" w:hAnsi="Cambria Math"/>
                    </w:rPr>
                    <m:t>j</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i,j</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w</m:t>
                          </m:r>
                        </m:e>
                      </m:acc>
                    </m:e>
                    <m:sub>
                      <m:r>
                        <w:rPr>
                          <w:rFonts w:ascii="Cambria Math" w:hAnsi="Cambria Math"/>
                        </w:rPr>
                        <m:t>t</m:t>
                      </m:r>
                    </m:sub>
                    <m:sup>
                      <m:r>
                        <w:rPr>
                          <w:rFonts w:ascii="Cambria Math" w:hAnsi="Cambria Math"/>
                        </w:rPr>
                        <m:t>j</m:t>
                      </m:r>
                    </m:sup>
                  </m:sSubSup>
                </m:e>
              </m:d>
            </m:oMath>
            <w:r w:rsidR="00723AB4">
              <w:t xml:space="preserve"> </w:t>
            </w:r>
          </w:p>
          <w:p w14:paraId="75961C18" w14:textId="77777777" w:rsidR="00723AB4" w:rsidRDefault="00723AB4" w:rsidP="00B60DC7">
            <w:pPr>
              <w:rPr>
                <w:rFonts w:eastAsiaTheme="minorEastAsia"/>
              </w:rPr>
            </w:pPr>
            <w:r>
              <w:t xml:space="preserve">Where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w</m:t>
                      </m:r>
                    </m:e>
                  </m:acc>
                </m:e>
                <m:sub>
                  <m:r>
                    <w:rPr>
                      <w:rFonts w:ascii="Cambria Math" w:hAnsi="Cambria Math"/>
                    </w:rPr>
                    <m:t>t</m:t>
                  </m:r>
                </m:sub>
                <m:sup>
                  <m:r>
                    <w:rPr>
                      <w:rFonts w:ascii="Cambria Math" w:hAnsi="Cambria Math"/>
                    </w:rPr>
                    <m:t>j</m:t>
                  </m:r>
                </m:sup>
              </m:sSubSup>
            </m:oMath>
            <w:r>
              <w:rPr>
                <w:rFonts w:eastAsiaTheme="minorEastAsia"/>
              </w:rPr>
              <w:t xml:space="preserve"> is the mean wage in firm j and so</w:t>
            </w:r>
          </w:p>
          <w:p w14:paraId="1AC0BA22" w14:textId="77777777" w:rsidR="00723AB4" w:rsidRPr="00DD5578" w:rsidRDefault="00723AB4" w:rsidP="00B60DC7">
            <w:pPr>
              <w:ind w:left="720" w:firstLine="720"/>
              <w:rPr>
                <w:rFonts w:eastAsiaTheme="minorEastAsia"/>
              </w:rPr>
            </w:pPr>
            <m:oMathPara>
              <m:oMathParaPr>
                <m:jc m:val="left"/>
              </m:oMathParaPr>
              <m:oMath>
                <m:r>
                  <w:rPr>
                    <w:rFonts w:ascii="Cambria Math" w:hAnsi="Cambria Math"/>
                  </w:rPr>
                  <m:t>var</m:t>
                </m:r>
                <m:d>
                  <m:dPr>
                    <m:ctrlPr>
                      <w:rPr>
                        <w:rFonts w:ascii="Cambria Math" w:hAnsi="Cambria Math"/>
                        <w:i/>
                      </w:rPr>
                    </m:ctrlPr>
                  </m:dPr>
                  <m:e>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i,j</m:t>
                        </m:r>
                      </m:sup>
                    </m:sSubSup>
                  </m:e>
                </m:d>
                <m:r>
                  <w:rPr>
                    <w:rFonts w:ascii="Cambria Math" w:hAnsi="Cambria Math"/>
                  </w:rPr>
                  <m:t>=var</m:t>
                </m:r>
                <m:d>
                  <m:dPr>
                    <m:ctrlPr>
                      <w:rPr>
                        <w:rFonts w:ascii="Cambria Math" w:hAnsi="Cambria Math"/>
                        <w:i/>
                      </w:rPr>
                    </m:ctrlPr>
                  </m:d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w</m:t>
                            </m:r>
                          </m:e>
                        </m:acc>
                      </m:e>
                      <m:sub>
                        <m:r>
                          <w:rPr>
                            <w:rFonts w:ascii="Cambria Math" w:hAnsi="Cambria Math"/>
                          </w:rPr>
                          <m:t>t</m:t>
                        </m:r>
                      </m:sub>
                      <m:sup>
                        <m:r>
                          <w:rPr>
                            <w:rFonts w:ascii="Cambria Math" w:hAnsi="Cambria Math"/>
                          </w:rPr>
                          <m:t>j</m:t>
                        </m:r>
                      </m:sup>
                    </m:sSubSup>
                  </m:e>
                </m:d>
                <m:r>
                  <w:rPr>
                    <w:rFonts w:ascii="Cambria Math" w:hAnsi="Cambria Math"/>
                  </w:rPr>
                  <m:t>+var</m:t>
                </m:r>
                <m:d>
                  <m:dPr>
                    <m:endChr m:val="|"/>
                    <m:ctrlPr>
                      <w:rPr>
                        <w:rFonts w:ascii="Cambria Math" w:hAnsi="Cambria Math"/>
                        <w:i/>
                      </w:rPr>
                    </m:ctrlPr>
                  </m:dPr>
                  <m:e>
                    <m:sSubSup>
                      <m:sSubSupPr>
                        <m:ctrlPr>
                          <w:rPr>
                            <w:rFonts w:ascii="Cambria Math" w:hAnsi="Cambria Math"/>
                            <w:i/>
                          </w:rPr>
                        </m:ctrlPr>
                      </m:sSubSupPr>
                      <m:e>
                        <m:r>
                          <w:rPr>
                            <w:rFonts w:ascii="Cambria Math" w:hAnsi="Cambria Math"/>
                          </w:rPr>
                          <m:t>w</m:t>
                        </m:r>
                      </m:e>
                      <m:sub>
                        <m:r>
                          <w:rPr>
                            <w:rFonts w:ascii="Cambria Math" w:hAnsi="Cambria Math"/>
                          </w:rPr>
                          <m:t>t</m:t>
                        </m:r>
                      </m:sub>
                      <m:sup>
                        <m:r>
                          <w:rPr>
                            <w:rFonts w:ascii="Cambria Math" w:hAnsi="Cambria Math"/>
                          </w:rPr>
                          <m:t>i,j</m:t>
                        </m:r>
                      </m:sup>
                    </m:sSubSup>
                  </m:e>
                </m:d>
                <m:r>
                  <w:rPr>
                    <w:rFonts w:ascii="Cambria Math" w:hAnsi="Cambria Math"/>
                  </w:rPr>
                  <m:t>i∈j)</m:t>
                </m:r>
              </m:oMath>
            </m:oMathPara>
          </w:p>
          <w:p w14:paraId="6EB1761A" w14:textId="77777777" w:rsidR="00723AB4" w:rsidRDefault="00DE443A" w:rsidP="00B60DC7">
            <w:pPr>
              <w:rPr>
                <w:rFonts w:eastAsiaTheme="minorEastAsia"/>
              </w:rPr>
            </w:pPr>
            <w:r>
              <w:rPr>
                <w:rFonts w:eastAsiaTheme="minorEastAsia"/>
              </w:rPr>
              <w:t>The first term on the right-</w:t>
            </w:r>
            <w:r w:rsidR="00723AB4">
              <w:rPr>
                <w:rFonts w:eastAsiaTheme="minorEastAsia"/>
              </w:rPr>
              <w:t xml:space="preserve">hand side is the </w:t>
            </w:r>
            <w:r w:rsidR="00723AB4" w:rsidRPr="005E63BE">
              <w:rPr>
                <w:rFonts w:eastAsiaTheme="minorEastAsia"/>
                <w:i/>
              </w:rPr>
              <w:t>between-firm</w:t>
            </w:r>
            <w:r w:rsidR="00723AB4">
              <w:rPr>
                <w:rFonts w:eastAsiaTheme="minorEastAsia"/>
              </w:rPr>
              <w:t xml:space="preserve"> dispersion as measured by the variance of mean firm wage</w:t>
            </w:r>
            <w:r>
              <w:rPr>
                <w:rFonts w:eastAsiaTheme="minorEastAsia"/>
              </w:rPr>
              <w:t>s. The second term on the right-</w:t>
            </w:r>
            <w:r w:rsidR="00723AB4">
              <w:rPr>
                <w:rFonts w:eastAsiaTheme="minorEastAsia"/>
              </w:rPr>
              <w:t>hand side is the within-firm dispersion term as measured by the deviation of indi</w:t>
            </w:r>
            <w:r>
              <w:rPr>
                <w:rFonts w:eastAsiaTheme="minorEastAsia"/>
              </w:rPr>
              <w:t>vidual earnings from the within-</w:t>
            </w:r>
            <w:r w:rsidR="00723AB4">
              <w:rPr>
                <w:rFonts w:eastAsiaTheme="minorEastAsia"/>
              </w:rPr>
              <w:t xml:space="preserve">firm mean. </w:t>
            </w:r>
          </w:p>
          <w:p w14:paraId="290CB5CA" w14:textId="77777777" w:rsidR="00723AB4" w:rsidRDefault="00723AB4" w:rsidP="00B60DC7">
            <w:pPr>
              <w:rPr>
                <w:sz w:val="18"/>
                <w:szCs w:val="18"/>
              </w:rPr>
            </w:pPr>
            <w:r>
              <w:rPr>
                <w:rFonts w:eastAsiaTheme="minorEastAsia"/>
              </w:rPr>
              <w:t>In order to make our estimates comparab</w:t>
            </w:r>
            <w:r w:rsidR="00DE443A">
              <w:rPr>
                <w:rFonts w:eastAsiaTheme="minorEastAsia"/>
              </w:rPr>
              <w:t>le with those of Song et al (209</w:t>
            </w:r>
            <w:r>
              <w:rPr>
                <w:rFonts w:eastAsiaTheme="minorEastAsia"/>
              </w:rPr>
              <w:t>8), we weight the within-term by each firm’s employment share and limit our sample to full-time employees</w:t>
            </w:r>
            <w:r>
              <w:rPr>
                <w:rStyle w:val="FootnoteReference"/>
                <w:rFonts w:eastAsiaTheme="minorEastAsia"/>
              </w:rPr>
              <w:footnoteReference w:id="20"/>
            </w:r>
            <w:r>
              <w:rPr>
                <w:rFonts w:eastAsiaTheme="minorEastAsia"/>
              </w:rPr>
              <w:t xml:space="preserve"> in companies with a headcount of 20 or more.</w:t>
            </w:r>
          </w:p>
        </w:tc>
      </w:tr>
    </w:tbl>
    <w:p w14:paraId="0348F22F" w14:textId="77777777" w:rsidR="00150E0C" w:rsidRPr="00150E0C" w:rsidRDefault="00150E0C" w:rsidP="00F861BF">
      <w:pPr>
        <w:pStyle w:val="Heading2"/>
      </w:pPr>
      <w:r>
        <w:t>Productivity, wages and reallocation</w:t>
      </w:r>
    </w:p>
    <w:p w14:paraId="207F9C1D" w14:textId="77777777" w:rsidR="00025DCE" w:rsidRDefault="00025DCE" w:rsidP="00B876A9">
      <w:pPr>
        <w:jc w:val="both"/>
        <w:rPr>
          <w:lang w:val="en-US" w:eastAsia="en-AU"/>
        </w:rPr>
      </w:pPr>
      <w:r>
        <w:rPr>
          <w:lang w:val="en-US" w:eastAsia="en-AU"/>
        </w:rPr>
        <w:t>Through</w:t>
      </w:r>
      <w:r w:rsidR="0098230B">
        <w:rPr>
          <w:lang w:val="en-US" w:eastAsia="en-AU"/>
        </w:rPr>
        <w:t>out</w:t>
      </w:r>
      <w:r>
        <w:rPr>
          <w:lang w:val="en-US" w:eastAsia="en-AU"/>
        </w:rPr>
        <w:t xml:space="preserve"> the paper </w:t>
      </w:r>
      <w:r w:rsidR="00F96FF1">
        <w:rPr>
          <w:lang w:val="en-US" w:eastAsia="en-AU"/>
        </w:rPr>
        <w:t xml:space="preserve">we have noted </w:t>
      </w:r>
      <w:r w:rsidR="0098230B">
        <w:rPr>
          <w:lang w:val="en-US" w:eastAsia="en-AU"/>
        </w:rPr>
        <w:t xml:space="preserve">the potential for lower market </w:t>
      </w:r>
      <w:r w:rsidR="008613A6">
        <w:rPr>
          <w:lang w:val="en-US" w:eastAsia="en-AU"/>
        </w:rPr>
        <w:t>dynamism</w:t>
      </w:r>
      <w:r w:rsidR="0098230B">
        <w:rPr>
          <w:lang w:val="en-US" w:eastAsia="en-AU"/>
        </w:rPr>
        <w:t xml:space="preserve"> to weigh on both aggregate productivity and wage growth. For example, lower job switching rates could </w:t>
      </w:r>
      <w:r w:rsidR="00F96FF1">
        <w:rPr>
          <w:lang w:val="en-US" w:eastAsia="en-AU"/>
        </w:rPr>
        <w:t>lead to</w:t>
      </w:r>
      <w:r w:rsidR="0098230B">
        <w:rPr>
          <w:lang w:val="en-US" w:eastAsia="en-AU"/>
        </w:rPr>
        <w:t xml:space="preserve"> less reallocation of workers from unproductive to productive firms</w:t>
      </w:r>
      <w:r w:rsidR="00F96FF1">
        <w:rPr>
          <w:lang w:val="en-US" w:eastAsia="en-AU"/>
        </w:rPr>
        <w:t>,</w:t>
      </w:r>
      <w:r w:rsidR="0098230B">
        <w:rPr>
          <w:lang w:val="en-US" w:eastAsia="en-AU"/>
        </w:rPr>
        <w:t xml:space="preserve"> and therefore </w:t>
      </w:r>
      <w:r w:rsidR="00F96FF1">
        <w:rPr>
          <w:lang w:val="en-US" w:eastAsia="en-AU"/>
        </w:rPr>
        <w:t xml:space="preserve">to slower productivity and </w:t>
      </w:r>
      <w:r w:rsidR="00F96FF1">
        <w:rPr>
          <w:lang w:val="en-US" w:eastAsia="en-AU"/>
        </w:rPr>
        <w:lastRenderedPageBreak/>
        <w:t>wage</w:t>
      </w:r>
      <w:r w:rsidR="0098230B">
        <w:rPr>
          <w:lang w:val="en-US" w:eastAsia="en-AU"/>
        </w:rPr>
        <w:t xml:space="preserve"> growth. </w:t>
      </w:r>
      <w:r w:rsidR="00327438">
        <w:rPr>
          <w:lang w:val="en-US" w:eastAsia="en-AU"/>
        </w:rPr>
        <w:t>A natural question then is, what evidence is ther</w:t>
      </w:r>
      <w:r w:rsidR="00943B4E">
        <w:rPr>
          <w:lang w:val="en-US" w:eastAsia="en-AU"/>
        </w:rPr>
        <w:t>e of decreasing market dynamism</w:t>
      </w:r>
      <w:r w:rsidR="00F96FF1">
        <w:rPr>
          <w:lang w:val="en-US" w:eastAsia="en-AU"/>
        </w:rPr>
        <w:t xml:space="preserve"> and efficient reallocation</w:t>
      </w:r>
      <w:r w:rsidR="00943B4E">
        <w:rPr>
          <w:lang w:val="en-US" w:eastAsia="en-AU"/>
        </w:rPr>
        <w:t>?</w:t>
      </w:r>
    </w:p>
    <w:p w14:paraId="5A94D05D" w14:textId="44124DD6" w:rsidR="008613A6" w:rsidRDefault="0098230B" w:rsidP="00B876A9">
      <w:pPr>
        <w:jc w:val="both"/>
        <w:rPr>
          <w:color w:val="auto"/>
        </w:rPr>
      </w:pPr>
      <w:r>
        <w:rPr>
          <w:lang w:val="en-US" w:eastAsia="en-AU"/>
        </w:rPr>
        <w:t xml:space="preserve">Declines in firm entry rates over recent years are suggestive of a decline in business dynamism and </w:t>
      </w:r>
      <w:r w:rsidR="00F96FF1">
        <w:rPr>
          <w:lang w:val="en-US" w:eastAsia="en-AU"/>
        </w:rPr>
        <w:t>efficient reallocation</w:t>
      </w:r>
      <w:r w:rsidR="008613A6">
        <w:rPr>
          <w:lang w:val="en-US" w:eastAsia="en-AU"/>
        </w:rPr>
        <w:t xml:space="preserve">. </w:t>
      </w:r>
      <w:r w:rsidR="00E82311">
        <w:rPr>
          <w:lang w:val="en-US" w:eastAsia="en-AU"/>
        </w:rPr>
        <w:t>Andrews and Hansell (2019)</w:t>
      </w:r>
      <w:r w:rsidR="008613A6">
        <w:rPr>
          <w:lang w:val="en-US" w:eastAsia="en-AU"/>
        </w:rPr>
        <w:t xml:space="preserve"> look at this more explicitly, using the </w:t>
      </w:r>
      <w:r w:rsidR="008613A6">
        <w:rPr>
          <w:color w:val="auto"/>
        </w:rPr>
        <w:t>approach proposed by</w:t>
      </w:r>
      <w:r w:rsidR="00581994" w:rsidRPr="005D5112">
        <w:rPr>
          <w:color w:val="auto"/>
        </w:rPr>
        <w:t xml:space="preserve"> Decker, Haltiwanger, Jarmin and Miranda (201</w:t>
      </w:r>
      <w:r w:rsidR="00581994">
        <w:rPr>
          <w:color w:val="auto"/>
        </w:rPr>
        <w:t>8</w:t>
      </w:r>
      <w:r w:rsidR="00581994" w:rsidRPr="005D5112">
        <w:rPr>
          <w:color w:val="auto"/>
        </w:rPr>
        <w:t>)</w:t>
      </w:r>
      <w:r w:rsidR="008613A6">
        <w:rPr>
          <w:color w:val="auto"/>
        </w:rPr>
        <w:t xml:space="preserve">. This approach </w:t>
      </w:r>
      <w:r w:rsidR="008613A6">
        <w:rPr>
          <w:lang w:val="en-US" w:eastAsia="en-AU"/>
        </w:rPr>
        <w:t xml:space="preserve">exploits </w:t>
      </w:r>
      <w:r w:rsidR="00886A02">
        <w:rPr>
          <w:lang w:val="en-US" w:eastAsia="en-AU"/>
        </w:rPr>
        <w:t>a</w:t>
      </w:r>
      <w:r w:rsidR="008613A6">
        <w:rPr>
          <w:lang w:val="en-US" w:eastAsia="en-AU"/>
        </w:rPr>
        <w:t xml:space="preserve"> prediction from </w:t>
      </w:r>
      <w:r w:rsidR="008613A6" w:rsidRPr="005D5112">
        <w:rPr>
          <w:color w:val="auto"/>
        </w:rPr>
        <w:t>canonical models</w:t>
      </w:r>
      <w:r w:rsidR="00FA5309">
        <w:rPr>
          <w:color w:val="auto"/>
        </w:rPr>
        <w:t xml:space="preserve"> of firm dynamics</w:t>
      </w:r>
      <w:r w:rsidR="00F96FF1">
        <w:rPr>
          <w:color w:val="auto"/>
        </w:rPr>
        <w:t>:</w:t>
      </w:r>
      <w:r w:rsidR="008613A6" w:rsidRPr="005D5112">
        <w:rPr>
          <w:color w:val="auto"/>
        </w:rPr>
        <w:t xml:space="preserve"> </w:t>
      </w:r>
      <w:r w:rsidR="00C53585">
        <w:rPr>
          <w:color w:val="auto"/>
        </w:rPr>
        <w:t xml:space="preserve">conditional on initial size, </w:t>
      </w:r>
      <w:r w:rsidR="008613A6">
        <w:rPr>
          <w:color w:val="auto"/>
        </w:rPr>
        <w:t>more productive firms are likely to grow more quickly than less productive firms, and less productive firms are more likely to fail.</w:t>
      </w:r>
    </w:p>
    <w:p w14:paraId="1A0A69BD" w14:textId="77777777" w:rsidR="00B876A9" w:rsidRPr="005D5112" w:rsidRDefault="008613A6" w:rsidP="00B876A9">
      <w:pPr>
        <w:jc w:val="both"/>
        <w:rPr>
          <w:color w:val="auto"/>
        </w:rPr>
      </w:pPr>
      <w:r>
        <w:rPr>
          <w:color w:val="auto"/>
        </w:rPr>
        <w:t xml:space="preserve">The approach entails estimating the </w:t>
      </w:r>
      <w:r w:rsidR="00581994" w:rsidRPr="005D5112">
        <w:rPr>
          <w:color w:val="auto"/>
        </w:rPr>
        <w:t xml:space="preserve">responsiveness of employment </w:t>
      </w:r>
      <w:r w:rsidR="00581994">
        <w:rPr>
          <w:color w:val="auto"/>
        </w:rPr>
        <w:t xml:space="preserve">growth </w:t>
      </w:r>
      <w:r w:rsidR="00581994" w:rsidRPr="005D5112">
        <w:rPr>
          <w:color w:val="auto"/>
        </w:rPr>
        <w:t xml:space="preserve">to </w:t>
      </w:r>
      <w:r w:rsidR="00B876A9">
        <w:rPr>
          <w:color w:val="auto"/>
        </w:rPr>
        <w:t xml:space="preserve">lagged labour </w:t>
      </w:r>
      <w:r w:rsidR="00581994" w:rsidRPr="005D5112">
        <w:rPr>
          <w:color w:val="auto"/>
        </w:rPr>
        <w:t>productivity</w:t>
      </w:r>
      <w:r w:rsidR="00B876A9">
        <w:rPr>
          <w:color w:val="auto"/>
        </w:rPr>
        <w:t xml:space="preserve"> at the firm level, where the simplest form of the model is:</w:t>
      </w:r>
    </w:p>
    <w:p w14:paraId="1C8724FF" w14:textId="77777777" w:rsidR="00B876A9" w:rsidRPr="005D5112" w:rsidRDefault="007776AC" w:rsidP="00B876A9">
      <w:pPr>
        <w:rPr>
          <w:rFonts w:eastAsiaTheme="minorEastAsia"/>
          <w:iCs/>
          <w:color w:val="auto"/>
        </w:rPr>
      </w:pPr>
      <m:oMathPara>
        <m:oMath>
          <m:sSubSup>
            <m:sSubSupPr>
              <m:ctrlPr>
                <w:rPr>
                  <w:rFonts w:ascii="Cambria Math" w:hAnsi="Cambria Math"/>
                  <w:i/>
                  <w:iCs/>
                  <w:color w:val="auto"/>
                </w:rPr>
              </m:ctrlPr>
            </m:sSubSupPr>
            <m:e>
              <m:r>
                <w:rPr>
                  <w:rFonts w:ascii="Cambria Math" w:hAnsi="Cambria Math"/>
                  <w:color w:val="auto"/>
                </w:rPr>
                <m:t>g</m:t>
              </m:r>
            </m:e>
            <m:sub>
              <m:r>
                <w:rPr>
                  <w:rFonts w:ascii="Cambria Math" w:hAnsi="Cambria Math"/>
                  <w:color w:val="auto"/>
                </w:rPr>
                <m:t>i,t+1</m:t>
              </m:r>
            </m:sub>
            <m:sup>
              <m:r>
                <w:rPr>
                  <w:rFonts w:ascii="Cambria Math" w:hAnsi="Cambria Math"/>
                  <w:color w:val="auto"/>
                </w:rPr>
                <m:t>E</m:t>
              </m:r>
            </m:sup>
          </m:sSubSup>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0</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1</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r>
            <w:rPr>
              <w:rFonts w:ascii="Cambria Math" w:hAnsi="Cambria Math"/>
              <w:color w:val="auto"/>
            </w:rPr>
            <m:t>+</m:t>
          </m:r>
          <m:sSubSup>
            <m:sSubSupPr>
              <m:ctrlPr>
                <w:rPr>
                  <w:rFonts w:ascii="Cambria Math" w:hAnsi="Cambria Math"/>
                  <w:i/>
                  <w:iCs/>
                  <w:color w:val="auto"/>
                </w:rPr>
              </m:ctrlPr>
            </m:sSubSupPr>
            <m:e>
              <m:r>
                <w:rPr>
                  <w:rFonts w:ascii="Cambria Math" w:hAnsi="Cambria Math"/>
                  <w:color w:val="auto"/>
                </w:rPr>
                <m:t>X</m:t>
              </m:r>
            </m:e>
            <m:sub>
              <m:r>
                <w:rPr>
                  <w:rFonts w:ascii="Cambria Math" w:hAnsi="Cambria Math"/>
                  <w:color w:val="auto"/>
                </w:rPr>
                <m:t>it</m:t>
              </m:r>
            </m:sub>
            <m:sup>
              <m:r>
                <w:rPr>
                  <w:rFonts w:ascii="Cambria Math" w:hAnsi="Cambria Math"/>
                  <w:color w:val="auto"/>
                </w:rPr>
                <m:t>'</m:t>
              </m:r>
            </m:sup>
          </m:sSubSup>
          <m:r>
            <w:rPr>
              <w:rFonts w:ascii="Cambria Math" w:hAnsi="Cambria Math"/>
              <w:color w:val="auto"/>
            </w:rPr>
            <m:t>θ+</m:t>
          </m:r>
          <m:sSub>
            <m:sSubPr>
              <m:ctrlPr>
                <w:rPr>
                  <w:rFonts w:ascii="Cambria Math" w:hAnsi="Cambria Math"/>
                  <w:i/>
                  <w:iCs/>
                  <w:color w:val="auto"/>
                </w:rPr>
              </m:ctrlPr>
            </m:sSubPr>
            <m:e>
              <m:r>
                <w:rPr>
                  <w:rFonts w:ascii="Cambria Math" w:hAnsi="Cambria Math"/>
                  <w:color w:val="auto"/>
                </w:rPr>
                <m:t>ε</m:t>
              </m:r>
            </m:e>
            <m:sub>
              <m:r>
                <w:rPr>
                  <w:rFonts w:ascii="Cambria Math" w:hAnsi="Cambria Math"/>
                  <w:color w:val="auto"/>
                </w:rPr>
                <m:t>it+1</m:t>
              </m:r>
            </m:sub>
          </m:sSub>
        </m:oMath>
      </m:oMathPara>
    </w:p>
    <w:p w14:paraId="07A2F9FF" w14:textId="77777777" w:rsidR="008613A6" w:rsidRDefault="00B876A9" w:rsidP="005D3D5C">
      <w:pPr>
        <w:jc w:val="both"/>
        <w:rPr>
          <w:color w:val="auto"/>
        </w:rPr>
      </w:pPr>
      <w:r>
        <w:rPr>
          <w:color w:val="auto"/>
        </w:rPr>
        <w:t>Where</w:t>
      </w:r>
      <w:r w:rsidRPr="005D5112">
        <w:rPr>
          <w:color w:val="auto"/>
        </w:rPr>
        <w:t xml:space="preserve"> future growth (</w:t>
      </w:r>
      <m:oMath>
        <m:sSubSup>
          <m:sSubSupPr>
            <m:ctrlPr>
              <w:rPr>
                <w:rFonts w:ascii="Cambria Math" w:hAnsi="Cambria Math"/>
                <w:i/>
                <w:iCs/>
                <w:color w:val="auto"/>
              </w:rPr>
            </m:ctrlPr>
          </m:sSubSupPr>
          <m:e>
            <m:r>
              <w:rPr>
                <w:rFonts w:ascii="Cambria Math" w:hAnsi="Cambria Math"/>
                <w:color w:val="auto"/>
              </w:rPr>
              <m:t>g</m:t>
            </m:r>
          </m:e>
          <m:sub>
            <m:r>
              <w:rPr>
                <w:rFonts w:ascii="Cambria Math" w:hAnsi="Cambria Math"/>
                <w:color w:val="auto"/>
              </w:rPr>
              <m:t>i,t+1</m:t>
            </m:r>
          </m:sub>
          <m:sup>
            <m:r>
              <w:rPr>
                <w:rFonts w:ascii="Cambria Math" w:hAnsi="Cambria Math"/>
                <w:color w:val="auto"/>
              </w:rPr>
              <m:t>E</m:t>
            </m:r>
          </m:sup>
        </m:sSubSup>
      </m:oMath>
      <w:r w:rsidRPr="005D5112">
        <w:rPr>
          <w:rFonts w:eastAsiaTheme="minorEastAsia"/>
          <w:iCs/>
          <w:color w:val="auto"/>
        </w:rPr>
        <w:t xml:space="preserve">) is a function of current (labour) productivity (LP) of firm </w:t>
      </w:r>
      <w:r w:rsidRPr="005D5112">
        <w:rPr>
          <w:rFonts w:eastAsiaTheme="minorEastAsia"/>
          <w:i/>
          <w:iCs/>
          <w:color w:val="auto"/>
        </w:rPr>
        <w:t>i</w:t>
      </w:r>
      <w:r w:rsidRPr="005D5112">
        <w:rPr>
          <w:rFonts w:eastAsiaTheme="minorEastAsia"/>
          <w:iCs/>
          <w:color w:val="auto"/>
        </w:rPr>
        <w:t xml:space="preserve"> at time </w:t>
      </w:r>
      <w:r w:rsidRPr="005D5112">
        <w:rPr>
          <w:rFonts w:eastAsiaTheme="minorEastAsia"/>
          <w:i/>
          <w:iCs/>
          <w:color w:val="auto"/>
        </w:rPr>
        <w:t>t</w:t>
      </w:r>
      <w:r>
        <w:rPr>
          <w:rFonts w:eastAsiaTheme="minorEastAsia"/>
          <w:i/>
          <w:iCs/>
          <w:color w:val="auto"/>
        </w:rPr>
        <w:t xml:space="preserve">, </w:t>
      </w:r>
      <w:r>
        <w:t>expressed in relative terms as deviation from the industry average</w:t>
      </w:r>
      <w:r w:rsidR="00886A02">
        <w:t>,</w:t>
      </w:r>
      <w:r>
        <w:t xml:space="preserve"> </w:t>
      </w:r>
      <w:r w:rsidR="00BD5DF7">
        <w:t>and</w:t>
      </w:r>
      <w:r w:rsidR="00886A02">
        <w:t xml:space="preserve"> where</w:t>
      </w:r>
      <w:r>
        <w:rPr>
          <w:color w:val="auto"/>
        </w:rPr>
        <w:t xml:space="preserve"> t</w:t>
      </w:r>
      <w:r w:rsidRPr="005D5112">
        <w:rPr>
          <w:rFonts w:eastAsiaTheme="minorEastAsia"/>
          <w:iCs/>
          <w:color w:val="auto"/>
        </w:rPr>
        <w:t>he vector X’ includes controls</w:t>
      </w:r>
      <w:r>
        <w:rPr>
          <w:rFonts w:eastAsiaTheme="minorEastAsia"/>
          <w:iCs/>
          <w:color w:val="auto"/>
        </w:rPr>
        <w:t xml:space="preserve"> </w:t>
      </w:r>
      <w:r w:rsidRPr="005D5112">
        <w:rPr>
          <w:rFonts w:eastAsiaTheme="minorEastAsia"/>
          <w:iCs/>
          <w:color w:val="auto"/>
        </w:rPr>
        <w:t>for</w:t>
      </w:r>
      <w:r>
        <w:rPr>
          <w:rFonts w:eastAsiaTheme="minorEastAsia"/>
          <w:iCs/>
          <w:color w:val="auto"/>
        </w:rPr>
        <w:t xml:space="preserve"> </w:t>
      </w:r>
      <w:r w:rsidRPr="001A1264">
        <w:rPr>
          <w:rFonts w:eastAsiaTheme="minorEastAsia"/>
          <w:iCs/>
          <w:color w:val="auto"/>
        </w:rPr>
        <w:t>firm size</w:t>
      </w:r>
      <w:r w:rsidR="006E35D4">
        <w:rPr>
          <w:rFonts w:eastAsiaTheme="minorEastAsia"/>
          <w:iCs/>
          <w:color w:val="auto"/>
        </w:rPr>
        <w:t xml:space="preserve"> plus a range of cyclical controls</w:t>
      </w:r>
      <w:r w:rsidRPr="005D5112">
        <w:rPr>
          <w:color w:val="auto"/>
        </w:rPr>
        <w:t>.</w:t>
      </w:r>
      <w:r w:rsidR="00BD5DF7">
        <w:rPr>
          <w:rStyle w:val="FootnoteReference"/>
          <w:color w:val="auto"/>
        </w:rPr>
        <w:footnoteReference w:id="21"/>
      </w:r>
      <w:r w:rsidR="006E35D4">
        <w:rPr>
          <w:color w:val="auto"/>
        </w:rPr>
        <w:t xml:space="preserve"> </w:t>
      </w:r>
    </w:p>
    <w:p w14:paraId="125D5753" w14:textId="77777777" w:rsidR="00581994" w:rsidRDefault="00BD5DF7" w:rsidP="005D3D5C">
      <w:pPr>
        <w:jc w:val="both"/>
        <w:rPr>
          <w:color w:val="auto"/>
        </w:rPr>
      </w:pPr>
      <w:r>
        <w:rPr>
          <w:color w:val="auto"/>
        </w:rPr>
        <w:t>T</w:t>
      </w:r>
      <w:r w:rsidR="00581994" w:rsidRPr="005D5112">
        <w:rPr>
          <w:color w:val="auto"/>
        </w:rPr>
        <w:t xml:space="preserve">o identify how productivity-enhancing reallocation is evolving in a structural sense, the model controls for cyclical influences in </w:t>
      </w:r>
      <w:r w:rsidR="00581994">
        <w:rPr>
          <w:color w:val="auto"/>
        </w:rPr>
        <w:t>three key</w:t>
      </w:r>
      <w:r w:rsidR="00581994" w:rsidRPr="005D5112">
        <w:rPr>
          <w:color w:val="auto"/>
        </w:rPr>
        <w:t xml:space="preserve"> ways. First, the firm-level labour productivity is expressed as a deviation fr</w:t>
      </w:r>
      <w:r w:rsidR="00581994">
        <w:rPr>
          <w:color w:val="auto"/>
        </w:rPr>
        <w:t>om the industry average at the four</w:t>
      </w:r>
      <w:r w:rsidR="00886A02">
        <w:rPr>
          <w:color w:val="auto"/>
        </w:rPr>
        <w:t>-</w:t>
      </w:r>
      <w:r w:rsidR="00581994" w:rsidRPr="005D5112">
        <w:rPr>
          <w:color w:val="auto"/>
        </w:rPr>
        <w:t xml:space="preserve">digit </w:t>
      </w:r>
      <w:r w:rsidR="00581994">
        <w:rPr>
          <w:color w:val="auto"/>
        </w:rPr>
        <w:t xml:space="preserve">ANZSIC06 level, </w:t>
      </w:r>
      <w:r w:rsidR="00581994" w:rsidRPr="005D5112">
        <w:rPr>
          <w:color w:val="auto"/>
        </w:rPr>
        <w:t>which is akin to controlling for time-varying industry</w:t>
      </w:r>
      <w:r w:rsidR="00581994">
        <w:rPr>
          <w:color w:val="auto"/>
        </w:rPr>
        <w:t>-</w:t>
      </w:r>
      <w:r w:rsidR="00581994" w:rsidRPr="005D5112">
        <w:rPr>
          <w:color w:val="auto"/>
        </w:rPr>
        <w:t>specific shocks. Second, the impact of</w:t>
      </w:r>
      <w:r w:rsidR="00581994">
        <w:rPr>
          <w:color w:val="auto"/>
        </w:rPr>
        <w:t xml:space="preserve"> common</w:t>
      </w:r>
      <w:r w:rsidR="00581994" w:rsidRPr="005D5112">
        <w:rPr>
          <w:color w:val="auto"/>
        </w:rPr>
        <w:t xml:space="preserve"> time-varyi</w:t>
      </w:r>
      <w:r w:rsidR="0035498A">
        <w:rPr>
          <w:color w:val="auto"/>
        </w:rPr>
        <w:t>ng shocks (that is,</w:t>
      </w:r>
      <w:r w:rsidR="00581994" w:rsidRPr="005D5112">
        <w:rPr>
          <w:color w:val="auto"/>
        </w:rPr>
        <w:t xml:space="preserve"> the national business cycle)</w:t>
      </w:r>
      <w:r w:rsidR="00581994">
        <w:rPr>
          <w:color w:val="auto"/>
        </w:rPr>
        <w:t xml:space="preserve"> is absorbed by </w:t>
      </w:r>
      <w:r w:rsidR="00581994" w:rsidRPr="005D5112">
        <w:rPr>
          <w:color w:val="auto"/>
        </w:rPr>
        <w:t>the inclusion of time fixed effects. Finally, the</w:t>
      </w:r>
      <w:r w:rsidR="00581994">
        <w:rPr>
          <w:color w:val="auto"/>
        </w:rPr>
        <w:t xml:space="preserve"> inclusion of the </w:t>
      </w:r>
      <w:r w:rsidR="00581994" w:rsidRPr="005D5112">
        <w:rPr>
          <w:color w:val="auto"/>
        </w:rPr>
        <w:t xml:space="preserve">state unemployment rate </w:t>
      </w:r>
      <w:r w:rsidR="00581994">
        <w:rPr>
          <w:color w:val="auto"/>
        </w:rPr>
        <w:t xml:space="preserve">directly controls for </w:t>
      </w:r>
      <w:r w:rsidR="00581994" w:rsidRPr="005D5112">
        <w:rPr>
          <w:color w:val="auto"/>
        </w:rPr>
        <w:t>state-level business cycles and</w:t>
      </w:r>
      <w:r w:rsidR="00886A02">
        <w:rPr>
          <w:color w:val="auto"/>
        </w:rPr>
        <w:t>,</w:t>
      </w:r>
      <w:r w:rsidR="00581994" w:rsidRPr="005D5112">
        <w:rPr>
          <w:color w:val="auto"/>
        </w:rPr>
        <w:t xml:space="preserve"> through its interaction with the labour productivity term, sweeps out the impact of state-level shocks on the responsiveness of employment growth to firm productivity</w:t>
      </w:r>
      <w:r w:rsidR="005D3D5C">
        <w:rPr>
          <w:color w:val="auto"/>
        </w:rPr>
        <w:t>.</w:t>
      </w:r>
    </w:p>
    <w:p w14:paraId="21EBBAA9" w14:textId="77777777" w:rsidR="00166C49" w:rsidRDefault="005D3D5C" w:rsidP="000F64FB">
      <w:pPr>
        <w:jc w:val="both"/>
        <w:rPr>
          <w:color w:val="auto"/>
        </w:rPr>
      </w:pPr>
      <w:r w:rsidRPr="00CC36B2">
        <w:rPr>
          <w:lang w:val="en-US" w:eastAsia="en-AU"/>
        </w:rPr>
        <w:t>T</w:t>
      </w:r>
      <w:r w:rsidR="00CC36B2" w:rsidRPr="00CC36B2">
        <w:rPr>
          <w:lang w:val="en-US" w:eastAsia="en-AU"/>
        </w:rPr>
        <w:t>urning to the</w:t>
      </w:r>
      <w:r w:rsidRPr="00CC36B2">
        <w:rPr>
          <w:lang w:val="en-US" w:eastAsia="en-AU"/>
        </w:rPr>
        <w:t xml:space="preserve"> results</w:t>
      </w:r>
      <w:r w:rsidR="00CC36B2" w:rsidRPr="00CC36B2">
        <w:rPr>
          <w:lang w:val="en-US" w:eastAsia="en-AU"/>
        </w:rPr>
        <w:t>,</w:t>
      </w:r>
      <w:r w:rsidR="00632CA0" w:rsidRPr="00CC36B2">
        <w:rPr>
          <w:lang w:val="en-US" w:eastAsia="en-AU"/>
        </w:rPr>
        <w:t xml:space="preserve"> </w:t>
      </w:r>
      <w:r w:rsidR="00CC36B2" w:rsidRPr="00CC36B2">
        <w:rPr>
          <w:color w:val="auto"/>
        </w:rPr>
        <w:t xml:space="preserve">the </w:t>
      </w:r>
      <w:r w:rsidR="003B2681">
        <w:rPr>
          <w:color w:val="auto"/>
        </w:rPr>
        <w:t>estimated coefficient on LP (that is,</w:t>
      </w:r>
      <w:r w:rsidR="00CC36B2" w:rsidRPr="00CC36B2">
        <w:rPr>
          <w:color w:val="auto"/>
        </w:rPr>
        <w:t xml:space="preserve"> β</w:t>
      </w:r>
      <w:r w:rsidR="00CC36B2" w:rsidRPr="00CC36B2">
        <w:rPr>
          <w:color w:val="auto"/>
          <w:vertAlign w:val="subscript"/>
        </w:rPr>
        <w:t>1</w:t>
      </w:r>
      <w:r w:rsidR="00CC36B2" w:rsidRPr="00CC36B2">
        <w:rPr>
          <w:color w:val="auto"/>
        </w:rPr>
        <w:t>) is positive and significant at</w:t>
      </w:r>
      <w:r w:rsidR="003B2681">
        <w:rPr>
          <w:color w:val="auto"/>
        </w:rPr>
        <w:t xml:space="preserve"> the 1 </w:t>
      </w:r>
      <w:r w:rsidR="00CC36B2">
        <w:rPr>
          <w:color w:val="auto"/>
        </w:rPr>
        <w:t>per</w:t>
      </w:r>
      <w:r w:rsidR="003B2681">
        <w:rPr>
          <w:color w:val="auto"/>
        </w:rPr>
        <w:t> </w:t>
      </w:r>
      <w:r w:rsidR="00CC36B2">
        <w:rPr>
          <w:color w:val="auto"/>
        </w:rPr>
        <w:t>cent level, suggesting that on average over the sample period, more productive firms are more likely to expand and less productive firms are more likely to contract. This suggests that</w:t>
      </w:r>
      <w:r>
        <w:rPr>
          <w:color w:val="auto"/>
        </w:rPr>
        <w:t xml:space="preserve"> resources are flowing in the right direction over time</w:t>
      </w:r>
      <w:r w:rsidRPr="00802352">
        <w:rPr>
          <w:color w:val="auto"/>
        </w:rPr>
        <w:t xml:space="preserve"> a</w:t>
      </w:r>
      <w:r>
        <w:rPr>
          <w:color w:val="auto"/>
        </w:rPr>
        <w:t xml:space="preserve">nd </w:t>
      </w:r>
      <w:r w:rsidR="00886A02">
        <w:rPr>
          <w:color w:val="auto"/>
        </w:rPr>
        <w:t xml:space="preserve">thus that reallocation provides a </w:t>
      </w:r>
      <w:r w:rsidRPr="00802352">
        <w:rPr>
          <w:color w:val="auto"/>
        </w:rPr>
        <w:t>positive contribution to aggregate productivity growth.</w:t>
      </w:r>
      <w:r w:rsidR="00CC36B2">
        <w:rPr>
          <w:color w:val="auto"/>
        </w:rPr>
        <w:t xml:space="preserve"> </w:t>
      </w:r>
      <w:r w:rsidR="00166C49">
        <w:rPr>
          <w:color w:val="auto"/>
        </w:rPr>
        <w:t xml:space="preserve">Importantly, evidence emerges to suggest that </w:t>
      </w:r>
      <w:r w:rsidR="00914E4D">
        <w:rPr>
          <w:color w:val="auto"/>
        </w:rPr>
        <w:t>this reallocation process</w:t>
      </w:r>
      <w:r w:rsidR="00B876A9">
        <w:rPr>
          <w:color w:val="auto"/>
        </w:rPr>
        <w:t xml:space="preserve"> may have</w:t>
      </w:r>
      <w:r w:rsidR="00914E4D">
        <w:rPr>
          <w:color w:val="auto"/>
        </w:rPr>
        <w:t xml:space="preserve"> weakened around the</w:t>
      </w:r>
      <w:r w:rsidR="00B876A9">
        <w:rPr>
          <w:color w:val="auto"/>
        </w:rPr>
        <w:t xml:space="preserve"> same</w:t>
      </w:r>
      <w:r w:rsidR="00914E4D">
        <w:rPr>
          <w:color w:val="auto"/>
        </w:rPr>
        <w:t xml:space="preserve"> time that aggregate wage growth slowed</w:t>
      </w:r>
      <w:r w:rsidR="00166C49">
        <w:rPr>
          <w:color w:val="auto"/>
        </w:rPr>
        <w:t xml:space="preserve">. </w:t>
      </w:r>
      <w:r w:rsidR="008D1A06">
        <w:rPr>
          <w:color w:val="auto"/>
        </w:rPr>
        <w:t xml:space="preserve">In this regard, </w:t>
      </w:r>
      <w:r w:rsidR="008D1A06">
        <w:t xml:space="preserve">the authors interact the (lagged) firm </w:t>
      </w:r>
      <w:r w:rsidR="008D1A06" w:rsidRPr="005D5112">
        <w:t>productivity</w:t>
      </w:r>
      <w:r w:rsidR="008D1A06">
        <w:t xml:space="preserve"> term</w:t>
      </w:r>
      <w:r w:rsidR="008D1A06" w:rsidRPr="005D5112">
        <w:t xml:space="preserve"> </w:t>
      </w:r>
      <w:r w:rsidR="008D1A06">
        <w:rPr>
          <w:color w:val="auto"/>
        </w:rPr>
        <w:t>with:</w:t>
      </w:r>
    </w:p>
    <w:p w14:paraId="6B649F03" w14:textId="772B87D3" w:rsidR="00166C49" w:rsidRDefault="00166C49" w:rsidP="000F64FB">
      <w:pPr>
        <w:pStyle w:val="Bullet"/>
        <w:jc w:val="both"/>
      </w:pPr>
      <w:r>
        <w:t xml:space="preserve">First, </w:t>
      </w:r>
      <w:r w:rsidRPr="005D5112">
        <w:t>a linear</w:t>
      </w:r>
      <w:r>
        <w:t xml:space="preserve"> time</w:t>
      </w:r>
      <w:r w:rsidRPr="005D5112">
        <w:t xml:space="preserve"> trend and its square, to account for non-linearity in the trend</w:t>
      </w:r>
      <w:r>
        <w:t xml:space="preserve">. This exercise returns </w:t>
      </w:r>
      <w:r>
        <w:rPr>
          <w:lang w:val="en-US" w:eastAsia="en-AU"/>
        </w:rPr>
        <w:t>a</w:t>
      </w:r>
      <w:r>
        <w:t xml:space="preserve"> positive coefficient on </w:t>
      </w:r>
      <w:r w:rsidR="00886A02">
        <w:t>LP</w:t>
      </w:r>
      <w:r>
        <w:t xml:space="preserve">*Trend coupled with a negative coefficient on </w:t>
      </w:r>
      <w:r w:rsidR="00886A02">
        <w:t>LP</w:t>
      </w:r>
      <w:r>
        <w:t>*Trend</w:t>
      </w:r>
      <w:r w:rsidRPr="00761976">
        <w:rPr>
          <w:vertAlign w:val="superscript"/>
        </w:rPr>
        <w:t>2</w:t>
      </w:r>
      <w:r w:rsidR="008D1A06">
        <w:t>.</w:t>
      </w:r>
      <w:r>
        <w:t xml:space="preserve"> </w:t>
      </w:r>
      <w:r w:rsidR="00937AAB">
        <w:t xml:space="preserve">To illustrate this effect, </w:t>
      </w:r>
      <w:r>
        <w:t xml:space="preserve">Figure </w:t>
      </w:r>
      <w:r w:rsidR="008E461E">
        <w:t>9</w:t>
      </w:r>
      <w:r>
        <w:t xml:space="preserve"> Panel A</w:t>
      </w:r>
      <w:r w:rsidR="008D1A06">
        <w:t xml:space="preserve"> </w:t>
      </w:r>
      <w:r w:rsidR="00937AAB">
        <w:t xml:space="preserve">shows </w:t>
      </w:r>
      <w:r w:rsidR="008D1A06" w:rsidRPr="008D1A06">
        <w:t>the difference in employment growth between</w:t>
      </w:r>
      <w:r w:rsidR="003B2681">
        <w:t xml:space="preserve"> a high productivity firm – that is,</w:t>
      </w:r>
      <w:r w:rsidR="008D1A06" w:rsidRPr="008D1A06">
        <w:t xml:space="preserve"> a firm one standard deviation above the industry mean – and a l</w:t>
      </w:r>
      <w:r w:rsidR="003B2681">
        <w:t>ow productivity firm – that is,</w:t>
      </w:r>
      <w:r w:rsidR="008D1A06" w:rsidRPr="008D1A06">
        <w:t xml:space="preserve"> a firm one standard deviation below the </w:t>
      </w:r>
      <w:r w:rsidR="00C53585">
        <w:t xml:space="preserve">industry </w:t>
      </w:r>
      <w:r w:rsidR="008D1A06" w:rsidRPr="008D1A06">
        <w:t xml:space="preserve">mean. </w:t>
      </w:r>
      <w:r w:rsidR="00937AAB">
        <w:t>O</w:t>
      </w:r>
      <w:r w:rsidR="008D1A06" w:rsidRPr="008D1A06">
        <w:t xml:space="preserve">ver the first few years of the sample, the employment growth differential between a high and low productivity firm rises </w:t>
      </w:r>
      <w:r w:rsidR="008D1A06" w:rsidRPr="00F36DE9">
        <w:t>slightly but then declines from around 2010</w:t>
      </w:r>
      <w:r w:rsidR="008D1A06" w:rsidRPr="008D1A06">
        <w:t xml:space="preserve"> to reach around </w:t>
      </w:r>
      <w:r w:rsidR="00E32665">
        <w:t xml:space="preserve">7 </w:t>
      </w:r>
      <w:r w:rsidR="008D1A06" w:rsidRPr="008D1A06">
        <w:t>per cent by 2016.</w:t>
      </w:r>
    </w:p>
    <w:p w14:paraId="0E352A15" w14:textId="4BBAB788" w:rsidR="00166C49" w:rsidRDefault="00166C49" w:rsidP="000F64FB">
      <w:pPr>
        <w:pStyle w:val="Bullet"/>
        <w:jc w:val="both"/>
      </w:pPr>
      <w:r>
        <w:t xml:space="preserve">Second, </w:t>
      </w:r>
      <w:r w:rsidRPr="005D5112">
        <w:t>a</w:t>
      </w:r>
      <w:r>
        <w:t xml:space="preserve"> piecewise dummy that takes the value of 1 in the post-</w:t>
      </w:r>
      <w:r w:rsidR="00E75347">
        <w:t>2011-12</w:t>
      </w:r>
      <w:r>
        <w:t xml:space="preserve"> period. </w:t>
      </w:r>
      <w:r w:rsidR="00DC7DB8">
        <w:t xml:space="preserve">This interaction term is negative and statistically significant and implies that the difference in employment growth </w:t>
      </w:r>
      <w:r w:rsidR="00DC7DB8">
        <w:lastRenderedPageBreak/>
        <w:t xml:space="preserve">between a high and low productivity firm fell by 1½ percentage points in the low wage growth period (Figure </w:t>
      </w:r>
      <w:r w:rsidR="008E461E">
        <w:t>9</w:t>
      </w:r>
      <w:r w:rsidR="00DC7DB8">
        <w:t>, Panel B).</w:t>
      </w:r>
      <w:r w:rsidR="00C53585">
        <w:rPr>
          <w:rStyle w:val="FootnoteReference"/>
        </w:rPr>
        <w:footnoteReference w:id="22"/>
      </w:r>
      <w:r>
        <w:t xml:space="preserve"> </w:t>
      </w:r>
    </w:p>
    <w:p w14:paraId="289C2200" w14:textId="77777777" w:rsidR="00C25EA8" w:rsidRDefault="00C25EA8" w:rsidP="000F64FB">
      <w:pPr>
        <w:pStyle w:val="Bullet"/>
        <w:numPr>
          <w:ilvl w:val="0"/>
          <w:numId w:val="0"/>
        </w:numPr>
        <w:jc w:val="both"/>
        <w:rPr>
          <w:color w:val="auto"/>
        </w:rPr>
      </w:pPr>
      <w:r>
        <w:rPr>
          <w:color w:val="auto"/>
        </w:rPr>
        <w:t xml:space="preserve">Given higher productivity firms pay higher wages, the decline in the rate at which labour is reallocated to high productivity firms implies </w:t>
      </w:r>
      <w:r w:rsidR="00886A02">
        <w:rPr>
          <w:color w:val="auto"/>
        </w:rPr>
        <w:t xml:space="preserve">that there will be </w:t>
      </w:r>
      <w:r>
        <w:rPr>
          <w:color w:val="auto"/>
        </w:rPr>
        <w:t>fewer high paying jobs than</w:t>
      </w:r>
      <w:r w:rsidR="00886A02">
        <w:rPr>
          <w:color w:val="auto"/>
        </w:rPr>
        <w:t xml:space="preserve"> there would be</w:t>
      </w:r>
      <w:r>
        <w:rPr>
          <w:color w:val="auto"/>
        </w:rPr>
        <w:t xml:space="preserve"> otherwise. </w:t>
      </w:r>
      <w:r w:rsidR="009D7F42">
        <w:rPr>
          <w:color w:val="auto"/>
        </w:rPr>
        <w:t xml:space="preserve">Put differently, </w:t>
      </w:r>
      <w:r w:rsidR="00BF3FA5">
        <w:rPr>
          <w:color w:val="auto"/>
        </w:rPr>
        <w:t xml:space="preserve">a slowdown in the pace of labour reallocation </w:t>
      </w:r>
      <w:r w:rsidR="009D7F42">
        <w:t xml:space="preserve">might have resulted in </w:t>
      </w:r>
      <w:r w:rsidR="00922012">
        <w:t xml:space="preserve">a </w:t>
      </w:r>
      <w:r w:rsidR="009D7F42">
        <w:t>composition</w:t>
      </w:r>
      <w:r w:rsidR="00886A02">
        <w:t>al</w:t>
      </w:r>
      <w:r w:rsidR="009D7F42">
        <w:t xml:space="preserve"> effect that impose</w:t>
      </w:r>
      <w:r w:rsidR="00922012">
        <w:t>s</w:t>
      </w:r>
      <w:r w:rsidR="009D7F42">
        <w:t xml:space="preserve"> a drag on the dynamics of aggregate wages and productivity growth.</w:t>
      </w:r>
      <w:r w:rsidR="00D45F03">
        <w:t xml:space="preserve"> </w:t>
      </w:r>
      <w:r w:rsidR="0031641B" w:rsidRPr="0031641B">
        <w:t>Finally, to the extent that the decline in the ability of the economy to reallocate labour to high productivity firms reflects a rise in adjustment frictions, this could partly account for why more firms are reporting it more difficult to find suitable workers</w:t>
      </w:r>
      <w:r w:rsidR="00FD4F3D">
        <w:t xml:space="preserve"> (Figure 1, Panel A)</w:t>
      </w:r>
      <w:r w:rsidR="0031641B" w:rsidRPr="0031641B">
        <w:t>.</w:t>
      </w:r>
    </w:p>
    <w:p w14:paraId="59DBD203" w14:textId="77777777" w:rsidR="006011B6" w:rsidRPr="0035420F" w:rsidRDefault="006011B6" w:rsidP="00AB6B2F">
      <w:pPr>
        <w:pStyle w:val="FigureHeading"/>
      </w:pPr>
      <w:r>
        <w:t xml:space="preserve">Figure </w:t>
      </w:r>
      <w:r w:rsidR="008E461E">
        <w:t>9</w:t>
      </w:r>
      <w:r>
        <w:t>: Reallocation of workers from low to high productivity firms has slowed</w:t>
      </w:r>
    </w:p>
    <w:p w14:paraId="6114ADC8" w14:textId="77777777" w:rsidR="00922BC7" w:rsidRDefault="00922BC7" w:rsidP="00F134A0">
      <w:pPr>
        <w:pStyle w:val="FigureSecondHeading"/>
      </w:pPr>
      <w:r w:rsidRPr="0091735D">
        <w:t>D</w:t>
      </w:r>
      <w:r>
        <w:t>ifference in employment growth between</w:t>
      </w:r>
      <w:r w:rsidR="00BB2310">
        <w:t xml:space="preserve"> a</w:t>
      </w:r>
      <w:r>
        <w:t xml:space="preserve"> high and low productivity firm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BB2310" w14:paraId="7E690195" w14:textId="77777777" w:rsidTr="00BB2310">
        <w:tc>
          <w:tcPr>
            <w:tcW w:w="4757" w:type="dxa"/>
          </w:tcPr>
          <w:p w14:paraId="715BB2B0" w14:textId="77777777" w:rsidR="00BB2310" w:rsidRPr="00DB0148" w:rsidRDefault="00BB2310" w:rsidP="00F134A0">
            <w:pPr>
              <w:pStyle w:val="FigureSecondHeading"/>
            </w:pPr>
            <w:r>
              <w:t xml:space="preserve">Panel </w:t>
            </w:r>
            <w:r w:rsidRPr="00DB0148">
              <w:t>A</w:t>
            </w:r>
            <w:r>
              <w:t>: Quadratic time trends</w:t>
            </w:r>
          </w:p>
          <w:p w14:paraId="65E2EC64" w14:textId="32BC28DC" w:rsidR="00BB2310" w:rsidRDefault="008C5CB9" w:rsidP="000A5C8B">
            <w:pPr>
              <w:pStyle w:val="ChartGraphic"/>
            </w:pPr>
            <w:r>
              <w:object w:dxaOrig="4515" w:dyaOrig="4516" w14:anchorId="1E6C105B">
                <v:shape id="_x0000_i1050" type="#_x0000_t75" style="width:226.1pt;height:226.1pt" o:ole="">
                  <v:imagedata r:id="rId48" o:title=""/>
                </v:shape>
                <o:OLEObject Type="Link" ProgID="Excel.Sheet.12" ShapeID="_x0000_i1050" DrawAspect="Content" r:id="rId49" UpdateMode="Always">
                  <o:LinkType>EnhancedMetaFile</o:LinkType>
                  <o:LockedField/>
                </o:OLEObject>
              </w:object>
            </w:r>
          </w:p>
        </w:tc>
        <w:tc>
          <w:tcPr>
            <w:tcW w:w="4757" w:type="dxa"/>
          </w:tcPr>
          <w:p w14:paraId="4D93AC3E" w14:textId="77777777" w:rsidR="00BB2310" w:rsidRPr="0003649D" w:rsidRDefault="00BB2310" w:rsidP="00F134A0">
            <w:pPr>
              <w:pStyle w:val="FigureSecondHeading"/>
            </w:pPr>
            <w:r w:rsidRPr="0003649D">
              <w:t>Panel B</w:t>
            </w:r>
            <w:r>
              <w:t>: Piecewise specification</w:t>
            </w:r>
          </w:p>
          <w:p w14:paraId="3543A04A" w14:textId="4EB28B0F" w:rsidR="00BB2310" w:rsidRDefault="007776AC" w:rsidP="007776AC">
            <w:pPr>
              <w:pStyle w:val="ChartGraphic"/>
            </w:pPr>
            <w:r>
              <w:object w:dxaOrig="4525" w:dyaOrig="4525" w14:anchorId="2E90B70A">
                <v:shape id="_x0000_i1071" type="#_x0000_t75" style="width:226.1pt;height:226.1pt" o:ole="">
                  <v:imagedata r:id="rId50" o:title=""/>
                </v:shape>
                <o:OLEObject Type="Link" ProgID="Excel.Sheet.12" ShapeID="_x0000_i1071" DrawAspect="Content" r:id="rId51" UpdateMode="Always">
                  <o:LinkType>EnhancedMetaFile</o:LinkType>
                  <o:LockedField/>
                </o:OLEObject>
              </w:object>
            </w:r>
          </w:p>
        </w:tc>
        <w:bookmarkStart w:id="2" w:name="_GoBack"/>
        <w:bookmarkEnd w:id="2"/>
      </w:tr>
    </w:tbl>
    <w:p w14:paraId="1D6EB501" w14:textId="77777777" w:rsidR="006011B6" w:rsidRPr="0035420F" w:rsidRDefault="006011B6" w:rsidP="0035498A">
      <w:pPr>
        <w:pStyle w:val="ChartorTableNote"/>
      </w:pPr>
      <w:r w:rsidRPr="0035420F">
        <w:t>Notes:</w:t>
      </w:r>
      <w:r w:rsidR="00922BC7">
        <w:t xml:space="preserve"> </w:t>
      </w:r>
      <w:r w:rsidR="00922BC7" w:rsidRPr="00922BC7">
        <w:t>High (low) productivity firms are defined by being one standard deviation above (below) the industry mean labour productivity.</w:t>
      </w:r>
    </w:p>
    <w:p w14:paraId="3B22B537" w14:textId="77777777" w:rsidR="006011B6" w:rsidRDefault="00F14F30" w:rsidP="0035498A">
      <w:pPr>
        <w:pStyle w:val="ChartorTableNote"/>
        <w:rPr>
          <w:lang w:val="en-US"/>
        </w:rPr>
      </w:pPr>
      <w:r>
        <w:t>Source</w:t>
      </w:r>
      <w:r w:rsidRPr="0035420F">
        <w:t>:</w:t>
      </w:r>
      <w:r w:rsidR="00E82311">
        <w:t xml:space="preserve"> Andrews and Hansell (2019).</w:t>
      </w:r>
    </w:p>
    <w:p w14:paraId="3D8ECE41" w14:textId="77777777" w:rsidR="00300D8B" w:rsidRDefault="00056CB9" w:rsidP="00AB6B2F">
      <w:pPr>
        <w:pStyle w:val="Heading2"/>
      </w:pPr>
      <w:r>
        <w:t>Discussion and Future Work</w:t>
      </w:r>
    </w:p>
    <w:p w14:paraId="2A8B7433" w14:textId="55E0443A" w:rsidR="00E007E8" w:rsidRDefault="00D26940" w:rsidP="0074741D">
      <w:pPr>
        <w:jc w:val="both"/>
        <w:rPr>
          <w:color w:val="auto"/>
        </w:rPr>
      </w:pPr>
      <w:r>
        <w:t>Our paper exploits</w:t>
      </w:r>
      <w:r w:rsidR="00821787">
        <w:rPr>
          <w:color w:val="auto"/>
        </w:rPr>
        <w:t xml:space="preserve"> novel microdata sources to assess the relevance of a range of potential str</w:t>
      </w:r>
      <w:r w:rsidR="00154411">
        <w:rPr>
          <w:color w:val="auto"/>
        </w:rPr>
        <w:t>uctural barriers to higher wage</w:t>
      </w:r>
      <w:r w:rsidR="00821787">
        <w:rPr>
          <w:color w:val="auto"/>
        </w:rPr>
        <w:t xml:space="preserve"> growth in Australia. </w:t>
      </w:r>
      <w:r w:rsidR="00E007E8">
        <w:rPr>
          <w:color w:val="auto"/>
        </w:rPr>
        <w:t>In doing so,</w:t>
      </w:r>
      <w:r w:rsidR="00E007E8" w:rsidRPr="00E007E8">
        <w:rPr>
          <w:color w:val="auto"/>
        </w:rPr>
        <w:t xml:space="preserve"> </w:t>
      </w:r>
      <w:r w:rsidR="00E007E8">
        <w:rPr>
          <w:color w:val="auto"/>
        </w:rPr>
        <w:t>we provide a proof-of-principle demonstration of the value of longitudinal microdata</w:t>
      </w:r>
      <w:r>
        <w:rPr>
          <w:color w:val="auto"/>
        </w:rPr>
        <w:t>,</w:t>
      </w:r>
      <w:r w:rsidR="00E007E8">
        <w:rPr>
          <w:color w:val="auto"/>
        </w:rPr>
        <w:t xml:space="preserve"> and related empirical techniques</w:t>
      </w:r>
      <w:r>
        <w:rPr>
          <w:color w:val="auto"/>
        </w:rPr>
        <w:t>,</w:t>
      </w:r>
      <w:r w:rsidR="00E007E8">
        <w:rPr>
          <w:color w:val="auto"/>
        </w:rPr>
        <w:t xml:space="preserve"> to such investigations. In particular, our use of</w:t>
      </w:r>
      <w:r w:rsidR="00F263CA">
        <w:rPr>
          <w:color w:val="auto"/>
        </w:rPr>
        <w:t xml:space="preserve"> de-identified</w:t>
      </w:r>
      <w:r w:rsidR="00E007E8">
        <w:rPr>
          <w:color w:val="auto"/>
        </w:rPr>
        <w:t xml:space="preserve"> matched employer-employee data allow us to employ state-of-the-art high-dimensional fixed effects modelling to account for worker </w:t>
      </w:r>
      <w:r>
        <w:rPr>
          <w:color w:val="auto"/>
        </w:rPr>
        <w:t>heterogeneity</w:t>
      </w:r>
      <w:r w:rsidR="000347F8">
        <w:rPr>
          <w:color w:val="auto"/>
        </w:rPr>
        <w:t>,</w:t>
      </w:r>
      <w:r>
        <w:rPr>
          <w:color w:val="auto"/>
        </w:rPr>
        <w:t xml:space="preserve"> and assortative matching</w:t>
      </w:r>
      <w:r w:rsidRPr="00D26940">
        <w:rPr>
          <w:color w:val="auto"/>
        </w:rPr>
        <w:t xml:space="preserve"> </w:t>
      </w:r>
      <w:r>
        <w:rPr>
          <w:color w:val="auto"/>
        </w:rPr>
        <w:t>between high</w:t>
      </w:r>
      <w:r w:rsidR="00013813">
        <w:rPr>
          <w:color w:val="auto"/>
        </w:rPr>
        <w:t xml:space="preserve"> </w:t>
      </w:r>
      <w:r>
        <w:rPr>
          <w:color w:val="auto"/>
        </w:rPr>
        <w:t xml:space="preserve">ability workers and high productivity firms. Consistent with the international literature, our results highlight the importance of accounting for worker heterogeneity in explaining wage outcomes, and in making inference about their determinants. </w:t>
      </w:r>
    </w:p>
    <w:p w14:paraId="42F5812C" w14:textId="77777777" w:rsidR="00821787" w:rsidRDefault="00D26940" w:rsidP="0074741D">
      <w:pPr>
        <w:jc w:val="both"/>
      </w:pPr>
      <w:r>
        <w:rPr>
          <w:color w:val="auto"/>
        </w:rPr>
        <w:t xml:space="preserve">Moreover, our analysis provides useful insights into low wage growth in Australia. </w:t>
      </w:r>
      <w:r w:rsidR="00DE12FF">
        <w:rPr>
          <w:color w:val="auto"/>
        </w:rPr>
        <w:t>This is a topic of some international interest given recent weak wage growth across a range of advanced economics, and is of domestic interest given the importance of wages at both an individual and aggregate level.</w:t>
      </w:r>
    </w:p>
    <w:p w14:paraId="5F695B1C" w14:textId="333072B0" w:rsidR="00F012EA" w:rsidRDefault="00D9610D" w:rsidP="0074741D">
      <w:pPr>
        <w:jc w:val="both"/>
      </w:pPr>
      <w:r>
        <w:lastRenderedPageBreak/>
        <w:t xml:space="preserve">Overall, </w:t>
      </w:r>
      <w:r w:rsidR="00821787">
        <w:t>we find</w:t>
      </w:r>
      <w:r>
        <w:t xml:space="preserve"> evidence that structural forces </w:t>
      </w:r>
      <w:r w:rsidR="00B05865">
        <w:t xml:space="preserve">may </w:t>
      </w:r>
      <w:r w:rsidR="00B4697E">
        <w:t>have weighed</w:t>
      </w:r>
      <w:r>
        <w:t xml:space="preserve"> on wage growth in recent years</w:t>
      </w:r>
      <w:r w:rsidR="005B5623">
        <w:t>, and that these</w:t>
      </w:r>
      <w:r w:rsidR="004A347F">
        <w:t xml:space="preserve"> forces</w:t>
      </w:r>
      <w:r w:rsidR="005B5623">
        <w:t xml:space="preserve"> have </w:t>
      </w:r>
      <w:r w:rsidR="00DE12FF">
        <w:t xml:space="preserve">seen a </w:t>
      </w:r>
      <w:r w:rsidR="00B05865">
        <w:t>modes</w:t>
      </w:r>
      <w:r w:rsidR="00DE12FF">
        <w:t xml:space="preserve">t shift in </w:t>
      </w:r>
      <w:r w:rsidR="00B4697E">
        <w:t>the</w:t>
      </w:r>
      <w:r w:rsidR="005B5623">
        <w:t xml:space="preserve"> relationship between </w:t>
      </w:r>
      <w:r w:rsidR="00230FE6">
        <w:t xml:space="preserve">wage and </w:t>
      </w:r>
      <w:r w:rsidR="005B5623">
        <w:t>productivit</w:t>
      </w:r>
      <w:r w:rsidR="00230FE6">
        <w:t>y</w:t>
      </w:r>
      <w:r w:rsidR="005B5623">
        <w:t xml:space="preserve"> growth</w:t>
      </w:r>
      <w:r>
        <w:t xml:space="preserve">. </w:t>
      </w:r>
      <w:r w:rsidR="00B05865">
        <w:rPr>
          <w:color w:val="auto"/>
        </w:rPr>
        <w:t>Given that our dataset concludes in 201</w:t>
      </w:r>
      <w:r w:rsidR="002441DB">
        <w:rPr>
          <w:color w:val="auto"/>
        </w:rPr>
        <w:t>4</w:t>
      </w:r>
      <w:r w:rsidR="00B05865">
        <w:rPr>
          <w:color w:val="auto"/>
        </w:rPr>
        <w:t>/1</w:t>
      </w:r>
      <w:r w:rsidR="002441DB">
        <w:rPr>
          <w:color w:val="auto"/>
        </w:rPr>
        <w:t>5</w:t>
      </w:r>
      <w:r w:rsidR="00B05865">
        <w:rPr>
          <w:color w:val="auto"/>
        </w:rPr>
        <w:t xml:space="preserve">, however, it is not clear whether lower pass-through of productivity to wages has persisted. </w:t>
      </w:r>
      <w:r>
        <w:t>While we cannot provide conclusive evidence on what these forces are, our results do</w:t>
      </w:r>
      <w:r w:rsidR="005B5623">
        <w:t xml:space="preserve"> help to guide future research by ruling out some, and providing tentative evidence </w:t>
      </w:r>
      <w:r w:rsidR="00206635">
        <w:t>in</w:t>
      </w:r>
      <w:r w:rsidR="005B5623">
        <w:t xml:space="preserve"> support </w:t>
      </w:r>
      <w:r w:rsidR="00206635">
        <w:t>of</w:t>
      </w:r>
      <w:r w:rsidR="005B5623">
        <w:t xml:space="preserve"> others.</w:t>
      </w:r>
    </w:p>
    <w:p w14:paraId="67D9311D" w14:textId="77777777" w:rsidR="005B5623" w:rsidRDefault="005B5623" w:rsidP="0074741D">
      <w:pPr>
        <w:jc w:val="both"/>
      </w:pPr>
      <w:r>
        <w:t>In particular, our results suggest that</w:t>
      </w:r>
      <w:r w:rsidR="00B32294">
        <w:t xml:space="preserve"> declining labour market fluidity and market dynamism are </w:t>
      </w:r>
      <w:r w:rsidR="0064421B">
        <w:t>potentially relevant</w:t>
      </w:r>
      <w:r w:rsidR="00B32294">
        <w:t xml:space="preserve"> factors </w:t>
      </w:r>
      <w:r w:rsidR="0064421B">
        <w:t xml:space="preserve">to understand </w:t>
      </w:r>
      <w:r w:rsidR="00DE12FF">
        <w:t xml:space="preserve">changes in the relationship </w:t>
      </w:r>
      <w:r w:rsidR="00B32294">
        <w:t>bet</w:t>
      </w:r>
      <w:r w:rsidR="00197936">
        <w:t>ween firm productivity and wage growth, and weak wage</w:t>
      </w:r>
      <w:r w:rsidR="00B32294">
        <w:t xml:space="preserve"> growth more generally. As such, any explanation for weak wage growth probably needs to also</w:t>
      </w:r>
      <w:r w:rsidR="00197936">
        <w:t xml:space="preserve"> be able to</w:t>
      </w:r>
      <w:r w:rsidR="00B32294">
        <w:t xml:space="preserve"> explain </w:t>
      </w:r>
      <w:r w:rsidR="00922A9F">
        <w:t xml:space="preserve">changing patterns of </w:t>
      </w:r>
      <w:r w:rsidR="00F51A74">
        <w:t>market dynamism.</w:t>
      </w:r>
    </w:p>
    <w:p w14:paraId="123E0D9D" w14:textId="7CA38CE1" w:rsidR="00173E16" w:rsidRDefault="00B32294" w:rsidP="0074741D">
      <w:pPr>
        <w:jc w:val="both"/>
      </w:pPr>
      <w:r>
        <w:t>The</w:t>
      </w:r>
      <w:r w:rsidR="00DE12FF">
        <w:t xml:space="preserve"> implications of these findings </w:t>
      </w:r>
      <w:r>
        <w:t>are obviously highly depen</w:t>
      </w:r>
      <w:r w:rsidR="00197936">
        <w:t>dent on the cause of lower wage</w:t>
      </w:r>
      <w:r>
        <w:t xml:space="preserve"> growth and dynamism.</w:t>
      </w:r>
      <w:r w:rsidR="00A00E1E">
        <w:t xml:space="preserve"> </w:t>
      </w:r>
      <w:r w:rsidR="004A347F">
        <w:t xml:space="preserve">For example, </w:t>
      </w:r>
      <w:r w:rsidR="00B4697E">
        <w:t xml:space="preserve">if </w:t>
      </w:r>
      <w:r w:rsidR="00B4697E">
        <w:rPr>
          <w:lang w:val="en-US" w:eastAsia="en-AU"/>
        </w:rPr>
        <w:t>firm-specific human ca</w:t>
      </w:r>
      <w:r w:rsidR="0064421B">
        <w:rPr>
          <w:lang w:val="en-US" w:eastAsia="en-AU"/>
        </w:rPr>
        <w:t>pital has become more important – d</w:t>
      </w:r>
      <w:r w:rsidR="00B4697E">
        <w:rPr>
          <w:lang w:val="en-US" w:eastAsia="en-AU"/>
        </w:rPr>
        <w:t xml:space="preserve">ue to the </w:t>
      </w:r>
      <w:r w:rsidR="0064421B">
        <w:rPr>
          <w:lang w:val="en-US" w:eastAsia="en-AU"/>
        </w:rPr>
        <w:t>rise in</w:t>
      </w:r>
      <w:r w:rsidR="00B4697E">
        <w:rPr>
          <w:lang w:val="en-US" w:eastAsia="en-AU"/>
        </w:rPr>
        <w:t xml:space="preserve"> intangible capital</w:t>
      </w:r>
      <w:r w:rsidR="0064421B">
        <w:rPr>
          <w:lang w:val="en-US" w:eastAsia="en-AU"/>
        </w:rPr>
        <w:t xml:space="preserve"> – then the </w:t>
      </w:r>
      <w:r w:rsidR="004A347F">
        <w:rPr>
          <w:lang w:val="en-US" w:eastAsia="en-AU"/>
        </w:rPr>
        <w:t xml:space="preserve">cost of job separation </w:t>
      </w:r>
      <w:r w:rsidR="0064421B">
        <w:rPr>
          <w:lang w:val="en-US" w:eastAsia="en-AU"/>
        </w:rPr>
        <w:t xml:space="preserve">from both the perspective of the worker and firm </w:t>
      </w:r>
      <w:r w:rsidR="004A347F">
        <w:rPr>
          <w:lang w:val="en-US" w:eastAsia="en-AU"/>
        </w:rPr>
        <w:t>will be higher</w:t>
      </w:r>
      <w:r w:rsidR="0064421B">
        <w:rPr>
          <w:lang w:val="en-US" w:eastAsia="en-AU"/>
        </w:rPr>
        <w:t>, implying less need for job switching</w:t>
      </w:r>
      <w:r w:rsidR="00B4697E">
        <w:rPr>
          <w:lang w:val="en-US" w:eastAsia="en-AU"/>
        </w:rPr>
        <w:t xml:space="preserve"> (Cairo and Cajner 2018)</w:t>
      </w:r>
      <w:r w:rsidR="007E1601">
        <w:rPr>
          <w:lang w:val="en-US" w:eastAsia="en-AU"/>
        </w:rPr>
        <w:t>. To the extent that this a</w:t>
      </w:r>
      <w:r w:rsidR="004A347F">
        <w:rPr>
          <w:lang w:val="en-US" w:eastAsia="en-AU"/>
        </w:rPr>
        <w:t>ffects the bargaining position of workers and firms similarly, there may be li</w:t>
      </w:r>
      <w:r w:rsidR="00DE12FF">
        <w:rPr>
          <w:lang w:val="en-US" w:eastAsia="en-AU"/>
        </w:rPr>
        <w:t>mited ability or benefit to respond to these trends</w:t>
      </w:r>
      <w:r w:rsidR="004A347F">
        <w:rPr>
          <w:lang w:val="en-US" w:eastAsia="en-AU"/>
        </w:rPr>
        <w:t xml:space="preserve">. </w:t>
      </w:r>
      <w:r w:rsidR="00DE12FF">
        <w:rPr>
          <w:lang w:val="en-US" w:eastAsia="en-AU"/>
        </w:rPr>
        <w:t xml:space="preserve">Conversely, </w:t>
      </w:r>
      <w:r w:rsidR="00DE12FF">
        <w:t>i</w:t>
      </w:r>
      <w:r w:rsidR="00685725">
        <w:t xml:space="preserve">f these </w:t>
      </w:r>
      <w:r>
        <w:t xml:space="preserve">concurrent phenomena </w:t>
      </w:r>
      <w:r w:rsidR="00685725">
        <w:t xml:space="preserve">instead </w:t>
      </w:r>
      <w:r>
        <w:t>reflect increasing adjustment frictions in the economy</w:t>
      </w:r>
      <w:r w:rsidR="00C53585">
        <w:t xml:space="preserve"> (Decker et al., 2018)</w:t>
      </w:r>
      <w:r w:rsidR="00526DF9">
        <w:t>, th</w:t>
      </w:r>
      <w:r w:rsidR="0064421B">
        <w:t xml:space="preserve">en there may be a </w:t>
      </w:r>
      <w:r w:rsidR="00DE12FF">
        <w:t>scope</w:t>
      </w:r>
      <w:r w:rsidR="00526DF9">
        <w:t xml:space="preserve"> to improve outcomes. </w:t>
      </w:r>
      <w:r w:rsidR="00C944C5">
        <w:t>Thus, i</w:t>
      </w:r>
      <w:r w:rsidR="00526DF9">
        <w:t>dentifying the</w:t>
      </w:r>
      <w:r w:rsidR="00C944C5">
        <w:t xml:space="preserve"> reasons for the decline in market dynamism </w:t>
      </w:r>
      <w:r w:rsidR="0064421B">
        <w:t xml:space="preserve">is </w:t>
      </w:r>
      <w:r w:rsidR="00835EAF">
        <w:t xml:space="preserve">a </w:t>
      </w:r>
      <w:r w:rsidR="00526DF9">
        <w:t>high priority</w:t>
      </w:r>
      <w:r w:rsidR="00835EAF">
        <w:t xml:space="preserve"> for future research</w:t>
      </w:r>
      <w:r w:rsidR="00B949BD">
        <w:t xml:space="preserve">. </w:t>
      </w:r>
    </w:p>
    <w:p w14:paraId="719CFEF9" w14:textId="77777777" w:rsidR="00580FBC" w:rsidRDefault="00DE12FF" w:rsidP="007E1601">
      <w:pPr>
        <w:jc w:val="both"/>
        <w:rPr>
          <w:color w:val="auto"/>
        </w:rPr>
      </w:pPr>
      <w:r>
        <w:t>I</w:t>
      </w:r>
      <w:r w:rsidR="005B5623">
        <w:t xml:space="preserve">t is important not to overstate the significance of these </w:t>
      </w:r>
      <w:r w:rsidR="005B5623" w:rsidRPr="00580FBC">
        <w:t>results for wage growth going forwards. To date, the degree of</w:t>
      </w:r>
      <w:r w:rsidR="00197936" w:rsidRPr="00580FBC">
        <w:t xml:space="preserve"> ‘unexplained’ weakness in wage</w:t>
      </w:r>
      <w:r w:rsidR="005B5623" w:rsidRPr="00580FBC">
        <w:t xml:space="preserve"> growth has been</w:t>
      </w:r>
      <w:r w:rsidR="00B87492" w:rsidRPr="00580FBC">
        <w:t xml:space="preserve"> only moderate</w:t>
      </w:r>
      <w:r w:rsidR="007E1601">
        <w:t xml:space="preserve">: potentially </w:t>
      </w:r>
      <w:r w:rsidR="003310CE">
        <w:t>around</w:t>
      </w:r>
      <w:r w:rsidR="007E1601">
        <w:t xml:space="preserve"> ½ percentage point</w:t>
      </w:r>
      <w:r w:rsidR="00B87492" w:rsidRPr="00580FBC">
        <w:t>. Moreover,</w:t>
      </w:r>
      <w:r w:rsidR="00762ACA" w:rsidRPr="00762ACA">
        <w:rPr>
          <w:color w:val="auto"/>
        </w:rPr>
        <w:t xml:space="preserve"> </w:t>
      </w:r>
      <w:r w:rsidR="00607494">
        <w:rPr>
          <w:color w:val="auto"/>
        </w:rPr>
        <w:t>given</w:t>
      </w:r>
      <w:r w:rsidR="00762ACA" w:rsidRPr="00580FBC">
        <w:rPr>
          <w:color w:val="auto"/>
        </w:rPr>
        <w:t xml:space="preserve"> we have not</w:t>
      </w:r>
      <w:r w:rsidR="00607494">
        <w:rPr>
          <w:color w:val="auto"/>
        </w:rPr>
        <w:t xml:space="preserve"> </w:t>
      </w:r>
      <w:r w:rsidR="00AB0E3D">
        <w:rPr>
          <w:color w:val="auto"/>
        </w:rPr>
        <w:t>explicitly</w:t>
      </w:r>
      <w:r w:rsidR="00762ACA" w:rsidRPr="00580FBC">
        <w:rPr>
          <w:color w:val="auto"/>
        </w:rPr>
        <w:t xml:space="preserve"> identified the drivers of the reduced pass-through of productivity to wages, it is not clear whether</w:t>
      </w:r>
      <w:r w:rsidR="00762ACA">
        <w:rPr>
          <w:color w:val="auto"/>
        </w:rPr>
        <w:t xml:space="preserve"> this effect will persist into the medium ter</w:t>
      </w:r>
      <w:r w:rsidR="00762ACA" w:rsidRPr="00580FBC">
        <w:rPr>
          <w:color w:val="auto"/>
        </w:rPr>
        <w:t>m.</w:t>
      </w:r>
      <w:r w:rsidR="00762ACA">
        <w:rPr>
          <w:color w:val="auto"/>
        </w:rPr>
        <w:t xml:space="preserve"> In particular, if</w:t>
      </w:r>
      <w:r w:rsidR="00B87492" w:rsidRPr="00580FBC">
        <w:t xml:space="preserve"> the structural </w:t>
      </w:r>
      <w:r w:rsidR="00206635" w:rsidRPr="00580FBC">
        <w:t>forces</w:t>
      </w:r>
      <w:r w:rsidR="00B87492" w:rsidRPr="00580FBC">
        <w:t xml:space="preserve"> reflect a shift to a new ‘</w:t>
      </w:r>
      <w:r w:rsidR="00821787" w:rsidRPr="00580FBC">
        <w:t>equilibrium</w:t>
      </w:r>
      <w:r w:rsidR="00B87492" w:rsidRPr="00580FBC">
        <w:t xml:space="preserve">’ relationship </w:t>
      </w:r>
      <w:r w:rsidR="00821787" w:rsidRPr="00580FBC">
        <w:t xml:space="preserve">between the </w:t>
      </w:r>
      <w:r w:rsidR="00821787" w:rsidRPr="00580FBC">
        <w:rPr>
          <w:i/>
        </w:rPr>
        <w:t>level</w:t>
      </w:r>
      <w:r w:rsidR="00821787" w:rsidRPr="00580FBC">
        <w:t xml:space="preserve"> of</w:t>
      </w:r>
      <w:r w:rsidR="00B87492" w:rsidRPr="00580FBC">
        <w:t xml:space="preserve"> </w:t>
      </w:r>
      <w:r w:rsidR="00821787" w:rsidRPr="00580FBC">
        <w:t>productivity</w:t>
      </w:r>
      <w:r w:rsidR="00B87492" w:rsidRPr="00580FBC">
        <w:t xml:space="preserve"> and wages, the effects on wage </w:t>
      </w:r>
      <w:r w:rsidR="00B87492" w:rsidRPr="00580FBC">
        <w:rPr>
          <w:i/>
        </w:rPr>
        <w:t>growth</w:t>
      </w:r>
      <w:r w:rsidR="00B87492" w:rsidRPr="00580FBC">
        <w:t xml:space="preserve"> should eventuall</w:t>
      </w:r>
      <w:r w:rsidR="00821787" w:rsidRPr="00580FBC">
        <w:t>y diminish</w:t>
      </w:r>
      <w:r w:rsidR="00B6524B" w:rsidRPr="00580FBC">
        <w:t xml:space="preserve"> and th</w:t>
      </w:r>
      <w:r w:rsidR="00580FBC" w:rsidRPr="00580FBC">
        <w:t xml:space="preserve">us be less </w:t>
      </w:r>
      <w:r w:rsidR="00B6524B" w:rsidRPr="00580FBC">
        <w:t>relevant in the medium term</w:t>
      </w:r>
      <w:r w:rsidR="009F48B5" w:rsidRPr="00580FBC">
        <w:t xml:space="preserve">. </w:t>
      </w:r>
    </w:p>
    <w:p w14:paraId="2EEE867A" w14:textId="77777777" w:rsidR="009F48B5" w:rsidRDefault="009F48B5" w:rsidP="0074741D">
      <w:pPr>
        <w:jc w:val="both"/>
      </w:pPr>
      <w:r>
        <w:t xml:space="preserve">In either case, </w:t>
      </w:r>
      <w:r w:rsidR="00206635">
        <w:t>if</w:t>
      </w:r>
      <w:r>
        <w:t xml:space="preserve"> </w:t>
      </w:r>
      <w:r w:rsidR="00206635">
        <w:t xml:space="preserve">the </w:t>
      </w:r>
      <w:r>
        <w:t>public and private sector</w:t>
      </w:r>
      <w:r w:rsidR="00206635">
        <w:t>s are aware of these forces, they</w:t>
      </w:r>
      <w:r>
        <w:t xml:space="preserve"> can</w:t>
      </w:r>
      <w:r w:rsidR="00DE12FF">
        <w:t xml:space="preserve"> continue to</w:t>
      </w:r>
      <w:r>
        <w:t xml:space="preserve"> incorporate them into their forecast</w:t>
      </w:r>
      <w:r w:rsidR="00CF20BB">
        <w:t>s</w:t>
      </w:r>
      <w:r>
        <w:t xml:space="preserve">. For example RBA (2018) notes: </w:t>
      </w:r>
    </w:p>
    <w:p w14:paraId="0FA9BF14" w14:textId="77777777" w:rsidR="009F48B5" w:rsidRPr="009F48B5" w:rsidRDefault="009F48B5" w:rsidP="0074741D">
      <w:pPr>
        <w:jc w:val="both"/>
        <w:rPr>
          <w:i/>
        </w:rPr>
      </w:pPr>
      <w:r w:rsidRPr="009F48B5">
        <w:rPr>
          <w:i/>
        </w:rPr>
        <w:t>“The central forecast for a moderate increase in wages growth over the next couple of years assumes that some of these factors will continue to weigh on wages growth for a while yet.”</w:t>
      </w:r>
    </w:p>
    <w:p w14:paraId="7E14240D" w14:textId="77777777" w:rsidR="009F48B5" w:rsidRDefault="00CF20BB" w:rsidP="0074741D">
      <w:pPr>
        <w:jc w:val="both"/>
      </w:pPr>
      <w:r>
        <w:t>A</w:t>
      </w:r>
      <w:r w:rsidR="009F48B5">
        <w:t xml:space="preserve"> greater understanding of the nature of the structural weakness</w:t>
      </w:r>
      <w:r w:rsidR="00DE528D">
        <w:t xml:space="preserve"> </w:t>
      </w:r>
      <w:r>
        <w:t>will help to facilitate this.</w:t>
      </w:r>
    </w:p>
    <w:p w14:paraId="65B7F2FE" w14:textId="77777777" w:rsidR="001F33E6" w:rsidRDefault="001F33E6" w:rsidP="0074741D">
      <w:pPr>
        <w:jc w:val="both"/>
      </w:pPr>
      <w:r>
        <w:t xml:space="preserve">Our results also provide further empirical support for the relationship between productivity and wages by providing the </w:t>
      </w:r>
      <w:r w:rsidR="00607494">
        <w:t>first empirical evidence on firm-</w:t>
      </w:r>
      <w:r>
        <w:t xml:space="preserve"> and worker</w:t>
      </w:r>
      <w:r w:rsidR="00607494">
        <w:t>-</w:t>
      </w:r>
      <w:r>
        <w:t xml:space="preserve">level rent sharing for Australia. </w:t>
      </w:r>
      <w:r w:rsidR="00DE12FF">
        <w:t>These results confirm international evidence of modest but not insignificant sharing of</w:t>
      </w:r>
      <w:r w:rsidR="007E1601">
        <w:t xml:space="preserve"> idiosyncratic</w:t>
      </w:r>
      <w:r w:rsidR="00DE12FF">
        <w:t xml:space="preserve"> firm-level productivity</w:t>
      </w:r>
      <w:r w:rsidR="007E1601">
        <w:t xml:space="preserve"> gains with workers</w:t>
      </w:r>
      <w:r w:rsidR="00DE12FF">
        <w:t xml:space="preserve"> </w:t>
      </w:r>
      <w:r w:rsidR="001850D4">
        <w:rPr>
          <w:color w:val="auto"/>
        </w:rPr>
        <w:t xml:space="preserve">(Card, Heining and </w:t>
      </w:r>
      <w:r w:rsidR="001850D4" w:rsidRPr="001C4B2D">
        <w:rPr>
          <w:color w:val="auto"/>
        </w:rPr>
        <w:t>Kline 2013</w:t>
      </w:r>
      <w:r w:rsidR="001850D4">
        <w:rPr>
          <w:color w:val="auto"/>
        </w:rPr>
        <w:t>)</w:t>
      </w:r>
      <w:r>
        <w:t>.</w:t>
      </w:r>
    </w:p>
    <w:p w14:paraId="5CF1E63E" w14:textId="77777777" w:rsidR="00206635" w:rsidRDefault="00A00E1E" w:rsidP="0074741D">
      <w:pPr>
        <w:jc w:val="both"/>
      </w:pPr>
      <w:r>
        <w:t>Of course</w:t>
      </w:r>
      <w:r w:rsidR="000E3D5A">
        <w:t xml:space="preserve">, there are other potential explanations for the observed </w:t>
      </w:r>
      <w:r w:rsidR="00192398">
        <w:t>decline in rent-sharing</w:t>
      </w:r>
      <w:r w:rsidR="00607494">
        <w:t xml:space="preserve"> that we have not explored in this paper</w:t>
      </w:r>
      <w:r w:rsidR="000E3D5A">
        <w:t xml:space="preserve">, some of which can only be tested with </w:t>
      </w:r>
      <w:r w:rsidR="00305AA0">
        <w:rPr>
          <w:color w:val="auto"/>
        </w:rPr>
        <w:t>matched firm-worker panel data</w:t>
      </w:r>
      <w:r w:rsidR="000E3D5A">
        <w:t xml:space="preserve">. </w:t>
      </w:r>
      <w:r w:rsidR="00607494">
        <w:t>These could be considered in fu</w:t>
      </w:r>
      <w:r w:rsidR="00B36477">
        <w:t>t</w:t>
      </w:r>
      <w:r w:rsidR="00607494">
        <w:t>ure work.</w:t>
      </w:r>
      <w:r w:rsidR="000E3D5A">
        <w:t xml:space="preserve"> </w:t>
      </w:r>
    </w:p>
    <w:p w14:paraId="471ACEE9" w14:textId="4A99D7A0" w:rsidR="00FE727F" w:rsidRDefault="001850D4" w:rsidP="0074741D">
      <w:pPr>
        <w:jc w:val="both"/>
      </w:pPr>
      <w:r>
        <w:rPr>
          <w:lang w:val="en-US" w:eastAsia="en-AU"/>
        </w:rPr>
        <w:t xml:space="preserve">For example, </w:t>
      </w:r>
      <w:r w:rsidR="00BA45E2">
        <w:t>research has</w:t>
      </w:r>
      <w:r w:rsidR="006015C2">
        <w:t xml:space="preserve"> also linked the</w:t>
      </w:r>
      <w:r w:rsidR="00FE727F">
        <w:t xml:space="preserve"> increasingly globalised nature of the labour market, and the rise of China, </w:t>
      </w:r>
      <w:r w:rsidR="00BA45E2">
        <w:t xml:space="preserve">to </w:t>
      </w:r>
      <w:r w:rsidR="00FE727F">
        <w:t>lower worker bargaining power (</w:t>
      </w:r>
      <w:r w:rsidR="0035498A">
        <w:t>for example,</w:t>
      </w:r>
      <w:r w:rsidR="00FE727F" w:rsidRPr="00F51A74">
        <w:t xml:space="preserve"> Autor</w:t>
      </w:r>
      <w:r w:rsidR="00F51A74" w:rsidRPr="00F51A74">
        <w:t>, Dorn and Hanson 2016</w:t>
      </w:r>
      <w:r w:rsidR="00FE727F" w:rsidRPr="00F51A74">
        <w:t>). Future</w:t>
      </w:r>
      <w:r w:rsidR="00FE727F">
        <w:t xml:space="preserve"> work could examine this, particularly if we can couple</w:t>
      </w:r>
      <w:r w:rsidR="004A347F">
        <w:t xml:space="preserve"> the</w:t>
      </w:r>
      <w:r w:rsidR="00FE727F">
        <w:t xml:space="preserve"> location and industry data </w:t>
      </w:r>
      <w:r w:rsidR="00305AA0">
        <w:t>in our</w:t>
      </w:r>
      <w:r w:rsidR="00F263CA">
        <w:t xml:space="preserve"> de-identified</w:t>
      </w:r>
      <w:r w:rsidR="00305AA0">
        <w:t xml:space="preserve"> </w:t>
      </w:r>
      <w:r w:rsidR="00305AA0">
        <w:rPr>
          <w:color w:val="auto"/>
        </w:rPr>
        <w:t xml:space="preserve">matched firm-worker panel data </w:t>
      </w:r>
      <w:r w:rsidR="00FE727F">
        <w:t>with detailed data on imports.</w:t>
      </w:r>
      <w:r w:rsidR="00843C13">
        <w:t xml:space="preserve"> </w:t>
      </w:r>
      <w:r>
        <w:rPr>
          <w:color w:val="auto"/>
        </w:rPr>
        <w:t>An</w:t>
      </w:r>
      <w:r w:rsidR="00BA45E2">
        <w:t xml:space="preserve"> examination of the link between wage bargaining patterns and </w:t>
      </w:r>
      <w:r>
        <w:t>rent-sharing</w:t>
      </w:r>
      <w:r w:rsidR="00BA45E2">
        <w:t xml:space="preserve"> would </w:t>
      </w:r>
      <w:r>
        <w:t xml:space="preserve">also </w:t>
      </w:r>
      <w:r w:rsidR="00BA45E2">
        <w:t>be possible</w:t>
      </w:r>
      <w:r>
        <w:t xml:space="preserve"> with the incorporation of micro-level wage setting data into our</w:t>
      </w:r>
      <w:r w:rsidR="00F263CA">
        <w:t xml:space="preserve"> de-identified</w:t>
      </w:r>
      <w:r>
        <w:t xml:space="preserve"> </w:t>
      </w:r>
      <w:r>
        <w:rPr>
          <w:color w:val="auto"/>
        </w:rPr>
        <w:t>matched firm-worker panel database</w:t>
      </w:r>
      <w:r w:rsidR="00BA45E2">
        <w:t xml:space="preserve"> (see</w:t>
      </w:r>
      <w:r w:rsidR="00E5380D">
        <w:t xml:space="preserve"> </w:t>
      </w:r>
      <w:r w:rsidR="00E5380D" w:rsidRPr="00F51A74">
        <w:t>Gu</w:t>
      </w:r>
      <w:r w:rsidR="00F51A74" w:rsidRPr="00F51A74">
        <w:t>e</w:t>
      </w:r>
      <w:r w:rsidR="00E5380D" w:rsidRPr="00F51A74">
        <w:t>rtzgen</w:t>
      </w:r>
      <w:r w:rsidR="00BA45E2">
        <w:t xml:space="preserve"> </w:t>
      </w:r>
      <w:r w:rsidR="00E5380D" w:rsidRPr="00F51A74">
        <w:t>2009</w:t>
      </w:r>
      <w:r w:rsidR="00E5380D">
        <w:t xml:space="preserve">). </w:t>
      </w:r>
    </w:p>
    <w:p w14:paraId="6A809A2E" w14:textId="77777777" w:rsidR="00CF20BB" w:rsidRDefault="00180BF6" w:rsidP="0069740C">
      <w:pPr>
        <w:jc w:val="both"/>
      </w:pPr>
      <w:r>
        <w:lastRenderedPageBreak/>
        <w:t>F</w:t>
      </w:r>
      <w:r w:rsidR="00BA45E2">
        <w:t xml:space="preserve">inally, it would be interesting to </w:t>
      </w:r>
      <w:r>
        <w:t xml:space="preserve">dig deeper into the </w:t>
      </w:r>
      <w:r w:rsidR="006D05BB">
        <w:t xml:space="preserve">relationship between </w:t>
      </w:r>
      <w:r w:rsidR="00E80595">
        <w:t xml:space="preserve">wages and market </w:t>
      </w:r>
      <w:r w:rsidR="006D05BB">
        <w:t>dynamism</w:t>
      </w:r>
      <w:r w:rsidR="00810FFC">
        <w:t>.</w:t>
      </w:r>
      <w:r w:rsidR="00E80595">
        <w:t xml:space="preserve"> </w:t>
      </w:r>
      <w:r w:rsidR="00E80595">
        <w:rPr>
          <w:lang w:val="en-US" w:eastAsia="en-AU"/>
        </w:rPr>
        <w:t xml:space="preserve">A logical next step would be to directly examine whether the </w:t>
      </w:r>
      <w:r w:rsidR="001850D4">
        <w:rPr>
          <w:lang w:val="en-US" w:eastAsia="en-AU"/>
        </w:rPr>
        <w:t xml:space="preserve">shift in the relationship between wages and firm-level productivity </w:t>
      </w:r>
      <w:r w:rsidR="00E80595">
        <w:rPr>
          <w:lang w:val="en-US" w:eastAsia="en-AU"/>
        </w:rPr>
        <w:t>was more pronounced in local labour markets where job switching declined more. Furthermore</w:t>
      </w:r>
      <w:r w:rsidR="00810FFC">
        <w:t>, younger worker</w:t>
      </w:r>
      <w:r w:rsidR="005D06C6">
        <w:t>s</w:t>
      </w:r>
      <w:r w:rsidR="00810FFC">
        <w:t xml:space="preserve"> are generally more likely to switch jobs, and job switching represents a key channel for them to increase their wages (</w:t>
      </w:r>
      <w:r w:rsidR="0035498A">
        <w:t>for example,</w:t>
      </w:r>
      <w:r w:rsidR="00F51A74">
        <w:t xml:space="preserve"> Haltiwanger, Hyatt and McEntrafer</w:t>
      </w:r>
      <w:r w:rsidR="00843C13">
        <w:t>,</w:t>
      </w:r>
      <w:r w:rsidR="00F51A74">
        <w:t xml:space="preserve"> 2017</w:t>
      </w:r>
      <w:r w:rsidR="00810FFC">
        <w:t>). As such, they could be more adversely affected by lower labour market fluidity.</w:t>
      </w:r>
      <w:r w:rsidR="00843C13">
        <w:t xml:space="preserve"> </w:t>
      </w:r>
      <w:r w:rsidR="00F44689">
        <w:t>Finally</w:t>
      </w:r>
      <w:r w:rsidR="002D7DDF">
        <w:t xml:space="preserve">, </w:t>
      </w:r>
      <w:r w:rsidR="00843C13">
        <w:t>it would be interesting to explore how the</w:t>
      </w:r>
      <w:r w:rsidR="002D7DDF">
        <w:t xml:space="preserve"> result</w:t>
      </w:r>
      <w:r w:rsidR="001850D4">
        <w:t>s</w:t>
      </w:r>
      <w:r w:rsidR="002D7DDF">
        <w:t xml:space="preserve"> </w:t>
      </w:r>
      <w:r w:rsidR="00843C13">
        <w:t>var</w:t>
      </w:r>
      <w:r w:rsidR="001850D4">
        <w:t>y</w:t>
      </w:r>
      <w:r w:rsidR="00843C13">
        <w:t xml:space="preserve"> across </w:t>
      </w:r>
      <w:r w:rsidR="002D7DDF">
        <w:t xml:space="preserve">high or low wage earners or for firms in </w:t>
      </w:r>
      <w:r w:rsidR="00F44689">
        <w:t>regions</w:t>
      </w:r>
      <w:r w:rsidR="002D7DDF">
        <w:t xml:space="preserve"> with larger declines in labour mobility. </w:t>
      </w:r>
      <w:r w:rsidR="00F44689">
        <w:t xml:space="preserve">This could give additional clues regarding </w:t>
      </w:r>
      <w:r w:rsidR="00E80595">
        <w:t xml:space="preserve">the structural sources of </w:t>
      </w:r>
      <w:r w:rsidR="00F44689">
        <w:t xml:space="preserve">wage growth in Australia. </w:t>
      </w:r>
    </w:p>
    <w:p w14:paraId="62A7D93C" w14:textId="77777777" w:rsidR="00732406" w:rsidRDefault="00732406" w:rsidP="00732406">
      <w:pPr>
        <w:sectPr w:rsidR="00732406" w:rsidSect="00C868A2">
          <w:footerReference w:type="first" r:id="rId52"/>
          <w:pgSz w:w="11906" w:h="16838" w:code="9"/>
          <w:pgMar w:top="1418" w:right="1304" w:bottom="1418" w:left="1304" w:header="567" w:footer="567" w:gutter="0"/>
          <w:pgNumType w:start="1"/>
          <w:cols w:space="720"/>
          <w:titlePg/>
          <w:docGrid w:linePitch="360"/>
        </w:sectPr>
      </w:pPr>
    </w:p>
    <w:p w14:paraId="5C45BCAB" w14:textId="77777777" w:rsidR="00F012EA" w:rsidRDefault="00300D8B" w:rsidP="00F012EA">
      <w:pPr>
        <w:pStyle w:val="AppendixHeadingLevel2NotNumbered"/>
      </w:pPr>
      <w:r>
        <w:lastRenderedPageBreak/>
        <w:t>References</w:t>
      </w:r>
    </w:p>
    <w:p w14:paraId="7A63DF35" w14:textId="77777777" w:rsidR="006015C2" w:rsidRDefault="006015C2" w:rsidP="00732406">
      <w:pPr>
        <w:spacing w:after="120"/>
      </w:pPr>
      <w:r w:rsidRPr="008A18E3">
        <w:rPr>
          <w:b/>
        </w:rPr>
        <w:t>Andrews D, C Criscuolo and P Gal (2015)</w:t>
      </w:r>
      <w:r w:rsidRPr="008A18E3">
        <w:t>, ‘Frontier Firms, Technology Diffusion and Public Policy: Micro Evidence from OECD Countries’, OECD Productivity Working Papers No 2</w:t>
      </w:r>
    </w:p>
    <w:p w14:paraId="6476F474" w14:textId="16A4C35D" w:rsidR="00AB0E3D" w:rsidRDefault="00AB0E3D" w:rsidP="00732406">
      <w:pPr>
        <w:spacing w:after="120"/>
      </w:pPr>
      <w:r w:rsidRPr="00EA2E28">
        <w:rPr>
          <w:b/>
        </w:rPr>
        <w:t>Andrews D, C. Criscuolo and P Gal (2016)</w:t>
      </w:r>
      <w:r w:rsidRPr="00AB0E3D">
        <w:t xml:space="preserve">, </w:t>
      </w:r>
      <w:r w:rsidR="008C5CB9">
        <w:t>‘</w:t>
      </w:r>
      <w:r w:rsidRPr="00AB0E3D">
        <w:t>The Best versus the Rest: The Global Productivity Slowdown, Divergence across Firms and the Role of Public Policy</w:t>
      </w:r>
      <w:r w:rsidR="008C5CB9">
        <w:t>’</w:t>
      </w:r>
      <w:r w:rsidRPr="00AB0E3D">
        <w:t>, OECD Pro</w:t>
      </w:r>
      <w:r w:rsidR="00A97AD3">
        <w:t>ductivity Working Papers, No. 5</w:t>
      </w:r>
    </w:p>
    <w:p w14:paraId="428CFE40" w14:textId="7D4C5963" w:rsidR="00BA2CF5" w:rsidRDefault="00BA2CF5" w:rsidP="00732406">
      <w:pPr>
        <w:spacing w:after="120"/>
      </w:pPr>
      <w:r w:rsidRPr="00BA2CF5">
        <w:rPr>
          <w:b/>
        </w:rPr>
        <w:t>Andrews D, P Gal and W Witherridge (2018)</w:t>
      </w:r>
      <w:r>
        <w:t xml:space="preserve">, </w:t>
      </w:r>
      <w:r w:rsidR="008C5CB9">
        <w:t>‘</w:t>
      </w:r>
      <w:r>
        <w:t>A Genie in a Bottle? Globalisation, Competition and Inflation’, OECD Economics Department Working Paper No. 1462</w:t>
      </w:r>
    </w:p>
    <w:p w14:paraId="3602BD9C" w14:textId="0E51EE27" w:rsidR="006015C2" w:rsidRDefault="006015C2" w:rsidP="00732406">
      <w:pPr>
        <w:spacing w:after="120"/>
      </w:pPr>
      <w:r w:rsidRPr="000C3A20">
        <w:rPr>
          <w:b/>
        </w:rPr>
        <w:t>Andrews D and D Hansell (2019)</w:t>
      </w:r>
      <w:r>
        <w:t xml:space="preserve">, </w:t>
      </w:r>
      <w:r w:rsidR="008C5CB9">
        <w:t>‘</w:t>
      </w:r>
      <w:r>
        <w:t>Productivity-enhancing Labour Reallocation in Australia</w:t>
      </w:r>
      <w:r w:rsidR="008C5CB9">
        <w:t>’</w:t>
      </w:r>
      <w:r>
        <w:t>, Treasury Working Paper (forthcoming)</w:t>
      </w:r>
    </w:p>
    <w:p w14:paraId="2230D3C7" w14:textId="74C79BC5" w:rsidR="006015C2" w:rsidRDefault="006015C2" w:rsidP="00732406">
      <w:pPr>
        <w:spacing w:after="120"/>
      </w:pPr>
      <w:r>
        <w:rPr>
          <w:b/>
        </w:rPr>
        <w:t xml:space="preserve">Arsov I and R Evans (2018), </w:t>
      </w:r>
      <w:r w:rsidR="008C5CB9">
        <w:t>‘</w:t>
      </w:r>
      <w:r>
        <w:t>Wage Growth in Advanced Economies</w:t>
      </w:r>
      <w:r w:rsidR="008C5CB9">
        <w:t>’</w:t>
      </w:r>
      <w:r>
        <w:t xml:space="preserve">, </w:t>
      </w:r>
      <w:r w:rsidRPr="00477D61">
        <w:t>RBA</w:t>
      </w:r>
      <w:r>
        <w:rPr>
          <w:i/>
        </w:rPr>
        <w:t xml:space="preserve"> Bulletin</w:t>
      </w:r>
      <w:r>
        <w:t>, March 2018</w:t>
      </w:r>
    </w:p>
    <w:p w14:paraId="4639456C" w14:textId="718081BB" w:rsidR="006015C2" w:rsidRDefault="006015C2" w:rsidP="00732406">
      <w:pPr>
        <w:spacing w:after="120"/>
      </w:pPr>
      <w:r w:rsidRPr="008A18E3">
        <w:rPr>
          <w:b/>
        </w:rPr>
        <w:t>Australian Treasury (2017)</w:t>
      </w:r>
      <w:r>
        <w:rPr>
          <w:b/>
        </w:rPr>
        <w:t xml:space="preserve">, </w:t>
      </w:r>
      <w:r w:rsidR="008C5CB9">
        <w:t>‘</w:t>
      </w:r>
      <w:r w:rsidRPr="008A18E3">
        <w:t>Analysis of Wage Growth</w:t>
      </w:r>
      <w:r w:rsidR="008C5CB9">
        <w:t>’</w:t>
      </w:r>
      <w:r>
        <w:t>, Treasury Working Paper, November 2017</w:t>
      </w:r>
    </w:p>
    <w:p w14:paraId="1E2908B1" w14:textId="58492E06" w:rsidR="006015C2" w:rsidRDefault="006015C2" w:rsidP="00732406">
      <w:pPr>
        <w:spacing w:after="120"/>
      </w:pPr>
      <w:r w:rsidRPr="005E43F2">
        <w:rPr>
          <w:b/>
        </w:rPr>
        <w:t>Autor DH, D Dorn and GH Hanson (2016)</w:t>
      </w:r>
      <w:r>
        <w:t xml:space="preserve">, </w:t>
      </w:r>
      <w:r w:rsidR="008C5CB9">
        <w:t>‘</w:t>
      </w:r>
      <w:r>
        <w:t>The China Shock: Learning from Labor Market Adjustments to Large Changes in Trade</w:t>
      </w:r>
      <w:r w:rsidR="008C5CB9">
        <w:t>’</w:t>
      </w:r>
      <w:r>
        <w:t>, NBER Working Paper No 21906, January 2016</w:t>
      </w:r>
    </w:p>
    <w:p w14:paraId="273F3A94" w14:textId="63751F80" w:rsidR="00BA2CF5" w:rsidRPr="00BA2CF5" w:rsidRDefault="00BA2CF5" w:rsidP="00732406">
      <w:pPr>
        <w:spacing w:after="120"/>
      </w:pPr>
      <w:r w:rsidRPr="005E43F2">
        <w:rPr>
          <w:b/>
        </w:rPr>
        <w:t>Autor DH, D Dorn</w:t>
      </w:r>
      <w:r>
        <w:rPr>
          <w:b/>
        </w:rPr>
        <w:t xml:space="preserve">, L Katz, C Patterson and J Van Reenen (2017), </w:t>
      </w:r>
      <w:r w:rsidR="008C5CB9">
        <w:t>‘</w:t>
      </w:r>
      <w:r>
        <w:t>The Fall of the Labour Share and the Rise of Superstar Firms</w:t>
      </w:r>
      <w:r w:rsidR="008C5CB9">
        <w:t>’</w:t>
      </w:r>
      <w:r>
        <w:t>, NBER Working Paper No. 23396, May 2017</w:t>
      </w:r>
    </w:p>
    <w:p w14:paraId="3FB71629" w14:textId="098076BE" w:rsidR="001C4B2D" w:rsidRDefault="001C4B2D" w:rsidP="00732406">
      <w:pPr>
        <w:spacing w:after="120"/>
        <w:rPr>
          <w:b/>
        </w:rPr>
      </w:pPr>
      <w:r>
        <w:rPr>
          <w:b/>
        </w:rPr>
        <w:t xml:space="preserve">Bagger, J, BJ Christensen and DT Mortenson (2014), </w:t>
      </w:r>
      <w:r w:rsidR="008C5CB9">
        <w:t>‘</w:t>
      </w:r>
      <w:r>
        <w:t>Productivity and Wage Dispersion: Heterogeneity or Misallocation?</w:t>
      </w:r>
      <w:r w:rsidR="008C5CB9">
        <w:t>’</w:t>
      </w:r>
      <w:r>
        <w:t xml:space="preserve"> Mimeo.</w:t>
      </w:r>
    </w:p>
    <w:p w14:paraId="6DD9E6ED" w14:textId="4A6561A3" w:rsidR="006015C2" w:rsidRDefault="006015C2" w:rsidP="00732406">
      <w:pPr>
        <w:spacing w:after="120"/>
      </w:pPr>
      <w:r>
        <w:rPr>
          <w:b/>
        </w:rPr>
        <w:t xml:space="preserve">Benmelech E, N Bergman and H Kim (2018), </w:t>
      </w:r>
      <w:r w:rsidR="008C5CB9">
        <w:t>‘</w:t>
      </w:r>
      <w:r w:rsidRPr="005E43F2">
        <w:t>Strong Employers and Weak Employees: How Does Employer Concentration Affect Wages?</w:t>
      </w:r>
      <w:r w:rsidR="008C5CB9">
        <w:t>’</w:t>
      </w:r>
      <w:r>
        <w:rPr>
          <w:b/>
        </w:rPr>
        <w:t xml:space="preserve">, </w:t>
      </w:r>
      <w:r w:rsidRPr="005E43F2">
        <w:t>NBER Working Paper No 24307</w:t>
      </w:r>
      <w:r>
        <w:t>, February 2018</w:t>
      </w:r>
    </w:p>
    <w:p w14:paraId="5B7D0F9A" w14:textId="4EC85371" w:rsidR="006015C2" w:rsidRDefault="006015C2" w:rsidP="00732406">
      <w:pPr>
        <w:spacing w:after="120"/>
      </w:pPr>
      <w:r w:rsidRPr="000C3A20">
        <w:rPr>
          <w:b/>
        </w:rPr>
        <w:t>Berlingieri G, P Blachenay and C Criscuolo (2017)</w:t>
      </w:r>
      <w:r>
        <w:t xml:space="preserve">, </w:t>
      </w:r>
      <w:r w:rsidR="008C5CB9">
        <w:t>‘</w:t>
      </w:r>
      <w:r>
        <w:t>The Great Divergence(s)</w:t>
      </w:r>
      <w:r w:rsidR="008C5CB9">
        <w:t>’</w:t>
      </w:r>
      <w:r>
        <w:t>, OECD Science, Technology and Innovation Policy Papers No. 39, May 2017</w:t>
      </w:r>
    </w:p>
    <w:p w14:paraId="67CC6A60" w14:textId="10BE704E" w:rsidR="006015C2" w:rsidRDefault="006015C2" w:rsidP="00732406">
      <w:pPr>
        <w:spacing w:after="120"/>
      </w:pPr>
      <w:r w:rsidRPr="00477D61">
        <w:rPr>
          <w:b/>
        </w:rPr>
        <w:t>Bishop J and N Cassidy (2017)</w:t>
      </w:r>
      <w:r>
        <w:t xml:space="preserve">, </w:t>
      </w:r>
      <w:r w:rsidR="008C5CB9">
        <w:t>‘</w:t>
      </w:r>
      <w:r>
        <w:t>Insights into Low Wage Growth in Australia</w:t>
      </w:r>
      <w:r w:rsidR="008C5CB9">
        <w:t>’</w:t>
      </w:r>
      <w:r>
        <w:t xml:space="preserve">, </w:t>
      </w:r>
      <w:r w:rsidRPr="00477D61">
        <w:t>RBA</w:t>
      </w:r>
      <w:r>
        <w:rPr>
          <w:i/>
        </w:rPr>
        <w:t xml:space="preserve"> Bulletin</w:t>
      </w:r>
      <w:r>
        <w:t>, March 2017</w:t>
      </w:r>
    </w:p>
    <w:p w14:paraId="2819C024" w14:textId="77777777" w:rsidR="006015C2" w:rsidRDefault="006015C2" w:rsidP="00732406">
      <w:pPr>
        <w:pStyle w:val="Bibliography"/>
        <w:spacing w:after="120"/>
      </w:pPr>
      <w:r>
        <w:rPr>
          <w:b/>
          <w:bCs/>
        </w:rPr>
        <w:t>Bishop J and I Chan (</w:t>
      </w:r>
      <w:r>
        <w:t>2019</w:t>
      </w:r>
      <w:r>
        <w:rPr>
          <w:b/>
          <w:bCs/>
        </w:rPr>
        <w:t>),</w:t>
      </w:r>
      <w:r>
        <w:t xml:space="preserve"> ‘Is Declining Union Membership Contributing to Low Wages Growth?’, RBA Research Discussion Paper</w:t>
      </w:r>
      <w:r w:rsidR="005D06C6">
        <w:t xml:space="preserve"> No 2019-02</w:t>
      </w:r>
    </w:p>
    <w:p w14:paraId="7EECE1B1" w14:textId="317D7845" w:rsidR="007962CB" w:rsidRDefault="007962CB" w:rsidP="00732406">
      <w:pPr>
        <w:spacing w:after="120"/>
        <w:rPr>
          <w:b/>
        </w:rPr>
      </w:pPr>
      <w:r>
        <w:rPr>
          <w:b/>
        </w:rPr>
        <w:t xml:space="preserve">Bishop J, L Gustafsson and M Plumb (2016), </w:t>
      </w:r>
      <w:r w:rsidR="008C5CB9">
        <w:t>‘</w:t>
      </w:r>
      <w:r>
        <w:t>Jobs or Hours? Cyclical Labour Market Adjustments in Australia</w:t>
      </w:r>
      <w:r w:rsidR="008C5CB9">
        <w:t>’</w:t>
      </w:r>
      <w:r>
        <w:t>, RBA Research Discussion Paper No 2016-06</w:t>
      </w:r>
    </w:p>
    <w:p w14:paraId="609B417A" w14:textId="554BF725" w:rsidR="006015C2" w:rsidRDefault="006015C2" w:rsidP="00732406">
      <w:pPr>
        <w:spacing w:after="120"/>
      </w:pPr>
      <w:r w:rsidRPr="005E43F2">
        <w:rPr>
          <w:b/>
        </w:rPr>
        <w:t>Campbell S, T Nguyen, A Sibelle and F Soriano (2019)</w:t>
      </w:r>
      <w:r>
        <w:t xml:space="preserve">, </w:t>
      </w:r>
      <w:r w:rsidR="008C5CB9">
        <w:t>‘</w:t>
      </w:r>
      <w:r>
        <w:t>Measuring Productivity Dispersion in Selected Australian Industries</w:t>
      </w:r>
      <w:r w:rsidR="008C5CB9">
        <w:t>’</w:t>
      </w:r>
      <w:r>
        <w:t>, Treasury-ABS Working Paper No. 2019-02, February 2019</w:t>
      </w:r>
    </w:p>
    <w:p w14:paraId="3F2BE107" w14:textId="02D4B671" w:rsidR="006015C2" w:rsidRDefault="006015C2" w:rsidP="00732406">
      <w:pPr>
        <w:spacing w:after="120"/>
      </w:pPr>
      <w:r>
        <w:rPr>
          <w:b/>
        </w:rPr>
        <w:t xml:space="preserve">Card D, AR Cardoso, J Heining and P Kline (2016), </w:t>
      </w:r>
      <w:r w:rsidR="008C5CB9">
        <w:t>‘</w:t>
      </w:r>
      <w:r w:rsidRPr="00477D61">
        <w:t>Firms and Labour Market Inequality: Evidence and Some Theory</w:t>
      </w:r>
      <w:r w:rsidR="008C5CB9">
        <w:t>’</w:t>
      </w:r>
      <w:r>
        <w:t>, NBER Working Paper No. 22850, November 2016</w:t>
      </w:r>
    </w:p>
    <w:p w14:paraId="11649F1D" w14:textId="702CB299" w:rsidR="006015C2" w:rsidRDefault="006015C2" w:rsidP="00732406">
      <w:pPr>
        <w:spacing w:after="120"/>
      </w:pPr>
      <w:r>
        <w:rPr>
          <w:b/>
        </w:rPr>
        <w:t>Card D, J Heining and P Kline (2013)</w:t>
      </w:r>
      <w:r w:rsidR="008C5CB9">
        <w:t>, ‘</w:t>
      </w:r>
      <w:r>
        <w:t>Workplace Heterogeneity and the Rise of West German Wage Inequality</w:t>
      </w:r>
      <w:r w:rsidR="008C5CB9">
        <w:t>’</w:t>
      </w:r>
      <w:r>
        <w:t xml:space="preserve">, </w:t>
      </w:r>
      <w:r>
        <w:rPr>
          <w:i/>
        </w:rPr>
        <w:t xml:space="preserve">The Quarterly </w:t>
      </w:r>
      <w:r w:rsidR="008C5CB9">
        <w:rPr>
          <w:i/>
        </w:rPr>
        <w:t>J</w:t>
      </w:r>
      <w:r>
        <w:rPr>
          <w:i/>
        </w:rPr>
        <w:t>ournal of Economics</w:t>
      </w:r>
      <w:r>
        <w:t>, 128(1), p</w:t>
      </w:r>
      <w:r w:rsidR="00A97AD3">
        <w:t>p</w:t>
      </w:r>
      <w:r>
        <w:t xml:space="preserve"> 967-1015</w:t>
      </w:r>
    </w:p>
    <w:p w14:paraId="5C38DFA5" w14:textId="7B6401BC" w:rsidR="006015C2" w:rsidRDefault="00685945" w:rsidP="00732406">
      <w:pPr>
        <w:spacing w:after="120"/>
      </w:pPr>
      <w:r>
        <w:rPr>
          <w:b/>
        </w:rPr>
        <w:t>Caselli F (1999</w:t>
      </w:r>
      <w:r w:rsidR="006015C2" w:rsidRPr="000C3A20">
        <w:rPr>
          <w:b/>
        </w:rPr>
        <w:t>)</w:t>
      </w:r>
      <w:r w:rsidR="006015C2">
        <w:rPr>
          <w:b/>
        </w:rPr>
        <w:t xml:space="preserve">, </w:t>
      </w:r>
      <w:r w:rsidR="008C5CB9">
        <w:t>‘</w:t>
      </w:r>
      <w:r w:rsidR="006015C2" w:rsidRPr="00A97AD3">
        <w:t>Technological Revolutions</w:t>
      </w:r>
      <w:r w:rsidR="008C5CB9">
        <w:t>’</w:t>
      </w:r>
      <w:r w:rsidR="006015C2">
        <w:rPr>
          <w:b/>
        </w:rPr>
        <w:t xml:space="preserve">, </w:t>
      </w:r>
      <w:r w:rsidR="006015C2" w:rsidRPr="00A97AD3">
        <w:rPr>
          <w:i/>
        </w:rPr>
        <w:t>American Economic Review</w:t>
      </w:r>
      <w:r w:rsidR="006015C2" w:rsidRPr="00A97AD3">
        <w:t>, 89(1), p</w:t>
      </w:r>
      <w:r w:rsidR="00A97AD3">
        <w:t>p</w:t>
      </w:r>
      <w:r w:rsidR="006015C2" w:rsidRPr="00A97AD3">
        <w:t xml:space="preserve"> 78-102</w:t>
      </w:r>
    </w:p>
    <w:p w14:paraId="0CE89B0E" w14:textId="3D17453D" w:rsidR="00DE528D" w:rsidRPr="00DE528D" w:rsidRDefault="00DE528D" w:rsidP="00732406">
      <w:pPr>
        <w:spacing w:after="120"/>
      </w:pPr>
      <w:r>
        <w:rPr>
          <w:b/>
        </w:rPr>
        <w:t xml:space="preserve">Cassidy (2019), </w:t>
      </w:r>
      <w:r w:rsidR="008C5CB9">
        <w:t>‘</w:t>
      </w:r>
      <w:r>
        <w:t>Low Wage Growth: An Introduction</w:t>
      </w:r>
      <w:r w:rsidR="008C5CB9">
        <w:t>’</w:t>
      </w:r>
      <w:r>
        <w:t>, Proceedings from RBA Conference on Low Wage Growth, Sydney, 4-5 April 2019</w:t>
      </w:r>
    </w:p>
    <w:p w14:paraId="529120F5" w14:textId="4A44AAC3" w:rsidR="006015C2" w:rsidRDefault="006015C2" w:rsidP="00732406">
      <w:pPr>
        <w:spacing w:after="120"/>
      </w:pPr>
      <w:r w:rsidRPr="00DE041A">
        <w:rPr>
          <w:b/>
        </w:rPr>
        <w:t>Davis SJ and J Haltiwanger (2014)</w:t>
      </w:r>
      <w:r>
        <w:t xml:space="preserve">, </w:t>
      </w:r>
      <w:r w:rsidR="008C5CB9">
        <w:t>‘</w:t>
      </w:r>
      <w:r>
        <w:t>Labor Market Fluidity and Economic Performance</w:t>
      </w:r>
      <w:r w:rsidR="008C5CB9">
        <w:t>’</w:t>
      </w:r>
      <w:r>
        <w:t>, NBER Working Paper No. 20479, September 2014</w:t>
      </w:r>
    </w:p>
    <w:p w14:paraId="24AA2BAD" w14:textId="568F3413" w:rsidR="006015C2" w:rsidRDefault="006015C2" w:rsidP="00732406">
      <w:pPr>
        <w:spacing w:after="120"/>
      </w:pPr>
      <w:r w:rsidRPr="005E43F2">
        <w:rPr>
          <w:b/>
        </w:rPr>
        <w:t>Decker RA, JC Haltiwanger, RS Jarmin and J Marinda (2018)</w:t>
      </w:r>
      <w:r>
        <w:t xml:space="preserve">, </w:t>
      </w:r>
      <w:r w:rsidR="008C5CB9">
        <w:t>‘</w:t>
      </w:r>
      <w:r>
        <w:t>Changing Business Dynamism and Productivity: Shocks vs Responsiveness</w:t>
      </w:r>
      <w:r w:rsidR="008C5CB9">
        <w:t>’</w:t>
      </w:r>
      <w:r>
        <w:t>, NBER Working Paper No 24236, January 2018</w:t>
      </w:r>
    </w:p>
    <w:p w14:paraId="34D576D6" w14:textId="77777777" w:rsidR="00C53585" w:rsidRDefault="00C53585" w:rsidP="00C53585">
      <w:pPr>
        <w:spacing w:after="120"/>
      </w:pPr>
      <w:r w:rsidRPr="000C3A20">
        <w:rPr>
          <w:b/>
        </w:rPr>
        <w:lastRenderedPageBreak/>
        <w:t>Deutscher N (</w:t>
      </w:r>
      <w:r>
        <w:rPr>
          <w:b/>
        </w:rPr>
        <w:t>2019</w:t>
      </w:r>
      <w:r w:rsidRPr="000C3A20">
        <w:rPr>
          <w:b/>
        </w:rPr>
        <w:t>),</w:t>
      </w:r>
      <w:r>
        <w:t xml:space="preserve"> ‘Job-to-job Transitions and the Wages of Australian Workers’, Treasury Working Paper (forthcoming)</w:t>
      </w:r>
    </w:p>
    <w:p w14:paraId="2F5A4911" w14:textId="78F22813" w:rsidR="006015C2" w:rsidRDefault="006015C2" w:rsidP="00732406">
      <w:pPr>
        <w:spacing w:after="120"/>
      </w:pPr>
      <w:proofErr w:type="spellStart"/>
      <w:r>
        <w:rPr>
          <w:b/>
        </w:rPr>
        <w:t>Dobbelaere</w:t>
      </w:r>
      <w:proofErr w:type="spellEnd"/>
      <w:r>
        <w:rPr>
          <w:b/>
        </w:rPr>
        <w:t xml:space="preserve"> S and </w:t>
      </w:r>
      <w:r w:rsidR="00EF19A2">
        <w:rPr>
          <w:b/>
        </w:rPr>
        <w:t xml:space="preserve">J </w:t>
      </w:r>
      <w:r>
        <w:rPr>
          <w:b/>
        </w:rPr>
        <w:t xml:space="preserve">Mairesse (2018), </w:t>
      </w:r>
      <w:r w:rsidR="008C5CB9">
        <w:t>‘</w:t>
      </w:r>
      <w:r>
        <w:t>Comparing Micro-evidence on Rent Sharing from Two Different Econometric Models</w:t>
      </w:r>
      <w:r w:rsidR="008C5CB9">
        <w:t>’</w:t>
      </w:r>
      <w:r>
        <w:t xml:space="preserve">, </w:t>
      </w:r>
      <w:r>
        <w:rPr>
          <w:i/>
        </w:rPr>
        <w:t>Labour Economics</w:t>
      </w:r>
      <w:r>
        <w:t>, 52, pp 18-26</w:t>
      </w:r>
    </w:p>
    <w:p w14:paraId="021F51D5" w14:textId="193193F4" w:rsidR="006015C2" w:rsidRPr="00A97AD3" w:rsidRDefault="006015C2" w:rsidP="00732406">
      <w:pPr>
        <w:spacing w:after="120"/>
        <w:rPr>
          <w:rFonts w:cs="Arial"/>
          <w:color w:val="222222"/>
          <w:shd w:val="clear" w:color="auto" w:fill="FFFFFF"/>
        </w:rPr>
      </w:pPr>
      <w:proofErr w:type="spellStart"/>
      <w:r w:rsidRPr="00535FC5">
        <w:rPr>
          <w:rFonts w:cs="Arial"/>
          <w:b/>
          <w:color w:val="222222"/>
          <w:shd w:val="clear" w:color="auto" w:fill="FFFFFF"/>
        </w:rPr>
        <w:t>Faberman</w:t>
      </w:r>
      <w:proofErr w:type="spellEnd"/>
      <w:r w:rsidRPr="00535FC5">
        <w:rPr>
          <w:rFonts w:cs="Arial"/>
          <w:b/>
          <w:color w:val="222222"/>
          <w:shd w:val="clear" w:color="auto" w:fill="FFFFFF"/>
        </w:rPr>
        <w:t xml:space="preserve"> RJ and</w:t>
      </w:r>
      <w:r>
        <w:rPr>
          <w:rFonts w:cs="Arial"/>
          <w:b/>
          <w:color w:val="222222"/>
          <w:shd w:val="clear" w:color="auto" w:fill="FFFFFF"/>
        </w:rPr>
        <w:t xml:space="preserve"> A </w:t>
      </w:r>
      <w:proofErr w:type="gramStart"/>
      <w:r>
        <w:rPr>
          <w:rFonts w:cs="Arial"/>
          <w:b/>
          <w:color w:val="222222"/>
          <w:shd w:val="clear" w:color="auto" w:fill="FFFFFF"/>
        </w:rPr>
        <w:t>Justiniano</w:t>
      </w:r>
      <w:r w:rsidRPr="00535FC5">
        <w:rPr>
          <w:rFonts w:cs="Arial"/>
          <w:b/>
          <w:color w:val="222222"/>
          <w:shd w:val="clear" w:color="auto" w:fill="FFFFFF"/>
        </w:rPr>
        <w:t xml:space="preserve">  (</w:t>
      </w:r>
      <w:proofErr w:type="gramEnd"/>
      <w:r w:rsidRPr="00535FC5">
        <w:rPr>
          <w:rFonts w:cs="Arial"/>
          <w:b/>
          <w:color w:val="222222"/>
          <w:shd w:val="clear" w:color="auto" w:fill="FFFFFF"/>
        </w:rPr>
        <w:t>2015)</w:t>
      </w:r>
      <w:r>
        <w:rPr>
          <w:rFonts w:cs="Arial"/>
          <w:color w:val="222222"/>
          <w:shd w:val="clear" w:color="auto" w:fill="FFFFFF"/>
        </w:rPr>
        <w:t>,</w:t>
      </w:r>
      <w:r w:rsidRPr="00F507AB">
        <w:rPr>
          <w:rFonts w:cs="Arial"/>
          <w:color w:val="222222"/>
          <w:shd w:val="clear" w:color="auto" w:fill="FFFFFF"/>
        </w:rPr>
        <w:t xml:space="preserve"> </w:t>
      </w:r>
      <w:r w:rsidR="008C5CB9">
        <w:rPr>
          <w:rFonts w:cs="Arial"/>
          <w:color w:val="222222"/>
          <w:shd w:val="clear" w:color="auto" w:fill="FFFFFF"/>
        </w:rPr>
        <w:t>‘</w:t>
      </w:r>
      <w:r w:rsidRPr="00F507AB">
        <w:rPr>
          <w:rFonts w:cs="Arial"/>
          <w:color w:val="222222"/>
          <w:shd w:val="clear" w:color="auto" w:fill="FFFFFF"/>
        </w:rPr>
        <w:t xml:space="preserve">Job </w:t>
      </w:r>
      <w:r>
        <w:rPr>
          <w:rFonts w:cs="Arial"/>
          <w:color w:val="222222"/>
          <w:shd w:val="clear" w:color="auto" w:fill="FFFFFF"/>
        </w:rPr>
        <w:t>S</w:t>
      </w:r>
      <w:r w:rsidRPr="00F507AB">
        <w:rPr>
          <w:rFonts w:cs="Arial"/>
          <w:color w:val="222222"/>
          <w:shd w:val="clear" w:color="auto" w:fill="FFFFFF"/>
        </w:rPr>
        <w:t xml:space="preserve">witching and </w:t>
      </w:r>
      <w:r>
        <w:rPr>
          <w:rFonts w:cs="Arial"/>
          <w:color w:val="222222"/>
          <w:shd w:val="clear" w:color="auto" w:fill="FFFFFF"/>
        </w:rPr>
        <w:t>W</w:t>
      </w:r>
      <w:r w:rsidRPr="00F507AB">
        <w:rPr>
          <w:rFonts w:cs="Arial"/>
          <w:color w:val="222222"/>
          <w:shd w:val="clear" w:color="auto" w:fill="FFFFFF"/>
        </w:rPr>
        <w:t xml:space="preserve">age </w:t>
      </w:r>
      <w:r>
        <w:rPr>
          <w:rFonts w:cs="Arial"/>
          <w:color w:val="222222"/>
          <w:shd w:val="clear" w:color="auto" w:fill="FFFFFF"/>
        </w:rPr>
        <w:t>G</w:t>
      </w:r>
      <w:r w:rsidRPr="00F507AB">
        <w:rPr>
          <w:rFonts w:cs="Arial"/>
          <w:color w:val="222222"/>
          <w:shd w:val="clear" w:color="auto" w:fill="FFFFFF"/>
        </w:rPr>
        <w:t>rowth</w:t>
      </w:r>
      <w:r w:rsidR="008C5CB9">
        <w:rPr>
          <w:rFonts w:cs="Arial"/>
          <w:color w:val="222222"/>
          <w:shd w:val="clear" w:color="auto" w:fill="FFFFFF"/>
        </w:rPr>
        <w:t>’</w:t>
      </w:r>
      <w:r>
        <w:rPr>
          <w:rFonts w:cs="Arial"/>
          <w:color w:val="222222"/>
          <w:shd w:val="clear" w:color="auto" w:fill="FFFFFF"/>
        </w:rPr>
        <w:t>,</w:t>
      </w:r>
      <w:r w:rsidRPr="00F507AB">
        <w:rPr>
          <w:rFonts w:cs="Arial"/>
          <w:color w:val="222222"/>
          <w:shd w:val="clear" w:color="auto" w:fill="FFFFFF"/>
        </w:rPr>
        <w:t> </w:t>
      </w:r>
      <w:r w:rsidRPr="00A97AD3">
        <w:rPr>
          <w:rFonts w:cs="Arial"/>
          <w:iCs/>
          <w:color w:val="222222"/>
          <w:shd w:val="clear" w:color="auto" w:fill="FFFFFF"/>
        </w:rPr>
        <w:t>Chicago Fed Letter</w:t>
      </w:r>
      <w:r w:rsidR="00A97AD3">
        <w:rPr>
          <w:rFonts w:cs="Arial"/>
          <w:iCs/>
          <w:color w:val="222222"/>
          <w:shd w:val="clear" w:color="auto" w:fill="FFFFFF"/>
        </w:rPr>
        <w:t xml:space="preserve"> No.</w:t>
      </w:r>
      <w:r w:rsidR="00A97AD3">
        <w:rPr>
          <w:rFonts w:cs="Arial"/>
          <w:color w:val="222222"/>
          <w:shd w:val="clear" w:color="auto" w:fill="FFFFFF"/>
        </w:rPr>
        <w:t xml:space="preserve"> 337</w:t>
      </w:r>
    </w:p>
    <w:p w14:paraId="06930A96" w14:textId="7D3DEEFA" w:rsidR="00EF19A2" w:rsidRDefault="00EF19A2" w:rsidP="00732406">
      <w:pPr>
        <w:spacing w:after="120"/>
        <w:rPr>
          <w:rFonts w:cs="Arial"/>
          <w:color w:val="222222"/>
          <w:shd w:val="clear" w:color="auto" w:fill="FFFFFF"/>
        </w:rPr>
      </w:pPr>
      <w:r w:rsidRPr="00EF19A2">
        <w:rPr>
          <w:rFonts w:cs="Arial"/>
          <w:b/>
          <w:color w:val="222222"/>
          <w:shd w:val="clear" w:color="auto" w:fill="FFFFFF"/>
        </w:rPr>
        <w:t>Freestone O (2018)</w:t>
      </w:r>
      <w:r>
        <w:rPr>
          <w:rFonts w:cs="Arial"/>
          <w:color w:val="222222"/>
          <w:shd w:val="clear" w:color="auto" w:fill="FFFFFF"/>
        </w:rPr>
        <w:t xml:space="preserve">, </w:t>
      </w:r>
      <w:r w:rsidR="008C5CB9">
        <w:rPr>
          <w:rFonts w:cs="Arial"/>
          <w:color w:val="222222"/>
          <w:shd w:val="clear" w:color="auto" w:fill="FFFFFF"/>
        </w:rPr>
        <w:t>‘</w:t>
      </w:r>
      <w:r>
        <w:rPr>
          <w:rFonts w:cs="Arial"/>
          <w:color w:val="222222"/>
          <w:shd w:val="clear" w:color="auto" w:fill="FFFFFF"/>
        </w:rPr>
        <w:t>The Drivers of Life-Cycle Wage Inequality in Australia</w:t>
      </w:r>
      <w:r w:rsidR="008C5CB9">
        <w:rPr>
          <w:rFonts w:cs="Arial"/>
          <w:color w:val="222222"/>
          <w:shd w:val="clear" w:color="auto" w:fill="FFFFFF"/>
        </w:rPr>
        <w:t>’</w:t>
      </w:r>
      <w:r>
        <w:rPr>
          <w:rFonts w:cs="Arial"/>
          <w:color w:val="222222"/>
          <w:shd w:val="clear" w:color="auto" w:fill="FFFFFF"/>
        </w:rPr>
        <w:t xml:space="preserve">, </w:t>
      </w:r>
      <w:r w:rsidRPr="00EF19A2">
        <w:rPr>
          <w:rFonts w:cs="Arial"/>
          <w:i/>
          <w:color w:val="222222"/>
          <w:shd w:val="clear" w:color="auto" w:fill="FFFFFF"/>
        </w:rPr>
        <w:t>Economic Record</w:t>
      </w:r>
      <w:r w:rsidR="00A97AD3">
        <w:rPr>
          <w:rFonts w:cs="Arial"/>
          <w:color w:val="222222"/>
          <w:shd w:val="clear" w:color="auto" w:fill="FFFFFF"/>
        </w:rPr>
        <w:t>, 94(307), pp</w:t>
      </w:r>
      <w:r>
        <w:rPr>
          <w:rFonts w:cs="Arial"/>
          <w:color w:val="222222"/>
          <w:shd w:val="clear" w:color="auto" w:fill="FFFFFF"/>
        </w:rPr>
        <w:t xml:space="preserve"> 424-444</w:t>
      </w:r>
    </w:p>
    <w:p w14:paraId="5209C46E" w14:textId="7514207C" w:rsidR="006015C2" w:rsidRDefault="006015C2" w:rsidP="00732406">
      <w:pPr>
        <w:spacing w:after="120"/>
      </w:pPr>
      <w:r w:rsidRPr="00477D61">
        <w:rPr>
          <w:b/>
        </w:rPr>
        <w:t>Foster J and R Guttmann (2018)</w:t>
      </w:r>
      <w:r>
        <w:t xml:space="preserve">, </w:t>
      </w:r>
      <w:r w:rsidR="008C5CB9">
        <w:t>‘</w:t>
      </w:r>
      <w:r>
        <w:t>Perceptions of Job Security in Australia</w:t>
      </w:r>
      <w:r w:rsidR="008C5CB9">
        <w:t>’</w:t>
      </w:r>
      <w:r>
        <w:t xml:space="preserve">, RBA </w:t>
      </w:r>
      <w:r w:rsidRPr="00477D61">
        <w:rPr>
          <w:i/>
        </w:rPr>
        <w:t>Bulletin</w:t>
      </w:r>
      <w:r w:rsidR="00A97AD3">
        <w:t>, March 2018</w:t>
      </w:r>
    </w:p>
    <w:p w14:paraId="5BC199AD" w14:textId="4DA98C8A" w:rsidR="006015C2" w:rsidRDefault="006015C2" w:rsidP="00732406">
      <w:pPr>
        <w:spacing w:after="120"/>
      </w:pPr>
      <w:r w:rsidRPr="00F51A74">
        <w:rPr>
          <w:b/>
        </w:rPr>
        <w:t>Guertzgen N (2009)</w:t>
      </w:r>
      <w:r>
        <w:t xml:space="preserve">, </w:t>
      </w:r>
      <w:r w:rsidR="008C5CB9">
        <w:t>‘</w:t>
      </w:r>
      <w:r>
        <w:t>Rent-sharing and Collective Bargaining Coverage: Evidence from Linked Employer-Employee Data</w:t>
      </w:r>
      <w:r w:rsidR="008C5CB9">
        <w:t>’</w:t>
      </w:r>
      <w:r>
        <w:t xml:space="preserve">, </w:t>
      </w:r>
      <w:r>
        <w:rPr>
          <w:i/>
        </w:rPr>
        <w:t>The Scandinavian Journal of Economics</w:t>
      </w:r>
      <w:r>
        <w:t>, 111(2)</w:t>
      </w:r>
      <w:r w:rsidR="00A97AD3">
        <w:t>, pp 323-349</w:t>
      </w:r>
    </w:p>
    <w:p w14:paraId="2D3157B8" w14:textId="660D59AC" w:rsidR="006015C2" w:rsidRDefault="006015C2" w:rsidP="00732406">
      <w:pPr>
        <w:spacing w:after="120"/>
      </w:pPr>
      <w:r>
        <w:rPr>
          <w:b/>
        </w:rPr>
        <w:t xml:space="preserve">Haldane AG, </w:t>
      </w:r>
      <w:r w:rsidR="008C5CB9">
        <w:rPr>
          <w:b/>
        </w:rPr>
        <w:t>‘</w:t>
      </w:r>
      <w:r w:rsidRPr="008C5CB9">
        <w:t>The UK’s Productivity Problem: Hubs No Spokes</w:t>
      </w:r>
      <w:r w:rsidR="008C5CB9">
        <w:rPr>
          <w:b/>
        </w:rPr>
        <w:t>’</w:t>
      </w:r>
      <w:r>
        <w:rPr>
          <w:b/>
        </w:rPr>
        <w:t xml:space="preserve">, </w:t>
      </w:r>
      <w:r>
        <w:t>Speech to Academy of Social Sciences Annual Lecture, London, 28 June 2018</w:t>
      </w:r>
    </w:p>
    <w:p w14:paraId="58FEE776" w14:textId="1A870370" w:rsidR="006015C2" w:rsidRPr="00F51A74" w:rsidRDefault="006015C2" w:rsidP="00732406">
      <w:pPr>
        <w:spacing w:after="120"/>
      </w:pPr>
      <w:r w:rsidRPr="00F51A74">
        <w:rPr>
          <w:b/>
        </w:rPr>
        <w:t>Haltiwanger J, H Hyatt and E McEntrafer (2017)</w:t>
      </w:r>
      <w:r>
        <w:rPr>
          <w:b/>
        </w:rPr>
        <w:t xml:space="preserve">, </w:t>
      </w:r>
      <w:r w:rsidR="008C5CB9">
        <w:t>‘</w:t>
      </w:r>
      <w:r>
        <w:t>Who Moves up the Job Ladder?</w:t>
      </w:r>
      <w:r w:rsidR="008C5CB9">
        <w:t>’</w:t>
      </w:r>
      <w:r>
        <w:t>, NBER Working Paper No 23693, August 2017</w:t>
      </w:r>
    </w:p>
    <w:p w14:paraId="46028DDB" w14:textId="194397CD" w:rsidR="006015C2" w:rsidRPr="00DA5CD4" w:rsidRDefault="006015C2" w:rsidP="00732406">
      <w:pPr>
        <w:spacing w:after="120"/>
        <w:rPr>
          <w:color w:val="auto"/>
        </w:rPr>
      </w:pPr>
      <w:r w:rsidRPr="00535FC5">
        <w:rPr>
          <w:b/>
          <w:color w:val="auto"/>
        </w:rPr>
        <w:t xml:space="preserve">Hansell </w:t>
      </w:r>
      <w:r>
        <w:rPr>
          <w:b/>
          <w:color w:val="auto"/>
        </w:rPr>
        <w:t>D</w:t>
      </w:r>
      <w:r w:rsidRPr="00535FC5">
        <w:rPr>
          <w:b/>
          <w:color w:val="auto"/>
        </w:rPr>
        <w:t xml:space="preserve"> and </w:t>
      </w:r>
      <w:r>
        <w:rPr>
          <w:b/>
          <w:color w:val="auto"/>
        </w:rPr>
        <w:t>B</w:t>
      </w:r>
      <w:r w:rsidRPr="00535FC5">
        <w:rPr>
          <w:b/>
          <w:color w:val="auto"/>
        </w:rPr>
        <w:t xml:space="preserve"> Rafi (2018)</w:t>
      </w:r>
      <w:r>
        <w:rPr>
          <w:color w:val="auto"/>
        </w:rPr>
        <w:t>,</w:t>
      </w:r>
      <w:r w:rsidRPr="00DA5CD4">
        <w:rPr>
          <w:color w:val="auto"/>
        </w:rPr>
        <w:t xml:space="preserve"> </w:t>
      </w:r>
      <w:r w:rsidR="00AA7208">
        <w:rPr>
          <w:color w:val="auto"/>
        </w:rPr>
        <w:t>‘</w:t>
      </w:r>
      <w:r w:rsidRPr="00DA5CD4">
        <w:rPr>
          <w:color w:val="auto"/>
        </w:rPr>
        <w:t>Firm-level Analysis Using the ABS’ Business Longitudinal Analysis Data Environment (BLADE)</w:t>
      </w:r>
      <w:r w:rsidR="00AA7208">
        <w:rPr>
          <w:color w:val="auto"/>
        </w:rPr>
        <w:t>’</w:t>
      </w:r>
      <w:r w:rsidRPr="00DA5CD4">
        <w:rPr>
          <w:color w:val="auto"/>
        </w:rPr>
        <w:t xml:space="preserve">, </w:t>
      </w:r>
      <w:r w:rsidRPr="00426BC2">
        <w:rPr>
          <w:i/>
          <w:color w:val="auto"/>
        </w:rPr>
        <w:t>Australian Economic Review</w:t>
      </w:r>
      <w:r w:rsidRPr="00DA5CD4">
        <w:rPr>
          <w:color w:val="auto"/>
        </w:rPr>
        <w:t xml:space="preserve">, </w:t>
      </w:r>
      <w:r w:rsidR="00EF19A2">
        <w:rPr>
          <w:color w:val="auto"/>
        </w:rPr>
        <w:t>51(1), pp</w:t>
      </w:r>
      <w:r w:rsidR="00A97AD3">
        <w:rPr>
          <w:color w:val="auto"/>
        </w:rPr>
        <w:t xml:space="preserve"> 132-138</w:t>
      </w:r>
      <w:r w:rsidRPr="00DA5CD4">
        <w:rPr>
          <w:color w:val="auto"/>
        </w:rPr>
        <w:t xml:space="preserve"> </w:t>
      </w:r>
    </w:p>
    <w:p w14:paraId="6B08EB4A" w14:textId="368ED52C" w:rsidR="006015C2" w:rsidRPr="00F507AB" w:rsidRDefault="006015C2" w:rsidP="00732406">
      <w:pPr>
        <w:spacing w:after="120"/>
        <w:rPr>
          <w:rFonts w:cs="Arial"/>
          <w:color w:val="222222"/>
          <w:shd w:val="clear" w:color="auto" w:fill="FFFFFF"/>
        </w:rPr>
      </w:pPr>
      <w:r w:rsidRPr="00535FC5">
        <w:rPr>
          <w:rFonts w:cs="Arial"/>
          <w:b/>
          <w:color w:val="222222"/>
          <w:shd w:val="clear" w:color="auto" w:fill="FFFFFF"/>
        </w:rPr>
        <w:t xml:space="preserve">Karahan F, </w:t>
      </w:r>
      <w:r>
        <w:rPr>
          <w:rFonts w:cs="Arial"/>
          <w:b/>
          <w:color w:val="222222"/>
          <w:shd w:val="clear" w:color="auto" w:fill="FFFFFF"/>
        </w:rPr>
        <w:t xml:space="preserve">R </w:t>
      </w:r>
      <w:r w:rsidRPr="00535FC5">
        <w:rPr>
          <w:rFonts w:cs="Arial"/>
          <w:b/>
          <w:color w:val="222222"/>
          <w:shd w:val="clear" w:color="auto" w:fill="FFFFFF"/>
        </w:rPr>
        <w:t xml:space="preserve">Michaels R, </w:t>
      </w:r>
      <w:r>
        <w:rPr>
          <w:rFonts w:cs="Arial"/>
          <w:b/>
          <w:color w:val="222222"/>
          <w:shd w:val="clear" w:color="auto" w:fill="FFFFFF"/>
        </w:rPr>
        <w:t>B Pugsley</w:t>
      </w:r>
      <w:r w:rsidRPr="00535FC5">
        <w:rPr>
          <w:rFonts w:cs="Arial"/>
          <w:b/>
          <w:color w:val="222222"/>
          <w:shd w:val="clear" w:color="auto" w:fill="FFFFFF"/>
        </w:rPr>
        <w:t xml:space="preserve">, </w:t>
      </w:r>
      <w:r>
        <w:rPr>
          <w:rFonts w:cs="Arial"/>
          <w:b/>
          <w:color w:val="222222"/>
          <w:shd w:val="clear" w:color="auto" w:fill="FFFFFF"/>
        </w:rPr>
        <w:t xml:space="preserve">A </w:t>
      </w:r>
      <w:r w:rsidRPr="00535FC5">
        <w:rPr>
          <w:rFonts w:cs="Arial"/>
          <w:b/>
          <w:color w:val="222222"/>
          <w:shd w:val="clear" w:color="auto" w:fill="FFFFFF"/>
        </w:rPr>
        <w:t xml:space="preserve">Şahin and </w:t>
      </w:r>
      <w:r>
        <w:rPr>
          <w:rFonts w:cs="Arial"/>
          <w:b/>
          <w:color w:val="222222"/>
          <w:shd w:val="clear" w:color="auto" w:fill="FFFFFF"/>
        </w:rPr>
        <w:t>R Schuh</w:t>
      </w:r>
      <w:r w:rsidRPr="00535FC5">
        <w:rPr>
          <w:rFonts w:cs="Arial"/>
          <w:b/>
          <w:color w:val="222222"/>
          <w:shd w:val="clear" w:color="auto" w:fill="FFFFFF"/>
        </w:rPr>
        <w:t xml:space="preserve"> (2017)</w:t>
      </w:r>
      <w:r>
        <w:rPr>
          <w:rFonts w:cs="Arial"/>
          <w:color w:val="222222"/>
          <w:shd w:val="clear" w:color="auto" w:fill="FFFFFF"/>
        </w:rPr>
        <w:t>,</w:t>
      </w:r>
      <w:r w:rsidRPr="00F507AB">
        <w:rPr>
          <w:rFonts w:cs="Arial"/>
          <w:color w:val="222222"/>
          <w:shd w:val="clear" w:color="auto" w:fill="FFFFFF"/>
        </w:rPr>
        <w:t xml:space="preserve"> </w:t>
      </w:r>
      <w:r w:rsidR="00AA7208">
        <w:rPr>
          <w:rFonts w:cs="Arial"/>
          <w:color w:val="222222"/>
          <w:shd w:val="clear" w:color="auto" w:fill="FFFFFF"/>
        </w:rPr>
        <w:t>‘</w:t>
      </w:r>
      <w:r w:rsidRPr="00F507AB">
        <w:rPr>
          <w:rFonts w:cs="Arial"/>
          <w:color w:val="222222"/>
          <w:shd w:val="clear" w:color="auto" w:fill="FFFFFF"/>
        </w:rPr>
        <w:t>Do Job-to-Job Transitions Drive Wage Fluctuations over the Business Cycle?</w:t>
      </w:r>
      <w:r w:rsidR="00AA7208">
        <w:rPr>
          <w:rFonts w:cs="Arial"/>
          <w:color w:val="222222"/>
          <w:shd w:val="clear" w:color="auto" w:fill="FFFFFF"/>
        </w:rPr>
        <w:t>’</w:t>
      </w:r>
      <w:r>
        <w:rPr>
          <w:rFonts w:cs="Arial"/>
          <w:color w:val="222222"/>
          <w:shd w:val="clear" w:color="auto" w:fill="FFFFFF"/>
        </w:rPr>
        <w:t>,</w:t>
      </w:r>
      <w:r w:rsidRPr="00F507AB">
        <w:rPr>
          <w:rFonts w:cs="Arial"/>
          <w:color w:val="222222"/>
          <w:shd w:val="clear" w:color="auto" w:fill="FFFFFF"/>
        </w:rPr>
        <w:t> </w:t>
      </w:r>
      <w:r w:rsidRPr="00F507AB">
        <w:rPr>
          <w:rFonts w:cs="Arial"/>
          <w:i/>
          <w:iCs/>
          <w:color w:val="222222"/>
          <w:shd w:val="clear" w:color="auto" w:fill="FFFFFF"/>
        </w:rPr>
        <w:t>American Economic Review</w:t>
      </w:r>
      <w:r w:rsidRPr="00F507AB">
        <w:rPr>
          <w:rFonts w:cs="Arial"/>
          <w:color w:val="222222"/>
          <w:shd w:val="clear" w:color="auto" w:fill="FFFFFF"/>
        </w:rPr>
        <w:t>, </w:t>
      </w:r>
      <w:r w:rsidRPr="00535FC5">
        <w:rPr>
          <w:rFonts w:cs="Arial"/>
          <w:iCs/>
          <w:color w:val="222222"/>
          <w:shd w:val="clear" w:color="auto" w:fill="FFFFFF"/>
        </w:rPr>
        <w:t>107</w:t>
      </w:r>
      <w:r w:rsidRPr="00535FC5">
        <w:rPr>
          <w:rFonts w:cs="Arial"/>
          <w:color w:val="222222"/>
          <w:shd w:val="clear" w:color="auto" w:fill="FFFFFF"/>
        </w:rPr>
        <w:t>(</w:t>
      </w:r>
      <w:r w:rsidR="00A97AD3">
        <w:rPr>
          <w:rFonts w:cs="Arial"/>
          <w:color w:val="222222"/>
          <w:shd w:val="clear" w:color="auto" w:fill="FFFFFF"/>
        </w:rPr>
        <w:t>5), pp 353-57</w:t>
      </w:r>
    </w:p>
    <w:p w14:paraId="503762D4" w14:textId="7C56FC41" w:rsidR="006015C2" w:rsidRDefault="006015C2" w:rsidP="00732406">
      <w:pPr>
        <w:spacing w:after="120"/>
        <w:rPr>
          <w:rFonts w:cs="Arial"/>
          <w:color w:val="222222"/>
          <w:shd w:val="clear" w:color="auto" w:fill="FFFFFF"/>
        </w:rPr>
      </w:pPr>
      <w:r w:rsidRPr="00535FC5">
        <w:rPr>
          <w:rFonts w:cs="Arial"/>
          <w:b/>
          <w:color w:val="222222"/>
          <w:shd w:val="clear" w:color="auto" w:fill="FFFFFF"/>
        </w:rPr>
        <w:t>Lowe</w:t>
      </w:r>
      <w:r>
        <w:rPr>
          <w:rFonts w:cs="Arial"/>
          <w:b/>
          <w:color w:val="222222"/>
          <w:shd w:val="clear" w:color="auto" w:fill="FFFFFF"/>
        </w:rPr>
        <w:t xml:space="preserve"> P</w:t>
      </w:r>
      <w:r w:rsidRPr="00535FC5">
        <w:rPr>
          <w:rFonts w:cs="Arial"/>
          <w:b/>
          <w:color w:val="222222"/>
          <w:shd w:val="clear" w:color="auto" w:fill="FFFFFF"/>
        </w:rPr>
        <w:t xml:space="preserve"> (2017)</w:t>
      </w:r>
      <w:r>
        <w:rPr>
          <w:rFonts w:cs="Arial"/>
          <w:color w:val="222222"/>
          <w:shd w:val="clear" w:color="auto" w:fill="FFFFFF"/>
        </w:rPr>
        <w:t>,</w:t>
      </w:r>
      <w:r w:rsidRPr="00F507AB">
        <w:rPr>
          <w:rFonts w:cs="Arial"/>
          <w:color w:val="222222"/>
          <w:shd w:val="clear" w:color="auto" w:fill="FFFFFF"/>
        </w:rPr>
        <w:t xml:space="preserve"> </w:t>
      </w:r>
      <w:r w:rsidR="00AA7208">
        <w:rPr>
          <w:rFonts w:cs="Arial"/>
          <w:color w:val="222222"/>
          <w:shd w:val="clear" w:color="auto" w:fill="FFFFFF"/>
        </w:rPr>
        <w:t>‘</w:t>
      </w:r>
      <w:r w:rsidRPr="00F507AB">
        <w:rPr>
          <w:rFonts w:cs="Arial"/>
          <w:color w:val="222222"/>
          <w:shd w:val="clear" w:color="auto" w:fill="FFFFFF"/>
        </w:rPr>
        <w:t xml:space="preserve">The </w:t>
      </w:r>
      <w:r>
        <w:rPr>
          <w:rFonts w:cs="Arial"/>
          <w:color w:val="222222"/>
          <w:shd w:val="clear" w:color="auto" w:fill="FFFFFF"/>
        </w:rPr>
        <w:t>L</w:t>
      </w:r>
      <w:r w:rsidRPr="00F507AB">
        <w:rPr>
          <w:rFonts w:cs="Arial"/>
          <w:color w:val="222222"/>
          <w:shd w:val="clear" w:color="auto" w:fill="FFFFFF"/>
        </w:rPr>
        <w:t xml:space="preserve">abour </w:t>
      </w:r>
      <w:r>
        <w:rPr>
          <w:rFonts w:cs="Arial"/>
          <w:color w:val="222222"/>
          <w:shd w:val="clear" w:color="auto" w:fill="FFFFFF"/>
        </w:rPr>
        <w:t>M</w:t>
      </w:r>
      <w:r w:rsidRPr="00F507AB">
        <w:rPr>
          <w:rFonts w:cs="Arial"/>
          <w:color w:val="222222"/>
          <w:shd w:val="clear" w:color="auto" w:fill="FFFFFF"/>
        </w:rPr>
        <w:t xml:space="preserve">arket and </w:t>
      </w:r>
      <w:r>
        <w:rPr>
          <w:rFonts w:cs="Arial"/>
          <w:color w:val="222222"/>
          <w:shd w:val="clear" w:color="auto" w:fill="FFFFFF"/>
        </w:rPr>
        <w:t>M</w:t>
      </w:r>
      <w:r w:rsidRPr="00F507AB">
        <w:rPr>
          <w:rFonts w:cs="Arial"/>
          <w:color w:val="222222"/>
          <w:shd w:val="clear" w:color="auto" w:fill="FFFFFF"/>
        </w:rPr>
        <w:t xml:space="preserve">onetary </w:t>
      </w:r>
      <w:r>
        <w:rPr>
          <w:rFonts w:cs="Arial"/>
          <w:color w:val="222222"/>
          <w:shd w:val="clear" w:color="auto" w:fill="FFFFFF"/>
        </w:rPr>
        <w:t>P</w:t>
      </w:r>
      <w:r w:rsidRPr="00F507AB">
        <w:rPr>
          <w:rFonts w:cs="Arial"/>
          <w:color w:val="222222"/>
          <w:shd w:val="clear" w:color="auto" w:fill="FFFFFF"/>
        </w:rPr>
        <w:t>olicy</w:t>
      </w:r>
      <w:r w:rsidR="00AA7208">
        <w:rPr>
          <w:rFonts w:cs="Arial"/>
          <w:color w:val="222222"/>
          <w:shd w:val="clear" w:color="auto" w:fill="FFFFFF"/>
        </w:rPr>
        <w:t>’,</w:t>
      </w:r>
      <w:r w:rsidRPr="00F507AB">
        <w:rPr>
          <w:rFonts w:cs="Arial"/>
          <w:color w:val="222222"/>
          <w:shd w:val="clear" w:color="auto" w:fill="FFFFFF"/>
        </w:rPr>
        <w:t xml:space="preserve"> </w:t>
      </w:r>
      <w:r w:rsidRPr="00AA7208">
        <w:rPr>
          <w:rFonts w:cs="Arial"/>
          <w:color w:val="222222"/>
          <w:shd w:val="clear" w:color="auto" w:fill="FFFFFF"/>
        </w:rPr>
        <w:t>Address to the Anika Foundation Luncheon</w:t>
      </w:r>
      <w:r w:rsidRPr="00F507AB">
        <w:rPr>
          <w:rFonts w:cs="Arial"/>
          <w:color w:val="222222"/>
          <w:shd w:val="clear" w:color="auto" w:fill="FFFFFF"/>
        </w:rPr>
        <w:t>, Sydney, 2</w:t>
      </w:r>
      <w:r w:rsidR="00A97AD3">
        <w:rPr>
          <w:rFonts w:cs="Arial"/>
          <w:color w:val="222222"/>
          <w:shd w:val="clear" w:color="auto" w:fill="FFFFFF"/>
        </w:rPr>
        <w:t>6 July 2017</w:t>
      </w:r>
    </w:p>
    <w:p w14:paraId="77D73D0C" w14:textId="384A7493" w:rsidR="006015C2" w:rsidRDefault="006015C2" w:rsidP="00732406">
      <w:pPr>
        <w:spacing w:after="120"/>
        <w:rPr>
          <w:rFonts w:cs="Arial"/>
          <w:color w:val="222222"/>
          <w:shd w:val="clear" w:color="auto" w:fill="FFFFFF"/>
        </w:rPr>
      </w:pPr>
      <w:r>
        <w:rPr>
          <w:rFonts w:cs="Arial"/>
          <w:b/>
          <w:color w:val="222222"/>
          <w:shd w:val="clear" w:color="auto" w:fill="FFFFFF"/>
        </w:rPr>
        <w:t>Lowe P (2018)</w:t>
      </w:r>
      <w:r>
        <w:rPr>
          <w:rFonts w:cs="Arial"/>
          <w:color w:val="222222"/>
          <w:shd w:val="clear" w:color="auto" w:fill="FFFFFF"/>
        </w:rPr>
        <w:t xml:space="preserve">, </w:t>
      </w:r>
      <w:r w:rsidR="00AA7208">
        <w:rPr>
          <w:rFonts w:cs="Arial"/>
          <w:color w:val="222222"/>
          <w:shd w:val="clear" w:color="auto" w:fill="FFFFFF"/>
        </w:rPr>
        <w:t>‘</w:t>
      </w:r>
      <w:r>
        <w:rPr>
          <w:rFonts w:cs="Arial"/>
          <w:color w:val="222222"/>
          <w:shd w:val="clear" w:color="auto" w:fill="FFFFFF"/>
        </w:rPr>
        <w:t>Productivity, Wages and Prosperity</w:t>
      </w:r>
      <w:r w:rsidR="00AA7208">
        <w:rPr>
          <w:rFonts w:cs="Arial"/>
          <w:color w:val="222222"/>
          <w:shd w:val="clear" w:color="auto" w:fill="FFFFFF"/>
        </w:rPr>
        <w:t>’</w:t>
      </w:r>
      <w:r>
        <w:rPr>
          <w:rFonts w:cs="Arial"/>
          <w:color w:val="222222"/>
          <w:shd w:val="clear" w:color="auto" w:fill="FFFFFF"/>
        </w:rPr>
        <w:t xml:space="preserve">, </w:t>
      </w:r>
      <w:r w:rsidRPr="00A97AD3">
        <w:rPr>
          <w:rFonts w:cs="Arial"/>
          <w:color w:val="222222"/>
          <w:shd w:val="clear" w:color="auto" w:fill="FFFFFF"/>
        </w:rPr>
        <w:t>Address to Australian Industry Group</w:t>
      </w:r>
      <w:r>
        <w:rPr>
          <w:rFonts w:cs="Arial"/>
          <w:i/>
          <w:color w:val="222222"/>
          <w:shd w:val="clear" w:color="auto" w:fill="FFFFFF"/>
        </w:rPr>
        <w:t xml:space="preserve">, </w:t>
      </w:r>
      <w:r>
        <w:rPr>
          <w:rFonts w:cs="Arial"/>
          <w:color w:val="222222"/>
          <w:shd w:val="clear" w:color="auto" w:fill="FFFFFF"/>
        </w:rPr>
        <w:t>Melbourne, 13 June 2018</w:t>
      </w:r>
    </w:p>
    <w:p w14:paraId="174DF3FE" w14:textId="3B3F380A" w:rsidR="006015C2" w:rsidRDefault="006015C2" w:rsidP="00732406">
      <w:pPr>
        <w:spacing w:after="120"/>
      </w:pPr>
      <w:r>
        <w:rPr>
          <w:b/>
        </w:rPr>
        <w:t xml:space="preserve">Manning A (2011), </w:t>
      </w:r>
      <w:r w:rsidR="00AA7208">
        <w:t>‘</w:t>
      </w:r>
      <w:r>
        <w:t>Imperfect Competition in the Labor Market</w:t>
      </w:r>
      <w:r w:rsidR="00AA7208">
        <w:t>’</w:t>
      </w:r>
      <w:r>
        <w:t>, in Card D and O Ashenfelter (</w:t>
      </w:r>
      <w:r>
        <w:rPr>
          <w:i/>
        </w:rPr>
        <w:t>eds</w:t>
      </w:r>
      <w:r>
        <w:t xml:space="preserve">), </w:t>
      </w:r>
      <w:r>
        <w:rPr>
          <w:i/>
        </w:rPr>
        <w:t xml:space="preserve">Handbook of Labor Economics: Volume 4b, </w:t>
      </w:r>
      <w:r>
        <w:t>Elsevier, Amsterdam, p</w:t>
      </w:r>
      <w:r w:rsidR="00A97AD3">
        <w:t>p</w:t>
      </w:r>
      <w:r>
        <w:t xml:space="preserve"> 973-1041</w:t>
      </w:r>
    </w:p>
    <w:p w14:paraId="249609DA" w14:textId="64081D56" w:rsidR="006015C2" w:rsidRDefault="006015C2" w:rsidP="00732406">
      <w:pPr>
        <w:spacing w:after="120"/>
        <w:rPr>
          <w:rFonts w:cs="Arial"/>
          <w:color w:val="222222"/>
          <w:shd w:val="clear" w:color="auto" w:fill="FFFFFF"/>
        </w:rPr>
      </w:pPr>
      <w:r>
        <w:rPr>
          <w:rFonts w:cs="Arial"/>
          <w:b/>
          <w:color w:val="222222"/>
          <w:shd w:val="clear" w:color="auto" w:fill="FFFFFF"/>
        </w:rPr>
        <w:t>Moscarini</w:t>
      </w:r>
      <w:r w:rsidRPr="00535FC5">
        <w:rPr>
          <w:rFonts w:cs="Arial"/>
          <w:b/>
          <w:color w:val="222222"/>
          <w:shd w:val="clear" w:color="auto" w:fill="FFFFFF"/>
        </w:rPr>
        <w:t xml:space="preserve"> G</w:t>
      </w:r>
      <w:r>
        <w:rPr>
          <w:rFonts w:cs="Arial"/>
          <w:b/>
          <w:color w:val="222222"/>
          <w:shd w:val="clear" w:color="auto" w:fill="FFFFFF"/>
        </w:rPr>
        <w:t xml:space="preserve"> and Postel-Vinay</w:t>
      </w:r>
      <w:r w:rsidRPr="00535FC5">
        <w:rPr>
          <w:rFonts w:cs="Arial"/>
          <w:b/>
          <w:color w:val="222222"/>
          <w:shd w:val="clear" w:color="auto" w:fill="FFFFFF"/>
        </w:rPr>
        <w:t xml:space="preserve"> F (2017)</w:t>
      </w:r>
      <w:r>
        <w:rPr>
          <w:rFonts w:cs="Arial"/>
          <w:b/>
          <w:color w:val="222222"/>
          <w:shd w:val="clear" w:color="auto" w:fill="FFFFFF"/>
        </w:rPr>
        <w:t>,</w:t>
      </w:r>
      <w:r w:rsidRPr="00F507AB">
        <w:rPr>
          <w:rFonts w:cs="Arial"/>
          <w:color w:val="222222"/>
          <w:shd w:val="clear" w:color="auto" w:fill="FFFFFF"/>
        </w:rPr>
        <w:t xml:space="preserve"> </w:t>
      </w:r>
      <w:r w:rsidR="00AA7208">
        <w:rPr>
          <w:rFonts w:cs="Arial"/>
          <w:color w:val="222222"/>
          <w:shd w:val="clear" w:color="auto" w:fill="FFFFFF"/>
        </w:rPr>
        <w:t>‘</w:t>
      </w:r>
      <w:r w:rsidRPr="00F507AB">
        <w:rPr>
          <w:rFonts w:cs="Arial"/>
          <w:color w:val="222222"/>
          <w:shd w:val="clear" w:color="auto" w:fill="FFFFFF"/>
        </w:rPr>
        <w:t>The Relative Power of Employment-to-Employment Reallocation and Unemployment Exits in Predicting Wage Growth</w:t>
      </w:r>
      <w:r w:rsidR="00AA7208">
        <w:rPr>
          <w:rFonts w:cs="Arial"/>
          <w:color w:val="222222"/>
          <w:shd w:val="clear" w:color="auto" w:fill="FFFFFF"/>
        </w:rPr>
        <w:t>’</w:t>
      </w:r>
      <w:r>
        <w:rPr>
          <w:rFonts w:cs="Arial"/>
          <w:color w:val="222222"/>
          <w:shd w:val="clear" w:color="auto" w:fill="FFFFFF"/>
        </w:rPr>
        <w:t>,</w:t>
      </w:r>
      <w:r w:rsidRPr="00F507AB">
        <w:rPr>
          <w:rFonts w:cs="Arial"/>
          <w:color w:val="222222"/>
          <w:shd w:val="clear" w:color="auto" w:fill="FFFFFF"/>
        </w:rPr>
        <w:t> </w:t>
      </w:r>
      <w:r w:rsidRPr="00F507AB">
        <w:rPr>
          <w:rFonts w:cs="Arial"/>
          <w:i/>
          <w:iCs/>
          <w:color w:val="222222"/>
          <w:shd w:val="clear" w:color="auto" w:fill="FFFFFF"/>
        </w:rPr>
        <w:t>American Economic Review</w:t>
      </w:r>
      <w:r w:rsidRPr="00F507AB">
        <w:rPr>
          <w:rFonts w:cs="Arial"/>
          <w:color w:val="222222"/>
          <w:shd w:val="clear" w:color="auto" w:fill="FFFFFF"/>
        </w:rPr>
        <w:t>, </w:t>
      </w:r>
      <w:r w:rsidRPr="00535FC5">
        <w:rPr>
          <w:rFonts w:cs="Arial"/>
          <w:iCs/>
          <w:color w:val="222222"/>
          <w:shd w:val="clear" w:color="auto" w:fill="FFFFFF"/>
        </w:rPr>
        <w:t>107</w:t>
      </w:r>
      <w:r w:rsidRPr="00535FC5">
        <w:rPr>
          <w:rFonts w:cs="Arial"/>
          <w:color w:val="222222"/>
          <w:shd w:val="clear" w:color="auto" w:fill="FFFFFF"/>
        </w:rPr>
        <w:t>(</w:t>
      </w:r>
      <w:r w:rsidR="00A97AD3">
        <w:rPr>
          <w:rFonts w:cs="Arial"/>
          <w:color w:val="222222"/>
          <w:shd w:val="clear" w:color="auto" w:fill="FFFFFF"/>
        </w:rPr>
        <w:t>5), pp 364-68</w:t>
      </w:r>
    </w:p>
    <w:p w14:paraId="2B04BAFA" w14:textId="530D989A" w:rsidR="006015C2" w:rsidRDefault="006015C2" w:rsidP="00732406">
      <w:pPr>
        <w:spacing w:after="120"/>
        <w:rPr>
          <w:i/>
        </w:rPr>
      </w:pPr>
      <w:r w:rsidRPr="005E43F2">
        <w:rPr>
          <w:b/>
        </w:rPr>
        <w:t>RBA (2018)</w:t>
      </w:r>
      <w:r>
        <w:rPr>
          <w:b/>
        </w:rPr>
        <w:t xml:space="preserve">, </w:t>
      </w:r>
      <w:r w:rsidR="00AA7208">
        <w:t>‘</w:t>
      </w:r>
      <w:r>
        <w:t>Economic Outlook</w:t>
      </w:r>
      <w:r w:rsidR="00AA7208">
        <w:t>’</w:t>
      </w:r>
      <w:r>
        <w:t xml:space="preserve">, RBA </w:t>
      </w:r>
      <w:r>
        <w:rPr>
          <w:i/>
        </w:rPr>
        <w:t>Statement on Monetary Policy</w:t>
      </w:r>
      <w:r w:rsidRPr="00A97AD3">
        <w:t>, November</w:t>
      </w:r>
    </w:p>
    <w:p w14:paraId="6F85C6EF" w14:textId="48491490" w:rsidR="00621E02" w:rsidRPr="004D607B" w:rsidRDefault="00621E02" w:rsidP="00732406">
      <w:pPr>
        <w:spacing w:after="120"/>
      </w:pPr>
      <w:r w:rsidRPr="004D607B">
        <w:rPr>
          <w:b/>
        </w:rPr>
        <w:t>Roe, BE, and D</w:t>
      </w:r>
      <w:r w:rsidR="00EF19A2">
        <w:rPr>
          <w:b/>
        </w:rPr>
        <w:t>R</w:t>
      </w:r>
      <w:r w:rsidRPr="004D607B">
        <w:rPr>
          <w:b/>
        </w:rPr>
        <w:t xml:space="preserve"> Just</w:t>
      </w:r>
      <w:r>
        <w:rPr>
          <w:b/>
        </w:rPr>
        <w:t xml:space="preserve"> (2009)</w:t>
      </w:r>
      <w:r w:rsidR="00AA7208">
        <w:rPr>
          <w:b/>
        </w:rPr>
        <w:t>,</w:t>
      </w:r>
      <w:r w:rsidRPr="004D607B">
        <w:t xml:space="preserve"> </w:t>
      </w:r>
      <w:r w:rsidR="00AA7208">
        <w:t>‘</w:t>
      </w:r>
      <w:r w:rsidRPr="004D607B">
        <w:t>Internal and external validity in economics research: Tradeoffs between experiments, field experiments, natural experiments, and field data</w:t>
      </w:r>
      <w:r w:rsidR="00AA7208">
        <w:t>’,</w:t>
      </w:r>
      <w:r w:rsidRPr="004D607B">
        <w:t xml:space="preserve"> </w:t>
      </w:r>
      <w:r w:rsidRPr="00C872C3">
        <w:rPr>
          <w:i/>
        </w:rPr>
        <w:t>American Journal of Agricultural Economics</w:t>
      </w:r>
      <w:r w:rsidRPr="006E6921">
        <w:t xml:space="preserve"> 91</w:t>
      </w:r>
      <w:r>
        <w:t>(5), p</w:t>
      </w:r>
      <w:r w:rsidR="00EF19A2">
        <w:t>p</w:t>
      </w:r>
      <w:r w:rsidR="00A97AD3">
        <w:t xml:space="preserve"> 1266-1271</w:t>
      </w:r>
    </w:p>
    <w:p w14:paraId="7A2DAEEA" w14:textId="708B9DDC" w:rsidR="006015C2" w:rsidRDefault="006015C2" w:rsidP="00732406">
      <w:pPr>
        <w:spacing w:after="120"/>
      </w:pPr>
      <w:r>
        <w:rPr>
          <w:b/>
        </w:rPr>
        <w:t xml:space="preserve">Song J, DJ Price, F Guvenen, N Bloom and T von Wachter (2019), </w:t>
      </w:r>
      <w:r w:rsidR="00AA7208">
        <w:t>‘</w:t>
      </w:r>
      <w:r>
        <w:t>Firming Up Inequality</w:t>
      </w:r>
      <w:r w:rsidR="00AA7208">
        <w:t>’</w:t>
      </w:r>
      <w:r>
        <w:t xml:space="preserve">, </w:t>
      </w:r>
      <w:r>
        <w:rPr>
          <w:i/>
        </w:rPr>
        <w:t>The Quarterly Journal of Economics</w:t>
      </w:r>
      <w:r>
        <w:t>, 134(1), p</w:t>
      </w:r>
      <w:r w:rsidR="00EF19A2">
        <w:t>p</w:t>
      </w:r>
      <w:r>
        <w:t xml:space="preserve"> 1-50</w:t>
      </w:r>
    </w:p>
    <w:p w14:paraId="459C3D05" w14:textId="1494D4EE" w:rsidR="006015C2" w:rsidRDefault="006015C2" w:rsidP="00732406">
      <w:pPr>
        <w:spacing w:after="120"/>
      </w:pPr>
      <w:r>
        <w:rPr>
          <w:b/>
        </w:rPr>
        <w:t xml:space="preserve">Stansbury AM and LH Summers (2017), </w:t>
      </w:r>
      <w:r w:rsidR="00AA7208">
        <w:t>‘</w:t>
      </w:r>
      <w:r>
        <w:t>Productivity and Pay: Is the Link Broken?</w:t>
      </w:r>
      <w:r w:rsidR="00AA7208">
        <w:t>’</w:t>
      </w:r>
      <w:r>
        <w:t xml:space="preserve">, </w:t>
      </w:r>
      <w:r w:rsidRPr="008A18E3">
        <w:t>NBER Wo</w:t>
      </w:r>
      <w:r w:rsidR="006207CD">
        <w:t>r</w:t>
      </w:r>
      <w:r w:rsidRPr="008A18E3">
        <w:t>king Paper No</w:t>
      </w:r>
      <w:r>
        <w:t xml:space="preserve"> 24165</w:t>
      </w:r>
    </w:p>
    <w:p w14:paraId="15DDC5F5" w14:textId="77777777" w:rsidR="00E74988" w:rsidRPr="00E74988" w:rsidRDefault="00E74988" w:rsidP="00732406">
      <w:pPr>
        <w:spacing w:after="120"/>
      </w:pPr>
      <w:r>
        <w:rPr>
          <w:b/>
        </w:rPr>
        <w:t xml:space="preserve">Van Reenen J (1996), </w:t>
      </w:r>
      <w:r>
        <w:t xml:space="preserve">‘The Creation and Capture of Rents: Wages and Innovation in a Panel of U.K. Companies’, </w:t>
      </w:r>
      <w:r>
        <w:rPr>
          <w:i/>
        </w:rPr>
        <w:t>The Quarterly Journal of Economics</w:t>
      </w:r>
      <w:r>
        <w:t>, 111(1), pp 195-226</w:t>
      </w:r>
    </w:p>
    <w:p w14:paraId="77FFF302" w14:textId="5789D630" w:rsidR="006015C2" w:rsidRDefault="006015C2" w:rsidP="00732406">
      <w:pPr>
        <w:spacing w:after="120"/>
      </w:pPr>
      <w:r w:rsidRPr="008A18E3">
        <w:rPr>
          <w:b/>
        </w:rPr>
        <w:t>Weir G (2018)</w:t>
      </w:r>
      <w:r>
        <w:t xml:space="preserve">, </w:t>
      </w:r>
      <w:r w:rsidR="00AA7208">
        <w:t>‘</w:t>
      </w:r>
      <w:r>
        <w:t>Wages G</w:t>
      </w:r>
      <w:r w:rsidR="00BA2CF5">
        <w:t>rowth Puzzles and Technology</w:t>
      </w:r>
      <w:r w:rsidR="00AA7208">
        <w:t>’</w:t>
      </w:r>
      <w:r w:rsidR="00BA2CF5">
        <w:t xml:space="preserve">, </w:t>
      </w:r>
      <w:r>
        <w:t>RBA Research Discussion Paper No 2018-10</w:t>
      </w:r>
    </w:p>
    <w:p w14:paraId="311A9DF8" w14:textId="77777777" w:rsidR="00732406" w:rsidRDefault="00732406" w:rsidP="00507313">
      <w:pPr>
        <w:rPr>
          <w:b/>
        </w:rPr>
        <w:sectPr w:rsidR="00732406" w:rsidSect="00732406">
          <w:pgSz w:w="11906" w:h="16838" w:code="9"/>
          <w:pgMar w:top="1418" w:right="1304" w:bottom="1418" w:left="1304" w:header="567" w:footer="567" w:gutter="0"/>
          <w:cols w:space="720"/>
          <w:titlePg/>
          <w:docGrid w:linePitch="360"/>
        </w:sectPr>
      </w:pPr>
    </w:p>
    <w:p w14:paraId="652B11E0" w14:textId="77777777" w:rsidR="00F012EA" w:rsidRDefault="00300D8B" w:rsidP="00F012EA">
      <w:pPr>
        <w:pStyle w:val="AppendixHeadingLevel2NotNumbered"/>
      </w:pPr>
      <w:r>
        <w:lastRenderedPageBreak/>
        <w:t xml:space="preserve">Appendix A: </w:t>
      </w:r>
      <w:r w:rsidR="00134741">
        <w:t>Microdata Sources</w:t>
      </w:r>
    </w:p>
    <w:p w14:paraId="4059B5F6" w14:textId="77777777" w:rsidR="004B357B" w:rsidRPr="00B57471" w:rsidRDefault="004B357B" w:rsidP="004B357B">
      <w:pPr>
        <w:rPr>
          <w:rFonts w:eastAsiaTheme="minorEastAsia"/>
          <w:b/>
        </w:rPr>
      </w:pPr>
      <w:r w:rsidRPr="00B57471">
        <w:rPr>
          <w:rFonts w:eastAsiaTheme="minorEastAsia"/>
          <w:b/>
        </w:rPr>
        <w:t>Business Longitudinal Analysis Data Environment (BLADE)</w:t>
      </w:r>
    </w:p>
    <w:p w14:paraId="4CA6744F" w14:textId="77777777" w:rsidR="004B357B" w:rsidRPr="009F2CAF" w:rsidRDefault="004B357B" w:rsidP="00BF4B57">
      <w:pPr>
        <w:jc w:val="both"/>
      </w:pPr>
      <w:r w:rsidRPr="009F2CAF">
        <w:t xml:space="preserve">The firm-level data </w:t>
      </w:r>
      <w:r>
        <w:t xml:space="preserve">used in this paper draws heavily on </w:t>
      </w:r>
      <w:r w:rsidRPr="009F2CAF">
        <w:t>the Business Longitudinal Analysis Data Environment (BLADE), compiled by the Australian Bureau of Statistics. BLADE consists of administrative data from the Australian Taxation Office (ATO) matched with ABS-produced survey microdata, such as the Business Characteristics Survey.</w:t>
      </w:r>
    </w:p>
    <w:p w14:paraId="28C8E1A7" w14:textId="77777777" w:rsidR="004B357B" w:rsidRPr="009F2CAF" w:rsidRDefault="004B357B" w:rsidP="00BF4B57">
      <w:pPr>
        <w:jc w:val="both"/>
      </w:pPr>
      <w:r>
        <w:t>In particular the analysis on productivity reallocation and average wages</w:t>
      </w:r>
      <w:r w:rsidRPr="009F2CAF">
        <w:t xml:space="preserve"> draws on two key administrative data sources. First, measures of output and intermediate use are sourced from Business Activity Statements (BAS). While each annualised BAS dataset contains more than two million records, only around 800,000 or more units report formal employment via annual payment summaries (APS).</w:t>
      </w:r>
      <w:r w:rsidRPr="009F2CAF">
        <w:rPr>
          <w:rStyle w:val="FootnoteReference"/>
        </w:rPr>
        <w:footnoteReference w:id="23"/>
      </w:r>
      <w:r w:rsidRPr="009F2CAF">
        <w:t xml:space="preserve"> </w:t>
      </w:r>
      <w:r>
        <w:t>W</w:t>
      </w:r>
      <w:r w:rsidRPr="009F2CAF">
        <w:t>e also draw on this payment summary information in combination with the industry of origin of the employing business to estimate full-time equivalent employees – our measure of labour input.</w:t>
      </w:r>
      <w:r w:rsidRPr="009F2CAF">
        <w:rPr>
          <w:rStyle w:val="FootnoteReference"/>
        </w:rPr>
        <w:footnoteReference w:id="24"/>
      </w:r>
      <w:r w:rsidR="00A3575C">
        <w:t xml:space="preserve"> For the BLADE data</w:t>
      </w:r>
      <w:r w:rsidR="000E1256">
        <w:t xml:space="preserve"> analysis in Section 4.2</w:t>
      </w:r>
      <w:r w:rsidR="00A3575C">
        <w:t>, we construct value-added as sales less non-capital expenditure, which capture intermediate inputs used by the firm in producing their output.</w:t>
      </w:r>
    </w:p>
    <w:p w14:paraId="3D858D2C" w14:textId="77777777" w:rsidR="004B357B" w:rsidRDefault="004B357B" w:rsidP="00BF4B57">
      <w:pPr>
        <w:jc w:val="both"/>
      </w:pPr>
      <w:r w:rsidRPr="009F2CAF">
        <w:t>The main demographic information in BLADE consists of industry and institutional sector codes, which permit us to focus on industries and businesses that are privately-owned. The ABS adds an additional year of administrative and survey data to BLADE each year. As of writing, the latest available year was 2016 and so our sample – unless specified otherwise – encompasses the period 2002 to 2016.</w:t>
      </w:r>
      <w:r w:rsidRPr="009F2CAF">
        <w:rPr>
          <w:rStyle w:val="FootnoteReference"/>
        </w:rPr>
        <w:footnoteReference w:id="25"/>
      </w:r>
    </w:p>
    <w:p w14:paraId="4785B217" w14:textId="77777777" w:rsidR="004B357B" w:rsidRDefault="004B357B" w:rsidP="00BF4B57">
      <w:pPr>
        <w:jc w:val="both"/>
        <w:rPr>
          <w:rFonts w:eastAsiaTheme="minorEastAsia"/>
        </w:rPr>
      </w:pPr>
      <w:r>
        <w:t>As is standard in the literature, we confine our analysis to</w:t>
      </w:r>
      <w:r w:rsidR="003B2681">
        <w:t xml:space="preserve"> focus on the market sector (that is,</w:t>
      </w:r>
      <w:r>
        <w:t xml:space="preserve"> we exclude utilities; e</w:t>
      </w:r>
      <w:r w:rsidRPr="00DC2018">
        <w:t xml:space="preserve">ducation, </w:t>
      </w:r>
      <w:r>
        <w:t>p</w:t>
      </w:r>
      <w:r w:rsidRPr="00DC2018">
        <w:t xml:space="preserve">ublic </w:t>
      </w:r>
      <w:r>
        <w:t>a</w:t>
      </w:r>
      <w:r w:rsidRPr="00DC2018">
        <w:t xml:space="preserve">dministration and </w:t>
      </w:r>
      <w:r>
        <w:t>s</w:t>
      </w:r>
      <w:r w:rsidRPr="00DC2018">
        <w:t>afety</w:t>
      </w:r>
      <w:r>
        <w:t xml:space="preserve"> </w:t>
      </w:r>
      <w:r w:rsidRPr="00DC2018">
        <w:t xml:space="preserve">and </w:t>
      </w:r>
      <w:r>
        <w:t>h</w:t>
      </w:r>
      <w:r w:rsidRPr="00DC2018">
        <w:t>ealth</w:t>
      </w:r>
      <w:r>
        <w:t>) and exclude finance and insurance where productivity is notoriously difficult to measure. Our final firm-level datase</w:t>
      </w:r>
      <w:r w:rsidR="003B2681">
        <w:t>t for analysis covers around 75 per cent</w:t>
      </w:r>
      <w:r w:rsidR="0035498A">
        <w:t xml:space="preserve"> of gross value added and 84 per cent</w:t>
      </w:r>
      <w:r>
        <w:t xml:space="preserve"> of compensation of employees in the market sector over 2002-2016. </w:t>
      </w:r>
    </w:p>
    <w:p w14:paraId="6F0E05C7" w14:textId="77777777" w:rsidR="004B357B" w:rsidRPr="00B57471" w:rsidRDefault="004B357B" w:rsidP="00BF4B57">
      <w:pPr>
        <w:jc w:val="both"/>
        <w:rPr>
          <w:rFonts w:eastAsiaTheme="minorEastAsia"/>
          <w:b/>
        </w:rPr>
      </w:pPr>
      <w:r w:rsidRPr="00B57471">
        <w:rPr>
          <w:rFonts w:eastAsiaTheme="minorEastAsia"/>
          <w:b/>
        </w:rPr>
        <w:t>Matched Firm-Worker Panel</w:t>
      </w:r>
    </w:p>
    <w:p w14:paraId="080092F1" w14:textId="77777777" w:rsidR="004B357B" w:rsidRDefault="004B357B" w:rsidP="00BF4B57">
      <w:pPr>
        <w:jc w:val="both"/>
        <w:rPr>
          <w:rFonts w:eastAsiaTheme="minorEastAsia"/>
        </w:rPr>
      </w:pPr>
      <w:r>
        <w:rPr>
          <w:rFonts w:eastAsiaTheme="minorEastAsia"/>
        </w:rPr>
        <w:t>In addition to the firm-level data results from BLADE, the Australian Treasury receives de-identified Australian Taxation Office (ATO) for the purposes of revenue analysis.</w:t>
      </w:r>
      <w:r>
        <w:rPr>
          <w:rStyle w:val="FootnoteReference"/>
          <w:rFonts w:eastAsiaTheme="minorEastAsia"/>
        </w:rPr>
        <w:footnoteReference w:id="26"/>
      </w:r>
      <w:r>
        <w:rPr>
          <w:rFonts w:eastAsiaTheme="minorEastAsia"/>
        </w:rPr>
        <w:t xml:space="preserve"> These data encompass annual employee earnings for all Pay-As-You-Go taxpayers and detailed balance sheet information on incorporated entities. For this paper and other revenue-related analysis, we have created a panel of </w:t>
      </w:r>
      <w:r w:rsidR="003B2681">
        <w:rPr>
          <w:rFonts w:eastAsiaTheme="minorEastAsia"/>
        </w:rPr>
        <w:t>de</w:t>
      </w:r>
      <w:r w:rsidR="003B2681">
        <w:rPr>
          <w:rFonts w:eastAsiaTheme="minorEastAsia"/>
        </w:rPr>
        <w:noBreakHyphen/>
      </w:r>
      <w:r w:rsidR="00F263CA">
        <w:rPr>
          <w:rFonts w:eastAsiaTheme="minorEastAsia"/>
        </w:rPr>
        <w:t xml:space="preserve">identified </w:t>
      </w:r>
      <w:r>
        <w:rPr>
          <w:rFonts w:eastAsiaTheme="minorEastAsia"/>
        </w:rPr>
        <w:t xml:space="preserve">matched firm-worker data. </w:t>
      </w:r>
      <w:r w:rsidR="00A3575C">
        <w:rPr>
          <w:rFonts w:eastAsiaTheme="minorEastAsia"/>
        </w:rPr>
        <w:t>In this database, we define firm value added as a measure of gross operating surplus (essentially profits) plus compensation of employee. We use this definition, instead of the definition used in BLADE, due to differences the reporting of intermediate inputs across tax forms.</w:t>
      </w:r>
    </w:p>
    <w:p w14:paraId="1911CD8B" w14:textId="77777777" w:rsidR="004B357B" w:rsidRDefault="004B357B" w:rsidP="00BF4B57">
      <w:pPr>
        <w:jc w:val="both"/>
        <w:rPr>
          <w:rFonts w:eastAsiaTheme="minorEastAsia"/>
        </w:rPr>
      </w:pPr>
      <w:r>
        <w:rPr>
          <w:rFonts w:eastAsiaTheme="minorEastAsia"/>
        </w:rPr>
        <w:t xml:space="preserve">Since these data encompass all compliant entities within the Australian economy, it is difficult to provide summary statistics since the cross-sectional and longitudinal scope of each slice of the data is determined by the analytical question at hand. Currently, our </w:t>
      </w:r>
      <w:r w:rsidR="00F263CA">
        <w:rPr>
          <w:rFonts w:eastAsiaTheme="minorEastAsia"/>
        </w:rPr>
        <w:t>data cover</w:t>
      </w:r>
      <w:r>
        <w:rPr>
          <w:rFonts w:eastAsiaTheme="minorEastAsia"/>
        </w:rPr>
        <w:t xml:space="preserve"> 2001-02 to 2014-15</w:t>
      </w:r>
      <w:r w:rsidR="009160F3">
        <w:rPr>
          <w:rFonts w:eastAsiaTheme="minorEastAsia"/>
        </w:rPr>
        <w:t xml:space="preserve"> (2015-16 for some of </w:t>
      </w:r>
      <w:r w:rsidR="009160F3">
        <w:rPr>
          <w:rFonts w:eastAsiaTheme="minorEastAsia"/>
        </w:rPr>
        <w:lastRenderedPageBreak/>
        <w:t>the analysis in this paper)</w:t>
      </w:r>
      <w:r>
        <w:rPr>
          <w:rFonts w:eastAsiaTheme="minorEastAsia"/>
        </w:rPr>
        <w:t xml:space="preserve"> but is limited to those employed by incorporated entities. For example, the following table contains summary statistics on annual individual wages over the sample period.</w:t>
      </w:r>
      <w:r>
        <w:rPr>
          <w:rStyle w:val="FootnoteReference"/>
          <w:rFonts w:eastAsiaTheme="minorEastAsia"/>
        </w:rPr>
        <w:footnoteReference w:id="27"/>
      </w:r>
      <w:r>
        <w:rPr>
          <w:rFonts w:eastAsiaTheme="minorEastAsia"/>
        </w:rPr>
        <w:t xml:space="preserve"> </w:t>
      </w:r>
    </w:p>
    <w:tbl>
      <w:tblPr>
        <w:tblW w:w="9100" w:type="dxa"/>
        <w:tblInd w:w="93" w:type="dxa"/>
        <w:tblLook w:val="04A0" w:firstRow="1" w:lastRow="0" w:firstColumn="1" w:lastColumn="0" w:noHBand="0" w:noVBand="1"/>
      </w:tblPr>
      <w:tblGrid>
        <w:gridCol w:w="1300"/>
        <w:gridCol w:w="1300"/>
        <w:gridCol w:w="1300"/>
        <w:gridCol w:w="1300"/>
        <w:gridCol w:w="1300"/>
        <w:gridCol w:w="1300"/>
        <w:gridCol w:w="1300"/>
      </w:tblGrid>
      <w:tr w:rsidR="004B357B" w:rsidRPr="00732406" w14:paraId="2033B82A" w14:textId="77777777" w:rsidTr="00732406">
        <w:trPr>
          <w:trHeight w:val="315"/>
        </w:trPr>
        <w:tc>
          <w:tcPr>
            <w:tcW w:w="1300" w:type="dxa"/>
            <w:shd w:val="clear" w:color="auto" w:fill="002B54" w:themeFill="accent1"/>
            <w:noWrap/>
            <w:vAlign w:val="bottom"/>
            <w:hideMark/>
          </w:tcPr>
          <w:p w14:paraId="5B07047E" w14:textId="77777777" w:rsidR="004B357B" w:rsidRPr="00732406" w:rsidRDefault="004B357B" w:rsidP="00963FEE">
            <w:pPr>
              <w:pStyle w:val="TableTextRight"/>
              <w:rPr>
                <w:b/>
              </w:rPr>
            </w:pPr>
            <w:r w:rsidRPr="00732406">
              <w:rPr>
                <w:b/>
              </w:rPr>
              <w:t>Fiscal Year</w:t>
            </w:r>
          </w:p>
        </w:tc>
        <w:tc>
          <w:tcPr>
            <w:tcW w:w="1300" w:type="dxa"/>
            <w:shd w:val="clear" w:color="auto" w:fill="002B54" w:themeFill="accent1"/>
            <w:noWrap/>
            <w:vAlign w:val="bottom"/>
            <w:hideMark/>
          </w:tcPr>
          <w:p w14:paraId="37443C0D" w14:textId="77777777" w:rsidR="004B357B" w:rsidRPr="00732406" w:rsidRDefault="004B357B" w:rsidP="00963FEE">
            <w:pPr>
              <w:pStyle w:val="TableTextRight"/>
              <w:rPr>
                <w:b/>
              </w:rPr>
            </w:pPr>
            <w:r w:rsidRPr="00732406">
              <w:rPr>
                <w:b/>
              </w:rPr>
              <w:t>N</w:t>
            </w:r>
          </w:p>
        </w:tc>
        <w:tc>
          <w:tcPr>
            <w:tcW w:w="1300" w:type="dxa"/>
            <w:shd w:val="clear" w:color="auto" w:fill="002B54" w:themeFill="accent1"/>
            <w:noWrap/>
            <w:vAlign w:val="bottom"/>
            <w:hideMark/>
          </w:tcPr>
          <w:p w14:paraId="4FC0963D" w14:textId="77777777" w:rsidR="004B357B" w:rsidRPr="00732406" w:rsidRDefault="004B357B" w:rsidP="00963FEE">
            <w:pPr>
              <w:pStyle w:val="TableTextRight"/>
              <w:rPr>
                <w:b/>
              </w:rPr>
            </w:pPr>
            <w:r w:rsidRPr="00732406">
              <w:rPr>
                <w:b/>
              </w:rPr>
              <w:t>Mean</w:t>
            </w:r>
          </w:p>
        </w:tc>
        <w:tc>
          <w:tcPr>
            <w:tcW w:w="1300" w:type="dxa"/>
            <w:shd w:val="clear" w:color="auto" w:fill="002B54" w:themeFill="accent1"/>
            <w:noWrap/>
            <w:vAlign w:val="bottom"/>
            <w:hideMark/>
          </w:tcPr>
          <w:p w14:paraId="2A5081FF" w14:textId="77777777" w:rsidR="004B357B" w:rsidRPr="00732406" w:rsidRDefault="004B357B" w:rsidP="00963FEE">
            <w:pPr>
              <w:pStyle w:val="TableTextRight"/>
              <w:rPr>
                <w:b/>
              </w:rPr>
            </w:pPr>
            <w:r w:rsidRPr="00732406">
              <w:rPr>
                <w:b/>
              </w:rPr>
              <w:t>Median</w:t>
            </w:r>
          </w:p>
        </w:tc>
        <w:tc>
          <w:tcPr>
            <w:tcW w:w="1300" w:type="dxa"/>
            <w:shd w:val="clear" w:color="auto" w:fill="002B54" w:themeFill="accent1"/>
            <w:noWrap/>
            <w:vAlign w:val="bottom"/>
            <w:hideMark/>
          </w:tcPr>
          <w:p w14:paraId="6D97D353" w14:textId="77777777" w:rsidR="004B357B" w:rsidRPr="00732406" w:rsidRDefault="004B357B" w:rsidP="00963FEE">
            <w:pPr>
              <w:pStyle w:val="TableTextRight"/>
              <w:rPr>
                <w:b/>
              </w:rPr>
            </w:pPr>
            <w:r w:rsidRPr="00732406">
              <w:rPr>
                <w:b/>
              </w:rPr>
              <w:t>25th Percentile</w:t>
            </w:r>
          </w:p>
        </w:tc>
        <w:tc>
          <w:tcPr>
            <w:tcW w:w="1300" w:type="dxa"/>
            <w:shd w:val="clear" w:color="auto" w:fill="002B54" w:themeFill="accent1"/>
            <w:noWrap/>
            <w:vAlign w:val="bottom"/>
            <w:hideMark/>
          </w:tcPr>
          <w:p w14:paraId="74930020" w14:textId="77777777" w:rsidR="004B357B" w:rsidRPr="00732406" w:rsidRDefault="004B357B" w:rsidP="00963FEE">
            <w:pPr>
              <w:pStyle w:val="TableTextRight"/>
              <w:rPr>
                <w:b/>
              </w:rPr>
            </w:pPr>
            <w:r w:rsidRPr="00732406">
              <w:rPr>
                <w:b/>
              </w:rPr>
              <w:t>75th Percentile</w:t>
            </w:r>
          </w:p>
        </w:tc>
        <w:tc>
          <w:tcPr>
            <w:tcW w:w="1300" w:type="dxa"/>
            <w:shd w:val="clear" w:color="auto" w:fill="002B54" w:themeFill="accent1"/>
            <w:noWrap/>
            <w:vAlign w:val="bottom"/>
            <w:hideMark/>
          </w:tcPr>
          <w:p w14:paraId="4678B7E5" w14:textId="77777777" w:rsidR="004B357B" w:rsidRPr="00732406" w:rsidRDefault="004B357B" w:rsidP="00963FEE">
            <w:pPr>
              <w:pStyle w:val="TableTextRight"/>
              <w:rPr>
                <w:b/>
              </w:rPr>
            </w:pPr>
            <w:r w:rsidRPr="00732406">
              <w:rPr>
                <w:b/>
              </w:rPr>
              <w:t>SD</w:t>
            </w:r>
          </w:p>
        </w:tc>
      </w:tr>
      <w:tr w:rsidR="004B357B" w:rsidRPr="00290C7E" w14:paraId="31E2D754" w14:textId="77777777" w:rsidTr="00963FEE">
        <w:trPr>
          <w:trHeight w:val="315"/>
        </w:trPr>
        <w:tc>
          <w:tcPr>
            <w:tcW w:w="1300" w:type="dxa"/>
            <w:shd w:val="clear" w:color="auto" w:fill="auto"/>
            <w:noWrap/>
            <w:vAlign w:val="bottom"/>
            <w:hideMark/>
          </w:tcPr>
          <w:p w14:paraId="7B2CF347" w14:textId="77777777" w:rsidR="004B357B" w:rsidRPr="00290C7E" w:rsidRDefault="004B357B" w:rsidP="00963FEE">
            <w:pPr>
              <w:pStyle w:val="TableTextRight"/>
            </w:pPr>
            <w:r w:rsidRPr="00290C7E">
              <w:t>2002</w:t>
            </w:r>
          </w:p>
        </w:tc>
        <w:tc>
          <w:tcPr>
            <w:tcW w:w="1300" w:type="dxa"/>
            <w:shd w:val="clear" w:color="auto" w:fill="auto"/>
            <w:noWrap/>
            <w:vAlign w:val="bottom"/>
            <w:hideMark/>
          </w:tcPr>
          <w:p w14:paraId="067DEAB3" w14:textId="77777777" w:rsidR="004B357B" w:rsidRPr="00290C7E" w:rsidRDefault="004B357B" w:rsidP="00963FEE">
            <w:pPr>
              <w:pStyle w:val="TableTextRight"/>
            </w:pPr>
            <w:r w:rsidRPr="00290C7E">
              <w:t>2,936,914</w:t>
            </w:r>
          </w:p>
        </w:tc>
        <w:tc>
          <w:tcPr>
            <w:tcW w:w="1300" w:type="dxa"/>
            <w:shd w:val="clear" w:color="auto" w:fill="auto"/>
            <w:noWrap/>
            <w:vAlign w:val="bottom"/>
            <w:hideMark/>
          </w:tcPr>
          <w:p w14:paraId="27A18AE7" w14:textId="77777777" w:rsidR="004B357B" w:rsidRPr="00290C7E" w:rsidRDefault="004B357B" w:rsidP="00963FEE">
            <w:pPr>
              <w:pStyle w:val="TableTextRight"/>
            </w:pPr>
            <w:r w:rsidRPr="00290C7E">
              <w:t>27,906</w:t>
            </w:r>
          </w:p>
        </w:tc>
        <w:tc>
          <w:tcPr>
            <w:tcW w:w="1300" w:type="dxa"/>
            <w:shd w:val="clear" w:color="auto" w:fill="auto"/>
            <w:noWrap/>
            <w:vAlign w:val="bottom"/>
            <w:hideMark/>
          </w:tcPr>
          <w:p w14:paraId="7B5A8A65" w14:textId="77777777" w:rsidR="004B357B" w:rsidRPr="00290C7E" w:rsidRDefault="004B357B" w:rsidP="00963FEE">
            <w:pPr>
              <w:pStyle w:val="TableTextRight"/>
            </w:pPr>
            <w:r w:rsidRPr="00290C7E">
              <w:t>21,923</w:t>
            </w:r>
          </w:p>
        </w:tc>
        <w:tc>
          <w:tcPr>
            <w:tcW w:w="1300" w:type="dxa"/>
            <w:shd w:val="clear" w:color="auto" w:fill="auto"/>
            <w:noWrap/>
            <w:vAlign w:val="bottom"/>
            <w:hideMark/>
          </w:tcPr>
          <w:p w14:paraId="5B7C33A9" w14:textId="77777777" w:rsidR="004B357B" w:rsidRPr="00290C7E" w:rsidRDefault="004B357B" w:rsidP="00963FEE">
            <w:pPr>
              <w:pStyle w:val="TableTextRight"/>
            </w:pPr>
            <w:r w:rsidRPr="00290C7E">
              <w:t>6,406</w:t>
            </w:r>
          </w:p>
        </w:tc>
        <w:tc>
          <w:tcPr>
            <w:tcW w:w="1300" w:type="dxa"/>
            <w:shd w:val="clear" w:color="auto" w:fill="auto"/>
            <w:noWrap/>
            <w:vAlign w:val="bottom"/>
            <w:hideMark/>
          </w:tcPr>
          <w:p w14:paraId="46D6B4AF" w14:textId="77777777" w:rsidR="004B357B" w:rsidRPr="00290C7E" w:rsidRDefault="004B357B" w:rsidP="00963FEE">
            <w:pPr>
              <w:pStyle w:val="TableTextRight"/>
            </w:pPr>
            <w:r w:rsidRPr="00290C7E">
              <w:t>39,200</w:t>
            </w:r>
          </w:p>
        </w:tc>
        <w:tc>
          <w:tcPr>
            <w:tcW w:w="1300" w:type="dxa"/>
            <w:shd w:val="clear" w:color="auto" w:fill="auto"/>
            <w:noWrap/>
            <w:vAlign w:val="bottom"/>
            <w:hideMark/>
          </w:tcPr>
          <w:p w14:paraId="35DE72B2" w14:textId="77777777" w:rsidR="004B357B" w:rsidRPr="00290C7E" w:rsidRDefault="004B357B" w:rsidP="00963FEE">
            <w:pPr>
              <w:pStyle w:val="TableTextRight"/>
            </w:pPr>
            <w:r w:rsidRPr="00290C7E">
              <w:t>39,128</w:t>
            </w:r>
          </w:p>
        </w:tc>
      </w:tr>
      <w:tr w:rsidR="004B357B" w:rsidRPr="00290C7E" w14:paraId="0A9C417D" w14:textId="77777777" w:rsidTr="00732406">
        <w:trPr>
          <w:trHeight w:val="300"/>
        </w:trPr>
        <w:tc>
          <w:tcPr>
            <w:tcW w:w="1300" w:type="dxa"/>
            <w:shd w:val="clear" w:color="auto" w:fill="F2F2F2" w:themeFill="background1" w:themeFillShade="F2"/>
            <w:noWrap/>
            <w:vAlign w:val="bottom"/>
            <w:hideMark/>
          </w:tcPr>
          <w:p w14:paraId="666B81FD" w14:textId="77777777" w:rsidR="004B357B" w:rsidRPr="00290C7E" w:rsidRDefault="004B357B" w:rsidP="00963FEE">
            <w:pPr>
              <w:pStyle w:val="TableTextRight"/>
            </w:pPr>
            <w:r w:rsidRPr="00290C7E">
              <w:t>2003</w:t>
            </w:r>
          </w:p>
        </w:tc>
        <w:tc>
          <w:tcPr>
            <w:tcW w:w="1300" w:type="dxa"/>
            <w:shd w:val="clear" w:color="auto" w:fill="F2F2F2" w:themeFill="background1" w:themeFillShade="F2"/>
            <w:noWrap/>
            <w:vAlign w:val="bottom"/>
            <w:hideMark/>
          </w:tcPr>
          <w:p w14:paraId="4566A3E5" w14:textId="77777777" w:rsidR="004B357B" w:rsidRPr="00290C7E" w:rsidRDefault="004B357B" w:rsidP="00963FEE">
            <w:pPr>
              <w:pStyle w:val="TableTextRight"/>
            </w:pPr>
            <w:r w:rsidRPr="00290C7E">
              <w:t>3,329,139</w:t>
            </w:r>
          </w:p>
        </w:tc>
        <w:tc>
          <w:tcPr>
            <w:tcW w:w="1300" w:type="dxa"/>
            <w:shd w:val="clear" w:color="auto" w:fill="F2F2F2" w:themeFill="background1" w:themeFillShade="F2"/>
            <w:noWrap/>
            <w:vAlign w:val="bottom"/>
            <w:hideMark/>
          </w:tcPr>
          <w:p w14:paraId="0DAA71FE" w14:textId="77777777" w:rsidR="004B357B" w:rsidRPr="00290C7E" w:rsidRDefault="004B357B" w:rsidP="00963FEE">
            <w:pPr>
              <w:pStyle w:val="TableTextRight"/>
            </w:pPr>
            <w:r w:rsidRPr="00290C7E">
              <w:t>28,153</w:t>
            </w:r>
          </w:p>
        </w:tc>
        <w:tc>
          <w:tcPr>
            <w:tcW w:w="1300" w:type="dxa"/>
            <w:shd w:val="clear" w:color="auto" w:fill="F2F2F2" w:themeFill="background1" w:themeFillShade="F2"/>
            <w:noWrap/>
            <w:vAlign w:val="bottom"/>
            <w:hideMark/>
          </w:tcPr>
          <w:p w14:paraId="5EE3E308" w14:textId="77777777" w:rsidR="004B357B" w:rsidRPr="00290C7E" w:rsidRDefault="004B357B" w:rsidP="00963FEE">
            <w:pPr>
              <w:pStyle w:val="TableTextRight"/>
            </w:pPr>
            <w:r w:rsidRPr="00290C7E">
              <w:t>21,854</w:t>
            </w:r>
          </w:p>
        </w:tc>
        <w:tc>
          <w:tcPr>
            <w:tcW w:w="1300" w:type="dxa"/>
            <w:shd w:val="clear" w:color="auto" w:fill="F2F2F2" w:themeFill="background1" w:themeFillShade="F2"/>
            <w:noWrap/>
            <w:vAlign w:val="bottom"/>
            <w:hideMark/>
          </w:tcPr>
          <w:p w14:paraId="678987DD" w14:textId="77777777" w:rsidR="004B357B" w:rsidRPr="00290C7E" w:rsidRDefault="004B357B" w:rsidP="00963FEE">
            <w:pPr>
              <w:pStyle w:val="TableTextRight"/>
            </w:pPr>
            <w:r w:rsidRPr="00290C7E">
              <w:t>6,319</w:t>
            </w:r>
          </w:p>
        </w:tc>
        <w:tc>
          <w:tcPr>
            <w:tcW w:w="1300" w:type="dxa"/>
            <w:shd w:val="clear" w:color="auto" w:fill="F2F2F2" w:themeFill="background1" w:themeFillShade="F2"/>
            <w:noWrap/>
            <w:vAlign w:val="bottom"/>
            <w:hideMark/>
          </w:tcPr>
          <w:p w14:paraId="222E20F3" w14:textId="77777777" w:rsidR="004B357B" w:rsidRPr="00290C7E" w:rsidRDefault="004B357B" w:rsidP="00963FEE">
            <w:pPr>
              <w:pStyle w:val="TableTextRight"/>
            </w:pPr>
            <w:r w:rsidRPr="00290C7E">
              <w:t>39,906</w:t>
            </w:r>
          </w:p>
        </w:tc>
        <w:tc>
          <w:tcPr>
            <w:tcW w:w="1300" w:type="dxa"/>
            <w:shd w:val="clear" w:color="auto" w:fill="F2F2F2" w:themeFill="background1" w:themeFillShade="F2"/>
            <w:noWrap/>
            <w:vAlign w:val="bottom"/>
            <w:hideMark/>
          </w:tcPr>
          <w:p w14:paraId="5EB2C0D3" w14:textId="77777777" w:rsidR="004B357B" w:rsidRPr="00290C7E" w:rsidRDefault="004B357B" w:rsidP="00963FEE">
            <w:pPr>
              <w:pStyle w:val="TableTextRight"/>
            </w:pPr>
            <w:r w:rsidRPr="00290C7E">
              <w:t>35,602</w:t>
            </w:r>
          </w:p>
        </w:tc>
      </w:tr>
      <w:tr w:rsidR="004B357B" w:rsidRPr="00290C7E" w14:paraId="3B4E5368" w14:textId="77777777" w:rsidTr="00963FEE">
        <w:trPr>
          <w:trHeight w:val="300"/>
        </w:trPr>
        <w:tc>
          <w:tcPr>
            <w:tcW w:w="1300" w:type="dxa"/>
            <w:shd w:val="clear" w:color="auto" w:fill="auto"/>
            <w:noWrap/>
            <w:vAlign w:val="bottom"/>
            <w:hideMark/>
          </w:tcPr>
          <w:p w14:paraId="2788FBEE" w14:textId="77777777" w:rsidR="004B357B" w:rsidRPr="00290C7E" w:rsidRDefault="004B357B" w:rsidP="00963FEE">
            <w:pPr>
              <w:pStyle w:val="TableTextRight"/>
            </w:pPr>
            <w:r w:rsidRPr="00290C7E">
              <w:t>2004</w:t>
            </w:r>
          </w:p>
        </w:tc>
        <w:tc>
          <w:tcPr>
            <w:tcW w:w="1300" w:type="dxa"/>
            <w:shd w:val="clear" w:color="auto" w:fill="auto"/>
            <w:noWrap/>
            <w:vAlign w:val="bottom"/>
            <w:hideMark/>
          </w:tcPr>
          <w:p w14:paraId="4D3590AF" w14:textId="77777777" w:rsidR="004B357B" w:rsidRPr="00290C7E" w:rsidRDefault="004B357B" w:rsidP="00963FEE">
            <w:pPr>
              <w:pStyle w:val="TableTextRight"/>
            </w:pPr>
            <w:r w:rsidRPr="00290C7E">
              <w:t>3,583,533</w:t>
            </w:r>
          </w:p>
        </w:tc>
        <w:tc>
          <w:tcPr>
            <w:tcW w:w="1300" w:type="dxa"/>
            <w:shd w:val="clear" w:color="auto" w:fill="auto"/>
            <w:noWrap/>
            <w:vAlign w:val="bottom"/>
            <w:hideMark/>
          </w:tcPr>
          <w:p w14:paraId="1AFC5E65" w14:textId="77777777" w:rsidR="004B357B" w:rsidRPr="00290C7E" w:rsidRDefault="004B357B" w:rsidP="00963FEE">
            <w:pPr>
              <w:pStyle w:val="TableTextRight"/>
            </w:pPr>
            <w:r w:rsidRPr="00290C7E">
              <w:t>28,654</w:t>
            </w:r>
          </w:p>
        </w:tc>
        <w:tc>
          <w:tcPr>
            <w:tcW w:w="1300" w:type="dxa"/>
            <w:shd w:val="clear" w:color="auto" w:fill="auto"/>
            <w:noWrap/>
            <w:vAlign w:val="bottom"/>
            <w:hideMark/>
          </w:tcPr>
          <w:p w14:paraId="5EBE13D8" w14:textId="77777777" w:rsidR="004B357B" w:rsidRPr="00290C7E" w:rsidRDefault="004B357B" w:rsidP="00963FEE">
            <w:pPr>
              <w:pStyle w:val="TableTextRight"/>
            </w:pPr>
            <w:r w:rsidRPr="00290C7E">
              <w:t>21,130</w:t>
            </w:r>
          </w:p>
        </w:tc>
        <w:tc>
          <w:tcPr>
            <w:tcW w:w="1300" w:type="dxa"/>
            <w:shd w:val="clear" w:color="auto" w:fill="auto"/>
            <w:noWrap/>
            <w:vAlign w:val="bottom"/>
            <w:hideMark/>
          </w:tcPr>
          <w:p w14:paraId="3D0C266D" w14:textId="77777777" w:rsidR="004B357B" w:rsidRPr="00290C7E" w:rsidRDefault="004B357B" w:rsidP="00963FEE">
            <w:pPr>
              <w:pStyle w:val="TableTextRight"/>
            </w:pPr>
            <w:r w:rsidRPr="00290C7E">
              <w:t>5,995</w:t>
            </w:r>
          </w:p>
        </w:tc>
        <w:tc>
          <w:tcPr>
            <w:tcW w:w="1300" w:type="dxa"/>
            <w:shd w:val="clear" w:color="auto" w:fill="auto"/>
            <w:noWrap/>
            <w:vAlign w:val="bottom"/>
            <w:hideMark/>
          </w:tcPr>
          <w:p w14:paraId="162AFF17" w14:textId="77777777" w:rsidR="004B357B" w:rsidRPr="00290C7E" w:rsidRDefault="004B357B" w:rsidP="00963FEE">
            <w:pPr>
              <w:pStyle w:val="TableTextRight"/>
            </w:pPr>
            <w:r w:rsidRPr="00290C7E">
              <w:t>40,352</w:t>
            </w:r>
          </w:p>
        </w:tc>
        <w:tc>
          <w:tcPr>
            <w:tcW w:w="1300" w:type="dxa"/>
            <w:shd w:val="clear" w:color="auto" w:fill="auto"/>
            <w:noWrap/>
            <w:vAlign w:val="bottom"/>
            <w:hideMark/>
          </w:tcPr>
          <w:p w14:paraId="0A88C085" w14:textId="77777777" w:rsidR="004B357B" w:rsidRPr="00290C7E" w:rsidRDefault="004B357B" w:rsidP="00963FEE">
            <w:pPr>
              <w:pStyle w:val="TableTextRight"/>
            </w:pPr>
            <w:r w:rsidRPr="00290C7E">
              <w:t>48,154</w:t>
            </w:r>
          </w:p>
        </w:tc>
      </w:tr>
      <w:tr w:rsidR="004B357B" w:rsidRPr="00290C7E" w14:paraId="2BC033E9" w14:textId="77777777" w:rsidTr="00732406">
        <w:trPr>
          <w:trHeight w:val="300"/>
        </w:trPr>
        <w:tc>
          <w:tcPr>
            <w:tcW w:w="1300" w:type="dxa"/>
            <w:shd w:val="clear" w:color="auto" w:fill="F2F2F2" w:themeFill="background1" w:themeFillShade="F2"/>
            <w:noWrap/>
            <w:vAlign w:val="bottom"/>
            <w:hideMark/>
          </w:tcPr>
          <w:p w14:paraId="46E29340" w14:textId="77777777" w:rsidR="004B357B" w:rsidRPr="00290C7E" w:rsidRDefault="004B357B" w:rsidP="00963FEE">
            <w:pPr>
              <w:pStyle w:val="TableTextRight"/>
            </w:pPr>
            <w:r w:rsidRPr="00290C7E">
              <w:t>2005</w:t>
            </w:r>
          </w:p>
        </w:tc>
        <w:tc>
          <w:tcPr>
            <w:tcW w:w="1300" w:type="dxa"/>
            <w:shd w:val="clear" w:color="auto" w:fill="F2F2F2" w:themeFill="background1" w:themeFillShade="F2"/>
            <w:noWrap/>
            <w:vAlign w:val="bottom"/>
            <w:hideMark/>
          </w:tcPr>
          <w:p w14:paraId="7D37C940" w14:textId="77777777" w:rsidR="004B357B" w:rsidRPr="00290C7E" w:rsidRDefault="004B357B" w:rsidP="00963FEE">
            <w:pPr>
              <w:pStyle w:val="TableTextRight"/>
            </w:pPr>
            <w:r w:rsidRPr="00290C7E">
              <w:t>3,698,581</w:t>
            </w:r>
          </w:p>
        </w:tc>
        <w:tc>
          <w:tcPr>
            <w:tcW w:w="1300" w:type="dxa"/>
            <w:shd w:val="clear" w:color="auto" w:fill="F2F2F2" w:themeFill="background1" w:themeFillShade="F2"/>
            <w:noWrap/>
            <w:vAlign w:val="bottom"/>
            <w:hideMark/>
          </w:tcPr>
          <w:p w14:paraId="603095A2" w14:textId="77777777" w:rsidR="004B357B" w:rsidRPr="00290C7E" w:rsidRDefault="004B357B" w:rsidP="00963FEE">
            <w:pPr>
              <w:pStyle w:val="TableTextRight"/>
            </w:pPr>
            <w:r w:rsidRPr="00290C7E">
              <w:t>29,324</w:t>
            </w:r>
          </w:p>
        </w:tc>
        <w:tc>
          <w:tcPr>
            <w:tcW w:w="1300" w:type="dxa"/>
            <w:shd w:val="clear" w:color="auto" w:fill="F2F2F2" w:themeFill="background1" w:themeFillShade="F2"/>
            <w:noWrap/>
            <w:vAlign w:val="bottom"/>
            <w:hideMark/>
          </w:tcPr>
          <w:p w14:paraId="42E94B95" w14:textId="77777777" w:rsidR="004B357B" w:rsidRPr="00290C7E" w:rsidRDefault="004B357B" w:rsidP="00963FEE">
            <w:pPr>
              <w:pStyle w:val="TableTextRight"/>
            </w:pPr>
            <w:r w:rsidRPr="00290C7E">
              <w:t>21,742</w:t>
            </w:r>
          </w:p>
        </w:tc>
        <w:tc>
          <w:tcPr>
            <w:tcW w:w="1300" w:type="dxa"/>
            <w:shd w:val="clear" w:color="auto" w:fill="F2F2F2" w:themeFill="background1" w:themeFillShade="F2"/>
            <w:noWrap/>
            <w:vAlign w:val="bottom"/>
            <w:hideMark/>
          </w:tcPr>
          <w:p w14:paraId="0B0563E8" w14:textId="77777777" w:rsidR="004B357B" w:rsidRPr="00290C7E" w:rsidRDefault="004B357B" w:rsidP="00963FEE">
            <w:pPr>
              <w:pStyle w:val="TableTextRight"/>
            </w:pPr>
            <w:r w:rsidRPr="00290C7E">
              <w:t>6,137</w:t>
            </w:r>
          </w:p>
        </w:tc>
        <w:tc>
          <w:tcPr>
            <w:tcW w:w="1300" w:type="dxa"/>
            <w:shd w:val="clear" w:color="auto" w:fill="F2F2F2" w:themeFill="background1" w:themeFillShade="F2"/>
            <w:noWrap/>
            <w:vAlign w:val="bottom"/>
            <w:hideMark/>
          </w:tcPr>
          <w:p w14:paraId="68D66769" w14:textId="77777777" w:rsidR="004B357B" w:rsidRPr="00290C7E" w:rsidRDefault="004B357B" w:rsidP="00963FEE">
            <w:pPr>
              <w:pStyle w:val="TableTextRight"/>
            </w:pPr>
            <w:r w:rsidRPr="00290C7E">
              <w:t>41,874</w:t>
            </w:r>
          </w:p>
        </w:tc>
        <w:tc>
          <w:tcPr>
            <w:tcW w:w="1300" w:type="dxa"/>
            <w:shd w:val="clear" w:color="auto" w:fill="F2F2F2" w:themeFill="background1" w:themeFillShade="F2"/>
            <w:noWrap/>
            <w:vAlign w:val="bottom"/>
            <w:hideMark/>
          </w:tcPr>
          <w:p w14:paraId="044A26D4" w14:textId="77777777" w:rsidR="004B357B" w:rsidRPr="00290C7E" w:rsidRDefault="004B357B" w:rsidP="00963FEE">
            <w:pPr>
              <w:pStyle w:val="TableTextRight"/>
            </w:pPr>
            <w:r w:rsidRPr="00290C7E">
              <w:t>38,451</w:t>
            </w:r>
          </w:p>
        </w:tc>
      </w:tr>
      <w:tr w:rsidR="004B357B" w:rsidRPr="00290C7E" w14:paraId="5740CBCE" w14:textId="77777777" w:rsidTr="00963FEE">
        <w:trPr>
          <w:trHeight w:val="300"/>
        </w:trPr>
        <w:tc>
          <w:tcPr>
            <w:tcW w:w="1300" w:type="dxa"/>
            <w:shd w:val="clear" w:color="auto" w:fill="auto"/>
            <w:noWrap/>
            <w:vAlign w:val="bottom"/>
            <w:hideMark/>
          </w:tcPr>
          <w:p w14:paraId="07944186" w14:textId="77777777" w:rsidR="004B357B" w:rsidRPr="00290C7E" w:rsidRDefault="004B357B" w:rsidP="00963FEE">
            <w:pPr>
              <w:pStyle w:val="TableTextRight"/>
            </w:pPr>
            <w:r w:rsidRPr="00290C7E">
              <w:t>2006</w:t>
            </w:r>
          </w:p>
        </w:tc>
        <w:tc>
          <w:tcPr>
            <w:tcW w:w="1300" w:type="dxa"/>
            <w:shd w:val="clear" w:color="auto" w:fill="auto"/>
            <w:noWrap/>
            <w:vAlign w:val="bottom"/>
            <w:hideMark/>
          </w:tcPr>
          <w:p w14:paraId="5DA256EB" w14:textId="77777777" w:rsidR="004B357B" w:rsidRPr="00290C7E" w:rsidRDefault="004B357B" w:rsidP="00963FEE">
            <w:pPr>
              <w:pStyle w:val="TableTextRight"/>
            </w:pPr>
            <w:r w:rsidRPr="00290C7E">
              <w:t>3,845,696</w:t>
            </w:r>
          </w:p>
        </w:tc>
        <w:tc>
          <w:tcPr>
            <w:tcW w:w="1300" w:type="dxa"/>
            <w:shd w:val="clear" w:color="auto" w:fill="auto"/>
            <w:noWrap/>
            <w:vAlign w:val="bottom"/>
            <w:hideMark/>
          </w:tcPr>
          <w:p w14:paraId="37ED59C7" w14:textId="77777777" w:rsidR="004B357B" w:rsidRPr="00290C7E" w:rsidRDefault="004B357B" w:rsidP="00963FEE">
            <w:pPr>
              <w:pStyle w:val="TableTextRight"/>
            </w:pPr>
            <w:r w:rsidRPr="00290C7E">
              <w:t>30,836</w:t>
            </w:r>
          </w:p>
        </w:tc>
        <w:tc>
          <w:tcPr>
            <w:tcW w:w="1300" w:type="dxa"/>
            <w:shd w:val="clear" w:color="auto" w:fill="auto"/>
            <w:noWrap/>
            <w:vAlign w:val="bottom"/>
            <w:hideMark/>
          </w:tcPr>
          <w:p w14:paraId="2799EA0E" w14:textId="77777777" w:rsidR="004B357B" w:rsidRPr="00290C7E" w:rsidRDefault="004B357B" w:rsidP="00963FEE">
            <w:pPr>
              <w:pStyle w:val="TableTextRight"/>
            </w:pPr>
            <w:r w:rsidRPr="00290C7E">
              <w:t>22,935</w:t>
            </w:r>
          </w:p>
        </w:tc>
        <w:tc>
          <w:tcPr>
            <w:tcW w:w="1300" w:type="dxa"/>
            <w:shd w:val="clear" w:color="auto" w:fill="auto"/>
            <w:noWrap/>
            <w:vAlign w:val="bottom"/>
            <w:hideMark/>
          </w:tcPr>
          <w:p w14:paraId="56B4EEDB" w14:textId="77777777" w:rsidR="004B357B" w:rsidRPr="00290C7E" w:rsidRDefault="004B357B" w:rsidP="00963FEE">
            <w:pPr>
              <w:pStyle w:val="TableTextRight"/>
            </w:pPr>
            <w:r w:rsidRPr="00290C7E">
              <w:t>6,586</w:t>
            </w:r>
          </w:p>
        </w:tc>
        <w:tc>
          <w:tcPr>
            <w:tcW w:w="1300" w:type="dxa"/>
            <w:shd w:val="clear" w:color="auto" w:fill="auto"/>
            <w:noWrap/>
            <w:vAlign w:val="bottom"/>
            <w:hideMark/>
          </w:tcPr>
          <w:p w14:paraId="763C243E" w14:textId="77777777" w:rsidR="004B357B" w:rsidRPr="00290C7E" w:rsidRDefault="004B357B" w:rsidP="00963FEE">
            <w:pPr>
              <w:pStyle w:val="TableTextRight"/>
            </w:pPr>
            <w:r w:rsidRPr="00290C7E">
              <w:t>43,798</w:t>
            </w:r>
          </w:p>
        </w:tc>
        <w:tc>
          <w:tcPr>
            <w:tcW w:w="1300" w:type="dxa"/>
            <w:shd w:val="clear" w:color="auto" w:fill="auto"/>
            <w:noWrap/>
            <w:vAlign w:val="bottom"/>
            <w:hideMark/>
          </w:tcPr>
          <w:p w14:paraId="7C4752CF" w14:textId="77777777" w:rsidR="004B357B" w:rsidRPr="00290C7E" w:rsidRDefault="004B357B" w:rsidP="00963FEE">
            <w:pPr>
              <w:pStyle w:val="TableTextRight"/>
            </w:pPr>
            <w:r w:rsidRPr="00290C7E">
              <w:t>41,075</w:t>
            </w:r>
          </w:p>
        </w:tc>
      </w:tr>
      <w:tr w:rsidR="004B357B" w:rsidRPr="00290C7E" w14:paraId="4952A288" w14:textId="77777777" w:rsidTr="00732406">
        <w:trPr>
          <w:trHeight w:val="300"/>
        </w:trPr>
        <w:tc>
          <w:tcPr>
            <w:tcW w:w="1300" w:type="dxa"/>
            <w:shd w:val="clear" w:color="auto" w:fill="F2F2F2" w:themeFill="background1" w:themeFillShade="F2"/>
            <w:noWrap/>
            <w:vAlign w:val="bottom"/>
            <w:hideMark/>
          </w:tcPr>
          <w:p w14:paraId="6BD77A5F" w14:textId="77777777" w:rsidR="004B357B" w:rsidRPr="00290C7E" w:rsidRDefault="004B357B" w:rsidP="00963FEE">
            <w:pPr>
              <w:pStyle w:val="TableTextRight"/>
            </w:pPr>
            <w:r w:rsidRPr="00290C7E">
              <w:t>2007</w:t>
            </w:r>
          </w:p>
        </w:tc>
        <w:tc>
          <w:tcPr>
            <w:tcW w:w="1300" w:type="dxa"/>
            <w:shd w:val="clear" w:color="auto" w:fill="F2F2F2" w:themeFill="background1" w:themeFillShade="F2"/>
            <w:noWrap/>
            <w:vAlign w:val="bottom"/>
            <w:hideMark/>
          </w:tcPr>
          <w:p w14:paraId="447E74DD" w14:textId="77777777" w:rsidR="004B357B" w:rsidRPr="00290C7E" w:rsidRDefault="004B357B" w:rsidP="00963FEE">
            <w:pPr>
              <w:pStyle w:val="TableTextRight"/>
            </w:pPr>
            <w:r w:rsidRPr="00290C7E">
              <w:t>3,919,153</w:t>
            </w:r>
          </w:p>
        </w:tc>
        <w:tc>
          <w:tcPr>
            <w:tcW w:w="1300" w:type="dxa"/>
            <w:shd w:val="clear" w:color="auto" w:fill="F2F2F2" w:themeFill="background1" w:themeFillShade="F2"/>
            <w:noWrap/>
            <w:vAlign w:val="bottom"/>
            <w:hideMark/>
          </w:tcPr>
          <w:p w14:paraId="425620EB" w14:textId="77777777" w:rsidR="004B357B" w:rsidRPr="00290C7E" w:rsidRDefault="004B357B" w:rsidP="00963FEE">
            <w:pPr>
              <w:pStyle w:val="TableTextRight"/>
            </w:pPr>
            <w:r w:rsidRPr="00290C7E">
              <w:t>32,575</w:t>
            </w:r>
          </w:p>
        </w:tc>
        <w:tc>
          <w:tcPr>
            <w:tcW w:w="1300" w:type="dxa"/>
            <w:shd w:val="clear" w:color="auto" w:fill="F2F2F2" w:themeFill="background1" w:themeFillShade="F2"/>
            <w:noWrap/>
            <w:vAlign w:val="bottom"/>
            <w:hideMark/>
          </w:tcPr>
          <w:p w14:paraId="7D39C104" w14:textId="77777777" w:rsidR="004B357B" w:rsidRPr="00290C7E" w:rsidRDefault="004B357B" w:rsidP="00963FEE">
            <w:pPr>
              <w:pStyle w:val="TableTextRight"/>
            </w:pPr>
            <w:r w:rsidRPr="00290C7E">
              <w:t>23,783</w:t>
            </w:r>
          </w:p>
        </w:tc>
        <w:tc>
          <w:tcPr>
            <w:tcW w:w="1300" w:type="dxa"/>
            <w:shd w:val="clear" w:color="auto" w:fill="F2F2F2" w:themeFill="background1" w:themeFillShade="F2"/>
            <w:noWrap/>
            <w:vAlign w:val="bottom"/>
            <w:hideMark/>
          </w:tcPr>
          <w:p w14:paraId="2BAEBB01" w14:textId="77777777" w:rsidR="004B357B" w:rsidRPr="00290C7E" w:rsidRDefault="004B357B" w:rsidP="00963FEE">
            <w:pPr>
              <w:pStyle w:val="TableTextRight"/>
            </w:pPr>
            <w:r w:rsidRPr="00290C7E">
              <w:t>6,803</w:t>
            </w:r>
          </w:p>
        </w:tc>
        <w:tc>
          <w:tcPr>
            <w:tcW w:w="1300" w:type="dxa"/>
            <w:shd w:val="clear" w:color="auto" w:fill="F2F2F2" w:themeFill="background1" w:themeFillShade="F2"/>
            <w:noWrap/>
            <w:vAlign w:val="bottom"/>
            <w:hideMark/>
          </w:tcPr>
          <w:p w14:paraId="6948D546" w14:textId="77777777" w:rsidR="004B357B" w:rsidRPr="00290C7E" w:rsidRDefault="004B357B" w:rsidP="00963FEE">
            <w:pPr>
              <w:pStyle w:val="TableTextRight"/>
            </w:pPr>
            <w:r w:rsidRPr="00290C7E">
              <w:t>45,778</w:t>
            </w:r>
          </w:p>
        </w:tc>
        <w:tc>
          <w:tcPr>
            <w:tcW w:w="1300" w:type="dxa"/>
            <w:shd w:val="clear" w:color="auto" w:fill="F2F2F2" w:themeFill="background1" w:themeFillShade="F2"/>
            <w:noWrap/>
            <w:vAlign w:val="bottom"/>
            <w:hideMark/>
          </w:tcPr>
          <w:p w14:paraId="2A2ADC50" w14:textId="77777777" w:rsidR="004B357B" w:rsidRPr="00290C7E" w:rsidRDefault="004B357B" w:rsidP="00963FEE">
            <w:pPr>
              <w:pStyle w:val="TableTextRight"/>
            </w:pPr>
            <w:r w:rsidRPr="00290C7E">
              <w:t>46,912</w:t>
            </w:r>
          </w:p>
        </w:tc>
      </w:tr>
      <w:tr w:rsidR="004B357B" w:rsidRPr="00290C7E" w14:paraId="70F7BD65" w14:textId="77777777" w:rsidTr="00963FEE">
        <w:trPr>
          <w:trHeight w:val="300"/>
        </w:trPr>
        <w:tc>
          <w:tcPr>
            <w:tcW w:w="1300" w:type="dxa"/>
            <w:shd w:val="clear" w:color="auto" w:fill="auto"/>
            <w:noWrap/>
            <w:vAlign w:val="bottom"/>
            <w:hideMark/>
          </w:tcPr>
          <w:p w14:paraId="02322176" w14:textId="77777777" w:rsidR="004B357B" w:rsidRPr="00290C7E" w:rsidRDefault="004B357B" w:rsidP="00963FEE">
            <w:pPr>
              <w:pStyle w:val="TableTextRight"/>
            </w:pPr>
            <w:r w:rsidRPr="00290C7E">
              <w:t>2008</w:t>
            </w:r>
          </w:p>
        </w:tc>
        <w:tc>
          <w:tcPr>
            <w:tcW w:w="1300" w:type="dxa"/>
            <w:shd w:val="clear" w:color="auto" w:fill="auto"/>
            <w:noWrap/>
            <w:vAlign w:val="bottom"/>
            <w:hideMark/>
          </w:tcPr>
          <w:p w14:paraId="583A6E7A" w14:textId="77777777" w:rsidR="004B357B" w:rsidRPr="00290C7E" w:rsidRDefault="004B357B" w:rsidP="00963FEE">
            <w:pPr>
              <w:pStyle w:val="TableTextRight"/>
            </w:pPr>
            <w:r w:rsidRPr="00290C7E">
              <w:t>4,091,544</w:t>
            </w:r>
          </w:p>
        </w:tc>
        <w:tc>
          <w:tcPr>
            <w:tcW w:w="1300" w:type="dxa"/>
            <w:shd w:val="clear" w:color="auto" w:fill="auto"/>
            <w:noWrap/>
            <w:vAlign w:val="bottom"/>
            <w:hideMark/>
          </w:tcPr>
          <w:p w14:paraId="54AD2A85" w14:textId="77777777" w:rsidR="004B357B" w:rsidRPr="00290C7E" w:rsidRDefault="004B357B" w:rsidP="00963FEE">
            <w:pPr>
              <w:pStyle w:val="TableTextRight"/>
            </w:pPr>
            <w:r w:rsidRPr="00290C7E">
              <w:t>34,703</w:t>
            </w:r>
          </w:p>
        </w:tc>
        <w:tc>
          <w:tcPr>
            <w:tcW w:w="1300" w:type="dxa"/>
            <w:shd w:val="clear" w:color="auto" w:fill="auto"/>
            <w:noWrap/>
            <w:vAlign w:val="bottom"/>
            <w:hideMark/>
          </w:tcPr>
          <w:p w14:paraId="124505E3" w14:textId="77777777" w:rsidR="004B357B" w:rsidRPr="00290C7E" w:rsidRDefault="004B357B" w:rsidP="00963FEE">
            <w:pPr>
              <w:pStyle w:val="TableTextRight"/>
            </w:pPr>
            <w:r w:rsidRPr="00290C7E">
              <w:t>25,017</w:t>
            </w:r>
          </w:p>
        </w:tc>
        <w:tc>
          <w:tcPr>
            <w:tcW w:w="1300" w:type="dxa"/>
            <w:shd w:val="clear" w:color="auto" w:fill="auto"/>
            <w:noWrap/>
            <w:vAlign w:val="bottom"/>
            <w:hideMark/>
          </w:tcPr>
          <w:p w14:paraId="7CFF9992" w14:textId="77777777" w:rsidR="004B357B" w:rsidRPr="00290C7E" w:rsidRDefault="004B357B" w:rsidP="00963FEE">
            <w:pPr>
              <w:pStyle w:val="TableTextRight"/>
            </w:pPr>
            <w:r w:rsidRPr="00290C7E">
              <w:t>7,264</w:t>
            </w:r>
          </w:p>
        </w:tc>
        <w:tc>
          <w:tcPr>
            <w:tcW w:w="1300" w:type="dxa"/>
            <w:shd w:val="clear" w:color="auto" w:fill="auto"/>
            <w:noWrap/>
            <w:vAlign w:val="bottom"/>
            <w:hideMark/>
          </w:tcPr>
          <w:p w14:paraId="74B37A82" w14:textId="77777777" w:rsidR="004B357B" w:rsidRPr="00290C7E" w:rsidRDefault="004B357B" w:rsidP="00963FEE">
            <w:pPr>
              <w:pStyle w:val="TableTextRight"/>
            </w:pPr>
            <w:r w:rsidRPr="00290C7E">
              <w:t>48,402</w:t>
            </w:r>
          </w:p>
        </w:tc>
        <w:tc>
          <w:tcPr>
            <w:tcW w:w="1300" w:type="dxa"/>
            <w:shd w:val="clear" w:color="auto" w:fill="auto"/>
            <w:noWrap/>
            <w:vAlign w:val="bottom"/>
            <w:hideMark/>
          </w:tcPr>
          <w:p w14:paraId="246FD2D3" w14:textId="77777777" w:rsidR="004B357B" w:rsidRPr="00290C7E" w:rsidRDefault="004B357B" w:rsidP="00963FEE">
            <w:pPr>
              <w:pStyle w:val="TableTextRight"/>
            </w:pPr>
            <w:r w:rsidRPr="00290C7E">
              <w:t>49,378</w:t>
            </w:r>
          </w:p>
        </w:tc>
      </w:tr>
      <w:tr w:rsidR="004B357B" w:rsidRPr="00290C7E" w14:paraId="35B23755" w14:textId="77777777" w:rsidTr="00732406">
        <w:trPr>
          <w:trHeight w:val="300"/>
        </w:trPr>
        <w:tc>
          <w:tcPr>
            <w:tcW w:w="1300" w:type="dxa"/>
            <w:shd w:val="clear" w:color="auto" w:fill="F2F2F2" w:themeFill="background1" w:themeFillShade="F2"/>
            <w:noWrap/>
            <w:vAlign w:val="bottom"/>
            <w:hideMark/>
          </w:tcPr>
          <w:p w14:paraId="6B29B63D" w14:textId="77777777" w:rsidR="004B357B" w:rsidRPr="00290C7E" w:rsidRDefault="004B357B" w:rsidP="00963FEE">
            <w:pPr>
              <w:pStyle w:val="TableTextRight"/>
            </w:pPr>
            <w:r w:rsidRPr="00290C7E">
              <w:t>2009</w:t>
            </w:r>
          </w:p>
        </w:tc>
        <w:tc>
          <w:tcPr>
            <w:tcW w:w="1300" w:type="dxa"/>
            <w:shd w:val="clear" w:color="auto" w:fill="F2F2F2" w:themeFill="background1" w:themeFillShade="F2"/>
            <w:noWrap/>
            <w:vAlign w:val="bottom"/>
            <w:hideMark/>
          </w:tcPr>
          <w:p w14:paraId="3A412764" w14:textId="77777777" w:rsidR="004B357B" w:rsidRPr="00290C7E" w:rsidRDefault="004B357B" w:rsidP="00963FEE">
            <w:pPr>
              <w:pStyle w:val="TableTextRight"/>
            </w:pPr>
            <w:r w:rsidRPr="00290C7E">
              <w:t>3,951,879</w:t>
            </w:r>
          </w:p>
        </w:tc>
        <w:tc>
          <w:tcPr>
            <w:tcW w:w="1300" w:type="dxa"/>
            <w:shd w:val="clear" w:color="auto" w:fill="F2F2F2" w:themeFill="background1" w:themeFillShade="F2"/>
            <w:noWrap/>
            <w:vAlign w:val="bottom"/>
            <w:hideMark/>
          </w:tcPr>
          <w:p w14:paraId="7090EA16" w14:textId="77777777" w:rsidR="004B357B" w:rsidRPr="00290C7E" w:rsidRDefault="004B357B" w:rsidP="00963FEE">
            <w:pPr>
              <w:pStyle w:val="TableTextRight"/>
            </w:pPr>
            <w:r w:rsidRPr="00290C7E">
              <w:t>36,897</w:t>
            </w:r>
          </w:p>
        </w:tc>
        <w:tc>
          <w:tcPr>
            <w:tcW w:w="1300" w:type="dxa"/>
            <w:shd w:val="clear" w:color="auto" w:fill="F2F2F2" w:themeFill="background1" w:themeFillShade="F2"/>
            <w:noWrap/>
            <w:vAlign w:val="bottom"/>
            <w:hideMark/>
          </w:tcPr>
          <w:p w14:paraId="02714821" w14:textId="77777777" w:rsidR="004B357B" w:rsidRPr="00290C7E" w:rsidRDefault="004B357B" w:rsidP="00963FEE">
            <w:pPr>
              <w:pStyle w:val="TableTextRight"/>
            </w:pPr>
            <w:r w:rsidRPr="00290C7E">
              <w:t>27,684</w:t>
            </w:r>
          </w:p>
        </w:tc>
        <w:tc>
          <w:tcPr>
            <w:tcW w:w="1300" w:type="dxa"/>
            <w:shd w:val="clear" w:color="auto" w:fill="F2F2F2" w:themeFill="background1" w:themeFillShade="F2"/>
            <w:noWrap/>
            <w:vAlign w:val="bottom"/>
            <w:hideMark/>
          </w:tcPr>
          <w:p w14:paraId="4EE8D076" w14:textId="77777777" w:rsidR="004B357B" w:rsidRPr="00290C7E" w:rsidRDefault="004B357B" w:rsidP="00963FEE">
            <w:pPr>
              <w:pStyle w:val="TableTextRight"/>
            </w:pPr>
            <w:r w:rsidRPr="00290C7E">
              <w:t>8,042</w:t>
            </w:r>
          </w:p>
        </w:tc>
        <w:tc>
          <w:tcPr>
            <w:tcW w:w="1300" w:type="dxa"/>
            <w:shd w:val="clear" w:color="auto" w:fill="F2F2F2" w:themeFill="background1" w:themeFillShade="F2"/>
            <w:noWrap/>
            <w:vAlign w:val="bottom"/>
            <w:hideMark/>
          </w:tcPr>
          <w:p w14:paraId="54921ABB" w14:textId="77777777" w:rsidR="004B357B" w:rsidRPr="00290C7E" w:rsidRDefault="004B357B" w:rsidP="00963FEE">
            <w:pPr>
              <w:pStyle w:val="TableTextRight"/>
            </w:pPr>
            <w:r w:rsidRPr="00290C7E">
              <w:t>51,384</w:t>
            </w:r>
          </w:p>
        </w:tc>
        <w:tc>
          <w:tcPr>
            <w:tcW w:w="1300" w:type="dxa"/>
            <w:shd w:val="clear" w:color="auto" w:fill="F2F2F2" w:themeFill="background1" w:themeFillShade="F2"/>
            <w:noWrap/>
            <w:vAlign w:val="bottom"/>
            <w:hideMark/>
          </w:tcPr>
          <w:p w14:paraId="04185CF1" w14:textId="77777777" w:rsidR="004B357B" w:rsidRPr="00290C7E" w:rsidRDefault="004B357B" w:rsidP="00963FEE">
            <w:pPr>
              <w:pStyle w:val="TableTextRight"/>
            </w:pPr>
            <w:r w:rsidRPr="00290C7E">
              <w:t>50,740</w:t>
            </w:r>
          </w:p>
        </w:tc>
      </w:tr>
      <w:tr w:rsidR="004B357B" w:rsidRPr="00290C7E" w14:paraId="6EEE4D90" w14:textId="77777777" w:rsidTr="00963FEE">
        <w:trPr>
          <w:trHeight w:val="300"/>
        </w:trPr>
        <w:tc>
          <w:tcPr>
            <w:tcW w:w="1300" w:type="dxa"/>
            <w:shd w:val="clear" w:color="auto" w:fill="auto"/>
            <w:noWrap/>
            <w:vAlign w:val="bottom"/>
            <w:hideMark/>
          </w:tcPr>
          <w:p w14:paraId="1101910C" w14:textId="77777777" w:rsidR="004B357B" w:rsidRPr="00290C7E" w:rsidRDefault="004B357B" w:rsidP="00963FEE">
            <w:pPr>
              <w:pStyle w:val="TableTextRight"/>
            </w:pPr>
            <w:r w:rsidRPr="00290C7E">
              <w:t>2010</w:t>
            </w:r>
          </w:p>
        </w:tc>
        <w:tc>
          <w:tcPr>
            <w:tcW w:w="1300" w:type="dxa"/>
            <w:shd w:val="clear" w:color="auto" w:fill="auto"/>
            <w:noWrap/>
            <w:vAlign w:val="bottom"/>
            <w:hideMark/>
          </w:tcPr>
          <w:p w14:paraId="042632AF" w14:textId="77777777" w:rsidR="004B357B" w:rsidRPr="00290C7E" w:rsidRDefault="004B357B" w:rsidP="00963FEE">
            <w:pPr>
              <w:pStyle w:val="TableTextRight"/>
            </w:pPr>
            <w:r w:rsidRPr="00290C7E">
              <w:t>3,865,464</w:t>
            </w:r>
          </w:p>
        </w:tc>
        <w:tc>
          <w:tcPr>
            <w:tcW w:w="1300" w:type="dxa"/>
            <w:shd w:val="clear" w:color="auto" w:fill="auto"/>
            <w:noWrap/>
            <w:vAlign w:val="bottom"/>
            <w:hideMark/>
          </w:tcPr>
          <w:p w14:paraId="48731554" w14:textId="77777777" w:rsidR="004B357B" w:rsidRPr="00290C7E" w:rsidRDefault="004B357B" w:rsidP="00963FEE">
            <w:pPr>
              <w:pStyle w:val="TableTextRight"/>
            </w:pPr>
            <w:r w:rsidRPr="00290C7E">
              <w:t>38,110</w:t>
            </w:r>
          </w:p>
        </w:tc>
        <w:tc>
          <w:tcPr>
            <w:tcW w:w="1300" w:type="dxa"/>
            <w:shd w:val="clear" w:color="auto" w:fill="auto"/>
            <w:noWrap/>
            <w:vAlign w:val="bottom"/>
            <w:hideMark/>
          </w:tcPr>
          <w:p w14:paraId="02060260" w14:textId="77777777" w:rsidR="004B357B" w:rsidRPr="00290C7E" w:rsidRDefault="004B357B" w:rsidP="00963FEE">
            <w:pPr>
              <w:pStyle w:val="TableTextRight"/>
            </w:pPr>
            <w:r w:rsidRPr="00290C7E">
              <w:t>28,324</w:t>
            </w:r>
          </w:p>
        </w:tc>
        <w:tc>
          <w:tcPr>
            <w:tcW w:w="1300" w:type="dxa"/>
            <w:shd w:val="clear" w:color="auto" w:fill="auto"/>
            <w:noWrap/>
            <w:vAlign w:val="bottom"/>
            <w:hideMark/>
          </w:tcPr>
          <w:p w14:paraId="3B95BB99" w14:textId="77777777" w:rsidR="004B357B" w:rsidRPr="00290C7E" w:rsidRDefault="004B357B" w:rsidP="00963FEE">
            <w:pPr>
              <w:pStyle w:val="TableTextRight"/>
            </w:pPr>
            <w:r w:rsidRPr="00290C7E">
              <w:t>8,424</w:t>
            </w:r>
          </w:p>
        </w:tc>
        <w:tc>
          <w:tcPr>
            <w:tcW w:w="1300" w:type="dxa"/>
            <w:shd w:val="clear" w:color="auto" w:fill="auto"/>
            <w:noWrap/>
            <w:vAlign w:val="bottom"/>
            <w:hideMark/>
          </w:tcPr>
          <w:p w14:paraId="7A4AA231" w14:textId="77777777" w:rsidR="004B357B" w:rsidRPr="00290C7E" w:rsidRDefault="004B357B" w:rsidP="00963FEE">
            <w:pPr>
              <w:pStyle w:val="TableTextRight"/>
            </w:pPr>
            <w:r w:rsidRPr="00290C7E">
              <w:t>52,844</w:t>
            </w:r>
          </w:p>
        </w:tc>
        <w:tc>
          <w:tcPr>
            <w:tcW w:w="1300" w:type="dxa"/>
            <w:shd w:val="clear" w:color="auto" w:fill="auto"/>
            <w:noWrap/>
            <w:vAlign w:val="bottom"/>
            <w:hideMark/>
          </w:tcPr>
          <w:p w14:paraId="1C3D18D4" w14:textId="77777777" w:rsidR="004B357B" w:rsidRPr="00290C7E" w:rsidRDefault="004B357B" w:rsidP="00963FEE">
            <w:pPr>
              <w:pStyle w:val="TableTextRight"/>
            </w:pPr>
            <w:r w:rsidRPr="00290C7E">
              <w:t>51,355</w:t>
            </w:r>
          </w:p>
        </w:tc>
      </w:tr>
      <w:tr w:rsidR="004B357B" w:rsidRPr="00290C7E" w14:paraId="2ED1ADBD" w14:textId="77777777" w:rsidTr="00732406">
        <w:trPr>
          <w:trHeight w:val="300"/>
        </w:trPr>
        <w:tc>
          <w:tcPr>
            <w:tcW w:w="1300" w:type="dxa"/>
            <w:shd w:val="clear" w:color="auto" w:fill="F2F2F2" w:themeFill="background1" w:themeFillShade="F2"/>
            <w:noWrap/>
            <w:vAlign w:val="bottom"/>
            <w:hideMark/>
          </w:tcPr>
          <w:p w14:paraId="47227144" w14:textId="77777777" w:rsidR="004B357B" w:rsidRPr="00290C7E" w:rsidRDefault="004B357B" w:rsidP="00963FEE">
            <w:pPr>
              <w:pStyle w:val="TableTextRight"/>
            </w:pPr>
            <w:r w:rsidRPr="00290C7E">
              <w:t>2011</w:t>
            </w:r>
          </w:p>
        </w:tc>
        <w:tc>
          <w:tcPr>
            <w:tcW w:w="1300" w:type="dxa"/>
            <w:shd w:val="clear" w:color="auto" w:fill="F2F2F2" w:themeFill="background1" w:themeFillShade="F2"/>
            <w:noWrap/>
            <w:vAlign w:val="bottom"/>
            <w:hideMark/>
          </w:tcPr>
          <w:p w14:paraId="0F602389" w14:textId="77777777" w:rsidR="004B357B" w:rsidRPr="00290C7E" w:rsidRDefault="004B357B" w:rsidP="00963FEE">
            <w:pPr>
              <w:pStyle w:val="TableTextRight"/>
            </w:pPr>
            <w:r w:rsidRPr="00290C7E">
              <w:t>3,993,307</w:t>
            </w:r>
          </w:p>
        </w:tc>
        <w:tc>
          <w:tcPr>
            <w:tcW w:w="1300" w:type="dxa"/>
            <w:shd w:val="clear" w:color="auto" w:fill="F2F2F2" w:themeFill="background1" w:themeFillShade="F2"/>
            <w:noWrap/>
            <w:vAlign w:val="bottom"/>
            <w:hideMark/>
          </w:tcPr>
          <w:p w14:paraId="763FEC79" w14:textId="77777777" w:rsidR="004B357B" w:rsidRPr="00290C7E" w:rsidRDefault="004B357B" w:rsidP="00963FEE">
            <w:pPr>
              <w:pStyle w:val="TableTextRight"/>
            </w:pPr>
            <w:r w:rsidRPr="00290C7E">
              <w:t>40,373</w:t>
            </w:r>
          </w:p>
        </w:tc>
        <w:tc>
          <w:tcPr>
            <w:tcW w:w="1300" w:type="dxa"/>
            <w:shd w:val="clear" w:color="auto" w:fill="F2F2F2" w:themeFill="background1" w:themeFillShade="F2"/>
            <w:noWrap/>
            <w:vAlign w:val="bottom"/>
            <w:hideMark/>
          </w:tcPr>
          <w:p w14:paraId="0D5FD685" w14:textId="77777777" w:rsidR="004B357B" w:rsidRPr="00290C7E" w:rsidRDefault="004B357B" w:rsidP="00963FEE">
            <w:pPr>
              <w:pStyle w:val="TableTextRight"/>
            </w:pPr>
            <w:r w:rsidRPr="00290C7E">
              <w:t>29,889</w:t>
            </w:r>
          </w:p>
        </w:tc>
        <w:tc>
          <w:tcPr>
            <w:tcW w:w="1300" w:type="dxa"/>
            <w:shd w:val="clear" w:color="auto" w:fill="F2F2F2" w:themeFill="background1" w:themeFillShade="F2"/>
            <w:noWrap/>
            <w:vAlign w:val="bottom"/>
            <w:hideMark/>
          </w:tcPr>
          <w:p w14:paraId="30B569D5" w14:textId="77777777" w:rsidR="004B357B" w:rsidRPr="00290C7E" w:rsidRDefault="004B357B" w:rsidP="00963FEE">
            <w:pPr>
              <w:pStyle w:val="TableTextRight"/>
            </w:pPr>
            <w:r w:rsidRPr="00290C7E">
              <w:t>8,962</w:t>
            </w:r>
          </w:p>
        </w:tc>
        <w:tc>
          <w:tcPr>
            <w:tcW w:w="1300" w:type="dxa"/>
            <w:shd w:val="clear" w:color="auto" w:fill="F2F2F2" w:themeFill="background1" w:themeFillShade="F2"/>
            <w:noWrap/>
            <w:vAlign w:val="bottom"/>
            <w:hideMark/>
          </w:tcPr>
          <w:p w14:paraId="3AA9EF17" w14:textId="77777777" w:rsidR="004B357B" w:rsidRPr="00290C7E" w:rsidRDefault="004B357B" w:rsidP="00963FEE">
            <w:pPr>
              <w:pStyle w:val="TableTextRight"/>
            </w:pPr>
            <w:r w:rsidRPr="00290C7E">
              <w:t>55,599</w:t>
            </w:r>
          </w:p>
        </w:tc>
        <w:tc>
          <w:tcPr>
            <w:tcW w:w="1300" w:type="dxa"/>
            <w:shd w:val="clear" w:color="auto" w:fill="F2F2F2" w:themeFill="background1" w:themeFillShade="F2"/>
            <w:noWrap/>
            <w:vAlign w:val="bottom"/>
            <w:hideMark/>
          </w:tcPr>
          <w:p w14:paraId="24460F9D" w14:textId="77777777" w:rsidR="004B357B" w:rsidRPr="00290C7E" w:rsidRDefault="004B357B" w:rsidP="00963FEE">
            <w:pPr>
              <w:pStyle w:val="TableTextRight"/>
            </w:pPr>
            <w:r w:rsidRPr="00290C7E">
              <w:t>55,253</w:t>
            </w:r>
          </w:p>
        </w:tc>
      </w:tr>
      <w:tr w:rsidR="004B357B" w:rsidRPr="00290C7E" w14:paraId="42F11D34" w14:textId="77777777" w:rsidTr="00963FEE">
        <w:trPr>
          <w:trHeight w:val="300"/>
        </w:trPr>
        <w:tc>
          <w:tcPr>
            <w:tcW w:w="1300" w:type="dxa"/>
            <w:shd w:val="clear" w:color="auto" w:fill="auto"/>
            <w:noWrap/>
            <w:vAlign w:val="bottom"/>
            <w:hideMark/>
          </w:tcPr>
          <w:p w14:paraId="3D02EBE0" w14:textId="77777777" w:rsidR="004B357B" w:rsidRPr="00290C7E" w:rsidRDefault="004B357B" w:rsidP="00963FEE">
            <w:pPr>
              <w:pStyle w:val="TableTextRight"/>
            </w:pPr>
            <w:r w:rsidRPr="00290C7E">
              <w:t>2012</w:t>
            </w:r>
          </w:p>
        </w:tc>
        <w:tc>
          <w:tcPr>
            <w:tcW w:w="1300" w:type="dxa"/>
            <w:shd w:val="clear" w:color="auto" w:fill="auto"/>
            <w:noWrap/>
            <w:vAlign w:val="bottom"/>
            <w:hideMark/>
          </w:tcPr>
          <w:p w14:paraId="341FBD67" w14:textId="77777777" w:rsidR="004B357B" w:rsidRPr="00290C7E" w:rsidRDefault="004B357B" w:rsidP="00963FEE">
            <w:pPr>
              <w:pStyle w:val="TableTextRight"/>
            </w:pPr>
            <w:r w:rsidRPr="00290C7E">
              <w:t>4,060,880</w:t>
            </w:r>
          </w:p>
        </w:tc>
        <w:tc>
          <w:tcPr>
            <w:tcW w:w="1300" w:type="dxa"/>
            <w:shd w:val="clear" w:color="auto" w:fill="auto"/>
            <w:noWrap/>
            <w:vAlign w:val="bottom"/>
            <w:hideMark/>
          </w:tcPr>
          <w:p w14:paraId="40B1E7C4" w14:textId="77777777" w:rsidR="004B357B" w:rsidRPr="00290C7E" w:rsidRDefault="004B357B" w:rsidP="00963FEE">
            <w:pPr>
              <w:pStyle w:val="TableTextRight"/>
            </w:pPr>
            <w:r w:rsidRPr="00290C7E">
              <w:t>42,232</w:t>
            </w:r>
          </w:p>
        </w:tc>
        <w:tc>
          <w:tcPr>
            <w:tcW w:w="1300" w:type="dxa"/>
            <w:shd w:val="clear" w:color="auto" w:fill="auto"/>
            <w:noWrap/>
            <w:vAlign w:val="bottom"/>
            <w:hideMark/>
          </w:tcPr>
          <w:p w14:paraId="041531C2" w14:textId="77777777" w:rsidR="004B357B" w:rsidRPr="00290C7E" w:rsidRDefault="004B357B" w:rsidP="00963FEE">
            <w:pPr>
              <w:pStyle w:val="TableTextRight"/>
            </w:pPr>
            <w:r w:rsidRPr="00290C7E">
              <w:t>31,199</w:t>
            </w:r>
          </w:p>
        </w:tc>
        <w:tc>
          <w:tcPr>
            <w:tcW w:w="1300" w:type="dxa"/>
            <w:shd w:val="clear" w:color="auto" w:fill="auto"/>
            <w:noWrap/>
            <w:vAlign w:val="bottom"/>
            <w:hideMark/>
          </w:tcPr>
          <w:p w14:paraId="3C229400" w14:textId="77777777" w:rsidR="004B357B" w:rsidRPr="00290C7E" w:rsidRDefault="004B357B" w:rsidP="00963FEE">
            <w:pPr>
              <w:pStyle w:val="TableTextRight"/>
            </w:pPr>
            <w:r w:rsidRPr="00290C7E">
              <w:t>9,454</w:t>
            </w:r>
          </w:p>
        </w:tc>
        <w:tc>
          <w:tcPr>
            <w:tcW w:w="1300" w:type="dxa"/>
            <w:shd w:val="clear" w:color="auto" w:fill="auto"/>
            <w:noWrap/>
            <w:vAlign w:val="bottom"/>
            <w:hideMark/>
          </w:tcPr>
          <w:p w14:paraId="1594AA81" w14:textId="77777777" w:rsidR="004B357B" w:rsidRPr="00290C7E" w:rsidRDefault="004B357B" w:rsidP="00963FEE">
            <w:pPr>
              <w:pStyle w:val="TableTextRight"/>
            </w:pPr>
            <w:r w:rsidRPr="00290C7E">
              <w:t>58,322</w:t>
            </w:r>
          </w:p>
        </w:tc>
        <w:tc>
          <w:tcPr>
            <w:tcW w:w="1300" w:type="dxa"/>
            <w:shd w:val="clear" w:color="auto" w:fill="auto"/>
            <w:noWrap/>
            <w:vAlign w:val="bottom"/>
            <w:hideMark/>
          </w:tcPr>
          <w:p w14:paraId="035DDCED" w14:textId="77777777" w:rsidR="004B357B" w:rsidRPr="00290C7E" w:rsidRDefault="004B357B" w:rsidP="00963FEE">
            <w:pPr>
              <w:pStyle w:val="TableTextRight"/>
            </w:pPr>
            <w:r w:rsidRPr="00290C7E">
              <w:t>54,264</w:t>
            </w:r>
          </w:p>
        </w:tc>
      </w:tr>
      <w:tr w:rsidR="004B357B" w:rsidRPr="00290C7E" w14:paraId="11F8DF10" w14:textId="77777777" w:rsidTr="00732406">
        <w:trPr>
          <w:trHeight w:val="300"/>
        </w:trPr>
        <w:tc>
          <w:tcPr>
            <w:tcW w:w="1300" w:type="dxa"/>
            <w:shd w:val="clear" w:color="auto" w:fill="F2F2F2" w:themeFill="background1" w:themeFillShade="F2"/>
            <w:noWrap/>
            <w:vAlign w:val="bottom"/>
            <w:hideMark/>
          </w:tcPr>
          <w:p w14:paraId="36FA3B11" w14:textId="77777777" w:rsidR="004B357B" w:rsidRPr="00290C7E" w:rsidRDefault="004B357B" w:rsidP="00963FEE">
            <w:pPr>
              <w:pStyle w:val="TableTextRight"/>
            </w:pPr>
            <w:r w:rsidRPr="00290C7E">
              <w:t>2013</w:t>
            </w:r>
          </w:p>
        </w:tc>
        <w:tc>
          <w:tcPr>
            <w:tcW w:w="1300" w:type="dxa"/>
            <w:shd w:val="clear" w:color="auto" w:fill="F2F2F2" w:themeFill="background1" w:themeFillShade="F2"/>
            <w:noWrap/>
            <w:vAlign w:val="bottom"/>
            <w:hideMark/>
          </w:tcPr>
          <w:p w14:paraId="38B8D996" w14:textId="77777777" w:rsidR="004B357B" w:rsidRPr="00290C7E" w:rsidRDefault="004B357B" w:rsidP="00963FEE">
            <w:pPr>
              <w:pStyle w:val="TableTextRight"/>
            </w:pPr>
            <w:r w:rsidRPr="00290C7E">
              <w:t>4,122,927</w:t>
            </w:r>
          </w:p>
        </w:tc>
        <w:tc>
          <w:tcPr>
            <w:tcW w:w="1300" w:type="dxa"/>
            <w:shd w:val="clear" w:color="auto" w:fill="F2F2F2" w:themeFill="background1" w:themeFillShade="F2"/>
            <w:noWrap/>
            <w:vAlign w:val="bottom"/>
            <w:hideMark/>
          </w:tcPr>
          <w:p w14:paraId="2680243D" w14:textId="77777777" w:rsidR="004B357B" w:rsidRPr="00290C7E" w:rsidRDefault="004B357B" w:rsidP="00963FEE">
            <w:pPr>
              <w:pStyle w:val="TableTextRight"/>
            </w:pPr>
            <w:r w:rsidRPr="00290C7E">
              <w:t>44,246</w:t>
            </w:r>
          </w:p>
        </w:tc>
        <w:tc>
          <w:tcPr>
            <w:tcW w:w="1300" w:type="dxa"/>
            <w:shd w:val="clear" w:color="auto" w:fill="F2F2F2" w:themeFill="background1" w:themeFillShade="F2"/>
            <w:noWrap/>
            <w:vAlign w:val="bottom"/>
            <w:hideMark/>
          </w:tcPr>
          <w:p w14:paraId="1CFAFC59" w14:textId="77777777" w:rsidR="004B357B" w:rsidRPr="00290C7E" w:rsidRDefault="004B357B" w:rsidP="00963FEE">
            <w:pPr>
              <w:pStyle w:val="TableTextRight"/>
            </w:pPr>
            <w:r w:rsidRPr="00290C7E">
              <w:t>32,677</w:t>
            </w:r>
          </w:p>
        </w:tc>
        <w:tc>
          <w:tcPr>
            <w:tcW w:w="1300" w:type="dxa"/>
            <w:shd w:val="clear" w:color="auto" w:fill="F2F2F2" w:themeFill="background1" w:themeFillShade="F2"/>
            <w:noWrap/>
            <w:vAlign w:val="bottom"/>
            <w:hideMark/>
          </w:tcPr>
          <w:p w14:paraId="63AFA10C" w14:textId="77777777" w:rsidR="004B357B" w:rsidRPr="00290C7E" w:rsidRDefault="004B357B" w:rsidP="00963FEE">
            <w:pPr>
              <w:pStyle w:val="TableTextRight"/>
            </w:pPr>
            <w:r w:rsidRPr="00290C7E">
              <w:t>10,000</w:t>
            </w:r>
          </w:p>
        </w:tc>
        <w:tc>
          <w:tcPr>
            <w:tcW w:w="1300" w:type="dxa"/>
            <w:shd w:val="clear" w:color="auto" w:fill="F2F2F2" w:themeFill="background1" w:themeFillShade="F2"/>
            <w:noWrap/>
            <w:vAlign w:val="bottom"/>
            <w:hideMark/>
          </w:tcPr>
          <w:p w14:paraId="63C22478" w14:textId="77777777" w:rsidR="004B357B" w:rsidRPr="00290C7E" w:rsidRDefault="004B357B" w:rsidP="00963FEE">
            <w:pPr>
              <w:pStyle w:val="TableTextRight"/>
            </w:pPr>
            <w:r w:rsidRPr="00290C7E">
              <w:t>60,706</w:t>
            </w:r>
          </w:p>
        </w:tc>
        <w:tc>
          <w:tcPr>
            <w:tcW w:w="1300" w:type="dxa"/>
            <w:shd w:val="clear" w:color="auto" w:fill="F2F2F2" w:themeFill="background1" w:themeFillShade="F2"/>
            <w:noWrap/>
            <w:vAlign w:val="bottom"/>
            <w:hideMark/>
          </w:tcPr>
          <w:p w14:paraId="29FE0B01" w14:textId="77777777" w:rsidR="004B357B" w:rsidRPr="00290C7E" w:rsidRDefault="004B357B" w:rsidP="00963FEE">
            <w:pPr>
              <w:pStyle w:val="TableTextRight"/>
            </w:pPr>
            <w:r w:rsidRPr="00290C7E">
              <w:t>57,359</w:t>
            </w:r>
          </w:p>
        </w:tc>
      </w:tr>
      <w:tr w:rsidR="004B357B" w:rsidRPr="00290C7E" w14:paraId="0AF6AD45" w14:textId="77777777" w:rsidTr="00732406">
        <w:trPr>
          <w:trHeight w:val="300"/>
        </w:trPr>
        <w:tc>
          <w:tcPr>
            <w:tcW w:w="1300" w:type="dxa"/>
            <w:shd w:val="clear" w:color="auto" w:fill="auto"/>
            <w:noWrap/>
            <w:vAlign w:val="bottom"/>
            <w:hideMark/>
          </w:tcPr>
          <w:p w14:paraId="1392170C" w14:textId="77777777" w:rsidR="004B357B" w:rsidRPr="00290C7E" w:rsidRDefault="004B357B" w:rsidP="00963FEE">
            <w:pPr>
              <w:pStyle w:val="TableTextRight"/>
            </w:pPr>
            <w:r w:rsidRPr="00290C7E">
              <w:t>2014</w:t>
            </w:r>
          </w:p>
        </w:tc>
        <w:tc>
          <w:tcPr>
            <w:tcW w:w="1300" w:type="dxa"/>
            <w:shd w:val="clear" w:color="auto" w:fill="auto"/>
            <w:noWrap/>
            <w:vAlign w:val="bottom"/>
            <w:hideMark/>
          </w:tcPr>
          <w:p w14:paraId="668ADD9B" w14:textId="77777777" w:rsidR="004B357B" w:rsidRPr="00290C7E" w:rsidRDefault="004B357B" w:rsidP="00963FEE">
            <w:pPr>
              <w:pStyle w:val="TableTextRight"/>
            </w:pPr>
            <w:r w:rsidRPr="00290C7E">
              <w:t>4,079,778</w:t>
            </w:r>
          </w:p>
        </w:tc>
        <w:tc>
          <w:tcPr>
            <w:tcW w:w="1300" w:type="dxa"/>
            <w:shd w:val="clear" w:color="auto" w:fill="auto"/>
            <w:noWrap/>
            <w:vAlign w:val="bottom"/>
            <w:hideMark/>
          </w:tcPr>
          <w:p w14:paraId="786470A0" w14:textId="77777777" w:rsidR="004B357B" w:rsidRPr="00290C7E" w:rsidRDefault="004B357B" w:rsidP="00963FEE">
            <w:pPr>
              <w:pStyle w:val="TableTextRight"/>
            </w:pPr>
            <w:r w:rsidRPr="00290C7E">
              <w:t>45,604</w:t>
            </w:r>
          </w:p>
        </w:tc>
        <w:tc>
          <w:tcPr>
            <w:tcW w:w="1300" w:type="dxa"/>
            <w:shd w:val="clear" w:color="auto" w:fill="auto"/>
            <w:noWrap/>
            <w:vAlign w:val="bottom"/>
            <w:hideMark/>
          </w:tcPr>
          <w:p w14:paraId="4041AADA" w14:textId="77777777" w:rsidR="004B357B" w:rsidRPr="00290C7E" w:rsidRDefault="004B357B" w:rsidP="00963FEE">
            <w:pPr>
              <w:pStyle w:val="TableTextRight"/>
            </w:pPr>
            <w:r w:rsidRPr="00290C7E">
              <w:t>33,959</w:t>
            </w:r>
          </w:p>
        </w:tc>
        <w:tc>
          <w:tcPr>
            <w:tcW w:w="1300" w:type="dxa"/>
            <w:shd w:val="clear" w:color="auto" w:fill="auto"/>
            <w:noWrap/>
            <w:vAlign w:val="bottom"/>
            <w:hideMark/>
          </w:tcPr>
          <w:p w14:paraId="3244496F" w14:textId="77777777" w:rsidR="004B357B" w:rsidRPr="00290C7E" w:rsidRDefault="004B357B" w:rsidP="00963FEE">
            <w:pPr>
              <w:pStyle w:val="TableTextRight"/>
            </w:pPr>
            <w:r w:rsidRPr="00290C7E">
              <w:t>10,600</w:t>
            </w:r>
          </w:p>
        </w:tc>
        <w:tc>
          <w:tcPr>
            <w:tcW w:w="1300" w:type="dxa"/>
            <w:shd w:val="clear" w:color="auto" w:fill="auto"/>
            <w:noWrap/>
            <w:vAlign w:val="bottom"/>
            <w:hideMark/>
          </w:tcPr>
          <w:p w14:paraId="00C1F1CF" w14:textId="77777777" w:rsidR="004B357B" w:rsidRPr="00290C7E" w:rsidRDefault="004B357B" w:rsidP="00963FEE">
            <w:pPr>
              <w:pStyle w:val="TableTextRight"/>
            </w:pPr>
            <w:r w:rsidRPr="00290C7E">
              <w:t>62,352</w:t>
            </w:r>
          </w:p>
        </w:tc>
        <w:tc>
          <w:tcPr>
            <w:tcW w:w="1300" w:type="dxa"/>
            <w:shd w:val="clear" w:color="auto" w:fill="auto"/>
            <w:noWrap/>
            <w:vAlign w:val="bottom"/>
            <w:hideMark/>
          </w:tcPr>
          <w:p w14:paraId="2B663471" w14:textId="77777777" w:rsidR="004B357B" w:rsidRPr="00290C7E" w:rsidRDefault="004B357B" w:rsidP="00963FEE">
            <w:pPr>
              <w:pStyle w:val="TableTextRight"/>
            </w:pPr>
            <w:r w:rsidRPr="00290C7E">
              <w:t>60,297</w:t>
            </w:r>
          </w:p>
        </w:tc>
      </w:tr>
      <w:tr w:rsidR="004B357B" w:rsidRPr="00290C7E" w14:paraId="6809FC82" w14:textId="77777777" w:rsidTr="00732406">
        <w:trPr>
          <w:trHeight w:val="315"/>
        </w:trPr>
        <w:tc>
          <w:tcPr>
            <w:tcW w:w="1300" w:type="dxa"/>
            <w:tcBorders>
              <w:bottom w:val="single" w:sz="4" w:space="0" w:color="002B54" w:themeColor="accent1"/>
            </w:tcBorders>
            <w:shd w:val="clear" w:color="auto" w:fill="F2F2F2" w:themeFill="background1" w:themeFillShade="F2"/>
            <w:noWrap/>
            <w:vAlign w:val="bottom"/>
            <w:hideMark/>
          </w:tcPr>
          <w:p w14:paraId="3461E35B" w14:textId="77777777" w:rsidR="004B357B" w:rsidRPr="00290C7E" w:rsidRDefault="004B357B" w:rsidP="00963FEE">
            <w:pPr>
              <w:pStyle w:val="TableTextRight"/>
            </w:pPr>
            <w:r w:rsidRPr="00290C7E">
              <w:t>2015</w:t>
            </w:r>
          </w:p>
        </w:tc>
        <w:tc>
          <w:tcPr>
            <w:tcW w:w="1300" w:type="dxa"/>
            <w:tcBorders>
              <w:bottom w:val="single" w:sz="4" w:space="0" w:color="002B54" w:themeColor="accent1"/>
            </w:tcBorders>
            <w:shd w:val="clear" w:color="auto" w:fill="F2F2F2" w:themeFill="background1" w:themeFillShade="F2"/>
            <w:noWrap/>
            <w:vAlign w:val="bottom"/>
            <w:hideMark/>
          </w:tcPr>
          <w:p w14:paraId="2A5BED7E" w14:textId="77777777" w:rsidR="004B357B" w:rsidRPr="00290C7E" w:rsidRDefault="004B357B" w:rsidP="00963FEE">
            <w:pPr>
              <w:pStyle w:val="TableTextRight"/>
            </w:pPr>
            <w:r w:rsidRPr="00290C7E">
              <w:t>4,243,596</w:t>
            </w:r>
          </w:p>
        </w:tc>
        <w:tc>
          <w:tcPr>
            <w:tcW w:w="1300" w:type="dxa"/>
            <w:tcBorders>
              <w:bottom w:val="single" w:sz="4" w:space="0" w:color="002B54" w:themeColor="accent1"/>
            </w:tcBorders>
            <w:shd w:val="clear" w:color="auto" w:fill="F2F2F2" w:themeFill="background1" w:themeFillShade="F2"/>
            <w:noWrap/>
            <w:vAlign w:val="bottom"/>
            <w:hideMark/>
          </w:tcPr>
          <w:p w14:paraId="23B2CB49" w14:textId="77777777" w:rsidR="004B357B" w:rsidRPr="00290C7E" w:rsidRDefault="004B357B" w:rsidP="00963FEE">
            <w:pPr>
              <w:pStyle w:val="TableTextRight"/>
            </w:pPr>
            <w:r w:rsidRPr="00290C7E">
              <w:t>46,524</w:t>
            </w:r>
          </w:p>
        </w:tc>
        <w:tc>
          <w:tcPr>
            <w:tcW w:w="1300" w:type="dxa"/>
            <w:tcBorders>
              <w:bottom w:val="single" w:sz="4" w:space="0" w:color="002B54" w:themeColor="accent1"/>
            </w:tcBorders>
            <w:shd w:val="clear" w:color="auto" w:fill="F2F2F2" w:themeFill="background1" w:themeFillShade="F2"/>
            <w:noWrap/>
            <w:vAlign w:val="bottom"/>
            <w:hideMark/>
          </w:tcPr>
          <w:p w14:paraId="1D2D7CCF" w14:textId="77777777" w:rsidR="004B357B" w:rsidRPr="00290C7E" w:rsidRDefault="004B357B" w:rsidP="00963FEE">
            <w:pPr>
              <w:pStyle w:val="TableTextRight"/>
            </w:pPr>
            <w:r w:rsidRPr="00290C7E">
              <w:t>34,662</w:t>
            </w:r>
          </w:p>
        </w:tc>
        <w:tc>
          <w:tcPr>
            <w:tcW w:w="1300" w:type="dxa"/>
            <w:tcBorders>
              <w:bottom w:val="single" w:sz="4" w:space="0" w:color="002B54" w:themeColor="accent1"/>
            </w:tcBorders>
            <w:shd w:val="clear" w:color="auto" w:fill="F2F2F2" w:themeFill="background1" w:themeFillShade="F2"/>
            <w:noWrap/>
            <w:vAlign w:val="bottom"/>
            <w:hideMark/>
          </w:tcPr>
          <w:p w14:paraId="7519E5C1" w14:textId="77777777" w:rsidR="004B357B" w:rsidRPr="00290C7E" w:rsidRDefault="004B357B" w:rsidP="00963FEE">
            <w:pPr>
              <w:pStyle w:val="TableTextRight"/>
            </w:pPr>
            <w:r w:rsidRPr="00290C7E">
              <w:t>11,050</w:t>
            </w:r>
          </w:p>
        </w:tc>
        <w:tc>
          <w:tcPr>
            <w:tcW w:w="1300" w:type="dxa"/>
            <w:tcBorders>
              <w:bottom w:val="single" w:sz="4" w:space="0" w:color="002B54" w:themeColor="accent1"/>
            </w:tcBorders>
            <w:shd w:val="clear" w:color="auto" w:fill="F2F2F2" w:themeFill="background1" w:themeFillShade="F2"/>
            <w:noWrap/>
            <w:vAlign w:val="bottom"/>
            <w:hideMark/>
          </w:tcPr>
          <w:p w14:paraId="7D90096B" w14:textId="77777777" w:rsidR="004B357B" w:rsidRPr="00290C7E" w:rsidRDefault="004B357B" w:rsidP="00963FEE">
            <w:pPr>
              <w:pStyle w:val="TableTextRight"/>
            </w:pPr>
            <w:r w:rsidRPr="00290C7E">
              <w:t>63,585</w:t>
            </w:r>
          </w:p>
        </w:tc>
        <w:tc>
          <w:tcPr>
            <w:tcW w:w="1300" w:type="dxa"/>
            <w:tcBorders>
              <w:bottom w:val="single" w:sz="4" w:space="0" w:color="002B54" w:themeColor="accent1"/>
            </w:tcBorders>
            <w:shd w:val="clear" w:color="auto" w:fill="F2F2F2" w:themeFill="background1" w:themeFillShade="F2"/>
            <w:noWrap/>
            <w:vAlign w:val="bottom"/>
            <w:hideMark/>
          </w:tcPr>
          <w:p w14:paraId="19C65079" w14:textId="77777777" w:rsidR="004B357B" w:rsidRPr="00290C7E" w:rsidRDefault="004B357B" w:rsidP="00963FEE">
            <w:pPr>
              <w:pStyle w:val="TableTextRight"/>
            </w:pPr>
            <w:r w:rsidRPr="00290C7E">
              <w:t>61,976</w:t>
            </w:r>
          </w:p>
        </w:tc>
      </w:tr>
    </w:tbl>
    <w:p w14:paraId="6228FD29" w14:textId="77777777" w:rsidR="004B357B" w:rsidRDefault="004B357B" w:rsidP="00AA7208">
      <w:pPr>
        <w:spacing w:after="0"/>
        <w:rPr>
          <w:rFonts w:eastAsiaTheme="minorEastAsia"/>
        </w:rPr>
      </w:pPr>
    </w:p>
    <w:p w14:paraId="59850A59" w14:textId="77777777" w:rsidR="004B357B" w:rsidRDefault="004B357B" w:rsidP="004B357B">
      <w:pPr>
        <w:rPr>
          <w:rFonts w:eastAsiaTheme="minorEastAsia"/>
        </w:rPr>
      </w:pPr>
      <w:r>
        <w:rPr>
          <w:rFonts w:eastAsiaTheme="minorEastAsia"/>
        </w:rPr>
        <w:t xml:space="preserve">For companies this corresponds to approximately 739,000 distinct entities with the following attributes. </w:t>
      </w:r>
    </w:p>
    <w:tbl>
      <w:tblPr>
        <w:tblW w:w="9100" w:type="dxa"/>
        <w:tblInd w:w="93" w:type="dxa"/>
        <w:tblLook w:val="04A0" w:firstRow="1" w:lastRow="0" w:firstColumn="1" w:lastColumn="0" w:noHBand="0" w:noVBand="1"/>
      </w:tblPr>
      <w:tblGrid>
        <w:gridCol w:w="1328"/>
        <w:gridCol w:w="1300"/>
        <w:gridCol w:w="1300"/>
        <w:gridCol w:w="1300"/>
        <w:gridCol w:w="1300"/>
        <w:gridCol w:w="1300"/>
        <w:gridCol w:w="1329"/>
      </w:tblGrid>
      <w:tr w:rsidR="004B357B" w:rsidRPr="00732406" w14:paraId="2A29D842" w14:textId="77777777" w:rsidTr="00732406">
        <w:trPr>
          <w:trHeight w:val="315"/>
        </w:trPr>
        <w:tc>
          <w:tcPr>
            <w:tcW w:w="1300" w:type="dxa"/>
            <w:shd w:val="clear" w:color="auto" w:fill="002B54" w:themeFill="accent1"/>
            <w:noWrap/>
            <w:vAlign w:val="bottom"/>
            <w:hideMark/>
          </w:tcPr>
          <w:p w14:paraId="5FEAED38" w14:textId="77777777" w:rsidR="004B357B" w:rsidRPr="00732406" w:rsidRDefault="004B357B" w:rsidP="00732406">
            <w:pPr>
              <w:pStyle w:val="TableTextLeft"/>
              <w:rPr>
                <w:b/>
              </w:rPr>
            </w:pPr>
            <w:r w:rsidRPr="00732406">
              <w:rPr>
                <w:b/>
              </w:rPr>
              <w:t xml:space="preserve">Variable </w:t>
            </w:r>
          </w:p>
        </w:tc>
        <w:tc>
          <w:tcPr>
            <w:tcW w:w="1300" w:type="dxa"/>
            <w:shd w:val="clear" w:color="auto" w:fill="002B54" w:themeFill="accent1"/>
            <w:noWrap/>
            <w:vAlign w:val="bottom"/>
            <w:hideMark/>
          </w:tcPr>
          <w:p w14:paraId="529B64F8" w14:textId="77777777" w:rsidR="004B357B" w:rsidRPr="00732406" w:rsidRDefault="004B357B" w:rsidP="00732406">
            <w:pPr>
              <w:pStyle w:val="TableTextRight"/>
              <w:rPr>
                <w:b/>
              </w:rPr>
            </w:pPr>
            <w:r w:rsidRPr="00732406">
              <w:rPr>
                <w:b/>
              </w:rPr>
              <w:t>N</w:t>
            </w:r>
          </w:p>
        </w:tc>
        <w:tc>
          <w:tcPr>
            <w:tcW w:w="1300" w:type="dxa"/>
            <w:shd w:val="clear" w:color="auto" w:fill="002B54" w:themeFill="accent1"/>
            <w:noWrap/>
            <w:vAlign w:val="bottom"/>
            <w:hideMark/>
          </w:tcPr>
          <w:p w14:paraId="2E7D5FF4" w14:textId="77777777" w:rsidR="004B357B" w:rsidRPr="00732406" w:rsidRDefault="004B357B" w:rsidP="00732406">
            <w:pPr>
              <w:pStyle w:val="TableTextRight"/>
              <w:rPr>
                <w:b/>
              </w:rPr>
            </w:pPr>
            <w:r w:rsidRPr="00732406">
              <w:rPr>
                <w:b/>
              </w:rPr>
              <w:t>Mean</w:t>
            </w:r>
          </w:p>
        </w:tc>
        <w:tc>
          <w:tcPr>
            <w:tcW w:w="1300" w:type="dxa"/>
            <w:shd w:val="clear" w:color="auto" w:fill="002B54" w:themeFill="accent1"/>
            <w:noWrap/>
            <w:vAlign w:val="bottom"/>
            <w:hideMark/>
          </w:tcPr>
          <w:p w14:paraId="1AD6CFA9" w14:textId="77777777" w:rsidR="004B357B" w:rsidRPr="00732406" w:rsidRDefault="004B357B" w:rsidP="00732406">
            <w:pPr>
              <w:pStyle w:val="TableTextRight"/>
              <w:rPr>
                <w:b/>
              </w:rPr>
            </w:pPr>
            <w:r w:rsidRPr="00732406">
              <w:rPr>
                <w:b/>
              </w:rPr>
              <w:t>Median</w:t>
            </w:r>
          </w:p>
        </w:tc>
        <w:tc>
          <w:tcPr>
            <w:tcW w:w="1300" w:type="dxa"/>
            <w:shd w:val="clear" w:color="auto" w:fill="002B54" w:themeFill="accent1"/>
            <w:noWrap/>
            <w:vAlign w:val="bottom"/>
            <w:hideMark/>
          </w:tcPr>
          <w:p w14:paraId="3DE94CD4" w14:textId="77777777" w:rsidR="004B357B" w:rsidRPr="00732406" w:rsidRDefault="004B357B" w:rsidP="00732406">
            <w:pPr>
              <w:pStyle w:val="TableTextRight"/>
              <w:rPr>
                <w:b/>
              </w:rPr>
            </w:pPr>
            <w:r w:rsidRPr="00732406">
              <w:rPr>
                <w:b/>
              </w:rPr>
              <w:t>25th Percentile</w:t>
            </w:r>
          </w:p>
        </w:tc>
        <w:tc>
          <w:tcPr>
            <w:tcW w:w="1300" w:type="dxa"/>
            <w:shd w:val="clear" w:color="auto" w:fill="002B54" w:themeFill="accent1"/>
            <w:noWrap/>
            <w:vAlign w:val="bottom"/>
            <w:hideMark/>
          </w:tcPr>
          <w:p w14:paraId="3A3530F7" w14:textId="77777777" w:rsidR="004B357B" w:rsidRPr="00732406" w:rsidRDefault="004B357B" w:rsidP="00732406">
            <w:pPr>
              <w:pStyle w:val="TableTextRight"/>
              <w:rPr>
                <w:b/>
              </w:rPr>
            </w:pPr>
            <w:r w:rsidRPr="00732406">
              <w:rPr>
                <w:b/>
              </w:rPr>
              <w:t>75th Percentile</w:t>
            </w:r>
          </w:p>
        </w:tc>
        <w:tc>
          <w:tcPr>
            <w:tcW w:w="1300" w:type="dxa"/>
            <w:shd w:val="clear" w:color="auto" w:fill="002B54" w:themeFill="accent1"/>
            <w:noWrap/>
            <w:vAlign w:val="bottom"/>
            <w:hideMark/>
          </w:tcPr>
          <w:p w14:paraId="25A4464E" w14:textId="77777777" w:rsidR="004B357B" w:rsidRPr="00732406" w:rsidRDefault="004B357B" w:rsidP="00732406">
            <w:pPr>
              <w:pStyle w:val="TableTextRight"/>
              <w:rPr>
                <w:b/>
              </w:rPr>
            </w:pPr>
            <w:r w:rsidRPr="00732406">
              <w:rPr>
                <w:b/>
              </w:rPr>
              <w:t>SD</w:t>
            </w:r>
          </w:p>
        </w:tc>
      </w:tr>
      <w:tr w:rsidR="004B357B" w:rsidRPr="005D205D" w14:paraId="19261997" w14:textId="77777777" w:rsidTr="00732406">
        <w:trPr>
          <w:trHeight w:val="315"/>
        </w:trPr>
        <w:tc>
          <w:tcPr>
            <w:tcW w:w="1300" w:type="dxa"/>
            <w:shd w:val="clear" w:color="auto" w:fill="auto"/>
            <w:noWrap/>
            <w:vAlign w:val="bottom"/>
            <w:hideMark/>
          </w:tcPr>
          <w:p w14:paraId="225A1F1D" w14:textId="77777777" w:rsidR="004B357B" w:rsidRPr="005D205D" w:rsidRDefault="004B357B" w:rsidP="00732406">
            <w:pPr>
              <w:pStyle w:val="Tabletextleft0"/>
            </w:pPr>
            <w:r w:rsidRPr="005D205D">
              <w:t>Employment</w:t>
            </w:r>
          </w:p>
        </w:tc>
        <w:tc>
          <w:tcPr>
            <w:tcW w:w="1300" w:type="dxa"/>
            <w:shd w:val="clear" w:color="auto" w:fill="auto"/>
            <w:noWrap/>
            <w:vAlign w:val="bottom"/>
            <w:hideMark/>
          </w:tcPr>
          <w:p w14:paraId="76686BC8" w14:textId="77777777" w:rsidR="004B357B" w:rsidRPr="005D205D" w:rsidRDefault="004B357B" w:rsidP="00732406">
            <w:pPr>
              <w:pStyle w:val="TableTextRight"/>
            </w:pPr>
            <w:r w:rsidRPr="005D205D">
              <w:t>4,048,349</w:t>
            </w:r>
          </w:p>
        </w:tc>
        <w:tc>
          <w:tcPr>
            <w:tcW w:w="1300" w:type="dxa"/>
            <w:shd w:val="clear" w:color="auto" w:fill="auto"/>
            <w:noWrap/>
            <w:vAlign w:val="bottom"/>
            <w:hideMark/>
          </w:tcPr>
          <w:p w14:paraId="1EFBC61A" w14:textId="77777777" w:rsidR="004B357B" w:rsidRPr="005D205D" w:rsidRDefault="004B357B" w:rsidP="00732406">
            <w:pPr>
              <w:pStyle w:val="TableTextRight"/>
            </w:pPr>
            <w:r w:rsidRPr="005D205D">
              <w:t>16.02</w:t>
            </w:r>
          </w:p>
        </w:tc>
        <w:tc>
          <w:tcPr>
            <w:tcW w:w="1300" w:type="dxa"/>
            <w:shd w:val="clear" w:color="auto" w:fill="auto"/>
            <w:noWrap/>
            <w:vAlign w:val="bottom"/>
            <w:hideMark/>
          </w:tcPr>
          <w:p w14:paraId="3BEBA365" w14:textId="77777777" w:rsidR="004B357B" w:rsidRPr="005D205D" w:rsidRDefault="004B357B" w:rsidP="00732406">
            <w:pPr>
              <w:pStyle w:val="TableTextRight"/>
            </w:pPr>
            <w:r w:rsidRPr="005D205D">
              <w:t>4</w:t>
            </w:r>
          </w:p>
        </w:tc>
        <w:tc>
          <w:tcPr>
            <w:tcW w:w="1300" w:type="dxa"/>
            <w:shd w:val="clear" w:color="auto" w:fill="auto"/>
            <w:noWrap/>
            <w:vAlign w:val="bottom"/>
            <w:hideMark/>
          </w:tcPr>
          <w:p w14:paraId="59E82C43" w14:textId="77777777" w:rsidR="004B357B" w:rsidRPr="005D205D" w:rsidRDefault="004B357B" w:rsidP="00732406">
            <w:pPr>
              <w:pStyle w:val="TableTextRight"/>
            </w:pPr>
            <w:r w:rsidRPr="005D205D">
              <w:t>2</w:t>
            </w:r>
          </w:p>
        </w:tc>
        <w:tc>
          <w:tcPr>
            <w:tcW w:w="1300" w:type="dxa"/>
            <w:shd w:val="clear" w:color="auto" w:fill="auto"/>
            <w:noWrap/>
            <w:vAlign w:val="bottom"/>
            <w:hideMark/>
          </w:tcPr>
          <w:p w14:paraId="3AF6E6A0" w14:textId="77777777" w:rsidR="004B357B" w:rsidRPr="005D205D" w:rsidRDefault="004B357B" w:rsidP="00732406">
            <w:pPr>
              <w:pStyle w:val="TableTextRight"/>
            </w:pPr>
            <w:r w:rsidRPr="005D205D">
              <w:t>10</w:t>
            </w:r>
          </w:p>
        </w:tc>
        <w:tc>
          <w:tcPr>
            <w:tcW w:w="1300" w:type="dxa"/>
            <w:shd w:val="clear" w:color="auto" w:fill="auto"/>
            <w:noWrap/>
            <w:vAlign w:val="bottom"/>
            <w:hideMark/>
          </w:tcPr>
          <w:p w14:paraId="2CFA4B43" w14:textId="77777777" w:rsidR="004B357B" w:rsidRPr="005D205D" w:rsidRDefault="004B357B" w:rsidP="00732406">
            <w:pPr>
              <w:pStyle w:val="TableTextRight"/>
            </w:pPr>
            <w:r w:rsidRPr="005D205D">
              <w:t>360.9</w:t>
            </w:r>
          </w:p>
        </w:tc>
      </w:tr>
      <w:tr w:rsidR="004B357B" w:rsidRPr="005D205D" w14:paraId="67CDA203" w14:textId="77777777" w:rsidTr="00732406">
        <w:trPr>
          <w:trHeight w:val="315"/>
        </w:trPr>
        <w:tc>
          <w:tcPr>
            <w:tcW w:w="1300" w:type="dxa"/>
            <w:tcBorders>
              <w:bottom w:val="single" w:sz="4" w:space="0" w:color="002B54" w:themeColor="accent1"/>
            </w:tcBorders>
            <w:shd w:val="clear" w:color="auto" w:fill="F2F2F2" w:themeFill="background1" w:themeFillShade="F2"/>
            <w:noWrap/>
            <w:vAlign w:val="bottom"/>
            <w:hideMark/>
          </w:tcPr>
          <w:p w14:paraId="65B07DEF" w14:textId="77777777" w:rsidR="004B357B" w:rsidRPr="005D205D" w:rsidRDefault="004B357B" w:rsidP="00732406">
            <w:pPr>
              <w:pStyle w:val="Tabletextleft0"/>
            </w:pPr>
            <w:r w:rsidRPr="005D205D">
              <w:t>Value-added</w:t>
            </w:r>
          </w:p>
        </w:tc>
        <w:tc>
          <w:tcPr>
            <w:tcW w:w="1300" w:type="dxa"/>
            <w:tcBorders>
              <w:bottom w:val="single" w:sz="4" w:space="0" w:color="002B54" w:themeColor="accent1"/>
            </w:tcBorders>
            <w:shd w:val="clear" w:color="auto" w:fill="F2F2F2" w:themeFill="background1" w:themeFillShade="F2"/>
            <w:noWrap/>
            <w:vAlign w:val="bottom"/>
            <w:hideMark/>
          </w:tcPr>
          <w:p w14:paraId="3EDC2FFD" w14:textId="77777777" w:rsidR="004B357B" w:rsidRPr="005D205D" w:rsidRDefault="004B357B" w:rsidP="00732406">
            <w:pPr>
              <w:pStyle w:val="TableTextRight"/>
            </w:pPr>
            <w:r w:rsidRPr="005D205D">
              <w:t>4,048,349</w:t>
            </w:r>
          </w:p>
        </w:tc>
        <w:tc>
          <w:tcPr>
            <w:tcW w:w="1300" w:type="dxa"/>
            <w:tcBorders>
              <w:bottom w:val="single" w:sz="4" w:space="0" w:color="002B54" w:themeColor="accent1"/>
            </w:tcBorders>
            <w:shd w:val="clear" w:color="auto" w:fill="F2F2F2" w:themeFill="background1" w:themeFillShade="F2"/>
            <w:noWrap/>
            <w:vAlign w:val="bottom"/>
            <w:hideMark/>
          </w:tcPr>
          <w:p w14:paraId="2029C18C" w14:textId="77777777" w:rsidR="004B357B" w:rsidRPr="005D205D" w:rsidRDefault="004B357B" w:rsidP="00732406">
            <w:pPr>
              <w:pStyle w:val="TableTextRight"/>
            </w:pPr>
            <w:r w:rsidRPr="005D205D">
              <w:t>1,599,857</w:t>
            </w:r>
          </w:p>
        </w:tc>
        <w:tc>
          <w:tcPr>
            <w:tcW w:w="1300" w:type="dxa"/>
            <w:tcBorders>
              <w:bottom w:val="single" w:sz="4" w:space="0" w:color="002B54" w:themeColor="accent1"/>
            </w:tcBorders>
            <w:shd w:val="clear" w:color="auto" w:fill="F2F2F2" w:themeFill="background1" w:themeFillShade="F2"/>
            <w:noWrap/>
            <w:vAlign w:val="bottom"/>
            <w:hideMark/>
          </w:tcPr>
          <w:p w14:paraId="7CF2DA05" w14:textId="77777777" w:rsidR="004B357B" w:rsidRPr="005D205D" w:rsidRDefault="004B357B" w:rsidP="00732406">
            <w:pPr>
              <w:pStyle w:val="TableTextRight"/>
            </w:pPr>
            <w:r w:rsidRPr="005D205D">
              <w:t>133,941</w:t>
            </w:r>
          </w:p>
        </w:tc>
        <w:tc>
          <w:tcPr>
            <w:tcW w:w="1300" w:type="dxa"/>
            <w:tcBorders>
              <w:bottom w:val="single" w:sz="4" w:space="0" w:color="002B54" w:themeColor="accent1"/>
            </w:tcBorders>
            <w:shd w:val="clear" w:color="auto" w:fill="F2F2F2" w:themeFill="background1" w:themeFillShade="F2"/>
            <w:noWrap/>
            <w:vAlign w:val="bottom"/>
            <w:hideMark/>
          </w:tcPr>
          <w:p w14:paraId="0BA2DA92" w14:textId="77777777" w:rsidR="004B357B" w:rsidRPr="005D205D" w:rsidRDefault="004B357B" w:rsidP="00732406">
            <w:pPr>
              <w:pStyle w:val="TableTextRight"/>
            </w:pPr>
            <w:r w:rsidRPr="005D205D">
              <w:t>46,743</w:t>
            </w:r>
          </w:p>
        </w:tc>
        <w:tc>
          <w:tcPr>
            <w:tcW w:w="1300" w:type="dxa"/>
            <w:tcBorders>
              <w:bottom w:val="single" w:sz="4" w:space="0" w:color="002B54" w:themeColor="accent1"/>
            </w:tcBorders>
            <w:shd w:val="clear" w:color="auto" w:fill="F2F2F2" w:themeFill="background1" w:themeFillShade="F2"/>
            <w:noWrap/>
            <w:vAlign w:val="bottom"/>
            <w:hideMark/>
          </w:tcPr>
          <w:p w14:paraId="01A7C41F" w14:textId="77777777" w:rsidR="004B357B" w:rsidRPr="005D205D" w:rsidRDefault="004B357B" w:rsidP="00732406">
            <w:pPr>
              <w:pStyle w:val="TableTextRight"/>
            </w:pPr>
            <w:r w:rsidRPr="005D205D">
              <w:t>374,935</w:t>
            </w:r>
          </w:p>
        </w:tc>
        <w:tc>
          <w:tcPr>
            <w:tcW w:w="1300" w:type="dxa"/>
            <w:tcBorders>
              <w:bottom w:val="single" w:sz="4" w:space="0" w:color="002B54" w:themeColor="accent1"/>
            </w:tcBorders>
            <w:shd w:val="clear" w:color="auto" w:fill="F2F2F2" w:themeFill="background1" w:themeFillShade="F2"/>
            <w:noWrap/>
            <w:vAlign w:val="bottom"/>
            <w:hideMark/>
          </w:tcPr>
          <w:p w14:paraId="1C1B8BC4" w14:textId="77777777" w:rsidR="004B357B" w:rsidRPr="005D205D" w:rsidRDefault="004B357B" w:rsidP="00732406">
            <w:pPr>
              <w:pStyle w:val="TableTextRight"/>
            </w:pPr>
            <w:r w:rsidRPr="005D205D">
              <w:t>116,000,000</w:t>
            </w:r>
          </w:p>
        </w:tc>
      </w:tr>
    </w:tbl>
    <w:p w14:paraId="56CD4131" w14:textId="77777777" w:rsidR="004B357B" w:rsidRDefault="004B357B" w:rsidP="00AA7208">
      <w:pPr>
        <w:spacing w:after="0"/>
        <w:rPr>
          <w:rFonts w:eastAsiaTheme="minorEastAsia"/>
        </w:rPr>
      </w:pPr>
    </w:p>
    <w:p w14:paraId="1B4ACCC5" w14:textId="77777777" w:rsidR="00CA2A02" w:rsidRDefault="00CA2A02" w:rsidP="00CA2A02">
      <w:r>
        <w:t>Central to the questions of whether wage growth has slowed and by how much is how one defines wages. The most cited measures of are the wage price index (WPI), total compensation or average compensation of employees (AENA).</w:t>
      </w:r>
      <w:r>
        <w:rPr>
          <w:rStyle w:val="FootnoteReference"/>
        </w:rPr>
        <w:footnoteReference w:id="28"/>
      </w:r>
      <w:r>
        <w:t xml:space="preserve"> </w:t>
      </w:r>
    </w:p>
    <w:p w14:paraId="1F9E5E7C" w14:textId="77777777" w:rsidR="00CA2A02" w:rsidRDefault="00CA2A02" w:rsidP="00CA2A02">
      <w:r>
        <w:t>When comparing these measures of wage growth to our micro-data, it is important to consider what exactly is captured in these measures. The WPI tracks the compensation paid to given occupations, and so is not affected by compositional shifts, such as workers leaving high paying mining jobs at the end of the mining boom, and taking up other, lower paid, jobs. In contrast, AENA tracks the aggregate compensation paid to all workers in the economy, and is affected by such compositional shifts. As such, it has tended to be below the WPI in recent years.</w:t>
      </w:r>
    </w:p>
    <w:p w14:paraId="199B8860" w14:textId="77777777" w:rsidR="00CA2A02" w:rsidRDefault="00CA2A02" w:rsidP="00CA2A02">
      <w:r>
        <w:t>Our microdata, on the other hand, track individual workers. The data will be affected by compositional change, similar to AENA, as a worker shifting from a high paying job to a low paying job will be recorded as having low wage growth (assuming we are not focusing on worker-employer matches). In this sense, it is somewhat akin to the AENA measure. Ho</w:t>
      </w:r>
      <w:r w:rsidR="00154411">
        <w:t>wever, we cannot calculate wage</w:t>
      </w:r>
      <w:r>
        <w:t xml:space="preserve"> growth for an individual that transitions from work to unemployment, or unemployment to work, which might make our measure less volatile. </w:t>
      </w:r>
    </w:p>
    <w:p w14:paraId="7ECB8FBB" w14:textId="77777777" w:rsidR="00CA2A02" w:rsidRDefault="00CA2A02" w:rsidP="00CA2A02">
      <w:r>
        <w:lastRenderedPageBreak/>
        <w:t>Notwithstanding these differences, when we compare the relative rates of change for these three series, it shows that the microdata we exploit in this paper exhibits similar trends over the sample period</w:t>
      </w:r>
      <w:r w:rsidR="009C653F">
        <w:t xml:space="preserve"> (Figure </w:t>
      </w:r>
      <w:r w:rsidR="00877888">
        <w:t>A1)</w:t>
      </w:r>
      <w:r>
        <w:t>. Indeed, the relative rate of change for our sample is often in the middle between the WPI and AENA.</w:t>
      </w:r>
    </w:p>
    <w:p w14:paraId="6255F65D" w14:textId="77777777" w:rsidR="00877888" w:rsidRDefault="00877888" w:rsidP="00AB6B2F">
      <w:pPr>
        <w:pStyle w:val="FigureHeading"/>
      </w:pPr>
      <w:r>
        <w:t xml:space="preserve">Figure A1: </w:t>
      </w:r>
      <w:r w:rsidR="00C17CB8">
        <w:t>Wage Growth Measures</w:t>
      </w:r>
    </w:p>
    <w:p w14:paraId="16D92A53" w14:textId="4A0F00C2" w:rsidR="00CA2A02" w:rsidRDefault="00AA7208" w:rsidP="00920C3F">
      <w:pPr>
        <w:pStyle w:val="ChartGraphic"/>
      </w:pPr>
      <w:r>
        <w:object w:dxaOrig="8775" w:dyaOrig="4531" w14:anchorId="05B34948">
          <v:shape id="_x0000_i1039" type="#_x0000_t75" style="width:439.4pt;height:226.75pt" o:ole="">
            <v:imagedata r:id="rId53" o:title=""/>
          </v:shape>
          <o:OLEObject Type="Link" ProgID="Excel.Sheet.12" ShapeID="_x0000_i1039" DrawAspect="Content" r:id="rId54" UpdateMode="Always">
            <o:LinkType>EnhancedMetaFile</o:LinkType>
            <o:LockedField/>
          </o:OLEObject>
        </w:object>
      </w:r>
    </w:p>
    <w:p w14:paraId="24397225" w14:textId="77777777" w:rsidR="00920C3F" w:rsidRPr="0035420F" w:rsidRDefault="00920C3F" w:rsidP="00920C3F">
      <w:pPr>
        <w:pStyle w:val="ChartorTableNote"/>
      </w:pPr>
      <w:r w:rsidRPr="0035420F">
        <w:t>Notes:</w:t>
      </w:r>
      <w:r>
        <w:t xml:space="preserve"> Micro data series show unweighted average of individual workers’ wage growth</w:t>
      </w:r>
      <w:r w:rsidRPr="00922BC7">
        <w:t>.</w:t>
      </w:r>
    </w:p>
    <w:p w14:paraId="4ADCAD90" w14:textId="77777777" w:rsidR="00920C3F" w:rsidRDefault="00920C3F" w:rsidP="00920C3F">
      <w:pPr>
        <w:pStyle w:val="ChartorTableNote"/>
        <w:rPr>
          <w:lang w:val="en-US"/>
        </w:rPr>
      </w:pPr>
      <w:r>
        <w:t>Sources</w:t>
      </w:r>
      <w:r w:rsidRPr="0035420F">
        <w:t>:</w:t>
      </w:r>
      <w:r>
        <w:t xml:space="preserve"> ABS; </w:t>
      </w:r>
      <w:r w:rsidR="000A5C8B" w:rsidRPr="004C2440">
        <w:rPr>
          <w:lang w:val="en-US"/>
        </w:rPr>
        <w:t>Treasury analysis of de-identified tax data</w:t>
      </w:r>
    </w:p>
    <w:p w14:paraId="0EFB4907" w14:textId="77777777" w:rsidR="00920C3F" w:rsidRDefault="00920C3F" w:rsidP="00CA2A02">
      <w:pPr>
        <w:jc w:val="center"/>
      </w:pPr>
    </w:p>
    <w:p w14:paraId="592D519B" w14:textId="77777777" w:rsidR="00496BF2" w:rsidRDefault="00496BF2" w:rsidP="001363DB">
      <w:pPr>
        <w:pStyle w:val="AppendixHeadingLevel2NotNumbered"/>
      </w:pPr>
      <w:r>
        <w:br w:type="page"/>
      </w:r>
    </w:p>
    <w:p w14:paraId="3AA08CC3" w14:textId="77777777" w:rsidR="001363DB" w:rsidRPr="009C4392" w:rsidRDefault="001363DB" w:rsidP="001363DB">
      <w:pPr>
        <w:pStyle w:val="AppendixHeadingLevel2NotNumbered"/>
      </w:pPr>
      <w:r w:rsidRPr="009C4392">
        <w:lastRenderedPageBreak/>
        <w:t xml:space="preserve">Appendix B: </w:t>
      </w:r>
      <w:r w:rsidR="00F3123E" w:rsidRPr="009C4392">
        <w:t xml:space="preserve">Additional results </w:t>
      </w:r>
    </w:p>
    <w:p w14:paraId="3C44EC6E" w14:textId="77777777" w:rsidR="00877888" w:rsidRPr="009C4392" w:rsidRDefault="00877888" w:rsidP="009C4392">
      <w:pPr>
        <w:jc w:val="both"/>
      </w:pPr>
      <w:r w:rsidRPr="009C4392">
        <w:t>Figure B1</w:t>
      </w:r>
      <w:r w:rsidR="009C4392" w:rsidRPr="009C4392">
        <w:t xml:space="preserve"> demonstrates the broad-based decline in wages</w:t>
      </w:r>
      <w:r w:rsidR="005D06C6">
        <w:t xml:space="preserve"> growth</w:t>
      </w:r>
      <w:r w:rsidR="009C4392" w:rsidRPr="009C4392">
        <w:t xml:space="preserve"> over recent years. It plots the differences in the </w:t>
      </w:r>
      <w:r w:rsidR="009C4392">
        <w:t>coefficients on financial year dummies</w:t>
      </w:r>
      <w:r w:rsidR="001F7832">
        <w:t xml:space="preserve"> for 2010-11 and 2015-16,</w:t>
      </w:r>
      <w:r w:rsidR="009C4392" w:rsidRPr="009C4392">
        <w:t xml:space="preserve"> </w:t>
      </w:r>
      <w:r w:rsidR="009C4392" w:rsidRPr="009C4392">
        <w:rPr>
          <w:color w:val="auto"/>
        </w:rPr>
        <w:t xml:space="preserve">from regressions of the change in log annual wages on financial year dummies and certain micro fixed effects. The model with no fixed effects simply captures the change in </w:t>
      </w:r>
      <w:r w:rsidR="001F7832">
        <w:rPr>
          <w:color w:val="auto"/>
        </w:rPr>
        <w:t>workers’</w:t>
      </w:r>
      <w:r w:rsidR="009C4392" w:rsidRPr="009C4392">
        <w:rPr>
          <w:color w:val="auto"/>
        </w:rPr>
        <w:t xml:space="preserve"> unweighted average wage growth, while the other specifications capture average wage growth for individual workers, fir</w:t>
      </w:r>
      <w:r w:rsidR="003B2681">
        <w:rPr>
          <w:color w:val="auto"/>
        </w:rPr>
        <w:t>ms, or worker firm matches (that is,</w:t>
      </w:r>
      <w:r w:rsidR="009C4392" w:rsidRPr="009C4392">
        <w:rPr>
          <w:color w:val="auto"/>
        </w:rPr>
        <w:t xml:space="preserve"> a given worker at a given firm). In all cases, the decline in wage gro</w:t>
      </w:r>
      <w:r w:rsidR="001F7832">
        <w:rPr>
          <w:color w:val="auto"/>
        </w:rPr>
        <w:t>wth over the period is around 2 </w:t>
      </w:r>
      <w:r w:rsidR="009C4392" w:rsidRPr="009C4392">
        <w:rPr>
          <w:color w:val="auto"/>
        </w:rPr>
        <w:t xml:space="preserve">percentage points. This provides further </w:t>
      </w:r>
      <w:r w:rsidR="001F7832" w:rsidRPr="009C4392">
        <w:rPr>
          <w:color w:val="auto"/>
        </w:rPr>
        <w:t>evidence</w:t>
      </w:r>
      <w:r w:rsidR="009C4392" w:rsidRPr="009C4392">
        <w:rPr>
          <w:color w:val="auto"/>
        </w:rPr>
        <w:t xml:space="preserve"> that the decline</w:t>
      </w:r>
      <w:r w:rsidR="001F7832">
        <w:rPr>
          <w:color w:val="auto"/>
        </w:rPr>
        <w:t xml:space="preserve"> in wage growth</w:t>
      </w:r>
      <w:r w:rsidR="003B2681">
        <w:rPr>
          <w:color w:val="auto"/>
        </w:rPr>
        <w:t xml:space="preserve"> has been broad</w:t>
      </w:r>
      <w:r w:rsidR="003B2681">
        <w:rPr>
          <w:color w:val="auto"/>
        </w:rPr>
        <w:noBreakHyphen/>
      </w:r>
      <w:r w:rsidR="009C4392" w:rsidRPr="009C4392">
        <w:rPr>
          <w:color w:val="auto"/>
        </w:rPr>
        <w:t xml:space="preserve">based, and has not reflected any compositional </w:t>
      </w:r>
      <w:r w:rsidR="001F7832">
        <w:rPr>
          <w:color w:val="auto"/>
        </w:rPr>
        <w:t xml:space="preserve">shifts between different types of </w:t>
      </w:r>
      <w:r w:rsidR="009C4392" w:rsidRPr="009C4392">
        <w:rPr>
          <w:color w:val="auto"/>
        </w:rPr>
        <w:t>workers, firms, or the matches therewith.</w:t>
      </w:r>
    </w:p>
    <w:p w14:paraId="3B2F1EC3" w14:textId="77777777" w:rsidR="00BC584E" w:rsidRPr="009C4392" w:rsidRDefault="00BC584E" w:rsidP="00AB6B2F">
      <w:pPr>
        <w:pStyle w:val="FigureHeading"/>
      </w:pPr>
      <w:r w:rsidRPr="009C4392">
        <w:t xml:space="preserve">Figure B1: A broad-based decline in wage growth since </w:t>
      </w:r>
      <w:r w:rsidR="009C4392" w:rsidRPr="009C4392">
        <w:t>2010-11</w:t>
      </w:r>
    </w:p>
    <w:p w14:paraId="19BC00C6" w14:textId="282A930E" w:rsidR="00877888" w:rsidRPr="009C4392" w:rsidRDefault="00CD3341" w:rsidP="00CD3341">
      <w:pPr>
        <w:pStyle w:val="ChartGraphic"/>
      </w:pPr>
      <w:r>
        <w:rPr>
          <w:noProof/>
        </w:rPr>
        <w:object w:dxaOrig="8780" w:dyaOrig="3955" w14:anchorId="451D59AC">
          <v:shape id="_x0000_i1040" type="#_x0000_t75" style="width:438.75pt;height:197.85pt" o:ole="">
            <v:imagedata r:id="rId55" o:title=""/>
          </v:shape>
          <o:OLEObject Type="Link" ProgID="Excel.Sheet.12" ShapeID="_x0000_i1040" DrawAspect="Content" r:id="rId56" UpdateMode="Always">
            <o:LinkType>EnhancedMetaFile</o:LinkType>
            <o:LockedField/>
          </o:OLEObject>
        </w:object>
      </w:r>
    </w:p>
    <w:p w14:paraId="5C766EEA" w14:textId="77777777" w:rsidR="00BC584E" w:rsidRDefault="00877888" w:rsidP="00F57D70">
      <w:pPr>
        <w:pStyle w:val="ChartorTableNote"/>
      </w:pPr>
      <w:r w:rsidRPr="009C4392">
        <w:t>Note: Presents the fall in nominal wage growth between 2010-11 and 2015-16, estimated as the difference in the coefficients from a regression of change in log annual wages on financial year dummies and either: no controls; firm fixed effects; worker fixed effects; and firm-worker pairing fixed effects.  The latter two specifications also include controls for a quadratic in worker age.</w:t>
      </w:r>
      <w:r w:rsidRPr="009C4392">
        <w:rPr>
          <w:b/>
        </w:rPr>
        <w:br/>
      </w:r>
      <w:r w:rsidRPr="009C4392">
        <w:t>Sources: Treasury calculations based on confidential taxation data.</w:t>
      </w:r>
    </w:p>
    <w:p w14:paraId="4689EFAF" w14:textId="77777777" w:rsidR="00F57D70" w:rsidRPr="00F57D70" w:rsidRDefault="00F57D70" w:rsidP="00732406">
      <w:pPr>
        <w:pStyle w:val="SingleParagraph"/>
        <w:rPr>
          <w:lang w:eastAsia="en-AU"/>
        </w:rPr>
      </w:pPr>
    </w:p>
    <w:p w14:paraId="34BCDCE6" w14:textId="77777777" w:rsidR="00496BF2" w:rsidRDefault="0041176F" w:rsidP="00C01838">
      <w:pPr>
        <w:jc w:val="both"/>
      </w:pPr>
      <w:r>
        <w:t xml:space="preserve">Table </w:t>
      </w:r>
      <w:r w:rsidR="00F77D8F">
        <w:t>B</w:t>
      </w:r>
      <w:r>
        <w:t xml:space="preserve">1 shows the results from the </w:t>
      </w:r>
      <w:r w:rsidR="000469BC">
        <w:t>changes</w:t>
      </w:r>
      <w:r>
        <w:t xml:space="preserve"> </w:t>
      </w:r>
      <w:r w:rsidR="00F77D8F">
        <w:t>version</w:t>
      </w:r>
      <w:r>
        <w:t xml:space="preserve"> of our</w:t>
      </w:r>
      <w:r w:rsidR="000469BC">
        <w:t xml:space="preserve"> model</w:t>
      </w:r>
      <w:r>
        <w:t xml:space="preserve"> </w:t>
      </w:r>
      <w:r w:rsidR="000469BC">
        <w:t>examining the relationship between firm wages and productivity</w:t>
      </w:r>
      <w:r>
        <w:t xml:space="preserve">. </w:t>
      </w:r>
      <w:r w:rsidR="000469BC">
        <w:t>Consistent with the levels specification, the coefficient on productivity tends to be around 0.1</w:t>
      </w:r>
      <w:r>
        <w:t>.</w:t>
      </w:r>
      <w:r w:rsidR="00F77D8F">
        <w:t xml:space="preserve"> </w:t>
      </w:r>
      <w:r w:rsidR="000469BC">
        <w:t xml:space="preserve">This provides additional robustness to the results from our level model. Moreover, the fact that the level and changes specifications are quite similar suggest that it there is not some inherent difference between the levels and changes </w:t>
      </w:r>
      <w:r w:rsidR="00841AE2">
        <w:t>specifications that is driving our finding that the relationship between firm wages and productivity has weakened.</w:t>
      </w:r>
    </w:p>
    <w:p w14:paraId="4C73329B" w14:textId="1CBA25E8" w:rsidR="004F4B93" w:rsidRDefault="00496BF2" w:rsidP="00AB6B2F">
      <w:pPr>
        <w:pStyle w:val="FigureHeading"/>
      </w:pPr>
      <w:r>
        <w:lastRenderedPageBreak/>
        <w:t xml:space="preserve">Table </w:t>
      </w:r>
      <w:r w:rsidR="00F77D8F">
        <w:t>B</w:t>
      </w:r>
      <w:r>
        <w:t xml:space="preserve">1: The changing link between </w:t>
      </w:r>
      <w:r w:rsidR="00C53585">
        <w:t xml:space="preserve">wages growth and firm </w:t>
      </w:r>
      <w:r>
        <w:t xml:space="preserve">productivity </w:t>
      </w:r>
      <w:r w:rsidR="00C53585">
        <w:t>growth</w:t>
      </w:r>
      <w:r>
        <w:br/>
      </w:r>
      <w:r w:rsidRPr="0091735D">
        <w:t xml:space="preserve">Dependent variable: </w:t>
      </w:r>
      <w:r w:rsidR="000469BC">
        <w:t>Change in the l</w:t>
      </w:r>
      <w:r w:rsidRPr="0091735D">
        <w:t>og wages of the individual</w:t>
      </w:r>
    </w:p>
    <w:p w14:paraId="7A692FFC" w14:textId="15D86534" w:rsidR="00732406" w:rsidRDefault="00CC28E2" w:rsidP="00732406">
      <w:pPr>
        <w:pStyle w:val="ChartGraphic"/>
      </w:pPr>
      <w:r w:rsidRPr="00CC28E2">
        <w:rPr>
          <w:noProof/>
        </w:rPr>
        <w:drawing>
          <wp:inline distT="0" distB="0" distL="0" distR="0" wp14:anchorId="76A1F252" wp14:editId="710632D1">
            <wp:extent cx="5029200" cy="2606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29200" cy="2606675"/>
                    </a:xfrm>
                    <a:prstGeom prst="rect">
                      <a:avLst/>
                    </a:prstGeom>
                    <a:noFill/>
                    <a:ln>
                      <a:noFill/>
                    </a:ln>
                  </pic:spPr>
                </pic:pic>
              </a:graphicData>
            </a:graphic>
          </wp:inline>
        </w:drawing>
      </w:r>
    </w:p>
    <w:p w14:paraId="3062C1EC" w14:textId="77777777" w:rsidR="00496BF2" w:rsidRDefault="00496BF2" w:rsidP="00F57D70">
      <w:pPr>
        <w:pStyle w:val="ChartorTableNote"/>
        <w:rPr>
          <w:i/>
        </w:rPr>
      </w:pPr>
      <w:r w:rsidRPr="004D7F6C">
        <w:t>Note: All regressions include a set of common controls covering worker characteristics (sex, a quadratic in age and residential location (Statistical Area 4)), firm characteristics (size and industry division), and cyclical effects (state and industry division separately in</w:t>
      </w:r>
      <w:r w:rsidR="000469BC">
        <w:t xml:space="preserve">teracted with financial year). </w:t>
      </w:r>
      <w:r w:rsidR="001D1566">
        <w:t>Errors are clustered at the firm-level.</w:t>
      </w:r>
    </w:p>
    <w:p w14:paraId="57B63973" w14:textId="77777777" w:rsidR="007E1601" w:rsidRDefault="007E1601" w:rsidP="00C01838">
      <w:pPr>
        <w:spacing w:after="200" w:line="276" w:lineRule="auto"/>
        <w:jc w:val="both"/>
      </w:pPr>
    </w:p>
    <w:sectPr w:rsidR="007E1601" w:rsidSect="00732406">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BE820" w14:textId="77777777" w:rsidR="00C872C3" w:rsidRDefault="00C872C3" w:rsidP="005F100C">
      <w:pPr>
        <w:spacing w:after="0"/>
      </w:pPr>
      <w:r>
        <w:separator/>
      </w:r>
    </w:p>
  </w:endnote>
  <w:endnote w:type="continuationSeparator" w:id="0">
    <w:p w14:paraId="2124731E" w14:textId="77777777" w:rsidR="00C872C3" w:rsidRDefault="00C872C3" w:rsidP="005F100C">
      <w:pPr>
        <w:spacing w:after="0"/>
      </w:pPr>
      <w:r>
        <w:continuationSeparator/>
      </w:r>
    </w:p>
  </w:endnote>
  <w:endnote w:type="continuationNotice" w:id="1">
    <w:p w14:paraId="3C53C6A1" w14:textId="77777777" w:rsidR="00C872C3" w:rsidRDefault="00C872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5A35D" w14:textId="25C3CDEE" w:rsidR="00C872C3" w:rsidRDefault="00C872C3" w:rsidP="00661C7A">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7776AC">
      <w:rPr>
        <w:rStyle w:val="PageNumber"/>
        <w:noProof/>
      </w:rPr>
      <w:t>18</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9BBC" w14:textId="0CDD7C1E" w:rsidR="00C872C3" w:rsidRDefault="00C872C3"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7776AC">
      <w:rPr>
        <w:rStyle w:val="PageNumber"/>
        <w:noProof/>
      </w:rPr>
      <w:t>24</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9410" w14:textId="77777777" w:rsidR="00C872C3" w:rsidRDefault="00C872C3" w:rsidP="005F100C">
      <w:pPr>
        <w:spacing w:after="0"/>
      </w:pPr>
      <w:r>
        <w:separator/>
      </w:r>
    </w:p>
  </w:footnote>
  <w:footnote w:type="continuationSeparator" w:id="0">
    <w:p w14:paraId="557BFCE7" w14:textId="77777777" w:rsidR="00C872C3" w:rsidRDefault="00C872C3" w:rsidP="005F100C">
      <w:pPr>
        <w:spacing w:after="0"/>
      </w:pPr>
      <w:r>
        <w:continuationSeparator/>
      </w:r>
    </w:p>
  </w:footnote>
  <w:footnote w:type="continuationNotice" w:id="1">
    <w:p w14:paraId="3300F4F1" w14:textId="77777777" w:rsidR="00C872C3" w:rsidRDefault="00C872C3">
      <w:pPr>
        <w:spacing w:after="0"/>
      </w:pPr>
    </w:p>
  </w:footnote>
  <w:footnote w:id="2">
    <w:p w14:paraId="0F596EC9" w14:textId="7A4D89FF" w:rsidR="00C872C3" w:rsidRPr="00614F35" w:rsidRDefault="00C872C3" w:rsidP="00583308">
      <w:pPr>
        <w:pStyle w:val="FootnoteText"/>
      </w:pPr>
      <w:r w:rsidRPr="000464B6">
        <w:rPr>
          <w:rStyle w:val="FootnoteReference"/>
          <w:vertAlign w:val="baseline"/>
        </w:rPr>
        <w:footnoteRef/>
      </w:r>
      <w:r w:rsidRPr="000464B6">
        <w:t xml:space="preserve"> </w:t>
      </w:r>
      <w:r>
        <w:tab/>
      </w:r>
      <w:r w:rsidRPr="001C06AD">
        <w:t>Dan Andrews</w:t>
      </w:r>
      <w:r>
        <w:t xml:space="preserve">, </w:t>
      </w:r>
      <w:r w:rsidRPr="001C06AD">
        <w:t>Nathan Deutscher</w:t>
      </w:r>
      <w:r>
        <w:t>,</w:t>
      </w:r>
      <w:r w:rsidRPr="001C06AD">
        <w:t xml:space="preserve"> </w:t>
      </w:r>
      <w:r>
        <w:t>Jonathan Hambur</w:t>
      </w:r>
      <w:r w:rsidRPr="001C06AD">
        <w:t xml:space="preserve"> and David Hansell work in the Macroeconomic Group</w:t>
      </w:r>
      <w:r>
        <w:t xml:space="preserve">, The Treasury, Langton Crescent, Parkes ACT 2600, </w:t>
      </w:r>
      <w:proofErr w:type="gramStart"/>
      <w:r w:rsidRPr="006B4A87">
        <w:t>Australia</w:t>
      </w:r>
      <w:proofErr w:type="gramEnd"/>
      <w:r w:rsidRPr="006B4A87">
        <w:t xml:space="preserve">. Correspondence: </w:t>
      </w:r>
      <w:hyperlink r:id="rId1" w:history="1">
        <w:r w:rsidRPr="002901FF">
          <w:rPr>
            <w:rStyle w:val="Hyperlink"/>
          </w:rPr>
          <w:t>Dan.Andrews@treasury.gov.au</w:t>
        </w:r>
      </w:hyperlink>
      <w:r>
        <w:t xml:space="preserve">, </w:t>
      </w:r>
      <w:hyperlink r:id="rId2" w:history="1">
        <w:r w:rsidRPr="006405F4">
          <w:rPr>
            <w:rStyle w:val="Hyperlink"/>
          </w:rPr>
          <w:t>Nathan.Deutscher@treasury.gov.au</w:t>
        </w:r>
      </w:hyperlink>
      <w:r>
        <w:t xml:space="preserve">, </w:t>
      </w:r>
      <w:hyperlink r:id="rId3" w:history="1">
        <w:r w:rsidRPr="006405F4">
          <w:rPr>
            <w:rStyle w:val="Hyperlink"/>
          </w:rPr>
          <w:t>Jonathan.Hambur@treasury.gov.au</w:t>
        </w:r>
      </w:hyperlink>
      <w:r>
        <w:t xml:space="preserve">, </w:t>
      </w:r>
      <w:hyperlink r:id="rId4" w:history="1">
        <w:r w:rsidRPr="006405F4">
          <w:rPr>
            <w:rStyle w:val="Hyperlink"/>
          </w:rPr>
          <w:t>David.Hansell@treasury.gov.au</w:t>
        </w:r>
      </w:hyperlink>
      <w:r>
        <w:t xml:space="preserve">. We thank Bob </w:t>
      </w:r>
      <w:proofErr w:type="spellStart"/>
      <w:r>
        <w:t>Breunig</w:t>
      </w:r>
      <w:proofErr w:type="spellEnd"/>
      <w:r>
        <w:t xml:space="preserve">, Jan </w:t>
      </w:r>
      <w:proofErr w:type="spellStart"/>
      <w:r>
        <w:t>Eeckhout</w:t>
      </w:r>
      <w:proofErr w:type="spellEnd"/>
      <w:r>
        <w:t xml:space="preserve">, Philip </w:t>
      </w:r>
      <w:proofErr w:type="spellStart"/>
      <w:r>
        <w:t>Gaetjens</w:t>
      </w:r>
      <w:proofErr w:type="spellEnd"/>
      <w:r>
        <w:t xml:space="preserve">, Dean </w:t>
      </w:r>
      <w:proofErr w:type="spellStart"/>
      <w:r>
        <w:t>Hyslop</w:t>
      </w:r>
      <w:proofErr w:type="spellEnd"/>
      <w:r>
        <w:t>, Philip Lowe, Meghan Quinn, and seminar participants at Treasury and a</w:t>
      </w:r>
      <w:r w:rsidR="00243A19">
        <w:t xml:space="preserve">t the Reserve Bank of Australia </w:t>
      </w:r>
      <w:r>
        <w:t xml:space="preserve">for their helpful comments. </w:t>
      </w:r>
    </w:p>
  </w:footnote>
  <w:footnote w:id="3">
    <w:p w14:paraId="74FBC80B" w14:textId="77777777" w:rsidR="00C872C3" w:rsidRDefault="00C872C3" w:rsidP="00583308">
      <w:pPr>
        <w:pStyle w:val="FootnoteText"/>
      </w:pPr>
      <w:r w:rsidRPr="000464B6">
        <w:rPr>
          <w:rStyle w:val="FootnoteReference"/>
          <w:vertAlign w:val="baseline"/>
        </w:rPr>
        <w:footnoteRef/>
      </w:r>
      <w:r w:rsidRPr="000464B6">
        <w:t xml:space="preserve"> </w:t>
      </w:r>
      <w:r>
        <w:tab/>
        <w:t xml:space="preserve">The views expressed in this paper are those of the authors and should not be taken to reflect those of The Australian Treasury or the Australian Government. </w:t>
      </w:r>
      <w:r w:rsidRPr="006C370E">
        <w:t xml:space="preserve">The results presented here are based in part, on ABR data supplied by the Registrar to the ABS under A New Tax System (Australian Business Number) Act 1999 and tax data supplied by the ATO to the ABS under the Taxation Administration Act 1953. These require that such data is only used for the purpose of carrying out functions of the ABS. No individual information collected under the Census and Statistics Act 1905 is provided back to the Registrar or the ATO for administrative or regulatory purposes. Any discussion of data limitations or weaknesses is in the context of using the data for statistical purposes, and is not related to the ability of the data to support the ABR’s core operational requirements. Legislative requirements to ensure privacy and secrecy of this data have been followed. Only people authorised under the Australian Bureau of Statistics Act 1975 have been allowed to view data about any particular firm in conducting these analyses. In accordance with the Census and Statistics Act 1905, results have been </w:t>
      </w:r>
      <w:proofErr w:type="spellStart"/>
      <w:r w:rsidRPr="006C370E">
        <w:t>confidentialised</w:t>
      </w:r>
      <w:proofErr w:type="spellEnd"/>
      <w:r w:rsidRPr="006C370E">
        <w:t xml:space="preserve"> to ensure that they are not likely to enable identification of a particular person or organisation</w:t>
      </w:r>
      <w:r>
        <w:t>.</w:t>
      </w:r>
    </w:p>
    <w:p w14:paraId="7A364295" w14:textId="77777777" w:rsidR="00C872C3" w:rsidRDefault="00C872C3" w:rsidP="00583308">
      <w:pPr>
        <w:pStyle w:val="FootnoteText"/>
      </w:pPr>
    </w:p>
  </w:footnote>
  <w:footnote w:id="4">
    <w:p w14:paraId="0EA5403F" w14:textId="77777777" w:rsidR="00C872C3" w:rsidRPr="00C940C7" w:rsidRDefault="00C872C3" w:rsidP="00583308">
      <w:pPr>
        <w:pStyle w:val="FootnoteText"/>
      </w:pPr>
      <w:r w:rsidRPr="00583308">
        <w:rPr>
          <w:rStyle w:val="FootnoteReference"/>
          <w:vertAlign w:val="baseline"/>
        </w:rPr>
        <w:footnoteRef/>
      </w:r>
      <w:r w:rsidRPr="00C940C7">
        <w:t xml:space="preserve"> </w:t>
      </w:r>
      <w:r>
        <w:tab/>
      </w:r>
      <w:r w:rsidRPr="00C940C7">
        <w:t xml:space="preserve">This graph is only illustrative, as some portion of the forecast miss will also reflect errors in the forecasts for </w:t>
      </w:r>
      <w:r>
        <w:t>the variables that help to determine wage growth</w:t>
      </w:r>
      <w:r w:rsidRPr="00C940C7">
        <w:t>.</w:t>
      </w:r>
    </w:p>
  </w:footnote>
  <w:footnote w:id="5">
    <w:p w14:paraId="749E7CF0" w14:textId="77777777" w:rsidR="00C872C3" w:rsidRPr="00CE207C" w:rsidRDefault="00C872C3" w:rsidP="00583308">
      <w:pPr>
        <w:pStyle w:val="FootnoteText"/>
      </w:pPr>
      <w:r w:rsidRPr="00583308">
        <w:rPr>
          <w:rStyle w:val="FootnoteReference"/>
          <w:vertAlign w:val="baseline"/>
        </w:rPr>
        <w:footnoteRef/>
      </w:r>
      <w:r w:rsidRPr="00583308">
        <w:t xml:space="preserve"> </w:t>
      </w:r>
      <w:r>
        <w:tab/>
        <w:t>To show that our results do not reflect some inherent difference between the level and difference specifications, we estimate the basic model with no interaction in differences for comparison. The results are very similar to the levels specification. See Appendix B.</w:t>
      </w:r>
    </w:p>
  </w:footnote>
  <w:footnote w:id="6">
    <w:p w14:paraId="7F2BEB09" w14:textId="77777777" w:rsidR="00C872C3" w:rsidRDefault="00C872C3" w:rsidP="00583308">
      <w:pPr>
        <w:pStyle w:val="FootnoteText"/>
      </w:pPr>
      <w:r w:rsidRPr="00583308">
        <w:rPr>
          <w:rStyle w:val="FootnoteReference"/>
          <w:vertAlign w:val="baseline"/>
        </w:rPr>
        <w:footnoteRef/>
      </w:r>
      <w:r w:rsidRPr="00EA2E28">
        <w:t xml:space="preserve"> </w:t>
      </w:r>
      <w:r>
        <w:tab/>
      </w:r>
      <w:r w:rsidRPr="00EA2E28">
        <w:t>More details are available in Appendix A.</w:t>
      </w:r>
    </w:p>
  </w:footnote>
  <w:footnote w:id="7">
    <w:p w14:paraId="52E4AF2E" w14:textId="77777777" w:rsidR="00C872C3" w:rsidRPr="00423B8F" w:rsidRDefault="00C872C3" w:rsidP="00583308">
      <w:pPr>
        <w:pStyle w:val="FootnoteText"/>
      </w:pPr>
      <w:r w:rsidRPr="00583308">
        <w:rPr>
          <w:rStyle w:val="FootnoteReference"/>
          <w:vertAlign w:val="baseline"/>
        </w:rPr>
        <w:footnoteRef/>
      </w:r>
      <w:r w:rsidRPr="00423B8F">
        <w:t xml:space="preserve"> </w:t>
      </w:r>
      <w:r>
        <w:tab/>
      </w:r>
      <w:r w:rsidRPr="00423B8F">
        <w:t>The standard deviation of labour productivity</w:t>
      </w:r>
      <w:r>
        <w:t xml:space="preserve"> within an industry</w:t>
      </w:r>
      <w:r w:rsidRPr="00423B8F">
        <w:t xml:space="preserve"> is </w:t>
      </w:r>
      <w:r>
        <w:t xml:space="preserve">approximately </w:t>
      </w:r>
      <w:r w:rsidRPr="00423B8F">
        <w:t>1 log unit.</w:t>
      </w:r>
    </w:p>
  </w:footnote>
  <w:footnote w:id="8">
    <w:p w14:paraId="2A215BBE" w14:textId="53A52379" w:rsidR="00C872C3" w:rsidRDefault="00C872C3" w:rsidP="00583308">
      <w:pPr>
        <w:pStyle w:val="FootnoteText"/>
      </w:pPr>
      <w:r w:rsidRPr="00583308">
        <w:rPr>
          <w:rStyle w:val="FootnoteReference"/>
          <w:vertAlign w:val="baseline"/>
        </w:rPr>
        <w:footnoteRef/>
      </w:r>
      <w:r w:rsidRPr="002E4C6E">
        <w:t xml:space="preserve"> </w:t>
      </w:r>
      <w:r>
        <w:tab/>
      </w:r>
      <w:r>
        <w:rPr>
          <w:lang w:val="en-US" w:eastAsia="en-AU"/>
        </w:rPr>
        <w:t xml:space="preserve">Freestone (2018) finds no systematic heterogeneity in wage growth, which would suggest that these fixed effects are unnecessary. Nevertheless, some of these micro-level fixed effects appear to improve the model fit, particularly the inclusion of firm fixed effects. </w:t>
      </w:r>
      <w:r w:rsidRPr="002E4C6E">
        <w:t>This is even more evident in the non-</w:t>
      </w:r>
      <w:r w:rsidRPr="008C4214">
        <w:t>interacted</w:t>
      </w:r>
      <w:r w:rsidRPr="002E4C6E">
        <w:t xml:space="preserve"> differences specification in Appendix B.</w:t>
      </w:r>
    </w:p>
  </w:footnote>
  <w:footnote w:id="9">
    <w:p w14:paraId="5CC94E4E" w14:textId="77777777" w:rsidR="00C872C3" w:rsidRDefault="00C872C3" w:rsidP="00583308">
      <w:pPr>
        <w:pStyle w:val="FootnoteText"/>
      </w:pPr>
      <w:r w:rsidRPr="00583308">
        <w:rPr>
          <w:rStyle w:val="FootnoteReference"/>
          <w:vertAlign w:val="baseline"/>
        </w:rPr>
        <w:footnoteRef/>
      </w:r>
      <w:r w:rsidRPr="00583308">
        <w:t xml:space="preserve"> </w:t>
      </w:r>
      <w:r>
        <w:tab/>
      </w:r>
      <w:r w:rsidRPr="00480B37">
        <w:t>This assumption is consistent with the fact that labour</w:t>
      </w:r>
      <w:r>
        <w:t>’s</w:t>
      </w:r>
      <w:r w:rsidRPr="00480B37">
        <w:t xml:space="preserve"> share of income has been broadly flat for a number of decades. </w:t>
      </w:r>
    </w:p>
  </w:footnote>
  <w:footnote w:id="10">
    <w:p w14:paraId="31CDEEB6" w14:textId="28287D94" w:rsidR="00C872C3" w:rsidRDefault="00C872C3" w:rsidP="00583308">
      <w:pPr>
        <w:pStyle w:val="FootnoteText"/>
      </w:pPr>
      <w:r w:rsidRPr="00583308">
        <w:rPr>
          <w:rStyle w:val="FootnoteReference"/>
          <w:vertAlign w:val="baseline"/>
        </w:rPr>
        <w:footnoteRef/>
      </w:r>
      <w:r w:rsidRPr="00583308">
        <w:t xml:space="preserve"> </w:t>
      </w:r>
      <w:r>
        <w:tab/>
      </w:r>
      <w:r w:rsidRPr="002E4C6E">
        <w:t xml:space="preserve">This </w:t>
      </w:r>
      <w:r>
        <w:t>represents</w:t>
      </w:r>
      <w:r w:rsidRPr="002E4C6E">
        <w:t xml:space="preserve"> a lower bound based on our </w:t>
      </w:r>
      <w:r w:rsidRPr="001B721D">
        <w:t>estimates</w:t>
      </w:r>
      <w:r>
        <w:t xml:space="preserve"> and thus reflects a conservative stance on the </w:t>
      </w:r>
      <w:r w:rsidR="00D939CA">
        <w:t>effect</w:t>
      </w:r>
      <w:r>
        <w:t xml:space="preserve"> of micro-level decoupling between wages and productivity</w:t>
      </w:r>
      <w:r w:rsidRPr="002E4C6E">
        <w:t>.</w:t>
      </w:r>
    </w:p>
  </w:footnote>
  <w:footnote w:id="11">
    <w:p w14:paraId="5BFBCA75" w14:textId="77777777" w:rsidR="00C872C3" w:rsidRDefault="00C872C3" w:rsidP="00C872C3">
      <w:pPr>
        <w:pStyle w:val="FootnoteText"/>
      </w:pPr>
      <w:r w:rsidRPr="00583308">
        <w:rPr>
          <w:rStyle w:val="FootnoteReference"/>
          <w:vertAlign w:val="baseline"/>
        </w:rPr>
        <w:footnoteRef/>
      </w:r>
      <w:r w:rsidRPr="00583308">
        <w:t xml:space="preserve"> </w:t>
      </w:r>
      <w:r>
        <w:tab/>
      </w:r>
      <w:r w:rsidRPr="00EA2E28">
        <w:t xml:space="preserve">WPI is quality adjusted, so changes in productivity may be less likely to </w:t>
      </w:r>
      <w:r w:rsidRPr="003D5EB1">
        <w:t>affect this wages measu</w:t>
      </w:r>
      <w:r w:rsidRPr="00EA2E28">
        <w:t xml:space="preserve">re. </w:t>
      </w:r>
      <w:r w:rsidRPr="00AB0E3D">
        <w:t>However</w:t>
      </w:r>
      <w:r w:rsidRPr="00EA2E28">
        <w:t>, this graph is just intended as illustrative.</w:t>
      </w:r>
    </w:p>
  </w:footnote>
  <w:footnote w:id="12">
    <w:p w14:paraId="22EA07FF" w14:textId="77777777" w:rsidR="00C872C3" w:rsidRDefault="00C872C3" w:rsidP="00583308">
      <w:pPr>
        <w:pStyle w:val="FootnoteText"/>
      </w:pPr>
      <w:r w:rsidRPr="00583308">
        <w:rPr>
          <w:rStyle w:val="FootnoteReference"/>
          <w:vertAlign w:val="baseline"/>
        </w:rPr>
        <w:footnoteRef/>
      </w:r>
      <w:r w:rsidRPr="00583308">
        <w:t xml:space="preserve"> </w:t>
      </w:r>
      <w:r>
        <w:tab/>
        <w:t>We return to some other potential explanations</w:t>
      </w:r>
      <w:r w:rsidRPr="005130C5">
        <w:t xml:space="preserve"> in our discussion of future work in Section 6. </w:t>
      </w:r>
    </w:p>
  </w:footnote>
  <w:footnote w:id="13">
    <w:p w14:paraId="07418BD2" w14:textId="77777777" w:rsidR="00C872C3" w:rsidRPr="00E73274" w:rsidRDefault="00C872C3" w:rsidP="00583308">
      <w:pPr>
        <w:pStyle w:val="FootnoteText"/>
      </w:pPr>
      <w:r w:rsidRPr="00583308">
        <w:rPr>
          <w:rStyle w:val="FootnoteReference"/>
          <w:vertAlign w:val="baseline"/>
        </w:rPr>
        <w:footnoteRef/>
      </w:r>
      <w:r w:rsidRPr="00583308">
        <w:t xml:space="preserve"> </w:t>
      </w:r>
      <w:r>
        <w:tab/>
      </w:r>
      <w:r w:rsidRPr="00E73274">
        <w:t>A related, econometric, explanation could be that a growing productivity divergence might introduce an omitted variable bias</w:t>
      </w:r>
      <w:r>
        <w:t>,</w:t>
      </w:r>
      <w:r w:rsidRPr="00E73274">
        <w:t xml:space="preserve"> given we only have firm-level productivity in our regression. The bias is likely to be negative, as </w:t>
      </w:r>
      <w:r>
        <w:t>workers</w:t>
      </w:r>
      <w:r w:rsidRPr="00E73274">
        <w:t xml:space="preserve"> with higher wage growth have more understated productivity growth. </w:t>
      </w:r>
    </w:p>
  </w:footnote>
  <w:footnote w:id="14">
    <w:p w14:paraId="789DA405" w14:textId="77777777" w:rsidR="00C872C3" w:rsidRDefault="00C872C3" w:rsidP="00583308">
      <w:pPr>
        <w:pStyle w:val="FootnoteText"/>
      </w:pPr>
      <w:r w:rsidRPr="00583308">
        <w:rPr>
          <w:rStyle w:val="FootnoteReference"/>
          <w:vertAlign w:val="baseline"/>
        </w:rPr>
        <w:footnoteRef/>
      </w:r>
      <w:r w:rsidRPr="00583308">
        <w:t xml:space="preserve"> </w:t>
      </w:r>
      <w:r>
        <w:tab/>
      </w:r>
      <w:r w:rsidRPr="0007688B">
        <w:t>See, for example, the Q&amp;A to Phil Lowe’s A</w:t>
      </w:r>
      <w:r>
        <w:t>d</w:t>
      </w:r>
      <w:r w:rsidRPr="0007688B">
        <w:t>dress to the AFR Business Summit on 6 March 2019, as reported in Kehoe</w:t>
      </w:r>
      <w:r>
        <w:t> </w:t>
      </w:r>
      <w:r w:rsidRPr="0007688B">
        <w:t>(2019).</w:t>
      </w:r>
    </w:p>
  </w:footnote>
  <w:footnote w:id="15">
    <w:p w14:paraId="52AA3E83" w14:textId="77777777" w:rsidR="00C872C3" w:rsidRDefault="00C872C3" w:rsidP="00583308">
      <w:pPr>
        <w:pStyle w:val="FootnoteText"/>
      </w:pPr>
      <w:r w:rsidRPr="00583308">
        <w:rPr>
          <w:rStyle w:val="FootnoteReference"/>
          <w:vertAlign w:val="baseline"/>
        </w:rPr>
        <w:footnoteRef/>
      </w:r>
      <w:r w:rsidRPr="00583308">
        <w:t xml:space="preserve"> </w:t>
      </w:r>
      <w:r>
        <w:tab/>
      </w:r>
      <w:r w:rsidRPr="0007688B">
        <w:t>Many papers use lags of the right hand side variables, or measures of industry profit and productivity.</w:t>
      </w:r>
      <w:r>
        <w:t xml:space="preserve"> Such instruments are only valid under certain, fairly restrictive assumptions.</w:t>
      </w:r>
    </w:p>
  </w:footnote>
  <w:footnote w:id="16">
    <w:p w14:paraId="682D1A9A" w14:textId="77777777" w:rsidR="00C872C3" w:rsidRDefault="00C872C3" w:rsidP="00583308">
      <w:pPr>
        <w:pStyle w:val="FootnoteText"/>
      </w:pPr>
      <w:r w:rsidRPr="003B2681">
        <w:rPr>
          <w:rStyle w:val="FootnoteReference"/>
          <w:vertAlign w:val="baseline"/>
        </w:rPr>
        <w:footnoteRef/>
      </w:r>
      <w:r w:rsidRPr="003B2681">
        <w:t xml:space="preserve"> </w:t>
      </w:r>
      <w:r>
        <w:tab/>
      </w:r>
      <w:r w:rsidRPr="00EA2E28">
        <w:t>Ideally we would extend t</w:t>
      </w:r>
      <w:r>
        <w:t>he sample, as the early part of</w:t>
      </w:r>
      <w:r w:rsidRPr="00EA2E28">
        <w:t xml:space="preserve"> our sample coincides with the mining boom, when job switching rates may have been unusually high. This is something we hope to do in future work</w:t>
      </w:r>
      <w:r>
        <w:t>.</w:t>
      </w:r>
    </w:p>
  </w:footnote>
  <w:footnote w:id="17">
    <w:p w14:paraId="25627F2E" w14:textId="77777777" w:rsidR="00C872C3" w:rsidRDefault="00C872C3">
      <w:pPr>
        <w:pStyle w:val="FootnoteText"/>
      </w:pPr>
      <w:r w:rsidRPr="00403B38">
        <w:rPr>
          <w:rStyle w:val="FootnoteReference"/>
          <w:vertAlign w:val="baseline"/>
        </w:rPr>
        <w:footnoteRef/>
      </w:r>
      <w:r>
        <w:t xml:space="preserve"> </w:t>
      </w:r>
      <w:r>
        <w:tab/>
        <w:t>The sample we analyse differs from that in Figure 5; for example, it only includes those for whom we have location data.</w:t>
      </w:r>
    </w:p>
  </w:footnote>
  <w:footnote w:id="18">
    <w:p w14:paraId="4EB5DD81" w14:textId="77777777" w:rsidR="00C872C3" w:rsidRDefault="00C872C3" w:rsidP="00583308">
      <w:pPr>
        <w:pStyle w:val="FootnoteText"/>
      </w:pPr>
      <w:r w:rsidRPr="003B2681">
        <w:rPr>
          <w:rStyle w:val="FootnoteReference"/>
          <w:vertAlign w:val="baseline"/>
        </w:rPr>
        <w:footnoteRef/>
      </w:r>
      <w:r w:rsidRPr="003B2681">
        <w:t xml:space="preserve"> </w:t>
      </w:r>
      <w:r>
        <w:tab/>
      </w:r>
      <w:r w:rsidRPr="00EA750E">
        <w:t>Industries are defined at the 4-digit ANZSIC</w:t>
      </w:r>
      <w:r>
        <w:t xml:space="preserve"> industry</w:t>
      </w:r>
      <w:r w:rsidRPr="00EA750E">
        <w:t xml:space="preserve"> level.</w:t>
      </w:r>
      <w:r>
        <w:t xml:space="preserve"> The analysis uses data from the BLADE database. Value-added productivity is calculated as the ratio of value-added to full time equivalent (FTE) emplo</w:t>
      </w:r>
      <w:r w:rsidRPr="00F1020A">
        <w:t>yees.</w:t>
      </w:r>
      <w:r>
        <w:t xml:space="preserve"> We add one to FTE employees to account for owner-managers who affect output, but not employment statistics.</w:t>
      </w:r>
    </w:p>
  </w:footnote>
  <w:footnote w:id="19">
    <w:p w14:paraId="31FF76E1" w14:textId="77777777" w:rsidR="00C872C3" w:rsidRDefault="00C872C3" w:rsidP="00583308">
      <w:pPr>
        <w:pStyle w:val="FootnoteText"/>
      </w:pPr>
      <w:r w:rsidRPr="003B2681">
        <w:rPr>
          <w:rStyle w:val="FootnoteReference"/>
          <w:vertAlign w:val="baseline"/>
        </w:rPr>
        <w:footnoteRef/>
      </w:r>
      <w:r w:rsidRPr="003B2681">
        <w:t xml:space="preserve"> </w:t>
      </w:r>
      <w:r>
        <w:tab/>
      </w:r>
      <w:r w:rsidRPr="00D5651F">
        <w:t>The large spike in the mid-2000s appears to reflect a number of small firms. If we weight firms by their employment shares, which may lessen measurement error and may be more relevant for aggregate wage outcomes, the spike is not evident and the ratio is far less volatile.</w:t>
      </w:r>
    </w:p>
  </w:footnote>
  <w:footnote w:id="20">
    <w:p w14:paraId="3080677C" w14:textId="77777777" w:rsidR="00C872C3" w:rsidRPr="007E1601" w:rsidRDefault="00C872C3" w:rsidP="00583308">
      <w:pPr>
        <w:pStyle w:val="FootnoteText"/>
      </w:pPr>
      <w:r w:rsidRPr="003B2681">
        <w:rPr>
          <w:rStyle w:val="FootnoteReference"/>
          <w:vertAlign w:val="baseline"/>
        </w:rPr>
        <w:footnoteRef/>
      </w:r>
      <w:r w:rsidRPr="003B2681">
        <w:t xml:space="preserve"> </w:t>
      </w:r>
      <w:r>
        <w:tab/>
      </w:r>
      <w:r w:rsidRPr="007E1601">
        <w:t xml:space="preserve">Our data only contain annual earnings. We proxy full-time workers as those earning above the annualised minimum weekly wage; for example, in 2010 this was $29,624 per year. </w:t>
      </w:r>
    </w:p>
  </w:footnote>
  <w:footnote w:id="21">
    <w:p w14:paraId="490EE068" w14:textId="77777777" w:rsidR="00C872C3" w:rsidRDefault="00C872C3" w:rsidP="00583308">
      <w:pPr>
        <w:pStyle w:val="FootnoteText"/>
      </w:pPr>
      <w:r w:rsidRPr="003B2681">
        <w:rPr>
          <w:rStyle w:val="FootnoteReference"/>
          <w:vertAlign w:val="baseline"/>
        </w:rPr>
        <w:footnoteRef/>
      </w:r>
      <w:r w:rsidRPr="003B2681">
        <w:t xml:space="preserve"> </w:t>
      </w:r>
      <w:r>
        <w:tab/>
      </w:r>
      <w:r w:rsidRPr="007E1601">
        <w:t xml:space="preserve">The model defines LP as real revenue per FTE in order to avoid indirectly censoring units with negative value-added but using real value-added per FTE measure does not change the story. While future analysis will look to exploit estimates of multi-factor productivity (MFP), </w:t>
      </w:r>
      <w:r w:rsidRPr="007E1601">
        <w:rPr>
          <w:color w:val="auto"/>
        </w:rPr>
        <w:t>the estimated responsiveness of firm employment growth to (lagged) productivity in Decker et al (2018) is insensitive to the choice of LP or MFP.</w:t>
      </w:r>
      <w:r>
        <w:rPr>
          <w:color w:val="auto"/>
          <w:sz w:val="20"/>
          <w:szCs w:val="20"/>
        </w:rPr>
        <w:t xml:space="preserve"> </w:t>
      </w:r>
    </w:p>
  </w:footnote>
  <w:footnote w:id="22">
    <w:p w14:paraId="551FC4B5" w14:textId="2D5BB5BB" w:rsidR="00C872C3" w:rsidRDefault="00C872C3">
      <w:pPr>
        <w:pStyle w:val="FootnoteText"/>
      </w:pPr>
      <w:r>
        <w:rPr>
          <w:rStyle w:val="FootnoteReference"/>
        </w:rPr>
        <w:footnoteRef/>
      </w:r>
      <w:r>
        <w:t xml:space="preserve"> </w:t>
      </w:r>
      <w:r>
        <w:tab/>
        <w:t>This result is robust to using alternative break points, such as 2012/13.</w:t>
      </w:r>
    </w:p>
  </w:footnote>
  <w:footnote w:id="23">
    <w:p w14:paraId="5AC3BFE2" w14:textId="77777777" w:rsidR="00C872C3" w:rsidRDefault="00C872C3" w:rsidP="00583308">
      <w:pPr>
        <w:pStyle w:val="FootnoteText"/>
      </w:pPr>
      <w:r w:rsidRPr="003B2681">
        <w:rPr>
          <w:rStyle w:val="FootnoteReference"/>
          <w:vertAlign w:val="baseline"/>
        </w:rPr>
        <w:footnoteRef/>
      </w:r>
      <w:r w:rsidRPr="003B2681">
        <w:t xml:space="preserve"> </w:t>
      </w:r>
      <w:r>
        <w:tab/>
      </w:r>
      <w:r w:rsidRPr="00783BAD">
        <w:t xml:space="preserve">It is important to note that the ABS does not permit access to person-level data. All information from the payment summaries has been aggregated to the business unit. </w:t>
      </w:r>
    </w:p>
  </w:footnote>
  <w:footnote w:id="24">
    <w:p w14:paraId="22A53398" w14:textId="77777777" w:rsidR="00C872C3" w:rsidRDefault="00C872C3" w:rsidP="00583308">
      <w:pPr>
        <w:pStyle w:val="FootnoteText"/>
      </w:pPr>
      <w:r w:rsidRPr="003B2681">
        <w:rPr>
          <w:rStyle w:val="FootnoteReference"/>
          <w:vertAlign w:val="baseline"/>
        </w:rPr>
        <w:footnoteRef/>
      </w:r>
      <w:r w:rsidRPr="003B2681">
        <w:t xml:space="preserve"> </w:t>
      </w:r>
      <w:r>
        <w:tab/>
      </w:r>
      <w:r w:rsidRPr="00783BAD">
        <w:t xml:space="preserve">For more information see Hansell, Nguyen and Soriano (2015). </w:t>
      </w:r>
    </w:p>
  </w:footnote>
  <w:footnote w:id="25">
    <w:p w14:paraId="36B916AD" w14:textId="77777777" w:rsidR="00C872C3" w:rsidRDefault="00C872C3" w:rsidP="00583308">
      <w:pPr>
        <w:pStyle w:val="FootnoteText"/>
      </w:pPr>
      <w:r w:rsidRPr="003B2681">
        <w:rPr>
          <w:rStyle w:val="FootnoteReference"/>
          <w:vertAlign w:val="baseline"/>
        </w:rPr>
        <w:footnoteRef/>
      </w:r>
      <w:r w:rsidRPr="003B2681">
        <w:t xml:space="preserve"> </w:t>
      </w:r>
      <w:r>
        <w:tab/>
      </w:r>
      <w:r w:rsidRPr="00783BAD">
        <w:t xml:space="preserve">The Australian fiscal year ends in June. For simplicity, we refer to the last year of the fiscal year, and so the 2001-02 fiscal year becomes 2002. </w:t>
      </w:r>
    </w:p>
  </w:footnote>
  <w:footnote w:id="26">
    <w:p w14:paraId="75A7B71F" w14:textId="77777777" w:rsidR="00C872C3" w:rsidRDefault="00C872C3" w:rsidP="00583308">
      <w:pPr>
        <w:pStyle w:val="FootnoteText"/>
      </w:pPr>
      <w:r w:rsidRPr="003B2681">
        <w:rPr>
          <w:rStyle w:val="FootnoteReference"/>
          <w:vertAlign w:val="baseline"/>
        </w:rPr>
        <w:footnoteRef/>
      </w:r>
      <w:r w:rsidRPr="003B2681">
        <w:t xml:space="preserve"> </w:t>
      </w:r>
      <w:r>
        <w:tab/>
        <w:t>Note the de-identified data contains no information capable of directly identifying any individual or business.</w:t>
      </w:r>
    </w:p>
  </w:footnote>
  <w:footnote w:id="27">
    <w:p w14:paraId="3E291D05" w14:textId="77777777" w:rsidR="00C872C3" w:rsidRDefault="00C872C3" w:rsidP="00583308">
      <w:pPr>
        <w:pStyle w:val="FootnoteText"/>
      </w:pPr>
      <w:r w:rsidRPr="003B2681">
        <w:rPr>
          <w:rStyle w:val="FootnoteReference"/>
          <w:vertAlign w:val="baseline"/>
        </w:rPr>
        <w:footnoteRef/>
      </w:r>
      <w:r>
        <w:t xml:space="preserve"> </w:t>
      </w:r>
      <w:r>
        <w:tab/>
      </w:r>
      <w:r w:rsidRPr="00BF4B57">
        <w:t xml:space="preserve">Note that to make our regressions more tractable, we limit each individual to their main income source for the year. In the (rare) event of a tie, we use random assignment. </w:t>
      </w:r>
    </w:p>
  </w:footnote>
  <w:footnote w:id="28">
    <w:p w14:paraId="4A4B0CED" w14:textId="77777777" w:rsidR="00C872C3" w:rsidRDefault="00C872C3" w:rsidP="00583308">
      <w:pPr>
        <w:pStyle w:val="FootnoteText"/>
      </w:pPr>
      <w:r w:rsidRPr="003B2681">
        <w:rPr>
          <w:rStyle w:val="FootnoteReference"/>
          <w:vertAlign w:val="baseline"/>
        </w:rPr>
        <w:footnoteRef/>
      </w:r>
      <w:r w:rsidRPr="003B2681">
        <w:t xml:space="preserve"> </w:t>
      </w:r>
      <w:r>
        <w:tab/>
      </w:r>
      <w:r w:rsidRPr="0005200B">
        <w:t xml:space="preserve">AENA is obtained by dividing total compensation of employees by the total number of employees (see introduction to ABS catalogue number 6105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1B138" w14:textId="77777777" w:rsidR="00C872C3" w:rsidRDefault="007776AC">
    <w:pPr>
      <w:pStyle w:val="Header"/>
    </w:pPr>
    <w:r>
      <w:rPr>
        <w:noProof/>
      </w:rPr>
      <w:pict w14:anchorId="2D8D9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736085" o:spid="_x0000_s77850" type="#_x0000_t136" style="position:absolute;left:0;text-align:left;margin-left:0;margin-top:0;width:409.65pt;height:245.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43ED" w14:textId="77777777" w:rsidR="00C872C3" w:rsidRDefault="00C872C3">
    <w:pPr>
      <w:pStyle w:val="Header"/>
    </w:pPr>
    <w:r>
      <w:rPr>
        <w:noProof/>
        <w:lang w:eastAsia="en-AU"/>
      </w:rPr>
      <w:drawing>
        <wp:anchor distT="0" distB="0" distL="114300" distR="114300" simplePos="0" relativeHeight="251657216" behindDoc="1" locked="0" layoutInCell="1" allowOverlap="1" wp14:anchorId="2B91FC79" wp14:editId="1A8F87CC">
          <wp:simplePos x="0" y="0"/>
          <wp:positionH relativeFrom="page">
            <wp:align>center</wp:align>
          </wp:positionH>
          <wp:positionV relativeFrom="page">
            <wp:posOffset>180340</wp:posOffset>
          </wp:positionV>
          <wp:extent cx="7200000" cy="1000800"/>
          <wp:effectExtent l="0" t="0" r="127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46B9" w14:textId="77777777" w:rsidR="00C872C3" w:rsidRDefault="00C8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120C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5055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27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5CAC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9802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E18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8F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6AD7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666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5043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1"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CC4E5D"/>
    <w:multiLevelType w:val="multilevel"/>
    <w:tmpl w:val="D10E9CF6"/>
    <w:numStyleLink w:val="OneLevelList"/>
  </w:abstractNum>
  <w:abstractNum w:abstractNumId="15"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3"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45B0A7E"/>
    <w:multiLevelType w:val="multilevel"/>
    <w:tmpl w:val="EDEE4FB6"/>
    <w:numStyleLink w:val="RecommendationBulletList"/>
  </w:abstractNum>
  <w:abstractNum w:abstractNumId="25"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0D2021"/>
    <w:multiLevelType w:val="multilevel"/>
    <w:tmpl w:val="72F8140E"/>
    <w:numStyleLink w:val="OutlineList"/>
  </w:abstractNum>
  <w:abstractNum w:abstractNumId="27"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F73129"/>
    <w:multiLevelType w:val="multilevel"/>
    <w:tmpl w:val="D9A8A212"/>
    <w:numStyleLink w:val="RomanNumeralList"/>
  </w:abstractNum>
  <w:abstractNum w:abstractNumId="29"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0" w15:restartNumberingAfterBreak="0">
    <w:nsid w:val="6A5F7B24"/>
    <w:multiLevelType w:val="multilevel"/>
    <w:tmpl w:val="2090AC60"/>
    <w:lvl w:ilvl="0">
      <w:start w:val="1"/>
      <w:numFmt w:val="decimal"/>
      <w:lvlRestart w:val="0"/>
      <w:pStyle w:val="Heading2"/>
      <w:lvlText w:val="%1."/>
      <w:lvlJc w:val="left"/>
      <w:pPr>
        <w:tabs>
          <w:tab w:val="num" w:pos="10064"/>
        </w:tabs>
        <w:ind w:left="9214"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1"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1"/>
  </w:num>
  <w:num w:numId="3">
    <w:abstractNumId w:val="25"/>
  </w:num>
  <w:num w:numId="4">
    <w:abstractNumId w:val="21"/>
  </w:num>
  <w:num w:numId="5">
    <w:abstractNumId w:val="13"/>
  </w:num>
  <w:num w:numId="6">
    <w:abstractNumId w:val="15"/>
  </w:num>
  <w:num w:numId="7">
    <w:abstractNumId w:val="12"/>
  </w:num>
  <w:num w:numId="8">
    <w:abstractNumId w:val="14"/>
  </w:num>
  <w:num w:numId="9">
    <w:abstractNumId w:val="26"/>
  </w:num>
  <w:num w:numId="10">
    <w:abstractNumId w:val="24"/>
  </w:num>
  <w:num w:numId="11">
    <w:abstractNumId w:val="28"/>
  </w:num>
  <w:num w:numId="12">
    <w:abstractNumId w:val="20"/>
  </w:num>
  <w:num w:numId="13">
    <w:abstractNumId w:val="27"/>
  </w:num>
  <w:num w:numId="14">
    <w:abstractNumId w:val="16"/>
  </w:num>
  <w:num w:numId="15">
    <w:abstractNumId w:val="16"/>
  </w:num>
  <w:num w:numId="16">
    <w:abstractNumId w:val="23"/>
  </w:num>
  <w:num w:numId="17">
    <w:abstractNumId w:val="10"/>
  </w:num>
  <w:num w:numId="18">
    <w:abstractNumId w:val="29"/>
  </w:num>
  <w:num w:numId="19">
    <w:abstractNumId w:val="18"/>
  </w:num>
  <w:num w:numId="20">
    <w:abstractNumId w:val="22"/>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77851"/>
    <o:shapelayout v:ext="edit">
      <o:idmap v:ext="edit" data="76"/>
    </o:shapelayout>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CB52BA"/>
    <w:rsid w:val="00003ACD"/>
    <w:rsid w:val="00007CDE"/>
    <w:rsid w:val="00011037"/>
    <w:rsid w:val="00011DD9"/>
    <w:rsid w:val="00011FBF"/>
    <w:rsid w:val="00012094"/>
    <w:rsid w:val="00013813"/>
    <w:rsid w:val="00015308"/>
    <w:rsid w:val="00016355"/>
    <w:rsid w:val="000167A9"/>
    <w:rsid w:val="000226F0"/>
    <w:rsid w:val="000255D5"/>
    <w:rsid w:val="00025DCE"/>
    <w:rsid w:val="00026ECA"/>
    <w:rsid w:val="00033B25"/>
    <w:rsid w:val="000347F8"/>
    <w:rsid w:val="0003649D"/>
    <w:rsid w:val="00041370"/>
    <w:rsid w:val="00043A21"/>
    <w:rsid w:val="00044525"/>
    <w:rsid w:val="000464B6"/>
    <w:rsid w:val="000469BC"/>
    <w:rsid w:val="000510FB"/>
    <w:rsid w:val="000517E4"/>
    <w:rsid w:val="00051C46"/>
    <w:rsid w:val="0005200B"/>
    <w:rsid w:val="00055864"/>
    <w:rsid w:val="00056CB9"/>
    <w:rsid w:val="000618C9"/>
    <w:rsid w:val="000622B2"/>
    <w:rsid w:val="00066DFF"/>
    <w:rsid w:val="00070E00"/>
    <w:rsid w:val="00077D52"/>
    <w:rsid w:val="000801CC"/>
    <w:rsid w:val="0008524F"/>
    <w:rsid w:val="00086882"/>
    <w:rsid w:val="00091054"/>
    <w:rsid w:val="00095C3F"/>
    <w:rsid w:val="0009656C"/>
    <w:rsid w:val="00096CC3"/>
    <w:rsid w:val="000A5C8B"/>
    <w:rsid w:val="000A78CE"/>
    <w:rsid w:val="000B5AAD"/>
    <w:rsid w:val="000C1341"/>
    <w:rsid w:val="000D123E"/>
    <w:rsid w:val="000D4DD6"/>
    <w:rsid w:val="000E1256"/>
    <w:rsid w:val="000E37AD"/>
    <w:rsid w:val="000E3B88"/>
    <w:rsid w:val="000E3D5A"/>
    <w:rsid w:val="000F64FB"/>
    <w:rsid w:val="0010021B"/>
    <w:rsid w:val="0010166B"/>
    <w:rsid w:val="001033D4"/>
    <w:rsid w:val="001133AA"/>
    <w:rsid w:val="001139C6"/>
    <w:rsid w:val="00114CAB"/>
    <w:rsid w:val="0011762D"/>
    <w:rsid w:val="00120187"/>
    <w:rsid w:val="001238C7"/>
    <w:rsid w:val="0012531D"/>
    <w:rsid w:val="0012567E"/>
    <w:rsid w:val="00125FF1"/>
    <w:rsid w:val="001264B0"/>
    <w:rsid w:val="001279C4"/>
    <w:rsid w:val="00130599"/>
    <w:rsid w:val="001346F1"/>
    <w:rsid w:val="00134741"/>
    <w:rsid w:val="00136070"/>
    <w:rsid w:val="001363DB"/>
    <w:rsid w:val="00136589"/>
    <w:rsid w:val="001402CD"/>
    <w:rsid w:val="00143E67"/>
    <w:rsid w:val="00143EC5"/>
    <w:rsid w:val="001469EE"/>
    <w:rsid w:val="00147046"/>
    <w:rsid w:val="00150E0C"/>
    <w:rsid w:val="00151591"/>
    <w:rsid w:val="00152836"/>
    <w:rsid w:val="00154411"/>
    <w:rsid w:val="00155199"/>
    <w:rsid w:val="00162E84"/>
    <w:rsid w:val="0016446D"/>
    <w:rsid w:val="001667C2"/>
    <w:rsid w:val="00166C49"/>
    <w:rsid w:val="00167F31"/>
    <w:rsid w:val="00173E16"/>
    <w:rsid w:val="001759E9"/>
    <w:rsid w:val="00176B04"/>
    <w:rsid w:val="00177F13"/>
    <w:rsid w:val="00180BF6"/>
    <w:rsid w:val="001850B5"/>
    <w:rsid w:val="001850D4"/>
    <w:rsid w:val="00185487"/>
    <w:rsid w:val="0019079B"/>
    <w:rsid w:val="00190FDD"/>
    <w:rsid w:val="001910DD"/>
    <w:rsid w:val="00191696"/>
    <w:rsid w:val="00192398"/>
    <w:rsid w:val="00197936"/>
    <w:rsid w:val="001A1264"/>
    <w:rsid w:val="001A2703"/>
    <w:rsid w:val="001A420D"/>
    <w:rsid w:val="001A5C5D"/>
    <w:rsid w:val="001A743E"/>
    <w:rsid w:val="001B12AE"/>
    <w:rsid w:val="001B1F47"/>
    <w:rsid w:val="001B48D7"/>
    <w:rsid w:val="001B5435"/>
    <w:rsid w:val="001B6E85"/>
    <w:rsid w:val="001B721D"/>
    <w:rsid w:val="001B7972"/>
    <w:rsid w:val="001C00A5"/>
    <w:rsid w:val="001C06AD"/>
    <w:rsid w:val="001C2800"/>
    <w:rsid w:val="001C3323"/>
    <w:rsid w:val="001C4B2D"/>
    <w:rsid w:val="001C6379"/>
    <w:rsid w:val="001D03E9"/>
    <w:rsid w:val="001D1566"/>
    <w:rsid w:val="001D2588"/>
    <w:rsid w:val="001D317D"/>
    <w:rsid w:val="001D51AF"/>
    <w:rsid w:val="001E0EB0"/>
    <w:rsid w:val="001E1D66"/>
    <w:rsid w:val="001E3346"/>
    <w:rsid w:val="001E428A"/>
    <w:rsid w:val="001E664D"/>
    <w:rsid w:val="001F2B22"/>
    <w:rsid w:val="001F33E6"/>
    <w:rsid w:val="001F5409"/>
    <w:rsid w:val="001F7832"/>
    <w:rsid w:val="0020065B"/>
    <w:rsid w:val="00200CF4"/>
    <w:rsid w:val="002015AB"/>
    <w:rsid w:val="00206635"/>
    <w:rsid w:val="00211545"/>
    <w:rsid w:val="00221CD0"/>
    <w:rsid w:val="00224180"/>
    <w:rsid w:val="0022450D"/>
    <w:rsid w:val="002249D2"/>
    <w:rsid w:val="00226481"/>
    <w:rsid w:val="002271BB"/>
    <w:rsid w:val="0022751B"/>
    <w:rsid w:val="00230FE6"/>
    <w:rsid w:val="002330AC"/>
    <w:rsid w:val="00233BE9"/>
    <w:rsid w:val="00236D08"/>
    <w:rsid w:val="00243A19"/>
    <w:rsid w:val="002441DB"/>
    <w:rsid w:val="002473C7"/>
    <w:rsid w:val="00250921"/>
    <w:rsid w:val="00250EC6"/>
    <w:rsid w:val="00251435"/>
    <w:rsid w:val="0025653A"/>
    <w:rsid w:val="00257A2D"/>
    <w:rsid w:val="00260FC9"/>
    <w:rsid w:val="00263834"/>
    <w:rsid w:val="0026560F"/>
    <w:rsid w:val="002670F6"/>
    <w:rsid w:val="0027188E"/>
    <w:rsid w:val="0027226F"/>
    <w:rsid w:val="002768B3"/>
    <w:rsid w:val="00280D28"/>
    <w:rsid w:val="00280FDB"/>
    <w:rsid w:val="0028468C"/>
    <w:rsid w:val="002863E3"/>
    <w:rsid w:val="00291937"/>
    <w:rsid w:val="00291BEB"/>
    <w:rsid w:val="002941EE"/>
    <w:rsid w:val="00294B4F"/>
    <w:rsid w:val="00296592"/>
    <w:rsid w:val="002968FC"/>
    <w:rsid w:val="0029719F"/>
    <w:rsid w:val="00297C46"/>
    <w:rsid w:val="002A1905"/>
    <w:rsid w:val="002B3C37"/>
    <w:rsid w:val="002B3DB5"/>
    <w:rsid w:val="002B53E2"/>
    <w:rsid w:val="002B7BDD"/>
    <w:rsid w:val="002C3075"/>
    <w:rsid w:val="002C3379"/>
    <w:rsid w:val="002C5398"/>
    <w:rsid w:val="002C57C7"/>
    <w:rsid w:val="002D316D"/>
    <w:rsid w:val="002D6BB6"/>
    <w:rsid w:val="002D7DDF"/>
    <w:rsid w:val="002E4C6E"/>
    <w:rsid w:val="002E5F5C"/>
    <w:rsid w:val="002E7527"/>
    <w:rsid w:val="002E7BDD"/>
    <w:rsid w:val="002F2C00"/>
    <w:rsid w:val="002F3DFC"/>
    <w:rsid w:val="002F5EDF"/>
    <w:rsid w:val="002F73DF"/>
    <w:rsid w:val="00300D8B"/>
    <w:rsid w:val="00301A52"/>
    <w:rsid w:val="00305713"/>
    <w:rsid w:val="00305AA0"/>
    <w:rsid w:val="00307A3B"/>
    <w:rsid w:val="00312A61"/>
    <w:rsid w:val="0031641B"/>
    <w:rsid w:val="00321626"/>
    <w:rsid w:val="003226EA"/>
    <w:rsid w:val="00323530"/>
    <w:rsid w:val="00324857"/>
    <w:rsid w:val="00327438"/>
    <w:rsid w:val="00327CFB"/>
    <w:rsid w:val="003310CE"/>
    <w:rsid w:val="003326C6"/>
    <w:rsid w:val="00332B1D"/>
    <w:rsid w:val="00334335"/>
    <w:rsid w:val="00337BCF"/>
    <w:rsid w:val="003406DF"/>
    <w:rsid w:val="003431D3"/>
    <w:rsid w:val="00344E41"/>
    <w:rsid w:val="003472B0"/>
    <w:rsid w:val="00350F01"/>
    <w:rsid w:val="00353111"/>
    <w:rsid w:val="00353D7B"/>
    <w:rsid w:val="0035420F"/>
    <w:rsid w:val="0035498A"/>
    <w:rsid w:val="00356C6B"/>
    <w:rsid w:val="00356C87"/>
    <w:rsid w:val="003641BA"/>
    <w:rsid w:val="00365C6D"/>
    <w:rsid w:val="00366C0C"/>
    <w:rsid w:val="00371238"/>
    <w:rsid w:val="003714F0"/>
    <w:rsid w:val="00376E76"/>
    <w:rsid w:val="0038008C"/>
    <w:rsid w:val="003809EA"/>
    <w:rsid w:val="0038456F"/>
    <w:rsid w:val="00390529"/>
    <w:rsid w:val="0039201C"/>
    <w:rsid w:val="00392B16"/>
    <w:rsid w:val="0039651E"/>
    <w:rsid w:val="00396F25"/>
    <w:rsid w:val="003A1084"/>
    <w:rsid w:val="003A1A88"/>
    <w:rsid w:val="003B01EF"/>
    <w:rsid w:val="003B0501"/>
    <w:rsid w:val="003B1EC2"/>
    <w:rsid w:val="003B2681"/>
    <w:rsid w:val="003C0335"/>
    <w:rsid w:val="003C18CE"/>
    <w:rsid w:val="003C195D"/>
    <w:rsid w:val="003C36A2"/>
    <w:rsid w:val="003C720F"/>
    <w:rsid w:val="003D27B3"/>
    <w:rsid w:val="003D296C"/>
    <w:rsid w:val="003D3DC9"/>
    <w:rsid w:val="003D5B85"/>
    <w:rsid w:val="003D5EB1"/>
    <w:rsid w:val="003E0E7B"/>
    <w:rsid w:val="003E3374"/>
    <w:rsid w:val="003E586A"/>
    <w:rsid w:val="003E6B90"/>
    <w:rsid w:val="00400233"/>
    <w:rsid w:val="00401780"/>
    <w:rsid w:val="0040319B"/>
    <w:rsid w:val="00403B38"/>
    <w:rsid w:val="00405515"/>
    <w:rsid w:val="00406016"/>
    <w:rsid w:val="0041176F"/>
    <w:rsid w:val="0041286C"/>
    <w:rsid w:val="00413E3A"/>
    <w:rsid w:val="00416E7C"/>
    <w:rsid w:val="0042162A"/>
    <w:rsid w:val="00421B9A"/>
    <w:rsid w:val="004224FB"/>
    <w:rsid w:val="00423649"/>
    <w:rsid w:val="00423B8F"/>
    <w:rsid w:val="00426BC2"/>
    <w:rsid w:val="00426CC1"/>
    <w:rsid w:val="004353B1"/>
    <w:rsid w:val="00435786"/>
    <w:rsid w:val="004370F4"/>
    <w:rsid w:val="0044158D"/>
    <w:rsid w:val="00442CB9"/>
    <w:rsid w:val="00443D27"/>
    <w:rsid w:val="004443F7"/>
    <w:rsid w:val="0045791C"/>
    <w:rsid w:val="00457AC1"/>
    <w:rsid w:val="00460338"/>
    <w:rsid w:val="00460A29"/>
    <w:rsid w:val="00460C65"/>
    <w:rsid w:val="004643A2"/>
    <w:rsid w:val="004644F0"/>
    <w:rsid w:val="00465222"/>
    <w:rsid w:val="00465CD7"/>
    <w:rsid w:val="004724A4"/>
    <w:rsid w:val="00473AC2"/>
    <w:rsid w:val="00473D3B"/>
    <w:rsid w:val="0047536E"/>
    <w:rsid w:val="004768F2"/>
    <w:rsid w:val="00480B37"/>
    <w:rsid w:val="00482933"/>
    <w:rsid w:val="00482F4E"/>
    <w:rsid w:val="004839F9"/>
    <w:rsid w:val="00484F02"/>
    <w:rsid w:val="004942A1"/>
    <w:rsid w:val="00494DE6"/>
    <w:rsid w:val="00496BF2"/>
    <w:rsid w:val="004A0530"/>
    <w:rsid w:val="004A06CB"/>
    <w:rsid w:val="004A12FA"/>
    <w:rsid w:val="004A1414"/>
    <w:rsid w:val="004A347F"/>
    <w:rsid w:val="004A602C"/>
    <w:rsid w:val="004A6117"/>
    <w:rsid w:val="004B07A5"/>
    <w:rsid w:val="004B1403"/>
    <w:rsid w:val="004B357B"/>
    <w:rsid w:val="004C167F"/>
    <w:rsid w:val="004C2440"/>
    <w:rsid w:val="004C30DA"/>
    <w:rsid w:val="004C4D33"/>
    <w:rsid w:val="004C5B76"/>
    <w:rsid w:val="004C7B7F"/>
    <w:rsid w:val="004D36D4"/>
    <w:rsid w:val="004D607B"/>
    <w:rsid w:val="004D7F6C"/>
    <w:rsid w:val="004E36C3"/>
    <w:rsid w:val="004E3A4B"/>
    <w:rsid w:val="004E5EBB"/>
    <w:rsid w:val="004E72D2"/>
    <w:rsid w:val="004F0739"/>
    <w:rsid w:val="004F0DC7"/>
    <w:rsid w:val="004F28E4"/>
    <w:rsid w:val="004F34D1"/>
    <w:rsid w:val="004F3523"/>
    <w:rsid w:val="004F3DF0"/>
    <w:rsid w:val="004F4B93"/>
    <w:rsid w:val="004F4EE7"/>
    <w:rsid w:val="0050015C"/>
    <w:rsid w:val="005005DC"/>
    <w:rsid w:val="00500704"/>
    <w:rsid w:val="005045F7"/>
    <w:rsid w:val="00507313"/>
    <w:rsid w:val="0051251F"/>
    <w:rsid w:val="00512DC9"/>
    <w:rsid w:val="005130C5"/>
    <w:rsid w:val="00516FD7"/>
    <w:rsid w:val="0052144A"/>
    <w:rsid w:val="00522312"/>
    <w:rsid w:val="00526DF9"/>
    <w:rsid w:val="00531D4F"/>
    <w:rsid w:val="0053457F"/>
    <w:rsid w:val="00535979"/>
    <w:rsid w:val="00535FC5"/>
    <w:rsid w:val="00541D00"/>
    <w:rsid w:val="00547D4C"/>
    <w:rsid w:val="00551406"/>
    <w:rsid w:val="005538C5"/>
    <w:rsid w:val="005558F4"/>
    <w:rsid w:val="00555B0A"/>
    <w:rsid w:val="00557D36"/>
    <w:rsid w:val="00562EFB"/>
    <w:rsid w:val="0056355F"/>
    <w:rsid w:val="005645EB"/>
    <w:rsid w:val="0057074A"/>
    <w:rsid w:val="005735AB"/>
    <w:rsid w:val="00580FBC"/>
    <w:rsid w:val="00581555"/>
    <w:rsid w:val="00581994"/>
    <w:rsid w:val="00582FB7"/>
    <w:rsid w:val="00583308"/>
    <w:rsid w:val="00583AC3"/>
    <w:rsid w:val="00586452"/>
    <w:rsid w:val="005873F1"/>
    <w:rsid w:val="00587FD0"/>
    <w:rsid w:val="005904CD"/>
    <w:rsid w:val="0059085B"/>
    <w:rsid w:val="005A1654"/>
    <w:rsid w:val="005B0854"/>
    <w:rsid w:val="005B409A"/>
    <w:rsid w:val="005B52C6"/>
    <w:rsid w:val="005B5623"/>
    <w:rsid w:val="005C034B"/>
    <w:rsid w:val="005C2153"/>
    <w:rsid w:val="005C7CED"/>
    <w:rsid w:val="005D06C6"/>
    <w:rsid w:val="005D18F6"/>
    <w:rsid w:val="005D3D5C"/>
    <w:rsid w:val="005D6D6D"/>
    <w:rsid w:val="005E15AB"/>
    <w:rsid w:val="005E3596"/>
    <w:rsid w:val="005E50DB"/>
    <w:rsid w:val="005F0CB8"/>
    <w:rsid w:val="005F100C"/>
    <w:rsid w:val="005F32AB"/>
    <w:rsid w:val="005F3390"/>
    <w:rsid w:val="005F5653"/>
    <w:rsid w:val="005F66EC"/>
    <w:rsid w:val="005F6EA2"/>
    <w:rsid w:val="006011B6"/>
    <w:rsid w:val="006015C2"/>
    <w:rsid w:val="00603EBE"/>
    <w:rsid w:val="00604292"/>
    <w:rsid w:val="006056D6"/>
    <w:rsid w:val="006063DC"/>
    <w:rsid w:val="00607494"/>
    <w:rsid w:val="006101DA"/>
    <w:rsid w:val="00610DA1"/>
    <w:rsid w:val="00611E99"/>
    <w:rsid w:val="00613EC6"/>
    <w:rsid w:val="00614BAC"/>
    <w:rsid w:val="006207CD"/>
    <w:rsid w:val="00621E02"/>
    <w:rsid w:val="00622AA6"/>
    <w:rsid w:val="00623AC8"/>
    <w:rsid w:val="00624485"/>
    <w:rsid w:val="00627413"/>
    <w:rsid w:val="00632CA0"/>
    <w:rsid w:val="00634056"/>
    <w:rsid w:val="00634538"/>
    <w:rsid w:val="006349E6"/>
    <w:rsid w:val="0064421B"/>
    <w:rsid w:val="006457CC"/>
    <w:rsid w:val="00645EA1"/>
    <w:rsid w:val="00651396"/>
    <w:rsid w:val="00657839"/>
    <w:rsid w:val="00661C7A"/>
    <w:rsid w:val="0066506F"/>
    <w:rsid w:val="00672387"/>
    <w:rsid w:val="00672500"/>
    <w:rsid w:val="00676A1F"/>
    <w:rsid w:val="00676B7F"/>
    <w:rsid w:val="0067754D"/>
    <w:rsid w:val="006824BB"/>
    <w:rsid w:val="00682E2C"/>
    <w:rsid w:val="00683128"/>
    <w:rsid w:val="00685725"/>
    <w:rsid w:val="00685945"/>
    <w:rsid w:val="00692514"/>
    <w:rsid w:val="00692B85"/>
    <w:rsid w:val="0069465E"/>
    <w:rsid w:val="00694A4F"/>
    <w:rsid w:val="00695C01"/>
    <w:rsid w:val="0069740C"/>
    <w:rsid w:val="006A080F"/>
    <w:rsid w:val="006A107A"/>
    <w:rsid w:val="006A1BA9"/>
    <w:rsid w:val="006A30A5"/>
    <w:rsid w:val="006B2766"/>
    <w:rsid w:val="006B4873"/>
    <w:rsid w:val="006B5DF8"/>
    <w:rsid w:val="006B6712"/>
    <w:rsid w:val="006D05BB"/>
    <w:rsid w:val="006D1EF6"/>
    <w:rsid w:val="006D2611"/>
    <w:rsid w:val="006D6023"/>
    <w:rsid w:val="006D7A02"/>
    <w:rsid w:val="006D7B44"/>
    <w:rsid w:val="006E35D4"/>
    <w:rsid w:val="006E4318"/>
    <w:rsid w:val="006E5A30"/>
    <w:rsid w:val="006E6921"/>
    <w:rsid w:val="006F1BE9"/>
    <w:rsid w:val="006F2845"/>
    <w:rsid w:val="006F3E0E"/>
    <w:rsid w:val="006F4473"/>
    <w:rsid w:val="006F4F21"/>
    <w:rsid w:val="006F5512"/>
    <w:rsid w:val="006F5DA3"/>
    <w:rsid w:val="006F7544"/>
    <w:rsid w:val="00700D8A"/>
    <w:rsid w:val="00701C73"/>
    <w:rsid w:val="007039A2"/>
    <w:rsid w:val="00704089"/>
    <w:rsid w:val="00711F46"/>
    <w:rsid w:val="00713991"/>
    <w:rsid w:val="00714153"/>
    <w:rsid w:val="007143DA"/>
    <w:rsid w:val="00720070"/>
    <w:rsid w:val="0072015B"/>
    <w:rsid w:val="00721F95"/>
    <w:rsid w:val="00723AB4"/>
    <w:rsid w:val="007246CE"/>
    <w:rsid w:val="00726420"/>
    <w:rsid w:val="00732406"/>
    <w:rsid w:val="007366F8"/>
    <w:rsid w:val="00742BC1"/>
    <w:rsid w:val="00746355"/>
    <w:rsid w:val="0074741D"/>
    <w:rsid w:val="00747A95"/>
    <w:rsid w:val="0075070E"/>
    <w:rsid w:val="00750938"/>
    <w:rsid w:val="007519EE"/>
    <w:rsid w:val="007526B7"/>
    <w:rsid w:val="00754A44"/>
    <w:rsid w:val="00754D81"/>
    <w:rsid w:val="00762ACA"/>
    <w:rsid w:val="00765427"/>
    <w:rsid w:val="00766C7B"/>
    <w:rsid w:val="00766E66"/>
    <w:rsid w:val="007675A5"/>
    <w:rsid w:val="00767F36"/>
    <w:rsid w:val="00772B23"/>
    <w:rsid w:val="00773BC9"/>
    <w:rsid w:val="007767A2"/>
    <w:rsid w:val="00777313"/>
    <w:rsid w:val="007776AC"/>
    <w:rsid w:val="0078304B"/>
    <w:rsid w:val="00784B66"/>
    <w:rsid w:val="007853E5"/>
    <w:rsid w:val="00790C34"/>
    <w:rsid w:val="007938DA"/>
    <w:rsid w:val="007945EA"/>
    <w:rsid w:val="007962CB"/>
    <w:rsid w:val="00796524"/>
    <w:rsid w:val="007A160E"/>
    <w:rsid w:val="007A1D4F"/>
    <w:rsid w:val="007A2ACB"/>
    <w:rsid w:val="007A605B"/>
    <w:rsid w:val="007B0C23"/>
    <w:rsid w:val="007B507D"/>
    <w:rsid w:val="007C3C59"/>
    <w:rsid w:val="007C455A"/>
    <w:rsid w:val="007C48F0"/>
    <w:rsid w:val="007C7516"/>
    <w:rsid w:val="007C77CE"/>
    <w:rsid w:val="007D3117"/>
    <w:rsid w:val="007E1601"/>
    <w:rsid w:val="007E2FE7"/>
    <w:rsid w:val="007E348E"/>
    <w:rsid w:val="007E72C8"/>
    <w:rsid w:val="007E739C"/>
    <w:rsid w:val="007F2BFE"/>
    <w:rsid w:val="007F315B"/>
    <w:rsid w:val="00803168"/>
    <w:rsid w:val="00803B2A"/>
    <w:rsid w:val="00810FFC"/>
    <w:rsid w:val="00812433"/>
    <w:rsid w:val="00812E40"/>
    <w:rsid w:val="00816AE4"/>
    <w:rsid w:val="008202C4"/>
    <w:rsid w:val="00820831"/>
    <w:rsid w:val="0082097D"/>
    <w:rsid w:val="00821787"/>
    <w:rsid w:val="008303DD"/>
    <w:rsid w:val="00833945"/>
    <w:rsid w:val="00833B77"/>
    <w:rsid w:val="00834DB4"/>
    <w:rsid w:val="00835EAF"/>
    <w:rsid w:val="00836080"/>
    <w:rsid w:val="00837D65"/>
    <w:rsid w:val="00840A36"/>
    <w:rsid w:val="00841AE2"/>
    <w:rsid w:val="00843C13"/>
    <w:rsid w:val="008456AE"/>
    <w:rsid w:val="00845A94"/>
    <w:rsid w:val="00846CF9"/>
    <w:rsid w:val="0084756F"/>
    <w:rsid w:val="0084759C"/>
    <w:rsid w:val="00850E7F"/>
    <w:rsid w:val="008527DA"/>
    <w:rsid w:val="00852966"/>
    <w:rsid w:val="00855EAE"/>
    <w:rsid w:val="00857BE4"/>
    <w:rsid w:val="008613A6"/>
    <w:rsid w:val="00861CE8"/>
    <w:rsid w:val="008627B1"/>
    <w:rsid w:val="00864D1D"/>
    <w:rsid w:val="00877888"/>
    <w:rsid w:val="00880ADB"/>
    <w:rsid w:val="00880B16"/>
    <w:rsid w:val="008847CC"/>
    <w:rsid w:val="00885D42"/>
    <w:rsid w:val="00886317"/>
    <w:rsid w:val="00886A02"/>
    <w:rsid w:val="008901A2"/>
    <w:rsid w:val="00890A86"/>
    <w:rsid w:val="00891BE8"/>
    <w:rsid w:val="00892614"/>
    <w:rsid w:val="008939B5"/>
    <w:rsid w:val="00893F2B"/>
    <w:rsid w:val="00894920"/>
    <w:rsid w:val="008A18E3"/>
    <w:rsid w:val="008A235E"/>
    <w:rsid w:val="008A2444"/>
    <w:rsid w:val="008A5160"/>
    <w:rsid w:val="008A7EDB"/>
    <w:rsid w:val="008B3FE9"/>
    <w:rsid w:val="008B538F"/>
    <w:rsid w:val="008B7A83"/>
    <w:rsid w:val="008C0793"/>
    <w:rsid w:val="008C1101"/>
    <w:rsid w:val="008C4214"/>
    <w:rsid w:val="008C43B8"/>
    <w:rsid w:val="008C46AE"/>
    <w:rsid w:val="008C5CB9"/>
    <w:rsid w:val="008D08BE"/>
    <w:rsid w:val="008D1A06"/>
    <w:rsid w:val="008D2D0A"/>
    <w:rsid w:val="008D7B0C"/>
    <w:rsid w:val="008D7D9E"/>
    <w:rsid w:val="008E0F94"/>
    <w:rsid w:val="008E461E"/>
    <w:rsid w:val="008E5A67"/>
    <w:rsid w:val="008E6D91"/>
    <w:rsid w:val="008F1ACC"/>
    <w:rsid w:val="008F373B"/>
    <w:rsid w:val="009025B0"/>
    <w:rsid w:val="0090339D"/>
    <w:rsid w:val="00912918"/>
    <w:rsid w:val="00914E4D"/>
    <w:rsid w:val="00914F51"/>
    <w:rsid w:val="009160F3"/>
    <w:rsid w:val="00917342"/>
    <w:rsid w:val="0091735D"/>
    <w:rsid w:val="00917FEA"/>
    <w:rsid w:val="00920C3F"/>
    <w:rsid w:val="00922012"/>
    <w:rsid w:val="00922A9F"/>
    <w:rsid w:val="00922BC7"/>
    <w:rsid w:val="0092354D"/>
    <w:rsid w:val="009235B5"/>
    <w:rsid w:val="00931A0D"/>
    <w:rsid w:val="009323B7"/>
    <w:rsid w:val="00936238"/>
    <w:rsid w:val="00937955"/>
    <w:rsid w:val="00937AAB"/>
    <w:rsid w:val="0094047F"/>
    <w:rsid w:val="0094052E"/>
    <w:rsid w:val="009406F4"/>
    <w:rsid w:val="00940876"/>
    <w:rsid w:val="00943B4E"/>
    <w:rsid w:val="009446F1"/>
    <w:rsid w:val="0094582A"/>
    <w:rsid w:val="009471F4"/>
    <w:rsid w:val="00947F2B"/>
    <w:rsid w:val="009523E1"/>
    <w:rsid w:val="0095562B"/>
    <w:rsid w:val="00955C7D"/>
    <w:rsid w:val="00955F84"/>
    <w:rsid w:val="00957987"/>
    <w:rsid w:val="00963FEE"/>
    <w:rsid w:val="009640AD"/>
    <w:rsid w:val="00964818"/>
    <w:rsid w:val="00966179"/>
    <w:rsid w:val="009727CE"/>
    <w:rsid w:val="0097280B"/>
    <w:rsid w:val="00972EC6"/>
    <w:rsid w:val="009757C3"/>
    <w:rsid w:val="00977A11"/>
    <w:rsid w:val="00977AA6"/>
    <w:rsid w:val="00981BF3"/>
    <w:rsid w:val="0098230B"/>
    <w:rsid w:val="00983A33"/>
    <w:rsid w:val="00985C48"/>
    <w:rsid w:val="009862D1"/>
    <w:rsid w:val="00986C3E"/>
    <w:rsid w:val="00991075"/>
    <w:rsid w:val="009918D7"/>
    <w:rsid w:val="00991B30"/>
    <w:rsid w:val="00991FE0"/>
    <w:rsid w:val="00991FE5"/>
    <w:rsid w:val="00992146"/>
    <w:rsid w:val="00994A69"/>
    <w:rsid w:val="009A3668"/>
    <w:rsid w:val="009A7471"/>
    <w:rsid w:val="009A79BE"/>
    <w:rsid w:val="009B0E2E"/>
    <w:rsid w:val="009C1116"/>
    <w:rsid w:val="009C12A2"/>
    <w:rsid w:val="009C1EF5"/>
    <w:rsid w:val="009C4392"/>
    <w:rsid w:val="009C57C2"/>
    <w:rsid w:val="009C653F"/>
    <w:rsid w:val="009C7E17"/>
    <w:rsid w:val="009D0790"/>
    <w:rsid w:val="009D7F42"/>
    <w:rsid w:val="009E2E8A"/>
    <w:rsid w:val="009E410F"/>
    <w:rsid w:val="009E5545"/>
    <w:rsid w:val="009E7E6E"/>
    <w:rsid w:val="009F12DA"/>
    <w:rsid w:val="009F2983"/>
    <w:rsid w:val="009F2CAF"/>
    <w:rsid w:val="009F48B5"/>
    <w:rsid w:val="009F5FCA"/>
    <w:rsid w:val="00A00DB1"/>
    <w:rsid w:val="00A00E1E"/>
    <w:rsid w:val="00A033AA"/>
    <w:rsid w:val="00A04D1A"/>
    <w:rsid w:val="00A116A8"/>
    <w:rsid w:val="00A11B03"/>
    <w:rsid w:val="00A12C6A"/>
    <w:rsid w:val="00A147A1"/>
    <w:rsid w:val="00A14CD9"/>
    <w:rsid w:val="00A1658C"/>
    <w:rsid w:val="00A20A7D"/>
    <w:rsid w:val="00A23AD0"/>
    <w:rsid w:val="00A2541D"/>
    <w:rsid w:val="00A2599E"/>
    <w:rsid w:val="00A311EF"/>
    <w:rsid w:val="00A314E7"/>
    <w:rsid w:val="00A32036"/>
    <w:rsid w:val="00A32E85"/>
    <w:rsid w:val="00A34243"/>
    <w:rsid w:val="00A34786"/>
    <w:rsid w:val="00A34A87"/>
    <w:rsid w:val="00A34B48"/>
    <w:rsid w:val="00A3513E"/>
    <w:rsid w:val="00A3575C"/>
    <w:rsid w:val="00A4078D"/>
    <w:rsid w:val="00A40BA2"/>
    <w:rsid w:val="00A41626"/>
    <w:rsid w:val="00A42F49"/>
    <w:rsid w:val="00A44201"/>
    <w:rsid w:val="00A537E0"/>
    <w:rsid w:val="00A53913"/>
    <w:rsid w:val="00A546E9"/>
    <w:rsid w:val="00A56EDB"/>
    <w:rsid w:val="00A57848"/>
    <w:rsid w:val="00A60B33"/>
    <w:rsid w:val="00A677E2"/>
    <w:rsid w:val="00A73C2C"/>
    <w:rsid w:val="00A7411D"/>
    <w:rsid w:val="00A756AD"/>
    <w:rsid w:val="00A758FD"/>
    <w:rsid w:val="00A75F04"/>
    <w:rsid w:val="00A82E17"/>
    <w:rsid w:val="00A85D58"/>
    <w:rsid w:val="00A85F84"/>
    <w:rsid w:val="00A8636F"/>
    <w:rsid w:val="00A91547"/>
    <w:rsid w:val="00A91DED"/>
    <w:rsid w:val="00A9572D"/>
    <w:rsid w:val="00A97AD3"/>
    <w:rsid w:val="00AA1428"/>
    <w:rsid w:val="00AA15D1"/>
    <w:rsid w:val="00AA4528"/>
    <w:rsid w:val="00AA66C7"/>
    <w:rsid w:val="00AA7208"/>
    <w:rsid w:val="00AB0139"/>
    <w:rsid w:val="00AB0E3D"/>
    <w:rsid w:val="00AB2F7B"/>
    <w:rsid w:val="00AB525B"/>
    <w:rsid w:val="00AB6783"/>
    <w:rsid w:val="00AB6B2F"/>
    <w:rsid w:val="00AC1E41"/>
    <w:rsid w:val="00AC3D6A"/>
    <w:rsid w:val="00AD13E1"/>
    <w:rsid w:val="00AD27DF"/>
    <w:rsid w:val="00AD6AD7"/>
    <w:rsid w:val="00AD7D17"/>
    <w:rsid w:val="00AE5412"/>
    <w:rsid w:val="00AE7235"/>
    <w:rsid w:val="00AE766E"/>
    <w:rsid w:val="00AF01B0"/>
    <w:rsid w:val="00AF420E"/>
    <w:rsid w:val="00AF7C5E"/>
    <w:rsid w:val="00B03C71"/>
    <w:rsid w:val="00B05607"/>
    <w:rsid w:val="00B05865"/>
    <w:rsid w:val="00B107A4"/>
    <w:rsid w:val="00B14D2D"/>
    <w:rsid w:val="00B14EF4"/>
    <w:rsid w:val="00B249AF"/>
    <w:rsid w:val="00B25045"/>
    <w:rsid w:val="00B26E7E"/>
    <w:rsid w:val="00B27A68"/>
    <w:rsid w:val="00B305F7"/>
    <w:rsid w:val="00B32294"/>
    <w:rsid w:val="00B337DA"/>
    <w:rsid w:val="00B35E37"/>
    <w:rsid w:val="00B36477"/>
    <w:rsid w:val="00B36F82"/>
    <w:rsid w:val="00B37A45"/>
    <w:rsid w:val="00B37CC9"/>
    <w:rsid w:val="00B4068A"/>
    <w:rsid w:val="00B40736"/>
    <w:rsid w:val="00B41BAB"/>
    <w:rsid w:val="00B41E60"/>
    <w:rsid w:val="00B421D1"/>
    <w:rsid w:val="00B42360"/>
    <w:rsid w:val="00B461E9"/>
    <w:rsid w:val="00B4697E"/>
    <w:rsid w:val="00B500A5"/>
    <w:rsid w:val="00B501CC"/>
    <w:rsid w:val="00B5086D"/>
    <w:rsid w:val="00B52FE8"/>
    <w:rsid w:val="00B55137"/>
    <w:rsid w:val="00B60DC7"/>
    <w:rsid w:val="00B6524B"/>
    <w:rsid w:val="00B70B38"/>
    <w:rsid w:val="00B7125F"/>
    <w:rsid w:val="00B804EF"/>
    <w:rsid w:val="00B80827"/>
    <w:rsid w:val="00B81DDA"/>
    <w:rsid w:val="00B86869"/>
    <w:rsid w:val="00B87492"/>
    <w:rsid w:val="00B876A9"/>
    <w:rsid w:val="00B90044"/>
    <w:rsid w:val="00B917E5"/>
    <w:rsid w:val="00B934FE"/>
    <w:rsid w:val="00B94408"/>
    <w:rsid w:val="00B949BD"/>
    <w:rsid w:val="00B94C99"/>
    <w:rsid w:val="00BA05DA"/>
    <w:rsid w:val="00BA160F"/>
    <w:rsid w:val="00BA2CF5"/>
    <w:rsid w:val="00BA43D7"/>
    <w:rsid w:val="00BA45E2"/>
    <w:rsid w:val="00BA4E01"/>
    <w:rsid w:val="00BA6A43"/>
    <w:rsid w:val="00BA6B31"/>
    <w:rsid w:val="00BA6BF3"/>
    <w:rsid w:val="00BA6E4A"/>
    <w:rsid w:val="00BB2310"/>
    <w:rsid w:val="00BB2C53"/>
    <w:rsid w:val="00BB3278"/>
    <w:rsid w:val="00BB5D2C"/>
    <w:rsid w:val="00BB7C14"/>
    <w:rsid w:val="00BC4734"/>
    <w:rsid w:val="00BC4ADF"/>
    <w:rsid w:val="00BC584E"/>
    <w:rsid w:val="00BC5A10"/>
    <w:rsid w:val="00BC6527"/>
    <w:rsid w:val="00BC67BC"/>
    <w:rsid w:val="00BD3591"/>
    <w:rsid w:val="00BD491D"/>
    <w:rsid w:val="00BD51E0"/>
    <w:rsid w:val="00BD5DF7"/>
    <w:rsid w:val="00BD7087"/>
    <w:rsid w:val="00BE59DB"/>
    <w:rsid w:val="00BE7C9D"/>
    <w:rsid w:val="00BF3FA5"/>
    <w:rsid w:val="00BF436D"/>
    <w:rsid w:val="00BF4B57"/>
    <w:rsid w:val="00BF5AED"/>
    <w:rsid w:val="00BF70D7"/>
    <w:rsid w:val="00C01838"/>
    <w:rsid w:val="00C06EF8"/>
    <w:rsid w:val="00C07C1F"/>
    <w:rsid w:val="00C07F94"/>
    <w:rsid w:val="00C102CB"/>
    <w:rsid w:val="00C1268D"/>
    <w:rsid w:val="00C12AF4"/>
    <w:rsid w:val="00C13525"/>
    <w:rsid w:val="00C13830"/>
    <w:rsid w:val="00C169CD"/>
    <w:rsid w:val="00C1794E"/>
    <w:rsid w:val="00C17CB8"/>
    <w:rsid w:val="00C17DA2"/>
    <w:rsid w:val="00C25EA8"/>
    <w:rsid w:val="00C26351"/>
    <w:rsid w:val="00C2726A"/>
    <w:rsid w:val="00C3122D"/>
    <w:rsid w:val="00C31341"/>
    <w:rsid w:val="00C335C1"/>
    <w:rsid w:val="00C3370B"/>
    <w:rsid w:val="00C339D1"/>
    <w:rsid w:val="00C349DE"/>
    <w:rsid w:val="00C35C74"/>
    <w:rsid w:val="00C36B44"/>
    <w:rsid w:val="00C36CA2"/>
    <w:rsid w:val="00C371F9"/>
    <w:rsid w:val="00C41BBB"/>
    <w:rsid w:val="00C46F04"/>
    <w:rsid w:val="00C53585"/>
    <w:rsid w:val="00C53DA6"/>
    <w:rsid w:val="00C569B4"/>
    <w:rsid w:val="00C60F13"/>
    <w:rsid w:val="00C614AC"/>
    <w:rsid w:val="00C63763"/>
    <w:rsid w:val="00C67AED"/>
    <w:rsid w:val="00C76E03"/>
    <w:rsid w:val="00C77595"/>
    <w:rsid w:val="00C8531E"/>
    <w:rsid w:val="00C86465"/>
    <w:rsid w:val="00C8685F"/>
    <w:rsid w:val="00C868A2"/>
    <w:rsid w:val="00C8717E"/>
    <w:rsid w:val="00C872C3"/>
    <w:rsid w:val="00C8767F"/>
    <w:rsid w:val="00C911C1"/>
    <w:rsid w:val="00C91927"/>
    <w:rsid w:val="00C927A8"/>
    <w:rsid w:val="00C944C5"/>
    <w:rsid w:val="00C974C0"/>
    <w:rsid w:val="00CA001D"/>
    <w:rsid w:val="00CA01AF"/>
    <w:rsid w:val="00CA142E"/>
    <w:rsid w:val="00CA2A02"/>
    <w:rsid w:val="00CB0D23"/>
    <w:rsid w:val="00CB1E5D"/>
    <w:rsid w:val="00CB2127"/>
    <w:rsid w:val="00CB224A"/>
    <w:rsid w:val="00CB52BA"/>
    <w:rsid w:val="00CB6AA7"/>
    <w:rsid w:val="00CB6AEC"/>
    <w:rsid w:val="00CB7264"/>
    <w:rsid w:val="00CC086B"/>
    <w:rsid w:val="00CC08E4"/>
    <w:rsid w:val="00CC1A8A"/>
    <w:rsid w:val="00CC28E2"/>
    <w:rsid w:val="00CC2FA6"/>
    <w:rsid w:val="00CC36B2"/>
    <w:rsid w:val="00CC67EF"/>
    <w:rsid w:val="00CC755F"/>
    <w:rsid w:val="00CD3341"/>
    <w:rsid w:val="00CD6F46"/>
    <w:rsid w:val="00CE023A"/>
    <w:rsid w:val="00CE207C"/>
    <w:rsid w:val="00CE2EB3"/>
    <w:rsid w:val="00CE75A8"/>
    <w:rsid w:val="00CE7E96"/>
    <w:rsid w:val="00CF0660"/>
    <w:rsid w:val="00CF20BB"/>
    <w:rsid w:val="00CF5DB8"/>
    <w:rsid w:val="00D0080C"/>
    <w:rsid w:val="00D02BBD"/>
    <w:rsid w:val="00D11517"/>
    <w:rsid w:val="00D12A6B"/>
    <w:rsid w:val="00D15F27"/>
    <w:rsid w:val="00D25144"/>
    <w:rsid w:val="00D26940"/>
    <w:rsid w:val="00D30E1A"/>
    <w:rsid w:val="00D32B9D"/>
    <w:rsid w:val="00D32CC8"/>
    <w:rsid w:val="00D4005D"/>
    <w:rsid w:val="00D408D8"/>
    <w:rsid w:val="00D41755"/>
    <w:rsid w:val="00D45320"/>
    <w:rsid w:val="00D45F03"/>
    <w:rsid w:val="00D46334"/>
    <w:rsid w:val="00D4705A"/>
    <w:rsid w:val="00D47C36"/>
    <w:rsid w:val="00D52536"/>
    <w:rsid w:val="00D5333B"/>
    <w:rsid w:val="00D5588E"/>
    <w:rsid w:val="00D57BC7"/>
    <w:rsid w:val="00D61EC8"/>
    <w:rsid w:val="00D6257B"/>
    <w:rsid w:val="00D62BFC"/>
    <w:rsid w:val="00D6493D"/>
    <w:rsid w:val="00D70526"/>
    <w:rsid w:val="00D70B6D"/>
    <w:rsid w:val="00D712D7"/>
    <w:rsid w:val="00D71E5B"/>
    <w:rsid w:val="00D7358C"/>
    <w:rsid w:val="00D75DB5"/>
    <w:rsid w:val="00D7647A"/>
    <w:rsid w:val="00D779BB"/>
    <w:rsid w:val="00D80DD3"/>
    <w:rsid w:val="00D83578"/>
    <w:rsid w:val="00D83627"/>
    <w:rsid w:val="00D865B0"/>
    <w:rsid w:val="00D90684"/>
    <w:rsid w:val="00D923F8"/>
    <w:rsid w:val="00D92AFC"/>
    <w:rsid w:val="00D939CA"/>
    <w:rsid w:val="00D96003"/>
    <w:rsid w:val="00D9610D"/>
    <w:rsid w:val="00DB0148"/>
    <w:rsid w:val="00DB1AF0"/>
    <w:rsid w:val="00DB47F9"/>
    <w:rsid w:val="00DB48FC"/>
    <w:rsid w:val="00DB7E89"/>
    <w:rsid w:val="00DC1672"/>
    <w:rsid w:val="00DC2018"/>
    <w:rsid w:val="00DC5A3D"/>
    <w:rsid w:val="00DC5BEA"/>
    <w:rsid w:val="00DC6201"/>
    <w:rsid w:val="00DC7DB8"/>
    <w:rsid w:val="00DD011E"/>
    <w:rsid w:val="00DE12FF"/>
    <w:rsid w:val="00DE2B14"/>
    <w:rsid w:val="00DE443A"/>
    <w:rsid w:val="00DE528D"/>
    <w:rsid w:val="00DE61B4"/>
    <w:rsid w:val="00DE6520"/>
    <w:rsid w:val="00DF4569"/>
    <w:rsid w:val="00DF4F94"/>
    <w:rsid w:val="00DF5C8C"/>
    <w:rsid w:val="00E007E8"/>
    <w:rsid w:val="00E05BF8"/>
    <w:rsid w:val="00E10379"/>
    <w:rsid w:val="00E13795"/>
    <w:rsid w:val="00E13B71"/>
    <w:rsid w:val="00E142FB"/>
    <w:rsid w:val="00E177C9"/>
    <w:rsid w:val="00E2425F"/>
    <w:rsid w:val="00E309AE"/>
    <w:rsid w:val="00E3218A"/>
    <w:rsid w:val="00E32665"/>
    <w:rsid w:val="00E32C5E"/>
    <w:rsid w:val="00E338A5"/>
    <w:rsid w:val="00E34AB3"/>
    <w:rsid w:val="00E44260"/>
    <w:rsid w:val="00E4617E"/>
    <w:rsid w:val="00E46BCC"/>
    <w:rsid w:val="00E5380D"/>
    <w:rsid w:val="00E54BA2"/>
    <w:rsid w:val="00E54DB4"/>
    <w:rsid w:val="00E5746E"/>
    <w:rsid w:val="00E62B21"/>
    <w:rsid w:val="00E65245"/>
    <w:rsid w:val="00E678D6"/>
    <w:rsid w:val="00E70C47"/>
    <w:rsid w:val="00E72EC7"/>
    <w:rsid w:val="00E74988"/>
    <w:rsid w:val="00E75347"/>
    <w:rsid w:val="00E75E1B"/>
    <w:rsid w:val="00E76B8A"/>
    <w:rsid w:val="00E80595"/>
    <w:rsid w:val="00E82311"/>
    <w:rsid w:val="00E82708"/>
    <w:rsid w:val="00E83C63"/>
    <w:rsid w:val="00E85BB5"/>
    <w:rsid w:val="00E87980"/>
    <w:rsid w:val="00E922CB"/>
    <w:rsid w:val="00E936B7"/>
    <w:rsid w:val="00E95272"/>
    <w:rsid w:val="00E96C21"/>
    <w:rsid w:val="00E97758"/>
    <w:rsid w:val="00EA0F8D"/>
    <w:rsid w:val="00EA1663"/>
    <w:rsid w:val="00EA2761"/>
    <w:rsid w:val="00EA2E28"/>
    <w:rsid w:val="00EA50D0"/>
    <w:rsid w:val="00EA6401"/>
    <w:rsid w:val="00EA666C"/>
    <w:rsid w:val="00EB169C"/>
    <w:rsid w:val="00EB222D"/>
    <w:rsid w:val="00EB2A8B"/>
    <w:rsid w:val="00EB758C"/>
    <w:rsid w:val="00EC1E3B"/>
    <w:rsid w:val="00EC3111"/>
    <w:rsid w:val="00EC3992"/>
    <w:rsid w:val="00EC7550"/>
    <w:rsid w:val="00ED07BA"/>
    <w:rsid w:val="00ED1766"/>
    <w:rsid w:val="00ED19D3"/>
    <w:rsid w:val="00ED7BEA"/>
    <w:rsid w:val="00EE096B"/>
    <w:rsid w:val="00EE6F94"/>
    <w:rsid w:val="00EF19A2"/>
    <w:rsid w:val="00EF3E90"/>
    <w:rsid w:val="00EF5D56"/>
    <w:rsid w:val="00F012EA"/>
    <w:rsid w:val="00F026D5"/>
    <w:rsid w:val="00F036EF"/>
    <w:rsid w:val="00F10822"/>
    <w:rsid w:val="00F11BE9"/>
    <w:rsid w:val="00F11CF3"/>
    <w:rsid w:val="00F12DE8"/>
    <w:rsid w:val="00F134A0"/>
    <w:rsid w:val="00F14F30"/>
    <w:rsid w:val="00F16F3D"/>
    <w:rsid w:val="00F263CA"/>
    <w:rsid w:val="00F264DD"/>
    <w:rsid w:val="00F26A12"/>
    <w:rsid w:val="00F3123E"/>
    <w:rsid w:val="00F31465"/>
    <w:rsid w:val="00F33A6A"/>
    <w:rsid w:val="00F36DE9"/>
    <w:rsid w:val="00F41E30"/>
    <w:rsid w:val="00F42D18"/>
    <w:rsid w:val="00F441DD"/>
    <w:rsid w:val="00F44689"/>
    <w:rsid w:val="00F469FD"/>
    <w:rsid w:val="00F51A74"/>
    <w:rsid w:val="00F535F8"/>
    <w:rsid w:val="00F56980"/>
    <w:rsid w:val="00F57D70"/>
    <w:rsid w:val="00F57DB9"/>
    <w:rsid w:val="00F60530"/>
    <w:rsid w:val="00F61FA4"/>
    <w:rsid w:val="00F62908"/>
    <w:rsid w:val="00F63837"/>
    <w:rsid w:val="00F703DE"/>
    <w:rsid w:val="00F73064"/>
    <w:rsid w:val="00F74714"/>
    <w:rsid w:val="00F77068"/>
    <w:rsid w:val="00F77D8F"/>
    <w:rsid w:val="00F77ECE"/>
    <w:rsid w:val="00F805AB"/>
    <w:rsid w:val="00F81046"/>
    <w:rsid w:val="00F83975"/>
    <w:rsid w:val="00F84259"/>
    <w:rsid w:val="00F84FD7"/>
    <w:rsid w:val="00F85A69"/>
    <w:rsid w:val="00F861BF"/>
    <w:rsid w:val="00F8675B"/>
    <w:rsid w:val="00F87048"/>
    <w:rsid w:val="00F90417"/>
    <w:rsid w:val="00F913A3"/>
    <w:rsid w:val="00F94005"/>
    <w:rsid w:val="00F96FF1"/>
    <w:rsid w:val="00FA0146"/>
    <w:rsid w:val="00FA0D2B"/>
    <w:rsid w:val="00FA5309"/>
    <w:rsid w:val="00FA67C0"/>
    <w:rsid w:val="00FB101C"/>
    <w:rsid w:val="00FB1DB1"/>
    <w:rsid w:val="00FB250B"/>
    <w:rsid w:val="00FB3FED"/>
    <w:rsid w:val="00FB5122"/>
    <w:rsid w:val="00FB59AE"/>
    <w:rsid w:val="00FB694B"/>
    <w:rsid w:val="00FC402A"/>
    <w:rsid w:val="00FC4291"/>
    <w:rsid w:val="00FC5610"/>
    <w:rsid w:val="00FD1060"/>
    <w:rsid w:val="00FD27A6"/>
    <w:rsid w:val="00FD4F3D"/>
    <w:rsid w:val="00FD5B06"/>
    <w:rsid w:val="00FE727F"/>
    <w:rsid w:val="00FF4FD6"/>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51"/>
    <o:shapelayout v:ext="edit">
      <o:idmap v:ext="edit" data="1"/>
    </o:shapelayout>
  </w:shapeDefaults>
  <w:decimalSymbol w:val="."/>
  <w:listSeparator w:val=","/>
  <w14:docId w14:val="30BD4E15"/>
  <w15:docId w15:val="{E5054D47-D763-4AED-AEB2-DC9BED22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98A"/>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21"/>
      </w:numPr>
      <w:tabs>
        <w:tab w:val="clear" w:pos="10064"/>
        <w:tab w:val="left" w:pos="426"/>
        <w:tab w:val="num" w:pos="3402"/>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A756AD"/>
    <w:pPr>
      <w:keepNext/>
      <w:widowControl w:val="0"/>
      <w:tabs>
        <w:tab w:val="left" w:pos="0"/>
      </w:tabs>
      <w:adjustRightInd w:val="0"/>
      <w:spacing w:before="240" w:after="240"/>
      <w:textAlignment w:val="baseline"/>
      <w:outlineLvl w:val="2"/>
    </w:pPr>
    <w:rPr>
      <w:rFonts w:eastAsia="Times New Roman" w:cstheme="minorHAnsi"/>
      <w:b/>
      <w:color w:val="002B54" w:themeColor="accent1"/>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A756AD"/>
    <w:rPr>
      <w:rFonts w:ascii="Calibri" w:eastAsia="Times New Roman" w:hAnsi="Calibri" w:cstheme="minorHAnsi"/>
      <w:b/>
      <w:color w:val="002B54" w:themeColor="accent1"/>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35498A"/>
    <w:pPr>
      <w:spacing w:after="0" w:line="240" w:lineRule="auto"/>
    </w:pPr>
    <w:rPr>
      <w:rFonts w:ascii="Arial" w:eastAsia="Times New Roman" w:hAnsi="Arial" w:cs="Times New Roman"/>
      <w:color w:val="000000"/>
      <w:sz w:val="18"/>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583308"/>
    <w:pPr>
      <w:tabs>
        <w:tab w:val="left" w:pos="567"/>
      </w:tabs>
      <w:spacing w:after="0"/>
      <w:ind w:left="567" w:hanging="567"/>
    </w:pPr>
    <w:rPr>
      <w:sz w:val="18"/>
      <w:szCs w:val="18"/>
    </w:rPr>
  </w:style>
  <w:style w:type="character" w:customStyle="1" w:styleId="FootnoteTextChar">
    <w:name w:val="Footnote Text Char"/>
    <w:basedOn w:val="DefaultParagraphFont"/>
    <w:link w:val="FootnoteText"/>
    <w:uiPriority w:val="99"/>
    <w:rsid w:val="00583308"/>
    <w:rPr>
      <w:rFonts w:ascii="Calibri" w:hAnsi="Calibri"/>
      <w:color w:val="000000" w:themeColor="text1"/>
      <w:sz w:val="18"/>
      <w:szCs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uiPriority w:val="99"/>
    <w:rsid w:val="00F73064"/>
    <w:rPr>
      <w:sz w:val="16"/>
      <w:szCs w:val="16"/>
    </w:rPr>
  </w:style>
  <w:style w:type="paragraph" w:styleId="CommentText">
    <w:name w:val="annotation text"/>
    <w:basedOn w:val="Normal"/>
    <w:link w:val="CommentTextChar"/>
    <w:uiPriority w:val="99"/>
    <w:rsid w:val="00F73064"/>
    <w:rPr>
      <w:sz w:val="20"/>
    </w:rPr>
  </w:style>
  <w:style w:type="character" w:customStyle="1" w:styleId="CommentTextChar">
    <w:name w:val="Comment Text Char"/>
    <w:basedOn w:val="DefaultParagraphFont"/>
    <w:link w:val="CommentText"/>
    <w:uiPriority w:val="99"/>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9C12A2"/>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9C12A2"/>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Revision">
    <w:name w:val="Revision"/>
    <w:hidden/>
    <w:uiPriority w:val="99"/>
    <w:semiHidden/>
    <w:rsid w:val="001D2588"/>
    <w:pPr>
      <w:spacing w:after="0" w:line="240" w:lineRule="auto"/>
    </w:pPr>
    <w:rPr>
      <w:rFonts w:ascii="Calibri" w:hAnsi="Calibri"/>
      <w:color w:val="000000" w:themeColor="text1"/>
    </w:rPr>
  </w:style>
  <w:style w:type="paragraph" w:styleId="Bibliography">
    <w:name w:val="Bibliography"/>
    <w:basedOn w:val="Normal"/>
    <w:next w:val="Normal"/>
    <w:uiPriority w:val="37"/>
    <w:semiHidden/>
    <w:unhideWhenUsed/>
    <w:rsid w:val="00F5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54372">
      <w:bodyDiv w:val="1"/>
      <w:marLeft w:val="0"/>
      <w:marRight w:val="0"/>
      <w:marTop w:val="0"/>
      <w:marBottom w:val="0"/>
      <w:divBdr>
        <w:top w:val="none" w:sz="0" w:space="0" w:color="auto"/>
        <w:left w:val="none" w:sz="0" w:space="0" w:color="auto"/>
        <w:bottom w:val="none" w:sz="0" w:space="0" w:color="auto"/>
        <w:right w:val="none" w:sz="0" w:space="0" w:color="auto"/>
      </w:divBdr>
    </w:div>
    <w:div w:id="608512736">
      <w:bodyDiv w:val="1"/>
      <w:marLeft w:val="0"/>
      <w:marRight w:val="0"/>
      <w:marTop w:val="0"/>
      <w:marBottom w:val="0"/>
      <w:divBdr>
        <w:top w:val="none" w:sz="0" w:space="0" w:color="auto"/>
        <w:left w:val="none" w:sz="0" w:space="0" w:color="auto"/>
        <w:bottom w:val="none" w:sz="0" w:space="0" w:color="auto"/>
        <w:right w:val="none" w:sz="0" w:space="0" w:color="auto"/>
      </w:divBdr>
      <w:divsChild>
        <w:div w:id="1451587603">
          <w:marLeft w:val="0"/>
          <w:marRight w:val="0"/>
          <w:marTop w:val="0"/>
          <w:marBottom w:val="0"/>
          <w:divBdr>
            <w:top w:val="none" w:sz="0" w:space="0" w:color="auto"/>
            <w:left w:val="none" w:sz="0" w:space="0" w:color="auto"/>
            <w:bottom w:val="none" w:sz="0" w:space="0" w:color="auto"/>
            <w:right w:val="none" w:sz="0" w:space="0" w:color="auto"/>
          </w:divBdr>
          <w:divsChild>
            <w:div w:id="1107774331">
              <w:marLeft w:val="0"/>
              <w:marRight w:val="0"/>
              <w:marTop w:val="0"/>
              <w:marBottom w:val="0"/>
              <w:divBdr>
                <w:top w:val="none" w:sz="0" w:space="0" w:color="auto"/>
                <w:left w:val="none" w:sz="0" w:space="0" w:color="auto"/>
                <w:bottom w:val="none" w:sz="0" w:space="0" w:color="auto"/>
                <w:right w:val="none" w:sz="0" w:space="0" w:color="auto"/>
              </w:divBdr>
              <w:divsChild>
                <w:div w:id="1882328277">
                  <w:marLeft w:val="0"/>
                  <w:marRight w:val="0"/>
                  <w:marTop w:val="0"/>
                  <w:marBottom w:val="0"/>
                  <w:divBdr>
                    <w:top w:val="single" w:sz="6" w:space="0" w:color="CCCCCC"/>
                    <w:left w:val="single" w:sz="6" w:space="0" w:color="CCCCCC"/>
                    <w:bottom w:val="single" w:sz="6" w:space="0" w:color="CCCCCC"/>
                    <w:right w:val="single" w:sz="6" w:space="0" w:color="CCCCCC"/>
                  </w:divBdr>
                  <w:divsChild>
                    <w:div w:id="509180109">
                      <w:marLeft w:val="0"/>
                      <w:marRight w:val="0"/>
                      <w:marTop w:val="0"/>
                      <w:marBottom w:val="0"/>
                      <w:divBdr>
                        <w:top w:val="none" w:sz="0" w:space="0" w:color="auto"/>
                        <w:left w:val="none" w:sz="0" w:space="0" w:color="auto"/>
                        <w:bottom w:val="none" w:sz="0" w:space="0" w:color="auto"/>
                        <w:right w:val="none" w:sz="0" w:space="0" w:color="auto"/>
                      </w:divBdr>
                      <w:divsChild>
                        <w:div w:id="315303479">
                          <w:marLeft w:val="0"/>
                          <w:marRight w:val="0"/>
                          <w:marTop w:val="0"/>
                          <w:marBottom w:val="0"/>
                          <w:divBdr>
                            <w:top w:val="none" w:sz="0" w:space="0" w:color="auto"/>
                            <w:left w:val="none" w:sz="0" w:space="0" w:color="auto"/>
                            <w:bottom w:val="none" w:sz="0" w:space="0" w:color="auto"/>
                            <w:right w:val="none" w:sz="0" w:space="0" w:color="auto"/>
                          </w:divBdr>
                          <w:divsChild>
                            <w:div w:id="1295871685">
                              <w:marLeft w:val="0"/>
                              <w:marRight w:val="0"/>
                              <w:marTop w:val="0"/>
                              <w:marBottom w:val="0"/>
                              <w:divBdr>
                                <w:top w:val="none" w:sz="0" w:space="0" w:color="auto"/>
                                <w:left w:val="none" w:sz="0" w:space="0" w:color="auto"/>
                                <w:bottom w:val="none" w:sz="0" w:space="0" w:color="auto"/>
                                <w:right w:val="none" w:sz="0" w:space="0" w:color="auto"/>
                              </w:divBdr>
                              <w:divsChild>
                                <w:div w:id="7239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062783">
      <w:bodyDiv w:val="1"/>
      <w:marLeft w:val="0"/>
      <w:marRight w:val="0"/>
      <w:marTop w:val="0"/>
      <w:marBottom w:val="0"/>
      <w:divBdr>
        <w:top w:val="none" w:sz="0" w:space="0" w:color="auto"/>
        <w:left w:val="none" w:sz="0" w:space="0" w:color="auto"/>
        <w:bottom w:val="none" w:sz="0" w:space="0" w:color="auto"/>
        <w:right w:val="none" w:sz="0" w:space="0" w:color="auto"/>
      </w:divBdr>
    </w:div>
    <w:div w:id="791484314">
      <w:bodyDiv w:val="1"/>
      <w:marLeft w:val="0"/>
      <w:marRight w:val="0"/>
      <w:marTop w:val="0"/>
      <w:marBottom w:val="0"/>
      <w:divBdr>
        <w:top w:val="none" w:sz="0" w:space="0" w:color="auto"/>
        <w:left w:val="none" w:sz="0" w:space="0" w:color="auto"/>
        <w:bottom w:val="none" w:sz="0" w:space="0" w:color="auto"/>
        <w:right w:val="none" w:sz="0" w:space="0" w:color="auto"/>
      </w:divBdr>
    </w:div>
    <w:div w:id="1101028834">
      <w:bodyDiv w:val="1"/>
      <w:marLeft w:val="0"/>
      <w:marRight w:val="0"/>
      <w:marTop w:val="0"/>
      <w:marBottom w:val="0"/>
      <w:divBdr>
        <w:top w:val="none" w:sz="0" w:space="0" w:color="auto"/>
        <w:left w:val="none" w:sz="0" w:space="0" w:color="auto"/>
        <w:bottom w:val="none" w:sz="0" w:space="0" w:color="auto"/>
        <w:right w:val="none" w:sz="0" w:space="0" w:color="auto"/>
      </w:divBdr>
    </w:div>
    <w:div w:id="1176919338">
      <w:bodyDiv w:val="1"/>
      <w:marLeft w:val="0"/>
      <w:marRight w:val="0"/>
      <w:marTop w:val="0"/>
      <w:marBottom w:val="0"/>
      <w:divBdr>
        <w:top w:val="none" w:sz="0" w:space="0" w:color="auto"/>
        <w:left w:val="none" w:sz="0" w:space="0" w:color="auto"/>
        <w:bottom w:val="none" w:sz="0" w:space="0" w:color="auto"/>
        <w:right w:val="none" w:sz="0" w:space="0" w:color="auto"/>
      </w:divBdr>
    </w:div>
    <w:div w:id="17060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creativecommons.org/licenses/by/3.0/au/deed.en" TargetMode="External"/><Relationship Id="rId26" Type="http://schemas.openxmlformats.org/officeDocument/2006/relationships/image" Target="media/image5.emf"/><Relationship Id="rId39" Type="http://schemas.openxmlformats.org/officeDocument/2006/relationships/oleObject" Target="file:///\\remus\ecd_h$\MMPD\Models\Micro%20Data\RBA\Chart%20data%20-FORMATTED.xlsx!Fig%206a!%5bChart%20data%20-FORMATTED.xlsx%5dFig%206a%20Chart%201" TargetMode="External"/><Relationship Id="rId21" Type="http://schemas.openxmlformats.org/officeDocument/2006/relationships/header" Target="header3.xm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http://tweb/sites/cssg/ped/pu/pt/2019/Treasury%20Working%20Papers/2019-04%20Wage%20Growth%20in%20Australia%20Lessons%20from%20Longitudinal%20Microdata/july%2019%20update/Chart%20data.xlsx!Figure%208!%5bChart%20data.xlsx%5dFigure%208%20Chart%201" TargetMode="External"/><Relationship Id="rId50" Type="http://schemas.openxmlformats.org/officeDocument/2006/relationships/image" Target="media/image18.emf"/><Relationship Id="rId55" Type="http://schemas.openxmlformats.org/officeDocument/2006/relationships/image" Target="media/image20.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oleObject" Target="http://tweb/sites/cssg/ped/pu/pt/2019/Treasury%20Working%20Papers/2019-04%20Wage%20Growth%20in%20Australia%20Lessons%20from%20Longitudinal%20Microdata/july%2019%20update/Chart%20data.xlsx!Fig%202%20a!%5bChart%20data.xlsx%5dFig%202%20a%20Chart%202" TargetMode="External"/><Relationship Id="rId33" Type="http://schemas.openxmlformats.org/officeDocument/2006/relationships/oleObject" Target="http://tweb/sites/cssg/ped/pu/pt/2019/Treasury%20Working%20Papers/2019-04%20Wage%20Growth%20in%20Australia%20Lessons%20from%20Longitudinal%20Microdata/july%2019%20update/Chart%20data.xlsx!Fig%204!%5bChart%20data.xlsx%5dFig%204%20Chart%201" TargetMode="External"/><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oleObject" Target="file:///\\remus\ecd_h$\MMPD\Models\Micro%20Data\RBA\Chart%20data%20-FORMATTED.xlsx!Fig%203!%5bChart%20data%20-FORMATTED.xlsx%5dFig%203%20Chart%201" TargetMode="External"/><Relationship Id="rId41" Type="http://schemas.openxmlformats.org/officeDocument/2006/relationships/oleObject" Target="file:///\\remus\ecd_h$\MMPD\Models\Micro%20Data\RBA\Chart%20data%20-FORMATTED.xlsx!Fig%206b!%5bChart%20data%20-FORMATTED.xlsx%5dFig%206b%20Chart%202" TargetMode="External"/><Relationship Id="rId54" Type="http://schemas.openxmlformats.org/officeDocument/2006/relationships/oleObject" Target="http://tweb/sites/cssg/ped/pu/pt/2019/Treasury%20Working%20Papers/2019-04%20Wage%20Growth%20in%20Australia%20Lessons%20from%20Longitudinal%20Microdata/july%2019%20update/Chart%20data.xlsx!Fig%20A1!%5bChart%20data.xlsx%5dFig%20A1%20Chart%2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9.emf"/><Relationship Id="rId37" Type="http://schemas.openxmlformats.org/officeDocument/2006/relationships/oleObject" Target="http://tweb/sites/cssg/ped/pu/pt/2019/Treasury%20Working%20Papers/2019-04%20Wage%20Growth%20in%20Australia%20Lessons%20from%20Longitudinal%20Microdata/july%2019%20update/Chart%20data.xlsx!Fig%205b!%5bChart%20data.xlsx%5dFig%205b%20Chart%201" TargetMode="External"/><Relationship Id="rId40" Type="http://schemas.openxmlformats.org/officeDocument/2006/relationships/image" Target="media/image13.emf"/><Relationship Id="rId45" Type="http://schemas.openxmlformats.org/officeDocument/2006/relationships/oleObject" Target="file:///\\remus\ecd_h$\MMPD\Models\Micro%20Data\RBA\Chart%20data%20-FORMATTED.xlsx!Fig%207b!%5bChart%20data%20-FORMATTED.xlsx%5dFig%207b%20Chart%201" TargetMode="External"/><Relationship Id="rId53" Type="http://schemas.openxmlformats.org/officeDocument/2006/relationships/image" Target="media/image19.emf"/><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oleObject" Target="http://tweb/sites/cssg/ped/pu/pt/2019/Treasury%20Working%20Papers/2019-04%20Wage%20Growth%20in%20Australia%20Lessons%20from%20Longitudinal%20Microdata/july%2019%20update/Chart%20data.xlsx!Fig%201!%5bChart%20data.xlsx%5dFig%201%20Chart%201" TargetMode="External"/><Relationship Id="rId28" Type="http://schemas.openxmlformats.org/officeDocument/2006/relationships/image" Target="media/image6.emf"/><Relationship Id="rId36" Type="http://schemas.openxmlformats.org/officeDocument/2006/relationships/image" Target="media/image11.emf"/><Relationship Id="rId49" Type="http://schemas.openxmlformats.org/officeDocument/2006/relationships/oleObject" Target="http://tweb/sites/cssg/ped/pu/pt/2019/Treasury%20Working%20Papers/2019-04%20Wage%20Growth%20in%20Australia%20Lessons%20from%20Longitudinal%20Microdata/july%2019%20update/Chart%20data.xlsx!Fig%209a!%5bChart%20data.xlsx%5dFig%209a%20Chart%202" TargetMode="External"/><Relationship Id="rId57" Type="http://schemas.openxmlformats.org/officeDocument/2006/relationships/image" Target="media/image21.emf"/><Relationship Id="rId10" Type="http://schemas.openxmlformats.org/officeDocument/2006/relationships/footnotes" Target="footnotes.xml"/><Relationship Id="rId19" Type="http://schemas.openxmlformats.org/officeDocument/2006/relationships/hyperlink" Target="http://www.pmc.gov.au/government/commonwealth-coat-arms" TargetMode="External"/><Relationship Id="rId31" Type="http://schemas.openxmlformats.org/officeDocument/2006/relationships/image" Target="media/image8.emf"/><Relationship Id="rId44" Type="http://schemas.openxmlformats.org/officeDocument/2006/relationships/image" Target="media/image15.emf"/><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oleObject" Target="file:///\\remus\ecd_h$\MMPD\Models\Micro%20Data\RBA\Chart%20data%20-FORMATTED.xlsx!Fig%202%20b!%5bChart%20data%20-FORMATTED.xlsx%5dFig%202%20b%20Chart%201" TargetMode="External"/><Relationship Id="rId30" Type="http://schemas.openxmlformats.org/officeDocument/2006/relationships/image" Target="media/image7.emf"/><Relationship Id="rId35" Type="http://schemas.openxmlformats.org/officeDocument/2006/relationships/oleObject" Target="http://tweb/sites/cssg/ped/pu/pt/2019/Treasury%20Working%20Papers/2019-04%20Wage%20Growth%20in%20Australia%20Lessons%20from%20Longitudinal%20Microdata/july%2019%20update/Chart%20data.xlsx!Fig%205a!%5bChart%20data.xlsx%5dFig%205a%20Chart%201" TargetMode="External"/><Relationship Id="rId43" Type="http://schemas.openxmlformats.org/officeDocument/2006/relationships/oleObject" Target="file:///\\remus\ecd_h$\MMPD\Models\Micro%20Data\RBA\Chart%20data%20-FORMATTED.xlsx!Fig%207a!%5bChart%20data%20-FORMATTED.xlsx%5dFig%207a%20Chart%202" TargetMode="External"/><Relationship Id="rId48" Type="http://schemas.openxmlformats.org/officeDocument/2006/relationships/image" Target="media/image17.emf"/><Relationship Id="rId56" Type="http://schemas.openxmlformats.org/officeDocument/2006/relationships/oleObject" Target="file:///\\remus\ecd_h$\MMPD\Models\Micro%20Data\RBA\Chart%20data%20-FORMATTED.xlsx!Sheet4!%5bChart%20data%20-FORMATTED.xlsx%5dSheet4%20Chart%201" TargetMode="External"/><Relationship Id="rId8" Type="http://schemas.openxmlformats.org/officeDocument/2006/relationships/settings" Target="settings.xml"/><Relationship Id="rId51" Type="http://schemas.openxmlformats.org/officeDocument/2006/relationships/oleObject" Target="file:///\\remus\ecd_h$\MMPD\Models\Micro%20Data\RBA\Chart%20data%20-FORMATTED.xlsx!Fig%209b!%5bChart%20data%20-FORMATTED.xlsx%5dFig%209b%20Chart%201"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mailto:Jonathan.Hambur@treasury.gov.au" TargetMode="External"/><Relationship Id="rId2" Type="http://schemas.openxmlformats.org/officeDocument/2006/relationships/hyperlink" Target="mailto:Nathan.Deutscher@treasury.gov.au" TargetMode="External"/><Relationship Id="rId1" Type="http://schemas.openxmlformats.org/officeDocument/2006/relationships/hyperlink" Target="mailto:Dan.Andrews@treasury.gov.au" TargetMode="External"/><Relationship Id="rId4" Type="http://schemas.openxmlformats.org/officeDocument/2006/relationships/hyperlink" Target="mailto:David.Hansell@treasury.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2019CSSG-835809292-580</_dlc_DocId>
    <TaxCatchAll xmlns="0f563589-9cf9-4143-b1eb-fb0534803d38">
      <Value>75</Value>
    </TaxCatchAll>
    <_dlc_DocIdUrl xmlns="0f563589-9cf9-4143-b1eb-fb0534803d38">
      <Url>http://tweb/sites/cssg/ped/pu/pt/_layouts/15/DocIdRedir.aspx?ID=2019CSSG-835809292-580</Url>
      <Description>2019CSSG-835809292-580</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FAAEFECF4B76B4B9E1AE4C08850A518" ma:contentTypeVersion="21207" ma:contentTypeDescription="" ma:contentTypeScope="" ma:versionID="58dfd5a30066e1711eef1dc2e8fd3908">
  <xsd:schema xmlns:xsd="http://www.w3.org/2001/XMLSchema" xmlns:xs="http://www.w3.org/2001/XMLSchema" xmlns:p="http://schemas.microsoft.com/office/2006/metadata/properties" xmlns:ns2="0f563589-9cf9-4143-b1eb-fb0534803d38" xmlns:ns3="eb47d8b7-fefc-4923-b53c-9685ba6b7210" targetNamespace="http://schemas.microsoft.com/office/2006/metadata/properties" ma:root="true" ma:fieldsID="894ff6b0f651bd4a0153d85b65cb7b64" ns2:_="" ns3:_="">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F0B8-95B2-44F7-81ED-C265961DF9B3}">
  <ds:schemaRefs>
    <ds:schemaRef ds:uri="eb47d8b7-fefc-4923-b53c-9685ba6b7210"/>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0f563589-9cf9-4143-b1eb-fb0534803d38"/>
    <ds:schemaRef ds:uri="http://www.w3.org/XML/1998/namespace"/>
  </ds:schemaRefs>
</ds:datastoreItem>
</file>

<file path=customXml/itemProps2.xml><?xml version="1.0" encoding="utf-8"?>
<ds:datastoreItem xmlns:ds="http://schemas.openxmlformats.org/officeDocument/2006/customXml" ds:itemID="{29747E4C-C6C8-4A96-9DA3-AAAE823D671E}">
  <ds:schemaRefs>
    <ds:schemaRef ds:uri="http://schemas.microsoft.com/sharepoint/events"/>
  </ds:schemaRefs>
</ds:datastoreItem>
</file>

<file path=customXml/itemProps3.xml><?xml version="1.0" encoding="utf-8"?>
<ds:datastoreItem xmlns:ds="http://schemas.openxmlformats.org/officeDocument/2006/customXml" ds:itemID="{DD749642-5BDD-45B6-911E-D73E70C9D38D}">
  <ds:schemaRefs>
    <ds:schemaRef ds:uri="http://schemas.microsoft.com/sharepoint/v3/contenttype/forms"/>
  </ds:schemaRefs>
</ds:datastoreItem>
</file>

<file path=customXml/itemProps4.xml><?xml version="1.0" encoding="utf-8"?>
<ds:datastoreItem xmlns:ds="http://schemas.openxmlformats.org/officeDocument/2006/customXml" ds:itemID="{BABF93A3-F1D9-4609-8F19-320273829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DEA71C-4D91-4AEC-8919-F2804080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14</TotalTime>
  <Pages>31</Pages>
  <Words>12070</Words>
  <Characters>68800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[Title]</vt:lpstr>
    </vt:vector>
  </TitlesOfParts>
  <Company>Australian Government - The Treasury</Company>
  <LinksUpToDate>false</LinksUpToDate>
  <CharactersWithSpaces>80709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Working paper: [subject]</dc:subject>
  <dc:creator>Hansell, David</dc:creator>
  <cp:lastModifiedBy>Hambur, Jonathan</cp:lastModifiedBy>
  <cp:revision>8</cp:revision>
  <cp:lastPrinted>2019-07-11T03:04:00Z</cp:lastPrinted>
  <dcterms:created xsi:type="dcterms:W3CDTF">2019-07-12T05:33:00Z</dcterms:created>
  <dcterms:modified xsi:type="dcterms:W3CDTF">2019-07-12T06:09:00Z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Protected</vt:lpwstr>
  </property>
  <property fmtid="{D5CDD505-2E9C-101B-9397-08002B2CF9AE}" pid="3" name="DLMSecurityClassification">
    <vt:lpwstr>Sensitive</vt:lpwstr>
  </property>
  <property fmtid="{D5CDD505-2E9C-101B-9397-08002B2CF9AE}" pid="4" name="WorkingDocStatus">
    <vt:lpwstr/>
  </property>
  <property fmtid="{D5CDD505-2E9C-101B-9397-08002B2CF9AE}" pid="5" name="Language">
    <vt:lpwstr>English</vt:lpwstr>
  </property>
  <property fmtid="{D5CDD505-2E9C-101B-9397-08002B2CF9AE}" pid="6" name="ContentTypeId">
    <vt:lpwstr>0x010100605AAC981168BE40A9BD548B81A50DF6006FAAEFECF4B76B4B9E1AE4C08850A518</vt:lpwstr>
  </property>
  <property fmtid="{D5CDD505-2E9C-101B-9397-08002B2CF9AE}" pid="7" name="RecordPoint_ActiveItemWebId">
    <vt:lpwstr>{e237d495-0881-4849-ae62-ddc8a8132df5}</vt:lpwstr>
  </property>
  <property fmtid="{D5CDD505-2E9C-101B-9397-08002B2CF9AE}" pid="8" name="RecordPoint_WorkflowType">
    <vt:lpwstr>ActiveSubmitStub</vt:lpwstr>
  </property>
  <property fmtid="{D5CDD505-2E9C-101B-9397-08002B2CF9AE}" pid="9" name="RecordPoint_ActiveItemSiteId">
    <vt:lpwstr>{de902461-0703-410e-906b-a2e3a4f5dd57}</vt:lpwstr>
  </property>
  <property fmtid="{D5CDD505-2E9C-101B-9397-08002B2CF9AE}" pid="10" name="RecordPoint_ActiveItemListId">
    <vt:lpwstr>{917c6d10-7849-4e91-b555-256976c549b5}</vt:lpwstr>
  </property>
  <property fmtid="{D5CDD505-2E9C-101B-9397-08002B2CF9AE}" pid="11" name="RecordPoint_RecordNumberSubmitted">
    <vt:lpwstr/>
  </property>
  <property fmtid="{D5CDD505-2E9C-101B-9397-08002B2CF9AE}" pid="12" name="_dlc_DocIdItemGuid">
    <vt:lpwstr>6c6ad39f-1a38-437e-9fbc-83e1834214d8</vt:lpwstr>
  </property>
  <property fmtid="{D5CDD505-2E9C-101B-9397-08002B2CF9AE}" pid="13" name="RecordPoint_ActiveItemUniqueId">
    <vt:lpwstr>{6c6ad39f-1a38-437e-9fbc-83e1834214d8}</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
  </property>
  <property fmtid="{D5CDD505-2E9C-101B-9397-08002B2CF9AE}" pid="18" name="_AdHocReviewCycleID">
    <vt:i4>1618731371</vt:i4>
  </property>
  <property fmtid="{D5CDD505-2E9C-101B-9397-08002B2CF9AE}" pid="19" name="_NewReviewCycle">
    <vt:lpwstr/>
  </property>
  <property fmtid="{D5CDD505-2E9C-101B-9397-08002B2CF9AE}" pid="20" name="_EmailSubject">
    <vt:lpwstr>Meghan's speech and working paper</vt:lpwstr>
  </property>
  <property fmtid="{D5CDD505-2E9C-101B-9397-08002B2CF9AE}" pid="21" name="_AuthorEmail">
    <vt:lpwstr>Elizabeth.McAnulty@TREASURY.GOV.AU</vt:lpwstr>
  </property>
  <property fmtid="{D5CDD505-2E9C-101B-9397-08002B2CF9AE}" pid="22" name="_AuthorEmailDisplayName">
    <vt:lpwstr>McAnulty, Elizabeth</vt:lpwstr>
  </property>
  <property fmtid="{D5CDD505-2E9C-101B-9397-08002B2CF9AE}" pid="23" name="_PreviousAdHocReviewCycleID">
    <vt:i4>-12316573</vt:i4>
  </property>
  <property fmtid="{D5CDD505-2E9C-101B-9397-08002B2CF9AE}" pid="24" name="TSYRecordClass">
    <vt:lpwstr>75;#AE-20337-Destroy 7 years after action completed|668ae28e-5138-4c7c-82db-1c8c6afc81a6</vt:lpwstr>
  </property>
</Properties>
</file>