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F55" w:rsidRPr="00620D25" w:rsidRDefault="00ED5F55" w:rsidP="00ED5F55">
      <w:pPr>
        <w:pStyle w:val="Title"/>
        <w:jc w:val="both"/>
        <w:rPr>
          <w:b/>
          <w:color w:val="auto"/>
        </w:rPr>
      </w:pPr>
      <w:bookmarkStart w:id="0" w:name="_GoBack"/>
      <w:bookmarkEnd w:id="0"/>
      <w:r>
        <w:rPr>
          <w:noProof/>
          <w:lang w:eastAsia="en-AU"/>
        </w:rPr>
        <w:drawing>
          <wp:anchor distT="0" distB="0" distL="114300" distR="114300" simplePos="0" relativeHeight="251659264" behindDoc="0" locked="0" layoutInCell="1" allowOverlap="1" wp14:anchorId="22EC9248" wp14:editId="68B4A00E">
            <wp:simplePos x="0" y="0"/>
            <wp:positionH relativeFrom="column">
              <wp:posOffset>-419735</wp:posOffset>
            </wp:positionH>
            <wp:positionV relativeFrom="paragraph">
              <wp:posOffset>-468630</wp:posOffset>
            </wp:positionV>
            <wp:extent cx="1363980" cy="86677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398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0288" behindDoc="1" locked="0" layoutInCell="1" allowOverlap="1" wp14:anchorId="746D395C" wp14:editId="1D3E7D6E">
                <wp:simplePos x="0" y="0"/>
                <wp:positionH relativeFrom="column">
                  <wp:posOffset>-443230</wp:posOffset>
                </wp:positionH>
                <wp:positionV relativeFrom="paragraph">
                  <wp:posOffset>-683260</wp:posOffset>
                </wp:positionV>
                <wp:extent cx="1400175" cy="9334500"/>
                <wp:effectExtent l="0" t="0" r="9525"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334500"/>
                        </a:xfrm>
                        <a:prstGeom prst="rect">
                          <a:avLst/>
                        </a:prstGeom>
                        <a:gradFill flip="none" rotWithShape="1">
                          <a:gsLst>
                            <a:gs pos="40000">
                              <a:srgbClr val="0000FF"/>
                            </a:gs>
                            <a:gs pos="0">
                              <a:sysClr val="windowText" lastClr="000000">
                                <a:lumMod val="75000"/>
                                <a:lumOff val="25000"/>
                              </a:sysClr>
                            </a:gs>
                          </a:gsLst>
                          <a:lin ang="162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2EA27B" id="Rectangle 38" o:spid="_x0000_s1026" style="position:absolute;margin-left:-34.9pt;margin-top:-53.8pt;width:110.25pt;height: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" fillcolor="#404040" stroked="f" strokeweight="2pt">
                <v:fill color2="blue" rotate="t" angle="180" colors="0 #404040;26214f blue" focus="100%" type="gradient"/>
                <v:path arrowok="t"/>
              </v:rect>
            </w:pict>
          </mc:Fallback>
        </mc:AlternateContent>
      </w:r>
    </w:p>
    <w:p w:rsidR="00ED5F55" w:rsidRPr="00965416" w:rsidRDefault="00ED5F55" w:rsidP="00ED5F55">
      <w:pPr>
        <w:spacing w:line="600" w:lineRule="exact"/>
        <w:jc w:val="left"/>
        <w:rPr>
          <w:rFonts w:ascii="Tahoma" w:hAnsi="Tahoma" w:cs="Tahoma"/>
          <w:color w:val="0000FF"/>
          <w:sz w:val="60"/>
          <w:szCs w:val="60"/>
        </w:rPr>
      </w:pPr>
    </w:p>
    <w:p w:rsidR="00ED5F55" w:rsidRPr="00965416" w:rsidRDefault="00ED5F55" w:rsidP="00ED5F55">
      <w:pPr>
        <w:spacing w:line="600" w:lineRule="exact"/>
        <w:jc w:val="left"/>
        <w:rPr>
          <w:rFonts w:ascii="Tahoma" w:hAnsi="Tahoma" w:cs="Tahoma"/>
          <w:color w:val="0000FF"/>
          <w:sz w:val="60"/>
          <w:szCs w:val="60"/>
        </w:rPr>
      </w:pPr>
    </w:p>
    <w:p w:rsidR="00ED5F55" w:rsidRDefault="00ED5F55" w:rsidP="00ED5F55">
      <w:pPr>
        <w:spacing w:line="600" w:lineRule="exact"/>
        <w:ind w:left="2127"/>
        <w:jc w:val="left"/>
        <w:rPr>
          <w:rFonts w:ascii="Tahoma" w:hAnsi="Tahoma" w:cs="Tahoma"/>
          <w:color w:val="0000FF"/>
          <w:sz w:val="60"/>
          <w:szCs w:val="60"/>
        </w:rPr>
      </w:pPr>
    </w:p>
    <w:p w:rsidR="00ED5F55" w:rsidRDefault="00ED5F55" w:rsidP="00ED5F55">
      <w:pPr>
        <w:spacing w:line="600" w:lineRule="exact"/>
        <w:ind w:left="2127"/>
        <w:jc w:val="left"/>
        <w:rPr>
          <w:rFonts w:ascii="Tahoma" w:hAnsi="Tahoma" w:cs="Tahoma"/>
          <w:color w:val="0000FF"/>
          <w:sz w:val="60"/>
          <w:szCs w:val="60"/>
        </w:rPr>
      </w:pPr>
    </w:p>
    <w:p w:rsidR="00ED5F55" w:rsidRPr="00965416" w:rsidRDefault="00ED5F55" w:rsidP="00ED5F55">
      <w:pPr>
        <w:spacing w:line="600" w:lineRule="exact"/>
        <w:ind w:left="2127"/>
        <w:jc w:val="left"/>
        <w:rPr>
          <w:rFonts w:ascii="Tahoma" w:hAnsi="Tahoma" w:cs="Tahoma"/>
          <w:color w:val="0000FF"/>
          <w:sz w:val="60"/>
          <w:szCs w:val="60"/>
        </w:rPr>
      </w:pPr>
      <w:r w:rsidRPr="00965416">
        <w:rPr>
          <w:rFonts w:ascii="Tahoma" w:hAnsi="Tahoma" w:cs="Tahoma"/>
          <w:color w:val="0000FF"/>
          <w:sz w:val="60"/>
          <w:szCs w:val="60"/>
        </w:rPr>
        <w:t>JOINT ECONOMIC FORECASTING GROUP REPORT</w:t>
      </w:r>
    </w:p>
    <w:p w:rsidR="00ED5F55" w:rsidRPr="008302A5" w:rsidRDefault="00ED5F55" w:rsidP="00ED5F55">
      <w:pPr>
        <w:ind w:left="2127"/>
        <w:jc w:val="right"/>
        <w:rPr>
          <w:rFonts w:ascii="Calibri" w:hAnsi="Calibri" w:cs="Arial"/>
          <w:b/>
          <w:color w:val="0000FF"/>
          <w:sz w:val="22"/>
          <w:szCs w:val="22"/>
        </w:rPr>
      </w:pP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0000FF"/>
          <w:sz w:val="40"/>
          <w:szCs w:val="40"/>
        </w:rPr>
      </w:pPr>
      <w:r w:rsidRPr="008302A5">
        <w:rPr>
          <w:rFonts w:ascii="Calibri" w:hAnsi="Calibri" w:cs="Arial"/>
          <w:color w:val="0000FF"/>
          <w:sz w:val="40"/>
          <w:szCs w:val="40"/>
        </w:rPr>
        <w:t xml:space="preserve">ECONOMIC OUTLOOK FOR </w:t>
      </w:r>
      <w:r w:rsidRPr="008302A5">
        <w:rPr>
          <w:rFonts w:ascii="Calibri" w:hAnsi="Calibri" w:cs="Arial"/>
          <w:color w:val="0000FF"/>
          <w:sz w:val="40"/>
          <w:szCs w:val="40"/>
        </w:rPr>
        <w:br/>
      </w:r>
      <w:r>
        <w:rPr>
          <w:rFonts w:ascii="Calibri" w:hAnsi="Calibri" w:cs="Arial"/>
          <w:color w:val="0000FF"/>
          <w:sz w:val="40"/>
          <w:szCs w:val="40"/>
        </w:rPr>
        <w:t>201</w:t>
      </w:r>
      <w:r w:rsidR="00EE1F75">
        <w:rPr>
          <w:rFonts w:ascii="Calibri" w:hAnsi="Calibri" w:cs="Arial"/>
          <w:color w:val="0000FF"/>
          <w:sz w:val="40"/>
          <w:szCs w:val="40"/>
        </w:rPr>
        <w:t>6</w:t>
      </w:r>
      <w:r>
        <w:rPr>
          <w:rFonts w:ascii="Calibri" w:hAnsi="Calibri" w:cs="Arial"/>
          <w:color w:val="0000FF"/>
          <w:sz w:val="40"/>
          <w:szCs w:val="40"/>
        </w:rPr>
        <w:t>-1</w:t>
      </w:r>
      <w:r w:rsidR="00EE1F75">
        <w:rPr>
          <w:rFonts w:ascii="Calibri" w:hAnsi="Calibri" w:cs="Arial"/>
          <w:color w:val="0000FF"/>
          <w:sz w:val="40"/>
          <w:szCs w:val="40"/>
        </w:rPr>
        <w:t>7</w:t>
      </w:r>
      <w:r>
        <w:rPr>
          <w:rFonts w:ascii="Calibri" w:hAnsi="Calibri" w:cs="Arial"/>
          <w:color w:val="0000FF"/>
          <w:sz w:val="40"/>
          <w:szCs w:val="40"/>
        </w:rPr>
        <w:t>,</w:t>
      </w:r>
      <w:r w:rsidRPr="008302A5">
        <w:rPr>
          <w:rFonts w:ascii="Calibri" w:hAnsi="Calibri" w:cs="Arial"/>
          <w:color w:val="0000FF"/>
          <w:sz w:val="40"/>
          <w:szCs w:val="40"/>
        </w:rPr>
        <w:t xml:space="preserve"> 201</w:t>
      </w:r>
      <w:r w:rsidR="00EE1F75">
        <w:rPr>
          <w:rFonts w:ascii="Calibri" w:hAnsi="Calibri" w:cs="Arial"/>
          <w:color w:val="0000FF"/>
          <w:sz w:val="40"/>
          <w:szCs w:val="40"/>
        </w:rPr>
        <w:t>7</w:t>
      </w:r>
      <w:r w:rsidRPr="008302A5">
        <w:rPr>
          <w:rFonts w:ascii="Calibri" w:hAnsi="Calibri" w:cs="Arial"/>
          <w:color w:val="0000FF"/>
          <w:sz w:val="40"/>
          <w:szCs w:val="40"/>
        </w:rPr>
        <w:t>-1</w:t>
      </w:r>
      <w:r w:rsidR="00EE1F75">
        <w:rPr>
          <w:rFonts w:ascii="Calibri" w:hAnsi="Calibri" w:cs="Arial"/>
          <w:color w:val="0000FF"/>
          <w:sz w:val="40"/>
          <w:szCs w:val="40"/>
        </w:rPr>
        <w:t>8</w:t>
      </w:r>
      <w:r>
        <w:rPr>
          <w:rFonts w:ascii="Calibri" w:hAnsi="Calibri" w:cs="Arial"/>
          <w:color w:val="0000FF"/>
          <w:sz w:val="40"/>
          <w:szCs w:val="40"/>
        </w:rPr>
        <w:t xml:space="preserve"> and 201</w:t>
      </w:r>
      <w:r w:rsidR="00EE1F75">
        <w:rPr>
          <w:rFonts w:ascii="Calibri" w:hAnsi="Calibri" w:cs="Arial"/>
          <w:color w:val="0000FF"/>
          <w:sz w:val="40"/>
          <w:szCs w:val="40"/>
        </w:rPr>
        <w:t>8</w:t>
      </w:r>
      <w:r>
        <w:rPr>
          <w:rFonts w:ascii="Calibri" w:hAnsi="Calibri" w:cs="Arial"/>
          <w:color w:val="0000FF"/>
          <w:sz w:val="40"/>
          <w:szCs w:val="40"/>
        </w:rPr>
        <w:t>-1</w:t>
      </w:r>
      <w:r w:rsidR="00EE1F75">
        <w:rPr>
          <w:rFonts w:ascii="Calibri" w:hAnsi="Calibri" w:cs="Arial"/>
          <w:color w:val="0000FF"/>
          <w:sz w:val="40"/>
          <w:szCs w:val="40"/>
        </w:rPr>
        <w:t>9</w:t>
      </w:r>
    </w:p>
    <w:p w:rsidR="00ED5F55" w:rsidRPr="008302A5" w:rsidRDefault="00ED5F55" w:rsidP="00ED5F55">
      <w:pPr>
        <w:spacing w:line="400" w:lineRule="exact"/>
        <w:ind w:left="2127"/>
        <w:jc w:val="left"/>
        <w:rPr>
          <w:rFonts w:ascii="Calibri" w:hAnsi="Calibri" w:cs="Arial"/>
          <w:color w:val="0000FF"/>
          <w:sz w:val="40"/>
          <w:szCs w:val="40"/>
        </w:rPr>
      </w:pPr>
      <w:r>
        <w:rPr>
          <w:rFonts w:ascii="Calibri" w:hAnsi="Calibri" w:cs="Arial"/>
          <w:color w:val="0000FF"/>
          <w:sz w:val="40"/>
          <w:szCs w:val="40"/>
        </w:rPr>
        <w:t>December</w:t>
      </w:r>
      <w:r w:rsidR="00EE1F75">
        <w:rPr>
          <w:rFonts w:ascii="Calibri" w:hAnsi="Calibri" w:cs="Arial"/>
          <w:color w:val="0000FF"/>
          <w:sz w:val="40"/>
          <w:szCs w:val="40"/>
        </w:rPr>
        <w:t xml:space="preserve"> 2016</w:t>
      </w: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0000FF"/>
          <w:sz w:val="40"/>
          <w:szCs w:val="40"/>
        </w:rPr>
      </w:pPr>
    </w:p>
    <w:p w:rsidR="00ED5F55" w:rsidRPr="008302A5" w:rsidRDefault="00ED5F55" w:rsidP="00ED5F55">
      <w:pPr>
        <w:spacing w:line="400" w:lineRule="exact"/>
        <w:ind w:left="2127"/>
        <w:jc w:val="left"/>
        <w:rPr>
          <w:rFonts w:ascii="Calibri" w:hAnsi="Calibri" w:cs="Arial"/>
          <w:color w:val="404040"/>
          <w:sz w:val="16"/>
          <w:szCs w:val="16"/>
        </w:rPr>
      </w:pPr>
      <w:r w:rsidRPr="00070252">
        <w:rPr>
          <w:rFonts w:ascii="Calibri" w:hAnsi="Calibri" w:cs="Arial"/>
          <w:color w:val="404040"/>
          <w:sz w:val="16"/>
          <w:szCs w:val="16"/>
        </w:rPr>
        <w:t xml:space="preserve">This report incorporates domestic and international data released up to </w:t>
      </w:r>
      <w:r w:rsidR="0059737A" w:rsidRPr="00070252">
        <w:rPr>
          <w:rFonts w:ascii="Calibri" w:hAnsi="Calibri" w:cs="Arial"/>
          <w:color w:val="404040"/>
          <w:sz w:val="16"/>
          <w:szCs w:val="16"/>
        </w:rPr>
        <w:t>31</w:t>
      </w:r>
      <w:r w:rsidRPr="00070252">
        <w:rPr>
          <w:rFonts w:ascii="Calibri" w:hAnsi="Calibri" w:cs="Arial"/>
          <w:color w:val="404040"/>
          <w:sz w:val="16"/>
          <w:szCs w:val="16"/>
        </w:rPr>
        <w:t xml:space="preserve"> January 201</w:t>
      </w:r>
      <w:r w:rsidR="0059737A" w:rsidRPr="00070252">
        <w:rPr>
          <w:rFonts w:ascii="Calibri" w:hAnsi="Calibri" w:cs="Arial"/>
          <w:color w:val="404040"/>
          <w:sz w:val="16"/>
          <w:szCs w:val="16"/>
        </w:rPr>
        <w:t>7</w:t>
      </w:r>
      <w:r w:rsidRPr="00070252">
        <w:rPr>
          <w:rFonts w:ascii="Calibri" w:hAnsi="Calibri" w:cs="Arial"/>
          <w:color w:val="404040"/>
          <w:sz w:val="16"/>
          <w:szCs w:val="16"/>
        </w:rPr>
        <w:t>.</w:t>
      </w:r>
    </w:p>
    <w:p w:rsidR="00ED5F55" w:rsidRDefault="00ED5F55" w:rsidP="00ED5F55">
      <w:pPr>
        <w:rPr>
          <w:highlight w:val="yellow"/>
        </w:rPr>
      </w:pPr>
    </w:p>
    <w:p w:rsidR="00ED5F55" w:rsidRPr="00E03CF2" w:rsidRDefault="00ED5F55" w:rsidP="00ED5F55">
      <w:pPr>
        <w:rPr>
          <w:highlight w:val="yellow"/>
        </w:rPr>
        <w:sectPr w:rsidR="00ED5F55" w:rsidRPr="00E03CF2" w:rsidSect="00843281">
          <w:headerReference w:type="default" r:id="rId8"/>
          <w:footerReference w:type="even" r:id="rId9"/>
          <w:footerReference w:type="default" r:id="rId10"/>
          <w:pgSz w:w="11907" w:h="16840" w:code="9"/>
          <w:pgMar w:top="1961" w:right="1418" w:bottom="1276" w:left="1418" w:header="170" w:footer="170" w:gutter="0"/>
          <w:cols w:space="720"/>
          <w:titlePg/>
          <w:docGrid w:linePitch="272"/>
        </w:sectPr>
      </w:pPr>
    </w:p>
    <w:p w:rsidR="008E2476" w:rsidRPr="00722D7A" w:rsidRDefault="00ED5F55" w:rsidP="008E2476">
      <w:pPr>
        <w:pStyle w:val="OutlineNumbered1"/>
        <w:rPr>
          <w:rFonts w:asciiTheme="minorHAnsi" w:hAnsiTheme="minorHAnsi"/>
          <w:szCs w:val="20"/>
        </w:rPr>
      </w:pPr>
      <w:r w:rsidRPr="00722D7A">
        <w:rPr>
          <w:rFonts w:asciiTheme="minorHAnsi" w:hAnsiTheme="minorHAnsi"/>
          <w:szCs w:val="20"/>
        </w:rPr>
        <w:lastRenderedPageBreak/>
        <w:t>The economic outlook is broadly unchanged from the 201</w:t>
      </w:r>
      <w:r w:rsidR="00EE1F75" w:rsidRPr="00722D7A">
        <w:rPr>
          <w:rFonts w:asciiTheme="minorHAnsi" w:hAnsiTheme="minorHAnsi"/>
          <w:szCs w:val="20"/>
        </w:rPr>
        <w:t>6</w:t>
      </w:r>
      <w:r w:rsidRPr="00722D7A">
        <w:rPr>
          <w:rFonts w:asciiTheme="minorHAnsi" w:hAnsiTheme="minorHAnsi"/>
          <w:szCs w:val="20"/>
        </w:rPr>
        <w:t>-1</w:t>
      </w:r>
      <w:r w:rsidR="00EE1F75" w:rsidRPr="00722D7A">
        <w:rPr>
          <w:rFonts w:asciiTheme="minorHAnsi" w:hAnsiTheme="minorHAnsi"/>
          <w:szCs w:val="20"/>
        </w:rPr>
        <w:t>7</w:t>
      </w:r>
      <w:r w:rsidRPr="00722D7A">
        <w:rPr>
          <w:rFonts w:asciiTheme="minorHAnsi" w:hAnsiTheme="minorHAnsi"/>
          <w:szCs w:val="20"/>
        </w:rPr>
        <w:t xml:space="preserve"> Mid-Year Economic and Fiscal Outlook</w:t>
      </w:r>
      <w:r w:rsidR="00C41AC5" w:rsidRPr="00722D7A">
        <w:rPr>
          <w:rFonts w:asciiTheme="minorHAnsi" w:hAnsiTheme="minorHAnsi"/>
          <w:szCs w:val="20"/>
        </w:rPr>
        <w:t xml:space="preserve"> (MYEFO)</w:t>
      </w:r>
      <w:r w:rsidR="00876B3E" w:rsidRPr="00722D7A">
        <w:rPr>
          <w:rFonts w:asciiTheme="minorHAnsi" w:hAnsiTheme="minorHAnsi"/>
          <w:szCs w:val="20"/>
        </w:rPr>
        <w:t>.</w:t>
      </w:r>
      <w:r w:rsidR="00D6723F" w:rsidRPr="00722D7A">
        <w:rPr>
          <w:rFonts w:asciiTheme="minorHAnsi" w:hAnsiTheme="minorHAnsi"/>
          <w:szCs w:val="20"/>
        </w:rPr>
        <w:t xml:space="preserve"> </w:t>
      </w:r>
      <w:r w:rsidR="0050033C" w:rsidRPr="00722D7A">
        <w:rPr>
          <w:rFonts w:asciiTheme="minorHAnsi" w:hAnsiTheme="minorHAnsi"/>
          <w:szCs w:val="20"/>
        </w:rPr>
        <w:t xml:space="preserve">The </w:t>
      </w:r>
      <w:r w:rsidR="00EE1F75" w:rsidRPr="00722D7A">
        <w:rPr>
          <w:rFonts w:asciiTheme="minorHAnsi" w:hAnsiTheme="minorHAnsi"/>
          <w:szCs w:val="20"/>
        </w:rPr>
        <w:t xml:space="preserve">economy continues to </w:t>
      </w:r>
      <w:r w:rsidR="0050033C" w:rsidRPr="00722D7A">
        <w:rPr>
          <w:rFonts w:asciiTheme="minorHAnsi" w:hAnsiTheme="minorHAnsi"/>
          <w:szCs w:val="20"/>
        </w:rPr>
        <w:t xml:space="preserve">transition </w:t>
      </w:r>
      <w:r w:rsidR="00EE1F75" w:rsidRPr="00722D7A">
        <w:rPr>
          <w:rFonts w:asciiTheme="minorHAnsi" w:hAnsiTheme="minorHAnsi"/>
          <w:szCs w:val="20"/>
        </w:rPr>
        <w:t>from the investment phase to the production phase of the mining boom</w:t>
      </w:r>
      <w:r w:rsidR="00A437E1" w:rsidRPr="00722D7A">
        <w:rPr>
          <w:rFonts w:asciiTheme="minorHAnsi" w:hAnsiTheme="minorHAnsi"/>
          <w:szCs w:val="20"/>
        </w:rPr>
        <w:t>, with growth expected</w:t>
      </w:r>
      <w:r w:rsidR="00EE1F75" w:rsidRPr="00722D7A">
        <w:rPr>
          <w:rFonts w:asciiTheme="minorHAnsi" w:hAnsiTheme="minorHAnsi"/>
          <w:szCs w:val="20"/>
        </w:rPr>
        <w:t xml:space="preserve"> to </w:t>
      </w:r>
      <w:r w:rsidR="00667567" w:rsidRPr="00722D7A">
        <w:rPr>
          <w:rFonts w:asciiTheme="minorHAnsi" w:hAnsiTheme="minorHAnsi"/>
          <w:szCs w:val="20"/>
        </w:rPr>
        <w:t>increase</w:t>
      </w:r>
      <w:r w:rsidR="00EE1F75" w:rsidRPr="00722D7A">
        <w:rPr>
          <w:rFonts w:asciiTheme="minorHAnsi" w:hAnsiTheme="minorHAnsi"/>
          <w:szCs w:val="20"/>
        </w:rPr>
        <w:t xml:space="preserve"> as the drag from mining investment </w:t>
      </w:r>
      <w:r w:rsidR="00A437E1" w:rsidRPr="00722D7A">
        <w:rPr>
          <w:rFonts w:asciiTheme="minorHAnsi" w:hAnsiTheme="minorHAnsi"/>
          <w:szCs w:val="20"/>
        </w:rPr>
        <w:t>dissipates</w:t>
      </w:r>
      <w:r w:rsidR="00EE1F75" w:rsidRPr="00722D7A">
        <w:rPr>
          <w:rFonts w:asciiTheme="minorHAnsi" w:hAnsiTheme="minorHAnsi"/>
          <w:szCs w:val="20"/>
        </w:rPr>
        <w:t>.</w:t>
      </w:r>
      <w:r w:rsidR="00876B3E" w:rsidRPr="00722D7A">
        <w:rPr>
          <w:rFonts w:asciiTheme="minorHAnsi" w:hAnsiTheme="minorHAnsi"/>
          <w:szCs w:val="20"/>
        </w:rPr>
        <w:t xml:space="preserve"> </w:t>
      </w:r>
      <w:r w:rsidR="001E51DD" w:rsidRPr="00722D7A">
        <w:rPr>
          <w:rFonts w:asciiTheme="minorHAnsi" w:hAnsiTheme="minorHAnsi"/>
          <w:szCs w:val="20"/>
        </w:rPr>
        <w:t xml:space="preserve"> </w:t>
      </w:r>
      <w:r w:rsidR="008E2476" w:rsidRPr="00722D7A">
        <w:rPr>
          <w:rFonts w:asciiTheme="minorHAnsi" w:hAnsiTheme="minorHAnsi"/>
          <w:szCs w:val="20"/>
        </w:rPr>
        <w:t xml:space="preserve">Real GDP </w:t>
      </w:r>
      <w:r w:rsidR="00A437E1" w:rsidRPr="00722D7A">
        <w:rPr>
          <w:rFonts w:asciiTheme="minorHAnsi" w:hAnsiTheme="minorHAnsi"/>
          <w:szCs w:val="20"/>
        </w:rPr>
        <w:t>is forecast</w:t>
      </w:r>
      <w:r w:rsidR="008E2476" w:rsidRPr="00722D7A">
        <w:rPr>
          <w:rFonts w:asciiTheme="minorHAnsi" w:hAnsiTheme="minorHAnsi"/>
          <w:szCs w:val="20"/>
        </w:rPr>
        <w:t xml:space="preserve"> to grow by 2 per cent in 2016</w:t>
      </w:r>
      <w:r w:rsidR="008E2476" w:rsidRPr="00722D7A">
        <w:rPr>
          <w:rFonts w:asciiTheme="minorHAnsi" w:hAnsiTheme="minorHAnsi"/>
          <w:szCs w:val="20"/>
        </w:rPr>
        <w:noBreakHyphen/>
        <w:t xml:space="preserve">17 and </w:t>
      </w:r>
      <w:r w:rsidR="00F03289" w:rsidRPr="00722D7A">
        <w:rPr>
          <w:rFonts w:asciiTheme="minorHAnsi" w:hAnsiTheme="minorHAnsi"/>
          <w:szCs w:val="20"/>
        </w:rPr>
        <w:t>2¾ per </w:t>
      </w:r>
      <w:r w:rsidR="008E2476" w:rsidRPr="00722D7A">
        <w:rPr>
          <w:rFonts w:asciiTheme="minorHAnsi" w:hAnsiTheme="minorHAnsi"/>
          <w:szCs w:val="20"/>
        </w:rPr>
        <w:t xml:space="preserve">cent in 2017-18 (see Table 1). </w:t>
      </w:r>
    </w:p>
    <w:p w:rsidR="00066CC8" w:rsidRPr="00722D7A" w:rsidRDefault="00A437E1" w:rsidP="00A437E1">
      <w:pPr>
        <w:pStyle w:val="OutlineNumbered1"/>
        <w:rPr>
          <w:rFonts w:asciiTheme="minorHAnsi" w:hAnsiTheme="minorHAnsi"/>
          <w:szCs w:val="20"/>
        </w:rPr>
      </w:pPr>
      <w:r w:rsidRPr="00722D7A">
        <w:rPr>
          <w:rFonts w:asciiTheme="minorHAnsi" w:hAnsiTheme="minorHAnsi"/>
          <w:szCs w:val="20"/>
        </w:rPr>
        <w:t xml:space="preserve">Major trading partner growth remains forecast to be </w:t>
      </w:r>
      <w:r w:rsidR="00F03289" w:rsidRPr="00722D7A">
        <w:rPr>
          <w:rFonts w:asciiTheme="minorHAnsi" w:hAnsiTheme="minorHAnsi"/>
          <w:szCs w:val="20"/>
        </w:rPr>
        <w:t>4 </w:t>
      </w:r>
      <w:r w:rsidR="008E2476" w:rsidRPr="00722D7A">
        <w:rPr>
          <w:rFonts w:asciiTheme="minorHAnsi" w:hAnsiTheme="minorHAnsi"/>
          <w:szCs w:val="20"/>
        </w:rPr>
        <w:t xml:space="preserve">per cent in 2017 and 2018. </w:t>
      </w:r>
      <w:r w:rsidRPr="00722D7A">
        <w:rPr>
          <w:rFonts w:asciiTheme="minorHAnsi" w:hAnsiTheme="minorHAnsi"/>
          <w:szCs w:val="20"/>
        </w:rPr>
        <w:t>Since t</w:t>
      </w:r>
      <w:r w:rsidR="00C71D01" w:rsidRPr="00722D7A">
        <w:rPr>
          <w:rFonts w:asciiTheme="minorHAnsi" w:hAnsiTheme="minorHAnsi"/>
          <w:szCs w:val="20"/>
        </w:rPr>
        <w:t xml:space="preserve">he MYEFO, there have been </w:t>
      </w:r>
      <w:r w:rsidRPr="00722D7A">
        <w:rPr>
          <w:rFonts w:asciiTheme="minorHAnsi" w:hAnsiTheme="minorHAnsi"/>
          <w:szCs w:val="20"/>
        </w:rPr>
        <w:t xml:space="preserve">signs of a more positive outlook for the global economy, </w:t>
      </w:r>
      <w:r w:rsidR="00171200">
        <w:rPr>
          <w:rFonts w:asciiTheme="minorHAnsi" w:hAnsiTheme="minorHAnsi"/>
          <w:szCs w:val="20"/>
        </w:rPr>
        <w:t>which is consistent</w:t>
      </w:r>
      <w:r w:rsidRPr="00722D7A">
        <w:rPr>
          <w:rFonts w:asciiTheme="minorHAnsi" w:hAnsiTheme="minorHAnsi"/>
          <w:szCs w:val="20"/>
        </w:rPr>
        <w:t xml:space="preserve"> with this forecast. </w:t>
      </w:r>
      <w:r w:rsidR="00066CC8" w:rsidRPr="00722D7A">
        <w:rPr>
          <w:rFonts w:asciiTheme="minorHAnsi" w:hAnsiTheme="minorHAnsi"/>
          <w:szCs w:val="20"/>
        </w:rPr>
        <w:t>Growth in China remains solid, US activity has improved after subdued growth in the first half of 2016, revisions to Japanese growth have revealed activity has been stronger than previously estimated, and India and the ASEAN-5 economies continue to grow solidly.</w:t>
      </w:r>
    </w:p>
    <w:p w:rsidR="00A437E1" w:rsidRPr="00722D7A" w:rsidRDefault="00A437E1" w:rsidP="00A437E1">
      <w:pPr>
        <w:pStyle w:val="OutlineNumbered1"/>
        <w:rPr>
          <w:rFonts w:asciiTheme="minorHAnsi" w:hAnsiTheme="minorHAnsi"/>
          <w:szCs w:val="20"/>
        </w:rPr>
      </w:pPr>
      <w:r w:rsidRPr="00722D7A">
        <w:rPr>
          <w:rFonts w:asciiTheme="minorHAnsi" w:hAnsiTheme="minorHAnsi"/>
          <w:szCs w:val="20"/>
        </w:rPr>
        <w:t>Since the MYEFO, there have been significant movements in commodity prices. The (Malaysian Tapis) oil price assumption is US$57 per barrel, compared with US$49 per barrel in the MYEFO. The iron ore price is assumed to decline from its recent average of US$75 per tonne FOB through the June and September quarters of 2017 to reach US$60 per tonne FOB in the December quarter 2017. This compares with a MYEFO assumption that the iron ore price would decline from US$68 per tonne through the March and June quarters of 2017 to reach a level of US$55 per tonne FOB in the September quarter 2017.</w:t>
      </w:r>
    </w:p>
    <w:p w:rsidR="00A437E1" w:rsidRPr="00722D7A" w:rsidRDefault="00A437E1" w:rsidP="00A437E1">
      <w:pPr>
        <w:pStyle w:val="OutlineNumbered1"/>
        <w:rPr>
          <w:rFonts w:asciiTheme="minorHAnsi" w:hAnsiTheme="minorHAnsi"/>
          <w:szCs w:val="20"/>
        </w:rPr>
      </w:pPr>
      <w:r w:rsidRPr="00722D7A">
        <w:rPr>
          <w:rFonts w:asciiTheme="minorHAnsi" w:hAnsiTheme="minorHAnsi"/>
          <w:szCs w:val="20"/>
        </w:rPr>
        <w:t xml:space="preserve">Reflecting the higher assumptions for iron ore and oil prices, the terms of trade are forecast to rise by 15¾ per cent in 2016-17, up </w:t>
      </w:r>
      <w:r w:rsidR="002546EA">
        <w:rPr>
          <w:rFonts w:asciiTheme="minorHAnsi" w:hAnsiTheme="minorHAnsi"/>
          <w:szCs w:val="20"/>
        </w:rPr>
        <w:t xml:space="preserve">from </w:t>
      </w:r>
      <w:r w:rsidRPr="00722D7A">
        <w:rPr>
          <w:rFonts w:asciiTheme="minorHAnsi" w:hAnsiTheme="minorHAnsi"/>
          <w:szCs w:val="20"/>
        </w:rPr>
        <w:t>14 per cent in the MYEFO. The terms of trad</w:t>
      </w:r>
      <w:r w:rsidR="00E06C3C">
        <w:rPr>
          <w:rFonts w:asciiTheme="minorHAnsi" w:hAnsiTheme="minorHAnsi"/>
          <w:szCs w:val="20"/>
        </w:rPr>
        <w:t>e remain forecast to fall by 3¾ </w:t>
      </w:r>
      <w:r w:rsidRPr="00722D7A">
        <w:rPr>
          <w:rFonts w:asciiTheme="minorHAnsi" w:hAnsiTheme="minorHAnsi"/>
          <w:szCs w:val="20"/>
        </w:rPr>
        <w:t>per cent in 2017-18. As a re</w:t>
      </w:r>
      <w:r w:rsidR="009C690B">
        <w:rPr>
          <w:rFonts w:asciiTheme="minorHAnsi" w:hAnsiTheme="minorHAnsi"/>
          <w:szCs w:val="20"/>
        </w:rPr>
        <w:t>sult, nominal GDP growth is now forecast to grow by 6 </w:t>
      </w:r>
      <w:r w:rsidR="00E06C3C">
        <w:rPr>
          <w:rFonts w:asciiTheme="minorHAnsi" w:hAnsiTheme="minorHAnsi"/>
          <w:szCs w:val="20"/>
        </w:rPr>
        <w:t>per cent in 2016</w:t>
      </w:r>
      <w:r w:rsidR="00E06C3C">
        <w:rPr>
          <w:rFonts w:asciiTheme="minorHAnsi" w:hAnsiTheme="minorHAnsi"/>
          <w:szCs w:val="20"/>
        </w:rPr>
        <w:noBreakHyphen/>
      </w:r>
      <w:r w:rsidRPr="00722D7A">
        <w:rPr>
          <w:rFonts w:asciiTheme="minorHAnsi" w:hAnsiTheme="minorHAnsi"/>
          <w:szCs w:val="20"/>
        </w:rPr>
        <w:t xml:space="preserve">17, up from 5¾ per cent in the MYEFO, and remains forecast to grow by 3¾ per cent in 2017-18. </w:t>
      </w:r>
    </w:p>
    <w:p w:rsidR="004825AF" w:rsidRPr="00722D7A" w:rsidRDefault="00A102A2" w:rsidP="000B0B96">
      <w:pPr>
        <w:pStyle w:val="OutlineNumbered1"/>
        <w:rPr>
          <w:rFonts w:asciiTheme="minorHAnsi" w:hAnsiTheme="minorHAnsi"/>
          <w:szCs w:val="20"/>
        </w:rPr>
      </w:pPr>
      <w:r w:rsidRPr="00722D7A">
        <w:rPr>
          <w:rFonts w:asciiTheme="minorHAnsi" w:hAnsiTheme="minorHAnsi"/>
          <w:szCs w:val="20"/>
        </w:rPr>
        <w:t>Th</w:t>
      </w:r>
      <w:r w:rsidR="00A437E1" w:rsidRPr="00722D7A">
        <w:rPr>
          <w:rFonts w:asciiTheme="minorHAnsi" w:hAnsiTheme="minorHAnsi"/>
          <w:szCs w:val="20"/>
        </w:rPr>
        <w:t>is</w:t>
      </w:r>
      <w:r w:rsidRPr="00722D7A">
        <w:rPr>
          <w:rFonts w:asciiTheme="minorHAnsi" w:hAnsiTheme="minorHAnsi"/>
          <w:szCs w:val="20"/>
        </w:rPr>
        <w:t xml:space="preserve"> JEFG Report includes 201</w:t>
      </w:r>
      <w:r w:rsidR="001E51DD" w:rsidRPr="00722D7A">
        <w:rPr>
          <w:rFonts w:asciiTheme="minorHAnsi" w:hAnsiTheme="minorHAnsi"/>
          <w:szCs w:val="20"/>
        </w:rPr>
        <w:t>8</w:t>
      </w:r>
      <w:r w:rsidRPr="00722D7A">
        <w:rPr>
          <w:rFonts w:asciiTheme="minorHAnsi" w:hAnsiTheme="minorHAnsi"/>
          <w:szCs w:val="20"/>
        </w:rPr>
        <w:t>-1</w:t>
      </w:r>
      <w:r w:rsidR="001E51DD" w:rsidRPr="00722D7A">
        <w:rPr>
          <w:rFonts w:asciiTheme="minorHAnsi" w:hAnsiTheme="minorHAnsi"/>
          <w:szCs w:val="20"/>
        </w:rPr>
        <w:t>9</w:t>
      </w:r>
      <w:r w:rsidRPr="00722D7A">
        <w:rPr>
          <w:rFonts w:asciiTheme="minorHAnsi" w:hAnsiTheme="minorHAnsi"/>
          <w:szCs w:val="20"/>
        </w:rPr>
        <w:t xml:space="preserve"> as a forecast year for the first time.</w:t>
      </w:r>
      <w:r w:rsidR="003E0FCB" w:rsidRPr="00722D7A">
        <w:rPr>
          <w:rFonts w:asciiTheme="minorHAnsi" w:hAnsiTheme="minorHAnsi"/>
          <w:szCs w:val="20"/>
        </w:rPr>
        <w:t xml:space="preserve"> </w:t>
      </w:r>
      <w:r w:rsidR="00C8422F" w:rsidRPr="00722D7A">
        <w:rPr>
          <w:rFonts w:asciiTheme="minorHAnsi" w:hAnsiTheme="minorHAnsi"/>
          <w:szCs w:val="20"/>
        </w:rPr>
        <w:t xml:space="preserve">Real GDP is forecast to </w:t>
      </w:r>
      <w:r w:rsidR="004825AF" w:rsidRPr="00722D7A">
        <w:rPr>
          <w:rFonts w:asciiTheme="minorHAnsi" w:hAnsiTheme="minorHAnsi"/>
          <w:szCs w:val="20"/>
        </w:rPr>
        <w:t>grow by</w:t>
      </w:r>
      <w:r w:rsidR="00E20007" w:rsidRPr="00722D7A">
        <w:rPr>
          <w:rFonts w:asciiTheme="minorHAnsi" w:hAnsiTheme="minorHAnsi"/>
          <w:szCs w:val="20"/>
        </w:rPr>
        <w:t xml:space="preserve"> </w:t>
      </w:r>
      <w:r w:rsidR="00E06C3C">
        <w:rPr>
          <w:rFonts w:asciiTheme="minorHAnsi" w:hAnsiTheme="minorHAnsi"/>
          <w:szCs w:val="20"/>
        </w:rPr>
        <w:t>3 </w:t>
      </w:r>
      <w:r w:rsidR="001E51DD" w:rsidRPr="00722D7A">
        <w:rPr>
          <w:rFonts w:asciiTheme="minorHAnsi" w:hAnsiTheme="minorHAnsi"/>
          <w:szCs w:val="20"/>
        </w:rPr>
        <w:t>per cent in 2018</w:t>
      </w:r>
      <w:r w:rsidR="00C73D0C" w:rsidRPr="00722D7A">
        <w:rPr>
          <w:rFonts w:asciiTheme="minorHAnsi" w:hAnsiTheme="minorHAnsi"/>
          <w:szCs w:val="20"/>
        </w:rPr>
        <w:t>-</w:t>
      </w:r>
      <w:r w:rsidR="00A61787" w:rsidRPr="00722D7A">
        <w:rPr>
          <w:rFonts w:asciiTheme="minorHAnsi" w:hAnsiTheme="minorHAnsi"/>
          <w:szCs w:val="20"/>
        </w:rPr>
        <w:t>1</w:t>
      </w:r>
      <w:r w:rsidR="001E51DD" w:rsidRPr="00722D7A">
        <w:rPr>
          <w:rFonts w:asciiTheme="minorHAnsi" w:hAnsiTheme="minorHAnsi"/>
          <w:szCs w:val="20"/>
        </w:rPr>
        <w:t>9</w:t>
      </w:r>
      <w:r w:rsidR="0063711B" w:rsidRPr="00722D7A">
        <w:rPr>
          <w:rFonts w:asciiTheme="minorHAnsi" w:hAnsiTheme="minorHAnsi"/>
          <w:szCs w:val="20"/>
        </w:rPr>
        <w:t xml:space="preserve"> </w:t>
      </w:r>
      <w:r w:rsidR="005B2566" w:rsidRPr="00722D7A">
        <w:rPr>
          <w:rFonts w:asciiTheme="minorHAnsi" w:hAnsiTheme="minorHAnsi"/>
          <w:szCs w:val="20"/>
        </w:rPr>
        <w:t xml:space="preserve">with a smaller </w:t>
      </w:r>
      <w:r w:rsidR="000B0B96" w:rsidRPr="00722D7A">
        <w:rPr>
          <w:rFonts w:asciiTheme="minorHAnsi" w:hAnsiTheme="minorHAnsi"/>
          <w:szCs w:val="20"/>
        </w:rPr>
        <w:t xml:space="preserve">drag from </w:t>
      </w:r>
      <w:r w:rsidR="00E06C3C">
        <w:rPr>
          <w:rFonts w:asciiTheme="minorHAnsi" w:hAnsiTheme="minorHAnsi"/>
          <w:szCs w:val="20"/>
        </w:rPr>
        <w:t xml:space="preserve">the decline in </w:t>
      </w:r>
      <w:r w:rsidR="000B0B96" w:rsidRPr="00722D7A">
        <w:rPr>
          <w:rFonts w:asciiTheme="minorHAnsi" w:hAnsiTheme="minorHAnsi"/>
          <w:szCs w:val="20"/>
        </w:rPr>
        <w:t xml:space="preserve">mining investment and </w:t>
      </w:r>
      <w:r w:rsidR="005B2566" w:rsidRPr="00722D7A">
        <w:rPr>
          <w:rFonts w:asciiTheme="minorHAnsi" w:hAnsiTheme="minorHAnsi"/>
          <w:szCs w:val="20"/>
        </w:rPr>
        <w:t xml:space="preserve">growth </w:t>
      </w:r>
      <w:r w:rsidR="00E06C3C">
        <w:rPr>
          <w:rFonts w:asciiTheme="minorHAnsi" w:hAnsiTheme="minorHAnsi"/>
          <w:szCs w:val="20"/>
        </w:rPr>
        <w:t xml:space="preserve">expected </w:t>
      </w:r>
      <w:r w:rsidR="005B2566" w:rsidRPr="00722D7A">
        <w:rPr>
          <w:rFonts w:asciiTheme="minorHAnsi" w:hAnsiTheme="minorHAnsi"/>
          <w:szCs w:val="20"/>
        </w:rPr>
        <w:t xml:space="preserve">in </w:t>
      </w:r>
      <w:r w:rsidR="004825AF" w:rsidRPr="00722D7A">
        <w:rPr>
          <w:rFonts w:asciiTheme="minorHAnsi" w:hAnsiTheme="minorHAnsi"/>
          <w:szCs w:val="20"/>
        </w:rPr>
        <w:t xml:space="preserve">non-mining </w:t>
      </w:r>
      <w:r w:rsidR="005B2566" w:rsidRPr="00722D7A">
        <w:rPr>
          <w:rFonts w:asciiTheme="minorHAnsi" w:hAnsiTheme="minorHAnsi"/>
          <w:szCs w:val="20"/>
        </w:rPr>
        <w:t>business investment</w:t>
      </w:r>
      <w:r w:rsidR="004825AF" w:rsidRPr="00722D7A">
        <w:rPr>
          <w:rFonts w:asciiTheme="minorHAnsi" w:hAnsiTheme="minorHAnsi"/>
          <w:szCs w:val="20"/>
        </w:rPr>
        <w:t>. Household consumption and net exports are also expected to make solid contributions to growth.</w:t>
      </w:r>
      <w:r w:rsidR="001905A8" w:rsidRPr="00722D7A">
        <w:rPr>
          <w:rFonts w:asciiTheme="minorHAnsi" w:hAnsiTheme="minorHAnsi"/>
          <w:szCs w:val="20"/>
        </w:rPr>
        <w:t xml:space="preserve"> LNG exports are expected to continue their ramp-up</w:t>
      </w:r>
      <w:r w:rsidR="00E06C3C">
        <w:rPr>
          <w:rFonts w:asciiTheme="minorHAnsi" w:hAnsiTheme="minorHAnsi"/>
          <w:szCs w:val="20"/>
        </w:rPr>
        <w:t xml:space="preserve"> during 2018-19</w:t>
      </w:r>
      <w:r w:rsidR="00CA3EC6" w:rsidRPr="00722D7A">
        <w:rPr>
          <w:rFonts w:asciiTheme="minorHAnsi" w:hAnsiTheme="minorHAnsi"/>
          <w:szCs w:val="20"/>
        </w:rPr>
        <w:t xml:space="preserve">, with all the major </w:t>
      </w:r>
      <w:r w:rsidR="00CA0FF7" w:rsidRPr="00722D7A">
        <w:rPr>
          <w:rFonts w:asciiTheme="minorHAnsi" w:hAnsiTheme="minorHAnsi"/>
          <w:szCs w:val="20"/>
        </w:rPr>
        <w:t xml:space="preserve">LNG </w:t>
      </w:r>
      <w:r w:rsidR="00CA3EC6" w:rsidRPr="00722D7A">
        <w:rPr>
          <w:rFonts w:asciiTheme="minorHAnsi" w:hAnsiTheme="minorHAnsi"/>
          <w:szCs w:val="20"/>
        </w:rPr>
        <w:t xml:space="preserve">investment </w:t>
      </w:r>
      <w:r w:rsidR="001905A8" w:rsidRPr="00722D7A">
        <w:rPr>
          <w:rFonts w:asciiTheme="minorHAnsi" w:hAnsiTheme="minorHAnsi"/>
          <w:szCs w:val="20"/>
        </w:rPr>
        <w:t>projects scheduled to be completed in 2017-18. Dwelling investment is expected to fall slightly, following its strong expansion over recent years, as the current pipeline of construction is completed.</w:t>
      </w:r>
    </w:p>
    <w:p w:rsidR="002F2244" w:rsidRPr="00722D7A" w:rsidRDefault="00D216D1" w:rsidP="00ED5F55">
      <w:pPr>
        <w:pStyle w:val="OutlineNumbered1"/>
        <w:rPr>
          <w:rFonts w:asciiTheme="minorHAnsi" w:hAnsiTheme="minorHAnsi"/>
          <w:szCs w:val="20"/>
        </w:rPr>
      </w:pPr>
      <w:r w:rsidRPr="00722D7A">
        <w:rPr>
          <w:rFonts w:asciiTheme="minorHAnsi" w:hAnsiTheme="minorHAnsi"/>
          <w:szCs w:val="20"/>
        </w:rPr>
        <w:t xml:space="preserve">Ongoing moderate growth in labour </w:t>
      </w:r>
      <w:r w:rsidR="00863DEC" w:rsidRPr="00722D7A">
        <w:rPr>
          <w:rFonts w:asciiTheme="minorHAnsi" w:hAnsiTheme="minorHAnsi"/>
          <w:szCs w:val="20"/>
        </w:rPr>
        <w:t xml:space="preserve">costs and a pick-up in real GDP growth </w:t>
      </w:r>
      <w:r w:rsidR="00CA3EC6" w:rsidRPr="00722D7A">
        <w:rPr>
          <w:rFonts w:asciiTheme="minorHAnsi" w:hAnsiTheme="minorHAnsi"/>
          <w:szCs w:val="20"/>
        </w:rPr>
        <w:t>are</w:t>
      </w:r>
      <w:r w:rsidRPr="00722D7A">
        <w:rPr>
          <w:rFonts w:asciiTheme="minorHAnsi" w:hAnsiTheme="minorHAnsi"/>
          <w:szCs w:val="20"/>
        </w:rPr>
        <w:t xml:space="preserve"> expected to support</w:t>
      </w:r>
      <w:r w:rsidR="006D26D6" w:rsidRPr="00722D7A">
        <w:rPr>
          <w:rFonts w:asciiTheme="minorHAnsi" w:hAnsiTheme="minorHAnsi"/>
          <w:szCs w:val="20"/>
        </w:rPr>
        <w:t xml:space="preserve"> solid employment growth</w:t>
      </w:r>
      <w:r w:rsidR="00863DEC" w:rsidRPr="00722D7A">
        <w:rPr>
          <w:rFonts w:asciiTheme="minorHAnsi" w:hAnsiTheme="minorHAnsi"/>
          <w:szCs w:val="20"/>
        </w:rPr>
        <w:t>, with the unemployment rate forecast to be</w:t>
      </w:r>
      <w:r w:rsidRPr="00722D7A">
        <w:rPr>
          <w:rFonts w:asciiTheme="minorHAnsi" w:hAnsiTheme="minorHAnsi"/>
          <w:szCs w:val="20"/>
        </w:rPr>
        <w:t xml:space="preserve"> 5</w:t>
      </w:r>
      <w:r w:rsidR="006D26D6" w:rsidRPr="00722D7A">
        <w:rPr>
          <w:rFonts w:asciiTheme="minorHAnsi" w:hAnsiTheme="minorHAnsi"/>
          <w:szCs w:val="20"/>
        </w:rPr>
        <w:t xml:space="preserve">¼ </w:t>
      </w:r>
      <w:r w:rsidRPr="00722D7A">
        <w:rPr>
          <w:rFonts w:asciiTheme="minorHAnsi" w:hAnsiTheme="minorHAnsi"/>
          <w:szCs w:val="20"/>
        </w:rPr>
        <w:t xml:space="preserve">per </w:t>
      </w:r>
      <w:r w:rsidR="006D26D6" w:rsidRPr="00722D7A">
        <w:rPr>
          <w:rFonts w:asciiTheme="minorHAnsi" w:hAnsiTheme="minorHAnsi"/>
          <w:szCs w:val="20"/>
        </w:rPr>
        <w:t xml:space="preserve">cent </w:t>
      </w:r>
      <w:r w:rsidR="00863DEC" w:rsidRPr="00722D7A">
        <w:rPr>
          <w:rFonts w:asciiTheme="minorHAnsi" w:hAnsiTheme="minorHAnsi"/>
          <w:szCs w:val="20"/>
        </w:rPr>
        <w:t xml:space="preserve">in the June quarter </w:t>
      </w:r>
      <w:r w:rsidR="006D26D6" w:rsidRPr="00722D7A">
        <w:rPr>
          <w:rFonts w:asciiTheme="minorHAnsi" w:hAnsiTheme="minorHAnsi"/>
          <w:szCs w:val="20"/>
        </w:rPr>
        <w:t>2019</w:t>
      </w:r>
      <w:r w:rsidRPr="00722D7A">
        <w:rPr>
          <w:rFonts w:asciiTheme="minorHAnsi" w:hAnsiTheme="minorHAnsi"/>
          <w:szCs w:val="20"/>
        </w:rPr>
        <w:t>.</w:t>
      </w:r>
      <w:r w:rsidR="00E02438" w:rsidRPr="00722D7A">
        <w:rPr>
          <w:rFonts w:asciiTheme="minorHAnsi" w:hAnsiTheme="minorHAnsi"/>
          <w:szCs w:val="20"/>
        </w:rPr>
        <w:t xml:space="preserve"> Wages </w:t>
      </w:r>
      <w:r w:rsidR="00FB0F7A" w:rsidRPr="00722D7A">
        <w:rPr>
          <w:rFonts w:asciiTheme="minorHAnsi" w:hAnsiTheme="minorHAnsi"/>
          <w:szCs w:val="20"/>
        </w:rPr>
        <w:t xml:space="preserve">are </w:t>
      </w:r>
      <w:r w:rsidR="00E02438" w:rsidRPr="00722D7A">
        <w:rPr>
          <w:rFonts w:asciiTheme="minorHAnsi" w:hAnsiTheme="minorHAnsi"/>
          <w:szCs w:val="20"/>
        </w:rPr>
        <w:t xml:space="preserve">forecast to </w:t>
      </w:r>
      <w:r w:rsidR="00FB0F7A" w:rsidRPr="00722D7A">
        <w:rPr>
          <w:rFonts w:asciiTheme="minorHAnsi" w:hAnsiTheme="minorHAnsi"/>
          <w:szCs w:val="20"/>
        </w:rPr>
        <w:t xml:space="preserve">grow </w:t>
      </w:r>
      <w:r w:rsidR="00DC5A62" w:rsidRPr="00722D7A">
        <w:rPr>
          <w:rFonts w:asciiTheme="minorHAnsi" w:hAnsiTheme="minorHAnsi"/>
          <w:szCs w:val="20"/>
        </w:rPr>
        <w:t xml:space="preserve">by </w:t>
      </w:r>
      <w:r w:rsidR="00E02438" w:rsidRPr="00722D7A">
        <w:rPr>
          <w:rFonts w:asciiTheme="minorHAnsi" w:hAnsiTheme="minorHAnsi"/>
          <w:szCs w:val="20"/>
        </w:rPr>
        <w:t xml:space="preserve">2¾ per cent through the year to the June quarter </w:t>
      </w:r>
      <w:r w:rsidR="00FB0F7A" w:rsidRPr="00722D7A">
        <w:rPr>
          <w:rFonts w:asciiTheme="minorHAnsi" w:hAnsiTheme="minorHAnsi"/>
          <w:szCs w:val="20"/>
        </w:rPr>
        <w:t xml:space="preserve">of </w:t>
      </w:r>
      <w:r w:rsidR="006D26D6" w:rsidRPr="00722D7A">
        <w:rPr>
          <w:rFonts w:asciiTheme="minorHAnsi" w:hAnsiTheme="minorHAnsi"/>
          <w:szCs w:val="20"/>
        </w:rPr>
        <w:t>2019</w:t>
      </w:r>
      <w:r w:rsidR="00E02438" w:rsidRPr="00722D7A">
        <w:rPr>
          <w:rFonts w:asciiTheme="minorHAnsi" w:hAnsiTheme="minorHAnsi"/>
          <w:szCs w:val="20"/>
        </w:rPr>
        <w:t>, while headline consumer</w:t>
      </w:r>
      <w:r w:rsidR="00863DEC" w:rsidRPr="00722D7A">
        <w:rPr>
          <w:rFonts w:asciiTheme="minorHAnsi" w:hAnsiTheme="minorHAnsi"/>
          <w:szCs w:val="20"/>
        </w:rPr>
        <w:t xml:space="preserve"> price</w:t>
      </w:r>
      <w:r w:rsidR="00E02438" w:rsidRPr="00722D7A">
        <w:rPr>
          <w:rFonts w:asciiTheme="minorHAnsi" w:hAnsiTheme="minorHAnsi"/>
          <w:szCs w:val="20"/>
        </w:rPr>
        <w:t xml:space="preserve"> inflation is forecast to </w:t>
      </w:r>
      <w:r w:rsidR="006D26D6" w:rsidRPr="00722D7A">
        <w:rPr>
          <w:rFonts w:asciiTheme="minorHAnsi" w:hAnsiTheme="minorHAnsi"/>
          <w:szCs w:val="20"/>
        </w:rPr>
        <w:t xml:space="preserve">be 2¼ </w:t>
      </w:r>
      <w:r w:rsidR="00E02438" w:rsidRPr="00722D7A">
        <w:rPr>
          <w:rFonts w:asciiTheme="minorHAnsi" w:hAnsiTheme="minorHAnsi"/>
          <w:szCs w:val="20"/>
        </w:rPr>
        <w:t>per cent</w:t>
      </w:r>
      <w:r w:rsidR="00CA3EC6" w:rsidRPr="00722D7A">
        <w:rPr>
          <w:rFonts w:asciiTheme="minorHAnsi" w:hAnsiTheme="minorHAnsi"/>
          <w:szCs w:val="20"/>
        </w:rPr>
        <w:t xml:space="preserve">. </w:t>
      </w:r>
      <w:r w:rsidR="00C6738F" w:rsidRPr="00722D7A">
        <w:rPr>
          <w:rFonts w:asciiTheme="minorHAnsi" w:hAnsiTheme="minorHAnsi"/>
          <w:szCs w:val="20"/>
        </w:rPr>
        <w:t xml:space="preserve">Nominal GDP growth is expected to </w:t>
      </w:r>
      <w:r w:rsidR="006D26D6" w:rsidRPr="00722D7A">
        <w:rPr>
          <w:rFonts w:asciiTheme="minorHAnsi" w:hAnsiTheme="minorHAnsi"/>
          <w:szCs w:val="20"/>
        </w:rPr>
        <w:t>be</w:t>
      </w:r>
      <w:r w:rsidR="00C6738F" w:rsidRPr="00722D7A">
        <w:rPr>
          <w:rFonts w:asciiTheme="minorHAnsi" w:hAnsiTheme="minorHAnsi"/>
          <w:szCs w:val="20"/>
        </w:rPr>
        <w:t xml:space="preserve"> </w:t>
      </w:r>
      <w:r w:rsidR="006D26D6" w:rsidRPr="00722D7A">
        <w:rPr>
          <w:rFonts w:asciiTheme="minorHAnsi" w:hAnsiTheme="minorHAnsi"/>
          <w:szCs w:val="20"/>
        </w:rPr>
        <w:t xml:space="preserve">4¼ </w:t>
      </w:r>
      <w:r w:rsidR="00C6738F" w:rsidRPr="00722D7A">
        <w:rPr>
          <w:rFonts w:asciiTheme="minorHAnsi" w:hAnsiTheme="minorHAnsi"/>
          <w:szCs w:val="20"/>
        </w:rPr>
        <w:t>per cent in 201</w:t>
      </w:r>
      <w:r w:rsidR="006D26D6" w:rsidRPr="00722D7A">
        <w:rPr>
          <w:rFonts w:asciiTheme="minorHAnsi" w:hAnsiTheme="minorHAnsi"/>
          <w:szCs w:val="20"/>
        </w:rPr>
        <w:t>8</w:t>
      </w:r>
      <w:r w:rsidR="00C6738F" w:rsidRPr="00722D7A">
        <w:rPr>
          <w:rFonts w:asciiTheme="minorHAnsi" w:hAnsiTheme="minorHAnsi"/>
          <w:szCs w:val="20"/>
        </w:rPr>
        <w:t>-1</w:t>
      </w:r>
      <w:r w:rsidR="006D26D6" w:rsidRPr="00722D7A">
        <w:rPr>
          <w:rFonts w:asciiTheme="minorHAnsi" w:hAnsiTheme="minorHAnsi"/>
          <w:szCs w:val="20"/>
        </w:rPr>
        <w:t>9</w:t>
      </w:r>
      <w:r w:rsidR="00C6738F" w:rsidRPr="00722D7A">
        <w:rPr>
          <w:rFonts w:asciiTheme="minorHAnsi" w:hAnsiTheme="minorHAnsi"/>
          <w:szCs w:val="20"/>
        </w:rPr>
        <w:t xml:space="preserve"> as </w:t>
      </w:r>
      <w:r w:rsidR="006D26D6" w:rsidRPr="00722D7A">
        <w:rPr>
          <w:rFonts w:asciiTheme="minorHAnsi" w:hAnsiTheme="minorHAnsi"/>
          <w:szCs w:val="20"/>
        </w:rPr>
        <w:t xml:space="preserve">the terms of trade continue to fall. </w:t>
      </w:r>
    </w:p>
    <w:p w:rsidR="00180007" w:rsidRDefault="0077579B" w:rsidP="002B2234">
      <w:pPr>
        <w:pStyle w:val="OutlineNumbered1"/>
        <w:rPr>
          <w:rFonts w:asciiTheme="minorHAnsi" w:hAnsiTheme="minorHAnsi"/>
          <w:szCs w:val="20"/>
        </w:rPr>
      </w:pPr>
      <w:r w:rsidRPr="00722D7A">
        <w:rPr>
          <w:rFonts w:asciiTheme="minorHAnsi" w:hAnsiTheme="minorHAnsi"/>
          <w:szCs w:val="20"/>
        </w:rPr>
        <w:t xml:space="preserve">There are a number of uncertainties for the forecasts. </w:t>
      </w:r>
      <w:r w:rsidR="00CA0FF7" w:rsidRPr="00722D7A">
        <w:rPr>
          <w:rFonts w:asciiTheme="minorHAnsi" w:hAnsiTheme="minorHAnsi"/>
          <w:szCs w:val="20"/>
        </w:rPr>
        <w:t xml:space="preserve">While there are early signs of a more positive outlook for the global economy, a number of risks remain. </w:t>
      </w:r>
      <w:r w:rsidR="002B2234" w:rsidRPr="00722D7A">
        <w:rPr>
          <w:rFonts w:asciiTheme="minorHAnsi" w:hAnsiTheme="minorHAnsi"/>
          <w:szCs w:val="20"/>
        </w:rPr>
        <w:t>It is difficult to gauge the impact of the new US Administration’s policies on the US economy, with trade measures having the potential to impact global growth. Of particular importance to Australia will be how any trade measures impact China. High levels of debt</w:t>
      </w:r>
      <w:r w:rsidR="007213DA">
        <w:rPr>
          <w:rFonts w:asciiTheme="minorHAnsi" w:hAnsiTheme="minorHAnsi"/>
          <w:szCs w:val="20"/>
        </w:rPr>
        <w:t xml:space="preserve"> and overcapacity in some sectors </w:t>
      </w:r>
      <w:r w:rsidR="002B2234" w:rsidRPr="00722D7A">
        <w:rPr>
          <w:rFonts w:asciiTheme="minorHAnsi" w:hAnsiTheme="minorHAnsi"/>
          <w:szCs w:val="20"/>
        </w:rPr>
        <w:t>also remain a risk to the Chinese economy</w:t>
      </w:r>
      <w:r w:rsidR="000540EA">
        <w:rPr>
          <w:rFonts w:asciiTheme="minorHAnsi" w:hAnsiTheme="minorHAnsi"/>
          <w:szCs w:val="20"/>
        </w:rPr>
        <w:t xml:space="preserve"> and the </w:t>
      </w:r>
      <w:r w:rsidR="00180007">
        <w:rPr>
          <w:rFonts w:asciiTheme="minorHAnsi" w:hAnsiTheme="minorHAnsi"/>
          <w:szCs w:val="20"/>
        </w:rPr>
        <w:t xml:space="preserve">authorities </w:t>
      </w:r>
      <w:r w:rsidR="000540EA">
        <w:rPr>
          <w:rFonts w:asciiTheme="minorHAnsi" w:hAnsiTheme="minorHAnsi"/>
          <w:szCs w:val="20"/>
        </w:rPr>
        <w:t>continue to face the policy challenge of balancing support for the real economy and maintaining exchange rate stability.</w:t>
      </w:r>
    </w:p>
    <w:p w:rsidR="00D7423D" w:rsidRDefault="002B2234" w:rsidP="00842979">
      <w:pPr>
        <w:pStyle w:val="OutlineNumbered1"/>
        <w:rPr>
          <w:rFonts w:asciiTheme="minorHAnsi" w:hAnsiTheme="minorHAnsi"/>
          <w:szCs w:val="20"/>
        </w:rPr>
      </w:pPr>
      <w:r w:rsidRPr="001F554A">
        <w:rPr>
          <w:rFonts w:asciiTheme="minorHAnsi" w:hAnsiTheme="minorHAnsi"/>
          <w:szCs w:val="20"/>
        </w:rPr>
        <w:t xml:space="preserve">Domestically, there </w:t>
      </w:r>
      <w:r w:rsidR="003D00AE" w:rsidRPr="001F554A">
        <w:rPr>
          <w:rFonts w:asciiTheme="minorHAnsi" w:hAnsiTheme="minorHAnsi"/>
          <w:szCs w:val="20"/>
        </w:rPr>
        <w:t xml:space="preserve">are </w:t>
      </w:r>
      <w:r w:rsidR="001F0697" w:rsidRPr="001F554A">
        <w:rPr>
          <w:rFonts w:asciiTheme="minorHAnsi" w:hAnsiTheme="minorHAnsi"/>
          <w:szCs w:val="20"/>
        </w:rPr>
        <w:t xml:space="preserve">risks around </w:t>
      </w:r>
      <w:r w:rsidR="00CE4F03" w:rsidRPr="001F554A">
        <w:rPr>
          <w:rFonts w:asciiTheme="minorHAnsi" w:hAnsiTheme="minorHAnsi"/>
          <w:szCs w:val="20"/>
        </w:rPr>
        <w:t xml:space="preserve">the </w:t>
      </w:r>
      <w:r w:rsidR="001F0697" w:rsidRPr="001F554A">
        <w:rPr>
          <w:rFonts w:asciiTheme="minorHAnsi" w:hAnsiTheme="minorHAnsi"/>
          <w:szCs w:val="20"/>
        </w:rPr>
        <w:t xml:space="preserve">momentum in </w:t>
      </w:r>
      <w:r w:rsidR="00CE4F03" w:rsidRPr="001F554A">
        <w:rPr>
          <w:rFonts w:asciiTheme="minorHAnsi" w:hAnsiTheme="minorHAnsi"/>
          <w:szCs w:val="20"/>
        </w:rPr>
        <w:t>household consumption</w:t>
      </w:r>
      <w:r w:rsidR="00BD56A3" w:rsidRPr="001F554A">
        <w:rPr>
          <w:rFonts w:asciiTheme="minorHAnsi" w:hAnsiTheme="minorHAnsi"/>
          <w:szCs w:val="20"/>
        </w:rPr>
        <w:t xml:space="preserve"> </w:t>
      </w:r>
      <w:r w:rsidR="00E531C7" w:rsidRPr="001F554A">
        <w:rPr>
          <w:rFonts w:asciiTheme="minorHAnsi" w:hAnsiTheme="minorHAnsi"/>
          <w:szCs w:val="20"/>
        </w:rPr>
        <w:t>as well as</w:t>
      </w:r>
      <w:r w:rsidR="00EF3868" w:rsidRPr="001F554A">
        <w:rPr>
          <w:rFonts w:asciiTheme="minorHAnsi" w:hAnsiTheme="minorHAnsi"/>
          <w:szCs w:val="20"/>
        </w:rPr>
        <w:t xml:space="preserve"> uncertainty around dwelling investment</w:t>
      </w:r>
      <w:r w:rsidR="00722D7A" w:rsidRPr="001F554A">
        <w:rPr>
          <w:rFonts w:asciiTheme="minorHAnsi" w:hAnsiTheme="minorHAnsi"/>
          <w:szCs w:val="20"/>
        </w:rPr>
        <w:t xml:space="preserve">, with a significant number of medium-to-high density dwellings due for completion over the forecast horizon. </w:t>
      </w:r>
      <w:r w:rsidR="000827CF" w:rsidRPr="001F554A">
        <w:rPr>
          <w:rFonts w:asciiTheme="minorHAnsi" w:hAnsiTheme="minorHAnsi"/>
          <w:szCs w:val="20"/>
        </w:rPr>
        <w:t>Household consumption has grown at a lower average rate since the global financ</w:t>
      </w:r>
      <w:r w:rsidR="00CD1B67" w:rsidRPr="001F554A">
        <w:rPr>
          <w:rFonts w:asciiTheme="minorHAnsi" w:hAnsiTheme="minorHAnsi"/>
          <w:szCs w:val="20"/>
        </w:rPr>
        <w:t xml:space="preserve">ial crisis, with lower </w:t>
      </w:r>
      <w:r w:rsidR="008B42FB">
        <w:rPr>
          <w:rFonts w:asciiTheme="minorHAnsi" w:hAnsiTheme="minorHAnsi"/>
          <w:szCs w:val="20"/>
        </w:rPr>
        <w:t xml:space="preserve">labour </w:t>
      </w:r>
      <w:r w:rsidR="00CD1B67" w:rsidRPr="001F554A">
        <w:rPr>
          <w:rFonts w:asciiTheme="minorHAnsi" w:hAnsiTheme="minorHAnsi"/>
          <w:szCs w:val="20"/>
        </w:rPr>
        <w:t>income growth</w:t>
      </w:r>
      <w:r w:rsidR="001F554A" w:rsidRPr="001F554A">
        <w:rPr>
          <w:rFonts w:asciiTheme="minorHAnsi" w:hAnsiTheme="minorHAnsi"/>
          <w:szCs w:val="20"/>
        </w:rPr>
        <w:t>. The rates of consumption growth in this environment may be particularly sensitive to conditions in the labour market.</w:t>
      </w:r>
      <w:r w:rsidR="001F554A">
        <w:rPr>
          <w:rFonts w:asciiTheme="minorHAnsi" w:hAnsiTheme="minorHAnsi"/>
          <w:szCs w:val="20"/>
        </w:rPr>
        <w:t xml:space="preserve"> </w:t>
      </w:r>
      <w:r w:rsidR="00CE4F03" w:rsidRPr="001F554A">
        <w:rPr>
          <w:rFonts w:asciiTheme="minorHAnsi" w:hAnsiTheme="minorHAnsi"/>
          <w:szCs w:val="20"/>
        </w:rPr>
        <w:t>The</w:t>
      </w:r>
      <w:r w:rsidR="00F04FA2" w:rsidRPr="001F554A">
        <w:rPr>
          <w:rFonts w:asciiTheme="minorHAnsi" w:hAnsiTheme="minorHAnsi"/>
          <w:szCs w:val="20"/>
        </w:rPr>
        <w:t xml:space="preserve"> timing and pace of the</w:t>
      </w:r>
      <w:r w:rsidR="00CE4F03" w:rsidRPr="001F554A">
        <w:rPr>
          <w:rFonts w:asciiTheme="minorHAnsi" w:hAnsiTheme="minorHAnsi"/>
          <w:szCs w:val="20"/>
        </w:rPr>
        <w:t xml:space="preserve"> recovery in non</w:t>
      </w:r>
      <w:r w:rsidR="00CE4F03" w:rsidRPr="001F554A">
        <w:rPr>
          <w:rFonts w:asciiTheme="minorHAnsi" w:hAnsiTheme="minorHAnsi"/>
          <w:szCs w:val="20"/>
        </w:rPr>
        <w:noBreakHyphen/>
      </w:r>
      <w:r w:rsidR="00E147EE" w:rsidRPr="001F554A">
        <w:rPr>
          <w:rFonts w:asciiTheme="minorHAnsi" w:hAnsiTheme="minorHAnsi"/>
          <w:szCs w:val="20"/>
        </w:rPr>
        <w:t xml:space="preserve">mining business investment also remains a risk to the domestic outlook, with indicators remaining mixed. </w:t>
      </w:r>
      <w:r w:rsidR="00936A85">
        <w:rPr>
          <w:rFonts w:asciiTheme="minorHAnsi" w:hAnsiTheme="minorHAnsi"/>
          <w:szCs w:val="20"/>
        </w:rPr>
        <w:t xml:space="preserve">Commodity prices are </w:t>
      </w:r>
      <w:r w:rsidR="00C82E52">
        <w:rPr>
          <w:rFonts w:asciiTheme="minorHAnsi" w:hAnsiTheme="minorHAnsi"/>
          <w:szCs w:val="20"/>
        </w:rPr>
        <w:t>a key uncertainty for the nominal economy, while weak inflation and wage growth pose downside risks.</w:t>
      </w:r>
    </w:p>
    <w:p w:rsidR="009E7768" w:rsidRDefault="00943678" w:rsidP="00943678">
      <w:pPr>
        <w:spacing w:after="200" w:line="276" w:lineRule="auto"/>
        <w:contextualSpacing/>
        <w:jc w:val="left"/>
        <w:rPr>
          <w:rFonts w:asciiTheme="minorHAnsi" w:hAnsiTheme="minorHAnsi"/>
          <w:b/>
          <w:sz w:val="22"/>
          <w:szCs w:val="22"/>
        </w:rPr>
      </w:pPr>
      <w:r w:rsidRPr="00943678">
        <w:rPr>
          <w:rFonts w:asciiTheme="minorHAnsi" w:hAnsiTheme="minorHAnsi"/>
          <w:b/>
          <w:sz w:val="22"/>
          <w:szCs w:val="22"/>
        </w:rPr>
        <w:lastRenderedPageBreak/>
        <w:t>Table 1: Domestic economy forecasts</w:t>
      </w:r>
    </w:p>
    <w:p w:rsidR="00527E3C" w:rsidRDefault="00527E3C" w:rsidP="00943678">
      <w:pPr>
        <w:spacing w:after="200" w:line="276" w:lineRule="auto"/>
        <w:contextualSpacing/>
        <w:jc w:val="left"/>
        <w:rPr>
          <w:rFonts w:asciiTheme="minorHAnsi" w:hAnsiTheme="minorHAnsi"/>
          <w:sz w:val="22"/>
          <w:szCs w:val="22"/>
          <w:highlight w:val="yellow"/>
        </w:rPr>
      </w:pPr>
      <w:r w:rsidRPr="00527E3C">
        <w:rPr>
          <w:noProof/>
          <w:lang w:eastAsia="en-AU"/>
        </w:rPr>
        <w:drawing>
          <wp:inline distT="0" distB="0" distL="0" distR="0">
            <wp:extent cx="5449374" cy="74184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9374" cy="7418438"/>
                    </a:xfrm>
                    <a:prstGeom prst="rect">
                      <a:avLst/>
                    </a:prstGeom>
                    <a:noFill/>
                    <a:ln>
                      <a:noFill/>
                    </a:ln>
                  </pic:spPr>
                </pic:pic>
              </a:graphicData>
            </a:graphic>
          </wp:inline>
        </w:drawing>
      </w:r>
    </w:p>
    <w:p w:rsidR="007A09F7" w:rsidRDefault="00584D88" w:rsidP="00FB7DA7">
      <w:pPr>
        <w:spacing w:after="0" w:line="276" w:lineRule="auto"/>
        <w:jc w:val="left"/>
        <w:rPr>
          <w:rFonts w:asciiTheme="minorHAnsi" w:hAnsiTheme="minorHAnsi"/>
          <w:sz w:val="22"/>
          <w:szCs w:val="22"/>
          <w:highlight w:val="yellow"/>
        </w:rPr>
      </w:pPr>
      <w:r w:rsidRPr="00584D88">
        <w:rPr>
          <w:noProof/>
          <w:lang w:eastAsia="en-AU"/>
        </w:rPr>
        <w:drawing>
          <wp:inline distT="0" distB="0" distL="0" distR="0" wp14:anchorId="6850602C" wp14:editId="6E867556">
            <wp:extent cx="5731510" cy="101793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017934"/>
                    </a:xfrm>
                    <a:prstGeom prst="rect">
                      <a:avLst/>
                    </a:prstGeom>
                    <a:noFill/>
                    <a:ln>
                      <a:noFill/>
                    </a:ln>
                  </pic:spPr>
                </pic:pic>
              </a:graphicData>
            </a:graphic>
          </wp:inline>
        </w:drawing>
      </w:r>
    </w:p>
    <w:sectPr w:rsidR="007A09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F27" w:rsidRDefault="00FA6F27" w:rsidP="00ED5F55">
      <w:pPr>
        <w:spacing w:after="0" w:line="240" w:lineRule="auto"/>
      </w:pPr>
      <w:r>
        <w:separator/>
      </w:r>
    </w:p>
  </w:endnote>
  <w:endnote w:type="continuationSeparator" w:id="0">
    <w:p w:rsidR="00FA6F27" w:rsidRDefault="00FA6F27" w:rsidP="00ED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CC" w:rsidRDefault="00064C36"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C79CC" w:rsidRDefault="00FF00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CC" w:rsidRDefault="00064C36"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0037">
      <w:rPr>
        <w:rStyle w:val="PageNumber"/>
        <w:noProof/>
      </w:rPr>
      <w:t>2</w:t>
    </w:r>
    <w:r>
      <w:rPr>
        <w:rStyle w:val="PageNumber"/>
      </w:rPr>
      <w:fldChar w:fldCharType="end"/>
    </w:r>
  </w:p>
  <w:p w:rsidR="00FC79CC" w:rsidRDefault="00FF00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F27" w:rsidRDefault="00FA6F27" w:rsidP="00ED5F55">
      <w:pPr>
        <w:spacing w:after="0" w:line="240" w:lineRule="auto"/>
      </w:pPr>
      <w:r>
        <w:separator/>
      </w:r>
    </w:p>
  </w:footnote>
  <w:footnote w:type="continuationSeparator" w:id="0">
    <w:p w:rsidR="00FA6F27" w:rsidRDefault="00FA6F27" w:rsidP="00ED5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CC" w:rsidRDefault="00FF00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67D44"/>
    <w:multiLevelType w:val="multilevel"/>
    <w:tmpl w:val="607877A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1465"/>
        </w:tabs>
        <w:ind w:left="1465"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E05363F"/>
    <w:multiLevelType w:val="hybridMultilevel"/>
    <w:tmpl w:val="76C4AB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2243F26"/>
    <w:multiLevelType w:val="hybridMultilevel"/>
    <w:tmpl w:val="BBF06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1C1C08"/>
    <w:multiLevelType w:val="hybridMultilevel"/>
    <w:tmpl w:val="2DE06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F577F86"/>
    <w:multiLevelType w:val="hybridMultilevel"/>
    <w:tmpl w:val="062AFC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num>
  <w:num w:numId="3">
    <w:abstractNumId w:val="4"/>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0"/>
  </w:num>
  <w:num w:numId="12">
    <w:abstractNumId w:val="0"/>
  </w:num>
  <w:num w:numId="13">
    <w:abstractNumId w:val="0"/>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55"/>
    <w:rsid w:val="00012A72"/>
    <w:rsid w:val="00036D08"/>
    <w:rsid w:val="000540EA"/>
    <w:rsid w:val="00064C36"/>
    <w:rsid w:val="00066CC8"/>
    <w:rsid w:val="00070252"/>
    <w:rsid w:val="0007545C"/>
    <w:rsid w:val="000827CF"/>
    <w:rsid w:val="000A2C8A"/>
    <w:rsid w:val="000B0B96"/>
    <w:rsid w:val="000B6359"/>
    <w:rsid w:val="000F26DB"/>
    <w:rsid w:val="000F2FC6"/>
    <w:rsid w:val="00163DE8"/>
    <w:rsid w:val="00171200"/>
    <w:rsid w:val="00180007"/>
    <w:rsid w:val="001905A8"/>
    <w:rsid w:val="00193718"/>
    <w:rsid w:val="001D282C"/>
    <w:rsid w:val="001D48D5"/>
    <w:rsid w:val="001E51DD"/>
    <w:rsid w:val="001F0697"/>
    <w:rsid w:val="001F554A"/>
    <w:rsid w:val="00214E19"/>
    <w:rsid w:val="002546EA"/>
    <w:rsid w:val="002562FC"/>
    <w:rsid w:val="00291816"/>
    <w:rsid w:val="002B2234"/>
    <w:rsid w:val="002B4488"/>
    <w:rsid w:val="002C5D12"/>
    <w:rsid w:val="002E7BFA"/>
    <w:rsid w:val="002F2244"/>
    <w:rsid w:val="00315523"/>
    <w:rsid w:val="003332DF"/>
    <w:rsid w:val="00340624"/>
    <w:rsid w:val="003448C7"/>
    <w:rsid w:val="00351CEB"/>
    <w:rsid w:val="003611E0"/>
    <w:rsid w:val="00376225"/>
    <w:rsid w:val="00381C01"/>
    <w:rsid w:val="00383AFF"/>
    <w:rsid w:val="0039266D"/>
    <w:rsid w:val="003A42C7"/>
    <w:rsid w:val="003B5AEF"/>
    <w:rsid w:val="003D00AE"/>
    <w:rsid w:val="003D6C4D"/>
    <w:rsid w:val="003E0FCB"/>
    <w:rsid w:val="003E73D5"/>
    <w:rsid w:val="003F710D"/>
    <w:rsid w:val="00427D83"/>
    <w:rsid w:val="00437F18"/>
    <w:rsid w:val="004825AF"/>
    <w:rsid w:val="00484734"/>
    <w:rsid w:val="00486901"/>
    <w:rsid w:val="004C1577"/>
    <w:rsid w:val="0050033C"/>
    <w:rsid w:val="00505065"/>
    <w:rsid w:val="00510DCF"/>
    <w:rsid w:val="00527E3C"/>
    <w:rsid w:val="0056591A"/>
    <w:rsid w:val="00584D88"/>
    <w:rsid w:val="0059737A"/>
    <w:rsid w:val="005B2566"/>
    <w:rsid w:val="005C3A13"/>
    <w:rsid w:val="005D0F2B"/>
    <w:rsid w:val="005F12FE"/>
    <w:rsid w:val="005F4C37"/>
    <w:rsid w:val="00614FFD"/>
    <w:rsid w:val="006267DE"/>
    <w:rsid w:val="0063711B"/>
    <w:rsid w:val="00641E27"/>
    <w:rsid w:val="00664E70"/>
    <w:rsid w:val="00667567"/>
    <w:rsid w:val="00690626"/>
    <w:rsid w:val="006A3282"/>
    <w:rsid w:val="006D26D6"/>
    <w:rsid w:val="00703D44"/>
    <w:rsid w:val="00717032"/>
    <w:rsid w:val="007213DA"/>
    <w:rsid w:val="00721A63"/>
    <w:rsid w:val="00722D7A"/>
    <w:rsid w:val="00732D98"/>
    <w:rsid w:val="007348E3"/>
    <w:rsid w:val="0075273D"/>
    <w:rsid w:val="007559E0"/>
    <w:rsid w:val="0077579B"/>
    <w:rsid w:val="007A09F7"/>
    <w:rsid w:val="0080687F"/>
    <w:rsid w:val="00833833"/>
    <w:rsid w:val="00863DEC"/>
    <w:rsid w:val="00875A42"/>
    <w:rsid w:val="00876B3E"/>
    <w:rsid w:val="00897820"/>
    <w:rsid w:val="008A4883"/>
    <w:rsid w:val="008B42FB"/>
    <w:rsid w:val="008D17BE"/>
    <w:rsid w:val="008D2701"/>
    <w:rsid w:val="008E2476"/>
    <w:rsid w:val="00913BA0"/>
    <w:rsid w:val="00926B46"/>
    <w:rsid w:val="00934E55"/>
    <w:rsid w:val="00936A85"/>
    <w:rsid w:val="00943678"/>
    <w:rsid w:val="00972E66"/>
    <w:rsid w:val="0099686A"/>
    <w:rsid w:val="009B2D47"/>
    <w:rsid w:val="009C690B"/>
    <w:rsid w:val="009C79AC"/>
    <w:rsid w:val="009E7768"/>
    <w:rsid w:val="00A06434"/>
    <w:rsid w:val="00A102A2"/>
    <w:rsid w:val="00A437E1"/>
    <w:rsid w:val="00A61787"/>
    <w:rsid w:val="00AB4731"/>
    <w:rsid w:val="00B316EE"/>
    <w:rsid w:val="00B7524A"/>
    <w:rsid w:val="00BB2CB2"/>
    <w:rsid w:val="00BD56A3"/>
    <w:rsid w:val="00BD6086"/>
    <w:rsid w:val="00C243AB"/>
    <w:rsid w:val="00C41343"/>
    <w:rsid w:val="00C41AC5"/>
    <w:rsid w:val="00C6738F"/>
    <w:rsid w:val="00C716C2"/>
    <w:rsid w:val="00C71D01"/>
    <w:rsid w:val="00C73D0C"/>
    <w:rsid w:val="00C82E52"/>
    <w:rsid w:val="00C8422F"/>
    <w:rsid w:val="00C85A60"/>
    <w:rsid w:val="00CA0FF7"/>
    <w:rsid w:val="00CA3EC6"/>
    <w:rsid w:val="00CA4545"/>
    <w:rsid w:val="00CC31BE"/>
    <w:rsid w:val="00CD1B67"/>
    <w:rsid w:val="00CE4F03"/>
    <w:rsid w:val="00CE686F"/>
    <w:rsid w:val="00CE7B68"/>
    <w:rsid w:val="00CF5A45"/>
    <w:rsid w:val="00D179A3"/>
    <w:rsid w:val="00D216D1"/>
    <w:rsid w:val="00D42573"/>
    <w:rsid w:val="00D6723F"/>
    <w:rsid w:val="00D7423D"/>
    <w:rsid w:val="00D830A5"/>
    <w:rsid w:val="00DA1757"/>
    <w:rsid w:val="00DC3865"/>
    <w:rsid w:val="00DC5A62"/>
    <w:rsid w:val="00DD2C92"/>
    <w:rsid w:val="00DE0424"/>
    <w:rsid w:val="00DE09B0"/>
    <w:rsid w:val="00E02438"/>
    <w:rsid w:val="00E05B69"/>
    <w:rsid w:val="00E06C3C"/>
    <w:rsid w:val="00E11E84"/>
    <w:rsid w:val="00E147EE"/>
    <w:rsid w:val="00E20007"/>
    <w:rsid w:val="00E21EED"/>
    <w:rsid w:val="00E531C7"/>
    <w:rsid w:val="00E80AA7"/>
    <w:rsid w:val="00E80BAA"/>
    <w:rsid w:val="00E95F9D"/>
    <w:rsid w:val="00EC716D"/>
    <w:rsid w:val="00ED5F55"/>
    <w:rsid w:val="00EE1897"/>
    <w:rsid w:val="00EE1F75"/>
    <w:rsid w:val="00EF3868"/>
    <w:rsid w:val="00F03121"/>
    <w:rsid w:val="00F03289"/>
    <w:rsid w:val="00F04FA2"/>
    <w:rsid w:val="00F35F9B"/>
    <w:rsid w:val="00F72617"/>
    <w:rsid w:val="00F87BF6"/>
    <w:rsid w:val="00FA6F27"/>
    <w:rsid w:val="00FB0F7A"/>
    <w:rsid w:val="00FB7DA7"/>
    <w:rsid w:val="00FC70A0"/>
    <w:rsid w:val="00FE6B92"/>
    <w:rsid w:val="00FF0037"/>
    <w:rsid w:val="00FF6B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56D93-B6D2-481A-8C50-1AD0188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F55"/>
    <w:pPr>
      <w:spacing w:after="240" w:line="260" w:lineRule="exact"/>
      <w:jc w:val="both"/>
    </w:pPr>
    <w:rPr>
      <w:rFonts w:ascii="Book Antiqua" w:eastAsia="SimSun" w:hAnsi="Book Antiqua" w:cs="Times New Roman"/>
      <w:sz w:val="20"/>
      <w:szCs w:val="24"/>
    </w:rPr>
  </w:style>
  <w:style w:type="paragraph" w:styleId="Heading1">
    <w:name w:val="heading 1"/>
    <w:basedOn w:val="Normal"/>
    <w:next w:val="Normal"/>
    <w:link w:val="Heading1Char"/>
    <w:uiPriority w:val="9"/>
    <w:qFormat/>
    <w:rsid w:val="00ED5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5F55"/>
    <w:pPr>
      <w:tabs>
        <w:tab w:val="center" w:pos="3856"/>
        <w:tab w:val="right" w:pos="7711"/>
      </w:tabs>
    </w:pPr>
    <w:rPr>
      <w:rFonts w:ascii="Tahoma" w:hAnsi="Tahoma"/>
      <w:sz w:val="18"/>
    </w:rPr>
  </w:style>
  <w:style w:type="character" w:customStyle="1" w:styleId="HeaderChar">
    <w:name w:val="Header Char"/>
    <w:basedOn w:val="DefaultParagraphFont"/>
    <w:link w:val="Header"/>
    <w:rsid w:val="00ED5F55"/>
    <w:rPr>
      <w:rFonts w:ascii="Tahoma" w:eastAsia="SimSun" w:hAnsi="Tahoma" w:cs="Times New Roman"/>
      <w:sz w:val="18"/>
      <w:szCs w:val="24"/>
    </w:rPr>
  </w:style>
  <w:style w:type="paragraph" w:styleId="Footer">
    <w:name w:val="footer"/>
    <w:basedOn w:val="Normal"/>
    <w:link w:val="FooterChar"/>
    <w:uiPriority w:val="99"/>
    <w:rsid w:val="00ED5F55"/>
    <w:pPr>
      <w:spacing w:after="0"/>
    </w:pPr>
    <w:rPr>
      <w:rFonts w:ascii="Tahoma" w:hAnsi="Tahoma"/>
    </w:rPr>
  </w:style>
  <w:style w:type="character" w:customStyle="1" w:styleId="FooterChar">
    <w:name w:val="Footer Char"/>
    <w:basedOn w:val="DefaultParagraphFont"/>
    <w:link w:val="Footer"/>
    <w:uiPriority w:val="99"/>
    <w:rsid w:val="00ED5F55"/>
    <w:rPr>
      <w:rFonts w:ascii="Tahoma" w:eastAsia="SimSun" w:hAnsi="Tahoma" w:cs="Times New Roman"/>
      <w:sz w:val="20"/>
      <w:szCs w:val="24"/>
    </w:rPr>
  </w:style>
  <w:style w:type="character" w:styleId="PageNumber">
    <w:name w:val="page number"/>
    <w:basedOn w:val="DefaultParagraphFont"/>
    <w:rsid w:val="00ED5F55"/>
  </w:style>
  <w:style w:type="paragraph" w:customStyle="1" w:styleId="StatementContentsHeading">
    <w:name w:val="StatementContentsHeading"/>
    <w:basedOn w:val="Heading1"/>
    <w:next w:val="Normal"/>
    <w:rsid w:val="00ED5F55"/>
    <w:pPr>
      <w:keepLines w:val="0"/>
      <w:spacing w:before="0" w:after="240"/>
      <w:jc w:val="center"/>
    </w:pPr>
    <w:rPr>
      <w:rFonts w:ascii="Tahoma" w:eastAsia="SimSun" w:hAnsi="Tahoma" w:cs="Times New Roman"/>
      <w:bCs w:val="0"/>
      <w:smallCaps/>
      <w:color w:val="auto"/>
      <w:kern w:val="28"/>
      <w:sz w:val="34"/>
      <w:szCs w:val="24"/>
    </w:rPr>
  </w:style>
  <w:style w:type="paragraph" w:styleId="Title">
    <w:name w:val="Title"/>
    <w:basedOn w:val="Normal"/>
    <w:link w:val="TitleChar"/>
    <w:uiPriority w:val="10"/>
    <w:qFormat/>
    <w:rsid w:val="00ED5F55"/>
    <w:pPr>
      <w:spacing w:line="240" w:lineRule="auto"/>
      <w:jc w:val="center"/>
    </w:pPr>
    <w:rPr>
      <w:rFonts w:ascii="Tahoma" w:hAnsi="Tahoma"/>
      <w:smallCaps/>
      <w:color w:val="000000"/>
      <w:sz w:val="34"/>
      <w:szCs w:val="20"/>
    </w:rPr>
  </w:style>
  <w:style w:type="character" w:customStyle="1" w:styleId="TitleChar">
    <w:name w:val="Title Char"/>
    <w:basedOn w:val="DefaultParagraphFont"/>
    <w:link w:val="Title"/>
    <w:uiPriority w:val="10"/>
    <w:rsid w:val="00ED5F55"/>
    <w:rPr>
      <w:rFonts w:ascii="Tahoma" w:eastAsia="SimSun" w:hAnsi="Tahoma" w:cs="Times New Roman"/>
      <w:smallCaps/>
      <w:color w:val="000000"/>
      <w:sz w:val="34"/>
      <w:szCs w:val="20"/>
    </w:rPr>
  </w:style>
  <w:style w:type="paragraph" w:styleId="IntenseQuote">
    <w:name w:val="Intense Quote"/>
    <w:basedOn w:val="Normal"/>
    <w:next w:val="Normal"/>
    <w:link w:val="IntenseQuoteChar"/>
    <w:uiPriority w:val="30"/>
    <w:qFormat/>
    <w:rsid w:val="00ED5F55"/>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basedOn w:val="DefaultParagraphFont"/>
    <w:link w:val="IntenseQuote"/>
    <w:uiPriority w:val="30"/>
    <w:rsid w:val="00ED5F55"/>
    <w:rPr>
      <w:rFonts w:ascii="Calibri" w:eastAsia="Calibri" w:hAnsi="Calibri" w:cs="Times New Roman"/>
      <w:b/>
      <w:bCs/>
      <w:i/>
      <w:iCs/>
      <w:color w:val="4F81BD"/>
    </w:rPr>
  </w:style>
  <w:style w:type="character" w:customStyle="1" w:styleId="Heading1Char">
    <w:name w:val="Heading 1 Char"/>
    <w:basedOn w:val="DefaultParagraphFont"/>
    <w:link w:val="Heading1"/>
    <w:uiPriority w:val="9"/>
    <w:rsid w:val="00ED5F55"/>
    <w:rPr>
      <w:rFonts w:asciiTheme="majorHAnsi" w:eastAsiaTheme="majorEastAsia" w:hAnsiTheme="majorHAnsi" w:cstheme="majorBidi"/>
      <w:b/>
      <w:bCs/>
      <w:color w:val="365F91" w:themeColor="accent1" w:themeShade="BF"/>
      <w:sz w:val="28"/>
      <w:szCs w:val="28"/>
    </w:rPr>
  </w:style>
  <w:style w:type="paragraph" w:customStyle="1" w:styleId="OutlineNumbered1">
    <w:name w:val="Outline Numbered 1"/>
    <w:basedOn w:val="Normal"/>
    <w:link w:val="OutlineNumbered1Char"/>
    <w:rsid w:val="00ED5F55"/>
    <w:pPr>
      <w:numPr>
        <w:numId w:val="1"/>
      </w:numPr>
    </w:pPr>
  </w:style>
  <w:style w:type="character" w:customStyle="1" w:styleId="OutlineNumbered1Char">
    <w:name w:val="Outline Numbered 1 Char"/>
    <w:basedOn w:val="DefaultParagraphFont"/>
    <w:link w:val="OutlineNumbered1"/>
    <w:rsid w:val="00ED5F55"/>
    <w:rPr>
      <w:rFonts w:ascii="Book Antiqua" w:eastAsia="SimSun" w:hAnsi="Book Antiqua" w:cs="Times New Roman"/>
      <w:sz w:val="20"/>
      <w:szCs w:val="24"/>
    </w:rPr>
  </w:style>
  <w:style w:type="paragraph" w:customStyle="1" w:styleId="OutlineNumbered2">
    <w:name w:val="Outline Numbered 2"/>
    <w:basedOn w:val="Normal"/>
    <w:link w:val="OutlineNumbered2Char"/>
    <w:rsid w:val="00ED5F55"/>
    <w:pPr>
      <w:numPr>
        <w:ilvl w:val="1"/>
        <w:numId w:val="1"/>
      </w:numPr>
      <w:tabs>
        <w:tab w:val="clear" w:pos="1465"/>
        <w:tab w:val="num" w:pos="944"/>
      </w:tabs>
      <w:ind w:left="944"/>
    </w:pPr>
  </w:style>
  <w:style w:type="character" w:customStyle="1" w:styleId="OutlineNumbered2Char">
    <w:name w:val="Outline Numbered 2 Char"/>
    <w:basedOn w:val="DefaultParagraphFont"/>
    <w:link w:val="OutlineNumbered2"/>
    <w:rsid w:val="00ED5F55"/>
    <w:rPr>
      <w:rFonts w:ascii="Book Antiqua" w:eastAsia="SimSun" w:hAnsi="Book Antiqua" w:cs="Times New Roman"/>
      <w:sz w:val="20"/>
      <w:szCs w:val="24"/>
    </w:rPr>
  </w:style>
  <w:style w:type="paragraph" w:customStyle="1" w:styleId="OutlineNumbered3">
    <w:name w:val="Outline Numbered 3"/>
    <w:basedOn w:val="Normal"/>
    <w:link w:val="OutlineNumbered3Char"/>
    <w:rsid w:val="00ED5F55"/>
    <w:pPr>
      <w:numPr>
        <w:ilvl w:val="2"/>
        <w:numId w:val="1"/>
      </w:numPr>
    </w:pPr>
  </w:style>
  <w:style w:type="character" w:customStyle="1" w:styleId="OutlineNumbered3Char">
    <w:name w:val="Outline Numbered 3 Char"/>
    <w:basedOn w:val="DefaultParagraphFont"/>
    <w:link w:val="OutlineNumbered3"/>
    <w:rsid w:val="00ED5F55"/>
    <w:rPr>
      <w:rFonts w:ascii="Book Antiqua" w:eastAsia="SimSun" w:hAnsi="Book Antiqua" w:cs="Times New Roman"/>
      <w:sz w:val="20"/>
      <w:szCs w:val="24"/>
    </w:rPr>
  </w:style>
  <w:style w:type="paragraph" w:styleId="BalloonText">
    <w:name w:val="Balloon Text"/>
    <w:basedOn w:val="Normal"/>
    <w:link w:val="BalloonTextChar"/>
    <w:uiPriority w:val="99"/>
    <w:semiHidden/>
    <w:unhideWhenUsed/>
    <w:rsid w:val="00943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678"/>
    <w:rPr>
      <w:rFonts w:ascii="Tahoma" w:eastAsia="SimSun" w:hAnsi="Tahoma" w:cs="Tahoma"/>
      <w:sz w:val="16"/>
      <w:szCs w:val="16"/>
    </w:rPr>
  </w:style>
  <w:style w:type="paragraph" w:styleId="ListParagraph">
    <w:name w:val="List Paragraph"/>
    <w:basedOn w:val="Normal"/>
    <w:link w:val="ListParagraphChar"/>
    <w:uiPriority w:val="34"/>
    <w:qFormat/>
    <w:rsid w:val="0050033C"/>
    <w:pPr>
      <w:spacing w:after="160" w:line="259"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qFormat/>
    <w:rsid w:val="0050033C"/>
  </w:style>
  <w:style w:type="table" w:styleId="TableGrid">
    <w:name w:val="Table Grid"/>
    <w:basedOn w:val="TableNormal"/>
    <w:uiPriority w:val="59"/>
    <w:rsid w:val="007A0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F2B"/>
    <w:rPr>
      <w:sz w:val="16"/>
      <w:szCs w:val="16"/>
    </w:rPr>
  </w:style>
  <w:style w:type="paragraph" w:styleId="CommentText">
    <w:name w:val="annotation text"/>
    <w:basedOn w:val="Normal"/>
    <w:link w:val="CommentTextChar"/>
    <w:uiPriority w:val="99"/>
    <w:semiHidden/>
    <w:unhideWhenUsed/>
    <w:rsid w:val="005D0F2B"/>
    <w:pPr>
      <w:spacing w:line="240" w:lineRule="auto"/>
    </w:pPr>
    <w:rPr>
      <w:szCs w:val="20"/>
    </w:rPr>
  </w:style>
  <w:style w:type="character" w:customStyle="1" w:styleId="CommentTextChar">
    <w:name w:val="Comment Text Char"/>
    <w:basedOn w:val="DefaultParagraphFont"/>
    <w:link w:val="CommentText"/>
    <w:uiPriority w:val="99"/>
    <w:semiHidden/>
    <w:rsid w:val="005D0F2B"/>
    <w:rPr>
      <w:rFonts w:ascii="Book Antiqua" w:eastAsia="SimSu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5D0F2B"/>
    <w:rPr>
      <w:b/>
      <w:bCs/>
    </w:rPr>
  </w:style>
  <w:style w:type="character" w:customStyle="1" w:styleId="CommentSubjectChar">
    <w:name w:val="Comment Subject Char"/>
    <w:basedOn w:val="CommentTextChar"/>
    <w:link w:val="CommentSubject"/>
    <w:uiPriority w:val="99"/>
    <w:semiHidden/>
    <w:rsid w:val="005D0F2B"/>
    <w:rPr>
      <w:rFonts w:ascii="Book Antiqua" w:eastAsia="SimSun" w:hAnsi="Book Antiqua" w:cs="Times New Roman"/>
      <w:b/>
      <w:bCs/>
      <w:sz w:val="20"/>
      <w:szCs w:val="20"/>
    </w:rPr>
  </w:style>
  <w:style w:type="paragraph" w:styleId="NormalWeb">
    <w:name w:val="Normal (Web)"/>
    <w:basedOn w:val="Normal"/>
    <w:uiPriority w:val="99"/>
    <w:semiHidden/>
    <w:unhideWhenUsed/>
    <w:rsid w:val="0077579B"/>
    <w:pPr>
      <w:spacing w:before="180" w:after="180" w:line="255" w:lineRule="atLeast"/>
      <w:jc w:val="left"/>
    </w:pPr>
    <w:rPr>
      <w:rFonts w:ascii="Times New Roman" w:eastAsia="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75033">
      <w:bodyDiv w:val="1"/>
      <w:marLeft w:val="0"/>
      <w:marRight w:val="0"/>
      <w:marTop w:val="0"/>
      <w:marBottom w:val="0"/>
      <w:divBdr>
        <w:top w:val="none" w:sz="0" w:space="0" w:color="auto"/>
        <w:left w:val="none" w:sz="0" w:space="0" w:color="auto"/>
        <w:bottom w:val="none" w:sz="0" w:space="0" w:color="auto"/>
        <w:right w:val="none" w:sz="0" w:space="0" w:color="auto"/>
      </w:divBdr>
    </w:div>
    <w:div w:id="371223544">
      <w:bodyDiv w:val="1"/>
      <w:marLeft w:val="0"/>
      <w:marRight w:val="0"/>
      <w:marTop w:val="0"/>
      <w:marBottom w:val="0"/>
      <w:divBdr>
        <w:top w:val="none" w:sz="0" w:space="0" w:color="auto"/>
        <w:left w:val="none" w:sz="0" w:space="0" w:color="auto"/>
        <w:bottom w:val="none" w:sz="0" w:space="0" w:color="auto"/>
        <w:right w:val="none" w:sz="0" w:space="0" w:color="auto"/>
      </w:divBdr>
    </w:div>
    <w:div w:id="669524089">
      <w:bodyDiv w:val="1"/>
      <w:marLeft w:val="0"/>
      <w:marRight w:val="0"/>
      <w:marTop w:val="0"/>
      <w:marBottom w:val="0"/>
      <w:divBdr>
        <w:top w:val="none" w:sz="0" w:space="0" w:color="auto"/>
        <w:left w:val="none" w:sz="0" w:space="0" w:color="auto"/>
        <w:bottom w:val="none" w:sz="0" w:space="0" w:color="auto"/>
        <w:right w:val="none" w:sz="0" w:space="0" w:color="auto"/>
      </w:divBdr>
    </w:div>
    <w:div w:id="677925540">
      <w:bodyDiv w:val="1"/>
      <w:marLeft w:val="0"/>
      <w:marRight w:val="0"/>
      <w:marTop w:val="0"/>
      <w:marBottom w:val="0"/>
      <w:divBdr>
        <w:top w:val="none" w:sz="0" w:space="0" w:color="auto"/>
        <w:left w:val="none" w:sz="0" w:space="0" w:color="auto"/>
        <w:bottom w:val="none" w:sz="0" w:space="0" w:color="auto"/>
        <w:right w:val="none" w:sz="0" w:space="0" w:color="auto"/>
      </w:divBdr>
    </w:div>
    <w:div w:id="705914451">
      <w:bodyDiv w:val="1"/>
      <w:marLeft w:val="0"/>
      <w:marRight w:val="0"/>
      <w:marTop w:val="0"/>
      <w:marBottom w:val="0"/>
      <w:divBdr>
        <w:top w:val="none" w:sz="0" w:space="0" w:color="auto"/>
        <w:left w:val="none" w:sz="0" w:space="0" w:color="auto"/>
        <w:bottom w:val="none" w:sz="0" w:space="0" w:color="auto"/>
        <w:right w:val="none" w:sz="0" w:space="0" w:color="auto"/>
      </w:divBdr>
    </w:div>
    <w:div w:id="802043659">
      <w:bodyDiv w:val="1"/>
      <w:marLeft w:val="0"/>
      <w:marRight w:val="0"/>
      <w:marTop w:val="0"/>
      <w:marBottom w:val="0"/>
      <w:divBdr>
        <w:top w:val="none" w:sz="0" w:space="0" w:color="auto"/>
        <w:left w:val="none" w:sz="0" w:space="0" w:color="auto"/>
        <w:bottom w:val="none" w:sz="0" w:space="0" w:color="auto"/>
        <w:right w:val="none" w:sz="0" w:space="0" w:color="auto"/>
      </w:divBdr>
    </w:div>
    <w:div w:id="1516767600">
      <w:bodyDiv w:val="1"/>
      <w:marLeft w:val="0"/>
      <w:marRight w:val="0"/>
      <w:marTop w:val="0"/>
      <w:marBottom w:val="0"/>
      <w:divBdr>
        <w:top w:val="none" w:sz="0" w:space="0" w:color="auto"/>
        <w:left w:val="none" w:sz="0" w:space="0" w:color="auto"/>
        <w:bottom w:val="none" w:sz="0" w:space="0" w:color="auto"/>
        <w:right w:val="none" w:sz="0" w:space="0" w:color="auto"/>
      </w:divBdr>
    </w:div>
    <w:div w:id="2033460469">
      <w:bodyDiv w:val="1"/>
      <w:marLeft w:val="0"/>
      <w:marRight w:val="0"/>
      <w:marTop w:val="0"/>
      <w:marBottom w:val="0"/>
      <w:divBdr>
        <w:top w:val="none" w:sz="0" w:space="0" w:color="auto"/>
        <w:left w:val="none" w:sz="0" w:space="0" w:color="auto"/>
        <w:bottom w:val="none" w:sz="0" w:space="0" w:color="auto"/>
        <w:right w:val="none" w:sz="0" w:space="0" w:color="auto"/>
      </w:divBdr>
      <w:divsChild>
        <w:div w:id="1187670790">
          <w:marLeft w:val="0"/>
          <w:marRight w:val="0"/>
          <w:marTop w:val="0"/>
          <w:marBottom w:val="0"/>
          <w:divBdr>
            <w:top w:val="none" w:sz="0" w:space="0" w:color="auto"/>
            <w:left w:val="none" w:sz="0" w:space="0" w:color="auto"/>
            <w:bottom w:val="none" w:sz="0" w:space="0" w:color="auto"/>
            <w:right w:val="none" w:sz="0" w:space="0" w:color="auto"/>
          </w:divBdr>
          <w:divsChild>
            <w:div w:id="503545536">
              <w:marLeft w:val="0"/>
              <w:marRight w:val="0"/>
              <w:marTop w:val="0"/>
              <w:marBottom w:val="0"/>
              <w:divBdr>
                <w:top w:val="none" w:sz="0" w:space="0" w:color="auto"/>
                <w:left w:val="none" w:sz="0" w:space="0" w:color="auto"/>
                <w:bottom w:val="none" w:sz="0" w:space="0" w:color="auto"/>
                <w:right w:val="none" w:sz="0" w:space="0" w:color="auto"/>
              </w:divBdr>
              <w:divsChild>
                <w:div w:id="489642515">
                  <w:marLeft w:val="0"/>
                  <w:marRight w:val="0"/>
                  <w:marTop w:val="0"/>
                  <w:marBottom w:val="0"/>
                  <w:divBdr>
                    <w:top w:val="none" w:sz="0" w:space="0" w:color="auto"/>
                    <w:left w:val="none" w:sz="0" w:space="0" w:color="auto"/>
                    <w:bottom w:val="none" w:sz="0" w:space="0" w:color="auto"/>
                    <w:right w:val="none" w:sz="0" w:space="0" w:color="auto"/>
                  </w:divBdr>
                  <w:divsChild>
                    <w:div w:id="6423872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1064</TotalTime>
  <Pages>3</Pages>
  <Words>772</Words>
  <Characters>3826</Characters>
  <Application>Microsoft Office Word</Application>
  <DocSecurity>0</DocSecurity>
  <Lines>70</Lines>
  <Paragraphs>15</Paragraphs>
  <ScaleCrop>false</ScaleCrop>
  <HeadingPairs>
    <vt:vector size="2" baseType="variant">
      <vt:variant>
        <vt:lpstr>Title</vt:lpstr>
      </vt:variant>
      <vt:variant>
        <vt:i4>1</vt:i4>
      </vt:variant>
    </vt:vector>
  </HeadingPairs>
  <TitlesOfParts>
    <vt:vector size="1" baseType="lpstr">
      <vt:lpstr>Joint Economic Forecasting Group Report - December 2016</vt:lpstr>
    </vt:vector>
  </TitlesOfParts>
  <Company>Australian Government - The Treasury</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December 2016</dc:title>
  <dc:creator>Treasury</dc:creator>
  <cp:lastModifiedBy>Hill, Christine</cp:lastModifiedBy>
  <cp:revision>28</cp:revision>
  <cp:lastPrinted>2017-03-22T23:06:00Z</cp:lastPrinted>
  <dcterms:created xsi:type="dcterms:W3CDTF">2017-03-14T21:03:00Z</dcterms:created>
  <dcterms:modified xsi:type="dcterms:W3CDTF">2019-08-19T03:42:00Z</dcterms:modified>
</cp:coreProperties>
</file>