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24B28" w14:textId="77777777" w:rsidR="000E0B74" w:rsidRPr="006D0240" w:rsidRDefault="000E0B74" w:rsidP="008E6292"/>
    <w:p w14:paraId="7FEA0E00" w14:textId="77777777" w:rsidR="000E0B74" w:rsidRPr="006D0240" w:rsidRDefault="000E0B74" w:rsidP="00C72318">
      <w:pPr>
        <w:pStyle w:val="Crest"/>
        <w:spacing w:after="3000"/>
        <w:jc w:val="right"/>
      </w:pPr>
    </w:p>
    <w:p w14:paraId="51281959" w14:textId="332C5CDD" w:rsidR="00B134A9" w:rsidRPr="00B134A9" w:rsidRDefault="005B6D0B" w:rsidP="00B134A9">
      <w:pPr>
        <w:pStyle w:val="Title"/>
        <w:rPr>
          <w:rFonts w:asciiTheme="minorHAnsi" w:eastAsiaTheme="minorHAnsi" w:hAnsiTheme="minorHAnsi" w:cstheme="minorBidi"/>
          <w:caps/>
          <w:color w:val="auto"/>
          <w:spacing w:val="0"/>
          <w:kern w:val="0"/>
          <w:szCs w:val="72"/>
          <w:lang w:eastAsia="en-US"/>
        </w:rPr>
      </w:pPr>
      <w:r>
        <w:rPr>
          <w:caps/>
          <w:color w:val="auto"/>
          <w:szCs w:val="72"/>
        </w:rPr>
        <w:t>Consumer data right</w:t>
      </w:r>
      <w:r w:rsidR="005C4410">
        <w:rPr>
          <w:caps/>
          <w:color w:val="auto"/>
          <w:szCs w:val="72"/>
        </w:rPr>
        <w:t xml:space="preserve"> overview</w:t>
      </w:r>
    </w:p>
    <w:p w14:paraId="0A615536" w14:textId="77777777" w:rsidR="000E0B74" w:rsidRPr="00A524B9" w:rsidRDefault="000E0B74" w:rsidP="000E0B74">
      <w:pPr>
        <w:pStyle w:val="Title"/>
      </w:pPr>
    </w:p>
    <w:p w14:paraId="530E9EFB" w14:textId="5C80E9E5" w:rsidR="00056880" w:rsidRDefault="00032124" w:rsidP="000E0B74">
      <w:pPr>
        <w:pStyle w:val="ReportDate"/>
        <w:ind w:right="0"/>
        <w:rPr>
          <w:rFonts w:ascii="Rockwell" w:hAnsi="Rockwell"/>
          <w:sz w:val="24"/>
        </w:rPr>
      </w:pPr>
      <w:r>
        <w:rPr>
          <w:rStyle w:val="ReportDateChar"/>
        </w:rPr>
        <w:t>September</w:t>
      </w:r>
      <w:r w:rsidR="00165743">
        <w:rPr>
          <w:rStyle w:val="ReportDateChar"/>
        </w:rPr>
        <w:t xml:space="preserve"> 2019</w:t>
      </w:r>
    </w:p>
    <w:p w14:paraId="72F5DD05" w14:textId="77777777" w:rsidR="002F617F" w:rsidRPr="005D561D" w:rsidRDefault="002F617F" w:rsidP="002F617F">
      <w:pPr>
        <w:pStyle w:val="Divider"/>
      </w:pPr>
    </w:p>
    <w:p w14:paraId="5D2D00DA" w14:textId="77777777" w:rsidR="002F617F" w:rsidRDefault="002F617F"/>
    <w:p w14:paraId="22868496" w14:textId="77777777" w:rsidR="000E0B74" w:rsidRDefault="000E0B74" w:rsidP="000E0B74">
      <w:pPr>
        <w:rPr>
          <w:rFonts w:cs="Calibri"/>
          <w:sz w:val="20"/>
        </w:rPr>
      </w:pPr>
    </w:p>
    <w:p w14:paraId="1D993CB8" w14:textId="77777777" w:rsidR="000E0B74" w:rsidRDefault="000E0B74" w:rsidP="000E0B74">
      <w:pPr>
        <w:sectPr w:rsidR="000E0B74" w:rsidSect="005D1427">
          <w:headerReference w:type="default" r:id="rId13"/>
          <w:footerReference w:type="even" r:id="rId14"/>
          <w:footerReference w:type="default" r:id="rId15"/>
          <w:pgSz w:w="11906" w:h="16838"/>
          <w:pgMar w:top="1418" w:right="1418" w:bottom="1418" w:left="1418" w:header="709" w:footer="709" w:gutter="0"/>
          <w:cols w:space="720"/>
        </w:sectPr>
      </w:pPr>
    </w:p>
    <w:p w14:paraId="1ABB2A99" w14:textId="29090C40" w:rsidR="000E0B74" w:rsidRDefault="000E0B74" w:rsidP="000E0B74">
      <w:pPr>
        <w:spacing w:before="240"/>
      </w:pPr>
      <w:r w:rsidRPr="00661BF0">
        <w:lastRenderedPageBreak/>
        <w:t xml:space="preserve">© Commonwealth of Australia </w:t>
      </w:r>
      <w:r w:rsidRPr="00B134A9">
        <w:t>201</w:t>
      </w:r>
      <w:r w:rsidR="00165743">
        <w:t>9</w:t>
      </w:r>
    </w:p>
    <w:p w14:paraId="195DFB90" w14:textId="77777777"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6"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7"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45887DD5" w14:textId="77777777" w:rsidR="000E0B74" w:rsidRDefault="000E0B74" w:rsidP="000E0B74">
      <w:pPr>
        <w:pStyle w:val="ChartGraphic"/>
        <w:jc w:val="left"/>
      </w:pPr>
      <w:r w:rsidRPr="00E56DFB">
        <w:rPr>
          <w:noProof/>
        </w:rPr>
        <w:drawing>
          <wp:inline distT="0" distB="0" distL="0" distR="0" wp14:anchorId="276A8AA2" wp14:editId="3D553CD9">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05028E6"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9"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3E3DD533"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6528D09B"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69D7A44C" w14:textId="77777777" w:rsidR="000E0B74" w:rsidRPr="00A13A11" w:rsidRDefault="000E0B74" w:rsidP="000E0B74">
      <w:pPr>
        <w:ind w:firstLine="720"/>
      </w:pPr>
      <w:r w:rsidRPr="002F1BC2">
        <w:rPr>
          <w:i/>
        </w:rPr>
        <w:t xml:space="preserve">Source: The </w:t>
      </w:r>
      <w:r w:rsidRPr="002F1BC2">
        <w:rPr>
          <w:i/>
          <w:iCs/>
        </w:rPr>
        <w:t xml:space="preserve">Australian Government the Treasury </w:t>
      </w:r>
    </w:p>
    <w:p w14:paraId="10C6D739" w14:textId="77777777" w:rsidR="000E0B74" w:rsidRPr="006627B4" w:rsidRDefault="000E0B74" w:rsidP="000E0B74">
      <w:pPr>
        <w:spacing w:before="240"/>
      </w:pPr>
      <w:r w:rsidRPr="00CC63CC">
        <w:rPr>
          <w:b/>
        </w:rPr>
        <w:t>Derivative</w:t>
      </w:r>
      <w:r w:rsidRPr="006627B4">
        <w:t xml:space="preserve"> </w:t>
      </w:r>
      <w:r w:rsidRPr="00CC63CC">
        <w:rPr>
          <w:b/>
        </w:rPr>
        <w:t>material</w:t>
      </w:r>
    </w:p>
    <w:p w14:paraId="373B507E"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798BC0BF" w14:textId="77777777" w:rsidR="000E0B74" w:rsidRPr="006627B4" w:rsidRDefault="000E0B74" w:rsidP="000E0B74">
      <w:pPr>
        <w:ind w:firstLine="720"/>
      </w:pPr>
      <w:r w:rsidRPr="002F1BC2">
        <w:rPr>
          <w:i/>
        </w:rPr>
        <w:t>Based on The Australian Government the Treasury data</w:t>
      </w:r>
      <w:r w:rsidRPr="006627B4">
        <w:t xml:space="preserve"> </w:t>
      </w:r>
    </w:p>
    <w:p w14:paraId="016E4A77" w14:textId="77777777" w:rsidR="000E0B74" w:rsidRPr="006627B4" w:rsidRDefault="000E0B74" w:rsidP="000E0B74">
      <w:pPr>
        <w:spacing w:before="240"/>
        <w:rPr>
          <w:b/>
        </w:rPr>
      </w:pPr>
      <w:r w:rsidRPr="006627B4">
        <w:rPr>
          <w:b/>
        </w:rPr>
        <w:t>Use of the Coat of Arms</w:t>
      </w:r>
    </w:p>
    <w:p w14:paraId="7F2B5A12" w14:textId="77777777" w:rsidR="000E0B74" w:rsidRPr="006627B4" w:rsidRDefault="000E0B74" w:rsidP="000E0B74">
      <w:r w:rsidRPr="006627B4">
        <w:t xml:space="preserve">The terms under which the Coat of Arms can be used are set out on the It’s an Honour website (see </w:t>
      </w:r>
      <w:hyperlink r:id="rId20" w:history="1">
        <w:r w:rsidRPr="004A0F11">
          <w:rPr>
            <w:rStyle w:val="Hyperlink"/>
          </w:rPr>
          <w:t>www.itsanhonour.gov.au</w:t>
        </w:r>
      </w:hyperlink>
      <w:r w:rsidRPr="006627B4">
        <w:t>)</w:t>
      </w:r>
      <w:r>
        <w:t>.</w:t>
      </w:r>
    </w:p>
    <w:p w14:paraId="3D2B5023" w14:textId="77777777" w:rsidR="000E0B74" w:rsidRPr="006627B4" w:rsidRDefault="000E0B74" w:rsidP="000E0B74">
      <w:pPr>
        <w:spacing w:before="240"/>
        <w:rPr>
          <w:b/>
        </w:rPr>
      </w:pPr>
      <w:r>
        <w:rPr>
          <w:b/>
        </w:rPr>
        <w:t>Other u</w:t>
      </w:r>
      <w:r w:rsidRPr="006627B4">
        <w:rPr>
          <w:b/>
        </w:rPr>
        <w:t>ses</w:t>
      </w:r>
    </w:p>
    <w:p w14:paraId="41AE2DCD" w14:textId="77777777" w:rsidR="000E0B74" w:rsidRPr="006627B4" w:rsidRDefault="000E0B74" w:rsidP="000E0B74">
      <w:r>
        <w:t>E</w:t>
      </w:r>
      <w:r w:rsidRPr="006627B4">
        <w:t>nquiries regarding this licence and any other use of this document are welcome at:</w:t>
      </w:r>
    </w:p>
    <w:p w14:paraId="521FD834" w14:textId="77777777" w:rsidR="00F836F9" w:rsidRDefault="000E0B74" w:rsidP="001C6195">
      <w:pPr>
        <w:ind w:left="720"/>
        <w:sectPr w:rsidR="00F836F9" w:rsidSect="005D1427">
          <w:footerReference w:type="default" r:id="rId21"/>
          <w:pgSz w:w="11906" w:h="16838" w:code="9"/>
          <w:pgMar w:top="1418" w:right="1418" w:bottom="1418" w:left="1418" w:header="709" w:footer="709" w:gutter="0"/>
          <w:pgNumType w:fmt="lowerRoman"/>
          <w:cols w:space="708"/>
          <w:docGrid w:linePitch="360"/>
        </w:sectPr>
      </w:pPr>
      <w:r w:rsidRPr="006627B4">
        <w:t>Manager</w:t>
      </w:r>
      <w:r w:rsidR="00A72960">
        <w:br/>
      </w:r>
      <w:r>
        <w:t>Media and Speeches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22" w:history="1">
        <w:r w:rsidRPr="00B31CFB">
          <w:rPr>
            <w:rStyle w:val="Hyperlink"/>
          </w:rPr>
          <w:t>medialiaison@treasury.gov.au</w:t>
        </w:r>
      </w:hyperlink>
    </w:p>
    <w:p w14:paraId="2AB62EB7" w14:textId="77777777" w:rsidR="000E0B74" w:rsidRPr="00ED63A6" w:rsidRDefault="000E0B74" w:rsidP="00ED63A6">
      <w:pPr>
        <w:rPr>
          <w:color w:val="2F5496" w:themeColor="accent5" w:themeShade="BF"/>
          <w:sz w:val="48"/>
        </w:rPr>
      </w:pPr>
      <w:r w:rsidRPr="00ED63A6">
        <w:rPr>
          <w:color w:val="2F5496" w:themeColor="accent5" w:themeShade="BF"/>
          <w:sz w:val="48"/>
        </w:rPr>
        <w:lastRenderedPageBreak/>
        <w:t>Contents</w:t>
      </w:r>
    </w:p>
    <w:p w14:paraId="414264F7" w14:textId="713B47C6" w:rsidR="000855A5" w:rsidRDefault="000E0B74">
      <w:pPr>
        <w:pStyle w:val="TOC2"/>
        <w:rPr>
          <w:rFonts w:asciiTheme="minorHAnsi" w:eastAsiaTheme="minorEastAsia" w:hAnsiTheme="minorHAnsi" w:cstheme="minorBidi"/>
          <w:color w:val="auto"/>
          <w:szCs w:val="22"/>
        </w:rPr>
      </w:pPr>
      <w:r>
        <w:fldChar w:fldCharType="begin"/>
      </w:r>
      <w:r w:rsidRPr="0025652F">
        <w:instrText xml:space="preserve"> TOC \o "1-3" \h \z \u </w:instrText>
      </w:r>
      <w:r>
        <w:fldChar w:fldCharType="separate"/>
      </w:r>
      <w:hyperlink w:anchor="_Toc10011475" w:history="1">
        <w:r w:rsidR="000855A5" w:rsidRPr="00E50734">
          <w:rPr>
            <w:rStyle w:val="Hyperlink"/>
          </w:rPr>
          <w:t>The Consumer Data Right</w:t>
        </w:r>
        <w:r w:rsidR="000855A5">
          <w:rPr>
            <w:webHidden/>
          </w:rPr>
          <w:tab/>
        </w:r>
        <w:r w:rsidR="000855A5">
          <w:rPr>
            <w:webHidden/>
          </w:rPr>
          <w:fldChar w:fldCharType="begin"/>
        </w:r>
        <w:r w:rsidR="000855A5">
          <w:rPr>
            <w:webHidden/>
          </w:rPr>
          <w:instrText xml:space="preserve"> PAGEREF _Toc10011475 \h </w:instrText>
        </w:r>
        <w:r w:rsidR="000855A5">
          <w:rPr>
            <w:webHidden/>
          </w:rPr>
        </w:r>
        <w:r w:rsidR="000855A5">
          <w:rPr>
            <w:webHidden/>
          </w:rPr>
          <w:fldChar w:fldCharType="separate"/>
        </w:r>
        <w:r w:rsidR="000855A5">
          <w:rPr>
            <w:webHidden/>
          </w:rPr>
          <w:t>1</w:t>
        </w:r>
        <w:r w:rsidR="000855A5">
          <w:rPr>
            <w:webHidden/>
          </w:rPr>
          <w:fldChar w:fldCharType="end"/>
        </w:r>
      </w:hyperlink>
    </w:p>
    <w:p w14:paraId="2B28401B" w14:textId="38388372" w:rsidR="000855A5" w:rsidRDefault="00032124">
      <w:pPr>
        <w:pStyle w:val="TOC2"/>
        <w:rPr>
          <w:rFonts w:asciiTheme="minorHAnsi" w:eastAsiaTheme="minorEastAsia" w:hAnsiTheme="minorHAnsi" w:cstheme="minorBidi"/>
          <w:color w:val="auto"/>
          <w:szCs w:val="22"/>
        </w:rPr>
      </w:pPr>
      <w:hyperlink w:anchor="_Toc10011476" w:history="1">
        <w:r w:rsidR="000855A5" w:rsidRPr="00E50734">
          <w:rPr>
            <w:rStyle w:val="Hyperlink"/>
          </w:rPr>
          <w:t>Open Banking</w:t>
        </w:r>
        <w:r w:rsidR="000855A5">
          <w:rPr>
            <w:webHidden/>
          </w:rPr>
          <w:tab/>
        </w:r>
        <w:r w:rsidR="000855A5">
          <w:rPr>
            <w:webHidden/>
          </w:rPr>
          <w:fldChar w:fldCharType="begin"/>
        </w:r>
        <w:r w:rsidR="000855A5">
          <w:rPr>
            <w:webHidden/>
          </w:rPr>
          <w:instrText xml:space="preserve"> PAGEREF _Toc10011476 \h </w:instrText>
        </w:r>
        <w:r w:rsidR="000855A5">
          <w:rPr>
            <w:webHidden/>
          </w:rPr>
        </w:r>
        <w:r w:rsidR="000855A5">
          <w:rPr>
            <w:webHidden/>
          </w:rPr>
          <w:fldChar w:fldCharType="separate"/>
        </w:r>
        <w:r w:rsidR="000855A5">
          <w:rPr>
            <w:webHidden/>
          </w:rPr>
          <w:t>1</w:t>
        </w:r>
        <w:r w:rsidR="000855A5">
          <w:rPr>
            <w:webHidden/>
          </w:rPr>
          <w:fldChar w:fldCharType="end"/>
        </w:r>
      </w:hyperlink>
    </w:p>
    <w:p w14:paraId="4230269F" w14:textId="780CAB17" w:rsidR="000855A5" w:rsidRDefault="00032124">
      <w:pPr>
        <w:pStyle w:val="TOC2"/>
        <w:rPr>
          <w:rFonts w:asciiTheme="minorHAnsi" w:eastAsiaTheme="minorEastAsia" w:hAnsiTheme="minorHAnsi" w:cstheme="minorBidi"/>
          <w:color w:val="auto"/>
          <w:szCs w:val="22"/>
        </w:rPr>
      </w:pPr>
      <w:hyperlink w:anchor="_Toc10011477" w:history="1">
        <w:r w:rsidR="000855A5" w:rsidRPr="00E50734">
          <w:rPr>
            <w:rStyle w:val="Hyperlink"/>
          </w:rPr>
          <w:t>The benefits from the Consumer Data Right</w:t>
        </w:r>
        <w:r w:rsidR="000855A5">
          <w:rPr>
            <w:webHidden/>
          </w:rPr>
          <w:tab/>
        </w:r>
        <w:r w:rsidR="000855A5">
          <w:rPr>
            <w:webHidden/>
          </w:rPr>
          <w:fldChar w:fldCharType="begin"/>
        </w:r>
        <w:r w:rsidR="000855A5">
          <w:rPr>
            <w:webHidden/>
          </w:rPr>
          <w:instrText xml:space="preserve"> PAGEREF _Toc10011477 \h </w:instrText>
        </w:r>
        <w:r w:rsidR="000855A5">
          <w:rPr>
            <w:webHidden/>
          </w:rPr>
        </w:r>
        <w:r w:rsidR="000855A5">
          <w:rPr>
            <w:webHidden/>
          </w:rPr>
          <w:fldChar w:fldCharType="separate"/>
        </w:r>
        <w:r w:rsidR="000855A5">
          <w:rPr>
            <w:webHidden/>
          </w:rPr>
          <w:t>2</w:t>
        </w:r>
        <w:r w:rsidR="000855A5">
          <w:rPr>
            <w:webHidden/>
          </w:rPr>
          <w:fldChar w:fldCharType="end"/>
        </w:r>
      </w:hyperlink>
    </w:p>
    <w:p w14:paraId="4C46814B" w14:textId="632EF969" w:rsidR="000855A5" w:rsidRDefault="00032124">
      <w:pPr>
        <w:pStyle w:val="TOC2"/>
        <w:rPr>
          <w:rFonts w:asciiTheme="minorHAnsi" w:eastAsiaTheme="minorEastAsia" w:hAnsiTheme="minorHAnsi" w:cstheme="minorBidi"/>
          <w:color w:val="auto"/>
          <w:szCs w:val="22"/>
        </w:rPr>
      </w:pPr>
      <w:hyperlink w:anchor="_Toc10011478" w:history="1">
        <w:r w:rsidR="000855A5" w:rsidRPr="00E50734">
          <w:rPr>
            <w:rStyle w:val="Hyperlink"/>
          </w:rPr>
          <w:t>Examples of how consumers may benefit</w:t>
        </w:r>
        <w:r w:rsidR="000855A5">
          <w:rPr>
            <w:webHidden/>
          </w:rPr>
          <w:tab/>
        </w:r>
        <w:r w:rsidR="000855A5">
          <w:rPr>
            <w:webHidden/>
          </w:rPr>
          <w:fldChar w:fldCharType="begin"/>
        </w:r>
        <w:r w:rsidR="000855A5">
          <w:rPr>
            <w:webHidden/>
          </w:rPr>
          <w:instrText xml:space="preserve"> PAGEREF _Toc10011478 \h </w:instrText>
        </w:r>
        <w:r w:rsidR="000855A5">
          <w:rPr>
            <w:webHidden/>
          </w:rPr>
        </w:r>
        <w:r w:rsidR="000855A5">
          <w:rPr>
            <w:webHidden/>
          </w:rPr>
          <w:fldChar w:fldCharType="separate"/>
        </w:r>
        <w:r w:rsidR="000855A5">
          <w:rPr>
            <w:webHidden/>
          </w:rPr>
          <w:t>2</w:t>
        </w:r>
        <w:r w:rsidR="000855A5">
          <w:rPr>
            <w:webHidden/>
          </w:rPr>
          <w:fldChar w:fldCharType="end"/>
        </w:r>
      </w:hyperlink>
    </w:p>
    <w:p w14:paraId="47DB0ACA" w14:textId="11A91062" w:rsidR="000855A5" w:rsidRDefault="00032124">
      <w:pPr>
        <w:pStyle w:val="TOC2"/>
        <w:rPr>
          <w:rFonts w:asciiTheme="minorHAnsi" w:eastAsiaTheme="minorEastAsia" w:hAnsiTheme="minorHAnsi" w:cstheme="minorBidi"/>
          <w:color w:val="auto"/>
          <w:szCs w:val="22"/>
        </w:rPr>
      </w:pPr>
      <w:hyperlink w:anchor="_Toc10011479" w:history="1">
        <w:r w:rsidR="000855A5" w:rsidRPr="00E50734">
          <w:rPr>
            <w:rStyle w:val="Hyperlink"/>
          </w:rPr>
          <w:t>Consumers who can exercise the right</w:t>
        </w:r>
        <w:r w:rsidR="000855A5">
          <w:rPr>
            <w:webHidden/>
          </w:rPr>
          <w:tab/>
        </w:r>
        <w:r w:rsidR="000855A5">
          <w:rPr>
            <w:webHidden/>
          </w:rPr>
          <w:fldChar w:fldCharType="begin"/>
        </w:r>
        <w:r w:rsidR="000855A5">
          <w:rPr>
            <w:webHidden/>
          </w:rPr>
          <w:instrText xml:space="preserve"> PAGEREF _Toc10011479 \h </w:instrText>
        </w:r>
        <w:r w:rsidR="000855A5">
          <w:rPr>
            <w:webHidden/>
          </w:rPr>
        </w:r>
        <w:r w:rsidR="000855A5">
          <w:rPr>
            <w:webHidden/>
          </w:rPr>
          <w:fldChar w:fldCharType="separate"/>
        </w:r>
        <w:r w:rsidR="000855A5">
          <w:rPr>
            <w:webHidden/>
          </w:rPr>
          <w:t>3</w:t>
        </w:r>
        <w:r w:rsidR="000855A5">
          <w:rPr>
            <w:webHidden/>
          </w:rPr>
          <w:fldChar w:fldCharType="end"/>
        </w:r>
      </w:hyperlink>
    </w:p>
    <w:p w14:paraId="3939BA7B" w14:textId="6E91CD75" w:rsidR="000855A5" w:rsidRDefault="00032124">
      <w:pPr>
        <w:pStyle w:val="TOC2"/>
        <w:rPr>
          <w:rFonts w:asciiTheme="minorHAnsi" w:eastAsiaTheme="minorEastAsia" w:hAnsiTheme="minorHAnsi" w:cstheme="minorBidi"/>
          <w:color w:val="auto"/>
          <w:szCs w:val="22"/>
        </w:rPr>
      </w:pPr>
      <w:hyperlink w:anchor="_Toc10011480" w:history="1">
        <w:r w:rsidR="000855A5" w:rsidRPr="00E50734">
          <w:rPr>
            <w:rStyle w:val="Hyperlink"/>
          </w:rPr>
          <w:t>Data covered by the Consumer Data Right</w:t>
        </w:r>
        <w:r w:rsidR="000855A5">
          <w:rPr>
            <w:webHidden/>
          </w:rPr>
          <w:tab/>
        </w:r>
        <w:r w:rsidR="000855A5">
          <w:rPr>
            <w:webHidden/>
          </w:rPr>
          <w:fldChar w:fldCharType="begin"/>
        </w:r>
        <w:r w:rsidR="000855A5">
          <w:rPr>
            <w:webHidden/>
          </w:rPr>
          <w:instrText xml:space="preserve"> PAGEREF _Toc10011480 \h </w:instrText>
        </w:r>
        <w:r w:rsidR="000855A5">
          <w:rPr>
            <w:webHidden/>
          </w:rPr>
        </w:r>
        <w:r w:rsidR="000855A5">
          <w:rPr>
            <w:webHidden/>
          </w:rPr>
          <w:fldChar w:fldCharType="separate"/>
        </w:r>
        <w:r w:rsidR="000855A5">
          <w:rPr>
            <w:webHidden/>
          </w:rPr>
          <w:t>3</w:t>
        </w:r>
        <w:r w:rsidR="000855A5">
          <w:rPr>
            <w:webHidden/>
          </w:rPr>
          <w:fldChar w:fldCharType="end"/>
        </w:r>
      </w:hyperlink>
    </w:p>
    <w:p w14:paraId="76B3C504" w14:textId="09BE5052" w:rsidR="000855A5" w:rsidRDefault="00032124">
      <w:pPr>
        <w:pStyle w:val="TOC2"/>
        <w:rPr>
          <w:rFonts w:asciiTheme="minorHAnsi" w:eastAsiaTheme="minorEastAsia" w:hAnsiTheme="minorHAnsi" w:cstheme="minorBidi"/>
          <w:color w:val="auto"/>
          <w:szCs w:val="22"/>
        </w:rPr>
      </w:pPr>
      <w:hyperlink w:anchor="_Toc10011481" w:history="1">
        <w:r w:rsidR="000855A5" w:rsidRPr="00E50734">
          <w:rPr>
            <w:rStyle w:val="Hyperlink"/>
          </w:rPr>
          <w:t>Consumer consent</w:t>
        </w:r>
        <w:r w:rsidR="000855A5">
          <w:rPr>
            <w:webHidden/>
          </w:rPr>
          <w:tab/>
        </w:r>
        <w:r w:rsidR="000855A5">
          <w:rPr>
            <w:webHidden/>
          </w:rPr>
          <w:fldChar w:fldCharType="begin"/>
        </w:r>
        <w:r w:rsidR="000855A5">
          <w:rPr>
            <w:webHidden/>
          </w:rPr>
          <w:instrText xml:space="preserve"> PAGEREF _Toc10011481 \h </w:instrText>
        </w:r>
        <w:r w:rsidR="000855A5">
          <w:rPr>
            <w:webHidden/>
          </w:rPr>
        </w:r>
        <w:r w:rsidR="000855A5">
          <w:rPr>
            <w:webHidden/>
          </w:rPr>
          <w:fldChar w:fldCharType="separate"/>
        </w:r>
        <w:r w:rsidR="000855A5">
          <w:rPr>
            <w:webHidden/>
          </w:rPr>
          <w:t>5</w:t>
        </w:r>
        <w:r w:rsidR="000855A5">
          <w:rPr>
            <w:webHidden/>
          </w:rPr>
          <w:fldChar w:fldCharType="end"/>
        </w:r>
      </w:hyperlink>
    </w:p>
    <w:p w14:paraId="699A1D77" w14:textId="12CFDEDD" w:rsidR="000855A5" w:rsidRDefault="00032124">
      <w:pPr>
        <w:pStyle w:val="TOC2"/>
        <w:rPr>
          <w:rFonts w:asciiTheme="minorHAnsi" w:eastAsiaTheme="minorEastAsia" w:hAnsiTheme="minorHAnsi" w:cstheme="minorBidi"/>
          <w:color w:val="auto"/>
          <w:szCs w:val="22"/>
        </w:rPr>
      </w:pPr>
      <w:hyperlink w:anchor="_Toc10011482" w:history="1">
        <w:r w:rsidR="000855A5" w:rsidRPr="00E50734">
          <w:rPr>
            <w:rStyle w:val="Hyperlink"/>
          </w:rPr>
          <w:t>Data protection and privacy</w:t>
        </w:r>
        <w:r w:rsidR="000855A5">
          <w:rPr>
            <w:webHidden/>
          </w:rPr>
          <w:tab/>
        </w:r>
        <w:r w:rsidR="000855A5">
          <w:rPr>
            <w:webHidden/>
          </w:rPr>
          <w:fldChar w:fldCharType="begin"/>
        </w:r>
        <w:r w:rsidR="000855A5">
          <w:rPr>
            <w:webHidden/>
          </w:rPr>
          <w:instrText xml:space="preserve"> PAGEREF _Toc10011482 \h </w:instrText>
        </w:r>
        <w:r w:rsidR="000855A5">
          <w:rPr>
            <w:webHidden/>
          </w:rPr>
        </w:r>
        <w:r w:rsidR="000855A5">
          <w:rPr>
            <w:webHidden/>
          </w:rPr>
          <w:fldChar w:fldCharType="separate"/>
        </w:r>
        <w:r w:rsidR="000855A5">
          <w:rPr>
            <w:webHidden/>
          </w:rPr>
          <w:t>5</w:t>
        </w:r>
        <w:r w:rsidR="000855A5">
          <w:rPr>
            <w:webHidden/>
          </w:rPr>
          <w:fldChar w:fldCharType="end"/>
        </w:r>
      </w:hyperlink>
    </w:p>
    <w:p w14:paraId="5869578A" w14:textId="6297C3F7" w:rsidR="000855A5" w:rsidRDefault="00032124">
      <w:pPr>
        <w:pStyle w:val="TOC2"/>
        <w:rPr>
          <w:rFonts w:asciiTheme="minorHAnsi" w:eastAsiaTheme="minorEastAsia" w:hAnsiTheme="minorHAnsi" w:cstheme="minorBidi"/>
          <w:color w:val="auto"/>
          <w:szCs w:val="22"/>
        </w:rPr>
      </w:pPr>
      <w:hyperlink w:anchor="_Toc10011483" w:history="1">
        <w:r w:rsidR="000855A5" w:rsidRPr="00E50734">
          <w:rPr>
            <w:rStyle w:val="Hyperlink"/>
          </w:rPr>
          <w:t>Safe and controlled use of data</w:t>
        </w:r>
        <w:r w:rsidR="000855A5">
          <w:rPr>
            <w:webHidden/>
          </w:rPr>
          <w:tab/>
        </w:r>
        <w:r w:rsidR="000855A5">
          <w:rPr>
            <w:webHidden/>
          </w:rPr>
          <w:fldChar w:fldCharType="begin"/>
        </w:r>
        <w:r w:rsidR="000855A5">
          <w:rPr>
            <w:webHidden/>
          </w:rPr>
          <w:instrText xml:space="preserve"> PAGEREF _Toc10011483 \h </w:instrText>
        </w:r>
        <w:r w:rsidR="000855A5">
          <w:rPr>
            <w:webHidden/>
          </w:rPr>
        </w:r>
        <w:r w:rsidR="000855A5">
          <w:rPr>
            <w:webHidden/>
          </w:rPr>
          <w:fldChar w:fldCharType="separate"/>
        </w:r>
        <w:r w:rsidR="000855A5">
          <w:rPr>
            <w:webHidden/>
          </w:rPr>
          <w:t>6</w:t>
        </w:r>
        <w:r w:rsidR="000855A5">
          <w:rPr>
            <w:webHidden/>
          </w:rPr>
          <w:fldChar w:fldCharType="end"/>
        </w:r>
      </w:hyperlink>
    </w:p>
    <w:p w14:paraId="5C5025E5" w14:textId="45A2D5EC" w:rsidR="000855A5" w:rsidRDefault="00032124">
      <w:pPr>
        <w:pStyle w:val="TOC2"/>
        <w:rPr>
          <w:rFonts w:asciiTheme="minorHAnsi" w:eastAsiaTheme="minorEastAsia" w:hAnsiTheme="minorHAnsi" w:cstheme="minorBidi"/>
          <w:color w:val="auto"/>
          <w:szCs w:val="22"/>
        </w:rPr>
      </w:pPr>
      <w:hyperlink w:anchor="_Toc10011484" w:history="1">
        <w:r w:rsidR="000855A5" w:rsidRPr="00E50734">
          <w:rPr>
            <w:rStyle w:val="Hyperlink"/>
          </w:rPr>
          <w:t>Breaches of the Consumer Data Right</w:t>
        </w:r>
        <w:r w:rsidR="000855A5">
          <w:rPr>
            <w:webHidden/>
          </w:rPr>
          <w:tab/>
        </w:r>
        <w:r w:rsidR="000855A5">
          <w:rPr>
            <w:webHidden/>
          </w:rPr>
          <w:fldChar w:fldCharType="begin"/>
        </w:r>
        <w:r w:rsidR="000855A5">
          <w:rPr>
            <w:webHidden/>
          </w:rPr>
          <w:instrText xml:space="preserve"> PAGEREF _Toc10011484 \h </w:instrText>
        </w:r>
        <w:r w:rsidR="000855A5">
          <w:rPr>
            <w:webHidden/>
          </w:rPr>
        </w:r>
        <w:r w:rsidR="000855A5">
          <w:rPr>
            <w:webHidden/>
          </w:rPr>
          <w:fldChar w:fldCharType="separate"/>
        </w:r>
        <w:r w:rsidR="000855A5">
          <w:rPr>
            <w:webHidden/>
          </w:rPr>
          <w:t>7</w:t>
        </w:r>
        <w:r w:rsidR="000855A5">
          <w:rPr>
            <w:webHidden/>
          </w:rPr>
          <w:fldChar w:fldCharType="end"/>
        </w:r>
      </w:hyperlink>
    </w:p>
    <w:p w14:paraId="09CA9717" w14:textId="69DA5623" w:rsidR="000855A5" w:rsidRDefault="00032124">
      <w:pPr>
        <w:pStyle w:val="TOC2"/>
        <w:rPr>
          <w:rFonts w:asciiTheme="minorHAnsi" w:eastAsiaTheme="minorEastAsia" w:hAnsiTheme="minorHAnsi" w:cstheme="minorBidi"/>
          <w:color w:val="auto"/>
          <w:szCs w:val="22"/>
        </w:rPr>
      </w:pPr>
      <w:hyperlink w:anchor="_Toc10011485" w:history="1">
        <w:r w:rsidR="000855A5" w:rsidRPr="00E50734">
          <w:rPr>
            <w:rStyle w:val="Hyperlink"/>
          </w:rPr>
          <w:t>Using the Consumer Data Right</w:t>
        </w:r>
        <w:r w:rsidR="000855A5">
          <w:rPr>
            <w:webHidden/>
          </w:rPr>
          <w:tab/>
        </w:r>
        <w:r w:rsidR="000855A5">
          <w:rPr>
            <w:webHidden/>
          </w:rPr>
          <w:fldChar w:fldCharType="begin"/>
        </w:r>
        <w:r w:rsidR="000855A5">
          <w:rPr>
            <w:webHidden/>
          </w:rPr>
          <w:instrText xml:space="preserve"> PAGEREF _Toc10011485 \h </w:instrText>
        </w:r>
        <w:r w:rsidR="000855A5">
          <w:rPr>
            <w:webHidden/>
          </w:rPr>
        </w:r>
        <w:r w:rsidR="000855A5">
          <w:rPr>
            <w:webHidden/>
          </w:rPr>
          <w:fldChar w:fldCharType="separate"/>
        </w:r>
        <w:r w:rsidR="000855A5">
          <w:rPr>
            <w:webHidden/>
          </w:rPr>
          <w:t>7</w:t>
        </w:r>
        <w:r w:rsidR="000855A5">
          <w:rPr>
            <w:webHidden/>
          </w:rPr>
          <w:fldChar w:fldCharType="end"/>
        </w:r>
      </w:hyperlink>
    </w:p>
    <w:p w14:paraId="3C12F91D" w14:textId="7E589967" w:rsidR="000855A5" w:rsidRDefault="00032124">
      <w:pPr>
        <w:pStyle w:val="TOC2"/>
        <w:rPr>
          <w:rFonts w:asciiTheme="minorHAnsi" w:eastAsiaTheme="minorEastAsia" w:hAnsiTheme="minorHAnsi" w:cstheme="minorBidi"/>
          <w:color w:val="auto"/>
          <w:szCs w:val="22"/>
        </w:rPr>
      </w:pPr>
      <w:hyperlink w:anchor="_Toc10011486" w:history="1">
        <w:r w:rsidR="000855A5" w:rsidRPr="00E50734">
          <w:rPr>
            <w:rStyle w:val="Hyperlink"/>
          </w:rPr>
          <w:t>Accredited data recipients</w:t>
        </w:r>
        <w:r w:rsidR="000855A5">
          <w:rPr>
            <w:webHidden/>
          </w:rPr>
          <w:tab/>
        </w:r>
        <w:r w:rsidR="000855A5">
          <w:rPr>
            <w:webHidden/>
          </w:rPr>
          <w:fldChar w:fldCharType="begin"/>
        </w:r>
        <w:r w:rsidR="000855A5">
          <w:rPr>
            <w:webHidden/>
          </w:rPr>
          <w:instrText xml:space="preserve"> PAGEREF _Toc10011486 \h </w:instrText>
        </w:r>
        <w:r w:rsidR="000855A5">
          <w:rPr>
            <w:webHidden/>
          </w:rPr>
        </w:r>
        <w:r w:rsidR="000855A5">
          <w:rPr>
            <w:webHidden/>
          </w:rPr>
          <w:fldChar w:fldCharType="separate"/>
        </w:r>
        <w:r w:rsidR="000855A5">
          <w:rPr>
            <w:webHidden/>
          </w:rPr>
          <w:t>7</w:t>
        </w:r>
        <w:r w:rsidR="000855A5">
          <w:rPr>
            <w:webHidden/>
          </w:rPr>
          <w:fldChar w:fldCharType="end"/>
        </w:r>
      </w:hyperlink>
    </w:p>
    <w:p w14:paraId="3EEBAA5F" w14:textId="597D8170" w:rsidR="000855A5" w:rsidRDefault="00032124">
      <w:pPr>
        <w:pStyle w:val="TOC2"/>
        <w:rPr>
          <w:rFonts w:asciiTheme="minorHAnsi" w:eastAsiaTheme="minorEastAsia" w:hAnsiTheme="minorHAnsi" w:cstheme="minorBidi"/>
          <w:color w:val="auto"/>
          <w:szCs w:val="22"/>
        </w:rPr>
      </w:pPr>
      <w:hyperlink w:anchor="_Toc10011487" w:history="1">
        <w:r w:rsidR="000855A5" w:rsidRPr="00E50734">
          <w:rPr>
            <w:rStyle w:val="Hyperlink"/>
          </w:rPr>
          <w:t>How do I learn more about the Consumer Data Right?</w:t>
        </w:r>
        <w:r w:rsidR="000855A5">
          <w:rPr>
            <w:webHidden/>
          </w:rPr>
          <w:tab/>
        </w:r>
        <w:r w:rsidR="000855A5">
          <w:rPr>
            <w:webHidden/>
          </w:rPr>
          <w:fldChar w:fldCharType="begin"/>
        </w:r>
        <w:r w:rsidR="000855A5">
          <w:rPr>
            <w:webHidden/>
          </w:rPr>
          <w:instrText xml:space="preserve"> PAGEREF _Toc10011487 \h </w:instrText>
        </w:r>
        <w:r w:rsidR="000855A5">
          <w:rPr>
            <w:webHidden/>
          </w:rPr>
        </w:r>
        <w:r w:rsidR="000855A5">
          <w:rPr>
            <w:webHidden/>
          </w:rPr>
          <w:fldChar w:fldCharType="separate"/>
        </w:r>
        <w:r w:rsidR="000855A5">
          <w:rPr>
            <w:webHidden/>
          </w:rPr>
          <w:t>8</w:t>
        </w:r>
        <w:r w:rsidR="000855A5">
          <w:rPr>
            <w:webHidden/>
          </w:rPr>
          <w:fldChar w:fldCharType="end"/>
        </w:r>
      </w:hyperlink>
    </w:p>
    <w:p w14:paraId="71F3DA5F" w14:textId="14C83FC6" w:rsidR="000855A5" w:rsidRDefault="00032124">
      <w:pPr>
        <w:pStyle w:val="TOC1"/>
        <w:rPr>
          <w:rFonts w:asciiTheme="minorHAnsi" w:eastAsiaTheme="minorEastAsia" w:hAnsiTheme="minorHAnsi" w:cstheme="minorBidi"/>
          <w:b w:val="0"/>
          <w:color w:val="auto"/>
        </w:rPr>
      </w:pPr>
      <w:hyperlink w:anchor="_Toc10011488" w:history="1">
        <w:r w:rsidR="000855A5" w:rsidRPr="00E50734">
          <w:rPr>
            <w:rStyle w:val="Hyperlink"/>
          </w:rPr>
          <w:t>The Regulatory Framework</w:t>
        </w:r>
        <w:r w:rsidR="000855A5">
          <w:rPr>
            <w:webHidden/>
          </w:rPr>
          <w:tab/>
        </w:r>
        <w:r w:rsidR="000855A5">
          <w:rPr>
            <w:webHidden/>
          </w:rPr>
          <w:fldChar w:fldCharType="begin"/>
        </w:r>
        <w:r w:rsidR="000855A5">
          <w:rPr>
            <w:webHidden/>
          </w:rPr>
          <w:instrText xml:space="preserve"> PAGEREF _Toc10011488 \h </w:instrText>
        </w:r>
        <w:r w:rsidR="000855A5">
          <w:rPr>
            <w:webHidden/>
          </w:rPr>
        </w:r>
        <w:r w:rsidR="000855A5">
          <w:rPr>
            <w:webHidden/>
          </w:rPr>
          <w:fldChar w:fldCharType="separate"/>
        </w:r>
        <w:r w:rsidR="000855A5">
          <w:rPr>
            <w:webHidden/>
          </w:rPr>
          <w:t>8</w:t>
        </w:r>
        <w:r w:rsidR="000855A5">
          <w:rPr>
            <w:webHidden/>
          </w:rPr>
          <w:fldChar w:fldCharType="end"/>
        </w:r>
      </w:hyperlink>
    </w:p>
    <w:p w14:paraId="330D62E0" w14:textId="703D29D9" w:rsidR="000855A5" w:rsidRDefault="00032124">
      <w:pPr>
        <w:pStyle w:val="TOC2"/>
        <w:rPr>
          <w:rFonts w:asciiTheme="minorHAnsi" w:eastAsiaTheme="minorEastAsia" w:hAnsiTheme="minorHAnsi" w:cstheme="minorBidi"/>
          <w:color w:val="auto"/>
          <w:szCs w:val="22"/>
        </w:rPr>
      </w:pPr>
      <w:hyperlink w:anchor="_Toc10011489" w:history="1">
        <w:r w:rsidR="000855A5" w:rsidRPr="00E50734">
          <w:rPr>
            <w:rStyle w:val="Hyperlink"/>
          </w:rPr>
          <w:t>The history of the Consumer Data Right</w:t>
        </w:r>
        <w:r w:rsidR="000855A5">
          <w:rPr>
            <w:webHidden/>
          </w:rPr>
          <w:tab/>
        </w:r>
        <w:r w:rsidR="000855A5">
          <w:rPr>
            <w:webHidden/>
          </w:rPr>
          <w:fldChar w:fldCharType="begin"/>
        </w:r>
        <w:r w:rsidR="000855A5">
          <w:rPr>
            <w:webHidden/>
          </w:rPr>
          <w:instrText xml:space="preserve"> PAGEREF _Toc10011489 \h </w:instrText>
        </w:r>
        <w:r w:rsidR="000855A5">
          <w:rPr>
            <w:webHidden/>
          </w:rPr>
        </w:r>
        <w:r w:rsidR="000855A5">
          <w:rPr>
            <w:webHidden/>
          </w:rPr>
          <w:fldChar w:fldCharType="separate"/>
        </w:r>
        <w:r w:rsidR="000855A5">
          <w:rPr>
            <w:webHidden/>
          </w:rPr>
          <w:t>8</w:t>
        </w:r>
        <w:r w:rsidR="000855A5">
          <w:rPr>
            <w:webHidden/>
          </w:rPr>
          <w:fldChar w:fldCharType="end"/>
        </w:r>
      </w:hyperlink>
    </w:p>
    <w:p w14:paraId="239708AA" w14:textId="49324918" w:rsidR="000855A5" w:rsidRDefault="00032124">
      <w:pPr>
        <w:pStyle w:val="TOC2"/>
        <w:rPr>
          <w:rFonts w:asciiTheme="minorHAnsi" w:eastAsiaTheme="minorEastAsia" w:hAnsiTheme="minorHAnsi" w:cstheme="minorBidi"/>
          <w:color w:val="auto"/>
          <w:szCs w:val="22"/>
        </w:rPr>
      </w:pPr>
      <w:hyperlink w:anchor="_Toc10011490" w:history="1">
        <w:r w:rsidR="000855A5" w:rsidRPr="00E50734">
          <w:rPr>
            <w:rStyle w:val="Hyperlink"/>
          </w:rPr>
          <w:t>Legislation</w:t>
        </w:r>
        <w:r w:rsidR="000855A5">
          <w:rPr>
            <w:webHidden/>
          </w:rPr>
          <w:tab/>
        </w:r>
        <w:r w:rsidR="000855A5">
          <w:rPr>
            <w:webHidden/>
          </w:rPr>
          <w:fldChar w:fldCharType="begin"/>
        </w:r>
        <w:r w:rsidR="000855A5">
          <w:rPr>
            <w:webHidden/>
          </w:rPr>
          <w:instrText xml:space="preserve"> PAGEREF _Toc10011490 \h </w:instrText>
        </w:r>
        <w:r w:rsidR="000855A5">
          <w:rPr>
            <w:webHidden/>
          </w:rPr>
        </w:r>
        <w:r w:rsidR="000855A5">
          <w:rPr>
            <w:webHidden/>
          </w:rPr>
          <w:fldChar w:fldCharType="separate"/>
        </w:r>
        <w:r w:rsidR="000855A5">
          <w:rPr>
            <w:webHidden/>
          </w:rPr>
          <w:t>9</w:t>
        </w:r>
        <w:r w:rsidR="000855A5">
          <w:rPr>
            <w:webHidden/>
          </w:rPr>
          <w:fldChar w:fldCharType="end"/>
        </w:r>
      </w:hyperlink>
    </w:p>
    <w:p w14:paraId="74341AB3" w14:textId="26AB1168" w:rsidR="000855A5" w:rsidRDefault="00032124">
      <w:pPr>
        <w:pStyle w:val="TOC2"/>
        <w:rPr>
          <w:rFonts w:asciiTheme="minorHAnsi" w:eastAsiaTheme="minorEastAsia" w:hAnsiTheme="minorHAnsi" w:cstheme="minorBidi"/>
          <w:color w:val="auto"/>
          <w:szCs w:val="22"/>
        </w:rPr>
      </w:pPr>
      <w:hyperlink w:anchor="_Toc10011491" w:history="1">
        <w:r w:rsidR="000855A5" w:rsidRPr="00E50734">
          <w:rPr>
            <w:rStyle w:val="Hyperlink"/>
          </w:rPr>
          <w:t>Regulators</w:t>
        </w:r>
        <w:r w:rsidR="000855A5">
          <w:rPr>
            <w:webHidden/>
          </w:rPr>
          <w:tab/>
        </w:r>
        <w:r w:rsidR="000855A5">
          <w:rPr>
            <w:webHidden/>
          </w:rPr>
          <w:fldChar w:fldCharType="begin"/>
        </w:r>
        <w:r w:rsidR="000855A5">
          <w:rPr>
            <w:webHidden/>
          </w:rPr>
          <w:instrText xml:space="preserve"> PAGEREF _Toc10011491 \h </w:instrText>
        </w:r>
        <w:r w:rsidR="000855A5">
          <w:rPr>
            <w:webHidden/>
          </w:rPr>
        </w:r>
        <w:r w:rsidR="000855A5">
          <w:rPr>
            <w:webHidden/>
          </w:rPr>
          <w:fldChar w:fldCharType="separate"/>
        </w:r>
        <w:r w:rsidR="000855A5">
          <w:rPr>
            <w:webHidden/>
          </w:rPr>
          <w:t>9</w:t>
        </w:r>
        <w:r w:rsidR="000855A5">
          <w:rPr>
            <w:webHidden/>
          </w:rPr>
          <w:fldChar w:fldCharType="end"/>
        </w:r>
      </w:hyperlink>
    </w:p>
    <w:p w14:paraId="0DF14708" w14:textId="68DCF199" w:rsidR="000855A5" w:rsidRDefault="00032124">
      <w:pPr>
        <w:pStyle w:val="TOC2"/>
        <w:rPr>
          <w:rFonts w:asciiTheme="minorHAnsi" w:eastAsiaTheme="minorEastAsia" w:hAnsiTheme="minorHAnsi" w:cstheme="minorBidi"/>
          <w:color w:val="auto"/>
          <w:szCs w:val="22"/>
        </w:rPr>
      </w:pPr>
      <w:hyperlink w:anchor="_Toc10011492" w:history="1">
        <w:r w:rsidR="000855A5" w:rsidRPr="00E50734">
          <w:rPr>
            <w:rStyle w:val="Hyperlink"/>
          </w:rPr>
          <w:t>Sectoral assessments</w:t>
        </w:r>
        <w:r w:rsidR="000855A5">
          <w:rPr>
            <w:webHidden/>
          </w:rPr>
          <w:tab/>
        </w:r>
        <w:r w:rsidR="000855A5">
          <w:rPr>
            <w:webHidden/>
          </w:rPr>
          <w:fldChar w:fldCharType="begin"/>
        </w:r>
        <w:r w:rsidR="000855A5">
          <w:rPr>
            <w:webHidden/>
          </w:rPr>
          <w:instrText xml:space="preserve"> PAGEREF _Toc10011492 \h </w:instrText>
        </w:r>
        <w:r w:rsidR="000855A5">
          <w:rPr>
            <w:webHidden/>
          </w:rPr>
        </w:r>
        <w:r w:rsidR="000855A5">
          <w:rPr>
            <w:webHidden/>
          </w:rPr>
          <w:fldChar w:fldCharType="separate"/>
        </w:r>
        <w:r w:rsidR="000855A5">
          <w:rPr>
            <w:webHidden/>
          </w:rPr>
          <w:t>11</w:t>
        </w:r>
        <w:r w:rsidR="000855A5">
          <w:rPr>
            <w:webHidden/>
          </w:rPr>
          <w:fldChar w:fldCharType="end"/>
        </w:r>
      </w:hyperlink>
    </w:p>
    <w:p w14:paraId="7C3EB713" w14:textId="1DBB6B42" w:rsidR="000855A5" w:rsidRDefault="00032124">
      <w:pPr>
        <w:pStyle w:val="TOC2"/>
        <w:rPr>
          <w:rFonts w:asciiTheme="minorHAnsi" w:eastAsiaTheme="minorEastAsia" w:hAnsiTheme="minorHAnsi" w:cstheme="minorBidi"/>
          <w:color w:val="auto"/>
          <w:szCs w:val="22"/>
        </w:rPr>
      </w:pPr>
      <w:hyperlink w:anchor="_Toc10011493" w:history="1">
        <w:r w:rsidR="000855A5" w:rsidRPr="00E50734">
          <w:rPr>
            <w:rStyle w:val="Hyperlink"/>
          </w:rPr>
          <w:t>Rules</w:t>
        </w:r>
        <w:r w:rsidR="000855A5">
          <w:rPr>
            <w:webHidden/>
          </w:rPr>
          <w:tab/>
        </w:r>
        <w:r w:rsidR="000855A5">
          <w:rPr>
            <w:webHidden/>
          </w:rPr>
          <w:fldChar w:fldCharType="begin"/>
        </w:r>
        <w:r w:rsidR="000855A5">
          <w:rPr>
            <w:webHidden/>
          </w:rPr>
          <w:instrText xml:space="preserve"> PAGEREF _Toc10011493 \h </w:instrText>
        </w:r>
        <w:r w:rsidR="000855A5">
          <w:rPr>
            <w:webHidden/>
          </w:rPr>
        </w:r>
        <w:r w:rsidR="000855A5">
          <w:rPr>
            <w:webHidden/>
          </w:rPr>
          <w:fldChar w:fldCharType="separate"/>
        </w:r>
        <w:r w:rsidR="000855A5">
          <w:rPr>
            <w:webHidden/>
          </w:rPr>
          <w:t>11</w:t>
        </w:r>
        <w:r w:rsidR="000855A5">
          <w:rPr>
            <w:webHidden/>
          </w:rPr>
          <w:fldChar w:fldCharType="end"/>
        </w:r>
      </w:hyperlink>
    </w:p>
    <w:p w14:paraId="0D024473" w14:textId="51D15B23" w:rsidR="000855A5" w:rsidRDefault="00032124">
      <w:pPr>
        <w:pStyle w:val="TOC2"/>
        <w:rPr>
          <w:rFonts w:asciiTheme="minorHAnsi" w:eastAsiaTheme="minorEastAsia" w:hAnsiTheme="minorHAnsi" w:cstheme="minorBidi"/>
          <w:color w:val="auto"/>
          <w:szCs w:val="22"/>
        </w:rPr>
      </w:pPr>
      <w:hyperlink w:anchor="_Toc10011494" w:history="1">
        <w:r w:rsidR="000855A5" w:rsidRPr="00E50734">
          <w:rPr>
            <w:rStyle w:val="Hyperlink"/>
          </w:rPr>
          <w:t>Technical Standards</w:t>
        </w:r>
        <w:r w:rsidR="000855A5">
          <w:rPr>
            <w:webHidden/>
          </w:rPr>
          <w:tab/>
        </w:r>
        <w:r w:rsidR="000855A5">
          <w:rPr>
            <w:webHidden/>
          </w:rPr>
          <w:fldChar w:fldCharType="begin"/>
        </w:r>
        <w:r w:rsidR="000855A5">
          <w:rPr>
            <w:webHidden/>
          </w:rPr>
          <w:instrText xml:space="preserve"> PAGEREF _Toc10011494 \h </w:instrText>
        </w:r>
        <w:r w:rsidR="000855A5">
          <w:rPr>
            <w:webHidden/>
          </w:rPr>
        </w:r>
        <w:r w:rsidR="000855A5">
          <w:rPr>
            <w:webHidden/>
          </w:rPr>
          <w:fldChar w:fldCharType="separate"/>
        </w:r>
        <w:r w:rsidR="000855A5">
          <w:rPr>
            <w:webHidden/>
          </w:rPr>
          <w:t>12</w:t>
        </w:r>
        <w:r w:rsidR="000855A5">
          <w:rPr>
            <w:webHidden/>
          </w:rPr>
          <w:fldChar w:fldCharType="end"/>
        </w:r>
      </w:hyperlink>
    </w:p>
    <w:p w14:paraId="2B089CA9" w14:textId="1CE4191B" w:rsidR="000855A5" w:rsidRDefault="00032124">
      <w:pPr>
        <w:pStyle w:val="TOC2"/>
        <w:rPr>
          <w:rFonts w:asciiTheme="minorHAnsi" w:eastAsiaTheme="minorEastAsia" w:hAnsiTheme="minorHAnsi" w:cstheme="minorBidi"/>
          <w:color w:val="auto"/>
          <w:szCs w:val="22"/>
        </w:rPr>
      </w:pPr>
      <w:hyperlink w:anchor="_Toc10011495" w:history="1">
        <w:r w:rsidR="000855A5" w:rsidRPr="00E50734">
          <w:rPr>
            <w:rStyle w:val="Hyperlink"/>
          </w:rPr>
          <w:t>The Data Standards Body</w:t>
        </w:r>
        <w:r w:rsidR="000855A5">
          <w:rPr>
            <w:webHidden/>
          </w:rPr>
          <w:tab/>
        </w:r>
        <w:r w:rsidR="000855A5">
          <w:rPr>
            <w:webHidden/>
          </w:rPr>
          <w:fldChar w:fldCharType="begin"/>
        </w:r>
        <w:r w:rsidR="000855A5">
          <w:rPr>
            <w:webHidden/>
          </w:rPr>
          <w:instrText xml:space="preserve"> PAGEREF _Toc10011495 \h </w:instrText>
        </w:r>
        <w:r w:rsidR="000855A5">
          <w:rPr>
            <w:webHidden/>
          </w:rPr>
        </w:r>
        <w:r w:rsidR="000855A5">
          <w:rPr>
            <w:webHidden/>
          </w:rPr>
          <w:fldChar w:fldCharType="separate"/>
        </w:r>
        <w:r w:rsidR="000855A5">
          <w:rPr>
            <w:webHidden/>
          </w:rPr>
          <w:t>13</w:t>
        </w:r>
        <w:r w:rsidR="000855A5">
          <w:rPr>
            <w:webHidden/>
          </w:rPr>
          <w:fldChar w:fldCharType="end"/>
        </w:r>
      </w:hyperlink>
    </w:p>
    <w:p w14:paraId="46A06A49" w14:textId="6CF2FF8B" w:rsidR="00F836F9" w:rsidRDefault="000E0B74" w:rsidP="0056582C">
      <w:pPr>
        <w:pStyle w:val="SingleParagraph"/>
        <w:ind w:right="-2"/>
        <w:sectPr w:rsidR="00F836F9" w:rsidSect="005D1427">
          <w:headerReference w:type="even" r:id="rId23"/>
          <w:headerReference w:type="default" r:id="rId24"/>
          <w:footerReference w:type="even" r:id="rId25"/>
          <w:headerReference w:type="first" r:id="rId26"/>
          <w:footerReference w:type="first" r:id="rId27"/>
          <w:pgSz w:w="11906" w:h="16838" w:code="9"/>
          <w:pgMar w:top="1418" w:right="1418" w:bottom="1418" w:left="1418" w:header="709" w:footer="709" w:gutter="0"/>
          <w:pgNumType w:fmt="lowerRoman"/>
          <w:cols w:space="708"/>
          <w:docGrid w:linePitch="360"/>
        </w:sectPr>
      </w:pPr>
      <w:r>
        <w:fldChar w:fldCharType="end"/>
      </w:r>
      <w:bookmarkStart w:id="0" w:name="_Toc432067103"/>
      <w:bookmarkStart w:id="1" w:name="_Toc452635030"/>
    </w:p>
    <w:p w14:paraId="131A45FE" w14:textId="77777777" w:rsidR="006C5B73" w:rsidRPr="00ED63A6" w:rsidRDefault="00B134A9" w:rsidP="00ED63A6">
      <w:pPr>
        <w:rPr>
          <w:color w:val="2F5496" w:themeColor="accent5" w:themeShade="BF"/>
          <w:sz w:val="48"/>
        </w:rPr>
      </w:pPr>
      <w:bookmarkStart w:id="2" w:name="_Toc432067104"/>
      <w:bookmarkStart w:id="3" w:name="_Toc452635031"/>
      <w:bookmarkEnd w:id="0"/>
      <w:bookmarkEnd w:id="1"/>
      <w:r w:rsidRPr="00ED63A6">
        <w:rPr>
          <w:color w:val="2F5496" w:themeColor="accent5" w:themeShade="BF"/>
          <w:sz w:val="48"/>
        </w:rPr>
        <w:lastRenderedPageBreak/>
        <w:t xml:space="preserve">Consumer Data Right </w:t>
      </w:r>
      <w:r w:rsidR="006C5B73" w:rsidRPr="00ED63A6">
        <w:rPr>
          <w:color w:val="2F5496" w:themeColor="accent5" w:themeShade="BF"/>
          <w:sz w:val="48"/>
        </w:rPr>
        <w:t>Summary</w:t>
      </w:r>
      <w:bookmarkEnd w:id="2"/>
      <w:bookmarkEnd w:id="3"/>
      <w:r w:rsidRPr="00ED63A6">
        <w:rPr>
          <w:color w:val="2F5496" w:themeColor="accent5" w:themeShade="BF"/>
          <w:sz w:val="48"/>
        </w:rPr>
        <w:t xml:space="preserve"> </w:t>
      </w:r>
    </w:p>
    <w:tbl>
      <w:tblPr>
        <w:tblW w:w="9256" w:type="dxa"/>
        <w:tblBorders>
          <w:top w:val="single" w:sz="24" w:space="0" w:color="2F5496" w:themeColor="accent5" w:themeShade="BF"/>
        </w:tblBorders>
        <w:shd w:val="clear" w:color="auto" w:fill="DEEAF6" w:themeFill="accent1" w:themeFillTint="33"/>
        <w:tblLook w:val="04A0" w:firstRow="1" w:lastRow="0" w:firstColumn="1" w:lastColumn="0" w:noHBand="0" w:noVBand="1"/>
      </w:tblPr>
      <w:tblGrid>
        <w:gridCol w:w="2812"/>
        <w:gridCol w:w="500"/>
        <w:gridCol w:w="2747"/>
        <w:gridCol w:w="500"/>
        <w:gridCol w:w="2697"/>
      </w:tblGrid>
      <w:tr w:rsidR="00B134A9" w:rsidRPr="00D826E6" w14:paraId="5D719BB5" w14:textId="77777777" w:rsidTr="002B582F">
        <w:trPr>
          <w:trHeight w:hRule="exact" w:val="11292"/>
        </w:trPr>
        <w:tc>
          <w:tcPr>
            <w:tcW w:w="2812" w:type="dxa"/>
            <w:shd w:val="clear" w:color="auto" w:fill="DEEAF6" w:themeFill="accent1" w:themeFillTint="33"/>
          </w:tcPr>
          <w:p w14:paraId="71FBE215" w14:textId="77777777" w:rsidR="00B134A9" w:rsidRPr="001859EE" w:rsidRDefault="00B134A9" w:rsidP="001859EE">
            <w:pPr>
              <w:numPr>
                <w:ilvl w:val="0"/>
                <w:numId w:val="20"/>
              </w:numPr>
              <w:spacing w:before="160" w:line="280" w:lineRule="exact"/>
              <w:ind w:left="284" w:hanging="284"/>
              <w:rPr>
                <w:color w:val="2F5496" w:themeColor="accent5" w:themeShade="BF"/>
              </w:rPr>
            </w:pPr>
            <w:r w:rsidRPr="001859EE">
              <w:rPr>
                <w:color w:val="2F5496" w:themeColor="accent5" w:themeShade="BF"/>
              </w:rPr>
              <w:t xml:space="preserve">The Government will introduce a Consumer Data Right as part of its commitment to giving Australians greater control over their data. </w:t>
            </w:r>
          </w:p>
          <w:p w14:paraId="671D4466" w14:textId="77777777" w:rsidR="00B134A9" w:rsidRPr="001859EE" w:rsidRDefault="00B134A9" w:rsidP="001859EE">
            <w:pPr>
              <w:numPr>
                <w:ilvl w:val="0"/>
                <w:numId w:val="20"/>
              </w:numPr>
              <w:spacing w:before="160" w:line="280" w:lineRule="exact"/>
              <w:ind w:left="284" w:hanging="284"/>
              <w:rPr>
                <w:color w:val="2F5496" w:themeColor="accent5" w:themeShade="BF"/>
              </w:rPr>
            </w:pPr>
            <w:r w:rsidRPr="001859EE">
              <w:rPr>
                <w:color w:val="2F5496" w:themeColor="accent5" w:themeShade="BF"/>
              </w:rPr>
              <w:t xml:space="preserve">Australians will have greatly improved access to their own data in a usable form and be able to direct its secure transfer to </w:t>
            </w:r>
            <w:r w:rsidR="0013425B">
              <w:rPr>
                <w:color w:val="2F5496" w:themeColor="accent5" w:themeShade="BF"/>
              </w:rPr>
              <w:t xml:space="preserve">trusted </w:t>
            </w:r>
            <w:r w:rsidRPr="001859EE">
              <w:rPr>
                <w:color w:val="2F5496" w:themeColor="accent5" w:themeShade="BF"/>
              </w:rPr>
              <w:t>third parties.</w:t>
            </w:r>
          </w:p>
          <w:p w14:paraId="68D5F829" w14:textId="77777777" w:rsidR="000839B9" w:rsidRDefault="00B134A9" w:rsidP="001859EE">
            <w:pPr>
              <w:numPr>
                <w:ilvl w:val="0"/>
                <w:numId w:val="20"/>
              </w:numPr>
              <w:spacing w:before="160" w:line="280" w:lineRule="exact"/>
              <w:ind w:left="284" w:hanging="284"/>
              <w:rPr>
                <w:color w:val="2F5496" w:themeColor="accent5" w:themeShade="BF"/>
              </w:rPr>
            </w:pPr>
            <w:r w:rsidRPr="000839B9">
              <w:rPr>
                <w:color w:val="2F5496" w:themeColor="accent5" w:themeShade="BF"/>
              </w:rPr>
              <w:t>Australians will also have better access to data on key goods and services on offer to them.</w:t>
            </w:r>
          </w:p>
          <w:p w14:paraId="739E2771" w14:textId="77777777" w:rsidR="005E7CDF" w:rsidRPr="000839B9" w:rsidRDefault="005E7CDF" w:rsidP="005E7CDF">
            <w:pPr>
              <w:numPr>
                <w:ilvl w:val="0"/>
                <w:numId w:val="20"/>
              </w:numPr>
              <w:spacing w:before="160" w:line="280" w:lineRule="exact"/>
              <w:ind w:left="284" w:hanging="284"/>
              <w:rPr>
                <w:color w:val="2F5496" w:themeColor="accent5" w:themeShade="BF"/>
              </w:rPr>
            </w:pPr>
            <w:r>
              <w:rPr>
                <w:color w:val="2F5496" w:themeColor="accent5" w:themeShade="BF"/>
              </w:rPr>
              <w:t>Both individual and business customers will be able to exercise the right in respect of data relating to them.</w:t>
            </w:r>
          </w:p>
          <w:p w14:paraId="155BFF22" w14:textId="77777777" w:rsidR="00B134A9" w:rsidRDefault="00B134A9" w:rsidP="005E7CDF">
            <w:pPr>
              <w:numPr>
                <w:ilvl w:val="0"/>
                <w:numId w:val="20"/>
              </w:numPr>
              <w:spacing w:before="160" w:line="280" w:lineRule="exact"/>
              <w:ind w:left="284" w:hanging="284"/>
              <w:rPr>
                <w:color w:val="2F5496" w:themeColor="accent5" w:themeShade="BF"/>
              </w:rPr>
            </w:pPr>
            <w:r w:rsidRPr="000839B9">
              <w:rPr>
                <w:color w:val="2F5496" w:themeColor="accent5" w:themeShade="BF"/>
              </w:rPr>
              <w:t>The Consumer Data Right will commence in the banking sector (where it is called ‘Open Banking’), followed by the energy and telecommunication sectors. The right will then be rolled out economy-wide on a sector-by-sector basis.</w:t>
            </w:r>
          </w:p>
          <w:p w14:paraId="0557702E" w14:textId="77777777" w:rsidR="00B134A9" w:rsidRPr="000839B9" w:rsidRDefault="00B134A9" w:rsidP="000839B9">
            <w:pPr>
              <w:spacing w:before="160" w:line="280" w:lineRule="exact"/>
              <w:ind w:left="284"/>
              <w:rPr>
                <w:color w:val="2F5496" w:themeColor="accent5" w:themeShade="BF"/>
              </w:rPr>
            </w:pPr>
          </w:p>
          <w:p w14:paraId="06774A5D" w14:textId="77777777" w:rsidR="00B134A9" w:rsidRPr="001859EE" w:rsidRDefault="00B134A9" w:rsidP="001859EE">
            <w:pPr>
              <w:spacing w:line="280" w:lineRule="exact"/>
              <w:ind w:left="851"/>
            </w:pPr>
          </w:p>
          <w:p w14:paraId="296C875C" w14:textId="77777777" w:rsidR="00B134A9" w:rsidRPr="001859EE" w:rsidRDefault="00B134A9" w:rsidP="001859EE">
            <w:pPr>
              <w:spacing w:line="280" w:lineRule="exact"/>
              <w:ind w:left="851"/>
            </w:pPr>
          </w:p>
          <w:p w14:paraId="4391A964" w14:textId="77777777" w:rsidR="00B134A9" w:rsidRPr="001859EE" w:rsidRDefault="00B134A9" w:rsidP="001859EE">
            <w:pPr>
              <w:spacing w:line="280" w:lineRule="exact"/>
              <w:ind w:left="851"/>
            </w:pPr>
          </w:p>
          <w:p w14:paraId="461C3A6B" w14:textId="77777777" w:rsidR="00B134A9" w:rsidRPr="001859EE" w:rsidRDefault="00B134A9" w:rsidP="001859EE">
            <w:pPr>
              <w:spacing w:line="280" w:lineRule="exact"/>
              <w:ind w:left="283"/>
            </w:pPr>
          </w:p>
          <w:p w14:paraId="43F9F396" w14:textId="77777777" w:rsidR="00B134A9" w:rsidRPr="001859EE" w:rsidRDefault="00B134A9" w:rsidP="001859EE">
            <w:pPr>
              <w:spacing w:line="280" w:lineRule="exact"/>
              <w:ind w:left="283"/>
            </w:pPr>
          </w:p>
          <w:p w14:paraId="67029DBA" w14:textId="77777777" w:rsidR="00B134A9" w:rsidRPr="001859EE" w:rsidRDefault="00B134A9" w:rsidP="001859EE">
            <w:pPr>
              <w:numPr>
                <w:ilvl w:val="0"/>
                <w:numId w:val="20"/>
              </w:numPr>
              <w:spacing w:before="0" w:line="280" w:lineRule="exact"/>
            </w:pPr>
          </w:p>
          <w:p w14:paraId="6A69D969" w14:textId="77777777" w:rsidR="00B134A9" w:rsidRPr="001859EE" w:rsidRDefault="00B134A9" w:rsidP="001859EE">
            <w:pPr>
              <w:numPr>
                <w:ilvl w:val="0"/>
                <w:numId w:val="20"/>
              </w:numPr>
              <w:spacing w:before="0" w:line="280" w:lineRule="exact"/>
            </w:pPr>
          </w:p>
        </w:tc>
        <w:tc>
          <w:tcPr>
            <w:tcW w:w="500" w:type="dxa"/>
            <w:shd w:val="clear" w:color="auto" w:fill="DEEAF6" w:themeFill="accent1" w:themeFillTint="33"/>
          </w:tcPr>
          <w:p w14:paraId="79C6801C" w14:textId="77777777" w:rsidR="00B134A9" w:rsidRPr="001859EE" w:rsidRDefault="00B134A9" w:rsidP="001859EE">
            <w:pPr>
              <w:spacing w:line="280" w:lineRule="exact"/>
              <w:ind w:left="283"/>
              <w:rPr>
                <w:sz w:val="6"/>
                <w:szCs w:val="6"/>
              </w:rPr>
            </w:pPr>
          </w:p>
        </w:tc>
        <w:tc>
          <w:tcPr>
            <w:tcW w:w="2747" w:type="dxa"/>
            <w:shd w:val="clear" w:color="auto" w:fill="DEEAF6" w:themeFill="accent1" w:themeFillTint="33"/>
          </w:tcPr>
          <w:p w14:paraId="4F2DB2C0" w14:textId="789FC55B" w:rsidR="00BE1D81" w:rsidRPr="000839B9" w:rsidRDefault="00BE1D81" w:rsidP="00BE1D81">
            <w:pPr>
              <w:numPr>
                <w:ilvl w:val="0"/>
                <w:numId w:val="20"/>
              </w:numPr>
              <w:spacing w:before="160" w:line="280" w:lineRule="exact"/>
              <w:ind w:left="284" w:hanging="284"/>
              <w:rPr>
                <w:color w:val="2F5496" w:themeColor="accent5" w:themeShade="BF"/>
              </w:rPr>
            </w:pPr>
            <w:r>
              <w:rPr>
                <w:color w:val="2F5496" w:themeColor="accent5" w:themeShade="BF"/>
              </w:rPr>
              <w:t xml:space="preserve">Data </w:t>
            </w:r>
            <w:r w:rsidR="00812736">
              <w:rPr>
                <w:color w:val="2F5496" w:themeColor="accent5" w:themeShade="BF"/>
              </w:rPr>
              <w:t xml:space="preserve">initially </w:t>
            </w:r>
            <w:r>
              <w:rPr>
                <w:color w:val="2F5496" w:themeColor="accent5" w:themeShade="BF"/>
              </w:rPr>
              <w:t>made available under Open Banking will be provided without charge.</w:t>
            </w:r>
          </w:p>
          <w:p w14:paraId="272F3DE7" w14:textId="77777777" w:rsidR="00B134A9" w:rsidRPr="001859EE" w:rsidRDefault="00B134A9" w:rsidP="001859EE">
            <w:pPr>
              <w:numPr>
                <w:ilvl w:val="0"/>
                <w:numId w:val="20"/>
              </w:numPr>
              <w:spacing w:before="160" w:line="280" w:lineRule="exact"/>
              <w:ind w:left="284" w:hanging="284"/>
              <w:rPr>
                <w:color w:val="2F5496" w:themeColor="accent5" w:themeShade="BF"/>
                <w:szCs w:val="24"/>
              </w:rPr>
            </w:pPr>
            <w:r w:rsidRPr="001859EE">
              <w:rPr>
                <w:color w:val="2F5496" w:themeColor="accent5" w:themeShade="BF"/>
                <w:szCs w:val="24"/>
              </w:rPr>
              <w:t>Improved consumer control over their own data will support the development of better and more convenient products and services, customised to individuals’ needs.</w:t>
            </w:r>
          </w:p>
          <w:p w14:paraId="5A668BB3" w14:textId="77777777" w:rsidR="00B134A9" w:rsidRPr="001859EE" w:rsidRDefault="00B134A9" w:rsidP="001859EE">
            <w:pPr>
              <w:numPr>
                <w:ilvl w:val="0"/>
                <w:numId w:val="20"/>
              </w:numPr>
              <w:spacing w:before="160" w:line="280" w:lineRule="exact"/>
              <w:ind w:left="284" w:hanging="284"/>
              <w:rPr>
                <w:color w:val="2F5496" w:themeColor="accent5" w:themeShade="BF"/>
                <w:szCs w:val="24"/>
              </w:rPr>
            </w:pPr>
            <w:r w:rsidRPr="001859EE">
              <w:rPr>
                <w:color w:val="2F5496" w:themeColor="accent5" w:themeShade="BF"/>
                <w:szCs w:val="24"/>
              </w:rPr>
              <w:t>Better price comp</w:t>
            </w:r>
            <w:r w:rsidR="002E1854" w:rsidRPr="001859EE">
              <w:rPr>
                <w:color w:val="2F5496" w:themeColor="accent5" w:themeShade="BF"/>
                <w:szCs w:val="24"/>
              </w:rPr>
              <w:t>arison services, which consider consumers’ actual usage,</w:t>
            </w:r>
            <w:r w:rsidRPr="001859EE">
              <w:rPr>
                <w:color w:val="2F5496" w:themeColor="accent5" w:themeShade="BF"/>
                <w:szCs w:val="24"/>
              </w:rPr>
              <w:t xml:space="preserve"> will </w:t>
            </w:r>
            <w:r w:rsidR="000D3817" w:rsidRPr="001859EE">
              <w:rPr>
                <w:color w:val="2F5496" w:themeColor="accent5" w:themeShade="BF"/>
                <w:szCs w:val="24"/>
              </w:rPr>
              <w:t>help</w:t>
            </w:r>
            <w:r w:rsidRPr="001859EE">
              <w:rPr>
                <w:color w:val="2F5496" w:themeColor="accent5" w:themeShade="BF"/>
                <w:szCs w:val="24"/>
              </w:rPr>
              <w:t xml:space="preserve"> </w:t>
            </w:r>
            <w:r w:rsidR="002E1854" w:rsidRPr="001859EE">
              <w:rPr>
                <w:color w:val="2F5496" w:themeColor="accent5" w:themeShade="BF"/>
                <w:szCs w:val="24"/>
              </w:rPr>
              <w:t>consumers</w:t>
            </w:r>
            <w:r w:rsidRPr="001859EE">
              <w:rPr>
                <w:color w:val="2F5496" w:themeColor="accent5" w:themeShade="BF"/>
                <w:szCs w:val="24"/>
              </w:rPr>
              <w:t xml:space="preserve"> to save money by securing better </w:t>
            </w:r>
            <w:r w:rsidR="00BE1D81" w:rsidRPr="001859EE">
              <w:rPr>
                <w:color w:val="2F5496" w:themeColor="accent5" w:themeShade="BF"/>
                <w:szCs w:val="24"/>
              </w:rPr>
              <w:t>banking</w:t>
            </w:r>
            <w:r w:rsidR="00BE1D81">
              <w:rPr>
                <w:color w:val="2F5496" w:themeColor="accent5" w:themeShade="BF"/>
                <w:szCs w:val="24"/>
              </w:rPr>
              <w:t>,</w:t>
            </w:r>
            <w:r w:rsidR="00BE1D81" w:rsidRPr="001859EE">
              <w:rPr>
                <w:color w:val="2F5496" w:themeColor="accent5" w:themeShade="BF"/>
                <w:szCs w:val="24"/>
              </w:rPr>
              <w:t xml:space="preserve"> </w:t>
            </w:r>
            <w:r w:rsidRPr="001859EE">
              <w:rPr>
                <w:color w:val="2F5496" w:themeColor="accent5" w:themeShade="BF"/>
                <w:szCs w:val="24"/>
              </w:rPr>
              <w:t>electricity and internet service deals.</w:t>
            </w:r>
          </w:p>
          <w:p w14:paraId="2B0A487E" w14:textId="77777777" w:rsidR="00B134A9" w:rsidRPr="001859EE" w:rsidRDefault="00B134A9" w:rsidP="001859EE">
            <w:pPr>
              <w:numPr>
                <w:ilvl w:val="0"/>
                <w:numId w:val="20"/>
              </w:numPr>
              <w:spacing w:before="160" w:line="280" w:lineRule="exact"/>
              <w:ind w:left="284" w:hanging="284"/>
              <w:rPr>
                <w:color w:val="2F5496" w:themeColor="accent5" w:themeShade="BF"/>
              </w:rPr>
            </w:pPr>
            <w:r w:rsidRPr="001859EE">
              <w:rPr>
                <w:color w:val="2F5496" w:themeColor="accent5" w:themeShade="BF"/>
                <w:szCs w:val="24"/>
              </w:rPr>
              <w:t>Improved competition and data</w:t>
            </w:r>
            <w:r w:rsidR="00B2281E">
              <w:rPr>
                <w:color w:val="2F5496" w:themeColor="accent5" w:themeShade="BF"/>
                <w:szCs w:val="24"/>
              </w:rPr>
              <w:t>-</w:t>
            </w:r>
            <w:r w:rsidRPr="001859EE">
              <w:rPr>
                <w:color w:val="2F5496" w:themeColor="accent5" w:themeShade="BF"/>
                <w:szCs w:val="24"/>
              </w:rPr>
              <w:t>driven innovation will support economic growth and create new high value jobs in Australia</w:t>
            </w:r>
            <w:r w:rsidRPr="001859EE">
              <w:rPr>
                <w:color w:val="2F5496" w:themeColor="accent5" w:themeShade="BF"/>
              </w:rPr>
              <w:t>.</w:t>
            </w:r>
          </w:p>
          <w:p w14:paraId="448BC3EB" w14:textId="77777777" w:rsidR="00B134A9" w:rsidRPr="001859EE" w:rsidRDefault="00B134A9" w:rsidP="001859EE">
            <w:pPr>
              <w:numPr>
                <w:ilvl w:val="0"/>
                <w:numId w:val="20"/>
              </w:numPr>
              <w:spacing w:before="160" w:line="280" w:lineRule="exact"/>
              <w:ind w:left="284" w:hanging="284"/>
              <w:rPr>
                <w:color w:val="2F5496" w:themeColor="accent5" w:themeShade="BF"/>
              </w:rPr>
            </w:pPr>
            <w:r w:rsidRPr="001859EE">
              <w:rPr>
                <w:color w:val="2F5496" w:themeColor="accent5" w:themeShade="BF"/>
              </w:rPr>
              <w:t>High levels of privacy protection and robust information security will be a core feature of the system.</w:t>
            </w:r>
          </w:p>
          <w:p w14:paraId="40E7E669" w14:textId="77777777" w:rsidR="00B134A9" w:rsidRPr="001859EE" w:rsidRDefault="00B134A9" w:rsidP="001859EE">
            <w:pPr>
              <w:numPr>
                <w:ilvl w:val="0"/>
                <w:numId w:val="20"/>
              </w:numPr>
              <w:spacing w:before="160" w:line="280" w:lineRule="exact"/>
              <w:ind w:left="284" w:hanging="284"/>
              <w:rPr>
                <w:color w:val="2F5496" w:themeColor="accent5" w:themeShade="BF"/>
              </w:rPr>
            </w:pPr>
            <w:r w:rsidRPr="001859EE">
              <w:rPr>
                <w:color w:val="2F5496" w:themeColor="accent5" w:themeShade="BF"/>
              </w:rPr>
              <w:t xml:space="preserve">Only </w:t>
            </w:r>
            <w:r w:rsidR="002428F9">
              <w:rPr>
                <w:color w:val="2F5496" w:themeColor="accent5" w:themeShade="BF"/>
              </w:rPr>
              <w:t>accredited</w:t>
            </w:r>
            <w:r w:rsidRPr="001859EE">
              <w:rPr>
                <w:color w:val="2F5496" w:themeColor="accent5" w:themeShade="BF"/>
              </w:rPr>
              <w:t xml:space="preserve"> trusted service providers will be allowed access to data.</w:t>
            </w:r>
          </w:p>
          <w:p w14:paraId="1B7F3465" w14:textId="77777777" w:rsidR="00B134A9" w:rsidRPr="001859EE" w:rsidRDefault="00B134A9" w:rsidP="001859EE">
            <w:pPr>
              <w:spacing w:line="280" w:lineRule="exact"/>
              <w:ind w:left="851"/>
            </w:pPr>
          </w:p>
          <w:p w14:paraId="7A09CFE5" w14:textId="77777777" w:rsidR="00B134A9" w:rsidRPr="001859EE" w:rsidRDefault="00B134A9" w:rsidP="001859EE">
            <w:pPr>
              <w:spacing w:line="280" w:lineRule="exact"/>
              <w:ind w:left="283"/>
            </w:pPr>
          </w:p>
        </w:tc>
        <w:tc>
          <w:tcPr>
            <w:tcW w:w="500" w:type="dxa"/>
            <w:shd w:val="clear" w:color="auto" w:fill="DEEAF6" w:themeFill="accent1" w:themeFillTint="33"/>
          </w:tcPr>
          <w:p w14:paraId="65796FC9" w14:textId="77777777" w:rsidR="00B134A9" w:rsidRPr="001859EE" w:rsidRDefault="00B134A9" w:rsidP="001859EE">
            <w:pPr>
              <w:spacing w:line="280" w:lineRule="exact"/>
              <w:ind w:left="283"/>
              <w:rPr>
                <w:sz w:val="6"/>
                <w:szCs w:val="6"/>
              </w:rPr>
            </w:pPr>
          </w:p>
        </w:tc>
        <w:tc>
          <w:tcPr>
            <w:tcW w:w="2697" w:type="dxa"/>
            <w:shd w:val="clear" w:color="auto" w:fill="DEEAF6" w:themeFill="accent1" w:themeFillTint="33"/>
          </w:tcPr>
          <w:p w14:paraId="7EC26BED" w14:textId="06E53D86" w:rsidR="00B134A9" w:rsidRPr="001859EE" w:rsidRDefault="00B134A9" w:rsidP="001859EE">
            <w:pPr>
              <w:numPr>
                <w:ilvl w:val="0"/>
                <w:numId w:val="20"/>
              </w:numPr>
              <w:spacing w:before="160" w:line="280" w:lineRule="exact"/>
              <w:ind w:left="284" w:hanging="284"/>
              <w:rPr>
                <w:color w:val="2F5496" w:themeColor="accent5" w:themeShade="BF"/>
              </w:rPr>
            </w:pPr>
            <w:r w:rsidRPr="001859EE">
              <w:rPr>
                <w:color w:val="2F5496" w:themeColor="accent5" w:themeShade="BF"/>
              </w:rPr>
              <w:t>The Government has provided funding of $</w:t>
            </w:r>
            <w:r w:rsidR="00165743">
              <w:rPr>
                <w:color w:val="2F5496" w:themeColor="accent5" w:themeShade="BF"/>
              </w:rPr>
              <w:t>90</w:t>
            </w:r>
            <w:r w:rsidR="00165743" w:rsidRPr="001859EE">
              <w:rPr>
                <w:color w:val="2F5496" w:themeColor="accent5" w:themeShade="BF"/>
              </w:rPr>
              <w:t> </w:t>
            </w:r>
            <w:r w:rsidRPr="001859EE">
              <w:rPr>
                <w:color w:val="2F5496" w:themeColor="accent5" w:themeShade="BF"/>
              </w:rPr>
              <w:t xml:space="preserve">million over </w:t>
            </w:r>
            <w:r w:rsidR="00165743">
              <w:rPr>
                <w:color w:val="2F5496" w:themeColor="accent5" w:themeShade="BF"/>
              </w:rPr>
              <w:t>five</w:t>
            </w:r>
            <w:r w:rsidR="00165743" w:rsidRPr="001859EE">
              <w:rPr>
                <w:color w:val="2F5496" w:themeColor="accent5" w:themeShade="BF"/>
              </w:rPr>
              <w:t xml:space="preserve"> </w:t>
            </w:r>
            <w:r w:rsidRPr="001859EE">
              <w:rPr>
                <w:color w:val="2F5496" w:themeColor="accent5" w:themeShade="BF"/>
              </w:rPr>
              <w:t>years to ensure that the Consumer Data Right will be backed by well</w:t>
            </w:r>
            <w:r w:rsidR="00812736">
              <w:rPr>
                <w:color w:val="2F5496" w:themeColor="accent5" w:themeShade="BF"/>
              </w:rPr>
              <w:noBreakHyphen/>
            </w:r>
            <w:r w:rsidRPr="001859EE">
              <w:rPr>
                <w:color w:val="2F5496" w:themeColor="accent5" w:themeShade="BF"/>
              </w:rPr>
              <w:t>funded regulators with strong enforcement powers.</w:t>
            </w:r>
          </w:p>
          <w:p w14:paraId="03B3513F" w14:textId="2375F295" w:rsidR="00B134A9" w:rsidRPr="001859EE" w:rsidRDefault="00B134A9" w:rsidP="001859EE">
            <w:pPr>
              <w:numPr>
                <w:ilvl w:val="0"/>
                <w:numId w:val="20"/>
              </w:numPr>
              <w:spacing w:before="160" w:line="280" w:lineRule="exact"/>
              <w:ind w:left="284" w:hanging="284"/>
              <w:rPr>
                <w:color w:val="2F5496" w:themeColor="accent5" w:themeShade="BF"/>
                <w:szCs w:val="24"/>
              </w:rPr>
            </w:pPr>
            <w:r w:rsidRPr="001859EE">
              <w:rPr>
                <w:rFonts w:eastAsia="Calibri"/>
                <w:color w:val="2F5496" w:themeColor="accent5" w:themeShade="BF"/>
              </w:rPr>
              <w:t>Implement</w:t>
            </w:r>
            <w:r w:rsidR="00C07F4A" w:rsidRPr="001859EE">
              <w:rPr>
                <w:rFonts w:eastAsia="Calibri"/>
                <w:color w:val="2F5496" w:themeColor="accent5" w:themeShade="BF"/>
              </w:rPr>
              <w:t>ation of</w:t>
            </w:r>
            <w:r w:rsidRPr="001859EE">
              <w:rPr>
                <w:rFonts w:eastAsia="Calibri"/>
                <w:color w:val="2F5496" w:themeColor="accent5" w:themeShade="BF"/>
              </w:rPr>
              <w:t xml:space="preserve"> the Consumer Data Right </w:t>
            </w:r>
            <w:r w:rsidR="00165743">
              <w:rPr>
                <w:rFonts w:eastAsia="Calibri"/>
                <w:color w:val="2F5496" w:themeColor="accent5" w:themeShade="BF"/>
              </w:rPr>
              <w:t>has</w:t>
            </w:r>
            <w:r w:rsidR="00165743" w:rsidRPr="001859EE">
              <w:rPr>
                <w:rFonts w:eastAsia="Calibri"/>
                <w:color w:val="2F5496" w:themeColor="accent5" w:themeShade="BF"/>
              </w:rPr>
              <w:t xml:space="preserve"> </w:t>
            </w:r>
            <w:r w:rsidRPr="001859EE">
              <w:rPr>
                <w:rFonts w:eastAsia="Calibri"/>
                <w:color w:val="2F5496" w:themeColor="accent5" w:themeShade="BF"/>
              </w:rPr>
              <w:t>be</w:t>
            </w:r>
            <w:r w:rsidR="00165743">
              <w:rPr>
                <w:rFonts w:eastAsia="Calibri"/>
                <w:color w:val="2F5496" w:themeColor="accent5" w:themeShade="BF"/>
              </w:rPr>
              <w:t>en</w:t>
            </w:r>
            <w:r w:rsidRPr="001859EE">
              <w:rPr>
                <w:rFonts w:eastAsia="Calibri"/>
                <w:color w:val="2F5496" w:themeColor="accent5" w:themeShade="BF"/>
              </w:rPr>
              <w:t xml:space="preserve"> informed by the findings of the Report of the independent Review into Open Banking in Australia. </w:t>
            </w:r>
          </w:p>
          <w:p w14:paraId="114091D1" w14:textId="3F6C8E42" w:rsidR="00B134A9" w:rsidRPr="001859EE" w:rsidRDefault="00165743" w:rsidP="001859EE">
            <w:pPr>
              <w:numPr>
                <w:ilvl w:val="0"/>
                <w:numId w:val="20"/>
              </w:numPr>
              <w:spacing w:before="160" w:line="280" w:lineRule="exact"/>
              <w:ind w:left="284" w:hanging="284"/>
              <w:rPr>
                <w:color w:val="2F5496" w:themeColor="accent5" w:themeShade="BF"/>
                <w:szCs w:val="24"/>
              </w:rPr>
            </w:pPr>
            <w:r>
              <w:rPr>
                <w:color w:val="2F5496" w:themeColor="accent5" w:themeShade="BF"/>
              </w:rPr>
              <w:t>Open Banking</w:t>
            </w:r>
            <w:r w:rsidR="000D5780">
              <w:rPr>
                <w:color w:val="2F5496" w:themeColor="accent5" w:themeShade="BF"/>
              </w:rPr>
              <w:t xml:space="preserve"> wi</w:t>
            </w:r>
            <w:r w:rsidR="00EB0237">
              <w:rPr>
                <w:color w:val="2F5496" w:themeColor="accent5" w:themeShade="BF"/>
              </w:rPr>
              <w:t>ll</w:t>
            </w:r>
            <w:r w:rsidR="000D5780">
              <w:rPr>
                <w:color w:val="2F5496" w:themeColor="accent5" w:themeShade="BF"/>
              </w:rPr>
              <w:t xml:space="preserve"> </w:t>
            </w:r>
            <w:r>
              <w:rPr>
                <w:color w:val="2F5496" w:themeColor="accent5" w:themeShade="BF"/>
              </w:rPr>
              <w:t xml:space="preserve">begin with </w:t>
            </w:r>
            <w:r w:rsidR="000D5780">
              <w:rPr>
                <w:color w:val="2F5496" w:themeColor="accent5" w:themeShade="BF"/>
              </w:rPr>
              <w:t>a phased implementation from July 2019</w:t>
            </w:r>
            <w:r w:rsidR="00B134A9" w:rsidRPr="001859EE">
              <w:rPr>
                <w:color w:val="2F5496" w:themeColor="accent5" w:themeShade="BF"/>
              </w:rPr>
              <w:t xml:space="preserve">. </w:t>
            </w:r>
          </w:p>
          <w:p w14:paraId="67E1D33C" w14:textId="77777777" w:rsidR="00B134A9" w:rsidRPr="001859EE" w:rsidRDefault="00B134A9" w:rsidP="00EB0237">
            <w:pPr>
              <w:spacing w:before="160" w:line="280" w:lineRule="exact"/>
              <w:ind w:left="284"/>
            </w:pPr>
          </w:p>
        </w:tc>
      </w:tr>
    </w:tbl>
    <w:p w14:paraId="6A6F52B5" w14:textId="77777777" w:rsidR="006C5B73" w:rsidRDefault="006C5B73" w:rsidP="006C5B73">
      <w:pPr>
        <w:pStyle w:val="SingleParagraph"/>
      </w:pPr>
    </w:p>
    <w:p w14:paraId="4BC4CF6E" w14:textId="77777777" w:rsidR="00B134A9" w:rsidRPr="00EB0237" w:rsidRDefault="00B134A9" w:rsidP="00C21A01">
      <w:pPr>
        <w:jc w:val="both"/>
        <w:rPr>
          <w:rStyle w:val="Hyperlink"/>
          <w:rFonts w:cs="Arial"/>
          <w:kern w:val="32"/>
          <w:sz w:val="24"/>
          <w:szCs w:val="26"/>
        </w:rPr>
      </w:pPr>
      <w:r w:rsidRPr="00EB0237">
        <w:rPr>
          <w:color w:val="2F5496" w:themeColor="accent5" w:themeShade="BF"/>
          <w:sz w:val="24"/>
        </w:rPr>
        <w:t xml:space="preserve">If you have any queries or comments regarding either the Consumer Data Right or the Open Banking Review, please contact Treasury at </w:t>
      </w:r>
      <w:hyperlink r:id="rId28" w:history="1">
        <w:r w:rsidRPr="00EB0237">
          <w:rPr>
            <w:rStyle w:val="Hyperlink"/>
            <w:color w:val="2F5496" w:themeColor="accent5" w:themeShade="BF"/>
            <w:sz w:val="24"/>
          </w:rPr>
          <w:t>data@treasury.gov.au</w:t>
        </w:r>
      </w:hyperlink>
      <w:r w:rsidR="002B582F" w:rsidRPr="00EB0237">
        <w:rPr>
          <w:rStyle w:val="Hyperlink"/>
          <w:color w:val="2F5496" w:themeColor="accent5" w:themeShade="BF"/>
          <w:sz w:val="24"/>
        </w:rPr>
        <w:t xml:space="preserve">. </w:t>
      </w:r>
    </w:p>
    <w:p w14:paraId="58569B75" w14:textId="77777777" w:rsidR="0005138B" w:rsidRPr="00B134A9" w:rsidRDefault="0005138B" w:rsidP="00C21A01">
      <w:pPr>
        <w:jc w:val="both"/>
        <w:rPr>
          <w:b/>
        </w:rPr>
        <w:sectPr w:rsidR="0005138B" w:rsidRPr="00B134A9" w:rsidSect="005D1427">
          <w:headerReference w:type="default" r:id="rId29"/>
          <w:footerReference w:type="even" r:id="rId30"/>
          <w:pgSz w:w="11906" w:h="16838" w:code="9"/>
          <w:pgMar w:top="1418" w:right="1418" w:bottom="1418" w:left="1418" w:header="709" w:footer="709" w:gutter="0"/>
          <w:pgNumType w:fmt="lowerRoman"/>
          <w:cols w:space="708"/>
          <w:docGrid w:linePitch="360"/>
        </w:sectPr>
      </w:pPr>
    </w:p>
    <w:p w14:paraId="0D96B1F2" w14:textId="77777777" w:rsidR="00B134A9" w:rsidRDefault="00350421" w:rsidP="00B134A9">
      <w:pPr>
        <w:pStyle w:val="Heading2"/>
      </w:pPr>
      <w:bookmarkStart w:id="4" w:name="_Toc513028513"/>
      <w:bookmarkStart w:id="5" w:name="_Toc513032618"/>
      <w:bookmarkStart w:id="6" w:name="_Toc513117235"/>
      <w:bookmarkStart w:id="7" w:name="_Toc513305771"/>
      <w:bookmarkStart w:id="8" w:name="_Toc513448699"/>
      <w:bookmarkStart w:id="9" w:name="_Toc513451721"/>
      <w:bookmarkStart w:id="10" w:name="_Toc10011475"/>
      <w:r>
        <w:lastRenderedPageBreak/>
        <w:t>T</w:t>
      </w:r>
      <w:r w:rsidR="00B134A9">
        <w:t>he Consumer Data Right</w:t>
      </w:r>
      <w:bookmarkEnd w:id="4"/>
      <w:bookmarkEnd w:id="5"/>
      <w:bookmarkEnd w:id="6"/>
      <w:bookmarkEnd w:id="7"/>
      <w:bookmarkEnd w:id="8"/>
      <w:bookmarkEnd w:id="9"/>
      <w:bookmarkEnd w:id="10"/>
    </w:p>
    <w:p w14:paraId="69354D9B" w14:textId="77777777" w:rsidR="00B134A9" w:rsidRDefault="00D32963" w:rsidP="006805B5">
      <w:r>
        <w:t xml:space="preserve">The Consumer Data Right </w:t>
      </w:r>
      <w:r w:rsidR="002428F9">
        <w:t xml:space="preserve">will </w:t>
      </w:r>
      <w:r>
        <w:t>give c</w:t>
      </w:r>
      <w:r w:rsidR="00B134A9">
        <w:t xml:space="preserve">onsumers the right to </w:t>
      </w:r>
      <w:r w:rsidR="00C86DDB">
        <w:t xml:space="preserve">safely </w:t>
      </w:r>
      <w:r w:rsidR="00B134A9">
        <w:t xml:space="preserve">access certain data about them held by businesses. They will also be able to direct that this information be transferred to accredited, trusted third parties of their choice. </w:t>
      </w:r>
    </w:p>
    <w:p w14:paraId="3CEF1218" w14:textId="77777777" w:rsidR="00B134A9" w:rsidRDefault="00B134A9" w:rsidP="006805B5">
      <w:r>
        <w:t xml:space="preserve">The right </w:t>
      </w:r>
      <w:r w:rsidR="00BE1D81">
        <w:t>will</w:t>
      </w:r>
      <w:r>
        <w:t xml:space="preserve"> allow the consumer to </w:t>
      </w:r>
      <w:r w:rsidR="00B420FB">
        <w:t>access</w:t>
      </w:r>
      <w:r>
        <w:t xml:space="preserve"> data about themselves</w:t>
      </w:r>
      <w:r w:rsidR="00B12930" w:rsidRPr="00B12930">
        <w:t xml:space="preserve"> </w:t>
      </w:r>
      <w:r w:rsidR="00B12930">
        <w:t xml:space="preserve">in a readily usable form and a convenient and timely manner. It will also allow </w:t>
      </w:r>
      <w:r w:rsidR="00657D1A">
        <w:t>consumers</w:t>
      </w:r>
      <w:r w:rsidR="00B12930">
        <w:t xml:space="preserve"> better access to information on</w:t>
      </w:r>
      <w:r>
        <w:t xml:space="preserve"> the products available to them. </w:t>
      </w:r>
    </w:p>
    <w:p w14:paraId="3A95F3F1" w14:textId="77777777" w:rsidR="005E7CDF" w:rsidRDefault="005E7CDF" w:rsidP="006805B5">
      <w:r>
        <w:t xml:space="preserve">Both individual and business </w:t>
      </w:r>
      <w:r w:rsidRPr="001C6195">
        <w:t>c</w:t>
      </w:r>
      <w:r w:rsidR="007B3E9E" w:rsidRPr="001C6195">
        <w:t>ustomers</w:t>
      </w:r>
      <w:r>
        <w:t xml:space="preserve"> will be entitled to the Consumer Data Right.</w:t>
      </w:r>
    </w:p>
    <w:p w14:paraId="25BC3A7F" w14:textId="77777777" w:rsidR="00B134A9" w:rsidRDefault="00B134A9" w:rsidP="006805B5">
      <w:r>
        <w:t xml:space="preserve">The right will only apply in relation to specified data sets and specified classes of data holders. </w:t>
      </w: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966"/>
      </w:tblGrid>
      <w:tr w:rsidR="00B134A9" w14:paraId="0AFFDB14" w14:textId="77777777" w:rsidTr="00A90B5F">
        <w:tc>
          <w:tcPr>
            <w:tcW w:w="9242" w:type="dxa"/>
            <w:shd w:val="clear" w:color="auto" w:fill="0074BD"/>
          </w:tcPr>
          <w:p w14:paraId="411CDABA" w14:textId="77777777" w:rsidR="00B134A9" w:rsidRDefault="00B134A9" w:rsidP="00B45D7B">
            <w:pPr>
              <w:jc w:val="center"/>
            </w:pPr>
            <w:r w:rsidRPr="005A4179">
              <w:rPr>
                <w:b/>
                <w:color w:val="FFFFFF" w:themeColor="background1"/>
                <w:sz w:val="24"/>
              </w:rPr>
              <w:t>The Consumer Data Right will be implemented according to four key principles:</w:t>
            </w:r>
          </w:p>
        </w:tc>
      </w:tr>
      <w:tr w:rsidR="00B134A9" w14:paraId="31F1BB27" w14:textId="77777777" w:rsidTr="00C75EF2">
        <w:tc>
          <w:tcPr>
            <w:tcW w:w="9242" w:type="dxa"/>
            <w:shd w:val="clear" w:color="auto" w:fill="DEEAF6" w:themeFill="accent1" w:themeFillTint="33"/>
            <w:vAlign w:val="bottom"/>
          </w:tcPr>
          <w:p w14:paraId="14844903" w14:textId="77777777" w:rsidR="00B134A9" w:rsidRDefault="00B134A9" w:rsidP="00C75EF2">
            <w:pPr>
              <w:pStyle w:val="Bullet"/>
              <w:numPr>
                <w:ilvl w:val="0"/>
                <w:numId w:val="24"/>
              </w:numPr>
              <w:tabs>
                <w:tab w:val="clear" w:pos="520"/>
                <w:tab w:val="left" w:pos="425"/>
              </w:tabs>
              <w:spacing w:line="264" w:lineRule="auto"/>
              <w:ind w:left="425" w:hanging="425"/>
            </w:pPr>
            <w:r>
              <w:t xml:space="preserve">The Consumer Data Right should be </w:t>
            </w:r>
            <w:r>
              <w:rPr>
                <w:b/>
              </w:rPr>
              <w:t>consumer</w:t>
            </w:r>
            <w:r w:rsidRPr="005A55ED">
              <w:rPr>
                <w:b/>
              </w:rPr>
              <w:t xml:space="preserve"> focussed</w:t>
            </w:r>
            <w:r>
              <w:t xml:space="preserve">. </w:t>
            </w:r>
            <w:r w:rsidRPr="009978AD">
              <w:t>It should be for the c</w:t>
            </w:r>
            <w:r>
              <w:t>onsumer</w:t>
            </w:r>
            <w:r w:rsidRPr="009978AD">
              <w:t xml:space="preserve">, be about the </w:t>
            </w:r>
            <w:r>
              <w:t>consumer</w:t>
            </w:r>
            <w:r w:rsidRPr="009978AD">
              <w:t xml:space="preserve">, and be seen from the </w:t>
            </w:r>
            <w:r>
              <w:t>consumer</w:t>
            </w:r>
            <w:r w:rsidRPr="009978AD">
              <w:t>’s perspective.</w:t>
            </w:r>
          </w:p>
        </w:tc>
      </w:tr>
      <w:tr w:rsidR="00B134A9" w14:paraId="67A357FA" w14:textId="77777777" w:rsidTr="00C75EF2">
        <w:tc>
          <w:tcPr>
            <w:tcW w:w="9242" w:type="dxa"/>
            <w:shd w:val="clear" w:color="auto" w:fill="BDD6EE" w:themeFill="accent1" w:themeFillTint="66"/>
            <w:vAlign w:val="bottom"/>
          </w:tcPr>
          <w:p w14:paraId="21A59073" w14:textId="77777777" w:rsidR="00B134A9" w:rsidRDefault="00B134A9" w:rsidP="00C75EF2">
            <w:pPr>
              <w:pStyle w:val="Bullet"/>
              <w:numPr>
                <w:ilvl w:val="0"/>
                <w:numId w:val="24"/>
              </w:numPr>
              <w:tabs>
                <w:tab w:val="clear" w:pos="520"/>
                <w:tab w:val="left" w:pos="425"/>
              </w:tabs>
              <w:spacing w:line="264" w:lineRule="auto"/>
              <w:ind w:left="425" w:hanging="425"/>
            </w:pPr>
            <w:r>
              <w:t xml:space="preserve">The Consumer Data Right should </w:t>
            </w:r>
            <w:r w:rsidRPr="005A55ED">
              <w:rPr>
                <w:b/>
              </w:rPr>
              <w:t>encourage competition</w:t>
            </w:r>
            <w:r>
              <w:t>.</w:t>
            </w:r>
            <w:r w:rsidRPr="009978AD">
              <w:t xml:space="preserve"> It should </w:t>
            </w:r>
            <w:r w:rsidR="00762B9B">
              <w:t>seek</w:t>
            </w:r>
            <w:r w:rsidRPr="009978AD">
              <w:t xml:space="preserve"> to increase competition for products and services available to </w:t>
            </w:r>
            <w:r>
              <w:t>consumer</w:t>
            </w:r>
            <w:r w:rsidRPr="009978AD">
              <w:t xml:space="preserve">s so that </w:t>
            </w:r>
            <w:r>
              <w:t>consumer</w:t>
            </w:r>
            <w:r w:rsidRPr="009978AD">
              <w:t>s can make better choices.</w:t>
            </w:r>
          </w:p>
        </w:tc>
      </w:tr>
      <w:tr w:rsidR="00B134A9" w14:paraId="57F7B3D4" w14:textId="77777777" w:rsidTr="00C75EF2">
        <w:tc>
          <w:tcPr>
            <w:tcW w:w="9242" w:type="dxa"/>
            <w:shd w:val="clear" w:color="auto" w:fill="DEEAF6" w:themeFill="accent1" w:themeFillTint="33"/>
            <w:vAlign w:val="bottom"/>
          </w:tcPr>
          <w:p w14:paraId="0073079D" w14:textId="77777777" w:rsidR="00B134A9" w:rsidRDefault="00B134A9" w:rsidP="00C75EF2">
            <w:pPr>
              <w:pStyle w:val="Bullet"/>
              <w:numPr>
                <w:ilvl w:val="0"/>
                <w:numId w:val="24"/>
              </w:numPr>
              <w:tabs>
                <w:tab w:val="clear" w:pos="520"/>
                <w:tab w:val="left" w:pos="425"/>
              </w:tabs>
              <w:spacing w:line="264" w:lineRule="auto"/>
              <w:ind w:left="425" w:hanging="425"/>
            </w:pPr>
            <w:r>
              <w:t xml:space="preserve">The Consumer Data Right </w:t>
            </w:r>
            <w:r w:rsidRPr="009978AD">
              <w:t>shou</w:t>
            </w:r>
            <w:r>
              <w:t xml:space="preserve">ld </w:t>
            </w:r>
            <w:r w:rsidRPr="005A55ED">
              <w:rPr>
                <w:b/>
              </w:rPr>
              <w:t>create opportunities</w:t>
            </w:r>
            <w:r>
              <w:t xml:space="preserve">. </w:t>
            </w:r>
            <w:r w:rsidRPr="009978AD">
              <w:t xml:space="preserve">It should provide a framework </w:t>
            </w:r>
            <w:r w:rsidR="002428F9">
              <w:t>from</w:t>
            </w:r>
            <w:r w:rsidRPr="009978AD">
              <w:t xml:space="preserve"> which new ideas and business can emerge and grow, establishing a vibrant and creative data </w:t>
            </w:r>
            <w:r>
              <w:t>sector that supports better services enhanced by personalised data</w:t>
            </w:r>
            <w:r w:rsidRPr="009978AD">
              <w:t>.</w:t>
            </w:r>
          </w:p>
        </w:tc>
      </w:tr>
      <w:tr w:rsidR="00B134A9" w14:paraId="1703C500" w14:textId="77777777" w:rsidTr="00C75EF2">
        <w:tc>
          <w:tcPr>
            <w:tcW w:w="9242" w:type="dxa"/>
            <w:shd w:val="clear" w:color="auto" w:fill="BDD6EE" w:themeFill="accent1" w:themeFillTint="66"/>
            <w:vAlign w:val="bottom"/>
          </w:tcPr>
          <w:p w14:paraId="54BAA2C8" w14:textId="77777777" w:rsidR="00B134A9" w:rsidRDefault="00B134A9" w:rsidP="00C75EF2">
            <w:pPr>
              <w:pStyle w:val="Bullet"/>
              <w:numPr>
                <w:ilvl w:val="0"/>
                <w:numId w:val="24"/>
              </w:numPr>
              <w:tabs>
                <w:tab w:val="clear" w:pos="520"/>
                <w:tab w:val="left" w:pos="425"/>
              </w:tabs>
              <w:spacing w:after="240" w:line="264" w:lineRule="auto"/>
              <w:ind w:left="425" w:hanging="425"/>
            </w:pPr>
            <w:r>
              <w:t xml:space="preserve">The Consumer Data Right should be </w:t>
            </w:r>
            <w:r w:rsidRPr="005A55ED">
              <w:rPr>
                <w:b/>
              </w:rPr>
              <w:t>efficient and fair</w:t>
            </w:r>
            <w:r>
              <w:t xml:space="preserve">. </w:t>
            </w:r>
            <w:r w:rsidRPr="009978AD">
              <w:t>It should be</w:t>
            </w:r>
            <w:r w:rsidRPr="009978AD" w:rsidDel="003604AA">
              <w:t xml:space="preserve"> </w:t>
            </w:r>
            <w:r>
              <w:t>implemented</w:t>
            </w:r>
            <w:r w:rsidRPr="009978AD">
              <w:t xml:space="preserve"> with security and privacy in mind, so that it is sustainable and fair, without being more c</w:t>
            </w:r>
            <w:r>
              <w:t>omplex or costly than needed.</w:t>
            </w:r>
          </w:p>
        </w:tc>
      </w:tr>
    </w:tbl>
    <w:p w14:paraId="06A94B86" w14:textId="131C9EBB" w:rsidR="00B134A9" w:rsidRDefault="00B134A9" w:rsidP="006805B5">
      <w:r>
        <w:t>The right will not require a business to hold consumer data that they would not otherwise hold, other than the keeping of records in relation to a consumer</w:t>
      </w:r>
      <w:r w:rsidR="00812736">
        <w:t>’</w:t>
      </w:r>
      <w:r>
        <w:t xml:space="preserve">s use of the right. </w:t>
      </w:r>
    </w:p>
    <w:p w14:paraId="27C301D6" w14:textId="77777777" w:rsidR="00B134A9" w:rsidRDefault="00B134A9" w:rsidP="00B134A9">
      <w:pPr>
        <w:pStyle w:val="Heading2"/>
      </w:pPr>
      <w:bookmarkStart w:id="11" w:name="_Toc513305772"/>
      <w:bookmarkStart w:id="12" w:name="_Toc513028514"/>
      <w:bookmarkStart w:id="13" w:name="_Toc513032619"/>
      <w:bookmarkStart w:id="14" w:name="_Toc513117236"/>
      <w:bookmarkStart w:id="15" w:name="_Toc513448700"/>
      <w:bookmarkStart w:id="16" w:name="_Toc513451722"/>
      <w:bookmarkStart w:id="17" w:name="_Toc10011476"/>
      <w:r>
        <w:t>Open Banking</w:t>
      </w:r>
      <w:bookmarkEnd w:id="11"/>
      <w:bookmarkEnd w:id="12"/>
      <w:bookmarkEnd w:id="13"/>
      <w:bookmarkEnd w:id="14"/>
      <w:bookmarkEnd w:id="15"/>
      <w:bookmarkEnd w:id="16"/>
      <w:bookmarkEnd w:id="17"/>
    </w:p>
    <w:p w14:paraId="7F2A4462" w14:textId="77777777" w:rsidR="00B12930" w:rsidRDefault="00B12930" w:rsidP="00B12930">
      <w:r>
        <w:t>Open Banking is the application of the Consumer Data Right in the banking sector.</w:t>
      </w:r>
    </w:p>
    <w:p w14:paraId="138E550C" w14:textId="77777777" w:rsidR="00B12930" w:rsidRPr="009C7EB2" w:rsidRDefault="00B12930" w:rsidP="00B12930">
      <w:pPr>
        <w:pStyle w:val="Bullet"/>
        <w:numPr>
          <w:ilvl w:val="0"/>
          <w:numId w:val="0"/>
        </w:numPr>
        <w:tabs>
          <w:tab w:val="num" w:pos="284"/>
        </w:tabs>
      </w:pPr>
      <w:r>
        <w:t xml:space="preserve">In the 2017-18 Budget the Treasurer announced that Open Banking will be introduced in Australia and commissioned an </w:t>
      </w:r>
      <w:r w:rsidRPr="00BA723F">
        <w:t xml:space="preserve">Open Banking </w:t>
      </w:r>
      <w:r>
        <w:t xml:space="preserve">Review to make recommendations to the Government on </w:t>
      </w:r>
      <w:r w:rsidRPr="00BA723F">
        <w:t xml:space="preserve">the </w:t>
      </w:r>
      <w:r w:rsidR="00563E7E">
        <w:t xml:space="preserve">most appropriate model and the </w:t>
      </w:r>
      <w:r w:rsidRPr="00BA723F">
        <w:t>best approac</w:t>
      </w:r>
      <w:r>
        <w:t xml:space="preserve">h to implement it. The </w:t>
      </w:r>
      <w:r w:rsidR="00055666">
        <w:t>R</w:t>
      </w:r>
      <w:r>
        <w:t>eview was led by Mr Scott Farrell, a senior partner at King </w:t>
      </w:r>
      <w:r w:rsidR="00563E7E">
        <w:t xml:space="preserve">&amp; </w:t>
      </w:r>
      <w:r>
        <w:t xml:space="preserve">Wood </w:t>
      </w:r>
      <w:proofErr w:type="spellStart"/>
      <w:r>
        <w:t>Mallesons</w:t>
      </w:r>
      <w:proofErr w:type="spellEnd"/>
      <w:r>
        <w:t xml:space="preserve">, with </w:t>
      </w:r>
      <w:r w:rsidRPr="009C7EB2">
        <w:t xml:space="preserve">more than 20 years’ experience in financial markets and financial systems law. Mr Farrell is a member of the </w:t>
      </w:r>
      <w:hyperlink r:id="rId31" w:history="1">
        <w:r w:rsidRPr="009C7EB2">
          <w:t xml:space="preserve">Government’s </w:t>
        </w:r>
        <w:proofErr w:type="spellStart"/>
        <w:r w:rsidRPr="009C7EB2">
          <w:t>FinTech</w:t>
        </w:r>
        <w:proofErr w:type="spellEnd"/>
        <w:r w:rsidRPr="009C7EB2">
          <w:t xml:space="preserve"> Advisory Group</w:t>
        </w:r>
      </w:hyperlink>
      <w:r w:rsidRPr="009C7EB2">
        <w:t>.</w:t>
      </w:r>
    </w:p>
    <w:p w14:paraId="566160FC" w14:textId="77777777" w:rsidR="00B12930" w:rsidRDefault="00B12930" w:rsidP="00B12930">
      <w:r>
        <w:t>The Open Banking Review made recommendations in relation to the legal and regulatory arrangements for the economy</w:t>
      </w:r>
      <w:r w:rsidR="00055666">
        <w:t>-</w:t>
      </w:r>
      <w:r>
        <w:t xml:space="preserve">wide Consumer Data Right; and more specifically how it should be applied to banking data. The Government has accepted the recommendations of the Review, </w:t>
      </w:r>
      <w:r w:rsidR="001B1812" w:rsidRPr="001B1812">
        <w:t>with a phased</w:t>
      </w:r>
      <w:r>
        <w:t xml:space="preserve"> implementation </w:t>
      </w:r>
      <w:r w:rsidR="001B1812" w:rsidRPr="001B1812">
        <w:t>from July 2019</w:t>
      </w:r>
      <w:r>
        <w:t>.</w:t>
      </w:r>
    </w:p>
    <w:p w14:paraId="70D28327" w14:textId="77777777" w:rsidR="00D866B5" w:rsidRDefault="001B1812" w:rsidP="00D866B5">
      <w:r>
        <w:t>T</w:t>
      </w:r>
      <w:r w:rsidR="00D866B5">
        <w:t xml:space="preserve">he Open Banking Review </w:t>
      </w:r>
      <w:r>
        <w:t>made recommendations regarding</w:t>
      </w:r>
      <w:r w:rsidR="00D866B5">
        <w:t xml:space="preserve"> </w:t>
      </w:r>
      <w:r>
        <w:t>both</w:t>
      </w:r>
      <w:r w:rsidR="00D866B5">
        <w:t xml:space="preserve"> the general </w:t>
      </w:r>
      <w:r w:rsidR="00EB56EC">
        <w:t xml:space="preserve">regulatory </w:t>
      </w:r>
      <w:r w:rsidR="00D866B5">
        <w:t xml:space="preserve">framework </w:t>
      </w:r>
      <w:r>
        <w:t xml:space="preserve">for the Consumer Data Right </w:t>
      </w:r>
      <w:r w:rsidR="00D866B5">
        <w:t xml:space="preserve">(largely contained in </w:t>
      </w:r>
      <w:r w:rsidR="00055666">
        <w:t>C</w:t>
      </w:r>
      <w:r w:rsidR="00D866B5">
        <w:t xml:space="preserve">hapter </w:t>
      </w:r>
      <w:r w:rsidR="00055666">
        <w:t>T</w:t>
      </w:r>
      <w:r w:rsidR="00D866B5">
        <w:t xml:space="preserve">wo of the report) and </w:t>
      </w:r>
      <w:r>
        <w:t>separately how this would apply to the banking sector</w:t>
      </w:r>
      <w:r w:rsidR="00D866B5">
        <w:t xml:space="preserve">. </w:t>
      </w:r>
      <w:r>
        <w:t xml:space="preserve">Non-banking sectors should not assume all of the </w:t>
      </w:r>
      <w:r>
        <w:lastRenderedPageBreak/>
        <w:t xml:space="preserve">recommendations for how it will apply to banking will be adopted for other sectors. </w:t>
      </w:r>
      <w:r w:rsidR="00D866B5">
        <w:t>For example, r</w:t>
      </w:r>
      <w:r w:rsidR="00D866B5" w:rsidDel="00055666">
        <w:t>ules</w:t>
      </w:r>
      <w:r w:rsidR="00D866B5">
        <w:t xml:space="preserve"> regarding how consumer identities are authenticated might differ between sectors.</w:t>
      </w:r>
    </w:p>
    <w:p w14:paraId="56FE66AD" w14:textId="77777777" w:rsidR="009F7EC1" w:rsidRDefault="009F7EC1" w:rsidP="009F7EC1">
      <w:r>
        <w:t>In other countries, Open Banking may also refer to a right to authorise other parties to initiate transactions on consumers’ bank accounts (write access). The</w:t>
      </w:r>
      <w:r w:rsidDel="001D1474">
        <w:t xml:space="preserve"> </w:t>
      </w:r>
      <w:r w:rsidR="001D1474">
        <w:t>Consumer Data R</w:t>
      </w:r>
      <w:r>
        <w:t>ight</w:t>
      </w:r>
      <w:r w:rsidR="00776B84">
        <w:t xml:space="preserve"> recommended in the Open Banking Review </w:t>
      </w:r>
      <w:r w:rsidR="001D1474">
        <w:t xml:space="preserve">only relates to </w:t>
      </w:r>
      <w:r>
        <w:t>access to data (read access) – although the Open Banking Review raises the option of an extension of the right in the future.</w:t>
      </w:r>
    </w:p>
    <w:p w14:paraId="78B5F042" w14:textId="49040B02" w:rsidR="00D866B5" w:rsidRDefault="00D866B5" w:rsidP="00B12930">
      <w:r>
        <w:t xml:space="preserve">Open Banking is called ‘Open’ Banking because it opens up </w:t>
      </w:r>
      <w:r w:rsidR="00165743">
        <w:t>data access</w:t>
      </w:r>
      <w:r>
        <w:t xml:space="preserve"> to </w:t>
      </w:r>
      <w:r w:rsidR="00AE3047">
        <w:t>data recipients</w:t>
      </w:r>
      <w:r>
        <w:t xml:space="preserve"> </w:t>
      </w:r>
      <w:r w:rsidR="00776B84">
        <w:t>in accordance with directions of a</w:t>
      </w:r>
      <w:r>
        <w:t xml:space="preserve"> </w:t>
      </w:r>
      <w:r w:rsidRPr="00944A6C">
        <w:t>c</w:t>
      </w:r>
      <w:r w:rsidR="00AE3047" w:rsidRPr="00944A6C">
        <w:t>onsumer</w:t>
      </w:r>
      <w:r w:rsidRPr="00AE3047">
        <w:t>.</w:t>
      </w:r>
      <w:r>
        <w:t xml:space="preserve"> It also uses standards that are developed and maintained collaboratively and transparently and are openly licensed for anyone to access and use.</w:t>
      </w:r>
    </w:p>
    <w:p w14:paraId="76CF0604" w14:textId="3B273587" w:rsidR="00B134A9" w:rsidRDefault="00B134A9" w:rsidP="006805B5">
      <w:r>
        <w:t xml:space="preserve">Open Banking is not </w:t>
      </w:r>
      <w:r w:rsidR="00DC23EC">
        <w:t xml:space="preserve">the same as </w:t>
      </w:r>
      <w:r>
        <w:t xml:space="preserve">Open Data. </w:t>
      </w:r>
      <w:r w:rsidR="00165743">
        <w:t xml:space="preserve">While definitions may vary, </w:t>
      </w:r>
      <w:r>
        <w:t xml:space="preserve">Open </w:t>
      </w:r>
      <w:r w:rsidR="00DC23EC">
        <w:t>D</w:t>
      </w:r>
      <w:r>
        <w:t>ata</w:t>
      </w:r>
      <w:r w:rsidDel="00DC23EC">
        <w:t xml:space="preserve"> </w:t>
      </w:r>
      <w:r w:rsidR="00165743">
        <w:t xml:space="preserve">can </w:t>
      </w:r>
      <w:r w:rsidR="00DC23EC">
        <w:t>refer to</w:t>
      </w:r>
      <w:r>
        <w:t xml:space="preserve"> data that is accessible to </w:t>
      </w:r>
      <w:r w:rsidRPr="009C7EB2">
        <w:t>anyone</w:t>
      </w:r>
      <w:r w:rsidRPr="007D2988">
        <w:t>,</w:t>
      </w:r>
      <w:r>
        <w:t xml:space="preserve"> published under a licence that allows people to use, share and modify it for any purpose. In contrast, Open Banking only allows access to data when a consumer has authorised that access. </w:t>
      </w:r>
    </w:p>
    <w:p w14:paraId="7F26B2D2" w14:textId="77777777" w:rsidR="00B134A9" w:rsidRDefault="00350421" w:rsidP="00B134A9">
      <w:pPr>
        <w:pStyle w:val="Heading2"/>
      </w:pPr>
      <w:bookmarkStart w:id="18" w:name="_Toc513028515"/>
      <w:bookmarkStart w:id="19" w:name="_Toc513032620"/>
      <w:bookmarkStart w:id="20" w:name="_Toc513117237"/>
      <w:bookmarkStart w:id="21" w:name="_Toc513305773"/>
      <w:bookmarkStart w:id="22" w:name="_Toc513448701"/>
      <w:bookmarkStart w:id="23" w:name="_Toc513451723"/>
      <w:bookmarkStart w:id="24" w:name="_Toc10011477"/>
      <w:r>
        <w:t>T</w:t>
      </w:r>
      <w:r w:rsidR="00B134A9">
        <w:t xml:space="preserve">he benefits </w:t>
      </w:r>
      <w:bookmarkEnd w:id="18"/>
      <w:bookmarkEnd w:id="19"/>
      <w:bookmarkEnd w:id="20"/>
      <w:r>
        <w:t>from the Consumer Data Right</w:t>
      </w:r>
      <w:bookmarkEnd w:id="21"/>
      <w:bookmarkEnd w:id="22"/>
      <w:bookmarkEnd w:id="23"/>
      <w:bookmarkEnd w:id="24"/>
    </w:p>
    <w:p w14:paraId="0AA72DBC" w14:textId="77777777" w:rsidR="00B134A9" w:rsidRDefault="00B134A9" w:rsidP="006805B5">
      <w:pPr>
        <w:rPr>
          <w:noProof/>
          <w:shd w:val="clear" w:color="auto" w:fill="FFFFFF"/>
        </w:rPr>
      </w:pPr>
      <w:r>
        <w:t xml:space="preserve">The </w:t>
      </w:r>
      <w:r>
        <w:rPr>
          <w:noProof/>
          <w:shd w:val="clear" w:color="auto" w:fill="FFFFFF"/>
        </w:rPr>
        <w:t>Consumer Data Right</w:t>
      </w:r>
      <w:r>
        <w:t xml:space="preserve"> will improve consumer choice and convenience by allowing data to be </w:t>
      </w:r>
      <w:r w:rsidR="00C86DDB">
        <w:t xml:space="preserve">safely </w:t>
      </w:r>
      <w:r>
        <w:t xml:space="preserve">shared with </w:t>
      </w:r>
      <w:r w:rsidR="00256A80">
        <w:t xml:space="preserve">accredited, </w:t>
      </w:r>
      <w:r>
        <w:t>trusted recipients, such as comparison websites. An improved ability to compare will increase a consumer’s ability to either negotiate better deals with their current providers</w:t>
      </w:r>
      <w:r w:rsidRPr="002F1804">
        <w:t xml:space="preserve"> </w:t>
      </w:r>
      <w:r>
        <w:t>or</w:t>
      </w:r>
      <w:r w:rsidRPr="002F1804">
        <w:t xml:space="preserve"> </w:t>
      </w:r>
      <w:r>
        <w:t>switch products. Consumers will obtain better value for money and competition and innovation in participating sectors will increase.</w:t>
      </w:r>
      <w:r w:rsidRPr="003604AA">
        <w:rPr>
          <w:noProof/>
          <w:shd w:val="clear" w:color="auto" w:fill="FFFFFF"/>
        </w:rPr>
        <w:t xml:space="preserve"> </w:t>
      </w:r>
    </w:p>
    <w:p w14:paraId="4A923A1F" w14:textId="77777777" w:rsidR="00B134A9" w:rsidRPr="00674878" w:rsidRDefault="0081050C" w:rsidP="006805B5">
      <w:r>
        <w:rPr>
          <w:rFonts w:asciiTheme="minorHAnsi" w:eastAsiaTheme="minorHAnsi" w:hAnsiTheme="minorHAnsi" w:cstheme="minorBidi"/>
          <w:noProof/>
          <w:sz w:val="16"/>
          <w:szCs w:val="16"/>
        </w:rPr>
        <w:drawing>
          <wp:anchor distT="0" distB="0" distL="114300" distR="114300" simplePos="0" relativeHeight="251658240" behindDoc="1" locked="0" layoutInCell="1" allowOverlap="1" wp14:anchorId="0A0C1C10" wp14:editId="0D9D5361">
            <wp:simplePos x="0" y="0"/>
            <wp:positionH relativeFrom="column">
              <wp:posOffset>0</wp:posOffset>
            </wp:positionH>
            <wp:positionV relativeFrom="paragraph">
              <wp:posOffset>635</wp:posOffset>
            </wp:positionV>
            <wp:extent cx="2206625" cy="1471930"/>
            <wp:effectExtent l="0" t="0" r="3175" b="0"/>
            <wp:wrapTight wrapText="bothSides">
              <wp:wrapPolygon edited="0">
                <wp:start x="0" y="0"/>
                <wp:lineTo x="0" y="21246"/>
                <wp:lineTo x="21445" y="21246"/>
                <wp:lineTo x="21445" y="0"/>
                <wp:lineTo x="0" y="0"/>
              </wp:wrapPolygon>
            </wp:wrapTight>
            <wp:docPr id="10" name="Picture 10" descr="Photo of a woman browsing the internet on her computer and phone" title="Photo of a woman browsing the intern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man with computer.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206625" cy="1471930"/>
                    </a:xfrm>
                    <a:prstGeom prst="rect">
                      <a:avLst/>
                    </a:prstGeom>
                  </pic:spPr>
                </pic:pic>
              </a:graphicData>
            </a:graphic>
            <wp14:sizeRelH relativeFrom="page">
              <wp14:pctWidth>0</wp14:pctWidth>
            </wp14:sizeRelH>
            <wp14:sizeRelV relativeFrom="page">
              <wp14:pctHeight>0</wp14:pctHeight>
            </wp14:sizeRelV>
          </wp:anchor>
        </w:drawing>
      </w:r>
      <w:r w:rsidR="00B134A9">
        <w:rPr>
          <w:noProof/>
          <w:shd w:val="clear" w:color="auto" w:fill="FFFFFF"/>
        </w:rPr>
        <w:t>Over the longer term, i</w:t>
      </w:r>
      <w:r w:rsidR="00B134A9" w:rsidRPr="00167BD5">
        <w:rPr>
          <w:noProof/>
          <w:shd w:val="clear" w:color="auto" w:fill="FFFFFF"/>
        </w:rPr>
        <w:t xml:space="preserve">mproving the control, choice, convenience and confidence of </w:t>
      </w:r>
      <w:r w:rsidR="00B134A9">
        <w:rPr>
          <w:noProof/>
          <w:shd w:val="clear" w:color="auto" w:fill="FFFFFF"/>
        </w:rPr>
        <w:t>consumer</w:t>
      </w:r>
      <w:r w:rsidR="00B134A9" w:rsidRPr="00167BD5">
        <w:rPr>
          <w:noProof/>
          <w:shd w:val="clear" w:color="auto" w:fill="FFFFFF"/>
        </w:rPr>
        <w:t xml:space="preserve">s </w:t>
      </w:r>
      <w:r w:rsidR="00B134A9">
        <w:rPr>
          <w:noProof/>
          <w:shd w:val="clear" w:color="auto" w:fill="FFFFFF"/>
        </w:rPr>
        <w:t xml:space="preserve">will </w:t>
      </w:r>
      <w:r w:rsidR="00B134A9" w:rsidRPr="00167BD5">
        <w:rPr>
          <w:noProof/>
          <w:shd w:val="clear" w:color="auto" w:fill="FFFFFF"/>
        </w:rPr>
        <w:t xml:space="preserve"> </w:t>
      </w:r>
      <w:r w:rsidR="008C4127">
        <w:rPr>
          <w:noProof/>
          <w:shd w:val="clear" w:color="auto" w:fill="FFFFFF"/>
        </w:rPr>
        <w:t>promote</w:t>
      </w:r>
      <w:r w:rsidR="00B134A9" w:rsidRPr="00167BD5">
        <w:rPr>
          <w:noProof/>
          <w:shd w:val="clear" w:color="auto" w:fill="FFFFFF"/>
        </w:rPr>
        <w:t xml:space="preserve"> a </w:t>
      </w:r>
      <w:r w:rsidR="00B134A9">
        <w:rPr>
          <w:noProof/>
          <w:shd w:val="clear" w:color="auto" w:fill="FFFFFF"/>
        </w:rPr>
        <w:t>consumer</w:t>
      </w:r>
      <w:r w:rsidR="00B134A9" w:rsidRPr="00167BD5">
        <w:rPr>
          <w:noProof/>
          <w:shd w:val="clear" w:color="auto" w:fill="FFFFFF"/>
        </w:rPr>
        <w:t xml:space="preserve">-centric data </w:t>
      </w:r>
      <w:r w:rsidR="00B134A9">
        <w:rPr>
          <w:noProof/>
          <w:shd w:val="clear" w:color="auto" w:fill="FFFFFF"/>
        </w:rPr>
        <w:t>sector</w:t>
      </w:r>
      <w:r w:rsidR="00B134A9" w:rsidRPr="00167BD5">
        <w:rPr>
          <w:noProof/>
          <w:shd w:val="clear" w:color="auto" w:fill="FFFFFF"/>
        </w:rPr>
        <w:t xml:space="preserve"> </w:t>
      </w:r>
      <w:r w:rsidR="00B134A9">
        <w:rPr>
          <w:noProof/>
          <w:shd w:val="clear" w:color="auto" w:fill="FFFFFF"/>
        </w:rPr>
        <w:t xml:space="preserve">creating </w:t>
      </w:r>
      <w:r w:rsidR="00B12930">
        <w:rPr>
          <w:noProof/>
          <w:shd w:val="clear" w:color="auto" w:fill="FFFFFF"/>
        </w:rPr>
        <w:t xml:space="preserve"> greater</w:t>
      </w:r>
      <w:r w:rsidR="00B134A9" w:rsidRPr="00167BD5">
        <w:rPr>
          <w:noProof/>
          <w:shd w:val="clear" w:color="auto" w:fill="FFFFFF"/>
        </w:rPr>
        <w:t xml:space="preserve"> value </w:t>
      </w:r>
      <w:r w:rsidR="00B134A9">
        <w:rPr>
          <w:noProof/>
          <w:shd w:val="clear" w:color="auto" w:fill="FFFFFF"/>
        </w:rPr>
        <w:t>for</w:t>
      </w:r>
      <w:r w:rsidR="00B134A9" w:rsidRPr="00167BD5">
        <w:rPr>
          <w:noProof/>
          <w:shd w:val="clear" w:color="auto" w:fill="FFFFFF"/>
        </w:rPr>
        <w:t xml:space="preserve"> </w:t>
      </w:r>
      <w:r w:rsidR="00B134A9">
        <w:rPr>
          <w:noProof/>
          <w:shd w:val="clear" w:color="auto" w:fill="FFFFFF"/>
        </w:rPr>
        <w:t>consumer</w:t>
      </w:r>
      <w:r w:rsidR="00B134A9" w:rsidRPr="00167BD5">
        <w:rPr>
          <w:noProof/>
          <w:shd w:val="clear" w:color="auto" w:fill="FFFFFF"/>
        </w:rPr>
        <w:t xml:space="preserve">s.  </w:t>
      </w:r>
    </w:p>
    <w:p w14:paraId="66CC9346" w14:textId="77777777" w:rsidR="00382302" w:rsidRDefault="00B134A9" w:rsidP="006805B5">
      <w:pPr>
        <w:pStyle w:val="Bullet"/>
        <w:numPr>
          <w:ilvl w:val="0"/>
          <w:numId w:val="0"/>
        </w:numPr>
        <w:tabs>
          <w:tab w:val="num" w:pos="284"/>
        </w:tabs>
      </w:pPr>
      <w:r>
        <w:t>The</w:t>
      </w:r>
      <w:r w:rsidDel="005B4674">
        <w:t xml:space="preserve"> </w:t>
      </w:r>
      <w:r>
        <w:rPr>
          <w:noProof/>
          <w:shd w:val="clear" w:color="auto" w:fill="FFFFFF"/>
        </w:rPr>
        <w:t>Consumer Data Right</w:t>
      </w:r>
      <w:r>
        <w:t xml:space="preserve"> will improve the flow of information in the economy, encouraging the development of new products and applications that reach more consumers and are better tailored to their needs. </w:t>
      </w:r>
      <w:r w:rsidR="00B12930">
        <w:t xml:space="preserve"> </w:t>
      </w:r>
    </w:p>
    <w:p w14:paraId="513AC05E" w14:textId="77777777" w:rsidR="00B12930" w:rsidRDefault="00382302" w:rsidP="006805B5">
      <w:pPr>
        <w:pStyle w:val="Bullet"/>
        <w:numPr>
          <w:ilvl w:val="0"/>
          <w:numId w:val="0"/>
        </w:numPr>
        <w:tabs>
          <w:tab w:val="num" w:pos="284"/>
        </w:tabs>
      </w:pPr>
      <w:r>
        <w:t xml:space="preserve">The availability of these goods and services to </w:t>
      </w:r>
      <w:r w:rsidRPr="004C7E11">
        <w:t xml:space="preserve">business </w:t>
      </w:r>
      <w:r w:rsidR="00594133" w:rsidRPr="004C7E11">
        <w:t>customers</w:t>
      </w:r>
      <w:r w:rsidR="00594133">
        <w:t xml:space="preserve"> </w:t>
      </w:r>
      <w:r>
        <w:t>will support innovation and cost reduction in the creation and delivery of the goods and services they in turn provide to others.</w:t>
      </w:r>
    </w:p>
    <w:p w14:paraId="55F2AB1E" w14:textId="77777777" w:rsidR="00B134A9" w:rsidRDefault="00B134A9" w:rsidP="006805B5">
      <w:pPr>
        <w:pStyle w:val="Bullet"/>
        <w:numPr>
          <w:ilvl w:val="0"/>
          <w:numId w:val="0"/>
        </w:numPr>
        <w:tabs>
          <w:tab w:val="num" w:pos="284"/>
        </w:tabs>
      </w:pPr>
      <w:r>
        <w:t>Th</w:t>
      </w:r>
      <w:r w:rsidR="00B12930">
        <w:t xml:space="preserve">e Consumer Data Right </w:t>
      </w:r>
      <w:r>
        <w:t xml:space="preserve">should </w:t>
      </w:r>
      <w:r w:rsidR="00B12930">
        <w:t xml:space="preserve">therefore </w:t>
      </w:r>
      <w:r>
        <w:t>support data driven economic growth and create new high value jobs in Australia.</w:t>
      </w:r>
    </w:p>
    <w:p w14:paraId="599B76FD" w14:textId="77777777" w:rsidR="00B134A9" w:rsidRDefault="00350421" w:rsidP="00B134A9">
      <w:pPr>
        <w:pStyle w:val="Heading2"/>
      </w:pPr>
      <w:bookmarkStart w:id="25" w:name="_Toc513305774"/>
      <w:bookmarkStart w:id="26" w:name="_Toc513028516"/>
      <w:bookmarkStart w:id="27" w:name="_Toc513032621"/>
      <w:bookmarkStart w:id="28" w:name="_Toc513117238"/>
      <w:bookmarkStart w:id="29" w:name="_Toc513448702"/>
      <w:bookmarkStart w:id="30" w:name="_Toc513451724"/>
      <w:bookmarkStart w:id="31" w:name="_Toc10011478"/>
      <w:r>
        <w:t>E</w:t>
      </w:r>
      <w:r w:rsidR="00B134A9">
        <w:t xml:space="preserve">xamples of how consumers </w:t>
      </w:r>
      <w:r>
        <w:t xml:space="preserve">may </w:t>
      </w:r>
      <w:r w:rsidR="00B134A9">
        <w:t>benefit</w:t>
      </w:r>
      <w:bookmarkEnd w:id="25"/>
      <w:bookmarkEnd w:id="26"/>
      <w:bookmarkEnd w:id="27"/>
      <w:bookmarkEnd w:id="28"/>
      <w:bookmarkEnd w:id="29"/>
      <w:bookmarkEnd w:id="30"/>
      <w:bookmarkEnd w:id="31"/>
    </w:p>
    <w:p w14:paraId="3C30A0A0" w14:textId="77777777" w:rsidR="00B134A9" w:rsidRDefault="00B134A9" w:rsidP="006805B5">
      <w:r>
        <w:t>Consumers should benefit from improvements in existing products and services as well as completely new ones. Possible examples may include:</w:t>
      </w:r>
    </w:p>
    <w:p w14:paraId="308EF65D" w14:textId="77777777" w:rsidR="00B134A9" w:rsidRDefault="00B134A9" w:rsidP="006805B5">
      <w:pPr>
        <w:pStyle w:val="Bullet"/>
        <w:numPr>
          <w:ilvl w:val="0"/>
          <w:numId w:val="19"/>
        </w:numPr>
        <w:tabs>
          <w:tab w:val="clear" w:pos="520"/>
          <w:tab w:val="num" w:pos="1134"/>
        </w:tabs>
        <w:spacing w:after="200" w:line="276" w:lineRule="auto"/>
        <w:ind w:left="1134"/>
      </w:pPr>
      <w:r>
        <w:t xml:space="preserve">Comparison tools for credit cards and mortgages, with product recommendations tailored to </w:t>
      </w:r>
      <w:r w:rsidR="00256A80">
        <w:t>consumer</w:t>
      </w:r>
      <w:r w:rsidR="008C4127">
        <w:t xml:space="preserve">s’ actual spending and </w:t>
      </w:r>
      <w:r w:rsidR="008C4127" w:rsidRPr="004C7E11">
        <w:t xml:space="preserve">repayment </w:t>
      </w:r>
      <w:r w:rsidR="00594133" w:rsidRPr="004C7E11">
        <w:t>patterns</w:t>
      </w:r>
      <w:r w:rsidRPr="004C7E11">
        <w:t>;</w:t>
      </w:r>
    </w:p>
    <w:p w14:paraId="778E1843" w14:textId="77777777" w:rsidR="005E7CDF" w:rsidRDefault="005E7CDF" w:rsidP="006805B5">
      <w:pPr>
        <w:pStyle w:val="Bullet"/>
        <w:numPr>
          <w:ilvl w:val="0"/>
          <w:numId w:val="19"/>
        </w:numPr>
        <w:tabs>
          <w:tab w:val="clear" w:pos="520"/>
          <w:tab w:val="num" w:pos="1134"/>
        </w:tabs>
        <w:spacing w:after="200" w:line="276" w:lineRule="auto"/>
        <w:ind w:left="1134"/>
      </w:pPr>
      <w:r>
        <w:t xml:space="preserve">Comparison tools to assist small businesses to identify better business lending products, taking into account historical borrowing needs;  </w:t>
      </w:r>
    </w:p>
    <w:p w14:paraId="2145B150" w14:textId="77777777" w:rsidR="00B134A9" w:rsidRPr="000E32B2" w:rsidDel="005E7CDF" w:rsidRDefault="00B134A9" w:rsidP="000E32B2">
      <w:pPr>
        <w:pStyle w:val="Bullet"/>
        <w:numPr>
          <w:ilvl w:val="0"/>
          <w:numId w:val="19"/>
        </w:numPr>
        <w:tabs>
          <w:tab w:val="clear" w:pos="520"/>
          <w:tab w:val="num" w:pos="1134"/>
        </w:tabs>
        <w:spacing w:after="200" w:line="276" w:lineRule="auto"/>
        <w:ind w:left="1134"/>
      </w:pPr>
      <w:r>
        <w:t>Budgeting tools that show consumers all their financial products on one screen and help</w:t>
      </w:r>
      <w:r>
        <w:rPr>
          <w:color w:val="000000" w:themeColor="text1"/>
        </w:rPr>
        <w:t xml:space="preserve"> them better manage their finances by providing insights into current spending habits;</w:t>
      </w:r>
    </w:p>
    <w:p w14:paraId="09AFFDFE" w14:textId="6A3D41CD" w:rsidR="005E7CDF" w:rsidRPr="00944A6C" w:rsidRDefault="005E7CDF" w:rsidP="00944A6C">
      <w:pPr>
        <w:pStyle w:val="Bullet"/>
        <w:numPr>
          <w:ilvl w:val="0"/>
          <w:numId w:val="19"/>
        </w:numPr>
        <w:tabs>
          <w:tab w:val="clear" w:pos="520"/>
          <w:tab w:val="num" w:pos="1134"/>
        </w:tabs>
        <w:spacing w:after="200" w:line="276" w:lineRule="auto"/>
        <w:ind w:left="1134"/>
      </w:pPr>
      <w:r w:rsidRPr="002522F6">
        <w:lastRenderedPageBreak/>
        <w:t>Services</w:t>
      </w:r>
      <w:r w:rsidRPr="00944A6C">
        <w:t xml:space="preserve"> that use </w:t>
      </w:r>
      <w:r>
        <w:t>small businesses</w:t>
      </w:r>
      <w:r w:rsidR="00812736">
        <w:t>’</w:t>
      </w:r>
      <w:r w:rsidRPr="00944A6C">
        <w:t xml:space="preserve"> transaction data to provide insights or meet compliance obligations</w:t>
      </w:r>
      <w:r w:rsidR="00812736">
        <w:t>;</w:t>
      </w:r>
      <w:r w:rsidRPr="00944A6C">
        <w:t xml:space="preserve"> </w:t>
      </w:r>
    </w:p>
    <w:p w14:paraId="3FAFA807" w14:textId="4B12336F" w:rsidR="00B134A9" w:rsidRPr="009C7EB2" w:rsidRDefault="00B134A9" w:rsidP="006805B5">
      <w:pPr>
        <w:pStyle w:val="Bullet"/>
        <w:numPr>
          <w:ilvl w:val="0"/>
          <w:numId w:val="19"/>
        </w:numPr>
        <w:tabs>
          <w:tab w:val="clear" w:pos="520"/>
          <w:tab w:val="num" w:pos="1134"/>
        </w:tabs>
        <w:spacing w:after="200" w:line="276" w:lineRule="auto"/>
        <w:ind w:left="1134"/>
      </w:pPr>
      <w:r>
        <w:rPr>
          <w:color w:val="000000" w:themeColor="text1"/>
        </w:rPr>
        <w:t xml:space="preserve">Analysis tools that look at a household’s past energy use to help </w:t>
      </w:r>
      <w:r w:rsidR="00812736">
        <w:rPr>
          <w:color w:val="000000" w:themeColor="text1"/>
        </w:rPr>
        <w:t xml:space="preserve">members of the household </w:t>
      </w:r>
      <w:r>
        <w:rPr>
          <w:color w:val="000000" w:themeColor="text1"/>
        </w:rPr>
        <w:t>choose a better energy plan;</w:t>
      </w:r>
    </w:p>
    <w:p w14:paraId="50CDFB92" w14:textId="77777777" w:rsidR="00B134A9" w:rsidRDefault="00B134A9" w:rsidP="006805B5">
      <w:pPr>
        <w:pStyle w:val="Bullet"/>
        <w:numPr>
          <w:ilvl w:val="0"/>
          <w:numId w:val="19"/>
        </w:numPr>
        <w:tabs>
          <w:tab w:val="clear" w:pos="520"/>
          <w:tab w:val="num" w:pos="1134"/>
        </w:tabs>
        <w:spacing w:after="200" w:line="276" w:lineRule="auto"/>
        <w:ind w:left="1134"/>
      </w:pPr>
      <w:r>
        <w:rPr>
          <w:color w:val="000000" w:themeColor="text1"/>
        </w:rPr>
        <w:t>Analysis tools that use the level and timing of a household’s energy usage to help them to determine the net benefits of investing in solar power and the size and type of system that would best suit them</w:t>
      </w:r>
      <w:r>
        <w:t>; or</w:t>
      </w:r>
    </w:p>
    <w:p w14:paraId="0938E084" w14:textId="77777777" w:rsidR="00B134A9" w:rsidRDefault="00B134A9" w:rsidP="006805B5">
      <w:pPr>
        <w:pStyle w:val="Bullet"/>
        <w:numPr>
          <w:ilvl w:val="0"/>
          <w:numId w:val="19"/>
        </w:numPr>
        <w:tabs>
          <w:tab w:val="clear" w:pos="520"/>
          <w:tab w:val="num" w:pos="1134"/>
        </w:tabs>
        <w:spacing w:after="200" w:line="276" w:lineRule="auto"/>
        <w:ind w:left="1134"/>
      </w:pPr>
      <w:r>
        <w:rPr>
          <w:color w:val="000000" w:themeColor="text1"/>
        </w:rPr>
        <w:t>Comparison tools that help consumers locate the best mobile phone and internet service provider deal for them, based on their actual mobile phone and internet data usage.</w:t>
      </w:r>
    </w:p>
    <w:p w14:paraId="6609DE93" w14:textId="77777777" w:rsidR="00B134A9" w:rsidRDefault="008D3E71" w:rsidP="00B134A9">
      <w:pPr>
        <w:rPr>
          <w:color w:val="000000" w:themeColor="text1"/>
        </w:rPr>
      </w:pPr>
      <w:r>
        <w:rPr>
          <w:noProof/>
          <w:color w:val="000000" w:themeColor="text1"/>
        </w:rPr>
        <w:drawing>
          <wp:inline distT="0" distB="0" distL="0" distR="0" wp14:anchorId="6794613D" wp14:editId="4263596C">
            <wp:extent cx="5731510" cy="3385820"/>
            <wp:effectExtent l="0" t="0" r="2540" b="5080"/>
            <wp:docPr id="7" name="Picture 7" descr="These services include to:&#10;Track your spending across banks to help you meet your savings goals;&#10;compare mortgages to find the mortgage that's best for you;&#10;help you save on your energy bills by tracking your usage;&#10;help you save on phone bills by finding the plan that matches your needs; and&#10;find the best credit card for your lifestyle and budget." title="The Consumer Data Right will support entrepreneurs and businesses to deliver you better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ving Consumers power over their Data infographic_v03a.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731510" cy="3385820"/>
                    </a:xfrm>
                    <a:prstGeom prst="rect">
                      <a:avLst/>
                    </a:prstGeom>
                  </pic:spPr>
                </pic:pic>
              </a:graphicData>
            </a:graphic>
          </wp:inline>
        </w:drawing>
      </w:r>
    </w:p>
    <w:p w14:paraId="23AC9734" w14:textId="77777777" w:rsidR="00B134A9" w:rsidRDefault="00350421" w:rsidP="00B134A9">
      <w:pPr>
        <w:pStyle w:val="Heading2"/>
      </w:pPr>
      <w:bookmarkStart w:id="32" w:name="_Toc513028517"/>
      <w:bookmarkStart w:id="33" w:name="_Toc513032622"/>
      <w:bookmarkStart w:id="34" w:name="_Toc513117239"/>
      <w:bookmarkStart w:id="35" w:name="_Toc513305775"/>
      <w:bookmarkStart w:id="36" w:name="_Toc513448703"/>
      <w:bookmarkStart w:id="37" w:name="_Toc513451725"/>
      <w:bookmarkStart w:id="38" w:name="_Toc10011479"/>
      <w:r>
        <w:t>C</w:t>
      </w:r>
      <w:r w:rsidR="00B134A9">
        <w:t xml:space="preserve">onsumers </w:t>
      </w:r>
      <w:bookmarkEnd w:id="32"/>
      <w:bookmarkEnd w:id="33"/>
      <w:bookmarkEnd w:id="34"/>
      <w:r>
        <w:t>who can exercise the right</w:t>
      </w:r>
      <w:bookmarkEnd w:id="35"/>
      <w:bookmarkEnd w:id="36"/>
      <w:bookmarkEnd w:id="37"/>
      <w:bookmarkEnd w:id="38"/>
    </w:p>
    <w:p w14:paraId="2F316BA6" w14:textId="77777777" w:rsidR="00B134A9" w:rsidRDefault="00B134A9" w:rsidP="006805B5">
      <w:r>
        <w:t>All customers (individuals; or small, medium or large businesses) will be entitled to exercise the right in relation to the classes of data covered by the right.</w:t>
      </w:r>
    </w:p>
    <w:p w14:paraId="15FB9D45" w14:textId="77777777" w:rsidR="00B134A9" w:rsidRDefault="00B134A9" w:rsidP="006805B5">
      <w:r>
        <w:t xml:space="preserve">This differs from the original recommendations of the Productivity Commission inquiry into </w:t>
      </w:r>
      <w:r w:rsidRPr="00DB1AB7">
        <w:rPr>
          <w:i/>
        </w:rPr>
        <w:t>Data Availability and Use</w:t>
      </w:r>
      <w:r>
        <w:t>, which re</w:t>
      </w:r>
      <w:r w:rsidR="00F477BC">
        <w:t xml:space="preserve">commended that only individuals </w:t>
      </w:r>
      <w:r>
        <w:t>and small and medium</w:t>
      </w:r>
      <w:r w:rsidR="00CC09F0">
        <w:t>-</w:t>
      </w:r>
      <w:r>
        <w:t>sized businesses be entitled to the right.</w:t>
      </w:r>
    </w:p>
    <w:p w14:paraId="70CD0AFF" w14:textId="77777777" w:rsidR="00B134A9" w:rsidRDefault="00B134A9" w:rsidP="006805B5">
      <w:r>
        <w:t>The Consumer Data Right therefore benefits some customers who may not be considered ‘consumers’ under other laws.</w:t>
      </w:r>
    </w:p>
    <w:p w14:paraId="052BDBEA" w14:textId="77777777" w:rsidR="00B134A9" w:rsidRDefault="00350421" w:rsidP="00B134A9">
      <w:pPr>
        <w:pStyle w:val="Heading2"/>
      </w:pPr>
      <w:bookmarkStart w:id="39" w:name="_Toc513305776"/>
      <w:bookmarkStart w:id="40" w:name="_Toc513028518"/>
      <w:bookmarkStart w:id="41" w:name="_Toc513032623"/>
      <w:bookmarkStart w:id="42" w:name="_Toc513117240"/>
      <w:bookmarkStart w:id="43" w:name="_Toc513448704"/>
      <w:bookmarkStart w:id="44" w:name="_Toc513451726"/>
      <w:bookmarkStart w:id="45" w:name="_Toc10011480"/>
      <w:r>
        <w:t>D</w:t>
      </w:r>
      <w:r w:rsidR="00B134A9">
        <w:t xml:space="preserve">ata </w:t>
      </w:r>
      <w:r>
        <w:t xml:space="preserve">covered by </w:t>
      </w:r>
      <w:r w:rsidR="00B134A9">
        <w:t>the Consumer Data Right</w:t>
      </w:r>
      <w:bookmarkEnd w:id="39"/>
      <w:bookmarkEnd w:id="40"/>
      <w:bookmarkEnd w:id="41"/>
      <w:bookmarkEnd w:id="42"/>
      <w:bookmarkEnd w:id="43"/>
      <w:bookmarkEnd w:id="44"/>
      <w:bookmarkEnd w:id="45"/>
    </w:p>
    <w:p w14:paraId="7EA05C79" w14:textId="77777777" w:rsidR="00B134A9" w:rsidRDefault="00B134A9" w:rsidP="006805B5">
      <w:r>
        <w:t>The Consumer Data Right will be applied sector-by-sector, following analysis of the merits of applying the right to different classes of data and data holder (see</w:t>
      </w:r>
      <w:bookmarkStart w:id="46" w:name="_GoBack"/>
      <w:bookmarkEnd w:id="46"/>
      <w:r>
        <w:t xml:space="preserve"> further detail under </w:t>
      </w:r>
      <w:r w:rsidR="005627B7">
        <w:rPr>
          <w:i/>
        </w:rPr>
        <w:t>Using</w:t>
      </w:r>
      <w:r w:rsidRPr="009C7EB2">
        <w:rPr>
          <w:i/>
        </w:rPr>
        <w:t xml:space="preserve"> the </w:t>
      </w:r>
      <w:r w:rsidRPr="009C7EB2">
        <w:rPr>
          <w:i/>
        </w:rPr>
        <w:lastRenderedPageBreak/>
        <w:t>Consumer Data Right</w:t>
      </w:r>
      <w:r>
        <w:t xml:space="preserve">). The </w:t>
      </w:r>
      <w:r w:rsidR="00BE1D81">
        <w:t>G</w:t>
      </w:r>
      <w:r>
        <w:t>overnment has announced the first three sectors to which the right will apply – banking, energy and telecommunications. Further sectors will follow over time.</w:t>
      </w:r>
    </w:p>
    <w:p w14:paraId="69087E33" w14:textId="41DA82AC" w:rsidR="00B134A9" w:rsidRDefault="00B134A9" w:rsidP="00817D4B">
      <w:pPr>
        <w:spacing w:after="240"/>
      </w:pPr>
      <w:r w:rsidRPr="00A911D1">
        <w:t xml:space="preserve">For the banking sector this analysis was conducted by the Open Banking </w:t>
      </w:r>
      <w:r w:rsidRPr="007F578C">
        <w:t>Review, and the Government has accepted its recommendations</w:t>
      </w:r>
      <w:r w:rsidR="005627B7" w:rsidRPr="005627B7">
        <w:t xml:space="preserve"> regarding the data and entities it would apply to</w:t>
      </w:r>
      <w:r w:rsidRPr="005627B7">
        <w:t>.</w:t>
      </w:r>
      <w:r w:rsidRPr="007F578C">
        <w:t xml:space="preserve"> </w:t>
      </w:r>
      <w:r w:rsidRPr="00DB1AB7">
        <w:t xml:space="preserve">All </w:t>
      </w:r>
      <w:r>
        <w:t>entities holding banking licences (authorised deposit</w:t>
      </w:r>
      <w:r w:rsidR="00BE1D81">
        <w:t>-</w:t>
      </w:r>
      <w:r>
        <w:t>taking institutions)</w:t>
      </w:r>
      <w:r w:rsidRPr="00DB1AB7">
        <w:t xml:space="preserve"> </w:t>
      </w:r>
      <w:r w:rsidRPr="00A911D1">
        <w:t xml:space="preserve">will be subject to the right. The datasets </w:t>
      </w:r>
      <w:r>
        <w:t>that the right</w:t>
      </w:r>
      <w:r w:rsidRPr="00A911D1">
        <w:t xml:space="preserve"> will apply to are </w:t>
      </w:r>
      <w:r>
        <w:t>based on product type, as</w:t>
      </w:r>
      <w:r w:rsidRPr="00A911D1">
        <w:t xml:space="preserve"> set </w:t>
      </w:r>
      <w:r w:rsidRPr="007F578C">
        <w:t>out in the table below.</w:t>
      </w:r>
      <w:r>
        <w:t xml:space="preserve"> </w:t>
      </w:r>
    </w:p>
    <w:tbl>
      <w:tblPr>
        <w:tblW w:w="5000" w:type="pct"/>
        <w:tblBorders>
          <w:bottom w:val="single" w:sz="4" w:space="0" w:color="auto"/>
        </w:tblBorders>
        <w:tblLook w:val="01E0" w:firstRow="1" w:lastRow="1" w:firstColumn="1" w:lastColumn="1" w:noHBand="0" w:noVBand="0"/>
        <w:tblCaption w:val="List of banking products the Consumer Data Right will apply to"/>
        <w:tblDescription w:val="Savings accounts&#10;Call accounts&#10;Term deposits&#10;Current accounts&#10;Cheque accounts&#10;Debit card accounts&#10;Transactions accounts&#10;Personal basic account&#10;GST and tax accounts&#10;Cash management accounts&#10;Farm management deposits&#10;Pensioner deeming accounts&#10;Mortgage offset accounts&#10;Trust accounts&#10;Retirement savings accounts&#10;Foreign currency accounts&#10;Mortgages&#10;Business finance&#10;Personal loans&#10;Lines of credit (personal)&#10;Lines of credit (business)&#10;Overdrafts (personal)&#10;Overdrafts (business)&#10;Consumer leases&#10;Credit and charge cards (personal)&#10;Credit and charge cards (business)&#10;Asset finance (and leases)"/>
      </w:tblPr>
      <w:tblGrid>
        <w:gridCol w:w="4513"/>
        <w:gridCol w:w="4513"/>
      </w:tblGrid>
      <w:tr w:rsidR="00B134A9" w14:paraId="6BB44F36" w14:textId="77777777" w:rsidTr="00A90B5F">
        <w:trPr>
          <w:tblHeader/>
        </w:trPr>
        <w:tc>
          <w:tcPr>
            <w:tcW w:w="2500" w:type="pct"/>
            <w:tcBorders>
              <w:bottom w:val="single" w:sz="24" w:space="0" w:color="FFFFFF" w:themeColor="background1"/>
            </w:tcBorders>
            <w:shd w:val="clear" w:color="auto" w:fill="0074BD"/>
          </w:tcPr>
          <w:p w14:paraId="05DE481E" w14:textId="34100E75" w:rsidR="00B134A9" w:rsidRPr="005A4179" w:rsidRDefault="00B134A9" w:rsidP="0081448E">
            <w:pPr>
              <w:pStyle w:val="TableColumnHeadingCentred"/>
              <w:spacing w:line="276" w:lineRule="auto"/>
              <w:rPr>
                <w:sz w:val="22"/>
              </w:rPr>
            </w:pPr>
            <w:r w:rsidRPr="005A4179">
              <w:rPr>
                <w:sz w:val="22"/>
              </w:rPr>
              <w:br w:type="page"/>
            </w:r>
            <w:r w:rsidRPr="005A4179">
              <w:rPr>
                <w:color w:val="FFFFFF" w:themeColor="background1"/>
                <w:sz w:val="22"/>
              </w:rPr>
              <w:t xml:space="preserve">Deposit </w:t>
            </w:r>
            <w:r w:rsidR="00165743">
              <w:rPr>
                <w:color w:val="FFFFFF" w:themeColor="background1"/>
                <w:sz w:val="22"/>
              </w:rPr>
              <w:t xml:space="preserve">and Transaction </w:t>
            </w:r>
            <w:r w:rsidRPr="005A4179">
              <w:rPr>
                <w:color w:val="FFFFFF" w:themeColor="background1"/>
                <w:sz w:val="22"/>
              </w:rPr>
              <w:t>products</w:t>
            </w:r>
          </w:p>
        </w:tc>
        <w:tc>
          <w:tcPr>
            <w:tcW w:w="2500" w:type="pct"/>
            <w:tcBorders>
              <w:bottom w:val="single" w:sz="24" w:space="0" w:color="FFFFFF" w:themeColor="background1"/>
            </w:tcBorders>
            <w:shd w:val="clear" w:color="auto" w:fill="0074BD"/>
          </w:tcPr>
          <w:p w14:paraId="3B81555B" w14:textId="77777777" w:rsidR="00B134A9" w:rsidRPr="005A4179" w:rsidRDefault="00B134A9" w:rsidP="0081448E">
            <w:pPr>
              <w:pStyle w:val="TableColumnHeadingCentred"/>
              <w:spacing w:line="276" w:lineRule="auto"/>
              <w:rPr>
                <w:sz w:val="22"/>
              </w:rPr>
            </w:pPr>
            <w:r w:rsidRPr="005A4179">
              <w:rPr>
                <w:color w:val="FFFFFF" w:themeColor="background1"/>
                <w:sz w:val="22"/>
              </w:rPr>
              <w:t>Lending products</w:t>
            </w:r>
          </w:p>
        </w:tc>
      </w:tr>
      <w:tr w:rsidR="00B134A9" w14:paraId="0376E8C4" w14:textId="77777777" w:rsidTr="0081448E">
        <w:tc>
          <w:tcPr>
            <w:tcW w:w="250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EEAF6" w:themeFill="accent1" w:themeFillTint="33"/>
          </w:tcPr>
          <w:p w14:paraId="7F4FAB92" w14:textId="77777777" w:rsidR="00B134A9" w:rsidRPr="008A1033" w:rsidRDefault="00B134A9" w:rsidP="0081448E">
            <w:pPr>
              <w:pStyle w:val="TableTextLeft"/>
              <w:spacing w:line="276" w:lineRule="auto"/>
              <w:ind w:left="1418"/>
              <w:rPr>
                <w:szCs w:val="18"/>
              </w:rPr>
            </w:pPr>
            <w:r w:rsidRPr="008A1033">
              <w:rPr>
                <w:szCs w:val="18"/>
              </w:rPr>
              <w:t>Savings accounts</w:t>
            </w:r>
          </w:p>
          <w:p w14:paraId="2E7601E4" w14:textId="77777777" w:rsidR="00B134A9" w:rsidRPr="008A1033" w:rsidRDefault="00B134A9" w:rsidP="0081448E">
            <w:pPr>
              <w:pStyle w:val="TableTextLeft"/>
              <w:spacing w:line="276" w:lineRule="auto"/>
              <w:ind w:left="1418"/>
              <w:rPr>
                <w:szCs w:val="18"/>
              </w:rPr>
            </w:pPr>
            <w:r w:rsidRPr="008A1033">
              <w:rPr>
                <w:szCs w:val="18"/>
              </w:rPr>
              <w:t>Call accounts</w:t>
            </w:r>
          </w:p>
          <w:p w14:paraId="0033596E" w14:textId="77777777" w:rsidR="00B134A9" w:rsidRPr="003A0BEA" w:rsidRDefault="00B134A9" w:rsidP="0081448E">
            <w:pPr>
              <w:pStyle w:val="TableTextLeft"/>
              <w:spacing w:line="276" w:lineRule="auto"/>
              <w:ind w:left="1418"/>
              <w:rPr>
                <w:szCs w:val="18"/>
              </w:rPr>
            </w:pPr>
            <w:r w:rsidRPr="003A0BEA">
              <w:rPr>
                <w:szCs w:val="18"/>
              </w:rPr>
              <w:t>Term deposits</w:t>
            </w:r>
          </w:p>
          <w:p w14:paraId="4CFA7D05" w14:textId="77777777" w:rsidR="00B134A9" w:rsidRPr="004F4BD7" w:rsidRDefault="00B134A9" w:rsidP="0081448E">
            <w:pPr>
              <w:pStyle w:val="TableTextLeft"/>
              <w:spacing w:line="276" w:lineRule="auto"/>
              <w:ind w:left="1418"/>
              <w:rPr>
                <w:szCs w:val="18"/>
              </w:rPr>
            </w:pPr>
            <w:r w:rsidRPr="004F4BD7">
              <w:rPr>
                <w:szCs w:val="18"/>
              </w:rPr>
              <w:t>Current accounts</w:t>
            </w:r>
          </w:p>
          <w:p w14:paraId="409AFB2A" w14:textId="77777777" w:rsidR="00B134A9" w:rsidRPr="00AF7945" w:rsidRDefault="00B134A9" w:rsidP="0081448E">
            <w:pPr>
              <w:pStyle w:val="TableTextLeft"/>
              <w:spacing w:line="276" w:lineRule="auto"/>
              <w:ind w:left="1418"/>
              <w:rPr>
                <w:szCs w:val="18"/>
              </w:rPr>
            </w:pPr>
            <w:r w:rsidRPr="00AF7945">
              <w:rPr>
                <w:szCs w:val="18"/>
              </w:rPr>
              <w:t>Cheque accounts</w:t>
            </w:r>
          </w:p>
          <w:p w14:paraId="14A25406" w14:textId="77777777" w:rsidR="00B134A9" w:rsidRPr="00CF6E64" w:rsidRDefault="00B134A9" w:rsidP="0081448E">
            <w:pPr>
              <w:pStyle w:val="TableTextLeft"/>
              <w:spacing w:line="276" w:lineRule="auto"/>
              <w:ind w:left="1418"/>
              <w:rPr>
                <w:szCs w:val="18"/>
              </w:rPr>
            </w:pPr>
            <w:r w:rsidRPr="00CF6E64">
              <w:rPr>
                <w:szCs w:val="18"/>
              </w:rPr>
              <w:t>Debit card accounts</w:t>
            </w:r>
          </w:p>
          <w:p w14:paraId="327E34E2" w14:textId="77777777" w:rsidR="00B134A9" w:rsidRPr="00CF6E64" w:rsidRDefault="00B134A9" w:rsidP="0081448E">
            <w:pPr>
              <w:pStyle w:val="TableTextLeft"/>
              <w:spacing w:line="276" w:lineRule="auto"/>
              <w:ind w:left="1418"/>
              <w:rPr>
                <w:szCs w:val="18"/>
              </w:rPr>
            </w:pPr>
            <w:r w:rsidRPr="00CF6E64">
              <w:rPr>
                <w:szCs w:val="18"/>
              </w:rPr>
              <w:t>Transactions accounts</w:t>
            </w:r>
          </w:p>
          <w:p w14:paraId="2EBF9F9D" w14:textId="77777777" w:rsidR="00B134A9" w:rsidRPr="00CF6E64" w:rsidRDefault="00B134A9" w:rsidP="0081448E">
            <w:pPr>
              <w:pStyle w:val="TableTextLeft"/>
              <w:spacing w:line="276" w:lineRule="auto"/>
              <w:ind w:left="1418"/>
              <w:rPr>
                <w:szCs w:val="18"/>
              </w:rPr>
            </w:pPr>
            <w:r w:rsidRPr="00CF6E64">
              <w:rPr>
                <w:szCs w:val="18"/>
              </w:rPr>
              <w:t>Personal basic account</w:t>
            </w:r>
          </w:p>
          <w:p w14:paraId="085B17E4" w14:textId="77777777" w:rsidR="00B134A9" w:rsidRPr="00CF6E64" w:rsidRDefault="00B134A9" w:rsidP="0081448E">
            <w:pPr>
              <w:pStyle w:val="TableTextLeft"/>
              <w:spacing w:line="276" w:lineRule="auto"/>
              <w:ind w:left="1418"/>
              <w:rPr>
                <w:szCs w:val="18"/>
              </w:rPr>
            </w:pPr>
            <w:r w:rsidRPr="00CF6E64">
              <w:rPr>
                <w:szCs w:val="18"/>
              </w:rPr>
              <w:t>GST and tax accounts</w:t>
            </w:r>
          </w:p>
          <w:p w14:paraId="29B02EBE" w14:textId="77777777" w:rsidR="00B134A9" w:rsidRPr="00CF6E64" w:rsidRDefault="00B134A9" w:rsidP="0081448E">
            <w:pPr>
              <w:pStyle w:val="TableTextLeft"/>
              <w:spacing w:line="276" w:lineRule="auto"/>
              <w:ind w:left="1418"/>
              <w:rPr>
                <w:szCs w:val="18"/>
              </w:rPr>
            </w:pPr>
            <w:r w:rsidRPr="00CF6E64">
              <w:rPr>
                <w:szCs w:val="18"/>
              </w:rPr>
              <w:t>Cash management accounts</w:t>
            </w:r>
          </w:p>
          <w:p w14:paraId="66FDE93E" w14:textId="77777777" w:rsidR="00B134A9" w:rsidRPr="00CF6E64" w:rsidRDefault="00B134A9" w:rsidP="0081448E">
            <w:pPr>
              <w:pStyle w:val="TableTextLeft"/>
              <w:spacing w:line="276" w:lineRule="auto"/>
              <w:ind w:left="1418"/>
              <w:rPr>
                <w:szCs w:val="18"/>
              </w:rPr>
            </w:pPr>
            <w:r w:rsidRPr="00CF6E64">
              <w:rPr>
                <w:szCs w:val="18"/>
              </w:rPr>
              <w:t>Farm management deposits</w:t>
            </w:r>
          </w:p>
          <w:p w14:paraId="35E9CE89" w14:textId="77777777" w:rsidR="00B134A9" w:rsidRPr="00CF6E64" w:rsidRDefault="00B134A9" w:rsidP="0081448E">
            <w:pPr>
              <w:pStyle w:val="TableTextLeft"/>
              <w:spacing w:line="276" w:lineRule="auto"/>
              <w:ind w:left="1418"/>
              <w:rPr>
                <w:szCs w:val="18"/>
              </w:rPr>
            </w:pPr>
            <w:r w:rsidRPr="00CF6E64">
              <w:rPr>
                <w:szCs w:val="18"/>
              </w:rPr>
              <w:t>Pensioner deeming accounts</w:t>
            </w:r>
          </w:p>
          <w:p w14:paraId="65A51D88" w14:textId="77777777" w:rsidR="00B134A9" w:rsidRPr="00CF6E64" w:rsidRDefault="00B134A9" w:rsidP="0081448E">
            <w:pPr>
              <w:pStyle w:val="TableTextLeft"/>
              <w:spacing w:line="276" w:lineRule="auto"/>
              <w:ind w:left="1418"/>
              <w:rPr>
                <w:szCs w:val="18"/>
              </w:rPr>
            </w:pPr>
            <w:r w:rsidRPr="00CF6E64">
              <w:rPr>
                <w:szCs w:val="18"/>
              </w:rPr>
              <w:t>Mortgage offset accounts</w:t>
            </w:r>
          </w:p>
          <w:p w14:paraId="0A6ADA5A" w14:textId="77777777" w:rsidR="00B134A9" w:rsidRPr="00CF6E64" w:rsidRDefault="00B134A9" w:rsidP="0081448E">
            <w:pPr>
              <w:pStyle w:val="TableTextLeft"/>
              <w:spacing w:line="276" w:lineRule="auto"/>
              <w:ind w:left="1418"/>
              <w:rPr>
                <w:szCs w:val="18"/>
              </w:rPr>
            </w:pPr>
            <w:r w:rsidRPr="00CF6E64">
              <w:rPr>
                <w:szCs w:val="18"/>
              </w:rPr>
              <w:t>Trust accounts</w:t>
            </w:r>
          </w:p>
          <w:p w14:paraId="40477068" w14:textId="77777777" w:rsidR="00B134A9" w:rsidRPr="00CF6E64" w:rsidRDefault="00B134A9" w:rsidP="0081448E">
            <w:pPr>
              <w:pStyle w:val="TableTextLeft"/>
              <w:spacing w:line="276" w:lineRule="auto"/>
              <w:ind w:left="1418"/>
              <w:rPr>
                <w:szCs w:val="18"/>
              </w:rPr>
            </w:pPr>
            <w:r w:rsidRPr="00CF6E64">
              <w:rPr>
                <w:szCs w:val="18"/>
              </w:rPr>
              <w:t>Retirement savings accounts</w:t>
            </w:r>
          </w:p>
          <w:p w14:paraId="0FB02B16" w14:textId="77777777" w:rsidR="00B134A9" w:rsidRPr="00CF6E64" w:rsidRDefault="00B134A9" w:rsidP="0081448E">
            <w:pPr>
              <w:pStyle w:val="TableTextLeft"/>
              <w:spacing w:line="276" w:lineRule="auto"/>
              <w:ind w:left="1418"/>
              <w:rPr>
                <w:szCs w:val="18"/>
              </w:rPr>
            </w:pPr>
            <w:r w:rsidRPr="00CF6E64">
              <w:rPr>
                <w:szCs w:val="18"/>
              </w:rPr>
              <w:t>Foreign currency accounts</w:t>
            </w:r>
          </w:p>
        </w:tc>
        <w:tc>
          <w:tcPr>
            <w:tcW w:w="250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EEAF6" w:themeFill="accent1" w:themeFillTint="33"/>
          </w:tcPr>
          <w:p w14:paraId="7471B4A5" w14:textId="77777777" w:rsidR="00B134A9" w:rsidRPr="00CF6E64" w:rsidRDefault="00B134A9" w:rsidP="0081448E">
            <w:pPr>
              <w:pStyle w:val="TableTextLeft"/>
              <w:spacing w:line="276" w:lineRule="auto"/>
              <w:ind w:left="1453"/>
              <w:rPr>
                <w:szCs w:val="18"/>
              </w:rPr>
            </w:pPr>
            <w:r w:rsidRPr="00CF6E64">
              <w:rPr>
                <w:szCs w:val="18"/>
              </w:rPr>
              <w:t>Mortgages</w:t>
            </w:r>
          </w:p>
          <w:p w14:paraId="492C0CFC" w14:textId="77777777" w:rsidR="00B134A9" w:rsidRPr="00CF6E64" w:rsidRDefault="00B134A9" w:rsidP="0081448E">
            <w:pPr>
              <w:pStyle w:val="TableTextLeft"/>
              <w:spacing w:line="276" w:lineRule="auto"/>
              <w:ind w:left="1453"/>
              <w:rPr>
                <w:szCs w:val="18"/>
              </w:rPr>
            </w:pPr>
            <w:r w:rsidRPr="00CF6E64">
              <w:rPr>
                <w:szCs w:val="18"/>
              </w:rPr>
              <w:t>Business finance</w:t>
            </w:r>
          </w:p>
          <w:p w14:paraId="39FB00BB" w14:textId="77777777" w:rsidR="00B134A9" w:rsidRPr="00CF6E64" w:rsidRDefault="00B134A9" w:rsidP="0081448E">
            <w:pPr>
              <w:pStyle w:val="TableTextLeft"/>
              <w:spacing w:line="276" w:lineRule="auto"/>
              <w:ind w:left="1453"/>
              <w:rPr>
                <w:szCs w:val="18"/>
              </w:rPr>
            </w:pPr>
            <w:r w:rsidRPr="00CF6E64">
              <w:rPr>
                <w:szCs w:val="18"/>
              </w:rPr>
              <w:t>Personal loans</w:t>
            </w:r>
          </w:p>
          <w:p w14:paraId="6D57CFF6" w14:textId="77777777" w:rsidR="00B134A9" w:rsidRPr="00CF6E64" w:rsidRDefault="00B134A9" w:rsidP="0081448E">
            <w:pPr>
              <w:pStyle w:val="TableTextLeft"/>
              <w:spacing w:line="276" w:lineRule="auto"/>
              <w:ind w:left="1453"/>
              <w:rPr>
                <w:szCs w:val="18"/>
              </w:rPr>
            </w:pPr>
            <w:r w:rsidRPr="00CF6E64">
              <w:rPr>
                <w:szCs w:val="18"/>
              </w:rPr>
              <w:t>Lines of credit (personal)</w:t>
            </w:r>
          </w:p>
          <w:p w14:paraId="5CD1FBE3" w14:textId="77777777" w:rsidR="00B134A9" w:rsidRPr="00CF6E64" w:rsidRDefault="00B134A9" w:rsidP="0081448E">
            <w:pPr>
              <w:pStyle w:val="TableTextLeft"/>
              <w:spacing w:line="276" w:lineRule="auto"/>
              <w:ind w:left="1453"/>
              <w:rPr>
                <w:szCs w:val="18"/>
              </w:rPr>
            </w:pPr>
            <w:r w:rsidRPr="00CF6E64">
              <w:rPr>
                <w:szCs w:val="18"/>
              </w:rPr>
              <w:t>Lines of credit (business)</w:t>
            </w:r>
          </w:p>
          <w:p w14:paraId="7EB9267A" w14:textId="77777777" w:rsidR="00B134A9" w:rsidRPr="00CF6E64" w:rsidRDefault="00B134A9" w:rsidP="0081448E">
            <w:pPr>
              <w:pStyle w:val="TableTextLeft"/>
              <w:spacing w:line="276" w:lineRule="auto"/>
              <w:ind w:left="1453"/>
              <w:rPr>
                <w:szCs w:val="18"/>
              </w:rPr>
            </w:pPr>
            <w:r w:rsidRPr="00CF6E64">
              <w:rPr>
                <w:szCs w:val="18"/>
              </w:rPr>
              <w:t>Overdrafts (personal)</w:t>
            </w:r>
          </w:p>
          <w:p w14:paraId="20060F8E" w14:textId="77777777" w:rsidR="00B134A9" w:rsidRPr="00CF6E64" w:rsidRDefault="00B134A9" w:rsidP="0081448E">
            <w:pPr>
              <w:pStyle w:val="TableTextLeft"/>
              <w:spacing w:line="276" w:lineRule="auto"/>
              <w:ind w:left="1453"/>
              <w:rPr>
                <w:szCs w:val="18"/>
              </w:rPr>
            </w:pPr>
            <w:r w:rsidRPr="00CF6E64">
              <w:rPr>
                <w:szCs w:val="18"/>
              </w:rPr>
              <w:t>Overdrafts (business)</w:t>
            </w:r>
          </w:p>
          <w:p w14:paraId="238F9062" w14:textId="77777777" w:rsidR="00B134A9" w:rsidRPr="00CF6E64" w:rsidRDefault="00B134A9" w:rsidP="0081448E">
            <w:pPr>
              <w:pStyle w:val="TableTextLeft"/>
              <w:spacing w:line="276" w:lineRule="auto"/>
              <w:ind w:left="1453"/>
              <w:rPr>
                <w:szCs w:val="18"/>
              </w:rPr>
            </w:pPr>
            <w:r w:rsidRPr="00CF6E64">
              <w:rPr>
                <w:szCs w:val="18"/>
              </w:rPr>
              <w:t>Consumer leases</w:t>
            </w:r>
          </w:p>
          <w:p w14:paraId="55A2B241" w14:textId="77777777" w:rsidR="00B134A9" w:rsidRPr="00CF6E64" w:rsidRDefault="00B134A9" w:rsidP="0081448E">
            <w:pPr>
              <w:pStyle w:val="TableTextLeft"/>
              <w:spacing w:line="276" w:lineRule="auto"/>
              <w:ind w:left="1453"/>
              <w:rPr>
                <w:szCs w:val="18"/>
              </w:rPr>
            </w:pPr>
            <w:r w:rsidRPr="00CF6E64">
              <w:rPr>
                <w:szCs w:val="18"/>
              </w:rPr>
              <w:t>Credit and charge cards (personal)</w:t>
            </w:r>
          </w:p>
          <w:p w14:paraId="5D9D395C" w14:textId="77777777" w:rsidR="00B134A9" w:rsidRPr="00CF6E64" w:rsidRDefault="00B134A9" w:rsidP="0081448E">
            <w:pPr>
              <w:pStyle w:val="TableTextLeft"/>
              <w:spacing w:line="276" w:lineRule="auto"/>
              <w:ind w:left="1453"/>
              <w:rPr>
                <w:szCs w:val="18"/>
              </w:rPr>
            </w:pPr>
            <w:r w:rsidRPr="00CF6E64">
              <w:rPr>
                <w:szCs w:val="18"/>
              </w:rPr>
              <w:t>Credit and charge cards (business)</w:t>
            </w:r>
          </w:p>
          <w:p w14:paraId="73AE5EC7" w14:textId="77777777" w:rsidR="00B134A9" w:rsidRPr="00CF6E64" w:rsidRDefault="00B134A9" w:rsidP="0081448E">
            <w:pPr>
              <w:pStyle w:val="TableTextLeft"/>
              <w:spacing w:line="276" w:lineRule="auto"/>
              <w:ind w:left="1453"/>
              <w:rPr>
                <w:szCs w:val="18"/>
              </w:rPr>
            </w:pPr>
            <w:r w:rsidRPr="00CF6E64">
              <w:rPr>
                <w:szCs w:val="18"/>
              </w:rPr>
              <w:t>Asset finance (and leases)</w:t>
            </w:r>
          </w:p>
        </w:tc>
      </w:tr>
    </w:tbl>
    <w:p w14:paraId="03CC4D0C" w14:textId="76D3E350" w:rsidR="00B134A9" w:rsidRDefault="00B134A9" w:rsidP="006805B5">
      <w:r w:rsidRPr="00A911D1">
        <w:t>Additionally, the terms of the</w:t>
      </w:r>
      <w:r w:rsidRPr="00DB1AB7">
        <w:t>se</w:t>
      </w:r>
      <w:r w:rsidRPr="00A911D1">
        <w:t xml:space="preserve"> various products on offer will be made available in machine</w:t>
      </w:r>
      <w:r w:rsidR="00812736">
        <w:noBreakHyphen/>
      </w:r>
      <w:r w:rsidRPr="00A911D1">
        <w:t>readable form.</w:t>
      </w:r>
      <w:r>
        <w:t xml:space="preserve"> </w:t>
      </w:r>
      <w:r w:rsidRPr="007F578C">
        <w:t>This will support product comparison services.</w:t>
      </w:r>
    </w:p>
    <w:p w14:paraId="4FB46E6B" w14:textId="71A6F022" w:rsidR="00B31D6C" w:rsidRDefault="00BE1D81" w:rsidP="006805B5">
      <w:r>
        <w:t xml:space="preserve">Consistent with the recommendations of the Open Banking Review, </w:t>
      </w:r>
      <w:r w:rsidR="00812736">
        <w:t xml:space="preserve">initial Open Banking </w:t>
      </w:r>
      <w:r>
        <w:t xml:space="preserve">data </w:t>
      </w:r>
      <w:r w:rsidR="00812736">
        <w:t>sets are</w:t>
      </w:r>
      <w:r>
        <w:t xml:space="preserve"> to be transferred, at the </w:t>
      </w:r>
      <w:r w:rsidR="00CC09F0">
        <w:t xml:space="preserve">consumer’s </w:t>
      </w:r>
      <w:r>
        <w:t xml:space="preserve">direction, without charge. </w:t>
      </w:r>
      <w:r w:rsidR="00AC231B">
        <w:t>However, the Consumer Data Right system will have the flexibility to provide for charging for access to data. This flexibility may be required in relation to access to value-added data or where making data available for free would unacceptably impact on incentives to collect and maintain consumer data.</w:t>
      </w:r>
    </w:p>
    <w:p w14:paraId="57FCED64" w14:textId="3A882C92" w:rsidR="00B134A9" w:rsidRPr="00812736" w:rsidRDefault="00B134A9" w:rsidP="006805B5">
      <w:r>
        <w:t xml:space="preserve">These data sets will not </w:t>
      </w:r>
      <w:r w:rsidR="005627B7">
        <w:t xml:space="preserve">all </w:t>
      </w:r>
      <w:r>
        <w:t xml:space="preserve">be subject to the right </w:t>
      </w:r>
      <w:r w:rsidR="00594133" w:rsidRPr="004C7E11">
        <w:t>at the commencement</w:t>
      </w:r>
      <w:r>
        <w:t xml:space="preserve"> of the regime. (See below under </w:t>
      </w:r>
      <w:r w:rsidR="005627B7" w:rsidRPr="001C6195">
        <w:rPr>
          <w:i/>
        </w:rPr>
        <w:t>Timetable</w:t>
      </w:r>
      <w:r w:rsidRPr="005A4179">
        <w:rPr>
          <w:i/>
        </w:rPr>
        <w:t xml:space="preserve"> for implementation</w:t>
      </w:r>
      <w:r w:rsidR="00812736">
        <w:t>).</w:t>
      </w:r>
    </w:p>
    <w:p w14:paraId="1D2BEC19" w14:textId="670A1040" w:rsidR="00B134A9" w:rsidRDefault="00B134A9" w:rsidP="006805B5">
      <w:r w:rsidRPr="00773F2B">
        <w:t xml:space="preserve">For the energy sector, an analysis of which data </w:t>
      </w:r>
      <w:r w:rsidR="000F0811" w:rsidRPr="00773F2B">
        <w:t xml:space="preserve">sets </w:t>
      </w:r>
      <w:r w:rsidRPr="00773F2B">
        <w:t xml:space="preserve">should be </w:t>
      </w:r>
      <w:r w:rsidR="000F0811" w:rsidRPr="00773F2B">
        <w:t xml:space="preserve">made </w:t>
      </w:r>
      <w:r w:rsidRPr="00773F2B">
        <w:t xml:space="preserve">available is </w:t>
      </w:r>
      <w:r w:rsidR="00773F2B">
        <w:t xml:space="preserve">currently </w:t>
      </w:r>
      <w:r w:rsidRPr="00773F2B">
        <w:t>taking place</w:t>
      </w:r>
      <w:r w:rsidR="00773F2B" w:rsidRPr="00EB0237">
        <w:t>.</w:t>
      </w:r>
      <w:r w:rsidRPr="00773F2B">
        <w:t xml:space="preserve"> </w:t>
      </w:r>
    </w:p>
    <w:p w14:paraId="390D3B99" w14:textId="77777777" w:rsidR="00B134A9" w:rsidRDefault="00B134A9" w:rsidP="006805B5">
      <w:r>
        <w:t xml:space="preserve">For the telecommunications sector, an analysis of which data sets are </w:t>
      </w:r>
      <w:r w:rsidR="005627B7">
        <w:t>potentially</w:t>
      </w:r>
      <w:r w:rsidR="000F0811">
        <w:t xml:space="preserve"> </w:t>
      </w:r>
      <w:r>
        <w:t>available will be undertaken followed by an assessment of which of those data sets should be made available under the right, taking into account the costs, risks and benefits of making each data set available.</w:t>
      </w:r>
    </w:p>
    <w:p w14:paraId="4BB41F1E" w14:textId="77777777" w:rsidR="009A26EE" w:rsidRDefault="009A26EE" w:rsidP="009A26EE">
      <w:pPr>
        <w:pStyle w:val="Bullet"/>
        <w:numPr>
          <w:ilvl w:val="0"/>
          <w:numId w:val="0"/>
        </w:numPr>
        <w:rPr>
          <w:b/>
        </w:rPr>
      </w:pPr>
      <w:r w:rsidRPr="00C400CA">
        <w:rPr>
          <w:b/>
        </w:rPr>
        <w:t>Reciprocity</w:t>
      </w:r>
    </w:p>
    <w:p w14:paraId="581AA720" w14:textId="77777777" w:rsidR="009A26EE" w:rsidRDefault="009A26EE" w:rsidP="009A26EE">
      <w:pPr>
        <w:pStyle w:val="Dash"/>
        <w:numPr>
          <w:ilvl w:val="0"/>
          <w:numId w:val="0"/>
        </w:numPr>
      </w:pPr>
      <w:r>
        <w:t xml:space="preserve">Data may also become subject to the Consumer Data Right through </w:t>
      </w:r>
      <w:r w:rsidR="001C6195">
        <w:t>a</w:t>
      </w:r>
      <w:r>
        <w:t xml:space="preserve"> reciprocity mechanism. This mechanism will provide that those who wish to </w:t>
      </w:r>
      <w:r w:rsidR="00EE09D7">
        <w:t xml:space="preserve">become accredited and </w:t>
      </w:r>
      <w:r>
        <w:t xml:space="preserve">receive designated data at a consumer’s request must be willing to </w:t>
      </w:r>
      <w:r w:rsidR="00EE09D7">
        <w:t>share</w:t>
      </w:r>
      <w:r>
        <w:t xml:space="preserve"> equivalent data</w:t>
      </w:r>
      <w:r w:rsidR="00EE09D7">
        <w:t>,</w:t>
      </w:r>
      <w:r>
        <w:t xml:space="preserve"> in response to a consumer’s request.</w:t>
      </w:r>
    </w:p>
    <w:p w14:paraId="04853CA7" w14:textId="49F83A9F" w:rsidR="009A26EE" w:rsidRPr="00BA0D33" w:rsidRDefault="009A26EE" w:rsidP="009A26EE">
      <w:pPr>
        <w:pStyle w:val="Dash"/>
        <w:numPr>
          <w:ilvl w:val="0"/>
          <w:numId w:val="0"/>
        </w:numPr>
      </w:pPr>
      <w:r>
        <w:t xml:space="preserve">The </w:t>
      </w:r>
      <w:r w:rsidR="00812736">
        <w:t>Treasury Laws Amendment (Consumer Data Right) Bill 2019</w:t>
      </w:r>
      <w:r>
        <w:t xml:space="preserve"> incorporate</w:t>
      </w:r>
      <w:r w:rsidR="00812736">
        <w:t>s</w:t>
      </w:r>
      <w:r>
        <w:t xml:space="preserve"> a principle of reciprocity, allowing </w:t>
      </w:r>
      <w:r w:rsidR="00812736">
        <w:t xml:space="preserve">reciprocity arrangements to be put in place in relation to data of the kind specified in the sectoral designation. </w:t>
      </w:r>
      <w:r w:rsidR="00D533E3">
        <w:t xml:space="preserve">However, distinctly different kinds of data to those already </w:t>
      </w:r>
      <w:r w:rsidR="00D533E3">
        <w:lastRenderedPageBreak/>
        <w:t>covered by the CDR</w:t>
      </w:r>
      <w:r w:rsidR="00D533E3" w:rsidRPr="00D533E3">
        <w:rPr>
          <w:szCs w:val="22"/>
        </w:rPr>
        <w:t xml:space="preserve"> </w:t>
      </w:r>
      <w:r w:rsidR="00D533E3" w:rsidRPr="009B0E1A">
        <w:rPr>
          <w:szCs w:val="22"/>
        </w:rPr>
        <w:t xml:space="preserve">cannot become subject to the CDR under reciprocity, </w:t>
      </w:r>
      <w:r w:rsidR="00D533E3">
        <w:rPr>
          <w:szCs w:val="22"/>
        </w:rPr>
        <w:t xml:space="preserve">until a </w:t>
      </w:r>
      <w:r w:rsidR="00D533E3" w:rsidRPr="009B0E1A">
        <w:rPr>
          <w:szCs w:val="22"/>
        </w:rPr>
        <w:t>normal sectoral assessment and ministerial designation process</w:t>
      </w:r>
      <w:r w:rsidR="00D533E3">
        <w:rPr>
          <w:szCs w:val="22"/>
        </w:rPr>
        <w:t xml:space="preserve"> has been completed</w:t>
      </w:r>
      <w:r w:rsidR="00D533E3" w:rsidRPr="009B0E1A">
        <w:rPr>
          <w:szCs w:val="22"/>
        </w:rPr>
        <w:t>.</w:t>
      </w:r>
      <w:r w:rsidR="00D533E3">
        <w:rPr>
          <w:szCs w:val="22"/>
        </w:rPr>
        <w:t xml:space="preserve"> This would involve analysis by the Australian Competition and Consumer Commission (ACCC) and the Office of the Australian Information Commissioner (OAIC), public consultations and the provision of publicly available advices to the Government.</w:t>
      </w:r>
      <w:r w:rsidR="00D533E3">
        <w:t xml:space="preserve"> </w:t>
      </w:r>
    </w:p>
    <w:p w14:paraId="06748D1E" w14:textId="77777777" w:rsidR="00B134A9" w:rsidRDefault="00350421" w:rsidP="00B134A9">
      <w:pPr>
        <w:pStyle w:val="Heading2"/>
      </w:pPr>
      <w:bookmarkStart w:id="47" w:name="_Toc513305777"/>
      <w:bookmarkStart w:id="48" w:name="_Toc513448705"/>
      <w:bookmarkStart w:id="49" w:name="_Toc513451727"/>
      <w:bookmarkStart w:id="50" w:name="_Toc10011481"/>
      <w:r>
        <w:t>Consumer consent</w:t>
      </w:r>
      <w:bookmarkEnd w:id="47"/>
      <w:bookmarkEnd w:id="48"/>
      <w:bookmarkEnd w:id="49"/>
      <w:bookmarkEnd w:id="50"/>
    </w:p>
    <w:p w14:paraId="40565F16" w14:textId="01263AF3" w:rsidR="00B134A9" w:rsidRDefault="00933DAC" w:rsidP="006805B5">
      <w:r>
        <w:rPr>
          <w:noProof/>
        </w:rPr>
        <w:drawing>
          <wp:anchor distT="0" distB="0" distL="114300" distR="114300" simplePos="0" relativeHeight="251658241" behindDoc="1" locked="0" layoutInCell="1" allowOverlap="1" wp14:anchorId="786A4C2A" wp14:editId="20F8CF7C">
            <wp:simplePos x="0" y="0"/>
            <wp:positionH relativeFrom="column">
              <wp:posOffset>4194810</wp:posOffset>
            </wp:positionH>
            <wp:positionV relativeFrom="paragraph">
              <wp:posOffset>52070</wp:posOffset>
            </wp:positionV>
            <wp:extent cx="1419225" cy="1774190"/>
            <wp:effectExtent l="0" t="0" r="9525" b="0"/>
            <wp:wrapTight wrapText="bothSides">
              <wp:wrapPolygon edited="0">
                <wp:start x="0" y="0"/>
                <wp:lineTo x="0" y="21337"/>
                <wp:lineTo x="21455" y="21337"/>
                <wp:lineTo x="21455" y="0"/>
                <wp:lineTo x="0" y="0"/>
              </wp:wrapPolygon>
            </wp:wrapTight>
            <wp:docPr id="9" name="Picture 9" descr="Photo of a hand pressing a stylised lock button" title="Photo of a hand pressing a stylised lock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19225" cy="1774190"/>
                    </a:xfrm>
                    <a:prstGeom prst="rect">
                      <a:avLst/>
                    </a:prstGeom>
                    <a:noFill/>
                    <a:ln>
                      <a:noFill/>
                    </a:ln>
                  </pic:spPr>
                </pic:pic>
              </a:graphicData>
            </a:graphic>
            <wp14:sizeRelH relativeFrom="page">
              <wp14:pctWidth>0</wp14:pctWidth>
            </wp14:sizeRelH>
            <wp14:sizeRelV relativeFrom="page">
              <wp14:pctHeight>0</wp14:pctHeight>
            </wp14:sizeRelV>
          </wp:anchor>
        </w:drawing>
      </w:r>
      <w:r w:rsidR="00B134A9">
        <w:t xml:space="preserve">The Consumer Data Right is a right </w:t>
      </w:r>
      <w:r w:rsidR="00B134A9" w:rsidRPr="00DB1AB7">
        <w:rPr>
          <w:u w:val="single"/>
        </w:rPr>
        <w:t>for consumers</w:t>
      </w:r>
      <w:r w:rsidR="00B134A9">
        <w:t xml:space="preserve"> to choose to </w:t>
      </w:r>
      <w:r w:rsidR="00C86DDB">
        <w:t xml:space="preserve">safely </w:t>
      </w:r>
      <w:r w:rsidR="00B134A9">
        <w:t xml:space="preserve">share their data </w:t>
      </w:r>
      <w:r w:rsidR="00B134A9" w:rsidRPr="004C7E11">
        <w:t xml:space="preserve">with </w:t>
      </w:r>
      <w:r w:rsidR="00594133" w:rsidRPr="004C7E11">
        <w:t xml:space="preserve">accredited, </w:t>
      </w:r>
      <w:r w:rsidR="00B134A9" w:rsidRPr="004C7E11">
        <w:t>trusted</w:t>
      </w:r>
      <w:r w:rsidR="00B134A9">
        <w:t xml:space="preserve"> recipients. It is not a right f</w:t>
      </w:r>
      <w:r w:rsidR="001A0674">
        <w:t>or businesses to share consumer</w:t>
      </w:r>
      <w:r w:rsidR="00B134A9">
        <w:t>s</w:t>
      </w:r>
      <w:r w:rsidR="001A0674">
        <w:t>’</w:t>
      </w:r>
      <w:r w:rsidR="00B134A9">
        <w:t xml:space="preserve"> data without their consent.</w:t>
      </w:r>
    </w:p>
    <w:p w14:paraId="4C8AA8C1" w14:textId="77777777" w:rsidR="00B134A9" w:rsidRDefault="00B134A9" w:rsidP="006805B5">
      <w:r>
        <w:t xml:space="preserve">The system will ensure that consent is genuine – that consumers understand what they are consenting to, that consents are clear and unambiguous, and they are not </w:t>
      </w:r>
      <w:r w:rsidRPr="001D3B5F">
        <w:t>open ended</w:t>
      </w:r>
      <w:r>
        <w:t>.</w:t>
      </w:r>
    </w:p>
    <w:p w14:paraId="7E78E52D" w14:textId="77777777" w:rsidR="00B134A9" w:rsidRDefault="00B134A9" w:rsidP="006805B5">
      <w:r>
        <w:t>There will be no ‘implied’ consent allowed for data transfers.</w:t>
      </w:r>
    </w:p>
    <w:p w14:paraId="7EFCF338" w14:textId="6CD9CE02" w:rsidR="00B134A9" w:rsidRDefault="00B134A9" w:rsidP="006805B5">
      <w:r>
        <w:t xml:space="preserve">Consumers will be able to keep track of consents to share data and will be able to revoke them. </w:t>
      </w:r>
    </w:p>
    <w:p w14:paraId="490B9F8F" w14:textId="77777777" w:rsidR="00B134A9" w:rsidRDefault="00B134A9" w:rsidP="006805B5">
      <w:r>
        <w:t>Rigorous consent requirements will apply to both the transfer of data and the subsequent use of data under the system.</w:t>
      </w:r>
    </w:p>
    <w:p w14:paraId="5DF5004C" w14:textId="77777777" w:rsidR="00B134A9" w:rsidRDefault="00350421" w:rsidP="00B134A9">
      <w:pPr>
        <w:pStyle w:val="Heading2"/>
      </w:pPr>
      <w:bookmarkStart w:id="51" w:name="_Toc513305778"/>
      <w:bookmarkStart w:id="52" w:name="_Toc513448706"/>
      <w:bookmarkStart w:id="53" w:name="_Toc513451728"/>
      <w:bookmarkStart w:id="54" w:name="_Toc10011482"/>
      <w:r>
        <w:t>Data protection and privacy</w:t>
      </w:r>
      <w:bookmarkEnd w:id="51"/>
      <w:bookmarkEnd w:id="52"/>
      <w:bookmarkEnd w:id="53"/>
      <w:bookmarkEnd w:id="54"/>
    </w:p>
    <w:p w14:paraId="1B194B2A" w14:textId="09429000" w:rsidR="00B134A9" w:rsidRDefault="00B134A9" w:rsidP="006805B5">
      <w:pPr>
        <w:pStyle w:val="Bullet"/>
        <w:numPr>
          <w:ilvl w:val="0"/>
          <w:numId w:val="0"/>
        </w:numPr>
        <w:spacing w:before="120"/>
      </w:pPr>
      <w:r>
        <w:t>Privacy and security are core features of the Consumer Data Right. To protect the privacy of consumers, privacy protections will be strengthened and tailored</w:t>
      </w:r>
      <w:r w:rsidR="00177D2B">
        <w:t xml:space="preserve"> </w:t>
      </w:r>
      <w:r>
        <w:t>to adequately reflect the needs of the Consumer Data Right and each sector.</w:t>
      </w:r>
    </w:p>
    <w:tbl>
      <w:tblPr>
        <w:tblW w:w="8931" w:type="dxa"/>
        <w:tblInd w:w="108" w:type="dxa"/>
        <w:tblLook w:val="04A0" w:firstRow="1" w:lastRow="0" w:firstColumn="1" w:lastColumn="0" w:noHBand="0" w:noVBand="1"/>
        <w:tblCaption w:val="These privacy protections will include"/>
        <w:tblDescription w:val="requirements that data can only be transferred under the Consumer Data Right at the direction of the consumer&#10;requirements for greater transparency and choice so that consumers control how their information will be used&#10;the mandatory accreditation of data recipients&#10;obligations regarding deletion of data&#10;the introduction of transfer, security and data standards via a newly created Data Standards Body (initially Data61)&#10;extension of Privacy Act 1988 protections to bind all accredited data recipients, including small to medium sized enterprises&#10;a strong role for the Office of the Australian Information Commissioner (OAIC) in advising on and enforcing privacy protections&#10;a range of avenues for consumers to seek meaningful remedies for breaches, including external dispute resolution and direct rights of action&#10;"/>
      </w:tblPr>
      <w:tblGrid>
        <w:gridCol w:w="708"/>
        <w:gridCol w:w="8223"/>
      </w:tblGrid>
      <w:tr w:rsidR="00B134A9" w14:paraId="2B266529" w14:textId="77777777" w:rsidTr="00C01F1A">
        <w:tc>
          <w:tcPr>
            <w:tcW w:w="8931"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74BD"/>
          </w:tcPr>
          <w:p w14:paraId="34653EC9" w14:textId="77777777" w:rsidR="00B134A9" w:rsidRDefault="00B134A9" w:rsidP="00C75EF2">
            <w:r w:rsidRPr="005A4179">
              <w:rPr>
                <w:b/>
                <w:color w:val="FFFFFF" w:themeColor="background1"/>
                <w:sz w:val="24"/>
              </w:rPr>
              <w:t>These privacy protections will include:</w:t>
            </w:r>
          </w:p>
        </w:tc>
      </w:tr>
      <w:tr w:rsidR="00B134A9" w14:paraId="351E2059" w14:textId="77777777" w:rsidTr="00C75EF2">
        <w:tc>
          <w:tcPr>
            <w:tcW w:w="7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EEAF6" w:themeFill="accent1" w:themeFillTint="33"/>
            <w:vAlign w:val="center"/>
          </w:tcPr>
          <w:p w14:paraId="7B039BF3" w14:textId="77777777" w:rsidR="00B134A9" w:rsidRPr="005A4179" w:rsidRDefault="00B134A9" w:rsidP="00C75EF2">
            <w:pPr>
              <w:ind w:left="34"/>
              <w:jc w:val="center"/>
              <w:rPr>
                <w:color w:val="44546A" w:themeColor="text2"/>
              </w:rPr>
            </w:pPr>
            <w:r w:rsidRPr="005A4179">
              <w:rPr>
                <w:color w:val="44546A" w:themeColor="text2"/>
                <w:sz w:val="32"/>
              </w:rPr>
              <w:sym w:font="Wingdings" w:char="F0FC"/>
            </w:r>
          </w:p>
        </w:tc>
        <w:tc>
          <w:tcPr>
            <w:tcW w:w="82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EEAF6" w:themeFill="accent1" w:themeFillTint="33"/>
            <w:vAlign w:val="center"/>
          </w:tcPr>
          <w:p w14:paraId="5482B31C" w14:textId="77777777" w:rsidR="00B134A9" w:rsidRDefault="00B134A9" w:rsidP="00C75EF2">
            <w:pPr>
              <w:pStyle w:val="Bullet"/>
              <w:numPr>
                <w:ilvl w:val="0"/>
                <w:numId w:val="0"/>
              </w:numPr>
              <w:ind w:left="34"/>
            </w:pPr>
            <w:r>
              <w:t>requirements that data can only be transferred under the Consumer Data Right a</w:t>
            </w:r>
            <w:r w:rsidR="00C75EF2">
              <w:t>t the direction of the consumer</w:t>
            </w:r>
          </w:p>
        </w:tc>
      </w:tr>
      <w:tr w:rsidR="00B134A9" w14:paraId="7926B6BF" w14:textId="77777777" w:rsidTr="00C75EF2">
        <w:tc>
          <w:tcPr>
            <w:tcW w:w="7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DD6EE" w:themeFill="accent1" w:themeFillTint="66"/>
            <w:vAlign w:val="center"/>
          </w:tcPr>
          <w:p w14:paraId="5FCBD4BD" w14:textId="77777777" w:rsidR="00B134A9" w:rsidRPr="005A4179" w:rsidRDefault="00B134A9" w:rsidP="00C75EF2">
            <w:pPr>
              <w:ind w:left="34"/>
              <w:jc w:val="center"/>
              <w:rPr>
                <w:color w:val="44546A" w:themeColor="text2"/>
              </w:rPr>
            </w:pPr>
            <w:r w:rsidRPr="005A4179">
              <w:rPr>
                <w:color w:val="44546A" w:themeColor="text2"/>
                <w:sz w:val="32"/>
              </w:rPr>
              <w:sym w:font="Wingdings" w:char="F0FC"/>
            </w:r>
          </w:p>
        </w:tc>
        <w:tc>
          <w:tcPr>
            <w:tcW w:w="82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DD6EE" w:themeFill="accent1" w:themeFillTint="66"/>
            <w:vAlign w:val="center"/>
          </w:tcPr>
          <w:p w14:paraId="29AD51C5" w14:textId="77777777" w:rsidR="00B134A9" w:rsidRDefault="00B134A9" w:rsidP="00C75EF2">
            <w:pPr>
              <w:pStyle w:val="Bullet"/>
              <w:numPr>
                <w:ilvl w:val="0"/>
                <w:numId w:val="0"/>
              </w:numPr>
              <w:ind w:left="34"/>
            </w:pPr>
            <w:r>
              <w:t>requirements for greater transparency and choice so that consumers control how</w:t>
            </w:r>
            <w:r w:rsidR="00C75EF2">
              <w:t xml:space="preserve"> their information will be used</w:t>
            </w:r>
          </w:p>
        </w:tc>
      </w:tr>
      <w:tr w:rsidR="00B134A9" w14:paraId="2434CEE8" w14:textId="77777777" w:rsidTr="00C75EF2">
        <w:tc>
          <w:tcPr>
            <w:tcW w:w="7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EEAF6" w:themeFill="accent1" w:themeFillTint="33"/>
            <w:vAlign w:val="center"/>
          </w:tcPr>
          <w:p w14:paraId="5D3DC8D4" w14:textId="77777777" w:rsidR="00B134A9" w:rsidRPr="005A4179" w:rsidRDefault="00B134A9" w:rsidP="00C75EF2">
            <w:pPr>
              <w:ind w:left="34"/>
              <w:jc w:val="center"/>
              <w:rPr>
                <w:color w:val="44546A" w:themeColor="text2"/>
              </w:rPr>
            </w:pPr>
            <w:r w:rsidRPr="005A4179">
              <w:rPr>
                <w:color w:val="44546A" w:themeColor="text2"/>
                <w:sz w:val="32"/>
              </w:rPr>
              <w:sym w:font="Wingdings" w:char="F0FC"/>
            </w:r>
          </w:p>
        </w:tc>
        <w:tc>
          <w:tcPr>
            <w:tcW w:w="82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EEAF6" w:themeFill="accent1" w:themeFillTint="33"/>
            <w:vAlign w:val="center"/>
          </w:tcPr>
          <w:p w14:paraId="264E4835" w14:textId="77777777" w:rsidR="00B134A9" w:rsidRDefault="00B134A9" w:rsidP="00C75EF2">
            <w:pPr>
              <w:pStyle w:val="Bullet"/>
              <w:numPr>
                <w:ilvl w:val="0"/>
                <w:numId w:val="0"/>
              </w:numPr>
              <w:ind w:left="34"/>
            </w:pPr>
            <w:r>
              <w:t>the mandatory accreditation of data recipients</w:t>
            </w:r>
          </w:p>
        </w:tc>
      </w:tr>
      <w:tr w:rsidR="00B134A9" w14:paraId="2CED6922" w14:textId="77777777" w:rsidTr="00C75EF2">
        <w:tc>
          <w:tcPr>
            <w:tcW w:w="7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DD6EE" w:themeFill="accent1" w:themeFillTint="66"/>
            <w:vAlign w:val="center"/>
          </w:tcPr>
          <w:p w14:paraId="18F24FDC" w14:textId="77777777" w:rsidR="00B134A9" w:rsidRPr="005A4179" w:rsidRDefault="00B134A9" w:rsidP="00C75EF2">
            <w:pPr>
              <w:ind w:left="34"/>
              <w:jc w:val="center"/>
              <w:rPr>
                <w:color w:val="44546A" w:themeColor="text2"/>
              </w:rPr>
            </w:pPr>
            <w:r w:rsidRPr="005A4179">
              <w:rPr>
                <w:color w:val="44546A" w:themeColor="text2"/>
                <w:sz w:val="32"/>
              </w:rPr>
              <w:sym w:font="Wingdings" w:char="F0FC"/>
            </w:r>
          </w:p>
        </w:tc>
        <w:tc>
          <w:tcPr>
            <w:tcW w:w="82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DD6EE" w:themeFill="accent1" w:themeFillTint="66"/>
            <w:vAlign w:val="center"/>
          </w:tcPr>
          <w:p w14:paraId="22EE5988" w14:textId="062DDF16" w:rsidR="00B134A9" w:rsidRPr="000B15DE" w:rsidRDefault="00B134A9" w:rsidP="00C86DDB">
            <w:pPr>
              <w:pStyle w:val="Bullet"/>
              <w:numPr>
                <w:ilvl w:val="0"/>
                <w:numId w:val="0"/>
              </w:numPr>
              <w:ind w:left="34"/>
            </w:pPr>
            <w:r>
              <w:t>obligations regarding deletion</w:t>
            </w:r>
            <w:r w:rsidR="002A5218">
              <w:t xml:space="preserve"> or de</w:t>
            </w:r>
            <w:r w:rsidR="002A5218">
              <w:noBreakHyphen/>
              <w:t>identification</w:t>
            </w:r>
            <w:r>
              <w:t xml:space="preserve"> of data</w:t>
            </w:r>
          </w:p>
        </w:tc>
      </w:tr>
      <w:tr w:rsidR="00B134A9" w14:paraId="6DD3BAFC" w14:textId="77777777" w:rsidTr="00C75EF2">
        <w:tc>
          <w:tcPr>
            <w:tcW w:w="7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EEAF6" w:themeFill="accent1" w:themeFillTint="33"/>
            <w:vAlign w:val="center"/>
          </w:tcPr>
          <w:p w14:paraId="2AE71611" w14:textId="77777777" w:rsidR="00B134A9" w:rsidRPr="005A4179" w:rsidRDefault="00B134A9" w:rsidP="00C75EF2">
            <w:pPr>
              <w:ind w:left="34"/>
              <w:jc w:val="center"/>
              <w:rPr>
                <w:color w:val="44546A" w:themeColor="text2"/>
              </w:rPr>
            </w:pPr>
            <w:r w:rsidRPr="005A4179">
              <w:rPr>
                <w:color w:val="44546A" w:themeColor="text2"/>
                <w:sz w:val="32"/>
              </w:rPr>
              <w:sym w:font="Wingdings" w:char="F0FC"/>
            </w:r>
          </w:p>
        </w:tc>
        <w:tc>
          <w:tcPr>
            <w:tcW w:w="82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EEAF6" w:themeFill="accent1" w:themeFillTint="33"/>
            <w:vAlign w:val="center"/>
          </w:tcPr>
          <w:p w14:paraId="7E466669" w14:textId="6DDD8C1F" w:rsidR="00B134A9" w:rsidRDefault="00B134A9" w:rsidP="00C75EF2">
            <w:pPr>
              <w:pStyle w:val="Bullet"/>
              <w:numPr>
                <w:ilvl w:val="0"/>
                <w:numId w:val="0"/>
              </w:numPr>
              <w:ind w:left="34"/>
            </w:pPr>
            <w:r w:rsidRPr="000B15DE">
              <w:t>the introduction of transfer, s</w:t>
            </w:r>
            <w:r>
              <w:t>ecurity and data standards via a newly created Data St</w:t>
            </w:r>
            <w:r w:rsidR="00C75EF2">
              <w:t>andards Body (initially</w:t>
            </w:r>
            <w:r w:rsidR="00773F2B">
              <w:t xml:space="preserve"> hosted by</w:t>
            </w:r>
            <w:r w:rsidR="00C75EF2">
              <w:t xml:space="preserve"> Data61)</w:t>
            </w:r>
          </w:p>
        </w:tc>
      </w:tr>
      <w:tr w:rsidR="00B134A9" w14:paraId="40A75DB8" w14:textId="77777777" w:rsidTr="00C75EF2">
        <w:tc>
          <w:tcPr>
            <w:tcW w:w="7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DD6EE" w:themeFill="accent1" w:themeFillTint="66"/>
            <w:vAlign w:val="center"/>
          </w:tcPr>
          <w:p w14:paraId="6EB94483" w14:textId="77777777" w:rsidR="00B134A9" w:rsidRPr="005A4179" w:rsidRDefault="00B134A9" w:rsidP="00C75EF2">
            <w:pPr>
              <w:ind w:left="34"/>
              <w:jc w:val="center"/>
              <w:rPr>
                <w:color w:val="44546A" w:themeColor="text2"/>
              </w:rPr>
            </w:pPr>
            <w:r w:rsidRPr="005A4179">
              <w:rPr>
                <w:color w:val="44546A" w:themeColor="text2"/>
                <w:sz w:val="32"/>
              </w:rPr>
              <w:sym w:font="Wingdings" w:char="F0FC"/>
            </w:r>
          </w:p>
        </w:tc>
        <w:tc>
          <w:tcPr>
            <w:tcW w:w="82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DD6EE" w:themeFill="accent1" w:themeFillTint="66"/>
            <w:vAlign w:val="center"/>
          </w:tcPr>
          <w:p w14:paraId="5486563E" w14:textId="77777777" w:rsidR="00B134A9" w:rsidRDefault="00B134A9" w:rsidP="00C75EF2">
            <w:pPr>
              <w:pStyle w:val="Bullet"/>
              <w:numPr>
                <w:ilvl w:val="0"/>
                <w:numId w:val="0"/>
              </w:numPr>
              <w:ind w:left="34"/>
            </w:pPr>
            <w:r>
              <w:t xml:space="preserve">extension of </w:t>
            </w:r>
            <w:r w:rsidRPr="005A4179">
              <w:rPr>
                <w:i/>
              </w:rPr>
              <w:t>Privacy Act 1988</w:t>
            </w:r>
            <w:r>
              <w:t xml:space="preserve"> protections to bind all accredited data recipients, including small to medium sized enterprises</w:t>
            </w:r>
          </w:p>
        </w:tc>
      </w:tr>
      <w:tr w:rsidR="00B134A9" w14:paraId="007662ED" w14:textId="77777777" w:rsidTr="00C75EF2">
        <w:tc>
          <w:tcPr>
            <w:tcW w:w="7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EEAF6" w:themeFill="accent1" w:themeFillTint="33"/>
            <w:vAlign w:val="center"/>
          </w:tcPr>
          <w:p w14:paraId="6FC32379" w14:textId="77777777" w:rsidR="00B134A9" w:rsidRPr="005A4179" w:rsidRDefault="00B134A9" w:rsidP="00C75EF2">
            <w:pPr>
              <w:ind w:left="34"/>
              <w:jc w:val="center"/>
              <w:rPr>
                <w:color w:val="44546A" w:themeColor="text2"/>
              </w:rPr>
            </w:pPr>
            <w:r w:rsidRPr="005A4179">
              <w:rPr>
                <w:color w:val="44546A" w:themeColor="text2"/>
                <w:sz w:val="32"/>
              </w:rPr>
              <w:sym w:font="Wingdings" w:char="F0FC"/>
            </w:r>
          </w:p>
        </w:tc>
        <w:tc>
          <w:tcPr>
            <w:tcW w:w="82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EEAF6" w:themeFill="accent1" w:themeFillTint="33"/>
            <w:vAlign w:val="center"/>
          </w:tcPr>
          <w:p w14:paraId="2C34CBAC" w14:textId="77777777" w:rsidR="00B134A9" w:rsidRDefault="00B134A9" w:rsidP="00C75EF2">
            <w:pPr>
              <w:pStyle w:val="Bullet"/>
              <w:numPr>
                <w:ilvl w:val="0"/>
                <w:numId w:val="0"/>
              </w:numPr>
              <w:ind w:left="34"/>
            </w:pPr>
            <w:r>
              <w:t>a strong role for the Office of the Australian Information Commissioner (OAIC) in advising on an</w:t>
            </w:r>
            <w:r w:rsidR="00C75EF2">
              <w:t>d enforcing privacy protections</w:t>
            </w:r>
          </w:p>
        </w:tc>
      </w:tr>
      <w:tr w:rsidR="00B134A9" w14:paraId="66AE056A" w14:textId="77777777" w:rsidTr="00C75EF2">
        <w:tc>
          <w:tcPr>
            <w:tcW w:w="7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DD6EE" w:themeFill="accent1" w:themeFillTint="66"/>
            <w:vAlign w:val="center"/>
          </w:tcPr>
          <w:p w14:paraId="58BDBE9E" w14:textId="77777777" w:rsidR="00B134A9" w:rsidRPr="005A4179" w:rsidRDefault="00B134A9" w:rsidP="00C75EF2">
            <w:pPr>
              <w:ind w:left="34"/>
              <w:jc w:val="center"/>
              <w:rPr>
                <w:color w:val="44546A" w:themeColor="text2"/>
              </w:rPr>
            </w:pPr>
            <w:r w:rsidRPr="005A4179">
              <w:rPr>
                <w:color w:val="44546A" w:themeColor="text2"/>
                <w:sz w:val="32"/>
              </w:rPr>
              <w:sym w:font="Wingdings" w:char="F0FC"/>
            </w:r>
          </w:p>
        </w:tc>
        <w:tc>
          <w:tcPr>
            <w:tcW w:w="82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DD6EE" w:themeFill="accent1" w:themeFillTint="66"/>
            <w:vAlign w:val="center"/>
          </w:tcPr>
          <w:p w14:paraId="024686CD" w14:textId="77777777" w:rsidR="00B134A9" w:rsidRDefault="00B134A9" w:rsidP="00C75EF2">
            <w:pPr>
              <w:pStyle w:val="Bullet"/>
              <w:numPr>
                <w:ilvl w:val="0"/>
                <w:numId w:val="0"/>
              </w:numPr>
              <w:ind w:left="34"/>
            </w:pPr>
            <w:r>
              <w:t xml:space="preserve">a range of </w:t>
            </w:r>
            <w:r w:rsidRPr="007741BC">
              <w:t>avenue</w:t>
            </w:r>
            <w:r>
              <w:t>s</w:t>
            </w:r>
            <w:r w:rsidRPr="007741BC">
              <w:t xml:space="preserve"> for </w:t>
            </w:r>
            <w:r>
              <w:t>consumers to seek meaningful remedies for breaches, including external dispute resolut</w:t>
            </w:r>
            <w:r w:rsidR="00C75EF2">
              <w:t>ion and direct rights of action</w:t>
            </w:r>
          </w:p>
        </w:tc>
      </w:tr>
    </w:tbl>
    <w:p w14:paraId="3D12B463" w14:textId="77777777" w:rsidR="00B134A9" w:rsidRDefault="00B134A9" w:rsidP="006805B5">
      <w:r>
        <w:lastRenderedPageBreak/>
        <w:t>The legislative framework will establish clear principles of liability to ensure that there is no uncertainty about the rights and liabilities of consumers, data holders or data recipients.</w:t>
      </w:r>
    </w:p>
    <w:p w14:paraId="4912E6F6" w14:textId="506FA786" w:rsidR="002A5218" w:rsidRDefault="002A5218" w:rsidP="006805B5">
      <w:r>
        <w:t xml:space="preserve">The CDR Bill will also create a minimum set of Privacy Safeguards for the </w:t>
      </w:r>
      <w:proofErr w:type="gramStart"/>
      <w:r>
        <w:t>CDR, that</w:t>
      </w:r>
      <w:proofErr w:type="gramEnd"/>
      <w:r>
        <w:t xml:space="preserve"> may be supplemented by additional protections in the Consumer Data Rules. The Privacy Safeguards deal with matters including: privacy policies and compliance arrangements; restrictions and transparency in relation to collection, use, holding and disclosure of information; and security of information.</w:t>
      </w:r>
    </w:p>
    <w:p w14:paraId="6D2CB283" w14:textId="77777777" w:rsidR="009D0E96" w:rsidRDefault="00B134A9" w:rsidP="006805B5">
      <w:r>
        <w:t xml:space="preserve">The Government has also provided significant resourcing in the 2018-19 Budget </w:t>
      </w:r>
      <w:r w:rsidR="001F5714">
        <w:t xml:space="preserve">and 2018-19 MYEFO </w:t>
      </w:r>
      <w:r>
        <w:t xml:space="preserve">for the ACCC, OAIC and Data Standards Body to ensure a high level of privacy and information security protections. The right will not provide bare ‘protections’ without the backing of real remedies and enforcement. </w:t>
      </w:r>
    </w:p>
    <w:p w14:paraId="3B3F82D5" w14:textId="77777777" w:rsidR="009D0E96" w:rsidRDefault="009D0E96" w:rsidP="009D0E96">
      <w:r w:rsidRPr="00BC4EBC">
        <w:t>The Government will provide approximately $90 million and 45 ASL to fund regulators over five years from 2018-19 to 2022-23.</w:t>
      </w:r>
    </w:p>
    <w:tbl>
      <w:tblPr>
        <w:tblW w:w="5004" w:type="pct"/>
        <w:tblLayout w:type="fixed"/>
        <w:tblLook w:val="0000" w:firstRow="0" w:lastRow="0" w:firstColumn="0" w:lastColumn="0" w:noHBand="0" w:noVBand="0"/>
      </w:tblPr>
      <w:tblGrid>
        <w:gridCol w:w="2922"/>
        <w:gridCol w:w="1223"/>
        <w:gridCol w:w="1223"/>
        <w:gridCol w:w="1223"/>
        <w:gridCol w:w="1223"/>
        <w:gridCol w:w="1219"/>
      </w:tblGrid>
      <w:tr w:rsidR="009D0E96" w:rsidRPr="00E84385" w14:paraId="6CA60C88" w14:textId="77777777" w:rsidTr="00B76A77">
        <w:tc>
          <w:tcPr>
            <w:tcW w:w="1617" w:type="pct"/>
            <w:tcBorders>
              <w:top w:val="single" w:sz="4" w:space="0" w:color="auto"/>
              <w:bottom w:val="single" w:sz="4" w:space="0" w:color="auto"/>
            </w:tcBorders>
            <w:shd w:val="clear" w:color="auto" w:fill="F2F2F2" w:themeFill="background1" w:themeFillShade="F2"/>
          </w:tcPr>
          <w:p w14:paraId="0E8AF674" w14:textId="77777777" w:rsidR="009D0E96" w:rsidRPr="00E84385" w:rsidRDefault="009D0E96" w:rsidP="00B76A77">
            <w:pPr>
              <w:pStyle w:val="MeasureTableYearHeadings"/>
              <w:keepNext/>
            </w:pPr>
          </w:p>
        </w:tc>
        <w:tc>
          <w:tcPr>
            <w:tcW w:w="677" w:type="pct"/>
            <w:tcBorders>
              <w:top w:val="single" w:sz="4" w:space="0" w:color="auto"/>
              <w:bottom w:val="single" w:sz="4" w:space="0" w:color="auto"/>
            </w:tcBorders>
            <w:shd w:val="clear" w:color="auto" w:fill="F2F2F2" w:themeFill="background1" w:themeFillShade="F2"/>
          </w:tcPr>
          <w:p w14:paraId="041D8827" w14:textId="77777777" w:rsidR="009D0E96" w:rsidRPr="00E84385" w:rsidRDefault="009D0E96" w:rsidP="00B76A77">
            <w:pPr>
              <w:pStyle w:val="MeasureTableYearHeadings"/>
              <w:keepNext/>
            </w:pPr>
            <w:r w:rsidRPr="00E84385">
              <w:t>2018</w:t>
            </w:r>
            <w:r w:rsidRPr="00E84385">
              <w:noBreakHyphen/>
              <w:t>19</w:t>
            </w:r>
          </w:p>
        </w:tc>
        <w:tc>
          <w:tcPr>
            <w:tcW w:w="677" w:type="pct"/>
            <w:tcBorders>
              <w:top w:val="single" w:sz="4" w:space="0" w:color="auto"/>
              <w:bottom w:val="single" w:sz="4" w:space="0" w:color="auto"/>
            </w:tcBorders>
            <w:shd w:val="clear" w:color="auto" w:fill="F2F2F2" w:themeFill="background1" w:themeFillShade="F2"/>
          </w:tcPr>
          <w:p w14:paraId="7BFCE2A2" w14:textId="77777777" w:rsidR="009D0E96" w:rsidRPr="00E84385" w:rsidRDefault="009D0E96" w:rsidP="00B76A77">
            <w:pPr>
              <w:pStyle w:val="MeasureTableYearHeadings"/>
              <w:keepNext/>
            </w:pPr>
            <w:r w:rsidRPr="00E84385">
              <w:t>2019</w:t>
            </w:r>
            <w:r w:rsidRPr="00E84385">
              <w:noBreakHyphen/>
              <w:t>20</w:t>
            </w:r>
          </w:p>
        </w:tc>
        <w:tc>
          <w:tcPr>
            <w:tcW w:w="677" w:type="pct"/>
            <w:tcBorders>
              <w:top w:val="single" w:sz="4" w:space="0" w:color="auto"/>
              <w:bottom w:val="single" w:sz="4" w:space="0" w:color="auto"/>
            </w:tcBorders>
            <w:shd w:val="clear" w:color="auto" w:fill="F2F2F2" w:themeFill="background1" w:themeFillShade="F2"/>
          </w:tcPr>
          <w:p w14:paraId="2F8F4FF9" w14:textId="77777777" w:rsidR="009D0E96" w:rsidRPr="00E84385" w:rsidRDefault="009D0E96" w:rsidP="00B76A77">
            <w:pPr>
              <w:pStyle w:val="MeasureTableYearHeadings"/>
              <w:keepNext/>
            </w:pPr>
            <w:r w:rsidRPr="00E84385">
              <w:t>2020</w:t>
            </w:r>
            <w:r w:rsidRPr="00E84385">
              <w:noBreakHyphen/>
              <w:t>21</w:t>
            </w:r>
          </w:p>
        </w:tc>
        <w:tc>
          <w:tcPr>
            <w:tcW w:w="677" w:type="pct"/>
            <w:tcBorders>
              <w:top w:val="single" w:sz="4" w:space="0" w:color="auto"/>
              <w:bottom w:val="single" w:sz="4" w:space="0" w:color="auto"/>
            </w:tcBorders>
            <w:shd w:val="clear" w:color="auto" w:fill="F2F2F2" w:themeFill="background1" w:themeFillShade="F2"/>
          </w:tcPr>
          <w:p w14:paraId="27FBC552" w14:textId="77777777" w:rsidR="009D0E96" w:rsidRPr="00E84385" w:rsidRDefault="009D0E96" w:rsidP="00B76A77">
            <w:pPr>
              <w:pStyle w:val="MeasureTableYearHeadings"/>
              <w:keepNext/>
            </w:pPr>
            <w:r w:rsidRPr="00E84385">
              <w:t>2021</w:t>
            </w:r>
            <w:r w:rsidRPr="00E84385">
              <w:noBreakHyphen/>
              <w:t>22</w:t>
            </w:r>
          </w:p>
        </w:tc>
        <w:tc>
          <w:tcPr>
            <w:tcW w:w="676" w:type="pct"/>
            <w:tcBorders>
              <w:top w:val="single" w:sz="4" w:space="0" w:color="auto"/>
              <w:bottom w:val="single" w:sz="4" w:space="0" w:color="auto"/>
            </w:tcBorders>
            <w:shd w:val="clear" w:color="auto" w:fill="F2F2F2" w:themeFill="background1" w:themeFillShade="F2"/>
          </w:tcPr>
          <w:p w14:paraId="00CDA7AB" w14:textId="77777777" w:rsidR="009D0E96" w:rsidRPr="00E84385" w:rsidRDefault="009D0E96" w:rsidP="00B76A77">
            <w:pPr>
              <w:pStyle w:val="MeasureTableYearHeadings"/>
              <w:keepNext/>
            </w:pPr>
            <w:r w:rsidRPr="00E84385">
              <w:t>20</w:t>
            </w:r>
            <w:r>
              <w:t>22</w:t>
            </w:r>
            <w:r w:rsidRPr="00E84385">
              <w:noBreakHyphen/>
            </w:r>
            <w:r>
              <w:t>23</w:t>
            </w:r>
          </w:p>
        </w:tc>
      </w:tr>
      <w:tr w:rsidR="009D0E96" w:rsidRPr="00E84385" w14:paraId="61872A3E" w14:textId="77777777" w:rsidTr="00B76A77">
        <w:tc>
          <w:tcPr>
            <w:tcW w:w="1617" w:type="pct"/>
            <w:tcBorders>
              <w:top w:val="single" w:sz="4" w:space="0" w:color="auto"/>
              <w:bottom w:val="single" w:sz="4" w:space="0" w:color="auto"/>
            </w:tcBorders>
            <w:shd w:val="clear" w:color="auto" w:fill="auto"/>
          </w:tcPr>
          <w:p w14:paraId="393BAD34" w14:textId="77777777" w:rsidR="009D0E96" w:rsidRPr="00E84385" w:rsidRDefault="009D0E96" w:rsidP="00B76A77">
            <w:pPr>
              <w:pStyle w:val="MeasureTableHeadingleftalignedwith2ptsspacing"/>
              <w:keepNext/>
            </w:pPr>
            <w:r w:rsidRPr="00E84385">
              <w:t xml:space="preserve">Australian Competition and Consumer Commission </w:t>
            </w:r>
          </w:p>
        </w:tc>
        <w:tc>
          <w:tcPr>
            <w:tcW w:w="677" w:type="pct"/>
            <w:tcBorders>
              <w:top w:val="single" w:sz="4" w:space="0" w:color="auto"/>
              <w:bottom w:val="single" w:sz="4" w:space="0" w:color="auto"/>
            </w:tcBorders>
            <w:vAlign w:val="center"/>
          </w:tcPr>
          <w:p w14:paraId="41706335" w14:textId="77777777" w:rsidR="009D0E96" w:rsidRPr="00E84385" w:rsidRDefault="009D0E96" w:rsidP="00B76A77">
            <w:pPr>
              <w:pStyle w:val="MeasureTableDataRightAlignedwith2ptsspacing"/>
              <w:keepNext/>
            </w:pPr>
            <w:r>
              <w:rPr>
                <w:rFonts w:cs="Arial"/>
                <w:szCs w:val="16"/>
              </w:rPr>
              <w:t>6.8</w:t>
            </w:r>
          </w:p>
        </w:tc>
        <w:tc>
          <w:tcPr>
            <w:tcW w:w="677" w:type="pct"/>
            <w:tcBorders>
              <w:top w:val="single" w:sz="4" w:space="0" w:color="auto"/>
              <w:bottom w:val="single" w:sz="4" w:space="0" w:color="auto"/>
            </w:tcBorders>
            <w:vAlign w:val="center"/>
          </w:tcPr>
          <w:p w14:paraId="0F9AAE64" w14:textId="77777777" w:rsidR="009D0E96" w:rsidRPr="00E84385" w:rsidRDefault="009D0E96" w:rsidP="00B76A77">
            <w:pPr>
              <w:pStyle w:val="MeasureTableDataRightAlignedwith2ptsspacing"/>
              <w:keepNext/>
            </w:pPr>
            <w:r>
              <w:rPr>
                <w:rFonts w:cs="Arial"/>
                <w:szCs w:val="16"/>
              </w:rPr>
              <w:t>11.2</w:t>
            </w:r>
          </w:p>
        </w:tc>
        <w:tc>
          <w:tcPr>
            <w:tcW w:w="677" w:type="pct"/>
            <w:tcBorders>
              <w:top w:val="single" w:sz="4" w:space="0" w:color="auto"/>
              <w:bottom w:val="single" w:sz="4" w:space="0" w:color="auto"/>
            </w:tcBorders>
            <w:vAlign w:val="center"/>
          </w:tcPr>
          <w:p w14:paraId="3C20E667" w14:textId="77777777" w:rsidR="009D0E96" w:rsidRPr="00E84385" w:rsidRDefault="009D0E96" w:rsidP="00B76A77">
            <w:pPr>
              <w:pStyle w:val="MeasureTableDataRightAlignedwith2ptsspacing"/>
              <w:keepNext/>
            </w:pPr>
            <w:r>
              <w:rPr>
                <w:rFonts w:cs="Arial"/>
                <w:szCs w:val="16"/>
              </w:rPr>
              <w:t>10.3</w:t>
            </w:r>
          </w:p>
        </w:tc>
        <w:tc>
          <w:tcPr>
            <w:tcW w:w="677" w:type="pct"/>
            <w:tcBorders>
              <w:top w:val="single" w:sz="4" w:space="0" w:color="auto"/>
              <w:bottom w:val="single" w:sz="4" w:space="0" w:color="auto"/>
            </w:tcBorders>
            <w:vAlign w:val="center"/>
          </w:tcPr>
          <w:p w14:paraId="5533E079" w14:textId="77777777" w:rsidR="009D0E96" w:rsidRPr="00E84385" w:rsidRDefault="009D0E96" w:rsidP="00B76A77">
            <w:pPr>
              <w:pStyle w:val="MeasureTableDataRightAlignedwith2ptsspacing"/>
              <w:keepNext/>
            </w:pPr>
            <w:r>
              <w:rPr>
                <w:rFonts w:cs="Arial"/>
                <w:szCs w:val="16"/>
              </w:rPr>
              <w:t>9.6</w:t>
            </w:r>
          </w:p>
        </w:tc>
        <w:tc>
          <w:tcPr>
            <w:tcW w:w="676" w:type="pct"/>
            <w:tcBorders>
              <w:top w:val="single" w:sz="4" w:space="0" w:color="auto"/>
              <w:bottom w:val="single" w:sz="4" w:space="0" w:color="auto"/>
            </w:tcBorders>
            <w:shd w:val="clear" w:color="auto" w:fill="auto"/>
            <w:vAlign w:val="center"/>
          </w:tcPr>
          <w:p w14:paraId="423760BE" w14:textId="77777777" w:rsidR="009D0E96" w:rsidRPr="00E84385" w:rsidRDefault="009D0E96" w:rsidP="00B76A77">
            <w:pPr>
              <w:pStyle w:val="MeasureTableDataRightAlignedwith2ptsspacing"/>
              <w:keepNext/>
            </w:pPr>
            <w:r>
              <w:rPr>
                <w:rFonts w:cs="Arial"/>
                <w:szCs w:val="16"/>
              </w:rPr>
              <w:t>9.2</w:t>
            </w:r>
          </w:p>
        </w:tc>
      </w:tr>
      <w:tr w:rsidR="009D0E96" w:rsidRPr="00E84385" w14:paraId="317B2E95" w14:textId="77777777" w:rsidTr="00B76A77">
        <w:tc>
          <w:tcPr>
            <w:tcW w:w="1617" w:type="pct"/>
            <w:tcBorders>
              <w:top w:val="single" w:sz="4" w:space="0" w:color="auto"/>
              <w:bottom w:val="single" w:sz="4" w:space="0" w:color="auto"/>
            </w:tcBorders>
            <w:shd w:val="clear" w:color="auto" w:fill="auto"/>
          </w:tcPr>
          <w:p w14:paraId="196C88D5" w14:textId="77777777" w:rsidR="009D0E96" w:rsidRPr="00E84385" w:rsidRDefault="009D0E96" w:rsidP="00B76A77">
            <w:pPr>
              <w:pStyle w:val="MeasureTableHeadingleftalignedwith2ptsspacing"/>
              <w:keepNext/>
            </w:pPr>
            <w:r w:rsidRPr="00E84385">
              <w:t xml:space="preserve">Commonwealth Scientific and Industrial Research Organisation </w:t>
            </w:r>
          </w:p>
        </w:tc>
        <w:tc>
          <w:tcPr>
            <w:tcW w:w="677" w:type="pct"/>
            <w:tcBorders>
              <w:top w:val="single" w:sz="4" w:space="0" w:color="auto"/>
              <w:bottom w:val="single" w:sz="4" w:space="0" w:color="auto"/>
            </w:tcBorders>
            <w:vAlign w:val="center"/>
          </w:tcPr>
          <w:p w14:paraId="73CA13F7" w14:textId="77777777" w:rsidR="009D0E96" w:rsidRPr="00E84385" w:rsidRDefault="009D0E96" w:rsidP="00B76A77">
            <w:pPr>
              <w:pStyle w:val="MeasureTableDataRightAlignedwith2ptsspacing"/>
              <w:keepNext/>
            </w:pPr>
            <w:r>
              <w:rPr>
                <w:rFonts w:cs="Arial"/>
                <w:szCs w:val="16"/>
              </w:rPr>
              <w:t>4.6</w:t>
            </w:r>
          </w:p>
        </w:tc>
        <w:tc>
          <w:tcPr>
            <w:tcW w:w="677" w:type="pct"/>
            <w:tcBorders>
              <w:top w:val="single" w:sz="4" w:space="0" w:color="auto"/>
              <w:bottom w:val="single" w:sz="4" w:space="0" w:color="auto"/>
            </w:tcBorders>
            <w:vAlign w:val="center"/>
          </w:tcPr>
          <w:p w14:paraId="2A6CDA9A" w14:textId="77777777" w:rsidR="009D0E96" w:rsidRPr="00E84385" w:rsidRDefault="009D0E96" w:rsidP="00B76A77">
            <w:pPr>
              <w:pStyle w:val="MeasureTableDataRightAlignedwith2ptsspacing"/>
              <w:keepNext/>
            </w:pPr>
            <w:r>
              <w:rPr>
                <w:rFonts w:cs="Arial"/>
                <w:szCs w:val="16"/>
              </w:rPr>
              <w:t>3.8</w:t>
            </w:r>
          </w:p>
        </w:tc>
        <w:tc>
          <w:tcPr>
            <w:tcW w:w="677" w:type="pct"/>
            <w:tcBorders>
              <w:top w:val="single" w:sz="4" w:space="0" w:color="auto"/>
              <w:bottom w:val="single" w:sz="4" w:space="0" w:color="auto"/>
            </w:tcBorders>
            <w:vAlign w:val="center"/>
          </w:tcPr>
          <w:p w14:paraId="2D0B00C4" w14:textId="77777777" w:rsidR="009D0E96" w:rsidRPr="00E84385" w:rsidRDefault="009D0E96" w:rsidP="00B76A77">
            <w:pPr>
              <w:pStyle w:val="MeasureTableDataRightAlignedwith2ptsspacing"/>
              <w:keepNext/>
            </w:pPr>
            <w:r>
              <w:rPr>
                <w:rFonts w:cs="Arial"/>
                <w:szCs w:val="16"/>
              </w:rPr>
              <w:t>2.5</w:t>
            </w:r>
          </w:p>
        </w:tc>
        <w:tc>
          <w:tcPr>
            <w:tcW w:w="677" w:type="pct"/>
            <w:tcBorders>
              <w:top w:val="single" w:sz="4" w:space="0" w:color="auto"/>
              <w:bottom w:val="single" w:sz="4" w:space="0" w:color="auto"/>
            </w:tcBorders>
            <w:vAlign w:val="center"/>
          </w:tcPr>
          <w:p w14:paraId="1A29293C" w14:textId="77777777" w:rsidR="009D0E96" w:rsidRPr="00E84385" w:rsidRDefault="009D0E96" w:rsidP="00B76A77">
            <w:pPr>
              <w:pStyle w:val="MeasureTableDataRightAlignedwith2ptsspacing"/>
              <w:keepNext/>
            </w:pPr>
            <w:r>
              <w:rPr>
                <w:rFonts w:cs="Arial"/>
                <w:szCs w:val="16"/>
              </w:rPr>
              <w:t>2.5</w:t>
            </w:r>
          </w:p>
        </w:tc>
        <w:tc>
          <w:tcPr>
            <w:tcW w:w="676" w:type="pct"/>
            <w:tcBorders>
              <w:top w:val="single" w:sz="4" w:space="0" w:color="auto"/>
              <w:bottom w:val="single" w:sz="4" w:space="0" w:color="auto"/>
            </w:tcBorders>
            <w:shd w:val="clear" w:color="auto" w:fill="auto"/>
            <w:vAlign w:val="center"/>
          </w:tcPr>
          <w:p w14:paraId="381FA7F5" w14:textId="77777777" w:rsidR="009D0E96" w:rsidRPr="00E84385" w:rsidRDefault="009D0E96" w:rsidP="00B76A77">
            <w:pPr>
              <w:pStyle w:val="MeasureTableDataRightAlignedwith2ptsspacing"/>
              <w:keepNext/>
            </w:pPr>
            <w:r>
              <w:rPr>
                <w:rFonts w:cs="Arial"/>
                <w:szCs w:val="16"/>
              </w:rPr>
              <w:t>2.5</w:t>
            </w:r>
          </w:p>
        </w:tc>
      </w:tr>
      <w:tr w:rsidR="009D0E96" w:rsidRPr="00E84385" w14:paraId="0EAD2EBD" w14:textId="77777777" w:rsidTr="00B76A77">
        <w:tc>
          <w:tcPr>
            <w:tcW w:w="1617" w:type="pct"/>
            <w:tcBorders>
              <w:top w:val="single" w:sz="4" w:space="0" w:color="auto"/>
              <w:bottom w:val="single" w:sz="4" w:space="0" w:color="auto"/>
            </w:tcBorders>
            <w:shd w:val="clear" w:color="auto" w:fill="auto"/>
          </w:tcPr>
          <w:p w14:paraId="5DB6D608" w14:textId="77777777" w:rsidR="009D0E96" w:rsidRPr="00E84385" w:rsidRDefault="009D0E96" w:rsidP="00B76A77">
            <w:pPr>
              <w:pStyle w:val="MeasureTableHeadingleftalignedwith2ptsspacing"/>
              <w:keepNext/>
            </w:pPr>
            <w:r w:rsidRPr="00E84385">
              <w:t xml:space="preserve">Office of the Australian Information Commissioner </w:t>
            </w:r>
          </w:p>
        </w:tc>
        <w:tc>
          <w:tcPr>
            <w:tcW w:w="677" w:type="pct"/>
            <w:tcBorders>
              <w:top w:val="single" w:sz="4" w:space="0" w:color="auto"/>
              <w:bottom w:val="single" w:sz="4" w:space="0" w:color="auto"/>
            </w:tcBorders>
            <w:vAlign w:val="center"/>
          </w:tcPr>
          <w:p w14:paraId="4A3DCAD2" w14:textId="77777777" w:rsidR="009D0E96" w:rsidRPr="00E84385" w:rsidRDefault="009D0E96" w:rsidP="00B76A77">
            <w:pPr>
              <w:pStyle w:val="MeasureTableDataRightAlignedwith2ptsspacing"/>
              <w:keepNext/>
            </w:pPr>
            <w:r>
              <w:rPr>
                <w:rFonts w:cs="Arial"/>
                <w:szCs w:val="16"/>
              </w:rPr>
              <w:t>2.8</w:t>
            </w:r>
          </w:p>
        </w:tc>
        <w:tc>
          <w:tcPr>
            <w:tcW w:w="677" w:type="pct"/>
            <w:tcBorders>
              <w:top w:val="single" w:sz="4" w:space="0" w:color="auto"/>
              <w:bottom w:val="single" w:sz="4" w:space="0" w:color="auto"/>
            </w:tcBorders>
            <w:vAlign w:val="center"/>
          </w:tcPr>
          <w:p w14:paraId="3F9AB2EE" w14:textId="77777777" w:rsidR="009D0E96" w:rsidRPr="00E84385" w:rsidRDefault="009D0E96" w:rsidP="00B76A77">
            <w:pPr>
              <w:pStyle w:val="MeasureTableDataRightAlignedwith2ptsspacing"/>
              <w:keepNext/>
            </w:pPr>
            <w:r>
              <w:rPr>
                <w:rFonts w:cs="Arial"/>
                <w:szCs w:val="16"/>
              </w:rPr>
              <w:t>3.2</w:t>
            </w:r>
          </w:p>
        </w:tc>
        <w:tc>
          <w:tcPr>
            <w:tcW w:w="677" w:type="pct"/>
            <w:tcBorders>
              <w:top w:val="single" w:sz="4" w:space="0" w:color="auto"/>
              <w:bottom w:val="single" w:sz="4" w:space="0" w:color="auto"/>
            </w:tcBorders>
            <w:vAlign w:val="center"/>
          </w:tcPr>
          <w:p w14:paraId="2CCF29BB" w14:textId="77777777" w:rsidR="009D0E96" w:rsidRPr="00E84385" w:rsidRDefault="009D0E96" w:rsidP="00B76A77">
            <w:pPr>
              <w:pStyle w:val="MeasureTableDataRightAlignedwith2ptsspacing"/>
              <w:keepNext/>
            </w:pPr>
            <w:r>
              <w:rPr>
                <w:rFonts w:cs="Arial"/>
                <w:szCs w:val="16"/>
              </w:rPr>
              <w:t>3</w:t>
            </w:r>
          </w:p>
        </w:tc>
        <w:tc>
          <w:tcPr>
            <w:tcW w:w="677" w:type="pct"/>
            <w:tcBorders>
              <w:top w:val="single" w:sz="4" w:space="0" w:color="auto"/>
              <w:bottom w:val="single" w:sz="4" w:space="0" w:color="auto"/>
            </w:tcBorders>
            <w:vAlign w:val="center"/>
          </w:tcPr>
          <w:p w14:paraId="2280B989" w14:textId="77777777" w:rsidR="009D0E96" w:rsidRPr="00E84385" w:rsidRDefault="009D0E96" w:rsidP="00B76A77">
            <w:pPr>
              <w:pStyle w:val="MeasureTableDataRightAlignedwith2ptsspacing"/>
              <w:keepNext/>
            </w:pPr>
            <w:r>
              <w:rPr>
                <w:rFonts w:cs="Arial"/>
                <w:szCs w:val="16"/>
              </w:rPr>
              <w:t>3.1</w:t>
            </w:r>
          </w:p>
        </w:tc>
        <w:tc>
          <w:tcPr>
            <w:tcW w:w="676" w:type="pct"/>
            <w:tcBorders>
              <w:top w:val="single" w:sz="4" w:space="0" w:color="auto"/>
              <w:bottom w:val="single" w:sz="4" w:space="0" w:color="auto"/>
            </w:tcBorders>
            <w:shd w:val="clear" w:color="auto" w:fill="auto"/>
            <w:vAlign w:val="center"/>
          </w:tcPr>
          <w:p w14:paraId="3F5A8500" w14:textId="77777777" w:rsidR="009D0E96" w:rsidRPr="00E84385" w:rsidRDefault="009D0E96" w:rsidP="00B76A77">
            <w:pPr>
              <w:pStyle w:val="MeasureTableDataRightAlignedwith2ptsspacing"/>
              <w:keepNext/>
            </w:pPr>
            <w:r>
              <w:rPr>
                <w:rFonts w:cs="Arial"/>
                <w:szCs w:val="16"/>
              </w:rPr>
              <w:t>3.1</w:t>
            </w:r>
          </w:p>
        </w:tc>
      </w:tr>
      <w:tr w:rsidR="009D0E96" w:rsidRPr="00E84385" w14:paraId="065293F0" w14:textId="77777777" w:rsidTr="00B76A77">
        <w:tc>
          <w:tcPr>
            <w:tcW w:w="1617" w:type="pct"/>
            <w:tcBorders>
              <w:top w:val="single" w:sz="4" w:space="0" w:color="auto"/>
              <w:bottom w:val="single" w:sz="4" w:space="0" w:color="auto"/>
            </w:tcBorders>
            <w:shd w:val="clear" w:color="auto" w:fill="auto"/>
          </w:tcPr>
          <w:p w14:paraId="24E6C50E" w14:textId="77777777" w:rsidR="009D0E96" w:rsidRPr="004121A1" w:rsidRDefault="009D0E96" w:rsidP="00B76A77">
            <w:pPr>
              <w:pStyle w:val="Totalrowleftaligned"/>
              <w:keepNext/>
              <w:rPr>
                <w:b/>
              </w:rPr>
            </w:pPr>
            <w:r w:rsidRPr="004121A1">
              <w:rPr>
                <w:b/>
              </w:rPr>
              <w:t>Total — Expense</w:t>
            </w:r>
          </w:p>
        </w:tc>
        <w:tc>
          <w:tcPr>
            <w:tcW w:w="677" w:type="pct"/>
            <w:tcBorders>
              <w:top w:val="single" w:sz="4" w:space="0" w:color="auto"/>
              <w:bottom w:val="single" w:sz="4" w:space="0" w:color="auto"/>
            </w:tcBorders>
            <w:vAlign w:val="center"/>
          </w:tcPr>
          <w:p w14:paraId="44226CFF" w14:textId="77777777" w:rsidR="009D0E96" w:rsidRPr="004121A1" w:rsidRDefault="009D0E96" w:rsidP="00B76A77">
            <w:pPr>
              <w:pStyle w:val="Totaldatarowrightaligned"/>
              <w:keepNext/>
              <w:rPr>
                <w:b/>
              </w:rPr>
            </w:pPr>
            <w:r>
              <w:rPr>
                <w:rFonts w:cs="Arial"/>
                <w:b/>
                <w:bCs/>
                <w:szCs w:val="16"/>
              </w:rPr>
              <w:t>14.2</w:t>
            </w:r>
          </w:p>
        </w:tc>
        <w:tc>
          <w:tcPr>
            <w:tcW w:w="677" w:type="pct"/>
            <w:tcBorders>
              <w:top w:val="single" w:sz="4" w:space="0" w:color="auto"/>
              <w:bottom w:val="single" w:sz="4" w:space="0" w:color="auto"/>
            </w:tcBorders>
            <w:vAlign w:val="center"/>
          </w:tcPr>
          <w:p w14:paraId="77BC5457" w14:textId="77777777" w:rsidR="009D0E96" w:rsidRPr="004121A1" w:rsidRDefault="009D0E96" w:rsidP="00B76A77">
            <w:pPr>
              <w:pStyle w:val="Totaldatarowrightaligned"/>
              <w:keepNext/>
              <w:rPr>
                <w:b/>
              </w:rPr>
            </w:pPr>
            <w:r>
              <w:rPr>
                <w:rFonts w:cs="Arial"/>
                <w:b/>
                <w:bCs/>
                <w:szCs w:val="16"/>
              </w:rPr>
              <w:t>18.2</w:t>
            </w:r>
          </w:p>
        </w:tc>
        <w:tc>
          <w:tcPr>
            <w:tcW w:w="677" w:type="pct"/>
            <w:tcBorders>
              <w:top w:val="single" w:sz="4" w:space="0" w:color="auto"/>
              <w:bottom w:val="single" w:sz="4" w:space="0" w:color="auto"/>
            </w:tcBorders>
            <w:vAlign w:val="center"/>
          </w:tcPr>
          <w:p w14:paraId="0EFC886B" w14:textId="77777777" w:rsidR="009D0E96" w:rsidRPr="004121A1" w:rsidRDefault="009D0E96" w:rsidP="00B76A77">
            <w:pPr>
              <w:pStyle w:val="Totaldatarowrightaligned"/>
              <w:keepNext/>
              <w:rPr>
                <w:b/>
              </w:rPr>
            </w:pPr>
            <w:r>
              <w:rPr>
                <w:rFonts w:cs="Arial"/>
                <w:b/>
                <w:bCs/>
                <w:szCs w:val="16"/>
              </w:rPr>
              <w:t>15.8</w:t>
            </w:r>
          </w:p>
        </w:tc>
        <w:tc>
          <w:tcPr>
            <w:tcW w:w="677" w:type="pct"/>
            <w:tcBorders>
              <w:top w:val="single" w:sz="4" w:space="0" w:color="auto"/>
              <w:bottom w:val="single" w:sz="4" w:space="0" w:color="auto"/>
            </w:tcBorders>
            <w:vAlign w:val="center"/>
          </w:tcPr>
          <w:p w14:paraId="090A1943" w14:textId="77777777" w:rsidR="009D0E96" w:rsidRPr="004121A1" w:rsidRDefault="009D0E96" w:rsidP="00B76A77">
            <w:pPr>
              <w:pStyle w:val="Totaldatarowrightaligned"/>
              <w:keepNext/>
              <w:rPr>
                <w:b/>
              </w:rPr>
            </w:pPr>
            <w:r>
              <w:rPr>
                <w:rFonts w:cs="Arial"/>
                <w:b/>
                <w:bCs/>
                <w:szCs w:val="16"/>
              </w:rPr>
              <w:t>15.2</w:t>
            </w:r>
          </w:p>
        </w:tc>
        <w:tc>
          <w:tcPr>
            <w:tcW w:w="676" w:type="pct"/>
            <w:tcBorders>
              <w:top w:val="single" w:sz="4" w:space="0" w:color="auto"/>
              <w:bottom w:val="single" w:sz="4" w:space="0" w:color="auto"/>
            </w:tcBorders>
            <w:shd w:val="clear" w:color="auto" w:fill="auto"/>
            <w:vAlign w:val="center"/>
          </w:tcPr>
          <w:p w14:paraId="6377CF24" w14:textId="77777777" w:rsidR="009D0E96" w:rsidRPr="004121A1" w:rsidRDefault="009D0E96" w:rsidP="00B76A77">
            <w:pPr>
              <w:pStyle w:val="Totaldatarowrightaligned"/>
              <w:keepNext/>
              <w:rPr>
                <w:b/>
              </w:rPr>
            </w:pPr>
            <w:r>
              <w:rPr>
                <w:rFonts w:cs="Arial"/>
                <w:b/>
                <w:bCs/>
                <w:szCs w:val="16"/>
              </w:rPr>
              <w:t>14.8</w:t>
            </w:r>
          </w:p>
        </w:tc>
      </w:tr>
      <w:tr w:rsidR="009D0E96" w:rsidRPr="00E84385" w14:paraId="0627B5C7" w14:textId="77777777" w:rsidTr="00B76A77">
        <w:tc>
          <w:tcPr>
            <w:tcW w:w="1617" w:type="pct"/>
            <w:tcBorders>
              <w:top w:val="single" w:sz="4" w:space="0" w:color="auto"/>
            </w:tcBorders>
            <w:shd w:val="clear" w:color="auto" w:fill="auto"/>
          </w:tcPr>
          <w:p w14:paraId="29021B55" w14:textId="77777777" w:rsidR="009D0E96" w:rsidRPr="00E84385" w:rsidRDefault="009D0E96" w:rsidP="00B76A77">
            <w:pPr>
              <w:pStyle w:val="AgencyName"/>
              <w:keepNext/>
            </w:pPr>
            <w:r w:rsidRPr="00E84385">
              <w:t>Related capital ($m)</w:t>
            </w:r>
          </w:p>
        </w:tc>
        <w:tc>
          <w:tcPr>
            <w:tcW w:w="677" w:type="pct"/>
            <w:tcBorders>
              <w:top w:val="single" w:sz="4" w:space="0" w:color="auto"/>
            </w:tcBorders>
            <w:vAlign w:val="center"/>
          </w:tcPr>
          <w:p w14:paraId="50DF47BF" w14:textId="77777777" w:rsidR="009D0E96" w:rsidRPr="00E84385" w:rsidRDefault="009D0E96" w:rsidP="00B76A77">
            <w:pPr>
              <w:pStyle w:val="AgencyName"/>
              <w:keepNext/>
            </w:pPr>
          </w:p>
        </w:tc>
        <w:tc>
          <w:tcPr>
            <w:tcW w:w="677" w:type="pct"/>
            <w:tcBorders>
              <w:top w:val="single" w:sz="4" w:space="0" w:color="auto"/>
            </w:tcBorders>
            <w:vAlign w:val="center"/>
          </w:tcPr>
          <w:p w14:paraId="20D04940" w14:textId="77777777" w:rsidR="009D0E96" w:rsidRPr="00E84385" w:rsidRDefault="009D0E96" w:rsidP="00B76A77">
            <w:pPr>
              <w:pStyle w:val="AgencyName"/>
              <w:keepNext/>
            </w:pPr>
          </w:p>
        </w:tc>
        <w:tc>
          <w:tcPr>
            <w:tcW w:w="677" w:type="pct"/>
            <w:tcBorders>
              <w:top w:val="single" w:sz="4" w:space="0" w:color="auto"/>
            </w:tcBorders>
            <w:vAlign w:val="center"/>
          </w:tcPr>
          <w:p w14:paraId="7196CE13" w14:textId="77777777" w:rsidR="009D0E96" w:rsidRPr="00E84385" w:rsidRDefault="009D0E96" w:rsidP="00B76A77">
            <w:pPr>
              <w:pStyle w:val="AgencyName"/>
              <w:keepNext/>
            </w:pPr>
          </w:p>
        </w:tc>
        <w:tc>
          <w:tcPr>
            <w:tcW w:w="677" w:type="pct"/>
            <w:tcBorders>
              <w:top w:val="single" w:sz="4" w:space="0" w:color="auto"/>
            </w:tcBorders>
            <w:vAlign w:val="center"/>
          </w:tcPr>
          <w:p w14:paraId="416CA716" w14:textId="77777777" w:rsidR="009D0E96" w:rsidRPr="00E84385" w:rsidRDefault="009D0E96" w:rsidP="00B76A77">
            <w:pPr>
              <w:pStyle w:val="AgencyName"/>
              <w:keepNext/>
            </w:pPr>
          </w:p>
        </w:tc>
        <w:tc>
          <w:tcPr>
            <w:tcW w:w="676" w:type="pct"/>
            <w:tcBorders>
              <w:top w:val="single" w:sz="4" w:space="0" w:color="auto"/>
            </w:tcBorders>
            <w:shd w:val="clear" w:color="auto" w:fill="auto"/>
            <w:vAlign w:val="center"/>
          </w:tcPr>
          <w:p w14:paraId="0052DE53" w14:textId="77777777" w:rsidR="009D0E96" w:rsidRPr="00E84385" w:rsidRDefault="009D0E96" w:rsidP="00B76A77">
            <w:pPr>
              <w:pStyle w:val="AgencyName"/>
              <w:keepNext/>
            </w:pPr>
          </w:p>
        </w:tc>
      </w:tr>
      <w:tr w:rsidR="009D0E96" w:rsidRPr="00E84385" w14:paraId="2AB7C5B5" w14:textId="77777777" w:rsidTr="00B76A77">
        <w:tc>
          <w:tcPr>
            <w:tcW w:w="1617" w:type="pct"/>
            <w:tcBorders>
              <w:bottom w:val="single" w:sz="4" w:space="0" w:color="auto"/>
            </w:tcBorders>
            <w:shd w:val="clear" w:color="auto" w:fill="auto"/>
          </w:tcPr>
          <w:p w14:paraId="3C75396F" w14:textId="77777777" w:rsidR="009D0E96" w:rsidRPr="00E84385" w:rsidRDefault="009D0E96" w:rsidP="00B76A77">
            <w:pPr>
              <w:pStyle w:val="AgencyNamewith2ptsspacing"/>
              <w:keepNext/>
            </w:pPr>
            <w:r w:rsidRPr="00E84385">
              <w:t xml:space="preserve">Office of the Australian Information Commissioner </w:t>
            </w:r>
          </w:p>
        </w:tc>
        <w:tc>
          <w:tcPr>
            <w:tcW w:w="677" w:type="pct"/>
            <w:tcBorders>
              <w:bottom w:val="single" w:sz="4" w:space="0" w:color="auto"/>
            </w:tcBorders>
            <w:vAlign w:val="center"/>
          </w:tcPr>
          <w:p w14:paraId="78292AA1" w14:textId="77777777" w:rsidR="009D0E96" w:rsidRPr="00E84385" w:rsidRDefault="009D0E96" w:rsidP="00B76A77">
            <w:pPr>
              <w:pStyle w:val="Measuretabledatarightaligneditalics"/>
              <w:keepNext/>
            </w:pPr>
            <w:r>
              <w:rPr>
                <w:rFonts w:cs="Arial"/>
                <w:i w:val="0"/>
                <w:iCs/>
                <w:szCs w:val="16"/>
              </w:rPr>
              <w:t>0.9</w:t>
            </w:r>
          </w:p>
        </w:tc>
        <w:tc>
          <w:tcPr>
            <w:tcW w:w="677" w:type="pct"/>
            <w:tcBorders>
              <w:bottom w:val="single" w:sz="4" w:space="0" w:color="auto"/>
            </w:tcBorders>
            <w:vAlign w:val="center"/>
          </w:tcPr>
          <w:p w14:paraId="5E554B3D" w14:textId="77777777" w:rsidR="009D0E96" w:rsidRPr="00E84385" w:rsidRDefault="009D0E96" w:rsidP="00B76A77">
            <w:pPr>
              <w:pStyle w:val="Measuretabledatarightaligneditalics"/>
              <w:keepNext/>
            </w:pPr>
            <w:r>
              <w:rPr>
                <w:rFonts w:cs="Arial"/>
                <w:i w:val="0"/>
                <w:iCs/>
                <w:szCs w:val="16"/>
              </w:rPr>
              <w:noBreakHyphen/>
            </w:r>
          </w:p>
        </w:tc>
        <w:tc>
          <w:tcPr>
            <w:tcW w:w="677" w:type="pct"/>
            <w:tcBorders>
              <w:bottom w:val="single" w:sz="4" w:space="0" w:color="auto"/>
            </w:tcBorders>
            <w:vAlign w:val="center"/>
          </w:tcPr>
          <w:p w14:paraId="09343A75" w14:textId="77777777" w:rsidR="009D0E96" w:rsidRPr="00E84385" w:rsidRDefault="009D0E96" w:rsidP="00B76A77">
            <w:pPr>
              <w:pStyle w:val="Measuretabledatarightaligneditalics"/>
              <w:keepNext/>
            </w:pPr>
            <w:r>
              <w:rPr>
                <w:rFonts w:cs="Arial"/>
                <w:i w:val="0"/>
                <w:iCs/>
                <w:szCs w:val="16"/>
              </w:rPr>
              <w:noBreakHyphen/>
            </w:r>
          </w:p>
        </w:tc>
        <w:tc>
          <w:tcPr>
            <w:tcW w:w="677" w:type="pct"/>
            <w:tcBorders>
              <w:bottom w:val="single" w:sz="4" w:space="0" w:color="auto"/>
            </w:tcBorders>
            <w:vAlign w:val="center"/>
          </w:tcPr>
          <w:p w14:paraId="33B33F12" w14:textId="77777777" w:rsidR="009D0E96" w:rsidRPr="00E84385" w:rsidRDefault="009D0E96" w:rsidP="00B76A77">
            <w:pPr>
              <w:pStyle w:val="Measuretabledatarightaligneditalics"/>
              <w:keepNext/>
            </w:pPr>
            <w:r>
              <w:rPr>
                <w:rFonts w:cs="Arial"/>
                <w:i w:val="0"/>
                <w:iCs/>
                <w:szCs w:val="16"/>
              </w:rPr>
              <w:noBreakHyphen/>
            </w:r>
          </w:p>
        </w:tc>
        <w:tc>
          <w:tcPr>
            <w:tcW w:w="676" w:type="pct"/>
            <w:tcBorders>
              <w:bottom w:val="single" w:sz="4" w:space="0" w:color="auto"/>
            </w:tcBorders>
            <w:shd w:val="clear" w:color="auto" w:fill="auto"/>
            <w:vAlign w:val="center"/>
          </w:tcPr>
          <w:p w14:paraId="7E876196" w14:textId="77777777" w:rsidR="009D0E96" w:rsidRPr="00E84385" w:rsidRDefault="009D0E96" w:rsidP="00B76A77">
            <w:pPr>
              <w:pStyle w:val="Measuretabledatarightaligneditalics"/>
              <w:keepNext/>
            </w:pPr>
            <w:r>
              <w:rPr>
                <w:rFonts w:cs="Arial"/>
                <w:i w:val="0"/>
                <w:iCs/>
                <w:szCs w:val="16"/>
              </w:rPr>
              <w:noBreakHyphen/>
            </w:r>
          </w:p>
        </w:tc>
      </w:tr>
      <w:tr w:rsidR="009D0E96" w:rsidRPr="00E84385" w14:paraId="3C257DA1" w14:textId="77777777" w:rsidTr="00B76A77">
        <w:tc>
          <w:tcPr>
            <w:tcW w:w="1617" w:type="pct"/>
            <w:tcBorders>
              <w:top w:val="single" w:sz="4" w:space="0" w:color="auto"/>
              <w:bottom w:val="single" w:sz="4" w:space="0" w:color="auto"/>
            </w:tcBorders>
            <w:shd w:val="clear" w:color="auto" w:fill="auto"/>
          </w:tcPr>
          <w:p w14:paraId="67288126" w14:textId="77777777" w:rsidR="009D0E96" w:rsidRPr="00E84385" w:rsidRDefault="009D0E96" w:rsidP="00B76A77">
            <w:pPr>
              <w:pStyle w:val="AgencyNamewith2ptsspacing"/>
              <w:keepNext/>
            </w:pPr>
            <w:r w:rsidRPr="00E84385">
              <w:t xml:space="preserve">Australian Competition and Consumer Commission </w:t>
            </w:r>
          </w:p>
        </w:tc>
        <w:tc>
          <w:tcPr>
            <w:tcW w:w="677" w:type="pct"/>
            <w:tcBorders>
              <w:top w:val="single" w:sz="4" w:space="0" w:color="auto"/>
              <w:bottom w:val="single" w:sz="4" w:space="0" w:color="auto"/>
            </w:tcBorders>
            <w:vAlign w:val="center"/>
          </w:tcPr>
          <w:p w14:paraId="17EF8B30" w14:textId="77777777" w:rsidR="009D0E96" w:rsidRPr="00E84385" w:rsidRDefault="009D0E96" w:rsidP="00B76A77">
            <w:pPr>
              <w:pStyle w:val="Measuretabledatarightaligneditalics"/>
              <w:keepNext/>
            </w:pPr>
            <w:r>
              <w:rPr>
                <w:rFonts w:cs="Arial"/>
                <w:i w:val="0"/>
                <w:iCs/>
                <w:szCs w:val="16"/>
              </w:rPr>
              <w:t>5.4</w:t>
            </w:r>
          </w:p>
        </w:tc>
        <w:tc>
          <w:tcPr>
            <w:tcW w:w="677" w:type="pct"/>
            <w:tcBorders>
              <w:top w:val="single" w:sz="4" w:space="0" w:color="auto"/>
              <w:bottom w:val="single" w:sz="4" w:space="0" w:color="auto"/>
            </w:tcBorders>
            <w:vAlign w:val="center"/>
          </w:tcPr>
          <w:p w14:paraId="5BBB77FE" w14:textId="77777777" w:rsidR="009D0E96" w:rsidRPr="00E84385" w:rsidRDefault="009D0E96" w:rsidP="00B76A77">
            <w:pPr>
              <w:pStyle w:val="Measuretabledatarightaligneditalics"/>
              <w:keepNext/>
            </w:pPr>
            <w:r>
              <w:rPr>
                <w:rFonts w:cs="Arial"/>
                <w:i w:val="0"/>
                <w:iCs/>
                <w:szCs w:val="16"/>
              </w:rPr>
              <w:t>2.7</w:t>
            </w:r>
          </w:p>
        </w:tc>
        <w:tc>
          <w:tcPr>
            <w:tcW w:w="677" w:type="pct"/>
            <w:tcBorders>
              <w:top w:val="single" w:sz="4" w:space="0" w:color="auto"/>
              <w:bottom w:val="single" w:sz="4" w:space="0" w:color="auto"/>
            </w:tcBorders>
            <w:vAlign w:val="center"/>
          </w:tcPr>
          <w:p w14:paraId="41F73705" w14:textId="77777777" w:rsidR="009D0E96" w:rsidRPr="00E84385" w:rsidRDefault="009D0E96" w:rsidP="00B76A77">
            <w:pPr>
              <w:pStyle w:val="Measuretabledatarightaligneditalics"/>
              <w:keepNext/>
            </w:pPr>
            <w:r>
              <w:rPr>
                <w:rFonts w:cs="Arial"/>
                <w:i w:val="0"/>
                <w:iCs/>
                <w:szCs w:val="16"/>
              </w:rPr>
              <w:t>1.2</w:t>
            </w:r>
          </w:p>
        </w:tc>
        <w:tc>
          <w:tcPr>
            <w:tcW w:w="677" w:type="pct"/>
            <w:tcBorders>
              <w:top w:val="single" w:sz="4" w:space="0" w:color="auto"/>
              <w:bottom w:val="single" w:sz="4" w:space="0" w:color="auto"/>
            </w:tcBorders>
            <w:vAlign w:val="center"/>
          </w:tcPr>
          <w:p w14:paraId="44069C4C" w14:textId="77777777" w:rsidR="009D0E96" w:rsidRPr="00E84385" w:rsidRDefault="009D0E96" w:rsidP="00B76A77">
            <w:pPr>
              <w:pStyle w:val="Measuretabledatarightaligneditalics"/>
              <w:keepNext/>
            </w:pPr>
            <w:r>
              <w:rPr>
                <w:rFonts w:cs="Arial"/>
                <w:i w:val="0"/>
                <w:iCs/>
                <w:szCs w:val="16"/>
              </w:rPr>
              <w:t>1.2</w:t>
            </w:r>
          </w:p>
        </w:tc>
        <w:tc>
          <w:tcPr>
            <w:tcW w:w="676" w:type="pct"/>
            <w:tcBorders>
              <w:top w:val="single" w:sz="4" w:space="0" w:color="auto"/>
              <w:bottom w:val="single" w:sz="4" w:space="0" w:color="auto"/>
            </w:tcBorders>
            <w:shd w:val="clear" w:color="auto" w:fill="auto"/>
            <w:vAlign w:val="center"/>
          </w:tcPr>
          <w:p w14:paraId="4CA6F583" w14:textId="77777777" w:rsidR="009D0E96" w:rsidRPr="00E84385" w:rsidRDefault="009D0E96" w:rsidP="00B76A77">
            <w:pPr>
              <w:pStyle w:val="Measuretabledatarightaligneditalics"/>
              <w:keepNext/>
            </w:pPr>
            <w:r>
              <w:rPr>
                <w:rFonts w:cs="Arial"/>
                <w:i w:val="0"/>
                <w:iCs/>
                <w:szCs w:val="16"/>
              </w:rPr>
              <w:t>1.2</w:t>
            </w:r>
          </w:p>
        </w:tc>
      </w:tr>
      <w:tr w:rsidR="009D0E96" w:rsidRPr="00E84385" w14:paraId="60642333" w14:textId="77777777" w:rsidTr="00B76A77">
        <w:tc>
          <w:tcPr>
            <w:tcW w:w="1617" w:type="pct"/>
            <w:tcBorders>
              <w:top w:val="single" w:sz="4" w:space="0" w:color="auto"/>
              <w:bottom w:val="single" w:sz="4" w:space="0" w:color="auto"/>
            </w:tcBorders>
            <w:shd w:val="clear" w:color="auto" w:fill="auto"/>
          </w:tcPr>
          <w:p w14:paraId="05515791" w14:textId="77777777" w:rsidR="009D0E96" w:rsidRPr="004121A1" w:rsidRDefault="009D0E96" w:rsidP="00B76A77">
            <w:pPr>
              <w:pStyle w:val="Totalrowitalicsleftaligned"/>
              <w:keepNext/>
              <w:rPr>
                <w:b/>
              </w:rPr>
            </w:pPr>
            <w:r w:rsidRPr="004121A1">
              <w:rPr>
                <w:b/>
              </w:rPr>
              <w:t>Total — Capital</w:t>
            </w:r>
          </w:p>
        </w:tc>
        <w:tc>
          <w:tcPr>
            <w:tcW w:w="677" w:type="pct"/>
            <w:tcBorders>
              <w:top w:val="single" w:sz="4" w:space="0" w:color="auto"/>
              <w:bottom w:val="single" w:sz="4" w:space="0" w:color="auto"/>
            </w:tcBorders>
            <w:vAlign w:val="center"/>
          </w:tcPr>
          <w:p w14:paraId="1C99137E" w14:textId="77777777" w:rsidR="009D0E96" w:rsidRPr="004121A1" w:rsidRDefault="009D0E96" w:rsidP="00B76A77">
            <w:pPr>
              <w:pStyle w:val="Totalrowitalicsrightaligned"/>
              <w:keepNext/>
              <w:rPr>
                <w:b/>
              </w:rPr>
            </w:pPr>
            <w:r>
              <w:rPr>
                <w:rFonts w:cs="Arial"/>
                <w:b/>
                <w:bCs/>
                <w:i w:val="0"/>
                <w:iCs/>
                <w:szCs w:val="16"/>
              </w:rPr>
              <w:t>6.3</w:t>
            </w:r>
          </w:p>
        </w:tc>
        <w:tc>
          <w:tcPr>
            <w:tcW w:w="677" w:type="pct"/>
            <w:tcBorders>
              <w:top w:val="single" w:sz="4" w:space="0" w:color="auto"/>
              <w:bottom w:val="single" w:sz="4" w:space="0" w:color="auto"/>
            </w:tcBorders>
            <w:vAlign w:val="center"/>
          </w:tcPr>
          <w:p w14:paraId="378D9CFE" w14:textId="77777777" w:rsidR="009D0E96" w:rsidRPr="004121A1" w:rsidRDefault="009D0E96" w:rsidP="00B76A77">
            <w:pPr>
              <w:pStyle w:val="Totalrowitalicsrightaligned"/>
              <w:keepNext/>
              <w:rPr>
                <w:b/>
              </w:rPr>
            </w:pPr>
            <w:r>
              <w:rPr>
                <w:rFonts w:cs="Arial"/>
                <w:b/>
                <w:bCs/>
                <w:i w:val="0"/>
                <w:iCs/>
                <w:szCs w:val="16"/>
              </w:rPr>
              <w:t>2.7</w:t>
            </w:r>
          </w:p>
        </w:tc>
        <w:tc>
          <w:tcPr>
            <w:tcW w:w="677" w:type="pct"/>
            <w:tcBorders>
              <w:top w:val="single" w:sz="4" w:space="0" w:color="auto"/>
              <w:bottom w:val="single" w:sz="4" w:space="0" w:color="auto"/>
            </w:tcBorders>
            <w:vAlign w:val="center"/>
          </w:tcPr>
          <w:p w14:paraId="4ECC9C68" w14:textId="77777777" w:rsidR="009D0E96" w:rsidRPr="004121A1" w:rsidRDefault="009D0E96" w:rsidP="00B76A77">
            <w:pPr>
              <w:pStyle w:val="Totalrowitalicsrightaligned"/>
              <w:keepNext/>
              <w:rPr>
                <w:b/>
              </w:rPr>
            </w:pPr>
            <w:r>
              <w:rPr>
                <w:rFonts w:cs="Arial"/>
                <w:b/>
                <w:bCs/>
                <w:i w:val="0"/>
                <w:iCs/>
                <w:szCs w:val="16"/>
              </w:rPr>
              <w:t>1.2</w:t>
            </w:r>
          </w:p>
        </w:tc>
        <w:tc>
          <w:tcPr>
            <w:tcW w:w="677" w:type="pct"/>
            <w:tcBorders>
              <w:top w:val="single" w:sz="4" w:space="0" w:color="auto"/>
              <w:bottom w:val="single" w:sz="4" w:space="0" w:color="auto"/>
            </w:tcBorders>
            <w:vAlign w:val="center"/>
          </w:tcPr>
          <w:p w14:paraId="1A991D59" w14:textId="77777777" w:rsidR="009D0E96" w:rsidRPr="004121A1" w:rsidRDefault="009D0E96" w:rsidP="00B76A77">
            <w:pPr>
              <w:pStyle w:val="Totalrowitalicsrightaligned"/>
              <w:keepNext/>
              <w:rPr>
                <w:b/>
              </w:rPr>
            </w:pPr>
            <w:r>
              <w:rPr>
                <w:rFonts w:cs="Arial"/>
                <w:b/>
                <w:bCs/>
                <w:i w:val="0"/>
                <w:iCs/>
                <w:szCs w:val="16"/>
              </w:rPr>
              <w:t>1.2</w:t>
            </w:r>
          </w:p>
        </w:tc>
        <w:tc>
          <w:tcPr>
            <w:tcW w:w="676" w:type="pct"/>
            <w:tcBorders>
              <w:top w:val="single" w:sz="4" w:space="0" w:color="auto"/>
              <w:bottom w:val="single" w:sz="4" w:space="0" w:color="auto"/>
            </w:tcBorders>
            <w:shd w:val="clear" w:color="auto" w:fill="auto"/>
            <w:vAlign w:val="center"/>
          </w:tcPr>
          <w:p w14:paraId="7F079175" w14:textId="77777777" w:rsidR="009D0E96" w:rsidRPr="004121A1" w:rsidRDefault="009D0E96" w:rsidP="00B76A77">
            <w:pPr>
              <w:pStyle w:val="Totalrowitalicsrightaligned"/>
              <w:keepNext/>
              <w:rPr>
                <w:b/>
              </w:rPr>
            </w:pPr>
            <w:r>
              <w:rPr>
                <w:rFonts w:cs="Arial"/>
                <w:b/>
                <w:bCs/>
                <w:i w:val="0"/>
                <w:iCs/>
                <w:szCs w:val="16"/>
              </w:rPr>
              <w:t>1.2</w:t>
            </w:r>
          </w:p>
        </w:tc>
      </w:tr>
    </w:tbl>
    <w:p w14:paraId="35442DFF" w14:textId="77777777" w:rsidR="009D0E96" w:rsidRDefault="009D0E96" w:rsidP="009D0E96">
      <w:r w:rsidRPr="00EB25DF">
        <w:t>This funding includes $35.7m, provided for in the 2018-19 MYEFO, for information systems to support the security of the regime, and to bring forward work on the CDR for energy.</w:t>
      </w:r>
    </w:p>
    <w:p w14:paraId="76DF7977" w14:textId="77777777" w:rsidR="001F5714" w:rsidRDefault="001F5714" w:rsidP="006805B5"/>
    <w:p w14:paraId="339DC516" w14:textId="77777777" w:rsidR="00B134A9" w:rsidRDefault="00C86DDB" w:rsidP="00B134A9">
      <w:pPr>
        <w:pStyle w:val="Heading2"/>
      </w:pPr>
      <w:bookmarkStart w:id="55" w:name="_Toc513305779"/>
      <w:bookmarkStart w:id="56" w:name="_Toc513448707"/>
      <w:bookmarkStart w:id="57" w:name="_Toc513451729"/>
      <w:bookmarkStart w:id="58" w:name="_Toc10011483"/>
      <w:r>
        <w:t xml:space="preserve">Safe and controlled </w:t>
      </w:r>
      <w:r w:rsidR="00350421">
        <w:t>use of data</w:t>
      </w:r>
      <w:bookmarkEnd w:id="55"/>
      <w:bookmarkEnd w:id="56"/>
      <w:bookmarkEnd w:id="57"/>
      <w:bookmarkEnd w:id="58"/>
    </w:p>
    <w:p w14:paraId="469E9E1B" w14:textId="77777777" w:rsidR="00B134A9" w:rsidRDefault="00B134A9" w:rsidP="006805B5">
      <w:r>
        <w:t>Data will only be transferred to third parties at the direction of the consumer. Separate to the direction to transfer (given to the original data holder), consumers will need to give consent for how the data will be used (given to the data recipient).</w:t>
      </w:r>
    </w:p>
    <w:p w14:paraId="5B7FFB50" w14:textId="77777777" w:rsidR="00515434" w:rsidRDefault="00515434" w:rsidP="00515434">
      <w:r>
        <w:t>The Consumer Data Right will specify requirements regarding the consent giving process to ensure that consumers are properly aware of and understand what they are consenting to.</w:t>
      </w:r>
    </w:p>
    <w:p w14:paraId="4E2445BA" w14:textId="31562BAA" w:rsidR="00B134A9" w:rsidRDefault="00B134A9" w:rsidP="006805B5">
      <w:r>
        <w:t xml:space="preserve">Consumers will </w:t>
      </w:r>
      <w:r w:rsidR="00515434">
        <w:t xml:space="preserve">generally </w:t>
      </w:r>
      <w:r>
        <w:t xml:space="preserve">be free to determine what their data is used for. </w:t>
      </w:r>
      <w:r w:rsidR="002A5218">
        <w:t xml:space="preserve">However, </w:t>
      </w:r>
      <w:r w:rsidR="00515434">
        <w:t xml:space="preserve">the ACCC has proposed that the first version of the rules will </w:t>
      </w:r>
      <w:r w:rsidR="00B60B3D">
        <w:t>prohibit</w:t>
      </w:r>
      <w:r w:rsidR="00515434">
        <w:t xml:space="preserve"> an accredited data recipient </w:t>
      </w:r>
      <w:r w:rsidR="00B60B3D">
        <w:t>from</w:t>
      </w:r>
      <w:r w:rsidR="00515434">
        <w:t xml:space="preserve"> on-sell</w:t>
      </w:r>
      <w:r w:rsidR="00B60B3D">
        <w:t>ing</w:t>
      </w:r>
      <w:r w:rsidR="00515434">
        <w:t xml:space="preserve"> CDR data</w:t>
      </w:r>
      <w:r w:rsidR="00B60B3D">
        <w:t>;</w:t>
      </w:r>
      <w:r w:rsidR="00515434">
        <w:t xml:space="preserve"> aggregat</w:t>
      </w:r>
      <w:r w:rsidR="00B60B3D">
        <w:t>ing</w:t>
      </w:r>
      <w:r w:rsidR="00515434">
        <w:t xml:space="preserve"> CDR data to </w:t>
      </w:r>
      <w:r w:rsidR="00B60B3D">
        <w:t>build profiles of</w:t>
      </w:r>
      <w:r w:rsidR="00515434">
        <w:t xml:space="preserve"> </w:t>
      </w:r>
      <w:r w:rsidR="00B60B3D">
        <w:t>third</w:t>
      </w:r>
      <w:r w:rsidR="00515434">
        <w:t xml:space="preserve"> parties</w:t>
      </w:r>
      <w:r w:rsidR="00B60B3D">
        <w:t xml:space="preserve"> without their consent; or</w:t>
      </w:r>
      <w:r w:rsidR="00515434">
        <w:t xml:space="preserve"> from using CDR data for the direct marketing of products or services unrelated to the product or service</w:t>
      </w:r>
      <w:r w:rsidR="00B60B3D">
        <w:t xml:space="preserve"> the data relates to</w:t>
      </w:r>
      <w:r w:rsidR="00515434">
        <w:t>.</w:t>
      </w:r>
    </w:p>
    <w:p w14:paraId="1E996078" w14:textId="06C8D919" w:rsidR="00515434" w:rsidRDefault="00515434" w:rsidP="006805B5">
      <w:r>
        <w:t xml:space="preserve">The ACCC has also proposed that the first version of the rules will not require or </w:t>
      </w:r>
      <w:r w:rsidR="00B60B3D">
        <w:t>allow</w:t>
      </w:r>
      <w:r>
        <w:t xml:space="preserve"> an accredited data recipient to disclose CDR data to a non-accredited recipient at the direction of the consumer.</w:t>
      </w:r>
    </w:p>
    <w:p w14:paraId="356C3F19" w14:textId="77777777" w:rsidR="00B134A9" w:rsidRDefault="00B134A9" w:rsidP="006805B5">
      <w:r>
        <w:t>The system will allow additional use restrictions or regulation to be imposed if this becomes necessary.</w:t>
      </w:r>
    </w:p>
    <w:p w14:paraId="14BD7DCC" w14:textId="77777777" w:rsidR="00B134A9" w:rsidRPr="008E59FC" w:rsidRDefault="00B134A9" w:rsidP="006805B5">
      <w:r>
        <w:t>So, while</w:t>
      </w:r>
      <w:r w:rsidDel="00FE4483">
        <w:t xml:space="preserve"> </w:t>
      </w:r>
      <w:r>
        <w:t>consumers will have to take primary responsibility for specifying the uses for their data, they will be given enhanced rights to ensure that they are able to do so.</w:t>
      </w:r>
    </w:p>
    <w:p w14:paraId="448FBB2C" w14:textId="77777777" w:rsidR="00B134A9" w:rsidRDefault="00350421" w:rsidP="00B134A9">
      <w:pPr>
        <w:pStyle w:val="Heading2"/>
      </w:pPr>
      <w:bookmarkStart w:id="59" w:name="_Toc513305780"/>
      <w:bookmarkStart w:id="60" w:name="_Toc513448708"/>
      <w:bookmarkStart w:id="61" w:name="_Toc513451730"/>
      <w:bookmarkStart w:id="62" w:name="_Toc10011484"/>
      <w:r>
        <w:lastRenderedPageBreak/>
        <w:t>Breaches of the Consumer Data Right</w:t>
      </w:r>
      <w:bookmarkEnd w:id="59"/>
      <w:bookmarkEnd w:id="60"/>
      <w:bookmarkEnd w:id="61"/>
      <w:bookmarkEnd w:id="62"/>
    </w:p>
    <w:p w14:paraId="590C6C70" w14:textId="77777777" w:rsidR="00B134A9" w:rsidRDefault="00B134A9" w:rsidP="006805B5">
      <w:r w:rsidRPr="00120602">
        <w:t xml:space="preserve">The OAIC will </w:t>
      </w:r>
      <w:r>
        <w:t xml:space="preserve">be available as an initial contact point for consumer and </w:t>
      </w:r>
      <w:r w:rsidRPr="001D3B5F">
        <w:t>small to medium</w:t>
      </w:r>
      <w:r>
        <w:t xml:space="preserve"> enterprise (under $3m annual turnover) complaints regarding breaches of the Consumer Data Right. They will be available to connect complainants to the best complaint</w:t>
      </w:r>
      <w:r w:rsidR="001D3B5F">
        <w:t xml:space="preserve"> </w:t>
      </w:r>
      <w:r w:rsidRPr="001D3B5F">
        <w:t>handler</w:t>
      </w:r>
      <w:r>
        <w:t xml:space="preserve">, whether that is the OAIC itself, another agency or a </w:t>
      </w:r>
      <w:r w:rsidRPr="00120602">
        <w:t>dispute resolution body</w:t>
      </w:r>
      <w:r>
        <w:t xml:space="preserve">, such as the Australian Financial Complaints Authority. </w:t>
      </w:r>
      <w:r w:rsidR="00C86DDB">
        <w:t xml:space="preserve">  </w:t>
      </w:r>
    </w:p>
    <w:p w14:paraId="4CA8DC47" w14:textId="77777777" w:rsidR="00B134A9" w:rsidRDefault="00B134A9" w:rsidP="006805B5">
      <w:r>
        <w:t>This ‘no wrong door’ approach to complaint</w:t>
      </w:r>
      <w:r w:rsidRPr="001D3B5F">
        <w:t xml:space="preserve"> handling</w:t>
      </w:r>
      <w:r>
        <w:t xml:space="preserve"> provides simplicity and convenience for consumers</w:t>
      </w:r>
      <w:r w:rsidRPr="00120602">
        <w:t>.</w:t>
      </w:r>
      <w:r>
        <w:t xml:space="preserve"> A consumer’s complaint will not get bounced around between regulators</w:t>
      </w:r>
    </w:p>
    <w:p w14:paraId="05177699" w14:textId="77777777" w:rsidR="00B134A9" w:rsidRDefault="00B134A9" w:rsidP="006805B5">
      <w:r>
        <w:t xml:space="preserve">The OAIC, in conjunction with external dispute resolution arrangements, will be primarily responsible for providing remedies for individuals and </w:t>
      </w:r>
      <w:r w:rsidRPr="001D3B5F">
        <w:t>small</w:t>
      </w:r>
      <w:r w:rsidR="001D3B5F">
        <w:t xml:space="preserve"> </w:t>
      </w:r>
      <w:r w:rsidRPr="001D3B5F">
        <w:t>and</w:t>
      </w:r>
      <w:r w:rsidR="001D3B5F">
        <w:t xml:space="preserve"> </w:t>
      </w:r>
      <w:r w:rsidRPr="001D3B5F">
        <w:t>medium</w:t>
      </w:r>
      <w:r>
        <w:t xml:space="preserve"> sized businesses and for strategic enforcement in relation to breaches involving privacy. </w:t>
      </w:r>
    </w:p>
    <w:p w14:paraId="702D8726" w14:textId="77777777" w:rsidR="00B134A9" w:rsidRDefault="00B134A9" w:rsidP="006805B5">
      <w:r w:rsidRPr="00120602">
        <w:t xml:space="preserve">The ACCC will also have </w:t>
      </w:r>
      <w:r>
        <w:t xml:space="preserve">a general </w:t>
      </w:r>
      <w:r w:rsidRPr="00120602">
        <w:t>strate</w:t>
      </w:r>
      <w:r>
        <w:t xml:space="preserve">gic enforcement role where there are </w:t>
      </w:r>
      <w:r w:rsidRPr="00120602">
        <w:t>repeated or serious breaches.</w:t>
      </w:r>
    </w:p>
    <w:p w14:paraId="1DA6A628" w14:textId="282C53D5" w:rsidR="00B134A9" w:rsidRDefault="00B134A9" w:rsidP="006805B5">
      <w:r>
        <w:t>Given that data breaches may occur in the course of activities regulated by other agencies (</w:t>
      </w:r>
      <w:r w:rsidR="00B60B3D">
        <w:t>for example,</w:t>
      </w:r>
      <w:r>
        <w:t xml:space="preserve"> consumer credit provision or financial services), other </w:t>
      </w:r>
      <w:r w:rsidRPr="001D3B5F">
        <w:t>sector specific</w:t>
      </w:r>
      <w:r>
        <w:t xml:space="preserve"> regulators may be best placed to respond to a given concern.</w:t>
      </w:r>
    </w:p>
    <w:p w14:paraId="1D410ED8" w14:textId="77777777" w:rsidR="00B134A9" w:rsidRDefault="00B134A9" w:rsidP="006805B5">
      <w:r>
        <w:t xml:space="preserve">Consumers will also have </w:t>
      </w:r>
      <w:r w:rsidDel="005C59CE">
        <w:t>standing to directly sue if their rights under the Consumer Data Right have been breached.</w:t>
      </w:r>
    </w:p>
    <w:p w14:paraId="63E344CA" w14:textId="4798CC73" w:rsidR="00B134A9" w:rsidRDefault="00B134A9" w:rsidP="006805B5">
      <w:r>
        <w:t>Remedies</w:t>
      </w:r>
      <w:r w:rsidRPr="00120602">
        <w:t xml:space="preserve"> </w:t>
      </w:r>
      <w:r>
        <w:t xml:space="preserve">available </w:t>
      </w:r>
      <w:r w:rsidR="00515434">
        <w:t xml:space="preserve">via </w:t>
      </w:r>
      <w:r>
        <w:t>regulators</w:t>
      </w:r>
      <w:r w:rsidRPr="00120602">
        <w:t xml:space="preserve"> </w:t>
      </w:r>
      <w:r>
        <w:t>where data holders or recipients have breached the Consumer Data Right rules</w:t>
      </w:r>
      <w:r w:rsidRPr="00120602">
        <w:t xml:space="preserve"> </w:t>
      </w:r>
      <w:r>
        <w:t>will</w:t>
      </w:r>
      <w:r w:rsidRPr="00120602">
        <w:t xml:space="preserve"> </w:t>
      </w:r>
      <w:r>
        <w:t>include</w:t>
      </w:r>
      <w:r w:rsidRPr="00120602">
        <w:t xml:space="preserve"> infringement notices</w:t>
      </w:r>
      <w:r>
        <w:t>, civil penalties,</w:t>
      </w:r>
      <w:r w:rsidRPr="00120602">
        <w:t xml:space="preserve"> compensation orders</w:t>
      </w:r>
      <w:r>
        <w:t>, enforceable undertakings and de-accreditation of data recipients (or suspensions or imposition of conditions), depending on the circumstances</w:t>
      </w:r>
      <w:r w:rsidRPr="00120602">
        <w:t xml:space="preserve">. </w:t>
      </w:r>
      <w:r>
        <w:t>Injunctions (court orders compelling an entity to do or refrain from doing specified activities) will also be available, including orders for the deletion of data.</w:t>
      </w:r>
    </w:p>
    <w:p w14:paraId="20D2EECC" w14:textId="77777777" w:rsidR="00B134A9" w:rsidRPr="00A90B5F" w:rsidRDefault="00B134A9" w:rsidP="006805B5">
      <w:bookmarkStart w:id="63" w:name="_Toc513028524"/>
      <w:bookmarkStart w:id="64" w:name="_Toc513032629"/>
      <w:r w:rsidRPr="00A90B5F">
        <w:t>Assistance from the OAIC and external dispute resolution schemes will not be available to large business customers. The ACCC</w:t>
      </w:r>
      <w:r w:rsidR="00147CDA">
        <w:t>-</w:t>
      </w:r>
      <w:r w:rsidRPr="00A90B5F">
        <w:t>made rules may provide for other dispute resolution arrangements for them. They will, like all consumers under the system, have access to direct rights of action.</w:t>
      </w:r>
    </w:p>
    <w:p w14:paraId="571FD3C9" w14:textId="77777777" w:rsidR="00B134A9" w:rsidRPr="00F955E3" w:rsidRDefault="00350421" w:rsidP="00B134A9">
      <w:pPr>
        <w:pStyle w:val="Heading2"/>
      </w:pPr>
      <w:bookmarkStart w:id="65" w:name="_Toc513305781"/>
      <w:bookmarkStart w:id="66" w:name="_Toc513448709"/>
      <w:bookmarkStart w:id="67" w:name="_Toc513451731"/>
      <w:bookmarkStart w:id="68" w:name="_Toc10011485"/>
      <w:bookmarkEnd w:id="63"/>
      <w:bookmarkEnd w:id="64"/>
      <w:r>
        <w:t>Using the Consumer Data Right</w:t>
      </w:r>
      <w:bookmarkEnd w:id="65"/>
      <w:bookmarkEnd w:id="66"/>
      <w:bookmarkEnd w:id="67"/>
      <w:bookmarkEnd w:id="68"/>
    </w:p>
    <w:p w14:paraId="7B0CB163" w14:textId="77777777" w:rsidR="00B134A9" w:rsidRPr="00DB1AB7" w:rsidRDefault="00B134A9" w:rsidP="006805B5">
      <w:r w:rsidRPr="00DB1AB7">
        <w:t xml:space="preserve">Generally, the right will be available as part of a seamless experience with various service providers – but in a way that makes it clear </w:t>
      </w:r>
      <w:r>
        <w:t>to</w:t>
      </w:r>
      <w:r w:rsidRPr="00DB1AB7" w:rsidDel="00FE4483">
        <w:t xml:space="preserve"> </w:t>
      </w:r>
      <w:r>
        <w:t>consumers</w:t>
      </w:r>
      <w:r w:rsidRPr="00DB1AB7">
        <w:t xml:space="preserve"> </w:t>
      </w:r>
      <w:r>
        <w:t xml:space="preserve">that they </w:t>
      </w:r>
      <w:r w:rsidRPr="00DB1AB7">
        <w:t>are being asked to exercise the right to transfer data to that service provider.</w:t>
      </w:r>
    </w:p>
    <w:p w14:paraId="30FE2E55" w14:textId="77777777" w:rsidR="00B134A9" w:rsidRPr="007D1D39" w:rsidRDefault="00B134A9" w:rsidP="006805B5">
      <w:r w:rsidRPr="00DB1AB7">
        <w:t xml:space="preserve">For example, when visiting a credit card comparison website </w:t>
      </w:r>
      <w:r>
        <w:t xml:space="preserve">consumers </w:t>
      </w:r>
      <w:r w:rsidRPr="00DB1AB7">
        <w:t xml:space="preserve">may be prompted to share </w:t>
      </w:r>
      <w:r>
        <w:t>their</w:t>
      </w:r>
      <w:r w:rsidRPr="00DB1AB7">
        <w:t xml:space="preserve"> </w:t>
      </w:r>
      <w:r>
        <w:t xml:space="preserve">credit card </w:t>
      </w:r>
      <w:r w:rsidRPr="00DB1AB7">
        <w:t>data with the websit</w:t>
      </w:r>
      <w:r>
        <w:t>e, to work out which card suits their card usage and repayment behaviour. They</w:t>
      </w:r>
      <w:r w:rsidRPr="00DB1AB7">
        <w:t xml:space="preserve"> will be able to choose specifically what data </w:t>
      </w:r>
      <w:r>
        <w:t>to</w:t>
      </w:r>
      <w:r w:rsidRPr="00DB1AB7">
        <w:t xml:space="preserve"> share and for what period. </w:t>
      </w:r>
      <w:r>
        <w:t>Consumers</w:t>
      </w:r>
      <w:r w:rsidRPr="00DB1AB7">
        <w:t xml:space="preserve"> will also specify exactly what the</w:t>
      </w:r>
      <w:r>
        <w:t xml:space="preserve"> website is</w:t>
      </w:r>
      <w:r w:rsidRPr="00DB1AB7">
        <w:t xml:space="preserve"> allowed to do with </w:t>
      </w:r>
      <w:r>
        <w:t xml:space="preserve">their </w:t>
      </w:r>
      <w:r w:rsidRPr="00DB1AB7">
        <w:t>data.</w:t>
      </w:r>
      <w:r w:rsidRPr="00DB1AB7" w:rsidDel="007F4081">
        <w:t xml:space="preserve"> </w:t>
      </w:r>
      <w:r>
        <w:t>Banks</w:t>
      </w:r>
      <w:r w:rsidRPr="00DB1AB7">
        <w:t xml:space="preserve"> will only be able to share data if </w:t>
      </w:r>
      <w:r>
        <w:t>the consumer</w:t>
      </w:r>
      <w:r w:rsidRPr="00DB1AB7">
        <w:t xml:space="preserve"> ha</w:t>
      </w:r>
      <w:r>
        <w:t>s</w:t>
      </w:r>
      <w:r w:rsidRPr="00DB1AB7">
        <w:t xml:space="preserve"> </w:t>
      </w:r>
      <w:r w:rsidRPr="00DB1AB7" w:rsidDel="00707EE8">
        <w:t xml:space="preserve">proved </w:t>
      </w:r>
      <w:r>
        <w:t>their identity to the bank</w:t>
      </w:r>
      <w:r w:rsidRPr="00DB1AB7">
        <w:t xml:space="preserve">. The comparison website will need to be accredited and have appropriate levels of privacy and information security protections to handle </w:t>
      </w:r>
      <w:r>
        <w:t xml:space="preserve">the consumers’ </w:t>
      </w:r>
      <w:r w:rsidRPr="00DB1AB7">
        <w:t>data.</w:t>
      </w:r>
    </w:p>
    <w:p w14:paraId="22444707" w14:textId="77777777" w:rsidR="00B134A9" w:rsidRDefault="00350421" w:rsidP="00B134A9">
      <w:pPr>
        <w:pStyle w:val="Heading2"/>
      </w:pPr>
      <w:bookmarkStart w:id="69" w:name="_Toc513305782"/>
      <w:bookmarkStart w:id="70" w:name="_Toc513448710"/>
      <w:bookmarkStart w:id="71" w:name="_Toc513451732"/>
      <w:bookmarkStart w:id="72" w:name="_Toc10011486"/>
      <w:r>
        <w:t>Accredited data recipients</w:t>
      </w:r>
      <w:bookmarkEnd w:id="69"/>
      <w:bookmarkEnd w:id="70"/>
      <w:bookmarkEnd w:id="71"/>
      <w:bookmarkEnd w:id="72"/>
    </w:p>
    <w:p w14:paraId="30658A58" w14:textId="77777777" w:rsidR="00B134A9" w:rsidRDefault="00B134A9" w:rsidP="006805B5">
      <w:r w:rsidRPr="00DB1AB7">
        <w:t>Consumers will only be able to use the right to direct the transfer of their</w:t>
      </w:r>
      <w:r>
        <w:t xml:space="preserve"> </w:t>
      </w:r>
      <w:r w:rsidRPr="00DB1AB7">
        <w:t>data to trusted third parties.</w:t>
      </w:r>
      <w:r>
        <w:t xml:space="preserve"> All d</w:t>
      </w:r>
      <w:r w:rsidRPr="00DB1AB7">
        <w:t xml:space="preserve">ata recipients </w:t>
      </w:r>
      <w:r>
        <w:t xml:space="preserve">who </w:t>
      </w:r>
      <w:r w:rsidRPr="001D3B5F">
        <w:t>receive consumer</w:t>
      </w:r>
      <w:r w:rsidR="001D3B5F" w:rsidRPr="001D3B5F">
        <w:t xml:space="preserve"> </w:t>
      </w:r>
      <w:r w:rsidRPr="001D3B5F">
        <w:t>specific</w:t>
      </w:r>
      <w:r>
        <w:t xml:space="preserve"> data must</w:t>
      </w:r>
      <w:r w:rsidRPr="00DB1AB7">
        <w:t xml:space="preserve"> be accredited.</w:t>
      </w:r>
    </w:p>
    <w:p w14:paraId="427931A7" w14:textId="77777777" w:rsidR="00B134A9" w:rsidRPr="00DB1AB7" w:rsidRDefault="00B134A9" w:rsidP="006805B5">
      <w:r>
        <w:t xml:space="preserve">The Consumer Data Right will also impose obligations on entities to provide access to data on the goods and services they have on offer. </w:t>
      </w:r>
      <w:r w:rsidR="00C86DDB">
        <w:t xml:space="preserve">For example, comparison websites will be able to access the </w:t>
      </w:r>
      <w:r w:rsidR="00C86DDB">
        <w:lastRenderedPageBreak/>
        <w:t xml:space="preserve">terms of all credit cards on offer in machine readable format. </w:t>
      </w:r>
      <w:r>
        <w:t>Accreditation will not be required to access these data sets.</w:t>
      </w:r>
      <w:r w:rsidRPr="00DB1AB7">
        <w:t xml:space="preserve"> </w:t>
      </w:r>
    </w:p>
    <w:p w14:paraId="3E72ABC9" w14:textId="77777777" w:rsidR="00B134A9" w:rsidRPr="00DB1AB7" w:rsidRDefault="00B134A9" w:rsidP="006805B5">
      <w:r w:rsidRPr="00DB1AB7">
        <w:t xml:space="preserve">Accreditation criteria, including privacy and information security </w:t>
      </w:r>
      <w:r w:rsidRPr="00D85E2C">
        <w:t>requirements</w:t>
      </w:r>
      <w:r w:rsidRPr="00DB1AB7">
        <w:t>, will be set by the ACCC</w:t>
      </w:r>
      <w:r>
        <w:t xml:space="preserve"> in consultation with the OAIC</w:t>
      </w:r>
      <w:r w:rsidRPr="00DB1AB7">
        <w:t>.</w:t>
      </w:r>
      <w:r>
        <w:t xml:space="preserve"> Technical standards supporting these requirements will be created (or identified and adopted, potentially with some modification) by the Data Standards Body.</w:t>
      </w:r>
    </w:p>
    <w:p w14:paraId="503508DF" w14:textId="1078C2B9" w:rsidR="00B134A9" w:rsidRPr="00DB1AB7" w:rsidRDefault="00B134A9" w:rsidP="006805B5">
      <w:r w:rsidRPr="00DB1AB7">
        <w:t>It is proposed that</w:t>
      </w:r>
      <w:r w:rsidR="000C511C">
        <w:t xml:space="preserve"> in version one of the Rules, there will be one general level of accreditation</w:t>
      </w:r>
      <w:r w:rsidR="00597FF8">
        <w:t xml:space="preserve"> – set at a conservative and very high level of safety for consumers</w:t>
      </w:r>
      <w:r w:rsidR="000C511C">
        <w:t>. This will enable an accredited data recipient to receive all CDR data within scope for banking and will therefore be subject to stringent obligations.</w:t>
      </w:r>
      <w:r w:rsidR="00F044B3">
        <w:t xml:space="preserve"> The ACCC will consider the need for additional accreditation requirements as the CDR regime </w:t>
      </w:r>
      <w:r w:rsidR="00597FF8">
        <w:t>matures</w:t>
      </w:r>
      <w:r w:rsidR="00F044B3">
        <w:t>.</w:t>
      </w:r>
      <w:r w:rsidRPr="00DB1AB7">
        <w:t xml:space="preserve"> </w:t>
      </w:r>
    </w:p>
    <w:p w14:paraId="1DA23E76" w14:textId="2C6A6E9B" w:rsidR="00344EAC" w:rsidRPr="00DB1AB7" w:rsidRDefault="00344EAC" w:rsidP="006805B5">
      <w:r>
        <w:t xml:space="preserve">Accreditation processes will recognise existing licensing where these regimes meet the requirements for accreditation. </w:t>
      </w:r>
      <w:r w:rsidR="00F044B3">
        <w:t xml:space="preserve">For example, the ACCC has proposed that in </w:t>
      </w:r>
      <w:r w:rsidR="00597FF8">
        <w:t xml:space="preserve">the first </w:t>
      </w:r>
      <w:r w:rsidR="00F044B3">
        <w:t xml:space="preserve">version of the Rules, streamlined accreditation requirements will apply to </w:t>
      </w:r>
      <w:r>
        <w:t>Authorised Deposit-taking Institution</w:t>
      </w:r>
      <w:r w:rsidR="00F044B3">
        <w:t>s (ADIs)</w:t>
      </w:r>
      <w:r>
        <w:t>.</w:t>
      </w:r>
    </w:p>
    <w:p w14:paraId="7442FA79" w14:textId="77777777" w:rsidR="00B134A9" w:rsidRPr="00DB1AB7" w:rsidRDefault="00B134A9" w:rsidP="006805B5">
      <w:r w:rsidRPr="00DB1AB7">
        <w:t>Breaches of their obligations under the right, or general privacy law, may give rise to the removal, suspension or imposition of conditions on a data recipient’s accreditation.</w:t>
      </w:r>
    </w:p>
    <w:p w14:paraId="488FEA58" w14:textId="77777777" w:rsidR="00B134A9" w:rsidRPr="00DB1AB7" w:rsidRDefault="00B134A9" w:rsidP="006805B5">
      <w:r w:rsidRPr="00DB1AB7">
        <w:t xml:space="preserve">The information technology systems required under the right will </w:t>
      </w:r>
      <w:r>
        <w:t>block</w:t>
      </w:r>
      <w:r w:rsidRPr="00DB1AB7">
        <w:t xml:space="preserve"> non-accredited entities </w:t>
      </w:r>
      <w:r>
        <w:t xml:space="preserve">from </w:t>
      </w:r>
      <w:r w:rsidRPr="00DB1AB7">
        <w:t>accessing data.</w:t>
      </w:r>
    </w:p>
    <w:p w14:paraId="10250705" w14:textId="77777777" w:rsidR="00B134A9" w:rsidRDefault="00B134A9" w:rsidP="00B134A9">
      <w:pPr>
        <w:pStyle w:val="Heading2"/>
      </w:pPr>
      <w:bookmarkStart w:id="73" w:name="_Toc513028526"/>
      <w:bookmarkStart w:id="74" w:name="_Toc513032631"/>
      <w:bookmarkStart w:id="75" w:name="_Toc513117247"/>
      <w:bookmarkStart w:id="76" w:name="_Toc513305784"/>
      <w:bookmarkStart w:id="77" w:name="_Toc513448712"/>
      <w:bookmarkStart w:id="78" w:name="_Toc513451734"/>
      <w:bookmarkStart w:id="79" w:name="_Toc10011487"/>
      <w:r w:rsidRPr="00FD019E">
        <w:t>How do I learn more about the Consumer Data Right?</w:t>
      </w:r>
      <w:bookmarkEnd w:id="73"/>
      <w:bookmarkEnd w:id="74"/>
      <w:bookmarkEnd w:id="75"/>
      <w:bookmarkEnd w:id="76"/>
      <w:bookmarkEnd w:id="77"/>
      <w:bookmarkEnd w:id="78"/>
      <w:bookmarkEnd w:id="79"/>
    </w:p>
    <w:p w14:paraId="778B0E53" w14:textId="5335A339" w:rsidR="00B134A9" w:rsidRDefault="00B134A9" w:rsidP="006805B5">
      <w:pPr>
        <w:pStyle w:val="Bullet"/>
        <w:numPr>
          <w:ilvl w:val="0"/>
          <w:numId w:val="0"/>
        </w:numPr>
        <w:spacing w:before="120"/>
      </w:pPr>
      <w:r>
        <w:t>The ACCC and OAIC will be providing ongoing consumer education and information regarding the Consumer Data Right.</w:t>
      </w:r>
      <w:r w:rsidR="00597FF8">
        <w:t xml:space="preserve"> </w:t>
      </w:r>
      <w:r>
        <w:t xml:space="preserve"> Consumers can’t effectively exercise their rights if they do not understand them.</w:t>
      </w:r>
    </w:p>
    <w:p w14:paraId="2CB1793E" w14:textId="374B592A" w:rsidR="00B134A9" w:rsidRDefault="00B134A9" w:rsidP="006805B5">
      <w:pPr>
        <w:pStyle w:val="Bullet"/>
        <w:numPr>
          <w:ilvl w:val="0"/>
          <w:numId w:val="0"/>
        </w:numPr>
      </w:pPr>
      <w:r>
        <w:t xml:space="preserve">The </w:t>
      </w:r>
      <w:r w:rsidR="009C0095">
        <w:t xml:space="preserve">timing of the </w:t>
      </w:r>
      <w:r>
        <w:t xml:space="preserve">initial education campaign </w:t>
      </w:r>
      <w:r w:rsidR="009C0095">
        <w:t xml:space="preserve">will be set with regard to the </w:t>
      </w:r>
      <w:r w:rsidR="00597FF8">
        <w:t xml:space="preserve">February </w:t>
      </w:r>
      <w:r w:rsidR="009C0095">
        <w:t>20</w:t>
      </w:r>
      <w:r w:rsidR="00597FF8">
        <w:t>20</w:t>
      </w:r>
      <w:r w:rsidR="009C0095">
        <w:t xml:space="preserve"> commencement for </w:t>
      </w:r>
      <w:r>
        <w:t>the Consumer Data Right</w:t>
      </w:r>
      <w:r w:rsidR="00597FF8">
        <w:t xml:space="preserve"> in relation to consumer data</w:t>
      </w:r>
      <w:r>
        <w:t>.</w:t>
      </w:r>
    </w:p>
    <w:p w14:paraId="2F85195D" w14:textId="6E05DBD0" w:rsidR="00B134A9" w:rsidRDefault="00B134A9" w:rsidP="006805B5">
      <w:pPr>
        <w:pStyle w:val="Bullet"/>
        <w:numPr>
          <w:ilvl w:val="0"/>
          <w:numId w:val="0"/>
        </w:numPr>
        <w:spacing w:before="120"/>
      </w:pPr>
      <w:r>
        <w:t>Data61 has also been provided with funding to work with the service provider eco-system to improve understanding of the technical standards and principles to be applied to receiving and handling data.</w:t>
      </w:r>
      <w:r w:rsidR="00A07861">
        <w:t xml:space="preserve"> Data61’s education program will include a sandbox to allow data holders and accredited data recipients to develop and test their systems.</w:t>
      </w:r>
      <w:r w:rsidR="00597FF8">
        <w:t xml:space="preserve"> This will launch in the second half of 2019.</w:t>
      </w:r>
    </w:p>
    <w:p w14:paraId="26721FE5" w14:textId="77777777" w:rsidR="00B134A9" w:rsidRDefault="00B134A9" w:rsidP="006805B5">
      <w:pPr>
        <w:pStyle w:val="Bullet"/>
        <w:numPr>
          <w:ilvl w:val="0"/>
          <w:numId w:val="0"/>
        </w:numPr>
      </w:pPr>
      <w:r>
        <w:t xml:space="preserve">If </w:t>
      </w:r>
      <w:r w:rsidR="00000494">
        <w:t>you have any questions about this document</w:t>
      </w:r>
      <w:r>
        <w:t xml:space="preserve">, do not hesitate to email </w:t>
      </w:r>
      <w:hyperlink r:id="rId35" w:history="1">
        <w:r w:rsidRPr="0026348C">
          <w:rPr>
            <w:rStyle w:val="Hyperlink"/>
          </w:rPr>
          <w:t>data@treasury.gov.au</w:t>
        </w:r>
      </w:hyperlink>
      <w:r>
        <w:t>.</w:t>
      </w:r>
    </w:p>
    <w:p w14:paraId="033E626C" w14:textId="4BA8049F" w:rsidR="00B134A9" w:rsidRDefault="00AC4EF4" w:rsidP="00B134A9">
      <w:pPr>
        <w:pStyle w:val="Heading1"/>
        <w:jc w:val="center"/>
      </w:pPr>
      <w:bookmarkStart w:id="80" w:name="_Toc513305785"/>
      <w:bookmarkStart w:id="81" w:name="_Toc513448713"/>
      <w:bookmarkStart w:id="82" w:name="_Toc513451735"/>
      <w:bookmarkStart w:id="83" w:name="_Toc10011488"/>
      <w:r>
        <w:t xml:space="preserve">The </w:t>
      </w:r>
      <w:r w:rsidR="003A75EE">
        <w:t>R</w:t>
      </w:r>
      <w:r>
        <w:t xml:space="preserve">egulatory </w:t>
      </w:r>
      <w:r w:rsidR="003A75EE">
        <w:t>F</w:t>
      </w:r>
      <w:r>
        <w:t>ramework</w:t>
      </w:r>
      <w:bookmarkEnd w:id="80"/>
      <w:bookmarkEnd w:id="81"/>
      <w:bookmarkEnd w:id="82"/>
      <w:bookmarkEnd w:id="83"/>
    </w:p>
    <w:p w14:paraId="0B526EA1" w14:textId="77777777" w:rsidR="00AC4EF4" w:rsidRDefault="00AC4EF4" w:rsidP="00AC4EF4">
      <w:pPr>
        <w:pStyle w:val="Heading2"/>
      </w:pPr>
      <w:bookmarkStart w:id="84" w:name="_Toc513305786"/>
      <w:bookmarkStart w:id="85" w:name="_Toc513448714"/>
      <w:bookmarkStart w:id="86" w:name="_Toc513451736"/>
      <w:bookmarkStart w:id="87" w:name="_Toc10011489"/>
      <w:bookmarkStart w:id="88" w:name="_Toc513028528"/>
      <w:bookmarkStart w:id="89" w:name="_Toc513032633"/>
      <w:bookmarkStart w:id="90" w:name="_Toc513117249"/>
      <w:r>
        <w:t>The history of the Consumer Data Right</w:t>
      </w:r>
      <w:bookmarkEnd w:id="84"/>
      <w:bookmarkEnd w:id="85"/>
      <w:bookmarkEnd w:id="86"/>
      <w:bookmarkEnd w:id="87"/>
    </w:p>
    <w:p w14:paraId="746ABC1A" w14:textId="77777777" w:rsidR="00AC4EF4" w:rsidRDefault="00AC4EF4" w:rsidP="00AC4EF4">
      <w:r>
        <w:t xml:space="preserve">The Murray, Harper, Coleman, and </w:t>
      </w:r>
      <w:proofErr w:type="spellStart"/>
      <w:r>
        <w:t>Finkel</w:t>
      </w:r>
      <w:proofErr w:type="spellEnd"/>
      <w:r>
        <w:t xml:space="preserve"> inquiries all recommended that Australia develop a right and standards for consumers to access and transfer their information in a useable format. These recommendations were sector specific. </w:t>
      </w:r>
    </w:p>
    <w:p w14:paraId="3DBF2952" w14:textId="25CB42E6" w:rsidR="00AC4EF4" w:rsidRDefault="00AC4EF4" w:rsidP="00AC4EF4">
      <w:r>
        <w:t xml:space="preserve">In addition, in May 2017, the Government received the Productivity Commission’s report on </w:t>
      </w:r>
      <w:r w:rsidR="00F60B75">
        <w:t xml:space="preserve">its </w:t>
      </w:r>
      <w:r w:rsidRPr="00CD5A1C">
        <w:t>Inquiry into Data Availability and Use</w:t>
      </w:r>
      <w:r>
        <w:t xml:space="preserve">. The report </w:t>
      </w:r>
      <w:r w:rsidR="00F60B75">
        <w:t>made</w:t>
      </w:r>
      <w:r>
        <w:t xml:space="preserve"> 41 recommendations, including for the creation of a new economy-wide Comprehensive Data Right.</w:t>
      </w:r>
    </w:p>
    <w:p w14:paraId="69A11151" w14:textId="77777777" w:rsidR="00AC4EF4" w:rsidRDefault="00AC4EF4" w:rsidP="00AC4EF4">
      <w:r>
        <w:lastRenderedPageBreak/>
        <w:t xml:space="preserve">In the 2017-18 Budget the Treasurer announced that Open Banking will be introduced in Australia and commissioned an </w:t>
      </w:r>
      <w:r w:rsidRPr="00BA723F">
        <w:t xml:space="preserve">Open Banking </w:t>
      </w:r>
      <w:r>
        <w:t xml:space="preserve">Review </w:t>
      </w:r>
      <w:r w:rsidRPr="004C7E11">
        <w:t>to</w:t>
      </w:r>
      <w:r w:rsidR="00594133" w:rsidRPr="004C7E11">
        <w:t xml:space="preserve"> make</w:t>
      </w:r>
      <w:r w:rsidRPr="004C7E11">
        <w:t xml:space="preserve"> recommend</w:t>
      </w:r>
      <w:r w:rsidR="00594133" w:rsidRPr="004C7E11">
        <w:t>ations to the Government on the most appropriate model and</w:t>
      </w:r>
      <w:r w:rsidRPr="004C7E11">
        <w:t xml:space="preserve"> the best approach to implement</w:t>
      </w:r>
      <w:r>
        <w:t xml:space="preserve"> it.</w:t>
      </w:r>
    </w:p>
    <w:p w14:paraId="63224B28" w14:textId="77777777" w:rsidR="00AC4EF4" w:rsidRDefault="00AC4EF4" w:rsidP="00AC4EF4">
      <w:r>
        <w:t>On 26 November 2017, the Government announced that the C</w:t>
      </w:r>
      <w:r w:rsidRPr="00783CB4">
        <w:t xml:space="preserve">onsumer </w:t>
      </w:r>
      <w:r>
        <w:t>D</w:t>
      </w:r>
      <w:r w:rsidRPr="00783CB4">
        <w:t xml:space="preserve">ata </w:t>
      </w:r>
      <w:r>
        <w:t>R</w:t>
      </w:r>
      <w:r w:rsidRPr="00783CB4">
        <w:t>ight</w:t>
      </w:r>
      <w:r>
        <w:t xml:space="preserve"> will be implemented as a measure for consumers to harness their digital data, with its design to be informed by </w:t>
      </w:r>
      <w:r w:rsidDel="00494064">
        <w:t>the</w:t>
      </w:r>
      <w:r>
        <w:t xml:space="preserve"> report of the</w:t>
      </w:r>
      <w:r w:rsidDel="00494064">
        <w:t xml:space="preserve"> </w:t>
      </w:r>
      <w:r>
        <w:t>Open Banking Review.</w:t>
      </w:r>
    </w:p>
    <w:p w14:paraId="35AA2B9A" w14:textId="77777777" w:rsidR="00AC4EF4" w:rsidRDefault="00AC4EF4" w:rsidP="00AC4EF4">
      <w:r>
        <w:t xml:space="preserve">In February 2018, the report of the Open Banking Review was released by the Treasurer for a six </w:t>
      </w:r>
      <w:r w:rsidRPr="004C7E11">
        <w:t xml:space="preserve">week </w:t>
      </w:r>
      <w:r w:rsidR="001D3B5F" w:rsidRPr="004C7E11">
        <w:t xml:space="preserve">public </w:t>
      </w:r>
      <w:r w:rsidRPr="004C7E11">
        <w:t>consultation</w:t>
      </w:r>
      <w:r>
        <w:t>. The consultation sought views on the design of the broader C</w:t>
      </w:r>
      <w:r w:rsidRPr="00783CB4">
        <w:t xml:space="preserve">onsumer </w:t>
      </w:r>
      <w:r>
        <w:t>D</w:t>
      </w:r>
      <w:r w:rsidRPr="00783CB4">
        <w:t xml:space="preserve">ata </w:t>
      </w:r>
      <w:r>
        <w:t>R</w:t>
      </w:r>
      <w:r w:rsidRPr="00783CB4">
        <w:t>ight</w:t>
      </w:r>
      <w:r>
        <w:t xml:space="preserve"> and how it should be applied in the banking sector.</w:t>
      </w:r>
    </w:p>
    <w:p w14:paraId="538AF6A6" w14:textId="0706801B" w:rsidR="00F60B75" w:rsidRDefault="00F60B75" w:rsidP="00AC4EF4">
      <w:r>
        <w:t xml:space="preserve">Treasury consulted on the draft </w:t>
      </w:r>
      <w:r w:rsidRPr="000855A5">
        <w:rPr>
          <w:i/>
        </w:rPr>
        <w:t xml:space="preserve">Treasury Laws Amendment (Consumer Data Right) Bill </w:t>
      </w:r>
      <w:r w:rsidR="000855A5" w:rsidRPr="000855A5">
        <w:rPr>
          <w:i/>
        </w:rPr>
        <w:t>2018</w:t>
      </w:r>
      <w:r w:rsidR="000855A5">
        <w:t xml:space="preserve"> </w:t>
      </w:r>
      <w:r>
        <w:t>between 15 August 2018 and 7 September 2018, and again between 24 September 2018 and 12 October 2018. Treasury also consulted on the draft designation instrument for Open Banking between 24 September 2018 and 12 October 2018</w:t>
      </w:r>
      <w:r w:rsidR="00032124">
        <w:t xml:space="preserve"> and again from 14 June 2019 t0 12 July 2019</w:t>
      </w:r>
      <w:r>
        <w:t>.</w:t>
      </w:r>
    </w:p>
    <w:p w14:paraId="5C578644" w14:textId="07C6237A" w:rsidR="00AC4EF4" w:rsidRDefault="00AC4EF4" w:rsidP="001E1A31"/>
    <w:p w14:paraId="24C6B7F2" w14:textId="77777777" w:rsidR="00B134A9" w:rsidRDefault="00AC4EF4" w:rsidP="000855A5">
      <w:pPr>
        <w:pStyle w:val="Heading2"/>
        <w:spacing w:before="240"/>
      </w:pPr>
      <w:bookmarkStart w:id="91" w:name="_Toc513305787"/>
      <w:bookmarkStart w:id="92" w:name="_Toc513448715"/>
      <w:bookmarkStart w:id="93" w:name="_Toc513451737"/>
      <w:bookmarkStart w:id="94" w:name="_Toc10011490"/>
      <w:bookmarkEnd w:id="88"/>
      <w:bookmarkEnd w:id="89"/>
      <w:bookmarkEnd w:id="90"/>
      <w:r>
        <w:t>Legislation</w:t>
      </w:r>
      <w:bookmarkEnd w:id="91"/>
      <w:bookmarkEnd w:id="92"/>
      <w:bookmarkEnd w:id="93"/>
      <w:bookmarkEnd w:id="94"/>
    </w:p>
    <w:p w14:paraId="768B7F33" w14:textId="1F153B52" w:rsidR="00B134A9" w:rsidRDefault="00B134A9" w:rsidP="00B134A9">
      <w:pPr>
        <w:pStyle w:val="Bullet"/>
        <w:numPr>
          <w:ilvl w:val="0"/>
          <w:numId w:val="0"/>
        </w:numPr>
        <w:spacing w:before="120"/>
      </w:pPr>
      <w:r>
        <w:t xml:space="preserve">The Consumer Data Right </w:t>
      </w:r>
      <w:r w:rsidR="00032124">
        <w:t>is</w:t>
      </w:r>
      <w:r>
        <w:t xml:space="preserve"> established primarily through amendments to the </w:t>
      </w:r>
      <w:r w:rsidRPr="00EF04F3">
        <w:rPr>
          <w:i/>
        </w:rPr>
        <w:t>Competition and Consumer Act 2010</w:t>
      </w:r>
      <w:r>
        <w:rPr>
          <w:i/>
        </w:rPr>
        <w:t xml:space="preserve"> </w:t>
      </w:r>
      <w:r w:rsidRPr="00DB1AB7">
        <w:t>and the</w:t>
      </w:r>
      <w:r>
        <w:rPr>
          <w:i/>
        </w:rPr>
        <w:t xml:space="preserve"> Privacy Act 1988</w:t>
      </w:r>
      <w:r>
        <w:t xml:space="preserve">. This enabling legislation: </w:t>
      </w:r>
    </w:p>
    <w:p w14:paraId="609BC1E2" w14:textId="3075952D" w:rsidR="00B134A9" w:rsidRDefault="00B134A9" w:rsidP="00B134A9">
      <w:pPr>
        <w:pStyle w:val="Bullet"/>
        <w:numPr>
          <w:ilvl w:val="0"/>
          <w:numId w:val="19"/>
        </w:numPr>
        <w:spacing w:after="200" w:line="276" w:lineRule="auto"/>
      </w:pPr>
      <w:r>
        <w:t>set</w:t>
      </w:r>
      <w:r w:rsidR="00032124">
        <w:t>s</w:t>
      </w:r>
      <w:r>
        <w:t xml:space="preserve"> out the role, functions and powers of each of the ACCC, OAIC and Data Standards Body;</w:t>
      </w:r>
    </w:p>
    <w:p w14:paraId="5269ECC4" w14:textId="6D471353" w:rsidR="00B134A9" w:rsidRDefault="00B134A9" w:rsidP="00B134A9">
      <w:pPr>
        <w:pStyle w:val="Bullet"/>
        <w:numPr>
          <w:ilvl w:val="0"/>
          <w:numId w:val="19"/>
        </w:numPr>
        <w:spacing w:after="200" w:line="276" w:lineRule="auto"/>
      </w:pPr>
      <w:r>
        <w:t>outline</w:t>
      </w:r>
      <w:r w:rsidR="00032124">
        <w:t>s</w:t>
      </w:r>
      <w:r>
        <w:t xml:space="preserve"> the overarching objectives and principles for the Consumer Data Right; </w:t>
      </w:r>
    </w:p>
    <w:p w14:paraId="44AD0A19" w14:textId="147F8288" w:rsidR="00B134A9" w:rsidRDefault="00B134A9" w:rsidP="00B134A9">
      <w:pPr>
        <w:pStyle w:val="Bullet"/>
        <w:numPr>
          <w:ilvl w:val="0"/>
          <w:numId w:val="19"/>
        </w:numPr>
        <w:spacing w:after="200" w:line="276" w:lineRule="auto"/>
      </w:pPr>
      <w:r>
        <w:t>create</w:t>
      </w:r>
      <w:r w:rsidR="00032124">
        <w:t>s</w:t>
      </w:r>
      <w:r>
        <w:t xml:space="preserve"> a power for the Treasurer to apply the Consumer Data Right to new sectors; and</w:t>
      </w:r>
    </w:p>
    <w:p w14:paraId="3D693454" w14:textId="2230D2C9" w:rsidR="00B134A9" w:rsidRDefault="00B134A9" w:rsidP="00B134A9">
      <w:pPr>
        <w:pStyle w:val="Bullet"/>
        <w:numPr>
          <w:ilvl w:val="0"/>
          <w:numId w:val="19"/>
        </w:numPr>
        <w:spacing w:after="200" w:line="276" w:lineRule="auto"/>
      </w:pPr>
      <w:proofErr w:type="gramStart"/>
      <w:r>
        <w:t>enshrine</w:t>
      </w:r>
      <w:r w:rsidR="00032124">
        <w:t>s</w:t>
      </w:r>
      <w:proofErr w:type="gramEnd"/>
      <w:r>
        <w:t xml:space="preserve"> a guaranteed minimum set of privacy protections, which </w:t>
      </w:r>
      <w:r w:rsidR="00032124">
        <w:t>are built</w:t>
      </w:r>
      <w:r>
        <w:t xml:space="preserve"> upon in the ACCC rules.</w:t>
      </w:r>
    </w:p>
    <w:p w14:paraId="67D3A5CA" w14:textId="77777777" w:rsidR="00AC4EF4" w:rsidRDefault="00AC4EF4" w:rsidP="00AC4EF4">
      <w:pPr>
        <w:pStyle w:val="Heading2"/>
      </w:pPr>
      <w:bookmarkStart w:id="95" w:name="_Toc513305788"/>
      <w:bookmarkStart w:id="96" w:name="_Toc513448716"/>
      <w:bookmarkStart w:id="97" w:name="_Toc513451738"/>
      <w:bookmarkStart w:id="98" w:name="_Toc10011491"/>
      <w:r>
        <w:t>Regulators</w:t>
      </w:r>
      <w:bookmarkEnd w:id="95"/>
      <w:bookmarkEnd w:id="96"/>
      <w:bookmarkEnd w:id="97"/>
      <w:bookmarkEnd w:id="98"/>
    </w:p>
    <w:p w14:paraId="462854E6" w14:textId="71F13A21" w:rsidR="00B134A9" w:rsidRDefault="00B134A9" w:rsidP="000855A5">
      <w:pPr>
        <w:pStyle w:val="Bullet"/>
        <w:numPr>
          <w:ilvl w:val="0"/>
          <w:numId w:val="0"/>
        </w:numPr>
      </w:pPr>
      <w:r>
        <w:t>The Consumer Data Right operate</w:t>
      </w:r>
      <w:r w:rsidR="00032124">
        <w:t>s</w:t>
      </w:r>
      <w:r>
        <w:t xml:space="preserve"> under a multi-regulator model, comprising of the Australian Competition and Consumer Commission (ACCC), the Office of the Australian Information Commissioner (OAIC), and a new Data Standards Body.</w:t>
      </w:r>
    </w:p>
    <w:p w14:paraId="0F445301" w14:textId="77777777" w:rsidR="000855A5" w:rsidRDefault="000855A5" w:rsidP="000855A5">
      <w:pPr>
        <w:pStyle w:val="Bullet"/>
        <w:numPr>
          <w:ilvl w:val="0"/>
          <w:numId w:val="0"/>
        </w:numPr>
      </w:pPr>
    </w:p>
    <w:p w14:paraId="560D97BF" w14:textId="74D3AF4D" w:rsidR="000855A5" w:rsidRDefault="000855A5" w:rsidP="000855A5">
      <w:pPr>
        <w:pStyle w:val="Bullet"/>
        <w:numPr>
          <w:ilvl w:val="0"/>
          <w:numId w:val="0"/>
        </w:numPr>
      </w:pPr>
      <w:r>
        <w:br w:type="column"/>
      </w:r>
    </w:p>
    <w:tbl>
      <w:tblPr>
        <w:tblStyle w:val="MediumGrid3-Accent3"/>
        <w:tblW w:w="0" w:type="auto"/>
        <w:tblLook w:val="04A0" w:firstRow="1" w:lastRow="0" w:firstColumn="1" w:lastColumn="0" w:noHBand="0" w:noVBand="1"/>
        <w:tblCaption w:val="Functions within the Consumer Data Right"/>
        <w:tblDescription w:val="Australian Competition and Consumer Commission (ACCC)&#10;The ACCC will advise the Treasurer which sectors should be designated. &#10;&#10;The ACCC will have rule-making responsibilities setting out the required functionality of the right in each sector. In setting rules, the ACCC will consult with the OAIC, the public, and sector specific regulators. &#10;&#10;The ACCC will set accreditation criteria and processes for data recipients, and manage the accreditation register. &#10;&#10;The ACCC will certify technical Data Standards as meeting the requirements for the right.&#10;&#10;The ACCC will take enforcement action in relation to serious or systemic breaches of the Consumer Data Right in line with its enforcement policy.&#10;&#10;Office of the Australian Information Commissioner (OAIC)&#10;The OAIC will advise the Treasurer on the privacy impacts of designating a sector. &#10;&#10;The OAIC will advise the ACCC on privacy impacts of proposed rules. &#10;&#10;The OAIC will be involved in standards setting to ensure standards meet privacy protections.&#10;&#10;The OAIC will have primary responsibility for complaint handling. The OAIC will be the first port of call for consumer complaints. They will handle complaints or direct them as applicable to the relevant external dispute resolution body, ACCC or other regulator. &#10;&#10;Data Standards Body&#10;The Data Standards Body will set technical standards relating to transmission of data, data format and security of data. &#10;&#10;These standards may be tailored to the designated sector. &#10;&#10;The standards will be formed in consultation with working groups.&#10;&#10;This function will be performed by Data61 for three years, following a review of the arrangement.&#10;"/>
      </w:tblPr>
      <w:tblGrid>
        <w:gridCol w:w="3004"/>
        <w:gridCol w:w="3003"/>
        <w:gridCol w:w="2999"/>
      </w:tblGrid>
      <w:tr w:rsidR="00B134A9" w14:paraId="070CF4A4" w14:textId="77777777" w:rsidTr="00A90B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Borders>
              <w:right w:val="single" w:sz="24" w:space="0" w:color="FFFFFF" w:themeColor="background1"/>
            </w:tcBorders>
            <w:shd w:val="clear" w:color="auto" w:fill="0074BD"/>
          </w:tcPr>
          <w:p w14:paraId="144DD1BA" w14:textId="77777777" w:rsidR="00B134A9" w:rsidRPr="005A4179" w:rsidRDefault="00B134A9" w:rsidP="0081448E">
            <w:pPr>
              <w:jc w:val="center"/>
            </w:pPr>
            <w:r w:rsidRPr="002158FA">
              <w:t xml:space="preserve">Australian Competition and Consumer Commission </w:t>
            </w:r>
            <w:r w:rsidR="001D3B5F">
              <w:br/>
            </w:r>
            <w:r w:rsidRPr="004C7E11">
              <w:t>(ACCC)</w:t>
            </w:r>
          </w:p>
        </w:tc>
        <w:tc>
          <w:tcPr>
            <w:tcW w:w="3081" w:type="dxa"/>
            <w:tcBorders>
              <w:left w:val="single" w:sz="24" w:space="0" w:color="FFFFFF" w:themeColor="background1"/>
              <w:right w:val="single" w:sz="24" w:space="0" w:color="FFFFFF" w:themeColor="background1"/>
            </w:tcBorders>
            <w:shd w:val="clear" w:color="auto" w:fill="0074BD"/>
          </w:tcPr>
          <w:p w14:paraId="08737BB4" w14:textId="77777777" w:rsidR="00B134A9" w:rsidRPr="005A4179" w:rsidRDefault="00B134A9" w:rsidP="0081448E">
            <w:pPr>
              <w:jc w:val="center"/>
              <w:cnfStyle w:val="100000000000" w:firstRow="1" w:lastRow="0" w:firstColumn="0" w:lastColumn="0" w:oddVBand="0" w:evenVBand="0" w:oddHBand="0" w:evenHBand="0" w:firstRowFirstColumn="0" w:firstRowLastColumn="0" w:lastRowFirstColumn="0" w:lastRowLastColumn="0"/>
            </w:pPr>
            <w:r w:rsidRPr="002158FA">
              <w:t>Office of the Australian Information Commissioner (OAIC)</w:t>
            </w:r>
          </w:p>
        </w:tc>
        <w:tc>
          <w:tcPr>
            <w:tcW w:w="3081" w:type="dxa"/>
            <w:tcBorders>
              <w:left w:val="single" w:sz="24" w:space="0" w:color="FFFFFF" w:themeColor="background1"/>
            </w:tcBorders>
            <w:shd w:val="clear" w:color="auto" w:fill="0074BD"/>
          </w:tcPr>
          <w:p w14:paraId="515D6588" w14:textId="77777777" w:rsidR="00B134A9" w:rsidRPr="005A4179" w:rsidRDefault="00B134A9" w:rsidP="0081448E">
            <w:pPr>
              <w:jc w:val="center"/>
              <w:cnfStyle w:val="100000000000" w:firstRow="1" w:lastRow="0" w:firstColumn="0" w:lastColumn="0" w:oddVBand="0" w:evenVBand="0" w:oddHBand="0" w:evenHBand="0" w:firstRowFirstColumn="0" w:firstRowLastColumn="0" w:lastRowFirstColumn="0" w:lastRowLastColumn="0"/>
            </w:pPr>
            <w:r w:rsidRPr="002158FA">
              <w:t>Data Standards Body</w:t>
            </w:r>
          </w:p>
        </w:tc>
      </w:tr>
      <w:tr w:rsidR="00B134A9" w14:paraId="3A5F2791" w14:textId="77777777" w:rsidTr="0081448E">
        <w:trPr>
          <w:cnfStyle w:val="000000100000" w:firstRow="0" w:lastRow="0" w:firstColumn="0" w:lastColumn="0" w:oddVBand="0" w:evenVBand="0" w:oddHBand="1" w:evenHBand="0" w:firstRowFirstColumn="0" w:firstRowLastColumn="0" w:lastRowFirstColumn="0" w:lastRowLastColumn="0"/>
          <w:trHeight w:val="6835"/>
        </w:trPr>
        <w:tc>
          <w:tcPr>
            <w:cnfStyle w:val="001000000000" w:firstRow="0" w:lastRow="0" w:firstColumn="1" w:lastColumn="0" w:oddVBand="0" w:evenVBand="0" w:oddHBand="0" w:evenHBand="0" w:firstRowFirstColumn="0" w:firstRowLastColumn="0" w:lastRowFirstColumn="0" w:lastRowLastColumn="0"/>
            <w:tcW w:w="3080" w:type="dxa"/>
            <w:shd w:val="clear" w:color="auto" w:fill="DEEAF6" w:themeFill="accent1" w:themeFillTint="33"/>
          </w:tcPr>
          <w:p w14:paraId="1711F014" w14:textId="330887A6" w:rsidR="00B134A9" w:rsidRPr="005A4179" w:rsidRDefault="00B134A9" w:rsidP="006805B5">
            <w:pPr>
              <w:rPr>
                <w:b w:val="0"/>
                <w:color w:val="auto"/>
              </w:rPr>
            </w:pPr>
            <w:r w:rsidRPr="005A4179">
              <w:rPr>
                <w:b w:val="0"/>
                <w:color w:val="auto"/>
              </w:rPr>
              <w:t>The ACCC advise</w:t>
            </w:r>
            <w:r w:rsidR="00032124">
              <w:rPr>
                <w:b w:val="0"/>
                <w:color w:val="auto"/>
              </w:rPr>
              <w:t>s</w:t>
            </w:r>
            <w:r w:rsidRPr="005A4179">
              <w:rPr>
                <w:b w:val="0"/>
                <w:color w:val="auto"/>
              </w:rPr>
              <w:t xml:space="preserve"> the Treasurer which sectors should be designated. </w:t>
            </w:r>
          </w:p>
          <w:p w14:paraId="2633E118" w14:textId="77777777" w:rsidR="00B134A9" w:rsidRPr="005A4179" w:rsidRDefault="00B134A9" w:rsidP="006805B5">
            <w:pPr>
              <w:rPr>
                <w:b w:val="0"/>
                <w:color w:val="auto"/>
              </w:rPr>
            </w:pPr>
          </w:p>
          <w:p w14:paraId="2F4F278B" w14:textId="559450C5" w:rsidR="00B134A9" w:rsidRPr="005A4179" w:rsidRDefault="00B134A9" w:rsidP="006805B5">
            <w:pPr>
              <w:rPr>
                <w:b w:val="0"/>
                <w:color w:val="auto"/>
              </w:rPr>
            </w:pPr>
            <w:r w:rsidRPr="005A4179">
              <w:rPr>
                <w:b w:val="0"/>
                <w:color w:val="auto"/>
              </w:rPr>
              <w:t xml:space="preserve">The ACCC </w:t>
            </w:r>
            <w:r w:rsidR="00032124">
              <w:rPr>
                <w:b w:val="0"/>
                <w:color w:val="auto"/>
              </w:rPr>
              <w:t>has</w:t>
            </w:r>
            <w:r w:rsidRPr="005A4179">
              <w:rPr>
                <w:b w:val="0"/>
                <w:color w:val="auto"/>
              </w:rPr>
              <w:t xml:space="preserve"> rule-making responsibilities setting out the required functionality of the right in each sector. In setting rules, the ACCC consult</w:t>
            </w:r>
            <w:r w:rsidR="00032124">
              <w:rPr>
                <w:b w:val="0"/>
                <w:color w:val="auto"/>
              </w:rPr>
              <w:t>s</w:t>
            </w:r>
            <w:r w:rsidRPr="005A4179">
              <w:rPr>
                <w:b w:val="0"/>
                <w:color w:val="auto"/>
              </w:rPr>
              <w:t xml:space="preserve"> with the OAIC, the public, and sector</w:t>
            </w:r>
            <w:r w:rsidR="001D3B5F">
              <w:rPr>
                <w:b w:val="0"/>
                <w:color w:val="auto"/>
              </w:rPr>
              <w:t xml:space="preserve"> </w:t>
            </w:r>
            <w:r w:rsidRPr="005A4179">
              <w:rPr>
                <w:b w:val="0"/>
                <w:color w:val="auto"/>
              </w:rPr>
              <w:t xml:space="preserve">specific regulators. </w:t>
            </w:r>
          </w:p>
          <w:p w14:paraId="0AACC076" w14:textId="77777777" w:rsidR="00B134A9" w:rsidRPr="005A4179" w:rsidRDefault="00B134A9" w:rsidP="006805B5">
            <w:pPr>
              <w:rPr>
                <w:b w:val="0"/>
                <w:color w:val="auto"/>
              </w:rPr>
            </w:pPr>
          </w:p>
          <w:p w14:paraId="206034DA" w14:textId="65A87F48" w:rsidR="00B134A9" w:rsidRPr="005A4179" w:rsidRDefault="00B134A9" w:rsidP="006805B5">
            <w:pPr>
              <w:rPr>
                <w:b w:val="0"/>
                <w:color w:val="auto"/>
              </w:rPr>
            </w:pPr>
            <w:r w:rsidRPr="005A4179">
              <w:rPr>
                <w:b w:val="0"/>
                <w:color w:val="auto"/>
              </w:rPr>
              <w:t xml:space="preserve">The ACCC </w:t>
            </w:r>
            <w:r w:rsidR="00032124">
              <w:rPr>
                <w:b w:val="0"/>
                <w:color w:val="auto"/>
              </w:rPr>
              <w:t>sets</w:t>
            </w:r>
            <w:r w:rsidRPr="005A4179">
              <w:rPr>
                <w:b w:val="0"/>
                <w:color w:val="auto"/>
              </w:rPr>
              <w:t xml:space="preserve"> accreditation criteria and processes for data recipients, and manage the accreditation register. </w:t>
            </w:r>
          </w:p>
          <w:p w14:paraId="300C0967" w14:textId="54975DFD" w:rsidR="00B134A9" w:rsidRPr="005A4179" w:rsidRDefault="00B134A9" w:rsidP="006805B5">
            <w:pPr>
              <w:rPr>
                <w:b w:val="0"/>
                <w:color w:val="auto"/>
              </w:rPr>
            </w:pPr>
          </w:p>
          <w:p w14:paraId="58D18CC2" w14:textId="77777777" w:rsidR="00B134A9" w:rsidRDefault="00B134A9" w:rsidP="006805B5">
            <w:r w:rsidRPr="005A4179">
              <w:rPr>
                <w:b w:val="0"/>
                <w:color w:val="auto"/>
              </w:rPr>
              <w:t>The ACCC will take enforcement action in relation to serious or systemic breaches of the Consumer Data Right in line with its enforcement policy.</w:t>
            </w:r>
          </w:p>
        </w:tc>
        <w:tc>
          <w:tcPr>
            <w:tcW w:w="3081" w:type="dxa"/>
            <w:tcBorders>
              <w:top w:val="single" w:sz="24" w:space="0" w:color="FFFFFF" w:themeColor="background1"/>
              <w:left w:val="single" w:sz="24" w:space="0" w:color="FFFFFF" w:themeColor="background1"/>
              <w:right w:val="single" w:sz="24" w:space="0" w:color="FFFFFF" w:themeColor="background1"/>
            </w:tcBorders>
            <w:shd w:val="clear" w:color="auto" w:fill="DEEAF6" w:themeFill="accent1" w:themeFillTint="33"/>
          </w:tcPr>
          <w:p w14:paraId="7A11CE3B" w14:textId="3E592876" w:rsidR="00B134A9" w:rsidRDefault="00B134A9" w:rsidP="006805B5">
            <w:pPr>
              <w:cnfStyle w:val="000000100000" w:firstRow="0" w:lastRow="0" w:firstColumn="0" w:lastColumn="0" w:oddVBand="0" w:evenVBand="0" w:oddHBand="1" w:evenHBand="0" w:firstRowFirstColumn="0" w:firstRowLastColumn="0" w:lastRowFirstColumn="0" w:lastRowLastColumn="0"/>
            </w:pPr>
            <w:r>
              <w:t xml:space="preserve">The OAIC </w:t>
            </w:r>
            <w:r w:rsidR="00032124">
              <w:t>advises</w:t>
            </w:r>
            <w:r>
              <w:t xml:space="preserve"> the Treasurer on the privacy impacts of designating a sector. </w:t>
            </w:r>
          </w:p>
          <w:p w14:paraId="1821B2E2" w14:textId="77777777" w:rsidR="00B134A9" w:rsidRDefault="00B134A9" w:rsidP="006805B5">
            <w:pPr>
              <w:cnfStyle w:val="000000100000" w:firstRow="0" w:lastRow="0" w:firstColumn="0" w:lastColumn="0" w:oddVBand="0" w:evenVBand="0" w:oddHBand="1" w:evenHBand="0" w:firstRowFirstColumn="0" w:firstRowLastColumn="0" w:lastRowFirstColumn="0" w:lastRowLastColumn="0"/>
            </w:pPr>
          </w:p>
          <w:p w14:paraId="5FD84EE8" w14:textId="03E6A476" w:rsidR="00B134A9" w:rsidRDefault="00B134A9" w:rsidP="006805B5">
            <w:pPr>
              <w:cnfStyle w:val="000000100000" w:firstRow="0" w:lastRow="0" w:firstColumn="0" w:lastColumn="0" w:oddVBand="0" w:evenVBand="0" w:oddHBand="1" w:evenHBand="0" w:firstRowFirstColumn="0" w:firstRowLastColumn="0" w:lastRowFirstColumn="0" w:lastRowLastColumn="0"/>
            </w:pPr>
            <w:r>
              <w:t xml:space="preserve">The OAIC </w:t>
            </w:r>
            <w:r w:rsidR="00032124">
              <w:t>advises</w:t>
            </w:r>
            <w:r>
              <w:t xml:space="preserve"> the ACCC on privacy impacts of proposed rules. </w:t>
            </w:r>
          </w:p>
          <w:p w14:paraId="08580D13" w14:textId="77777777" w:rsidR="00B134A9" w:rsidRDefault="00B134A9" w:rsidP="006805B5">
            <w:pPr>
              <w:cnfStyle w:val="000000100000" w:firstRow="0" w:lastRow="0" w:firstColumn="0" w:lastColumn="0" w:oddVBand="0" w:evenVBand="0" w:oddHBand="1" w:evenHBand="0" w:firstRowFirstColumn="0" w:firstRowLastColumn="0" w:lastRowFirstColumn="0" w:lastRowLastColumn="0"/>
            </w:pPr>
          </w:p>
          <w:p w14:paraId="34FA4FDE" w14:textId="712B8783" w:rsidR="00B134A9" w:rsidRDefault="00B134A9" w:rsidP="006805B5">
            <w:pPr>
              <w:cnfStyle w:val="000000100000" w:firstRow="0" w:lastRow="0" w:firstColumn="0" w:lastColumn="0" w:oddVBand="0" w:evenVBand="0" w:oddHBand="1" w:evenHBand="0" w:firstRowFirstColumn="0" w:firstRowLastColumn="0" w:lastRowFirstColumn="0" w:lastRowLastColumn="0"/>
            </w:pPr>
            <w:r>
              <w:t xml:space="preserve">The OAIC </w:t>
            </w:r>
            <w:r w:rsidR="00032124">
              <w:t>is</w:t>
            </w:r>
            <w:r>
              <w:t xml:space="preserve"> involved in standards setting to ensure standards meet privacy protections.</w:t>
            </w:r>
          </w:p>
          <w:p w14:paraId="01D6D9CF" w14:textId="77777777" w:rsidR="00B134A9" w:rsidRDefault="00B134A9" w:rsidP="006805B5">
            <w:pPr>
              <w:cnfStyle w:val="000000100000" w:firstRow="0" w:lastRow="0" w:firstColumn="0" w:lastColumn="0" w:oddVBand="0" w:evenVBand="0" w:oddHBand="1" w:evenHBand="0" w:firstRowFirstColumn="0" w:firstRowLastColumn="0" w:lastRowFirstColumn="0" w:lastRowLastColumn="0"/>
            </w:pPr>
          </w:p>
          <w:p w14:paraId="2A6E8BBA" w14:textId="77777777" w:rsidR="002522F6" w:rsidRDefault="00B134A9" w:rsidP="006805B5">
            <w:pPr>
              <w:cnfStyle w:val="000000100000" w:firstRow="0" w:lastRow="0" w:firstColumn="0" w:lastColumn="0" w:oddVBand="0" w:evenVBand="0" w:oddHBand="1" w:evenHBand="0" w:firstRowFirstColumn="0" w:firstRowLastColumn="0" w:lastRowFirstColumn="0" w:lastRowLastColumn="0"/>
            </w:pPr>
            <w:r>
              <w:t xml:space="preserve">The OAIC will have primary responsibility for complaint handling. The OAIC will be the first port of call for consumer complaints. </w:t>
            </w:r>
          </w:p>
          <w:p w14:paraId="6DF33AE2" w14:textId="77777777" w:rsidR="00147CDA" w:rsidRDefault="00147CDA" w:rsidP="006805B5">
            <w:pPr>
              <w:cnfStyle w:val="000000100000" w:firstRow="0" w:lastRow="0" w:firstColumn="0" w:lastColumn="0" w:oddVBand="0" w:evenVBand="0" w:oddHBand="1" w:evenHBand="0" w:firstRowFirstColumn="0" w:firstRowLastColumn="0" w:lastRowFirstColumn="0" w:lastRowLastColumn="0"/>
            </w:pPr>
          </w:p>
          <w:p w14:paraId="2726D88E" w14:textId="77777777" w:rsidR="00B134A9" w:rsidRDefault="00B134A9" w:rsidP="006805B5">
            <w:pPr>
              <w:cnfStyle w:val="000000100000" w:firstRow="0" w:lastRow="0" w:firstColumn="0" w:lastColumn="0" w:oddVBand="0" w:evenVBand="0" w:oddHBand="1" w:evenHBand="0" w:firstRowFirstColumn="0" w:firstRowLastColumn="0" w:lastRowFirstColumn="0" w:lastRowLastColumn="0"/>
            </w:pPr>
            <w:r>
              <w:t xml:space="preserve">They will handle complaints </w:t>
            </w:r>
            <w:r w:rsidR="002522F6">
              <w:t xml:space="preserve">from individuals and small to medium sized enterprises </w:t>
            </w:r>
            <w:r>
              <w:t xml:space="preserve">or direct them as applicable to the relevant external dispute resolution body, ACCC or other regulator. </w:t>
            </w:r>
          </w:p>
        </w:tc>
        <w:tc>
          <w:tcPr>
            <w:tcW w:w="3081" w:type="dxa"/>
            <w:tcBorders>
              <w:top w:val="single" w:sz="24" w:space="0" w:color="FFFFFF" w:themeColor="background1"/>
              <w:left w:val="single" w:sz="24" w:space="0" w:color="FFFFFF" w:themeColor="background1"/>
            </w:tcBorders>
            <w:shd w:val="clear" w:color="auto" w:fill="DEEAF6" w:themeFill="accent1" w:themeFillTint="33"/>
          </w:tcPr>
          <w:p w14:paraId="184E7B02" w14:textId="2D55F455" w:rsidR="00B134A9" w:rsidRDefault="00B134A9" w:rsidP="006805B5">
            <w:pPr>
              <w:cnfStyle w:val="000000100000" w:firstRow="0" w:lastRow="0" w:firstColumn="0" w:lastColumn="0" w:oddVBand="0" w:evenVBand="0" w:oddHBand="1" w:evenHBand="0" w:firstRowFirstColumn="0" w:firstRowLastColumn="0" w:lastRowFirstColumn="0" w:lastRowLastColumn="0"/>
            </w:pPr>
            <w:r>
              <w:t>The Data Standards Body set</w:t>
            </w:r>
            <w:r w:rsidR="00032124">
              <w:t>s</w:t>
            </w:r>
            <w:r>
              <w:t xml:space="preserve"> technical standards relating to transmission of data, data format and security of data. </w:t>
            </w:r>
          </w:p>
          <w:p w14:paraId="15D1B0C7" w14:textId="77777777" w:rsidR="00B134A9" w:rsidRDefault="00B134A9" w:rsidP="006805B5">
            <w:pPr>
              <w:cnfStyle w:val="000000100000" w:firstRow="0" w:lastRow="0" w:firstColumn="0" w:lastColumn="0" w:oddVBand="0" w:evenVBand="0" w:oddHBand="1" w:evenHBand="0" w:firstRowFirstColumn="0" w:firstRowLastColumn="0" w:lastRowFirstColumn="0" w:lastRowLastColumn="0"/>
            </w:pPr>
          </w:p>
          <w:p w14:paraId="28778CD9" w14:textId="77777777" w:rsidR="00B134A9" w:rsidRDefault="00B134A9" w:rsidP="006805B5">
            <w:pPr>
              <w:cnfStyle w:val="000000100000" w:firstRow="0" w:lastRow="0" w:firstColumn="0" w:lastColumn="0" w:oddVBand="0" w:evenVBand="0" w:oddHBand="1" w:evenHBand="0" w:firstRowFirstColumn="0" w:firstRowLastColumn="0" w:lastRowFirstColumn="0" w:lastRowLastColumn="0"/>
            </w:pPr>
            <w:r>
              <w:t xml:space="preserve">These standards may be tailored to the designated sector. </w:t>
            </w:r>
          </w:p>
          <w:p w14:paraId="0D633069" w14:textId="77777777" w:rsidR="00B134A9" w:rsidRDefault="00B134A9" w:rsidP="006805B5">
            <w:pPr>
              <w:cnfStyle w:val="000000100000" w:firstRow="0" w:lastRow="0" w:firstColumn="0" w:lastColumn="0" w:oddVBand="0" w:evenVBand="0" w:oddHBand="1" w:evenHBand="0" w:firstRowFirstColumn="0" w:firstRowLastColumn="0" w:lastRowFirstColumn="0" w:lastRowLastColumn="0"/>
            </w:pPr>
          </w:p>
          <w:p w14:paraId="3144DBE0" w14:textId="0AE14CB0" w:rsidR="00B134A9" w:rsidRDefault="00B134A9" w:rsidP="006805B5">
            <w:pPr>
              <w:cnfStyle w:val="000000100000" w:firstRow="0" w:lastRow="0" w:firstColumn="0" w:lastColumn="0" w:oddVBand="0" w:evenVBand="0" w:oddHBand="1" w:evenHBand="0" w:firstRowFirstColumn="0" w:firstRowLastColumn="0" w:lastRowFirstColumn="0" w:lastRowLastColumn="0"/>
            </w:pPr>
            <w:r>
              <w:t xml:space="preserve">The standards </w:t>
            </w:r>
            <w:r w:rsidR="00032124">
              <w:t>are</w:t>
            </w:r>
            <w:r>
              <w:t xml:space="preserve"> formed in consultation with working groups.</w:t>
            </w:r>
          </w:p>
          <w:p w14:paraId="39B3EEE7" w14:textId="77777777" w:rsidR="00B134A9" w:rsidRDefault="00B134A9" w:rsidP="006805B5">
            <w:pPr>
              <w:cnfStyle w:val="000000100000" w:firstRow="0" w:lastRow="0" w:firstColumn="0" w:lastColumn="0" w:oddVBand="0" w:evenVBand="0" w:oddHBand="1" w:evenHBand="0" w:firstRowFirstColumn="0" w:firstRowLastColumn="0" w:lastRowFirstColumn="0" w:lastRowLastColumn="0"/>
            </w:pPr>
          </w:p>
          <w:p w14:paraId="46E0D52E" w14:textId="77777777" w:rsidR="00B134A9" w:rsidRDefault="00B134A9" w:rsidP="006805B5">
            <w:pPr>
              <w:cnfStyle w:val="000000100000" w:firstRow="0" w:lastRow="0" w:firstColumn="0" w:lastColumn="0" w:oddVBand="0" w:evenVBand="0" w:oddHBand="1" w:evenHBand="0" w:firstRowFirstColumn="0" w:firstRowLastColumn="0" w:lastRowFirstColumn="0" w:lastRowLastColumn="0"/>
            </w:pPr>
            <w:r>
              <w:t xml:space="preserve">This function will be performed by Data61 for three years, </w:t>
            </w:r>
            <w:r w:rsidR="00700A3A">
              <w:t>during which there will be</w:t>
            </w:r>
            <w:r>
              <w:t xml:space="preserve"> a review of the arrangement.</w:t>
            </w:r>
          </w:p>
        </w:tc>
      </w:tr>
    </w:tbl>
    <w:p w14:paraId="6F7DC80E" w14:textId="77777777" w:rsidR="00B134A9" w:rsidRPr="00783CB4" w:rsidRDefault="00B134A9" w:rsidP="00B134A9">
      <w:pPr>
        <w:pStyle w:val="Bullet"/>
        <w:numPr>
          <w:ilvl w:val="0"/>
          <w:numId w:val="0"/>
        </w:numPr>
        <w:spacing w:before="120"/>
      </w:pPr>
      <w:r w:rsidRPr="00783CB4">
        <w:t xml:space="preserve">The Treasurer </w:t>
      </w:r>
      <w:r>
        <w:t>has overarching responsibility</w:t>
      </w:r>
      <w:r w:rsidRPr="00783CB4">
        <w:t xml:space="preserve"> for the design and implementation of the overall </w:t>
      </w:r>
      <w:r>
        <w:t>C</w:t>
      </w:r>
      <w:r w:rsidRPr="00783CB4">
        <w:t xml:space="preserve">onsumer </w:t>
      </w:r>
      <w:r>
        <w:t>D</w:t>
      </w:r>
      <w:r w:rsidRPr="00783CB4">
        <w:t xml:space="preserve">ata </w:t>
      </w:r>
      <w:r>
        <w:t>R</w:t>
      </w:r>
      <w:r w:rsidRPr="00783CB4">
        <w:t xml:space="preserve">ight framework. </w:t>
      </w:r>
    </w:p>
    <w:p w14:paraId="4770ADE2" w14:textId="47B802DE" w:rsidR="00B134A9" w:rsidRPr="00783CB4" w:rsidRDefault="006D1520" w:rsidP="00B134A9">
      <w:pPr>
        <w:pStyle w:val="Bullet"/>
        <w:numPr>
          <w:ilvl w:val="0"/>
          <w:numId w:val="0"/>
        </w:numPr>
      </w:pPr>
      <w:r>
        <w:t>T</w:t>
      </w:r>
      <w:r w:rsidR="00B134A9" w:rsidRPr="00783CB4">
        <w:t xml:space="preserve">he Treasurer </w:t>
      </w:r>
      <w:r>
        <w:t>has</w:t>
      </w:r>
      <w:r w:rsidR="00B134A9" w:rsidRPr="00783CB4">
        <w:t xml:space="preserve"> a direct role in</w:t>
      </w:r>
      <w:r w:rsidR="00B134A9">
        <w:t xml:space="preserve"> </w:t>
      </w:r>
      <w:r w:rsidR="00B134A9" w:rsidRPr="00783CB4">
        <w:t>designating new sectors</w:t>
      </w:r>
      <w:r w:rsidR="00B134A9">
        <w:t xml:space="preserve">, </w:t>
      </w:r>
      <w:r w:rsidR="00B134A9" w:rsidRPr="00783CB4">
        <w:t>consenting to ACCC made rules and</w:t>
      </w:r>
      <w:r w:rsidR="00B134A9">
        <w:t xml:space="preserve"> </w:t>
      </w:r>
      <w:r w:rsidR="00B134A9" w:rsidRPr="00783CB4">
        <w:t>appointing the Chair of the Data Standards Body.</w:t>
      </w:r>
    </w:p>
    <w:p w14:paraId="48CB870D" w14:textId="416E2553" w:rsidR="00B134A9" w:rsidRPr="00F96688" w:rsidRDefault="00B134A9" w:rsidP="00B134A9">
      <w:pPr>
        <w:pStyle w:val="Bullet"/>
        <w:numPr>
          <w:ilvl w:val="0"/>
          <w:numId w:val="0"/>
        </w:numPr>
      </w:pPr>
      <w:r w:rsidRPr="00783CB4">
        <w:t xml:space="preserve">The Treasurer </w:t>
      </w:r>
      <w:r w:rsidR="006D1520">
        <w:t>works</w:t>
      </w:r>
      <w:r w:rsidRPr="00783CB4">
        <w:t xml:space="preserve"> in conjunction with the Attorney-General where the right impact</w:t>
      </w:r>
      <w:r w:rsidR="006D1520">
        <w:t>s</w:t>
      </w:r>
      <w:r w:rsidRPr="00783CB4">
        <w:t xml:space="preserve"> privacy policy. </w:t>
      </w:r>
    </w:p>
    <w:p w14:paraId="4308D04B" w14:textId="7B259108" w:rsidR="00B134A9" w:rsidRPr="00783CB4" w:rsidRDefault="00B134A9" w:rsidP="00B134A9">
      <w:pPr>
        <w:pStyle w:val="Bullet"/>
        <w:numPr>
          <w:ilvl w:val="0"/>
          <w:numId w:val="0"/>
        </w:numPr>
      </w:pPr>
      <w:r w:rsidRPr="00783CB4">
        <w:t>The Treasurer consult</w:t>
      </w:r>
      <w:r w:rsidR="006D1520">
        <w:t>s</w:t>
      </w:r>
      <w:r w:rsidRPr="00783CB4">
        <w:t xml:space="preserve"> with those Ministers who have portfolio responsibility for relevant sectors</w:t>
      </w:r>
      <w:r>
        <w:t xml:space="preserve"> </w:t>
      </w:r>
      <w:r w:rsidRPr="00783CB4">
        <w:t>when carrying out the sector designation function or</w:t>
      </w:r>
      <w:r>
        <w:t xml:space="preserve"> </w:t>
      </w:r>
      <w:r w:rsidRPr="00783CB4">
        <w:t>where rules may have significant policy impacts on a given sector.</w:t>
      </w:r>
    </w:p>
    <w:p w14:paraId="442BAD87" w14:textId="77777777" w:rsidR="00AF38CA" w:rsidRDefault="00AF38CA">
      <w:pPr>
        <w:spacing w:before="0" w:after="160" w:line="259" w:lineRule="auto"/>
        <w:rPr>
          <w:rFonts w:cs="Arial"/>
          <w:iCs/>
          <w:color w:val="004A7F"/>
          <w:kern w:val="32"/>
          <w:sz w:val="36"/>
          <w:szCs w:val="28"/>
        </w:rPr>
      </w:pPr>
      <w:bookmarkStart w:id="99" w:name="_Toc513028529"/>
      <w:bookmarkStart w:id="100" w:name="_Toc513032634"/>
      <w:r>
        <w:br w:type="page"/>
      </w:r>
    </w:p>
    <w:p w14:paraId="5AACFD8A" w14:textId="77777777" w:rsidR="00B134A9" w:rsidRDefault="00350421" w:rsidP="00B134A9">
      <w:pPr>
        <w:pStyle w:val="Heading2"/>
      </w:pPr>
      <w:bookmarkStart w:id="101" w:name="_Toc513305789"/>
      <w:bookmarkStart w:id="102" w:name="_Toc513448717"/>
      <w:bookmarkStart w:id="103" w:name="_Toc513451739"/>
      <w:bookmarkStart w:id="104" w:name="_Toc10011492"/>
      <w:bookmarkEnd w:id="99"/>
      <w:bookmarkEnd w:id="100"/>
      <w:r>
        <w:lastRenderedPageBreak/>
        <w:t>Sectoral assessments</w:t>
      </w:r>
      <w:bookmarkEnd w:id="101"/>
      <w:bookmarkEnd w:id="102"/>
      <w:bookmarkEnd w:id="103"/>
      <w:bookmarkEnd w:id="104"/>
    </w:p>
    <w:p w14:paraId="39878DBF" w14:textId="77777777" w:rsidR="00B134A9" w:rsidRPr="00C400CA" w:rsidRDefault="00B134A9" w:rsidP="00B134A9">
      <w:pPr>
        <w:pStyle w:val="Bullet"/>
        <w:numPr>
          <w:ilvl w:val="0"/>
          <w:numId w:val="0"/>
        </w:numPr>
        <w:spacing w:before="120"/>
        <w:rPr>
          <w:b/>
        </w:rPr>
      </w:pPr>
      <w:r w:rsidRPr="00C400CA">
        <w:rPr>
          <w:b/>
        </w:rPr>
        <w:t>Sectoral assessment and designation</w:t>
      </w:r>
    </w:p>
    <w:p w14:paraId="2055A078" w14:textId="23593420" w:rsidR="00B134A9" w:rsidRPr="00783CB4" w:rsidRDefault="00B134A9" w:rsidP="00B134A9">
      <w:pPr>
        <w:pStyle w:val="Bullet"/>
        <w:numPr>
          <w:ilvl w:val="0"/>
          <w:numId w:val="0"/>
        </w:numPr>
      </w:pPr>
      <w:r w:rsidRPr="00783CB4">
        <w:t xml:space="preserve">The Government has decided that </w:t>
      </w:r>
      <w:r>
        <w:t>b</w:t>
      </w:r>
      <w:r w:rsidRPr="00783CB4">
        <w:t>anking will be the first sector</w:t>
      </w:r>
      <w:r w:rsidR="00F60B75">
        <w:t xml:space="preserve"> to which</w:t>
      </w:r>
      <w:r w:rsidRPr="00783CB4">
        <w:t xml:space="preserve"> </w:t>
      </w:r>
      <w:r>
        <w:t xml:space="preserve">the Consumer Data Right will apply, where it will be known as Open Banking. Open Banking will be </w:t>
      </w:r>
      <w:r w:rsidRPr="00783CB4">
        <w:t>followed by</w:t>
      </w:r>
      <w:r>
        <w:t xml:space="preserve"> application of the Consumer Data Right to</w:t>
      </w:r>
      <w:r w:rsidRPr="00783CB4">
        <w:t xml:space="preserve"> the energy and telecommunications sectors. </w:t>
      </w:r>
    </w:p>
    <w:p w14:paraId="0FF9EB65" w14:textId="30317CA7" w:rsidR="00B134A9" w:rsidRPr="00783CB4" w:rsidRDefault="00B134A9" w:rsidP="00B134A9">
      <w:pPr>
        <w:pStyle w:val="Bullet"/>
        <w:numPr>
          <w:ilvl w:val="0"/>
          <w:numId w:val="0"/>
        </w:numPr>
      </w:pPr>
      <w:r w:rsidRPr="00783CB4">
        <w:t>Future sectors of the economy which will become part of the C</w:t>
      </w:r>
      <w:r>
        <w:t>onsumer Data Right</w:t>
      </w:r>
      <w:r w:rsidRPr="00783CB4">
        <w:t xml:space="preserve"> will be identified through sectoral assessment</w:t>
      </w:r>
      <w:r>
        <w:t>s</w:t>
      </w:r>
      <w:r w:rsidRPr="00783CB4">
        <w:t xml:space="preserve"> conducted by the ACCC. The ACCC may </w:t>
      </w:r>
      <w:r w:rsidR="00F60B75">
        <w:t>conduct</w:t>
      </w:r>
      <w:r w:rsidR="00F60B75" w:rsidRPr="00783CB4">
        <w:t xml:space="preserve"> </w:t>
      </w:r>
      <w:r w:rsidRPr="00783CB4">
        <w:t>a sectoral assessment on its own initiative or at the request of the Treasurer.</w:t>
      </w:r>
    </w:p>
    <w:p w14:paraId="01C84654" w14:textId="3FF90FBF" w:rsidR="00B134A9" w:rsidRPr="00783CB4" w:rsidRDefault="00B134A9" w:rsidP="00B134A9">
      <w:pPr>
        <w:pStyle w:val="Bullet"/>
        <w:numPr>
          <w:ilvl w:val="0"/>
          <w:numId w:val="0"/>
        </w:numPr>
      </w:pPr>
      <w:r w:rsidRPr="00783CB4">
        <w:t>Following a sectoral assessment, the ACCC advise</w:t>
      </w:r>
      <w:r w:rsidR="006D1520">
        <w:t>s</w:t>
      </w:r>
      <w:r w:rsidRPr="00783CB4">
        <w:t xml:space="preserve"> the Treasurer </w:t>
      </w:r>
      <w:r>
        <w:t xml:space="preserve">on </w:t>
      </w:r>
      <w:r w:rsidRPr="00783CB4">
        <w:t xml:space="preserve">whether to designate a sector. The OAIC </w:t>
      </w:r>
      <w:r w:rsidR="006D1520">
        <w:t>aids</w:t>
      </w:r>
      <w:r>
        <w:t xml:space="preserve"> </w:t>
      </w:r>
      <w:r w:rsidR="006D1520">
        <w:t xml:space="preserve">the ACCC in its assessment and </w:t>
      </w:r>
      <w:r w:rsidRPr="00783CB4">
        <w:t>also advise</w:t>
      </w:r>
      <w:r w:rsidR="006D1520">
        <w:t>s</w:t>
      </w:r>
      <w:r w:rsidRPr="00783CB4">
        <w:t xml:space="preserve"> the Treasurer</w:t>
      </w:r>
      <w:r>
        <w:t xml:space="preserve"> regarding the</w:t>
      </w:r>
      <w:r w:rsidRPr="00783CB4">
        <w:t xml:space="preserve"> privacy impacts</w:t>
      </w:r>
      <w:r>
        <w:t xml:space="preserve"> of designating a sector</w:t>
      </w:r>
      <w:r w:rsidRPr="00783CB4">
        <w:t xml:space="preserve">.  </w:t>
      </w:r>
    </w:p>
    <w:p w14:paraId="7B3EC6AD" w14:textId="07606429" w:rsidR="00B134A9" w:rsidRDefault="00B134A9" w:rsidP="00B134A9">
      <w:pPr>
        <w:pStyle w:val="Bullet"/>
        <w:numPr>
          <w:ilvl w:val="0"/>
          <w:numId w:val="0"/>
        </w:numPr>
      </w:pPr>
      <w:r w:rsidRPr="00783CB4">
        <w:t>The Treasurer then determine</w:t>
      </w:r>
      <w:r w:rsidR="006D1520">
        <w:t>s</w:t>
      </w:r>
      <w:r w:rsidRPr="00783CB4">
        <w:t xml:space="preserve"> whether to designate a sector. Under that process, the Treasurer determine</w:t>
      </w:r>
      <w:r w:rsidR="006D1520">
        <w:t>s</w:t>
      </w:r>
      <w:r w:rsidRPr="00783CB4">
        <w:t xml:space="preserve">, on advice from the ACCC and OAIC, whether the benefits </w:t>
      </w:r>
      <w:r>
        <w:t xml:space="preserve">of </w:t>
      </w:r>
      <w:r w:rsidRPr="00783CB4">
        <w:t>designating a sector outweigh the costs. This involve</w:t>
      </w:r>
      <w:r w:rsidR="006D1520">
        <w:t>s</w:t>
      </w:r>
      <w:r w:rsidRPr="00783CB4">
        <w:t xml:space="preserve"> </w:t>
      </w:r>
      <w:r>
        <w:t>consideration</w:t>
      </w:r>
      <w:r w:rsidRPr="00783CB4">
        <w:t xml:space="preserve"> of</w:t>
      </w:r>
      <w:r>
        <w:t>:</w:t>
      </w:r>
    </w:p>
    <w:p w14:paraId="3258C39A" w14:textId="77777777" w:rsidR="00B134A9" w:rsidRPr="008D3352" w:rsidRDefault="00B134A9" w:rsidP="00AF38CA">
      <w:pPr>
        <w:pStyle w:val="Bullet"/>
        <w:numPr>
          <w:ilvl w:val="0"/>
          <w:numId w:val="19"/>
        </w:numPr>
        <w:tabs>
          <w:tab w:val="clear" w:pos="520"/>
        </w:tabs>
        <w:spacing w:after="200" w:line="276" w:lineRule="auto"/>
        <w:ind w:left="1134"/>
      </w:pPr>
      <w:r w:rsidRPr="008D3352">
        <w:t>likely impacts upon consumers;</w:t>
      </w:r>
    </w:p>
    <w:p w14:paraId="1254B2CE" w14:textId="77777777" w:rsidR="00B134A9" w:rsidRPr="008D3352" w:rsidRDefault="00B134A9" w:rsidP="00AF38CA">
      <w:pPr>
        <w:pStyle w:val="Bullet"/>
        <w:numPr>
          <w:ilvl w:val="0"/>
          <w:numId w:val="19"/>
        </w:numPr>
        <w:tabs>
          <w:tab w:val="clear" w:pos="520"/>
        </w:tabs>
        <w:spacing w:after="200" w:line="276" w:lineRule="auto"/>
        <w:ind w:left="1134"/>
      </w:pPr>
      <w:r w:rsidRPr="008D3352">
        <w:t>likely impacts upon relevant markets, including upon market efficiency, integrity and safety;</w:t>
      </w:r>
    </w:p>
    <w:p w14:paraId="565C43BB" w14:textId="77777777" w:rsidR="00B134A9" w:rsidRPr="008D3352" w:rsidRDefault="00B134A9" w:rsidP="00AF38CA">
      <w:pPr>
        <w:pStyle w:val="Bullet"/>
        <w:numPr>
          <w:ilvl w:val="0"/>
          <w:numId w:val="19"/>
        </w:numPr>
        <w:tabs>
          <w:tab w:val="clear" w:pos="520"/>
        </w:tabs>
        <w:spacing w:after="200" w:line="276" w:lineRule="auto"/>
        <w:ind w:left="1134"/>
      </w:pPr>
      <w:r w:rsidRPr="008D3352">
        <w:t>likely impacts upon privacy for individuals and confidentiality for businesses;</w:t>
      </w:r>
    </w:p>
    <w:p w14:paraId="3FD728D7" w14:textId="77777777" w:rsidR="00ED3B2C" w:rsidRDefault="00B134A9" w:rsidP="00AF38CA">
      <w:pPr>
        <w:pStyle w:val="Bullet"/>
        <w:numPr>
          <w:ilvl w:val="0"/>
          <w:numId w:val="19"/>
        </w:numPr>
        <w:tabs>
          <w:tab w:val="clear" w:pos="520"/>
        </w:tabs>
        <w:spacing w:after="200" w:line="276" w:lineRule="auto"/>
        <w:ind w:left="1134"/>
      </w:pPr>
      <w:r w:rsidRPr="008D3352">
        <w:t>likely regulatory impact of consumer data rules;</w:t>
      </w:r>
    </w:p>
    <w:p w14:paraId="2C9F2DEF" w14:textId="30D5BC28" w:rsidR="00B134A9" w:rsidRPr="008D3352" w:rsidRDefault="00ED3B2C" w:rsidP="00AF38CA">
      <w:pPr>
        <w:pStyle w:val="Bullet"/>
        <w:numPr>
          <w:ilvl w:val="0"/>
          <w:numId w:val="19"/>
        </w:numPr>
        <w:tabs>
          <w:tab w:val="clear" w:pos="520"/>
        </w:tabs>
        <w:spacing w:after="200" w:line="276" w:lineRule="auto"/>
        <w:ind w:left="1134"/>
      </w:pPr>
      <w:r>
        <w:t>likely impacts on intellectual property rights;</w:t>
      </w:r>
      <w:r w:rsidR="00B134A9" w:rsidRPr="008D3352">
        <w:t xml:space="preserve"> and</w:t>
      </w:r>
    </w:p>
    <w:p w14:paraId="71B1EADC" w14:textId="77777777" w:rsidR="00B134A9" w:rsidRPr="008D3352" w:rsidRDefault="00B134A9" w:rsidP="00AF38CA">
      <w:pPr>
        <w:pStyle w:val="Bullet"/>
        <w:numPr>
          <w:ilvl w:val="0"/>
          <w:numId w:val="19"/>
        </w:numPr>
        <w:tabs>
          <w:tab w:val="clear" w:pos="520"/>
        </w:tabs>
        <w:spacing w:after="200" w:line="276" w:lineRule="auto"/>
        <w:ind w:left="1134"/>
      </w:pPr>
      <w:proofErr w:type="gramStart"/>
      <w:r w:rsidRPr="008D3352">
        <w:t>any</w:t>
      </w:r>
      <w:proofErr w:type="gramEnd"/>
      <w:r w:rsidRPr="008D3352">
        <w:t xml:space="preserve"> other relevant matters.</w:t>
      </w:r>
    </w:p>
    <w:p w14:paraId="518BED3C" w14:textId="6AEA3268" w:rsidR="00B134A9" w:rsidRDefault="00B134A9" w:rsidP="00B134A9">
      <w:r>
        <w:t>In particular, in considering a designation</w:t>
      </w:r>
      <w:r w:rsidR="00147CDA">
        <w:t>, the Treasurer</w:t>
      </w:r>
      <w:r>
        <w:t xml:space="preserve"> </w:t>
      </w:r>
      <w:r w:rsidR="006D1520">
        <w:t>has</w:t>
      </w:r>
      <w:r>
        <w:t xml:space="preserve"> regard to the promotion of competition and data driven innovation in the Australian economy. </w:t>
      </w:r>
    </w:p>
    <w:p w14:paraId="0019059F" w14:textId="77777777" w:rsidR="00B134A9" w:rsidRPr="00783CB4" w:rsidRDefault="00B134A9" w:rsidP="00B134A9">
      <w:pPr>
        <w:pStyle w:val="Bullet"/>
        <w:numPr>
          <w:ilvl w:val="0"/>
          <w:numId w:val="0"/>
        </w:numPr>
      </w:pPr>
      <w:r w:rsidRPr="00783CB4">
        <w:t xml:space="preserve">A ‘sector’ designation is more specifically a designation of the classes of entity and data in relation to which the right will apply; and may not align with what is traditionally </w:t>
      </w:r>
      <w:r w:rsidR="001D3B5F">
        <w:t>considered</w:t>
      </w:r>
      <w:r w:rsidRPr="00783CB4">
        <w:t xml:space="preserve"> an industry sector.</w:t>
      </w:r>
    </w:p>
    <w:p w14:paraId="5AF94AAD" w14:textId="1CEDC5E2" w:rsidR="00B134A9" w:rsidRPr="00783CB4" w:rsidRDefault="00B134A9" w:rsidP="00B134A9">
      <w:pPr>
        <w:pStyle w:val="Bullet"/>
        <w:numPr>
          <w:ilvl w:val="0"/>
          <w:numId w:val="0"/>
        </w:numPr>
      </w:pPr>
      <w:r w:rsidRPr="00783CB4">
        <w:t xml:space="preserve">The </w:t>
      </w:r>
      <w:r w:rsidR="006D1520" w:rsidRPr="006D1520">
        <w:rPr>
          <w:i/>
        </w:rPr>
        <w:t>Treasury Laws Amendment (Consumer Data Right) Act 2019</w:t>
      </w:r>
      <w:r w:rsidRPr="00783CB4">
        <w:t xml:space="preserve"> </w:t>
      </w:r>
      <w:r w:rsidR="006D1520">
        <w:t>sets</w:t>
      </w:r>
      <w:r w:rsidRPr="00783CB4">
        <w:t xml:space="preserve"> out the processes and the criteria which the Treasurer must consider when making a designation.</w:t>
      </w:r>
    </w:p>
    <w:p w14:paraId="28B2A53E" w14:textId="77777777" w:rsidR="00B134A9" w:rsidRDefault="00350421" w:rsidP="00B134A9">
      <w:pPr>
        <w:pStyle w:val="Heading2"/>
      </w:pPr>
      <w:bookmarkStart w:id="105" w:name="_Toc513305790"/>
      <w:bookmarkStart w:id="106" w:name="_Toc513028530"/>
      <w:bookmarkStart w:id="107" w:name="_Toc513032635"/>
      <w:bookmarkStart w:id="108" w:name="_Toc513117251"/>
      <w:bookmarkStart w:id="109" w:name="_Toc513448718"/>
      <w:bookmarkStart w:id="110" w:name="_Toc513451740"/>
      <w:bookmarkStart w:id="111" w:name="_Toc10011493"/>
      <w:r>
        <w:t>R</w:t>
      </w:r>
      <w:r w:rsidR="00B134A9">
        <w:t>ules</w:t>
      </w:r>
      <w:bookmarkEnd w:id="105"/>
      <w:bookmarkEnd w:id="106"/>
      <w:bookmarkEnd w:id="107"/>
      <w:bookmarkEnd w:id="108"/>
      <w:bookmarkEnd w:id="109"/>
      <w:bookmarkEnd w:id="110"/>
      <w:bookmarkEnd w:id="111"/>
    </w:p>
    <w:p w14:paraId="687A0D31" w14:textId="54BFA4D3" w:rsidR="00B134A9" w:rsidRDefault="006D1520" w:rsidP="00B134A9">
      <w:pPr>
        <w:pStyle w:val="Bullet"/>
        <w:numPr>
          <w:ilvl w:val="0"/>
          <w:numId w:val="0"/>
        </w:numPr>
        <w:spacing w:before="120"/>
      </w:pPr>
      <w:r>
        <w:t>Once a sector is designated, t</w:t>
      </w:r>
      <w:r w:rsidR="00B134A9">
        <w:t xml:space="preserve">he ACCC </w:t>
      </w:r>
      <w:r>
        <w:t>has</w:t>
      </w:r>
      <w:r w:rsidR="00B134A9">
        <w:t xml:space="preserve"> the power to make rules determining the rights and obligations of participants under the Consumer Data Right in a given sector.</w:t>
      </w:r>
    </w:p>
    <w:p w14:paraId="2D59108E" w14:textId="2F9C289F" w:rsidR="00B134A9" w:rsidRDefault="00B134A9" w:rsidP="00B134A9">
      <w:pPr>
        <w:pStyle w:val="Bullet"/>
        <w:numPr>
          <w:ilvl w:val="0"/>
          <w:numId w:val="0"/>
        </w:numPr>
      </w:pPr>
      <w:r>
        <w:t xml:space="preserve">The rules complement the principle-based legislative provisions and specify what needs to be achieved in each sector, in terms of processes and outcomes. </w:t>
      </w:r>
    </w:p>
    <w:p w14:paraId="4CDCE5D0" w14:textId="316495E4" w:rsidR="00B134A9" w:rsidRDefault="006D1520" w:rsidP="00B134A9">
      <w:pPr>
        <w:pStyle w:val="Bullet"/>
        <w:numPr>
          <w:ilvl w:val="0"/>
          <w:numId w:val="0"/>
        </w:numPr>
      </w:pPr>
      <w:r>
        <w:t>The ACCC develops the r</w:t>
      </w:r>
      <w:r w:rsidR="00B134A9">
        <w:t xml:space="preserve">ules </w:t>
      </w:r>
      <w:r>
        <w:t xml:space="preserve">in consultation with the OAIC, the </w:t>
      </w:r>
      <w:r w:rsidR="00B134A9">
        <w:t xml:space="preserve">public, </w:t>
      </w:r>
      <w:r>
        <w:t xml:space="preserve">and </w:t>
      </w:r>
      <w:r w:rsidR="00B134A9">
        <w:t>relevant regulatory agencies</w:t>
      </w:r>
      <w:r>
        <w:t>. The rules cannot be legally made until the Treasurer has given his or her consent.</w:t>
      </w:r>
      <w:r w:rsidR="00B134A9">
        <w:t xml:space="preserve"> Once agreed</w:t>
      </w:r>
      <w:r>
        <w:t xml:space="preserve"> by the Treasurer</w:t>
      </w:r>
      <w:r w:rsidR="00B134A9">
        <w:t xml:space="preserve">, the ACCC </w:t>
      </w:r>
      <w:r>
        <w:t>publishes</w:t>
      </w:r>
      <w:r w:rsidR="00B134A9">
        <w:t xml:space="preserve"> the rules. The</w:t>
      </w:r>
      <w:r>
        <w:t xml:space="preserve"> rules</w:t>
      </w:r>
      <w:r w:rsidR="00B134A9">
        <w:t xml:space="preserve"> </w:t>
      </w:r>
      <w:r>
        <w:t>are</w:t>
      </w:r>
      <w:r w:rsidR="00B134A9">
        <w:t xml:space="preserve"> subject to disallowance by Parliament. </w:t>
      </w:r>
    </w:p>
    <w:p w14:paraId="51692850" w14:textId="77777777" w:rsidR="00B134A9" w:rsidRDefault="00B134A9" w:rsidP="00B134A9">
      <w:pPr>
        <w:pStyle w:val="Bullet"/>
        <w:numPr>
          <w:ilvl w:val="0"/>
          <w:numId w:val="0"/>
        </w:numPr>
        <w:ind w:left="520" w:hanging="520"/>
      </w:pPr>
      <w:r>
        <w:t xml:space="preserve">The rules may impose requirements in relation to a range </w:t>
      </w:r>
      <w:r w:rsidR="00147CDA">
        <w:t>of</w:t>
      </w:r>
      <w:r>
        <w:t xml:space="preserve"> issues, including:</w:t>
      </w:r>
    </w:p>
    <w:p w14:paraId="4A3C7767" w14:textId="12A02AE4" w:rsidR="00B134A9" w:rsidRDefault="00B134A9" w:rsidP="000855A5">
      <w:pPr>
        <w:pStyle w:val="Bullet"/>
        <w:numPr>
          <w:ilvl w:val="0"/>
          <w:numId w:val="19"/>
        </w:numPr>
        <w:tabs>
          <w:tab w:val="clear" w:pos="520"/>
        </w:tabs>
        <w:spacing w:line="276" w:lineRule="auto"/>
        <w:ind w:left="1134" w:hanging="522"/>
      </w:pPr>
      <w:r>
        <w:lastRenderedPageBreak/>
        <w:t>refinement of the coverage of the right in a given sector, within the bounds of the Treasurer’s sector designation (i.e</w:t>
      </w:r>
      <w:r w:rsidR="00ED3B2C">
        <w:t>.</w:t>
      </w:r>
      <w:r>
        <w:t xml:space="preserve"> affected data sets, the holders and recipients);</w:t>
      </w:r>
    </w:p>
    <w:p w14:paraId="0CBD8B4E" w14:textId="77777777" w:rsidR="00B134A9" w:rsidRDefault="00B134A9" w:rsidP="000855A5">
      <w:pPr>
        <w:pStyle w:val="Bullet"/>
        <w:numPr>
          <w:ilvl w:val="0"/>
          <w:numId w:val="19"/>
        </w:numPr>
        <w:tabs>
          <w:tab w:val="clear" w:pos="520"/>
        </w:tabs>
        <w:spacing w:line="276" w:lineRule="auto"/>
        <w:ind w:left="1134" w:hanging="522"/>
      </w:pPr>
      <w:r>
        <w:t>consumer authorisations to transfer data from the original or subsequent data holders (including consumer identification and consent requirements);</w:t>
      </w:r>
    </w:p>
    <w:p w14:paraId="5E95DD7D" w14:textId="77777777" w:rsidR="00B134A9" w:rsidRDefault="00B134A9" w:rsidP="000855A5">
      <w:pPr>
        <w:pStyle w:val="Bullet"/>
        <w:numPr>
          <w:ilvl w:val="0"/>
          <w:numId w:val="19"/>
        </w:numPr>
        <w:tabs>
          <w:tab w:val="clear" w:pos="520"/>
        </w:tabs>
        <w:spacing w:line="276" w:lineRule="auto"/>
        <w:ind w:left="1134" w:hanging="522"/>
      </w:pPr>
      <w:r>
        <w:t xml:space="preserve">safe and efficient data transfer; </w:t>
      </w:r>
    </w:p>
    <w:p w14:paraId="365F006B" w14:textId="77777777" w:rsidR="00B134A9" w:rsidRDefault="00B134A9" w:rsidP="000855A5">
      <w:pPr>
        <w:pStyle w:val="Bullet"/>
        <w:numPr>
          <w:ilvl w:val="0"/>
          <w:numId w:val="19"/>
        </w:numPr>
        <w:tabs>
          <w:tab w:val="clear" w:pos="520"/>
        </w:tabs>
        <w:spacing w:line="276" w:lineRule="auto"/>
        <w:ind w:left="1134" w:hanging="522"/>
      </w:pPr>
      <w:r>
        <w:t>consumer permissions to use data;</w:t>
      </w:r>
    </w:p>
    <w:p w14:paraId="759FD3F2" w14:textId="77777777" w:rsidR="00B134A9" w:rsidRDefault="00B134A9" w:rsidP="000855A5">
      <w:pPr>
        <w:pStyle w:val="Bullet"/>
        <w:numPr>
          <w:ilvl w:val="0"/>
          <w:numId w:val="19"/>
        </w:numPr>
        <w:tabs>
          <w:tab w:val="clear" w:pos="520"/>
        </w:tabs>
        <w:spacing w:line="276" w:lineRule="auto"/>
        <w:ind w:left="1134" w:hanging="522"/>
      </w:pPr>
      <w:r>
        <w:t>security and confidentiality protections;</w:t>
      </w:r>
    </w:p>
    <w:p w14:paraId="0F92EB45" w14:textId="77777777" w:rsidR="00B134A9" w:rsidRDefault="00B134A9" w:rsidP="000855A5">
      <w:pPr>
        <w:pStyle w:val="Bullet"/>
        <w:numPr>
          <w:ilvl w:val="0"/>
          <w:numId w:val="19"/>
        </w:numPr>
        <w:tabs>
          <w:tab w:val="clear" w:pos="520"/>
        </w:tabs>
        <w:spacing w:line="276" w:lineRule="auto"/>
        <w:ind w:left="1134" w:hanging="522"/>
      </w:pPr>
      <w:r>
        <w:t>accreditation requirements for data recipients and accreditation processes;</w:t>
      </w:r>
    </w:p>
    <w:p w14:paraId="12586F64" w14:textId="77777777" w:rsidR="00B134A9" w:rsidRDefault="00B134A9" w:rsidP="000855A5">
      <w:pPr>
        <w:pStyle w:val="Bullet"/>
        <w:numPr>
          <w:ilvl w:val="0"/>
          <w:numId w:val="19"/>
        </w:numPr>
        <w:tabs>
          <w:tab w:val="clear" w:pos="520"/>
        </w:tabs>
        <w:spacing w:line="276" w:lineRule="auto"/>
        <w:ind w:left="1134" w:hanging="522"/>
      </w:pPr>
      <w:r>
        <w:t xml:space="preserve">alternative dispute resolution; </w:t>
      </w:r>
    </w:p>
    <w:p w14:paraId="65B60114" w14:textId="77777777" w:rsidR="00B134A9" w:rsidRDefault="00B134A9" w:rsidP="000855A5">
      <w:pPr>
        <w:pStyle w:val="Bullet"/>
        <w:numPr>
          <w:ilvl w:val="0"/>
          <w:numId w:val="19"/>
        </w:numPr>
        <w:tabs>
          <w:tab w:val="clear" w:pos="520"/>
        </w:tabs>
        <w:spacing w:line="276" w:lineRule="auto"/>
        <w:ind w:left="1134" w:hanging="522"/>
      </w:pPr>
      <w:r>
        <w:t>breach mitigation and reporting requirements;</w:t>
      </w:r>
    </w:p>
    <w:p w14:paraId="12544D7C" w14:textId="77777777" w:rsidR="00B134A9" w:rsidRDefault="00B134A9" w:rsidP="000855A5">
      <w:pPr>
        <w:pStyle w:val="Bullet"/>
        <w:numPr>
          <w:ilvl w:val="0"/>
          <w:numId w:val="19"/>
        </w:numPr>
        <w:tabs>
          <w:tab w:val="clear" w:pos="520"/>
        </w:tabs>
        <w:spacing w:line="276" w:lineRule="auto"/>
        <w:ind w:left="1134" w:hanging="522"/>
      </w:pPr>
      <w:r>
        <w:t>interoperability across sectors and mutual recognition of other data access regimes;</w:t>
      </w:r>
    </w:p>
    <w:p w14:paraId="30DB04F6" w14:textId="77777777" w:rsidR="00B134A9" w:rsidRDefault="00B134A9" w:rsidP="000855A5">
      <w:pPr>
        <w:pStyle w:val="Bullet"/>
        <w:numPr>
          <w:ilvl w:val="0"/>
          <w:numId w:val="19"/>
        </w:numPr>
        <w:tabs>
          <w:tab w:val="clear" w:pos="520"/>
        </w:tabs>
        <w:spacing w:line="276" w:lineRule="auto"/>
        <w:ind w:left="1134" w:hanging="522"/>
      </w:pPr>
      <w:r>
        <w:t>liability of participants;</w:t>
      </w:r>
    </w:p>
    <w:p w14:paraId="5D5A2164" w14:textId="77777777" w:rsidR="00B134A9" w:rsidRDefault="00B134A9" w:rsidP="000855A5">
      <w:pPr>
        <w:pStyle w:val="Bullet"/>
        <w:numPr>
          <w:ilvl w:val="0"/>
          <w:numId w:val="19"/>
        </w:numPr>
        <w:tabs>
          <w:tab w:val="clear" w:pos="520"/>
        </w:tabs>
        <w:spacing w:line="276" w:lineRule="auto"/>
        <w:ind w:left="1134" w:hanging="522"/>
      </w:pPr>
      <w:r>
        <w:t>obligations to delete data; and</w:t>
      </w:r>
    </w:p>
    <w:p w14:paraId="65BFD2DE" w14:textId="77777777" w:rsidR="00B134A9" w:rsidRDefault="00B134A9" w:rsidP="000855A5">
      <w:pPr>
        <w:pStyle w:val="Bullet"/>
        <w:numPr>
          <w:ilvl w:val="0"/>
          <w:numId w:val="19"/>
        </w:numPr>
        <w:tabs>
          <w:tab w:val="clear" w:pos="520"/>
        </w:tabs>
        <w:spacing w:line="276" w:lineRule="auto"/>
        <w:ind w:left="1134" w:hanging="522"/>
      </w:pPr>
      <w:proofErr w:type="gramStart"/>
      <w:r>
        <w:t>record</w:t>
      </w:r>
      <w:proofErr w:type="gramEnd"/>
      <w:r>
        <w:t xml:space="preserve"> keeping.</w:t>
      </w:r>
    </w:p>
    <w:p w14:paraId="0B096AD0" w14:textId="77777777" w:rsidR="00B134A9" w:rsidRDefault="00B134A9" w:rsidP="00B134A9">
      <w:r>
        <w:t xml:space="preserve">These rules may be general rules which can apply across sectors or may </w:t>
      </w:r>
      <w:r w:rsidR="00147CDA">
        <w:t xml:space="preserve">be </w:t>
      </w:r>
      <w:r>
        <w:t>sector-specific rules, whe</w:t>
      </w:r>
      <w:r w:rsidR="00147CDA">
        <w:t>re</w:t>
      </w:r>
      <w:r>
        <w:t xml:space="preserve"> the ACCC determine</w:t>
      </w:r>
      <w:r w:rsidR="00147CDA">
        <w:t>s</w:t>
      </w:r>
      <w:r>
        <w:t xml:space="preserve"> that a deviation from the general rules is needed for a specific sector. </w:t>
      </w:r>
    </w:p>
    <w:p w14:paraId="03537114" w14:textId="294CF512" w:rsidR="00B134A9" w:rsidRDefault="00B134A9" w:rsidP="00B134A9">
      <w:r>
        <w:t>ACCC rules also set out requirements for data standard</w:t>
      </w:r>
      <w:r w:rsidR="00F60B75">
        <w:t>-</w:t>
      </w:r>
      <w:r>
        <w:t>setting governance and processes; and the operation of the accreditation register.</w:t>
      </w:r>
    </w:p>
    <w:p w14:paraId="3325B2A1" w14:textId="7D83BA5B" w:rsidR="00B31D6C" w:rsidRDefault="00AD30BB" w:rsidP="00B134A9">
      <w:r>
        <w:t>Data initially made available under Open Banking</w:t>
      </w:r>
      <w:r w:rsidR="00B31D6C">
        <w:t xml:space="preserve"> will be </w:t>
      </w:r>
      <w:r>
        <w:t>provided</w:t>
      </w:r>
      <w:r w:rsidR="00B31D6C">
        <w:t xml:space="preserve"> to consumers for free. However, the Consumer Data</w:t>
      </w:r>
      <w:r w:rsidR="006A1994">
        <w:t xml:space="preserve"> Right </w:t>
      </w:r>
      <w:r w:rsidR="00147CDA">
        <w:t>system</w:t>
      </w:r>
      <w:r w:rsidR="006A1994">
        <w:t xml:space="preserve"> </w:t>
      </w:r>
      <w:r w:rsidR="00DC0B1B">
        <w:t>has</w:t>
      </w:r>
      <w:r w:rsidR="006A1994">
        <w:t xml:space="preserve"> the flexibility to provide for charging for access to data. This flexibility may be required in relation to access to</w:t>
      </w:r>
      <w:r w:rsidR="00B31D6C">
        <w:t xml:space="preserve"> value-added data or where making data available for free would unacceptably impact on incentives to collect</w:t>
      </w:r>
      <w:r w:rsidR="006A1994">
        <w:t xml:space="preserve"> and maintain</w:t>
      </w:r>
      <w:r w:rsidR="00B31D6C">
        <w:t xml:space="preserve"> consumer data</w:t>
      </w:r>
      <w:r w:rsidR="006A1994">
        <w:t>.</w:t>
      </w:r>
    </w:p>
    <w:p w14:paraId="4842A454" w14:textId="77777777" w:rsidR="00B134A9" w:rsidRDefault="00B134A9" w:rsidP="00B134A9">
      <w:pPr>
        <w:pStyle w:val="Heading2"/>
      </w:pPr>
      <w:bookmarkStart w:id="112" w:name="_Toc513305791"/>
      <w:bookmarkStart w:id="113" w:name="_Toc513028531"/>
      <w:bookmarkStart w:id="114" w:name="_Toc513032636"/>
      <w:bookmarkStart w:id="115" w:name="_Toc513117252"/>
      <w:bookmarkStart w:id="116" w:name="_Toc513448719"/>
      <w:bookmarkStart w:id="117" w:name="_Toc513451741"/>
      <w:bookmarkStart w:id="118" w:name="_Toc10011494"/>
      <w:r>
        <w:t>Technical Standards</w:t>
      </w:r>
      <w:bookmarkEnd w:id="112"/>
      <w:bookmarkEnd w:id="113"/>
      <w:bookmarkEnd w:id="114"/>
      <w:bookmarkEnd w:id="115"/>
      <w:bookmarkEnd w:id="116"/>
      <w:bookmarkEnd w:id="117"/>
      <w:bookmarkEnd w:id="118"/>
    </w:p>
    <w:p w14:paraId="3FA71331" w14:textId="7F61E11F" w:rsidR="00B134A9" w:rsidRDefault="00B134A9" w:rsidP="00B134A9">
      <w:r>
        <w:t xml:space="preserve">Technical Standards for the Consumer Data Right specify how the accredited parties within a sector comply with the requirements of the rules. Standards </w:t>
      </w:r>
      <w:r w:rsidR="00DC0B1B">
        <w:t>are</w:t>
      </w:r>
      <w:r>
        <w:t xml:space="preserve"> formulated for each sector and </w:t>
      </w:r>
      <w:r w:rsidR="00AD42ED">
        <w:t>have been developed through four</w:t>
      </w:r>
      <w:r>
        <w:t xml:space="preserve"> </w:t>
      </w:r>
      <w:r w:rsidR="00AD42ED">
        <w:t>work streams</w:t>
      </w:r>
      <w:r>
        <w:t xml:space="preserve">: </w:t>
      </w:r>
      <w:r w:rsidR="00DC0B1B">
        <w:t>API</w:t>
      </w:r>
      <w:r>
        <w:t xml:space="preserve"> standards, </w:t>
      </w:r>
      <w:r w:rsidR="00DC0B1B">
        <w:t>information</w:t>
      </w:r>
      <w:r>
        <w:t xml:space="preserve"> security standards</w:t>
      </w:r>
      <w:r w:rsidR="00DC0B1B">
        <w:t>;</w:t>
      </w:r>
      <w:r w:rsidR="00AD42ED">
        <w:t xml:space="preserve"> </w:t>
      </w:r>
      <w:r w:rsidR="00AD42ED">
        <w:t>consumer experience standards</w:t>
      </w:r>
      <w:r w:rsidR="00DC0B1B">
        <w:t xml:space="preserve">; and </w:t>
      </w:r>
      <w:r w:rsidR="00AD42ED">
        <w:t>engineering</w:t>
      </w:r>
      <w:r>
        <w:t>.</w:t>
      </w:r>
    </w:p>
    <w:p w14:paraId="6F890DAC" w14:textId="7E1C9807" w:rsidR="00B134A9" w:rsidRDefault="00DC0B1B" w:rsidP="00DC0B1B">
      <w:pPr>
        <w:pStyle w:val="Bullet"/>
        <w:numPr>
          <w:ilvl w:val="0"/>
          <w:numId w:val="19"/>
        </w:numPr>
        <w:tabs>
          <w:tab w:val="clear" w:pos="520"/>
        </w:tabs>
        <w:spacing w:after="200" w:line="276" w:lineRule="auto"/>
        <w:ind w:left="1134"/>
      </w:pPr>
      <w:r>
        <w:rPr>
          <w:b/>
        </w:rPr>
        <w:t>API</w:t>
      </w:r>
      <w:r w:rsidR="00B134A9" w:rsidRPr="00DB1AB7">
        <w:rPr>
          <w:b/>
        </w:rPr>
        <w:t xml:space="preserve"> standards</w:t>
      </w:r>
      <w:r w:rsidR="00B134A9">
        <w:t xml:space="preserve"> enable consistent transfer methods that meet acceptable levels of saf</w:t>
      </w:r>
      <w:r>
        <w:t xml:space="preserve">ety, convenience and efficiency and include </w:t>
      </w:r>
      <w:r w:rsidR="00B134A9">
        <w:t xml:space="preserve">specifications for data description and recording. </w:t>
      </w:r>
    </w:p>
    <w:p w14:paraId="77DE7186" w14:textId="1B3E88A0" w:rsidR="00B134A9" w:rsidRDefault="00DC0B1B" w:rsidP="00AF38CA">
      <w:pPr>
        <w:pStyle w:val="Bullet"/>
        <w:numPr>
          <w:ilvl w:val="0"/>
          <w:numId w:val="19"/>
        </w:numPr>
        <w:tabs>
          <w:tab w:val="clear" w:pos="520"/>
        </w:tabs>
        <w:spacing w:after="200" w:line="276" w:lineRule="auto"/>
        <w:ind w:left="1134"/>
      </w:pPr>
      <w:r>
        <w:rPr>
          <w:b/>
        </w:rPr>
        <w:t>Information s</w:t>
      </w:r>
      <w:r w:rsidR="00B134A9" w:rsidRPr="00DB1AB7">
        <w:rPr>
          <w:b/>
        </w:rPr>
        <w:t>ecurity standards</w:t>
      </w:r>
      <w:r w:rsidR="00B134A9">
        <w:t xml:space="preserve"> consist of techniques to protect users of the system, networks, devices, software, processes, </w:t>
      </w:r>
      <w:proofErr w:type="gramStart"/>
      <w:r w:rsidR="00B134A9">
        <w:t>information</w:t>
      </w:r>
      <w:proofErr w:type="gramEnd"/>
      <w:r w:rsidR="00B134A9">
        <w:t xml:space="preserve"> in storage, applications, services and systems. </w:t>
      </w:r>
    </w:p>
    <w:p w14:paraId="4F0DF012" w14:textId="389B6076" w:rsidR="00DC0B1B" w:rsidRPr="00DC0B1B" w:rsidRDefault="00DC0B1B" w:rsidP="00DC0B1B">
      <w:pPr>
        <w:pStyle w:val="Bullet"/>
        <w:numPr>
          <w:ilvl w:val="0"/>
          <w:numId w:val="19"/>
        </w:numPr>
        <w:tabs>
          <w:tab w:val="clear" w:pos="520"/>
        </w:tabs>
        <w:spacing w:after="200" w:line="276" w:lineRule="auto"/>
        <w:ind w:left="1134"/>
        <w:rPr>
          <w:rFonts w:eastAsiaTheme="minorHAnsi" w:cs="Calibri"/>
          <w:color w:val="000000"/>
          <w:sz w:val="23"/>
          <w:szCs w:val="23"/>
          <w:lang w:eastAsia="en-US"/>
        </w:rPr>
      </w:pPr>
      <w:r w:rsidRPr="00DC0B1B">
        <w:rPr>
          <w:b/>
        </w:rPr>
        <w:t xml:space="preserve">Consumer experience standards </w:t>
      </w:r>
      <w:r w:rsidRPr="00DC0B1B">
        <w:t>p</w:t>
      </w:r>
      <w:r w:rsidRPr="00DC0B1B">
        <w:t>rovid</w:t>
      </w:r>
      <w:r w:rsidRPr="00DC0B1B">
        <w:t xml:space="preserve">e </w:t>
      </w:r>
      <w:r w:rsidRPr="00DC0B1B">
        <w:t>best practice language and user experience (UX) design patterns to request consumer consent and guide authentication and authorisation flows</w:t>
      </w:r>
      <w:r>
        <w:rPr>
          <w:rFonts w:eastAsiaTheme="minorHAnsi" w:cs="Calibri"/>
          <w:color w:val="000000"/>
          <w:sz w:val="23"/>
          <w:szCs w:val="23"/>
          <w:lang w:eastAsia="en-US"/>
        </w:rPr>
        <w:t>.</w:t>
      </w:r>
      <w:r w:rsidRPr="00DC0B1B">
        <w:rPr>
          <w:rFonts w:eastAsiaTheme="minorHAnsi" w:cs="Calibri"/>
          <w:color w:val="000000"/>
          <w:sz w:val="23"/>
          <w:szCs w:val="23"/>
          <w:lang w:eastAsia="en-US"/>
        </w:rPr>
        <w:t xml:space="preserve"> </w:t>
      </w:r>
    </w:p>
    <w:p w14:paraId="790C5D40" w14:textId="0272F21C" w:rsidR="00DC0B1B" w:rsidRDefault="00DC0B1B" w:rsidP="00AD42ED">
      <w:pPr>
        <w:pStyle w:val="Bullet"/>
        <w:numPr>
          <w:ilvl w:val="0"/>
          <w:numId w:val="0"/>
        </w:numPr>
        <w:spacing w:after="200" w:line="276" w:lineRule="auto"/>
      </w:pPr>
    </w:p>
    <w:p w14:paraId="612CC012" w14:textId="1F6DF9E3" w:rsidR="00DC0B1B" w:rsidRPr="00AD42ED" w:rsidRDefault="00DC0B1B" w:rsidP="00AD42ED">
      <w:pPr>
        <w:pStyle w:val="Bullet"/>
        <w:numPr>
          <w:ilvl w:val="0"/>
          <w:numId w:val="19"/>
        </w:numPr>
        <w:tabs>
          <w:tab w:val="clear" w:pos="520"/>
        </w:tabs>
        <w:spacing w:after="200" w:line="276" w:lineRule="auto"/>
        <w:ind w:left="1134"/>
        <w:rPr>
          <w:b/>
        </w:rPr>
      </w:pPr>
      <w:r>
        <w:rPr>
          <w:b/>
        </w:rPr>
        <w:lastRenderedPageBreak/>
        <w:t>Engineering</w:t>
      </w:r>
      <w:r w:rsidR="00AD42ED">
        <w:rPr>
          <w:b/>
        </w:rPr>
        <w:t xml:space="preserve"> </w:t>
      </w:r>
      <w:r w:rsidR="00AD42ED" w:rsidRPr="00AD42ED">
        <w:t>focuses on demonstrating the API Standards through the delivery of usable software artefacts that assist ecosystem participants demonstrate conformance with the standards and rules for CDR.</w:t>
      </w:r>
      <w:r w:rsidR="00AD42ED" w:rsidRPr="00AD42ED">
        <w:rPr>
          <w:b/>
        </w:rPr>
        <w:t xml:space="preserve"> </w:t>
      </w:r>
    </w:p>
    <w:p w14:paraId="2BB60D0E" w14:textId="13C32BBC" w:rsidR="00B134A9" w:rsidRDefault="00B134A9" w:rsidP="00B134A9">
      <w:r>
        <w:t xml:space="preserve">The standards </w:t>
      </w:r>
      <w:r w:rsidR="00AD42ED">
        <w:t>are</w:t>
      </w:r>
      <w:r>
        <w:t xml:space="preserve"> </w:t>
      </w:r>
      <w:r w:rsidR="00AD42ED">
        <w:t>developed</w:t>
      </w:r>
      <w:r>
        <w:t xml:space="preserve"> by </w:t>
      </w:r>
      <w:r w:rsidR="00AD42ED">
        <w:t>the</w:t>
      </w:r>
      <w:r>
        <w:t xml:space="preserve"> Data Standards Body</w:t>
      </w:r>
      <w:r w:rsidR="00AD42ED">
        <w:t xml:space="preserve"> (DSB) through ongoing consultation with industry and consumer advocates</w:t>
      </w:r>
      <w:r>
        <w:t xml:space="preserve">. The </w:t>
      </w:r>
      <w:r w:rsidR="00AD42ED">
        <w:t>DSB</w:t>
      </w:r>
      <w:r>
        <w:t xml:space="preserve"> work</w:t>
      </w:r>
      <w:r w:rsidR="00AD42ED">
        <w:t>s</w:t>
      </w:r>
      <w:r>
        <w:t xml:space="preserve"> closely with each sector’s regulators and stakeholders to ensure sectoral differences are taken into account in this process, and with privacy and consumer groups to make sure user protections remain at the heart of the standards. </w:t>
      </w:r>
    </w:p>
    <w:p w14:paraId="021F90CE" w14:textId="3D30C6DF" w:rsidR="00B134A9" w:rsidRDefault="00350421" w:rsidP="00B134A9">
      <w:pPr>
        <w:pStyle w:val="Heading2"/>
      </w:pPr>
      <w:bookmarkStart w:id="119" w:name="_Toc513305792"/>
      <w:bookmarkStart w:id="120" w:name="_Toc513028532"/>
      <w:bookmarkStart w:id="121" w:name="_Toc513032637"/>
      <w:bookmarkStart w:id="122" w:name="_Toc513117253"/>
      <w:bookmarkStart w:id="123" w:name="_Toc513448720"/>
      <w:bookmarkStart w:id="124" w:name="_Toc513451742"/>
      <w:bookmarkStart w:id="125" w:name="_Toc10011495"/>
      <w:r>
        <w:t>T</w:t>
      </w:r>
      <w:r w:rsidR="00B134A9">
        <w:t>he Data Standards Body</w:t>
      </w:r>
      <w:bookmarkEnd w:id="119"/>
      <w:bookmarkEnd w:id="120"/>
      <w:bookmarkEnd w:id="121"/>
      <w:bookmarkEnd w:id="122"/>
      <w:bookmarkEnd w:id="123"/>
      <w:bookmarkEnd w:id="124"/>
      <w:bookmarkEnd w:id="125"/>
      <w:r w:rsidR="00B4632B">
        <w:t xml:space="preserve"> (DSB)</w:t>
      </w:r>
    </w:p>
    <w:p w14:paraId="1002E397" w14:textId="644E06EA" w:rsidR="00B134A9" w:rsidRDefault="00B134A9" w:rsidP="00B134A9">
      <w:r>
        <w:t xml:space="preserve">The Data Standards Body </w:t>
      </w:r>
      <w:r w:rsidR="00ED3B2C">
        <w:t xml:space="preserve">Chair </w:t>
      </w:r>
      <w:r w:rsidR="00AD42ED">
        <w:t>is</w:t>
      </w:r>
      <w:r>
        <w:t xml:space="preserve"> responsible for setting technical standards for the Consumer Data Right. </w:t>
      </w:r>
    </w:p>
    <w:p w14:paraId="59E1C689" w14:textId="25358D81" w:rsidR="00B134A9" w:rsidRDefault="00B134A9" w:rsidP="00B134A9">
      <w:r>
        <w:t xml:space="preserve">The </w:t>
      </w:r>
      <w:r w:rsidR="00AD42ED">
        <w:t>DSB</w:t>
      </w:r>
      <w:r>
        <w:t xml:space="preserve"> incorporate</w:t>
      </w:r>
      <w:r w:rsidR="00AD30BB">
        <w:t>s</w:t>
      </w:r>
      <w:r>
        <w:t xml:space="preserve"> an Advisory</w:t>
      </w:r>
      <w:r w:rsidDel="00372418">
        <w:t xml:space="preserve"> </w:t>
      </w:r>
      <w:r w:rsidR="00AD42ED">
        <w:t>Committee for each sector</w:t>
      </w:r>
      <w:r>
        <w:t xml:space="preserve"> to provide input to the content and process for the development of standards, and to support engagement with industry.  </w:t>
      </w:r>
    </w:p>
    <w:p w14:paraId="458A6CD5" w14:textId="4D0DB24B" w:rsidR="00B134A9" w:rsidRDefault="00B134A9" w:rsidP="00B134A9">
      <w:r>
        <w:t>The Advisory</w:t>
      </w:r>
      <w:r w:rsidDel="00372418">
        <w:t xml:space="preserve"> </w:t>
      </w:r>
      <w:r>
        <w:t>Committee include</w:t>
      </w:r>
      <w:r w:rsidR="00AD30BB">
        <w:t>s</w:t>
      </w:r>
      <w:r>
        <w:t xml:space="preserve"> representatives of </w:t>
      </w:r>
      <w:r w:rsidRPr="00945B92">
        <w:t>data holders (</w:t>
      </w:r>
      <w:r>
        <w:t>such as banks, telecommunications and energy companies</w:t>
      </w:r>
      <w:r w:rsidRPr="00945B92">
        <w:t xml:space="preserve">), data </w:t>
      </w:r>
      <w:r>
        <w:t>recipients</w:t>
      </w:r>
      <w:r w:rsidRPr="00945B92">
        <w:t xml:space="preserve"> (</w:t>
      </w:r>
      <w:r>
        <w:t xml:space="preserve">such as </w:t>
      </w:r>
      <w:proofErr w:type="spellStart"/>
      <w:r>
        <w:t>FinTech</w:t>
      </w:r>
      <w:proofErr w:type="spellEnd"/>
      <w:r w:rsidR="001D3B5F">
        <w:t xml:space="preserve"> firms</w:t>
      </w:r>
      <w:r w:rsidRPr="00945B92">
        <w:t>),</w:t>
      </w:r>
      <w:r>
        <w:t xml:space="preserve"> and</w:t>
      </w:r>
      <w:r w:rsidRPr="00945B92">
        <w:t xml:space="preserve"> consumer </w:t>
      </w:r>
      <w:r>
        <w:t xml:space="preserve">and privacy advocates. </w:t>
      </w:r>
    </w:p>
    <w:p w14:paraId="6A7DF2E8" w14:textId="2C421F23" w:rsidR="00B134A9" w:rsidRDefault="00B134A9" w:rsidP="00B134A9">
      <w:r>
        <w:t xml:space="preserve">The </w:t>
      </w:r>
      <w:r w:rsidR="00AD42ED">
        <w:t>DSB</w:t>
      </w:r>
      <w:r>
        <w:t xml:space="preserve"> </w:t>
      </w:r>
      <w:r w:rsidR="00AD42ED">
        <w:t>is led</w:t>
      </w:r>
      <w:r>
        <w:t xml:space="preserve"> by an independent Chair who provide</w:t>
      </w:r>
      <w:r w:rsidR="00AD42ED">
        <w:t>s</w:t>
      </w:r>
      <w:r>
        <w:t xml:space="preserve"> direction on the development of the standards and be responsible for ensuring appropriate governance, process and stakeholder engagement for the </w:t>
      </w:r>
      <w:r w:rsidR="00AD42ED">
        <w:t>DSB</w:t>
      </w:r>
      <w:r>
        <w:t xml:space="preserve">. </w:t>
      </w:r>
    </w:p>
    <w:p w14:paraId="7CDC8BB7" w14:textId="60A79C5D" w:rsidR="00B134A9" w:rsidRDefault="00B134A9" w:rsidP="00B134A9">
      <w:r>
        <w:t xml:space="preserve">The independent Chair </w:t>
      </w:r>
      <w:r w:rsidR="00AD42ED">
        <w:t>is</w:t>
      </w:r>
      <w:r>
        <w:t xml:space="preserve"> responsible for the selection of Advisory </w:t>
      </w:r>
      <w:r w:rsidR="00147CDA">
        <w:t>Committee</w:t>
      </w:r>
      <w:r w:rsidR="00AD42ED">
        <w:t xml:space="preserve"> members</w:t>
      </w:r>
      <w:r>
        <w:t>. Membership</w:t>
      </w:r>
      <w:r w:rsidR="00AD42ED">
        <w:t xml:space="preserve"> and composition</w:t>
      </w:r>
      <w:r>
        <w:t xml:space="preserve"> </w:t>
      </w:r>
      <w:r w:rsidR="00AD42ED">
        <w:t>adjusts</w:t>
      </w:r>
      <w:r>
        <w:t xml:space="preserve"> as the sector in focus changes over time.</w:t>
      </w:r>
    </w:p>
    <w:p w14:paraId="33E8D8BA" w14:textId="5929C78B" w:rsidR="00B134A9" w:rsidRDefault="00B134A9" w:rsidP="00B134A9">
      <w:r>
        <w:t>While banking will be the initial sector to which the right applies, standards will not be designed solely with the needs of the banking industry in mind. The Advisory</w:t>
      </w:r>
      <w:r w:rsidDel="00372418">
        <w:t xml:space="preserve"> </w:t>
      </w:r>
      <w:r>
        <w:t>Committee’s role therefore include</w:t>
      </w:r>
      <w:r w:rsidR="00B4632B">
        <w:t>s</w:t>
      </w:r>
      <w:r>
        <w:t xml:space="preserve"> promoting a whole of economy view in relation to the Consumer Data Right. This in</w:t>
      </w:r>
      <w:r w:rsidR="00B4632B">
        <w:t xml:space="preserve">volves </w:t>
      </w:r>
      <w:r w:rsidR="00F20D4A">
        <w:t xml:space="preserve">considering </w:t>
      </w:r>
      <w:r>
        <w:t xml:space="preserve">where a consistent approach to standards will best meet the needs of the Australian economy as a whole and where standards need to be tailored to a particular sector.  </w:t>
      </w:r>
    </w:p>
    <w:p w14:paraId="06CF2AF8" w14:textId="01B9C3EB" w:rsidR="00B134A9" w:rsidRDefault="00B134A9" w:rsidP="00B134A9">
      <w:r>
        <w:t xml:space="preserve">The </w:t>
      </w:r>
      <w:r w:rsidR="00B4632B">
        <w:t xml:space="preserve">DSB </w:t>
      </w:r>
      <w:r>
        <w:t>work</w:t>
      </w:r>
      <w:r w:rsidR="00B4632B">
        <w:t>s</w:t>
      </w:r>
      <w:r>
        <w:t xml:space="preserve"> highly collaboratively and in an agile </w:t>
      </w:r>
      <w:r w:rsidR="00AD30BB">
        <w:t xml:space="preserve">way </w:t>
      </w:r>
      <w:r>
        <w:t>through working groups and open, online development and consultation processes to enable a range of stakeholders to advise on specific technical issues.</w:t>
      </w:r>
    </w:p>
    <w:p w14:paraId="04AC4AB9" w14:textId="605664E6" w:rsidR="00B134A9" w:rsidRDefault="00B134A9" w:rsidP="00B134A9">
      <w:r>
        <w:t xml:space="preserve">For the first three years of the Consumer Data Right, the </w:t>
      </w:r>
      <w:r w:rsidR="00B4632B">
        <w:t>DSB</w:t>
      </w:r>
      <w:r>
        <w:t xml:space="preserve"> will be hosted by Data61 (a branch of the Commonwealth Scientific and Industrial Research Organisation (CSIRO)). </w:t>
      </w:r>
    </w:p>
    <w:p w14:paraId="60BB4936" w14:textId="7148093F" w:rsidR="00725D1A" w:rsidRDefault="00B134A9" w:rsidP="00B134A9">
      <w:r>
        <w:t xml:space="preserve">The Government </w:t>
      </w:r>
      <w:r w:rsidR="00B4632B">
        <w:t>has provided</w:t>
      </w:r>
      <w:r>
        <w:t xml:space="preserve"> funding of $1</w:t>
      </w:r>
      <w:r w:rsidR="00B4632B">
        <w:t>5</w:t>
      </w:r>
      <w:r w:rsidR="00ED3B2C">
        <w:t>.</w:t>
      </w:r>
      <w:r w:rsidR="00B4632B">
        <w:t>9</w:t>
      </w:r>
      <w:r>
        <w:t xml:space="preserve"> million over f</w:t>
      </w:r>
      <w:r w:rsidR="00B4632B">
        <w:t>ive</w:t>
      </w:r>
      <w:r>
        <w:t xml:space="preserve"> years and then ongoing funding to the </w:t>
      </w:r>
      <w:r w:rsidR="00B4632B">
        <w:t>DSB</w:t>
      </w:r>
      <w:r>
        <w:t xml:space="preserve"> to facilitate the development of sectoral standards.</w:t>
      </w:r>
    </w:p>
    <w:p w14:paraId="2FFA5F20" w14:textId="77777777" w:rsidR="00725D1A" w:rsidRDefault="00725D1A">
      <w:pPr>
        <w:spacing w:before="0" w:after="160" w:line="259" w:lineRule="auto"/>
      </w:pPr>
      <w:r>
        <w:br w:type="page"/>
      </w:r>
    </w:p>
    <w:p w14:paraId="28FC7CAC" w14:textId="77777777" w:rsidR="00725D1A" w:rsidRDefault="00725D1A" w:rsidP="00B134A9">
      <w:pPr>
        <w:sectPr w:rsidR="00725D1A" w:rsidSect="005D1427">
          <w:footerReference w:type="default" r:id="rId36"/>
          <w:pgSz w:w="11906" w:h="16838"/>
          <w:pgMar w:top="1440" w:right="1440" w:bottom="1440" w:left="1440" w:header="709" w:footer="709" w:gutter="0"/>
          <w:pgNumType w:start="1"/>
          <w:cols w:space="708"/>
          <w:titlePg/>
          <w:docGrid w:linePitch="360"/>
        </w:sectPr>
      </w:pPr>
    </w:p>
    <w:p w14:paraId="2CC89E38" w14:textId="5ED4AB87" w:rsidR="009E171B" w:rsidRDefault="00725D1A" w:rsidP="001F5714">
      <w:r>
        <w:rPr>
          <w:noProof/>
        </w:rPr>
        <w:lastRenderedPageBreak/>
        <mc:AlternateContent>
          <mc:Choice Requires="wpc">
            <w:drawing>
              <wp:inline distT="0" distB="0" distL="0" distR="0" wp14:anchorId="32D495A0" wp14:editId="3EDB43B6">
                <wp:extent cx="8863330" cy="6075680"/>
                <wp:effectExtent l="0" t="0" r="0" b="0"/>
                <wp:docPr id="376" name="Canvas 37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8" name="Straight Arrow Connector 18"/>
                        <wps:cNvCnPr>
                          <a:stCxn id="30" idx="3"/>
                          <a:endCxn id="23" idx="4"/>
                        </wps:cNvCnPr>
                        <wps:spPr>
                          <a:xfrm flipV="1">
                            <a:off x="2148202" y="1356053"/>
                            <a:ext cx="2234921" cy="1611775"/>
                          </a:xfrm>
                          <a:prstGeom prst="straightConnector1">
                            <a:avLst/>
                          </a:prstGeom>
                          <a:ln w="19050">
                            <a:solidFill>
                              <a:schemeClr val="accent2">
                                <a:lumMod val="60000"/>
                                <a:lumOff val="40000"/>
                              </a:schemeClr>
                            </a:solidFill>
                            <a:prstDash val="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 name="Oval 19"/>
                        <wps:cNvSpPr/>
                        <wps:spPr>
                          <a:xfrm>
                            <a:off x="22328" y="2284186"/>
                            <a:ext cx="1257873" cy="1086266"/>
                          </a:xfrm>
                          <a:prstGeom prst="ellipse">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2162D" w14:textId="77777777" w:rsidR="00032124" w:rsidRDefault="00032124" w:rsidP="00725D1A">
                              <w:pPr>
                                <w:pStyle w:val="NormalWeb"/>
                                <w:spacing w:before="0" w:beforeAutospacing="0" w:after="0" w:afterAutospacing="0"/>
                                <w:jc w:val="center"/>
                              </w:pPr>
                              <w:r>
                                <w:rPr>
                                  <w:rFonts w:asciiTheme="minorHAnsi" w:hAnsi="Calibri" w:cstheme="minorBidi"/>
                                  <w:color w:val="000000" w:themeColor="text1"/>
                                  <w:kern w:val="24"/>
                                  <w:sz w:val="28"/>
                                  <w:szCs w:val="28"/>
                                </w:rPr>
                                <w:t>Data Holder</w:t>
                              </w:r>
                            </w:p>
                          </w:txbxContent>
                        </wps:txbx>
                        <wps:bodyPr rtlCol="0" anchor="ctr"/>
                      </wps:wsp>
                      <wps:wsp>
                        <wps:cNvPr id="20" name="TextBox 30"/>
                        <wps:cNvSpPr txBox="1"/>
                        <wps:spPr>
                          <a:xfrm>
                            <a:off x="1376444" y="0"/>
                            <a:ext cx="4979035" cy="370205"/>
                          </a:xfrm>
                          <a:prstGeom prst="rect">
                            <a:avLst/>
                          </a:prstGeom>
                          <a:noFill/>
                        </wps:spPr>
                        <wps:txbx>
                          <w:txbxContent>
                            <w:p w14:paraId="584AC68A" w14:textId="7CD4E047" w:rsidR="00032124" w:rsidRDefault="00032124" w:rsidP="00725D1A">
                              <w:pPr>
                                <w:pStyle w:val="NormalWeb"/>
                                <w:spacing w:before="0" w:beforeAutospacing="0" w:after="0" w:afterAutospacing="0"/>
                              </w:pPr>
                              <w:r>
                                <w:rPr>
                                  <w:rFonts w:asciiTheme="minorHAnsi" w:hAnsi="Calibri" w:cstheme="minorBidi"/>
                                  <w:color w:val="000000" w:themeColor="text1"/>
                                  <w:kern w:val="24"/>
                                  <w:sz w:val="36"/>
                                  <w:szCs w:val="36"/>
                                </w:rPr>
                                <w:t>Consumer Data Right Framework Information Flows</w:t>
                              </w:r>
                            </w:p>
                          </w:txbxContent>
                        </wps:txbx>
                        <wps:bodyPr wrap="none" rtlCol="0">
                          <a:spAutoFit/>
                        </wps:bodyPr>
                      </wps:wsp>
                      <wps:wsp>
                        <wps:cNvPr id="21" name="Oval 21"/>
                        <wps:cNvSpPr/>
                        <wps:spPr>
                          <a:xfrm>
                            <a:off x="3746922" y="2447293"/>
                            <a:ext cx="1217210" cy="933186"/>
                          </a:xfrm>
                          <a:prstGeom prst="ellipse">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2D8206" w14:textId="77777777" w:rsidR="00032124" w:rsidRPr="000B6F47" w:rsidRDefault="00032124" w:rsidP="00725D1A">
                              <w:pPr>
                                <w:pStyle w:val="NormalWeb"/>
                                <w:spacing w:before="0" w:beforeAutospacing="0" w:after="0" w:afterAutospacing="0"/>
                                <w:jc w:val="center"/>
                                <w:rPr>
                                  <w:sz w:val="22"/>
                                </w:rPr>
                              </w:pPr>
                              <w:r w:rsidRPr="000B6F47">
                                <w:rPr>
                                  <w:rFonts w:asciiTheme="minorHAnsi" w:hAnsi="Calibri" w:cstheme="minorBidi"/>
                                  <w:color w:val="000000" w:themeColor="text1"/>
                                  <w:kern w:val="24"/>
                                  <w:szCs w:val="28"/>
                                </w:rPr>
                                <w:t>Data Recipient</w:t>
                              </w:r>
                            </w:p>
                            <w:p w14:paraId="50E1E663" w14:textId="77777777" w:rsidR="00032124" w:rsidRPr="000B6F47" w:rsidRDefault="00032124" w:rsidP="00725D1A">
                              <w:pPr>
                                <w:pStyle w:val="NormalWeb"/>
                                <w:spacing w:before="0" w:beforeAutospacing="0" w:after="0" w:afterAutospacing="0"/>
                                <w:jc w:val="center"/>
                                <w:rPr>
                                  <w:sz w:val="18"/>
                                  <w:szCs w:val="18"/>
                                </w:rPr>
                              </w:pPr>
                              <w:r w:rsidRPr="000B6F47">
                                <w:rPr>
                                  <w:rFonts w:asciiTheme="minorHAnsi" w:hAnsi="Calibri" w:cstheme="minorBidi"/>
                                  <w:color w:val="000000" w:themeColor="text1"/>
                                  <w:kern w:val="24"/>
                                  <w:sz w:val="18"/>
                                  <w:szCs w:val="18"/>
                                </w:rPr>
                                <w:t>(ACCC Accredited)</w:t>
                              </w:r>
                            </w:p>
                          </w:txbxContent>
                        </wps:txbx>
                        <wps:bodyPr lIns="0" tIns="0" rIns="0" bIns="0" rtlCol="0" anchor="ctr"/>
                      </wps:wsp>
                      <wps:wsp>
                        <wps:cNvPr id="22" name="Straight Arrow Connector 22"/>
                        <wps:cNvCnPr>
                          <a:stCxn id="30" idx="3"/>
                          <a:endCxn id="21" idx="2"/>
                        </wps:cNvCnPr>
                        <wps:spPr>
                          <a:xfrm flipV="1">
                            <a:off x="2148202" y="2913886"/>
                            <a:ext cx="1598720" cy="53942"/>
                          </a:xfrm>
                          <a:prstGeom prst="straightConnector1">
                            <a:avLst/>
                          </a:prstGeom>
                          <a:ln w="19050">
                            <a:solidFill>
                              <a:schemeClr val="accent2">
                                <a:lumMod val="60000"/>
                                <a:lumOff val="40000"/>
                              </a:schemeClr>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3" name="Oval 23"/>
                        <wps:cNvSpPr/>
                        <wps:spPr>
                          <a:xfrm>
                            <a:off x="3746571" y="435384"/>
                            <a:ext cx="1273104" cy="920713"/>
                          </a:xfrm>
                          <a:prstGeom prst="ellipse">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822C71" w14:textId="77777777" w:rsidR="00032124" w:rsidRDefault="00032124" w:rsidP="00725D1A">
                              <w:pPr>
                                <w:pStyle w:val="NormalWeb"/>
                                <w:spacing w:before="0" w:beforeAutospacing="0" w:after="0" w:afterAutospacing="0"/>
                                <w:jc w:val="center"/>
                              </w:pPr>
                              <w:r>
                                <w:rPr>
                                  <w:rFonts w:asciiTheme="minorHAnsi" w:hAnsi="Calibri" w:cstheme="minorBidi"/>
                                  <w:color w:val="000000" w:themeColor="text1"/>
                                  <w:kern w:val="24"/>
                                  <w:sz w:val="28"/>
                                  <w:szCs w:val="28"/>
                                </w:rPr>
                                <w:t>Consumer</w:t>
                              </w:r>
                            </w:p>
                          </w:txbxContent>
                        </wps:txbx>
                        <wps:bodyPr lIns="0" tIns="0" bIns="0" rtlCol="0" anchor="ctr"/>
                      </wps:wsp>
                      <wps:wsp>
                        <wps:cNvPr id="24" name="Straight Arrow Connector 24"/>
                        <wps:cNvCnPr>
                          <a:stCxn id="21" idx="0"/>
                          <a:endCxn id="23" idx="4"/>
                        </wps:cNvCnPr>
                        <wps:spPr>
                          <a:xfrm flipV="1">
                            <a:off x="4355527" y="1356053"/>
                            <a:ext cx="27596" cy="1091240"/>
                          </a:xfrm>
                          <a:prstGeom prst="straightConnector1">
                            <a:avLst/>
                          </a:prstGeom>
                          <a:ln w="19050">
                            <a:solidFill>
                              <a:schemeClr val="accent2">
                                <a:lumMod val="60000"/>
                                <a:lumOff val="40000"/>
                              </a:schemeClr>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5" name="Hexagon 25"/>
                        <wps:cNvSpPr/>
                        <wps:spPr>
                          <a:xfrm>
                            <a:off x="5818368" y="1654927"/>
                            <a:ext cx="1381280" cy="873641"/>
                          </a:xfrm>
                          <a:prstGeom prst="hexagon">
                            <a:avLst/>
                          </a:prstGeom>
                          <a:solidFill>
                            <a:srgbClr val="FFD88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ED051B" w14:textId="77777777" w:rsidR="00032124" w:rsidRDefault="00032124" w:rsidP="00725D1A">
                              <w:pPr>
                                <w:pStyle w:val="NormalWeb"/>
                                <w:spacing w:before="0" w:beforeAutospacing="0" w:after="0" w:afterAutospacing="0"/>
                                <w:jc w:val="center"/>
                              </w:pPr>
                              <w:r>
                                <w:rPr>
                                  <w:rFonts w:asciiTheme="minorHAnsi" w:hAnsi="Calibri" w:cstheme="minorBidi"/>
                                  <w:color w:val="000000" w:themeColor="text1"/>
                                  <w:kern w:val="24"/>
                                  <w:sz w:val="22"/>
                                  <w:szCs w:val="22"/>
                                  <w:u w:val="single"/>
                                </w:rPr>
                                <w:t>DSB (Standards)</w:t>
                              </w:r>
                            </w:p>
                            <w:p w14:paraId="4DE99E25" w14:textId="77777777" w:rsidR="00032124" w:rsidRPr="000B6F47" w:rsidRDefault="00032124" w:rsidP="00725D1A">
                              <w:pPr>
                                <w:pStyle w:val="NormalWeb"/>
                                <w:spacing w:before="0" w:beforeAutospacing="0" w:after="0" w:afterAutospacing="0"/>
                                <w:jc w:val="center"/>
                                <w:rPr>
                                  <w:sz w:val="20"/>
                                  <w:szCs w:val="20"/>
                                </w:rPr>
                              </w:pPr>
                              <w:r w:rsidRPr="000B6F47">
                                <w:rPr>
                                  <w:rFonts w:asciiTheme="minorHAnsi" w:hAnsi="Calibri" w:cstheme="minorBidi"/>
                                  <w:color w:val="000000" w:themeColor="text1"/>
                                  <w:kern w:val="24"/>
                                  <w:sz w:val="20"/>
                                  <w:szCs w:val="20"/>
                                </w:rPr>
                                <w:t xml:space="preserve">Technical methods to achieve outcomes </w:t>
                              </w:r>
                            </w:p>
                          </w:txbxContent>
                        </wps:txbx>
                        <wps:bodyPr lIns="0" tIns="0" rIns="0" bIns="0" rtlCol="0" anchor="ctr"/>
                      </wps:wsp>
                      <wps:wsp>
                        <wps:cNvPr id="26" name="Hexagon 26"/>
                        <wps:cNvSpPr/>
                        <wps:spPr>
                          <a:xfrm>
                            <a:off x="5818368" y="666733"/>
                            <a:ext cx="1381280" cy="884880"/>
                          </a:xfrm>
                          <a:prstGeom prst="hexagon">
                            <a:avLst/>
                          </a:prstGeom>
                          <a:solidFill>
                            <a:srgbClr val="FFD88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1640F7" w14:textId="77777777" w:rsidR="00032124" w:rsidRDefault="00032124" w:rsidP="00725D1A">
                              <w:pPr>
                                <w:pStyle w:val="NormalWeb"/>
                                <w:spacing w:before="0" w:beforeAutospacing="0" w:after="0" w:afterAutospacing="0"/>
                                <w:jc w:val="center"/>
                              </w:pPr>
                              <w:r>
                                <w:rPr>
                                  <w:rFonts w:asciiTheme="minorHAnsi" w:hAnsi="Calibri" w:cstheme="minorBidi"/>
                                  <w:color w:val="000000" w:themeColor="text1"/>
                                  <w:kern w:val="24"/>
                                  <w:sz w:val="22"/>
                                  <w:szCs w:val="22"/>
                                  <w:u w:val="single"/>
                                </w:rPr>
                                <w:t>ACCC (Rules)</w:t>
                              </w:r>
                            </w:p>
                            <w:p w14:paraId="0EC70A8B" w14:textId="77777777" w:rsidR="00032124" w:rsidRPr="000B6F47" w:rsidRDefault="00032124" w:rsidP="00725D1A">
                              <w:pPr>
                                <w:pStyle w:val="NormalWeb"/>
                                <w:spacing w:before="0" w:beforeAutospacing="0" w:after="0" w:afterAutospacing="0"/>
                                <w:jc w:val="center"/>
                                <w:rPr>
                                  <w:sz w:val="22"/>
                                </w:rPr>
                              </w:pPr>
                              <w:r w:rsidRPr="000B6F47">
                                <w:rPr>
                                  <w:rFonts w:asciiTheme="minorHAnsi" w:hAnsi="Calibri" w:cstheme="minorBidi"/>
                                  <w:color w:val="000000" w:themeColor="text1"/>
                                  <w:kern w:val="24"/>
                                  <w:sz w:val="20"/>
                                  <w:szCs w:val="22"/>
                                </w:rPr>
                                <w:t xml:space="preserve">Principles, requirements, outcomes </w:t>
                              </w:r>
                            </w:p>
                          </w:txbxContent>
                        </wps:txbx>
                        <wps:bodyPr lIns="0" tIns="0" rIns="0" bIns="0" rtlCol="0" anchor="ctr"/>
                      </wps:wsp>
                      <wps:wsp>
                        <wps:cNvPr id="27" name="Hexagon 27"/>
                        <wps:cNvSpPr/>
                        <wps:spPr>
                          <a:xfrm>
                            <a:off x="1935512" y="1275970"/>
                            <a:ext cx="1133276" cy="501995"/>
                          </a:xfrm>
                          <a:prstGeom prst="hexagon">
                            <a:avLst/>
                          </a:prstGeom>
                          <a:solidFill>
                            <a:srgbClr val="FFD88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107E47" w14:textId="77777777" w:rsidR="00032124" w:rsidRDefault="00032124" w:rsidP="00725D1A">
                              <w:pPr>
                                <w:pStyle w:val="NormalWeb"/>
                                <w:spacing w:before="0" w:beforeAutospacing="0" w:after="0" w:afterAutospacing="0"/>
                                <w:jc w:val="center"/>
                              </w:pPr>
                              <w:r>
                                <w:rPr>
                                  <w:rFonts w:asciiTheme="minorHAnsi" w:hAnsi="Calibri" w:cstheme="minorBidi"/>
                                  <w:color w:val="000000" w:themeColor="text1"/>
                                  <w:kern w:val="24"/>
                                  <w:sz w:val="22"/>
                                  <w:szCs w:val="22"/>
                                </w:rPr>
                                <w:t>Accreditation Register</w:t>
                              </w:r>
                            </w:p>
                          </w:txbxContent>
                        </wps:txbx>
                        <wps:bodyPr vert="horz" lIns="0" tIns="0" rIns="0" bIns="0" rtlCol="0" anchor="ctr"/>
                      </wps:wsp>
                      <wps:wsp>
                        <wps:cNvPr id="28" name="Straight Connector 28"/>
                        <wps:cNvCnPr>
                          <a:stCxn id="27" idx="1"/>
                        </wps:cNvCnPr>
                        <wps:spPr>
                          <a:xfrm>
                            <a:off x="2943289" y="1777965"/>
                            <a:ext cx="267566" cy="370932"/>
                          </a:xfrm>
                          <a:prstGeom prst="line">
                            <a:avLst/>
                          </a:prstGeom>
                          <a:ln w="19050">
                            <a:solidFill>
                              <a:srgbClr val="FFCC66"/>
                            </a:solidFill>
                            <a:prstDash val="dash"/>
                          </a:ln>
                        </wps:spPr>
                        <wps:style>
                          <a:lnRef idx="1">
                            <a:schemeClr val="accent1"/>
                          </a:lnRef>
                          <a:fillRef idx="0">
                            <a:schemeClr val="accent1"/>
                          </a:fillRef>
                          <a:effectRef idx="0">
                            <a:schemeClr val="accent1"/>
                          </a:effectRef>
                          <a:fontRef idx="minor">
                            <a:schemeClr val="tx1"/>
                          </a:fontRef>
                        </wps:style>
                        <wps:bodyPr/>
                      </wps:wsp>
                      <wps:wsp>
                        <wps:cNvPr id="29" name="Rounded Rectangle 29"/>
                        <wps:cNvSpPr/>
                        <wps:spPr>
                          <a:xfrm>
                            <a:off x="1132104" y="2148895"/>
                            <a:ext cx="931418" cy="491997"/>
                          </a:xfrm>
                          <a:prstGeom prst="round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73812B" w14:textId="77777777" w:rsidR="00032124" w:rsidRDefault="00032124" w:rsidP="00725D1A">
                              <w:pPr>
                                <w:pStyle w:val="NormalWeb"/>
                                <w:spacing w:before="0" w:beforeAutospacing="0" w:after="0" w:afterAutospacing="0"/>
                                <w:jc w:val="center"/>
                              </w:pPr>
                              <w:r>
                                <w:rPr>
                                  <w:rFonts w:asciiTheme="minorHAnsi" w:hAnsi="Calibri" w:cstheme="minorBidi"/>
                                  <w:color w:val="000000" w:themeColor="text1"/>
                                  <w:kern w:val="24"/>
                                </w:rPr>
                                <w:t>3</w:t>
                              </w:r>
                              <w:proofErr w:type="spellStart"/>
                              <w:r>
                                <w:rPr>
                                  <w:rFonts w:asciiTheme="minorHAnsi" w:hAnsi="Calibri" w:cstheme="minorBidi"/>
                                  <w:color w:val="000000" w:themeColor="text1"/>
                                  <w:kern w:val="24"/>
                                  <w:position w:val="7"/>
                                  <w:vertAlign w:val="superscript"/>
                                </w:rPr>
                                <w:t>rd</w:t>
                              </w:r>
                              <w:proofErr w:type="spellEnd"/>
                              <w:r>
                                <w:rPr>
                                  <w:rFonts w:asciiTheme="minorHAnsi" w:hAnsi="Calibri" w:cstheme="minorBidi"/>
                                  <w:color w:val="000000" w:themeColor="text1"/>
                                  <w:kern w:val="24"/>
                                </w:rPr>
                                <w:t xml:space="preserve"> Party (Outsourced)</w:t>
                              </w:r>
                            </w:p>
                          </w:txbxContent>
                        </wps:txbx>
                        <wps:bodyPr lIns="0" tIns="0" rIns="0" bIns="0" rtlCol="0" anchor="ctr"/>
                      </wps:wsp>
                      <wps:wsp>
                        <wps:cNvPr id="30" name="Rounded Rectangle 30"/>
                        <wps:cNvSpPr/>
                        <wps:spPr>
                          <a:xfrm>
                            <a:off x="1050142" y="2602934"/>
                            <a:ext cx="1098060" cy="729788"/>
                          </a:xfrm>
                          <a:prstGeom prst="roundRect">
                            <a:avLst/>
                          </a:prstGeom>
                          <a:solidFill>
                            <a:srgbClr val="FFC1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8EE445" w14:textId="77777777" w:rsidR="00032124" w:rsidRPr="000B6F47" w:rsidRDefault="00032124" w:rsidP="00725D1A">
                              <w:pPr>
                                <w:pStyle w:val="NormalWeb"/>
                                <w:spacing w:before="0" w:beforeAutospacing="0" w:after="0" w:afterAutospacing="0"/>
                                <w:jc w:val="center"/>
                                <w:rPr>
                                  <w:sz w:val="22"/>
                                </w:rPr>
                              </w:pPr>
                              <w:r w:rsidRPr="000B6F47">
                                <w:rPr>
                                  <w:rFonts w:asciiTheme="minorHAnsi" w:hAnsi="Calibri" w:cstheme="minorBidi"/>
                                  <w:color w:val="000000" w:themeColor="text1"/>
                                  <w:kern w:val="24"/>
                                  <w:sz w:val="28"/>
                                  <w:szCs w:val="32"/>
                                </w:rPr>
                                <w:t>API</w:t>
                              </w:r>
                            </w:p>
                            <w:p w14:paraId="33D815EA" w14:textId="77777777" w:rsidR="00032124" w:rsidRDefault="00032124" w:rsidP="00725D1A">
                              <w:pPr>
                                <w:pStyle w:val="NormalWeb"/>
                                <w:spacing w:before="0" w:beforeAutospacing="0" w:after="0" w:afterAutospacing="0"/>
                                <w:jc w:val="center"/>
                              </w:pPr>
                              <w:r>
                                <w:rPr>
                                  <w:rFonts w:asciiTheme="minorHAnsi" w:hAnsi="Calibri" w:cstheme="minorBidi"/>
                                  <w:color w:val="000000" w:themeColor="text1"/>
                                  <w:kern w:val="24"/>
                                  <w:sz w:val="18"/>
                                  <w:szCs w:val="18"/>
                                </w:rPr>
                                <w:t>- Transaction data</w:t>
                              </w:r>
                            </w:p>
                            <w:p w14:paraId="03CD8C9A" w14:textId="77777777" w:rsidR="00032124" w:rsidRDefault="00032124" w:rsidP="00725D1A">
                              <w:pPr>
                                <w:pStyle w:val="NormalWeb"/>
                                <w:spacing w:before="0" w:beforeAutospacing="0" w:after="0" w:afterAutospacing="0"/>
                                <w:jc w:val="center"/>
                              </w:pPr>
                              <w:r>
                                <w:rPr>
                                  <w:rFonts w:asciiTheme="minorHAnsi" w:hAnsi="Calibri" w:cstheme="minorBidi"/>
                                  <w:color w:val="000000" w:themeColor="text1"/>
                                  <w:kern w:val="24"/>
                                  <w:sz w:val="18"/>
                                  <w:szCs w:val="18"/>
                                </w:rPr>
                                <w:t>-Product data</w:t>
                              </w:r>
                            </w:p>
                            <w:p w14:paraId="7F979435" w14:textId="77777777" w:rsidR="00032124" w:rsidRDefault="00032124" w:rsidP="00725D1A">
                              <w:pPr>
                                <w:pStyle w:val="NormalWeb"/>
                                <w:spacing w:before="0" w:beforeAutospacing="0" w:after="0" w:afterAutospacing="0"/>
                                <w:jc w:val="center"/>
                              </w:pPr>
                              <w:r>
                                <w:rPr>
                                  <w:rFonts w:asciiTheme="minorHAnsi" w:hAnsi="Calibri" w:cstheme="minorBidi"/>
                                  <w:color w:val="000000" w:themeColor="text1"/>
                                  <w:kern w:val="24"/>
                                  <w:sz w:val="18"/>
                                  <w:szCs w:val="18"/>
                                </w:rPr>
                                <w:t>- Customer details</w:t>
                              </w:r>
                            </w:p>
                          </w:txbxContent>
                        </wps:txbx>
                        <wps:bodyPr lIns="0" tIns="0" rIns="0" bIns="0" rtlCol="0" anchor="ctr"/>
                      </wps:wsp>
                      <wps:wsp>
                        <wps:cNvPr id="31" name="Rounded Rectangle 31"/>
                        <wps:cNvSpPr/>
                        <wps:spPr>
                          <a:xfrm>
                            <a:off x="2517363" y="2667888"/>
                            <a:ext cx="931418" cy="491997"/>
                          </a:xfrm>
                          <a:prstGeom prst="round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48A0F2" w14:textId="77777777" w:rsidR="00032124" w:rsidRDefault="00032124" w:rsidP="00725D1A">
                              <w:pPr>
                                <w:pStyle w:val="NormalWeb"/>
                                <w:spacing w:before="0" w:beforeAutospacing="0" w:after="0" w:afterAutospacing="0"/>
                                <w:jc w:val="center"/>
                              </w:pPr>
                              <w:r>
                                <w:rPr>
                                  <w:rFonts w:asciiTheme="minorHAnsi" w:hAnsi="Calibri" w:cstheme="minorBidi"/>
                                  <w:color w:val="000000" w:themeColor="text1"/>
                                  <w:kern w:val="24"/>
                                  <w:sz w:val="21"/>
                                  <w:szCs w:val="21"/>
                                </w:rPr>
                                <w:t>Intermediaries</w:t>
                              </w:r>
                            </w:p>
                          </w:txbxContent>
                        </wps:txbx>
                        <wps:bodyPr lIns="0" tIns="0" rIns="0" bIns="0" rtlCol="0" anchor="ctr"/>
                      </wps:wsp>
                      <wps:wsp>
                        <wps:cNvPr id="32" name="Rounded Rectangle 32"/>
                        <wps:cNvSpPr/>
                        <wps:spPr>
                          <a:xfrm>
                            <a:off x="6027459" y="2936378"/>
                            <a:ext cx="1009651" cy="491997"/>
                          </a:xfrm>
                          <a:prstGeom prst="round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1FAFBA" w14:textId="77777777" w:rsidR="00032124" w:rsidRDefault="00032124" w:rsidP="00725D1A">
                              <w:pPr>
                                <w:pStyle w:val="NormalWeb"/>
                                <w:spacing w:before="0" w:beforeAutospacing="0" w:after="0" w:afterAutospacing="0"/>
                                <w:jc w:val="center"/>
                              </w:pPr>
                              <w:r>
                                <w:rPr>
                                  <w:rFonts w:asciiTheme="minorHAnsi" w:hAnsi="Calibri" w:cstheme="minorBidi"/>
                                  <w:color w:val="000000" w:themeColor="text1"/>
                                  <w:kern w:val="24"/>
                                </w:rPr>
                                <w:t>3</w:t>
                              </w:r>
                              <w:proofErr w:type="spellStart"/>
                              <w:r>
                                <w:rPr>
                                  <w:rFonts w:asciiTheme="minorHAnsi" w:hAnsi="Calibri" w:cstheme="minorBidi"/>
                                  <w:color w:val="000000" w:themeColor="text1"/>
                                  <w:kern w:val="24"/>
                                  <w:position w:val="7"/>
                                  <w:vertAlign w:val="superscript"/>
                                </w:rPr>
                                <w:t>rd</w:t>
                              </w:r>
                              <w:proofErr w:type="spellEnd"/>
                              <w:r>
                                <w:rPr>
                                  <w:rFonts w:asciiTheme="minorHAnsi" w:hAnsi="Calibri" w:cstheme="minorBidi"/>
                                  <w:color w:val="000000" w:themeColor="text1"/>
                                  <w:kern w:val="24"/>
                                </w:rPr>
                                <w:t xml:space="preserve"> Party (Outsourced)</w:t>
                              </w:r>
                            </w:p>
                          </w:txbxContent>
                        </wps:txbx>
                        <wps:bodyPr lIns="0" tIns="0" rIns="0" bIns="0" rtlCol="0" anchor="ctr"/>
                      </wps:wsp>
                      <wps:wsp>
                        <wps:cNvPr id="33" name="Rounded Rectangle 33"/>
                        <wps:cNvSpPr/>
                        <wps:spPr>
                          <a:xfrm>
                            <a:off x="6027459" y="3563372"/>
                            <a:ext cx="1009651" cy="491997"/>
                          </a:xfrm>
                          <a:prstGeom prst="round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FE8603" w14:textId="77777777" w:rsidR="00032124" w:rsidRDefault="00032124" w:rsidP="00725D1A">
                              <w:pPr>
                                <w:pStyle w:val="NormalWeb"/>
                                <w:spacing w:before="0" w:beforeAutospacing="0" w:after="0" w:afterAutospacing="0"/>
                                <w:jc w:val="center"/>
                              </w:pPr>
                              <w:r>
                                <w:rPr>
                                  <w:rFonts w:asciiTheme="minorHAnsi" w:hAnsi="Calibri" w:cstheme="minorBidi"/>
                                  <w:color w:val="000000" w:themeColor="text1"/>
                                  <w:kern w:val="24"/>
                                </w:rPr>
                                <w:t>Accredited Party</w:t>
                              </w:r>
                            </w:p>
                          </w:txbxContent>
                        </wps:txbx>
                        <wps:bodyPr lIns="0" tIns="0" rIns="0" bIns="0" rtlCol="0" anchor="ctr"/>
                      </wps:wsp>
                      <wps:wsp>
                        <wps:cNvPr id="34" name="Rounded Rectangle 34"/>
                        <wps:cNvSpPr/>
                        <wps:spPr>
                          <a:xfrm>
                            <a:off x="1989683" y="3937949"/>
                            <a:ext cx="896392" cy="539685"/>
                          </a:xfrm>
                          <a:prstGeom prst="round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A87572" w14:textId="77777777" w:rsidR="00032124" w:rsidRPr="000B6F47" w:rsidRDefault="00032124" w:rsidP="00725D1A">
                              <w:pPr>
                                <w:pStyle w:val="NormalWeb"/>
                                <w:spacing w:before="0" w:beforeAutospacing="0" w:after="0" w:afterAutospacing="0"/>
                                <w:jc w:val="center"/>
                                <w:rPr>
                                  <w:sz w:val="22"/>
                                </w:rPr>
                              </w:pPr>
                              <w:r w:rsidRPr="000B6F47">
                                <w:rPr>
                                  <w:rFonts w:asciiTheme="minorHAnsi" w:hAnsi="Calibri" w:cstheme="minorBidi"/>
                                  <w:color w:val="000000" w:themeColor="text1"/>
                                  <w:kern w:val="24"/>
                                  <w:sz w:val="22"/>
                                </w:rPr>
                                <w:t>Non-accredited Party</w:t>
                              </w:r>
                            </w:p>
                          </w:txbxContent>
                        </wps:txbx>
                        <wps:bodyPr lIns="0" tIns="0" rIns="0" bIns="0" rtlCol="0" anchor="ctr"/>
                      </wps:wsp>
                      <wps:wsp>
                        <wps:cNvPr id="352" name="Rounded Rectangle 352"/>
                        <wps:cNvSpPr/>
                        <wps:spPr>
                          <a:xfrm>
                            <a:off x="1989683" y="4537413"/>
                            <a:ext cx="896392" cy="491997"/>
                          </a:xfrm>
                          <a:prstGeom prst="round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C9D4AF" w14:textId="77777777" w:rsidR="00032124" w:rsidRDefault="00032124" w:rsidP="00725D1A">
                              <w:pPr>
                                <w:pStyle w:val="NormalWeb"/>
                                <w:spacing w:before="0" w:beforeAutospacing="0" w:after="0" w:afterAutospacing="0"/>
                                <w:jc w:val="center"/>
                              </w:pPr>
                              <w:r>
                                <w:rPr>
                                  <w:rFonts w:asciiTheme="minorHAnsi" w:hAnsi="Calibri" w:cstheme="minorBidi"/>
                                  <w:color w:val="000000" w:themeColor="text1"/>
                                  <w:kern w:val="24"/>
                                </w:rPr>
                                <w:t>Overseas Party</w:t>
                              </w:r>
                            </w:p>
                          </w:txbxContent>
                        </wps:txbx>
                        <wps:bodyPr lIns="0" tIns="0" rIns="0" bIns="0" rtlCol="0" anchor="ctr"/>
                      </wps:wsp>
                      <wps:wsp>
                        <wps:cNvPr id="353" name="Elbow Connector 353"/>
                        <wps:cNvCnPr>
                          <a:stCxn id="19" idx="4"/>
                          <a:endCxn id="34" idx="1"/>
                        </wps:cNvCnPr>
                        <wps:spPr>
                          <a:xfrm rot="16200000" flipH="1">
                            <a:off x="901806" y="3119911"/>
                            <a:ext cx="837336" cy="1338418"/>
                          </a:xfrm>
                          <a:prstGeom prst="bentConnector2">
                            <a:avLst/>
                          </a:prstGeom>
                          <a:ln w="19050">
                            <a:solidFill>
                              <a:schemeClr val="accent2">
                                <a:lumMod val="60000"/>
                                <a:lumOff val="40000"/>
                              </a:schemeClr>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54" name="Elbow Connector 354"/>
                        <wps:cNvCnPr>
                          <a:stCxn id="34" idx="3"/>
                          <a:endCxn id="21" idx="4"/>
                        </wps:cNvCnPr>
                        <wps:spPr>
                          <a:xfrm flipV="1">
                            <a:off x="2886075" y="3380479"/>
                            <a:ext cx="1469452" cy="827309"/>
                          </a:xfrm>
                          <a:prstGeom prst="bentConnector2">
                            <a:avLst/>
                          </a:prstGeom>
                          <a:ln w="19050">
                            <a:solidFill>
                              <a:schemeClr val="accent2">
                                <a:lumMod val="60000"/>
                                <a:lumOff val="40000"/>
                              </a:schemeClr>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56" name="Elbow Connector 356"/>
                        <wps:cNvCnPr>
                          <a:stCxn id="352" idx="3"/>
                          <a:endCxn id="21" idx="4"/>
                        </wps:cNvCnPr>
                        <wps:spPr>
                          <a:xfrm flipV="1">
                            <a:off x="2886075" y="3380479"/>
                            <a:ext cx="1469452" cy="1402930"/>
                          </a:xfrm>
                          <a:prstGeom prst="bentConnector2">
                            <a:avLst/>
                          </a:prstGeom>
                          <a:ln w="19050">
                            <a:solidFill>
                              <a:schemeClr val="accent2">
                                <a:lumMod val="60000"/>
                                <a:lumOff val="40000"/>
                              </a:schemeClr>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57" name="Elbow Connector 357"/>
                        <wps:cNvCnPr>
                          <a:stCxn id="21" idx="6"/>
                          <a:endCxn id="32" idx="1"/>
                        </wps:cNvCnPr>
                        <wps:spPr>
                          <a:xfrm>
                            <a:off x="4964132" y="2913886"/>
                            <a:ext cx="1063327" cy="268491"/>
                          </a:xfrm>
                          <a:prstGeom prst="bentConnector3">
                            <a:avLst>
                              <a:gd name="adj1" fmla="val 50000"/>
                            </a:avLst>
                          </a:prstGeom>
                          <a:ln w="19050">
                            <a:solidFill>
                              <a:schemeClr val="accent2">
                                <a:lumMod val="60000"/>
                                <a:lumOff val="40000"/>
                              </a:schemeClr>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61" name="TextBox 128"/>
                        <wps:cNvSpPr txBox="1"/>
                        <wps:spPr>
                          <a:xfrm>
                            <a:off x="96558" y="512672"/>
                            <a:ext cx="2105025" cy="1021715"/>
                          </a:xfrm>
                          <a:prstGeom prst="rect">
                            <a:avLst/>
                          </a:prstGeom>
                          <a:noFill/>
                        </wps:spPr>
                        <wps:txbx>
                          <w:txbxContent>
                            <w:p w14:paraId="5283E18B" w14:textId="77777777" w:rsidR="00032124" w:rsidRDefault="00032124" w:rsidP="00725D1A">
                              <w:pPr>
                                <w:pStyle w:val="NormalWeb"/>
                                <w:spacing w:before="0" w:beforeAutospacing="0" w:after="0" w:afterAutospacing="0"/>
                              </w:pPr>
                              <w:r>
                                <w:rPr>
                                  <w:rFonts w:asciiTheme="minorHAnsi" w:hAnsi="Calibri" w:cstheme="minorBidi"/>
                                  <w:b/>
                                  <w:bCs/>
                                  <w:color w:val="000000" w:themeColor="text1"/>
                                  <w:kern w:val="24"/>
                                  <w:sz w:val="20"/>
                                  <w:szCs w:val="20"/>
                                </w:rPr>
                                <w:t>Key:</w:t>
                              </w:r>
                            </w:p>
                            <w:p w14:paraId="287074A1" w14:textId="77777777" w:rsidR="00032124" w:rsidRDefault="00032124" w:rsidP="00725D1A">
                              <w:pPr>
                                <w:pStyle w:val="NormalWeb"/>
                                <w:spacing w:before="0" w:beforeAutospacing="0" w:after="0" w:afterAutospacing="0"/>
                              </w:pPr>
                              <w:r>
                                <w:rPr>
                                  <w:rFonts w:asciiTheme="minorHAnsi" w:hAnsi="Calibri" w:cstheme="minorBidi"/>
                                  <w:b/>
                                  <w:bCs/>
                                  <w:color w:val="000000" w:themeColor="text1"/>
                                  <w:kern w:val="24"/>
                                  <w:sz w:val="20"/>
                                  <w:szCs w:val="20"/>
                                </w:rPr>
                                <w:t xml:space="preserve">ACCC – </w:t>
                              </w:r>
                              <w:r>
                                <w:rPr>
                                  <w:rFonts w:asciiTheme="minorHAnsi" w:hAnsi="Calibri" w:cstheme="minorBidi"/>
                                  <w:color w:val="000000" w:themeColor="text1"/>
                                  <w:kern w:val="24"/>
                                  <w:sz w:val="20"/>
                                  <w:szCs w:val="20"/>
                                </w:rPr>
                                <w:t>Australian Competition and Consumer Commission</w:t>
                              </w:r>
                            </w:p>
                            <w:p w14:paraId="7D3703E0" w14:textId="77777777" w:rsidR="00032124" w:rsidRDefault="00032124" w:rsidP="00725D1A">
                              <w:pPr>
                                <w:pStyle w:val="NormalWeb"/>
                                <w:spacing w:before="0" w:beforeAutospacing="0" w:after="0" w:afterAutospacing="0"/>
                              </w:pPr>
                              <w:r>
                                <w:rPr>
                                  <w:rFonts w:asciiTheme="minorHAnsi" w:hAnsi="Calibri" w:cstheme="minorBidi"/>
                                  <w:b/>
                                  <w:bCs/>
                                  <w:color w:val="000000" w:themeColor="text1"/>
                                  <w:kern w:val="24"/>
                                  <w:sz w:val="20"/>
                                  <w:szCs w:val="20"/>
                                </w:rPr>
                                <w:t xml:space="preserve">API </w:t>
                              </w:r>
                              <w:r>
                                <w:rPr>
                                  <w:rFonts w:asciiTheme="minorHAnsi" w:hAnsi="Calibri" w:cstheme="minorBidi"/>
                                  <w:color w:val="000000" w:themeColor="text1"/>
                                  <w:kern w:val="24"/>
                                  <w:sz w:val="20"/>
                                  <w:szCs w:val="20"/>
                                </w:rPr>
                                <w:t>– Application Programming Interface</w:t>
                              </w:r>
                            </w:p>
                            <w:p w14:paraId="429C9BD7" w14:textId="77777777" w:rsidR="00032124" w:rsidRDefault="00032124" w:rsidP="00725D1A">
                              <w:pPr>
                                <w:pStyle w:val="NormalWeb"/>
                                <w:spacing w:before="0" w:beforeAutospacing="0" w:after="0" w:afterAutospacing="0"/>
                              </w:pPr>
                              <w:r>
                                <w:rPr>
                                  <w:rFonts w:asciiTheme="minorHAnsi" w:hAnsi="Calibri" w:cstheme="minorBidi"/>
                                  <w:b/>
                                  <w:bCs/>
                                  <w:color w:val="000000" w:themeColor="text1"/>
                                  <w:kern w:val="24"/>
                                  <w:sz w:val="20"/>
                                  <w:szCs w:val="20"/>
                                </w:rPr>
                                <w:t xml:space="preserve">DSB – </w:t>
                              </w:r>
                              <w:r>
                                <w:rPr>
                                  <w:rFonts w:asciiTheme="minorHAnsi" w:hAnsi="Calibri" w:cstheme="minorBidi"/>
                                  <w:color w:val="000000" w:themeColor="text1"/>
                                  <w:kern w:val="24"/>
                                  <w:sz w:val="20"/>
                                  <w:szCs w:val="20"/>
                                </w:rPr>
                                <w:t xml:space="preserve">Data Standards Body </w:t>
                              </w:r>
                            </w:p>
                          </w:txbxContent>
                        </wps:txbx>
                        <wps:bodyPr wrap="square" rtlCol="0">
                          <a:spAutoFit/>
                        </wps:bodyPr>
                      </wps:wsp>
                      <wps:wsp>
                        <wps:cNvPr id="362" name="Rounded Rectangle 362"/>
                        <wps:cNvSpPr/>
                        <wps:spPr>
                          <a:xfrm>
                            <a:off x="3881624" y="1670779"/>
                            <a:ext cx="931418" cy="491997"/>
                          </a:xfrm>
                          <a:prstGeom prst="round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F6BB89" w14:textId="77777777" w:rsidR="00032124" w:rsidRDefault="00032124" w:rsidP="00725D1A">
                              <w:pPr>
                                <w:pStyle w:val="NormalWeb"/>
                                <w:spacing w:before="0" w:beforeAutospacing="0" w:after="0" w:afterAutospacing="0"/>
                                <w:jc w:val="center"/>
                              </w:pPr>
                              <w:r>
                                <w:rPr>
                                  <w:rFonts w:asciiTheme="minorHAnsi" w:hAnsi="Calibri" w:cstheme="minorBidi"/>
                                  <w:color w:val="000000" w:themeColor="text1"/>
                                  <w:kern w:val="24"/>
                                  <w:sz w:val="21"/>
                                  <w:szCs w:val="21"/>
                                </w:rPr>
                                <w:t>Intermediaries</w:t>
                              </w:r>
                            </w:p>
                          </w:txbxContent>
                        </wps:txbx>
                        <wps:bodyPr lIns="0" tIns="0" rIns="0" bIns="0" rtlCol="0" anchor="ctr"/>
                      </wps:wsp>
                      <wps:wsp>
                        <wps:cNvPr id="363" name="TextBox 39"/>
                        <wps:cNvSpPr txBox="1"/>
                        <wps:spPr>
                          <a:xfrm>
                            <a:off x="3795117" y="1608763"/>
                            <a:ext cx="353695" cy="277495"/>
                          </a:xfrm>
                          <a:prstGeom prst="rect">
                            <a:avLst/>
                          </a:prstGeom>
                          <a:noFill/>
                        </wps:spPr>
                        <wps:txbx>
                          <w:txbxContent>
                            <w:p w14:paraId="630AC6FF" w14:textId="77777777" w:rsidR="00032124" w:rsidRDefault="00032124" w:rsidP="00725D1A">
                              <w:pPr>
                                <w:pStyle w:val="NormalWeb"/>
                                <w:spacing w:before="0" w:beforeAutospacing="0" w:after="0" w:afterAutospacing="0"/>
                              </w:pPr>
                              <w:r>
                                <w:rPr>
                                  <w:rFonts w:asciiTheme="minorHAnsi" w:hAnsi="Calibri" w:cstheme="minorBidi"/>
                                  <w:b/>
                                  <w:bCs/>
                                  <w:color w:val="000000" w:themeColor="text1"/>
                                  <w:kern w:val="24"/>
                                </w:rPr>
                                <w:t>(a)</w:t>
                              </w:r>
                            </w:p>
                          </w:txbxContent>
                        </wps:txbx>
                        <wps:bodyPr wrap="none" rtlCol="0">
                          <a:spAutoFit/>
                        </wps:bodyPr>
                      </wps:wsp>
                      <wps:wsp>
                        <wps:cNvPr id="364" name="TextBox 42"/>
                        <wps:cNvSpPr txBox="1"/>
                        <wps:spPr>
                          <a:xfrm>
                            <a:off x="1053866" y="2082910"/>
                            <a:ext cx="360045" cy="277495"/>
                          </a:xfrm>
                          <a:prstGeom prst="rect">
                            <a:avLst/>
                          </a:prstGeom>
                          <a:noFill/>
                        </wps:spPr>
                        <wps:txbx>
                          <w:txbxContent>
                            <w:p w14:paraId="079A675A" w14:textId="77777777" w:rsidR="00032124" w:rsidRDefault="00032124" w:rsidP="00725D1A">
                              <w:pPr>
                                <w:pStyle w:val="NormalWeb"/>
                                <w:spacing w:before="0" w:beforeAutospacing="0" w:after="0" w:afterAutospacing="0"/>
                              </w:pPr>
                              <w:r>
                                <w:rPr>
                                  <w:rFonts w:asciiTheme="minorHAnsi" w:hAnsi="Calibri" w:cstheme="minorBidi"/>
                                  <w:b/>
                                  <w:bCs/>
                                  <w:color w:val="000000" w:themeColor="text1"/>
                                  <w:kern w:val="24"/>
                                </w:rPr>
                                <w:t>(b)</w:t>
                              </w:r>
                            </w:p>
                          </w:txbxContent>
                        </wps:txbx>
                        <wps:bodyPr wrap="none" rtlCol="0">
                          <a:spAutoFit/>
                        </wps:bodyPr>
                      </wps:wsp>
                      <wps:wsp>
                        <wps:cNvPr id="365" name="TextBox 44"/>
                        <wps:cNvSpPr txBox="1"/>
                        <wps:spPr>
                          <a:xfrm>
                            <a:off x="5975043" y="2873611"/>
                            <a:ext cx="341630" cy="277495"/>
                          </a:xfrm>
                          <a:prstGeom prst="rect">
                            <a:avLst/>
                          </a:prstGeom>
                          <a:noFill/>
                        </wps:spPr>
                        <wps:txbx>
                          <w:txbxContent>
                            <w:p w14:paraId="25A0BCCC" w14:textId="77777777" w:rsidR="00032124" w:rsidRDefault="00032124" w:rsidP="00725D1A">
                              <w:pPr>
                                <w:pStyle w:val="NormalWeb"/>
                                <w:spacing w:before="0" w:beforeAutospacing="0" w:after="0" w:afterAutospacing="0"/>
                              </w:pPr>
                              <w:r>
                                <w:rPr>
                                  <w:rFonts w:asciiTheme="minorHAnsi" w:hAnsi="Calibri" w:cstheme="minorBidi"/>
                                  <w:b/>
                                  <w:bCs/>
                                  <w:color w:val="000000" w:themeColor="text1"/>
                                  <w:kern w:val="24"/>
                                </w:rPr>
                                <w:t>(c)</w:t>
                              </w:r>
                            </w:p>
                          </w:txbxContent>
                        </wps:txbx>
                        <wps:bodyPr wrap="none" rtlCol="0">
                          <a:spAutoFit/>
                        </wps:bodyPr>
                      </wps:wsp>
                      <wps:wsp>
                        <wps:cNvPr id="366" name="TextBox 46"/>
                        <wps:cNvSpPr txBox="1"/>
                        <wps:spPr>
                          <a:xfrm>
                            <a:off x="2443172" y="2602934"/>
                            <a:ext cx="360045" cy="277495"/>
                          </a:xfrm>
                          <a:prstGeom prst="rect">
                            <a:avLst/>
                          </a:prstGeom>
                          <a:noFill/>
                        </wps:spPr>
                        <wps:txbx>
                          <w:txbxContent>
                            <w:p w14:paraId="628B9CF8" w14:textId="77777777" w:rsidR="00032124" w:rsidRDefault="00032124" w:rsidP="00725D1A">
                              <w:pPr>
                                <w:pStyle w:val="NormalWeb"/>
                                <w:spacing w:before="0" w:beforeAutospacing="0" w:after="0" w:afterAutospacing="0"/>
                              </w:pPr>
                              <w:r>
                                <w:rPr>
                                  <w:rFonts w:asciiTheme="minorHAnsi" w:hAnsi="Calibri" w:cstheme="minorBidi"/>
                                  <w:b/>
                                  <w:bCs/>
                                  <w:color w:val="000000" w:themeColor="text1"/>
                                  <w:kern w:val="24"/>
                                </w:rPr>
                                <w:t>(d)</w:t>
                              </w:r>
                            </w:p>
                          </w:txbxContent>
                        </wps:txbx>
                        <wps:bodyPr wrap="none" rtlCol="0">
                          <a:spAutoFit/>
                        </wps:bodyPr>
                      </wps:wsp>
                      <wps:wsp>
                        <wps:cNvPr id="367" name="TextBox 49"/>
                        <wps:cNvSpPr txBox="1"/>
                        <wps:spPr>
                          <a:xfrm>
                            <a:off x="5944256" y="3497771"/>
                            <a:ext cx="354965" cy="277495"/>
                          </a:xfrm>
                          <a:prstGeom prst="rect">
                            <a:avLst/>
                          </a:prstGeom>
                          <a:noFill/>
                        </wps:spPr>
                        <wps:txbx>
                          <w:txbxContent>
                            <w:p w14:paraId="41DE8FBC" w14:textId="77777777" w:rsidR="00032124" w:rsidRDefault="00032124" w:rsidP="00725D1A">
                              <w:pPr>
                                <w:pStyle w:val="NormalWeb"/>
                                <w:spacing w:before="0" w:beforeAutospacing="0" w:after="0" w:afterAutospacing="0"/>
                              </w:pPr>
                              <w:r>
                                <w:rPr>
                                  <w:rFonts w:asciiTheme="minorHAnsi" w:hAnsi="Calibri" w:cstheme="minorBidi"/>
                                  <w:b/>
                                  <w:bCs/>
                                  <w:color w:val="000000" w:themeColor="text1"/>
                                  <w:kern w:val="24"/>
                                </w:rPr>
                                <w:t>(e)</w:t>
                              </w:r>
                            </w:p>
                          </w:txbxContent>
                        </wps:txbx>
                        <wps:bodyPr wrap="none" rtlCol="0">
                          <a:spAutoFit/>
                        </wps:bodyPr>
                      </wps:wsp>
                      <wps:wsp>
                        <wps:cNvPr id="368" name="TextBox 51"/>
                        <wps:cNvSpPr txBox="1"/>
                        <wps:spPr>
                          <a:xfrm>
                            <a:off x="1907912" y="3890331"/>
                            <a:ext cx="328295" cy="277495"/>
                          </a:xfrm>
                          <a:prstGeom prst="rect">
                            <a:avLst/>
                          </a:prstGeom>
                          <a:noFill/>
                        </wps:spPr>
                        <wps:txbx>
                          <w:txbxContent>
                            <w:p w14:paraId="4600DE7A" w14:textId="77777777" w:rsidR="00032124" w:rsidRPr="00584314" w:rsidRDefault="00032124" w:rsidP="00725D1A">
                              <w:pPr>
                                <w:pStyle w:val="NormalWeb"/>
                                <w:spacing w:before="0" w:beforeAutospacing="0" w:after="0" w:afterAutospacing="0"/>
                                <w:rPr>
                                  <w:rFonts w:asciiTheme="minorHAnsi" w:hAnsi="Calibri" w:cstheme="minorBidi"/>
                                  <w:b/>
                                  <w:bCs/>
                                  <w:color w:val="000000" w:themeColor="text1"/>
                                  <w:kern w:val="24"/>
                                </w:rPr>
                              </w:pPr>
                              <w:r>
                                <w:rPr>
                                  <w:rFonts w:asciiTheme="minorHAnsi" w:hAnsi="Calibri" w:cstheme="minorBidi"/>
                                  <w:b/>
                                  <w:bCs/>
                                  <w:color w:val="000000" w:themeColor="text1"/>
                                  <w:kern w:val="24"/>
                                </w:rPr>
                                <w:t>(f)</w:t>
                              </w:r>
                            </w:p>
                          </w:txbxContent>
                        </wps:txbx>
                        <wps:bodyPr wrap="none" rtlCol="0">
                          <a:spAutoFit/>
                        </wps:bodyPr>
                      </wps:wsp>
                      <wps:wsp>
                        <wps:cNvPr id="369" name="TextBox 52"/>
                        <wps:cNvSpPr txBox="1"/>
                        <wps:spPr>
                          <a:xfrm>
                            <a:off x="1908280" y="4477684"/>
                            <a:ext cx="351155" cy="277495"/>
                          </a:xfrm>
                          <a:prstGeom prst="rect">
                            <a:avLst/>
                          </a:prstGeom>
                          <a:noFill/>
                        </wps:spPr>
                        <wps:txbx>
                          <w:txbxContent>
                            <w:p w14:paraId="5005A9F2" w14:textId="77777777" w:rsidR="00032124" w:rsidRDefault="00032124" w:rsidP="00725D1A">
                              <w:pPr>
                                <w:pStyle w:val="NormalWeb"/>
                                <w:spacing w:before="0" w:beforeAutospacing="0" w:after="0" w:afterAutospacing="0"/>
                              </w:pPr>
                              <w:r>
                                <w:rPr>
                                  <w:rFonts w:asciiTheme="minorHAnsi" w:hAnsi="Calibri" w:cstheme="minorBidi"/>
                                  <w:b/>
                                  <w:bCs/>
                                  <w:color w:val="000000" w:themeColor="text1"/>
                                  <w:kern w:val="24"/>
                                </w:rPr>
                                <w:t>(g)</w:t>
                              </w:r>
                            </w:p>
                          </w:txbxContent>
                        </wps:txbx>
                        <wps:bodyPr wrap="none" rtlCol="0">
                          <a:spAutoFit/>
                        </wps:bodyPr>
                      </wps:wsp>
                      <wps:wsp>
                        <wps:cNvPr id="370" name="TextBox 1"/>
                        <wps:cNvSpPr txBox="1"/>
                        <wps:spPr>
                          <a:xfrm>
                            <a:off x="1067377" y="4037347"/>
                            <a:ext cx="244475" cy="463550"/>
                          </a:xfrm>
                          <a:prstGeom prst="rect">
                            <a:avLst/>
                          </a:prstGeom>
                          <a:noFill/>
                        </wps:spPr>
                        <wps:txbx>
                          <w:txbxContent>
                            <w:p w14:paraId="620F9A8E" w14:textId="77777777" w:rsidR="00032124" w:rsidRDefault="00032124" w:rsidP="00725D1A">
                              <w:pPr>
                                <w:pStyle w:val="NormalWeb"/>
                                <w:spacing w:before="0" w:beforeAutospacing="0" w:after="0" w:afterAutospacing="0"/>
                              </w:pPr>
                              <w:r>
                                <w:rPr>
                                  <w:rFonts w:asciiTheme="minorHAnsi" w:hAnsi="Calibri" w:cstheme="minorBidi"/>
                                  <w:b/>
                                  <w:bCs/>
                                  <w:color w:val="ED7D31" w:themeColor="accent2"/>
                                  <w:kern w:val="24"/>
                                  <w:sz w:val="48"/>
                                  <w:szCs w:val="48"/>
                                </w:rPr>
                                <w:t>*</w:t>
                              </w:r>
                            </w:p>
                          </w:txbxContent>
                        </wps:txbx>
                        <wps:bodyPr wrap="square" rtlCol="0">
                          <a:spAutoFit/>
                        </wps:bodyPr>
                      </wps:wsp>
                      <wps:wsp>
                        <wps:cNvPr id="371" name="TextBox 2"/>
                        <wps:cNvSpPr txBox="1"/>
                        <wps:spPr>
                          <a:xfrm>
                            <a:off x="15364" y="5538137"/>
                            <a:ext cx="4331970" cy="375693"/>
                          </a:xfrm>
                          <a:prstGeom prst="rect">
                            <a:avLst/>
                          </a:prstGeom>
                          <a:noFill/>
                        </wps:spPr>
                        <wps:txbx>
                          <w:txbxContent>
                            <w:p w14:paraId="74715F31" w14:textId="77777777" w:rsidR="00032124" w:rsidRPr="004E3BA9" w:rsidRDefault="00032124" w:rsidP="00725D1A">
                              <w:pPr>
                                <w:pStyle w:val="NormalWeb"/>
                                <w:rPr>
                                  <w:rFonts w:asciiTheme="minorHAnsi" w:hAnsi="Calibri" w:cstheme="minorBidi"/>
                                  <w:color w:val="ED7D31" w:themeColor="accent2"/>
                                  <w:kern w:val="24"/>
                                  <w:sz w:val="18"/>
                                  <w:szCs w:val="18"/>
                                </w:rPr>
                              </w:pPr>
                              <w:r>
                                <w:rPr>
                                  <w:rFonts w:asciiTheme="minorHAnsi" w:hAnsi="Calibri" w:cstheme="minorBidi"/>
                                  <w:color w:val="ED7D31" w:themeColor="accent2"/>
                                  <w:kern w:val="24"/>
                                  <w:sz w:val="18"/>
                                  <w:szCs w:val="18"/>
                                </w:rPr>
                                <w:t>*Within the CDR this information flow would only be of information for which there is not an identifiable consumer, such as product information.</w:t>
                              </w:r>
                            </w:p>
                          </w:txbxContent>
                        </wps:txbx>
                        <wps:bodyPr wrap="square" rtlCol="0">
                          <a:noAutofit/>
                        </wps:bodyPr>
                      </wps:wsp>
                      <wps:wsp>
                        <wps:cNvPr id="372" name="Rectangle 372"/>
                        <wps:cNvSpPr/>
                        <wps:spPr>
                          <a:xfrm>
                            <a:off x="4517285" y="4117659"/>
                            <a:ext cx="3963670" cy="1987865"/>
                          </a:xfrm>
                          <a:prstGeom prst="rect">
                            <a:avLst/>
                          </a:prstGeom>
                        </wps:spPr>
                        <wps:txbx>
                          <w:txbxContent>
                            <w:p w14:paraId="7700CE9C" w14:textId="0B1AD483" w:rsidR="00032124" w:rsidRDefault="00032124" w:rsidP="00725D1A">
                              <w:pPr>
                                <w:pStyle w:val="ListParagraph"/>
                                <w:numPr>
                                  <w:ilvl w:val="0"/>
                                  <w:numId w:val="28"/>
                                </w:numPr>
                                <w:spacing w:before="0" w:after="0"/>
                                <w:rPr>
                                  <w:sz w:val="20"/>
                                </w:rPr>
                              </w:pPr>
                              <w:r>
                                <w:rPr>
                                  <w:color w:val="000000" w:themeColor="text1"/>
                                  <w:kern w:val="24"/>
                                  <w:sz w:val="20"/>
                                </w:rPr>
                                <w:t>Intermediaries,</w:t>
                              </w:r>
                              <w:r>
                                <w:rPr>
                                  <w:b/>
                                  <w:bCs/>
                                  <w:color w:val="000000" w:themeColor="text1"/>
                                  <w:kern w:val="24"/>
                                  <w:sz w:val="20"/>
                                </w:rPr>
                                <w:t xml:space="preserve"> </w:t>
                              </w:r>
                              <w:r>
                                <w:rPr>
                                  <w:color w:val="000000" w:themeColor="text1"/>
                                  <w:kern w:val="24"/>
                                  <w:sz w:val="20"/>
                                </w:rPr>
                                <w:t xml:space="preserve">such as </w:t>
                              </w:r>
                              <w:r>
                                <w:rPr>
                                  <w:b/>
                                  <w:bCs/>
                                  <w:color w:val="000000" w:themeColor="text1"/>
                                  <w:kern w:val="24"/>
                                  <w:sz w:val="20"/>
                                </w:rPr>
                                <w:t>financial advisors or accountants</w:t>
                              </w:r>
                              <w:r>
                                <w:rPr>
                                  <w:color w:val="000000" w:themeColor="text1"/>
                                  <w:kern w:val="24"/>
                                  <w:sz w:val="20"/>
                                </w:rPr>
                                <w:t xml:space="preserve"> </w:t>
                              </w:r>
                            </w:p>
                            <w:p w14:paraId="75031FDE" w14:textId="07DADBE6" w:rsidR="00032124" w:rsidRDefault="00032124" w:rsidP="00725D1A">
                              <w:pPr>
                                <w:pStyle w:val="ListParagraph"/>
                                <w:numPr>
                                  <w:ilvl w:val="0"/>
                                  <w:numId w:val="28"/>
                                </w:numPr>
                                <w:spacing w:before="0" w:after="0"/>
                                <w:rPr>
                                  <w:sz w:val="20"/>
                                </w:rPr>
                              </w:pPr>
                              <w:r>
                                <w:rPr>
                                  <w:color w:val="000000" w:themeColor="text1"/>
                                  <w:kern w:val="24"/>
                                  <w:sz w:val="20"/>
                                </w:rPr>
                                <w:t xml:space="preserve">Third parties, such </w:t>
                              </w:r>
                              <w:r>
                                <w:rPr>
                                  <w:b/>
                                  <w:bCs/>
                                  <w:color w:val="000000" w:themeColor="text1"/>
                                  <w:kern w:val="24"/>
                                  <w:sz w:val="20"/>
                                </w:rPr>
                                <w:t>provider of transmission services to the data holder</w:t>
                              </w:r>
                            </w:p>
                            <w:p w14:paraId="13EA88C1" w14:textId="7596D76D" w:rsidR="00032124" w:rsidRDefault="00032124" w:rsidP="00725D1A">
                              <w:pPr>
                                <w:pStyle w:val="ListParagraph"/>
                                <w:numPr>
                                  <w:ilvl w:val="0"/>
                                  <w:numId w:val="28"/>
                                </w:numPr>
                                <w:spacing w:before="0" w:after="0"/>
                                <w:rPr>
                                  <w:sz w:val="20"/>
                                </w:rPr>
                              </w:pPr>
                              <w:r>
                                <w:rPr>
                                  <w:color w:val="000000" w:themeColor="text1"/>
                                  <w:kern w:val="24"/>
                                  <w:sz w:val="20"/>
                                </w:rPr>
                                <w:t xml:space="preserve">Third parties, such providers of </w:t>
                              </w:r>
                              <w:r w:rsidRPr="00A82073">
                                <w:rPr>
                                  <w:b/>
                                  <w:color w:val="000000" w:themeColor="text1"/>
                                  <w:kern w:val="24"/>
                                  <w:sz w:val="20"/>
                                </w:rPr>
                                <w:t>data storage or processing services</w:t>
                              </w:r>
                            </w:p>
                            <w:p w14:paraId="278D0664" w14:textId="35663E2A" w:rsidR="00032124" w:rsidRDefault="00032124" w:rsidP="00725D1A">
                              <w:pPr>
                                <w:pStyle w:val="ListParagraph"/>
                                <w:numPr>
                                  <w:ilvl w:val="0"/>
                                  <w:numId w:val="28"/>
                                </w:numPr>
                                <w:spacing w:before="0" w:after="0"/>
                                <w:rPr>
                                  <w:sz w:val="20"/>
                                </w:rPr>
                              </w:pPr>
                              <w:r>
                                <w:rPr>
                                  <w:color w:val="000000" w:themeColor="text1"/>
                                  <w:kern w:val="24"/>
                                  <w:sz w:val="20"/>
                                </w:rPr>
                                <w:t>Intermediaries,</w:t>
                              </w:r>
                              <w:r>
                                <w:rPr>
                                  <w:b/>
                                  <w:bCs/>
                                  <w:color w:val="000000" w:themeColor="text1"/>
                                  <w:kern w:val="24"/>
                                  <w:sz w:val="20"/>
                                </w:rPr>
                                <w:t xml:space="preserve"> </w:t>
                              </w:r>
                              <w:r>
                                <w:rPr>
                                  <w:color w:val="000000" w:themeColor="text1"/>
                                  <w:kern w:val="24"/>
                                  <w:sz w:val="20"/>
                                </w:rPr>
                                <w:t xml:space="preserve">who may provide services such as </w:t>
                              </w:r>
                              <w:r>
                                <w:rPr>
                                  <w:b/>
                                  <w:bCs/>
                                  <w:color w:val="000000" w:themeColor="text1"/>
                                  <w:kern w:val="24"/>
                                  <w:sz w:val="20"/>
                                </w:rPr>
                                <w:t xml:space="preserve">filtering or processing transaction data </w:t>
                              </w:r>
                              <w:r>
                                <w:rPr>
                                  <w:color w:val="000000" w:themeColor="text1"/>
                                  <w:kern w:val="24"/>
                                  <w:sz w:val="20"/>
                                </w:rPr>
                                <w:t>from the data holder</w:t>
                              </w:r>
                            </w:p>
                            <w:p w14:paraId="683AFF98" w14:textId="77777777" w:rsidR="00032124" w:rsidRDefault="00032124" w:rsidP="00725D1A">
                              <w:pPr>
                                <w:pStyle w:val="ListParagraph"/>
                                <w:numPr>
                                  <w:ilvl w:val="0"/>
                                  <w:numId w:val="28"/>
                                </w:numPr>
                                <w:spacing w:before="0" w:after="0"/>
                                <w:rPr>
                                  <w:sz w:val="20"/>
                                </w:rPr>
                              </w:pPr>
                              <w:r>
                                <w:rPr>
                                  <w:color w:val="000000" w:themeColor="text1"/>
                                  <w:kern w:val="24"/>
                                  <w:sz w:val="20"/>
                                </w:rPr>
                                <w:t xml:space="preserve">Other accredited parties, such as a </w:t>
                              </w:r>
                              <w:r>
                                <w:rPr>
                                  <w:b/>
                                  <w:bCs/>
                                  <w:color w:val="000000" w:themeColor="text1"/>
                                  <w:kern w:val="24"/>
                                  <w:sz w:val="20"/>
                                </w:rPr>
                                <w:t>budgeting applications</w:t>
                              </w:r>
                            </w:p>
                            <w:p w14:paraId="3A6C5F2F" w14:textId="77777777" w:rsidR="00032124" w:rsidRDefault="00032124" w:rsidP="00725D1A">
                              <w:pPr>
                                <w:pStyle w:val="ListParagraph"/>
                                <w:numPr>
                                  <w:ilvl w:val="0"/>
                                  <w:numId w:val="28"/>
                                </w:numPr>
                                <w:spacing w:before="0" w:after="0"/>
                                <w:rPr>
                                  <w:sz w:val="20"/>
                                </w:rPr>
                              </w:pPr>
                              <w:r>
                                <w:rPr>
                                  <w:b/>
                                  <w:bCs/>
                                  <w:color w:val="000000" w:themeColor="text1"/>
                                  <w:kern w:val="24"/>
                                  <w:sz w:val="20"/>
                                </w:rPr>
                                <w:t>Non-accredited parties</w:t>
                              </w:r>
                            </w:p>
                            <w:p w14:paraId="6A8C564E" w14:textId="77777777" w:rsidR="00032124" w:rsidRPr="004E3BA9" w:rsidRDefault="00032124" w:rsidP="00725D1A">
                              <w:pPr>
                                <w:pStyle w:val="ListParagraph"/>
                                <w:numPr>
                                  <w:ilvl w:val="0"/>
                                  <w:numId w:val="28"/>
                                </w:numPr>
                                <w:spacing w:before="0" w:after="0"/>
                                <w:rPr>
                                  <w:rFonts w:hAnsiTheme="minorHAnsi"/>
                                  <w:sz w:val="20"/>
                                </w:rPr>
                              </w:pPr>
                              <w:r>
                                <w:rPr>
                                  <w:b/>
                                  <w:bCs/>
                                  <w:color w:val="000000" w:themeColor="text1"/>
                                  <w:kern w:val="24"/>
                                  <w:sz w:val="20"/>
                                </w:rPr>
                                <w:t>Overseas recipien</w:t>
                              </w:r>
                              <w:r w:rsidRPr="006A1F65">
                                <w:rPr>
                                  <w:b/>
                                  <w:color w:val="000000" w:themeColor="text1"/>
                                  <w:kern w:val="24"/>
                                  <w:sz w:val="20"/>
                                </w:rPr>
                                <w:t>t</w:t>
                              </w:r>
                              <w:r w:rsidRPr="004E3BA9">
                                <w:rPr>
                                  <w:b/>
                                  <w:color w:val="000000" w:themeColor="text1"/>
                                  <w:kern w:val="24"/>
                                  <w:sz w:val="20"/>
                                </w:rPr>
                                <w:t>s</w:t>
                              </w:r>
                            </w:p>
                            <w:p w14:paraId="24D7CC13" w14:textId="77777777" w:rsidR="00032124" w:rsidRPr="004E3BA9" w:rsidRDefault="00032124" w:rsidP="00725D1A">
                              <w:pPr>
                                <w:spacing w:before="0" w:after="0"/>
                                <w:rPr>
                                  <w:sz w:val="20"/>
                                </w:rPr>
                              </w:pPr>
                            </w:p>
                            <w:p w14:paraId="05BCB14C" w14:textId="2EFF1D67" w:rsidR="00032124" w:rsidRPr="004E3BA9" w:rsidRDefault="00032124" w:rsidP="00725D1A">
                              <w:pPr>
                                <w:spacing w:before="0" w:after="0"/>
                                <w:rPr>
                                  <w:sz w:val="20"/>
                                </w:rPr>
                              </w:pPr>
                              <w:r>
                                <w:rPr>
                                  <w:sz w:val="20"/>
                                </w:rPr>
                                <w:t>Note: Transfers direct to the consumer are also possible.</w:t>
                              </w:r>
                            </w:p>
                          </w:txbxContent>
                        </wps:txbx>
                        <wps:bodyPr wrap="square">
                          <a:noAutofit/>
                        </wps:bodyPr>
                      </wps:wsp>
                      <wps:wsp>
                        <wps:cNvPr id="373" name="Elbow Connector 373"/>
                        <wps:cNvCnPr>
                          <a:stCxn id="21" idx="5"/>
                          <a:endCxn id="33" idx="1"/>
                        </wps:cNvCnPr>
                        <wps:spPr>
                          <a:xfrm rot="16200000" flipH="1">
                            <a:off x="5123890" y="2905802"/>
                            <a:ext cx="565554" cy="1241583"/>
                          </a:xfrm>
                          <a:prstGeom prst="bentConnector2">
                            <a:avLst/>
                          </a:prstGeom>
                          <a:ln w="19050">
                            <a:solidFill>
                              <a:schemeClr val="accent2">
                                <a:lumMod val="60000"/>
                                <a:lumOff val="40000"/>
                              </a:schemeClr>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32D495A0" id="Canvas 376" o:spid="_x0000_s1026" editas="canvas" style="width:697.9pt;height:478.4pt;mso-position-horizontal-relative:char;mso-position-vertical-relative:line" coordsize="88633,60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8633;height:60756;visibility:visible;mso-wrap-style:square">
                  <v:fill o:detectmouseclick="t"/>
                  <v:path o:connecttype="none"/>
                </v:shape>
                <v:shapetype id="_x0000_t32" coordsize="21600,21600" o:spt="32" o:oned="t" path="m,l21600,21600e" filled="f">
                  <v:path arrowok="t" fillok="f" o:connecttype="none"/>
                  <o:lock v:ext="edit" shapetype="t"/>
                </v:shapetype>
                <v:shape id="Straight Arrow Connector 18" o:spid="_x0000_s1028" type="#_x0000_t32" style="position:absolute;left:21482;top:13560;width:22349;height:161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" strokecolor="#f4b083 [1941]" strokeweight="1.5pt">
                  <v:stroke dashstyle="dash" startarrow="block" endarrow="block" joinstyle="miter"/>
                </v:shape>
                <v:oval id="Oval 19" o:spid="_x0000_s1029" style="position:absolute;left:223;top:22841;width:12579;height:10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" fillcolor="#f7caac [1301]" stroked="f" strokeweight="1pt">
                  <v:stroke joinstyle="miter"/>
                  <v:textbox>
                    <w:txbxContent>
                      <w:p w14:paraId="5022162D" w14:textId="77777777" w:rsidR="00032124" w:rsidRDefault="00032124" w:rsidP="00725D1A">
                        <w:pPr>
                          <w:pStyle w:val="NormalWeb"/>
                          <w:spacing w:before="0" w:beforeAutospacing="0" w:after="0" w:afterAutospacing="0"/>
                          <w:jc w:val="center"/>
                        </w:pPr>
                        <w:r>
                          <w:rPr>
                            <w:rFonts w:asciiTheme="minorHAnsi" w:hAnsi="Calibri" w:cstheme="minorBidi"/>
                            <w:color w:val="000000" w:themeColor="text1"/>
                            <w:kern w:val="24"/>
                            <w:sz w:val="28"/>
                            <w:szCs w:val="28"/>
                          </w:rPr>
                          <w:t>Data Holder</w:t>
                        </w:r>
                      </w:p>
                    </w:txbxContent>
                  </v:textbox>
                </v:oval>
                <v:shapetype id="_x0000_t202" coordsize="21600,21600" o:spt="202" path="m,l,21600r21600,l21600,xe">
                  <v:stroke joinstyle="miter"/>
                  <v:path gradientshapeok="t" o:connecttype="rect"/>
                </v:shapetype>
                <v:shape id="TextBox 30" o:spid="_x0000_s1030" type="#_x0000_t202" style="position:absolute;left:13764;width:49790;height:37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" filled="f" stroked="f">
                  <v:textbox style="mso-fit-shape-to-text:t">
                    <w:txbxContent>
                      <w:p w14:paraId="584AC68A" w14:textId="7CD4E047" w:rsidR="00032124" w:rsidRDefault="00032124" w:rsidP="00725D1A">
                        <w:pPr>
                          <w:pStyle w:val="NormalWeb"/>
                          <w:spacing w:before="0" w:beforeAutospacing="0" w:after="0" w:afterAutospacing="0"/>
                        </w:pPr>
                        <w:r>
                          <w:rPr>
                            <w:rFonts w:asciiTheme="minorHAnsi" w:hAnsi="Calibri" w:cstheme="minorBidi"/>
                            <w:color w:val="000000" w:themeColor="text1"/>
                            <w:kern w:val="24"/>
                            <w:sz w:val="36"/>
                            <w:szCs w:val="36"/>
                          </w:rPr>
                          <w:t>Consumer Data Right Framework Information Flows</w:t>
                        </w:r>
                      </w:p>
                    </w:txbxContent>
                  </v:textbox>
                </v:shape>
                <v:oval id="Oval 21" o:spid="_x0000_s1031" style="position:absolute;left:37469;top:24472;width:12172;height:9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" fillcolor="#f7caac [1301]" stroked="f" strokeweight="1pt">
                  <v:stroke joinstyle="miter"/>
                  <v:textbox inset="0,0,0,0">
                    <w:txbxContent>
                      <w:p w14:paraId="342D8206" w14:textId="77777777" w:rsidR="00032124" w:rsidRPr="000B6F47" w:rsidRDefault="00032124" w:rsidP="00725D1A">
                        <w:pPr>
                          <w:pStyle w:val="NormalWeb"/>
                          <w:spacing w:before="0" w:beforeAutospacing="0" w:after="0" w:afterAutospacing="0"/>
                          <w:jc w:val="center"/>
                          <w:rPr>
                            <w:sz w:val="22"/>
                          </w:rPr>
                        </w:pPr>
                        <w:r w:rsidRPr="000B6F47">
                          <w:rPr>
                            <w:rFonts w:asciiTheme="minorHAnsi" w:hAnsi="Calibri" w:cstheme="minorBidi"/>
                            <w:color w:val="000000" w:themeColor="text1"/>
                            <w:kern w:val="24"/>
                            <w:szCs w:val="28"/>
                          </w:rPr>
                          <w:t>Data Recipient</w:t>
                        </w:r>
                      </w:p>
                      <w:p w14:paraId="50E1E663" w14:textId="77777777" w:rsidR="00032124" w:rsidRPr="000B6F47" w:rsidRDefault="00032124" w:rsidP="00725D1A">
                        <w:pPr>
                          <w:pStyle w:val="NormalWeb"/>
                          <w:spacing w:before="0" w:beforeAutospacing="0" w:after="0" w:afterAutospacing="0"/>
                          <w:jc w:val="center"/>
                          <w:rPr>
                            <w:sz w:val="18"/>
                            <w:szCs w:val="18"/>
                          </w:rPr>
                        </w:pPr>
                        <w:r w:rsidRPr="000B6F47">
                          <w:rPr>
                            <w:rFonts w:asciiTheme="minorHAnsi" w:hAnsi="Calibri" w:cstheme="minorBidi"/>
                            <w:color w:val="000000" w:themeColor="text1"/>
                            <w:kern w:val="24"/>
                            <w:sz w:val="18"/>
                            <w:szCs w:val="18"/>
                          </w:rPr>
                          <w:t>(ACCC Accredited)</w:t>
                        </w:r>
                      </w:p>
                    </w:txbxContent>
                  </v:textbox>
                </v:oval>
                <v:shape id="Straight Arrow Connector 22" o:spid="_x0000_s1032" type="#_x0000_t32" style="position:absolute;left:21482;top:29138;width:15987;height: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" strokecolor="#f4b083 [1941]" strokeweight="1.5pt">
                  <v:stroke startarrow="block" endarrow="block" joinstyle="miter"/>
                </v:shape>
                <v:oval id="Oval 23" o:spid="_x0000_s1033" style="position:absolute;left:37465;top:4353;width:12731;height:9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" fillcolor="#f7caac [1301]" stroked="f" strokeweight="1pt">
                  <v:stroke joinstyle="miter"/>
                  <v:textbox inset="0,0,,0">
                    <w:txbxContent>
                      <w:p w14:paraId="73822C71" w14:textId="77777777" w:rsidR="00032124" w:rsidRDefault="00032124" w:rsidP="00725D1A">
                        <w:pPr>
                          <w:pStyle w:val="NormalWeb"/>
                          <w:spacing w:before="0" w:beforeAutospacing="0" w:after="0" w:afterAutospacing="0"/>
                          <w:jc w:val="center"/>
                        </w:pPr>
                        <w:r>
                          <w:rPr>
                            <w:rFonts w:asciiTheme="minorHAnsi" w:hAnsi="Calibri" w:cstheme="minorBidi"/>
                            <w:color w:val="000000" w:themeColor="text1"/>
                            <w:kern w:val="24"/>
                            <w:sz w:val="28"/>
                            <w:szCs w:val="28"/>
                          </w:rPr>
                          <w:t>Consumer</w:t>
                        </w:r>
                      </w:p>
                    </w:txbxContent>
                  </v:textbox>
                </v:oval>
                <v:shape id="Straight Arrow Connector 24" o:spid="_x0000_s1034" type="#_x0000_t32" style="position:absolute;left:43555;top:13560;width:276;height:109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" strokecolor="#f4b083 [1941]" strokeweight="1.5pt">
                  <v:stroke startarrow="block" endarrow="block" joinstyle="miter"/>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5" o:spid="_x0000_s1035" type="#_x0000_t9" style="position:absolute;left:58183;top:16549;width:13813;height:8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" adj="3415" fillcolor="#ffd889" stroked="f" strokeweight="1pt">
                  <v:textbox inset="0,0,0,0">
                    <w:txbxContent>
                      <w:p w14:paraId="06ED051B" w14:textId="77777777" w:rsidR="00032124" w:rsidRDefault="00032124" w:rsidP="00725D1A">
                        <w:pPr>
                          <w:pStyle w:val="NormalWeb"/>
                          <w:spacing w:before="0" w:beforeAutospacing="0" w:after="0" w:afterAutospacing="0"/>
                          <w:jc w:val="center"/>
                        </w:pPr>
                        <w:r>
                          <w:rPr>
                            <w:rFonts w:asciiTheme="minorHAnsi" w:hAnsi="Calibri" w:cstheme="minorBidi"/>
                            <w:color w:val="000000" w:themeColor="text1"/>
                            <w:kern w:val="24"/>
                            <w:sz w:val="22"/>
                            <w:szCs w:val="22"/>
                            <w:u w:val="single"/>
                          </w:rPr>
                          <w:t>DSB (Standards)</w:t>
                        </w:r>
                      </w:p>
                      <w:p w14:paraId="4DE99E25" w14:textId="77777777" w:rsidR="00032124" w:rsidRPr="000B6F47" w:rsidRDefault="00032124" w:rsidP="00725D1A">
                        <w:pPr>
                          <w:pStyle w:val="NormalWeb"/>
                          <w:spacing w:before="0" w:beforeAutospacing="0" w:after="0" w:afterAutospacing="0"/>
                          <w:jc w:val="center"/>
                          <w:rPr>
                            <w:sz w:val="20"/>
                            <w:szCs w:val="20"/>
                          </w:rPr>
                        </w:pPr>
                        <w:r w:rsidRPr="000B6F47">
                          <w:rPr>
                            <w:rFonts w:asciiTheme="minorHAnsi" w:hAnsi="Calibri" w:cstheme="minorBidi"/>
                            <w:color w:val="000000" w:themeColor="text1"/>
                            <w:kern w:val="24"/>
                            <w:sz w:val="20"/>
                            <w:szCs w:val="20"/>
                          </w:rPr>
                          <w:t xml:space="preserve">Technical methods to achieve outcomes </w:t>
                        </w:r>
                      </w:p>
                    </w:txbxContent>
                  </v:textbox>
                </v:shape>
                <v:shape id="Hexagon 26" o:spid="_x0000_s1036" type="#_x0000_t9" style="position:absolute;left:58183;top:6667;width:13813;height:88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" adj="3459" fillcolor="#ffd889" stroked="f" strokeweight="1pt">
                  <v:textbox inset="0,0,0,0">
                    <w:txbxContent>
                      <w:p w14:paraId="361640F7" w14:textId="77777777" w:rsidR="00032124" w:rsidRDefault="00032124" w:rsidP="00725D1A">
                        <w:pPr>
                          <w:pStyle w:val="NormalWeb"/>
                          <w:spacing w:before="0" w:beforeAutospacing="0" w:after="0" w:afterAutospacing="0"/>
                          <w:jc w:val="center"/>
                        </w:pPr>
                        <w:r>
                          <w:rPr>
                            <w:rFonts w:asciiTheme="minorHAnsi" w:hAnsi="Calibri" w:cstheme="minorBidi"/>
                            <w:color w:val="000000" w:themeColor="text1"/>
                            <w:kern w:val="24"/>
                            <w:sz w:val="22"/>
                            <w:szCs w:val="22"/>
                            <w:u w:val="single"/>
                          </w:rPr>
                          <w:t>ACCC (Rules)</w:t>
                        </w:r>
                      </w:p>
                      <w:p w14:paraId="0EC70A8B" w14:textId="77777777" w:rsidR="00032124" w:rsidRPr="000B6F47" w:rsidRDefault="00032124" w:rsidP="00725D1A">
                        <w:pPr>
                          <w:pStyle w:val="NormalWeb"/>
                          <w:spacing w:before="0" w:beforeAutospacing="0" w:after="0" w:afterAutospacing="0"/>
                          <w:jc w:val="center"/>
                          <w:rPr>
                            <w:sz w:val="22"/>
                          </w:rPr>
                        </w:pPr>
                        <w:r w:rsidRPr="000B6F47">
                          <w:rPr>
                            <w:rFonts w:asciiTheme="minorHAnsi" w:hAnsi="Calibri" w:cstheme="minorBidi"/>
                            <w:color w:val="000000" w:themeColor="text1"/>
                            <w:kern w:val="24"/>
                            <w:sz w:val="20"/>
                            <w:szCs w:val="22"/>
                          </w:rPr>
                          <w:t xml:space="preserve">Principles, requirements, outcomes </w:t>
                        </w:r>
                      </w:p>
                    </w:txbxContent>
                  </v:textbox>
                </v:shape>
                <v:shape id="Hexagon 27" o:spid="_x0000_s1037" type="#_x0000_t9" style="position:absolute;left:19355;top:12759;width:11332;height:5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" adj="2392" fillcolor="#ffd889" stroked="f" strokeweight="1pt">
                  <v:textbox inset="0,0,0,0">
                    <w:txbxContent>
                      <w:p w14:paraId="71107E47" w14:textId="77777777" w:rsidR="00032124" w:rsidRDefault="00032124" w:rsidP="00725D1A">
                        <w:pPr>
                          <w:pStyle w:val="NormalWeb"/>
                          <w:spacing w:before="0" w:beforeAutospacing="0" w:after="0" w:afterAutospacing="0"/>
                          <w:jc w:val="center"/>
                        </w:pPr>
                        <w:r>
                          <w:rPr>
                            <w:rFonts w:asciiTheme="minorHAnsi" w:hAnsi="Calibri" w:cstheme="minorBidi"/>
                            <w:color w:val="000000" w:themeColor="text1"/>
                            <w:kern w:val="24"/>
                            <w:sz w:val="22"/>
                            <w:szCs w:val="22"/>
                          </w:rPr>
                          <w:t>Accreditation Register</w:t>
                        </w:r>
                      </w:p>
                    </w:txbxContent>
                  </v:textbox>
                </v:shape>
                <v:line id="Straight Connector 28" o:spid="_x0000_s1038" style="position:absolute;visibility:visible;mso-wrap-style:square" from="29432,17779" to="32108,2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" strokecolor="#fc6" strokeweight="1.5pt">
                  <v:stroke dashstyle="dash" joinstyle="miter"/>
                </v:line>
                <v:roundrect id="Rounded Rectangle 29" o:spid="_x0000_s1039" style="position:absolute;left:11321;top:21488;width:9314;height:49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" fillcolor="#c5e0b3 [1305]" stroked="f" strokeweight="1pt">
                  <v:stroke joinstyle="miter"/>
                  <v:textbox inset="0,0,0,0">
                    <w:txbxContent>
                      <w:p w14:paraId="6573812B" w14:textId="77777777" w:rsidR="00032124" w:rsidRDefault="00032124" w:rsidP="00725D1A">
                        <w:pPr>
                          <w:pStyle w:val="NormalWeb"/>
                          <w:spacing w:before="0" w:beforeAutospacing="0" w:after="0" w:afterAutospacing="0"/>
                          <w:jc w:val="center"/>
                        </w:pPr>
                        <w:r>
                          <w:rPr>
                            <w:rFonts w:asciiTheme="minorHAnsi" w:hAnsi="Calibri" w:cstheme="minorBidi"/>
                            <w:color w:val="000000" w:themeColor="text1"/>
                            <w:kern w:val="24"/>
                          </w:rPr>
                          <w:t>3</w:t>
                        </w:r>
                        <w:proofErr w:type="spellStart"/>
                        <w:r>
                          <w:rPr>
                            <w:rFonts w:asciiTheme="minorHAnsi" w:hAnsi="Calibri" w:cstheme="minorBidi"/>
                            <w:color w:val="000000" w:themeColor="text1"/>
                            <w:kern w:val="24"/>
                            <w:position w:val="7"/>
                            <w:vertAlign w:val="superscript"/>
                          </w:rPr>
                          <w:t>rd</w:t>
                        </w:r>
                        <w:proofErr w:type="spellEnd"/>
                        <w:r>
                          <w:rPr>
                            <w:rFonts w:asciiTheme="minorHAnsi" w:hAnsi="Calibri" w:cstheme="minorBidi"/>
                            <w:color w:val="000000" w:themeColor="text1"/>
                            <w:kern w:val="24"/>
                          </w:rPr>
                          <w:t xml:space="preserve"> Party (Outsourced)</w:t>
                        </w:r>
                      </w:p>
                    </w:txbxContent>
                  </v:textbox>
                </v:roundrect>
                <v:roundrect id="Rounded Rectangle 30" o:spid="_x0000_s1040" style="position:absolute;left:10501;top:26029;width:10981;height:72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" fillcolor="#ffc1e0" stroked="f" strokeweight="1pt">
                  <v:stroke joinstyle="miter"/>
                  <v:textbox inset="0,0,0,0">
                    <w:txbxContent>
                      <w:p w14:paraId="7B8EE445" w14:textId="77777777" w:rsidR="00032124" w:rsidRPr="000B6F47" w:rsidRDefault="00032124" w:rsidP="00725D1A">
                        <w:pPr>
                          <w:pStyle w:val="NormalWeb"/>
                          <w:spacing w:before="0" w:beforeAutospacing="0" w:after="0" w:afterAutospacing="0"/>
                          <w:jc w:val="center"/>
                          <w:rPr>
                            <w:sz w:val="22"/>
                          </w:rPr>
                        </w:pPr>
                        <w:r w:rsidRPr="000B6F47">
                          <w:rPr>
                            <w:rFonts w:asciiTheme="minorHAnsi" w:hAnsi="Calibri" w:cstheme="minorBidi"/>
                            <w:color w:val="000000" w:themeColor="text1"/>
                            <w:kern w:val="24"/>
                            <w:sz w:val="28"/>
                            <w:szCs w:val="32"/>
                          </w:rPr>
                          <w:t>API</w:t>
                        </w:r>
                      </w:p>
                      <w:p w14:paraId="33D815EA" w14:textId="77777777" w:rsidR="00032124" w:rsidRDefault="00032124" w:rsidP="00725D1A">
                        <w:pPr>
                          <w:pStyle w:val="NormalWeb"/>
                          <w:spacing w:before="0" w:beforeAutospacing="0" w:after="0" w:afterAutospacing="0"/>
                          <w:jc w:val="center"/>
                        </w:pPr>
                        <w:r>
                          <w:rPr>
                            <w:rFonts w:asciiTheme="minorHAnsi" w:hAnsi="Calibri" w:cstheme="minorBidi"/>
                            <w:color w:val="000000" w:themeColor="text1"/>
                            <w:kern w:val="24"/>
                            <w:sz w:val="18"/>
                            <w:szCs w:val="18"/>
                          </w:rPr>
                          <w:t>- Transaction data</w:t>
                        </w:r>
                      </w:p>
                      <w:p w14:paraId="03CD8C9A" w14:textId="77777777" w:rsidR="00032124" w:rsidRDefault="00032124" w:rsidP="00725D1A">
                        <w:pPr>
                          <w:pStyle w:val="NormalWeb"/>
                          <w:spacing w:before="0" w:beforeAutospacing="0" w:after="0" w:afterAutospacing="0"/>
                          <w:jc w:val="center"/>
                        </w:pPr>
                        <w:r>
                          <w:rPr>
                            <w:rFonts w:asciiTheme="minorHAnsi" w:hAnsi="Calibri" w:cstheme="minorBidi"/>
                            <w:color w:val="000000" w:themeColor="text1"/>
                            <w:kern w:val="24"/>
                            <w:sz w:val="18"/>
                            <w:szCs w:val="18"/>
                          </w:rPr>
                          <w:t>-Product data</w:t>
                        </w:r>
                      </w:p>
                      <w:p w14:paraId="7F979435" w14:textId="77777777" w:rsidR="00032124" w:rsidRDefault="00032124" w:rsidP="00725D1A">
                        <w:pPr>
                          <w:pStyle w:val="NormalWeb"/>
                          <w:spacing w:before="0" w:beforeAutospacing="0" w:after="0" w:afterAutospacing="0"/>
                          <w:jc w:val="center"/>
                        </w:pPr>
                        <w:r>
                          <w:rPr>
                            <w:rFonts w:asciiTheme="minorHAnsi" w:hAnsi="Calibri" w:cstheme="minorBidi"/>
                            <w:color w:val="000000" w:themeColor="text1"/>
                            <w:kern w:val="24"/>
                            <w:sz w:val="18"/>
                            <w:szCs w:val="18"/>
                          </w:rPr>
                          <w:t>- Customer details</w:t>
                        </w:r>
                      </w:p>
                    </w:txbxContent>
                  </v:textbox>
                </v:roundrect>
                <v:roundrect id="Rounded Rectangle 31" o:spid="_x0000_s1041" style="position:absolute;left:25173;top:26678;width:9314;height:49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" fillcolor="#c5e0b3 [1305]" stroked="f" strokeweight="1pt">
                  <v:stroke joinstyle="miter"/>
                  <v:textbox inset="0,0,0,0">
                    <w:txbxContent>
                      <w:p w14:paraId="0F48A0F2" w14:textId="77777777" w:rsidR="00032124" w:rsidRDefault="00032124" w:rsidP="00725D1A">
                        <w:pPr>
                          <w:pStyle w:val="NormalWeb"/>
                          <w:spacing w:before="0" w:beforeAutospacing="0" w:after="0" w:afterAutospacing="0"/>
                          <w:jc w:val="center"/>
                        </w:pPr>
                        <w:r>
                          <w:rPr>
                            <w:rFonts w:asciiTheme="minorHAnsi" w:hAnsi="Calibri" w:cstheme="minorBidi"/>
                            <w:color w:val="000000" w:themeColor="text1"/>
                            <w:kern w:val="24"/>
                            <w:sz w:val="21"/>
                            <w:szCs w:val="21"/>
                          </w:rPr>
                          <w:t>Intermediaries</w:t>
                        </w:r>
                      </w:p>
                    </w:txbxContent>
                  </v:textbox>
                </v:roundrect>
                <v:roundrect id="Rounded Rectangle 32" o:spid="_x0000_s1042" style="position:absolute;left:60274;top:29363;width:10097;height:49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" fillcolor="#c5e0b3 [1305]" stroked="f" strokeweight="1pt">
                  <v:stroke joinstyle="miter"/>
                  <v:textbox inset="0,0,0,0">
                    <w:txbxContent>
                      <w:p w14:paraId="3E1FAFBA" w14:textId="77777777" w:rsidR="00032124" w:rsidRDefault="00032124" w:rsidP="00725D1A">
                        <w:pPr>
                          <w:pStyle w:val="NormalWeb"/>
                          <w:spacing w:before="0" w:beforeAutospacing="0" w:after="0" w:afterAutospacing="0"/>
                          <w:jc w:val="center"/>
                        </w:pPr>
                        <w:r>
                          <w:rPr>
                            <w:rFonts w:asciiTheme="minorHAnsi" w:hAnsi="Calibri" w:cstheme="minorBidi"/>
                            <w:color w:val="000000" w:themeColor="text1"/>
                            <w:kern w:val="24"/>
                          </w:rPr>
                          <w:t>3</w:t>
                        </w:r>
                        <w:proofErr w:type="spellStart"/>
                        <w:r>
                          <w:rPr>
                            <w:rFonts w:asciiTheme="minorHAnsi" w:hAnsi="Calibri" w:cstheme="minorBidi"/>
                            <w:color w:val="000000" w:themeColor="text1"/>
                            <w:kern w:val="24"/>
                            <w:position w:val="7"/>
                            <w:vertAlign w:val="superscript"/>
                          </w:rPr>
                          <w:t>rd</w:t>
                        </w:r>
                        <w:proofErr w:type="spellEnd"/>
                        <w:r>
                          <w:rPr>
                            <w:rFonts w:asciiTheme="minorHAnsi" w:hAnsi="Calibri" w:cstheme="minorBidi"/>
                            <w:color w:val="000000" w:themeColor="text1"/>
                            <w:kern w:val="24"/>
                          </w:rPr>
                          <w:t xml:space="preserve"> Party (Outsourced)</w:t>
                        </w:r>
                      </w:p>
                    </w:txbxContent>
                  </v:textbox>
                </v:roundrect>
                <v:roundrect id="Rounded Rectangle 33" o:spid="_x0000_s1043" style="position:absolute;left:60274;top:35633;width:10097;height:49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" fillcolor="#c5e0b3 [1305]" stroked="f" strokeweight="1pt">
                  <v:stroke joinstyle="miter"/>
                  <v:textbox inset="0,0,0,0">
                    <w:txbxContent>
                      <w:p w14:paraId="3DFE8603" w14:textId="77777777" w:rsidR="00032124" w:rsidRDefault="00032124" w:rsidP="00725D1A">
                        <w:pPr>
                          <w:pStyle w:val="NormalWeb"/>
                          <w:spacing w:before="0" w:beforeAutospacing="0" w:after="0" w:afterAutospacing="0"/>
                          <w:jc w:val="center"/>
                        </w:pPr>
                        <w:r>
                          <w:rPr>
                            <w:rFonts w:asciiTheme="minorHAnsi" w:hAnsi="Calibri" w:cstheme="minorBidi"/>
                            <w:color w:val="000000" w:themeColor="text1"/>
                            <w:kern w:val="24"/>
                          </w:rPr>
                          <w:t>Accredited Party</w:t>
                        </w:r>
                      </w:p>
                    </w:txbxContent>
                  </v:textbox>
                </v:roundrect>
                <v:roundrect id="Rounded Rectangle 34" o:spid="_x0000_s1044" style="position:absolute;left:19896;top:39379;width:8964;height:53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" fillcolor="#c5e0b3 [1305]" stroked="f" strokeweight="1pt">
                  <v:stroke joinstyle="miter"/>
                  <v:textbox inset="0,0,0,0">
                    <w:txbxContent>
                      <w:p w14:paraId="74A87572" w14:textId="77777777" w:rsidR="00032124" w:rsidRPr="000B6F47" w:rsidRDefault="00032124" w:rsidP="00725D1A">
                        <w:pPr>
                          <w:pStyle w:val="NormalWeb"/>
                          <w:spacing w:before="0" w:beforeAutospacing="0" w:after="0" w:afterAutospacing="0"/>
                          <w:jc w:val="center"/>
                          <w:rPr>
                            <w:sz w:val="22"/>
                          </w:rPr>
                        </w:pPr>
                        <w:r w:rsidRPr="000B6F47">
                          <w:rPr>
                            <w:rFonts w:asciiTheme="minorHAnsi" w:hAnsi="Calibri" w:cstheme="minorBidi"/>
                            <w:color w:val="000000" w:themeColor="text1"/>
                            <w:kern w:val="24"/>
                            <w:sz w:val="22"/>
                          </w:rPr>
                          <w:t>Non-accredited Party</w:t>
                        </w:r>
                      </w:p>
                    </w:txbxContent>
                  </v:textbox>
                </v:roundrect>
                <v:roundrect id="Rounded Rectangle 352" o:spid="_x0000_s1045" style="position:absolute;left:19896;top:45374;width:8964;height:49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" fillcolor="#c5e0b3 [1305]" stroked="f" strokeweight="1pt">
                  <v:stroke joinstyle="miter"/>
                  <v:textbox inset="0,0,0,0">
                    <w:txbxContent>
                      <w:p w14:paraId="2BC9D4AF" w14:textId="77777777" w:rsidR="00032124" w:rsidRDefault="00032124" w:rsidP="00725D1A">
                        <w:pPr>
                          <w:pStyle w:val="NormalWeb"/>
                          <w:spacing w:before="0" w:beforeAutospacing="0" w:after="0" w:afterAutospacing="0"/>
                          <w:jc w:val="center"/>
                        </w:pPr>
                        <w:r>
                          <w:rPr>
                            <w:rFonts w:asciiTheme="minorHAnsi" w:hAnsi="Calibri" w:cstheme="minorBidi"/>
                            <w:color w:val="000000" w:themeColor="text1"/>
                            <w:kern w:val="24"/>
                          </w:rPr>
                          <w:t>Overseas Party</w:t>
                        </w:r>
                      </w:p>
                    </w:txbxContent>
                  </v:textbox>
                </v:roundrect>
                <v:shapetype id="_x0000_t33" coordsize="21600,21600" o:spt="33" o:oned="t" path="m,l21600,r,21600e" filled="f">
                  <v:stroke joinstyle="miter"/>
                  <v:path arrowok="t" fillok="f" o:connecttype="none"/>
                  <o:lock v:ext="edit" shapetype="t"/>
                </v:shapetype>
                <v:shape id="Elbow Connector 353" o:spid="_x0000_s1046" type="#_x0000_t33" style="position:absolute;left:9017;top:31199;width:8373;height:1338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" strokecolor="#f4b083 [1941]" strokeweight="1.5pt">
                  <v:stroke startarrow="block" endarrow="block"/>
                </v:shape>
                <v:shape id="Elbow Connector 354" o:spid="_x0000_s1047" type="#_x0000_t33" style="position:absolute;left:28860;top:33804;width:14695;height:827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" strokecolor="#f4b083 [1941]" strokeweight="1.5pt">
                  <v:stroke startarrow="block" endarrow="block"/>
                </v:shape>
                <v:shape id="Elbow Connector 356" o:spid="_x0000_s1048" type="#_x0000_t33" style="position:absolute;left:28860;top:33804;width:14695;height:140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" strokecolor="#f4b083 [1941]" strokeweight="1.5pt">
                  <v:stroke startarrow="block"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57" o:spid="_x0000_s1049" type="#_x0000_t34" style="position:absolute;left:49641;top:29138;width:10633;height:268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" strokecolor="#f4b083 [1941]" strokeweight="1.5pt">
                  <v:stroke startarrow="block" endarrow="block"/>
                </v:shape>
                <v:shape id="TextBox 128" o:spid="_x0000_s1050" type="#_x0000_t202" style="position:absolute;left:965;top:5126;width:2105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" filled="f" stroked="f">
                  <v:textbox style="mso-fit-shape-to-text:t">
                    <w:txbxContent>
                      <w:p w14:paraId="5283E18B" w14:textId="77777777" w:rsidR="00032124" w:rsidRDefault="00032124" w:rsidP="00725D1A">
                        <w:pPr>
                          <w:pStyle w:val="NormalWeb"/>
                          <w:spacing w:before="0" w:beforeAutospacing="0" w:after="0" w:afterAutospacing="0"/>
                        </w:pPr>
                        <w:r>
                          <w:rPr>
                            <w:rFonts w:asciiTheme="minorHAnsi" w:hAnsi="Calibri" w:cstheme="minorBidi"/>
                            <w:b/>
                            <w:bCs/>
                            <w:color w:val="000000" w:themeColor="text1"/>
                            <w:kern w:val="24"/>
                            <w:sz w:val="20"/>
                            <w:szCs w:val="20"/>
                          </w:rPr>
                          <w:t>Key:</w:t>
                        </w:r>
                      </w:p>
                      <w:p w14:paraId="287074A1" w14:textId="77777777" w:rsidR="00032124" w:rsidRDefault="00032124" w:rsidP="00725D1A">
                        <w:pPr>
                          <w:pStyle w:val="NormalWeb"/>
                          <w:spacing w:before="0" w:beforeAutospacing="0" w:after="0" w:afterAutospacing="0"/>
                        </w:pPr>
                        <w:r>
                          <w:rPr>
                            <w:rFonts w:asciiTheme="minorHAnsi" w:hAnsi="Calibri" w:cstheme="minorBidi"/>
                            <w:b/>
                            <w:bCs/>
                            <w:color w:val="000000" w:themeColor="text1"/>
                            <w:kern w:val="24"/>
                            <w:sz w:val="20"/>
                            <w:szCs w:val="20"/>
                          </w:rPr>
                          <w:t xml:space="preserve">ACCC – </w:t>
                        </w:r>
                        <w:r>
                          <w:rPr>
                            <w:rFonts w:asciiTheme="minorHAnsi" w:hAnsi="Calibri" w:cstheme="minorBidi"/>
                            <w:color w:val="000000" w:themeColor="text1"/>
                            <w:kern w:val="24"/>
                            <w:sz w:val="20"/>
                            <w:szCs w:val="20"/>
                          </w:rPr>
                          <w:t>Australian Competition and Consumer Commission</w:t>
                        </w:r>
                      </w:p>
                      <w:p w14:paraId="7D3703E0" w14:textId="77777777" w:rsidR="00032124" w:rsidRDefault="00032124" w:rsidP="00725D1A">
                        <w:pPr>
                          <w:pStyle w:val="NormalWeb"/>
                          <w:spacing w:before="0" w:beforeAutospacing="0" w:after="0" w:afterAutospacing="0"/>
                        </w:pPr>
                        <w:r>
                          <w:rPr>
                            <w:rFonts w:asciiTheme="minorHAnsi" w:hAnsi="Calibri" w:cstheme="minorBidi"/>
                            <w:b/>
                            <w:bCs/>
                            <w:color w:val="000000" w:themeColor="text1"/>
                            <w:kern w:val="24"/>
                            <w:sz w:val="20"/>
                            <w:szCs w:val="20"/>
                          </w:rPr>
                          <w:t xml:space="preserve">API </w:t>
                        </w:r>
                        <w:r>
                          <w:rPr>
                            <w:rFonts w:asciiTheme="minorHAnsi" w:hAnsi="Calibri" w:cstheme="minorBidi"/>
                            <w:color w:val="000000" w:themeColor="text1"/>
                            <w:kern w:val="24"/>
                            <w:sz w:val="20"/>
                            <w:szCs w:val="20"/>
                          </w:rPr>
                          <w:t>– Application Programming Interface</w:t>
                        </w:r>
                      </w:p>
                      <w:p w14:paraId="429C9BD7" w14:textId="77777777" w:rsidR="00032124" w:rsidRDefault="00032124" w:rsidP="00725D1A">
                        <w:pPr>
                          <w:pStyle w:val="NormalWeb"/>
                          <w:spacing w:before="0" w:beforeAutospacing="0" w:after="0" w:afterAutospacing="0"/>
                        </w:pPr>
                        <w:r>
                          <w:rPr>
                            <w:rFonts w:asciiTheme="minorHAnsi" w:hAnsi="Calibri" w:cstheme="minorBidi"/>
                            <w:b/>
                            <w:bCs/>
                            <w:color w:val="000000" w:themeColor="text1"/>
                            <w:kern w:val="24"/>
                            <w:sz w:val="20"/>
                            <w:szCs w:val="20"/>
                          </w:rPr>
                          <w:t xml:space="preserve">DSB – </w:t>
                        </w:r>
                        <w:r>
                          <w:rPr>
                            <w:rFonts w:asciiTheme="minorHAnsi" w:hAnsi="Calibri" w:cstheme="minorBidi"/>
                            <w:color w:val="000000" w:themeColor="text1"/>
                            <w:kern w:val="24"/>
                            <w:sz w:val="20"/>
                            <w:szCs w:val="20"/>
                          </w:rPr>
                          <w:t xml:space="preserve">Data Standards Body </w:t>
                        </w:r>
                      </w:p>
                    </w:txbxContent>
                  </v:textbox>
                </v:shape>
                <v:roundrect id="Rounded Rectangle 362" o:spid="_x0000_s1051" style="position:absolute;left:38816;top:16707;width:9314;height:49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" fillcolor="#c5e0b3 [1305]" stroked="f" strokeweight="1pt">
                  <v:stroke joinstyle="miter"/>
                  <v:textbox inset="0,0,0,0">
                    <w:txbxContent>
                      <w:p w14:paraId="3AF6BB89" w14:textId="77777777" w:rsidR="00032124" w:rsidRDefault="00032124" w:rsidP="00725D1A">
                        <w:pPr>
                          <w:pStyle w:val="NormalWeb"/>
                          <w:spacing w:before="0" w:beforeAutospacing="0" w:after="0" w:afterAutospacing="0"/>
                          <w:jc w:val="center"/>
                        </w:pPr>
                        <w:r>
                          <w:rPr>
                            <w:rFonts w:asciiTheme="minorHAnsi" w:hAnsi="Calibri" w:cstheme="minorBidi"/>
                            <w:color w:val="000000" w:themeColor="text1"/>
                            <w:kern w:val="24"/>
                            <w:sz w:val="21"/>
                            <w:szCs w:val="21"/>
                          </w:rPr>
                          <w:t>Intermediaries</w:t>
                        </w:r>
                      </w:p>
                    </w:txbxContent>
                  </v:textbox>
                </v:roundrect>
                <v:shape id="TextBox 39" o:spid="_x0000_s1052" type="#_x0000_t202" style="position:absolute;left:37951;top:16087;width:3537;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" filled="f" stroked="f">
                  <v:textbox style="mso-fit-shape-to-text:t">
                    <w:txbxContent>
                      <w:p w14:paraId="630AC6FF" w14:textId="77777777" w:rsidR="00032124" w:rsidRDefault="00032124" w:rsidP="00725D1A">
                        <w:pPr>
                          <w:pStyle w:val="NormalWeb"/>
                          <w:spacing w:before="0" w:beforeAutospacing="0" w:after="0" w:afterAutospacing="0"/>
                        </w:pPr>
                        <w:r>
                          <w:rPr>
                            <w:rFonts w:asciiTheme="minorHAnsi" w:hAnsi="Calibri" w:cstheme="minorBidi"/>
                            <w:b/>
                            <w:bCs/>
                            <w:color w:val="000000" w:themeColor="text1"/>
                            <w:kern w:val="24"/>
                          </w:rPr>
                          <w:t>(a)</w:t>
                        </w:r>
                      </w:p>
                    </w:txbxContent>
                  </v:textbox>
                </v:shape>
                <v:shape id="TextBox 42" o:spid="_x0000_s1053" type="#_x0000_t202" style="position:absolute;left:10538;top:20829;width:3601;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" filled="f" stroked="f">
                  <v:textbox style="mso-fit-shape-to-text:t">
                    <w:txbxContent>
                      <w:p w14:paraId="079A675A" w14:textId="77777777" w:rsidR="00032124" w:rsidRDefault="00032124" w:rsidP="00725D1A">
                        <w:pPr>
                          <w:pStyle w:val="NormalWeb"/>
                          <w:spacing w:before="0" w:beforeAutospacing="0" w:after="0" w:afterAutospacing="0"/>
                        </w:pPr>
                        <w:r>
                          <w:rPr>
                            <w:rFonts w:asciiTheme="minorHAnsi" w:hAnsi="Calibri" w:cstheme="minorBidi"/>
                            <w:b/>
                            <w:bCs/>
                            <w:color w:val="000000" w:themeColor="text1"/>
                            <w:kern w:val="24"/>
                          </w:rPr>
                          <w:t>(b)</w:t>
                        </w:r>
                      </w:p>
                    </w:txbxContent>
                  </v:textbox>
                </v:shape>
                <v:shape id="TextBox 44" o:spid="_x0000_s1054" type="#_x0000_t202" style="position:absolute;left:59750;top:28736;width:3416;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" filled="f" stroked="f">
                  <v:textbox style="mso-fit-shape-to-text:t">
                    <w:txbxContent>
                      <w:p w14:paraId="25A0BCCC" w14:textId="77777777" w:rsidR="00032124" w:rsidRDefault="00032124" w:rsidP="00725D1A">
                        <w:pPr>
                          <w:pStyle w:val="NormalWeb"/>
                          <w:spacing w:before="0" w:beforeAutospacing="0" w:after="0" w:afterAutospacing="0"/>
                        </w:pPr>
                        <w:r>
                          <w:rPr>
                            <w:rFonts w:asciiTheme="minorHAnsi" w:hAnsi="Calibri" w:cstheme="minorBidi"/>
                            <w:b/>
                            <w:bCs/>
                            <w:color w:val="000000" w:themeColor="text1"/>
                            <w:kern w:val="24"/>
                          </w:rPr>
                          <w:t>(c)</w:t>
                        </w:r>
                      </w:p>
                    </w:txbxContent>
                  </v:textbox>
                </v:shape>
                <v:shape id="TextBox 46" o:spid="_x0000_s1055" type="#_x0000_t202" style="position:absolute;left:24431;top:26029;width:3601;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" filled="f" stroked="f">
                  <v:textbox style="mso-fit-shape-to-text:t">
                    <w:txbxContent>
                      <w:p w14:paraId="628B9CF8" w14:textId="77777777" w:rsidR="00032124" w:rsidRDefault="00032124" w:rsidP="00725D1A">
                        <w:pPr>
                          <w:pStyle w:val="NormalWeb"/>
                          <w:spacing w:before="0" w:beforeAutospacing="0" w:after="0" w:afterAutospacing="0"/>
                        </w:pPr>
                        <w:r>
                          <w:rPr>
                            <w:rFonts w:asciiTheme="minorHAnsi" w:hAnsi="Calibri" w:cstheme="minorBidi"/>
                            <w:b/>
                            <w:bCs/>
                            <w:color w:val="000000" w:themeColor="text1"/>
                            <w:kern w:val="24"/>
                          </w:rPr>
                          <w:t>(d)</w:t>
                        </w:r>
                      </w:p>
                    </w:txbxContent>
                  </v:textbox>
                </v:shape>
                <v:shape id="TextBox 49" o:spid="_x0000_s1056" type="#_x0000_t202" style="position:absolute;left:59442;top:34977;width:355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" filled="f" stroked="f">
                  <v:textbox style="mso-fit-shape-to-text:t">
                    <w:txbxContent>
                      <w:p w14:paraId="41DE8FBC" w14:textId="77777777" w:rsidR="00032124" w:rsidRDefault="00032124" w:rsidP="00725D1A">
                        <w:pPr>
                          <w:pStyle w:val="NormalWeb"/>
                          <w:spacing w:before="0" w:beforeAutospacing="0" w:after="0" w:afterAutospacing="0"/>
                        </w:pPr>
                        <w:r>
                          <w:rPr>
                            <w:rFonts w:asciiTheme="minorHAnsi" w:hAnsi="Calibri" w:cstheme="minorBidi"/>
                            <w:b/>
                            <w:bCs/>
                            <w:color w:val="000000" w:themeColor="text1"/>
                            <w:kern w:val="24"/>
                          </w:rPr>
                          <w:t>(e)</w:t>
                        </w:r>
                      </w:p>
                    </w:txbxContent>
                  </v:textbox>
                </v:shape>
                <v:shape id="TextBox 51" o:spid="_x0000_s1057" type="#_x0000_t202" style="position:absolute;left:19079;top:38903;width:3283;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" filled="f" stroked="f">
                  <v:textbox style="mso-fit-shape-to-text:t">
                    <w:txbxContent>
                      <w:p w14:paraId="4600DE7A" w14:textId="77777777" w:rsidR="00032124" w:rsidRPr="00584314" w:rsidRDefault="00032124" w:rsidP="00725D1A">
                        <w:pPr>
                          <w:pStyle w:val="NormalWeb"/>
                          <w:spacing w:before="0" w:beforeAutospacing="0" w:after="0" w:afterAutospacing="0"/>
                          <w:rPr>
                            <w:rFonts w:asciiTheme="minorHAnsi" w:hAnsi="Calibri" w:cstheme="minorBidi"/>
                            <w:b/>
                            <w:bCs/>
                            <w:color w:val="000000" w:themeColor="text1"/>
                            <w:kern w:val="24"/>
                          </w:rPr>
                        </w:pPr>
                        <w:r>
                          <w:rPr>
                            <w:rFonts w:asciiTheme="minorHAnsi" w:hAnsi="Calibri" w:cstheme="minorBidi"/>
                            <w:b/>
                            <w:bCs/>
                            <w:color w:val="000000" w:themeColor="text1"/>
                            <w:kern w:val="24"/>
                          </w:rPr>
                          <w:t>(f)</w:t>
                        </w:r>
                      </w:p>
                    </w:txbxContent>
                  </v:textbox>
                </v:shape>
                <v:shape id="TextBox 52" o:spid="_x0000_s1058" type="#_x0000_t202" style="position:absolute;left:19082;top:44776;width:3512;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" filled="f" stroked="f">
                  <v:textbox style="mso-fit-shape-to-text:t">
                    <w:txbxContent>
                      <w:p w14:paraId="5005A9F2" w14:textId="77777777" w:rsidR="00032124" w:rsidRDefault="00032124" w:rsidP="00725D1A">
                        <w:pPr>
                          <w:pStyle w:val="NormalWeb"/>
                          <w:spacing w:before="0" w:beforeAutospacing="0" w:after="0" w:afterAutospacing="0"/>
                        </w:pPr>
                        <w:r>
                          <w:rPr>
                            <w:rFonts w:asciiTheme="minorHAnsi" w:hAnsi="Calibri" w:cstheme="minorBidi"/>
                            <w:b/>
                            <w:bCs/>
                            <w:color w:val="000000" w:themeColor="text1"/>
                            <w:kern w:val="24"/>
                          </w:rPr>
                          <w:t>(g)</w:t>
                        </w:r>
                      </w:p>
                    </w:txbxContent>
                  </v:textbox>
                </v:shape>
                <v:shape id="TextBox 1" o:spid="_x0000_s1059" type="#_x0000_t202" style="position:absolute;left:10673;top:40373;width:2445;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" filled="f" stroked="f">
                  <v:textbox style="mso-fit-shape-to-text:t">
                    <w:txbxContent>
                      <w:p w14:paraId="620F9A8E" w14:textId="77777777" w:rsidR="00032124" w:rsidRDefault="00032124" w:rsidP="00725D1A">
                        <w:pPr>
                          <w:pStyle w:val="NormalWeb"/>
                          <w:spacing w:before="0" w:beforeAutospacing="0" w:after="0" w:afterAutospacing="0"/>
                        </w:pPr>
                        <w:r>
                          <w:rPr>
                            <w:rFonts w:asciiTheme="minorHAnsi" w:hAnsi="Calibri" w:cstheme="minorBidi"/>
                            <w:b/>
                            <w:bCs/>
                            <w:color w:val="ED7D31" w:themeColor="accent2"/>
                            <w:kern w:val="24"/>
                            <w:sz w:val="48"/>
                            <w:szCs w:val="48"/>
                          </w:rPr>
                          <w:t>*</w:t>
                        </w:r>
                      </w:p>
                    </w:txbxContent>
                  </v:textbox>
                </v:shape>
                <v:shape id="TextBox 2" o:spid="_x0000_s1060" type="#_x0000_t202" style="position:absolute;left:153;top:55381;width:43320;height:3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" filled="f" stroked="f">
                  <v:textbox>
                    <w:txbxContent>
                      <w:p w14:paraId="74715F31" w14:textId="77777777" w:rsidR="00032124" w:rsidRPr="004E3BA9" w:rsidRDefault="00032124" w:rsidP="00725D1A">
                        <w:pPr>
                          <w:pStyle w:val="NormalWeb"/>
                          <w:rPr>
                            <w:rFonts w:asciiTheme="minorHAnsi" w:hAnsi="Calibri" w:cstheme="minorBidi"/>
                            <w:color w:val="ED7D31" w:themeColor="accent2"/>
                            <w:kern w:val="24"/>
                            <w:sz w:val="18"/>
                            <w:szCs w:val="18"/>
                          </w:rPr>
                        </w:pPr>
                        <w:r>
                          <w:rPr>
                            <w:rFonts w:asciiTheme="minorHAnsi" w:hAnsi="Calibri" w:cstheme="minorBidi"/>
                            <w:color w:val="ED7D31" w:themeColor="accent2"/>
                            <w:kern w:val="24"/>
                            <w:sz w:val="18"/>
                            <w:szCs w:val="18"/>
                          </w:rPr>
                          <w:t>*Within the CDR this information flow would only be of information for which there is not an identifiable consumer, such as product information.</w:t>
                        </w:r>
                      </w:p>
                    </w:txbxContent>
                  </v:textbox>
                </v:shape>
                <v:rect id="Rectangle 372" o:spid="_x0000_s1061" style="position:absolute;left:45172;top:41176;width:39637;height:19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" filled="f" stroked="f">
                  <v:textbox>
                    <w:txbxContent>
                      <w:p w14:paraId="7700CE9C" w14:textId="0B1AD483" w:rsidR="00032124" w:rsidRDefault="00032124" w:rsidP="00725D1A">
                        <w:pPr>
                          <w:pStyle w:val="ListParagraph"/>
                          <w:numPr>
                            <w:ilvl w:val="0"/>
                            <w:numId w:val="28"/>
                          </w:numPr>
                          <w:spacing w:before="0" w:after="0"/>
                          <w:rPr>
                            <w:sz w:val="20"/>
                          </w:rPr>
                        </w:pPr>
                        <w:r>
                          <w:rPr>
                            <w:color w:val="000000" w:themeColor="text1"/>
                            <w:kern w:val="24"/>
                            <w:sz w:val="20"/>
                          </w:rPr>
                          <w:t>Intermediaries,</w:t>
                        </w:r>
                        <w:r>
                          <w:rPr>
                            <w:b/>
                            <w:bCs/>
                            <w:color w:val="000000" w:themeColor="text1"/>
                            <w:kern w:val="24"/>
                            <w:sz w:val="20"/>
                          </w:rPr>
                          <w:t xml:space="preserve"> </w:t>
                        </w:r>
                        <w:r>
                          <w:rPr>
                            <w:color w:val="000000" w:themeColor="text1"/>
                            <w:kern w:val="24"/>
                            <w:sz w:val="20"/>
                          </w:rPr>
                          <w:t xml:space="preserve">such as </w:t>
                        </w:r>
                        <w:r>
                          <w:rPr>
                            <w:b/>
                            <w:bCs/>
                            <w:color w:val="000000" w:themeColor="text1"/>
                            <w:kern w:val="24"/>
                            <w:sz w:val="20"/>
                          </w:rPr>
                          <w:t>financial advisors or accountants</w:t>
                        </w:r>
                        <w:r>
                          <w:rPr>
                            <w:color w:val="000000" w:themeColor="text1"/>
                            <w:kern w:val="24"/>
                            <w:sz w:val="20"/>
                          </w:rPr>
                          <w:t xml:space="preserve"> </w:t>
                        </w:r>
                      </w:p>
                      <w:p w14:paraId="75031FDE" w14:textId="07DADBE6" w:rsidR="00032124" w:rsidRDefault="00032124" w:rsidP="00725D1A">
                        <w:pPr>
                          <w:pStyle w:val="ListParagraph"/>
                          <w:numPr>
                            <w:ilvl w:val="0"/>
                            <w:numId w:val="28"/>
                          </w:numPr>
                          <w:spacing w:before="0" w:after="0"/>
                          <w:rPr>
                            <w:sz w:val="20"/>
                          </w:rPr>
                        </w:pPr>
                        <w:r>
                          <w:rPr>
                            <w:color w:val="000000" w:themeColor="text1"/>
                            <w:kern w:val="24"/>
                            <w:sz w:val="20"/>
                          </w:rPr>
                          <w:t xml:space="preserve">Third parties, such </w:t>
                        </w:r>
                        <w:r>
                          <w:rPr>
                            <w:b/>
                            <w:bCs/>
                            <w:color w:val="000000" w:themeColor="text1"/>
                            <w:kern w:val="24"/>
                            <w:sz w:val="20"/>
                          </w:rPr>
                          <w:t>provider of transmission services to the data holder</w:t>
                        </w:r>
                      </w:p>
                      <w:p w14:paraId="13EA88C1" w14:textId="7596D76D" w:rsidR="00032124" w:rsidRDefault="00032124" w:rsidP="00725D1A">
                        <w:pPr>
                          <w:pStyle w:val="ListParagraph"/>
                          <w:numPr>
                            <w:ilvl w:val="0"/>
                            <w:numId w:val="28"/>
                          </w:numPr>
                          <w:spacing w:before="0" w:after="0"/>
                          <w:rPr>
                            <w:sz w:val="20"/>
                          </w:rPr>
                        </w:pPr>
                        <w:r>
                          <w:rPr>
                            <w:color w:val="000000" w:themeColor="text1"/>
                            <w:kern w:val="24"/>
                            <w:sz w:val="20"/>
                          </w:rPr>
                          <w:t xml:space="preserve">Third parties, such providers of </w:t>
                        </w:r>
                        <w:r w:rsidRPr="00A82073">
                          <w:rPr>
                            <w:b/>
                            <w:color w:val="000000" w:themeColor="text1"/>
                            <w:kern w:val="24"/>
                            <w:sz w:val="20"/>
                          </w:rPr>
                          <w:t>data storage or processing services</w:t>
                        </w:r>
                      </w:p>
                      <w:p w14:paraId="278D0664" w14:textId="35663E2A" w:rsidR="00032124" w:rsidRDefault="00032124" w:rsidP="00725D1A">
                        <w:pPr>
                          <w:pStyle w:val="ListParagraph"/>
                          <w:numPr>
                            <w:ilvl w:val="0"/>
                            <w:numId w:val="28"/>
                          </w:numPr>
                          <w:spacing w:before="0" w:after="0"/>
                          <w:rPr>
                            <w:sz w:val="20"/>
                          </w:rPr>
                        </w:pPr>
                        <w:r>
                          <w:rPr>
                            <w:color w:val="000000" w:themeColor="text1"/>
                            <w:kern w:val="24"/>
                            <w:sz w:val="20"/>
                          </w:rPr>
                          <w:t>Intermediaries,</w:t>
                        </w:r>
                        <w:r>
                          <w:rPr>
                            <w:b/>
                            <w:bCs/>
                            <w:color w:val="000000" w:themeColor="text1"/>
                            <w:kern w:val="24"/>
                            <w:sz w:val="20"/>
                          </w:rPr>
                          <w:t xml:space="preserve"> </w:t>
                        </w:r>
                        <w:r>
                          <w:rPr>
                            <w:color w:val="000000" w:themeColor="text1"/>
                            <w:kern w:val="24"/>
                            <w:sz w:val="20"/>
                          </w:rPr>
                          <w:t xml:space="preserve">who may provide services such as </w:t>
                        </w:r>
                        <w:r>
                          <w:rPr>
                            <w:b/>
                            <w:bCs/>
                            <w:color w:val="000000" w:themeColor="text1"/>
                            <w:kern w:val="24"/>
                            <w:sz w:val="20"/>
                          </w:rPr>
                          <w:t xml:space="preserve">filtering or processing transaction data </w:t>
                        </w:r>
                        <w:r>
                          <w:rPr>
                            <w:color w:val="000000" w:themeColor="text1"/>
                            <w:kern w:val="24"/>
                            <w:sz w:val="20"/>
                          </w:rPr>
                          <w:t>from the data holder</w:t>
                        </w:r>
                      </w:p>
                      <w:p w14:paraId="683AFF98" w14:textId="77777777" w:rsidR="00032124" w:rsidRDefault="00032124" w:rsidP="00725D1A">
                        <w:pPr>
                          <w:pStyle w:val="ListParagraph"/>
                          <w:numPr>
                            <w:ilvl w:val="0"/>
                            <w:numId w:val="28"/>
                          </w:numPr>
                          <w:spacing w:before="0" w:after="0"/>
                          <w:rPr>
                            <w:sz w:val="20"/>
                          </w:rPr>
                        </w:pPr>
                        <w:r>
                          <w:rPr>
                            <w:color w:val="000000" w:themeColor="text1"/>
                            <w:kern w:val="24"/>
                            <w:sz w:val="20"/>
                          </w:rPr>
                          <w:t xml:space="preserve">Other accredited parties, such as a </w:t>
                        </w:r>
                        <w:r>
                          <w:rPr>
                            <w:b/>
                            <w:bCs/>
                            <w:color w:val="000000" w:themeColor="text1"/>
                            <w:kern w:val="24"/>
                            <w:sz w:val="20"/>
                          </w:rPr>
                          <w:t>budgeting applications</w:t>
                        </w:r>
                      </w:p>
                      <w:p w14:paraId="3A6C5F2F" w14:textId="77777777" w:rsidR="00032124" w:rsidRDefault="00032124" w:rsidP="00725D1A">
                        <w:pPr>
                          <w:pStyle w:val="ListParagraph"/>
                          <w:numPr>
                            <w:ilvl w:val="0"/>
                            <w:numId w:val="28"/>
                          </w:numPr>
                          <w:spacing w:before="0" w:after="0"/>
                          <w:rPr>
                            <w:sz w:val="20"/>
                          </w:rPr>
                        </w:pPr>
                        <w:r>
                          <w:rPr>
                            <w:b/>
                            <w:bCs/>
                            <w:color w:val="000000" w:themeColor="text1"/>
                            <w:kern w:val="24"/>
                            <w:sz w:val="20"/>
                          </w:rPr>
                          <w:t>Non-accredited parties</w:t>
                        </w:r>
                      </w:p>
                      <w:p w14:paraId="6A8C564E" w14:textId="77777777" w:rsidR="00032124" w:rsidRPr="004E3BA9" w:rsidRDefault="00032124" w:rsidP="00725D1A">
                        <w:pPr>
                          <w:pStyle w:val="ListParagraph"/>
                          <w:numPr>
                            <w:ilvl w:val="0"/>
                            <w:numId w:val="28"/>
                          </w:numPr>
                          <w:spacing w:before="0" w:after="0"/>
                          <w:rPr>
                            <w:rFonts w:hAnsiTheme="minorHAnsi"/>
                            <w:sz w:val="20"/>
                          </w:rPr>
                        </w:pPr>
                        <w:r>
                          <w:rPr>
                            <w:b/>
                            <w:bCs/>
                            <w:color w:val="000000" w:themeColor="text1"/>
                            <w:kern w:val="24"/>
                            <w:sz w:val="20"/>
                          </w:rPr>
                          <w:t>Overseas recipien</w:t>
                        </w:r>
                        <w:r w:rsidRPr="006A1F65">
                          <w:rPr>
                            <w:b/>
                            <w:color w:val="000000" w:themeColor="text1"/>
                            <w:kern w:val="24"/>
                            <w:sz w:val="20"/>
                          </w:rPr>
                          <w:t>t</w:t>
                        </w:r>
                        <w:r w:rsidRPr="004E3BA9">
                          <w:rPr>
                            <w:b/>
                            <w:color w:val="000000" w:themeColor="text1"/>
                            <w:kern w:val="24"/>
                            <w:sz w:val="20"/>
                          </w:rPr>
                          <w:t>s</w:t>
                        </w:r>
                      </w:p>
                      <w:p w14:paraId="24D7CC13" w14:textId="77777777" w:rsidR="00032124" w:rsidRPr="004E3BA9" w:rsidRDefault="00032124" w:rsidP="00725D1A">
                        <w:pPr>
                          <w:spacing w:before="0" w:after="0"/>
                          <w:rPr>
                            <w:sz w:val="20"/>
                          </w:rPr>
                        </w:pPr>
                      </w:p>
                      <w:p w14:paraId="05BCB14C" w14:textId="2EFF1D67" w:rsidR="00032124" w:rsidRPr="004E3BA9" w:rsidRDefault="00032124" w:rsidP="00725D1A">
                        <w:pPr>
                          <w:spacing w:before="0" w:after="0"/>
                          <w:rPr>
                            <w:sz w:val="20"/>
                          </w:rPr>
                        </w:pPr>
                        <w:r>
                          <w:rPr>
                            <w:sz w:val="20"/>
                          </w:rPr>
                          <w:t>Note: Transfers direct to the consumer are also possible.</w:t>
                        </w:r>
                      </w:p>
                    </w:txbxContent>
                  </v:textbox>
                </v:rect>
                <v:shape id="Elbow Connector 373" o:spid="_x0000_s1062" type="#_x0000_t33" style="position:absolute;left:51238;top:29058;width:5655;height:1241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" strokecolor="#f4b083 [1941]" strokeweight="1.5pt">
                  <v:stroke startarrow="block" endarrow="block"/>
                </v:shape>
                <w10:anchorlock/>
              </v:group>
            </w:pict>
          </mc:Fallback>
        </mc:AlternateContent>
      </w:r>
    </w:p>
    <w:sectPr w:rsidR="009E171B" w:rsidSect="00EB0237">
      <w:pgSz w:w="16838" w:h="11906" w:orient="landscape"/>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B11A8" w14:textId="77777777" w:rsidR="00032124" w:rsidRDefault="00032124">
      <w:pPr>
        <w:spacing w:before="0" w:after="0"/>
      </w:pPr>
      <w:r>
        <w:separator/>
      </w:r>
    </w:p>
  </w:endnote>
  <w:endnote w:type="continuationSeparator" w:id="0">
    <w:p w14:paraId="2B22633E" w14:textId="77777777" w:rsidR="00032124" w:rsidRDefault="00032124">
      <w:pPr>
        <w:spacing w:before="0" w:after="0"/>
      </w:pPr>
      <w:r>
        <w:continuationSeparator/>
      </w:r>
    </w:p>
  </w:endnote>
  <w:endnote w:type="continuationNotice" w:id="1">
    <w:p w14:paraId="54FA057B" w14:textId="77777777" w:rsidR="00032124" w:rsidRDefault="0003212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502B5" w14:textId="6B7B1AED" w:rsidR="00032124" w:rsidRDefault="00032124" w:rsidP="003F2A1C">
    <w:pPr>
      <w:pStyle w:val="FooterEven"/>
      <w:ind w:left="851"/>
    </w:pPr>
    <w:r>
      <w:rPr>
        <w:noProof w:val="0"/>
      </w:rPr>
      <w:fldChar w:fldCharType="begin"/>
    </w:r>
    <w:r>
      <w:instrText xml:space="preserve"> PAGE   \* MERGEFORMAT </w:instrText>
    </w:r>
    <w:r>
      <w:rPr>
        <w:noProof w:val="0"/>
      </w:rPr>
      <w:fldChar w:fldCharType="separate"/>
    </w:r>
    <w:r w:rsidR="00AD42ED">
      <w:t>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F61B3" w14:textId="77777777" w:rsidR="00032124" w:rsidRDefault="00032124">
    <w:pPr>
      <w:pStyle w:val="Footer"/>
    </w:pPr>
    <w:r>
      <w:rPr>
        <w:noProof/>
      </w:rPr>
      <w:drawing>
        <wp:anchor distT="0" distB="0" distL="114300" distR="114300" simplePos="0" relativeHeight="251658241" behindDoc="1" locked="0" layoutInCell="1" allowOverlap="1" wp14:anchorId="2B1D190B" wp14:editId="165674FE">
          <wp:simplePos x="904875" y="5705475"/>
          <wp:positionH relativeFrom="page">
            <wp:align>center</wp:align>
          </wp:positionH>
          <wp:positionV relativeFrom="page">
            <wp:align>bottom</wp:align>
          </wp:positionV>
          <wp:extent cx="7560000" cy="595980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5959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85BF4" w14:textId="1B13C088" w:rsidR="00032124" w:rsidRDefault="00032124" w:rsidP="006C5B73">
    <w:pPr>
      <w:pStyle w:val="FooterOdd"/>
    </w:pPr>
    <w:r>
      <w:fldChar w:fldCharType="begin"/>
    </w:r>
    <w:r>
      <w:instrText xml:space="preserve"> PAGE   \* MERGEFORMAT </w:instrText>
    </w:r>
    <w:r>
      <w:fldChar w:fldCharType="separate"/>
    </w:r>
    <w:r w:rsidR="006E472C">
      <w:rPr>
        <w:noProof/>
      </w:rPr>
      <w:t>iii</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04677" w14:textId="77777777" w:rsidR="00032124" w:rsidRPr="00E77C89" w:rsidRDefault="00032124" w:rsidP="00EE1447">
    <w:pPr>
      <w:pStyle w:val="FooterEven"/>
    </w:pPr>
    <w:r>
      <w:fldChar w:fldCharType="begin"/>
    </w:r>
    <w:r>
      <w:instrText xml:space="preserve"> PAGE  \* Arabic  \* MERGEFORMAT </w:instrText>
    </w:r>
    <w:r>
      <w:fldChar w:fldCharType="separate"/>
    </w:r>
    <w:r>
      <w:t>16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9958856"/>
      <w:docPartObj>
        <w:docPartGallery w:val="Page Numbers (Bottom of Page)"/>
        <w:docPartUnique/>
      </w:docPartObj>
    </w:sdtPr>
    <w:sdtEndPr>
      <w:rPr>
        <w:color w:val="808080" w:themeColor="background1" w:themeShade="80"/>
        <w:spacing w:val="60"/>
      </w:rPr>
    </w:sdtEndPr>
    <w:sdtContent>
      <w:p w14:paraId="127D408D" w14:textId="4DFE901F" w:rsidR="00032124" w:rsidRDefault="00032124">
        <w:pPr>
          <w:pStyle w:val="Footer"/>
          <w:pBdr>
            <w:top w:val="single" w:sz="4" w:space="1" w:color="D9D9D9" w:themeColor="background1" w:themeShade="D9"/>
          </w:pBdr>
          <w:jc w:val="right"/>
        </w:pPr>
        <w:r>
          <w:t xml:space="preserve"> </w:t>
        </w:r>
        <w:r>
          <w:rPr>
            <w:color w:val="808080" w:themeColor="background1" w:themeShade="80"/>
            <w:spacing w:val="60"/>
          </w:rPr>
          <w:t>Page</w:t>
        </w:r>
        <w:r>
          <w:t>1</w:t>
        </w:r>
      </w:p>
    </w:sdtContent>
  </w:sdt>
  <w:p w14:paraId="6A220A95" w14:textId="77777777" w:rsidR="00032124" w:rsidRDefault="0003212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019616"/>
      <w:docPartObj>
        <w:docPartGallery w:val="Page Numbers (Bottom of Page)"/>
        <w:docPartUnique/>
      </w:docPartObj>
    </w:sdtPr>
    <w:sdtEndPr>
      <w:rPr>
        <w:noProof/>
      </w:rPr>
    </w:sdtEndPr>
    <w:sdtContent>
      <w:p w14:paraId="3589A705" w14:textId="0F464457" w:rsidR="00032124" w:rsidRDefault="00032124" w:rsidP="003F2A1C">
        <w:pPr>
          <w:pStyle w:val="Footer"/>
          <w:tabs>
            <w:tab w:val="clear" w:pos="4513"/>
            <w:tab w:val="clear" w:pos="9026"/>
            <w:tab w:val="right" w:pos="0"/>
            <w:tab w:val="center" w:pos="709"/>
          </w:tabs>
          <w:ind w:right="8219"/>
          <w:jc w:val="right"/>
        </w:pPr>
        <w:r>
          <w:fldChar w:fldCharType="begin"/>
        </w:r>
        <w:r>
          <w:instrText xml:space="preserve"> PAGE   \* MERGEFORMAT </w:instrText>
        </w:r>
        <w:r>
          <w:fldChar w:fldCharType="separate"/>
        </w:r>
        <w:r w:rsidR="006E472C">
          <w:rPr>
            <w:noProof/>
          </w:rPr>
          <w:t>4</w:t>
        </w:r>
        <w:r>
          <w:rPr>
            <w:noProof/>
          </w:rPr>
          <w:fldChar w:fldCharType="end"/>
        </w:r>
      </w:p>
    </w:sdtContent>
  </w:sdt>
  <w:p w14:paraId="7CD94A59" w14:textId="77777777" w:rsidR="00032124" w:rsidRPr="003F2A1C" w:rsidRDefault="00032124" w:rsidP="003F2A1C">
    <w:pPr>
      <w:pStyle w:val="Footer"/>
      <w:tabs>
        <w:tab w:val="clear" w:pos="4513"/>
        <w:tab w:val="center" w:pos="284"/>
      </w:tabs>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02323"/>
      <w:docPartObj>
        <w:docPartGallery w:val="Page Numbers (Bottom of Page)"/>
        <w:docPartUnique/>
      </w:docPartObj>
    </w:sdtPr>
    <w:sdtEndPr>
      <w:rPr>
        <w:color w:val="808080" w:themeColor="background1" w:themeShade="80"/>
        <w:spacing w:val="60"/>
      </w:rPr>
    </w:sdtEndPr>
    <w:sdtContent>
      <w:p w14:paraId="025AEC79" w14:textId="1F762621" w:rsidR="00032124" w:rsidRDefault="00032124">
        <w:pPr>
          <w:pStyle w:val="Footer"/>
          <w:pBdr>
            <w:top w:val="single" w:sz="4" w:space="1" w:color="D9D9D9" w:themeColor="background1" w:themeShade="D9"/>
          </w:pBdr>
          <w:jc w:val="right"/>
        </w:pPr>
        <w:r>
          <w:t>Consumer Data Right (</w:t>
        </w:r>
        <w:r w:rsidR="006E472C">
          <w:t>4 September</w:t>
        </w:r>
        <w:r>
          <w:t xml:space="preserve"> 2019)                   </w:t>
        </w:r>
        <w:r>
          <w:rPr>
            <w:color w:val="808080" w:themeColor="background1" w:themeShade="80"/>
            <w:spacing w:val="60"/>
          </w:rPr>
          <w:t>Page</w:t>
        </w:r>
        <w:r>
          <w:fldChar w:fldCharType="begin"/>
        </w:r>
        <w:r>
          <w:instrText xml:space="preserve"> PAGE   \* MERGEFORMAT </w:instrText>
        </w:r>
        <w:r>
          <w:fldChar w:fldCharType="separate"/>
        </w:r>
        <w:r w:rsidR="006E472C">
          <w:rPr>
            <w:noProof/>
          </w:rPr>
          <w:t>3</w:t>
        </w:r>
        <w:r>
          <w:rPr>
            <w:noProof/>
          </w:rPr>
          <w:fldChar w:fldCharType="end"/>
        </w:r>
      </w:p>
    </w:sdtContent>
  </w:sdt>
  <w:p w14:paraId="752EA24A" w14:textId="77777777" w:rsidR="00032124" w:rsidRDefault="00032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77475" w14:textId="77777777" w:rsidR="00032124" w:rsidRDefault="00032124">
      <w:pPr>
        <w:spacing w:before="0" w:after="0"/>
      </w:pPr>
      <w:r>
        <w:separator/>
      </w:r>
    </w:p>
  </w:footnote>
  <w:footnote w:type="continuationSeparator" w:id="0">
    <w:p w14:paraId="35ABF40A" w14:textId="77777777" w:rsidR="00032124" w:rsidRDefault="00032124">
      <w:pPr>
        <w:spacing w:before="0" w:after="0"/>
      </w:pPr>
      <w:r>
        <w:continuationSeparator/>
      </w:r>
    </w:p>
  </w:footnote>
  <w:footnote w:type="continuationNotice" w:id="1">
    <w:p w14:paraId="31A0F46D" w14:textId="77777777" w:rsidR="00032124" w:rsidRDefault="0003212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EF7CC" w14:textId="77777777" w:rsidR="00032124" w:rsidRDefault="00032124">
    <w:pPr>
      <w:pStyle w:val="Header"/>
    </w:pPr>
    <w:r>
      <w:rPr>
        <w:noProof/>
      </w:rPr>
      <w:drawing>
        <wp:anchor distT="0" distB="0" distL="114300" distR="114300" simplePos="0" relativeHeight="251658240" behindDoc="1" locked="0" layoutInCell="1" allowOverlap="1" wp14:anchorId="7DB6C0AF" wp14:editId="670AF9C6">
          <wp:simplePos x="904875" y="447675"/>
          <wp:positionH relativeFrom="page">
            <wp:align>center</wp:align>
          </wp:positionH>
          <wp:positionV relativeFrom="page">
            <wp:posOffset>180340</wp:posOffset>
          </wp:positionV>
          <wp:extent cx="7200000" cy="1079640"/>
          <wp:effectExtent l="0" t="0" r="127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C173D" w14:textId="57B1E413" w:rsidR="00032124" w:rsidRPr="001F3912" w:rsidRDefault="00032124" w:rsidP="00A12F62">
    <w:pPr>
      <w:pStyle w:val="HeaderEven"/>
    </w:pPr>
    <w:r>
      <w:fldChar w:fldCharType="begin"/>
    </w:r>
    <w:r>
      <w:instrText xml:space="preserve"> STYLEREF  "Title"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A9DE0" w14:textId="77777777" w:rsidR="00032124" w:rsidRPr="00F836F9" w:rsidRDefault="00032124" w:rsidP="00F836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E8989" w14:textId="77777777" w:rsidR="00032124" w:rsidRDefault="000321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A1D2E" w14:textId="18FD14F1" w:rsidR="00032124" w:rsidRPr="001F3912" w:rsidRDefault="00032124" w:rsidP="00A12F62">
    <w:pPr>
      <w:pStyle w:val="HeaderOdd"/>
    </w:pPr>
    <w:r>
      <w:rPr>
        <w:noProof/>
      </w:rPr>
      <w:fldChar w:fldCharType="begin"/>
    </w:r>
    <w:r>
      <w:rPr>
        <w:noProof/>
      </w:rPr>
      <w:instrText xml:space="preserve"> STYLEREF  "Heading 1"  \* MERGEFORMAT </w:instrText>
    </w:r>
    <w:r>
      <w:rPr>
        <w:noProof/>
      </w:rPr>
      <w:fldChar w:fldCharType="separate"/>
    </w:r>
    <w:r w:rsidR="006E472C">
      <w:rPr>
        <w:noProof/>
      </w:rPr>
      <w:t>The Regulatory Framework</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95559D"/>
    <w:multiLevelType w:val="multilevel"/>
    <w:tmpl w:val="F77E5AD6"/>
    <w:lvl w:ilvl="0">
      <w:start w:val="1"/>
      <w:numFmt w:val="bullet"/>
      <w:lvlText w:val="•"/>
      <w:lvlJc w:val="left"/>
      <w:pPr>
        <w:tabs>
          <w:tab w:val="num" w:pos="520"/>
        </w:tabs>
        <w:ind w:left="520" w:hanging="520"/>
      </w:pPr>
      <w:rPr>
        <w:rFonts w:ascii="Times New Roman" w:hAnsi="Times New Roman" w:cs="Times New Roman" w:hint="default"/>
        <w:b/>
        <w:i w:val="0"/>
        <w:color w:val="002060"/>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E91610"/>
    <w:multiLevelType w:val="hybridMultilevel"/>
    <w:tmpl w:val="4B5C8908"/>
    <w:lvl w:ilvl="0" w:tplc="5BC045A6">
      <w:start w:val="1"/>
      <w:numFmt w:val="lowerLetter"/>
      <w:lvlText w:val="%1)"/>
      <w:lvlJc w:val="left"/>
      <w:pPr>
        <w:tabs>
          <w:tab w:val="num" w:pos="720"/>
        </w:tabs>
        <w:ind w:left="720" w:hanging="360"/>
      </w:pPr>
    </w:lvl>
    <w:lvl w:ilvl="1" w:tplc="846CC702" w:tentative="1">
      <w:start w:val="1"/>
      <w:numFmt w:val="lowerLetter"/>
      <w:lvlText w:val="%2)"/>
      <w:lvlJc w:val="left"/>
      <w:pPr>
        <w:tabs>
          <w:tab w:val="num" w:pos="1440"/>
        </w:tabs>
        <w:ind w:left="1440" w:hanging="360"/>
      </w:pPr>
    </w:lvl>
    <w:lvl w:ilvl="2" w:tplc="0CC64B6C" w:tentative="1">
      <w:start w:val="1"/>
      <w:numFmt w:val="lowerLetter"/>
      <w:lvlText w:val="%3)"/>
      <w:lvlJc w:val="left"/>
      <w:pPr>
        <w:tabs>
          <w:tab w:val="num" w:pos="2160"/>
        </w:tabs>
        <w:ind w:left="2160" w:hanging="360"/>
      </w:pPr>
    </w:lvl>
    <w:lvl w:ilvl="3" w:tplc="F8209626" w:tentative="1">
      <w:start w:val="1"/>
      <w:numFmt w:val="lowerLetter"/>
      <w:lvlText w:val="%4)"/>
      <w:lvlJc w:val="left"/>
      <w:pPr>
        <w:tabs>
          <w:tab w:val="num" w:pos="2880"/>
        </w:tabs>
        <w:ind w:left="2880" w:hanging="360"/>
      </w:pPr>
    </w:lvl>
    <w:lvl w:ilvl="4" w:tplc="D0780F86" w:tentative="1">
      <w:start w:val="1"/>
      <w:numFmt w:val="lowerLetter"/>
      <w:lvlText w:val="%5)"/>
      <w:lvlJc w:val="left"/>
      <w:pPr>
        <w:tabs>
          <w:tab w:val="num" w:pos="3600"/>
        </w:tabs>
        <w:ind w:left="3600" w:hanging="360"/>
      </w:pPr>
    </w:lvl>
    <w:lvl w:ilvl="5" w:tplc="FA12089A" w:tentative="1">
      <w:start w:val="1"/>
      <w:numFmt w:val="lowerLetter"/>
      <w:lvlText w:val="%6)"/>
      <w:lvlJc w:val="left"/>
      <w:pPr>
        <w:tabs>
          <w:tab w:val="num" w:pos="4320"/>
        </w:tabs>
        <w:ind w:left="4320" w:hanging="360"/>
      </w:pPr>
    </w:lvl>
    <w:lvl w:ilvl="6" w:tplc="605298A0" w:tentative="1">
      <w:start w:val="1"/>
      <w:numFmt w:val="lowerLetter"/>
      <w:lvlText w:val="%7)"/>
      <w:lvlJc w:val="left"/>
      <w:pPr>
        <w:tabs>
          <w:tab w:val="num" w:pos="5040"/>
        </w:tabs>
        <w:ind w:left="5040" w:hanging="360"/>
      </w:pPr>
    </w:lvl>
    <w:lvl w:ilvl="7" w:tplc="C95E9458" w:tentative="1">
      <w:start w:val="1"/>
      <w:numFmt w:val="lowerLetter"/>
      <w:lvlText w:val="%8)"/>
      <w:lvlJc w:val="left"/>
      <w:pPr>
        <w:tabs>
          <w:tab w:val="num" w:pos="5760"/>
        </w:tabs>
        <w:ind w:left="5760" w:hanging="360"/>
      </w:pPr>
    </w:lvl>
    <w:lvl w:ilvl="8" w:tplc="699272BA" w:tentative="1">
      <w:start w:val="1"/>
      <w:numFmt w:val="lowerLetter"/>
      <w:lvlText w:val="%9)"/>
      <w:lvlJc w:val="left"/>
      <w:pPr>
        <w:tabs>
          <w:tab w:val="num" w:pos="6480"/>
        </w:tabs>
        <w:ind w:left="6480" w:hanging="360"/>
      </w:pPr>
    </w:lvl>
  </w:abstractNum>
  <w:abstractNum w:abstractNumId="7" w15:restartNumberingAfterBreak="0">
    <w:nsid w:val="1F176E2C"/>
    <w:multiLevelType w:val="multilevel"/>
    <w:tmpl w:val="6652BBE4"/>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0BC051E"/>
    <w:multiLevelType w:val="multilevel"/>
    <w:tmpl w:val="F93ADE6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0"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4A6B88"/>
    <w:multiLevelType w:val="multilevel"/>
    <w:tmpl w:val="407ADB76"/>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BBB4575"/>
    <w:multiLevelType w:val="multilevel"/>
    <w:tmpl w:val="43D22C32"/>
    <w:lvl w:ilvl="0">
      <w:start w:val="1"/>
      <w:numFmt w:val="decimal"/>
      <w:lvlText w:val="%1"/>
      <w:lvlJc w:val="left"/>
      <w:pPr>
        <w:ind w:left="360" w:hanging="360"/>
      </w:pPr>
      <w:rPr>
        <w:rFonts w:hint="default"/>
        <w:sz w:val="28"/>
      </w:rPr>
    </w:lvl>
    <w:lvl w:ilvl="1">
      <w:start w:val="1"/>
      <w:numFmt w:val="decimal"/>
      <w:lvlText w:val="%1.%2"/>
      <w:lvlJc w:val="left"/>
      <w:pPr>
        <w:tabs>
          <w:tab w:val="num" w:pos="340"/>
        </w:tabs>
        <w:ind w:left="340" w:firstLine="0"/>
      </w:pPr>
      <w:rPr>
        <w:rFonts w:hint="default"/>
        <w:b w:val="0"/>
      </w:rPr>
    </w:lvl>
    <w:lvl w:ilvl="2">
      <w:start w:val="1"/>
      <w:numFmt w:val="bullet"/>
      <w:lvlText w:val="-"/>
      <w:lvlJc w:val="left"/>
      <w:pPr>
        <w:ind w:left="1224" w:hanging="504"/>
      </w:pPr>
      <w:rPr>
        <w:rFonts w:ascii="Calibri" w:hAnsi="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9312F8"/>
    <w:multiLevelType w:val="multilevel"/>
    <w:tmpl w:val="3E3257E8"/>
    <w:name w:val="StandardBulletedList_"/>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7"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8" w15:restartNumberingAfterBreak="0">
    <w:nsid w:val="510D2021"/>
    <w:multiLevelType w:val="multilevel"/>
    <w:tmpl w:val="72F8140E"/>
    <w:numStyleLink w:val="OutlineList"/>
  </w:abstractNum>
  <w:abstractNum w:abstractNumId="19" w15:restartNumberingAfterBreak="0">
    <w:nsid w:val="545A41DD"/>
    <w:multiLevelType w:val="multilevel"/>
    <w:tmpl w:val="BCE65D1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7E633D5"/>
    <w:multiLevelType w:val="multilevel"/>
    <w:tmpl w:val="2D70966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4"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12"/>
  </w:num>
  <w:num w:numId="2">
    <w:abstractNumId w:val="0"/>
  </w:num>
  <w:num w:numId="3">
    <w:abstractNumId w:val="14"/>
  </w:num>
  <w:num w:numId="4">
    <w:abstractNumId w:val="2"/>
  </w:num>
  <w:num w:numId="5">
    <w:abstractNumId w:val="3"/>
  </w:num>
  <w:num w:numId="6">
    <w:abstractNumId w:val="18"/>
  </w:num>
  <w:num w:numId="7">
    <w:abstractNumId w:val="13"/>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5"/>
  </w:num>
  <w:num w:numId="9">
    <w:abstractNumId w:val="1"/>
  </w:num>
  <w:num w:numId="10">
    <w:abstractNumId w:val="10"/>
  </w:num>
  <w:num w:numId="11">
    <w:abstractNumId w:val="23"/>
  </w:num>
  <w:num w:numId="12">
    <w:abstractNumId w:val="18"/>
  </w:num>
  <w:num w:numId="13">
    <w:abstractNumId w:val="24"/>
  </w:num>
  <w:num w:numId="14">
    <w:abstractNumId w:val="17"/>
  </w:num>
  <w:num w:numId="15">
    <w:abstractNumId w:val="9"/>
  </w:num>
  <w:num w:numId="16">
    <w:abstractNumId w:val="20"/>
  </w:num>
  <w:num w:numId="17">
    <w:abstractNumId w:val="13"/>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6"/>
  </w:num>
  <w:num w:numId="21">
    <w:abstractNumId w:val="19"/>
  </w:num>
  <w:num w:numId="22">
    <w:abstractNumId w:val="21"/>
  </w:num>
  <w:num w:numId="23">
    <w:abstractNumId w:val="8"/>
  </w:num>
  <w:num w:numId="24">
    <w:abstractNumId w:val="4"/>
  </w:num>
  <w:num w:numId="25">
    <w:abstractNumId w:val="1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6"/>
  </w:num>
  <w:num w:numId="29">
    <w:abstractNumId w:val="12"/>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mirrorMargins/>
  <w:proofState w:spelling="clean" w:grammar="clean"/>
  <w:defaultTabStop w:val="720"/>
  <w:evenAndOddHeaders/>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4A9"/>
    <w:rsid w:val="00000494"/>
    <w:rsid w:val="00000F62"/>
    <w:rsid w:val="00001629"/>
    <w:rsid w:val="00011725"/>
    <w:rsid w:val="00012C62"/>
    <w:rsid w:val="0002544D"/>
    <w:rsid w:val="00032124"/>
    <w:rsid w:val="000402C1"/>
    <w:rsid w:val="0004274D"/>
    <w:rsid w:val="00043348"/>
    <w:rsid w:val="0004483F"/>
    <w:rsid w:val="000448F8"/>
    <w:rsid w:val="00045A56"/>
    <w:rsid w:val="000470BB"/>
    <w:rsid w:val="0005138B"/>
    <w:rsid w:val="000522B7"/>
    <w:rsid w:val="00055666"/>
    <w:rsid w:val="00056880"/>
    <w:rsid w:val="00062133"/>
    <w:rsid w:val="000675D1"/>
    <w:rsid w:val="00073521"/>
    <w:rsid w:val="000775DE"/>
    <w:rsid w:val="000777B5"/>
    <w:rsid w:val="000839B9"/>
    <w:rsid w:val="000855A5"/>
    <w:rsid w:val="00087FAF"/>
    <w:rsid w:val="000945F6"/>
    <w:rsid w:val="000A3BD9"/>
    <w:rsid w:val="000A57DF"/>
    <w:rsid w:val="000A6879"/>
    <w:rsid w:val="000C511C"/>
    <w:rsid w:val="000C571D"/>
    <w:rsid w:val="000C5F40"/>
    <w:rsid w:val="000D3817"/>
    <w:rsid w:val="000D5780"/>
    <w:rsid w:val="000E03AA"/>
    <w:rsid w:val="000E0B74"/>
    <w:rsid w:val="000E32B2"/>
    <w:rsid w:val="000E73C2"/>
    <w:rsid w:val="000E7901"/>
    <w:rsid w:val="000F0811"/>
    <w:rsid w:val="00131DC3"/>
    <w:rsid w:val="0013425B"/>
    <w:rsid w:val="00135E4C"/>
    <w:rsid w:val="00136EEC"/>
    <w:rsid w:val="001373F5"/>
    <w:rsid w:val="00143C9F"/>
    <w:rsid w:val="00147CDA"/>
    <w:rsid w:val="00154457"/>
    <w:rsid w:val="00154D38"/>
    <w:rsid w:val="001606CF"/>
    <w:rsid w:val="0016128D"/>
    <w:rsid w:val="00165743"/>
    <w:rsid w:val="0017089D"/>
    <w:rsid w:val="00171577"/>
    <w:rsid w:val="00177D2B"/>
    <w:rsid w:val="00180066"/>
    <w:rsid w:val="001859EE"/>
    <w:rsid w:val="00186D12"/>
    <w:rsid w:val="0019101A"/>
    <w:rsid w:val="001929CA"/>
    <w:rsid w:val="001972D2"/>
    <w:rsid w:val="001A0674"/>
    <w:rsid w:val="001A375B"/>
    <w:rsid w:val="001B1812"/>
    <w:rsid w:val="001C358D"/>
    <w:rsid w:val="001C6195"/>
    <w:rsid w:val="001D1474"/>
    <w:rsid w:val="001D3B5F"/>
    <w:rsid w:val="001D7142"/>
    <w:rsid w:val="001E1A31"/>
    <w:rsid w:val="001E2F1F"/>
    <w:rsid w:val="001F1B27"/>
    <w:rsid w:val="001F39B8"/>
    <w:rsid w:val="001F5714"/>
    <w:rsid w:val="00221EC0"/>
    <w:rsid w:val="00230C79"/>
    <w:rsid w:val="00231049"/>
    <w:rsid w:val="002314D2"/>
    <w:rsid w:val="0023305C"/>
    <w:rsid w:val="00241881"/>
    <w:rsid w:val="002428F9"/>
    <w:rsid w:val="0024294C"/>
    <w:rsid w:val="002522F6"/>
    <w:rsid w:val="0025652F"/>
    <w:rsid w:val="00256A80"/>
    <w:rsid w:val="00263B6C"/>
    <w:rsid w:val="00272939"/>
    <w:rsid w:val="0027590B"/>
    <w:rsid w:val="002762B0"/>
    <w:rsid w:val="00284828"/>
    <w:rsid w:val="00285969"/>
    <w:rsid w:val="002A5218"/>
    <w:rsid w:val="002A74EF"/>
    <w:rsid w:val="002B1D71"/>
    <w:rsid w:val="002B3829"/>
    <w:rsid w:val="002B582F"/>
    <w:rsid w:val="002B69B4"/>
    <w:rsid w:val="002C05EF"/>
    <w:rsid w:val="002C07FC"/>
    <w:rsid w:val="002C22EF"/>
    <w:rsid w:val="002C741F"/>
    <w:rsid w:val="002D0051"/>
    <w:rsid w:val="002E1854"/>
    <w:rsid w:val="002E19DD"/>
    <w:rsid w:val="002E380C"/>
    <w:rsid w:val="002E454C"/>
    <w:rsid w:val="002E7B39"/>
    <w:rsid w:val="002F0ECF"/>
    <w:rsid w:val="002F4A26"/>
    <w:rsid w:val="002F617F"/>
    <w:rsid w:val="002F654E"/>
    <w:rsid w:val="00300109"/>
    <w:rsid w:val="0030046B"/>
    <w:rsid w:val="0030371D"/>
    <w:rsid w:val="00306894"/>
    <w:rsid w:val="00307318"/>
    <w:rsid w:val="00307E1C"/>
    <w:rsid w:val="003122F4"/>
    <w:rsid w:val="0032002D"/>
    <w:rsid w:val="003268D5"/>
    <w:rsid w:val="00334253"/>
    <w:rsid w:val="003358C3"/>
    <w:rsid w:val="003448F6"/>
    <w:rsid w:val="00344EAC"/>
    <w:rsid w:val="00350421"/>
    <w:rsid w:val="00350759"/>
    <w:rsid w:val="00354D27"/>
    <w:rsid w:val="0035738A"/>
    <w:rsid w:val="003577B2"/>
    <w:rsid w:val="00362803"/>
    <w:rsid w:val="0036677E"/>
    <w:rsid w:val="0037144E"/>
    <w:rsid w:val="00382302"/>
    <w:rsid w:val="00383E3E"/>
    <w:rsid w:val="003858A6"/>
    <w:rsid w:val="00392DCC"/>
    <w:rsid w:val="003A0B25"/>
    <w:rsid w:val="003A491E"/>
    <w:rsid w:val="003A5B36"/>
    <w:rsid w:val="003A75EE"/>
    <w:rsid w:val="003B1DA4"/>
    <w:rsid w:val="003C24B4"/>
    <w:rsid w:val="003D2654"/>
    <w:rsid w:val="003E20D6"/>
    <w:rsid w:val="003E2CF7"/>
    <w:rsid w:val="003E4D87"/>
    <w:rsid w:val="003F1CD3"/>
    <w:rsid w:val="003F2A1C"/>
    <w:rsid w:val="00401082"/>
    <w:rsid w:val="00401910"/>
    <w:rsid w:val="00413877"/>
    <w:rsid w:val="00416762"/>
    <w:rsid w:val="00416E55"/>
    <w:rsid w:val="00420381"/>
    <w:rsid w:val="0042518A"/>
    <w:rsid w:val="004263FB"/>
    <w:rsid w:val="00427D49"/>
    <w:rsid w:val="00445265"/>
    <w:rsid w:val="004559CE"/>
    <w:rsid w:val="004609F2"/>
    <w:rsid w:val="00460E1A"/>
    <w:rsid w:val="00463BBD"/>
    <w:rsid w:val="00463DF8"/>
    <w:rsid w:val="00472D75"/>
    <w:rsid w:val="00473075"/>
    <w:rsid w:val="00475085"/>
    <w:rsid w:val="004754E6"/>
    <w:rsid w:val="00476CF6"/>
    <w:rsid w:val="00477AA8"/>
    <w:rsid w:val="00482C4B"/>
    <w:rsid w:val="00487B91"/>
    <w:rsid w:val="00492FCB"/>
    <w:rsid w:val="004A0F11"/>
    <w:rsid w:val="004A3EAA"/>
    <w:rsid w:val="004A7D97"/>
    <w:rsid w:val="004B5133"/>
    <w:rsid w:val="004C3F81"/>
    <w:rsid w:val="004C41B6"/>
    <w:rsid w:val="004C7E11"/>
    <w:rsid w:val="004D6E37"/>
    <w:rsid w:val="004E00EA"/>
    <w:rsid w:val="004F167D"/>
    <w:rsid w:val="004F4B92"/>
    <w:rsid w:val="00515434"/>
    <w:rsid w:val="00515A47"/>
    <w:rsid w:val="00516785"/>
    <w:rsid w:val="0052419D"/>
    <w:rsid w:val="005301F8"/>
    <w:rsid w:val="005312FC"/>
    <w:rsid w:val="0053569E"/>
    <w:rsid w:val="0053603D"/>
    <w:rsid w:val="0053742A"/>
    <w:rsid w:val="00537C85"/>
    <w:rsid w:val="00541D29"/>
    <w:rsid w:val="0055221A"/>
    <w:rsid w:val="0055474B"/>
    <w:rsid w:val="0055755C"/>
    <w:rsid w:val="005627B7"/>
    <w:rsid w:val="00562F17"/>
    <w:rsid w:val="00563E7E"/>
    <w:rsid w:val="0056582C"/>
    <w:rsid w:val="00576105"/>
    <w:rsid w:val="005867A6"/>
    <w:rsid w:val="005868DE"/>
    <w:rsid w:val="00592999"/>
    <w:rsid w:val="00594133"/>
    <w:rsid w:val="005966B7"/>
    <w:rsid w:val="00597FF8"/>
    <w:rsid w:val="005B5E2A"/>
    <w:rsid w:val="005B6D0B"/>
    <w:rsid w:val="005C02A4"/>
    <w:rsid w:val="005C0830"/>
    <w:rsid w:val="005C0BC6"/>
    <w:rsid w:val="005C20D2"/>
    <w:rsid w:val="005C32FE"/>
    <w:rsid w:val="005C4410"/>
    <w:rsid w:val="005C73EF"/>
    <w:rsid w:val="005D024A"/>
    <w:rsid w:val="005D1427"/>
    <w:rsid w:val="005D4FD4"/>
    <w:rsid w:val="005D6D64"/>
    <w:rsid w:val="005E7CDF"/>
    <w:rsid w:val="00601650"/>
    <w:rsid w:val="00605AFD"/>
    <w:rsid w:val="006123D4"/>
    <w:rsid w:val="006136A5"/>
    <w:rsid w:val="0061445B"/>
    <w:rsid w:val="0061509A"/>
    <w:rsid w:val="00624C4B"/>
    <w:rsid w:val="006306D3"/>
    <w:rsid w:val="006456E9"/>
    <w:rsid w:val="00651F6D"/>
    <w:rsid w:val="00657D1A"/>
    <w:rsid w:val="00672D26"/>
    <w:rsid w:val="006805B5"/>
    <w:rsid w:val="00685CF7"/>
    <w:rsid w:val="00686165"/>
    <w:rsid w:val="00691CB5"/>
    <w:rsid w:val="00697FC3"/>
    <w:rsid w:val="006A1994"/>
    <w:rsid w:val="006A2D10"/>
    <w:rsid w:val="006A37F5"/>
    <w:rsid w:val="006A445F"/>
    <w:rsid w:val="006A76AD"/>
    <w:rsid w:val="006B1603"/>
    <w:rsid w:val="006C1892"/>
    <w:rsid w:val="006C5944"/>
    <w:rsid w:val="006C5B73"/>
    <w:rsid w:val="006C645D"/>
    <w:rsid w:val="006D1520"/>
    <w:rsid w:val="006D4C4C"/>
    <w:rsid w:val="006D59E6"/>
    <w:rsid w:val="006D5A0C"/>
    <w:rsid w:val="006E3CC3"/>
    <w:rsid w:val="006E472C"/>
    <w:rsid w:val="006E6CE6"/>
    <w:rsid w:val="006F04AB"/>
    <w:rsid w:val="006F0826"/>
    <w:rsid w:val="00700A3A"/>
    <w:rsid w:val="00703E3C"/>
    <w:rsid w:val="00706E8E"/>
    <w:rsid w:val="00711FC6"/>
    <w:rsid w:val="007213F7"/>
    <w:rsid w:val="00722B53"/>
    <w:rsid w:val="00725D1A"/>
    <w:rsid w:val="00736D54"/>
    <w:rsid w:val="00745113"/>
    <w:rsid w:val="007509DD"/>
    <w:rsid w:val="00751C2A"/>
    <w:rsid w:val="00762B9B"/>
    <w:rsid w:val="00763474"/>
    <w:rsid w:val="00773F2B"/>
    <w:rsid w:val="00776B84"/>
    <w:rsid w:val="007775B8"/>
    <w:rsid w:val="00784C0A"/>
    <w:rsid w:val="00794B40"/>
    <w:rsid w:val="00795238"/>
    <w:rsid w:val="007A1079"/>
    <w:rsid w:val="007B24AF"/>
    <w:rsid w:val="007B3E9E"/>
    <w:rsid w:val="007B76AB"/>
    <w:rsid w:val="007D4A2C"/>
    <w:rsid w:val="007D592B"/>
    <w:rsid w:val="007D5AA6"/>
    <w:rsid w:val="007D61EE"/>
    <w:rsid w:val="007D7A91"/>
    <w:rsid w:val="007E14DE"/>
    <w:rsid w:val="007E6456"/>
    <w:rsid w:val="007F243B"/>
    <w:rsid w:val="00807C32"/>
    <w:rsid w:val="0081050C"/>
    <w:rsid w:val="00811943"/>
    <w:rsid w:val="00812736"/>
    <w:rsid w:val="00812B00"/>
    <w:rsid w:val="0081448E"/>
    <w:rsid w:val="00817D4B"/>
    <w:rsid w:val="00822487"/>
    <w:rsid w:val="008311B8"/>
    <w:rsid w:val="0083161E"/>
    <w:rsid w:val="00834243"/>
    <w:rsid w:val="008445FE"/>
    <w:rsid w:val="00847299"/>
    <w:rsid w:val="00852BDD"/>
    <w:rsid w:val="00857969"/>
    <w:rsid w:val="00875A34"/>
    <w:rsid w:val="0087685D"/>
    <w:rsid w:val="00877780"/>
    <w:rsid w:val="00881762"/>
    <w:rsid w:val="00882CC4"/>
    <w:rsid w:val="00890BB7"/>
    <w:rsid w:val="008A3DF4"/>
    <w:rsid w:val="008A42F7"/>
    <w:rsid w:val="008B36E5"/>
    <w:rsid w:val="008C1EBF"/>
    <w:rsid w:val="008C4127"/>
    <w:rsid w:val="008C7F71"/>
    <w:rsid w:val="008D258C"/>
    <w:rsid w:val="008D3311"/>
    <w:rsid w:val="008D339F"/>
    <w:rsid w:val="008D3E71"/>
    <w:rsid w:val="008E1FCC"/>
    <w:rsid w:val="008E478B"/>
    <w:rsid w:val="008E6292"/>
    <w:rsid w:val="008E7694"/>
    <w:rsid w:val="008F1FB3"/>
    <w:rsid w:val="00904AF5"/>
    <w:rsid w:val="00913820"/>
    <w:rsid w:val="00920ADE"/>
    <w:rsid w:val="00923490"/>
    <w:rsid w:val="00925AA5"/>
    <w:rsid w:val="00925AC1"/>
    <w:rsid w:val="00931A58"/>
    <w:rsid w:val="00931B68"/>
    <w:rsid w:val="00933DAC"/>
    <w:rsid w:val="009343EE"/>
    <w:rsid w:val="0093540D"/>
    <w:rsid w:val="009354B6"/>
    <w:rsid w:val="0094019D"/>
    <w:rsid w:val="009419B3"/>
    <w:rsid w:val="00942C11"/>
    <w:rsid w:val="0094351F"/>
    <w:rsid w:val="00944A6C"/>
    <w:rsid w:val="00951E13"/>
    <w:rsid w:val="0095293E"/>
    <w:rsid w:val="009547F8"/>
    <w:rsid w:val="009729D4"/>
    <w:rsid w:val="00976439"/>
    <w:rsid w:val="009817B0"/>
    <w:rsid w:val="009821CE"/>
    <w:rsid w:val="00982FC6"/>
    <w:rsid w:val="009952C4"/>
    <w:rsid w:val="009A26EE"/>
    <w:rsid w:val="009A277C"/>
    <w:rsid w:val="009A3795"/>
    <w:rsid w:val="009A6117"/>
    <w:rsid w:val="009A658F"/>
    <w:rsid w:val="009C0095"/>
    <w:rsid w:val="009C09D7"/>
    <w:rsid w:val="009D0E96"/>
    <w:rsid w:val="009D4DE9"/>
    <w:rsid w:val="009D5785"/>
    <w:rsid w:val="009D6C9E"/>
    <w:rsid w:val="009D784F"/>
    <w:rsid w:val="009D7FFC"/>
    <w:rsid w:val="009E171B"/>
    <w:rsid w:val="009F7EC1"/>
    <w:rsid w:val="00A015E8"/>
    <w:rsid w:val="00A04326"/>
    <w:rsid w:val="00A07861"/>
    <w:rsid w:val="00A07D47"/>
    <w:rsid w:val="00A110E0"/>
    <w:rsid w:val="00A112D7"/>
    <w:rsid w:val="00A12F62"/>
    <w:rsid w:val="00A1326E"/>
    <w:rsid w:val="00A14FE9"/>
    <w:rsid w:val="00A2284F"/>
    <w:rsid w:val="00A31991"/>
    <w:rsid w:val="00A35A40"/>
    <w:rsid w:val="00A3749B"/>
    <w:rsid w:val="00A37D87"/>
    <w:rsid w:val="00A50D88"/>
    <w:rsid w:val="00A56923"/>
    <w:rsid w:val="00A62E42"/>
    <w:rsid w:val="00A63C65"/>
    <w:rsid w:val="00A64A71"/>
    <w:rsid w:val="00A72960"/>
    <w:rsid w:val="00A72B2D"/>
    <w:rsid w:val="00A72D8F"/>
    <w:rsid w:val="00A82073"/>
    <w:rsid w:val="00A90B5F"/>
    <w:rsid w:val="00A90D69"/>
    <w:rsid w:val="00A93401"/>
    <w:rsid w:val="00AA1236"/>
    <w:rsid w:val="00AA398B"/>
    <w:rsid w:val="00AB0E56"/>
    <w:rsid w:val="00AB16C7"/>
    <w:rsid w:val="00AB1E59"/>
    <w:rsid w:val="00AB2E3E"/>
    <w:rsid w:val="00AC231B"/>
    <w:rsid w:val="00AC3196"/>
    <w:rsid w:val="00AC4EF4"/>
    <w:rsid w:val="00AC6D6C"/>
    <w:rsid w:val="00AD1272"/>
    <w:rsid w:val="00AD30BB"/>
    <w:rsid w:val="00AD42ED"/>
    <w:rsid w:val="00AD648A"/>
    <w:rsid w:val="00AE1871"/>
    <w:rsid w:val="00AE2F90"/>
    <w:rsid w:val="00AE3047"/>
    <w:rsid w:val="00AF0E26"/>
    <w:rsid w:val="00AF38CA"/>
    <w:rsid w:val="00B03DD6"/>
    <w:rsid w:val="00B077F5"/>
    <w:rsid w:val="00B11D33"/>
    <w:rsid w:val="00B12930"/>
    <w:rsid w:val="00B12FFA"/>
    <w:rsid w:val="00B134A9"/>
    <w:rsid w:val="00B2281E"/>
    <w:rsid w:val="00B31D6C"/>
    <w:rsid w:val="00B3583B"/>
    <w:rsid w:val="00B36664"/>
    <w:rsid w:val="00B37A8F"/>
    <w:rsid w:val="00B420FB"/>
    <w:rsid w:val="00B45D7B"/>
    <w:rsid w:val="00B4632B"/>
    <w:rsid w:val="00B539CA"/>
    <w:rsid w:val="00B60B3D"/>
    <w:rsid w:val="00B65347"/>
    <w:rsid w:val="00B76A77"/>
    <w:rsid w:val="00B8195E"/>
    <w:rsid w:val="00B87927"/>
    <w:rsid w:val="00BA40B5"/>
    <w:rsid w:val="00BA775E"/>
    <w:rsid w:val="00BB3BA7"/>
    <w:rsid w:val="00BD26AA"/>
    <w:rsid w:val="00BD454F"/>
    <w:rsid w:val="00BE0F11"/>
    <w:rsid w:val="00BE139C"/>
    <w:rsid w:val="00BE1D81"/>
    <w:rsid w:val="00BE4F83"/>
    <w:rsid w:val="00C01DCC"/>
    <w:rsid w:val="00C01F1A"/>
    <w:rsid w:val="00C02C5D"/>
    <w:rsid w:val="00C07F4A"/>
    <w:rsid w:val="00C202B3"/>
    <w:rsid w:val="00C21A01"/>
    <w:rsid w:val="00C21EE0"/>
    <w:rsid w:val="00C30297"/>
    <w:rsid w:val="00C509E7"/>
    <w:rsid w:val="00C63DE7"/>
    <w:rsid w:val="00C72318"/>
    <w:rsid w:val="00C724E6"/>
    <w:rsid w:val="00C72558"/>
    <w:rsid w:val="00C747A5"/>
    <w:rsid w:val="00C75EF2"/>
    <w:rsid w:val="00C85314"/>
    <w:rsid w:val="00C86DDB"/>
    <w:rsid w:val="00CA0116"/>
    <w:rsid w:val="00CA4BC0"/>
    <w:rsid w:val="00CA5CA8"/>
    <w:rsid w:val="00CB0157"/>
    <w:rsid w:val="00CB5205"/>
    <w:rsid w:val="00CB6EC1"/>
    <w:rsid w:val="00CC09F0"/>
    <w:rsid w:val="00CC0C37"/>
    <w:rsid w:val="00CC3506"/>
    <w:rsid w:val="00CC559D"/>
    <w:rsid w:val="00CD3C02"/>
    <w:rsid w:val="00CD5A0C"/>
    <w:rsid w:val="00CD5A1C"/>
    <w:rsid w:val="00CD5EB1"/>
    <w:rsid w:val="00CD654B"/>
    <w:rsid w:val="00CE223E"/>
    <w:rsid w:val="00CE6D74"/>
    <w:rsid w:val="00CF28D2"/>
    <w:rsid w:val="00CF3F0D"/>
    <w:rsid w:val="00D145F5"/>
    <w:rsid w:val="00D321BA"/>
    <w:rsid w:val="00D32963"/>
    <w:rsid w:val="00D355F0"/>
    <w:rsid w:val="00D43AC8"/>
    <w:rsid w:val="00D43FE9"/>
    <w:rsid w:val="00D51867"/>
    <w:rsid w:val="00D533E3"/>
    <w:rsid w:val="00D56113"/>
    <w:rsid w:val="00D63324"/>
    <w:rsid w:val="00D711A0"/>
    <w:rsid w:val="00D833D9"/>
    <w:rsid w:val="00D83BD9"/>
    <w:rsid w:val="00D8483C"/>
    <w:rsid w:val="00D866B5"/>
    <w:rsid w:val="00D94DCF"/>
    <w:rsid w:val="00D94EAE"/>
    <w:rsid w:val="00DA3384"/>
    <w:rsid w:val="00DA586F"/>
    <w:rsid w:val="00DB08DA"/>
    <w:rsid w:val="00DB1FD5"/>
    <w:rsid w:val="00DB7F09"/>
    <w:rsid w:val="00DC00E8"/>
    <w:rsid w:val="00DC0B1B"/>
    <w:rsid w:val="00DC1C56"/>
    <w:rsid w:val="00DC23EC"/>
    <w:rsid w:val="00DC4756"/>
    <w:rsid w:val="00DC6379"/>
    <w:rsid w:val="00DD0E84"/>
    <w:rsid w:val="00DE3C77"/>
    <w:rsid w:val="00DE6B3F"/>
    <w:rsid w:val="00DF1BCC"/>
    <w:rsid w:val="00DF6F61"/>
    <w:rsid w:val="00E101C6"/>
    <w:rsid w:val="00E20003"/>
    <w:rsid w:val="00E22D51"/>
    <w:rsid w:val="00E4342C"/>
    <w:rsid w:val="00E50E7C"/>
    <w:rsid w:val="00E51545"/>
    <w:rsid w:val="00E51D23"/>
    <w:rsid w:val="00E51D9E"/>
    <w:rsid w:val="00E537D1"/>
    <w:rsid w:val="00E567E6"/>
    <w:rsid w:val="00E56971"/>
    <w:rsid w:val="00E606C6"/>
    <w:rsid w:val="00E61484"/>
    <w:rsid w:val="00E711D7"/>
    <w:rsid w:val="00E815E1"/>
    <w:rsid w:val="00E83C7E"/>
    <w:rsid w:val="00E902B0"/>
    <w:rsid w:val="00E902E8"/>
    <w:rsid w:val="00EA02D7"/>
    <w:rsid w:val="00EA23AC"/>
    <w:rsid w:val="00EA7C3D"/>
    <w:rsid w:val="00EB0237"/>
    <w:rsid w:val="00EB3B41"/>
    <w:rsid w:val="00EB56EC"/>
    <w:rsid w:val="00EB6878"/>
    <w:rsid w:val="00EC1E0E"/>
    <w:rsid w:val="00EC236D"/>
    <w:rsid w:val="00EC6058"/>
    <w:rsid w:val="00EC6B16"/>
    <w:rsid w:val="00EC6E82"/>
    <w:rsid w:val="00ED1ADF"/>
    <w:rsid w:val="00ED3B2C"/>
    <w:rsid w:val="00ED63A6"/>
    <w:rsid w:val="00EE09D7"/>
    <w:rsid w:val="00EE0C7C"/>
    <w:rsid w:val="00EE1447"/>
    <w:rsid w:val="00EE1F83"/>
    <w:rsid w:val="00EF145E"/>
    <w:rsid w:val="00EF2BBB"/>
    <w:rsid w:val="00F0082D"/>
    <w:rsid w:val="00F015AB"/>
    <w:rsid w:val="00F020B9"/>
    <w:rsid w:val="00F044B3"/>
    <w:rsid w:val="00F07C90"/>
    <w:rsid w:val="00F131A4"/>
    <w:rsid w:val="00F20200"/>
    <w:rsid w:val="00F20D4A"/>
    <w:rsid w:val="00F41BD4"/>
    <w:rsid w:val="00F477BC"/>
    <w:rsid w:val="00F47F73"/>
    <w:rsid w:val="00F549C7"/>
    <w:rsid w:val="00F54C94"/>
    <w:rsid w:val="00F57784"/>
    <w:rsid w:val="00F57BED"/>
    <w:rsid w:val="00F60B75"/>
    <w:rsid w:val="00F624EB"/>
    <w:rsid w:val="00F752D9"/>
    <w:rsid w:val="00F7613A"/>
    <w:rsid w:val="00F82202"/>
    <w:rsid w:val="00F82746"/>
    <w:rsid w:val="00F829F3"/>
    <w:rsid w:val="00F836F9"/>
    <w:rsid w:val="00F83DD0"/>
    <w:rsid w:val="00F845D7"/>
    <w:rsid w:val="00F90D20"/>
    <w:rsid w:val="00F92279"/>
    <w:rsid w:val="00F9476F"/>
    <w:rsid w:val="00FB1BD4"/>
    <w:rsid w:val="00FB4D21"/>
    <w:rsid w:val="00FB762B"/>
    <w:rsid w:val="00FC52DD"/>
    <w:rsid w:val="00FC6ADA"/>
    <w:rsid w:val="00FD01AB"/>
    <w:rsid w:val="00FE1403"/>
    <w:rsid w:val="00FE2E8B"/>
    <w:rsid w:val="00FF5E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2759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aliases w:val="Heading 1 Cab"/>
    <w:basedOn w:val="HeadingBase"/>
    <w:next w:val="Normal"/>
    <w:link w:val="Heading1Char"/>
    <w:uiPriority w:val="4"/>
    <w:qFormat/>
    <w:rsid w:val="00475085"/>
    <w:pPr>
      <w:spacing w:before="480"/>
      <w:outlineLvl w:val="0"/>
    </w:pPr>
    <w:rPr>
      <w:bCs w:val="0"/>
    </w:rPr>
  </w:style>
  <w:style w:type="paragraph" w:styleId="Heading2">
    <w:name w:val="heading 2"/>
    <w:basedOn w:val="HeadingBase"/>
    <w:next w:val="Normal"/>
    <w:link w:val="Heading2Char"/>
    <w:uiPriority w:val="9"/>
    <w:qFormat/>
    <w:rsid w:val="000E0B74"/>
    <w:pPr>
      <w:spacing w:before="360"/>
      <w:outlineLvl w:val="1"/>
    </w:pPr>
    <w:rPr>
      <w:bCs w:val="0"/>
      <w:iCs/>
      <w:sz w:val="36"/>
      <w:szCs w:val="28"/>
    </w:rPr>
  </w:style>
  <w:style w:type="paragraph" w:styleId="Heading3">
    <w:name w:val="heading 3"/>
    <w:basedOn w:val="HeadingBase"/>
    <w:next w:val="Normal"/>
    <w:link w:val="Heading3Char"/>
    <w:uiPriority w:val="9"/>
    <w:qFormat/>
    <w:rsid w:val="003E4D87"/>
    <w:pPr>
      <w:spacing w:before="240"/>
      <w:outlineLvl w:val="2"/>
    </w:pPr>
    <w:rPr>
      <w:bCs w:val="0"/>
      <w:color w:val="7F7F7F"/>
      <w:sz w:val="28"/>
      <w:szCs w:val="26"/>
    </w:rPr>
  </w:style>
  <w:style w:type="paragraph" w:styleId="Heading4">
    <w:name w:val="heading 4"/>
    <w:basedOn w:val="HeadingBase"/>
    <w:next w:val="Normal"/>
    <w:link w:val="Heading4Char"/>
    <w:uiPriority w:val="9"/>
    <w:qFormat/>
    <w:rsid w:val="000E0B74"/>
    <w:pPr>
      <w:outlineLvl w:val="3"/>
    </w:pPr>
    <w:rPr>
      <w:bCs w:val="0"/>
      <w:color w:val="336E98"/>
      <w:sz w:val="26"/>
      <w:szCs w:val="26"/>
    </w:rPr>
  </w:style>
  <w:style w:type="paragraph" w:styleId="Heading5">
    <w:name w:val="heading 5"/>
    <w:basedOn w:val="HeadingBase"/>
    <w:next w:val="Normal"/>
    <w:link w:val="Heading5Char"/>
    <w:uiPriority w:val="9"/>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ab Char"/>
    <w:basedOn w:val="DefaultParagraphFont"/>
    <w:link w:val="Heading1"/>
    <w:uiPriority w:val="9"/>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uiPriority w:val="9"/>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uiPriority w:val="9"/>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uiPriority w:val="9"/>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uiPriority w:val="9"/>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1,b + line,Body,level 1,Bullet + line"/>
    <w:basedOn w:val="Normal"/>
    <w:link w:val="BulletChar"/>
    <w:qFormat/>
    <w:rsid w:val="000E0B74"/>
    <w:pPr>
      <w:numPr>
        <w:numId w:val="1"/>
      </w:numPr>
      <w:spacing w:before="0"/>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qFormat/>
    <w:rsid w:val="000E0B74"/>
    <w:pPr>
      <w:numPr>
        <w:ilvl w:val="1"/>
        <w:numId w:val="1"/>
      </w:numPr>
      <w:spacing w:before="0"/>
      <w:ind w:left="568"/>
    </w:pPr>
  </w:style>
  <w:style w:type="paragraph" w:customStyle="1" w:styleId="DoubleDot">
    <w:name w:val="Double Dot"/>
    <w:basedOn w:val="Normal"/>
    <w:link w:val="DoubleDotChar"/>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EE1447"/>
    <w:pPr>
      <w:keepNext/>
      <w:tabs>
        <w:tab w:val="clear" w:pos="4513"/>
        <w:tab w:val="clear" w:pos="9026"/>
      </w:tabs>
      <w:jc w:val="left"/>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1F1B27"/>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25652F"/>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25652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24294C"/>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24294C"/>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iPriority w:val="99"/>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uiPriority w:val="99"/>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475085"/>
    <w:pPr>
      <w:keepNext/>
      <w:spacing w:after="120" w:line="240" w:lineRule="auto"/>
    </w:pPr>
    <w:rPr>
      <w:rFonts w:ascii="Calibri" w:eastAsia="Times New Roman" w:hAnsi="Calibri" w:cs="Arial"/>
      <w:bCs/>
      <w:color w:val="004A7F"/>
      <w:kern w:val="32"/>
      <w:sz w:val="48"/>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A12F62"/>
    <w:pPr>
      <w:jc w:val="left"/>
    </w:pPr>
  </w:style>
  <w:style w:type="paragraph" w:customStyle="1" w:styleId="HeaderOdd">
    <w:name w:val="Header Odd"/>
    <w:basedOn w:val="Header"/>
    <w:qFormat/>
    <w:rsid w:val="00A12F62"/>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ulletChar">
    <w:name w:val="Bullet Char"/>
    <w:aliases w:val="b Char,b1 Char,b + line Char,Body Char,level 1 Char,Bullet + line Char,b + line Char Char,b Char Char"/>
    <w:basedOn w:val="DefaultParagraphFont"/>
    <w:link w:val="Bullet"/>
    <w:rsid w:val="00B134A9"/>
    <w:rPr>
      <w:rFonts w:ascii="Calibri" w:eastAsia="Times New Roman" w:hAnsi="Calibri" w:cs="Times New Roman"/>
      <w:szCs w:val="20"/>
      <w:lang w:eastAsia="en-AU"/>
    </w:rPr>
  </w:style>
  <w:style w:type="character" w:customStyle="1" w:styleId="DashChar">
    <w:name w:val="Dash Char"/>
    <w:basedOn w:val="DefaultParagraphFont"/>
    <w:link w:val="Dash"/>
    <w:rsid w:val="00B134A9"/>
    <w:rPr>
      <w:rFonts w:ascii="Calibri" w:eastAsia="Times New Roman" w:hAnsi="Calibri" w:cs="Times New Roman"/>
      <w:szCs w:val="20"/>
      <w:lang w:eastAsia="en-AU"/>
    </w:rPr>
  </w:style>
  <w:style w:type="character" w:customStyle="1" w:styleId="DoubleDotChar">
    <w:name w:val="Double Dot Char"/>
    <w:basedOn w:val="DefaultParagraphFont"/>
    <w:link w:val="DoubleDot"/>
    <w:rsid w:val="00B134A9"/>
    <w:rPr>
      <w:rFonts w:ascii="Calibri" w:eastAsia="Times New Roman" w:hAnsi="Calibri" w:cs="Times New Roman"/>
      <w:szCs w:val="20"/>
      <w:lang w:eastAsia="en-AU"/>
    </w:rPr>
  </w:style>
  <w:style w:type="character" w:styleId="CommentReference">
    <w:name w:val="annotation reference"/>
    <w:basedOn w:val="DefaultParagraphFont"/>
    <w:semiHidden/>
    <w:unhideWhenUsed/>
    <w:rsid w:val="00B134A9"/>
    <w:rPr>
      <w:sz w:val="16"/>
      <w:szCs w:val="16"/>
    </w:rPr>
  </w:style>
  <w:style w:type="paragraph" w:styleId="CommentText">
    <w:name w:val="annotation text"/>
    <w:basedOn w:val="Normal"/>
    <w:link w:val="CommentTextChar"/>
    <w:semiHidden/>
    <w:unhideWhenUsed/>
    <w:rsid w:val="00B134A9"/>
    <w:pPr>
      <w:spacing w:before="0" w:after="20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semiHidden/>
    <w:rsid w:val="00B134A9"/>
    <w:rPr>
      <w:sz w:val="20"/>
      <w:szCs w:val="20"/>
    </w:rPr>
  </w:style>
  <w:style w:type="paragraph" w:styleId="CommentSubject">
    <w:name w:val="annotation subject"/>
    <w:basedOn w:val="CommentText"/>
    <w:next w:val="CommentText"/>
    <w:link w:val="CommentSubjectChar"/>
    <w:uiPriority w:val="99"/>
    <w:semiHidden/>
    <w:unhideWhenUsed/>
    <w:rsid w:val="00B134A9"/>
    <w:rPr>
      <w:b/>
      <w:bCs/>
    </w:rPr>
  </w:style>
  <w:style w:type="character" w:customStyle="1" w:styleId="CommentSubjectChar">
    <w:name w:val="Comment Subject Char"/>
    <w:basedOn w:val="CommentTextChar"/>
    <w:link w:val="CommentSubject"/>
    <w:uiPriority w:val="99"/>
    <w:semiHidden/>
    <w:rsid w:val="00B134A9"/>
    <w:rPr>
      <w:b/>
      <w:bCs/>
      <w:sz w:val="20"/>
      <w:szCs w:val="20"/>
    </w:rPr>
  </w:style>
  <w:style w:type="paragraph" w:customStyle="1" w:styleId="Footnote">
    <w:name w:val="Footnote"/>
    <w:basedOn w:val="Normal"/>
    <w:rsid w:val="00B134A9"/>
    <w:pPr>
      <w:tabs>
        <w:tab w:val="left" w:pos="284"/>
        <w:tab w:val="num" w:pos="567"/>
      </w:tabs>
      <w:spacing w:before="0" w:after="0"/>
      <w:ind w:left="567" w:hanging="284"/>
    </w:pPr>
    <w:rPr>
      <w:rFonts w:ascii="Arial Narrow" w:hAnsi="Arial Narrow"/>
      <w:color w:val="000000"/>
      <w:sz w:val="16"/>
      <w:szCs w:val="16"/>
    </w:rPr>
  </w:style>
  <w:style w:type="paragraph" w:customStyle="1" w:styleId="TableHeader-LChar">
    <w:name w:val="TableHeader-L Char"/>
    <w:basedOn w:val="Normal"/>
    <w:link w:val="TableHeader-LCharChar"/>
    <w:rsid w:val="00B134A9"/>
    <w:pPr>
      <w:autoSpaceDE w:val="0"/>
      <w:autoSpaceDN w:val="0"/>
      <w:adjustRightInd w:val="0"/>
      <w:spacing w:before="0" w:after="0"/>
    </w:pPr>
    <w:rPr>
      <w:rFonts w:ascii="Times New Roman" w:hAnsi="Times New Roman"/>
      <w:b/>
      <w:color w:val="000000"/>
      <w:sz w:val="20"/>
      <w:szCs w:val="26"/>
    </w:rPr>
  </w:style>
  <w:style w:type="character" w:customStyle="1" w:styleId="TableHeader-LCharChar">
    <w:name w:val="TableHeader-L Char Char"/>
    <w:basedOn w:val="DefaultParagraphFont"/>
    <w:link w:val="TableHeader-LChar"/>
    <w:rsid w:val="00B134A9"/>
    <w:rPr>
      <w:rFonts w:ascii="Times New Roman" w:eastAsia="Times New Roman" w:hAnsi="Times New Roman" w:cs="Times New Roman"/>
      <w:b/>
      <w:color w:val="000000"/>
      <w:sz w:val="20"/>
      <w:szCs w:val="26"/>
      <w:lang w:eastAsia="en-AU"/>
    </w:rPr>
  </w:style>
  <w:style w:type="paragraph" w:customStyle="1" w:styleId="TableBody-L">
    <w:name w:val="TableBody-L"/>
    <w:basedOn w:val="Normal"/>
    <w:rsid w:val="00B134A9"/>
    <w:pPr>
      <w:autoSpaceDE w:val="0"/>
      <w:autoSpaceDN w:val="0"/>
      <w:adjustRightInd w:val="0"/>
      <w:spacing w:before="0" w:after="0"/>
    </w:pPr>
    <w:rPr>
      <w:rFonts w:ascii="Times New Roman" w:hAnsi="Times New Roman"/>
      <w:color w:val="000000"/>
      <w:sz w:val="20"/>
      <w:szCs w:val="26"/>
    </w:rPr>
  </w:style>
  <w:style w:type="paragraph" w:customStyle="1" w:styleId="Financialtable">
    <w:name w:val="Financial table"/>
    <w:basedOn w:val="Normal"/>
    <w:link w:val="FinancialtableChar"/>
    <w:uiPriority w:val="1"/>
    <w:qFormat/>
    <w:rsid w:val="00B134A9"/>
    <w:pPr>
      <w:tabs>
        <w:tab w:val="left" w:pos="284"/>
      </w:tabs>
      <w:spacing w:before="40" w:after="40"/>
      <w:jc w:val="right"/>
    </w:pPr>
    <w:rPr>
      <w:rFonts w:eastAsia="Calibri"/>
      <w:sz w:val="18"/>
      <w:szCs w:val="18"/>
      <w:lang w:eastAsia="en-US"/>
    </w:rPr>
  </w:style>
  <w:style w:type="character" w:customStyle="1" w:styleId="FinancialtableChar">
    <w:name w:val="Financial table Char"/>
    <w:basedOn w:val="DefaultParagraphFont"/>
    <w:link w:val="Financialtable"/>
    <w:uiPriority w:val="1"/>
    <w:rsid w:val="00B134A9"/>
    <w:rPr>
      <w:rFonts w:ascii="Calibri" w:eastAsia="Calibri" w:hAnsi="Calibri" w:cs="Times New Roman"/>
      <w:sz w:val="18"/>
      <w:szCs w:val="18"/>
    </w:rPr>
  </w:style>
  <w:style w:type="paragraph" w:customStyle="1" w:styleId="CAB-NumberedParagraph">
    <w:name w:val="CAB - Numbered Paragraph"/>
    <w:basedOn w:val="Normal"/>
    <w:uiPriority w:val="98"/>
    <w:rsid w:val="00B134A9"/>
    <w:pPr>
      <w:tabs>
        <w:tab w:val="num" w:pos="340"/>
      </w:tabs>
      <w:spacing w:before="0" w:after="200" w:line="276" w:lineRule="auto"/>
      <w:ind w:left="340"/>
    </w:pPr>
    <w:rPr>
      <w:rFonts w:ascii="Arial" w:eastAsiaTheme="minorHAnsi" w:hAnsi="Arial" w:cstheme="minorBidi"/>
      <w:szCs w:val="22"/>
      <w:lang w:eastAsia="en-US"/>
    </w:rPr>
  </w:style>
  <w:style w:type="paragraph" w:styleId="Revision">
    <w:name w:val="Revision"/>
    <w:hidden/>
    <w:uiPriority w:val="99"/>
    <w:semiHidden/>
    <w:rsid w:val="00B134A9"/>
    <w:pPr>
      <w:spacing w:after="0" w:line="240" w:lineRule="auto"/>
    </w:pPr>
  </w:style>
  <w:style w:type="paragraph" w:styleId="NormalWeb">
    <w:name w:val="Normal (Web)"/>
    <w:basedOn w:val="Normal"/>
    <w:uiPriority w:val="99"/>
    <w:semiHidden/>
    <w:unhideWhenUsed/>
    <w:rsid w:val="00B134A9"/>
    <w:pPr>
      <w:spacing w:before="100" w:beforeAutospacing="1" w:after="100" w:afterAutospacing="1"/>
    </w:pPr>
    <w:rPr>
      <w:rFonts w:ascii="Times New Roman" w:hAnsi="Times New Roman"/>
      <w:sz w:val="24"/>
      <w:szCs w:val="24"/>
    </w:rPr>
  </w:style>
  <w:style w:type="paragraph" w:styleId="TOCHeading">
    <w:name w:val="TOC Heading"/>
    <w:basedOn w:val="Heading1"/>
    <w:next w:val="Normal"/>
    <w:uiPriority w:val="39"/>
    <w:unhideWhenUsed/>
    <w:qFormat/>
    <w:rsid w:val="00B134A9"/>
    <w:pPr>
      <w:keepLines/>
      <w:spacing w:after="0" w:line="276" w:lineRule="auto"/>
      <w:outlineLvl w:val="9"/>
    </w:pPr>
    <w:rPr>
      <w:rFonts w:asciiTheme="majorHAnsi" w:eastAsiaTheme="majorEastAsia" w:hAnsiTheme="majorHAnsi" w:cstheme="majorBidi"/>
      <w:b/>
      <w:bCs/>
      <w:color w:val="2E74B5" w:themeColor="accent1" w:themeShade="BF"/>
      <w:kern w:val="0"/>
      <w:sz w:val="28"/>
      <w:szCs w:val="28"/>
      <w:lang w:val="en-US" w:eastAsia="ja-JP"/>
    </w:rPr>
  </w:style>
  <w:style w:type="table" w:styleId="MediumGrid3-Accent3">
    <w:name w:val="Medium Grid 3 Accent 3"/>
    <w:basedOn w:val="TableNormal"/>
    <w:uiPriority w:val="69"/>
    <w:rsid w:val="00B134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paragraph" w:styleId="ListParagraph">
    <w:name w:val="List Paragraph"/>
    <w:basedOn w:val="Normal"/>
    <w:uiPriority w:val="34"/>
    <w:qFormat/>
    <w:rsid w:val="005E7CDF"/>
    <w:pPr>
      <w:ind w:left="720"/>
      <w:contextualSpacing/>
    </w:pPr>
  </w:style>
  <w:style w:type="paragraph" w:customStyle="1" w:styleId="AgencyNamewith2ptsspacing">
    <w:name w:val="AgencyName with 2 pts spacing"/>
    <w:basedOn w:val="AgencyName"/>
    <w:rsid w:val="001F5714"/>
    <w:pPr>
      <w:spacing w:before="40" w:after="40"/>
    </w:pPr>
  </w:style>
  <w:style w:type="paragraph" w:customStyle="1" w:styleId="AgencyName">
    <w:name w:val="AgencyName"/>
    <w:basedOn w:val="Normal"/>
    <w:rsid w:val="001F5714"/>
    <w:pPr>
      <w:keepLines/>
      <w:spacing w:before="20" w:after="20"/>
      <w:ind w:right="113"/>
    </w:pPr>
    <w:rPr>
      <w:rFonts w:ascii="Arial" w:hAnsi="Arial" w:cs="Arial"/>
      <w:i/>
      <w:sz w:val="16"/>
      <w:szCs w:val="16"/>
    </w:rPr>
  </w:style>
  <w:style w:type="paragraph" w:customStyle="1" w:styleId="MeasureTableYearHeadings">
    <w:name w:val="Measure Table Year Headings"/>
    <w:basedOn w:val="Normal"/>
    <w:rsid w:val="001F5714"/>
    <w:pPr>
      <w:keepLines/>
      <w:spacing w:before="40" w:after="40"/>
      <w:jc w:val="right"/>
    </w:pPr>
    <w:rPr>
      <w:rFonts w:ascii="Arial" w:hAnsi="Arial"/>
      <w:sz w:val="16"/>
    </w:rPr>
  </w:style>
  <w:style w:type="paragraph" w:customStyle="1" w:styleId="MeasureTableHeadingleftalignedwith2ptsspacing">
    <w:name w:val="Measure Table Heading left aligned with 2 pts spacing"/>
    <w:basedOn w:val="MeasureTableYearHeadings"/>
    <w:rsid w:val="001F5714"/>
    <w:pPr>
      <w:jc w:val="left"/>
    </w:pPr>
  </w:style>
  <w:style w:type="paragraph" w:customStyle="1" w:styleId="MeasureTableDataRightAlignedwith2ptsspacing">
    <w:name w:val="MeasureTableDataRightAligned with 2 pts spacing"/>
    <w:basedOn w:val="MeasureTableYearHeadings"/>
    <w:rsid w:val="001F5714"/>
  </w:style>
  <w:style w:type="paragraph" w:customStyle="1" w:styleId="Measuretabledatarightaligneditalics">
    <w:name w:val="Measure table data right aligned italics"/>
    <w:basedOn w:val="Normal"/>
    <w:rsid w:val="001F5714"/>
    <w:pPr>
      <w:keepLines/>
      <w:spacing w:before="40" w:after="40"/>
      <w:jc w:val="right"/>
    </w:pPr>
    <w:rPr>
      <w:rFonts w:ascii="Arial" w:hAnsi="Arial"/>
      <w:i/>
      <w:sz w:val="16"/>
    </w:rPr>
  </w:style>
  <w:style w:type="paragraph" w:customStyle="1" w:styleId="Totalrowleftaligned">
    <w:name w:val="Total row left aligned"/>
    <w:basedOn w:val="MeasureTableHeadingleftalignedwith2ptsspacing"/>
    <w:rsid w:val="001F5714"/>
  </w:style>
  <w:style w:type="paragraph" w:customStyle="1" w:styleId="Totalrowitalicsrightaligned">
    <w:name w:val="Total row italics right aligned"/>
    <w:basedOn w:val="Measuretabledatarightaligneditalics"/>
    <w:rsid w:val="001F5714"/>
  </w:style>
  <w:style w:type="paragraph" w:customStyle="1" w:styleId="Totalrowitalicsleftaligned">
    <w:name w:val="Total row italics left aligned"/>
    <w:basedOn w:val="AgencyNamewith2ptsspacing"/>
    <w:rsid w:val="001F5714"/>
  </w:style>
  <w:style w:type="paragraph" w:customStyle="1" w:styleId="Totaldatarowrightaligned">
    <w:name w:val="Total data row right aligned"/>
    <w:basedOn w:val="MeasureTableDataRightAlignedwith2ptsspacing"/>
    <w:rsid w:val="001F5714"/>
  </w:style>
  <w:style w:type="paragraph" w:customStyle="1" w:styleId="Default">
    <w:name w:val="Default"/>
    <w:rsid w:val="00DC0B1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image" Target="media/image6.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creativecommons.org/licenses/by/3.0/au/legalcode" TargetMode="External"/><Relationship Id="rId25" Type="http://schemas.openxmlformats.org/officeDocument/2006/relationships/footer" Target="footer4.xml"/><Relationship Id="rId33" Type="http://schemas.openxmlformats.org/officeDocument/2006/relationships/image" Target="media/image5.jpe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yperlink" Target="http://www.itsanhonour.gov.au"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image" Target="media/image4.jpe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hyperlink" Target="mailto:data@treasury.gov.au" TargetMode="External"/><Relationship Id="rId36"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yperlink" Target="http://creativecommons.org/licenses/by/3.0/au/deed.en" TargetMode="External"/><Relationship Id="rId31" Type="http://schemas.openxmlformats.org/officeDocument/2006/relationships/hyperlink" Target="http://www.kwm.com/en/au/knowledge/news/fintech-expert-advisory-group-drive-growth-australia-scott-farrell-20160225"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mailto:medialiaison@treasury.gov.au" TargetMode="External"/><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hyperlink" Target="mailto:data@treasury.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Value>
    </TaxCatchAll>
    <TaxKeywordTaxHTField xmlns="0f563589-9cf9-4143-b1eb-fb0534803d38">
      <Terms xmlns="http://schemas.microsoft.com/office/infopath/2007/PartnerControls"/>
    </TaxKeywordTaxHTField>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2019MG-133-40080</_dlc_DocId>
    <_dlc_DocIdUrl xmlns="0f563589-9cf9-4143-b1eb-fb0534803d38">
      <Url>http://tweb/sites/mg/sbccpd/_layouts/15/DocIdRedir.aspx?ID=2019MG-133-40080</Url>
      <Description>2019MG-133-40080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22558" ma:contentTypeDescription="" ma:contentTypeScope="" ma:versionID="9324b65ba7a3f941f557c9171ecf4b0b">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16f59817d12c356334f63fdd4cbf933c"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3BB7D-BD72-4CC7-8A69-370EB8949A8D}">
  <ds:schemaRefs>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0f563589-9cf9-4143-b1eb-fb0534803d38"/>
    <ds:schemaRef ds:uri="http://schemas.microsoft.com/sharepoint/v4"/>
    <ds:schemaRef ds:uri="d4dd4adf-ddb3-46a3-8d7c-fab3fb2a6bc7"/>
    <ds:schemaRef ds:uri="http://purl.org/dc/dcmitype/"/>
  </ds:schemaRefs>
</ds:datastoreItem>
</file>

<file path=customXml/itemProps2.xml><?xml version="1.0" encoding="utf-8"?>
<ds:datastoreItem xmlns:ds="http://schemas.openxmlformats.org/officeDocument/2006/customXml" ds:itemID="{08584312-9CB3-4698-BF80-EEEE43B55E88}">
  <ds:schemaRefs>
    <ds:schemaRef ds:uri="http://schemas.microsoft.com/sharepoint/v3/contenttype/forms"/>
  </ds:schemaRefs>
</ds:datastoreItem>
</file>

<file path=customXml/itemProps3.xml><?xml version="1.0" encoding="utf-8"?>
<ds:datastoreItem xmlns:ds="http://schemas.openxmlformats.org/officeDocument/2006/customXml" ds:itemID="{80225EDD-A6EA-47EA-B4FD-BEB83C9B1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F5A36A-D150-4444-9836-28DDD143E2AA}">
  <ds:schemaRefs>
    <ds:schemaRef ds:uri="office.server.policy"/>
  </ds:schemaRefs>
</ds:datastoreItem>
</file>

<file path=customXml/itemProps5.xml><?xml version="1.0" encoding="utf-8"?>
<ds:datastoreItem xmlns:ds="http://schemas.openxmlformats.org/officeDocument/2006/customXml" ds:itemID="{2D956625-77B9-457D-AD42-4197FDDB6EF4}">
  <ds:schemaRefs>
    <ds:schemaRef ds:uri="http://schemas.microsoft.com/sharepoint/events"/>
  </ds:schemaRefs>
</ds:datastoreItem>
</file>

<file path=customXml/itemProps6.xml><?xml version="1.0" encoding="utf-8"?>
<ds:datastoreItem xmlns:ds="http://schemas.openxmlformats.org/officeDocument/2006/customXml" ds:itemID="{1B70B4EA-3C26-4404-82F8-DD21D8430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5876</Words>
  <Characters>33496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2019-09-04T00:25:00Z</dcterms:created>
  <dcterms:modified xsi:type="dcterms:W3CDTF">2019-09-04T01:26:00Z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0x010100E95D40E5DFEA714B90E88DB5CE07A6B500DDAFF7E1A29DE64F981B4EA50562BA75</vt:lpwstr>
  </property>
  <property fmtid="{D5CDD505-2E9C-101B-9397-08002B2CF9AE}" pid="3" name="TaxKeyword">
    <vt:lpwstr/>
  </property>
  <property fmtid="{D5CDD505-2E9C-101B-9397-08002B2CF9AE}" pid="4" name="RecordPoint_ActiveItemUniqueId">
    <vt:lpwstr>{e9be53b3-890d-493a-a6f7-9126288a686b}</vt:lpwstr>
  </property>
  <property fmtid="{D5CDD505-2E9C-101B-9397-08002B2CF9AE}" pid="5" name="TSYRecordClass">
    <vt:lpwstr>2;#TSY RA-9081 - Retain as national archives|bbf0bcde-1687-4ff2-bc57-f31b5d545d4b</vt:lpwstr>
  </property>
  <property fmtid="{D5CDD505-2E9C-101B-9397-08002B2CF9AE}" pid="6" name="RecordPoint_WorkflowType">
    <vt:lpwstr>ActiveSubmitStub</vt:lpwstr>
  </property>
  <property fmtid="{D5CDD505-2E9C-101B-9397-08002B2CF9AE}" pid="7" name="_dlc_DocIdItemGuid">
    <vt:lpwstr>e9be53b3-890d-493a-a6f7-9126288a686b</vt:lpwstr>
  </property>
  <property fmtid="{D5CDD505-2E9C-101B-9397-08002B2CF9AE}" pid="8" name="RecordPoint_ActiveItemSiteId">
    <vt:lpwstr>{08cedf7d-7ad2-4b81-a81f-47e3ec332c41}</vt:lpwstr>
  </property>
  <property fmtid="{D5CDD505-2E9C-101B-9397-08002B2CF9AE}" pid="9" name="RecordPoint_ActiveItemListId">
    <vt:lpwstr>{020b99f8-d659-456c-88bf-b1c791ab809a}</vt:lpwstr>
  </property>
  <property fmtid="{D5CDD505-2E9C-101B-9397-08002B2CF9AE}" pid="10" name="RecordPoint_ActiveItemWebId">
    <vt:lpwstr>{682871c2-4073-4158-957a-6d924b9ba0a6}</vt:lpwstr>
  </property>
  <property fmtid="{D5CDD505-2E9C-101B-9397-08002B2CF9AE}" pid="11" name="RecordPoint_RecordNumberSubmitted">
    <vt:lpwstr/>
  </property>
  <property fmtid="{D5CDD505-2E9C-101B-9397-08002B2CF9AE}" pid="12" name="RecordPoint_SubmissionCompleted">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