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4.xml" ContentType="application/vnd.openxmlformats-officedocument.drawingml.chartshapes+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drawings/drawing5.xml" ContentType="application/vnd.openxmlformats-officedocument.drawingml.chartshapes+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47B94" w14:textId="77777777" w:rsidR="00F012EA" w:rsidRPr="00DD5DF9" w:rsidRDefault="006F7544" w:rsidP="0077408A">
      <w:pPr>
        <w:pStyle w:val="Title"/>
      </w:pPr>
      <w:r>
        <w:t>Productivity</w:t>
      </w:r>
      <w:r w:rsidR="00511488">
        <w:t xml:space="preserve">-Enhancing Labour </w:t>
      </w:r>
      <w:r w:rsidR="00C41BBB">
        <w:t xml:space="preserve">Reallocation </w:t>
      </w:r>
      <w:r>
        <w:t>in Australia</w:t>
      </w:r>
    </w:p>
    <w:p w14:paraId="2E75ADB1" w14:textId="77777777" w:rsidR="00F012EA" w:rsidRDefault="006F7544" w:rsidP="00F012EA">
      <w:pPr>
        <w:pStyle w:val="AuthorName"/>
        <w:rPr>
          <w:szCs w:val="24"/>
        </w:rPr>
      </w:pPr>
      <w:r>
        <w:rPr>
          <w:szCs w:val="24"/>
        </w:rPr>
        <w:t>Dan Andrews and David Hansell</w:t>
      </w:r>
      <w:r w:rsidR="00F012EA" w:rsidRPr="00F21A41">
        <w:rPr>
          <w:rStyle w:val="FootnoteReference"/>
          <w:szCs w:val="24"/>
        </w:rPr>
        <w:footnoteReference w:id="2"/>
      </w:r>
    </w:p>
    <w:p w14:paraId="7395195E" w14:textId="77777777" w:rsidR="00F012EA" w:rsidRPr="00F8009C" w:rsidRDefault="00F012EA" w:rsidP="00F012EA">
      <w:pPr>
        <w:pStyle w:val="Subtitle"/>
        <w:tabs>
          <w:tab w:val="left" w:pos="1985"/>
        </w:tabs>
        <w:rPr>
          <w:szCs w:val="40"/>
        </w:rPr>
      </w:pPr>
      <w:r>
        <w:rPr>
          <w:szCs w:val="40"/>
        </w:rPr>
        <w:lastRenderedPageBreak/>
        <w:t>Treasury Working Paper</w:t>
      </w:r>
      <w:r>
        <w:rPr>
          <w:rStyle w:val="FootnoteReference"/>
          <w:szCs w:val="40"/>
        </w:rPr>
        <w:footnoteReference w:id="3"/>
      </w:r>
    </w:p>
    <w:p w14:paraId="39FB2296" w14:textId="77777777" w:rsidR="00F012EA" w:rsidRPr="00F8009C" w:rsidRDefault="00F012EA" w:rsidP="00F012EA">
      <w:pPr>
        <w:pStyle w:val="Subtitle"/>
        <w:rPr>
          <w:szCs w:val="36"/>
        </w:rPr>
      </w:pPr>
      <w:r>
        <w:rPr>
          <w:szCs w:val="36"/>
        </w:rPr>
        <w:t>20</w:t>
      </w:r>
      <w:r w:rsidR="00FA12FD">
        <w:rPr>
          <w:szCs w:val="36"/>
        </w:rPr>
        <w:t>19</w:t>
      </w:r>
      <w:r>
        <w:rPr>
          <w:szCs w:val="36"/>
        </w:rPr>
        <w:noBreakHyphen/>
      </w:r>
      <w:r w:rsidR="002E3841">
        <w:rPr>
          <w:szCs w:val="36"/>
        </w:rPr>
        <w:t>06</w:t>
      </w:r>
    </w:p>
    <w:p w14:paraId="726A9CA5" w14:textId="77777777" w:rsidR="00F012EA" w:rsidRDefault="00F012EA" w:rsidP="00F012EA">
      <w:pPr>
        <w:pStyle w:val="SeriesNumber"/>
        <w:spacing w:before="120" w:after="120"/>
        <w:rPr>
          <w:sz w:val="24"/>
          <w:szCs w:val="24"/>
        </w:rPr>
      </w:pPr>
      <w:r w:rsidRPr="0018497C">
        <w:rPr>
          <w:sz w:val="24"/>
          <w:szCs w:val="24"/>
        </w:rPr>
        <w:t xml:space="preserve">Date created: </w:t>
      </w:r>
      <w:r w:rsidR="00733CC4">
        <w:rPr>
          <w:sz w:val="24"/>
          <w:szCs w:val="24"/>
        </w:rPr>
        <w:t>November 2019</w:t>
      </w:r>
    </w:p>
    <w:p w14:paraId="7F086311" w14:textId="77777777" w:rsidR="000464B6" w:rsidRDefault="000464B6" w:rsidP="00F012EA">
      <w:pPr>
        <w:pStyle w:val="AuthorName"/>
        <w:rPr>
          <w:szCs w:val="24"/>
        </w:rPr>
        <w:sectPr w:rsidR="000464B6" w:rsidSect="008C0793">
          <w:headerReference w:type="even" r:id="rId13"/>
          <w:footerReference w:type="even" r:id="rId14"/>
          <w:footerReference w:type="default" r:id="rId15"/>
          <w:headerReference w:type="first" r:id="rId16"/>
          <w:pgSz w:w="11906" w:h="16838" w:code="9"/>
          <w:pgMar w:top="1418" w:right="1304" w:bottom="1418" w:left="1304" w:header="567" w:footer="567" w:gutter="0"/>
          <w:cols w:space="708"/>
          <w:titlePg/>
          <w:docGrid w:linePitch="360"/>
        </w:sectPr>
      </w:pPr>
    </w:p>
    <w:p w14:paraId="7FCD9090" w14:textId="77777777" w:rsidR="000464B6" w:rsidRDefault="000464B6" w:rsidP="000464B6">
      <w:r w:rsidRPr="00661BF0">
        <w:lastRenderedPageBreak/>
        <w:t xml:space="preserve">© </w:t>
      </w:r>
      <w:r w:rsidRPr="007718AC">
        <w:t>Commonwealth of Australia 20</w:t>
      </w:r>
      <w:r w:rsidR="007718AC" w:rsidRPr="007718AC">
        <w:t>19</w:t>
      </w:r>
    </w:p>
    <w:p w14:paraId="0C2FDB3A"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7"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8"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22F9FDBD"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51BBF14C" wp14:editId="3224C940">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B8801F1"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0"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5BBF62ED" w14:textId="77777777" w:rsidR="000464B6" w:rsidRPr="002F1BC2" w:rsidRDefault="000464B6" w:rsidP="000464B6">
      <w:pPr>
        <w:rPr>
          <w:i/>
        </w:rPr>
      </w:pPr>
      <w:r w:rsidRPr="002F1BC2">
        <w:rPr>
          <w:i/>
        </w:rPr>
        <w:t>Treasury material used 'as supplied'</w:t>
      </w:r>
    </w:p>
    <w:p w14:paraId="5842F8FC"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C56C20D"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475F32C8" w14:textId="77777777" w:rsidR="000464B6" w:rsidRPr="006627B4" w:rsidRDefault="000464B6" w:rsidP="000464B6">
      <w:r w:rsidRPr="006627B4">
        <w:t>Derivative material</w:t>
      </w:r>
    </w:p>
    <w:p w14:paraId="2A2BF621"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738E10CC" w14:textId="77777777" w:rsidR="000464B6" w:rsidRPr="006627B4" w:rsidRDefault="000464B6" w:rsidP="000464B6">
      <w:pPr>
        <w:ind w:firstLine="720"/>
      </w:pPr>
      <w:r w:rsidRPr="002F1BC2">
        <w:rPr>
          <w:i/>
        </w:rPr>
        <w:t>Based on The Australian Government the Treasury data</w:t>
      </w:r>
    </w:p>
    <w:p w14:paraId="2C2766E2" w14:textId="77777777" w:rsidR="000464B6" w:rsidRPr="006627B4" w:rsidRDefault="000464B6" w:rsidP="000464B6">
      <w:pPr>
        <w:spacing w:after="40"/>
        <w:rPr>
          <w:b/>
        </w:rPr>
      </w:pPr>
      <w:r w:rsidRPr="006627B4">
        <w:rPr>
          <w:b/>
        </w:rPr>
        <w:t>Use of the Coat of Arms</w:t>
      </w:r>
    </w:p>
    <w:p w14:paraId="7EA2C0D8" w14:textId="77777777" w:rsidR="000464B6" w:rsidRPr="006627B4" w:rsidRDefault="00A40BA2" w:rsidP="000464B6">
      <w:r w:rsidRPr="00A40BA2">
        <w:t>The terms under which the Coat of Arms can be used are set out on the Departme</w:t>
      </w:r>
      <w:r>
        <w:t>nt of the Prime </w:t>
      </w:r>
      <w:r w:rsidRPr="00A40BA2">
        <w:t xml:space="preserve">Minister and Cabinet website (see </w:t>
      </w:r>
      <w:hyperlink r:id="rId21" w:history="1">
        <w:r w:rsidRPr="005A283B">
          <w:rPr>
            <w:rStyle w:val="Hyperlink"/>
          </w:rPr>
          <w:t>www.pmc.gov.au/government/commonwealth-coat-arms</w:t>
        </w:r>
      </w:hyperlink>
      <w:r w:rsidRPr="00A40BA2">
        <w:t>).</w:t>
      </w:r>
    </w:p>
    <w:p w14:paraId="44CD0904" w14:textId="77777777" w:rsidR="000464B6" w:rsidRPr="006627B4" w:rsidRDefault="00A57848" w:rsidP="000464B6">
      <w:pPr>
        <w:spacing w:after="40"/>
        <w:rPr>
          <w:b/>
        </w:rPr>
      </w:pPr>
      <w:r>
        <w:rPr>
          <w:b/>
        </w:rPr>
        <w:lastRenderedPageBreak/>
        <w:t>Other u</w:t>
      </w:r>
      <w:r w:rsidR="000464B6" w:rsidRPr="006627B4">
        <w:rPr>
          <w:b/>
        </w:rPr>
        <w:t>ses</w:t>
      </w:r>
    </w:p>
    <w:p w14:paraId="08DFC3AF" w14:textId="77777777" w:rsidR="000464B6" w:rsidRPr="006627B4" w:rsidRDefault="00A57848" w:rsidP="00A57848">
      <w:pPr>
        <w:spacing w:after="120"/>
      </w:pPr>
      <w:r>
        <w:t>E</w:t>
      </w:r>
      <w:r w:rsidR="000464B6" w:rsidRPr="006627B4">
        <w:t>nquiries regarding this licence and any other use of this document are welcome at:</w:t>
      </w:r>
    </w:p>
    <w:p w14:paraId="0B62D344" w14:textId="77777777" w:rsidR="000464B6" w:rsidRPr="006627B4" w:rsidRDefault="000464B6" w:rsidP="000464B6">
      <w:pPr>
        <w:spacing w:after="0"/>
        <w:ind w:left="720"/>
      </w:pPr>
      <w:r w:rsidRPr="006627B4">
        <w:t>Manager</w:t>
      </w:r>
    </w:p>
    <w:p w14:paraId="694F7E24" w14:textId="77777777" w:rsidR="000464B6" w:rsidRPr="006627B4" w:rsidRDefault="00A57848" w:rsidP="000464B6">
      <w:pPr>
        <w:spacing w:after="0"/>
        <w:ind w:left="720"/>
      </w:pPr>
      <w:r>
        <w:t>Media Unit</w:t>
      </w:r>
    </w:p>
    <w:p w14:paraId="29A70BE3" w14:textId="77777777" w:rsidR="000464B6" w:rsidRPr="006627B4" w:rsidRDefault="000464B6" w:rsidP="000464B6">
      <w:pPr>
        <w:spacing w:after="0"/>
        <w:ind w:left="720"/>
      </w:pPr>
      <w:r w:rsidRPr="006627B4">
        <w:t>The Treasury</w:t>
      </w:r>
    </w:p>
    <w:p w14:paraId="087FD105" w14:textId="77777777" w:rsidR="000464B6" w:rsidRPr="006627B4" w:rsidRDefault="000464B6" w:rsidP="000464B6">
      <w:pPr>
        <w:spacing w:after="0"/>
        <w:ind w:left="720"/>
      </w:pPr>
      <w:r w:rsidRPr="006627B4">
        <w:t xml:space="preserve">Langton Crescent </w:t>
      </w:r>
      <w:r w:rsidR="00A57848">
        <w:br/>
      </w:r>
      <w:r w:rsidRPr="006627B4">
        <w:t>Parkes ACT 2600</w:t>
      </w:r>
    </w:p>
    <w:p w14:paraId="2A826038" w14:textId="77777777" w:rsidR="000464B6" w:rsidRDefault="000464B6" w:rsidP="000464B6">
      <w:pPr>
        <w:spacing w:after="0"/>
        <w:ind w:left="720"/>
        <w:rPr>
          <w:rStyle w:val="Hyperlink"/>
        </w:rPr>
      </w:pPr>
      <w:r w:rsidRPr="006627B4">
        <w:t xml:space="preserve">Email: </w:t>
      </w:r>
      <w:hyperlink r:id="rId22" w:history="1">
        <w:r w:rsidRPr="00573329">
          <w:rPr>
            <w:rStyle w:val="Hyperlink"/>
          </w:rPr>
          <w:t>medialiaison@treasury.gov.au</w:t>
        </w:r>
      </w:hyperlink>
      <w:r w:rsidRPr="002F1BC2">
        <w:rPr>
          <w:rStyle w:val="Hyperlink"/>
        </w:rPr>
        <w:t xml:space="preserve"> </w:t>
      </w:r>
    </w:p>
    <w:p w14:paraId="66B20F0C" w14:textId="77777777" w:rsidR="000464B6" w:rsidRPr="000464B6" w:rsidRDefault="000464B6" w:rsidP="000464B6"/>
    <w:p w14:paraId="57F81CDE" w14:textId="77777777" w:rsidR="000464B6" w:rsidRDefault="000464B6" w:rsidP="000464B6">
      <w:pPr>
        <w:spacing w:after="0"/>
        <w:ind w:left="720"/>
        <w:rPr>
          <w:rStyle w:val="Hyperlink"/>
        </w:rPr>
        <w:sectPr w:rsidR="000464B6" w:rsidSect="008C0793">
          <w:headerReference w:type="first" r:id="rId23"/>
          <w:pgSz w:w="11906" w:h="16838" w:code="9"/>
          <w:pgMar w:top="1418" w:right="1304" w:bottom="1418" w:left="1304" w:header="567" w:footer="567" w:gutter="0"/>
          <w:cols w:space="708"/>
          <w:titlePg/>
          <w:docGrid w:linePitch="360"/>
        </w:sectPr>
      </w:pPr>
    </w:p>
    <w:p w14:paraId="647864DC" w14:textId="77777777" w:rsidR="00F012EA" w:rsidRDefault="006F7544" w:rsidP="00F012EA">
      <w:pPr>
        <w:pStyle w:val="SingleParagraph"/>
      </w:pPr>
      <w:r>
        <w:lastRenderedPageBreak/>
        <w:t>Productivity</w:t>
      </w:r>
      <w:r w:rsidR="00511488">
        <w:t xml:space="preserve">-Enhancing Labour </w:t>
      </w:r>
      <w:r>
        <w:t>Reallocation in Australia</w:t>
      </w:r>
    </w:p>
    <w:p w14:paraId="79C2418E" w14:textId="77777777" w:rsidR="00F012EA" w:rsidRDefault="006F7544" w:rsidP="00F012EA">
      <w:pPr>
        <w:pStyle w:val="SingleParagraph"/>
      </w:pPr>
      <w:r>
        <w:t>Dan Andrews and David Hansell</w:t>
      </w:r>
    </w:p>
    <w:p w14:paraId="2C59EB89" w14:textId="77777777" w:rsidR="00F012EA" w:rsidRDefault="005B594D" w:rsidP="00F012EA">
      <w:pPr>
        <w:pStyle w:val="SingleParagraph"/>
      </w:pPr>
      <w:r w:rsidRPr="002E3841">
        <w:t>2019</w:t>
      </w:r>
      <w:r w:rsidR="002E3841" w:rsidRPr="002E3841">
        <w:noBreakHyphen/>
        <w:t>06</w:t>
      </w:r>
    </w:p>
    <w:p w14:paraId="10AD9F7E" w14:textId="77777777" w:rsidR="005559A2" w:rsidRDefault="005559A2" w:rsidP="00F012EA">
      <w:pPr>
        <w:pStyle w:val="SingleParagraph"/>
      </w:pPr>
      <w:r>
        <w:t>November 2019</w:t>
      </w:r>
    </w:p>
    <w:p w14:paraId="6FCC6B81" w14:textId="77777777" w:rsidR="00F012EA" w:rsidRDefault="00F012EA" w:rsidP="00F012EA">
      <w:pPr>
        <w:pStyle w:val="Heading1"/>
      </w:pPr>
      <w:r>
        <w:t>Abstract</w:t>
      </w:r>
    </w:p>
    <w:p w14:paraId="10451FB0" w14:textId="77777777" w:rsidR="000D4DD6" w:rsidRDefault="000D4DD6" w:rsidP="003C4225">
      <w:pPr>
        <w:spacing w:after="0"/>
        <w:jc w:val="both"/>
        <w:rPr>
          <w:color w:val="auto"/>
        </w:rPr>
      </w:pPr>
      <w:r w:rsidRPr="000D4DD6">
        <w:rPr>
          <w:color w:val="auto"/>
        </w:rPr>
        <w:t xml:space="preserve">International evidence suggests that aggregate productivity growth is driven by the </w:t>
      </w:r>
      <w:r>
        <w:rPr>
          <w:color w:val="auto"/>
        </w:rPr>
        <w:t xml:space="preserve">within-industry </w:t>
      </w:r>
      <w:r w:rsidRPr="000D4DD6">
        <w:rPr>
          <w:color w:val="auto"/>
        </w:rPr>
        <w:t>reallocation of inputs away from less productive firms</w:t>
      </w:r>
      <w:r w:rsidR="00AC6388">
        <w:rPr>
          <w:color w:val="auto"/>
        </w:rPr>
        <w:t xml:space="preserve"> and</w:t>
      </w:r>
      <w:r w:rsidRPr="000D4DD6">
        <w:rPr>
          <w:color w:val="auto"/>
        </w:rPr>
        <w:t xml:space="preserve"> towards more productive firms, but little is known about this process in Australia. Accordingly, this paper exploits firm-level data to explore the nature of productivity-enhancing labour reallocation in Australia over the period 200</w:t>
      </w:r>
      <w:r w:rsidR="00710327">
        <w:rPr>
          <w:color w:val="auto"/>
        </w:rPr>
        <w:t>2</w:t>
      </w:r>
      <w:r w:rsidRPr="000D4DD6">
        <w:rPr>
          <w:color w:val="auto"/>
        </w:rPr>
        <w:t xml:space="preserve">-2016. We first show that </w:t>
      </w:r>
      <w:r w:rsidR="00AC6388" w:rsidRPr="000D4DD6">
        <w:rPr>
          <w:color w:val="auto"/>
        </w:rPr>
        <w:t xml:space="preserve">more productive firms on average account for </w:t>
      </w:r>
      <w:r w:rsidR="00710327">
        <w:rPr>
          <w:color w:val="auto"/>
        </w:rPr>
        <w:t xml:space="preserve">a </w:t>
      </w:r>
      <w:r w:rsidR="00AC6388" w:rsidRPr="000D4DD6">
        <w:rPr>
          <w:color w:val="auto"/>
        </w:rPr>
        <w:t>higher share of industry employment</w:t>
      </w:r>
      <w:r w:rsidRPr="000D4DD6">
        <w:rPr>
          <w:color w:val="auto"/>
        </w:rPr>
        <w:t>, particularly in sectors more exposed to competitive pressure via trade</w:t>
      </w:r>
      <w:r w:rsidR="00AC6388">
        <w:rPr>
          <w:color w:val="auto"/>
        </w:rPr>
        <w:t>, and that this contributes positively to the aggregate level of productivity in Australia</w:t>
      </w:r>
      <w:r w:rsidRPr="000D4DD6">
        <w:rPr>
          <w:color w:val="auto"/>
        </w:rPr>
        <w:t xml:space="preserve">. Moreover, we show that the Australian economy is more successful at reallocating resources to high productivity firms than many other OECD countries, which is consistent </w:t>
      </w:r>
      <w:r w:rsidR="0044221C">
        <w:rPr>
          <w:color w:val="auto"/>
        </w:rPr>
        <w:t>with</w:t>
      </w:r>
      <w:r w:rsidR="0044221C" w:rsidRPr="000D4DD6">
        <w:rPr>
          <w:color w:val="auto"/>
        </w:rPr>
        <w:t xml:space="preserve"> </w:t>
      </w:r>
      <w:r w:rsidRPr="000D4DD6">
        <w:rPr>
          <w:color w:val="auto"/>
        </w:rPr>
        <w:t>Australia’s relatively sound structural policy environment that promotes economic flexibility. We then explore the extent to which labour is moving in the right direction over time</w:t>
      </w:r>
      <w:r w:rsidR="003B3B59">
        <w:rPr>
          <w:color w:val="auto"/>
        </w:rPr>
        <w:t>. W</w:t>
      </w:r>
      <w:r w:rsidRPr="000D4DD6">
        <w:rPr>
          <w:color w:val="auto"/>
        </w:rPr>
        <w:t xml:space="preserve">hile </w:t>
      </w:r>
      <w:r w:rsidR="00F91DCD" w:rsidRPr="000D4DD6">
        <w:rPr>
          <w:color w:val="auto"/>
        </w:rPr>
        <w:t>high</w:t>
      </w:r>
      <w:r w:rsidR="00F91DCD">
        <w:rPr>
          <w:color w:val="auto"/>
        </w:rPr>
        <w:t>-</w:t>
      </w:r>
      <w:r w:rsidRPr="000D4DD6">
        <w:rPr>
          <w:color w:val="auto"/>
        </w:rPr>
        <w:t xml:space="preserve">productivity firms are more likely to expand and </w:t>
      </w:r>
      <w:r w:rsidR="00F91DCD" w:rsidRPr="000D4DD6">
        <w:rPr>
          <w:color w:val="auto"/>
        </w:rPr>
        <w:t>low</w:t>
      </w:r>
      <w:r w:rsidR="00F91DCD">
        <w:rPr>
          <w:color w:val="auto"/>
        </w:rPr>
        <w:t>-</w:t>
      </w:r>
      <w:r w:rsidRPr="000D4DD6">
        <w:rPr>
          <w:color w:val="auto"/>
        </w:rPr>
        <w:t xml:space="preserve">productivity firms are more likely to contract (or exit), the extent to which this is true has diminished over time. Counterfactual analysis shows that the weakening responsiveness of employment growth to firm productivity </w:t>
      </w:r>
      <w:r w:rsidR="00C6031F">
        <w:rPr>
          <w:color w:val="auto"/>
        </w:rPr>
        <w:t>this decade</w:t>
      </w:r>
      <w:r w:rsidRPr="000D4DD6">
        <w:rPr>
          <w:color w:val="auto"/>
        </w:rPr>
        <w:t xml:space="preserve"> </w:t>
      </w:r>
      <w:r w:rsidR="00F91DCD">
        <w:rPr>
          <w:color w:val="auto"/>
        </w:rPr>
        <w:t xml:space="preserve">is </w:t>
      </w:r>
      <w:r w:rsidRPr="000D4DD6">
        <w:rPr>
          <w:color w:val="auto"/>
        </w:rPr>
        <w:t xml:space="preserve">a </w:t>
      </w:r>
      <w:r w:rsidR="006F3E79">
        <w:rPr>
          <w:color w:val="auto"/>
        </w:rPr>
        <w:t xml:space="preserve">significant </w:t>
      </w:r>
      <w:r w:rsidRPr="000D4DD6">
        <w:rPr>
          <w:color w:val="auto"/>
        </w:rPr>
        <w:t>drag on aggregate labour productivity growth, which motivates further analysis of structural policies that affect</w:t>
      </w:r>
      <w:r w:rsidR="003B3B59">
        <w:rPr>
          <w:color w:val="auto"/>
        </w:rPr>
        <w:t xml:space="preserve"> competition and</w:t>
      </w:r>
      <w:r w:rsidRPr="000D4DD6">
        <w:rPr>
          <w:color w:val="auto"/>
        </w:rPr>
        <w:t xml:space="preserve"> labour mobility</w:t>
      </w:r>
      <w:r>
        <w:rPr>
          <w:color w:val="auto"/>
        </w:rPr>
        <w:t>.</w:t>
      </w:r>
    </w:p>
    <w:p w14:paraId="46DD6519" w14:textId="77777777" w:rsidR="000D4DD6" w:rsidRDefault="000D4DD6" w:rsidP="00E83C63">
      <w:pPr>
        <w:spacing w:after="0"/>
        <w:rPr>
          <w:color w:val="auto"/>
        </w:rPr>
      </w:pPr>
    </w:p>
    <w:p w14:paraId="367C58D5" w14:textId="77777777" w:rsidR="00E83C63" w:rsidRPr="005F5F82" w:rsidRDefault="00E83C63" w:rsidP="00E83C63">
      <w:pPr>
        <w:spacing w:after="0"/>
      </w:pPr>
      <w:r w:rsidRPr="005F5F82">
        <w:t>JEL Classification Numbers: C23, C55, D22, D30, E23, E24</w:t>
      </w:r>
    </w:p>
    <w:p w14:paraId="5B68BAAB" w14:textId="77777777" w:rsidR="00E83C63" w:rsidRPr="005F5F82" w:rsidRDefault="00E83C63" w:rsidP="00E83C63">
      <w:pPr>
        <w:spacing w:after="0"/>
      </w:pPr>
      <w:r w:rsidRPr="005F5F82">
        <w:t>Keywords: productivity, dispersion, firm-level, BLADE</w:t>
      </w:r>
    </w:p>
    <w:p w14:paraId="5BCE2369" w14:textId="77777777" w:rsidR="00F012EA" w:rsidRDefault="00F012EA" w:rsidP="00F012EA">
      <w:pPr>
        <w:pStyle w:val="SingleParagraph"/>
      </w:pPr>
    </w:p>
    <w:p w14:paraId="0E316590" w14:textId="77777777" w:rsidR="00F012EA" w:rsidRDefault="006F7544" w:rsidP="00F012EA">
      <w:pPr>
        <w:pStyle w:val="SingleParagraph"/>
      </w:pPr>
      <w:r>
        <w:lastRenderedPageBreak/>
        <w:t>Dan Andrews</w:t>
      </w:r>
    </w:p>
    <w:p w14:paraId="181206CD" w14:textId="77777777" w:rsidR="00F012EA" w:rsidRDefault="00EF6F80" w:rsidP="00F012EA">
      <w:pPr>
        <w:pStyle w:val="SingleParagraph"/>
      </w:pPr>
      <w:r>
        <w:t>Macroeconomic</w:t>
      </w:r>
      <w:r w:rsidR="006F7544">
        <w:t xml:space="preserve"> Group</w:t>
      </w:r>
    </w:p>
    <w:p w14:paraId="069BB6E0" w14:textId="77777777" w:rsidR="00F012EA" w:rsidRDefault="00F012EA" w:rsidP="00F012EA">
      <w:pPr>
        <w:pStyle w:val="SingleParagraph"/>
      </w:pPr>
      <w:r>
        <w:t>The Treasury</w:t>
      </w:r>
    </w:p>
    <w:p w14:paraId="1EC35F08" w14:textId="77777777" w:rsidR="00F012EA" w:rsidRDefault="00F012EA" w:rsidP="00F012EA">
      <w:pPr>
        <w:pStyle w:val="SingleParagraph"/>
      </w:pPr>
      <w:r>
        <w:t>Langton Crescent</w:t>
      </w:r>
    </w:p>
    <w:p w14:paraId="48217D76" w14:textId="77777777" w:rsidR="00F012EA" w:rsidRDefault="00F012EA" w:rsidP="00F012EA">
      <w:pPr>
        <w:pStyle w:val="SingleParagraph"/>
      </w:pPr>
      <w:r>
        <w:t>Parkes  ACT  2600</w:t>
      </w:r>
    </w:p>
    <w:p w14:paraId="47D7039D" w14:textId="77777777" w:rsidR="00F012EA" w:rsidRDefault="00F012EA" w:rsidP="00F012EA">
      <w:pPr>
        <w:pStyle w:val="SingleParagraph"/>
      </w:pPr>
    </w:p>
    <w:p w14:paraId="1EB27F85" w14:textId="77777777" w:rsidR="00F012EA" w:rsidRDefault="00F012EA" w:rsidP="00F012EA">
      <w:pPr>
        <w:pStyle w:val="SingleParagraph"/>
      </w:pPr>
    </w:p>
    <w:p w14:paraId="40D2D0DB" w14:textId="77777777" w:rsidR="006F7544" w:rsidRDefault="006F7544" w:rsidP="006F7544">
      <w:pPr>
        <w:pStyle w:val="SingleParagraph"/>
      </w:pPr>
      <w:r>
        <w:t>David Hansell</w:t>
      </w:r>
    </w:p>
    <w:p w14:paraId="72A33C98" w14:textId="77777777" w:rsidR="00EF6F80" w:rsidRDefault="00EF6F80" w:rsidP="00EF6F80">
      <w:pPr>
        <w:pStyle w:val="SingleParagraph"/>
      </w:pPr>
      <w:r>
        <w:t>Macroeconomic Group</w:t>
      </w:r>
    </w:p>
    <w:p w14:paraId="7B5887A7" w14:textId="77777777" w:rsidR="006F7544" w:rsidRDefault="006F7544" w:rsidP="006F7544">
      <w:pPr>
        <w:pStyle w:val="SingleParagraph"/>
      </w:pPr>
      <w:r>
        <w:t>The Treasury</w:t>
      </w:r>
    </w:p>
    <w:p w14:paraId="0E591C5D" w14:textId="77777777" w:rsidR="006F7544" w:rsidRDefault="006F7544" w:rsidP="006F7544">
      <w:pPr>
        <w:pStyle w:val="SingleParagraph"/>
      </w:pPr>
      <w:r>
        <w:t>Langton Crescent</w:t>
      </w:r>
    </w:p>
    <w:p w14:paraId="0BA1D7A8" w14:textId="77777777" w:rsidR="006F7544" w:rsidRDefault="006F7544" w:rsidP="006F7544">
      <w:pPr>
        <w:pStyle w:val="SingleParagraph"/>
      </w:pPr>
      <w:r>
        <w:t>Parkes  ACT  2600</w:t>
      </w:r>
    </w:p>
    <w:p w14:paraId="5ADB0087" w14:textId="77777777" w:rsidR="00F012EA" w:rsidRDefault="00F012EA" w:rsidP="00F012EA">
      <w:pPr>
        <w:pStyle w:val="SeriesNumber"/>
        <w:jc w:val="left"/>
        <w:rPr>
          <w:sz w:val="24"/>
          <w:szCs w:val="24"/>
        </w:rPr>
      </w:pPr>
    </w:p>
    <w:p w14:paraId="1EB0133C" w14:textId="77777777" w:rsidR="00F012EA" w:rsidRDefault="00F012EA" w:rsidP="008627B1"/>
    <w:p w14:paraId="63DEB69E" w14:textId="77777777" w:rsidR="00F012EA" w:rsidRDefault="00F012EA" w:rsidP="008627B1"/>
    <w:p w14:paraId="7210B2B9" w14:textId="77777777" w:rsidR="00F012EA" w:rsidRDefault="00F012EA" w:rsidP="008627B1">
      <w:pPr>
        <w:sectPr w:rsidR="00F012EA" w:rsidSect="008C0793">
          <w:pgSz w:w="11906" w:h="16838" w:code="9"/>
          <w:pgMar w:top="1418" w:right="1304" w:bottom="1418" w:left="1304" w:header="567" w:footer="567" w:gutter="0"/>
          <w:cols w:space="708"/>
          <w:titlePg/>
          <w:docGrid w:linePitch="360"/>
        </w:sectPr>
      </w:pPr>
    </w:p>
    <w:p w14:paraId="05A54F8F" w14:textId="77777777" w:rsidR="00F012EA" w:rsidRPr="00A57848" w:rsidRDefault="00F012EA" w:rsidP="00A57848">
      <w:pPr>
        <w:pStyle w:val="Heading2"/>
      </w:pPr>
      <w:bookmarkStart w:id="0" w:name="_Toc271526783"/>
      <w:bookmarkStart w:id="1" w:name="_Toc320810314"/>
      <w:r w:rsidRPr="00A57848">
        <w:lastRenderedPageBreak/>
        <w:t>Introduction</w:t>
      </w:r>
      <w:bookmarkEnd w:id="0"/>
      <w:bookmarkEnd w:id="1"/>
    </w:p>
    <w:p w14:paraId="31E9C73D" w14:textId="77777777" w:rsidR="006D0369" w:rsidRDefault="00795456" w:rsidP="00C0399F">
      <w:r>
        <w:t xml:space="preserve">Australia’s ability to </w:t>
      </w:r>
      <w:r w:rsidR="003102BD" w:rsidRPr="001C5B15">
        <w:t xml:space="preserve">sustain </w:t>
      </w:r>
      <w:r w:rsidR="003102BD">
        <w:t>growth</w:t>
      </w:r>
      <w:r w:rsidR="003102BD" w:rsidRPr="001C5B15">
        <w:t xml:space="preserve"> in living standards</w:t>
      </w:r>
      <w:r w:rsidR="003102BD">
        <w:t xml:space="preserve"> </w:t>
      </w:r>
      <w:r w:rsidR="00AF1796">
        <w:t>over</w:t>
      </w:r>
      <w:r w:rsidR="003C4225" w:rsidRPr="003C4225">
        <w:t xml:space="preserve"> the m</w:t>
      </w:r>
      <w:r w:rsidR="003C4225">
        <w:t>edium term will</w:t>
      </w:r>
      <w:r w:rsidR="003C4225" w:rsidRPr="003C4225">
        <w:t xml:space="preserve"> largely </w:t>
      </w:r>
      <w:r w:rsidR="00A90BDB">
        <w:t>depend on</w:t>
      </w:r>
      <w:r w:rsidR="003C4225" w:rsidRPr="003C4225">
        <w:t xml:space="preserve"> our </w:t>
      </w:r>
      <w:r w:rsidR="003102BD">
        <w:t>capacity to boost</w:t>
      </w:r>
      <w:r w:rsidR="003C4225" w:rsidRPr="003C4225">
        <w:t xml:space="preserve"> </w:t>
      </w:r>
      <w:r w:rsidR="003C4225">
        <w:t xml:space="preserve">labour </w:t>
      </w:r>
      <w:r w:rsidR="003C4225" w:rsidRPr="003C4225">
        <w:t>productivity</w:t>
      </w:r>
      <w:r w:rsidR="003102BD">
        <w:t xml:space="preserve"> growth</w:t>
      </w:r>
      <w:r w:rsidR="003C4225">
        <w:t xml:space="preserve"> (Gaetjens, 2018),</w:t>
      </w:r>
      <w:r w:rsidR="003102BD" w:rsidRPr="003102BD">
        <w:t xml:space="preserve"> </w:t>
      </w:r>
      <w:r w:rsidR="003102BD" w:rsidRPr="003C4225">
        <w:t>either through capital deepening or multi factor productivity</w:t>
      </w:r>
      <w:r w:rsidR="003102BD">
        <w:t xml:space="preserve"> (MFP)</w:t>
      </w:r>
      <w:r w:rsidR="003C4225">
        <w:t xml:space="preserve">. While attention has been paid </w:t>
      </w:r>
      <w:r w:rsidR="00E75C3F">
        <w:t xml:space="preserve">to the </w:t>
      </w:r>
      <w:r w:rsidR="00E31C65">
        <w:t xml:space="preserve">prospects for </w:t>
      </w:r>
      <w:r w:rsidR="00002D45">
        <w:t>capital</w:t>
      </w:r>
      <w:r w:rsidR="003C4225">
        <w:t xml:space="preserve"> investment (</w:t>
      </w:r>
      <w:r w:rsidR="003C4225" w:rsidRPr="003C4225">
        <w:t>Heads of Treasuries</w:t>
      </w:r>
      <w:r w:rsidR="003C4225">
        <w:t xml:space="preserve">, 2017; Debelle, 2017), </w:t>
      </w:r>
      <w:r w:rsidR="00E75C3F">
        <w:t xml:space="preserve">less is known about the drivers of </w:t>
      </w:r>
      <w:r w:rsidR="003C4225" w:rsidRPr="00E5630D">
        <w:t>MFP growth</w:t>
      </w:r>
      <w:r w:rsidR="00E31C65" w:rsidRPr="00E5630D">
        <w:t xml:space="preserve"> in Australia</w:t>
      </w:r>
      <w:r w:rsidR="00D0383D" w:rsidRPr="00E5630D">
        <w:t xml:space="preserve">. This partly reflects historical </w:t>
      </w:r>
      <w:r w:rsidR="009A6C6A">
        <w:t>constraints o</w:t>
      </w:r>
      <w:r w:rsidR="00D0383D" w:rsidRPr="00E5630D">
        <w:t>n</w:t>
      </w:r>
      <w:r w:rsidR="009A6C6A">
        <w:t xml:space="preserve"> access</w:t>
      </w:r>
      <w:r w:rsidR="00694EA8">
        <w:t xml:space="preserve"> to</w:t>
      </w:r>
      <w:r w:rsidR="00D0383D" w:rsidRPr="00E5630D">
        <w:t xml:space="preserve"> </w:t>
      </w:r>
      <w:r w:rsidR="00E31C65" w:rsidRPr="00E5630D">
        <w:t>firm</w:t>
      </w:r>
      <w:r w:rsidR="00903887">
        <w:t>-</w:t>
      </w:r>
      <w:r w:rsidR="00E31C65" w:rsidRPr="00E5630D">
        <w:t>level data</w:t>
      </w:r>
      <w:r w:rsidR="00A90BDB">
        <w:t xml:space="preserve"> </w:t>
      </w:r>
      <w:r w:rsidR="009A6C6A">
        <w:t>s</w:t>
      </w:r>
      <w:r w:rsidR="00A90BDB">
        <w:t>ources</w:t>
      </w:r>
      <w:r w:rsidR="00D0383D" w:rsidRPr="00E5630D">
        <w:t xml:space="preserve">, which are </w:t>
      </w:r>
      <w:r w:rsidR="006A6073" w:rsidRPr="00E5630D">
        <w:t>essential to understand MFP</w:t>
      </w:r>
      <w:r w:rsidR="00D0383D" w:rsidRPr="00E5630D">
        <w:t xml:space="preserve"> performance</w:t>
      </w:r>
      <w:r w:rsidR="006A6073" w:rsidRPr="00E5630D">
        <w:t xml:space="preserve"> given the widespread heterogeneity in </w:t>
      </w:r>
      <w:r w:rsidR="006A6073">
        <w:t xml:space="preserve">firm productivity that exists </w:t>
      </w:r>
      <w:r>
        <w:t xml:space="preserve">even </w:t>
      </w:r>
      <w:r w:rsidR="006A6073">
        <w:t>within narrowly defined sectors</w:t>
      </w:r>
      <w:r w:rsidR="00D0383D">
        <w:t xml:space="preserve"> </w:t>
      </w:r>
      <w:r w:rsidR="00D0383D" w:rsidRPr="00D0383D">
        <w:t>(see Syverson, 2011)</w:t>
      </w:r>
      <w:r w:rsidR="00E75C3F">
        <w:t>.</w:t>
      </w:r>
      <w:r w:rsidR="003F6F1E">
        <w:t xml:space="preserve"> </w:t>
      </w:r>
      <w:r>
        <w:t xml:space="preserve">While </w:t>
      </w:r>
      <w:r w:rsidR="00903887">
        <w:t xml:space="preserve">this </w:t>
      </w:r>
      <w:r w:rsidR="000967A1">
        <w:t>heterogeneity</w:t>
      </w:r>
      <w:r w:rsidR="000704CE">
        <w:t xml:space="preserve"> </w:t>
      </w:r>
      <w:r w:rsidR="00D0383D" w:rsidRPr="00D0383D">
        <w:t>reflect</w:t>
      </w:r>
      <w:r w:rsidR="00903887">
        <w:t>s</w:t>
      </w:r>
      <w:r w:rsidR="00D0383D" w:rsidRPr="00D0383D">
        <w:t xml:space="preserve"> a number of </w:t>
      </w:r>
      <w:r w:rsidR="009E0107">
        <w:t xml:space="preserve">complex </w:t>
      </w:r>
      <w:r w:rsidR="00D0383D" w:rsidRPr="00D0383D">
        <w:t>within-firm factors</w:t>
      </w:r>
      <w:r>
        <w:t xml:space="preserve"> – in</w:t>
      </w:r>
      <w:r w:rsidR="00D0383D" w:rsidRPr="00D0383D">
        <w:t xml:space="preserve">cluding </w:t>
      </w:r>
      <w:r w:rsidR="009A6C6A">
        <w:t>the uneven diffusion of</w:t>
      </w:r>
      <w:r w:rsidR="00694EA8">
        <w:t xml:space="preserve"> </w:t>
      </w:r>
      <w:r w:rsidR="00710327">
        <w:t xml:space="preserve">technology </w:t>
      </w:r>
      <w:r w:rsidR="009A6C6A">
        <w:t>across firms</w:t>
      </w:r>
      <w:r>
        <w:t xml:space="preserve"> (Andrews</w:t>
      </w:r>
      <w:r w:rsidR="000704CE">
        <w:t xml:space="preserve"> et al</w:t>
      </w:r>
      <w:r w:rsidR="00D0383D">
        <w:t>,</w:t>
      </w:r>
      <w:r>
        <w:t xml:space="preserve"> 2016) –</w:t>
      </w:r>
      <w:r w:rsidR="009E0107">
        <w:t xml:space="preserve"> a more </w:t>
      </w:r>
      <w:r w:rsidR="00FF1C16">
        <w:t>direct</w:t>
      </w:r>
      <w:r w:rsidR="009E0107">
        <w:t xml:space="preserve"> implication</w:t>
      </w:r>
      <w:r w:rsidR="00903887">
        <w:t xml:space="preserve"> </w:t>
      </w:r>
      <w:r w:rsidR="009E0107">
        <w:t>is that</w:t>
      </w:r>
      <w:r w:rsidR="003102BD">
        <w:t xml:space="preserve"> it creates</w:t>
      </w:r>
      <w:r w:rsidR="00D0383D">
        <w:t xml:space="preserve"> </w:t>
      </w:r>
      <w:r>
        <w:t xml:space="preserve">scope for the reallocation of resources </w:t>
      </w:r>
      <w:r w:rsidRPr="00E31C65">
        <w:t xml:space="preserve">from </w:t>
      </w:r>
      <w:r w:rsidR="003102BD">
        <w:t>low to high productivity</w:t>
      </w:r>
      <w:r w:rsidRPr="00E31C65">
        <w:t xml:space="preserve"> firms</w:t>
      </w:r>
      <w:r>
        <w:t xml:space="preserve"> to raise </w:t>
      </w:r>
      <w:r w:rsidRPr="00E1793A">
        <w:t>aggregate productivity.</w:t>
      </w:r>
      <w:r w:rsidR="000704CE" w:rsidRPr="00E1793A">
        <w:t xml:space="preserve"> Indeed,</w:t>
      </w:r>
      <w:r w:rsidR="009E0107" w:rsidRPr="00E1793A">
        <w:t xml:space="preserve"> </w:t>
      </w:r>
      <w:r w:rsidR="000704CE" w:rsidRPr="00E1793A">
        <w:t xml:space="preserve">international evidence </w:t>
      </w:r>
      <w:r w:rsidR="003102BD" w:rsidRPr="00E1793A">
        <w:t>suggests that the contribution of</w:t>
      </w:r>
      <w:r w:rsidR="00C93384">
        <w:t xml:space="preserve"> within</w:t>
      </w:r>
      <w:r w:rsidR="00C93384">
        <w:noBreakHyphen/>
      </w:r>
      <w:r w:rsidR="000704CE" w:rsidRPr="00E1793A">
        <w:t xml:space="preserve">industry resource reallocation </w:t>
      </w:r>
      <w:r w:rsidR="003102BD" w:rsidRPr="00E1793A">
        <w:t>to</w:t>
      </w:r>
      <w:r w:rsidR="000704CE" w:rsidRPr="00E1793A">
        <w:t xml:space="preserve"> aggregate productivity growth </w:t>
      </w:r>
      <w:r w:rsidR="003102BD" w:rsidRPr="00E1793A">
        <w:t xml:space="preserve">is significant </w:t>
      </w:r>
      <w:r w:rsidR="000704CE" w:rsidRPr="00E1793A">
        <w:t>(</w:t>
      </w:r>
      <w:r w:rsidR="002F5836" w:rsidRPr="00E1793A">
        <w:t>Bailey et al., 1992;</w:t>
      </w:r>
      <w:r w:rsidR="000704CE" w:rsidRPr="00E1793A">
        <w:t xml:space="preserve"> </w:t>
      </w:r>
      <w:r w:rsidR="00225932" w:rsidRPr="00E1793A">
        <w:t>Melitz</w:t>
      </w:r>
      <w:r w:rsidR="00225932" w:rsidRPr="00225932">
        <w:t xml:space="preserve"> and Polanec</w:t>
      </w:r>
      <w:r w:rsidR="002F5836">
        <w:t>, 2</w:t>
      </w:r>
      <w:r w:rsidR="00225932" w:rsidRPr="00225932">
        <w:t>015</w:t>
      </w:r>
      <w:r w:rsidR="00845C16">
        <w:t>; Petrin et al., 2011</w:t>
      </w:r>
      <w:r w:rsidR="000704CE">
        <w:t>),</w:t>
      </w:r>
      <w:r w:rsidR="009E0107">
        <w:t xml:space="preserve"> </w:t>
      </w:r>
      <w:r w:rsidR="00A90BDB">
        <w:t xml:space="preserve">but </w:t>
      </w:r>
      <w:r w:rsidR="000704CE">
        <w:t xml:space="preserve">little is known about this process in Australia. </w:t>
      </w:r>
    </w:p>
    <w:p w14:paraId="708D4207" w14:textId="77777777" w:rsidR="00795456" w:rsidRDefault="006D0369" w:rsidP="00C0399F">
      <w:r w:rsidRPr="006D0369">
        <w:t xml:space="preserve">Accordingly, this paper exploits </w:t>
      </w:r>
      <w:r>
        <w:t xml:space="preserve">comprehensive </w:t>
      </w:r>
      <w:r w:rsidRPr="006D0369">
        <w:t>firm-level data</w:t>
      </w:r>
      <w:r>
        <w:t xml:space="preserve"> from the Business Longitudinal Analysis Data Environment (BLADE)</w:t>
      </w:r>
      <w:r w:rsidR="00A256A4">
        <w:t xml:space="preserve"> </w:t>
      </w:r>
      <w:r w:rsidRPr="006D0369">
        <w:t xml:space="preserve">to </w:t>
      </w:r>
      <w:r w:rsidR="00A3716C">
        <w:t xml:space="preserve">provide new evidence on </w:t>
      </w:r>
      <w:r w:rsidRPr="006D0369">
        <w:t>the nature of productivity-enhancing labour reallocation in Australia.</w:t>
      </w:r>
      <w:r w:rsidR="00E1793A">
        <w:t xml:space="preserve"> A key starting point is that aggregate productivity is an increasing function of allocative efficiency, </w:t>
      </w:r>
      <w:r w:rsidR="003005D5">
        <w:t xml:space="preserve">which measures the extent to which resources are allocated to their highest valued use. </w:t>
      </w:r>
      <w:r w:rsidR="003005D5" w:rsidRPr="003005D5">
        <w:t>In</w:t>
      </w:r>
      <w:r w:rsidR="00A256A4">
        <w:t xml:space="preserve"> this </w:t>
      </w:r>
      <w:r w:rsidR="006A0146">
        <w:t>context</w:t>
      </w:r>
      <w:r w:rsidR="003005D5">
        <w:t>, allocative efficiency can be measured in two ways</w:t>
      </w:r>
      <w:r w:rsidR="00073666">
        <w:t xml:space="preserve"> (Haltiwanger, 2011)</w:t>
      </w:r>
      <w:r w:rsidR="00A256A4">
        <w:t>, which we exploit in this study</w:t>
      </w:r>
      <w:r w:rsidR="003005D5">
        <w:t>. First, s</w:t>
      </w:r>
      <w:r w:rsidR="003005D5" w:rsidRPr="003005D5">
        <w:t>tatic allocative efficiency</w:t>
      </w:r>
      <w:r w:rsidR="003005D5">
        <w:t xml:space="preserve"> implies that at any point in time</w:t>
      </w:r>
      <w:r w:rsidR="003005D5" w:rsidRPr="003005D5">
        <w:t xml:space="preserve">, more productive businesses should </w:t>
      </w:r>
      <w:r w:rsidR="003005D5">
        <w:t xml:space="preserve">command a larger share of aggregate </w:t>
      </w:r>
      <w:r w:rsidR="006D6F3E">
        <w:t>resource</w:t>
      </w:r>
      <w:r w:rsidR="003005D5">
        <w:t>s</w:t>
      </w:r>
      <w:r w:rsidR="003005D5" w:rsidRPr="003005D5">
        <w:t xml:space="preserve">. </w:t>
      </w:r>
      <w:r w:rsidR="003005D5">
        <w:t xml:space="preserve">Second, </w:t>
      </w:r>
      <w:r w:rsidR="003005D5" w:rsidRPr="003005D5">
        <w:t>dynamic allocative efficiency</w:t>
      </w:r>
      <w:r w:rsidR="003005D5">
        <w:t xml:space="preserve"> captures the extent to which </w:t>
      </w:r>
      <w:r w:rsidR="006D6F3E">
        <w:t xml:space="preserve">resources are </w:t>
      </w:r>
      <w:r w:rsidR="003005D5" w:rsidRPr="003005D5">
        <w:t>moving to</w:t>
      </w:r>
      <w:r w:rsidR="003005D5">
        <w:t>wards more</w:t>
      </w:r>
      <w:r w:rsidR="003005D5" w:rsidRPr="003005D5">
        <w:t xml:space="preserve"> productive businesses</w:t>
      </w:r>
      <w:r w:rsidR="006D6F3E">
        <w:t xml:space="preserve"> over time, which is accommodated via the downsizing or </w:t>
      </w:r>
      <w:r w:rsidR="006D6F3E">
        <w:lastRenderedPageBreak/>
        <w:t>exit of less productive firms</w:t>
      </w:r>
      <w:r w:rsidR="003005D5" w:rsidRPr="003005D5">
        <w:t>.</w:t>
      </w:r>
      <w:r w:rsidR="00FA5281">
        <w:t xml:space="preserve"> </w:t>
      </w:r>
      <w:r w:rsidR="00CE367E">
        <w:t>T</w:t>
      </w:r>
      <w:r w:rsidR="00FA5281">
        <w:t xml:space="preserve">hese two concepts are </w:t>
      </w:r>
      <w:r w:rsidR="00CE367E">
        <w:t xml:space="preserve">clearly </w:t>
      </w:r>
      <w:r w:rsidR="00FA5281">
        <w:t>related</w:t>
      </w:r>
      <w:r w:rsidR="00FC1641">
        <w:t>:</w:t>
      </w:r>
      <w:r w:rsidR="00FA5281">
        <w:t xml:space="preserve"> static allocative efficiency in a given period </w:t>
      </w:r>
      <w:r w:rsidR="00E024F6">
        <w:t>requires</w:t>
      </w:r>
      <w:r w:rsidR="00073666">
        <w:t xml:space="preserve"> </w:t>
      </w:r>
      <w:r w:rsidR="00FA5281">
        <w:t>sufficient dynamic allocative efficiency in preceding periods.</w:t>
      </w:r>
      <w:r w:rsidR="00073666">
        <w:t xml:space="preserve"> </w:t>
      </w:r>
      <w:r w:rsidR="00456AD4">
        <w:t>Moreover, these patterns are particularly sensitive to the structural policy environment, with differences in market regulations explaining a significant portion of the</w:t>
      </w:r>
      <w:r w:rsidR="00E024F6">
        <w:t xml:space="preserve"> observed</w:t>
      </w:r>
      <w:r w:rsidR="00456AD4">
        <w:t xml:space="preserve"> cross-country </w:t>
      </w:r>
      <w:r w:rsidR="00456AD4" w:rsidRPr="00456AD4">
        <w:t xml:space="preserve">variation in </w:t>
      </w:r>
      <w:r w:rsidR="00073666" w:rsidRPr="00456AD4">
        <w:t xml:space="preserve">allocative efficiency </w:t>
      </w:r>
      <w:r w:rsidR="00893AB5" w:rsidRPr="00456AD4">
        <w:t>(Andrews and Cingano, 2014).</w:t>
      </w:r>
    </w:p>
    <w:p w14:paraId="762B02B2" w14:textId="77777777" w:rsidR="00E1793A" w:rsidRDefault="00EA583C" w:rsidP="004B6C4C">
      <w:pPr>
        <w:spacing w:after="240"/>
        <w:jc w:val="both"/>
        <w:rPr>
          <w:color w:val="auto"/>
        </w:rPr>
      </w:pPr>
      <w:r>
        <w:t>First, we</w:t>
      </w:r>
      <w:r w:rsidR="00073666">
        <w:t xml:space="preserve"> </w:t>
      </w:r>
      <w:r w:rsidR="00F02D1A">
        <w:t xml:space="preserve">exploit the workhorse Olley and Pakes (1996) decomposition to </w:t>
      </w:r>
      <w:r w:rsidR="00073666">
        <w:t>explore</w:t>
      </w:r>
      <w:r w:rsidR="00C603EA">
        <w:t xml:space="preserve"> the nature </w:t>
      </w:r>
      <w:r>
        <w:t xml:space="preserve">of </w:t>
      </w:r>
      <w:r w:rsidR="00073666">
        <w:t>static allocative efficiency</w:t>
      </w:r>
      <w:r w:rsidR="00F02D1A">
        <w:t xml:space="preserve"> </w:t>
      </w:r>
      <w:r>
        <w:t>in the Australian business sector.</w:t>
      </w:r>
      <w:r w:rsidR="00C603EA">
        <w:t xml:space="preserve"> Within industries</w:t>
      </w:r>
      <w:r w:rsidR="000768BF">
        <w:t xml:space="preserve">, we find that </w:t>
      </w:r>
      <w:r w:rsidR="000768BF" w:rsidRPr="000D4DD6">
        <w:rPr>
          <w:color w:val="auto"/>
        </w:rPr>
        <w:t xml:space="preserve">more productive firms account for </w:t>
      </w:r>
      <w:r w:rsidR="00710327">
        <w:rPr>
          <w:color w:val="auto"/>
        </w:rPr>
        <w:t xml:space="preserve">a </w:t>
      </w:r>
      <w:r w:rsidR="000768BF" w:rsidRPr="000D4DD6">
        <w:rPr>
          <w:color w:val="auto"/>
        </w:rPr>
        <w:t>higher share of employment</w:t>
      </w:r>
      <w:r w:rsidR="00C603EA">
        <w:rPr>
          <w:color w:val="auto"/>
        </w:rPr>
        <w:t xml:space="preserve"> </w:t>
      </w:r>
      <w:r w:rsidR="00C603EA">
        <w:t>on average over 200</w:t>
      </w:r>
      <w:r w:rsidR="00710327">
        <w:t>2</w:t>
      </w:r>
      <w:r w:rsidR="00C603EA">
        <w:t>-2016</w:t>
      </w:r>
      <w:r w:rsidR="00456AD4">
        <w:rPr>
          <w:color w:val="auto"/>
        </w:rPr>
        <w:t xml:space="preserve">. </w:t>
      </w:r>
      <w:r w:rsidR="00296017">
        <w:rPr>
          <w:color w:val="auto"/>
        </w:rPr>
        <w:t>As such,</w:t>
      </w:r>
      <w:r w:rsidR="00073666" w:rsidRPr="00302D55">
        <w:rPr>
          <w:color w:val="auto"/>
        </w:rPr>
        <w:t xml:space="preserve"> aggregate labour productivity </w:t>
      </w:r>
      <w:r w:rsidR="00B23A2E" w:rsidRPr="00302D55">
        <w:rPr>
          <w:color w:val="auto"/>
        </w:rPr>
        <w:t xml:space="preserve">in the Australian business sector </w:t>
      </w:r>
      <w:r w:rsidR="00296017">
        <w:rPr>
          <w:color w:val="auto"/>
        </w:rPr>
        <w:t>is at least 20 per cent higher than</w:t>
      </w:r>
      <w:r w:rsidR="00710327">
        <w:rPr>
          <w:color w:val="auto"/>
        </w:rPr>
        <w:t xml:space="preserve"> </w:t>
      </w:r>
      <w:r w:rsidR="00296017">
        <w:rPr>
          <w:color w:val="auto"/>
        </w:rPr>
        <w:t>it would be if</w:t>
      </w:r>
      <w:r w:rsidR="000768BF" w:rsidRPr="00302D55">
        <w:rPr>
          <w:color w:val="auto"/>
        </w:rPr>
        <w:t xml:space="preserve"> labour </w:t>
      </w:r>
      <w:r w:rsidR="00710327">
        <w:rPr>
          <w:color w:val="auto"/>
        </w:rPr>
        <w:t>were</w:t>
      </w:r>
      <w:r w:rsidR="002B06C2" w:rsidRPr="00302D55">
        <w:rPr>
          <w:color w:val="auto"/>
        </w:rPr>
        <w:t xml:space="preserve"> </w:t>
      </w:r>
      <w:r w:rsidR="000768BF" w:rsidRPr="00302D55">
        <w:rPr>
          <w:color w:val="auto"/>
        </w:rPr>
        <w:t xml:space="preserve">allocated randomly across firms. </w:t>
      </w:r>
      <w:r w:rsidR="00F02D1A">
        <w:rPr>
          <w:color w:val="auto"/>
        </w:rPr>
        <w:t>But i</w:t>
      </w:r>
      <w:r w:rsidR="000768BF" w:rsidRPr="00302D55">
        <w:rPr>
          <w:color w:val="auto"/>
        </w:rPr>
        <w:t>mportant differences</w:t>
      </w:r>
      <w:r w:rsidR="0067429F">
        <w:rPr>
          <w:color w:val="auto"/>
        </w:rPr>
        <w:t xml:space="preserve"> emerge</w:t>
      </w:r>
      <w:r w:rsidR="004B6C4C" w:rsidRPr="00302D55">
        <w:rPr>
          <w:color w:val="auto"/>
        </w:rPr>
        <w:t xml:space="preserve"> </w:t>
      </w:r>
      <w:r w:rsidR="000768BF" w:rsidRPr="00302D55">
        <w:rPr>
          <w:color w:val="auto"/>
        </w:rPr>
        <w:t xml:space="preserve">across sectors, with the level of static allocative </w:t>
      </w:r>
      <w:r w:rsidR="00F91DCD">
        <w:rPr>
          <w:color w:val="auto"/>
        </w:rPr>
        <w:t xml:space="preserve">efficiency </w:t>
      </w:r>
      <w:r w:rsidR="000768BF" w:rsidRPr="00302D55">
        <w:rPr>
          <w:color w:val="auto"/>
        </w:rPr>
        <w:t xml:space="preserve">significantly higher in those </w:t>
      </w:r>
      <w:r w:rsidR="00073666" w:rsidRPr="00302D55">
        <w:rPr>
          <w:color w:val="auto"/>
        </w:rPr>
        <w:t>sectors more exposed to competitive pressure via trade</w:t>
      </w:r>
      <w:r w:rsidR="002B06C2">
        <w:rPr>
          <w:color w:val="auto"/>
        </w:rPr>
        <w:t>,</w:t>
      </w:r>
      <w:r w:rsidR="000768BF" w:rsidRPr="00302D55">
        <w:rPr>
          <w:color w:val="auto"/>
        </w:rPr>
        <w:t xml:space="preserve"> such as manufacturing</w:t>
      </w:r>
      <w:r w:rsidR="00073666" w:rsidRPr="00302D55">
        <w:rPr>
          <w:color w:val="auto"/>
        </w:rPr>
        <w:t xml:space="preserve">. Moreover, </w:t>
      </w:r>
      <w:r w:rsidR="004B6C4C" w:rsidRPr="00302D55">
        <w:rPr>
          <w:color w:val="auto"/>
        </w:rPr>
        <w:t xml:space="preserve">cross-country analysis shows that </w:t>
      </w:r>
      <w:r w:rsidR="009F16DC" w:rsidRPr="00302D55">
        <w:rPr>
          <w:color w:val="auto"/>
        </w:rPr>
        <w:t xml:space="preserve">the level </w:t>
      </w:r>
      <w:r w:rsidR="00710327">
        <w:rPr>
          <w:color w:val="auto"/>
        </w:rPr>
        <w:t xml:space="preserve">of </w:t>
      </w:r>
      <w:r w:rsidR="009F16DC" w:rsidRPr="00302D55">
        <w:rPr>
          <w:color w:val="auto"/>
        </w:rPr>
        <w:t xml:space="preserve">static allocative efficiency is relatively high in Australia compared to many other OECD countries. </w:t>
      </w:r>
      <w:r w:rsidR="0077408A">
        <w:rPr>
          <w:color w:val="auto"/>
        </w:rPr>
        <w:t>T</w:t>
      </w:r>
      <w:r w:rsidR="004B6C4C" w:rsidRPr="00302D55">
        <w:rPr>
          <w:color w:val="auto"/>
        </w:rPr>
        <w:t xml:space="preserve">his is </w:t>
      </w:r>
      <w:r w:rsidR="00302D55" w:rsidRPr="00302D55">
        <w:rPr>
          <w:color w:val="auto"/>
        </w:rPr>
        <w:t xml:space="preserve">broadly </w:t>
      </w:r>
      <w:r w:rsidR="004B6C4C" w:rsidRPr="00302D55">
        <w:rPr>
          <w:color w:val="auto"/>
        </w:rPr>
        <w:t xml:space="preserve">consistent with Australia’s relatively sound structural policy environment and </w:t>
      </w:r>
      <w:r w:rsidR="0077408A">
        <w:rPr>
          <w:color w:val="auto"/>
        </w:rPr>
        <w:t xml:space="preserve">can be argued to be a </w:t>
      </w:r>
      <w:r w:rsidR="004B6C4C" w:rsidRPr="00302D55">
        <w:rPr>
          <w:color w:val="auto"/>
        </w:rPr>
        <w:t>reflect</w:t>
      </w:r>
      <w:r w:rsidR="0077408A">
        <w:rPr>
          <w:color w:val="auto"/>
        </w:rPr>
        <w:t>ion of</w:t>
      </w:r>
      <w:r w:rsidR="004B6C4C" w:rsidRPr="00302D55">
        <w:rPr>
          <w:color w:val="auto"/>
        </w:rPr>
        <w:t xml:space="preserve"> the </w:t>
      </w:r>
      <w:r w:rsidR="002B06C2">
        <w:rPr>
          <w:color w:val="auto"/>
        </w:rPr>
        <w:t>ac</w:t>
      </w:r>
      <w:r w:rsidR="004B6C4C" w:rsidRPr="00302D55">
        <w:rPr>
          <w:color w:val="auto"/>
        </w:rPr>
        <w:t xml:space="preserve">cumulated gains of past structural reforms, which </w:t>
      </w:r>
      <w:r w:rsidR="00302D55" w:rsidRPr="00302D55">
        <w:rPr>
          <w:color w:val="auto"/>
        </w:rPr>
        <w:t xml:space="preserve">have </w:t>
      </w:r>
      <w:r w:rsidR="00F02D1A">
        <w:rPr>
          <w:color w:val="auto"/>
        </w:rPr>
        <w:t xml:space="preserve">enhanced the capacity of </w:t>
      </w:r>
      <w:r w:rsidR="00302D55" w:rsidRPr="00302D55">
        <w:rPr>
          <w:color w:val="auto"/>
        </w:rPr>
        <w:t xml:space="preserve">the </w:t>
      </w:r>
      <w:r w:rsidR="00073666" w:rsidRPr="00302D55">
        <w:rPr>
          <w:color w:val="auto"/>
        </w:rPr>
        <w:t xml:space="preserve">Australian economy </w:t>
      </w:r>
      <w:r w:rsidR="00F02D1A">
        <w:rPr>
          <w:color w:val="auto"/>
        </w:rPr>
        <w:t>to</w:t>
      </w:r>
      <w:r w:rsidR="00073666" w:rsidRPr="00302D55">
        <w:rPr>
          <w:color w:val="auto"/>
        </w:rPr>
        <w:t xml:space="preserve"> reallocat</w:t>
      </w:r>
      <w:r w:rsidR="00F02D1A">
        <w:rPr>
          <w:color w:val="auto"/>
        </w:rPr>
        <w:t>e scarce</w:t>
      </w:r>
      <w:r w:rsidR="00073666" w:rsidRPr="00302D55">
        <w:rPr>
          <w:color w:val="auto"/>
        </w:rPr>
        <w:t xml:space="preserve"> resources to high</w:t>
      </w:r>
      <w:r w:rsidR="00F91DCD">
        <w:rPr>
          <w:color w:val="auto"/>
        </w:rPr>
        <w:t>-</w:t>
      </w:r>
      <w:r w:rsidR="00073666" w:rsidRPr="00302D55">
        <w:rPr>
          <w:color w:val="auto"/>
        </w:rPr>
        <w:t>productivity firms.</w:t>
      </w:r>
    </w:p>
    <w:p w14:paraId="6B13661D" w14:textId="77777777" w:rsidR="006A0146" w:rsidRDefault="00EA583C" w:rsidP="001B4492">
      <w:pPr>
        <w:jc w:val="both"/>
        <w:rPr>
          <w:color w:val="auto"/>
        </w:rPr>
      </w:pPr>
      <w:r>
        <w:rPr>
          <w:color w:val="auto"/>
        </w:rPr>
        <w:t xml:space="preserve">Second, </w:t>
      </w:r>
      <w:r w:rsidR="00BD4589">
        <w:rPr>
          <w:color w:val="auto"/>
        </w:rPr>
        <w:t xml:space="preserve">we model </w:t>
      </w:r>
      <w:r w:rsidR="006952FF">
        <w:rPr>
          <w:color w:val="auto"/>
        </w:rPr>
        <w:t xml:space="preserve">dynamic allocative efficiency </w:t>
      </w:r>
      <w:r w:rsidR="00BD4589">
        <w:rPr>
          <w:color w:val="auto"/>
        </w:rPr>
        <w:t xml:space="preserve">by estimating the responsiveness of firm employment growth (and exit) to (lagged) firm labour productivity </w:t>
      </w:r>
      <w:r w:rsidR="006952FF">
        <w:rPr>
          <w:color w:val="auto"/>
        </w:rPr>
        <w:t xml:space="preserve">in a framework that carefully controls for a range of time-varying shocks at the national, state and industry level. </w:t>
      </w:r>
      <w:r w:rsidR="00E024F6">
        <w:rPr>
          <w:color w:val="auto"/>
        </w:rPr>
        <w:t>O</w:t>
      </w:r>
      <w:r w:rsidR="00BD4589">
        <w:rPr>
          <w:color w:val="auto"/>
        </w:rPr>
        <w:t xml:space="preserve">ur results </w:t>
      </w:r>
      <w:r w:rsidR="00F02D1A">
        <w:rPr>
          <w:color w:val="auto"/>
        </w:rPr>
        <w:t>suggest that the process of dynamic labour reallocation has enhanced aggregate productivity growth over 200</w:t>
      </w:r>
      <w:r w:rsidR="00710327">
        <w:rPr>
          <w:color w:val="auto"/>
        </w:rPr>
        <w:t>2</w:t>
      </w:r>
      <w:r w:rsidR="00F02D1A">
        <w:rPr>
          <w:color w:val="auto"/>
        </w:rPr>
        <w:t>-2016. More specifically, they are</w:t>
      </w:r>
      <w:r w:rsidR="00BD4589">
        <w:rPr>
          <w:color w:val="auto"/>
        </w:rPr>
        <w:t xml:space="preserve"> consistent with models of firm dynamics, which predict that conditional on initial size, </w:t>
      </w:r>
      <w:r w:rsidR="00BD4589" w:rsidRPr="000D4DD6">
        <w:rPr>
          <w:color w:val="auto"/>
        </w:rPr>
        <w:t>high</w:t>
      </w:r>
      <w:r w:rsidR="00F91DCD">
        <w:rPr>
          <w:color w:val="auto"/>
        </w:rPr>
        <w:t>-</w:t>
      </w:r>
      <w:r w:rsidR="00BD4589" w:rsidRPr="000D4DD6">
        <w:rPr>
          <w:color w:val="auto"/>
        </w:rPr>
        <w:t>productivity firms are more likely to expand and low</w:t>
      </w:r>
      <w:r w:rsidR="00F91DCD">
        <w:rPr>
          <w:color w:val="auto"/>
        </w:rPr>
        <w:t>-</w:t>
      </w:r>
      <w:r w:rsidR="00BD4589" w:rsidRPr="000D4DD6">
        <w:rPr>
          <w:color w:val="auto"/>
        </w:rPr>
        <w:t>productivity firms are more likely to contract (or exit)</w:t>
      </w:r>
      <w:r w:rsidR="00BD4589">
        <w:rPr>
          <w:color w:val="auto"/>
        </w:rPr>
        <w:t xml:space="preserve">. But the </w:t>
      </w:r>
      <w:r w:rsidR="00BD4589" w:rsidRPr="000D4DD6">
        <w:rPr>
          <w:color w:val="auto"/>
        </w:rPr>
        <w:t>extent to which this is true has diminished over time.</w:t>
      </w:r>
      <w:r w:rsidR="00021F93">
        <w:rPr>
          <w:color w:val="auto"/>
        </w:rPr>
        <w:t xml:space="preserve"> </w:t>
      </w:r>
      <w:r w:rsidR="00BD36F0">
        <w:rPr>
          <w:color w:val="auto"/>
        </w:rPr>
        <w:t>For example,</w:t>
      </w:r>
      <w:r w:rsidR="002F5721">
        <w:rPr>
          <w:color w:val="auto"/>
        </w:rPr>
        <w:t xml:space="preserve"> </w:t>
      </w:r>
      <w:r w:rsidR="00CA030D" w:rsidRPr="00CA030D">
        <w:rPr>
          <w:color w:val="auto"/>
        </w:rPr>
        <w:t xml:space="preserve">the implied difference in employment growth between a </w:t>
      </w:r>
      <w:r w:rsidR="00CA2989">
        <w:rPr>
          <w:color w:val="auto"/>
        </w:rPr>
        <w:t xml:space="preserve">high and low productivity firm – one standard </w:t>
      </w:r>
      <w:r w:rsidR="00CA2989">
        <w:rPr>
          <w:color w:val="auto"/>
        </w:rPr>
        <w:lastRenderedPageBreak/>
        <w:t xml:space="preserve">deviation </w:t>
      </w:r>
      <w:r w:rsidR="00523780">
        <w:rPr>
          <w:color w:val="auto"/>
        </w:rPr>
        <w:t xml:space="preserve">above </w:t>
      </w:r>
      <w:r w:rsidR="00CA2989">
        <w:rPr>
          <w:color w:val="auto"/>
        </w:rPr>
        <w:t>and below the mean, respectively –</w:t>
      </w:r>
      <w:r w:rsidR="00CA030D" w:rsidRPr="00CA030D">
        <w:rPr>
          <w:color w:val="auto"/>
        </w:rPr>
        <w:t xml:space="preserve"> declined by o</w:t>
      </w:r>
      <w:r w:rsidR="00B74426">
        <w:rPr>
          <w:color w:val="auto"/>
        </w:rPr>
        <w:t>ver 2</w:t>
      </w:r>
      <w:r w:rsidR="00F91DCD">
        <w:rPr>
          <w:color w:val="auto"/>
        </w:rPr>
        <w:t xml:space="preserve"> percentage points</w:t>
      </w:r>
      <w:r w:rsidR="00CA030D" w:rsidRPr="00CA030D">
        <w:rPr>
          <w:color w:val="auto"/>
        </w:rPr>
        <w:t xml:space="preserve"> between 2003 and 2016</w:t>
      </w:r>
      <w:r w:rsidR="00CA030D">
        <w:rPr>
          <w:color w:val="auto"/>
        </w:rPr>
        <w:t xml:space="preserve">, with much of the decline </w:t>
      </w:r>
      <w:r w:rsidR="000B2EA2">
        <w:rPr>
          <w:color w:val="auto"/>
        </w:rPr>
        <w:t>occurring</w:t>
      </w:r>
      <w:r w:rsidR="00CA2989">
        <w:rPr>
          <w:color w:val="auto"/>
        </w:rPr>
        <w:t xml:space="preserve"> </w:t>
      </w:r>
      <w:r w:rsidR="00F37370">
        <w:rPr>
          <w:color w:val="auto"/>
        </w:rPr>
        <w:t xml:space="preserve">after </w:t>
      </w:r>
      <w:r w:rsidR="00CA030D">
        <w:rPr>
          <w:color w:val="auto"/>
        </w:rPr>
        <w:t>2009</w:t>
      </w:r>
      <w:r w:rsidR="00CA030D" w:rsidRPr="00CA030D">
        <w:rPr>
          <w:color w:val="auto"/>
        </w:rPr>
        <w:t>.</w:t>
      </w:r>
      <w:r w:rsidR="005E701B">
        <w:rPr>
          <w:color w:val="auto"/>
        </w:rPr>
        <w:t xml:space="preserve"> </w:t>
      </w:r>
      <w:r w:rsidR="00CA030D">
        <w:rPr>
          <w:color w:val="auto"/>
        </w:rPr>
        <w:t xml:space="preserve">We also find </w:t>
      </w:r>
      <w:r w:rsidR="00456AD4">
        <w:rPr>
          <w:color w:val="auto"/>
        </w:rPr>
        <w:t xml:space="preserve">evidence </w:t>
      </w:r>
      <w:r w:rsidR="00CA030D">
        <w:rPr>
          <w:color w:val="auto"/>
        </w:rPr>
        <w:t>that low productivity incumbent firms are increasingly likely to survive over the sample period.</w:t>
      </w:r>
      <w:r w:rsidR="00021F93">
        <w:rPr>
          <w:color w:val="auto"/>
        </w:rPr>
        <w:t xml:space="preserve"> </w:t>
      </w:r>
      <w:r w:rsidR="00946120">
        <w:rPr>
          <w:color w:val="auto"/>
        </w:rPr>
        <w:t>Given that they remain after controlling for a range of possible cyclical influences, t</w:t>
      </w:r>
      <w:r w:rsidR="00021F93">
        <w:rPr>
          <w:color w:val="auto"/>
        </w:rPr>
        <w:t xml:space="preserve">hese changing patterns </w:t>
      </w:r>
      <w:r w:rsidR="002C3186">
        <w:rPr>
          <w:color w:val="auto"/>
        </w:rPr>
        <w:t xml:space="preserve">of market dynamism </w:t>
      </w:r>
      <w:r w:rsidR="00021F93">
        <w:rPr>
          <w:color w:val="auto"/>
        </w:rPr>
        <w:t>may be structural in nature.</w:t>
      </w:r>
    </w:p>
    <w:p w14:paraId="624165B0" w14:textId="77777777" w:rsidR="005E701B" w:rsidRDefault="00A874C4" w:rsidP="006A0146">
      <w:pPr>
        <w:jc w:val="both"/>
        <w:rPr>
          <w:color w:val="auto"/>
        </w:rPr>
      </w:pPr>
      <w:r>
        <w:rPr>
          <w:color w:val="auto"/>
        </w:rPr>
        <w:t>A</w:t>
      </w:r>
      <w:r w:rsidR="00C34BC5">
        <w:rPr>
          <w:color w:val="auto"/>
        </w:rPr>
        <w:t xml:space="preserve"> declin</w:t>
      </w:r>
      <w:r w:rsidR="00021F93">
        <w:rPr>
          <w:color w:val="auto"/>
        </w:rPr>
        <w:t>ing</w:t>
      </w:r>
      <w:r w:rsidR="00C34BC5">
        <w:rPr>
          <w:color w:val="auto"/>
        </w:rPr>
        <w:t xml:space="preserve"> </w:t>
      </w:r>
      <w:r w:rsidR="000A5240">
        <w:rPr>
          <w:color w:val="auto"/>
        </w:rPr>
        <w:t xml:space="preserve">likelihood </w:t>
      </w:r>
      <w:r w:rsidR="006A0146">
        <w:rPr>
          <w:color w:val="auto"/>
        </w:rPr>
        <w:t>that high</w:t>
      </w:r>
      <w:r w:rsidR="00F91DCD">
        <w:rPr>
          <w:color w:val="auto"/>
        </w:rPr>
        <w:t>-</w:t>
      </w:r>
      <w:r w:rsidR="006A0146">
        <w:rPr>
          <w:color w:val="auto"/>
        </w:rPr>
        <w:t xml:space="preserve">productivity firms expand and </w:t>
      </w:r>
      <w:r w:rsidR="00F91DCD">
        <w:rPr>
          <w:color w:val="auto"/>
        </w:rPr>
        <w:t>low-</w:t>
      </w:r>
      <w:r w:rsidR="006A0146">
        <w:rPr>
          <w:color w:val="auto"/>
        </w:rPr>
        <w:t xml:space="preserve">productivity firms contract </w:t>
      </w:r>
      <w:r w:rsidR="00C34BC5">
        <w:rPr>
          <w:color w:val="auto"/>
        </w:rPr>
        <w:t>(</w:t>
      </w:r>
      <w:r w:rsidR="006A0146">
        <w:rPr>
          <w:color w:val="auto"/>
        </w:rPr>
        <w:t>or exit</w:t>
      </w:r>
      <w:r w:rsidR="00C34BC5">
        <w:rPr>
          <w:color w:val="auto"/>
        </w:rPr>
        <w:t>)</w:t>
      </w:r>
      <w:r w:rsidR="006A0146">
        <w:rPr>
          <w:color w:val="auto"/>
        </w:rPr>
        <w:t xml:space="preserve"> </w:t>
      </w:r>
      <w:r w:rsidR="00F02D1A">
        <w:rPr>
          <w:color w:val="auto"/>
        </w:rPr>
        <w:t xml:space="preserve">carries </w:t>
      </w:r>
      <w:r w:rsidR="006A0146">
        <w:rPr>
          <w:color w:val="auto"/>
        </w:rPr>
        <w:t xml:space="preserve">material consequences for aggregate productivity </w:t>
      </w:r>
      <w:r w:rsidR="000F476D">
        <w:rPr>
          <w:color w:val="auto"/>
        </w:rPr>
        <w:t>growth</w:t>
      </w:r>
      <w:r w:rsidR="006A0146">
        <w:rPr>
          <w:color w:val="auto"/>
        </w:rPr>
        <w:t xml:space="preserve">. </w:t>
      </w:r>
      <w:r w:rsidR="00F02D1A">
        <w:rPr>
          <w:color w:val="auto"/>
        </w:rPr>
        <w:t>C</w:t>
      </w:r>
      <w:r w:rsidR="00BD4589" w:rsidRPr="000D4DD6">
        <w:rPr>
          <w:color w:val="auto"/>
        </w:rPr>
        <w:t xml:space="preserve">ounterfactual </w:t>
      </w:r>
      <w:r w:rsidR="000A5240">
        <w:rPr>
          <w:color w:val="auto"/>
        </w:rPr>
        <w:t xml:space="preserve">simulations </w:t>
      </w:r>
      <w:r w:rsidR="00BD4589" w:rsidRPr="000D4DD6">
        <w:rPr>
          <w:color w:val="auto"/>
        </w:rPr>
        <w:t>show that</w:t>
      </w:r>
      <w:r w:rsidR="00AD723C">
        <w:rPr>
          <w:color w:val="auto"/>
        </w:rPr>
        <w:t xml:space="preserve"> </w:t>
      </w:r>
      <w:r w:rsidR="00BD4589" w:rsidRPr="000D4DD6">
        <w:rPr>
          <w:color w:val="auto"/>
        </w:rPr>
        <w:t xml:space="preserve">the weakening responsiveness of employment growth to firm productivity since </w:t>
      </w:r>
      <w:r w:rsidR="00523780">
        <w:rPr>
          <w:color w:val="auto"/>
        </w:rPr>
        <w:t>2012</w:t>
      </w:r>
      <w:r w:rsidR="00BD4589" w:rsidRPr="000D4DD6">
        <w:rPr>
          <w:color w:val="auto"/>
        </w:rPr>
        <w:t xml:space="preserve"> </w:t>
      </w:r>
      <w:r w:rsidR="00BD4589">
        <w:rPr>
          <w:color w:val="auto"/>
        </w:rPr>
        <w:t>entail</w:t>
      </w:r>
      <w:r w:rsidR="000A5240">
        <w:rPr>
          <w:color w:val="auto"/>
        </w:rPr>
        <w:t>ed</w:t>
      </w:r>
      <w:r w:rsidR="00BD4589">
        <w:rPr>
          <w:color w:val="auto"/>
        </w:rPr>
        <w:t xml:space="preserve"> </w:t>
      </w:r>
      <w:r w:rsidR="00BD4589" w:rsidRPr="000D4DD6">
        <w:rPr>
          <w:color w:val="auto"/>
        </w:rPr>
        <w:t>a drag on aggregate labour productivity growth</w:t>
      </w:r>
      <w:r w:rsidR="005E701B">
        <w:rPr>
          <w:color w:val="auto"/>
        </w:rPr>
        <w:t xml:space="preserve"> </w:t>
      </w:r>
      <w:r w:rsidR="005E701B" w:rsidRPr="002A1163">
        <w:rPr>
          <w:color w:val="auto"/>
        </w:rPr>
        <w:t xml:space="preserve">by </w:t>
      </w:r>
      <w:r w:rsidR="00906C74">
        <w:rPr>
          <w:color w:val="auto"/>
        </w:rPr>
        <w:t>around</w:t>
      </w:r>
      <w:r w:rsidR="002A1163" w:rsidRPr="002A1163">
        <w:rPr>
          <w:color w:val="auto"/>
        </w:rPr>
        <w:t xml:space="preserve"> </w:t>
      </w:r>
      <w:r w:rsidR="005E701B" w:rsidRPr="00906C74">
        <w:rPr>
          <w:color w:val="auto"/>
        </w:rPr>
        <w:t>0.</w:t>
      </w:r>
      <w:r w:rsidR="002A1163" w:rsidRPr="00906C74">
        <w:rPr>
          <w:color w:val="auto"/>
        </w:rPr>
        <w:t>1</w:t>
      </w:r>
      <w:r w:rsidR="00906C74">
        <w:rPr>
          <w:color w:val="auto"/>
        </w:rPr>
        <w:t>5</w:t>
      </w:r>
      <w:r w:rsidR="00494B7C">
        <w:rPr>
          <w:color w:val="auto"/>
        </w:rPr>
        <w:t xml:space="preserve"> per cent</w:t>
      </w:r>
      <w:r w:rsidR="005E701B" w:rsidRPr="00906C74">
        <w:rPr>
          <w:color w:val="auto"/>
        </w:rPr>
        <w:t xml:space="preserve"> per year by 2016.</w:t>
      </w:r>
      <w:r w:rsidR="00400DED">
        <w:rPr>
          <w:color w:val="auto"/>
        </w:rPr>
        <w:t xml:space="preserve"> </w:t>
      </w:r>
      <w:r w:rsidR="00400DED" w:rsidRPr="00400DED">
        <w:rPr>
          <w:color w:val="auto"/>
        </w:rPr>
        <w:t>This can account for roughly one-quarter of the slowdown</w:t>
      </w:r>
      <w:r w:rsidR="00400DED">
        <w:rPr>
          <w:color w:val="auto"/>
        </w:rPr>
        <w:t xml:space="preserve"> </w:t>
      </w:r>
      <w:r w:rsidR="004A2C6C">
        <w:rPr>
          <w:color w:val="auto"/>
        </w:rPr>
        <w:t xml:space="preserve">in </w:t>
      </w:r>
      <w:r w:rsidR="00400DED">
        <w:rPr>
          <w:color w:val="auto"/>
        </w:rPr>
        <w:t xml:space="preserve">aggregate </w:t>
      </w:r>
      <w:r w:rsidR="00400DED" w:rsidRPr="00400DED">
        <w:rPr>
          <w:color w:val="auto"/>
        </w:rPr>
        <w:t>labour productivity</w:t>
      </w:r>
      <w:r w:rsidR="00400DED">
        <w:rPr>
          <w:color w:val="auto"/>
        </w:rPr>
        <w:t xml:space="preserve"> growth</w:t>
      </w:r>
      <w:r w:rsidR="00400DED" w:rsidRPr="00400DED">
        <w:rPr>
          <w:color w:val="auto"/>
        </w:rPr>
        <w:t xml:space="preserve"> for the industries included in </w:t>
      </w:r>
      <w:r w:rsidR="00400DED">
        <w:rPr>
          <w:color w:val="auto"/>
        </w:rPr>
        <w:t>our</w:t>
      </w:r>
      <w:r w:rsidR="00400DED" w:rsidRPr="00400DED">
        <w:rPr>
          <w:color w:val="auto"/>
        </w:rPr>
        <w:t xml:space="preserve"> </w:t>
      </w:r>
      <w:r w:rsidR="00400DED" w:rsidRPr="000111C5">
        <w:rPr>
          <w:color w:val="auto"/>
        </w:rPr>
        <w:t>sample</w:t>
      </w:r>
      <w:r w:rsidR="00400DED" w:rsidRPr="00400DED">
        <w:rPr>
          <w:color w:val="auto"/>
        </w:rPr>
        <w:t>. Furthermore, t</w:t>
      </w:r>
      <w:r w:rsidR="00A63954" w:rsidRPr="00400DED">
        <w:rPr>
          <w:color w:val="auto"/>
        </w:rPr>
        <w:t xml:space="preserve">his </w:t>
      </w:r>
      <w:r w:rsidR="00BF2757" w:rsidRPr="00400DED">
        <w:rPr>
          <w:color w:val="auto"/>
        </w:rPr>
        <w:t xml:space="preserve">drag </w:t>
      </w:r>
      <w:r w:rsidRPr="00400DED">
        <w:rPr>
          <w:color w:val="auto"/>
        </w:rPr>
        <w:t>is</w:t>
      </w:r>
      <w:r w:rsidR="00400DED" w:rsidRPr="00FA66A8">
        <w:rPr>
          <w:color w:val="auto"/>
        </w:rPr>
        <w:t xml:space="preserve"> </w:t>
      </w:r>
      <w:r w:rsidR="00A63954" w:rsidRPr="00400DED">
        <w:rPr>
          <w:color w:val="auto"/>
        </w:rPr>
        <w:t>material</w:t>
      </w:r>
      <w:r w:rsidR="000A5240" w:rsidRPr="00400DED">
        <w:rPr>
          <w:color w:val="auto"/>
        </w:rPr>
        <w:t xml:space="preserve"> </w:t>
      </w:r>
      <w:r w:rsidR="00A63954" w:rsidRPr="00400DED">
        <w:rPr>
          <w:color w:val="auto"/>
        </w:rPr>
        <w:t>given</w:t>
      </w:r>
      <w:r w:rsidR="000A5240" w:rsidRPr="00400DED">
        <w:rPr>
          <w:color w:val="auto"/>
        </w:rPr>
        <w:t xml:space="preserve"> future headwinds to growth</w:t>
      </w:r>
      <w:r w:rsidR="00AD723C" w:rsidRPr="00400DED">
        <w:rPr>
          <w:color w:val="auto"/>
        </w:rPr>
        <w:t>, such as an aging population</w:t>
      </w:r>
      <w:r w:rsidR="000A5240" w:rsidRPr="00400DED">
        <w:rPr>
          <w:color w:val="auto"/>
        </w:rPr>
        <w:t xml:space="preserve">, which imply </w:t>
      </w:r>
      <w:r w:rsidR="00A63954" w:rsidRPr="00400DED">
        <w:rPr>
          <w:color w:val="auto"/>
        </w:rPr>
        <w:t xml:space="preserve">that an additional </w:t>
      </w:r>
      <w:r w:rsidR="00A63954" w:rsidRPr="00FA66A8">
        <w:rPr>
          <w:color w:val="auto"/>
        </w:rPr>
        <w:t>1</w:t>
      </w:r>
      <w:r w:rsidR="00A63954" w:rsidRPr="00400DED">
        <w:rPr>
          <w:color w:val="auto"/>
        </w:rPr>
        <w:t xml:space="preserve"> percentage point of labour productivity growth is </w:t>
      </w:r>
      <w:r w:rsidR="00BF2757" w:rsidRPr="00400DED">
        <w:rPr>
          <w:color w:val="auto"/>
        </w:rPr>
        <w:t xml:space="preserve">required over the next decade just </w:t>
      </w:r>
      <w:r w:rsidR="00A63954" w:rsidRPr="00400DED">
        <w:rPr>
          <w:color w:val="auto"/>
        </w:rPr>
        <w:t xml:space="preserve">to </w:t>
      </w:r>
      <w:r w:rsidR="00BF2757" w:rsidRPr="00400DED">
        <w:rPr>
          <w:color w:val="auto"/>
        </w:rPr>
        <w:t xml:space="preserve">maintain </w:t>
      </w:r>
      <w:r w:rsidR="00A63954" w:rsidRPr="00400DED">
        <w:rPr>
          <w:color w:val="auto"/>
        </w:rPr>
        <w:t xml:space="preserve">income growth </w:t>
      </w:r>
      <w:r w:rsidR="000A5240" w:rsidRPr="00400DED">
        <w:rPr>
          <w:color w:val="auto"/>
        </w:rPr>
        <w:t>at its</w:t>
      </w:r>
      <w:r w:rsidR="00A63954" w:rsidRPr="00400DED">
        <w:rPr>
          <w:color w:val="auto"/>
        </w:rPr>
        <w:t xml:space="preserve"> 30 year</w:t>
      </w:r>
      <w:r w:rsidR="000A5240" w:rsidRPr="00400DED">
        <w:rPr>
          <w:color w:val="auto"/>
        </w:rPr>
        <w:t xml:space="preserve"> historical average</w:t>
      </w:r>
      <w:r w:rsidR="00A63954" w:rsidRPr="00400DED">
        <w:rPr>
          <w:color w:val="auto"/>
        </w:rPr>
        <w:t xml:space="preserve"> (</w:t>
      </w:r>
      <w:r w:rsidR="00FB57C1">
        <w:rPr>
          <w:color w:val="auto"/>
        </w:rPr>
        <w:t>Gaetje</w:t>
      </w:r>
      <w:r w:rsidR="006A0146" w:rsidRPr="00400DED">
        <w:rPr>
          <w:color w:val="auto"/>
        </w:rPr>
        <w:t>ns, 2018)</w:t>
      </w:r>
      <w:r w:rsidR="00A63954" w:rsidRPr="00400DED">
        <w:rPr>
          <w:color w:val="auto"/>
        </w:rPr>
        <w:t>.</w:t>
      </w:r>
    </w:p>
    <w:p w14:paraId="01E6F439" w14:textId="77777777" w:rsidR="005E701B" w:rsidRDefault="009946CB" w:rsidP="001A4A65">
      <w:pPr>
        <w:jc w:val="both"/>
        <w:rPr>
          <w:color w:val="auto"/>
        </w:rPr>
      </w:pPr>
      <w:r>
        <w:rPr>
          <w:color w:val="auto"/>
        </w:rPr>
        <w:t>While</w:t>
      </w:r>
      <w:r w:rsidR="005E701B">
        <w:rPr>
          <w:color w:val="auto"/>
        </w:rPr>
        <w:t xml:space="preserve"> </w:t>
      </w:r>
      <w:r w:rsidR="00A874C4">
        <w:rPr>
          <w:color w:val="auto"/>
        </w:rPr>
        <w:t xml:space="preserve">we leave </w:t>
      </w:r>
      <w:r w:rsidR="00E073D4">
        <w:rPr>
          <w:color w:val="auto"/>
        </w:rPr>
        <w:t>an analysis of the drivers of the decline in efficient reallocation to</w:t>
      </w:r>
      <w:r w:rsidR="000F1D3E">
        <w:rPr>
          <w:color w:val="auto"/>
        </w:rPr>
        <w:t xml:space="preserve"> future research</w:t>
      </w:r>
      <w:r w:rsidR="00C34BC5">
        <w:rPr>
          <w:color w:val="auto"/>
        </w:rPr>
        <w:t>,</w:t>
      </w:r>
      <w:r>
        <w:rPr>
          <w:color w:val="auto"/>
        </w:rPr>
        <w:t xml:space="preserve"> our findings are relevant from a policy perspective for a number of reasons</w:t>
      </w:r>
      <w:r w:rsidR="00461689">
        <w:rPr>
          <w:color w:val="auto"/>
        </w:rPr>
        <w:t>.</w:t>
      </w:r>
      <w:r w:rsidR="0018373A">
        <w:rPr>
          <w:color w:val="auto"/>
        </w:rPr>
        <w:t xml:space="preserve"> </w:t>
      </w:r>
      <w:r>
        <w:rPr>
          <w:color w:val="auto"/>
        </w:rPr>
        <w:t xml:space="preserve">First, they </w:t>
      </w:r>
      <w:r w:rsidR="0018373A" w:rsidRPr="000D4DD6">
        <w:rPr>
          <w:color w:val="auto"/>
        </w:rPr>
        <w:t>motivate</w:t>
      </w:r>
      <w:r>
        <w:rPr>
          <w:color w:val="auto"/>
        </w:rPr>
        <w:t xml:space="preserve"> a</w:t>
      </w:r>
      <w:r w:rsidR="0018373A" w:rsidRPr="000D4DD6">
        <w:rPr>
          <w:color w:val="auto"/>
        </w:rPr>
        <w:t xml:space="preserve"> </w:t>
      </w:r>
      <w:r>
        <w:rPr>
          <w:color w:val="auto"/>
        </w:rPr>
        <w:t xml:space="preserve">closer inspection of </w:t>
      </w:r>
      <w:r w:rsidR="0018373A" w:rsidRPr="000D4DD6">
        <w:rPr>
          <w:color w:val="auto"/>
        </w:rPr>
        <w:t>structural polic</w:t>
      </w:r>
      <w:r w:rsidR="00F37370">
        <w:rPr>
          <w:color w:val="auto"/>
        </w:rPr>
        <w:t xml:space="preserve">y settings that </w:t>
      </w:r>
      <w:r w:rsidR="0018373A" w:rsidRPr="000D4DD6">
        <w:rPr>
          <w:color w:val="auto"/>
        </w:rPr>
        <w:t xml:space="preserve">affect </w:t>
      </w:r>
      <w:r w:rsidR="000419D0">
        <w:rPr>
          <w:color w:val="auto"/>
        </w:rPr>
        <w:t xml:space="preserve">competition and </w:t>
      </w:r>
      <w:r w:rsidR="0018373A" w:rsidRPr="000D4DD6">
        <w:rPr>
          <w:color w:val="auto"/>
        </w:rPr>
        <w:t>labour mobility</w:t>
      </w:r>
      <w:r w:rsidR="0027733E">
        <w:rPr>
          <w:color w:val="auto"/>
        </w:rPr>
        <w:t xml:space="preserve">, which – according to cross-country </w:t>
      </w:r>
      <w:r w:rsidR="004071FE">
        <w:rPr>
          <w:color w:val="auto"/>
        </w:rPr>
        <w:t>evidence</w:t>
      </w:r>
      <w:r w:rsidR="00F02C07">
        <w:rPr>
          <w:color w:val="auto"/>
        </w:rPr>
        <w:t xml:space="preserve"> (Andrews and Cingano, 2014)</w:t>
      </w:r>
      <w:r w:rsidR="0027733E">
        <w:rPr>
          <w:color w:val="auto"/>
        </w:rPr>
        <w:t xml:space="preserve"> – loom large for allocative efficiency</w:t>
      </w:r>
      <w:r w:rsidR="0018373A">
        <w:rPr>
          <w:color w:val="auto"/>
        </w:rPr>
        <w:t xml:space="preserve">. </w:t>
      </w:r>
      <w:r>
        <w:rPr>
          <w:color w:val="auto"/>
        </w:rPr>
        <w:t>Second,</w:t>
      </w:r>
      <w:r w:rsidR="00132A5A">
        <w:rPr>
          <w:color w:val="auto"/>
        </w:rPr>
        <w:t xml:space="preserve"> </w:t>
      </w:r>
      <w:r w:rsidR="00A42DFF">
        <w:rPr>
          <w:color w:val="auto"/>
        </w:rPr>
        <w:t>since</w:t>
      </w:r>
      <w:r w:rsidR="00132A5A">
        <w:rPr>
          <w:color w:val="auto"/>
        </w:rPr>
        <w:t xml:space="preserve"> higher productivity firms pay higher wages, the decline in the rate at which labour is reallocated to high productivity firms implies fewer high paying jobs</w:t>
      </w:r>
      <w:r w:rsidR="00334B48">
        <w:rPr>
          <w:color w:val="auto"/>
        </w:rPr>
        <w:t xml:space="preserve"> are being created </w:t>
      </w:r>
      <w:r w:rsidR="00132A5A">
        <w:rPr>
          <w:color w:val="auto"/>
        </w:rPr>
        <w:t>than otherwise.</w:t>
      </w:r>
      <w:r w:rsidR="00334B48">
        <w:rPr>
          <w:color w:val="auto"/>
        </w:rPr>
        <w:t xml:space="preserve"> This</w:t>
      </w:r>
      <w:r w:rsidR="000852E4">
        <w:rPr>
          <w:color w:val="auto"/>
        </w:rPr>
        <w:t xml:space="preserve"> </w:t>
      </w:r>
      <w:r w:rsidR="00334B48">
        <w:rPr>
          <w:color w:val="auto"/>
        </w:rPr>
        <w:t>provides</w:t>
      </w:r>
      <w:r w:rsidR="00497F7D">
        <w:rPr>
          <w:color w:val="auto"/>
        </w:rPr>
        <w:t xml:space="preserve"> a</w:t>
      </w:r>
      <w:r w:rsidR="00334B48">
        <w:rPr>
          <w:color w:val="auto"/>
        </w:rPr>
        <w:t xml:space="preserve"> new insight into </w:t>
      </w:r>
      <w:r w:rsidR="00A42DFF">
        <w:rPr>
          <w:color w:val="auto"/>
        </w:rPr>
        <w:t xml:space="preserve">why </w:t>
      </w:r>
      <w:r w:rsidR="00497F7D">
        <w:rPr>
          <w:color w:val="auto"/>
        </w:rPr>
        <w:t xml:space="preserve">aggregate </w:t>
      </w:r>
      <w:r w:rsidR="00A42DFF">
        <w:rPr>
          <w:color w:val="auto"/>
        </w:rPr>
        <w:t>wage growth</w:t>
      </w:r>
      <w:r w:rsidR="00497F7D">
        <w:rPr>
          <w:color w:val="auto"/>
        </w:rPr>
        <w:t xml:space="preserve"> over recent years</w:t>
      </w:r>
      <w:r w:rsidR="00A42DFF">
        <w:rPr>
          <w:color w:val="auto"/>
        </w:rPr>
        <w:t xml:space="preserve"> has been </w:t>
      </w:r>
      <w:r w:rsidR="002878A7">
        <w:rPr>
          <w:color w:val="auto"/>
        </w:rPr>
        <w:t>weaker</w:t>
      </w:r>
      <w:r w:rsidR="002878A7" w:rsidRPr="002878A7">
        <w:rPr>
          <w:color w:val="auto"/>
        </w:rPr>
        <w:t xml:space="preserve"> than would have been expected based on historical relationships with its main</w:t>
      </w:r>
      <w:r w:rsidR="002878A7">
        <w:rPr>
          <w:color w:val="auto"/>
        </w:rPr>
        <w:t xml:space="preserve"> macroeconomic</w:t>
      </w:r>
      <w:r w:rsidR="002878A7" w:rsidRPr="002878A7">
        <w:rPr>
          <w:color w:val="auto"/>
        </w:rPr>
        <w:t xml:space="preserve"> determinants</w:t>
      </w:r>
      <w:r w:rsidR="00A42DFF">
        <w:rPr>
          <w:color w:val="auto"/>
        </w:rPr>
        <w:t xml:space="preserve"> </w:t>
      </w:r>
      <w:r w:rsidR="0034072E">
        <w:rPr>
          <w:color w:val="auto"/>
        </w:rPr>
        <w:t>(</w:t>
      </w:r>
      <w:r w:rsidR="002878A7">
        <w:rPr>
          <w:color w:val="auto"/>
        </w:rPr>
        <w:t>Cassidy 2019; Quinn 2019</w:t>
      </w:r>
      <w:r w:rsidR="0034072E">
        <w:rPr>
          <w:color w:val="auto"/>
        </w:rPr>
        <w:t>)</w:t>
      </w:r>
      <w:r w:rsidR="002878A7">
        <w:rPr>
          <w:color w:val="auto"/>
        </w:rPr>
        <w:t xml:space="preserve">. It also </w:t>
      </w:r>
      <w:r w:rsidR="00F02C07">
        <w:rPr>
          <w:color w:val="auto"/>
        </w:rPr>
        <w:t xml:space="preserve">complements </w:t>
      </w:r>
      <w:r w:rsidR="0091199A">
        <w:rPr>
          <w:color w:val="auto"/>
        </w:rPr>
        <w:t xml:space="preserve">our ongoing </w:t>
      </w:r>
      <w:r w:rsidR="0059573E">
        <w:rPr>
          <w:color w:val="auto"/>
        </w:rPr>
        <w:t xml:space="preserve">research </w:t>
      </w:r>
      <w:r w:rsidR="00E073D4">
        <w:rPr>
          <w:color w:val="auto"/>
        </w:rPr>
        <w:t>agenda</w:t>
      </w:r>
      <w:r w:rsidR="000320AF">
        <w:rPr>
          <w:color w:val="auto"/>
        </w:rPr>
        <w:t xml:space="preserve"> </w:t>
      </w:r>
      <w:r w:rsidR="00F02C07">
        <w:rPr>
          <w:color w:val="auto"/>
        </w:rPr>
        <w:t xml:space="preserve">into </w:t>
      </w:r>
      <w:r w:rsidR="0059573E">
        <w:rPr>
          <w:color w:val="auto"/>
        </w:rPr>
        <w:t xml:space="preserve">the extent to which declining labour market dynamism – particularly </w:t>
      </w:r>
      <w:r w:rsidR="00461689" w:rsidRPr="001E0A89">
        <w:rPr>
          <w:color w:val="auto"/>
        </w:rPr>
        <w:lastRenderedPageBreak/>
        <w:t xml:space="preserve">job switching rates </w:t>
      </w:r>
      <w:r w:rsidR="0059573E">
        <w:rPr>
          <w:color w:val="auto"/>
        </w:rPr>
        <w:t>– has constrained aggregate wage growth (Deutscher</w:t>
      </w:r>
      <w:r w:rsidR="00C93384">
        <w:rPr>
          <w:color w:val="auto"/>
        </w:rPr>
        <w:t> </w:t>
      </w:r>
      <w:r w:rsidR="0059573E">
        <w:rPr>
          <w:color w:val="auto"/>
        </w:rPr>
        <w:t>2019; Andrews, Deutscher, Hambur and Hansell, 2019)</w:t>
      </w:r>
      <w:r w:rsidR="00461689" w:rsidRPr="001E0A89">
        <w:rPr>
          <w:color w:val="auto"/>
        </w:rPr>
        <w:t>.</w:t>
      </w:r>
      <w:r w:rsidR="00461689">
        <w:rPr>
          <w:color w:val="auto"/>
        </w:rPr>
        <w:t xml:space="preserve"> </w:t>
      </w:r>
    </w:p>
    <w:p w14:paraId="1433D5AC" w14:textId="77777777" w:rsidR="006A0146" w:rsidRPr="00DC50A4" w:rsidRDefault="006A0146" w:rsidP="006A0146">
      <w:pPr>
        <w:jc w:val="both"/>
        <w:rPr>
          <w:color w:val="auto"/>
        </w:rPr>
      </w:pPr>
      <w:r w:rsidRPr="008E13EA">
        <w:rPr>
          <w:color w:val="auto"/>
        </w:rPr>
        <w:t xml:space="preserve">The next section discusses international evidence on </w:t>
      </w:r>
      <w:r w:rsidR="008E13EA" w:rsidRPr="008E13EA">
        <w:rPr>
          <w:color w:val="auto"/>
        </w:rPr>
        <w:t xml:space="preserve">productivity-enhancing resource reallocation, while </w:t>
      </w:r>
      <w:r w:rsidR="000320AF">
        <w:rPr>
          <w:color w:val="auto"/>
        </w:rPr>
        <w:t>S</w:t>
      </w:r>
      <w:r w:rsidR="000320AF" w:rsidRPr="008E13EA">
        <w:rPr>
          <w:color w:val="auto"/>
        </w:rPr>
        <w:t xml:space="preserve">ection </w:t>
      </w:r>
      <w:r w:rsidR="008E13EA" w:rsidRPr="008E13EA">
        <w:rPr>
          <w:color w:val="auto"/>
        </w:rPr>
        <w:t>3 describes the underlying firm-level data. Section 4 presents new evidence on the nature of static allocative efficiency i</w:t>
      </w:r>
      <w:r w:rsidRPr="008E13EA">
        <w:rPr>
          <w:color w:val="auto"/>
        </w:rPr>
        <w:t>n</w:t>
      </w:r>
      <w:r w:rsidR="008E13EA" w:rsidRPr="008E13EA">
        <w:rPr>
          <w:color w:val="auto"/>
        </w:rPr>
        <w:t xml:space="preserve"> the Australian business sector, while Section 5 explores how the process of dynamic allocative efficiency has evolved over time. The final section </w:t>
      </w:r>
      <w:r w:rsidR="000F476D" w:rsidRPr="008E13EA">
        <w:rPr>
          <w:color w:val="auto"/>
        </w:rPr>
        <w:t>discusses</w:t>
      </w:r>
      <w:r w:rsidR="000F476D">
        <w:rPr>
          <w:color w:val="auto"/>
        </w:rPr>
        <w:t xml:space="preserve"> </w:t>
      </w:r>
      <w:r w:rsidR="008E13EA" w:rsidRPr="008E13EA">
        <w:rPr>
          <w:color w:val="auto"/>
        </w:rPr>
        <w:t xml:space="preserve">the broader implications of the results and </w:t>
      </w:r>
      <w:r w:rsidR="000F476D">
        <w:rPr>
          <w:color w:val="auto"/>
        </w:rPr>
        <w:t xml:space="preserve">identifies </w:t>
      </w:r>
      <w:r w:rsidR="008E13EA" w:rsidRPr="008E13EA">
        <w:rPr>
          <w:color w:val="auto"/>
        </w:rPr>
        <w:t>avenues for future research.</w:t>
      </w:r>
    </w:p>
    <w:p w14:paraId="2398EC59" w14:textId="77777777" w:rsidR="00305A05" w:rsidRPr="00A57848" w:rsidRDefault="00305A05" w:rsidP="00305A05">
      <w:pPr>
        <w:pStyle w:val="Heading2"/>
      </w:pPr>
      <w:r>
        <w:t>Productivity</w:t>
      </w:r>
      <w:r w:rsidR="000F476D">
        <w:t xml:space="preserve"> and</w:t>
      </w:r>
      <w:r>
        <w:t xml:space="preserve"> Reallocation</w:t>
      </w:r>
    </w:p>
    <w:p w14:paraId="3CAFDA0A" w14:textId="77777777" w:rsidR="00543B19" w:rsidRDefault="008363FC" w:rsidP="00CA18B4">
      <w:pPr>
        <w:jc w:val="both"/>
        <w:rPr>
          <w:color w:val="auto"/>
        </w:rPr>
      </w:pPr>
      <w:r>
        <w:t>Research on productivity require</w:t>
      </w:r>
      <w:r w:rsidR="000852E4">
        <w:t>s</w:t>
      </w:r>
      <w:r>
        <w:t xml:space="preserve"> little motivation from a policy perspective. Indeed, Paul Krugman</w:t>
      </w:r>
      <w:r w:rsidR="00CA18B4">
        <w:t>’s</w:t>
      </w:r>
      <w:r w:rsidR="00CA182C">
        <w:t xml:space="preserve"> </w:t>
      </w:r>
      <w:r w:rsidR="00CA18B4">
        <w:t>maxim</w:t>
      </w:r>
      <w:r w:rsidR="00CA182C">
        <w:t xml:space="preserve"> that</w:t>
      </w:r>
      <w:r>
        <w:t xml:space="preserve"> </w:t>
      </w:r>
      <w:r w:rsidR="00C93384">
        <w:t>‘</w:t>
      </w:r>
      <w:r w:rsidR="00B36704">
        <w:t>Productivity isn’t everything but in the long run is almost everything</w:t>
      </w:r>
      <w:r w:rsidR="00C93384">
        <w:t>’</w:t>
      </w:r>
      <w:r w:rsidR="00B36704">
        <w:t xml:space="preserve"> </w:t>
      </w:r>
      <w:r w:rsidR="00CA18B4">
        <w:t xml:space="preserve">can perhaps be best understood </w:t>
      </w:r>
      <w:r w:rsidR="001B541A">
        <w:t>from the perspective</w:t>
      </w:r>
      <w:r w:rsidR="00CA18B4">
        <w:t xml:space="preserve"> that the large and persistent differences in income per capita observed across countries mostly reflect differences in labour productivity</w:t>
      </w:r>
      <w:r w:rsidR="00CA182C">
        <w:t xml:space="preserve"> (</w:t>
      </w:r>
      <w:r w:rsidR="00CA18B4">
        <w:t>as opposed to labour resource utilisation</w:t>
      </w:r>
      <w:r w:rsidR="00CA182C">
        <w:t>)</w:t>
      </w:r>
      <w:r w:rsidR="00B36704">
        <w:t xml:space="preserve">. </w:t>
      </w:r>
      <w:r w:rsidR="001B541A">
        <w:t>This is also true in the case of Australia, whose GDP per capita gap with the United States entirely reflects a shortfall in labour productivity,</w:t>
      </w:r>
      <w:r w:rsidR="00C83776">
        <w:t xml:space="preserve"> and in turn </w:t>
      </w:r>
      <w:r w:rsidR="001B541A">
        <w:t>multifactor productivity (</w:t>
      </w:r>
      <w:r w:rsidR="001B541A" w:rsidRPr="00906C74">
        <w:t xml:space="preserve">MFP) </w:t>
      </w:r>
      <w:r w:rsidR="008F5AA4" w:rsidRPr="00906C74">
        <w:t>(</w:t>
      </w:r>
      <w:r w:rsidR="00C83776" w:rsidRPr="00906C74">
        <w:t>OECD, 2018</w:t>
      </w:r>
      <w:r w:rsidR="008F5AA4" w:rsidRPr="00906C74">
        <w:t>)</w:t>
      </w:r>
      <w:r w:rsidR="001B541A" w:rsidRPr="00906C74">
        <w:t xml:space="preserve">. </w:t>
      </w:r>
      <w:r w:rsidR="00B8752A" w:rsidRPr="00906C74">
        <w:t>R</w:t>
      </w:r>
      <w:r w:rsidR="00B36704" w:rsidRPr="00906C74">
        <w:t xml:space="preserve">aising productivity growth </w:t>
      </w:r>
      <w:r w:rsidR="000320AF" w:rsidRPr="00906C74">
        <w:t xml:space="preserve">will be </w:t>
      </w:r>
      <w:r w:rsidR="00CD1A9D" w:rsidRPr="00906C74">
        <w:t>essential if Australia is to</w:t>
      </w:r>
      <w:r w:rsidR="00B36704" w:rsidRPr="00906C74">
        <w:t xml:space="preserve"> sustain</w:t>
      </w:r>
      <w:r w:rsidR="001B541A" w:rsidRPr="00906C74">
        <w:t xml:space="preserve"> future</w:t>
      </w:r>
      <w:r w:rsidR="00B36704" w:rsidRPr="00906C74">
        <w:t xml:space="preserve"> gains in living</w:t>
      </w:r>
      <w:r w:rsidR="00B36704">
        <w:t xml:space="preserve"> standards</w:t>
      </w:r>
      <w:r w:rsidR="00CD1A9D">
        <w:t>, particularly</w:t>
      </w:r>
      <w:r w:rsidR="00B36704">
        <w:t xml:space="preserve"> given demographic headwinds and t</w:t>
      </w:r>
      <w:r w:rsidR="00B8752A">
        <w:t>erms of trade</w:t>
      </w:r>
      <w:r w:rsidR="00B36704">
        <w:t xml:space="preserve"> normalisation </w:t>
      </w:r>
      <w:r w:rsidR="00FB57C1">
        <w:rPr>
          <w:color w:val="auto"/>
        </w:rPr>
        <w:t>(Gaetje</w:t>
      </w:r>
      <w:r w:rsidR="00B36704" w:rsidRPr="00A63954">
        <w:rPr>
          <w:color w:val="auto"/>
        </w:rPr>
        <w:t>ns, 2018).</w:t>
      </w:r>
      <w:r w:rsidR="00B36704">
        <w:t xml:space="preserve"> Indeed, these </w:t>
      </w:r>
      <w:r w:rsidR="00B36704">
        <w:rPr>
          <w:color w:val="auto"/>
        </w:rPr>
        <w:t xml:space="preserve">headwinds imply that </w:t>
      </w:r>
      <w:r w:rsidR="00B36704" w:rsidRPr="00A63954">
        <w:rPr>
          <w:color w:val="auto"/>
        </w:rPr>
        <w:t>a</w:t>
      </w:r>
      <w:r w:rsidR="00B36704">
        <w:rPr>
          <w:color w:val="auto"/>
        </w:rPr>
        <w:t>n a</w:t>
      </w:r>
      <w:r w:rsidR="00B36704" w:rsidRPr="00A63954">
        <w:rPr>
          <w:color w:val="auto"/>
        </w:rPr>
        <w:t>dditional</w:t>
      </w:r>
      <w:r w:rsidR="00B36704">
        <w:rPr>
          <w:color w:val="auto"/>
        </w:rPr>
        <w:t xml:space="preserve"> </w:t>
      </w:r>
      <w:r w:rsidR="00B36704" w:rsidRPr="00FA66A8">
        <w:rPr>
          <w:color w:val="auto"/>
        </w:rPr>
        <w:t>1</w:t>
      </w:r>
      <w:r w:rsidR="00B36704">
        <w:rPr>
          <w:color w:val="auto"/>
        </w:rPr>
        <w:t xml:space="preserve"> percentage point of</w:t>
      </w:r>
      <w:r w:rsidR="00B36704" w:rsidRPr="00A63954">
        <w:rPr>
          <w:color w:val="auto"/>
        </w:rPr>
        <w:t xml:space="preserve"> labour productivity </w:t>
      </w:r>
      <w:r w:rsidR="00B36704">
        <w:rPr>
          <w:color w:val="auto"/>
        </w:rPr>
        <w:t xml:space="preserve">growth </w:t>
      </w:r>
      <w:r w:rsidR="00B36704" w:rsidRPr="00A63954">
        <w:rPr>
          <w:color w:val="auto"/>
        </w:rPr>
        <w:t xml:space="preserve">is </w:t>
      </w:r>
      <w:r w:rsidR="00B36704">
        <w:rPr>
          <w:color w:val="auto"/>
        </w:rPr>
        <w:t xml:space="preserve">required over the next decade just </w:t>
      </w:r>
      <w:r w:rsidR="00B36704" w:rsidRPr="00A63954">
        <w:rPr>
          <w:color w:val="auto"/>
        </w:rPr>
        <w:t xml:space="preserve">to maintain income growth </w:t>
      </w:r>
      <w:r w:rsidR="00B36704">
        <w:rPr>
          <w:color w:val="auto"/>
        </w:rPr>
        <w:t>at its</w:t>
      </w:r>
      <w:r w:rsidR="00B36704" w:rsidRPr="00A63954">
        <w:rPr>
          <w:color w:val="auto"/>
        </w:rPr>
        <w:t xml:space="preserve"> 30 year</w:t>
      </w:r>
      <w:r w:rsidR="00B36704">
        <w:rPr>
          <w:color w:val="auto"/>
        </w:rPr>
        <w:t xml:space="preserve"> historical average (Figure 1)</w:t>
      </w:r>
      <w:r w:rsidR="00836360">
        <w:rPr>
          <w:color w:val="auto"/>
        </w:rPr>
        <w:t>.</w:t>
      </w:r>
    </w:p>
    <w:p w14:paraId="414C84F4" w14:textId="77777777" w:rsidR="00E31BB9" w:rsidRDefault="00E31BB9">
      <w:pPr>
        <w:spacing w:after="200" w:line="276" w:lineRule="auto"/>
        <w:rPr>
          <w:b/>
          <w:color w:val="auto"/>
          <w:highlight w:val="yellow"/>
        </w:rPr>
      </w:pPr>
      <w:r>
        <w:rPr>
          <w:b/>
          <w:color w:val="auto"/>
          <w:highlight w:val="yellow"/>
        </w:rPr>
        <w:br w:type="page"/>
      </w:r>
    </w:p>
    <w:p w14:paraId="2F955DE2" w14:textId="77777777" w:rsidR="00543B19" w:rsidRDefault="00543B19" w:rsidP="00FB1737">
      <w:pPr>
        <w:pStyle w:val="FigureHeading"/>
      </w:pPr>
      <w:r w:rsidRPr="00FA66A8">
        <w:lastRenderedPageBreak/>
        <w:t>Figure 1: Decomposition of growth in Real GNI per capita</w:t>
      </w:r>
    </w:p>
    <w:p w14:paraId="103F6765" w14:textId="77777777" w:rsidR="00DB56C9" w:rsidRPr="00DB56C9" w:rsidRDefault="00DB56C9" w:rsidP="00DB56C9">
      <w:pPr>
        <w:jc w:val="center"/>
        <w:rPr>
          <w:noProof/>
          <w:lang w:eastAsia="en-AU"/>
        </w:rPr>
      </w:pPr>
      <w:r>
        <w:rPr>
          <w:noProof/>
          <w:lang w:eastAsia="en-AU"/>
        </w:rPr>
        <w:drawing>
          <wp:inline distT="0" distB="0" distL="0" distR="0" wp14:anchorId="48497185" wp14:editId="4494C9EB">
            <wp:extent cx="5500457" cy="2880000"/>
            <wp:effectExtent l="0" t="0" r="50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6E3B52" w14:textId="77777777" w:rsidR="003703A4" w:rsidRDefault="003703A4" w:rsidP="00C93384">
      <w:pPr>
        <w:pStyle w:val="ChartorTableNote"/>
      </w:pPr>
      <w:r w:rsidRPr="003703A4">
        <w:t xml:space="preserve">Source: </w:t>
      </w:r>
      <w:r w:rsidR="00B70BBC">
        <w:t xml:space="preserve">ABS (2019), </w:t>
      </w:r>
      <w:r w:rsidRPr="003703A4">
        <w:t>Treasury.</w:t>
      </w:r>
    </w:p>
    <w:p w14:paraId="7EE6AA60" w14:textId="77777777" w:rsidR="00C93384" w:rsidRPr="00C93384" w:rsidRDefault="00C93384" w:rsidP="00C93384">
      <w:pPr>
        <w:pStyle w:val="SingleParagraph"/>
        <w:rPr>
          <w:lang w:eastAsia="en-AU"/>
        </w:rPr>
      </w:pPr>
    </w:p>
    <w:p w14:paraId="72233329" w14:textId="77777777" w:rsidR="008C659C" w:rsidRDefault="008363FC" w:rsidP="00B8164E">
      <w:pPr>
        <w:jc w:val="both"/>
        <w:rPr>
          <w:color w:val="auto"/>
        </w:rPr>
      </w:pPr>
      <w:r>
        <w:rPr>
          <w:color w:val="auto"/>
        </w:rPr>
        <w:t xml:space="preserve">From this perspective, the stakes are high and the </w:t>
      </w:r>
      <w:r w:rsidR="00836360">
        <w:rPr>
          <w:color w:val="auto"/>
        </w:rPr>
        <w:t>search for the sources of productivity growth</w:t>
      </w:r>
      <w:r>
        <w:rPr>
          <w:color w:val="auto"/>
        </w:rPr>
        <w:t xml:space="preserve"> </w:t>
      </w:r>
      <w:r w:rsidR="00543B19">
        <w:rPr>
          <w:color w:val="auto"/>
        </w:rPr>
        <w:t xml:space="preserve">is </w:t>
      </w:r>
      <w:r>
        <w:rPr>
          <w:color w:val="auto"/>
        </w:rPr>
        <w:t>on in earnest.</w:t>
      </w:r>
      <w:r w:rsidR="00543B19">
        <w:rPr>
          <w:color w:val="auto"/>
        </w:rPr>
        <w:t xml:space="preserve"> A key starting point is that labour productivity can be decomposed into the contributions of capital deepening and MFP, which reflects the efficiency with which inputs are used.</w:t>
      </w:r>
      <w:r w:rsidR="00010D4D">
        <w:rPr>
          <w:color w:val="auto"/>
        </w:rPr>
        <w:t xml:space="preserve"> </w:t>
      </w:r>
      <w:r w:rsidR="00010D4D" w:rsidRPr="00010D4D">
        <w:rPr>
          <w:color w:val="auto"/>
        </w:rPr>
        <w:t xml:space="preserve">While </w:t>
      </w:r>
      <w:r w:rsidR="00010D4D">
        <w:rPr>
          <w:color w:val="auto"/>
        </w:rPr>
        <w:t>considerable</w:t>
      </w:r>
      <w:r w:rsidR="00010D4D" w:rsidRPr="00010D4D">
        <w:rPr>
          <w:color w:val="auto"/>
        </w:rPr>
        <w:t xml:space="preserve"> attention has been paid to the prospects for capital </w:t>
      </w:r>
      <w:r w:rsidR="002F06D2" w:rsidRPr="00010D4D">
        <w:rPr>
          <w:color w:val="auto"/>
        </w:rPr>
        <w:t>d</w:t>
      </w:r>
      <w:r w:rsidR="002F06D2">
        <w:rPr>
          <w:color w:val="auto"/>
        </w:rPr>
        <w:t>eepening</w:t>
      </w:r>
      <w:r w:rsidR="00010D4D" w:rsidRPr="00010D4D">
        <w:rPr>
          <w:color w:val="auto"/>
        </w:rPr>
        <w:t xml:space="preserve"> (Heads of Treasuries, 2017; Debelle, 2017), less is known about the drivers of MFP growth in Australia</w:t>
      </w:r>
      <w:r w:rsidR="00010D4D">
        <w:rPr>
          <w:color w:val="auto"/>
        </w:rPr>
        <w:t xml:space="preserve">. This </w:t>
      </w:r>
      <w:r w:rsidR="00302763">
        <w:rPr>
          <w:color w:val="auto"/>
        </w:rPr>
        <w:t xml:space="preserve">is perhaps not surprising given </w:t>
      </w:r>
      <w:r w:rsidR="00CD1A9D">
        <w:rPr>
          <w:color w:val="auto"/>
        </w:rPr>
        <w:t xml:space="preserve">the fact that </w:t>
      </w:r>
      <w:r w:rsidR="006F6761">
        <w:rPr>
          <w:color w:val="auto"/>
        </w:rPr>
        <w:t>while</w:t>
      </w:r>
      <w:r w:rsidR="00302763">
        <w:rPr>
          <w:color w:val="auto"/>
        </w:rPr>
        <w:t xml:space="preserve"> </w:t>
      </w:r>
      <w:r w:rsidR="00175568">
        <w:rPr>
          <w:color w:val="auto"/>
        </w:rPr>
        <w:t>economists</w:t>
      </w:r>
      <w:r w:rsidR="0099479B">
        <w:rPr>
          <w:color w:val="auto"/>
        </w:rPr>
        <w:t xml:space="preserve"> </w:t>
      </w:r>
      <w:r w:rsidR="00B34034">
        <w:rPr>
          <w:color w:val="auto"/>
        </w:rPr>
        <w:t xml:space="preserve">are typically confident in their ability to </w:t>
      </w:r>
      <w:r w:rsidR="0099479B">
        <w:rPr>
          <w:color w:val="auto"/>
        </w:rPr>
        <w:t xml:space="preserve">understand capital deepening </w:t>
      </w:r>
      <w:r w:rsidR="002F06D2">
        <w:rPr>
          <w:color w:val="auto"/>
        </w:rPr>
        <w:t>in</w:t>
      </w:r>
      <w:r w:rsidR="0099479B">
        <w:rPr>
          <w:color w:val="auto"/>
        </w:rPr>
        <w:t xml:space="preserve"> macroeconomic </w:t>
      </w:r>
      <w:r w:rsidR="002F06D2">
        <w:rPr>
          <w:color w:val="auto"/>
        </w:rPr>
        <w:t>terms</w:t>
      </w:r>
      <w:r w:rsidR="00010D4D">
        <w:rPr>
          <w:color w:val="auto"/>
        </w:rPr>
        <w:t xml:space="preserve"> </w:t>
      </w:r>
      <w:r w:rsidR="0099479B">
        <w:rPr>
          <w:color w:val="auto"/>
        </w:rPr>
        <w:t>(Furman, 2015), getting a handle on MFP</w:t>
      </w:r>
      <w:r w:rsidR="005351A2">
        <w:rPr>
          <w:color w:val="auto"/>
        </w:rPr>
        <w:t xml:space="preserve"> is </w:t>
      </w:r>
      <w:r w:rsidR="0099479B">
        <w:rPr>
          <w:color w:val="auto"/>
        </w:rPr>
        <w:t xml:space="preserve">fundamentally </w:t>
      </w:r>
      <w:r w:rsidR="005351A2">
        <w:rPr>
          <w:color w:val="auto"/>
        </w:rPr>
        <w:t xml:space="preserve">more complex </w:t>
      </w:r>
      <w:r w:rsidR="006F6761">
        <w:rPr>
          <w:color w:val="auto"/>
        </w:rPr>
        <w:t>and</w:t>
      </w:r>
      <w:r w:rsidR="005351A2">
        <w:rPr>
          <w:color w:val="auto"/>
        </w:rPr>
        <w:t xml:space="preserve"> </w:t>
      </w:r>
      <w:r w:rsidR="0099479B">
        <w:rPr>
          <w:color w:val="auto"/>
        </w:rPr>
        <w:t xml:space="preserve">requires a firm-level perspective (Syverson, 2011). </w:t>
      </w:r>
      <w:r w:rsidR="00AE39C1">
        <w:rPr>
          <w:color w:val="auto"/>
        </w:rPr>
        <w:t xml:space="preserve">Moreover, </w:t>
      </w:r>
      <w:r w:rsidR="00B8164E">
        <w:rPr>
          <w:color w:val="auto"/>
        </w:rPr>
        <w:t xml:space="preserve">this knowledge </w:t>
      </w:r>
      <w:r w:rsidR="00486739">
        <w:rPr>
          <w:color w:val="auto"/>
        </w:rPr>
        <w:t>imbalance</w:t>
      </w:r>
      <w:r w:rsidR="00B8164E">
        <w:rPr>
          <w:color w:val="auto"/>
        </w:rPr>
        <w:t xml:space="preserve"> with respect to the drivers of productivity growth is particularly stark in Australia</w:t>
      </w:r>
      <w:r w:rsidR="002F06D2">
        <w:rPr>
          <w:color w:val="auto"/>
        </w:rPr>
        <w:t xml:space="preserve">, </w:t>
      </w:r>
      <w:r w:rsidR="00E44110">
        <w:rPr>
          <w:color w:val="auto"/>
        </w:rPr>
        <w:t>largely</w:t>
      </w:r>
      <w:r w:rsidR="002F06D2">
        <w:rPr>
          <w:color w:val="auto"/>
        </w:rPr>
        <w:t xml:space="preserve"> due to</w:t>
      </w:r>
      <w:r w:rsidR="00FD35B8">
        <w:rPr>
          <w:color w:val="auto"/>
        </w:rPr>
        <w:t xml:space="preserve"> </w:t>
      </w:r>
      <w:r w:rsidR="00B8164E" w:rsidRPr="00B8164E">
        <w:rPr>
          <w:color w:val="auto"/>
        </w:rPr>
        <w:t>historical constraints on access to firm</w:t>
      </w:r>
      <w:r w:rsidR="00CD1A9D">
        <w:rPr>
          <w:color w:val="auto"/>
        </w:rPr>
        <w:t>-</w:t>
      </w:r>
      <w:r w:rsidR="00B8164E" w:rsidRPr="00B8164E">
        <w:rPr>
          <w:color w:val="auto"/>
        </w:rPr>
        <w:t>level data sources</w:t>
      </w:r>
      <w:r w:rsidR="00FB3B0A">
        <w:rPr>
          <w:color w:val="auto"/>
        </w:rPr>
        <w:t>, which are now beginning to ease</w:t>
      </w:r>
      <w:r w:rsidR="00B8164E">
        <w:rPr>
          <w:color w:val="auto"/>
        </w:rPr>
        <w:t>.</w:t>
      </w:r>
    </w:p>
    <w:p w14:paraId="4B6EA9B3" w14:textId="77777777" w:rsidR="00D74C6F" w:rsidRDefault="00D74C6F" w:rsidP="00C30B5D">
      <w:pPr>
        <w:jc w:val="both"/>
        <w:rPr>
          <w:color w:val="auto"/>
        </w:rPr>
      </w:pPr>
      <w:r>
        <w:rPr>
          <w:color w:val="auto"/>
        </w:rPr>
        <w:t xml:space="preserve">This </w:t>
      </w:r>
      <w:r w:rsidR="00FB3B0A">
        <w:rPr>
          <w:color w:val="auto"/>
        </w:rPr>
        <w:t>is a welcome development given</w:t>
      </w:r>
      <w:r w:rsidR="008C659C">
        <w:rPr>
          <w:color w:val="auto"/>
        </w:rPr>
        <w:t xml:space="preserve"> </w:t>
      </w:r>
      <w:r w:rsidR="00CD1A9D">
        <w:rPr>
          <w:color w:val="auto"/>
        </w:rPr>
        <w:t xml:space="preserve">the growing recognition of the importance of </w:t>
      </w:r>
      <w:r w:rsidR="00AA5363">
        <w:rPr>
          <w:color w:val="auto"/>
        </w:rPr>
        <w:t xml:space="preserve">the widespread </w:t>
      </w:r>
      <w:r w:rsidR="00CD1A9D">
        <w:rPr>
          <w:color w:val="auto"/>
        </w:rPr>
        <w:t>heterogene</w:t>
      </w:r>
      <w:r w:rsidR="00AA5363">
        <w:rPr>
          <w:color w:val="auto"/>
        </w:rPr>
        <w:t>ity in</w:t>
      </w:r>
      <w:r w:rsidR="00CD1A9D">
        <w:rPr>
          <w:color w:val="auto"/>
        </w:rPr>
        <w:t xml:space="preserve"> firm productivity outcomes for </w:t>
      </w:r>
      <w:r w:rsidR="008C659C">
        <w:rPr>
          <w:color w:val="auto"/>
        </w:rPr>
        <w:t xml:space="preserve">aggregate </w:t>
      </w:r>
      <w:r w:rsidR="008C659C">
        <w:rPr>
          <w:color w:val="auto"/>
        </w:rPr>
        <w:lastRenderedPageBreak/>
        <w:t xml:space="preserve">productivity </w:t>
      </w:r>
      <w:r w:rsidRPr="00D74C6F">
        <w:rPr>
          <w:color w:val="auto"/>
        </w:rPr>
        <w:t>(Bartelsman et al.,</w:t>
      </w:r>
      <w:r>
        <w:rPr>
          <w:color w:val="auto"/>
        </w:rPr>
        <w:t xml:space="preserve"> </w:t>
      </w:r>
      <w:r w:rsidRPr="00D74C6F">
        <w:rPr>
          <w:color w:val="auto"/>
        </w:rPr>
        <w:t xml:space="preserve">2013). </w:t>
      </w:r>
      <w:r>
        <w:rPr>
          <w:color w:val="auto"/>
        </w:rPr>
        <w:t>F</w:t>
      </w:r>
      <w:r w:rsidR="00C83776">
        <w:rPr>
          <w:color w:val="auto"/>
        </w:rPr>
        <w:t>or example,</w:t>
      </w:r>
      <w:r>
        <w:rPr>
          <w:color w:val="auto"/>
        </w:rPr>
        <w:t xml:space="preserve"> </w:t>
      </w:r>
      <w:r w:rsidRPr="00D74C6F">
        <w:rPr>
          <w:color w:val="auto"/>
        </w:rPr>
        <w:t>even within narrowly defined industries</w:t>
      </w:r>
      <w:r>
        <w:rPr>
          <w:color w:val="auto"/>
        </w:rPr>
        <w:t xml:space="preserve"> (</w:t>
      </w:r>
      <w:r w:rsidR="00C93384">
        <w:rPr>
          <w:color w:val="auto"/>
        </w:rPr>
        <w:t>that is,</w:t>
      </w:r>
      <w:r w:rsidR="00EB71D2">
        <w:rPr>
          <w:color w:val="auto"/>
        </w:rPr>
        <w:t xml:space="preserve"> </w:t>
      </w:r>
      <w:r>
        <w:rPr>
          <w:color w:val="auto"/>
        </w:rPr>
        <w:t>ready-mix concrete)</w:t>
      </w:r>
      <w:r w:rsidRPr="00D74C6F">
        <w:rPr>
          <w:color w:val="auto"/>
        </w:rPr>
        <w:t xml:space="preserve"> in the United States, firms at the 90th percentile of the </w:t>
      </w:r>
      <w:r>
        <w:rPr>
          <w:color w:val="auto"/>
        </w:rPr>
        <w:t>M</w:t>
      </w:r>
      <w:r w:rsidRPr="00D74C6F">
        <w:rPr>
          <w:color w:val="auto"/>
        </w:rPr>
        <w:t>FP</w:t>
      </w:r>
      <w:r>
        <w:rPr>
          <w:color w:val="auto"/>
        </w:rPr>
        <w:t xml:space="preserve"> </w:t>
      </w:r>
      <w:r w:rsidRPr="00D74C6F">
        <w:rPr>
          <w:color w:val="auto"/>
        </w:rPr>
        <w:t>distribution are twice as productive as firms at the 10th percentile (Syverson, 2004).</w:t>
      </w:r>
      <w:r w:rsidR="005923A6">
        <w:rPr>
          <w:color w:val="auto"/>
        </w:rPr>
        <w:t xml:space="preserve"> </w:t>
      </w:r>
      <w:r w:rsidR="00AE39C1">
        <w:rPr>
          <w:color w:val="auto"/>
        </w:rPr>
        <w:t xml:space="preserve">Similarly, </w:t>
      </w:r>
      <w:r w:rsidR="00AE39C1" w:rsidRPr="00AA5363">
        <w:rPr>
          <w:color w:val="auto"/>
        </w:rPr>
        <w:t xml:space="preserve">Campbell et al (2018) </w:t>
      </w:r>
      <w:r w:rsidR="00AE39C1" w:rsidRPr="00AE39C1">
        <w:rPr>
          <w:color w:val="auto"/>
        </w:rPr>
        <w:t>document the widespread dispersion in firm</w:t>
      </w:r>
      <w:r w:rsidR="00AE39C1">
        <w:rPr>
          <w:color w:val="auto"/>
        </w:rPr>
        <w:t>-level</w:t>
      </w:r>
      <w:r w:rsidR="00AE39C1" w:rsidRPr="00AE39C1">
        <w:rPr>
          <w:color w:val="auto"/>
        </w:rPr>
        <w:t xml:space="preserve"> labour productivity within Australian industries</w:t>
      </w:r>
      <w:r w:rsidR="005923A6" w:rsidRPr="00AE39C1">
        <w:rPr>
          <w:color w:val="auto"/>
        </w:rPr>
        <w:t>.</w:t>
      </w:r>
      <w:r w:rsidRPr="00AE39C1">
        <w:rPr>
          <w:color w:val="auto"/>
        </w:rPr>
        <w:t xml:space="preserve"> </w:t>
      </w:r>
      <w:r w:rsidR="00C30B5D" w:rsidRPr="00AE39C1">
        <w:rPr>
          <w:color w:val="auto"/>
        </w:rPr>
        <w:t>Th</w:t>
      </w:r>
      <w:r w:rsidR="00C30B5D">
        <w:rPr>
          <w:color w:val="auto"/>
        </w:rPr>
        <w:t>e literature initially focused on how s</w:t>
      </w:r>
      <w:r w:rsidR="00023373">
        <w:rPr>
          <w:color w:val="auto"/>
        </w:rPr>
        <w:t xml:space="preserve">uch large differences in productivity </w:t>
      </w:r>
      <w:r w:rsidR="00C30B5D">
        <w:rPr>
          <w:color w:val="auto"/>
        </w:rPr>
        <w:t xml:space="preserve">could be </w:t>
      </w:r>
      <w:r w:rsidR="00023373">
        <w:rPr>
          <w:color w:val="auto"/>
        </w:rPr>
        <w:t>sustained in equilibrium</w:t>
      </w:r>
      <w:r w:rsidR="00C30B5D">
        <w:rPr>
          <w:color w:val="auto"/>
        </w:rPr>
        <w:t>, emphasis</w:t>
      </w:r>
      <w:r w:rsidR="00115BF5">
        <w:rPr>
          <w:color w:val="auto"/>
        </w:rPr>
        <w:t>ing</w:t>
      </w:r>
      <w:r w:rsidR="00C30B5D">
        <w:rPr>
          <w:color w:val="auto"/>
        </w:rPr>
        <w:t xml:space="preserve"> </w:t>
      </w:r>
      <w:r w:rsidR="00C30B5D" w:rsidRPr="00C30B5D">
        <w:rPr>
          <w:color w:val="auto"/>
        </w:rPr>
        <w:t>imperfect product substitutability</w:t>
      </w:r>
      <w:r w:rsidR="00C30B5D">
        <w:rPr>
          <w:color w:val="auto"/>
        </w:rPr>
        <w:t xml:space="preserve"> that </w:t>
      </w:r>
      <w:r w:rsidR="00C30B5D" w:rsidRPr="00C30B5D">
        <w:rPr>
          <w:color w:val="auto"/>
        </w:rPr>
        <w:t>prevent customers from easily shifting purchases between producers</w:t>
      </w:r>
      <w:r w:rsidR="00D210A7">
        <w:rPr>
          <w:color w:val="auto"/>
        </w:rPr>
        <w:t>,</w:t>
      </w:r>
      <w:r w:rsidR="00C30B5D">
        <w:rPr>
          <w:color w:val="auto"/>
        </w:rPr>
        <w:t xml:space="preserve"> </w:t>
      </w:r>
      <w:r w:rsidR="00023373">
        <w:rPr>
          <w:color w:val="auto"/>
        </w:rPr>
        <w:t>and supply</w:t>
      </w:r>
      <w:r w:rsidR="00C93384">
        <w:rPr>
          <w:color w:val="auto"/>
        </w:rPr>
        <w:noBreakHyphen/>
      </w:r>
      <w:r w:rsidR="00023373">
        <w:rPr>
          <w:color w:val="auto"/>
        </w:rPr>
        <w:t xml:space="preserve">side </w:t>
      </w:r>
      <w:r w:rsidR="00023373" w:rsidRPr="00023373">
        <w:rPr>
          <w:color w:val="auto"/>
        </w:rPr>
        <w:t>factors related to technology</w:t>
      </w:r>
      <w:r w:rsidR="00023373">
        <w:rPr>
          <w:color w:val="auto"/>
        </w:rPr>
        <w:t xml:space="preserve"> </w:t>
      </w:r>
      <w:r w:rsidR="00C30B5D">
        <w:rPr>
          <w:color w:val="auto"/>
        </w:rPr>
        <w:t>shocks, management skill and</w:t>
      </w:r>
      <w:r w:rsidR="00023373" w:rsidRPr="00023373">
        <w:rPr>
          <w:color w:val="auto"/>
        </w:rPr>
        <w:t xml:space="preserve"> R&amp;D (Bartelsman and Doms, 2000).</w:t>
      </w:r>
      <w:r w:rsidR="00023373">
        <w:rPr>
          <w:color w:val="auto"/>
        </w:rPr>
        <w:t xml:space="preserve"> </w:t>
      </w:r>
      <w:r w:rsidR="00115BF5">
        <w:rPr>
          <w:color w:val="auto"/>
        </w:rPr>
        <w:t xml:space="preserve">More recent studies, however, have </w:t>
      </w:r>
      <w:r w:rsidR="006F5707">
        <w:rPr>
          <w:color w:val="auto"/>
        </w:rPr>
        <w:t xml:space="preserve">emphasised that a small number of </w:t>
      </w:r>
      <w:r w:rsidRPr="00D74C6F">
        <w:rPr>
          <w:color w:val="auto"/>
        </w:rPr>
        <w:t>star</w:t>
      </w:r>
      <w:r>
        <w:rPr>
          <w:color w:val="auto"/>
        </w:rPr>
        <w:t xml:space="preserve"> </w:t>
      </w:r>
      <w:r w:rsidRPr="00D74C6F">
        <w:rPr>
          <w:color w:val="auto"/>
        </w:rPr>
        <w:t xml:space="preserve">performers disproportionately drive </w:t>
      </w:r>
      <w:r w:rsidR="0049062B">
        <w:rPr>
          <w:color w:val="auto"/>
        </w:rPr>
        <w:t>aggregate</w:t>
      </w:r>
      <w:r w:rsidRPr="00D74C6F">
        <w:rPr>
          <w:color w:val="auto"/>
        </w:rPr>
        <w:t xml:space="preserve"> growth (Haltiwanger, 2013)</w:t>
      </w:r>
      <w:r w:rsidR="00115BF5">
        <w:rPr>
          <w:color w:val="auto"/>
        </w:rPr>
        <w:t xml:space="preserve">, while recognising that many existing technologies remain unexploited by a large share of firms </w:t>
      </w:r>
      <w:r w:rsidR="00C30B5D">
        <w:rPr>
          <w:color w:val="auto"/>
        </w:rPr>
        <w:t>(Andrews</w:t>
      </w:r>
      <w:r w:rsidR="00C83776">
        <w:rPr>
          <w:color w:val="auto"/>
        </w:rPr>
        <w:t>,</w:t>
      </w:r>
      <w:r w:rsidR="00C30B5D">
        <w:rPr>
          <w:color w:val="auto"/>
        </w:rPr>
        <w:t xml:space="preserve"> Criscuolo and Gal, 2016).</w:t>
      </w:r>
    </w:p>
    <w:p w14:paraId="6F7110F7" w14:textId="77777777" w:rsidR="00D44AD0" w:rsidRDefault="008A2A80" w:rsidP="00BD4EE5">
      <w:pPr>
        <w:jc w:val="both"/>
        <w:rPr>
          <w:color w:val="auto"/>
        </w:rPr>
      </w:pPr>
      <w:r>
        <w:rPr>
          <w:color w:val="auto"/>
        </w:rPr>
        <w:t xml:space="preserve">While the source of these </w:t>
      </w:r>
      <w:r w:rsidRPr="008A2A80">
        <w:rPr>
          <w:color w:val="auto"/>
        </w:rPr>
        <w:t xml:space="preserve">within-firm </w:t>
      </w:r>
      <w:r>
        <w:rPr>
          <w:color w:val="auto"/>
        </w:rPr>
        <w:t xml:space="preserve">differences in productivity is complex, </w:t>
      </w:r>
      <w:r w:rsidRPr="008A2A80">
        <w:rPr>
          <w:color w:val="auto"/>
        </w:rPr>
        <w:t xml:space="preserve">a more straightforward implication is that it creates scope for </w:t>
      </w:r>
      <w:r w:rsidRPr="00FE2FCB">
        <w:rPr>
          <w:color w:val="auto"/>
        </w:rPr>
        <w:t xml:space="preserve">the reallocation of </w:t>
      </w:r>
      <w:r w:rsidR="00AA4111" w:rsidRPr="00FE2FCB">
        <w:rPr>
          <w:color w:val="auto"/>
        </w:rPr>
        <w:t xml:space="preserve">scarce </w:t>
      </w:r>
      <w:r w:rsidRPr="00FE2FCB">
        <w:rPr>
          <w:color w:val="auto"/>
        </w:rPr>
        <w:t xml:space="preserve">resources from low to high productivity firms to </w:t>
      </w:r>
      <w:r w:rsidR="00AA4111" w:rsidRPr="00FE2FCB">
        <w:rPr>
          <w:color w:val="auto"/>
        </w:rPr>
        <w:t>raise</w:t>
      </w:r>
      <w:r w:rsidRPr="00FE2FCB">
        <w:rPr>
          <w:color w:val="auto"/>
        </w:rPr>
        <w:t xml:space="preserve"> aggregate productivity</w:t>
      </w:r>
      <w:r w:rsidR="00EA2B45" w:rsidRPr="00FE2FCB">
        <w:rPr>
          <w:color w:val="auto"/>
        </w:rPr>
        <w:t>.</w:t>
      </w:r>
      <w:r w:rsidR="00667729" w:rsidRPr="00FE2FCB">
        <w:rPr>
          <w:color w:val="auto"/>
        </w:rPr>
        <w:t xml:space="preserve"> </w:t>
      </w:r>
      <w:r w:rsidR="00D97FCB">
        <w:rPr>
          <w:color w:val="auto"/>
        </w:rPr>
        <w:t>This is</w:t>
      </w:r>
      <w:r w:rsidR="00D51F45">
        <w:rPr>
          <w:color w:val="auto"/>
        </w:rPr>
        <w:t xml:space="preserve"> particularly</w:t>
      </w:r>
      <w:r w:rsidR="00D97FCB">
        <w:rPr>
          <w:color w:val="auto"/>
        </w:rPr>
        <w:t xml:space="preserve"> the case </w:t>
      </w:r>
      <w:r w:rsidR="00D210A7">
        <w:rPr>
          <w:color w:val="auto"/>
        </w:rPr>
        <w:t>for</w:t>
      </w:r>
      <w:r w:rsidR="00D51F45">
        <w:rPr>
          <w:color w:val="auto"/>
        </w:rPr>
        <w:t xml:space="preserve"> </w:t>
      </w:r>
      <w:r w:rsidR="00667729" w:rsidRPr="00FE2FCB">
        <w:rPr>
          <w:color w:val="auto"/>
        </w:rPr>
        <w:t>reallocation</w:t>
      </w:r>
      <w:r w:rsidR="00D51F45">
        <w:rPr>
          <w:color w:val="auto"/>
        </w:rPr>
        <w:t xml:space="preserve"> within </w:t>
      </w:r>
      <w:r w:rsidR="00D51F45" w:rsidRPr="00FE2FCB">
        <w:rPr>
          <w:color w:val="auto"/>
        </w:rPr>
        <w:t>industr</w:t>
      </w:r>
      <w:r w:rsidR="00D51F45">
        <w:rPr>
          <w:color w:val="auto"/>
        </w:rPr>
        <w:t>ies</w:t>
      </w:r>
      <w:r w:rsidR="00D210A7">
        <w:rPr>
          <w:color w:val="auto"/>
        </w:rPr>
        <w:t>,</w:t>
      </w:r>
      <w:r w:rsidR="00D51F45">
        <w:rPr>
          <w:color w:val="auto"/>
        </w:rPr>
        <w:t xml:space="preserve"> as opposed to </w:t>
      </w:r>
      <w:r w:rsidR="00667729" w:rsidRPr="00FE2FCB">
        <w:rPr>
          <w:color w:val="auto"/>
        </w:rPr>
        <w:t>between</w:t>
      </w:r>
      <w:r w:rsidR="00D51F45">
        <w:rPr>
          <w:color w:val="auto"/>
        </w:rPr>
        <w:t xml:space="preserve"> </w:t>
      </w:r>
      <w:r w:rsidR="00667729" w:rsidRPr="00FE2FCB">
        <w:rPr>
          <w:color w:val="auto"/>
        </w:rPr>
        <w:t>industr</w:t>
      </w:r>
      <w:r w:rsidR="00D51F45">
        <w:rPr>
          <w:color w:val="auto"/>
        </w:rPr>
        <w:t>ies</w:t>
      </w:r>
      <w:r w:rsidR="00BD4EE5" w:rsidRPr="00FE2FCB">
        <w:rPr>
          <w:color w:val="auto"/>
        </w:rPr>
        <w:t xml:space="preserve">, reflecting </w:t>
      </w:r>
      <w:r w:rsidR="00667729" w:rsidRPr="00FE2FCB">
        <w:rPr>
          <w:color w:val="auto"/>
        </w:rPr>
        <w:t>the</w:t>
      </w:r>
      <w:r w:rsidR="00FE2FCB" w:rsidRPr="00FE2FCB">
        <w:rPr>
          <w:color w:val="auto"/>
        </w:rPr>
        <w:t xml:space="preserve"> idea that </w:t>
      </w:r>
      <w:r w:rsidR="00667729" w:rsidRPr="00FE2FCB">
        <w:rPr>
          <w:color w:val="auto"/>
        </w:rPr>
        <w:t xml:space="preserve">factors </w:t>
      </w:r>
      <w:r w:rsidR="00FE2FCB" w:rsidRPr="00FE2FCB">
        <w:rPr>
          <w:color w:val="auto"/>
        </w:rPr>
        <w:t xml:space="preserve">are </w:t>
      </w:r>
      <w:r w:rsidR="00667729" w:rsidRPr="00FE2FCB">
        <w:rPr>
          <w:color w:val="auto"/>
        </w:rPr>
        <w:t>inherently more substitutable</w:t>
      </w:r>
      <w:r w:rsidR="00667729" w:rsidRPr="00667729">
        <w:rPr>
          <w:color w:val="auto"/>
        </w:rPr>
        <w:t xml:space="preserve"> within industries</w:t>
      </w:r>
      <w:r w:rsidR="00D210A7">
        <w:rPr>
          <w:color w:val="auto"/>
        </w:rPr>
        <w:t>,</w:t>
      </w:r>
      <w:r w:rsidR="00667729" w:rsidRPr="00667729">
        <w:rPr>
          <w:color w:val="auto"/>
        </w:rPr>
        <w:t xml:space="preserve"> as</w:t>
      </w:r>
      <w:r w:rsidR="00FE2FCB">
        <w:rPr>
          <w:color w:val="auto"/>
        </w:rPr>
        <w:t xml:space="preserve"> well as</w:t>
      </w:r>
      <w:r w:rsidR="00667729" w:rsidRPr="00667729">
        <w:rPr>
          <w:color w:val="auto"/>
        </w:rPr>
        <w:t xml:space="preserve"> </w:t>
      </w:r>
      <w:r w:rsidR="00BD4EE5">
        <w:rPr>
          <w:color w:val="auto"/>
        </w:rPr>
        <w:t>t</w:t>
      </w:r>
      <w:r w:rsidR="00FE2FCB">
        <w:rPr>
          <w:color w:val="auto"/>
        </w:rPr>
        <w:t>he tendency for</w:t>
      </w:r>
      <w:r w:rsidR="00BD4EE5" w:rsidRPr="00BD4EE5">
        <w:rPr>
          <w:color w:val="auto"/>
        </w:rPr>
        <w:t xml:space="preserve"> within-sector</w:t>
      </w:r>
      <w:r w:rsidR="00BD4EE5">
        <w:rPr>
          <w:color w:val="auto"/>
        </w:rPr>
        <w:t xml:space="preserve"> </w:t>
      </w:r>
      <w:r w:rsidR="00BD4EE5" w:rsidRPr="00BD4EE5">
        <w:rPr>
          <w:color w:val="auto"/>
        </w:rPr>
        <w:t>differences</w:t>
      </w:r>
      <w:r w:rsidR="00BD4EE5">
        <w:rPr>
          <w:color w:val="auto"/>
        </w:rPr>
        <w:t xml:space="preserve"> to</w:t>
      </w:r>
      <w:r w:rsidR="00BD4EE5" w:rsidRPr="00BD4EE5">
        <w:rPr>
          <w:color w:val="auto"/>
        </w:rPr>
        <w:t xml:space="preserve"> dwarf between-sector differences in </w:t>
      </w:r>
      <w:r w:rsidR="00BD4EE5">
        <w:rPr>
          <w:color w:val="auto"/>
        </w:rPr>
        <w:t xml:space="preserve">firm </w:t>
      </w:r>
      <w:r w:rsidR="00BD4EE5" w:rsidRPr="00BD4EE5">
        <w:rPr>
          <w:color w:val="auto"/>
        </w:rPr>
        <w:t>behavio</w:t>
      </w:r>
      <w:r w:rsidR="00BD4EE5">
        <w:rPr>
          <w:color w:val="auto"/>
        </w:rPr>
        <w:t>u</w:t>
      </w:r>
      <w:r w:rsidR="00BD4EE5" w:rsidRPr="00BD4EE5">
        <w:rPr>
          <w:color w:val="auto"/>
        </w:rPr>
        <w:t>r</w:t>
      </w:r>
      <w:r w:rsidR="00BD4EE5">
        <w:rPr>
          <w:color w:val="auto"/>
        </w:rPr>
        <w:t xml:space="preserve"> (</w:t>
      </w:r>
      <w:r w:rsidR="00D51F45" w:rsidRPr="00D51F45">
        <w:rPr>
          <w:color w:val="auto"/>
        </w:rPr>
        <w:t xml:space="preserve">Mora Sanguinetti </w:t>
      </w:r>
      <w:r w:rsidR="00D51F45">
        <w:rPr>
          <w:color w:val="auto"/>
        </w:rPr>
        <w:t>and</w:t>
      </w:r>
      <w:r w:rsidR="00D51F45" w:rsidRPr="00D51F45">
        <w:rPr>
          <w:color w:val="auto"/>
        </w:rPr>
        <w:t xml:space="preserve"> Fuentes, 2012</w:t>
      </w:r>
      <w:r w:rsidR="00D51F45">
        <w:rPr>
          <w:color w:val="auto"/>
        </w:rPr>
        <w:t>;</w:t>
      </w:r>
      <w:r w:rsidR="00BD4EE5" w:rsidRPr="00D51F45">
        <w:rPr>
          <w:color w:val="auto"/>
        </w:rPr>
        <w:t xml:space="preserve"> </w:t>
      </w:r>
      <w:r w:rsidR="00BD4EE5" w:rsidRPr="00FE2FCB">
        <w:rPr>
          <w:color w:val="auto"/>
        </w:rPr>
        <w:t>Foster, Haltiwanger and Krizan, 2001)</w:t>
      </w:r>
      <w:r w:rsidR="00667729" w:rsidRPr="00FE2FCB">
        <w:rPr>
          <w:color w:val="auto"/>
        </w:rPr>
        <w:t>.</w:t>
      </w:r>
      <w:r w:rsidR="007610E2" w:rsidRPr="00FE2FCB">
        <w:rPr>
          <w:color w:val="auto"/>
        </w:rPr>
        <w:t xml:space="preserve"> </w:t>
      </w:r>
    </w:p>
    <w:p w14:paraId="5FA4C4DF" w14:textId="77777777" w:rsidR="0003490F" w:rsidRPr="00DC50A4" w:rsidRDefault="00D44AD0" w:rsidP="00BD4EE5">
      <w:pPr>
        <w:jc w:val="both"/>
        <w:rPr>
          <w:color w:val="auto"/>
        </w:rPr>
      </w:pPr>
      <w:r>
        <w:rPr>
          <w:color w:val="auto"/>
        </w:rPr>
        <w:t xml:space="preserve">Well-functioning economies take advantage of this scope, with </w:t>
      </w:r>
      <w:r w:rsidR="0003490F" w:rsidRPr="00DC50A4">
        <w:rPr>
          <w:color w:val="auto"/>
        </w:rPr>
        <w:t xml:space="preserve">relatively more productive firms </w:t>
      </w:r>
      <w:r>
        <w:rPr>
          <w:color w:val="auto"/>
        </w:rPr>
        <w:t xml:space="preserve">tending to be </w:t>
      </w:r>
      <w:r w:rsidR="00C93384">
        <w:rPr>
          <w:color w:val="auto"/>
        </w:rPr>
        <w:t>larger (for example,</w:t>
      </w:r>
      <w:r w:rsidR="0003490F" w:rsidRPr="00DC50A4">
        <w:rPr>
          <w:color w:val="auto"/>
        </w:rPr>
        <w:t xml:space="preserve"> static allocative efficiency; see Olley and Pakes, 1996). For example, manufacturing sector labour productivity </w:t>
      </w:r>
      <w:r w:rsidR="00D97FCB" w:rsidRPr="00DC50A4">
        <w:rPr>
          <w:color w:val="auto"/>
        </w:rPr>
        <w:t xml:space="preserve">in the United States </w:t>
      </w:r>
      <w:r w:rsidR="0003490F" w:rsidRPr="00DC50A4">
        <w:rPr>
          <w:color w:val="auto"/>
        </w:rPr>
        <w:t xml:space="preserve">is </w:t>
      </w:r>
      <w:r w:rsidR="00AE39C1">
        <w:rPr>
          <w:color w:val="auto"/>
        </w:rPr>
        <w:t xml:space="preserve">around </w:t>
      </w:r>
      <w:r w:rsidR="0003490F" w:rsidRPr="00DC50A4">
        <w:rPr>
          <w:color w:val="auto"/>
        </w:rPr>
        <w:t>50</w:t>
      </w:r>
      <w:r>
        <w:rPr>
          <w:color w:val="auto"/>
        </w:rPr>
        <w:t xml:space="preserve"> per cent</w:t>
      </w:r>
      <w:r w:rsidRPr="00DC50A4">
        <w:rPr>
          <w:color w:val="auto"/>
        </w:rPr>
        <w:t xml:space="preserve"> </w:t>
      </w:r>
      <w:r w:rsidR="0003490F" w:rsidRPr="00DC50A4">
        <w:rPr>
          <w:color w:val="auto"/>
        </w:rPr>
        <w:t xml:space="preserve">higher </w:t>
      </w:r>
      <w:r w:rsidR="00BA2D2B">
        <w:rPr>
          <w:color w:val="auto"/>
        </w:rPr>
        <w:t xml:space="preserve">than it would be were </w:t>
      </w:r>
      <w:r w:rsidR="0003490F" w:rsidRPr="00DC50A4">
        <w:rPr>
          <w:color w:val="auto"/>
        </w:rPr>
        <w:t xml:space="preserve">labour </w:t>
      </w:r>
      <w:r w:rsidR="007610E2">
        <w:rPr>
          <w:color w:val="auto"/>
        </w:rPr>
        <w:t xml:space="preserve">randomly </w:t>
      </w:r>
      <w:r w:rsidR="0003490F" w:rsidRPr="00DC50A4">
        <w:rPr>
          <w:color w:val="auto"/>
        </w:rPr>
        <w:t xml:space="preserve">allocated across firms (Bartelsman et al., 2013). While a similar pattern holds for </w:t>
      </w:r>
      <w:r w:rsidR="007610E2">
        <w:rPr>
          <w:color w:val="auto"/>
        </w:rPr>
        <w:t>Scandinavian</w:t>
      </w:r>
      <w:r w:rsidR="0003490F" w:rsidRPr="00DC50A4">
        <w:rPr>
          <w:color w:val="auto"/>
        </w:rPr>
        <w:t xml:space="preserve"> countries, static allocative efficiency is considerably lower in other OECD economies, </w:t>
      </w:r>
      <w:r w:rsidR="007610E2">
        <w:rPr>
          <w:color w:val="auto"/>
        </w:rPr>
        <w:t>especially in</w:t>
      </w:r>
      <w:r w:rsidR="0003490F" w:rsidRPr="00DC50A4">
        <w:rPr>
          <w:color w:val="auto"/>
        </w:rPr>
        <w:t xml:space="preserve"> Southern Europe (Andrews and Cingano, 2014).</w:t>
      </w:r>
      <w:r w:rsidR="00345A1B">
        <w:rPr>
          <w:color w:val="auto"/>
        </w:rPr>
        <w:t xml:space="preserve"> </w:t>
      </w:r>
      <w:r w:rsidR="00940FE5">
        <w:rPr>
          <w:color w:val="auto"/>
        </w:rPr>
        <w:t xml:space="preserve">Similarly, </w:t>
      </w:r>
      <w:r w:rsidR="00D97FCB">
        <w:rPr>
          <w:color w:val="auto"/>
        </w:rPr>
        <w:t>manufacturing M</w:t>
      </w:r>
      <w:r w:rsidR="00D97FCB" w:rsidRPr="00940FE5">
        <w:rPr>
          <w:color w:val="auto"/>
        </w:rPr>
        <w:t>FP could rise by</w:t>
      </w:r>
      <w:r w:rsidR="00B8752A">
        <w:rPr>
          <w:color w:val="auto"/>
        </w:rPr>
        <w:t xml:space="preserve"> an estimated</w:t>
      </w:r>
      <w:r w:rsidR="00D97FCB" w:rsidRPr="00940FE5">
        <w:rPr>
          <w:color w:val="auto"/>
        </w:rPr>
        <w:t xml:space="preserve"> 30-50</w:t>
      </w:r>
      <w:r w:rsidR="00BA2D2B">
        <w:rPr>
          <w:color w:val="auto"/>
        </w:rPr>
        <w:t xml:space="preserve"> per cent</w:t>
      </w:r>
      <w:r w:rsidR="00BA2D2B" w:rsidRPr="00940FE5">
        <w:rPr>
          <w:color w:val="auto"/>
        </w:rPr>
        <w:t xml:space="preserve"> </w:t>
      </w:r>
      <w:r w:rsidR="00D97FCB" w:rsidRPr="00940FE5">
        <w:rPr>
          <w:color w:val="auto"/>
        </w:rPr>
        <w:t>in China and 40-60</w:t>
      </w:r>
      <w:r w:rsidR="00BA2D2B">
        <w:rPr>
          <w:color w:val="auto"/>
        </w:rPr>
        <w:t xml:space="preserve"> per cent</w:t>
      </w:r>
      <w:r w:rsidR="00BA2D2B" w:rsidRPr="00940FE5">
        <w:rPr>
          <w:color w:val="auto"/>
        </w:rPr>
        <w:t xml:space="preserve"> </w:t>
      </w:r>
      <w:r w:rsidR="00D97FCB" w:rsidRPr="00940FE5">
        <w:rPr>
          <w:color w:val="auto"/>
        </w:rPr>
        <w:t>in India</w:t>
      </w:r>
      <w:r w:rsidR="00D97FCB">
        <w:rPr>
          <w:color w:val="auto"/>
        </w:rPr>
        <w:t xml:space="preserve"> if these economies </w:t>
      </w:r>
      <w:r w:rsidR="00940FE5" w:rsidRPr="00940FE5">
        <w:rPr>
          <w:color w:val="auto"/>
        </w:rPr>
        <w:t>align</w:t>
      </w:r>
      <w:r w:rsidR="00B8752A">
        <w:rPr>
          <w:color w:val="auto"/>
        </w:rPr>
        <w:t>ed</w:t>
      </w:r>
      <w:r w:rsidR="00940FE5" w:rsidRPr="00940FE5">
        <w:rPr>
          <w:color w:val="auto"/>
        </w:rPr>
        <w:t xml:space="preserve"> their</w:t>
      </w:r>
      <w:r w:rsidR="00940FE5">
        <w:rPr>
          <w:color w:val="auto"/>
        </w:rPr>
        <w:t xml:space="preserve"> </w:t>
      </w:r>
      <w:r w:rsidR="00B8752A">
        <w:rPr>
          <w:color w:val="auto"/>
        </w:rPr>
        <w:t xml:space="preserve">static allocative </w:t>
      </w:r>
      <w:r w:rsidR="00940FE5" w:rsidRPr="00940FE5">
        <w:rPr>
          <w:color w:val="auto"/>
        </w:rPr>
        <w:lastRenderedPageBreak/>
        <w:t xml:space="preserve">efficiency </w:t>
      </w:r>
      <w:r w:rsidR="00B8752A">
        <w:rPr>
          <w:color w:val="auto"/>
        </w:rPr>
        <w:t xml:space="preserve">with </w:t>
      </w:r>
      <w:r w:rsidR="00940FE5" w:rsidRPr="00940FE5">
        <w:rPr>
          <w:color w:val="auto"/>
        </w:rPr>
        <w:t>th</w:t>
      </w:r>
      <w:r w:rsidR="00B8752A">
        <w:rPr>
          <w:color w:val="auto"/>
        </w:rPr>
        <w:t>e</w:t>
      </w:r>
      <w:r w:rsidR="00940FE5">
        <w:rPr>
          <w:color w:val="auto"/>
        </w:rPr>
        <w:t xml:space="preserve"> U</w:t>
      </w:r>
      <w:r w:rsidR="00B8752A">
        <w:rPr>
          <w:color w:val="auto"/>
        </w:rPr>
        <w:t>S level</w:t>
      </w:r>
      <w:r w:rsidR="00940FE5">
        <w:rPr>
          <w:color w:val="auto"/>
        </w:rPr>
        <w:t xml:space="preserve"> </w:t>
      </w:r>
      <w:r w:rsidR="00940FE5" w:rsidRPr="00940FE5">
        <w:rPr>
          <w:color w:val="auto"/>
        </w:rPr>
        <w:t>(Hsieh and Klenow, 2009</w:t>
      </w:r>
      <w:r w:rsidR="0077408A">
        <w:rPr>
          <w:color w:val="auto"/>
        </w:rPr>
        <w:t>; Rotemberg and White, 2017</w:t>
      </w:r>
      <w:r w:rsidR="00940FE5" w:rsidRPr="00940FE5">
        <w:rPr>
          <w:color w:val="auto"/>
        </w:rPr>
        <w:t>)</w:t>
      </w:r>
      <w:r w:rsidR="00EF00D9">
        <w:rPr>
          <w:color w:val="auto"/>
        </w:rPr>
        <w:t>.</w:t>
      </w:r>
    </w:p>
    <w:p w14:paraId="4F2183A4" w14:textId="77777777" w:rsidR="00D36274" w:rsidRDefault="00D36274" w:rsidP="00513299">
      <w:pPr>
        <w:jc w:val="both"/>
      </w:pPr>
      <w:r w:rsidRPr="00D36274">
        <w:rPr>
          <w:color w:val="auto"/>
        </w:rPr>
        <w:t>While the</w:t>
      </w:r>
      <w:r>
        <w:rPr>
          <w:color w:val="auto"/>
        </w:rPr>
        <w:t>se patterns reflect many factors</w:t>
      </w:r>
      <w:r w:rsidR="00BA2D2B">
        <w:rPr>
          <w:color w:val="auto"/>
        </w:rPr>
        <w:t>,</w:t>
      </w:r>
      <w:r>
        <w:rPr>
          <w:color w:val="auto"/>
        </w:rPr>
        <w:t xml:space="preserve"> including differences in the structural policy environment</w:t>
      </w:r>
      <w:r w:rsidR="00C93384">
        <w:rPr>
          <w:color w:val="auto"/>
        </w:rPr>
        <w:t>,</w:t>
      </w:r>
      <w:r w:rsidR="00AE39C1">
        <w:rPr>
          <w:rStyle w:val="FootnoteReference"/>
          <w:color w:val="auto"/>
        </w:rPr>
        <w:footnoteReference w:id="4"/>
      </w:r>
      <w:r w:rsidRPr="00D36274">
        <w:rPr>
          <w:color w:val="auto"/>
        </w:rPr>
        <w:t xml:space="preserve"> static allocative efficiency can only be achieved </w:t>
      </w:r>
      <w:r w:rsidR="00A06A66">
        <w:rPr>
          <w:color w:val="auto"/>
        </w:rPr>
        <w:t xml:space="preserve">when </w:t>
      </w:r>
      <w:r w:rsidRPr="00D36274">
        <w:rPr>
          <w:color w:val="auto"/>
        </w:rPr>
        <w:t>resources move towards more productive firms at the expense of less productive firms over time (Haltiwanger 2011).</w:t>
      </w:r>
      <w:r w:rsidR="004C35E6">
        <w:rPr>
          <w:color w:val="auto"/>
        </w:rPr>
        <w:t xml:space="preserve"> In</w:t>
      </w:r>
      <w:r w:rsidR="00BA0B0F">
        <w:rPr>
          <w:color w:val="auto"/>
        </w:rPr>
        <w:t>deed</w:t>
      </w:r>
      <w:r w:rsidR="004C35E6">
        <w:rPr>
          <w:color w:val="auto"/>
        </w:rPr>
        <w:t xml:space="preserve">, </w:t>
      </w:r>
      <w:r w:rsidR="00A06A66">
        <w:rPr>
          <w:color w:val="auto"/>
        </w:rPr>
        <w:t xml:space="preserve">a </w:t>
      </w:r>
      <w:r w:rsidR="00A06A66" w:rsidRPr="004C35E6">
        <w:rPr>
          <w:color w:val="auto"/>
        </w:rPr>
        <w:t>range of empirical studies</w:t>
      </w:r>
      <w:r w:rsidR="00A06A66">
        <w:rPr>
          <w:color w:val="auto"/>
        </w:rPr>
        <w:t xml:space="preserve"> </w:t>
      </w:r>
      <w:r w:rsidR="004C35E6" w:rsidRPr="004C35E6">
        <w:rPr>
          <w:color w:val="auto"/>
        </w:rPr>
        <w:t xml:space="preserve">show that the contribution of </w:t>
      </w:r>
      <w:r w:rsidR="00BA0B0F">
        <w:rPr>
          <w:color w:val="auto"/>
        </w:rPr>
        <w:t xml:space="preserve">(within-industry) </w:t>
      </w:r>
      <w:r w:rsidR="004C35E6" w:rsidRPr="004C35E6">
        <w:rPr>
          <w:color w:val="auto"/>
        </w:rPr>
        <w:t xml:space="preserve">reallocation to aggregate productivity growth is significant. For example, Bailey, Hulten and Campbell (1992) found that over a five-year period about half of a typical US industry’s MFP growth was due to the reallocation of factors between </w:t>
      </w:r>
      <w:r w:rsidR="00B8752A">
        <w:rPr>
          <w:color w:val="auto"/>
        </w:rPr>
        <w:t>plants</w:t>
      </w:r>
      <w:r w:rsidR="004C35E6" w:rsidRPr="004C35E6">
        <w:t xml:space="preserve">, rather than within-plant productivity growth. </w:t>
      </w:r>
      <w:r w:rsidR="00B8752A">
        <w:t xml:space="preserve">In </w:t>
      </w:r>
      <w:r w:rsidR="004C35E6" w:rsidRPr="004C35E6">
        <w:t>the United Kingdom</w:t>
      </w:r>
      <w:r w:rsidR="00B8752A">
        <w:t>,</w:t>
      </w:r>
      <w:r w:rsidR="004C35E6" w:rsidRPr="004C35E6">
        <w:t xml:space="preserve"> this reallocation</w:t>
      </w:r>
      <w:r w:rsidR="00B8752A">
        <w:t xml:space="preserve"> process</w:t>
      </w:r>
      <w:r w:rsidR="004C35E6" w:rsidRPr="004C35E6">
        <w:t xml:space="preserve"> accounts for </w:t>
      </w:r>
      <w:r w:rsidR="00B8752A">
        <w:t>over</w:t>
      </w:r>
      <w:r w:rsidR="004C35E6" w:rsidRPr="004C35E6">
        <w:t xml:space="preserve"> 80</w:t>
      </w:r>
      <w:r w:rsidR="000C5602">
        <w:t> per cent</w:t>
      </w:r>
      <w:r w:rsidR="000C5602" w:rsidRPr="004C35E6">
        <w:t xml:space="preserve"> </w:t>
      </w:r>
      <w:r w:rsidR="004C35E6" w:rsidRPr="004C35E6">
        <w:t>of MFP growth in the manufacturing sector</w:t>
      </w:r>
      <w:r w:rsidR="00B8752A">
        <w:t xml:space="preserve"> (</w:t>
      </w:r>
      <w:r w:rsidR="00B8752A" w:rsidRPr="004C35E6">
        <w:t>Disney et al</w:t>
      </w:r>
      <w:r w:rsidR="00B8752A">
        <w:t>,</w:t>
      </w:r>
      <w:r w:rsidR="00B8752A" w:rsidRPr="004C35E6">
        <w:t xml:space="preserve"> </w:t>
      </w:r>
      <w:r w:rsidR="00B8752A">
        <w:t>2</w:t>
      </w:r>
      <w:r w:rsidR="00B8752A" w:rsidRPr="004C35E6">
        <w:t>003)</w:t>
      </w:r>
      <w:r w:rsidR="004C35E6" w:rsidRPr="004C35E6">
        <w:t>, while decompositions for the Canadian economy as a whole and the United States retail sector yield similar conclusions.</w:t>
      </w:r>
      <w:r w:rsidR="004C35E6" w:rsidRPr="004C35E6">
        <w:rPr>
          <w:rStyle w:val="FootnoteReference"/>
        </w:rPr>
        <w:footnoteReference w:id="5"/>
      </w:r>
      <w:r w:rsidR="00513299">
        <w:t xml:space="preserve"> </w:t>
      </w:r>
      <w:r w:rsidR="00BA0B0F">
        <w:t>M</w:t>
      </w:r>
      <w:r w:rsidR="00513299">
        <w:t>ore recent studies highlight the reallocation of resources towards firms that patent – a</w:t>
      </w:r>
      <w:r w:rsidR="00513299" w:rsidRPr="00513299">
        <w:t xml:space="preserve"> proxy for innovation</w:t>
      </w:r>
      <w:r w:rsidR="00513299">
        <w:t xml:space="preserve"> – at the expense of non-patenting firms (</w:t>
      </w:r>
      <w:r w:rsidR="00513299" w:rsidRPr="00513299">
        <w:t>Balasubramanian and Sivadasan, 2011)</w:t>
      </w:r>
      <w:r w:rsidR="007E376A">
        <w:t xml:space="preserve">, </w:t>
      </w:r>
      <w:r w:rsidR="00BA0B0F">
        <w:t>which</w:t>
      </w:r>
      <w:r w:rsidR="007E376A">
        <w:t xml:space="preserve"> tends to be stronger in the United States than in continental Europe</w:t>
      </w:r>
      <w:r w:rsidR="00513299">
        <w:t xml:space="preserve"> (Andrews, Criscuolo and Menon, 2014). </w:t>
      </w:r>
    </w:p>
    <w:p w14:paraId="53C4023E" w14:textId="77777777" w:rsidR="009D1488" w:rsidRDefault="007F1B74" w:rsidP="00F9567F">
      <w:pPr>
        <w:spacing w:after="120"/>
        <w:jc w:val="both"/>
        <w:rPr>
          <w:color w:val="auto"/>
        </w:rPr>
      </w:pPr>
      <w:r w:rsidRPr="00BC352F">
        <w:rPr>
          <w:color w:val="auto"/>
        </w:rPr>
        <w:t xml:space="preserve">While the contribution of reallocation to aggregate productivity growth is significant, it may have declined over time. </w:t>
      </w:r>
      <w:r w:rsidR="009D1488" w:rsidRPr="00BC352F">
        <w:rPr>
          <w:color w:val="auto"/>
        </w:rPr>
        <w:t>In the United States, thi</w:t>
      </w:r>
      <w:r w:rsidR="009D1488" w:rsidRPr="009D1488">
        <w:rPr>
          <w:color w:val="auto"/>
        </w:rPr>
        <w:t>s is reflected in a declining responsiveness of firm growth (employment and investment)</w:t>
      </w:r>
      <w:r w:rsidR="00327002">
        <w:rPr>
          <w:color w:val="auto"/>
        </w:rPr>
        <w:t xml:space="preserve"> and firm </w:t>
      </w:r>
      <w:r w:rsidR="00327002">
        <w:rPr>
          <w:color w:val="auto"/>
        </w:rPr>
        <w:lastRenderedPageBreak/>
        <w:t>exit</w:t>
      </w:r>
      <w:r w:rsidR="009D1488" w:rsidRPr="009D1488">
        <w:rPr>
          <w:color w:val="auto"/>
        </w:rPr>
        <w:t xml:space="preserve"> to productivity over recent decades</w:t>
      </w:r>
      <w:r w:rsidR="004E6B60">
        <w:rPr>
          <w:color w:val="auto"/>
        </w:rPr>
        <w:t>. This</w:t>
      </w:r>
      <w:r w:rsidR="009D1488" w:rsidRPr="009D1488">
        <w:rPr>
          <w:color w:val="auto"/>
        </w:rPr>
        <w:t xml:space="preserve"> implies that the propensity of high</w:t>
      </w:r>
      <w:r w:rsidR="000852E4">
        <w:rPr>
          <w:color w:val="auto"/>
        </w:rPr>
        <w:t>-</w:t>
      </w:r>
      <w:r w:rsidR="009D1488" w:rsidRPr="009D1488">
        <w:rPr>
          <w:color w:val="auto"/>
        </w:rPr>
        <w:t>productivity firms to expand and low</w:t>
      </w:r>
      <w:r w:rsidR="000852E4">
        <w:rPr>
          <w:color w:val="auto"/>
        </w:rPr>
        <w:t>-</w:t>
      </w:r>
      <w:r w:rsidR="009D1488" w:rsidRPr="009D1488">
        <w:rPr>
          <w:color w:val="auto"/>
        </w:rPr>
        <w:t>productivity firms to downsize or exit has fallen (Decker et al., 201</w:t>
      </w:r>
      <w:r w:rsidR="00D51F45">
        <w:rPr>
          <w:color w:val="auto"/>
        </w:rPr>
        <w:t>8</w:t>
      </w:r>
      <w:r w:rsidR="009D1488" w:rsidRPr="009D1488">
        <w:rPr>
          <w:color w:val="auto"/>
        </w:rPr>
        <w:t>)</w:t>
      </w:r>
      <w:r w:rsidR="0023133F">
        <w:rPr>
          <w:color w:val="auto"/>
        </w:rPr>
        <w:t>, with important implications for aggregate productivity</w:t>
      </w:r>
      <w:r w:rsidR="009D1488" w:rsidRPr="009D1488">
        <w:rPr>
          <w:color w:val="auto"/>
        </w:rPr>
        <w:t>.</w:t>
      </w:r>
      <w:r w:rsidR="0023133F">
        <w:rPr>
          <w:rStyle w:val="FootnoteReference"/>
          <w:color w:val="auto"/>
        </w:rPr>
        <w:footnoteReference w:id="6"/>
      </w:r>
      <w:r w:rsidR="009D1488" w:rsidRPr="009D1488">
        <w:rPr>
          <w:color w:val="auto"/>
        </w:rPr>
        <w:t xml:space="preserve"> </w:t>
      </w:r>
      <w:r w:rsidR="008053B8">
        <w:rPr>
          <w:color w:val="auto"/>
        </w:rPr>
        <w:t>Meanwhile</w:t>
      </w:r>
      <w:r w:rsidR="00497737">
        <w:rPr>
          <w:color w:val="auto"/>
        </w:rPr>
        <w:t xml:space="preserve">, </w:t>
      </w:r>
      <w:r w:rsidR="00327002">
        <w:rPr>
          <w:color w:val="auto"/>
        </w:rPr>
        <w:t>the</w:t>
      </w:r>
      <w:r w:rsidR="00497737">
        <w:rPr>
          <w:color w:val="auto"/>
        </w:rPr>
        <w:t xml:space="preserve"> responsiveness of firm capital growth to productivity</w:t>
      </w:r>
      <w:r w:rsidR="000A2D3D">
        <w:rPr>
          <w:color w:val="auto"/>
        </w:rPr>
        <w:t xml:space="preserve"> has declined</w:t>
      </w:r>
      <w:r w:rsidR="00327002">
        <w:rPr>
          <w:color w:val="auto"/>
        </w:rPr>
        <w:t xml:space="preserve"> </w:t>
      </w:r>
      <w:r w:rsidR="00426A13">
        <w:rPr>
          <w:color w:val="auto"/>
        </w:rPr>
        <w:t xml:space="preserve">in </w:t>
      </w:r>
      <w:r w:rsidR="004E6B60">
        <w:rPr>
          <w:color w:val="auto"/>
        </w:rPr>
        <w:t xml:space="preserve">Southern </w:t>
      </w:r>
      <w:r w:rsidR="00426A13">
        <w:rPr>
          <w:color w:val="auto"/>
        </w:rPr>
        <w:t xml:space="preserve">Europe </w:t>
      </w:r>
      <w:r w:rsidR="004E6B60">
        <w:rPr>
          <w:color w:val="auto"/>
        </w:rPr>
        <w:t>s</w:t>
      </w:r>
      <w:r w:rsidR="00BA0B0F">
        <w:rPr>
          <w:color w:val="auto"/>
        </w:rPr>
        <w:t>ince the early 2000s</w:t>
      </w:r>
      <w:r w:rsidR="00327002">
        <w:rPr>
          <w:color w:val="auto"/>
        </w:rPr>
        <w:t xml:space="preserve">. This capital misallocation has been linked to the </w:t>
      </w:r>
      <w:r w:rsidR="000A2D3D">
        <w:rPr>
          <w:color w:val="auto"/>
        </w:rPr>
        <w:t xml:space="preserve">rising </w:t>
      </w:r>
      <w:r w:rsidR="00327002">
        <w:rPr>
          <w:color w:val="auto"/>
        </w:rPr>
        <w:t xml:space="preserve">prevalence </w:t>
      </w:r>
      <w:r w:rsidR="00D877C3">
        <w:rPr>
          <w:color w:val="auto"/>
        </w:rPr>
        <w:t xml:space="preserve">of </w:t>
      </w:r>
      <w:r w:rsidR="00C93384">
        <w:rPr>
          <w:color w:val="auto"/>
        </w:rPr>
        <w:t>‘zombie’ firms – that is,</w:t>
      </w:r>
      <w:r w:rsidR="00327002">
        <w:rPr>
          <w:color w:val="auto"/>
        </w:rPr>
        <w:t xml:space="preserve"> unviable firms that would typically exit in a competitive market – which crowd-out growth opportunities for more productive firms</w:t>
      </w:r>
      <w:r w:rsidR="00497737">
        <w:rPr>
          <w:color w:val="auto"/>
        </w:rPr>
        <w:t xml:space="preserve"> (Adalet McGowan, Andrews and Millot, 2018).</w:t>
      </w:r>
      <w:r w:rsidR="00753811">
        <w:rPr>
          <w:color w:val="auto"/>
        </w:rPr>
        <w:t xml:space="preserve"> The rise in zombie firms can </w:t>
      </w:r>
      <w:r w:rsidR="00BA0B0F">
        <w:rPr>
          <w:color w:val="auto"/>
        </w:rPr>
        <w:t>account for</w:t>
      </w:r>
      <w:r w:rsidR="00753811">
        <w:rPr>
          <w:color w:val="auto"/>
        </w:rPr>
        <w:t xml:space="preserve"> one-quarter </w:t>
      </w:r>
      <w:r w:rsidR="00BA0B0F">
        <w:rPr>
          <w:color w:val="auto"/>
        </w:rPr>
        <w:t>of</w:t>
      </w:r>
      <w:r w:rsidR="00753811">
        <w:rPr>
          <w:color w:val="auto"/>
        </w:rPr>
        <w:t xml:space="preserve"> the decline in</w:t>
      </w:r>
      <w:r w:rsidR="00BA0B0F">
        <w:rPr>
          <w:color w:val="auto"/>
        </w:rPr>
        <w:t xml:space="preserve"> </w:t>
      </w:r>
      <w:r w:rsidR="00753811">
        <w:rPr>
          <w:color w:val="auto"/>
        </w:rPr>
        <w:t>business investment in Italy between 2008 and 2013</w:t>
      </w:r>
      <w:r w:rsidR="00BA0B0F">
        <w:rPr>
          <w:color w:val="auto"/>
        </w:rPr>
        <w:t xml:space="preserve">, </w:t>
      </w:r>
      <w:r w:rsidR="004E6B60">
        <w:rPr>
          <w:color w:val="auto"/>
        </w:rPr>
        <w:t xml:space="preserve">underscoring the material </w:t>
      </w:r>
      <w:r w:rsidR="00753811">
        <w:rPr>
          <w:color w:val="auto"/>
        </w:rPr>
        <w:t>aggregate consequences of weakening</w:t>
      </w:r>
      <w:r w:rsidR="00D877C3">
        <w:rPr>
          <w:color w:val="auto"/>
        </w:rPr>
        <w:t xml:space="preserve"> market selection</w:t>
      </w:r>
      <w:r w:rsidR="00BA0B0F">
        <w:rPr>
          <w:color w:val="auto"/>
        </w:rPr>
        <w:t>.</w:t>
      </w:r>
    </w:p>
    <w:p w14:paraId="2196F24C" w14:textId="77777777" w:rsidR="00F26131" w:rsidRDefault="007A3967" w:rsidP="00C93384">
      <w:pPr>
        <w:spacing w:before="240"/>
        <w:jc w:val="both"/>
        <w:rPr>
          <w:rFonts w:ascii="Arial Bold" w:hAnsi="Arial Bold"/>
          <w:b/>
          <w:smallCaps/>
          <w:color w:val="003157"/>
          <w:sz w:val="32"/>
        </w:rPr>
      </w:pPr>
      <w:r>
        <w:rPr>
          <w:color w:val="auto"/>
        </w:rPr>
        <w:t xml:space="preserve">The tendency for </w:t>
      </w:r>
      <w:r w:rsidRPr="00946E7F">
        <w:rPr>
          <w:color w:val="auto"/>
        </w:rPr>
        <w:t>highly productive firms to coexist with low</w:t>
      </w:r>
      <w:r w:rsidR="000852E4">
        <w:rPr>
          <w:color w:val="auto"/>
        </w:rPr>
        <w:t>-</w:t>
      </w:r>
      <w:r w:rsidRPr="00946E7F">
        <w:rPr>
          <w:color w:val="auto"/>
        </w:rPr>
        <w:t>productivity firms within</w:t>
      </w:r>
      <w:r>
        <w:rPr>
          <w:color w:val="auto"/>
        </w:rPr>
        <w:t xml:space="preserve"> </w:t>
      </w:r>
      <w:r w:rsidRPr="00946E7F">
        <w:rPr>
          <w:color w:val="auto"/>
        </w:rPr>
        <w:t>narrowly-defined sectors</w:t>
      </w:r>
      <w:r>
        <w:rPr>
          <w:color w:val="auto"/>
        </w:rPr>
        <w:t xml:space="preserve"> has triggered a </w:t>
      </w:r>
      <w:r w:rsidR="00171880">
        <w:rPr>
          <w:color w:val="auto"/>
        </w:rPr>
        <w:t>significant</w:t>
      </w:r>
      <w:r>
        <w:rPr>
          <w:color w:val="auto"/>
        </w:rPr>
        <w:t xml:space="preserve"> research inquiry into the nature of productivity-enhancing resource reallocation in OECD countries over the past decade. However, little is known about how effective the Australian economy is at reallocating resources to high productivity firms, let alone how th</w:t>
      </w:r>
      <w:r w:rsidR="00D97FCB">
        <w:rPr>
          <w:color w:val="auto"/>
        </w:rPr>
        <w:t>e</w:t>
      </w:r>
      <w:r>
        <w:rPr>
          <w:color w:val="auto"/>
        </w:rPr>
        <w:t xml:space="preserve"> process of dynamic allocative efficiency has evolved over time. </w:t>
      </w:r>
      <w:r w:rsidR="005923A6">
        <w:rPr>
          <w:color w:val="auto"/>
        </w:rPr>
        <w:t>Accordingly</w:t>
      </w:r>
      <w:r>
        <w:rPr>
          <w:color w:val="auto"/>
        </w:rPr>
        <w:t>, this paper exploits recently released firm</w:t>
      </w:r>
      <w:r w:rsidR="004F550B">
        <w:rPr>
          <w:color w:val="auto"/>
        </w:rPr>
        <w:t>-</w:t>
      </w:r>
      <w:r>
        <w:rPr>
          <w:color w:val="auto"/>
        </w:rPr>
        <w:t>level data to shed light on these questions, with a view to lend a stronger micro foundation to the Australian growth narrative.</w:t>
      </w:r>
      <w:r w:rsidR="00C93384">
        <w:rPr>
          <w:color w:val="auto"/>
        </w:rPr>
        <w:t xml:space="preserve"> </w:t>
      </w:r>
      <w:r w:rsidR="00F26131">
        <w:br w:type="page"/>
      </w:r>
    </w:p>
    <w:p w14:paraId="36DA050F" w14:textId="77777777" w:rsidR="00783BAD" w:rsidRDefault="00783BAD" w:rsidP="00783BAD">
      <w:pPr>
        <w:pStyle w:val="Heading2"/>
        <w:numPr>
          <w:ilvl w:val="0"/>
          <w:numId w:val="32"/>
        </w:numPr>
        <w:spacing w:before="240"/>
      </w:pPr>
      <w:bookmarkStart w:id="2" w:name="_GoBack"/>
      <w:bookmarkEnd w:id="2"/>
      <w:r>
        <w:lastRenderedPageBreak/>
        <w:t>Business Longitudinal Analysis Data Environment - BLADE</w:t>
      </w:r>
    </w:p>
    <w:p w14:paraId="6500D3CF" w14:textId="77777777" w:rsidR="00783BAD" w:rsidRPr="009F2CAF" w:rsidRDefault="00783BAD" w:rsidP="00783BAD">
      <w:pPr>
        <w:jc w:val="both"/>
        <w:rPr>
          <w:color w:val="auto"/>
        </w:rPr>
      </w:pPr>
      <w:r w:rsidRPr="009F2CAF">
        <w:rPr>
          <w:color w:val="auto"/>
        </w:rPr>
        <w:t>The analysis in this paper exploits firm-level data from the Business Longitudinal Analysis Data Environment (BLADE), compiled by the Australian Bureau of Statistics. BLADE consists of administrative data from the Australian Taxation Office (ATO)</w:t>
      </w:r>
      <w:r w:rsidR="00F80BB2">
        <w:rPr>
          <w:color w:val="auto"/>
        </w:rPr>
        <w:t xml:space="preserve"> – making it akin to a business census – </w:t>
      </w:r>
      <w:r w:rsidRPr="009F2CAF">
        <w:rPr>
          <w:color w:val="auto"/>
        </w:rPr>
        <w:t>matched with A</w:t>
      </w:r>
      <w:r w:rsidR="00C93384">
        <w:rPr>
          <w:color w:val="auto"/>
        </w:rPr>
        <w:t>BS</w:t>
      </w:r>
      <w:r w:rsidR="00C93384">
        <w:rPr>
          <w:color w:val="auto"/>
        </w:rPr>
        <w:noBreakHyphen/>
      </w:r>
      <w:r w:rsidRPr="009F2CAF">
        <w:rPr>
          <w:color w:val="auto"/>
        </w:rPr>
        <w:t>produced survey microdata, such as the Business Characteristics Survey.</w:t>
      </w:r>
      <w:r w:rsidR="00F80BB2">
        <w:rPr>
          <w:color w:val="auto"/>
        </w:rPr>
        <w:t xml:space="preserve"> </w:t>
      </w:r>
    </w:p>
    <w:p w14:paraId="6BCA915A" w14:textId="77777777" w:rsidR="00783BAD" w:rsidRPr="009F2CAF" w:rsidRDefault="004F550B" w:rsidP="00783BAD">
      <w:pPr>
        <w:jc w:val="both"/>
        <w:rPr>
          <w:color w:val="auto"/>
        </w:rPr>
      </w:pPr>
      <w:r>
        <w:rPr>
          <w:color w:val="auto"/>
        </w:rPr>
        <w:t>O</w:t>
      </w:r>
      <w:r w:rsidR="00783BAD" w:rsidRPr="009F2CAF">
        <w:rPr>
          <w:color w:val="auto"/>
        </w:rPr>
        <w:t>ur productivity analysis draws on two key administrative data sources. First, measures of output and intermediate use are sourced from Business Activity Statements (BAS).</w:t>
      </w:r>
      <w:r w:rsidR="00783BAD" w:rsidRPr="009F2CAF">
        <w:rPr>
          <w:rStyle w:val="FootnoteReference"/>
          <w:color w:val="auto"/>
        </w:rPr>
        <w:footnoteReference w:id="7"/>
      </w:r>
      <w:r w:rsidR="00783BAD" w:rsidRPr="009F2CAF">
        <w:rPr>
          <w:color w:val="auto"/>
        </w:rPr>
        <w:t xml:space="preserve"> While each annualised BAS dataset contains more than two million records, only around 800,000 or more units report formal employment via annual payment summaries.</w:t>
      </w:r>
      <w:r w:rsidR="00783BAD" w:rsidRPr="009F2CAF">
        <w:rPr>
          <w:rStyle w:val="FootnoteReference"/>
          <w:color w:val="auto"/>
        </w:rPr>
        <w:footnoteReference w:id="8"/>
      </w:r>
      <w:r w:rsidR="00783BAD" w:rsidRPr="009F2CAF">
        <w:rPr>
          <w:color w:val="auto"/>
        </w:rPr>
        <w:t xml:space="preserve"> </w:t>
      </w:r>
      <w:r w:rsidR="00783BAD">
        <w:rPr>
          <w:color w:val="auto"/>
        </w:rPr>
        <w:t>W</w:t>
      </w:r>
      <w:r w:rsidR="00783BAD" w:rsidRPr="009F2CAF">
        <w:rPr>
          <w:color w:val="auto"/>
        </w:rPr>
        <w:t>e also draw on this payment summary information in combination with the industry of origin of the employing business to estimate full-time equivalent employees – our measure of labour input.</w:t>
      </w:r>
      <w:r w:rsidR="00783BAD" w:rsidRPr="009F2CAF">
        <w:rPr>
          <w:rStyle w:val="FootnoteReference"/>
          <w:color w:val="auto"/>
        </w:rPr>
        <w:footnoteReference w:id="9"/>
      </w:r>
    </w:p>
    <w:p w14:paraId="55370BC7" w14:textId="77777777" w:rsidR="00783BAD" w:rsidRDefault="00783BAD" w:rsidP="00783BAD">
      <w:pPr>
        <w:jc w:val="both"/>
        <w:rPr>
          <w:color w:val="auto"/>
        </w:rPr>
      </w:pPr>
      <w:r w:rsidRPr="009F2CAF">
        <w:rPr>
          <w:color w:val="auto"/>
        </w:rPr>
        <w:t xml:space="preserve">The main demographic information in BLADE consists of industry and institutional sector codes, which permit us to focus on industries and businesses that are privately-owned. The ABS adds an additional year of administrative and survey data </w:t>
      </w:r>
      <w:r w:rsidRPr="009F2CAF">
        <w:rPr>
          <w:color w:val="auto"/>
        </w:rPr>
        <w:lastRenderedPageBreak/>
        <w:t>to BLADE each year. As of writing, the latest available year was 2016 and so our sample – unless specified otherwise – encompasses the period 2002 to 2016.</w:t>
      </w:r>
      <w:r w:rsidRPr="009F2CAF">
        <w:rPr>
          <w:rStyle w:val="FootnoteReference"/>
          <w:color w:val="auto"/>
        </w:rPr>
        <w:footnoteReference w:id="10"/>
      </w:r>
    </w:p>
    <w:p w14:paraId="3BCBA24B" w14:textId="77777777" w:rsidR="00B00DCC" w:rsidRDefault="00F3538C" w:rsidP="00783BAD">
      <w:pPr>
        <w:jc w:val="both"/>
        <w:rPr>
          <w:color w:val="auto"/>
        </w:rPr>
      </w:pPr>
      <w:r>
        <w:rPr>
          <w:color w:val="auto"/>
        </w:rPr>
        <w:t>Following</w:t>
      </w:r>
      <w:r w:rsidR="00783BAD">
        <w:rPr>
          <w:color w:val="auto"/>
        </w:rPr>
        <w:t xml:space="preserve"> the literature, we </w:t>
      </w:r>
      <w:r>
        <w:rPr>
          <w:color w:val="auto"/>
        </w:rPr>
        <w:t>restrict</w:t>
      </w:r>
      <w:r w:rsidR="00783BAD">
        <w:rPr>
          <w:color w:val="auto"/>
        </w:rPr>
        <w:t xml:space="preserve"> our ana</w:t>
      </w:r>
      <w:r w:rsidR="00C93384">
        <w:rPr>
          <w:color w:val="auto"/>
        </w:rPr>
        <w:t>lysis to the market sector (that is,</w:t>
      </w:r>
      <w:r w:rsidR="00783BAD">
        <w:rPr>
          <w:color w:val="auto"/>
        </w:rPr>
        <w:t xml:space="preserve"> we exclude utilities; e</w:t>
      </w:r>
      <w:r w:rsidR="00783BAD" w:rsidRPr="00DC2018">
        <w:rPr>
          <w:color w:val="auto"/>
        </w:rPr>
        <w:t xml:space="preserve">ducation, </w:t>
      </w:r>
      <w:r w:rsidR="00783BAD">
        <w:rPr>
          <w:color w:val="auto"/>
        </w:rPr>
        <w:t>p</w:t>
      </w:r>
      <w:r w:rsidR="00783BAD" w:rsidRPr="00DC2018">
        <w:rPr>
          <w:color w:val="auto"/>
        </w:rPr>
        <w:t xml:space="preserve">ublic </w:t>
      </w:r>
      <w:r w:rsidR="00783BAD">
        <w:rPr>
          <w:color w:val="auto"/>
        </w:rPr>
        <w:t>a</w:t>
      </w:r>
      <w:r w:rsidR="00783BAD" w:rsidRPr="00DC2018">
        <w:rPr>
          <w:color w:val="auto"/>
        </w:rPr>
        <w:t xml:space="preserve">dministration and </w:t>
      </w:r>
      <w:r w:rsidR="00783BAD">
        <w:rPr>
          <w:color w:val="auto"/>
        </w:rPr>
        <w:t>s</w:t>
      </w:r>
      <w:r w:rsidR="00783BAD" w:rsidRPr="00DC2018">
        <w:rPr>
          <w:color w:val="auto"/>
        </w:rPr>
        <w:t>afety</w:t>
      </w:r>
      <w:r w:rsidR="00783BAD">
        <w:rPr>
          <w:color w:val="auto"/>
        </w:rPr>
        <w:t xml:space="preserve"> </w:t>
      </w:r>
      <w:r w:rsidR="00783BAD" w:rsidRPr="00DC2018">
        <w:rPr>
          <w:color w:val="auto"/>
        </w:rPr>
        <w:t xml:space="preserve">and </w:t>
      </w:r>
      <w:r w:rsidR="00783BAD">
        <w:rPr>
          <w:color w:val="auto"/>
        </w:rPr>
        <w:t>h</w:t>
      </w:r>
      <w:r w:rsidR="00783BAD" w:rsidRPr="00DC2018">
        <w:rPr>
          <w:color w:val="auto"/>
        </w:rPr>
        <w:t>ealth</w:t>
      </w:r>
      <w:r w:rsidR="00783BAD">
        <w:rPr>
          <w:color w:val="auto"/>
        </w:rPr>
        <w:t>) and exclude finance and insurance where productivity</w:t>
      </w:r>
      <w:r>
        <w:rPr>
          <w:color w:val="auto"/>
        </w:rPr>
        <w:t xml:space="preserve"> measurement</w:t>
      </w:r>
      <w:r w:rsidR="00783BAD">
        <w:rPr>
          <w:color w:val="auto"/>
        </w:rPr>
        <w:t xml:space="preserve"> is notoriously difficult</w:t>
      </w:r>
      <w:r w:rsidR="00C93384">
        <w:rPr>
          <w:color w:val="auto"/>
        </w:rPr>
        <w:t>.</w:t>
      </w:r>
      <w:r w:rsidR="00E31769">
        <w:rPr>
          <w:rStyle w:val="FootnoteReference"/>
          <w:color w:val="auto"/>
        </w:rPr>
        <w:footnoteReference w:id="11"/>
      </w:r>
      <w:r w:rsidR="00783BAD">
        <w:rPr>
          <w:color w:val="auto"/>
        </w:rPr>
        <w:t xml:space="preserve"> Our final firm-level dataset</w:t>
      </w:r>
      <w:r w:rsidR="00C93384">
        <w:rPr>
          <w:color w:val="auto"/>
        </w:rPr>
        <w:t xml:space="preserve"> for analysis covers around 75 per cent of gross value added and 84 per cent</w:t>
      </w:r>
      <w:r w:rsidR="00783BAD">
        <w:rPr>
          <w:color w:val="auto"/>
        </w:rPr>
        <w:t xml:space="preserve"> of compensation of employees in the market sector over 2002-2016. Our dynamic </w:t>
      </w:r>
      <w:r w:rsidR="00783BAD" w:rsidRPr="00931A0D">
        <w:rPr>
          <w:color w:val="auto"/>
        </w:rPr>
        <w:t xml:space="preserve">reallocation analysis in Section </w:t>
      </w:r>
      <w:r w:rsidR="00783BAD">
        <w:rPr>
          <w:color w:val="auto"/>
        </w:rPr>
        <w:t xml:space="preserve">5 also </w:t>
      </w:r>
      <w:r w:rsidR="00783BAD" w:rsidRPr="00761976">
        <w:rPr>
          <w:color w:val="auto"/>
        </w:rPr>
        <w:t>abstract</w:t>
      </w:r>
      <w:r w:rsidR="00783BAD">
        <w:rPr>
          <w:color w:val="auto"/>
        </w:rPr>
        <w:t>s</w:t>
      </w:r>
      <w:r w:rsidR="00783BAD" w:rsidRPr="00761976">
        <w:rPr>
          <w:color w:val="auto"/>
        </w:rPr>
        <w:t xml:space="preserve"> from highly volatile commodity producing sectors such as agriculture and mining, which have been affected by large relative price shifts over recent times.</w:t>
      </w:r>
      <w:r w:rsidR="00783BAD">
        <w:rPr>
          <w:color w:val="auto"/>
        </w:rPr>
        <w:t xml:space="preserve"> </w:t>
      </w:r>
      <w:r w:rsidR="00BA4F53">
        <w:rPr>
          <w:color w:val="auto"/>
        </w:rPr>
        <w:t>Summary statistics for key variables are provided in Table B1 of Appendix</w:t>
      </w:r>
      <w:r w:rsidR="00C93384">
        <w:rPr>
          <w:color w:val="auto"/>
        </w:rPr>
        <w:t> </w:t>
      </w:r>
      <w:r w:rsidR="00BA4F53">
        <w:rPr>
          <w:color w:val="auto"/>
        </w:rPr>
        <w:t>B.</w:t>
      </w:r>
    </w:p>
    <w:p w14:paraId="0E1DD84A" w14:textId="77777777" w:rsidR="00B00DCC" w:rsidRDefault="00B00DCC">
      <w:pPr>
        <w:spacing w:after="200" w:line="276" w:lineRule="auto"/>
        <w:rPr>
          <w:color w:val="auto"/>
        </w:rPr>
      </w:pPr>
      <w:r>
        <w:rPr>
          <w:color w:val="auto"/>
        </w:rPr>
        <w:br w:type="page"/>
      </w:r>
    </w:p>
    <w:p w14:paraId="29FF3579" w14:textId="77777777" w:rsidR="002F6F65" w:rsidRDefault="002F6F65" w:rsidP="002F6F65">
      <w:pPr>
        <w:pStyle w:val="Heading2"/>
        <w:numPr>
          <w:ilvl w:val="0"/>
          <w:numId w:val="32"/>
        </w:numPr>
      </w:pPr>
      <w:r>
        <w:lastRenderedPageBreak/>
        <w:t>Static Allocative Efficiency</w:t>
      </w:r>
    </w:p>
    <w:p w14:paraId="3EB32B57" w14:textId="77777777" w:rsidR="002F6F65" w:rsidRPr="00E22678" w:rsidRDefault="002F6F65" w:rsidP="00E22678">
      <w:pPr>
        <w:pStyle w:val="Heading3"/>
      </w:pPr>
      <w:r w:rsidRPr="00E22678">
        <w:t xml:space="preserve">4.1 </w:t>
      </w:r>
      <w:r w:rsidR="00001986" w:rsidRPr="00E22678">
        <w:t>Empirical framework</w:t>
      </w:r>
    </w:p>
    <w:p w14:paraId="7A926DE9" w14:textId="77777777" w:rsidR="002F6F65" w:rsidRPr="00A21A68" w:rsidRDefault="002F6F65" w:rsidP="002F6F65">
      <w:pPr>
        <w:jc w:val="both"/>
        <w:rPr>
          <w:color w:val="auto"/>
        </w:rPr>
      </w:pPr>
      <w:r w:rsidRPr="00A21A68">
        <w:rPr>
          <w:color w:val="auto"/>
        </w:rPr>
        <w:t>Allocative efficiency measures the extent to which more productive firms in an industry employ more resources. Using a formula developed by Olley and Pakes (1996), we decompose aggregate productivity (</w:t>
      </w:r>
      <w:r w:rsidRPr="00A21A68">
        <w:rPr>
          <w:i/>
          <w:color w:val="auto"/>
        </w:rPr>
        <w:t>P</w:t>
      </w:r>
      <w:r w:rsidRPr="00A21A68">
        <w:rPr>
          <w:i/>
          <w:color w:val="auto"/>
          <w:vertAlign w:val="subscript"/>
        </w:rPr>
        <w:t>t</w:t>
      </w:r>
      <w:r w:rsidRPr="00A21A68">
        <w:rPr>
          <w:color w:val="auto"/>
        </w:rPr>
        <w:t>) as,</w:t>
      </w:r>
    </w:p>
    <w:p w14:paraId="5E8F8485" w14:textId="77777777" w:rsidR="002F6F65" w:rsidRPr="00A21A68" w:rsidRDefault="00E70CFB" w:rsidP="002F6F65">
      <w:pPr>
        <w:ind w:left="720"/>
        <w:rPr>
          <w:rFonts w:eastAsiaTheme="minorEastAsia"/>
          <w:color w:val="auto"/>
        </w:rPr>
      </w:pPr>
      <m:oMathPara>
        <m:oMathParaPr>
          <m:jc m:val="left"/>
        </m:oMathParaPr>
        <m:oMath>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t</m:t>
              </m:r>
            </m:sub>
          </m:sSub>
          <m:r>
            <w:rPr>
              <w:rFonts w:ascii="Cambria Math" w:hAnsi="Cambria Math"/>
              <w:color w:val="auto"/>
            </w:rPr>
            <m:t>=</m:t>
          </m:r>
          <m:nary>
            <m:naryPr>
              <m:chr m:val="∑"/>
              <m:subHide m:val="1"/>
              <m:supHide m:val="1"/>
              <m:ctrlPr>
                <w:rPr>
                  <w:rFonts w:ascii="Cambria Math" w:hAnsi="Cambria Math"/>
                  <w:i/>
                  <w:iCs/>
                  <w:color w:val="auto"/>
                </w:rPr>
              </m:ctrlPr>
            </m:naryPr>
            <m:sub/>
            <m:sup/>
            <m:e>
              <m:sSub>
                <m:sSubPr>
                  <m:ctrlPr>
                    <w:rPr>
                      <w:rFonts w:ascii="Cambria Math" w:hAnsi="Cambria Math"/>
                      <w:i/>
                      <w:iCs/>
                      <w:color w:val="auto"/>
                    </w:rPr>
                  </m:ctrlPr>
                </m:sSubPr>
                <m:e>
                  <m:r>
                    <w:rPr>
                      <w:rFonts w:ascii="Cambria Math" w:hAnsi="Cambria Math"/>
                      <w:color w:val="auto"/>
                    </w:rPr>
                    <m:t>s</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it</m:t>
                  </m:r>
                </m:sub>
              </m:sSub>
            </m:e>
          </m:nary>
          <m:r>
            <w:rPr>
              <w:rFonts w:ascii="Cambria Math" w:hAnsi="Cambria Math"/>
              <w:color w:val="auto"/>
            </w:rPr>
            <m:t xml:space="preserve"> </m:t>
          </m:r>
        </m:oMath>
      </m:oMathPara>
    </w:p>
    <w:p w14:paraId="42DBCC57" w14:textId="77777777" w:rsidR="002F6F65" w:rsidRDefault="002F6F65" w:rsidP="002F6F65">
      <w:pPr>
        <w:ind w:left="720"/>
        <w:rPr>
          <w:rFonts w:eastAsiaTheme="minorEastAsia"/>
          <w:iCs/>
          <w:color w:val="auto"/>
        </w:rPr>
      </w:pPr>
      <m:oMath>
        <m:r>
          <w:rPr>
            <w:rFonts w:ascii="Cambria Math" w:hAnsi="Cambria Math"/>
            <w:color w:val="auto"/>
          </w:rPr>
          <m:t xml:space="preserve">    =1/n</m:t>
        </m:r>
        <m:nary>
          <m:naryPr>
            <m:chr m:val="∑"/>
            <m:subHide m:val="1"/>
            <m:supHide m:val="1"/>
            <m:ctrlPr>
              <w:rPr>
                <w:rFonts w:ascii="Cambria Math" w:hAnsi="Cambria Math"/>
                <w:i/>
                <w:iCs/>
                <w:color w:val="auto"/>
              </w:rPr>
            </m:ctrlPr>
          </m:naryPr>
          <m:sub/>
          <m:sup/>
          <m:e>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it</m:t>
                </m:r>
              </m:sub>
            </m:sSub>
          </m:e>
        </m:nary>
        <m:r>
          <w:rPr>
            <w:rFonts w:ascii="Cambria Math" w:hAnsi="Cambria Math"/>
            <w:color w:val="auto"/>
          </w:rPr>
          <m:t>+</m:t>
        </m:r>
        <m:nary>
          <m:naryPr>
            <m:chr m:val="∑"/>
            <m:subHide m:val="1"/>
            <m:supHide m:val="1"/>
            <m:ctrlPr>
              <w:rPr>
                <w:rFonts w:ascii="Cambria Math" w:hAnsi="Cambria Math"/>
                <w:i/>
                <w:iCs/>
                <w:color w:val="auto"/>
              </w:rPr>
            </m:ctrlPr>
          </m:naryPr>
          <m:sub/>
          <m:sup/>
          <m:e>
            <m:d>
              <m:dPr>
                <m:ctrlPr>
                  <w:rPr>
                    <w:rFonts w:ascii="Cambria Math" w:hAnsi="Cambria Math"/>
                    <w:i/>
                    <w:iCs/>
                    <w:color w:val="auto"/>
                    <w:lang w:val="pt-BR"/>
                  </w:rPr>
                </m:ctrlPr>
              </m:dPr>
              <m:e>
                <m:sSub>
                  <m:sSubPr>
                    <m:ctrlPr>
                      <w:rPr>
                        <w:rFonts w:ascii="Cambria Math" w:hAnsi="Cambria Math"/>
                        <w:i/>
                        <w:iCs/>
                        <w:color w:val="auto"/>
                      </w:rPr>
                    </m:ctrlPr>
                  </m:sSubPr>
                  <m:e>
                    <m:r>
                      <w:rPr>
                        <w:rFonts w:ascii="Cambria Math" w:hAnsi="Cambria Math"/>
                        <w:color w:val="auto"/>
                      </w:rPr>
                      <m:t>s</m:t>
                    </m:r>
                  </m:e>
                  <m:sub>
                    <m:r>
                      <w:rPr>
                        <w:rFonts w:ascii="Cambria Math" w:hAnsi="Cambria Math"/>
                        <w:color w:val="auto"/>
                      </w:rPr>
                      <m:t>it</m:t>
                    </m:r>
                  </m:sub>
                </m:sSub>
                <m:r>
                  <w:rPr>
                    <w:rFonts w:ascii="Cambria Math" w:hAnsi="Cambria Math"/>
                    <w:color w:val="auto"/>
                  </w:rPr>
                  <m:t>-</m:t>
                </m:r>
                <m:sSub>
                  <m:sSubPr>
                    <m:ctrlPr>
                      <w:rPr>
                        <w:rFonts w:ascii="Cambria Math" w:hAnsi="Cambria Math"/>
                        <w:i/>
                        <w:iCs/>
                        <w:color w:val="auto"/>
                      </w:rPr>
                    </m:ctrlPr>
                  </m:sSubPr>
                  <m:e>
                    <m:acc>
                      <m:accPr>
                        <m:chr m:val="̅"/>
                        <m:ctrlPr>
                          <w:rPr>
                            <w:rFonts w:ascii="Cambria Math" w:hAnsi="Cambria Math"/>
                            <w:i/>
                            <w:iCs/>
                            <w:color w:val="auto"/>
                          </w:rPr>
                        </m:ctrlPr>
                      </m:accPr>
                      <m:e>
                        <m:r>
                          <w:rPr>
                            <w:rFonts w:ascii="Cambria Math" w:hAnsi="Cambria Math"/>
                            <w:color w:val="auto"/>
                          </w:rPr>
                          <m:t>s</m:t>
                        </m:r>
                      </m:e>
                    </m:acc>
                  </m:e>
                  <m:sub>
                    <m:r>
                      <w:rPr>
                        <w:rFonts w:ascii="Cambria Math" w:hAnsi="Cambria Math"/>
                        <w:color w:val="auto"/>
                      </w:rPr>
                      <m:t>t</m:t>
                    </m:r>
                  </m:sub>
                </m:sSub>
              </m:e>
            </m:d>
            <m:d>
              <m:dPr>
                <m:ctrlPr>
                  <w:rPr>
                    <w:rFonts w:ascii="Cambria Math" w:hAnsi="Cambria Math"/>
                    <w:i/>
                    <w:iCs/>
                    <w:color w:val="auto"/>
                    <w:lang w:val="pt-BR"/>
                  </w:rPr>
                </m:ctrlPr>
              </m:dPr>
              <m:e>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it</m:t>
                    </m:r>
                  </m:sub>
                </m:sSub>
                <m:r>
                  <w:rPr>
                    <w:rFonts w:ascii="Cambria Math" w:hAnsi="Cambria Math"/>
                    <w:color w:val="auto"/>
                  </w:rPr>
                  <m:t>-</m:t>
                </m:r>
                <m:sSub>
                  <m:sSubPr>
                    <m:ctrlPr>
                      <w:rPr>
                        <w:rFonts w:ascii="Cambria Math" w:hAnsi="Cambria Math"/>
                        <w:i/>
                        <w:iCs/>
                        <w:color w:val="auto"/>
                      </w:rPr>
                    </m:ctrlPr>
                  </m:sSubPr>
                  <m:e>
                    <m:acc>
                      <m:accPr>
                        <m:chr m:val="̅"/>
                        <m:ctrlPr>
                          <w:rPr>
                            <w:rFonts w:ascii="Cambria Math" w:hAnsi="Cambria Math"/>
                            <w:i/>
                            <w:iCs/>
                            <w:color w:val="auto"/>
                          </w:rPr>
                        </m:ctrlPr>
                      </m:accPr>
                      <m:e>
                        <m:r>
                          <w:rPr>
                            <w:rFonts w:ascii="Cambria Math" w:hAnsi="Cambria Math"/>
                            <w:color w:val="auto"/>
                          </w:rPr>
                          <m:t>p</m:t>
                        </m:r>
                      </m:e>
                    </m:acc>
                  </m:e>
                  <m:sub>
                    <m:r>
                      <w:rPr>
                        <w:rFonts w:ascii="Cambria Math" w:hAnsi="Cambria Math"/>
                        <w:color w:val="auto"/>
                      </w:rPr>
                      <m:t>t</m:t>
                    </m:r>
                  </m:sub>
                </m:sSub>
              </m:e>
            </m:d>
          </m:e>
        </m:nary>
      </m:oMath>
      <w:r w:rsidRPr="00A21A68">
        <w:rPr>
          <w:rFonts w:eastAsiaTheme="minorEastAsia"/>
          <w:iCs/>
          <w:color w:val="auto"/>
        </w:rPr>
        <w:t xml:space="preserve"> (</w:t>
      </w:r>
      <w:r w:rsidR="00D440AA">
        <w:rPr>
          <w:rFonts w:eastAsiaTheme="minorEastAsia"/>
          <w:iCs/>
          <w:color w:val="auto"/>
        </w:rPr>
        <w:t>1</w:t>
      </w:r>
      <w:r w:rsidRPr="00A21A68">
        <w:rPr>
          <w:rFonts w:eastAsiaTheme="minorEastAsia"/>
          <w:iCs/>
          <w:color w:val="auto"/>
        </w:rPr>
        <w:t>)</w:t>
      </w:r>
    </w:p>
    <w:p w14:paraId="053B0046" w14:textId="77777777" w:rsidR="00E22678" w:rsidRDefault="00E22678" w:rsidP="00E22678">
      <w:pPr>
        <w:jc w:val="both"/>
        <w:rPr>
          <w:color w:val="auto"/>
        </w:rPr>
      </w:pPr>
      <w:r w:rsidRPr="00E22678">
        <w:t>Where</w:t>
      </w:r>
      <w:r w:rsidRPr="00E22678">
        <w:rPr>
          <w:i/>
        </w:rPr>
        <w:t xml:space="preserve"> s</w:t>
      </w:r>
      <w:r w:rsidRPr="00E22678">
        <w:t xml:space="preserve"> is the </w:t>
      </w:r>
      <w:r w:rsidR="004653A5">
        <w:t xml:space="preserve">employment </w:t>
      </w:r>
      <w:r w:rsidRPr="00E22678">
        <w:t xml:space="preserve">share of firm </w:t>
      </w:r>
      <w:r w:rsidRPr="00E22678">
        <w:rPr>
          <w:i/>
        </w:rPr>
        <w:t xml:space="preserve">i </w:t>
      </w:r>
      <w:r w:rsidRPr="00E22678">
        <w:t xml:space="preserve">at time </w:t>
      </w:r>
      <w:r w:rsidRPr="00E22678">
        <w:rPr>
          <w:i/>
        </w:rPr>
        <w:t xml:space="preserve">t, </w:t>
      </w:r>
      <w:r w:rsidRPr="00E22678">
        <w:t xml:space="preserve">lower case </w:t>
      </w:r>
      <w:r w:rsidRPr="00E22678">
        <w:rPr>
          <w:i/>
        </w:rPr>
        <w:t>p</w:t>
      </w:r>
      <w:r w:rsidRPr="00E22678">
        <w:t xml:space="preserve"> is a firm’s</w:t>
      </w:r>
      <w:r w:rsidR="00AA5363">
        <w:t xml:space="preserve"> log labour</w:t>
      </w:r>
      <w:r w:rsidRPr="00E22678">
        <w:t xml:space="preserve"> productivity, and a bar above s or p refer to the mean. The second term in (2) is the measure of allocative efficiency</w:t>
      </w:r>
      <w:r w:rsidR="00605A80">
        <w:t>, sometimes referred to as the OP gap</w:t>
      </w:r>
      <w:r w:rsidR="004653A5">
        <w:t xml:space="preserve"> or covariance term</w:t>
      </w:r>
      <w:r w:rsidRPr="00E22678">
        <w:t xml:space="preserve">. It reflects the extent to which firms with higher (lower) than average productivity have larger (smaller) labour shares. </w:t>
      </w:r>
      <w:r w:rsidR="004653A5">
        <w:t xml:space="preserve">Moreover, </w:t>
      </w:r>
      <w:r w:rsidRPr="00E22678">
        <w:t xml:space="preserve">the allocative efficiency term can be interpreted as the percentage increase in the economy wide or industry level of productivity due to the </w:t>
      </w:r>
      <w:r w:rsidR="00883627">
        <w:t xml:space="preserve">actual </w:t>
      </w:r>
      <w:r w:rsidRPr="00E22678">
        <w:t>allocation of labour.</w:t>
      </w:r>
      <w:r>
        <w:t xml:space="preserve"> </w:t>
      </w:r>
      <w:r w:rsidRPr="00E22678">
        <w:t>This is because if the allocation of labour were random, the share weighted level of productivity (</w:t>
      </w:r>
      <m:oMath>
        <m:nary>
          <m:naryPr>
            <m:chr m:val="∑"/>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s</m:t>
                </m:r>
              </m:e>
              <m:sub>
                <m:r>
                  <w:rPr>
                    <w:rFonts w:ascii="Cambria Math" w:hAnsi="Cambria Math"/>
                  </w:rPr>
                  <m:t>it</m:t>
                </m:r>
              </m:sub>
            </m:sSub>
            <m:sSub>
              <m:sSubPr>
                <m:ctrlPr>
                  <w:rPr>
                    <w:rFonts w:ascii="Cambria Math" w:hAnsi="Cambria Math"/>
                    <w:i/>
                    <w:iCs/>
                  </w:rPr>
                </m:ctrlPr>
              </m:sSubPr>
              <m:e>
                <m:r>
                  <w:rPr>
                    <w:rFonts w:ascii="Cambria Math" w:hAnsi="Cambria Math"/>
                  </w:rPr>
                  <m:t>p</m:t>
                </m:r>
              </m:e>
              <m:sub>
                <m:r>
                  <w:rPr>
                    <w:rFonts w:ascii="Cambria Math" w:hAnsi="Cambria Math"/>
                  </w:rPr>
                  <m:t>it</m:t>
                </m:r>
              </m:sub>
            </m:sSub>
          </m:e>
        </m:nary>
        <m:r>
          <w:rPr>
            <w:rFonts w:ascii="Cambria Math" w:hAnsi="Cambria Math"/>
          </w:rPr>
          <m:t xml:space="preserve"> )</m:t>
        </m:r>
      </m:oMath>
      <w:r w:rsidRPr="00E22678">
        <w:rPr>
          <w:rFonts w:eastAsiaTheme="minorEastAsia"/>
        </w:rPr>
        <w:t xml:space="preserve"> </w:t>
      </w:r>
      <w:r w:rsidRPr="00E22678">
        <w:t>equals the unweighted mean of productivity (</w:t>
      </w:r>
      <m:oMath>
        <m:r>
          <w:rPr>
            <w:rFonts w:ascii="Cambria Math" w:hAnsi="Cambria Math"/>
          </w:rPr>
          <m:t>1/n</m:t>
        </m:r>
        <m:nary>
          <m:naryPr>
            <m:chr m:val="∑"/>
            <m:subHide m:val="1"/>
            <m:supHide m:val="1"/>
            <m:ctrlPr>
              <w:rPr>
                <w:rFonts w:ascii="Cambria Math" w:hAnsi="Cambria Math"/>
                <w:i/>
                <w:iCs/>
              </w:rPr>
            </m:ctrlPr>
          </m:naryPr>
          <m:sub/>
          <m:sup/>
          <m:e>
            <m:sSub>
              <m:sSubPr>
                <m:ctrlPr>
                  <w:rPr>
                    <w:rFonts w:ascii="Cambria Math" w:hAnsi="Cambria Math"/>
                    <w:i/>
                    <w:iCs/>
                  </w:rPr>
                </m:ctrlPr>
              </m:sSubPr>
              <m:e>
                <m:r>
                  <w:rPr>
                    <w:rFonts w:ascii="Cambria Math" w:hAnsi="Cambria Math"/>
                  </w:rPr>
                  <m:t>p</m:t>
                </m:r>
              </m:e>
              <m:sub>
                <m:r>
                  <w:rPr>
                    <w:rFonts w:ascii="Cambria Math" w:hAnsi="Cambria Math"/>
                  </w:rPr>
                  <m:t>it</m:t>
                </m:r>
              </m:sub>
            </m:sSub>
          </m:e>
        </m:nary>
      </m:oMath>
      <w:r w:rsidRPr="00E22678">
        <w:rPr>
          <w:rFonts w:eastAsiaTheme="minorEastAsia"/>
          <w:iCs/>
        </w:rPr>
        <w:t>) and hence the OP gap</w:t>
      </w:r>
      <w:r>
        <w:rPr>
          <w:rFonts w:eastAsiaTheme="minorEastAsia"/>
          <w:iCs/>
        </w:rPr>
        <w:t xml:space="preserve"> (</w:t>
      </w:r>
      <m:oMath>
        <m:nary>
          <m:naryPr>
            <m:chr m:val="∑"/>
            <m:subHide m:val="1"/>
            <m:supHide m:val="1"/>
            <m:ctrlPr>
              <w:rPr>
                <w:rFonts w:ascii="Cambria Math" w:hAnsi="Cambria Math"/>
                <w:i/>
                <w:iCs/>
              </w:rPr>
            </m:ctrlPr>
          </m:naryPr>
          <m:sub/>
          <m:sup/>
          <m:e>
            <m:d>
              <m:dPr>
                <m:ctrlPr>
                  <w:rPr>
                    <w:rFonts w:ascii="Cambria Math" w:hAnsi="Cambria Math"/>
                    <w:i/>
                    <w:iCs/>
                    <w:lang w:val="pt-BR"/>
                  </w:rPr>
                </m:ctrlPr>
              </m:dPr>
              <m:e>
                <m:sSub>
                  <m:sSubPr>
                    <m:ctrlPr>
                      <w:rPr>
                        <w:rFonts w:ascii="Cambria Math" w:hAnsi="Cambria Math"/>
                        <w:i/>
                        <w:iCs/>
                      </w:rPr>
                    </m:ctrlPr>
                  </m:sSubPr>
                  <m:e>
                    <m:r>
                      <w:rPr>
                        <w:rFonts w:ascii="Cambria Math" w:hAnsi="Cambria Math"/>
                      </w:rPr>
                      <m:t>s</m:t>
                    </m:r>
                  </m:e>
                  <m:sub>
                    <m:r>
                      <w:rPr>
                        <w:rFonts w:ascii="Cambria Math" w:hAnsi="Cambria Math"/>
                      </w:rPr>
                      <m:t>it</m:t>
                    </m:r>
                  </m:sub>
                </m:sSub>
                <m:r>
                  <w:rPr>
                    <w:rFonts w:ascii="Cambria Math" w:hAnsi="Cambria Math"/>
                  </w:rPr>
                  <m:t>-</m:t>
                </m:r>
                <m:sSub>
                  <m:sSubPr>
                    <m:ctrlPr>
                      <w:rPr>
                        <w:rFonts w:ascii="Cambria Math" w:hAnsi="Cambria Math"/>
                        <w:i/>
                        <w:iCs/>
                      </w:rPr>
                    </m:ctrlPr>
                  </m:sSubPr>
                  <m:e>
                    <m:acc>
                      <m:accPr>
                        <m:chr m:val="̅"/>
                        <m:ctrlPr>
                          <w:rPr>
                            <w:rFonts w:ascii="Cambria Math" w:hAnsi="Cambria Math"/>
                            <w:i/>
                            <w:iCs/>
                          </w:rPr>
                        </m:ctrlPr>
                      </m:accPr>
                      <m:e>
                        <m:r>
                          <w:rPr>
                            <w:rFonts w:ascii="Cambria Math" w:hAnsi="Cambria Math"/>
                          </w:rPr>
                          <m:t>s</m:t>
                        </m:r>
                      </m:e>
                    </m:acc>
                  </m:e>
                  <m:sub>
                    <m:r>
                      <w:rPr>
                        <w:rFonts w:ascii="Cambria Math" w:hAnsi="Cambria Math"/>
                      </w:rPr>
                      <m:t>t</m:t>
                    </m:r>
                  </m:sub>
                </m:sSub>
              </m:e>
            </m:d>
            <m:d>
              <m:dPr>
                <m:ctrlPr>
                  <w:rPr>
                    <w:rFonts w:ascii="Cambria Math" w:hAnsi="Cambria Math"/>
                    <w:i/>
                    <w:iCs/>
                    <w:lang w:val="pt-BR"/>
                  </w:rPr>
                </m:ctrlPr>
              </m:dPr>
              <m:e>
                <m:sSub>
                  <m:sSubPr>
                    <m:ctrlPr>
                      <w:rPr>
                        <w:rFonts w:ascii="Cambria Math" w:hAnsi="Cambria Math"/>
                        <w:i/>
                        <w:iCs/>
                      </w:rPr>
                    </m:ctrlPr>
                  </m:sSubPr>
                  <m:e>
                    <m:r>
                      <w:rPr>
                        <w:rFonts w:ascii="Cambria Math" w:hAnsi="Cambria Math"/>
                      </w:rPr>
                      <m:t>p</m:t>
                    </m:r>
                  </m:e>
                  <m:sub>
                    <m:r>
                      <w:rPr>
                        <w:rFonts w:ascii="Cambria Math" w:hAnsi="Cambria Math"/>
                      </w:rPr>
                      <m:t>it</m:t>
                    </m:r>
                  </m:sub>
                </m:sSub>
                <m:r>
                  <w:rPr>
                    <w:rFonts w:ascii="Cambria Math" w:hAnsi="Cambria Math"/>
                  </w:rPr>
                  <m:t>-</m:t>
                </m:r>
                <m:sSub>
                  <m:sSubPr>
                    <m:ctrlPr>
                      <w:rPr>
                        <w:rFonts w:ascii="Cambria Math" w:hAnsi="Cambria Math"/>
                        <w:i/>
                        <w:iCs/>
                      </w:rPr>
                    </m:ctrlPr>
                  </m:sSubPr>
                  <m:e>
                    <m:acc>
                      <m:accPr>
                        <m:chr m:val="̅"/>
                        <m:ctrlPr>
                          <w:rPr>
                            <w:rFonts w:ascii="Cambria Math" w:hAnsi="Cambria Math"/>
                            <w:i/>
                            <w:iCs/>
                          </w:rPr>
                        </m:ctrlPr>
                      </m:accPr>
                      <m:e>
                        <m:r>
                          <w:rPr>
                            <w:rFonts w:ascii="Cambria Math" w:hAnsi="Cambria Math"/>
                          </w:rPr>
                          <m:t>p</m:t>
                        </m:r>
                      </m:e>
                    </m:acc>
                  </m:e>
                  <m:sub>
                    <m:r>
                      <w:rPr>
                        <w:rFonts w:ascii="Cambria Math" w:hAnsi="Cambria Math"/>
                      </w:rPr>
                      <m:t>t</m:t>
                    </m:r>
                  </m:sub>
                </m:sSub>
              </m:e>
            </m:d>
          </m:e>
        </m:nary>
        <m:r>
          <w:rPr>
            <w:rFonts w:ascii="Cambria Math" w:hAnsi="Cambria Math"/>
          </w:rPr>
          <m:t>)</m:t>
        </m:r>
      </m:oMath>
      <w:r>
        <w:rPr>
          <w:rFonts w:eastAsiaTheme="minorEastAsia"/>
        </w:rPr>
        <w:t xml:space="preserve"> </w:t>
      </w:r>
      <w:r w:rsidRPr="00E22678">
        <w:rPr>
          <w:color w:val="auto"/>
        </w:rPr>
        <w:t>is zero. Finally, this measure abstracts from the difference in prices since the percentage difference is expressed relative to the groups under study, which facilitates comparisons within an economy and among countries.</w:t>
      </w:r>
    </w:p>
    <w:p w14:paraId="438628AA" w14:textId="77777777" w:rsidR="002F6F65" w:rsidRPr="00A21A68" w:rsidRDefault="002F6F65" w:rsidP="002F6F65">
      <w:pPr>
        <w:jc w:val="both"/>
        <w:rPr>
          <w:color w:val="auto"/>
        </w:rPr>
      </w:pPr>
      <w:r w:rsidRPr="00A21A68">
        <w:rPr>
          <w:color w:val="auto"/>
        </w:rPr>
        <w:t xml:space="preserve">Note that this decomposition is equivalent to how aggregate (labour) productivity for an </w:t>
      </w:r>
      <w:r>
        <w:rPr>
          <w:color w:val="auto"/>
        </w:rPr>
        <w:t>industry or economy is measured:</w:t>
      </w:r>
      <w:r w:rsidRPr="00A21A68">
        <w:rPr>
          <w:color w:val="auto"/>
        </w:rPr>
        <w:t xml:space="preserve"> the sum of output divided by the sum of inputs is directly related to the sum of each firm’s labour share multiplied by its productivity level.  </w:t>
      </w:r>
    </w:p>
    <w:p w14:paraId="0CD2D42F" w14:textId="77777777" w:rsidR="002F6F65" w:rsidRPr="00C41BBB" w:rsidRDefault="00E70CFB" w:rsidP="002F6F65">
      <w:pPr>
        <w:ind w:left="720" w:firstLine="720"/>
        <w:rPr>
          <w:rFonts w:eastAsiaTheme="minorEastAsia"/>
          <w:iCs/>
          <w:color w:val="auto"/>
        </w:rPr>
      </w:pPr>
      <m:oMath>
        <m:nary>
          <m:naryPr>
            <m:chr m:val="∑"/>
            <m:subHide m:val="1"/>
            <m:supHide m:val="1"/>
            <m:ctrlPr>
              <w:rPr>
                <w:rFonts w:ascii="Cambria Math" w:hAnsi="Cambria Math"/>
                <w:i/>
                <w:iCs/>
                <w:color w:val="auto"/>
              </w:rPr>
            </m:ctrlPr>
          </m:naryPr>
          <m:sub/>
          <m:sup/>
          <m:e>
            <m:sSub>
              <m:sSubPr>
                <m:ctrlPr>
                  <w:rPr>
                    <w:rFonts w:ascii="Cambria Math" w:hAnsi="Cambria Math"/>
                    <w:i/>
                    <w:iCs/>
                    <w:color w:val="auto"/>
                  </w:rPr>
                </m:ctrlPr>
              </m:sSubPr>
              <m:e>
                <m:r>
                  <w:rPr>
                    <w:rFonts w:ascii="Cambria Math" w:hAnsi="Cambria Math"/>
                    <w:color w:val="auto"/>
                  </w:rPr>
                  <m:t>s</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it</m:t>
                </m:r>
              </m:sub>
            </m:sSub>
          </m:e>
        </m:nary>
        <m:r>
          <w:rPr>
            <w:rFonts w:ascii="Cambria Math" w:hAnsi="Cambria Math"/>
            <w:color w:val="auto"/>
          </w:rPr>
          <m:t>=</m:t>
        </m:r>
        <m:f>
          <m:fPr>
            <m:ctrlPr>
              <w:rPr>
                <w:rFonts w:ascii="Cambria Math" w:hAnsi="Cambria Math"/>
                <w:i/>
                <w:iCs/>
                <w:color w:val="auto"/>
              </w:rPr>
            </m:ctrlPr>
          </m:fPr>
          <m:num>
            <m:nary>
              <m:naryPr>
                <m:chr m:val="∑"/>
                <m:limLoc m:val="undOvr"/>
                <m:subHide m:val="1"/>
                <m:supHide m:val="1"/>
                <m:ctrlPr>
                  <w:rPr>
                    <w:rFonts w:ascii="Cambria Math" w:hAnsi="Cambria Math"/>
                    <w:i/>
                    <w:iCs/>
                    <w:color w:val="auto"/>
                  </w:rPr>
                </m:ctrlPr>
              </m:naryPr>
              <m:sub/>
              <m:sup/>
              <m:e>
                <m:sSub>
                  <m:sSubPr>
                    <m:ctrlPr>
                      <w:rPr>
                        <w:rFonts w:ascii="Cambria Math" w:hAnsi="Cambria Math"/>
                        <w:i/>
                        <w:iCs/>
                        <w:color w:val="auto"/>
                      </w:rPr>
                    </m:ctrlPr>
                  </m:sSubPr>
                  <m:e>
                    <m:r>
                      <w:rPr>
                        <w:rFonts w:ascii="Cambria Math" w:hAnsi="Cambria Math"/>
                        <w:color w:val="auto"/>
                      </w:rPr>
                      <m:t>output</m:t>
                    </m:r>
                  </m:e>
                  <m:sub>
                    <m:r>
                      <w:rPr>
                        <w:rFonts w:ascii="Cambria Math" w:hAnsi="Cambria Math"/>
                        <w:color w:val="auto"/>
                      </w:rPr>
                      <m:t>it</m:t>
                    </m:r>
                  </m:sub>
                </m:sSub>
              </m:e>
            </m:nary>
          </m:num>
          <m:den>
            <m:nary>
              <m:naryPr>
                <m:chr m:val="∑"/>
                <m:subHide m:val="1"/>
                <m:supHide m:val="1"/>
                <m:ctrlPr>
                  <w:rPr>
                    <w:rFonts w:ascii="Cambria Math" w:hAnsi="Cambria Math"/>
                    <w:i/>
                    <w:iCs/>
                    <w:color w:val="auto"/>
                  </w:rPr>
                </m:ctrlPr>
              </m:naryPr>
              <m:sub/>
              <m:sup/>
              <m:e>
                <m:sSub>
                  <m:sSubPr>
                    <m:ctrlPr>
                      <w:rPr>
                        <w:rFonts w:ascii="Cambria Math" w:hAnsi="Cambria Math"/>
                        <w:i/>
                        <w:iCs/>
                        <w:color w:val="auto"/>
                      </w:rPr>
                    </m:ctrlPr>
                  </m:sSubPr>
                  <m:e>
                    <m:r>
                      <w:rPr>
                        <w:rFonts w:ascii="Cambria Math" w:hAnsi="Cambria Math"/>
                        <w:color w:val="auto"/>
                      </w:rPr>
                      <m:t>labour</m:t>
                    </m:r>
                  </m:e>
                  <m:sub>
                    <m:r>
                      <w:rPr>
                        <w:rFonts w:ascii="Cambria Math" w:hAnsi="Cambria Math"/>
                        <w:color w:val="auto"/>
                      </w:rPr>
                      <m:t>it</m:t>
                    </m:r>
                  </m:sub>
                </m:sSub>
              </m:e>
            </m:nary>
          </m:den>
        </m:f>
        <m:r>
          <w:rPr>
            <w:rFonts w:ascii="Cambria Math" w:hAnsi="Cambria Math"/>
            <w:color w:val="auto"/>
          </w:rPr>
          <m:t>=</m:t>
        </m:r>
        <m:f>
          <m:fPr>
            <m:ctrlPr>
              <w:rPr>
                <w:rFonts w:ascii="Cambria Math" w:hAnsi="Cambria Math"/>
                <w:i/>
                <w:iCs/>
                <w:color w:val="auto"/>
              </w:rPr>
            </m:ctrlPr>
          </m:fPr>
          <m:num>
            <m:nary>
              <m:naryPr>
                <m:chr m:val="∑"/>
                <m:subHide m:val="1"/>
                <m:supHide m:val="1"/>
                <m:ctrlPr>
                  <w:rPr>
                    <w:rFonts w:ascii="Cambria Math" w:hAnsi="Cambria Math"/>
                    <w:i/>
                    <w:iCs/>
                    <w:color w:val="auto"/>
                  </w:rPr>
                </m:ctrlPr>
              </m:naryPr>
              <m:sub/>
              <m:sup/>
              <m:e>
                <m:sSub>
                  <m:sSubPr>
                    <m:ctrlPr>
                      <w:rPr>
                        <w:rFonts w:ascii="Cambria Math" w:hAnsi="Cambria Math"/>
                        <w:i/>
                        <w:iCs/>
                        <w:color w:val="auto"/>
                      </w:rPr>
                    </m:ctrlPr>
                  </m:sSubPr>
                  <m:e>
                    <m:r>
                      <w:rPr>
                        <w:rFonts w:ascii="Cambria Math" w:hAnsi="Cambria Math"/>
                        <w:color w:val="auto"/>
                      </w:rPr>
                      <m:t>labour</m:t>
                    </m:r>
                  </m:e>
                  <m:sub>
                    <m:r>
                      <w:rPr>
                        <w:rFonts w:ascii="Cambria Math" w:hAnsi="Cambria Math"/>
                        <w:color w:val="auto"/>
                      </w:rPr>
                      <m:t>it</m:t>
                    </m:r>
                  </m:sub>
                </m:sSub>
                <m:r>
                  <w:rPr>
                    <w:rFonts w:ascii="Cambria Math" w:hAnsi="Cambria Math"/>
                    <w:color w:val="auto"/>
                  </w:rPr>
                  <m:t>(</m:t>
                </m:r>
              </m:e>
            </m:nary>
            <m:f>
              <m:fPr>
                <m:type m:val="skw"/>
                <m:ctrlPr>
                  <w:rPr>
                    <w:rFonts w:ascii="Cambria Math" w:hAnsi="Cambria Math"/>
                    <w:i/>
                    <w:iCs/>
                    <w:color w:val="auto"/>
                  </w:rPr>
                </m:ctrlPr>
              </m:fPr>
              <m:num>
                <m:sSub>
                  <m:sSubPr>
                    <m:ctrlPr>
                      <w:rPr>
                        <w:rFonts w:ascii="Cambria Math" w:hAnsi="Cambria Math"/>
                        <w:i/>
                        <w:iCs/>
                        <w:color w:val="auto"/>
                      </w:rPr>
                    </m:ctrlPr>
                  </m:sSubPr>
                  <m:e>
                    <m:r>
                      <w:rPr>
                        <w:rFonts w:ascii="Cambria Math" w:hAnsi="Cambria Math"/>
                        <w:color w:val="auto"/>
                      </w:rPr>
                      <m:t>output</m:t>
                    </m:r>
                  </m:e>
                  <m:sub>
                    <m:r>
                      <w:rPr>
                        <w:rFonts w:ascii="Cambria Math" w:hAnsi="Cambria Math"/>
                        <w:color w:val="auto"/>
                      </w:rPr>
                      <m:t>it</m:t>
                    </m:r>
                  </m:sub>
                </m:sSub>
              </m:num>
              <m:den>
                <m:sSub>
                  <m:sSubPr>
                    <m:ctrlPr>
                      <w:rPr>
                        <w:rFonts w:ascii="Cambria Math" w:hAnsi="Cambria Math"/>
                        <w:i/>
                        <w:iCs/>
                        <w:color w:val="auto"/>
                      </w:rPr>
                    </m:ctrlPr>
                  </m:sSubPr>
                  <m:e>
                    <m:r>
                      <w:rPr>
                        <w:rFonts w:ascii="Cambria Math" w:hAnsi="Cambria Math"/>
                        <w:color w:val="auto"/>
                      </w:rPr>
                      <m:t>labour</m:t>
                    </m:r>
                  </m:e>
                  <m:sub>
                    <m:r>
                      <w:rPr>
                        <w:rFonts w:ascii="Cambria Math" w:hAnsi="Cambria Math"/>
                        <w:color w:val="auto"/>
                      </w:rPr>
                      <m:t>it</m:t>
                    </m:r>
                  </m:sub>
                </m:sSub>
              </m:den>
            </m:f>
            <m:r>
              <w:rPr>
                <w:rFonts w:ascii="Cambria Math" w:hAnsi="Cambria Math"/>
                <w:color w:val="auto"/>
              </w:rPr>
              <m:t>)</m:t>
            </m:r>
          </m:num>
          <m:den>
            <m:sSub>
              <m:sSubPr>
                <m:ctrlPr>
                  <w:rPr>
                    <w:rFonts w:ascii="Cambria Math" w:hAnsi="Cambria Math"/>
                    <w:i/>
                    <w:iCs/>
                    <w:color w:val="auto"/>
                  </w:rPr>
                </m:ctrlPr>
              </m:sSubPr>
              <m:e>
                <m:nary>
                  <m:naryPr>
                    <m:chr m:val="∑"/>
                    <m:subHide m:val="1"/>
                    <m:supHide m:val="1"/>
                    <m:ctrlPr>
                      <w:rPr>
                        <w:rFonts w:ascii="Cambria Math" w:hAnsi="Cambria Math"/>
                        <w:i/>
                        <w:iCs/>
                        <w:color w:val="auto"/>
                      </w:rPr>
                    </m:ctrlPr>
                  </m:naryPr>
                  <m:sub/>
                  <m:sup/>
                  <m:e>
                    <m:r>
                      <w:rPr>
                        <w:rFonts w:ascii="Cambria Math" w:hAnsi="Cambria Math"/>
                        <w:color w:val="auto"/>
                      </w:rPr>
                      <m:t>labour</m:t>
                    </m:r>
                  </m:e>
                </m:nary>
              </m:e>
              <m:sub>
                <m:r>
                  <w:rPr>
                    <w:rFonts w:ascii="Cambria Math" w:hAnsi="Cambria Math"/>
                    <w:color w:val="auto"/>
                  </w:rPr>
                  <m:t>it</m:t>
                </m:r>
              </m:sub>
            </m:sSub>
          </m:den>
        </m:f>
      </m:oMath>
      <w:r w:rsidR="00036131">
        <w:rPr>
          <w:rFonts w:eastAsiaTheme="minorEastAsia"/>
          <w:iCs/>
          <w:color w:val="auto"/>
        </w:rPr>
        <w:tab/>
      </w:r>
      <w:r w:rsidR="00D440AA">
        <w:rPr>
          <w:rFonts w:eastAsiaTheme="minorEastAsia"/>
          <w:iCs/>
          <w:color w:val="auto"/>
        </w:rPr>
        <w:t>(2)</w:t>
      </w:r>
    </w:p>
    <w:p w14:paraId="0F22BB0F" w14:textId="77777777" w:rsidR="00001986" w:rsidRPr="00E22678" w:rsidRDefault="00001986" w:rsidP="00E22678">
      <w:pPr>
        <w:pStyle w:val="Heading3"/>
      </w:pPr>
      <w:r w:rsidRPr="00E22678">
        <w:t>4.2 Empirical results</w:t>
      </w:r>
    </w:p>
    <w:p w14:paraId="426EF9D4" w14:textId="4731B804" w:rsidR="002F6F65" w:rsidRDefault="002F6F65" w:rsidP="002F6F65">
      <w:pPr>
        <w:jc w:val="both"/>
        <w:rPr>
          <w:color w:val="auto"/>
        </w:rPr>
      </w:pPr>
      <w:r w:rsidRPr="00A21A68">
        <w:rPr>
          <w:color w:val="auto"/>
        </w:rPr>
        <w:t xml:space="preserve">Figure </w:t>
      </w:r>
      <w:r w:rsidR="00A379C0">
        <w:rPr>
          <w:color w:val="auto"/>
        </w:rPr>
        <w:t>2</w:t>
      </w:r>
      <w:r w:rsidR="00A379C0" w:rsidRPr="00A21A68">
        <w:rPr>
          <w:color w:val="auto"/>
        </w:rPr>
        <w:t xml:space="preserve"> </w:t>
      </w:r>
      <w:r w:rsidRPr="00A21A68">
        <w:rPr>
          <w:color w:val="auto"/>
        </w:rPr>
        <w:t xml:space="preserve">shows </w:t>
      </w:r>
      <w:r w:rsidR="00791FE7">
        <w:rPr>
          <w:color w:val="auto"/>
        </w:rPr>
        <w:t xml:space="preserve">static </w:t>
      </w:r>
      <w:r w:rsidRPr="00A21A68">
        <w:rPr>
          <w:color w:val="auto"/>
        </w:rPr>
        <w:t xml:space="preserve">allocative efficiency for the </w:t>
      </w:r>
      <w:r w:rsidR="00791FE7">
        <w:rPr>
          <w:color w:val="auto"/>
        </w:rPr>
        <w:t>m</w:t>
      </w:r>
      <w:r w:rsidRPr="00A21A68">
        <w:rPr>
          <w:color w:val="auto"/>
        </w:rPr>
        <w:t>anufacturing sector of selected OECD countries in</w:t>
      </w:r>
      <w:r w:rsidR="00C93384">
        <w:rPr>
          <w:color w:val="auto"/>
        </w:rPr>
        <w:t> </w:t>
      </w:r>
      <w:r w:rsidRPr="00A21A68">
        <w:rPr>
          <w:color w:val="auto"/>
        </w:rPr>
        <w:t xml:space="preserve">2005. </w:t>
      </w:r>
      <w:r w:rsidR="00791FE7" w:rsidRPr="00A21A68">
        <w:rPr>
          <w:color w:val="auto"/>
        </w:rPr>
        <w:t xml:space="preserve">With the exception of Poland, Greece and Korea more productive firms have larger labour shares in OECD countries. </w:t>
      </w:r>
      <w:r w:rsidRPr="00A21A68">
        <w:rPr>
          <w:color w:val="auto"/>
        </w:rPr>
        <w:t>I</w:t>
      </w:r>
      <w:r w:rsidR="00791FE7">
        <w:rPr>
          <w:color w:val="auto"/>
        </w:rPr>
        <w:t xml:space="preserve">n Australia, static allocative efficiency is particularly high, with aggregate manufacturing labour productivity around </w:t>
      </w:r>
      <w:r w:rsidRPr="00A21A68">
        <w:rPr>
          <w:color w:val="auto"/>
        </w:rPr>
        <w:t>66 per cent</w:t>
      </w:r>
      <w:r w:rsidR="00791FE7">
        <w:rPr>
          <w:color w:val="auto"/>
        </w:rPr>
        <w:t xml:space="preserve"> h</w:t>
      </w:r>
      <w:r w:rsidR="003310DF">
        <w:rPr>
          <w:color w:val="auto"/>
        </w:rPr>
        <w:t>igher than it would be i</w:t>
      </w:r>
      <w:r w:rsidR="00D440AA">
        <w:rPr>
          <w:color w:val="auto"/>
        </w:rPr>
        <w:t>f</w:t>
      </w:r>
      <w:r w:rsidR="003310DF">
        <w:rPr>
          <w:color w:val="auto"/>
        </w:rPr>
        <w:t xml:space="preserve"> labour were </w:t>
      </w:r>
      <w:r w:rsidR="00D440AA">
        <w:rPr>
          <w:color w:val="auto"/>
        </w:rPr>
        <w:t>r</w:t>
      </w:r>
      <w:r w:rsidRPr="00A21A68">
        <w:rPr>
          <w:color w:val="auto"/>
        </w:rPr>
        <w:t xml:space="preserve">andomly allocated. Australia’s high ranking </w:t>
      </w:r>
      <w:r w:rsidR="00791FE7">
        <w:rPr>
          <w:color w:val="auto"/>
        </w:rPr>
        <w:t xml:space="preserve">on this index </w:t>
      </w:r>
      <w:r w:rsidRPr="00A21A68">
        <w:rPr>
          <w:color w:val="auto"/>
        </w:rPr>
        <w:t>can be seen as validation of the microeconomic reforms of the 1980s and 1990s</w:t>
      </w:r>
      <w:r w:rsidR="00791FE7">
        <w:rPr>
          <w:color w:val="auto"/>
        </w:rPr>
        <w:t>, which</w:t>
      </w:r>
      <w:r w:rsidR="004653A5">
        <w:rPr>
          <w:color w:val="auto"/>
        </w:rPr>
        <w:t xml:space="preserve"> aimed to</w:t>
      </w:r>
      <w:r w:rsidR="00791FE7">
        <w:rPr>
          <w:color w:val="auto"/>
        </w:rPr>
        <w:t xml:space="preserve"> enhance the capacity of </w:t>
      </w:r>
      <w:r w:rsidR="00791FE7" w:rsidRPr="00302D55">
        <w:rPr>
          <w:color w:val="auto"/>
        </w:rPr>
        <w:t xml:space="preserve">the Australian economy </w:t>
      </w:r>
      <w:r w:rsidR="00791FE7">
        <w:rPr>
          <w:color w:val="auto"/>
        </w:rPr>
        <w:t>to</w:t>
      </w:r>
      <w:r w:rsidR="00791FE7" w:rsidRPr="00302D55">
        <w:rPr>
          <w:color w:val="auto"/>
        </w:rPr>
        <w:t xml:space="preserve"> reallocat</w:t>
      </w:r>
      <w:r w:rsidR="00791FE7">
        <w:rPr>
          <w:color w:val="auto"/>
        </w:rPr>
        <w:t>e scarce</w:t>
      </w:r>
      <w:r w:rsidR="00791FE7" w:rsidRPr="00302D55">
        <w:rPr>
          <w:color w:val="auto"/>
        </w:rPr>
        <w:t xml:space="preserve"> resources to </w:t>
      </w:r>
      <w:r w:rsidR="00815906">
        <w:rPr>
          <w:color w:val="auto"/>
        </w:rPr>
        <w:t>more</w:t>
      </w:r>
      <w:r w:rsidR="00791FE7" w:rsidRPr="00302D55">
        <w:rPr>
          <w:color w:val="auto"/>
        </w:rPr>
        <w:t xml:space="preserve"> productiv</w:t>
      </w:r>
      <w:r w:rsidR="00815906">
        <w:rPr>
          <w:color w:val="auto"/>
        </w:rPr>
        <w:t>e</w:t>
      </w:r>
      <w:r w:rsidR="00791FE7" w:rsidRPr="00302D55">
        <w:rPr>
          <w:color w:val="auto"/>
        </w:rPr>
        <w:t xml:space="preserve"> firms</w:t>
      </w:r>
      <w:r w:rsidR="004653A5">
        <w:rPr>
          <w:color w:val="auto"/>
        </w:rPr>
        <w:t xml:space="preserve"> </w:t>
      </w:r>
      <w:r w:rsidR="00630E36">
        <w:rPr>
          <w:color w:val="auto"/>
        </w:rPr>
        <w:t>(</w:t>
      </w:r>
      <w:r w:rsidR="004653A5">
        <w:rPr>
          <w:color w:val="auto"/>
        </w:rPr>
        <w:t>although data limitations prevent us from presenting direct evidence on this issue</w:t>
      </w:r>
      <w:r w:rsidR="00630E36">
        <w:rPr>
          <w:color w:val="auto"/>
        </w:rPr>
        <w:t>)</w:t>
      </w:r>
      <w:r w:rsidRPr="00A21A68">
        <w:rPr>
          <w:color w:val="auto"/>
        </w:rPr>
        <w:t xml:space="preserve">. </w:t>
      </w:r>
    </w:p>
    <w:p w14:paraId="36730984" w14:textId="7ACBE038" w:rsidR="005B594D" w:rsidRDefault="00160AB4" w:rsidP="00160AB4">
      <w:pPr>
        <w:jc w:val="both"/>
        <w:rPr>
          <w:b/>
          <w:color w:val="auto"/>
        </w:rPr>
      </w:pPr>
      <w:r>
        <w:rPr>
          <w:color w:val="auto"/>
        </w:rPr>
        <w:t xml:space="preserve">Important differences also emerge across sectors with the efficiency of resource allocation significantly lower in </w:t>
      </w:r>
      <w:r w:rsidRPr="00A21A68">
        <w:rPr>
          <w:color w:val="auto"/>
        </w:rPr>
        <w:t xml:space="preserve">services </w:t>
      </w:r>
      <w:r>
        <w:rPr>
          <w:color w:val="auto"/>
        </w:rPr>
        <w:t>than in</w:t>
      </w:r>
      <w:r w:rsidRPr="00A21A68">
        <w:rPr>
          <w:color w:val="auto"/>
        </w:rPr>
        <w:t xml:space="preserve"> manufacturing</w:t>
      </w:r>
      <w:r>
        <w:rPr>
          <w:color w:val="auto"/>
        </w:rPr>
        <w:t xml:space="preserve"> (Figure 3)</w:t>
      </w:r>
      <w:r w:rsidRPr="00A21A68">
        <w:rPr>
          <w:color w:val="auto"/>
        </w:rPr>
        <w:t xml:space="preserve">. </w:t>
      </w:r>
      <w:r>
        <w:rPr>
          <w:color w:val="auto"/>
        </w:rPr>
        <w:t>This is consistent with the idea that market services tend to be more sheltered from competition due to less trade exposure and more stringent market regulations</w:t>
      </w:r>
      <w:r w:rsidRPr="00A21A68">
        <w:rPr>
          <w:color w:val="auto"/>
        </w:rPr>
        <w:t xml:space="preserve">. </w:t>
      </w:r>
      <w:r>
        <w:rPr>
          <w:color w:val="auto"/>
        </w:rPr>
        <w:t xml:space="preserve">Labour productivity in the service sector </w:t>
      </w:r>
      <w:r w:rsidRPr="00AA5D97">
        <w:rPr>
          <w:color w:val="auto"/>
        </w:rPr>
        <w:t xml:space="preserve">is only 20 </w:t>
      </w:r>
      <w:r w:rsidRPr="00A21A68">
        <w:rPr>
          <w:color w:val="auto"/>
        </w:rPr>
        <w:t xml:space="preserve">per cent </w:t>
      </w:r>
      <w:r>
        <w:rPr>
          <w:color w:val="auto"/>
        </w:rPr>
        <w:t xml:space="preserve">higher </w:t>
      </w:r>
      <w:r w:rsidRPr="00A21A68">
        <w:rPr>
          <w:color w:val="auto"/>
        </w:rPr>
        <w:t>compared to a random draw</w:t>
      </w:r>
      <w:r>
        <w:rPr>
          <w:color w:val="auto"/>
        </w:rPr>
        <w:t xml:space="preserve"> in Australia</w:t>
      </w:r>
      <w:r w:rsidRPr="00A21A68">
        <w:rPr>
          <w:color w:val="auto"/>
        </w:rPr>
        <w:t xml:space="preserve">, </w:t>
      </w:r>
      <w:r>
        <w:rPr>
          <w:color w:val="auto"/>
        </w:rPr>
        <w:t>whereas it is around</w:t>
      </w:r>
      <w:r w:rsidRPr="00A21A68">
        <w:rPr>
          <w:color w:val="auto"/>
        </w:rPr>
        <w:t xml:space="preserve"> 40 per cent</w:t>
      </w:r>
      <w:r>
        <w:rPr>
          <w:color w:val="auto"/>
        </w:rPr>
        <w:t xml:space="preserve"> higher in th</w:t>
      </w:r>
      <w:r w:rsidRPr="00A21A68">
        <w:rPr>
          <w:color w:val="auto"/>
        </w:rPr>
        <w:t>e United States</w:t>
      </w:r>
      <w:r>
        <w:rPr>
          <w:color w:val="auto"/>
        </w:rPr>
        <w:t xml:space="preserve"> (Australia ranks sixth on this metric; see Figure B1)</w:t>
      </w:r>
      <w:r w:rsidRPr="00A21A68">
        <w:rPr>
          <w:color w:val="auto"/>
        </w:rPr>
        <w:t>.</w:t>
      </w:r>
      <w:r>
        <w:rPr>
          <w:color w:val="auto"/>
        </w:rPr>
        <w:t xml:space="preserve"> </w:t>
      </w:r>
      <w:r w:rsidRPr="009605BC">
        <w:rPr>
          <w:color w:val="auto"/>
        </w:rPr>
        <w:t>Back-of-the-envelope calculations imply that if Australia could lift allocative efficiency in market services to the US level, then it could close one-half of its aggregate labour productivity gap with the United States</w:t>
      </w:r>
      <w:r>
        <w:rPr>
          <w:color w:val="auto"/>
        </w:rPr>
        <w:t>.</w:t>
      </w:r>
      <w:r>
        <w:rPr>
          <w:rStyle w:val="FootnoteReference"/>
          <w:color w:val="auto"/>
        </w:rPr>
        <w:footnoteReference w:id="12"/>
      </w:r>
      <w:r>
        <w:rPr>
          <w:color w:val="auto"/>
        </w:rPr>
        <w:t xml:space="preserve"> </w:t>
      </w:r>
    </w:p>
    <w:p w14:paraId="7640DC13" w14:textId="77777777" w:rsidR="002F6F65" w:rsidRPr="00A21A68" w:rsidRDefault="00FF14DF" w:rsidP="00FB1737">
      <w:pPr>
        <w:pStyle w:val="FigureHeading"/>
      </w:pPr>
      <w:r w:rsidRPr="00FF14DF">
        <w:lastRenderedPageBreak/>
        <w:t xml:space="preserve">Figure </w:t>
      </w:r>
      <w:r>
        <w:t>2</w:t>
      </w:r>
      <w:r w:rsidRPr="00FF14DF">
        <w:t>: Allocative Efficiency</w:t>
      </w:r>
      <w:r w:rsidR="00A94143">
        <w:t xml:space="preserve"> in </w:t>
      </w:r>
      <w:r w:rsidR="00A94143" w:rsidRPr="00FF14DF">
        <w:t>Manufacturing</w:t>
      </w:r>
      <w:r w:rsidRPr="00FF14DF">
        <w:t xml:space="preserve"> </w:t>
      </w:r>
      <w:r w:rsidR="00A94143">
        <w:t>– S</w:t>
      </w:r>
      <w:r w:rsidRPr="00FF14DF">
        <w:t>elected OECD Countries, 2005</w:t>
      </w:r>
    </w:p>
    <w:p w14:paraId="3147BDEA" w14:textId="77777777" w:rsidR="002F6F65" w:rsidRPr="00A21A68" w:rsidRDefault="00F5454E" w:rsidP="008E781D">
      <w:pPr>
        <w:pStyle w:val="Figuregraphic"/>
        <w:spacing w:after="120"/>
        <w:rPr>
          <w:color w:val="auto"/>
        </w:rPr>
      </w:pPr>
      <w:r>
        <w:rPr>
          <w:noProof/>
          <w:lang w:eastAsia="en-AU"/>
        </w:rPr>
        <w:drawing>
          <wp:inline distT="0" distB="0" distL="0" distR="0" wp14:anchorId="1B13049B" wp14:editId="45C99C80">
            <wp:extent cx="5579745" cy="3331597"/>
            <wp:effectExtent l="0" t="0" r="1905" b="25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84D7AF9" w14:textId="77777777" w:rsidR="00984A34" w:rsidRDefault="00984A34" w:rsidP="00FB1737">
      <w:pPr>
        <w:pStyle w:val="ChartorTableNote"/>
      </w:pPr>
      <w:r>
        <w:t>Notes</w:t>
      </w:r>
      <w:r w:rsidRPr="00984A34">
        <w:t>: International estimates sourced from Andrews and Cingano (2014).</w:t>
      </w:r>
    </w:p>
    <w:p w14:paraId="3F736871" w14:textId="77777777" w:rsidR="00FB1737" w:rsidRPr="008E781D" w:rsidRDefault="00FB1737" w:rsidP="00D85EF2">
      <w:pPr>
        <w:pStyle w:val="SingleParagraph"/>
        <w:spacing w:before="120" w:after="120"/>
        <w:rPr>
          <w:sz w:val="16"/>
          <w:szCs w:val="16"/>
        </w:rPr>
      </w:pPr>
    </w:p>
    <w:p w14:paraId="7C15A384" w14:textId="77777777" w:rsidR="00FF14DF" w:rsidRPr="00FF14DF" w:rsidRDefault="00FF14DF" w:rsidP="00FB1737">
      <w:pPr>
        <w:pStyle w:val="FigureHeading"/>
      </w:pPr>
      <w:r w:rsidRPr="00FF14DF">
        <w:t xml:space="preserve">Figure </w:t>
      </w:r>
      <w:r>
        <w:t>3</w:t>
      </w:r>
      <w:r w:rsidRPr="00FF14DF">
        <w:t xml:space="preserve">: </w:t>
      </w:r>
      <w:r w:rsidR="00A94143" w:rsidRPr="00FF14DF">
        <w:t xml:space="preserve">Allocative Efficiency </w:t>
      </w:r>
      <w:r w:rsidR="00A94143">
        <w:t xml:space="preserve">in </w:t>
      </w:r>
      <w:r w:rsidRPr="00FF14DF">
        <w:t>Manufacturing and Services</w:t>
      </w:r>
      <w:r w:rsidR="00A94143">
        <w:t xml:space="preserve"> – </w:t>
      </w:r>
      <w:r w:rsidR="00A94143" w:rsidRPr="00FF14DF">
        <w:t xml:space="preserve">International Comparison </w:t>
      </w:r>
    </w:p>
    <w:p w14:paraId="652F0359" w14:textId="77777777" w:rsidR="002F6F65" w:rsidRPr="00A21A68" w:rsidRDefault="00185CA6" w:rsidP="008E781D">
      <w:pPr>
        <w:pStyle w:val="Figuregraphic"/>
        <w:spacing w:after="120"/>
        <w:rPr>
          <w:color w:val="auto"/>
        </w:rPr>
      </w:pPr>
      <w:r>
        <w:rPr>
          <w:noProof/>
          <w:lang w:eastAsia="en-AU"/>
        </w:rPr>
        <w:drawing>
          <wp:inline distT="0" distB="0" distL="0" distR="0" wp14:anchorId="14DDA6F8" wp14:editId="2C9A4139">
            <wp:extent cx="5579745" cy="2856016"/>
            <wp:effectExtent l="0" t="0" r="1905"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7A06C09" w14:textId="77777777" w:rsidR="00984A34" w:rsidRDefault="00DD203F" w:rsidP="00FB1737">
      <w:pPr>
        <w:pStyle w:val="ChartorTableNote"/>
      </w:pPr>
      <w:r>
        <w:lastRenderedPageBreak/>
        <w:t>Source</w:t>
      </w:r>
      <w:r w:rsidR="00984A34" w:rsidRPr="00984A34">
        <w:t>: International estimates sourced from Andrews and Cingano (2014).</w:t>
      </w:r>
      <w:r w:rsidR="009774FA">
        <w:t xml:space="preserve"> </w:t>
      </w:r>
    </w:p>
    <w:p w14:paraId="713CCAA6" w14:textId="77777777" w:rsidR="00160AB4" w:rsidRDefault="00160AB4">
      <w:pPr>
        <w:spacing w:after="200" w:line="276" w:lineRule="auto"/>
        <w:rPr>
          <w:color w:val="auto"/>
        </w:rPr>
      </w:pPr>
      <w:r>
        <w:rPr>
          <w:color w:val="auto"/>
        </w:rPr>
        <w:br w:type="page"/>
      </w:r>
    </w:p>
    <w:p w14:paraId="405D7507" w14:textId="03806F5C" w:rsidR="002F6F65" w:rsidRDefault="002F6F65" w:rsidP="0095629F">
      <w:pPr>
        <w:jc w:val="both"/>
        <w:rPr>
          <w:color w:val="auto"/>
        </w:rPr>
      </w:pPr>
      <w:r w:rsidRPr="00A21A68">
        <w:rPr>
          <w:color w:val="auto"/>
        </w:rPr>
        <w:lastRenderedPageBreak/>
        <w:t xml:space="preserve">In support of the </w:t>
      </w:r>
      <w:r w:rsidR="00974815">
        <w:rPr>
          <w:color w:val="auto"/>
        </w:rPr>
        <w:t>posited link between allocative efficiency and competitive pressure</w:t>
      </w:r>
      <w:r w:rsidRPr="00A21A68">
        <w:rPr>
          <w:color w:val="auto"/>
        </w:rPr>
        <w:t xml:space="preserve">, </w:t>
      </w:r>
      <w:r w:rsidR="003E3C9E">
        <w:rPr>
          <w:color w:val="auto"/>
        </w:rPr>
        <w:t xml:space="preserve">Figure 4 charts </w:t>
      </w:r>
      <w:r w:rsidR="00D440AA">
        <w:rPr>
          <w:color w:val="auto"/>
        </w:rPr>
        <w:t xml:space="preserve">the </w:t>
      </w:r>
      <w:r w:rsidR="003E3C9E">
        <w:rPr>
          <w:color w:val="auto"/>
        </w:rPr>
        <w:t xml:space="preserve">static </w:t>
      </w:r>
      <w:r w:rsidRPr="00A21A68">
        <w:rPr>
          <w:color w:val="auto"/>
        </w:rPr>
        <w:t>allocative efficiency</w:t>
      </w:r>
      <w:r w:rsidR="003E3C9E">
        <w:rPr>
          <w:color w:val="auto"/>
        </w:rPr>
        <w:t xml:space="preserve"> index across selected </w:t>
      </w:r>
      <w:r w:rsidRPr="00A21A68">
        <w:rPr>
          <w:color w:val="auto"/>
        </w:rPr>
        <w:t>market sector industries</w:t>
      </w:r>
      <w:r w:rsidR="003310DF">
        <w:rPr>
          <w:color w:val="auto"/>
        </w:rPr>
        <w:t>,</w:t>
      </w:r>
      <w:r w:rsidR="00974815">
        <w:rPr>
          <w:color w:val="auto"/>
        </w:rPr>
        <w:t xml:space="preserve"> </w:t>
      </w:r>
      <w:r w:rsidR="003310DF">
        <w:rPr>
          <w:color w:val="auto"/>
        </w:rPr>
        <w:t xml:space="preserve">alongside </w:t>
      </w:r>
      <w:r w:rsidR="00974815">
        <w:rPr>
          <w:color w:val="auto"/>
        </w:rPr>
        <w:t>the average across industries</w:t>
      </w:r>
      <w:r w:rsidRPr="00A21A68">
        <w:rPr>
          <w:color w:val="auto"/>
        </w:rPr>
        <w:t>.</w:t>
      </w:r>
      <w:r w:rsidRPr="00A21A68">
        <w:rPr>
          <w:rStyle w:val="FootnoteReference"/>
          <w:color w:val="auto"/>
        </w:rPr>
        <w:footnoteReference w:id="13"/>
      </w:r>
      <w:r w:rsidRPr="00A21A68">
        <w:rPr>
          <w:color w:val="auto"/>
        </w:rPr>
        <w:t xml:space="preserve"> </w:t>
      </w:r>
      <w:r w:rsidR="00974815">
        <w:rPr>
          <w:color w:val="auto"/>
        </w:rPr>
        <w:t>Most industries for which allocative efficiency is below average are domestically-focused services sector activities</w:t>
      </w:r>
      <w:r w:rsidR="003310DF">
        <w:rPr>
          <w:color w:val="auto"/>
        </w:rPr>
        <w:t>,</w:t>
      </w:r>
      <w:r w:rsidR="00974815">
        <w:rPr>
          <w:color w:val="auto"/>
        </w:rPr>
        <w:t xml:space="preserve"> including</w:t>
      </w:r>
      <w:r w:rsidR="007042E1">
        <w:rPr>
          <w:color w:val="auto"/>
        </w:rPr>
        <w:t>:</w:t>
      </w:r>
      <w:r w:rsidR="00974815">
        <w:rPr>
          <w:color w:val="auto"/>
        </w:rPr>
        <w:t xml:space="preserve"> administration support services, accommodation and food, real estate</w:t>
      </w:r>
      <w:r w:rsidR="007042E1">
        <w:rPr>
          <w:color w:val="auto"/>
        </w:rPr>
        <w:t>,</w:t>
      </w:r>
      <w:r w:rsidR="00974815">
        <w:rPr>
          <w:color w:val="auto"/>
        </w:rPr>
        <w:t xml:space="preserve"> and arts and recreation</w:t>
      </w:r>
      <w:r w:rsidRPr="00A21A68">
        <w:rPr>
          <w:color w:val="auto"/>
        </w:rPr>
        <w:t xml:space="preserve">. </w:t>
      </w:r>
      <w:r w:rsidR="00974815">
        <w:rPr>
          <w:color w:val="auto"/>
        </w:rPr>
        <w:t xml:space="preserve">The exception is agriculture </w:t>
      </w:r>
      <w:r w:rsidR="007F762C">
        <w:rPr>
          <w:color w:val="auto"/>
        </w:rPr>
        <w:t>where the less productive firms have larger employment shares, which reduces the level of labour productivity in agricultural sector by 20 per cent compared to a random draw.</w:t>
      </w:r>
      <w:r w:rsidR="0095629F">
        <w:rPr>
          <w:color w:val="auto"/>
        </w:rPr>
        <w:t xml:space="preserve"> This may be symptomatic of high exit barriers with around 35 per cent of businesses in </w:t>
      </w:r>
      <w:r w:rsidR="0095629F" w:rsidRPr="0095629F">
        <w:rPr>
          <w:color w:val="auto"/>
        </w:rPr>
        <w:t>beef and sheep farming</w:t>
      </w:r>
      <w:r w:rsidR="0095629F">
        <w:rPr>
          <w:color w:val="auto"/>
        </w:rPr>
        <w:t xml:space="preserve"> </w:t>
      </w:r>
      <w:r w:rsidR="00EA7F7F">
        <w:rPr>
          <w:color w:val="auto"/>
        </w:rPr>
        <w:t xml:space="preserve">remaining in the market despite </w:t>
      </w:r>
      <w:r w:rsidR="0095629F">
        <w:rPr>
          <w:color w:val="auto"/>
        </w:rPr>
        <w:t>r</w:t>
      </w:r>
      <w:r w:rsidR="00D33706">
        <w:rPr>
          <w:color w:val="auto"/>
        </w:rPr>
        <w:t xml:space="preserve">ecording persistent losses (that is, </w:t>
      </w:r>
      <w:r w:rsidR="0095629F" w:rsidRPr="0095629F">
        <w:rPr>
          <w:color w:val="auto"/>
        </w:rPr>
        <w:t>total expenses greater than total income</w:t>
      </w:r>
      <w:r w:rsidR="0095629F">
        <w:rPr>
          <w:color w:val="auto"/>
        </w:rPr>
        <w:t>)</w:t>
      </w:r>
      <w:r w:rsidR="0095629F" w:rsidRPr="0095629F">
        <w:rPr>
          <w:color w:val="auto"/>
        </w:rPr>
        <w:t xml:space="preserve"> for three</w:t>
      </w:r>
      <w:r w:rsidR="0095629F">
        <w:rPr>
          <w:color w:val="auto"/>
        </w:rPr>
        <w:t xml:space="preserve"> consecutive </w:t>
      </w:r>
      <w:r w:rsidR="0095629F" w:rsidRPr="0095629F">
        <w:rPr>
          <w:color w:val="auto"/>
        </w:rPr>
        <w:t>years</w:t>
      </w:r>
      <w:r w:rsidR="00D440AA">
        <w:rPr>
          <w:color w:val="auto"/>
        </w:rPr>
        <w:t xml:space="preserve"> or more</w:t>
      </w:r>
      <w:r w:rsidR="0095629F">
        <w:rPr>
          <w:color w:val="auto"/>
        </w:rPr>
        <w:t>.</w:t>
      </w:r>
    </w:p>
    <w:p w14:paraId="5C5F6CA0" w14:textId="77777777" w:rsidR="00FF14DF" w:rsidRPr="00FF14DF" w:rsidRDefault="00FF14DF" w:rsidP="00FB1737">
      <w:pPr>
        <w:pStyle w:val="FigureHeading"/>
      </w:pPr>
      <w:r w:rsidRPr="00FF14DF">
        <w:lastRenderedPageBreak/>
        <w:t xml:space="preserve">Figure </w:t>
      </w:r>
      <w:r>
        <w:t>4</w:t>
      </w:r>
      <w:r w:rsidRPr="00FF14DF">
        <w:t xml:space="preserve">: Allocative Efficiency </w:t>
      </w:r>
      <w:r w:rsidR="00A94143">
        <w:t>–</w:t>
      </w:r>
      <w:r w:rsidRPr="00FF14DF">
        <w:t xml:space="preserve"> Selected Australian Industries, Average 2002-2016. </w:t>
      </w:r>
    </w:p>
    <w:p w14:paraId="53D72338" w14:textId="77777777" w:rsidR="002F6F65" w:rsidRDefault="009774FA" w:rsidP="00185CA6">
      <w:pPr>
        <w:pStyle w:val="Figuregraphic"/>
        <w:rPr>
          <w:color w:val="auto"/>
        </w:rPr>
      </w:pPr>
      <w:r w:rsidRPr="009774FA">
        <w:rPr>
          <w:color w:val="auto"/>
        </w:rPr>
        <w:t xml:space="preserve"> </w:t>
      </w:r>
      <w:r w:rsidR="00185CA6">
        <w:rPr>
          <w:noProof/>
          <w:lang w:eastAsia="en-AU"/>
        </w:rPr>
        <w:drawing>
          <wp:inline distT="0" distB="0" distL="0" distR="0" wp14:anchorId="44F37712" wp14:editId="4B2BC1FC">
            <wp:extent cx="4857750" cy="3380153"/>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F6F0729" w14:textId="77777777" w:rsidR="008A3474" w:rsidRDefault="00815906" w:rsidP="00FB1737">
      <w:pPr>
        <w:pStyle w:val="ChartorTableNote"/>
      </w:pPr>
      <w:r w:rsidRPr="00815906">
        <w:t>Notes: Industry-level estimates are based on the decomposition in equation 1. Average allocative efficiency reflects an unweighted average of division-level estimates</w:t>
      </w:r>
      <w:r w:rsidR="00E02CC7">
        <w:t>.</w:t>
      </w:r>
    </w:p>
    <w:p w14:paraId="6172BEB5" w14:textId="77777777" w:rsidR="00FB1737" w:rsidRPr="00FB1737" w:rsidRDefault="00FB1737" w:rsidP="00FB1737">
      <w:pPr>
        <w:pStyle w:val="SingleParagraph"/>
        <w:rPr>
          <w:lang w:eastAsia="en-AU"/>
        </w:rPr>
      </w:pPr>
    </w:p>
    <w:p w14:paraId="0A0B07B0" w14:textId="77777777" w:rsidR="00246743" w:rsidRDefault="00246743" w:rsidP="00246743">
      <w:pPr>
        <w:pStyle w:val="Heading2"/>
        <w:numPr>
          <w:ilvl w:val="0"/>
          <w:numId w:val="32"/>
        </w:numPr>
        <w:spacing w:before="240"/>
      </w:pPr>
      <w:r>
        <w:t>Dynamic Allocative Efficiency</w:t>
      </w:r>
    </w:p>
    <w:p w14:paraId="6432ADEC" w14:textId="77777777" w:rsidR="00F041CA" w:rsidRDefault="004A6735" w:rsidP="004A6735">
      <w:pPr>
        <w:jc w:val="both"/>
      </w:pPr>
      <w:r>
        <w:t>While the previous section suggests that the Australian economy is relatively efficient at allocating resources to the most productive firms at any point in time, it is also important to analyse how the nature of productivity-enhancing labour reallocation is evolving over time.</w:t>
      </w:r>
      <w:r w:rsidR="00F11669">
        <w:t xml:space="preserve"> By way of introduction, </w:t>
      </w:r>
      <w:r>
        <w:t>Figure 5</w:t>
      </w:r>
      <w:r w:rsidR="00F11669">
        <w:t xml:space="preserve"> plots the evolution of </w:t>
      </w:r>
      <w:r w:rsidR="00417677">
        <w:t xml:space="preserve">excess job reallocation rates, which </w:t>
      </w:r>
      <w:r w:rsidR="00F11669" w:rsidRPr="00F11669">
        <w:t>presents that part of job reallocation</w:t>
      </w:r>
      <w:r w:rsidR="00D33706">
        <w:t xml:space="preserve"> (that is,</w:t>
      </w:r>
      <w:r w:rsidR="00F11669">
        <w:t xml:space="preserve"> </w:t>
      </w:r>
      <w:r w:rsidR="00F11669" w:rsidRPr="00F11669">
        <w:t xml:space="preserve">job creation </w:t>
      </w:r>
      <w:r w:rsidR="00F11669">
        <w:t>plus job</w:t>
      </w:r>
      <w:r w:rsidR="00F11669" w:rsidRPr="00F11669">
        <w:t xml:space="preserve"> destruction</w:t>
      </w:r>
      <w:r w:rsidR="00F11669">
        <w:t>)</w:t>
      </w:r>
      <w:r w:rsidR="00F11669" w:rsidRPr="00F11669">
        <w:t xml:space="preserve"> over and above the amount required to accommodate the net employment change</w:t>
      </w:r>
      <w:r w:rsidR="00F11669">
        <w:t xml:space="preserve"> (see Davis and Haltiwanger, 2002). According to this </w:t>
      </w:r>
      <w:r w:rsidR="00CC7E7B">
        <w:t>leading metric of labour market churn</w:t>
      </w:r>
      <w:r w:rsidR="00F11669">
        <w:t xml:space="preserve">, job reallocation has fallen by </w:t>
      </w:r>
      <w:r w:rsidR="00FE3AA3">
        <w:t>around</w:t>
      </w:r>
      <w:r w:rsidR="00F11669">
        <w:t xml:space="preserve"> 2 percen</w:t>
      </w:r>
      <w:r w:rsidR="00B84C4F">
        <w:t>t</w:t>
      </w:r>
      <w:r w:rsidR="007358F3">
        <w:t>age points</w:t>
      </w:r>
      <w:r w:rsidR="007042E1">
        <w:t xml:space="preserve"> </w:t>
      </w:r>
      <w:r w:rsidR="00F11669">
        <w:t>since the early-to-mid 2000s</w:t>
      </w:r>
      <w:r w:rsidR="00134E83">
        <w:t xml:space="preserve">. This </w:t>
      </w:r>
      <w:r w:rsidR="00F11669">
        <w:t xml:space="preserve">raises the prospect that </w:t>
      </w:r>
      <w:r w:rsidR="00134E83" w:rsidRPr="00134E83">
        <w:t xml:space="preserve">dynamic allocative efficiency </w:t>
      </w:r>
      <w:r w:rsidR="00134E83">
        <w:t xml:space="preserve">– which </w:t>
      </w:r>
      <w:r w:rsidR="00134E83" w:rsidRPr="00134E83">
        <w:t xml:space="preserve">measures the extent to which </w:t>
      </w:r>
      <w:r w:rsidR="00134E83" w:rsidRPr="00134E83">
        <w:lastRenderedPageBreak/>
        <w:t xml:space="preserve">resources flow to more productive firms over time </w:t>
      </w:r>
      <w:r w:rsidR="00134E83">
        <w:t>– may have slowed</w:t>
      </w:r>
      <w:r w:rsidR="007042E1">
        <w:t>,</w:t>
      </w:r>
      <w:r w:rsidR="00134E83">
        <w:t xml:space="preserve"> </w:t>
      </w:r>
      <w:r w:rsidR="00AA5D97">
        <w:t>given</w:t>
      </w:r>
      <w:r w:rsidR="00134E83">
        <w:t xml:space="preserve"> that labour market churn is necessary to accommodate the growth of productive firms.</w:t>
      </w:r>
    </w:p>
    <w:p w14:paraId="07471F6A" w14:textId="77777777" w:rsidR="00F041CA" w:rsidRPr="00B14EF4" w:rsidRDefault="00F041CA" w:rsidP="00FB1737">
      <w:pPr>
        <w:pStyle w:val="FigureHeading"/>
      </w:pPr>
      <w:r w:rsidRPr="00B14EF4">
        <w:t xml:space="preserve">Figure </w:t>
      </w:r>
      <w:r>
        <w:t>5</w:t>
      </w:r>
      <w:r w:rsidRPr="00B14EF4">
        <w:t xml:space="preserve">: </w:t>
      </w:r>
      <w:r>
        <w:t>Excess job reallocation rates have declined</w:t>
      </w:r>
    </w:p>
    <w:p w14:paraId="4E8CCF78" w14:textId="77777777" w:rsidR="00F041CA" w:rsidRDefault="00185CA6" w:rsidP="00185CA6">
      <w:pPr>
        <w:pStyle w:val="Figuregraphic"/>
      </w:pPr>
      <w:r>
        <w:rPr>
          <w:noProof/>
          <w:lang w:eastAsia="en-AU"/>
        </w:rPr>
        <w:drawing>
          <wp:inline distT="0" distB="0" distL="0" distR="0" wp14:anchorId="68BDAF38" wp14:editId="4FF7ECE8">
            <wp:extent cx="5580000" cy="2880000"/>
            <wp:effectExtent l="0" t="0" r="190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AFFFDA6" w14:textId="77777777" w:rsidR="00F041CA" w:rsidRDefault="00F041CA" w:rsidP="00FB1737">
      <w:pPr>
        <w:pStyle w:val="ChartorTableNote"/>
      </w:pPr>
      <w:r w:rsidRPr="00920512">
        <w:t>Notes:</w:t>
      </w:r>
      <w:r w:rsidR="00BB4C3F" w:rsidRPr="00920512">
        <w:t xml:space="preserve"> Excess</w:t>
      </w:r>
      <w:r w:rsidR="00BB4C3F">
        <w:t xml:space="preserve"> job reallocation is calculated as </w:t>
      </w:r>
      <w:r w:rsidR="00D440AA">
        <w:t>|</w:t>
      </w:r>
      <w:r w:rsidR="00BB4C3F">
        <w:t>(JC+JD)/|(JC-JD)|</w:t>
      </w:r>
      <w:r w:rsidR="00816513">
        <w:t xml:space="preserve"> where JC refers to job creation rates and JD refers to job destruction rates.</w:t>
      </w:r>
      <w:r w:rsidR="00BB4C3F" w:rsidRPr="00BB4C3F">
        <w:t xml:space="preserve"> </w:t>
      </w:r>
      <w:r w:rsidR="00BB4C3F">
        <w:t xml:space="preserve">The </w:t>
      </w:r>
      <w:r w:rsidR="00BB4C3F" w:rsidRPr="00BB4C3F">
        <w:t xml:space="preserve">smoothed </w:t>
      </w:r>
      <w:r w:rsidR="00BB4C3F">
        <w:t xml:space="preserve">series utilises </w:t>
      </w:r>
      <w:r w:rsidR="00BB4C3F" w:rsidRPr="00BB4C3F">
        <w:t>STATA's robust nonlinear smoothing command</w:t>
      </w:r>
      <w:r w:rsidR="00DD16BC">
        <w:t>,</w:t>
      </w:r>
      <w:r w:rsidR="00BB4C3F" w:rsidRPr="00BB4C3F">
        <w:t xml:space="preserve"> </w:t>
      </w:r>
      <w:r w:rsidR="00BB4C3F" w:rsidRPr="006A6AE6">
        <w:rPr>
          <w:i/>
        </w:rPr>
        <w:t>smooth</w:t>
      </w:r>
      <w:r w:rsidR="00BB4C3F" w:rsidRPr="00BB4C3F">
        <w:t xml:space="preserve"> (option = 4235eh)</w:t>
      </w:r>
      <w:r w:rsidR="00BB4C3F">
        <w:t>.</w:t>
      </w:r>
    </w:p>
    <w:p w14:paraId="19B26E9F" w14:textId="77777777" w:rsidR="00FB1737" w:rsidRPr="00FB1737" w:rsidRDefault="00FB1737" w:rsidP="00185CA6">
      <w:pPr>
        <w:pStyle w:val="SingleParagraph"/>
        <w:rPr>
          <w:lang w:eastAsia="en-AU"/>
        </w:rPr>
      </w:pPr>
    </w:p>
    <w:p w14:paraId="6D4A8EC5" w14:textId="77777777" w:rsidR="00246743" w:rsidRPr="00E22678" w:rsidRDefault="00246743" w:rsidP="00E22678">
      <w:pPr>
        <w:pStyle w:val="Heading3"/>
      </w:pPr>
      <w:r w:rsidRPr="00E22678">
        <w:t>5.1 Empirical framework</w:t>
      </w:r>
    </w:p>
    <w:p w14:paraId="60540091" w14:textId="77777777" w:rsidR="00246743" w:rsidRPr="005D5112" w:rsidRDefault="00246743" w:rsidP="00246743">
      <w:pPr>
        <w:jc w:val="both"/>
        <w:rPr>
          <w:color w:val="auto"/>
        </w:rPr>
      </w:pPr>
      <w:r w:rsidRPr="005D5112">
        <w:rPr>
          <w:color w:val="auto"/>
        </w:rPr>
        <w:t xml:space="preserve">To </w:t>
      </w:r>
      <w:r w:rsidR="00134E83">
        <w:rPr>
          <w:color w:val="auto"/>
        </w:rPr>
        <w:t>investigate more formally</w:t>
      </w:r>
      <w:r w:rsidRPr="005D5112">
        <w:rPr>
          <w:color w:val="auto"/>
        </w:rPr>
        <w:t>, we apply a model outlined by Decker, Haltiwanger, Jarmin and Miranda (201</w:t>
      </w:r>
      <w:r>
        <w:rPr>
          <w:color w:val="auto"/>
        </w:rPr>
        <w:t>8</w:t>
      </w:r>
      <w:r w:rsidRPr="005D5112">
        <w:rPr>
          <w:color w:val="auto"/>
        </w:rPr>
        <w:t xml:space="preserve">) for estimating the responsiveness of employment </w:t>
      </w:r>
      <w:r w:rsidR="00A2747E">
        <w:rPr>
          <w:color w:val="auto"/>
        </w:rPr>
        <w:t xml:space="preserve">growth </w:t>
      </w:r>
      <w:r w:rsidRPr="005D5112">
        <w:rPr>
          <w:color w:val="auto"/>
        </w:rPr>
        <w:t xml:space="preserve">and </w:t>
      </w:r>
      <w:r w:rsidR="00A2747E">
        <w:rPr>
          <w:color w:val="auto"/>
        </w:rPr>
        <w:t xml:space="preserve">firm </w:t>
      </w:r>
      <w:r w:rsidRPr="005D5112">
        <w:rPr>
          <w:color w:val="auto"/>
        </w:rPr>
        <w:t xml:space="preserve">exit to productivity. Their </w:t>
      </w:r>
      <w:r w:rsidR="00AA5D97">
        <w:rPr>
          <w:color w:val="auto"/>
        </w:rPr>
        <w:t>approach</w:t>
      </w:r>
      <w:r w:rsidRPr="005D5112">
        <w:rPr>
          <w:color w:val="auto"/>
        </w:rPr>
        <w:t xml:space="preserve"> is motiv</w:t>
      </w:r>
      <w:r w:rsidR="00AA5D97">
        <w:rPr>
          <w:color w:val="auto"/>
        </w:rPr>
        <w:t>at</w:t>
      </w:r>
      <w:r w:rsidRPr="005D5112">
        <w:rPr>
          <w:color w:val="auto"/>
        </w:rPr>
        <w:t>ed by canonical models of firm dynamics</w:t>
      </w:r>
      <w:r w:rsidR="007042E1">
        <w:rPr>
          <w:color w:val="auto"/>
        </w:rPr>
        <w:t>,</w:t>
      </w:r>
      <w:r w:rsidRPr="005D5112">
        <w:rPr>
          <w:color w:val="auto"/>
        </w:rPr>
        <w:t xml:space="preserve"> which predict that conditional on initial size, more productive firms should grow more quickly than less productive firms and that less productive firms should have a greater likelihood of market exit. </w:t>
      </w:r>
    </w:p>
    <w:p w14:paraId="11A6B530" w14:textId="77777777" w:rsidR="00246743" w:rsidRPr="005D5112" w:rsidRDefault="00246743" w:rsidP="00246743">
      <w:pPr>
        <w:jc w:val="both"/>
        <w:rPr>
          <w:color w:val="auto"/>
        </w:rPr>
      </w:pPr>
      <w:r>
        <w:rPr>
          <w:color w:val="auto"/>
        </w:rPr>
        <w:t>For our employment growth model</w:t>
      </w:r>
      <w:r w:rsidR="00AA5D97">
        <w:rPr>
          <w:color w:val="auto"/>
        </w:rPr>
        <w:t>,</w:t>
      </w:r>
      <w:r>
        <w:rPr>
          <w:color w:val="auto"/>
        </w:rPr>
        <w:t xml:space="preserve"> t</w:t>
      </w:r>
      <w:r w:rsidRPr="005D5112">
        <w:rPr>
          <w:color w:val="auto"/>
        </w:rPr>
        <w:t xml:space="preserve">he dependent variable is defined as the change in employment divided by the average employment across both periods following Davis, Haltiwanger and Schuh (1996): </w:t>
      </w:r>
    </w:p>
    <w:p w14:paraId="4381A53D" w14:textId="77777777" w:rsidR="00246743" w:rsidRPr="005D5112" w:rsidRDefault="00246743" w:rsidP="00036131">
      <w:pPr>
        <w:jc w:val="center"/>
        <w:rPr>
          <w:color w:val="auto"/>
        </w:rPr>
      </w:pPr>
      <m:oMath>
        <m:r>
          <w:rPr>
            <w:rFonts w:ascii="Cambria Math" w:hAnsi="Cambria Math"/>
            <w:color w:val="auto"/>
          </w:rPr>
          <w:lastRenderedPageBreak/>
          <m:t>g</m:t>
        </m:r>
        <m:sSubSup>
          <m:sSubSupPr>
            <m:ctrlPr>
              <w:rPr>
                <w:rFonts w:ascii="Cambria Math" w:hAnsi="Cambria Math"/>
                <w:i/>
                <w:iCs/>
                <w:color w:val="auto"/>
              </w:rPr>
            </m:ctrlPr>
          </m:sSubSupPr>
          <m:e>
            <m:r>
              <w:rPr>
                <w:rFonts w:ascii="Cambria Math" w:hAnsi="Cambria Math"/>
                <w:color w:val="auto"/>
              </w:rPr>
              <m:t> </m:t>
            </m:r>
          </m:e>
          <m:sub>
            <m:r>
              <w:rPr>
                <w:rFonts w:ascii="Cambria Math" w:hAnsi="Cambria Math"/>
                <w:color w:val="auto"/>
              </w:rPr>
              <m:t>i,t+1</m:t>
            </m:r>
          </m:sub>
          <m:sup>
            <m:r>
              <w:rPr>
                <w:rFonts w:ascii="Cambria Math" w:hAnsi="Cambria Math"/>
                <w:color w:val="auto"/>
              </w:rPr>
              <m:t>E</m:t>
            </m:r>
          </m:sup>
        </m:sSubSup>
        <m:r>
          <w:rPr>
            <w:rFonts w:ascii="Cambria Math" w:hAnsi="Cambria Math"/>
            <w:color w:val="auto"/>
          </w:rPr>
          <m:t>=</m:t>
        </m:r>
        <m:f>
          <m:fPr>
            <m:ctrlPr>
              <w:rPr>
                <w:rFonts w:ascii="Cambria Math" w:hAnsi="Cambria Math"/>
                <w:i/>
                <w:iCs/>
                <w:color w:val="auto"/>
              </w:rPr>
            </m:ctrlPr>
          </m:fPr>
          <m:num>
            <m:sSub>
              <m:sSubPr>
                <m:ctrlPr>
                  <w:rPr>
                    <w:rFonts w:ascii="Cambria Math" w:hAnsi="Cambria Math"/>
                    <w:i/>
                    <w:iCs/>
                    <w:color w:val="auto"/>
                  </w:rPr>
                </m:ctrlPr>
              </m:sSubPr>
              <m:e>
                <m:r>
                  <w:rPr>
                    <w:rFonts w:ascii="Cambria Math" w:hAnsi="Cambria Math"/>
                    <w:color w:val="auto"/>
                  </w:rPr>
                  <m:t>E</m:t>
                </m:r>
              </m:e>
              <m:sub>
                <m:r>
                  <w:rPr>
                    <w:rFonts w:ascii="Cambria Math" w:hAnsi="Cambria Math"/>
                    <w:color w:val="auto"/>
                  </w:rPr>
                  <m:t>i,t+1</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E</m:t>
                </m:r>
              </m:e>
              <m:sub>
                <m:r>
                  <w:rPr>
                    <w:rFonts w:ascii="Cambria Math" w:hAnsi="Cambria Math"/>
                    <w:color w:val="auto"/>
                  </w:rPr>
                  <m:t>i,t</m:t>
                </m:r>
              </m:sub>
            </m:sSub>
          </m:num>
          <m:den>
            <m:r>
              <w:rPr>
                <w:rFonts w:ascii="Cambria Math" w:hAnsi="Cambria Math"/>
                <w:color w:val="auto"/>
              </w:rPr>
              <m:t>0.5(</m:t>
            </m:r>
            <m:sSub>
              <m:sSubPr>
                <m:ctrlPr>
                  <w:rPr>
                    <w:rFonts w:ascii="Cambria Math" w:hAnsi="Cambria Math"/>
                    <w:i/>
                    <w:iCs/>
                    <w:color w:val="auto"/>
                  </w:rPr>
                </m:ctrlPr>
              </m:sSubPr>
              <m:e>
                <m:r>
                  <w:rPr>
                    <w:rFonts w:ascii="Cambria Math" w:hAnsi="Cambria Math"/>
                    <w:color w:val="auto"/>
                  </w:rPr>
                  <m:t>E</m:t>
                </m:r>
              </m:e>
              <m:sub>
                <m:r>
                  <w:rPr>
                    <w:rFonts w:ascii="Cambria Math" w:hAnsi="Cambria Math"/>
                    <w:color w:val="auto"/>
                  </w:rPr>
                  <m:t>i,t+1</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E</m:t>
                </m:r>
              </m:e>
              <m:sub>
                <m:r>
                  <w:rPr>
                    <w:rFonts w:ascii="Cambria Math" w:hAnsi="Cambria Math"/>
                    <w:color w:val="auto"/>
                  </w:rPr>
                  <m:t>i,t</m:t>
                </m:r>
              </m:sub>
            </m:sSub>
            <m:r>
              <w:rPr>
                <w:rFonts w:ascii="Cambria Math" w:hAnsi="Cambria Math"/>
                <w:color w:val="auto"/>
              </w:rPr>
              <m:t>)</m:t>
            </m:r>
          </m:den>
        </m:f>
        <m:r>
          <w:rPr>
            <w:rFonts w:ascii="Cambria Math" w:hAnsi="Cambria Math"/>
            <w:color w:val="auto"/>
          </w:rPr>
          <m:t> </m:t>
        </m:r>
      </m:oMath>
      <w:r w:rsidRPr="005D5112">
        <w:rPr>
          <w:color w:val="auto"/>
        </w:rPr>
        <w:t xml:space="preserve"> </w:t>
      </w:r>
      <w:r w:rsidR="00036131">
        <w:rPr>
          <w:color w:val="auto"/>
        </w:rPr>
        <w:tab/>
      </w:r>
      <w:r w:rsidR="00036131">
        <w:rPr>
          <w:color w:val="auto"/>
        </w:rPr>
        <w:tab/>
      </w:r>
    </w:p>
    <w:p w14:paraId="5FACF4D8" w14:textId="77777777" w:rsidR="00246743" w:rsidRPr="005D5112" w:rsidRDefault="00246743" w:rsidP="00246743">
      <w:pPr>
        <w:jc w:val="both"/>
        <w:rPr>
          <w:color w:val="auto"/>
        </w:rPr>
      </w:pPr>
      <w:r>
        <w:rPr>
          <w:color w:val="auto"/>
        </w:rPr>
        <w:t>where</w:t>
      </w:r>
      <w:r w:rsidRPr="005D5112">
        <w:rPr>
          <w:color w:val="auto"/>
        </w:rPr>
        <w:t xml:space="preserve"> </w:t>
      </w:r>
      <w:r w:rsidRPr="005D5112">
        <w:rPr>
          <w:i/>
          <w:color w:val="auto"/>
        </w:rPr>
        <w:t xml:space="preserve">E </w:t>
      </w:r>
      <w:r w:rsidRPr="005D5112">
        <w:rPr>
          <w:color w:val="auto"/>
        </w:rPr>
        <w:t xml:space="preserve">is employment of firm </w:t>
      </w:r>
      <w:r w:rsidRPr="005D5112">
        <w:rPr>
          <w:i/>
          <w:color w:val="auto"/>
        </w:rPr>
        <w:t>i</w:t>
      </w:r>
      <w:r w:rsidRPr="005D5112">
        <w:rPr>
          <w:color w:val="auto"/>
        </w:rPr>
        <w:t xml:space="preserve"> in period </w:t>
      </w:r>
      <w:r w:rsidRPr="005D5112">
        <w:rPr>
          <w:i/>
          <w:color w:val="auto"/>
        </w:rPr>
        <w:t>t</w:t>
      </w:r>
      <w:r w:rsidRPr="005D5112">
        <w:rPr>
          <w:color w:val="auto"/>
        </w:rPr>
        <w:t xml:space="preserve">. This </w:t>
      </w:r>
      <w:r w:rsidR="00A2747E">
        <w:rPr>
          <w:color w:val="auto"/>
        </w:rPr>
        <w:t xml:space="preserve">measure </w:t>
      </w:r>
      <w:r w:rsidRPr="005D5112">
        <w:rPr>
          <w:color w:val="auto"/>
        </w:rPr>
        <w:t xml:space="preserve">is bounded between -2 and 2 and it is a second order approximation </w:t>
      </w:r>
      <w:r w:rsidR="004653A5">
        <w:rPr>
          <w:color w:val="auto"/>
        </w:rPr>
        <w:t>of the log difference for growth rates around zero</w:t>
      </w:r>
      <w:r w:rsidRPr="005D5112">
        <w:rPr>
          <w:color w:val="auto"/>
        </w:rPr>
        <w:t>. Further it can accommodate growth of entering and exiting firms, in which case the function takes a value of 2 (entry) or -2 (exit).</w:t>
      </w:r>
      <w:r w:rsidRPr="005D5112">
        <w:rPr>
          <w:rStyle w:val="FootnoteReference"/>
          <w:color w:val="auto"/>
        </w:rPr>
        <w:footnoteReference w:id="14"/>
      </w:r>
      <w:r w:rsidRPr="005D5112">
        <w:rPr>
          <w:color w:val="auto"/>
        </w:rPr>
        <w:t xml:space="preserve"> </w:t>
      </w:r>
    </w:p>
    <w:p w14:paraId="0939DA97" w14:textId="77777777" w:rsidR="00246743" w:rsidRPr="005D5112" w:rsidRDefault="00246743" w:rsidP="00246743">
      <w:pPr>
        <w:jc w:val="both"/>
        <w:rPr>
          <w:color w:val="auto"/>
        </w:rPr>
      </w:pPr>
      <w:r w:rsidRPr="005D5112">
        <w:rPr>
          <w:color w:val="auto"/>
        </w:rPr>
        <w:t>For ease of exposition, we begin with the simplest version of the full mode</w:t>
      </w:r>
      <w:r>
        <w:rPr>
          <w:color w:val="auto"/>
        </w:rPr>
        <w:t>l</w:t>
      </w:r>
      <w:r w:rsidRPr="005D5112">
        <w:rPr>
          <w:color w:val="auto"/>
        </w:rPr>
        <w:t>; that is,</w:t>
      </w:r>
    </w:p>
    <w:p w14:paraId="0B837759" w14:textId="77777777" w:rsidR="00246743" w:rsidRPr="005D5112" w:rsidRDefault="00E70CFB" w:rsidP="00036131">
      <w:pPr>
        <w:jc w:val="center"/>
        <w:rPr>
          <w:rFonts w:eastAsiaTheme="minorEastAsia"/>
          <w:iCs/>
          <w:color w:val="auto"/>
        </w:rPr>
      </w:pPr>
      <m:oMath>
        <m:sSubSup>
          <m:sSubSupPr>
            <m:ctrlPr>
              <w:rPr>
                <w:rFonts w:ascii="Cambria Math" w:hAnsi="Cambria Math"/>
                <w:i/>
                <w:iCs/>
                <w:color w:val="auto"/>
              </w:rPr>
            </m:ctrlPr>
          </m:sSubSupPr>
          <m:e>
            <m:r>
              <w:rPr>
                <w:rFonts w:ascii="Cambria Math" w:hAnsi="Cambria Math"/>
                <w:color w:val="auto"/>
              </w:rPr>
              <m:t>g</m:t>
            </m:r>
          </m:e>
          <m:sub>
            <m:r>
              <w:rPr>
                <w:rFonts w:ascii="Cambria Math" w:hAnsi="Cambria Math"/>
                <w:color w:val="auto"/>
              </w:rPr>
              <m:t>i,t+1</m:t>
            </m:r>
          </m:sub>
          <m:sup>
            <m:r>
              <w:rPr>
                <w:rFonts w:ascii="Cambria Math" w:hAnsi="Cambria Math"/>
                <w:color w:val="auto"/>
              </w:rPr>
              <m:t>E</m:t>
            </m:r>
          </m:sup>
        </m:sSubSup>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0</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1</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r>
          <w:rPr>
            <w:rFonts w:ascii="Cambria Math" w:hAnsi="Cambria Math"/>
            <w:color w:val="auto"/>
          </w:rPr>
          <m:t>+</m:t>
        </m:r>
        <m:sSubSup>
          <m:sSubSupPr>
            <m:ctrlPr>
              <w:rPr>
                <w:rFonts w:ascii="Cambria Math" w:hAnsi="Cambria Math"/>
                <w:i/>
                <w:iCs/>
                <w:color w:val="auto"/>
              </w:rPr>
            </m:ctrlPr>
          </m:sSubSupPr>
          <m:e>
            <m:r>
              <w:rPr>
                <w:rFonts w:ascii="Cambria Math" w:hAnsi="Cambria Math"/>
                <w:color w:val="auto"/>
              </w:rPr>
              <m:t>X</m:t>
            </m:r>
          </m:e>
          <m:sub>
            <m:r>
              <w:rPr>
                <w:rFonts w:ascii="Cambria Math" w:hAnsi="Cambria Math"/>
                <w:color w:val="auto"/>
              </w:rPr>
              <m:t>it</m:t>
            </m:r>
          </m:sub>
          <m:sup>
            <m:r>
              <w:rPr>
                <w:rFonts w:ascii="Cambria Math" w:hAnsi="Cambria Math"/>
                <w:color w:val="auto"/>
              </w:rPr>
              <m:t>'</m:t>
            </m:r>
          </m:sup>
        </m:sSubSup>
        <m:r>
          <w:rPr>
            <w:rFonts w:ascii="Cambria Math" w:hAnsi="Cambria Math"/>
            <w:color w:val="auto"/>
          </w:rPr>
          <m:t>θ+</m:t>
        </m:r>
        <m:sSub>
          <m:sSubPr>
            <m:ctrlPr>
              <w:rPr>
                <w:rFonts w:ascii="Cambria Math" w:hAnsi="Cambria Math"/>
                <w:i/>
                <w:iCs/>
                <w:color w:val="auto"/>
              </w:rPr>
            </m:ctrlPr>
          </m:sSubPr>
          <m:e>
            <m:r>
              <w:rPr>
                <w:rFonts w:ascii="Cambria Math" w:hAnsi="Cambria Math"/>
                <w:color w:val="auto"/>
              </w:rPr>
              <m:t>ε</m:t>
            </m:r>
          </m:e>
          <m:sub>
            <m:r>
              <w:rPr>
                <w:rFonts w:ascii="Cambria Math" w:hAnsi="Cambria Math"/>
                <w:color w:val="auto"/>
              </w:rPr>
              <m:t>it+1</m:t>
            </m:r>
          </m:sub>
        </m:sSub>
      </m:oMath>
      <w:r w:rsidR="00036131">
        <w:rPr>
          <w:rFonts w:eastAsiaTheme="minorEastAsia"/>
          <w:iCs/>
          <w:color w:val="auto"/>
        </w:rPr>
        <w:tab/>
      </w:r>
      <w:r w:rsidR="00DD16BC">
        <w:rPr>
          <w:rFonts w:eastAsiaTheme="minorEastAsia"/>
          <w:iCs/>
          <w:color w:val="auto"/>
        </w:rPr>
        <w:t>(3)</w:t>
      </w:r>
    </w:p>
    <w:p w14:paraId="4D86566A" w14:textId="77777777" w:rsidR="00246743" w:rsidRDefault="00246743" w:rsidP="00246743">
      <w:pPr>
        <w:jc w:val="both"/>
        <w:rPr>
          <w:color w:val="auto"/>
        </w:rPr>
      </w:pPr>
      <w:r>
        <w:rPr>
          <w:color w:val="auto"/>
        </w:rPr>
        <w:t>Where:</w:t>
      </w:r>
      <w:r w:rsidRPr="005D5112">
        <w:rPr>
          <w:color w:val="auto"/>
        </w:rPr>
        <w:t xml:space="preserve"> future growth (</w:t>
      </w:r>
      <m:oMath>
        <m:sSubSup>
          <m:sSubSupPr>
            <m:ctrlPr>
              <w:rPr>
                <w:rFonts w:ascii="Cambria Math" w:hAnsi="Cambria Math"/>
                <w:i/>
                <w:iCs/>
                <w:color w:val="auto"/>
              </w:rPr>
            </m:ctrlPr>
          </m:sSubSupPr>
          <m:e>
            <m:r>
              <w:rPr>
                <w:rFonts w:ascii="Cambria Math" w:hAnsi="Cambria Math"/>
                <w:color w:val="auto"/>
              </w:rPr>
              <m:t>g</m:t>
            </m:r>
          </m:e>
          <m:sub>
            <m:r>
              <w:rPr>
                <w:rFonts w:ascii="Cambria Math" w:hAnsi="Cambria Math"/>
                <w:color w:val="auto"/>
              </w:rPr>
              <m:t>i,t+1</m:t>
            </m:r>
          </m:sub>
          <m:sup>
            <m:r>
              <w:rPr>
                <w:rFonts w:ascii="Cambria Math" w:hAnsi="Cambria Math"/>
                <w:color w:val="auto"/>
              </w:rPr>
              <m:t>E</m:t>
            </m:r>
          </m:sup>
        </m:sSubSup>
      </m:oMath>
      <w:r w:rsidRPr="005D5112">
        <w:rPr>
          <w:rFonts w:eastAsiaTheme="minorEastAsia"/>
          <w:iCs/>
          <w:color w:val="auto"/>
        </w:rPr>
        <w:t xml:space="preserve">) is a function of current (labour) productivity (LP) of firm </w:t>
      </w:r>
      <w:r w:rsidRPr="005D5112">
        <w:rPr>
          <w:rFonts w:eastAsiaTheme="minorEastAsia"/>
          <w:i/>
          <w:iCs/>
          <w:color w:val="auto"/>
        </w:rPr>
        <w:t>i</w:t>
      </w:r>
      <w:r w:rsidRPr="005D5112">
        <w:rPr>
          <w:rFonts w:eastAsiaTheme="minorEastAsia"/>
          <w:iCs/>
          <w:color w:val="auto"/>
        </w:rPr>
        <w:t xml:space="preserve"> at time </w:t>
      </w:r>
      <w:r w:rsidRPr="005D5112">
        <w:rPr>
          <w:rFonts w:eastAsiaTheme="minorEastAsia"/>
          <w:i/>
          <w:iCs/>
          <w:color w:val="auto"/>
        </w:rPr>
        <w:t>t</w:t>
      </w:r>
      <w:r>
        <w:rPr>
          <w:rFonts w:eastAsiaTheme="minorEastAsia"/>
          <w:i/>
          <w:iCs/>
          <w:color w:val="auto"/>
        </w:rPr>
        <w:t xml:space="preserve">, </w:t>
      </w:r>
      <w:r>
        <w:t xml:space="preserve">expressed in relative terms as </w:t>
      </w:r>
      <w:r w:rsidR="00DD16BC">
        <w:t xml:space="preserve">a </w:t>
      </w:r>
      <w:r>
        <w:t>deviation from the industry average (see below)</w:t>
      </w:r>
      <w:r w:rsidRPr="005D5112">
        <w:rPr>
          <w:rFonts w:eastAsiaTheme="minorEastAsia"/>
          <w:iCs/>
          <w:color w:val="auto"/>
        </w:rPr>
        <w:t>.</w:t>
      </w:r>
      <w:r>
        <w:rPr>
          <w:rFonts w:eastAsiaTheme="minorEastAsia"/>
          <w:iCs/>
          <w:color w:val="auto"/>
        </w:rPr>
        <w:t xml:space="preserve"> </w:t>
      </w:r>
      <w:r>
        <w:rPr>
          <w:color w:val="auto"/>
        </w:rPr>
        <w:t xml:space="preserve">Our baseline model defines LP as </w:t>
      </w:r>
      <w:r w:rsidR="00DD16BC">
        <w:rPr>
          <w:color w:val="auto"/>
        </w:rPr>
        <w:t xml:space="preserve">the natural logarithm of </w:t>
      </w:r>
      <w:r w:rsidRPr="005D5112">
        <w:rPr>
          <w:color w:val="auto"/>
        </w:rPr>
        <w:t xml:space="preserve">real revenue per FTE </w:t>
      </w:r>
      <w:r>
        <w:rPr>
          <w:color w:val="auto"/>
        </w:rPr>
        <w:t xml:space="preserve">in order to </w:t>
      </w:r>
      <w:r w:rsidRPr="005D5112">
        <w:rPr>
          <w:color w:val="auto"/>
        </w:rPr>
        <w:t>avoid indirectly censo</w:t>
      </w:r>
      <w:r>
        <w:rPr>
          <w:color w:val="auto"/>
        </w:rPr>
        <w:t>ring</w:t>
      </w:r>
      <w:r w:rsidRPr="005D5112">
        <w:rPr>
          <w:color w:val="auto"/>
        </w:rPr>
        <w:t xml:space="preserve"> units with negative value-added.</w:t>
      </w:r>
      <w:r w:rsidRPr="005D5112">
        <w:rPr>
          <w:rStyle w:val="FootnoteReference"/>
          <w:color w:val="auto"/>
        </w:rPr>
        <w:footnoteReference w:id="15"/>
      </w:r>
      <w:r w:rsidRPr="005D5112">
        <w:rPr>
          <w:color w:val="auto"/>
        </w:rPr>
        <w:t xml:space="preserve"> </w:t>
      </w:r>
      <w:r>
        <w:rPr>
          <w:color w:val="auto"/>
        </w:rPr>
        <w:t>That said, r</w:t>
      </w:r>
      <w:r w:rsidRPr="005D5112">
        <w:rPr>
          <w:color w:val="auto"/>
        </w:rPr>
        <w:t xml:space="preserve">esults </w:t>
      </w:r>
      <w:r>
        <w:rPr>
          <w:color w:val="auto"/>
        </w:rPr>
        <w:t>based on a real</w:t>
      </w:r>
      <w:r w:rsidRPr="005D5112">
        <w:rPr>
          <w:color w:val="auto"/>
        </w:rPr>
        <w:t xml:space="preserve"> value-added per FTE</w:t>
      </w:r>
      <w:r>
        <w:rPr>
          <w:color w:val="auto"/>
        </w:rPr>
        <w:t xml:space="preserve"> measure of LP are very similar</w:t>
      </w:r>
      <w:r w:rsidRPr="005D5112">
        <w:rPr>
          <w:color w:val="auto"/>
        </w:rPr>
        <w:t>.</w:t>
      </w:r>
      <w:r>
        <w:rPr>
          <w:color w:val="auto"/>
        </w:rPr>
        <w:t xml:space="preserve"> While future analysis will look to exploit new estimates of multi-factor productivity (MFP)</w:t>
      </w:r>
      <w:r w:rsidR="00D33706">
        <w:rPr>
          <w:color w:val="auto"/>
        </w:rPr>
        <w:t>,</w:t>
      </w:r>
      <w:r>
        <w:rPr>
          <w:rStyle w:val="FootnoteReference"/>
          <w:color w:val="auto"/>
        </w:rPr>
        <w:footnoteReference w:id="16"/>
      </w:r>
      <w:r>
        <w:rPr>
          <w:color w:val="auto"/>
        </w:rPr>
        <w:t xml:space="preserve"> US evidence shows that measures of within-industry relative labour productivity are highly correlated with within-industry relative MFP</w:t>
      </w:r>
      <w:r w:rsidR="00A004EC">
        <w:rPr>
          <w:color w:val="auto"/>
        </w:rPr>
        <w:t>,</w:t>
      </w:r>
      <w:r>
        <w:rPr>
          <w:color w:val="auto"/>
        </w:rPr>
        <w:t xml:space="preserve"> suggesting that capital shares </w:t>
      </w:r>
      <w:r w:rsidR="00A004EC">
        <w:rPr>
          <w:color w:val="auto"/>
        </w:rPr>
        <w:t xml:space="preserve">are </w:t>
      </w:r>
      <w:r>
        <w:rPr>
          <w:color w:val="auto"/>
        </w:rPr>
        <w:t xml:space="preserve">similar across firms within </w:t>
      </w:r>
      <w:r w:rsidRPr="00B40736">
        <w:rPr>
          <w:color w:val="auto"/>
        </w:rPr>
        <w:t xml:space="preserve">industries </w:t>
      </w:r>
      <w:r w:rsidRPr="006A6AE6">
        <w:rPr>
          <w:color w:val="auto"/>
        </w:rPr>
        <w:t xml:space="preserve">(Foster, </w:t>
      </w:r>
      <w:r w:rsidRPr="006A6AE6">
        <w:rPr>
          <w:color w:val="auto"/>
        </w:rPr>
        <w:lastRenderedPageBreak/>
        <w:t>Haltiwanger and Krizan, 2001, 2006).</w:t>
      </w:r>
      <w:r w:rsidRPr="006A6AE6">
        <w:rPr>
          <w:rStyle w:val="FootnoteReference"/>
          <w:color w:val="auto"/>
        </w:rPr>
        <w:footnoteReference w:id="17"/>
      </w:r>
      <w:r w:rsidRPr="006A6AE6">
        <w:rPr>
          <w:color w:val="auto"/>
        </w:rPr>
        <w:t xml:space="preserve"> Finally, t</w:t>
      </w:r>
      <w:r w:rsidRPr="006A6AE6">
        <w:rPr>
          <w:rFonts w:eastAsiaTheme="minorEastAsia"/>
          <w:iCs/>
          <w:color w:val="auto"/>
        </w:rPr>
        <w:t>he</w:t>
      </w:r>
      <w:r w:rsidRPr="005D5112">
        <w:rPr>
          <w:rFonts w:eastAsiaTheme="minorEastAsia"/>
          <w:iCs/>
          <w:color w:val="auto"/>
        </w:rPr>
        <w:t xml:space="preserve"> vector X’ includes controls</w:t>
      </w:r>
      <w:r>
        <w:rPr>
          <w:rFonts w:eastAsiaTheme="minorEastAsia"/>
          <w:iCs/>
          <w:color w:val="auto"/>
        </w:rPr>
        <w:t xml:space="preserve"> </w:t>
      </w:r>
      <w:r w:rsidRPr="005D5112">
        <w:rPr>
          <w:rFonts w:eastAsiaTheme="minorEastAsia"/>
          <w:iCs/>
          <w:color w:val="auto"/>
        </w:rPr>
        <w:t>for</w:t>
      </w:r>
      <w:r>
        <w:rPr>
          <w:rFonts w:eastAsiaTheme="minorEastAsia"/>
          <w:iCs/>
          <w:color w:val="auto"/>
        </w:rPr>
        <w:t xml:space="preserve"> </w:t>
      </w:r>
      <w:r w:rsidRPr="001A1264">
        <w:rPr>
          <w:rFonts w:eastAsiaTheme="minorEastAsia"/>
          <w:iCs/>
          <w:color w:val="auto"/>
        </w:rPr>
        <w:t>firm size,</w:t>
      </w:r>
      <w:r>
        <w:rPr>
          <w:rFonts w:eastAsiaTheme="minorEastAsia"/>
          <w:iCs/>
          <w:color w:val="auto"/>
        </w:rPr>
        <w:t xml:space="preserve"> </w:t>
      </w:r>
      <w:r w:rsidRPr="005D5112">
        <w:rPr>
          <w:color w:val="auto"/>
        </w:rPr>
        <w:t>time</w:t>
      </w:r>
      <w:r>
        <w:rPr>
          <w:color w:val="auto"/>
        </w:rPr>
        <w:t xml:space="preserve"> fixed effects</w:t>
      </w:r>
      <w:r w:rsidR="00A004EC">
        <w:rPr>
          <w:color w:val="auto"/>
        </w:rPr>
        <w:t>,</w:t>
      </w:r>
      <w:r w:rsidRPr="005D5112">
        <w:rPr>
          <w:color w:val="auto"/>
        </w:rPr>
        <w:t xml:space="preserve"> and the change in state unemployment rates alone and interacted with labour productivity. </w:t>
      </w:r>
    </w:p>
    <w:p w14:paraId="35AE0C7B" w14:textId="77777777" w:rsidR="00246743" w:rsidRPr="005D5112" w:rsidRDefault="00246743" w:rsidP="00246743">
      <w:pPr>
        <w:jc w:val="both"/>
        <w:rPr>
          <w:color w:val="auto"/>
        </w:rPr>
      </w:pPr>
      <w:r>
        <w:rPr>
          <w:color w:val="auto"/>
        </w:rPr>
        <w:t>Si</w:t>
      </w:r>
      <w:r w:rsidRPr="005D5112">
        <w:rPr>
          <w:color w:val="auto"/>
        </w:rPr>
        <w:t xml:space="preserve">nce our aim is to identify how productivity-enhancing reallocation is evolving in a structural sense, the model controls for cyclical influences in </w:t>
      </w:r>
      <w:r>
        <w:rPr>
          <w:color w:val="auto"/>
        </w:rPr>
        <w:t>three key</w:t>
      </w:r>
      <w:r w:rsidRPr="005D5112">
        <w:rPr>
          <w:color w:val="auto"/>
        </w:rPr>
        <w:t xml:space="preserve"> ways. First, the firm-level labour productivity is expressed as a deviation fr</w:t>
      </w:r>
      <w:r>
        <w:rPr>
          <w:color w:val="auto"/>
        </w:rPr>
        <w:t>om the industry average at the four</w:t>
      </w:r>
      <w:r w:rsidRPr="005D5112">
        <w:rPr>
          <w:color w:val="auto"/>
        </w:rPr>
        <w:t xml:space="preserve"> digit </w:t>
      </w:r>
      <w:r>
        <w:rPr>
          <w:color w:val="auto"/>
        </w:rPr>
        <w:t xml:space="preserve">ANZSIC06 level (the </w:t>
      </w:r>
      <w:r>
        <w:t>finest possible level of industrial classification)</w:t>
      </w:r>
      <w:r>
        <w:rPr>
          <w:color w:val="auto"/>
        </w:rPr>
        <w:t xml:space="preserve">, </w:t>
      </w:r>
      <w:r w:rsidRPr="005D5112">
        <w:rPr>
          <w:color w:val="auto"/>
        </w:rPr>
        <w:t>which is akin to controlling for time-varying industry</w:t>
      </w:r>
      <w:r>
        <w:rPr>
          <w:color w:val="auto"/>
        </w:rPr>
        <w:t>-</w:t>
      </w:r>
      <w:r w:rsidRPr="005D5112">
        <w:rPr>
          <w:color w:val="auto"/>
        </w:rPr>
        <w:t>specific shocks. Second, the impact of</w:t>
      </w:r>
      <w:r>
        <w:rPr>
          <w:color w:val="auto"/>
        </w:rPr>
        <w:t xml:space="preserve"> common</w:t>
      </w:r>
      <w:r w:rsidR="00D33706">
        <w:rPr>
          <w:color w:val="auto"/>
        </w:rPr>
        <w:t xml:space="preserve"> time-varying shocks (that is,</w:t>
      </w:r>
      <w:r w:rsidRPr="005D5112">
        <w:rPr>
          <w:color w:val="auto"/>
        </w:rPr>
        <w:t xml:space="preserve"> the national business cycle)</w:t>
      </w:r>
      <w:r>
        <w:rPr>
          <w:color w:val="auto"/>
        </w:rPr>
        <w:t xml:space="preserve"> is absorbed by </w:t>
      </w:r>
      <w:r w:rsidRPr="005D5112">
        <w:rPr>
          <w:color w:val="auto"/>
        </w:rPr>
        <w:t>the inclusion of time fixed effects. Finally, the</w:t>
      </w:r>
      <w:r>
        <w:rPr>
          <w:color w:val="auto"/>
        </w:rPr>
        <w:t xml:space="preserve"> inclusion of the </w:t>
      </w:r>
      <w:r w:rsidRPr="005D5112">
        <w:rPr>
          <w:color w:val="auto"/>
        </w:rPr>
        <w:t xml:space="preserve">state unemployment rate </w:t>
      </w:r>
      <w:r>
        <w:rPr>
          <w:color w:val="auto"/>
        </w:rPr>
        <w:t>directly controls fo</w:t>
      </w:r>
      <w:r w:rsidR="00F36868">
        <w:rPr>
          <w:color w:val="auto"/>
        </w:rPr>
        <w:t>r</w:t>
      </w:r>
      <w:r>
        <w:rPr>
          <w:color w:val="auto"/>
        </w:rPr>
        <w:t xml:space="preserve"> </w:t>
      </w:r>
      <w:r w:rsidRPr="005D5112">
        <w:rPr>
          <w:color w:val="auto"/>
        </w:rPr>
        <w:t xml:space="preserve">state-level business cycles </w:t>
      </w:r>
      <w:r w:rsidR="00DD16BC">
        <w:rPr>
          <w:color w:val="auto"/>
        </w:rPr>
        <w:t xml:space="preserve">alone </w:t>
      </w:r>
      <w:r w:rsidRPr="005D5112">
        <w:rPr>
          <w:color w:val="auto"/>
        </w:rPr>
        <w:t>and through its interaction with the labour productivity term, sweeps out the impact of state-level shocks on the responsiveness of employment growth to firm productivity.</w:t>
      </w:r>
      <w:r w:rsidRPr="00891BE8">
        <w:rPr>
          <w:rStyle w:val="FootnoteReference"/>
          <w:color w:val="auto"/>
        </w:rPr>
        <w:t xml:space="preserve"> </w:t>
      </w:r>
      <w:r w:rsidRPr="005D5112">
        <w:rPr>
          <w:rStyle w:val="FootnoteReference"/>
          <w:color w:val="auto"/>
        </w:rPr>
        <w:footnoteReference w:id="18"/>
      </w:r>
    </w:p>
    <w:p w14:paraId="71219AB4" w14:textId="77777777" w:rsidR="00246743" w:rsidRPr="005D5112" w:rsidRDefault="00246743" w:rsidP="00246743">
      <w:pPr>
        <w:jc w:val="both"/>
        <w:rPr>
          <w:color w:val="auto"/>
        </w:rPr>
      </w:pPr>
      <w:r w:rsidRPr="005D5112">
        <w:rPr>
          <w:color w:val="auto"/>
        </w:rPr>
        <w:t xml:space="preserve">Across all versions of the broader model, we are interested in the </w:t>
      </w:r>
      <w:r>
        <w:rPr>
          <w:color w:val="auto"/>
        </w:rPr>
        <w:t>sign</w:t>
      </w:r>
      <w:r w:rsidRPr="005D5112">
        <w:rPr>
          <w:color w:val="auto"/>
        </w:rPr>
        <w:t xml:space="preserve"> and significance of the coefficient on productivity. If positive</w:t>
      </w:r>
      <w:r>
        <w:rPr>
          <w:color w:val="auto"/>
        </w:rPr>
        <w:t>,</w:t>
      </w:r>
      <w:r w:rsidRPr="005D5112">
        <w:rPr>
          <w:color w:val="auto"/>
        </w:rPr>
        <w:t xml:space="preserve"> we can infer that</w:t>
      </w:r>
      <w:r>
        <w:rPr>
          <w:color w:val="auto"/>
        </w:rPr>
        <w:t xml:space="preserve"> labour to flows to</w:t>
      </w:r>
      <w:r w:rsidRPr="005D5112">
        <w:rPr>
          <w:color w:val="auto"/>
        </w:rPr>
        <w:t xml:space="preserve"> more productive </w:t>
      </w:r>
      <w:r w:rsidR="00125C4D">
        <w:rPr>
          <w:color w:val="auto"/>
        </w:rPr>
        <w:t xml:space="preserve">firms </w:t>
      </w:r>
      <w:r>
        <w:rPr>
          <w:color w:val="auto"/>
        </w:rPr>
        <w:t>at the expense of</w:t>
      </w:r>
      <w:r w:rsidRPr="005D5112">
        <w:rPr>
          <w:color w:val="auto"/>
        </w:rPr>
        <w:t xml:space="preserve"> less productive firms</w:t>
      </w:r>
      <w:r>
        <w:rPr>
          <w:color w:val="auto"/>
        </w:rPr>
        <w:t xml:space="preserve"> with</w:t>
      </w:r>
      <w:r w:rsidR="00125C4D">
        <w:rPr>
          <w:color w:val="auto"/>
        </w:rPr>
        <w:t>in</w:t>
      </w:r>
      <w:r>
        <w:rPr>
          <w:color w:val="auto"/>
        </w:rPr>
        <w:t xml:space="preserve"> industries, indicating that the process of labo</w:t>
      </w:r>
      <w:r w:rsidR="00D33706">
        <w:rPr>
          <w:color w:val="auto"/>
        </w:rPr>
        <w:t>ur reallocation is productivity</w:t>
      </w:r>
      <w:r w:rsidR="00D33706">
        <w:rPr>
          <w:color w:val="auto"/>
        </w:rPr>
        <w:noBreakHyphen/>
      </w:r>
      <w:r>
        <w:rPr>
          <w:color w:val="auto"/>
        </w:rPr>
        <w:t>enhancing, even after controlling for a range of cyclical influences</w:t>
      </w:r>
      <w:r w:rsidRPr="005D5112">
        <w:rPr>
          <w:color w:val="auto"/>
        </w:rPr>
        <w:t xml:space="preserve">. </w:t>
      </w:r>
    </w:p>
    <w:p w14:paraId="3138EB4B" w14:textId="77777777" w:rsidR="00246743" w:rsidRPr="005D5112" w:rsidRDefault="00246743" w:rsidP="00246743">
      <w:pPr>
        <w:jc w:val="both"/>
        <w:rPr>
          <w:color w:val="auto"/>
        </w:rPr>
      </w:pPr>
      <w:r>
        <w:rPr>
          <w:color w:val="auto"/>
        </w:rPr>
        <w:lastRenderedPageBreak/>
        <w:t xml:space="preserve">To estimate how labour reallocation has changed over time, </w:t>
      </w:r>
      <w:r w:rsidRPr="005D5112">
        <w:rPr>
          <w:color w:val="auto"/>
        </w:rPr>
        <w:t>we interact productivity with a linear</w:t>
      </w:r>
      <w:r>
        <w:rPr>
          <w:color w:val="auto"/>
        </w:rPr>
        <w:t xml:space="preserve"> time</w:t>
      </w:r>
      <w:r w:rsidRPr="005D5112">
        <w:rPr>
          <w:color w:val="auto"/>
        </w:rPr>
        <w:t xml:space="preserve"> trend and its square, to account for non-linearity in the trend. That is, we estimate</w:t>
      </w:r>
      <w:r>
        <w:rPr>
          <w:color w:val="auto"/>
        </w:rPr>
        <w:t>:</w:t>
      </w:r>
      <w:r w:rsidRPr="005D5112">
        <w:rPr>
          <w:color w:val="auto"/>
        </w:rPr>
        <w:t xml:space="preserve"> </w:t>
      </w:r>
    </w:p>
    <w:p w14:paraId="6FA7787B" w14:textId="77777777" w:rsidR="00246743" w:rsidRPr="00BA05DA" w:rsidRDefault="00E70CFB" w:rsidP="00036131">
      <w:pPr>
        <w:jc w:val="center"/>
        <w:rPr>
          <w:rFonts w:eastAsiaTheme="minorEastAsia"/>
          <w:iCs/>
          <w:color w:val="auto"/>
        </w:rPr>
      </w:pPr>
      <m:oMath>
        <m:sSubSup>
          <m:sSubSupPr>
            <m:ctrlPr>
              <w:rPr>
                <w:rFonts w:ascii="Cambria Math" w:hAnsi="Cambria Math"/>
                <w:i/>
                <w:iCs/>
                <w:color w:val="auto"/>
              </w:rPr>
            </m:ctrlPr>
          </m:sSubSupPr>
          <m:e>
            <m:r>
              <w:rPr>
                <w:rFonts w:ascii="Cambria Math" w:hAnsi="Cambria Math"/>
                <w:color w:val="auto"/>
              </w:rPr>
              <m:t>g</m:t>
            </m:r>
          </m:e>
          <m:sub>
            <m:r>
              <w:rPr>
                <w:rFonts w:ascii="Cambria Math" w:hAnsi="Cambria Math"/>
                <w:color w:val="auto"/>
              </w:rPr>
              <m:t>i,t+1</m:t>
            </m:r>
          </m:sub>
          <m:sup>
            <m:r>
              <w:rPr>
                <w:rFonts w:ascii="Cambria Math" w:hAnsi="Cambria Math"/>
                <w:color w:val="auto"/>
              </w:rPr>
              <m:t>E</m:t>
            </m:r>
          </m:sup>
        </m:sSubSup>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0</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1</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2</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Trend</m:t>
            </m:r>
          </m:e>
          <m:sub>
            <m:r>
              <w:rPr>
                <w:rFonts w:ascii="Cambria Math" w:hAnsi="Cambria Math"/>
                <w:color w:val="auto"/>
              </w:rPr>
              <m:t>t</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3</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sSubSup>
          <m:sSubSupPr>
            <m:ctrlPr>
              <w:rPr>
                <w:rFonts w:ascii="Cambria Math" w:hAnsi="Cambria Math"/>
                <w:i/>
                <w:iCs/>
                <w:color w:val="auto"/>
              </w:rPr>
            </m:ctrlPr>
          </m:sSubSupPr>
          <m:e>
            <m:r>
              <w:rPr>
                <w:rFonts w:ascii="Cambria Math" w:hAnsi="Cambria Math"/>
                <w:color w:val="auto"/>
              </w:rPr>
              <m:t>Trend</m:t>
            </m:r>
          </m:e>
          <m:sub>
            <m:r>
              <w:rPr>
                <w:rFonts w:ascii="Cambria Math" w:hAnsi="Cambria Math"/>
                <w:color w:val="auto"/>
              </w:rPr>
              <m:t>t</m:t>
            </m:r>
          </m:sub>
          <m:sup>
            <m:r>
              <w:rPr>
                <w:rFonts w:ascii="Cambria Math" w:hAnsi="Cambria Math"/>
                <w:color w:val="auto"/>
              </w:rPr>
              <m:t>2</m:t>
            </m:r>
          </m:sup>
        </m:sSubSup>
        <m:r>
          <w:rPr>
            <w:rFonts w:ascii="Cambria Math" w:hAnsi="Cambria Math"/>
            <w:color w:val="auto"/>
          </w:rPr>
          <m:t>+</m:t>
        </m:r>
        <m:sSubSup>
          <m:sSubSupPr>
            <m:ctrlPr>
              <w:rPr>
                <w:rFonts w:ascii="Cambria Math" w:hAnsi="Cambria Math"/>
                <w:i/>
                <w:iCs/>
                <w:color w:val="auto"/>
              </w:rPr>
            </m:ctrlPr>
          </m:sSubSupPr>
          <m:e>
            <m:r>
              <w:rPr>
                <w:rFonts w:ascii="Cambria Math" w:hAnsi="Cambria Math"/>
                <w:color w:val="auto"/>
              </w:rPr>
              <m:t>X</m:t>
            </m:r>
          </m:e>
          <m:sub>
            <m:r>
              <w:rPr>
                <w:rFonts w:ascii="Cambria Math" w:hAnsi="Cambria Math"/>
                <w:color w:val="auto"/>
              </w:rPr>
              <m:t>it</m:t>
            </m:r>
          </m:sub>
          <m:sup>
            <m:r>
              <w:rPr>
                <w:rFonts w:ascii="Cambria Math" w:hAnsi="Cambria Math"/>
                <w:color w:val="auto"/>
              </w:rPr>
              <m:t>'</m:t>
            </m:r>
          </m:sup>
        </m:sSubSup>
        <m:r>
          <w:rPr>
            <w:rFonts w:ascii="Cambria Math" w:hAnsi="Cambria Math"/>
            <w:color w:val="auto"/>
          </w:rPr>
          <m:t>θ+</m:t>
        </m:r>
        <m:sSub>
          <m:sSubPr>
            <m:ctrlPr>
              <w:rPr>
                <w:rFonts w:ascii="Cambria Math" w:hAnsi="Cambria Math"/>
                <w:i/>
                <w:iCs/>
                <w:color w:val="auto"/>
              </w:rPr>
            </m:ctrlPr>
          </m:sSubPr>
          <m:e>
            <m:r>
              <w:rPr>
                <w:rFonts w:ascii="Cambria Math" w:hAnsi="Cambria Math"/>
                <w:color w:val="auto"/>
              </w:rPr>
              <m:t>ε</m:t>
            </m:r>
          </m:e>
          <m:sub>
            <m:r>
              <w:rPr>
                <w:rFonts w:ascii="Cambria Math" w:hAnsi="Cambria Math"/>
                <w:color w:val="auto"/>
              </w:rPr>
              <m:t>it+1</m:t>
            </m:r>
          </m:sub>
        </m:sSub>
      </m:oMath>
      <w:r w:rsidR="00036131">
        <w:rPr>
          <w:rFonts w:eastAsiaTheme="minorEastAsia"/>
          <w:iCs/>
          <w:color w:val="auto"/>
        </w:rPr>
        <w:tab/>
      </w:r>
      <w:r w:rsidR="00036131">
        <w:rPr>
          <w:rFonts w:eastAsiaTheme="minorEastAsia"/>
          <w:iCs/>
          <w:color w:val="auto"/>
        </w:rPr>
        <w:tab/>
      </w:r>
      <w:r w:rsidR="00DD16BC">
        <w:rPr>
          <w:rFonts w:eastAsiaTheme="minorEastAsia"/>
          <w:iCs/>
          <w:color w:val="auto"/>
        </w:rPr>
        <w:t>(4)</w:t>
      </w:r>
    </w:p>
    <w:p w14:paraId="06C5F788" w14:textId="77777777" w:rsidR="00246743" w:rsidRPr="005D5112" w:rsidRDefault="00246743" w:rsidP="00246743">
      <w:pPr>
        <w:jc w:val="both"/>
        <w:rPr>
          <w:color w:val="auto"/>
        </w:rPr>
      </w:pPr>
      <w:r w:rsidRPr="00761976">
        <w:rPr>
          <w:color w:val="auto"/>
        </w:rPr>
        <w:t xml:space="preserve">Finally, we focus on the changing nature of labour reallocation within broad firm age groups, in order to </w:t>
      </w:r>
      <w:r w:rsidR="00AD60DB">
        <w:rPr>
          <w:color w:val="auto"/>
        </w:rPr>
        <w:t>allow for differential growth dynamics and</w:t>
      </w:r>
      <w:r w:rsidR="00125C4D">
        <w:rPr>
          <w:color w:val="auto"/>
        </w:rPr>
        <w:t xml:space="preserve"> to</w:t>
      </w:r>
      <w:r w:rsidR="00AD60DB">
        <w:rPr>
          <w:color w:val="auto"/>
        </w:rPr>
        <w:t xml:space="preserve"> </w:t>
      </w:r>
      <w:r w:rsidRPr="00761976">
        <w:rPr>
          <w:color w:val="auto"/>
        </w:rPr>
        <w:t xml:space="preserve">mitigate the identification challenges posed by declining firm entry rates observed in many OECD countries. We follow Decker et al (2018) and </w:t>
      </w:r>
      <w:r w:rsidRPr="00931A0D">
        <w:rPr>
          <w:color w:val="auto"/>
        </w:rPr>
        <w:t xml:space="preserve">distinguish </w:t>
      </w:r>
      <w:r w:rsidRPr="005B0854">
        <w:rPr>
          <w:color w:val="auto"/>
        </w:rPr>
        <w:t>between young (0 to 5 years) and mature (6 plus years) firms and then incrementally add the</w:t>
      </w:r>
      <w:r>
        <w:rPr>
          <w:color w:val="auto"/>
        </w:rPr>
        <w:t xml:space="preserve"> interactions with</w:t>
      </w:r>
      <w:r w:rsidRPr="00931A0D">
        <w:rPr>
          <w:color w:val="auto"/>
        </w:rPr>
        <w:t xml:space="preserve"> </w:t>
      </w:r>
      <w:r>
        <w:rPr>
          <w:color w:val="auto"/>
        </w:rPr>
        <w:t xml:space="preserve">the time </w:t>
      </w:r>
      <w:r w:rsidRPr="00931A0D">
        <w:rPr>
          <w:color w:val="auto"/>
        </w:rPr>
        <w:t>trend</w:t>
      </w:r>
      <w:r>
        <w:rPr>
          <w:color w:val="auto"/>
        </w:rPr>
        <w:t xml:space="preserve"> variables</w:t>
      </w:r>
      <w:r w:rsidRPr="00931A0D">
        <w:rPr>
          <w:color w:val="auto"/>
        </w:rPr>
        <w:t xml:space="preserve">. </w:t>
      </w:r>
      <w:r w:rsidRPr="005B0854">
        <w:rPr>
          <w:color w:val="auto"/>
        </w:rPr>
        <w:t>More formally, the full model is specified as follows:</w:t>
      </w:r>
    </w:p>
    <w:p w14:paraId="73B5BECC" w14:textId="77777777" w:rsidR="00246743" w:rsidRPr="005D5112" w:rsidRDefault="00E70CFB" w:rsidP="00246743">
      <w:pPr>
        <w:rPr>
          <w:rFonts w:eastAsiaTheme="minorEastAsia"/>
          <w:iCs/>
          <w:color w:val="auto"/>
        </w:rPr>
      </w:pPr>
      <m:oMathPara>
        <m:oMath>
          <m:sSubSup>
            <m:sSubSupPr>
              <m:ctrlPr>
                <w:rPr>
                  <w:rFonts w:ascii="Cambria Math" w:hAnsi="Cambria Math"/>
                  <w:i/>
                  <w:iCs/>
                  <w:color w:val="auto"/>
                </w:rPr>
              </m:ctrlPr>
            </m:sSubSupPr>
            <m:e>
              <m:r>
                <w:rPr>
                  <w:rFonts w:ascii="Cambria Math" w:hAnsi="Cambria Math"/>
                  <w:color w:val="auto"/>
                </w:rPr>
                <m:t>g</m:t>
              </m:r>
            </m:e>
            <m:sub>
              <m:r>
                <w:rPr>
                  <w:rFonts w:ascii="Cambria Math" w:hAnsi="Cambria Math"/>
                  <w:color w:val="auto"/>
                </w:rPr>
                <m:t>i,t+1</m:t>
              </m:r>
            </m:sub>
            <m:sup>
              <m:r>
                <w:rPr>
                  <w:rFonts w:ascii="Cambria Math" w:hAnsi="Cambria Math"/>
                  <w:color w:val="auto"/>
                </w:rPr>
                <m:t>E</m:t>
              </m:r>
            </m:sup>
          </m:sSubSup>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0</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1</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Young</m:t>
              </m:r>
            </m:e>
            <m:sub>
              <m:r>
                <w:rPr>
                  <w:rFonts w:ascii="Cambria Math" w:hAnsi="Cambria Math"/>
                  <w:color w:val="auto"/>
                </w:rPr>
                <m:t>it</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2</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Young</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Trend</m:t>
              </m:r>
            </m:e>
            <m:sub>
              <m:r>
                <w:rPr>
                  <w:rFonts w:ascii="Cambria Math" w:hAnsi="Cambria Math"/>
                  <w:color w:val="auto"/>
                </w:rPr>
                <m:t>t</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3</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Young</m:t>
              </m:r>
            </m:e>
            <m:sub>
              <m:r>
                <w:rPr>
                  <w:rFonts w:ascii="Cambria Math" w:hAnsi="Cambria Math"/>
                  <w:color w:val="auto"/>
                </w:rPr>
                <m:t>it</m:t>
              </m:r>
            </m:sub>
          </m:sSub>
          <m:sSubSup>
            <m:sSubSupPr>
              <m:ctrlPr>
                <w:rPr>
                  <w:rFonts w:ascii="Cambria Math" w:hAnsi="Cambria Math"/>
                  <w:i/>
                  <w:iCs/>
                  <w:color w:val="auto"/>
                </w:rPr>
              </m:ctrlPr>
            </m:sSubSupPr>
            <m:e>
              <m:r>
                <w:rPr>
                  <w:rFonts w:ascii="Cambria Math" w:hAnsi="Cambria Math"/>
                  <w:color w:val="auto"/>
                </w:rPr>
                <m:t>Trend</m:t>
              </m:r>
            </m:e>
            <m:sub>
              <m:r>
                <w:rPr>
                  <w:rFonts w:ascii="Cambria Math" w:hAnsi="Cambria Math"/>
                  <w:color w:val="auto"/>
                </w:rPr>
                <m:t>t</m:t>
              </m:r>
            </m:sub>
            <m:sup>
              <m:r>
                <w:rPr>
                  <w:rFonts w:ascii="Cambria Math" w:hAnsi="Cambria Math"/>
                  <w:color w:val="auto"/>
                </w:rPr>
                <m:t>2</m:t>
              </m:r>
            </m:sup>
          </m:sSubSup>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4</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Mature</m:t>
              </m:r>
            </m:e>
            <m:sub>
              <m:r>
                <w:rPr>
                  <w:rFonts w:ascii="Cambria Math" w:hAnsi="Cambria Math"/>
                  <w:color w:val="auto"/>
                </w:rPr>
                <m:t>it</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5</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Mature</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Trend</m:t>
              </m:r>
            </m:e>
            <m:sub>
              <m:r>
                <w:rPr>
                  <w:rFonts w:ascii="Cambria Math" w:hAnsi="Cambria Math"/>
                  <w:color w:val="auto"/>
                </w:rPr>
                <m:t>t</m:t>
              </m:r>
            </m:sub>
          </m:sSub>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β</m:t>
              </m:r>
            </m:e>
            <m:sub>
              <m:r>
                <w:rPr>
                  <w:rFonts w:ascii="Cambria Math" w:hAnsi="Cambria Math"/>
                  <w:color w:val="auto"/>
                </w:rPr>
                <m:t>6</m:t>
              </m:r>
            </m:sub>
          </m:sSub>
          <m:sSub>
            <m:sSubPr>
              <m:ctrlPr>
                <w:rPr>
                  <w:rFonts w:ascii="Cambria Math" w:hAnsi="Cambria Math"/>
                  <w:i/>
                  <w:iCs/>
                  <w:color w:val="auto"/>
                </w:rPr>
              </m:ctrlPr>
            </m:sSubPr>
            <m:e>
              <m:r>
                <w:rPr>
                  <w:rFonts w:ascii="Cambria Math" w:hAnsi="Cambria Math"/>
                  <w:color w:val="auto"/>
                </w:rPr>
                <m:t>LP</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Mature</m:t>
              </m:r>
            </m:e>
            <m:sub>
              <m:r>
                <w:rPr>
                  <w:rFonts w:ascii="Cambria Math" w:hAnsi="Cambria Math"/>
                  <w:color w:val="auto"/>
                </w:rPr>
                <m:t>it</m:t>
              </m:r>
            </m:sub>
          </m:sSub>
          <m:sSubSup>
            <m:sSubSupPr>
              <m:ctrlPr>
                <w:rPr>
                  <w:rFonts w:ascii="Cambria Math" w:hAnsi="Cambria Math"/>
                  <w:i/>
                  <w:iCs/>
                  <w:color w:val="auto"/>
                </w:rPr>
              </m:ctrlPr>
            </m:sSubSupPr>
            <m:e>
              <m:r>
                <w:rPr>
                  <w:rFonts w:ascii="Cambria Math" w:hAnsi="Cambria Math"/>
                  <w:color w:val="auto"/>
                </w:rPr>
                <m:t>Trend</m:t>
              </m:r>
            </m:e>
            <m:sub>
              <m:r>
                <w:rPr>
                  <w:rFonts w:ascii="Cambria Math" w:hAnsi="Cambria Math"/>
                  <w:color w:val="auto"/>
                </w:rPr>
                <m:t>t</m:t>
              </m:r>
            </m:sub>
            <m:sup>
              <m:r>
                <w:rPr>
                  <w:rFonts w:ascii="Cambria Math" w:hAnsi="Cambria Math"/>
                  <w:color w:val="auto"/>
                </w:rPr>
                <m:t>2</m:t>
              </m:r>
            </m:sup>
          </m:sSubSup>
          <m:r>
            <w:rPr>
              <w:rFonts w:ascii="Cambria Math" w:hAnsi="Cambria Math"/>
              <w:color w:val="auto"/>
            </w:rPr>
            <m:t>+</m:t>
          </m:r>
          <m:sSubSup>
            <m:sSubSupPr>
              <m:ctrlPr>
                <w:rPr>
                  <w:rFonts w:ascii="Cambria Math" w:hAnsi="Cambria Math"/>
                  <w:i/>
                  <w:iCs/>
                  <w:color w:val="auto"/>
                </w:rPr>
              </m:ctrlPr>
            </m:sSubSupPr>
            <m:e>
              <m:r>
                <w:rPr>
                  <w:rFonts w:ascii="Cambria Math" w:hAnsi="Cambria Math"/>
                  <w:color w:val="auto"/>
                </w:rPr>
                <m:t>X</m:t>
              </m:r>
            </m:e>
            <m:sub>
              <m:r>
                <w:rPr>
                  <w:rFonts w:ascii="Cambria Math" w:hAnsi="Cambria Math"/>
                  <w:color w:val="auto"/>
                </w:rPr>
                <m:t>it</m:t>
              </m:r>
            </m:sub>
            <m:sup>
              <m:r>
                <w:rPr>
                  <w:rFonts w:ascii="Cambria Math" w:hAnsi="Cambria Math"/>
                  <w:color w:val="auto"/>
                </w:rPr>
                <m:t>'</m:t>
              </m:r>
            </m:sup>
          </m:sSubSup>
          <m:r>
            <w:rPr>
              <w:rFonts w:ascii="Cambria Math" w:hAnsi="Cambria Math"/>
              <w:color w:val="auto"/>
            </w:rPr>
            <m:t>θ+</m:t>
          </m:r>
          <m:sSub>
            <m:sSubPr>
              <m:ctrlPr>
                <w:rPr>
                  <w:rFonts w:ascii="Cambria Math" w:hAnsi="Cambria Math"/>
                  <w:i/>
                  <w:iCs/>
                  <w:color w:val="auto"/>
                </w:rPr>
              </m:ctrlPr>
            </m:sSubPr>
            <m:e>
              <m:r>
                <w:rPr>
                  <w:rFonts w:ascii="Cambria Math" w:hAnsi="Cambria Math"/>
                  <w:color w:val="auto"/>
                </w:rPr>
                <m:t>ε</m:t>
              </m:r>
            </m:e>
            <m:sub>
              <m:r>
                <w:rPr>
                  <w:rFonts w:ascii="Cambria Math" w:hAnsi="Cambria Math"/>
                  <w:color w:val="auto"/>
                </w:rPr>
                <m:t>it+1</m:t>
              </m:r>
            </m:sub>
          </m:sSub>
          <m:r>
            <w:rPr>
              <w:rFonts w:ascii="Cambria Math" w:hAnsi="Cambria Math"/>
              <w:color w:val="auto"/>
            </w:rPr>
            <m:t xml:space="preserve">   (5)</m:t>
          </m:r>
        </m:oMath>
      </m:oMathPara>
    </w:p>
    <w:p w14:paraId="1E658043" w14:textId="77777777" w:rsidR="006A0146" w:rsidRDefault="00802352">
      <w:pPr>
        <w:jc w:val="both"/>
        <w:rPr>
          <w:color w:val="auto"/>
        </w:rPr>
      </w:pPr>
      <w:r>
        <w:rPr>
          <w:color w:val="auto"/>
        </w:rPr>
        <w:t xml:space="preserve">To explore </w:t>
      </w:r>
      <w:r w:rsidR="00C618F9">
        <w:rPr>
          <w:color w:val="auto"/>
        </w:rPr>
        <w:t>market selection</w:t>
      </w:r>
      <w:r>
        <w:rPr>
          <w:color w:val="auto"/>
        </w:rPr>
        <w:t xml:space="preserve"> dynamics, we</w:t>
      </w:r>
      <w:r w:rsidR="00246743" w:rsidRPr="00297406">
        <w:rPr>
          <w:color w:val="auto"/>
        </w:rPr>
        <w:t xml:space="preserve"> also </w:t>
      </w:r>
      <w:r w:rsidR="00297406" w:rsidRPr="00297406">
        <w:rPr>
          <w:color w:val="auto"/>
        </w:rPr>
        <w:t xml:space="preserve">estimate a </w:t>
      </w:r>
      <w:r w:rsidR="00CB2CE1">
        <w:rPr>
          <w:color w:val="auto"/>
        </w:rPr>
        <w:t xml:space="preserve">corresponding </w:t>
      </w:r>
      <w:r w:rsidR="00246743" w:rsidRPr="00297406">
        <w:rPr>
          <w:color w:val="auto"/>
        </w:rPr>
        <w:t xml:space="preserve">version </w:t>
      </w:r>
      <w:r>
        <w:rPr>
          <w:color w:val="auto"/>
        </w:rPr>
        <w:t xml:space="preserve">– via </w:t>
      </w:r>
      <w:r w:rsidR="00297406" w:rsidRPr="00297406">
        <w:rPr>
          <w:color w:val="auto"/>
        </w:rPr>
        <w:t>probit model</w:t>
      </w:r>
      <w:r>
        <w:rPr>
          <w:color w:val="auto"/>
        </w:rPr>
        <w:t xml:space="preserve"> –</w:t>
      </w:r>
      <w:r w:rsidR="00246743" w:rsidRPr="00297406">
        <w:rPr>
          <w:color w:val="auto"/>
        </w:rPr>
        <w:t xml:space="preserve"> w</w:t>
      </w:r>
      <w:r w:rsidR="00297406" w:rsidRPr="00297406">
        <w:rPr>
          <w:color w:val="auto"/>
        </w:rPr>
        <w:t xml:space="preserve">here the probability of </w:t>
      </w:r>
      <w:r w:rsidR="00246743" w:rsidRPr="00297406">
        <w:rPr>
          <w:color w:val="auto"/>
        </w:rPr>
        <w:t xml:space="preserve">firm exit </w:t>
      </w:r>
      <w:r w:rsidR="00297406" w:rsidRPr="00297406">
        <w:rPr>
          <w:color w:val="auto"/>
        </w:rPr>
        <w:t>i</w:t>
      </w:r>
      <w:r w:rsidR="00246743" w:rsidRPr="00297406">
        <w:rPr>
          <w:color w:val="auto"/>
        </w:rPr>
        <w:t>s the dependent variable.</w:t>
      </w:r>
      <w:r w:rsidR="00297406" w:rsidRPr="00297406">
        <w:rPr>
          <w:color w:val="auto"/>
        </w:rPr>
        <w:t xml:space="preserve"> </w:t>
      </w:r>
      <w:r w:rsidR="004A326E">
        <w:rPr>
          <w:color w:val="auto"/>
        </w:rPr>
        <w:t>S</w:t>
      </w:r>
      <w:r w:rsidR="004A326E" w:rsidRPr="004A326E">
        <w:rPr>
          <w:color w:val="auto"/>
        </w:rPr>
        <w:t xml:space="preserve">tandard empirical </w:t>
      </w:r>
      <w:r w:rsidR="006A6AE6">
        <w:rPr>
          <w:color w:val="auto"/>
        </w:rPr>
        <w:t>model</w:t>
      </w:r>
      <w:r w:rsidR="006A6AE6" w:rsidRPr="004A326E">
        <w:rPr>
          <w:color w:val="auto"/>
        </w:rPr>
        <w:t xml:space="preserve">s </w:t>
      </w:r>
      <w:r w:rsidR="00D33706">
        <w:rPr>
          <w:color w:val="auto"/>
        </w:rPr>
        <w:t>of exit (for example</w:t>
      </w:r>
      <w:r w:rsidR="004A326E" w:rsidRPr="004A326E">
        <w:rPr>
          <w:color w:val="auto"/>
        </w:rPr>
        <w:t>, Syverson</w:t>
      </w:r>
      <w:r w:rsidR="004A326E">
        <w:rPr>
          <w:color w:val="auto"/>
        </w:rPr>
        <w:t>,</w:t>
      </w:r>
      <w:r w:rsidR="004A326E" w:rsidRPr="004A326E">
        <w:rPr>
          <w:color w:val="auto"/>
        </w:rPr>
        <w:t xml:space="preserve"> 2011) </w:t>
      </w:r>
      <w:r w:rsidR="004A326E">
        <w:rPr>
          <w:color w:val="auto"/>
        </w:rPr>
        <w:t>dem</w:t>
      </w:r>
      <w:r w:rsidR="004A326E" w:rsidRPr="00802352">
        <w:rPr>
          <w:color w:val="auto"/>
        </w:rPr>
        <w:t>onstrate</w:t>
      </w:r>
      <w:r w:rsidR="00297406" w:rsidRPr="00802352">
        <w:rPr>
          <w:color w:val="auto"/>
        </w:rPr>
        <w:t xml:space="preserve"> that less productive firms have a higher likelihood of exiting the market, implying that the estimated coefficient on labour productivity is expected to be negative.</w:t>
      </w:r>
    </w:p>
    <w:p w14:paraId="36F65066" w14:textId="77777777" w:rsidR="00246743" w:rsidRDefault="00246743" w:rsidP="00E22678">
      <w:pPr>
        <w:pStyle w:val="Heading3"/>
      </w:pPr>
      <w:r>
        <w:t>5</w:t>
      </w:r>
      <w:r w:rsidRPr="00001986">
        <w:t>.</w:t>
      </w:r>
      <w:r>
        <w:t>2</w:t>
      </w:r>
      <w:r w:rsidRPr="00001986">
        <w:t xml:space="preserve"> </w:t>
      </w:r>
      <w:r>
        <w:t>Baseline e</w:t>
      </w:r>
      <w:r w:rsidRPr="00001986">
        <w:t xml:space="preserve">mpirical </w:t>
      </w:r>
      <w:r>
        <w:t>results</w:t>
      </w:r>
    </w:p>
    <w:p w14:paraId="22772C87" w14:textId="77777777" w:rsidR="00246743" w:rsidRPr="005D5112" w:rsidRDefault="00246743" w:rsidP="00246743">
      <w:pPr>
        <w:jc w:val="both"/>
        <w:rPr>
          <w:color w:val="auto"/>
        </w:rPr>
      </w:pPr>
      <w:r w:rsidRPr="005D5112">
        <w:rPr>
          <w:color w:val="auto"/>
        </w:rPr>
        <w:t xml:space="preserve">Table </w:t>
      </w:r>
      <w:r w:rsidR="004818E2">
        <w:rPr>
          <w:color w:val="auto"/>
        </w:rPr>
        <w:t>1</w:t>
      </w:r>
      <w:r w:rsidRPr="005D5112">
        <w:rPr>
          <w:color w:val="auto"/>
        </w:rPr>
        <w:t xml:space="preserve"> presents </w:t>
      </w:r>
      <w:r w:rsidR="001C41BD">
        <w:rPr>
          <w:color w:val="auto"/>
        </w:rPr>
        <w:t xml:space="preserve">baseline estimates of the responsiveness of firm employment growth (Panel A) and firm exit (Panel B) to productivity </w:t>
      </w:r>
      <w:r w:rsidR="00BC1337">
        <w:rPr>
          <w:color w:val="auto"/>
        </w:rPr>
        <w:t xml:space="preserve">for </w:t>
      </w:r>
      <w:r w:rsidRPr="005D5112">
        <w:rPr>
          <w:color w:val="auto"/>
        </w:rPr>
        <w:t>selected market sector industries</w:t>
      </w:r>
      <w:r w:rsidR="00BC1337">
        <w:rPr>
          <w:color w:val="auto"/>
        </w:rPr>
        <w:t xml:space="preserve"> and the manufacturing sector</w:t>
      </w:r>
      <w:r w:rsidRPr="005D5112">
        <w:rPr>
          <w:color w:val="auto"/>
        </w:rPr>
        <w:t xml:space="preserve">. </w:t>
      </w:r>
    </w:p>
    <w:p w14:paraId="50F3F7DB" w14:textId="77777777" w:rsidR="006F719E" w:rsidRPr="00DC50A4" w:rsidRDefault="00246743" w:rsidP="006F719E">
      <w:pPr>
        <w:jc w:val="both"/>
      </w:pPr>
      <w:r>
        <w:rPr>
          <w:color w:val="auto"/>
        </w:rPr>
        <w:t xml:space="preserve">In column 1, the coefficient on productivity is positive and significant at the 1 per cent level, suggesting that on average over the sample period, more productive </w:t>
      </w:r>
      <w:r>
        <w:rPr>
          <w:color w:val="auto"/>
        </w:rPr>
        <w:lastRenderedPageBreak/>
        <w:t>firms are more likely to expand and less productive firms are more likely to contract.</w:t>
      </w:r>
      <w:r w:rsidR="008820A7">
        <w:rPr>
          <w:color w:val="auto"/>
        </w:rPr>
        <w:t xml:space="preserve"> </w:t>
      </w:r>
      <w:r w:rsidR="006B0DE6">
        <w:rPr>
          <w:color w:val="auto"/>
        </w:rPr>
        <w:t xml:space="preserve">Similarly, </w:t>
      </w:r>
      <w:r w:rsidR="00125C4D">
        <w:rPr>
          <w:color w:val="auto"/>
        </w:rPr>
        <w:t>in our firm exit regression</w:t>
      </w:r>
      <w:r w:rsidR="006B0DE6">
        <w:rPr>
          <w:color w:val="auto"/>
        </w:rPr>
        <w:t xml:space="preserve"> </w:t>
      </w:r>
      <w:r w:rsidR="006B0DE6" w:rsidRPr="00B2793B">
        <w:rPr>
          <w:color w:val="auto"/>
        </w:rPr>
        <w:t xml:space="preserve">(see </w:t>
      </w:r>
      <w:r w:rsidR="005320D6">
        <w:rPr>
          <w:color w:val="auto"/>
        </w:rPr>
        <w:t>Column 5</w:t>
      </w:r>
      <w:r w:rsidR="00B2793B" w:rsidRPr="00B2793B">
        <w:rPr>
          <w:color w:val="auto"/>
        </w:rPr>
        <w:t xml:space="preserve"> of </w:t>
      </w:r>
      <w:r w:rsidR="006B0DE6" w:rsidRPr="00B2793B">
        <w:rPr>
          <w:color w:val="auto"/>
        </w:rPr>
        <w:t>Table</w:t>
      </w:r>
      <w:r w:rsidR="00D33706">
        <w:rPr>
          <w:color w:val="auto"/>
        </w:rPr>
        <w:t> </w:t>
      </w:r>
      <w:r w:rsidR="00B2793B" w:rsidRPr="00B2793B">
        <w:rPr>
          <w:color w:val="auto"/>
        </w:rPr>
        <w:t>1</w:t>
      </w:r>
      <w:r w:rsidR="006B0DE6" w:rsidRPr="00B2793B">
        <w:rPr>
          <w:color w:val="auto"/>
        </w:rPr>
        <w:t xml:space="preserve">) </w:t>
      </w:r>
      <w:r w:rsidR="00125C4D">
        <w:rPr>
          <w:color w:val="auto"/>
        </w:rPr>
        <w:t>the</w:t>
      </w:r>
      <w:r w:rsidR="006B0DE6">
        <w:rPr>
          <w:color w:val="auto"/>
        </w:rPr>
        <w:t xml:space="preserve"> coefficient on productivity is negative and significant at the 1 per cent level, suggesting that on average over the sample period, less productive firms</w:t>
      </w:r>
      <w:r w:rsidR="006F719E">
        <w:rPr>
          <w:color w:val="auto"/>
        </w:rPr>
        <w:t xml:space="preserve"> </w:t>
      </w:r>
      <w:r w:rsidR="006B0DE6">
        <w:rPr>
          <w:color w:val="auto"/>
        </w:rPr>
        <w:t>are more likely to exit the market</w:t>
      </w:r>
      <w:r w:rsidR="006F719E">
        <w:rPr>
          <w:color w:val="auto"/>
        </w:rPr>
        <w:t xml:space="preserve"> in the following year</w:t>
      </w:r>
      <w:r w:rsidR="006B0DE6">
        <w:rPr>
          <w:color w:val="auto"/>
        </w:rPr>
        <w:t>.</w:t>
      </w:r>
      <w:r w:rsidR="006F719E">
        <w:rPr>
          <w:color w:val="auto"/>
        </w:rPr>
        <w:t xml:space="preserve"> Indeed, additional analysis </w:t>
      </w:r>
      <w:r w:rsidR="00DD3822">
        <w:rPr>
          <w:color w:val="auto"/>
        </w:rPr>
        <w:t xml:space="preserve">in </w:t>
      </w:r>
      <w:r w:rsidR="00180D4D">
        <w:rPr>
          <w:color w:val="auto"/>
        </w:rPr>
        <w:t xml:space="preserve">Figure </w:t>
      </w:r>
      <w:r w:rsidR="00180D4D" w:rsidRPr="00F041CA">
        <w:rPr>
          <w:color w:val="auto"/>
        </w:rPr>
        <w:t>B</w:t>
      </w:r>
      <w:r w:rsidR="008E781D">
        <w:rPr>
          <w:color w:val="auto"/>
        </w:rPr>
        <w:t>2</w:t>
      </w:r>
      <w:r w:rsidR="00180D4D" w:rsidRPr="00F041CA">
        <w:rPr>
          <w:color w:val="auto"/>
        </w:rPr>
        <w:t xml:space="preserve"> of </w:t>
      </w:r>
      <w:r w:rsidR="00DD3822" w:rsidRPr="00F041CA">
        <w:rPr>
          <w:color w:val="auto"/>
        </w:rPr>
        <w:t>Appendix B</w:t>
      </w:r>
      <w:r w:rsidR="00DD3822">
        <w:rPr>
          <w:color w:val="auto"/>
        </w:rPr>
        <w:t xml:space="preserve"> </w:t>
      </w:r>
      <w:r w:rsidR="006F719E">
        <w:rPr>
          <w:color w:val="auto"/>
        </w:rPr>
        <w:t xml:space="preserve">shows that </w:t>
      </w:r>
      <w:r w:rsidR="006F719E" w:rsidRPr="00DC50A4">
        <w:t>that the typical exiting firm is less productive relative to survivors up to 10 years prior to exit</w:t>
      </w:r>
      <w:r w:rsidR="00125C4D">
        <w:t>, with this gap tending to grow</w:t>
      </w:r>
      <w:r w:rsidR="006F719E" w:rsidRPr="00DC50A4">
        <w:t xml:space="preserve"> </w:t>
      </w:r>
      <w:r w:rsidR="00547371">
        <w:t>up until the point at which the firm</w:t>
      </w:r>
      <w:r w:rsidR="006F719E" w:rsidRPr="00DC50A4">
        <w:t xml:space="preserve"> ceases operation</w:t>
      </w:r>
      <w:r w:rsidR="006F719E">
        <w:t xml:space="preserve"> – a pattern labelled the </w:t>
      </w:r>
      <w:r w:rsidR="006F719E" w:rsidRPr="00DC50A4">
        <w:t>label</w:t>
      </w:r>
      <w:r w:rsidR="006F719E">
        <w:t>led</w:t>
      </w:r>
      <w:r w:rsidR="006F719E" w:rsidRPr="00DC50A4">
        <w:t xml:space="preserve"> </w:t>
      </w:r>
      <w:r w:rsidR="00D33706">
        <w:t>the ‘</w:t>
      </w:r>
      <w:r w:rsidR="006F719E" w:rsidRPr="00DC50A4">
        <w:t>shadow of death</w:t>
      </w:r>
      <w:r w:rsidR="00D33706">
        <w:t>’</w:t>
      </w:r>
      <w:r w:rsidR="006F719E">
        <w:t xml:space="preserve"> by</w:t>
      </w:r>
      <w:r w:rsidR="006F719E" w:rsidRPr="00DC50A4">
        <w:t xml:space="preserve"> Griliches and Regev (1995)</w:t>
      </w:r>
      <w:r w:rsidR="006F719E">
        <w:t>.</w:t>
      </w:r>
      <w:r w:rsidR="00074743">
        <w:rPr>
          <w:rStyle w:val="FootnoteReference"/>
        </w:rPr>
        <w:footnoteReference w:id="19"/>
      </w:r>
      <w:r w:rsidR="006F719E">
        <w:t xml:space="preserve"> </w:t>
      </w:r>
    </w:p>
    <w:p w14:paraId="3A786AF8" w14:textId="77777777" w:rsidR="001E4A20" w:rsidRPr="001E4A20" w:rsidRDefault="00C618F9" w:rsidP="001E4A20">
      <w:pPr>
        <w:pStyle w:val="TableMainHeading"/>
        <w:jc w:val="center"/>
      </w:pPr>
      <w:r w:rsidRPr="001E4A20">
        <w:t>Table 1: The Effect of Lagged Productivity on Firm-Level Employment Growth</w:t>
      </w:r>
      <w:r w:rsidR="005F5B1A" w:rsidRPr="001E4A20">
        <w:t xml:space="preserve"> and Survival</w:t>
      </w:r>
      <w:r w:rsidR="001E4A20" w:rsidRPr="001E4A20">
        <w:rPr>
          <w:noProof/>
        </w:rPr>
        <w:drawing>
          <wp:inline distT="0" distB="0" distL="0" distR="0" wp14:anchorId="754859E4" wp14:editId="73AD8952">
            <wp:extent cx="5575300" cy="25527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75300" cy="2552700"/>
                    </a:xfrm>
                    <a:prstGeom prst="rect">
                      <a:avLst/>
                    </a:prstGeom>
                    <a:noFill/>
                    <a:ln>
                      <a:noFill/>
                    </a:ln>
                  </pic:spPr>
                </pic:pic>
              </a:graphicData>
            </a:graphic>
          </wp:inline>
        </w:drawing>
      </w:r>
    </w:p>
    <w:p w14:paraId="38AC80D7" w14:textId="77777777" w:rsidR="008806D8" w:rsidRDefault="008806D8" w:rsidP="00FB1737">
      <w:pPr>
        <w:pStyle w:val="ChartorTableNote"/>
        <w:rPr>
          <w:sz w:val="20"/>
        </w:rPr>
      </w:pPr>
      <w:r w:rsidRPr="00275F6A">
        <w:rPr>
          <w:color w:val="auto"/>
        </w:rPr>
        <w:t xml:space="preserve">Note:  </w:t>
      </w:r>
      <w:r w:rsidRPr="00275F6A">
        <w:t xml:space="preserve">Sample encompasses 2002-2016 with one period sacrificed </w:t>
      </w:r>
      <w:r w:rsidR="00325F2D">
        <w:t>because the model uses two periods of data</w:t>
      </w:r>
      <w:r w:rsidRPr="00275F6A">
        <w:t>. Size dummies refer to the following number of full-time equivalent employees: 0-4, 5-19, 20-199, 200-499, and 500 plus</w:t>
      </w:r>
      <w:r w:rsidRPr="005C47F9">
        <w:rPr>
          <w:sz w:val="20"/>
        </w:rPr>
        <w:t>.</w:t>
      </w:r>
    </w:p>
    <w:p w14:paraId="4CD77C4A" w14:textId="77777777" w:rsidR="00FB1737" w:rsidRPr="00FB1737" w:rsidRDefault="00FB1737" w:rsidP="00FB1737">
      <w:pPr>
        <w:pStyle w:val="SingleParagraph"/>
        <w:rPr>
          <w:lang w:eastAsia="en-AU"/>
        </w:rPr>
      </w:pPr>
    </w:p>
    <w:p w14:paraId="01C807F7" w14:textId="77777777" w:rsidR="00CB2CE1" w:rsidRDefault="00CB2CE1" w:rsidP="00CB2CE1">
      <w:pPr>
        <w:jc w:val="both"/>
        <w:rPr>
          <w:color w:val="auto"/>
        </w:rPr>
      </w:pPr>
      <w:r>
        <w:rPr>
          <w:color w:val="auto"/>
        </w:rPr>
        <w:t>Overall, t</w:t>
      </w:r>
      <w:r w:rsidRPr="00802352">
        <w:rPr>
          <w:color w:val="auto"/>
        </w:rPr>
        <w:t xml:space="preserve">he significant </w:t>
      </w:r>
      <w:r>
        <w:rPr>
          <w:color w:val="auto"/>
        </w:rPr>
        <w:t>firm</w:t>
      </w:r>
      <w:r w:rsidRPr="00802352">
        <w:rPr>
          <w:color w:val="auto"/>
        </w:rPr>
        <w:t xml:space="preserve">-level relationship of productivity with </w:t>
      </w:r>
      <w:r>
        <w:rPr>
          <w:color w:val="auto"/>
        </w:rPr>
        <w:t xml:space="preserve">employment </w:t>
      </w:r>
      <w:r w:rsidRPr="00802352">
        <w:rPr>
          <w:color w:val="auto"/>
        </w:rPr>
        <w:t>growth and exit implies</w:t>
      </w:r>
      <w:r>
        <w:rPr>
          <w:color w:val="auto"/>
        </w:rPr>
        <w:t xml:space="preserve"> that – on average – resources are flowing in the right direction over time</w:t>
      </w:r>
      <w:r w:rsidRPr="00802352">
        <w:rPr>
          <w:color w:val="auto"/>
        </w:rPr>
        <w:t xml:space="preserve"> a</w:t>
      </w:r>
      <w:r>
        <w:rPr>
          <w:color w:val="auto"/>
        </w:rPr>
        <w:t xml:space="preserve">nd thus </w:t>
      </w:r>
      <w:r w:rsidR="00547371">
        <w:rPr>
          <w:color w:val="auto"/>
        </w:rPr>
        <w:t xml:space="preserve">there is a </w:t>
      </w:r>
      <w:r w:rsidRPr="00802352">
        <w:rPr>
          <w:color w:val="auto"/>
        </w:rPr>
        <w:t>positive contribution of reallocation to aggregate productivity growth.</w:t>
      </w:r>
      <w:r>
        <w:rPr>
          <w:color w:val="auto"/>
        </w:rPr>
        <w:t xml:space="preserve"> Columns 3 and 7 show that this is especially the case </w:t>
      </w:r>
      <w:r>
        <w:rPr>
          <w:color w:val="auto"/>
        </w:rPr>
        <w:lastRenderedPageBreak/>
        <w:t>in more trade exposed parts of the economy such as manufacturing (see al</w:t>
      </w:r>
      <w:r w:rsidR="008E781D">
        <w:rPr>
          <w:color w:val="auto"/>
        </w:rPr>
        <w:t>so Figure B3</w:t>
      </w:r>
      <w:r>
        <w:rPr>
          <w:color w:val="auto"/>
        </w:rPr>
        <w:t xml:space="preserve"> of Appendix B), consistent with estimates </w:t>
      </w:r>
      <w:r w:rsidR="00547371">
        <w:rPr>
          <w:color w:val="auto"/>
        </w:rPr>
        <w:t xml:space="preserve">of </w:t>
      </w:r>
      <w:r>
        <w:rPr>
          <w:color w:val="auto"/>
        </w:rPr>
        <w:t>static allocative efficiency in Section 4.</w:t>
      </w:r>
    </w:p>
    <w:p w14:paraId="71E6437A" w14:textId="77777777" w:rsidR="006B0DE6" w:rsidRPr="00A1496B" w:rsidRDefault="006B0DE6" w:rsidP="00E22678">
      <w:pPr>
        <w:pStyle w:val="Heading3"/>
      </w:pPr>
      <w:r w:rsidRPr="00A1496B">
        <w:t>5.3 The changing nature of reallocation</w:t>
      </w:r>
    </w:p>
    <w:p w14:paraId="29B79ABB" w14:textId="77777777" w:rsidR="006B0DE6" w:rsidRDefault="00246743" w:rsidP="006B0DE6">
      <w:pPr>
        <w:jc w:val="both"/>
        <w:rPr>
          <w:color w:val="auto"/>
        </w:rPr>
      </w:pPr>
      <w:r>
        <w:rPr>
          <w:color w:val="auto"/>
        </w:rPr>
        <w:t xml:space="preserve">The </w:t>
      </w:r>
      <w:r w:rsidR="00BC1337">
        <w:rPr>
          <w:color w:val="auto"/>
        </w:rPr>
        <w:t xml:space="preserve">even numbered </w:t>
      </w:r>
      <w:r>
        <w:rPr>
          <w:color w:val="auto"/>
        </w:rPr>
        <w:t>columns</w:t>
      </w:r>
      <w:r w:rsidR="004818E2">
        <w:rPr>
          <w:color w:val="auto"/>
        </w:rPr>
        <w:t xml:space="preserve"> of Table 1</w:t>
      </w:r>
      <w:r>
        <w:rPr>
          <w:color w:val="auto"/>
        </w:rPr>
        <w:t xml:space="preserve"> explore how this relationship has changed over time. </w:t>
      </w:r>
      <w:r w:rsidR="00BC1337">
        <w:rPr>
          <w:color w:val="auto"/>
        </w:rPr>
        <w:t xml:space="preserve">For example, </w:t>
      </w:r>
      <w:r>
        <w:rPr>
          <w:color w:val="auto"/>
        </w:rPr>
        <w:t>the positive coefficient on Prod*Trend coupled with a negative coefficient on Prod*Trend</w:t>
      </w:r>
      <w:r w:rsidRPr="00761976">
        <w:rPr>
          <w:color w:val="auto"/>
          <w:vertAlign w:val="superscript"/>
        </w:rPr>
        <w:t>2</w:t>
      </w:r>
      <w:r>
        <w:rPr>
          <w:color w:val="auto"/>
        </w:rPr>
        <w:t xml:space="preserve"> </w:t>
      </w:r>
      <w:r w:rsidR="005320D6">
        <w:rPr>
          <w:color w:val="auto"/>
        </w:rPr>
        <w:t xml:space="preserve">in Column </w:t>
      </w:r>
      <w:r w:rsidR="00AA5D97">
        <w:rPr>
          <w:color w:val="auto"/>
        </w:rPr>
        <w:t>2</w:t>
      </w:r>
      <w:r w:rsidR="005320D6">
        <w:rPr>
          <w:color w:val="auto"/>
        </w:rPr>
        <w:t xml:space="preserve"> </w:t>
      </w:r>
      <w:r>
        <w:rPr>
          <w:color w:val="auto"/>
        </w:rPr>
        <w:t>suggest</w:t>
      </w:r>
      <w:r w:rsidR="005320D6">
        <w:rPr>
          <w:color w:val="auto"/>
        </w:rPr>
        <w:t>s</w:t>
      </w:r>
      <w:r>
        <w:rPr>
          <w:color w:val="auto"/>
        </w:rPr>
        <w:t xml:space="preserve"> that the efficiency of labour reallocation initially rises before declining later in the sample period. This time-varying non-linear pattern is also</w:t>
      </w:r>
      <w:r w:rsidR="005F5731">
        <w:rPr>
          <w:color w:val="auto"/>
        </w:rPr>
        <w:t xml:space="preserve"> generally</w:t>
      </w:r>
      <w:r>
        <w:rPr>
          <w:color w:val="auto"/>
        </w:rPr>
        <w:t xml:space="preserve"> evident within firm age categories (</w:t>
      </w:r>
      <w:r w:rsidR="008B17FC" w:rsidRPr="00BC1337">
        <w:rPr>
          <w:color w:val="auto"/>
        </w:rPr>
        <w:t>see Table B</w:t>
      </w:r>
      <w:r w:rsidR="00BC1337" w:rsidRPr="00BC1337">
        <w:rPr>
          <w:color w:val="auto"/>
        </w:rPr>
        <w:t>2</w:t>
      </w:r>
      <w:r w:rsidR="008B17FC" w:rsidRPr="00BC1337">
        <w:rPr>
          <w:color w:val="auto"/>
        </w:rPr>
        <w:t xml:space="preserve"> of Appendix</w:t>
      </w:r>
      <w:r w:rsidR="008B17FC">
        <w:rPr>
          <w:color w:val="auto"/>
        </w:rPr>
        <w:t xml:space="preserve"> B</w:t>
      </w:r>
      <w:r>
        <w:rPr>
          <w:color w:val="auto"/>
        </w:rPr>
        <w:t>).</w:t>
      </w:r>
      <w:r w:rsidR="006B0DE6">
        <w:rPr>
          <w:color w:val="auto"/>
        </w:rPr>
        <w:t xml:space="preserve"> </w:t>
      </w:r>
    </w:p>
    <w:p w14:paraId="03B7C8A3" w14:textId="77777777" w:rsidR="002B4B1D" w:rsidRDefault="005734BD" w:rsidP="002B4B1D">
      <w:pPr>
        <w:jc w:val="both"/>
        <w:rPr>
          <w:color w:val="auto"/>
        </w:rPr>
      </w:pPr>
      <w:r w:rsidRPr="00DC45A4">
        <w:rPr>
          <w:color w:val="auto"/>
        </w:rPr>
        <w:t>W</w:t>
      </w:r>
      <w:r w:rsidR="003427FE" w:rsidRPr="00DC45A4">
        <w:rPr>
          <w:color w:val="auto"/>
        </w:rPr>
        <w:t xml:space="preserve">e </w:t>
      </w:r>
      <w:r w:rsidR="00246743" w:rsidRPr="00DC45A4">
        <w:rPr>
          <w:color w:val="auto"/>
        </w:rPr>
        <w:t>use the estimated coefficients in Column</w:t>
      </w:r>
      <w:r w:rsidR="00DC45A4" w:rsidRPr="00DC45A4">
        <w:rPr>
          <w:color w:val="auto"/>
        </w:rPr>
        <w:t>s</w:t>
      </w:r>
      <w:r w:rsidR="00246743" w:rsidRPr="00DC45A4">
        <w:rPr>
          <w:color w:val="auto"/>
        </w:rPr>
        <w:t xml:space="preserve"> </w:t>
      </w:r>
      <w:r w:rsidR="00DC45A4" w:rsidRPr="00DC45A4">
        <w:rPr>
          <w:color w:val="auto"/>
        </w:rPr>
        <w:t>2 and 6</w:t>
      </w:r>
      <w:r w:rsidR="00246743" w:rsidRPr="00DC45A4">
        <w:rPr>
          <w:color w:val="auto"/>
        </w:rPr>
        <w:t xml:space="preserve"> to illustrate</w:t>
      </w:r>
      <w:r w:rsidR="00D33706">
        <w:rPr>
          <w:color w:val="auto"/>
        </w:rPr>
        <w:t xml:space="preserve"> how the nature of productivity</w:t>
      </w:r>
      <w:r w:rsidR="00D33706">
        <w:rPr>
          <w:color w:val="auto"/>
        </w:rPr>
        <w:noBreakHyphen/>
      </w:r>
      <w:r w:rsidR="00246743">
        <w:rPr>
          <w:color w:val="auto"/>
        </w:rPr>
        <w:t xml:space="preserve">enhancing labour reallocation </w:t>
      </w:r>
      <w:r w:rsidR="00341269">
        <w:rPr>
          <w:color w:val="auto"/>
        </w:rPr>
        <w:t>has</w:t>
      </w:r>
      <w:r w:rsidR="00985DD5">
        <w:rPr>
          <w:color w:val="auto"/>
        </w:rPr>
        <w:t xml:space="preserve"> </w:t>
      </w:r>
      <w:r w:rsidR="00246743">
        <w:rPr>
          <w:color w:val="auto"/>
        </w:rPr>
        <w:t xml:space="preserve">changed over </w:t>
      </w:r>
      <w:r w:rsidR="003427FE">
        <w:rPr>
          <w:color w:val="auto"/>
        </w:rPr>
        <w:t>time</w:t>
      </w:r>
      <w:r w:rsidR="00246743">
        <w:rPr>
          <w:color w:val="auto"/>
        </w:rPr>
        <w:t>. Since LP is expressed as a deviation from the industry-year mean, we calculate the difference in employment growth</w:t>
      </w:r>
      <w:r>
        <w:rPr>
          <w:color w:val="auto"/>
        </w:rPr>
        <w:t xml:space="preserve"> (and exit probability)</w:t>
      </w:r>
      <w:r w:rsidR="00246743">
        <w:rPr>
          <w:color w:val="auto"/>
        </w:rPr>
        <w:t xml:space="preserve"> between a </w:t>
      </w:r>
      <w:r w:rsidR="000C79C6">
        <w:rPr>
          <w:color w:val="auto"/>
        </w:rPr>
        <w:t>high-</w:t>
      </w:r>
      <w:r w:rsidR="00D33706">
        <w:rPr>
          <w:color w:val="auto"/>
        </w:rPr>
        <w:t>productivity firm – that is,</w:t>
      </w:r>
      <w:r w:rsidR="00246743">
        <w:rPr>
          <w:color w:val="auto"/>
        </w:rPr>
        <w:t xml:space="preserve"> a firm one standard deviation above the industry mean – and a </w:t>
      </w:r>
      <w:r w:rsidR="000C79C6">
        <w:rPr>
          <w:color w:val="auto"/>
        </w:rPr>
        <w:t>low-</w:t>
      </w:r>
      <w:r w:rsidR="00D33706">
        <w:rPr>
          <w:color w:val="auto"/>
        </w:rPr>
        <w:t>productivity firm – that is,</w:t>
      </w:r>
      <w:r w:rsidR="00246743">
        <w:rPr>
          <w:color w:val="auto"/>
        </w:rPr>
        <w:t xml:space="preserve"> a firm one standard deviation below the mean. As is typical in the literature and for simplicity, we fix the standard deviation at its value over the entire sample (of 0.</w:t>
      </w:r>
      <w:r w:rsidR="005F5731">
        <w:rPr>
          <w:color w:val="auto"/>
        </w:rPr>
        <w:t>86</w:t>
      </w:r>
      <w:r w:rsidR="00246743">
        <w:rPr>
          <w:color w:val="auto"/>
        </w:rPr>
        <w:t xml:space="preserve">) and </w:t>
      </w:r>
      <w:r w:rsidR="00246743" w:rsidRPr="00931A0D">
        <w:rPr>
          <w:color w:val="auto"/>
        </w:rPr>
        <w:t>then multiply the total regression coefficient for each year by two standard deviations.</w:t>
      </w:r>
      <w:r>
        <w:rPr>
          <w:color w:val="auto"/>
        </w:rPr>
        <w:t xml:space="preserve"> Figure </w:t>
      </w:r>
      <w:r w:rsidR="00694443">
        <w:rPr>
          <w:color w:val="auto"/>
        </w:rPr>
        <w:t>6</w:t>
      </w:r>
      <w:r w:rsidR="00D575CC">
        <w:rPr>
          <w:color w:val="auto"/>
        </w:rPr>
        <w:t xml:space="preserve"> (Panel A)</w:t>
      </w:r>
      <w:r>
        <w:rPr>
          <w:color w:val="auto"/>
        </w:rPr>
        <w:t xml:space="preserve"> shows </w:t>
      </w:r>
      <w:r w:rsidR="00985DD5">
        <w:rPr>
          <w:color w:val="auto"/>
        </w:rPr>
        <w:t>that the</w:t>
      </w:r>
      <w:r w:rsidR="00985DD5" w:rsidRPr="00CA030D">
        <w:rPr>
          <w:color w:val="auto"/>
        </w:rPr>
        <w:t xml:space="preserve"> implied difference in employment growth between a </w:t>
      </w:r>
      <w:r w:rsidR="00985DD5">
        <w:rPr>
          <w:color w:val="auto"/>
        </w:rPr>
        <w:t xml:space="preserve">high and </w:t>
      </w:r>
      <w:r w:rsidR="000C79C6">
        <w:rPr>
          <w:color w:val="auto"/>
        </w:rPr>
        <w:t>low-</w:t>
      </w:r>
      <w:r w:rsidR="00985DD5">
        <w:rPr>
          <w:color w:val="auto"/>
        </w:rPr>
        <w:t xml:space="preserve">productivity firm </w:t>
      </w:r>
      <w:r w:rsidR="00985DD5" w:rsidRPr="00CA030D">
        <w:rPr>
          <w:color w:val="auto"/>
        </w:rPr>
        <w:t xml:space="preserve">declined by </w:t>
      </w:r>
      <w:r w:rsidR="005F5731">
        <w:rPr>
          <w:color w:val="auto"/>
        </w:rPr>
        <w:t>over 2</w:t>
      </w:r>
      <w:r w:rsidR="00547371">
        <w:rPr>
          <w:color w:val="auto"/>
        </w:rPr>
        <w:t xml:space="preserve"> percent</w:t>
      </w:r>
      <w:r w:rsidR="000C79C6">
        <w:rPr>
          <w:color w:val="auto"/>
        </w:rPr>
        <w:t>age points</w:t>
      </w:r>
      <w:r w:rsidR="00547371" w:rsidRPr="00C618F9">
        <w:rPr>
          <w:color w:val="auto"/>
        </w:rPr>
        <w:t xml:space="preserve"> </w:t>
      </w:r>
      <w:r w:rsidR="00985DD5" w:rsidRPr="00C618F9">
        <w:rPr>
          <w:color w:val="auto"/>
        </w:rPr>
        <w:t xml:space="preserve">between 2003 and 2016. </w:t>
      </w:r>
      <w:r w:rsidR="002B4B1D">
        <w:rPr>
          <w:color w:val="auto"/>
        </w:rPr>
        <w:t>Digging deeper, over the first f</w:t>
      </w:r>
      <w:r w:rsidR="00D575CC">
        <w:rPr>
          <w:color w:val="auto"/>
        </w:rPr>
        <w:t>ew</w:t>
      </w:r>
      <w:r w:rsidR="002B4B1D">
        <w:rPr>
          <w:color w:val="auto"/>
        </w:rPr>
        <w:t xml:space="preserve"> years of the sample, </w:t>
      </w:r>
      <w:r w:rsidR="002B4B1D" w:rsidRPr="00015308">
        <w:rPr>
          <w:color w:val="auto"/>
        </w:rPr>
        <w:t>th</w:t>
      </w:r>
      <w:r w:rsidR="002B4B1D">
        <w:rPr>
          <w:color w:val="auto"/>
        </w:rPr>
        <w:t>e</w:t>
      </w:r>
      <w:r w:rsidR="002B4B1D" w:rsidRPr="00F62908">
        <w:rPr>
          <w:color w:val="auto"/>
        </w:rPr>
        <w:t xml:space="preserve"> employment growth differential between </w:t>
      </w:r>
      <w:r w:rsidR="002B4B1D">
        <w:rPr>
          <w:color w:val="auto"/>
        </w:rPr>
        <w:t xml:space="preserve">a </w:t>
      </w:r>
      <w:r w:rsidR="002B4B1D" w:rsidRPr="00931A0D">
        <w:rPr>
          <w:color w:val="auto"/>
        </w:rPr>
        <w:t xml:space="preserve">high and low productivity firm rises slightly </w:t>
      </w:r>
      <w:r w:rsidR="002B4B1D">
        <w:rPr>
          <w:color w:val="auto"/>
        </w:rPr>
        <w:t xml:space="preserve">but then declines from around 2010 to reach around </w:t>
      </w:r>
      <w:r w:rsidR="005F5731">
        <w:rPr>
          <w:color w:val="auto"/>
        </w:rPr>
        <w:t>7</w:t>
      </w:r>
      <w:r w:rsidR="002B4B1D">
        <w:rPr>
          <w:color w:val="auto"/>
        </w:rPr>
        <w:t xml:space="preserve"> percent</w:t>
      </w:r>
      <w:r w:rsidR="000C79C6">
        <w:rPr>
          <w:color w:val="auto"/>
        </w:rPr>
        <w:t>age points</w:t>
      </w:r>
      <w:r w:rsidR="002B4B1D">
        <w:rPr>
          <w:color w:val="auto"/>
        </w:rPr>
        <w:t xml:space="preserve"> by </w:t>
      </w:r>
      <w:r w:rsidR="002B4B1D" w:rsidRPr="00931A0D">
        <w:rPr>
          <w:color w:val="auto"/>
        </w:rPr>
        <w:t xml:space="preserve">2016. </w:t>
      </w:r>
    </w:p>
    <w:p w14:paraId="3C98BA61" w14:textId="77777777" w:rsidR="00960F92" w:rsidRPr="00B14EF4" w:rsidRDefault="00960F92" w:rsidP="00FB1737">
      <w:pPr>
        <w:pStyle w:val="FigureHeading"/>
      </w:pPr>
      <w:r w:rsidRPr="00B14EF4">
        <w:lastRenderedPageBreak/>
        <w:t xml:space="preserve">Figure </w:t>
      </w:r>
      <w:r w:rsidR="00694443">
        <w:t>6</w:t>
      </w:r>
      <w:r w:rsidRPr="00B14EF4">
        <w:t xml:space="preserve">: </w:t>
      </w:r>
      <w:r w:rsidRPr="00960F92">
        <w:t>Reallocation and market selection has weakened</w:t>
      </w:r>
    </w:p>
    <w:p w14:paraId="4A32F8AC" w14:textId="77777777" w:rsidR="00960F92" w:rsidRDefault="00EA7198" w:rsidP="00241571">
      <w:pPr>
        <w:pStyle w:val="Figuregraphic"/>
        <w:rPr>
          <w:highlight w:val="yellow"/>
        </w:rPr>
      </w:pPr>
      <w:r>
        <w:rPr>
          <w:noProof/>
          <w:lang w:eastAsia="en-AU"/>
        </w:rPr>
        <mc:AlternateContent>
          <mc:Choice Requires="wps">
            <w:drawing>
              <wp:anchor distT="0" distB="0" distL="114300" distR="114300" simplePos="0" relativeHeight="251658240" behindDoc="0" locked="0" layoutInCell="1" allowOverlap="1" wp14:anchorId="6379F49D" wp14:editId="58AA258B">
                <wp:simplePos x="0" y="0"/>
                <wp:positionH relativeFrom="column">
                  <wp:posOffset>2099310</wp:posOffset>
                </wp:positionH>
                <wp:positionV relativeFrom="paragraph">
                  <wp:posOffset>233045</wp:posOffset>
                </wp:positionV>
                <wp:extent cx="9524" cy="2276474"/>
                <wp:effectExtent l="0" t="0" r="29210" b="10160"/>
                <wp:wrapNone/>
                <wp:docPr id="8" name="Straight Connector 7"/>
                <wp:cNvGraphicFramePr/>
                <a:graphic xmlns:a="http://schemas.openxmlformats.org/drawingml/2006/main">
                  <a:graphicData uri="http://schemas.microsoft.com/office/word/2010/wordprocessingShape">
                    <wps:wsp>
                      <wps:cNvCnPr/>
                      <wps:spPr>
                        <a:xfrm flipH="1" flipV="1">
                          <a:off x="0" y="0"/>
                          <a:ext cx="9524" cy="2276474"/>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E7E83" id="Straight Connector 7" o:spid="_x0000_s1026" style="position:absolute;flip:x y;z-index:251658240;visibility:visible;mso-wrap-style:square;mso-wrap-distance-left:9pt;mso-wrap-distance-top:0;mso-wrap-distance-right:9pt;mso-wrap-distance-bottom:0;mso-position-horizontal:absolute;mso-position-horizontal-relative:text;mso-position-vertical:absolute;mso-position-vertical-relative:text" from="165.3pt,18.35pt" to="166.05pt,1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" strokecolor="#7f7f7f [1612]" strokeweight="1pt"/>
            </w:pict>
          </mc:Fallback>
        </mc:AlternateContent>
      </w:r>
      <w:r>
        <w:rPr>
          <w:noProof/>
          <w:lang w:eastAsia="en-AU"/>
        </w:rPr>
        <w:drawing>
          <wp:inline distT="0" distB="0" distL="0" distR="0" wp14:anchorId="126F1EAA" wp14:editId="4BF81914">
            <wp:extent cx="5579745" cy="3124863"/>
            <wp:effectExtent l="0" t="0" r="190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07ACBBB" w14:textId="77777777" w:rsidR="00DC266F" w:rsidRDefault="00960F92" w:rsidP="00FB1737">
      <w:pPr>
        <w:pStyle w:val="ChartorTableNote"/>
      </w:pPr>
      <w:r w:rsidRPr="007B113C">
        <w:t xml:space="preserve">Note:  </w:t>
      </w:r>
      <w:r w:rsidR="00D575CC" w:rsidRPr="007B113C">
        <w:t>Panel A shows the implied difference in employment growth between a h</w:t>
      </w:r>
      <w:r w:rsidRPr="007B113C">
        <w:t xml:space="preserve">igh productivity firm </w:t>
      </w:r>
      <w:r w:rsidR="00D33706">
        <w:t>(that is,</w:t>
      </w:r>
      <w:r w:rsidR="00D575CC" w:rsidRPr="007B113C">
        <w:t xml:space="preserve"> one with labour productivity </w:t>
      </w:r>
      <w:r w:rsidR="007B113C" w:rsidRPr="007B113C">
        <w:t>one</w:t>
      </w:r>
      <w:r w:rsidRPr="007B113C">
        <w:t xml:space="preserve"> st</w:t>
      </w:r>
      <w:r w:rsidR="00D575CC" w:rsidRPr="007B113C">
        <w:t>andard</w:t>
      </w:r>
      <w:r w:rsidRPr="007B113C">
        <w:t xml:space="preserve"> dev</w:t>
      </w:r>
      <w:r w:rsidR="00D575CC" w:rsidRPr="007B113C">
        <w:t>iation</w:t>
      </w:r>
      <w:r w:rsidRPr="007B113C">
        <w:t xml:space="preserve"> above </w:t>
      </w:r>
      <w:r w:rsidR="00D575CC" w:rsidRPr="007B113C">
        <w:t xml:space="preserve">the </w:t>
      </w:r>
      <w:r w:rsidRPr="007B113C">
        <w:t xml:space="preserve">industry </w:t>
      </w:r>
      <w:r w:rsidR="00D575CC" w:rsidRPr="007B113C">
        <w:t xml:space="preserve">labour productivity </w:t>
      </w:r>
      <w:r w:rsidRPr="007B113C">
        <w:t>mean</w:t>
      </w:r>
      <w:r w:rsidR="007B113C" w:rsidRPr="007B113C">
        <w:t>) a</w:t>
      </w:r>
      <w:r w:rsidR="00D33706">
        <w:t>nd a low productivity firm (that is,</w:t>
      </w:r>
      <w:r w:rsidR="007B113C" w:rsidRPr="007B113C">
        <w:t xml:space="preserve"> one with labour productivity one standard deviation below the industry labour productivity mean) based on the estimated coefficients in Table 1. Panel B shows the implied difference in exit probability between a low productivity firm and a high productivity firm, based on the estimated </w:t>
      </w:r>
      <w:r w:rsidR="007B113C" w:rsidRPr="005F5731">
        <w:t>coefficients in Table B</w:t>
      </w:r>
      <w:r w:rsidR="0077230A" w:rsidRPr="005F5731">
        <w:t>3</w:t>
      </w:r>
      <w:r w:rsidR="007B113C" w:rsidRPr="005F5731">
        <w:t>.</w:t>
      </w:r>
    </w:p>
    <w:p w14:paraId="21E69855" w14:textId="77777777" w:rsidR="00FB1737" w:rsidRPr="00FB1737" w:rsidRDefault="00FB1737" w:rsidP="00FB1737">
      <w:pPr>
        <w:pStyle w:val="SingleParagraph"/>
        <w:rPr>
          <w:lang w:eastAsia="en-AU"/>
        </w:rPr>
      </w:pPr>
    </w:p>
    <w:p w14:paraId="266EAEBA" w14:textId="77777777" w:rsidR="005B594D" w:rsidRDefault="005B594D" w:rsidP="00241571">
      <w:pPr>
        <w:spacing w:before="240"/>
        <w:jc w:val="both"/>
        <w:rPr>
          <w:color w:val="auto"/>
        </w:rPr>
      </w:pPr>
      <w:r w:rsidRPr="001B1D18">
        <w:rPr>
          <w:color w:val="auto"/>
        </w:rPr>
        <w:t>Similar patterns emerge on the exit margin, with the strength of market selection – as proxied by the responsiveness of firm exit to productivity – weakening over time</w:t>
      </w:r>
      <w:r>
        <w:rPr>
          <w:color w:val="auto"/>
        </w:rPr>
        <w:t xml:space="preserve"> (see </w:t>
      </w:r>
      <w:r w:rsidRPr="00972087">
        <w:rPr>
          <w:color w:val="auto"/>
        </w:rPr>
        <w:t>Column 6 Table 1), although the</w:t>
      </w:r>
      <w:r>
        <w:rPr>
          <w:color w:val="auto"/>
        </w:rPr>
        <w:t xml:space="preserve"> time profile varies somewhat with firm age (</w:t>
      </w:r>
      <w:r w:rsidR="005320D4">
        <w:rPr>
          <w:color w:val="auto"/>
        </w:rPr>
        <w:t>s</w:t>
      </w:r>
      <w:r>
        <w:rPr>
          <w:color w:val="auto"/>
        </w:rPr>
        <w:t>ee Table B3)</w:t>
      </w:r>
      <w:r w:rsidRPr="001B1D18">
        <w:rPr>
          <w:color w:val="auto"/>
        </w:rPr>
        <w:t xml:space="preserve">. </w:t>
      </w:r>
      <w:r>
        <w:rPr>
          <w:color w:val="auto"/>
        </w:rPr>
        <w:t>The results suggest that</w:t>
      </w:r>
      <w:r w:rsidRPr="00C618F9">
        <w:rPr>
          <w:color w:val="auto"/>
        </w:rPr>
        <w:t xml:space="preserve"> low</w:t>
      </w:r>
      <w:r w:rsidR="00AC6323">
        <w:rPr>
          <w:color w:val="auto"/>
        </w:rPr>
        <w:t>-</w:t>
      </w:r>
      <w:r w:rsidRPr="00C618F9">
        <w:rPr>
          <w:color w:val="auto"/>
        </w:rPr>
        <w:t xml:space="preserve">productivity incumbent firms are increasingly likely to survive, with the difference in exit probability between low and high productivity incumbent </w:t>
      </w:r>
      <w:r w:rsidR="00D33706">
        <w:rPr>
          <w:color w:val="auto"/>
        </w:rPr>
        <w:t>(that is,</w:t>
      </w:r>
      <w:r w:rsidR="005320D4">
        <w:rPr>
          <w:color w:val="auto"/>
        </w:rPr>
        <w:t xml:space="preserve"> old) </w:t>
      </w:r>
      <w:r w:rsidRPr="00C618F9">
        <w:rPr>
          <w:color w:val="auto"/>
        </w:rPr>
        <w:t>firms falling by around 2</w:t>
      </w:r>
      <w:r w:rsidR="00547371">
        <w:rPr>
          <w:color w:val="auto"/>
        </w:rPr>
        <w:t xml:space="preserve"> percentage points</w:t>
      </w:r>
      <w:r w:rsidR="00547371" w:rsidRPr="00C618F9">
        <w:rPr>
          <w:color w:val="auto"/>
        </w:rPr>
        <w:t xml:space="preserve"> </w:t>
      </w:r>
      <w:r w:rsidRPr="00C618F9">
        <w:rPr>
          <w:color w:val="auto"/>
        </w:rPr>
        <w:t>over the sample period</w:t>
      </w:r>
      <w:r>
        <w:rPr>
          <w:color w:val="auto"/>
        </w:rPr>
        <w:t xml:space="preserve"> (Figure 6, Panel B)</w:t>
      </w:r>
      <w:r w:rsidRPr="001B1D18">
        <w:rPr>
          <w:color w:val="auto"/>
        </w:rPr>
        <w:t>. For young firms, exit selection initially intensifies before weakening in the second half of the sample</w:t>
      </w:r>
      <w:r w:rsidR="00547371">
        <w:rPr>
          <w:color w:val="auto"/>
        </w:rPr>
        <w:t>,</w:t>
      </w:r>
      <w:r w:rsidRPr="001B1D18">
        <w:rPr>
          <w:color w:val="auto"/>
        </w:rPr>
        <w:t xml:space="preserve"> but the overall change in the exit probability gap between 2003 and 2016 is </w:t>
      </w:r>
      <w:r w:rsidR="00D33706">
        <w:rPr>
          <w:color w:val="auto"/>
        </w:rPr>
        <w:t>more modest at around 1 per cent</w:t>
      </w:r>
      <w:r w:rsidRPr="001B1D18">
        <w:rPr>
          <w:color w:val="auto"/>
        </w:rPr>
        <w:t>.</w:t>
      </w:r>
    </w:p>
    <w:p w14:paraId="7F31D1BC" w14:textId="77777777" w:rsidR="00872E4A" w:rsidRDefault="002B4B1D" w:rsidP="00246743">
      <w:pPr>
        <w:jc w:val="both"/>
        <w:rPr>
          <w:color w:val="auto"/>
        </w:rPr>
      </w:pPr>
      <w:r>
        <w:rPr>
          <w:color w:val="auto"/>
        </w:rPr>
        <w:lastRenderedPageBreak/>
        <w:t>Overall</w:t>
      </w:r>
      <w:r w:rsidR="00246743" w:rsidRPr="00761976">
        <w:rPr>
          <w:color w:val="auto"/>
        </w:rPr>
        <w:t>, it became less likely that more productive firms expand and less productive firms contract (or exit) after 200</w:t>
      </w:r>
      <w:r w:rsidR="004466EE">
        <w:rPr>
          <w:color w:val="auto"/>
        </w:rPr>
        <w:t>9</w:t>
      </w:r>
      <w:r w:rsidR="00246743" w:rsidRPr="0072015B">
        <w:rPr>
          <w:color w:val="auto"/>
        </w:rPr>
        <w:t xml:space="preserve">, </w:t>
      </w:r>
      <w:r w:rsidR="00246743">
        <w:rPr>
          <w:color w:val="auto"/>
        </w:rPr>
        <w:t>suggesting that (within-industry)</w:t>
      </w:r>
      <w:r w:rsidR="00246743" w:rsidRPr="00931A0D">
        <w:rPr>
          <w:color w:val="auto"/>
        </w:rPr>
        <w:t xml:space="preserve"> labour r</w:t>
      </w:r>
      <w:r w:rsidR="00246743" w:rsidRPr="0072015B">
        <w:rPr>
          <w:color w:val="auto"/>
        </w:rPr>
        <w:t xml:space="preserve">eallocation </w:t>
      </w:r>
      <w:r w:rsidR="00246743">
        <w:rPr>
          <w:color w:val="auto"/>
        </w:rPr>
        <w:t>continued to contribute to</w:t>
      </w:r>
      <w:r w:rsidR="00246743" w:rsidRPr="00931A0D">
        <w:rPr>
          <w:color w:val="auto"/>
        </w:rPr>
        <w:t xml:space="preserve"> aggregate productivity growth</w:t>
      </w:r>
      <w:r w:rsidR="00246743">
        <w:rPr>
          <w:color w:val="auto"/>
        </w:rPr>
        <w:t xml:space="preserve"> but to a lesser extent than in the early-</w:t>
      </w:r>
      <w:r w:rsidR="00246743" w:rsidRPr="002B4B1D">
        <w:rPr>
          <w:color w:val="auto"/>
        </w:rPr>
        <w:t>to-mid 2000s.</w:t>
      </w:r>
      <w:r w:rsidRPr="002B4B1D">
        <w:rPr>
          <w:color w:val="auto"/>
        </w:rPr>
        <w:t xml:space="preserve"> </w:t>
      </w:r>
      <w:r w:rsidR="00E50AF1" w:rsidRPr="002B4B1D">
        <w:rPr>
          <w:color w:val="auto"/>
        </w:rPr>
        <w:t>Importantly,</w:t>
      </w:r>
      <w:r w:rsidR="00246743" w:rsidRPr="002B4B1D">
        <w:rPr>
          <w:color w:val="auto"/>
        </w:rPr>
        <w:t xml:space="preserve"> </w:t>
      </w:r>
      <w:r w:rsidR="00E50AF1" w:rsidRPr="002B4B1D">
        <w:rPr>
          <w:color w:val="auto"/>
        </w:rPr>
        <w:t>th</w:t>
      </w:r>
      <w:r w:rsidR="003F70F1">
        <w:rPr>
          <w:color w:val="auto"/>
        </w:rPr>
        <w:t>e coefficient estimates are virtually identical if we exclude Western Australia and Queensland – two states that were particularly affected by the mining boom – reinforcing the idea that cyclical factors are not driving the results.</w:t>
      </w:r>
    </w:p>
    <w:p w14:paraId="35481408" w14:textId="77777777" w:rsidR="00246743" w:rsidRDefault="0005354A" w:rsidP="00246743">
      <w:pPr>
        <w:jc w:val="both"/>
        <w:rPr>
          <w:color w:val="auto"/>
        </w:rPr>
      </w:pPr>
      <w:r>
        <w:rPr>
          <w:color w:val="auto"/>
        </w:rPr>
        <w:t>T</w:t>
      </w:r>
      <w:r w:rsidR="00297D43">
        <w:rPr>
          <w:color w:val="auto"/>
        </w:rPr>
        <w:t>he</w:t>
      </w:r>
      <w:r w:rsidR="00E50AF1" w:rsidRPr="002B4B1D">
        <w:rPr>
          <w:color w:val="auto"/>
        </w:rPr>
        <w:t xml:space="preserve"> reduced </w:t>
      </w:r>
      <w:r w:rsidR="004466EE" w:rsidRPr="002B4B1D">
        <w:rPr>
          <w:color w:val="auto"/>
        </w:rPr>
        <w:t xml:space="preserve">responsiveness of employment growth to firm productivity after 2009 </w:t>
      </w:r>
      <w:r w:rsidR="00E50AF1" w:rsidRPr="002B4B1D">
        <w:rPr>
          <w:color w:val="auto"/>
        </w:rPr>
        <w:t xml:space="preserve">is </w:t>
      </w:r>
      <w:r>
        <w:rPr>
          <w:color w:val="auto"/>
        </w:rPr>
        <w:t xml:space="preserve">also </w:t>
      </w:r>
      <w:r w:rsidR="00E50AF1" w:rsidRPr="002B4B1D">
        <w:rPr>
          <w:color w:val="auto"/>
        </w:rPr>
        <w:t xml:space="preserve">robust to </w:t>
      </w:r>
      <w:r w:rsidR="00985DD5" w:rsidRPr="002B4B1D">
        <w:rPr>
          <w:color w:val="auto"/>
        </w:rPr>
        <w:t>alternative</w:t>
      </w:r>
      <w:r w:rsidR="00E50AF1" w:rsidRPr="002B4B1D">
        <w:rPr>
          <w:color w:val="auto"/>
        </w:rPr>
        <w:t xml:space="preserve"> functional forms besides the quadratic time trend</w:t>
      </w:r>
      <w:r>
        <w:rPr>
          <w:color w:val="auto"/>
        </w:rPr>
        <w:t>, such as including</w:t>
      </w:r>
      <w:r w:rsidR="00EC230C" w:rsidRPr="002B4B1D">
        <w:rPr>
          <w:color w:val="auto"/>
        </w:rPr>
        <w:t xml:space="preserve"> an interaction term between firm productivity and a</w:t>
      </w:r>
      <w:r w:rsidR="00E50AF1" w:rsidRPr="002B4B1D">
        <w:rPr>
          <w:color w:val="auto"/>
        </w:rPr>
        <w:t xml:space="preserve"> dummy variable</w:t>
      </w:r>
      <w:r w:rsidR="00C70C65" w:rsidRPr="002B4B1D">
        <w:rPr>
          <w:color w:val="auto"/>
        </w:rPr>
        <w:t xml:space="preserve"> that takes the value of one in the post-2009 period</w:t>
      </w:r>
      <w:r w:rsidR="0024632F">
        <w:rPr>
          <w:color w:val="auto"/>
        </w:rPr>
        <w:t xml:space="preserve"> (</w:t>
      </w:r>
      <w:r w:rsidR="0024632F" w:rsidRPr="009D37C2">
        <w:rPr>
          <w:color w:val="auto"/>
        </w:rPr>
        <w:t xml:space="preserve">see </w:t>
      </w:r>
      <w:r w:rsidR="009D3E4A" w:rsidRPr="009D37C2">
        <w:rPr>
          <w:color w:val="auto"/>
        </w:rPr>
        <w:t>Table B</w:t>
      </w:r>
      <w:r w:rsidR="0077230A" w:rsidRPr="009D37C2">
        <w:rPr>
          <w:color w:val="auto"/>
        </w:rPr>
        <w:t>4</w:t>
      </w:r>
      <w:r w:rsidR="0024632F" w:rsidRPr="009D37C2">
        <w:rPr>
          <w:color w:val="auto"/>
        </w:rPr>
        <w:t xml:space="preserve"> of Appendix</w:t>
      </w:r>
      <w:r w:rsidR="009D3E4A" w:rsidRPr="009D37C2">
        <w:rPr>
          <w:color w:val="auto"/>
        </w:rPr>
        <w:t xml:space="preserve"> B</w:t>
      </w:r>
      <w:r w:rsidR="0024632F" w:rsidRPr="009D37C2">
        <w:rPr>
          <w:color w:val="auto"/>
        </w:rPr>
        <w:t>)</w:t>
      </w:r>
      <w:r w:rsidR="00C70C65" w:rsidRPr="009D37C2">
        <w:rPr>
          <w:color w:val="auto"/>
        </w:rPr>
        <w:t>. This interaction term</w:t>
      </w:r>
      <w:r w:rsidR="00C70C65" w:rsidRPr="002B4B1D">
        <w:rPr>
          <w:color w:val="auto"/>
        </w:rPr>
        <w:t xml:space="preserve"> </w:t>
      </w:r>
      <w:r w:rsidR="00EC230C" w:rsidRPr="002B4B1D">
        <w:rPr>
          <w:color w:val="auto"/>
        </w:rPr>
        <w:t xml:space="preserve">is negative and </w:t>
      </w:r>
      <w:r w:rsidR="00985DD5" w:rsidRPr="002B4B1D">
        <w:rPr>
          <w:color w:val="auto"/>
        </w:rPr>
        <w:t>statistically</w:t>
      </w:r>
      <w:r w:rsidR="00EC230C" w:rsidRPr="002B4B1D">
        <w:rPr>
          <w:color w:val="auto"/>
        </w:rPr>
        <w:t xml:space="preserve"> significant</w:t>
      </w:r>
      <w:r w:rsidR="00C70C65" w:rsidRPr="002B4B1D">
        <w:rPr>
          <w:color w:val="auto"/>
        </w:rPr>
        <w:t>, which suggests that the efficiency of labour reallocation was significantly lower in the latter part of the sample</w:t>
      </w:r>
      <w:r w:rsidR="008C20EB">
        <w:rPr>
          <w:color w:val="auto"/>
        </w:rPr>
        <w:t xml:space="preserve"> </w:t>
      </w:r>
      <w:r>
        <w:rPr>
          <w:color w:val="auto"/>
        </w:rPr>
        <w:t xml:space="preserve">– a </w:t>
      </w:r>
      <w:r w:rsidR="008C20EB">
        <w:rPr>
          <w:color w:val="auto"/>
        </w:rPr>
        <w:t>pattern</w:t>
      </w:r>
      <w:r>
        <w:rPr>
          <w:color w:val="auto"/>
        </w:rPr>
        <w:t xml:space="preserve"> that</w:t>
      </w:r>
      <w:r w:rsidR="008C20EB">
        <w:rPr>
          <w:color w:val="auto"/>
        </w:rPr>
        <w:t xml:space="preserve"> is broad-based across industries (</w:t>
      </w:r>
      <w:r w:rsidR="009D37C2">
        <w:rPr>
          <w:color w:val="auto"/>
        </w:rPr>
        <w:t>Table B4</w:t>
      </w:r>
      <w:r w:rsidR="008C20EB">
        <w:rPr>
          <w:color w:val="auto"/>
        </w:rPr>
        <w:t>)</w:t>
      </w:r>
      <w:r w:rsidR="004466EE" w:rsidRPr="002B4B1D">
        <w:rPr>
          <w:color w:val="auto"/>
        </w:rPr>
        <w:t>.</w:t>
      </w:r>
      <w:r w:rsidR="00872E4A">
        <w:rPr>
          <w:color w:val="auto"/>
        </w:rPr>
        <w:t xml:space="preserve"> This decline employment growth responsiveness is also evident when we shift the break point to latter years such as 2012 (see: Andrews, Deutscher, Hambur and Hansell, 2019).</w:t>
      </w:r>
      <w:r w:rsidR="008A3474">
        <w:rPr>
          <w:color w:val="auto"/>
        </w:rPr>
        <w:t xml:space="preserve"> Finally, these estimated patterns in dynamic allocative efficiency are also consistent with a decline in other measures of labour market dynamism, such as excess job reallocation rates (Figure</w:t>
      </w:r>
      <w:r w:rsidR="00D33706">
        <w:rPr>
          <w:color w:val="auto"/>
        </w:rPr>
        <w:t> </w:t>
      </w:r>
      <w:r w:rsidR="008A3474">
        <w:rPr>
          <w:color w:val="auto"/>
        </w:rPr>
        <w:t>5) and job</w:t>
      </w:r>
      <w:r w:rsidR="00CE61A3">
        <w:rPr>
          <w:color w:val="auto"/>
        </w:rPr>
        <w:t xml:space="preserve"> switching</w:t>
      </w:r>
      <w:r w:rsidR="008A3474">
        <w:rPr>
          <w:color w:val="auto"/>
        </w:rPr>
        <w:t xml:space="preserve"> rates</w:t>
      </w:r>
      <w:r w:rsidR="00F01ACF">
        <w:rPr>
          <w:color w:val="auto"/>
        </w:rPr>
        <w:t xml:space="preserve"> (Deutscher, 2019)</w:t>
      </w:r>
      <w:r w:rsidR="008A3474">
        <w:rPr>
          <w:color w:val="auto"/>
        </w:rPr>
        <w:t>.</w:t>
      </w:r>
    </w:p>
    <w:p w14:paraId="29353EC4" w14:textId="77777777" w:rsidR="00246743" w:rsidRDefault="00246743" w:rsidP="00E22678">
      <w:pPr>
        <w:pStyle w:val="Heading3"/>
      </w:pPr>
      <w:r>
        <w:t>5</w:t>
      </w:r>
      <w:r w:rsidRPr="00001986">
        <w:t>.</w:t>
      </w:r>
      <w:r w:rsidR="006B0DE6">
        <w:t>4</w:t>
      </w:r>
      <w:r w:rsidRPr="00001986">
        <w:t xml:space="preserve"> </w:t>
      </w:r>
      <w:r>
        <w:t>Aggregate implications</w:t>
      </w:r>
    </w:p>
    <w:p w14:paraId="7AB5A018" w14:textId="77777777" w:rsidR="00246743" w:rsidRDefault="00246743" w:rsidP="00246743">
      <w:pPr>
        <w:jc w:val="both"/>
        <w:rPr>
          <w:color w:val="auto"/>
        </w:rPr>
      </w:pPr>
      <w:r>
        <w:rPr>
          <w:color w:val="auto"/>
        </w:rPr>
        <w:t>How important are these changes in labour reallocation for aggregate productivity? To address this question, we</w:t>
      </w:r>
      <w:r w:rsidRPr="005D5112">
        <w:rPr>
          <w:color w:val="auto"/>
        </w:rPr>
        <w:t xml:space="preserve"> follow Decker et al (201</w:t>
      </w:r>
      <w:r w:rsidR="00CD67DB">
        <w:rPr>
          <w:color w:val="auto"/>
        </w:rPr>
        <w:t>8</w:t>
      </w:r>
      <w:r w:rsidRPr="005D5112">
        <w:rPr>
          <w:color w:val="auto"/>
        </w:rPr>
        <w:t xml:space="preserve">) and create </w:t>
      </w:r>
      <w:r>
        <w:rPr>
          <w:color w:val="auto"/>
        </w:rPr>
        <w:t xml:space="preserve">indexes </w:t>
      </w:r>
      <w:r w:rsidRPr="005D5112">
        <w:rPr>
          <w:color w:val="auto"/>
        </w:rPr>
        <w:t>of aggregate</w:t>
      </w:r>
      <w:r>
        <w:rPr>
          <w:color w:val="auto"/>
        </w:rPr>
        <w:t xml:space="preserve"> labour</w:t>
      </w:r>
      <w:r w:rsidRPr="005D5112">
        <w:rPr>
          <w:color w:val="auto"/>
        </w:rPr>
        <w:t xml:space="preserve"> productivity </w:t>
      </w:r>
      <w:r>
        <w:rPr>
          <w:color w:val="auto"/>
        </w:rPr>
        <w:t>that combine actual realisations of firm</w:t>
      </w:r>
      <w:r w:rsidR="00843648">
        <w:rPr>
          <w:color w:val="auto"/>
        </w:rPr>
        <w:t>-</w:t>
      </w:r>
      <w:r>
        <w:rPr>
          <w:color w:val="auto"/>
        </w:rPr>
        <w:t xml:space="preserve">level labour productivity with </w:t>
      </w:r>
      <w:r w:rsidRPr="005D5112">
        <w:rPr>
          <w:color w:val="auto"/>
        </w:rPr>
        <w:t xml:space="preserve">the implied predicted </w:t>
      </w:r>
      <w:r>
        <w:rPr>
          <w:color w:val="auto"/>
        </w:rPr>
        <w:t xml:space="preserve">employment </w:t>
      </w:r>
      <w:r w:rsidRPr="005D5112">
        <w:rPr>
          <w:color w:val="auto"/>
        </w:rPr>
        <w:t>shares from</w:t>
      </w:r>
      <w:r w:rsidRPr="00931A0D">
        <w:rPr>
          <w:color w:val="auto"/>
        </w:rPr>
        <w:t xml:space="preserve"> </w:t>
      </w:r>
      <w:r>
        <w:rPr>
          <w:color w:val="auto"/>
        </w:rPr>
        <w:t xml:space="preserve">an estimated model: </w:t>
      </w:r>
      <w:r w:rsidRPr="00761976">
        <w:rPr>
          <w:i/>
          <w:color w:val="auto"/>
        </w:rPr>
        <w:t>i</w:t>
      </w:r>
      <w:r>
        <w:rPr>
          <w:color w:val="auto"/>
        </w:rPr>
        <w:t xml:space="preserve">) where the responsiveness of employment growth to (lagged) productivity is allowed to vary over time via the inclusion of time trend interactions; and </w:t>
      </w:r>
      <w:r w:rsidRPr="00761976">
        <w:rPr>
          <w:i/>
          <w:color w:val="auto"/>
        </w:rPr>
        <w:t>ii</w:t>
      </w:r>
      <w:r>
        <w:rPr>
          <w:color w:val="auto"/>
        </w:rPr>
        <w:t>) reflecting responsiveness at the beginning of the sample period (i.e. where the LP*time interactions are set equal to zero)</w:t>
      </w:r>
      <w:r w:rsidRPr="005D5112">
        <w:rPr>
          <w:color w:val="auto"/>
        </w:rPr>
        <w:t xml:space="preserve">. </w:t>
      </w:r>
      <w:r>
        <w:rPr>
          <w:color w:val="auto"/>
        </w:rPr>
        <w:t xml:space="preserve">The employment share prediction for </w:t>
      </w:r>
      <w:r>
        <w:rPr>
          <w:color w:val="auto"/>
        </w:rPr>
        <w:lastRenderedPageBreak/>
        <w:t xml:space="preserve">a firm in t+1 applies the model’s prediction of employment growth in t+1 to the (initial) level of employment for the firm in </w:t>
      </w:r>
      <w:r w:rsidRPr="00761976">
        <w:rPr>
          <w:i/>
          <w:color w:val="auto"/>
        </w:rPr>
        <w:t>t</w:t>
      </w:r>
      <w:r>
        <w:rPr>
          <w:color w:val="auto"/>
        </w:rPr>
        <w:t>.</w:t>
      </w:r>
    </w:p>
    <w:p w14:paraId="24CBB015" w14:textId="77777777" w:rsidR="00246743" w:rsidRPr="005D5112" w:rsidRDefault="00246743" w:rsidP="00246743">
      <w:pPr>
        <w:jc w:val="both"/>
        <w:rPr>
          <w:color w:val="auto"/>
        </w:rPr>
      </w:pPr>
      <w:r>
        <w:rPr>
          <w:color w:val="auto"/>
        </w:rPr>
        <w:t>Specifically,</w:t>
      </w:r>
      <w:r w:rsidRPr="005D5112">
        <w:rPr>
          <w:color w:val="auto"/>
        </w:rPr>
        <w:t xml:space="preserve"> we calculate a base year productivity (</w:t>
      </w:r>
      <w:r w:rsidR="007B596F">
        <w:rPr>
          <w:color w:val="auto"/>
        </w:rPr>
        <w:t>6</w:t>
      </w:r>
      <w:r w:rsidRPr="005D5112">
        <w:rPr>
          <w:color w:val="auto"/>
        </w:rPr>
        <w:t>) and two other indexes using the shares from the model with a trend (</w:t>
      </w:r>
      <w:r w:rsidR="00AA5D97">
        <w:rPr>
          <w:color w:val="auto"/>
        </w:rPr>
        <w:t>7</w:t>
      </w:r>
      <w:r w:rsidRPr="005D5112">
        <w:rPr>
          <w:color w:val="auto"/>
        </w:rPr>
        <w:t>) and without (</w:t>
      </w:r>
      <w:r w:rsidR="00AA5D97">
        <w:rPr>
          <w:color w:val="auto"/>
        </w:rPr>
        <w:t>8</w:t>
      </w:r>
      <w:r w:rsidRPr="005D5112">
        <w:rPr>
          <w:color w:val="auto"/>
        </w:rPr>
        <w:t>)</w:t>
      </w:r>
      <w:r w:rsidR="00843648">
        <w:rPr>
          <w:color w:val="auto"/>
        </w:rPr>
        <w:t>,</w:t>
      </w:r>
      <w:r w:rsidRPr="005D5112">
        <w:rPr>
          <w:color w:val="auto"/>
        </w:rPr>
        <w:t xml:space="preserve"> where the latter leaves the productivity-growth relationship at the level present at the beginning of the sample</w:t>
      </w:r>
      <w:r>
        <w:rPr>
          <w:color w:val="auto"/>
        </w:rPr>
        <w:t>:</w:t>
      </w:r>
    </w:p>
    <w:p w14:paraId="352ED6BE" w14:textId="77777777" w:rsidR="00246743" w:rsidRPr="005D5112" w:rsidRDefault="00246743" w:rsidP="00246743">
      <w:pPr>
        <w:ind w:left="720"/>
        <w:rPr>
          <w:rFonts w:eastAsiaTheme="minorEastAsia"/>
          <w:iCs/>
          <w:color w:val="auto"/>
        </w:rPr>
      </w:pPr>
      <w:r w:rsidRPr="005D5112">
        <w:rPr>
          <w:color w:val="auto"/>
        </w:rPr>
        <w:t xml:space="preserve"> </w:t>
      </w:r>
      <m:oMath>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t</m:t>
            </m:r>
          </m:sub>
        </m:sSub>
        <m:r>
          <w:rPr>
            <w:rFonts w:ascii="Cambria Math" w:hAnsi="Cambria Math"/>
            <w:color w:val="auto"/>
          </w:rPr>
          <m:t>=</m:t>
        </m:r>
        <m:nary>
          <m:naryPr>
            <m:chr m:val="∑"/>
            <m:subHide m:val="1"/>
            <m:supHide m:val="1"/>
            <m:ctrlPr>
              <w:rPr>
                <w:rFonts w:ascii="Cambria Math" w:hAnsi="Cambria Math"/>
                <w:i/>
                <w:iCs/>
                <w:color w:val="auto"/>
              </w:rPr>
            </m:ctrlPr>
          </m:naryPr>
          <m:sub/>
          <m:sup/>
          <m:e>
            <m:sSub>
              <m:sSubPr>
                <m:ctrlPr>
                  <w:rPr>
                    <w:rFonts w:ascii="Cambria Math" w:hAnsi="Cambria Math"/>
                    <w:i/>
                    <w:iCs/>
                    <w:color w:val="auto"/>
                  </w:rPr>
                </m:ctrlPr>
              </m:sSubPr>
              <m:e>
                <m:r>
                  <w:rPr>
                    <w:rFonts w:ascii="Cambria Math" w:hAnsi="Cambria Math"/>
                    <w:color w:val="auto"/>
                  </w:rPr>
                  <m:t>s</m:t>
                </m:r>
              </m:e>
              <m:sub>
                <m:r>
                  <w:rPr>
                    <w:rFonts w:ascii="Cambria Math" w:hAnsi="Cambria Math"/>
                    <w:color w:val="auto"/>
                  </w:rPr>
                  <m:t>it</m:t>
                </m:r>
              </m:sub>
            </m:sSub>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it</m:t>
                </m:r>
              </m:sub>
            </m:sSub>
          </m:e>
        </m:nary>
        <m:r>
          <w:rPr>
            <w:rFonts w:ascii="Cambria Math" w:hAnsi="Cambria Math"/>
            <w:color w:val="auto"/>
          </w:rPr>
          <m:t xml:space="preserve">                               (6)</m:t>
        </m:r>
      </m:oMath>
    </w:p>
    <w:p w14:paraId="60F10AF1" w14:textId="77777777" w:rsidR="00246743" w:rsidRPr="005D5112" w:rsidRDefault="00E70CFB" w:rsidP="00246743">
      <w:pPr>
        <w:ind w:left="720"/>
        <w:rPr>
          <w:rFonts w:eastAsiaTheme="minorEastAsia"/>
          <w:iCs/>
          <w:color w:val="auto"/>
        </w:rPr>
      </w:pPr>
      <m:oMathPara>
        <m:oMathParaPr>
          <m:jc m:val="left"/>
        </m:oMathParaPr>
        <m:oMath>
          <m:sSubSup>
            <m:sSubSupPr>
              <m:ctrlPr>
                <w:rPr>
                  <w:rFonts w:ascii="Cambria Math" w:hAnsi="Cambria Math"/>
                  <w:i/>
                  <w:iCs/>
                  <w:color w:val="auto"/>
                </w:rPr>
              </m:ctrlPr>
            </m:sSubSupPr>
            <m:e>
              <m:r>
                <w:rPr>
                  <w:rFonts w:ascii="Cambria Math" w:hAnsi="Cambria Math"/>
                  <w:color w:val="auto"/>
                </w:rPr>
                <m:t>P</m:t>
              </m:r>
            </m:e>
            <m:sub>
              <m:r>
                <w:rPr>
                  <w:rFonts w:ascii="Cambria Math" w:hAnsi="Cambria Math"/>
                  <w:color w:val="auto"/>
                </w:rPr>
                <m:t>t+1</m:t>
              </m:r>
            </m:sub>
            <m:sup>
              <m:r>
                <w:rPr>
                  <w:rFonts w:ascii="Cambria Math" w:hAnsi="Cambria Math"/>
                  <w:color w:val="auto"/>
                </w:rPr>
                <m:t>Trend</m:t>
              </m:r>
            </m:sup>
          </m:sSubSup>
          <m:r>
            <w:rPr>
              <w:rFonts w:ascii="Cambria Math" w:hAnsi="Cambria Math"/>
              <w:color w:val="auto"/>
            </w:rPr>
            <m:t>=</m:t>
          </m:r>
          <m:nary>
            <m:naryPr>
              <m:chr m:val="∑"/>
              <m:subHide m:val="1"/>
              <m:supHide m:val="1"/>
              <m:ctrlPr>
                <w:rPr>
                  <w:rFonts w:ascii="Cambria Math" w:hAnsi="Cambria Math"/>
                  <w:i/>
                  <w:iCs/>
                  <w:color w:val="auto"/>
                </w:rPr>
              </m:ctrlPr>
            </m:naryPr>
            <m:sub/>
            <m:sup/>
            <m:e>
              <m:sSub>
                <m:sSubPr>
                  <m:ctrlPr>
                    <w:rPr>
                      <w:rFonts w:ascii="Cambria Math" w:hAnsi="Cambria Math"/>
                      <w:i/>
                      <w:iCs/>
                      <w:color w:val="auto"/>
                    </w:rPr>
                  </m:ctrlPr>
                </m:sSubPr>
                <m:e>
                  <m:sSubSup>
                    <m:sSubSupPr>
                      <m:ctrlPr>
                        <w:rPr>
                          <w:rFonts w:ascii="Cambria Math" w:hAnsi="Cambria Math"/>
                          <w:i/>
                          <w:iCs/>
                          <w:color w:val="auto"/>
                        </w:rPr>
                      </m:ctrlPr>
                    </m:sSubSupPr>
                    <m:e>
                      <m:r>
                        <w:rPr>
                          <w:rFonts w:ascii="Cambria Math" w:hAnsi="Cambria Math"/>
                          <w:color w:val="auto"/>
                        </w:rPr>
                        <m:t>s</m:t>
                      </m:r>
                    </m:e>
                    <m:sub>
                      <m:r>
                        <w:rPr>
                          <w:rFonts w:ascii="Cambria Math" w:hAnsi="Cambria Math"/>
                          <w:color w:val="auto"/>
                        </w:rPr>
                        <m:t>i,t+1</m:t>
                      </m:r>
                    </m:sub>
                    <m:sup>
                      <m:r>
                        <w:rPr>
                          <w:rFonts w:ascii="Cambria Math" w:hAnsi="Cambria Math"/>
                          <w:color w:val="auto"/>
                        </w:rPr>
                        <m:t>Trend</m:t>
                      </m:r>
                    </m:sup>
                  </m:sSubSup>
                  <m:r>
                    <w:rPr>
                      <w:rFonts w:ascii="Cambria Math" w:hAnsi="Cambria Math"/>
                      <w:color w:val="auto"/>
                    </w:rPr>
                    <m:t>p</m:t>
                  </m:r>
                </m:e>
                <m:sub>
                  <m:r>
                    <w:rPr>
                      <w:rFonts w:ascii="Cambria Math" w:hAnsi="Cambria Math"/>
                      <w:color w:val="auto"/>
                    </w:rPr>
                    <m:t>it</m:t>
                  </m:r>
                </m:sub>
              </m:sSub>
            </m:e>
          </m:nary>
          <m:r>
            <w:rPr>
              <w:rFonts w:ascii="Cambria Math" w:hAnsi="Cambria Math"/>
              <w:color w:val="auto"/>
            </w:rPr>
            <m:t xml:space="preserve">             (7)</m:t>
          </m:r>
        </m:oMath>
      </m:oMathPara>
    </w:p>
    <w:p w14:paraId="1A3DAA2D" w14:textId="77777777" w:rsidR="00246743" w:rsidRPr="005D5112" w:rsidRDefault="00E70CFB" w:rsidP="00246743">
      <w:pPr>
        <w:ind w:left="720"/>
        <w:rPr>
          <w:rFonts w:eastAsiaTheme="minorEastAsia"/>
          <w:color w:val="auto"/>
        </w:rPr>
      </w:pPr>
      <m:oMathPara>
        <m:oMathParaPr>
          <m:jc m:val="left"/>
        </m:oMathParaPr>
        <m:oMath>
          <m:sSubSup>
            <m:sSubSupPr>
              <m:ctrlPr>
                <w:rPr>
                  <w:rFonts w:ascii="Cambria Math" w:hAnsi="Cambria Math"/>
                  <w:i/>
                  <w:iCs/>
                  <w:color w:val="auto"/>
                </w:rPr>
              </m:ctrlPr>
            </m:sSubSupPr>
            <m:e>
              <m:r>
                <w:rPr>
                  <w:rFonts w:ascii="Cambria Math" w:hAnsi="Cambria Math"/>
                  <w:color w:val="auto"/>
                </w:rPr>
                <m:t>P</m:t>
              </m:r>
            </m:e>
            <m:sub>
              <m:r>
                <w:rPr>
                  <w:rFonts w:ascii="Cambria Math" w:hAnsi="Cambria Math"/>
                  <w:color w:val="auto"/>
                </w:rPr>
                <m:t>t+1</m:t>
              </m:r>
            </m:sub>
            <m:sup>
              <m:r>
                <w:rPr>
                  <w:rFonts w:ascii="Cambria Math" w:hAnsi="Cambria Math"/>
                  <w:color w:val="auto"/>
                </w:rPr>
                <m:t>No Trend</m:t>
              </m:r>
            </m:sup>
          </m:sSubSup>
          <m:r>
            <w:rPr>
              <w:rFonts w:ascii="Cambria Math" w:hAnsi="Cambria Math"/>
              <w:color w:val="auto"/>
            </w:rPr>
            <m:t>=</m:t>
          </m:r>
          <m:nary>
            <m:naryPr>
              <m:chr m:val="∑"/>
              <m:subHide m:val="1"/>
              <m:supHide m:val="1"/>
              <m:ctrlPr>
                <w:rPr>
                  <w:rFonts w:ascii="Cambria Math" w:hAnsi="Cambria Math"/>
                  <w:i/>
                  <w:iCs/>
                  <w:color w:val="auto"/>
                </w:rPr>
              </m:ctrlPr>
            </m:naryPr>
            <m:sub/>
            <m:sup/>
            <m:e>
              <m:sSubSup>
                <m:sSubSupPr>
                  <m:ctrlPr>
                    <w:rPr>
                      <w:rFonts w:ascii="Cambria Math" w:hAnsi="Cambria Math"/>
                      <w:i/>
                      <w:iCs/>
                      <w:color w:val="auto"/>
                    </w:rPr>
                  </m:ctrlPr>
                </m:sSubSupPr>
                <m:e>
                  <m:r>
                    <w:rPr>
                      <w:rFonts w:ascii="Cambria Math" w:hAnsi="Cambria Math"/>
                      <w:color w:val="auto"/>
                    </w:rPr>
                    <m:t>s</m:t>
                  </m:r>
                </m:e>
                <m:sub>
                  <m:r>
                    <w:rPr>
                      <w:rFonts w:ascii="Cambria Math" w:hAnsi="Cambria Math"/>
                      <w:color w:val="auto"/>
                    </w:rPr>
                    <m:t>i,t+1</m:t>
                  </m:r>
                </m:sub>
                <m:sup>
                  <m:r>
                    <w:rPr>
                      <w:rFonts w:ascii="Cambria Math" w:hAnsi="Cambria Math"/>
                      <w:color w:val="auto"/>
                    </w:rPr>
                    <m:t>No Trend</m:t>
                  </m:r>
                </m:sup>
              </m:sSubSup>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it</m:t>
                  </m:r>
                </m:sub>
              </m:sSub>
            </m:e>
          </m:nary>
          <m:r>
            <w:rPr>
              <w:rFonts w:ascii="Cambria Math" w:hAnsi="Cambria Math"/>
              <w:color w:val="auto"/>
            </w:rPr>
            <m:t xml:space="preserve">  (8)</m:t>
          </m:r>
        </m:oMath>
      </m:oMathPara>
    </w:p>
    <w:p w14:paraId="4AB64608" w14:textId="77777777" w:rsidR="00246743" w:rsidRPr="005D5112" w:rsidRDefault="00246743" w:rsidP="00246743">
      <w:pPr>
        <w:jc w:val="both"/>
        <w:rPr>
          <w:color w:val="auto"/>
        </w:rPr>
      </w:pPr>
      <w:r w:rsidRPr="005D5112">
        <w:rPr>
          <w:color w:val="auto"/>
        </w:rPr>
        <w:t>Then we estimate the counterfactual aggregate productivity as</w:t>
      </w:r>
      <w:r w:rsidR="004D3F55">
        <w:rPr>
          <w:color w:val="auto"/>
        </w:rPr>
        <w:t>:</w:t>
      </w:r>
    </w:p>
    <w:p w14:paraId="4DA977E6" w14:textId="77777777" w:rsidR="00246743" w:rsidRPr="005D5112" w:rsidRDefault="00E70CFB" w:rsidP="00246743">
      <w:pPr>
        <w:ind w:firstLine="720"/>
        <w:rPr>
          <w:rFonts w:eastAsiaTheme="minorEastAsia"/>
          <w:color w:val="auto"/>
        </w:rPr>
      </w:pPr>
      <m:oMath>
        <m:sSubSup>
          <m:sSubSupPr>
            <m:ctrlPr>
              <w:rPr>
                <w:rFonts w:ascii="Cambria Math" w:hAnsi="Cambria Math"/>
                <w:i/>
                <w:iCs/>
                <w:color w:val="auto"/>
              </w:rPr>
            </m:ctrlPr>
          </m:sSubSupPr>
          <m:e>
            <m:r>
              <w:rPr>
                <w:rFonts w:ascii="Cambria Math" w:hAnsi="Cambria Math"/>
                <w:color w:val="auto"/>
              </w:rPr>
              <m:t>(P</m:t>
            </m:r>
          </m:e>
          <m:sub>
            <m:r>
              <w:rPr>
                <w:rFonts w:ascii="Cambria Math" w:hAnsi="Cambria Math"/>
                <w:color w:val="auto"/>
              </w:rPr>
              <m:t>t+1</m:t>
            </m:r>
          </m:sub>
          <m:sup>
            <m:r>
              <w:rPr>
                <w:rFonts w:ascii="Cambria Math" w:hAnsi="Cambria Math"/>
                <w:color w:val="auto"/>
              </w:rPr>
              <m:t>Trend</m:t>
            </m:r>
          </m:sup>
        </m:sSubSup>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t</m:t>
            </m:r>
          </m:sub>
        </m:sSub>
        <m:r>
          <w:rPr>
            <w:rFonts w:ascii="Cambria Math" w:hAnsi="Cambria Math"/>
            <w:color w:val="auto"/>
          </w:rPr>
          <m:t>)-(</m:t>
        </m:r>
        <m:sSubSup>
          <m:sSubSupPr>
            <m:ctrlPr>
              <w:rPr>
                <w:rFonts w:ascii="Cambria Math" w:hAnsi="Cambria Math"/>
                <w:i/>
                <w:iCs/>
                <w:color w:val="auto"/>
              </w:rPr>
            </m:ctrlPr>
          </m:sSubSupPr>
          <m:e>
            <m:r>
              <w:rPr>
                <w:rFonts w:ascii="Cambria Math" w:hAnsi="Cambria Math"/>
                <w:color w:val="auto"/>
              </w:rPr>
              <m:t>P</m:t>
            </m:r>
          </m:e>
          <m:sub>
            <m:r>
              <w:rPr>
                <w:rFonts w:ascii="Cambria Math" w:hAnsi="Cambria Math"/>
                <w:color w:val="auto"/>
              </w:rPr>
              <m:t>t+1</m:t>
            </m:r>
          </m:sub>
          <m:sup>
            <m:r>
              <w:rPr>
                <w:rFonts w:ascii="Cambria Math" w:hAnsi="Cambria Math"/>
                <w:color w:val="auto"/>
              </w:rPr>
              <m:t>No Trend</m:t>
            </m:r>
          </m:sup>
        </m:sSubSup>
        <m:r>
          <w:rPr>
            <w:rFonts w:ascii="Cambria Math" w:hAnsi="Cambria Math"/>
            <w:color w:val="auto"/>
          </w:rPr>
          <m:t>-</m:t>
        </m:r>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t</m:t>
            </m:r>
          </m:sub>
        </m:sSub>
        <m:r>
          <w:rPr>
            <w:rFonts w:ascii="Cambria Math" w:hAnsi="Cambria Math"/>
            <w:color w:val="auto"/>
          </w:rPr>
          <m:t>) </m:t>
        </m:r>
      </m:oMath>
      <w:r w:rsidR="00246743" w:rsidRPr="005D5112">
        <w:rPr>
          <w:rFonts w:eastAsiaTheme="minorEastAsia"/>
          <w:iCs/>
          <w:color w:val="auto"/>
        </w:rPr>
        <w:t xml:space="preserve"> </w:t>
      </w:r>
    </w:p>
    <w:p w14:paraId="796987F8" w14:textId="77777777" w:rsidR="00246743" w:rsidRPr="005D5112" w:rsidRDefault="00246743" w:rsidP="00246743">
      <w:pPr>
        <w:ind w:left="720" w:firstLine="720"/>
        <w:rPr>
          <w:rFonts w:eastAsiaTheme="minorEastAsia"/>
          <w:iCs/>
          <w:color w:val="auto"/>
        </w:rPr>
      </w:pPr>
      <m:oMathPara>
        <m:oMathParaPr>
          <m:jc m:val="left"/>
        </m:oMathParaPr>
        <m:oMath>
          <m:r>
            <w:rPr>
              <w:rFonts w:ascii="Cambria Math" w:hAnsi="Cambria Math"/>
              <w:color w:val="auto"/>
            </w:rPr>
            <m:t>=</m:t>
          </m:r>
          <m:nary>
            <m:naryPr>
              <m:chr m:val="∑"/>
              <m:limLoc m:val="undOvr"/>
              <m:supHide m:val="1"/>
              <m:ctrlPr>
                <w:rPr>
                  <w:rFonts w:ascii="Cambria Math" w:hAnsi="Cambria Math"/>
                  <w:i/>
                  <w:iCs/>
                  <w:color w:val="auto"/>
                </w:rPr>
              </m:ctrlPr>
            </m:naryPr>
            <m:sub>
              <m:r>
                <w:rPr>
                  <w:rFonts w:ascii="Cambria Math" w:hAnsi="Cambria Math"/>
                  <w:color w:val="auto"/>
                </w:rPr>
                <m:t>i</m:t>
              </m:r>
            </m:sub>
            <m:sup/>
            <m:e>
              <m:d>
                <m:dPr>
                  <m:ctrlPr>
                    <w:rPr>
                      <w:rFonts w:ascii="Cambria Math" w:hAnsi="Cambria Math"/>
                      <w:i/>
                      <w:iCs/>
                      <w:color w:val="auto"/>
                    </w:rPr>
                  </m:ctrlPr>
                </m:dPr>
                <m:e>
                  <m:sSubSup>
                    <m:sSubSupPr>
                      <m:ctrlPr>
                        <w:rPr>
                          <w:rFonts w:ascii="Cambria Math" w:hAnsi="Cambria Math"/>
                          <w:i/>
                          <w:iCs/>
                          <w:color w:val="auto"/>
                        </w:rPr>
                      </m:ctrlPr>
                    </m:sSubSupPr>
                    <m:e>
                      <m:r>
                        <w:rPr>
                          <w:rFonts w:ascii="Cambria Math" w:hAnsi="Cambria Math"/>
                          <w:color w:val="auto"/>
                        </w:rPr>
                        <m:t>s</m:t>
                      </m:r>
                    </m:e>
                    <m:sub>
                      <m:r>
                        <w:rPr>
                          <w:rFonts w:ascii="Cambria Math" w:hAnsi="Cambria Math"/>
                          <w:color w:val="auto"/>
                        </w:rPr>
                        <m:t>i,t+1</m:t>
                      </m:r>
                    </m:sub>
                    <m:sup>
                      <m:r>
                        <w:rPr>
                          <w:rFonts w:ascii="Cambria Math" w:hAnsi="Cambria Math"/>
                          <w:color w:val="auto"/>
                        </w:rPr>
                        <m:t>Trend</m:t>
                      </m:r>
                    </m:sup>
                  </m:sSubSup>
                  <m:r>
                    <w:rPr>
                      <w:rFonts w:ascii="Cambria Math" w:hAnsi="Cambria Math"/>
                      <w:color w:val="auto"/>
                    </w:rPr>
                    <m:t>-</m:t>
                  </m:r>
                  <m:sSubSup>
                    <m:sSubSupPr>
                      <m:ctrlPr>
                        <w:rPr>
                          <w:rFonts w:ascii="Cambria Math" w:hAnsi="Cambria Math"/>
                          <w:i/>
                          <w:iCs/>
                          <w:color w:val="auto"/>
                        </w:rPr>
                      </m:ctrlPr>
                    </m:sSubSupPr>
                    <m:e>
                      <m:r>
                        <w:rPr>
                          <w:rFonts w:ascii="Cambria Math" w:hAnsi="Cambria Math"/>
                          <w:color w:val="auto"/>
                        </w:rPr>
                        <m:t>s</m:t>
                      </m:r>
                    </m:e>
                    <m:sub>
                      <m:r>
                        <w:rPr>
                          <w:rFonts w:ascii="Cambria Math" w:hAnsi="Cambria Math"/>
                          <w:color w:val="auto"/>
                        </w:rPr>
                        <m:t>i,t+1</m:t>
                      </m:r>
                    </m:sub>
                    <m:sup>
                      <m:r>
                        <w:rPr>
                          <w:rFonts w:ascii="Cambria Math" w:hAnsi="Cambria Math"/>
                          <w:color w:val="auto"/>
                        </w:rPr>
                        <m:t>No Trend</m:t>
                      </m:r>
                    </m:sup>
                  </m:sSubSup>
                </m:e>
              </m:d>
              <m:sSub>
                <m:sSubPr>
                  <m:ctrlPr>
                    <w:rPr>
                      <w:rFonts w:ascii="Cambria Math" w:hAnsi="Cambria Math"/>
                      <w:i/>
                      <w:iCs/>
                      <w:color w:val="auto"/>
                    </w:rPr>
                  </m:ctrlPr>
                </m:sSubPr>
                <m:e>
                  <m:r>
                    <w:rPr>
                      <w:rFonts w:ascii="Cambria Math" w:hAnsi="Cambria Math"/>
                      <w:color w:val="auto"/>
                    </w:rPr>
                    <m:t>P</m:t>
                  </m:r>
                </m:e>
                <m:sub>
                  <m:r>
                    <w:rPr>
                      <w:rFonts w:ascii="Cambria Math" w:hAnsi="Cambria Math"/>
                      <w:color w:val="auto"/>
                    </w:rPr>
                    <m:t>it</m:t>
                  </m:r>
                </m:sub>
              </m:sSub>
              <m:r>
                <w:rPr>
                  <w:rFonts w:ascii="Cambria Math" w:hAnsi="Cambria Math"/>
                  <w:color w:val="auto"/>
                </w:rPr>
                <m:t xml:space="preserve">  (9)</m:t>
              </m:r>
            </m:e>
          </m:nary>
          <m:r>
            <w:rPr>
              <w:rFonts w:ascii="Cambria Math" w:hAnsi="Cambria Math"/>
              <w:color w:val="auto"/>
            </w:rPr>
            <m:t> </m:t>
          </m:r>
        </m:oMath>
      </m:oMathPara>
    </w:p>
    <w:p w14:paraId="609237FE" w14:textId="77777777" w:rsidR="00246743" w:rsidRDefault="00246743" w:rsidP="00246743">
      <w:pPr>
        <w:jc w:val="both"/>
        <w:rPr>
          <w:color w:val="auto"/>
        </w:rPr>
      </w:pPr>
      <w:r w:rsidRPr="005D5112">
        <w:rPr>
          <w:color w:val="auto"/>
        </w:rPr>
        <w:t xml:space="preserve">Figure </w:t>
      </w:r>
      <w:r w:rsidR="0094266D">
        <w:rPr>
          <w:color w:val="auto"/>
        </w:rPr>
        <w:t>7</w:t>
      </w:r>
      <w:r w:rsidR="00571D39">
        <w:rPr>
          <w:color w:val="auto"/>
        </w:rPr>
        <w:t xml:space="preserve"> </w:t>
      </w:r>
      <w:r w:rsidR="004D3F55">
        <w:rPr>
          <w:color w:val="auto"/>
        </w:rPr>
        <w:t>(</w:t>
      </w:r>
      <w:r w:rsidR="00571D39">
        <w:rPr>
          <w:color w:val="auto"/>
        </w:rPr>
        <w:t>Panel A</w:t>
      </w:r>
      <w:r w:rsidR="004D3F55">
        <w:rPr>
          <w:color w:val="auto"/>
        </w:rPr>
        <w:t xml:space="preserve">) illustrates </w:t>
      </w:r>
      <w:r w:rsidRPr="005D5112">
        <w:rPr>
          <w:color w:val="auto"/>
        </w:rPr>
        <w:t xml:space="preserve">the results of this exercise </w:t>
      </w:r>
      <w:r w:rsidR="00571D39">
        <w:rPr>
          <w:color w:val="auto"/>
        </w:rPr>
        <w:t>for value-added labour productivity</w:t>
      </w:r>
      <w:r w:rsidRPr="005D5112">
        <w:rPr>
          <w:color w:val="auto"/>
        </w:rPr>
        <w:t>.</w:t>
      </w:r>
      <w:r>
        <w:rPr>
          <w:color w:val="auto"/>
        </w:rPr>
        <w:t xml:space="preserve"> The 2007 observation shows that, given the firm productivity and size distribution </w:t>
      </w:r>
      <w:r w:rsidR="00843648">
        <w:rPr>
          <w:color w:val="auto"/>
        </w:rPr>
        <w:t xml:space="preserve">in </w:t>
      </w:r>
      <w:r>
        <w:rPr>
          <w:color w:val="auto"/>
        </w:rPr>
        <w:t>2006, aggregate (</w:t>
      </w:r>
      <w:r w:rsidRPr="005D5112">
        <w:rPr>
          <w:color w:val="auto"/>
        </w:rPr>
        <w:t>value-added</w:t>
      </w:r>
      <w:r>
        <w:rPr>
          <w:color w:val="auto"/>
        </w:rPr>
        <w:t>) labour productivity</w:t>
      </w:r>
      <w:r w:rsidR="00843648">
        <w:rPr>
          <w:color w:val="auto"/>
        </w:rPr>
        <w:t xml:space="preserve"> growth</w:t>
      </w:r>
      <w:r>
        <w:rPr>
          <w:color w:val="auto"/>
        </w:rPr>
        <w:t xml:space="preserve"> was 0.3</w:t>
      </w:r>
      <w:r w:rsidR="00843648">
        <w:rPr>
          <w:color w:val="auto"/>
        </w:rPr>
        <w:t xml:space="preserve"> per cent</w:t>
      </w:r>
      <w:r>
        <w:rPr>
          <w:color w:val="auto"/>
        </w:rPr>
        <w:t xml:space="preserve"> per annum higher due to the (estimated) actual responsiveness from 2006 to 2007, compared to if responsiveness remained at its estimated 2003</w:t>
      </w:r>
      <w:r w:rsidR="00D35773">
        <w:rPr>
          <w:color w:val="auto"/>
        </w:rPr>
        <w:t xml:space="preserve"> level</w:t>
      </w:r>
      <w:r>
        <w:rPr>
          <w:color w:val="auto"/>
        </w:rPr>
        <w:t xml:space="preserve">. The decline in responsiveness in the second half of the sample implies a drag on aggregate </w:t>
      </w:r>
      <w:r w:rsidR="00326C0B">
        <w:rPr>
          <w:color w:val="auto"/>
        </w:rPr>
        <w:t xml:space="preserve">market sector </w:t>
      </w:r>
      <w:r>
        <w:rPr>
          <w:color w:val="auto"/>
        </w:rPr>
        <w:t xml:space="preserve">labour </w:t>
      </w:r>
      <w:r w:rsidRPr="000111C5">
        <w:rPr>
          <w:color w:val="auto"/>
        </w:rPr>
        <w:t xml:space="preserve">productivity </w:t>
      </w:r>
      <w:r w:rsidR="00326C0B" w:rsidRPr="000111C5">
        <w:rPr>
          <w:color w:val="auto"/>
        </w:rPr>
        <w:t xml:space="preserve">growth </w:t>
      </w:r>
      <w:r w:rsidRPr="00375415">
        <w:rPr>
          <w:color w:val="auto"/>
        </w:rPr>
        <w:t xml:space="preserve">of </w:t>
      </w:r>
      <w:r w:rsidR="00375415" w:rsidRPr="00FA66A8">
        <w:rPr>
          <w:color w:val="auto"/>
        </w:rPr>
        <w:t>around</w:t>
      </w:r>
      <w:r w:rsidR="00375415" w:rsidRPr="000111C5">
        <w:rPr>
          <w:color w:val="auto"/>
        </w:rPr>
        <w:t xml:space="preserve"> </w:t>
      </w:r>
      <w:r w:rsidR="00685EDD" w:rsidRPr="000111C5">
        <w:rPr>
          <w:color w:val="auto"/>
        </w:rPr>
        <w:t>0.</w:t>
      </w:r>
      <w:r w:rsidR="00375415" w:rsidRPr="00375415">
        <w:rPr>
          <w:color w:val="auto"/>
        </w:rPr>
        <w:t>1</w:t>
      </w:r>
      <w:r w:rsidR="00375415" w:rsidRPr="00FA66A8">
        <w:rPr>
          <w:color w:val="auto"/>
        </w:rPr>
        <w:t>5</w:t>
      </w:r>
      <w:r w:rsidR="00D33706">
        <w:rPr>
          <w:color w:val="auto"/>
        </w:rPr>
        <w:t xml:space="preserve"> per </w:t>
      </w:r>
      <w:r w:rsidR="00D33706">
        <w:rPr>
          <w:color w:val="auto"/>
        </w:rPr>
        <w:lastRenderedPageBreak/>
        <w:t>cent</w:t>
      </w:r>
      <w:r w:rsidR="00685EDD" w:rsidRPr="00375415">
        <w:rPr>
          <w:color w:val="auto"/>
        </w:rPr>
        <w:t xml:space="preserve"> </w:t>
      </w:r>
      <w:r w:rsidRPr="00375415">
        <w:rPr>
          <w:color w:val="auto"/>
        </w:rPr>
        <w:t>per year by 2016, compared to if reallocation dynamics had remained at their 2003 levels.</w:t>
      </w:r>
      <w:r w:rsidR="00685EDD" w:rsidRPr="000111C5">
        <w:rPr>
          <w:rStyle w:val="FootnoteReference"/>
          <w:color w:val="auto"/>
        </w:rPr>
        <w:footnoteReference w:id="20"/>
      </w:r>
      <w:r w:rsidR="00375415" w:rsidRPr="000111C5">
        <w:rPr>
          <w:color w:val="auto"/>
        </w:rPr>
        <w:t xml:space="preserve"> </w:t>
      </w:r>
    </w:p>
    <w:p w14:paraId="647AF1B3" w14:textId="77777777" w:rsidR="00CD1766" w:rsidRPr="00FA66A8" w:rsidRDefault="00CD1766" w:rsidP="00FB1737">
      <w:pPr>
        <w:pStyle w:val="FigureHeading"/>
      </w:pPr>
      <w:r w:rsidRPr="00FA66A8">
        <w:t>Figure 7: The c</w:t>
      </w:r>
      <w:r w:rsidR="00A26DA3">
        <w:t>hanging c</w:t>
      </w:r>
      <w:r w:rsidRPr="00FA66A8">
        <w:t>ontribution of reallocation to aggregate</w:t>
      </w:r>
      <w:r w:rsidR="00A26DA3">
        <w:t xml:space="preserve"> </w:t>
      </w:r>
      <w:r w:rsidRPr="00FA66A8">
        <w:t>labour productivity growth</w:t>
      </w:r>
    </w:p>
    <w:p w14:paraId="5B97457B" w14:textId="77777777" w:rsidR="00A26DA3" w:rsidRPr="004262E6" w:rsidRDefault="00A26DA3" w:rsidP="00D33706">
      <w:pPr>
        <w:pStyle w:val="FigureSecondHeading"/>
      </w:pPr>
      <w:r>
        <w:t xml:space="preserve">Panel A: </w:t>
      </w:r>
      <w:r w:rsidR="000E3C93">
        <w:t xml:space="preserve">Differential annual </w:t>
      </w:r>
      <w:r w:rsidRPr="004262E6">
        <w:t>labour productivity</w:t>
      </w:r>
      <w:r w:rsidR="000E3C93">
        <w:t xml:space="preserve"> growth given 2003 reallocation dynamics</w:t>
      </w:r>
    </w:p>
    <w:p w14:paraId="55515746" w14:textId="77777777" w:rsidR="00246743" w:rsidRPr="00560D98" w:rsidRDefault="00EA7198" w:rsidP="00241571">
      <w:pPr>
        <w:pStyle w:val="Figuregraphic"/>
        <w:rPr>
          <w:color w:val="auto"/>
        </w:rPr>
      </w:pPr>
      <w:r>
        <w:rPr>
          <w:noProof/>
          <w:lang w:eastAsia="en-AU"/>
        </w:rPr>
        <w:drawing>
          <wp:inline distT="0" distB="0" distL="0" distR="0" wp14:anchorId="07E6EC63" wp14:editId="41073675">
            <wp:extent cx="5580000" cy="2880000"/>
            <wp:effectExtent l="0" t="0" r="190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C8DFF3C" w14:textId="77777777" w:rsidR="00E17330" w:rsidRPr="00FA66A8" w:rsidRDefault="00A26DA3" w:rsidP="00D33706">
      <w:pPr>
        <w:pStyle w:val="FigureSecondHeading"/>
      </w:pPr>
      <w:r>
        <w:lastRenderedPageBreak/>
        <w:t>Panel B: A</w:t>
      </w:r>
      <w:r w:rsidR="00216C26" w:rsidRPr="00FA66A8">
        <w:t xml:space="preserve">verage annual growth in </w:t>
      </w:r>
      <w:r w:rsidR="000E3C93">
        <w:t>aggregate</w:t>
      </w:r>
      <w:r w:rsidR="00216C26" w:rsidRPr="00FA66A8">
        <w:t xml:space="preserve"> labour productivity</w:t>
      </w:r>
    </w:p>
    <w:p w14:paraId="5E855C5D" w14:textId="77777777" w:rsidR="00216C26" w:rsidRPr="00FA66A8" w:rsidRDefault="00EA7198" w:rsidP="00241571">
      <w:pPr>
        <w:pStyle w:val="FigureHeading"/>
        <w:rPr>
          <w:color w:val="auto"/>
        </w:rPr>
      </w:pPr>
      <w:r>
        <w:rPr>
          <w:noProof/>
        </w:rPr>
        <w:drawing>
          <wp:inline distT="0" distB="0" distL="0" distR="0" wp14:anchorId="4CC0EB96" wp14:editId="201AC577">
            <wp:extent cx="5580000" cy="2880000"/>
            <wp:effectExtent l="0" t="0" r="190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D354523" w14:textId="77777777" w:rsidR="00E17330" w:rsidRDefault="00A26DA3" w:rsidP="00FB1737">
      <w:pPr>
        <w:pStyle w:val="ChartorTableNote"/>
      </w:pPr>
      <w:r w:rsidRPr="00560D98">
        <w:t>Note</w:t>
      </w:r>
      <w:r>
        <w:t>s</w:t>
      </w:r>
      <w:r w:rsidRPr="00560D98">
        <w:t xml:space="preserve">:  </w:t>
      </w:r>
      <w:r>
        <w:t xml:space="preserve">Panel A </w:t>
      </w:r>
      <w:r w:rsidRPr="00560D98">
        <w:t>depicts annual movements in the counterfactual index in equation (</w:t>
      </w:r>
      <w:r w:rsidR="00AA5D97">
        <w:t>9</w:t>
      </w:r>
      <w:r w:rsidRPr="00560D98">
        <w:t>).</w:t>
      </w:r>
      <w:r w:rsidRPr="00275F6A">
        <w:t xml:space="preserve"> </w:t>
      </w:r>
      <w:r>
        <w:t>T</w:t>
      </w:r>
      <w:r w:rsidR="00216C26">
        <w:t>he counterfactual</w:t>
      </w:r>
      <w:r>
        <w:t xml:space="preserve"> in Panel B</w:t>
      </w:r>
      <w:r w:rsidR="00216C26">
        <w:t xml:space="preserve"> shows how much higher aggregate labour productivity growth would have been over 2012-2016 had the efficiency of labour reallocation not declined, based on the estimates in </w:t>
      </w:r>
      <w:r>
        <w:t>Panel A</w:t>
      </w:r>
      <w:r w:rsidR="00216C26">
        <w:t>.</w:t>
      </w:r>
      <w:r w:rsidR="00216C26" w:rsidRPr="00FA66A8">
        <w:t xml:space="preserve"> The actual data </w:t>
      </w:r>
      <w:r w:rsidR="000E3C93">
        <w:t xml:space="preserve">in Panel B </w:t>
      </w:r>
      <w:r w:rsidR="00216C26" w:rsidRPr="00FA66A8">
        <w:t>are based on ABS industry level labour productivity data and refer to the market sector excluding agriculture, mining, utilities and finance and insurance.</w:t>
      </w:r>
    </w:p>
    <w:p w14:paraId="3FAA1207" w14:textId="77777777" w:rsidR="00FB1737" w:rsidRPr="00FB1737" w:rsidRDefault="00FB1737" w:rsidP="00FB1737">
      <w:pPr>
        <w:pStyle w:val="SingleParagraph"/>
        <w:rPr>
          <w:lang w:eastAsia="en-AU"/>
        </w:rPr>
      </w:pPr>
    </w:p>
    <w:p w14:paraId="7A8266DD" w14:textId="77777777" w:rsidR="00571D39" w:rsidRDefault="00571D39" w:rsidP="00A62D27">
      <w:pPr>
        <w:jc w:val="both"/>
        <w:rPr>
          <w:color w:val="auto"/>
        </w:rPr>
      </w:pPr>
      <w:r>
        <w:rPr>
          <w:color w:val="auto"/>
        </w:rPr>
        <w:t xml:space="preserve">A simple back-of-the-envelope calculation suggests that the drag from slowing reallocation </w:t>
      </w:r>
      <w:r w:rsidRPr="004262E6">
        <w:rPr>
          <w:color w:val="auto"/>
        </w:rPr>
        <w:t>can account for roughly one-q</w:t>
      </w:r>
      <w:r w:rsidRPr="00400DED">
        <w:rPr>
          <w:color w:val="auto"/>
        </w:rPr>
        <w:t>uarter of the slowdown</w:t>
      </w:r>
      <w:r>
        <w:rPr>
          <w:color w:val="auto"/>
        </w:rPr>
        <w:t xml:space="preserve"> in aggregate </w:t>
      </w:r>
      <w:r w:rsidRPr="00400DED">
        <w:rPr>
          <w:color w:val="auto"/>
        </w:rPr>
        <w:t>labour productivity</w:t>
      </w:r>
      <w:r>
        <w:rPr>
          <w:color w:val="auto"/>
        </w:rPr>
        <w:t xml:space="preserve"> growth</w:t>
      </w:r>
      <w:r w:rsidRPr="00400DED">
        <w:rPr>
          <w:color w:val="auto"/>
        </w:rPr>
        <w:t xml:space="preserve"> for the industries included in </w:t>
      </w:r>
      <w:r>
        <w:rPr>
          <w:color w:val="auto"/>
        </w:rPr>
        <w:t>our</w:t>
      </w:r>
      <w:r w:rsidRPr="00400DED">
        <w:rPr>
          <w:color w:val="auto"/>
        </w:rPr>
        <w:t xml:space="preserve"> </w:t>
      </w:r>
      <w:r w:rsidRPr="004262E6">
        <w:rPr>
          <w:color w:val="auto"/>
        </w:rPr>
        <w:t>sample</w:t>
      </w:r>
      <w:r>
        <w:rPr>
          <w:color w:val="auto"/>
        </w:rPr>
        <w:t xml:space="preserve">, which declined by around 0.6 percentages points from 2003-2012 to 2012-2016 (Figure 7, Panel B). Some caution should be applied to precisely interpreting these magnitudes at the end points, given the use of a quadratic trend. </w:t>
      </w:r>
      <w:r w:rsidRPr="00D865B0">
        <w:rPr>
          <w:color w:val="auto"/>
        </w:rPr>
        <w:t>Instead, the point is that the</w:t>
      </w:r>
      <w:r>
        <w:rPr>
          <w:color w:val="auto"/>
        </w:rPr>
        <w:t xml:space="preserve"> decline in the efficiency of labour reallocation is </w:t>
      </w:r>
      <w:r w:rsidRPr="00D865B0">
        <w:rPr>
          <w:color w:val="auto"/>
        </w:rPr>
        <w:t xml:space="preserve">likely to </w:t>
      </w:r>
      <w:r>
        <w:rPr>
          <w:color w:val="auto"/>
        </w:rPr>
        <w:t xml:space="preserve">carry </w:t>
      </w:r>
      <w:r w:rsidRPr="00D865B0">
        <w:rPr>
          <w:color w:val="auto"/>
        </w:rPr>
        <w:t>material</w:t>
      </w:r>
      <w:r>
        <w:rPr>
          <w:color w:val="auto"/>
        </w:rPr>
        <w:t xml:space="preserve"> consequences for aggregate labour productivity performance.</w:t>
      </w:r>
      <w:r>
        <w:rPr>
          <w:rStyle w:val="FootnoteReference"/>
          <w:color w:val="auto"/>
        </w:rPr>
        <w:footnoteReference w:id="21"/>
      </w:r>
    </w:p>
    <w:p w14:paraId="77B121B2" w14:textId="77777777" w:rsidR="004A6010" w:rsidRDefault="0023785A" w:rsidP="00A62D27">
      <w:pPr>
        <w:jc w:val="both"/>
        <w:rPr>
          <w:color w:val="auto"/>
        </w:rPr>
      </w:pPr>
      <w:r w:rsidRPr="001F441A">
        <w:rPr>
          <w:color w:val="auto"/>
        </w:rPr>
        <w:lastRenderedPageBreak/>
        <w:t>Finally, o</w:t>
      </w:r>
      <w:r w:rsidR="00C92ABC" w:rsidRPr="001F441A">
        <w:rPr>
          <w:color w:val="auto"/>
        </w:rPr>
        <w:t xml:space="preserve">ur results </w:t>
      </w:r>
      <w:r w:rsidR="00002C74" w:rsidRPr="001F441A">
        <w:rPr>
          <w:color w:val="auto"/>
        </w:rPr>
        <w:t xml:space="preserve">may </w:t>
      </w:r>
      <w:r w:rsidR="00560D98">
        <w:rPr>
          <w:color w:val="auto"/>
        </w:rPr>
        <w:t xml:space="preserve">also </w:t>
      </w:r>
      <w:r w:rsidR="001F441A" w:rsidRPr="001F441A">
        <w:rPr>
          <w:color w:val="auto"/>
        </w:rPr>
        <w:t xml:space="preserve">provide </w:t>
      </w:r>
      <w:r w:rsidR="00560D98">
        <w:rPr>
          <w:color w:val="auto"/>
        </w:rPr>
        <w:t xml:space="preserve">insights into </w:t>
      </w:r>
      <w:r w:rsidR="00497F7D">
        <w:rPr>
          <w:color w:val="auto"/>
        </w:rPr>
        <w:t xml:space="preserve">why </w:t>
      </w:r>
      <w:r w:rsidR="001F441A" w:rsidRPr="001F441A">
        <w:rPr>
          <w:color w:val="auto"/>
        </w:rPr>
        <w:t>aggregate wage growth</w:t>
      </w:r>
      <w:r w:rsidR="00497F7D">
        <w:rPr>
          <w:color w:val="auto"/>
        </w:rPr>
        <w:t xml:space="preserve"> over recent years has been </w:t>
      </w:r>
      <w:r w:rsidR="00497F7D" w:rsidRPr="00497F7D">
        <w:rPr>
          <w:color w:val="auto"/>
        </w:rPr>
        <w:t>has been weaker than would have been expected based on historical relationships with its main macroeconomic determinants (Cassidy 2019; Quinn 2019).</w:t>
      </w:r>
      <w:r w:rsidR="00497F7D">
        <w:rPr>
          <w:rStyle w:val="FootnoteReference"/>
          <w:color w:val="auto"/>
        </w:rPr>
        <w:footnoteReference w:id="22"/>
      </w:r>
      <w:r w:rsidR="001F441A">
        <w:rPr>
          <w:color w:val="auto"/>
        </w:rPr>
        <w:t xml:space="preserve"> </w:t>
      </w:r>
      <w:r w:rsidR="00745F95">
        <w:rPr>
          <w:color w:val="auto"/>
        </w:rPr>
        <w:t xml:space="preserve">Figure </w:t>
      </w:r>
      <w:r w:rsidR="00571D39">
        <w:rPr>
          <w:color w:val="auto"/>
        </w:rPr>
        <w:t>8</w:t>
      </w:r>
      <w:r w:rsidR="00794727">
        <w:rPr>
          <w:color w:val="auto"/>
        </w:rPr>
        <w:t xml:space="preserve"> shows that </w:t>
      </w:r>
      <w:r w:rsidR="00B669DF" w:rsidRPr="00B669DF">
        <w:rPr>
          <w:color w:val="auto"/>
        </w:rPr>
        <w:t>nominal wage growth</w:t>
      </w:r>
      <w:r w:rsidR="00794727">
        <w:rPr>
          <w:color w:val="auto"/>
        </w:rPr>
        <w:t xml:space="preserve"> – as measured by the wage price index (WPI) – has declined</w:t>
      </w:r>
      <w:r w:rsidR="00B669DF" w:rsidRPr="00B669DF">
        <w:rPr>
          <w:color w:val="auto"/>
        </w:rPr>
        <w:t xml:space="preserve"> from an average of 4 per cent in the five years leading up to the Global Financial Crisis, to an average </w:t>
      </w:r>
      <w:r w:rsidR="00B669DF" w:rsidRPr="004257C9">
        <w:rPr>
          <w:color w:val="auto"/>
        </w:rPr>
        <w:t>of 2.1 per</w:t>
      </w:r>
      <w:r w:rsidR="00B669DF" w:rsidRPr="00B669DF">
        <w:rPr>
          <w:color w:val="auto"/>
        </w:rPr>
        <w:t xml:space="preserve"> cent in the past five years</w:t>
      </w:r>
      <w:r w:rsidR="008306A3" w:rsidRPr="008306A3">
        <w:rPr>
          <w:color w:val="auto"/>
        </w:rPr>
        <w:t>.</w:t>
      </w:r>
      <w:r w:rsidR="001F441A">
        <w:rPr>
          <w:color w:val="auto"/>
        </w:rPr>
        <w:t xml:space="preserve"> Interestingly, sluggish wage growth over this period has coincided with an increase in the share of </w:t>
      </w:r>
      <w:r w:rsidR="001F441A" w:rsidRPr="001F441A">
        <w:rPr>
          <w:color w:val="auto"/>
        </w:rPr>
        <w:t xml:space="preserve">firms </w:t>
      </w:r>
      <w:r w:rsidR="001F441A">
        <w:rPr>
          <w:color w:val="auto"/>
        </w:rPr>
        <w:t>reporting</w:t>
      </w:r>
      <w:r w:rsidR="001F441A" w:rsidRPr="001F441A">
        <w:rPr>
          <w:color w:val="auto"/>
        </w:rPr>
        <w:t xml:space="preserve"> it more difficult to find suitable workers</w:t>
      </w:r>
      <w:r w:rsidR="00236B8C">
        <w:rPr>
          <w:color w:val="auto"/>
        </w:rPr>
        <w:t xml:space="preserve"> </w:t>
      </w:r>
      <w:r w:rsidR="001F441A">
        <w:rPr>
          <w:color w:val="auto"/>
        </w:rPr>
        <w:t>– which historically has implied higher wage growth – raising the prospect that structural factors may be at play</w:t>
      </w:r>
      <w:r w:rsidR="00953C28">
        <w:rPr>
          <w:color w:val="auto"/>
        </w:rPr>
        <w:t xml:space="preserve"> (Lowe 2018)</w:t>
      </w:r>
      <w:r w:rsidR="001F441A" w:rsidRPr="00A62D27">
        <w:rPr>
          <w:color w:val="auto"/>
        </w:rPr>
        <w:t>.</w:t>
      </w:r>
    </w:p>
    <w:p w14:paraId="61669BC7" w14:textId="77777777" w:rsidR="004257C9" w:rsidRPr="004257C9" w:rsidRDefault="004A7B2D" w:rsidP="00920FBF">
      <w:pPr>
        <w:pStyle w:val="FigureHeading"/>
      </w:pPr>
      <w:r w:rsidRPr="00363D79">
        <w:t xml:space="preserve">Figure </w:t>
      </w:r>
      <w:r w:rsidR="00571D39" w:rsidRPr="00363D79">
        <w:t>8</w:t>
      </w:r>
      <w:r w:rsidRPr="00363D79">
        <w:t>: Constraints on Output and Wages Growth</w:t>
      </w:r>
    </w:p>
    <w:p w14:paraId="387313B6" w14:textId="77777777" w:rsidR="004A7B2D" w:rsidRDefault="0059637C" w:rsidP="00241571">
      <w:pPr>
        <w:pStyle w:val="Figuregraphic"/>
        <w:rPr>
          <w:color w:val="auto"/>
        </w:rPr>
      </w:pPr>
      <w:r>
        <w:rPr>
          <w:noProof/>
          <w:lang w:eastAsia="en-AU"/>
        </w:rPr>
        <w:drawing>
          <wp:inline distT="0" distB="0" distL="0" distR="0" wp14:anchorId="3E163641" wp14:editId="752C3526">
            <wp:extent cx="5436000" cy="2700000"/>
            <wp:effectExtent l="0" t="0" r="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1C7EE9B" w14:textId="77777777" w:rsidR="00236B8C" w:rsidRPr="00236B8C" w:rsidRDefault="00236B8C" w:rsidP="00FB1737">
      <w:pPr>
        <w:pStyle w:val="ChartorTableNote"/>
      </w:pPr>
      <w:r w:rsidRPr="00236B8C">
        <w:t xml:space="preserve">Notes: </w:t>
      </w:r>
      <w:r w:rsidR="00502B9D">
        <w:t xml:space="preserve">The </w:t>
      </w:r>
      <w:r w:rsidR="00502B9D" w:rsidRPr="00502B9D">
        <w:t>wage growth measure is year-ended growth in WPI. NAB survey measure shows share of firms reporting availability of suitable labour as a minor or significant constraint on output</w:t>
      </w:r>
      <w:r w:rsidRPr="00236B8C">
        <w:t>.</w:t>
      </w:r>
    </w:p>
    <w:p w14:paraId="5E1980B5" w14:textId="77777777" w:rsidR="004A7B2D" w:rsidRDefault="004A7B2D" w:rsidP="00FB1737">
      <w:pPr>
        <w:pStyle w:val="ChartorTableNote"/>
      </w:pPr>
      <w:r w:rsidRPr="00236B8C">
        <w:t>Source: ABS; NAB.</w:t>
      </w:r>
    </w:p>
    <w:p w14:paraId="136B75C6" w14:textId="77777777" w:rsidR="00FB1737" w:rsidRPr="00FB1737" w:rsidRDefault="00FB1737" w:rsidP="00FB1737">
      <w:pPr>
        <w:pStyle w:val="SingleParagraph"/>
        <w:rPr>
          <w:lang w:eastAsia="en-AU"/>
        </w:rPr>
      </w:pPr>
    </w:p>
    <w:p w14:paraId="1C91F47D" w14:textId="77777777" w:rsidR="00AA0561" w:rsidRPr="00236B8C" w:rsidRDefault="00AA0561" w:rsidP="00A62D27">
      <w:pPr>
        <w:jc w:val="both"/>
        <w:rPr>
          <w:color w:val="auto"/>
          <w:sz w:val="18"/>
          <w:szCs w:val="18"/>
        </w:rPr>
      </w:pPr>
      <w:r w:rsidRPr="00A62D27">
        <w:rPr>
          <w:color w:val="auto"/>
        </w:rPr>
        <w:lastRenderedPageBreak/>
        <w:t xml:space="preserve">One possible </w:t>
      </w:r>
      <w:r>
        <w:rPr>
          <w:color w:val="auto"/>
        </w:rPr>
        <w:t>contribution to reducing</w:t>
      </w:r>
      <w:r w:rsidRPr="00A62D27">
        <w:rPr>
          <w:color w:val="auto"/>
        </w:rPr>
        <w:t xml:space="preserve"> th</w:t>
      </w:r>
      <w:r>
        <w:rPr>
          <w:color w:val="auto"/>
        </w:rPr>
        <w:t>is puzzle</w:t>
      </w:r>
      <w:r w:rsidRPr="00A62D27">
        <w:rPr>
          <w:color w:val="auto"/>
        </w:rPr>
        <w:t xml:space="preserve"> is that the decline in the rate at which labour is </w:t>
      </w:r>
      <w:r>
        <w:rPr>
          <w:color w:val="auto"/>
        </w:rPr>
        <w:t xml:space="preserve">being </w:t>
      </w:r>
      <w:r w:rsidRPr="00A62D27">
        <w:rPr>
          <w:color w:val="auto"/>
        </w:rPr>
        <w:t>reallocated to high productivity firms implies that fewer high</w:t>
      </w:r>
      <w:r>
        <w:rPr>
          <w:color w:val="auto"/>
        </w:rPr>
        <w:t>-</w:t>
      </w:r>
      <w:r w:rsidRPr="00A62D27">
        <w:rPr>
          <w:color w:val="auto"/>
        </w:rPr>
        <w:t>paying jobs are being created than in the past</w:t>
      </w:r>
      <w:r>
        <w:rPr>
          <w:color w:val="auto"/>
        </w:rPr>
        <w:t>. We cite three ideas to support this conjecture</w:t>
      </w:r>
      <w:r w:rsidRPr="007A5D6D">
        <w:rPr>
          <w:color w:val="auto"/>
        </w:rPr>
        <w:t>. First, higher productivity firms pay higher wages, with the average wage paid by a high productivity</w:t>
      </w:r>
      <w:r w:rsidRPr="008C0A7F">
        <w:rPr>
          <w:color w:val="auto"/>
        </w:rPr>
        <w:t xml:space="preserve"> firm about 15</w:t>
      </w:r>
      <w:r w:rsidR="00D33706">
        <w:rPr>
          <w:color w:val="auto"/>
        </w:rPr>
        <w:t xml:space="preserve"> per cent</w:t>
      </w:r>
      <w:r w:rsidRPr="008C0A7F">
        <w:rPr>
          <w:color w:val="auto"/>
        </w:rPr>
        <w:t xml:space="preserve"> higher than that paid by a low productivity firm</w:t>
      </w:r>
      <w:r>
        <w:rPr>
          <w:color w:val="auto"/>
        </w:rPr>
        <w:t xml:space="preserve"> in the same industry, </w:t>
      </w:r>
      <w:r w:rsidRPr="008C0A7F">
        <w:rPr>
          <w:color w:val="auto"/>
        </w:rPr>
        <w:t>a</w:t>
      </w:r>
      <w:r>
        <w:rPr>
          <w:color w:val="auto"/>
        </w:rPr>
        <w:t>fter</w:t>
      </w:r>
      <w:r w:rsidRPr="008C0A7F">
        <w:rPr>
          <w:color w:val="auto"/>
        </w:rPr>
        <w:t xml:space="preserve"> controlling for a range of cyclical</w:t>
      </w:r>
      <w:r>
        <w:rPr>
          <w:color w:val="auto"/>
        </w:rPr>
        <w:t xml:space="preserve"> and firm-level</w:t>
      </w:r>
      <w:r w:rsidRPr="008C0A7F">
        <w:rPr>
          <w:color w:val="auto"/>
        </w:rPr>
        <w:t xml:space="preserve"> factors</w:t>
      </w:r>
      <w:r>
        <w:rPr>
          <w:color w:val="auto"/>
        </w:rPr>
        <w:t xml:space="preserve"> (see Appendix C)</w:t>
      </w:r>
      <w:r w:rsidRPr="008C0A7F">
        <w:rPr>
          <w:color w:val="auto"/>
        </w:rPr>
        <w:t>.</w:t>
      </w:r>
      <w:r w:rsidRPr="008C0A7F">
        <w:rPr>
          <w:rStyle w:val="FootnoteReference"/>
          <w:color w:val="auto"/>
        </w:rPr>
        <w:footnoteReference w:id="23"/>
      </w:r>
      <w:r>
        <w:rPr>
          <w:color w:val="auto"/>
        </w:rPr>
        <w:t xml:space="preserve"> Second, the timing appears to match with the </w:t>
      </w:r>
      <w:r w:rsidRPr="00A62D27">
        <w:rPr>
          <w:color w:val="auto"/>
        </w:rPr>
        <w:t xml:space="preserve">responsiveness of employment growth to productivity </w:t>
      </w:r>
      <w:r>
        <w:rPr>
          <w:color w:val="auto"/>
        </w:rPr>
        <w:t xml:space="preserve">weakening particularly </w:t>
      </w:r>
      <w:r w:rsidRPr="00A62D27">
        <w:rPr>
          <w:color w:val="auto"/>
        </w:rPr>
        <w:t>from around 2012 (Figure 7</w:t>
      </w:r>
      <w:r w:rsidR="00571D39">
        <w:rPr>
          <w:color w:val="auto"/>
        </w:rPr>
        <w:t>, Panel A</w:t>
      </w:r>
      <w:r w:rsidRPr="00A62D27">
        <w:rPr>
          <w:color w:val="auto"/>
        </w:rPr>
        <w:t>) when wages growth significantly weakens.</w:t>
      </w:r>
      <w:r>
        <w:rPr>
          <w:color w:val="auto"/>
        </w:rPr>
        <w:t xml:space="preserve"> Finally, if high productivity firms have a greater reliance on skilled labour, then a rise in adjustment frictions which reduce the ability of the economy to reallocate labour to high productivity firms could partly account for why more firms are reporting</w:t>
      </w:r>
      <w:r w:rsidRPr="001F441A">
        <w:rPr>
          <w:color w:val="auto"/>
        </w:rPr>
        <w:t xml:space="preserve"> it more difficult to find suitable</w:t>
      </w:r>
      <w:r w:rsidR="00D33706">
        <w:rPr>
          <w:color w:val="auto"/>
        </w:rPr>
        <w:t> </w:t>
      </w:r>
      <w:r w:rsidRPr="001F441A">
        <w:rPr>
          <w:color w:val="auto"/>
        </w:rPr>
        <w:t>workers</w:t>
      </w:r>
      <w:r>
        <w:rPr>
          <w:color w:val="auto"/>
        </w:rPr>
        <w:t>.</w:t>
      </w:r>
    </w:p>
    <w:p w14:paraId="265D24CC" w14:textId="77777777" w:rsidR="00D319EE" w:rsidRDefault="003B3B59" w:rsidP="00D319EE">
      <w:pPr>
        <w:pStyle w:val="Heading2"/>
        <w:numPr>
          <w:ilvl w:val="0"/>
          <w:numId w:val="32"/>
        </w:numPr>
        <w:spacing w:before="240"/>
      </w:pPr>
      <w:r>
        <w:t>Concl</w:t>
      </w:r>
      <w:r w:rsidR="00C95442">
        <w:t>u</w:t>
      </w:r>
      <w:r w:rsidR="00C92ABC">
        <w:t>sion</w:t>
      </w:r>
    </w:p>
    <w:p w14:paraId="5E59613A" w14:textId="77777777" w:rsidR="002B5007" w:rsidRDefault="003B3B59" w:rsidP="003B3B59">
      <w:pPr>
        <w:jc w:val="both"/>
        <w:rPr>
          <w:lang w:val="en-US" w:eastAsia="en-AU"/>
        </w:rPr>
      </w:pPr>
      <w:r>
        <w:rPr>
          <w:lang w:val="en-US" w:eastAsia="en-AU"/>
        </w:rPr>
        <w:t>T</w:t>
      </w:r>
      <w:r w:rsidRPr="003B3B59">
        <w:rPr>
          <w:lang w:val="en-US" w:eastAsia="en-AU"/>
        </w:rPr>
        <w:t xml:space="preserve">his paper exploits firm-level data to explore the </w:t>
      </w:r>
      <w:r w:rsidR="00E43878">
        <w:rPr>
          <w:lang w:val="en-US" w:eastAsia="en-AU"/>
        </w:rPr>
        <w:t xml:space="preserve">link between productivity, labour reallocation and market selection </w:t>
      </w:r>
      <w:r w:rsidRPr="003B3B59">
        <w:rPr>
          <w:lang w:val="en-US" w:eastAsia="en-AU"/>
        </w:rPr>
        <w:t>in Australia over the period 200</w:t>
      </w:r>
      <w:r w:rsidR="007B596F">
        <w:rPr>
          <w:lang w:val="en-US" w:eastAsia="en-AU"/>
        </w:rPr>
        <w:t>2</w:t>
      </w:r>
      <w:r w:rsidRPr="003B3B59">
        <w:rPr>
          <w:lang w:val="en-US" w:eastAsia="en-AU"/>
        </w:rPr>
        <w:t xml:space="preserve">-2016. We first show that </w:t>
      </w:r>
      <w:r w:rsidR="007B596F">
        <w:rPr>
          <w:lang w:val="en-US" w:eastAsia="en-AU"/>
        </w:rPr>
        <w:t xml:space="preserve">the </w:t>
      </w:r>
      <w:r w:rsidRPr="003B3B59">
        <w:rPr>
          <w:lang w:val="en-US" w:eastAsia="en-AU"/>
        </w:rPr>
        <w:t xml:space="preserve">level of aggregate labour productivity is significantly higher owing to the fact that more productive firms on average account for </w:t>
      </w:r>
      <w:r w:rsidR="007B596F">
        <w:rPr>
          <w:lang w:val="en-US" w:eastAsia="en-AU"/>
        </w:rPr>
        <w:t xml:space="preserve">a </w:t>
      </w:r>
      <w:r w:rsidRPr="003B3B59">
        <w:rPr>
          <w:lang w:val="en-US" w:eastAsia="en-AU"/>
        </w:rPr>
        <w:t>higher share of industry employment, particularly in sectors</w:t>
      </w:r>
      <w:r w:rsidR="009C41C8">
        <w:rPr>
          <w:lang w:val="en-US" w:eastAsia="en-AU"/>
        </w:rPr>
        <w:t xml:space="preserve"> that are</w:t>
      </w:r>
      <w:r w:rsidRPr="003B3B59">
        <w:rPr>
          <w:lang w:val="en-US" w:eastAsia="en-AU"/>
        </w:rPr>
        <w:t xml:space="preserve"> more exposed to competitive pressure. </w:t>
      </w:r>
      <w:r w:rsidR="00560D98">
        <w:rPr>
          <w:lang w:val="en-US" w:eastAsia="en-AU"/>
        </w:rPr>
        <w:t>Moreover, t</w:t>
      </w:r>
      <w:r w:rsidR="00FB582C">
        <w:rPr>
          <w:lang w:val="en-US" w:eastAsia="en-AU"/>
        </w:rPr>
        <w:t>he level of</w:t>
      </w:r>
      <w:r w:rsidR="002B5007">
        <w:rPr>
          <w:lang w:val="en-US" w:eastAsia="en-AU"/>
        </w:rPr>
        <w:t xml:space="preserve"> </w:t>
      </w:r>
      <w:r w:rsidR="002B5007" w:rsidRPr="00302D55">
        <w:rPr>
          <w:color w:val="auto"/>
        </w:rPr>
        <w:t xml:space="preserve">static allocative efficiency in Australia </w:t>
      </w:r>
      <w:r w:rsidR="00E43878">
        <w:rPr>
          <w:color w:val="auto"/>
        </w:rPr>
        <w:t xml:space="preserve">is higher </w:t>
      </w:r>
      <w:r w:rsidR="00560D98">
        <w:rPr>
          <w:color w:val="auto"/>
        </w:rPr>
        <w:t>than in</w:t>
      </w:r>
      <w:r w:rsidR="002B5007" w:rsidRPr="00302D55">
        <w:rPr>
          <w:color w:val="auto"/>
        </w:rPr>
        <w:t xml:space="preserve"> </w:t>
      </w:r>
      <w:r w:rsidR="00E43878" w:rsidRPr="00302D55">
        <w:rPr>
          <w:color w:val="auto"/>
        </w:rPr>
        <w:t>m</w:t>
      </w:r>
      <w:r w:rsidR="00E43878">
        <w:rPr>
          <w:color w:val="auto"/>
        </w:rPr>
        <w:t>ost</w:t>
      </w:r>
      <w:r w:rsidR="00E43878" w:rsidRPr="00302D55">
        <w:rPr>
          <w:color w:val="auto"/>
        </w:rPr>
        <w:t xml:space="preserve"> </w:t>
      </w:r>
      <w:r w:rsidR="002B5007" w:rsidRPr="00302D55">
        <w:rPr>
          <w:color w:val="auto"/>
        </w:rPr>
        <w:t>other OECD countries</w:t>
      </w:r>
      <w:r w:rsidR="002B5007">
        <w:rPr>
          <w:color w:val="auto"/>
        </w:rPr>
        <w:t xml:space="preserve">, </w:t>
      </w:r>
      <w:r w:rsidR="00953C28">
        <w:rPr>
          <w:color w:val="auto"/>
        </w:rPr>
        <w:t xml:space="preserve">perhaps </w:t>
      </w:r>
      <w:r w:rsidR="002B5007">
        <w:rPr>
          <w:color w:val="auto"/>
        </w:rPr>
        <w:t xml:space="preserve">reflecting the </w:t>
      </w:r>
      <w:r w:rsidR="002B5007" w:rsidRPr="00302D55">
        <w:rPr>
          <w:color w:val="auto"/>
        </w:rPr>
        <w:t xml:space="preserve">cumulated gains of past structural reforms, which </w:t>
      </w:r>
      <w:r w:rsidR="00953C28">
        <w:rPr>
          <w:color w:val="auto"/>
        </w:rPr>
        <w:t xml:space="preserve">may </w:t>
      </w:r>
      <w:r w:rsidR="002B5007" w:rsidRPr="00302D55">
        <w:rPr>
          <w:color w:val="auto"/>
        </w:rPr>
        <w:t xml:space="preserve">have </w:t>
      </w:r>
      <w:r w:rsidR="002B5007">
        <w:rPr>
          <w:color w:val="auto"/>
        </w:rPr>
        <w:t xml:space="preserve">enhanced the capacity of </w:t>
      </w:r>
      <w:r w:rsidR="002B5007" w:rsidRPr="00302D55">
        <w:rPr>
          <w:color w:val="auto"/>
        </w:rPr>
        <w:t xml:space="preserve">the Australian economy </w:t>
      </w:r>
      <w:r w:rsidR="002B5007">
        <w:rPr>
          <w:color w:val="auto"/>
        </w:rPr>
        <w:t>to</w:t>
      </w:r>
      <w:r w:rsidR="002B5007" w:rsidRPr="00302D55">
        <w:rPr>
          <w:color w:val="auto"/>
        </w:rPr>
        <w:t xml:space="preserve"> reallocat</w:t>
      </w:r>
      <w:r w:rsidR="002B5007">
        <w:rPr>
          <w:color w:val="auto"/>
        </w:rPr>
        <w:t>e scarce</w:t>
      </w:r>
      <w:r w:rsidR="002B5007" w:rsidRPr="00302D55">
        <w:rPr>
          <w:color w:val="auto"/>
        </w:rPr>
        <w:t xml:space="preserve"> resources to high productivity firms.</w:t>
      </w:r>
    </w:p>
    <w:p w14:paraId="25F3D3FA" w14:textId="77777777" w:rsidR="004C7E14" w:rsidRDefault="003B3B59" w:rsidP="0055464B">
      <w:pPr>
        <w:jc w:val="both"/>
        <w:rPr>
          <w:lang w:val="en-US" w:eastAsia="en-AU"/>
        </w:rPr>
      </w:pPr>
      <w:r w:rsidRPr="003B3B59">
        <w:rPr>
          <w:lang w:val="en-US" w:eastAsia="en-AU"/>
        </w:rPr>
        <w:lastRenderedPageBreak/>
        <w:t xml:space="preserve">We then </w:t>
      </w:r>
      <w:r w:rsidR="0055464B">
        <w:rPr>
          <w:lang w:val="en-US" w:eastAsia="en-AU"/>
        </w:rPr>
        <w:t xml:space="preserve">show that </w:t>
      </w:r>
      <w:r w:rsidRPr="003B3B59">
        <w:rPr>
          <w:lang w:val="en-US" w:eastAsia="en-AU"/>
        </w:rPr>
        <w:t>high</w:t>
      </w:r>
      <w:r w:rsidR="00AC6323">
        <w:rPr>
          <w:lang w:val="en-US" w:eastAsia="en-AU"/>
        </w:rPr>
        <w:t>-</w:t>
      </w:r>
      <w:r w:rsidRPr="003B3B59">
        <w:rPr>
          <w:lang w:val="en-US" w:eastAsia="en-AU"/>
        </w:rPr>
        <w:t xml:space="preserve">productivity firms are more likely to expand and low productivity firms are more likely to contract (or exit), </w:t>
      </w:r>
      <w:r w:rsidR="0055464B">
        <w:rPr>
          <w:lang w:val="en-US" w:eastAsia="en-AU"/>
        </w:rPr>
        <w:t xml:space="preserve">implying a </w:t>
      </w:r>
      <w:r w:rsidR="0055464B">
        <w:rPr>
          <w:color w:val="auto"/>
        </w:rPr>
        <w:t>positive contribution from dynamic</w:t>
      </w:r>
      <w:r w:rsidR="0055464B" w:rsidRPr="00802352">
        <w:rPr>
          <w:color w:val="auto"/>
        </w:rPr>
        <w:t xml:space="preserve"> reallocation to aggregate productivity growth</w:t>
      </w:r>
      <w:r w:rsidR="0055464B">
        <w:rPr>
          <w:color w:val="auto"/>
        </w:rPr>
        <w:t>. But th</w:t>
      </w:r>
      <w:r w:rsidRPr="003B3B59">
        <w:rPr>
          <w:lang w:val="en-US" w:eastAsia="en-AU"/>
        </w:rPr>
        <w:t xml:space="preserve">e extent to which this is true has diminished over time. Counterfactual analysis shows that the weakening responsiveness of employment growth to firm productivity </w:t>
      </w:r>
      <w:r w:rsidRPr="000111C5">
        <w:rPr>
          <w:lang w:val="en-US" w:eastAsia="en-AU"/>
        </w:rPr>
        <w:t xml:space="preserve">entails a </w:t>
      </w:r>
      <w:r w:rsidRPr="006F3E79">
        <w:rPr>
          <w:lang w:val="en-US" w:eastAsia="en-AU"/>
        </w:rPr>
        <w:t>significant drag on aggregate productivity</w:t>
      </w:r>
      <w:r w:rsidR="0090565E" w:rsidRPr="006F3E79">
        <w:rPr>
          <w:lang w:val="en-US" w:eastAsia="en-AU"/>
        </w:rPr>
        <w:t>, potentially accounting for up to one-quarter of the slowdown in</w:t>
      </w:r>
      <w:r w:rsidR="0090565E">
        <w:rPr>
          <w:lang w:val="en-US" w:eastAsia="en-AU"/>
        </w:rPr>
        <w:t xml:space="preserve"> aggregate labour productivity growth for the industries covered in our analysis</w:t>
      </w:r>
      <w:r w:rsidR="00FB582C">
        <w:rPr>
          <w:lang w:val="en-US" w:eastAsia="en-AU"/>
        </w:rPr>
        <w:t>.</w:t>
      </w:r>
      <w:r w:rsidR="004C7E14">
        <w:rPr>
          <w:lang w:val="en-US" w:eastAsia="en-AU"/>
        </w:rPr>
        <w:t xml:space="preserve"> </w:t>
      </w:r>
      <w:r w:rsidR="001E7104">
        <w:rPr>
          <w:lang w:val="en-US" w:eastAsia="en-AU"/>
        </w:rPr>
        <w:t>Th</w:t>
      </w:r>
      <w:r w:rsidR="003D73B6">
        <w:rPr>
          <w:lang w:val="en-US" w:eastAsia="en-AU"/>
        </w:rPr>
        <w:t>is</w:t>
      </w:r>
      <w:r w:rsidR="001E7104">
        <w:rPr>
          <w:lang w:val="en-US" w:eastAsia="en-AU"/>
        </w:rPr>
        <w:t xml:space="preserve"> raises important questions as to why the forces of reallocation and market selection have seemingly weakened</w:t>
      </w:r>
      <w:r w:rsidR="001E7104" w:rsidRPr="003B3B59">
        <w:rPr>
          <w:lang w:val="en-US" w:eastAsia="en-AU"/>
        </w:rPr>
        <w:t>.</w:t>
      </w:r>
      <w:r w:rsidR="001E7104">
        <w:rPr>
          <w:lang w:val="en-US" w:eastAsia="en-AU"/>
        </w:rPr>
        <w:t xml:space="preserve"> </w:t>
      </w:r>
    </w:p>
    <w:p w14:paraId="1617D27F" w14:textId="77777777" w:rsidR="00D82CDF" w:rsidRDefault="00D82CDF" w:rsidP="00D82CDF">
      <w:pPr>
        <w:jc w:val="both"/>
        <w:rPr>
          <w:lang w:val="en-US" w:eastAsia="en-AU"/>
        </w:rPr>
      </w:pPr>
      <w:r>
        <w:rPr>
          <w:lang w:val="en-US" w:eastAsia="en-AU"/>
        </w:rPr>
        <w:t xml:space="preserve">One possibility is that productive firms are increasingly expanding on margins other than labour, such as capital. An important next step will be </w:t>
      </w:r>
      <w:r w:rsidR="007B596F">
        <w:rPr>
          <w:lang w:val="en-US" w:eastAsia="en-AU"/>
        </w:rPr>
        <w:t xml:space="preserve">to </w:t>
      </w:r>
      <w:r>
        <w:rPr>
          <w:lang w:val="en-US" w:eastAsia="en-AU"/>
        </w:rPr>
        <w:t>utilize firm</w:t>
      </w:r>
      <w:r w:rsidR="00AC6323">
        <w:rPr>
          <w:lang w:val="en-US" w:eastAsia="en-AU"/>
        </w:rPr>
        <w:t>-</w:t>
      </w:r>
      <w:r>
        <w:rPr>
          <w:lang w:val="en-US" w:eastAsia="en-AU"/>
        </w:rPr>
        <w:t xml:space="preserve">level capital stock and </w:t>
      </w:r>
      <w:r w:rsidR="009C41C8">
        <w:rPr>
          <w:lang w:val="en-US" w:eastAsia="en-AU"/>
        </w:rPr>
        <w:t xml:space="preserve">MFP </w:t>
      </w:r>
      <w:r>
        <w:rPr>
          <w:lang w:val="en-US" w:eastAsia="en-AU"/>
        </w:rPr>
        <w:t>estimates (</w:t>
      </w:r>
      <w:r w:rsidR="007B596F">
        <w:rPr>
          <w:lang w:val="en-US" w:eastAsia="en-AU"/>
        </w:rPr>
        <w:t>Fox, 2019 forthcoming</w:t>
      </w:r>
      <w:r>
        <w:rPr>
          <w:lang w:val="en-US" w:eastAsia="en-AU"/>
        </w:rPr>
        <w:t>) to examine the responsiveness of capital growth to</w:t>
      </w:r>
      <w:r w:rsidR="0055464B">
        <w:rPr>
          <w:lang w:val="en-US" w:eastAsia="en-AU"/>
        </w:rPr>
        <w:t xml:space="preserve"> firm</w:t>
      </w:r>
      <w:r>
        <w:rPr>
          <w:lang w:val="en-US" w:eastAsia="en-AU"/>
        </w:rPr>
        <w:t xml:space="preserve"> MFP. </w:t>
      </w:r>
      <w:r w:rsidR="00434A51">
        <w:rPr>
          <w:lang w:val="en-US" w:eastAsia="en-AU"/>
        </w:rPr>
        <w:t>T</w:t>
      </w:r>
      <w:r w:rsidR="00814D1B">
        <w:rPr>
          <w:lang w:val="en-US" w:eastAsia="en-AU"/>
        </w:rPr>
        <w:t>he experience from international studies</w:t>
      </w:r>
      <w:r w:rsidR="00434A51">
        <w:rPr>
          <w:lang w:val="en-US" w:eastAsia="en-AU"/>
        </w:rPr>
        <w:t>, however</w:t>
      </w:r>
      <w:r w:rsidR="00814D1B">
        <w:rPr>
          <w:lang w:val="en-US" w:eastAsia="en-AU"/>
        </w:rPr>
        <w:t xml:space="preserve"> is that such definitional changes rarely </w:t>
      </w:r>
      <w:r w:rsidR="004404D1">
        <w:rPr>
          <w:lang w:val="en-US" w:eastAsia="en-AU"/>
        </w:rPr>
        <w:t>alter</w:t>
      </w:r>
      <w:r w:rsidR="00814D1B">
        <w:rPr>
          <w:lang w:val="en-US" w:eastAsia="en-AU"/>
        </w:rPr>
        <w:t xml:space="preserve"> the results. </w:t>
      </w:r>
      <w:r w:rsidR="00822A55">
        <w:rPr>
          <w:lang w:val="en-US" w:eastAsia="en-AU"/>
        </w:rPr>
        <w:t xml:space="preserve">Another possibility is that </w:t>
      </w:r>
      <w:r>
        <w:rPr>
          <w:lang w:val="en-US" w:eastAsia="en-AU"/>
        </w:rPr>
        <w:t>productive firms are increasingly expanding offshore</w:t>
      </w:r>
      <w:r w:rsidR="009C41C8">
        <w:rPr>
          <w:lang w:val="en-US" w:eastAsia="en-AU"/>
        </w:rPr>
        <w:t>,</w:t>
      </w:r>
      <w:r>
        <w:rPr>
          <w:lang w:val="en-US" w:eastAsia="en-AU"/>
        </w:rPr>
        <w:t xml:space="preserve"> </w:t>
      </w:r>
      <w:r w:rsidR="00665A80">
        <w:rPr>
          <w:lang w:val="en-US" w:eastAsia="en-AU"/>
        </w:rPr>
        <w:t xml:space="preserve">but this seems unlikely to be driving results given that the decline in reallocation in manufacturing </w:t>
      </w:r>
      <w:r w:rsidR="00DA70F2">
        <w:rPr>
          <w:lang w:val="en-US" w:eastAsia="en-AU"/>
        </w:rPr>
        <w:t xml:space="preserve">– a </w:t>
      </w:r>
      <w:r w:rsidR="00665A80">
        <w:rPr>
          <w:lang w:val="en-US" w:eastAsia="en-AU"/>
        </w:rPr>
        <w:t>sector where this phenomenon should be most relevant</w:t>
      </w:r>
      <w:r w:rsidR="00DA70F2">
        <w:rPr>
          <w:lang w:val="en-US" w:eastAsia="en-AU"/>
        </w:rPr>
        <w:t xml:space="preserve"> –</w:t>
      </w:r>
      <w:r w:rsidR="00665A80">
        <w:rPr>
          <w:lang w:val="en-US" w:eastAsia="en-AU"/>
        </w:rPr>
        <w:t xml:space="preserve"> is broadly similar to the rest of the market economy.</w:t>
      </w:r>
      <w:r>
        <w:rPr>
          <w:lang w:val="en-US" w:eastAsia="en-AU"/>
        </w:rPr>
        <w:t xml:space="preserve"> </w:t>
      </w:r>
    </w:p>
    <w:p w14:paraId="2AF32037" w14:textId="77777777" w:rsidR="00A14EFB" w:rsidRDefault="004C7E14" w:rsidP="00A14EFB">
      <w:pPr>
        <w:jc w:val="both"/>
        <w:rPr>
          <w:lang w:val="en-US" w:eastAsia="en-AU"/>
        </w:rPr>
      </w:pPr>
      <w:r>
        <w:rPr>
          <w:lang w:val="en-US" w:eastAsia="en-AU"/>
        </w:rPr>
        <w:t>Th</w:t>
      </w:r>
      <w:r w:rsidR="00FC34BA">
        <w:rPr>
          <w:lang w:val="en-US" w:eastAsia="en-AU"/>
        </w:rPr>
        <w:t xml:space="preserve">e fact that </w:t>
      </w:r>
      <w:r>
        <w:rPr>
          <w:lang w:val="en-US" w:eastAsia="en-AU"/>
        </w:rPr>
        <w:t>declinin</w:t>
      </w:r>
      <w:r w:rsidR="000D3258">
        <w:rPr>
          <w:lang w:val="en-US" w:eastAsia="en-AU"/>
        </w:rPr>
        <w:t>g</w:t>
      </w:r>
      <w:r>
        <w:rPr>
          <w:lang w:val="en-US" w:eastAsia="en-AU"/>
        </w:rPr>
        <w:t xml:space="preserve"> reallocation has</w:t>
      </w:r>
      <w:r w:rsidR="00FC34BA">
        <w:rPr>
          <w:lang w:val="en-US" w:eastAsia="en-AU"/>
        </w:rPr>
        <w:t xml:space="preserve"> not occurred in isolation</w:t>
      </w:r>
      <w:r w:rsidR="009C41C8">
        <w:rPr>
          <w:lang w:val="en-US" w:eastAsia="en-AU"/>
        </w:rPr>
        <w:t>,</w:t>
      </w:r>
      <w:r w:rsidR="00FC34BA">
        <w:rPr>
          <w:lang w:val="en-US" w:eastAsia="en-AU"/>
        </w:rPr>
        <w:t xml:space="preserve"> but has </w:t>
      </w:r>
      <w:r w:rsidR="0067046C">
        <w:rPr>
          <w:lang w:val="en-US" w:eastAsia="en-AU"/>
        </w:rPr>
        <w:t xml:space="preserve">instead </w:t>
      </w:r>
      <w:r w:rsidR="00FC34BA">
        <w:rPr>
          <w:lang w:val="en-US" w:eastAsia="en-AU"/>
        </w:rPr>
        <w:t>b</w:t>
      </w:r>
      <w:r>
        <w:rPr>
          <w:lang w:val="en-US" w:eastAsia="en-AU"/>
        </w:rPr>
        <w:t xml:space="preserve">een accompanied by a systematic decline in </w:t>
      </w:r>
      <w:r w:rsidR="00822A55">
        <w:rPr>
          <w:lang w:val="en-US" w:eastAsia="en-AU"/>
        </w:rPr>
        <w:t xml:space="preserve">firm entry </w:t>
      </w:r>
      <w:r w:rsidR="00FC34BA">
        <w:rPr>
          <w:lang w:val="en-US" w:eastAsia="en-AU"/>
        </w:rPr>
        <w:t>and</w:t>
      </w:r>
      <w:r w:rsidR="00822A55">
        <w:rPr>
          <w:lang w:val="en-US" w:eastAsia="en-AU"/>
        </w:rPr>
        <w:t xml:space="preserve"> job switching</w:t>
      </w:r>
      <w:r w:rsidR="0067046C">
        <w:rPr>
          <w:lang w:val="en-US" w:eastAsia="en-AU"/>
        </w:rPr>
        <w:t xml:space="preserve"> rates</w:t>
      </w:r>
      <w:r w:rsidR="009C41C8">
        <w:rPr>
          <w:lang w:val="en-US" w:eastAsia="en-AU"/>
        </w:rPr>
        <w:t>,</w:t>
      </w:r>
      <w:r>
        <w:rPr>
          <w:lang w:val="en-US" w:eastAsia="en-AU"/>
        </w:rPr>
        <w:t xml:space="preserve"> suggests </w:t>
      </w:r>
      <w:r w:rsidR="00855A9A">
        <w:rPr>
          <w:lang w:val="en-US" w:eastAsia="en-AU"/>
        </w:rPr>
        <w:t xml:space="preserve">an explanation other than </w:t>
      </w:r>
      <w:r w:rsidR="00D82CDF">
        <w:rPr>
          <w:lang w:val="en-US" w:eastAsia="en-AU"/>
        </w:rPr>
        <w:t>mismeasurement</w:t>
      </w:r>
      <w:r>
        <w:rPr>
          <w:lang w:val="en-US" w:eastAsia="en-AU"/>
        </w:rPr>
        <w:t xml:space="preserve">. If declining market dynamism is real, </w:t>
      </w:r>
      <w:r w:rsidR="00792AE4">
        <w:rPr>
          <w:lang w:val="en-US" w:eastAsia="en-AU"/>
        </w:rPr>
        <w:t>th</w:t>
      </w:r>
      <w:r w:rsidR="00B34577">
        <w:rPr>
          <w:lang w:val="en-US" w:eastAsia="en-AU"/>
        </w:rPr>
        <w:t>e</w:t>
      </w:r>
      <w:r w:rsidR="00792AE4">
        <w:rPr>
          <w:lang w:val="en-US" w:eastAsia="en-AU"/>
        </w:rPr>
        <w:t xml:space="preserve">n </w:t>
      </w:r>
      <w:r w:rsidR="00A14EFB">
        <w:rPr>
          <w:lang w:val="en-US" w:eastAsia="en-AU"/>
        </w:rPr>
        <w:t xml:space="preserve">what are the implications for policy? </w:t>
      </w:r>
    </w:p>
    <w:p w14:paraId="4C279BCC" w14:textId="77777777" w:rsidR="001E7104" w:rsidRDefault="004B5784" w:rsidP="00A14EFB">
      <w:pPr>
        <w:jc w:val="both"/>
        <w:rPr>
          <w:lang w:val="en-US" w:eastAsia="en-AU"/>
        </w:rPr>
      </w:pPr>
      <w:r>
        <w:rPr>
          <w:lang w:val="en-US" w:eastAsia="en-AU"/>
        </w:rPr>
        <w:t>T</w:t>
      </w:r>
      <w:r w:rsidR="001E7104">
        <w:rPr>
          <w:lang w:val="en-US" w:eastAsia="en-AU"/>
        </w:rPr>
        <w:t xml:space="preserve">here are </w:t>
      </w:r>
      <w:r w:rsidR="003E261D">
        <w:rPr>
          <w:lang w:val="en-US" w:eastAsia="en-AU"/>
        </w:rPr>
        <w:t xml:space="preserve">plausible </w:t>
      </w:r>
      <w:r w:rsidR="001E7104">
        <w:rPr>
          <w:lang w:val="en-US" w:eastAsia="en-AU"/>
        </w:rPr>
        <w:t>reasons why declinin</w:t>
      </w:r>
      <w:r w:rsidR="003E261D">
        <w:rPr>
          <w:lang w:val="en-US" w:eastAsia="en-AU"/>
        </w:rPr>
        <w:t>g</w:t>
      </w:r>
      <w:r w:rsidR="001E7104">
        <w:rPr>
          <w:lang w:val="en-US" w:eastAsia="en-AU"/>
        </w:rPr>
        <w:t xml:space="preserve"> dynamism </w:t>
      </w:r>
      <w:r w:rsidR="003E261D">
        <w:rPr>
          <w:lang w:val="en-US" w:eastAsia="en-AU"/>
        </w:rPr>
        <w:t xml:space="preserve">may be </w:t>
      </w:r>
      <w:r w:rsidR="001E7104">
        <w:rPr>
          <w:lang w:val="en-US" w:eastAsia="en-AU"/>
        </w:rPr>
        <w:t>innocuous and not necessarily a concern for policymakers. If firm-specific human capital has become more important</w:t>
      </w:r>
      <w:r w:rsidR="00E43878">
        <w:rPr>
          <w:lang w:val="en-US" w:eastAsia="en-AU"/>
        </w:rPr>
        <w:t xml:space="preserve"> </w:t>
      </w:r>
      <w:r w:rsidR="001E7104">
        <w:rPr>
          <w:lang w:val="en-US" w:eastAsia="en-AU"/>
        </w:rPr>
        <w:t xml:space="preserve">due to the rise of intangible capital and the ideas-based economy, then the cost of job separation from the perspective of both employers and workers may have risen (Cairo and Cajner, 2018). It then follows that the level of job reallocation and market dynamism required to accommodate a given level of </w:t>
      </w:r>
      <w:r w:rsidR="001E7104">
        <w:rPr>
          <w:lang w:val="en-US" w:eastAsia="en-AU"/>
        </w:rPr>
        <w:lastRenderedPageBreak/>
        <w:t xml:space="preserve">aggregate growth may have fallen. </w:t>
      </w:r>
      <w:r w:rsidR="00FB259A">
        <w:rPr>
          <w:lang w:val="en-US" w:eastAsia="en-AU"/>
        </w:rPr>
        <w:t>The same is true for d</w:t>
      </w:r>
      <w:r w:rsidR="00C13B4A">
        <w:rPr>
          <w:lang w:val="en-US" w:eastAsia="en-AU"/>
        </w:rPr>
        <w:t xml:space="preserve">emographic-based explanations – such as population ageing or </w:t>
      </w:r>
      <w:r w:rsidR="00FB259A">
        <w:rPr>
          <w:lang w:val="en-US" w:eastAsia="en-AU"/>
        </w:rPr>
        <w:t xml:space="preserve">a rising share of </w:t>
      </w:r>
      <w:r w:rsidR="00C13B4A">
        <w:rPr>
          <w:lang w:val="en-US" w:eastAsia="en-AU"/>
        </w:rPr>
        <w:t>dual income households</w:t>
      </w:r>
      <w:r w:rsidR="0055464B">
        <w:rPr>
          <w:lang w:val="en-US" w:eastAsia="en-AU"/>
        </w:rPr>
        <w:t xml:space="preserve"> – w</w:t>
      </w:r>
      <w:r w:rsidR="00FB259A">
        <w:rPr>
          <w:lang w:val="en-US" w:eastAsia="en-AU"/>
        </w:rPr>
        <w:t>hich both imply less job switching</w:t>
      </w:r>
      <w:r w:rsidR="00E16ADD">
        <w:rPr>
          <w:lang w:val="en-US" w:eastAsia="en-AU"/>
        </w:rPr>
        <w:t xml:space="preserve"> and labour mobility more generally</w:t>
      </w:r>
      <w:r w:rsidR="00FB259A">
        <w:rPr>
          <w:lang w:val="en-US" w:eastAsia="en-AU"/>
        </w:rPr>
        <w:t>.</w:t>
      </w:r>
      <w:r w:rsidR="00C13B4A">
        <w:rPr>
          <w:lang w:val="en-US" w:eastAsia="en-AU"/>
        </w:rPr>
        <w:t xml:space="preserve"> </w:t>
      </w:r>
      <w:r w:rsidR="001E7104">
        <w:rPr>
          <w:lang w:val="en-US" w:eastAsia="en-AU"/>
        </w:rPr>
        <w:t>Indeed</w:t>
      </w:r>
      <w:r w:rsidR="0055464B">
        <w:rPr>
          <w:lang w:val="en-US" w:eastAsia="en-AU"/>
        </w:rPr>
        <w:t>,</w:t>
      </w:r>
      <w:r w:rsidR="001E7104">
        <w:rPr>
          <w:lang w:val="en-US" w:eastAsia="en-AU"/>
        </w:rPr>
        <w:t xml:space="preserve"> that market dynamism has also declined in other OECD countries over the past 15 years lends some support to this view that a common </w:t>
      </w:r>
      <w:r w:rsidR="003E261D">
        <w:rPr>
          <w:lang w:val="en-US" w:eastAsia="en-AU"/>
        </w:rPr>
        <w:t xml:space="preserve">global </w:t>
      </w:r>
      <w:r w:rsidR="001E7104">
        <w:rPr>
          <w:lang w:val="en-US" w:eastAsia="en-AU"/>
        </w:rPr>
        <w:t>driver could account for these patterns.</w:t>
      </w:r>
      <w:r w:rsidR="00FB259A">
        <w:rPr>
          <w:highlight w:val="yellow"/>
          <w:lang w:val="en-US" w:eastAsia="en-AU"/>
        </w:rPr>
        <w:t xml:space="preserve"> </w:t>
      </w:r>
    </w:p>
    <w:p w14:paraId="2690B555" w14:textId="77777777" w:rsidR="00C9356D" w:rsidRDefault="004404D1" w:rsidP="00CE61A3">
      <w:pPr>
        <w:jc w:val="both"/>
        <w:rPr>
          <w:color w:val="auto"/>
        </w:rPr>
      </w:pPr>
      <w:r>
        <w:rPr>
          <w:lang w:val="en-US" w:eastAsia="en-AU"/>
        </w:rPr>
        <w:t>But</w:t>
      </w:r>
      <w:r w:rsidR="006C3D63">
        <w:rPr>
          <w:lang w:val="en-US" w:eastAsia="en-AU"/>
        </w:rPr>
        <w:t xml:space="preserve"> the results are also consistent with a </w:t>
      </w:r>
      <w:r w:rsidR="00425444">
        <w:rPr>
          <w:lang w:val="en-US" w:eastAsia="en-AU"/>
        </w:rPr>
        <w:t>rise in adjustment frictions</w:t>
      </w:r>
      <w:r w:rsidR="009365F7">
        <w:rPr>
          <w:lang w:val="en-US" w:eastAsia="en-AU"/>
        </w:rPr>
        <w:t xml:space="preserve"> – including barriers to labour mobility and competition – </w:t>
      </w:r>
      <w:r w:rsidR="00425444">
        <w:rPr>
          <w:lang w:val="en-US" w:eastAsia="en-AU"/>
        </w:rPr>
        <w:t>that slow down firm responsiveness. High priority should be placed on investigating these potential frictions as the decline in reallocation from less productive to more productive firms is holding down overall productivity growth</w:t>
      </w:r>
      <w:r w:rsidR="0060086D">
        <w:rPr>
          <w:lang w:val="en-US" w:eastAsia="en-AU"/>
        </w:rPr>
        <w:t xml:space="preserve"> and implies </w:t>
      </w:r>
      <w:r w:rsidR="00434A51" w:rsidRPr="00434A51">
        <w:rPr>
          <w:lang w:val="en-US" w:eastAsia="en-AU"/>
        </w:rPr>
        <w:t xml:space="preserve">fewer high paying jobs </w:t>
      </w:r>
      <w:r w:rsidR="00434A51">
        <w:rPr>
          <w:lang w:val="en-US" w:eastAsia="en-AU"/>
        </w:rPr>
        <w:t>are being create</w:t>
      </w:r>
      <w:r w:rsidR="0067046C">
        <w:rPr>
          <w:lang w:val="en-US" w:eastAsia="en-AU"/>
        </w:rPr>
        <w:t>d</w:t>
      </w:r>
      <w:r w:rsidR="00434A51">
        <w:rPr>
          <w:lang w:val="en-US" w:eastAsia="en-AU"/>
        </w:rPr>
        <w:t xml:space="preserve"> than otherwise, </w:t>
      </w:r>
      <w:r w:rsidR="0060086D">
        <w:rPr>
          <w:lang w:val="en-US" w:eastAsia="en-AU"/>
        </w:rPr>
        <w:t xml:space="preserve">given that </w:t>
      </w:r>
      <w:r w:rsidR="0060086D" w:rsidRPr="00434A51">
        <w:rPr>
          <w:lang w:val="en-US" w:eastAsia="en-AU"/>
        </w:rPr>
        <w:t>high</w:t>
      </w:r>
      <w:r w:rsidR="00AC6323">
        <w:rPr>
          <w:lang w:val="en-US" w:eastAsia="en-AU"/>
        </w:rPr>
        <w:t>-</w:t>
      </w:r>
      <w:r w:rsidR="0060086D" w:rsidRPr="00434A51">
        <w:rPr>
          <w:lang w:val="en-US" w:eastAsia="en-AU"/>
        </w:rPr>
        <w:t>productivity firms pay higher wages</w:t>
      </w:r>
      <w:r w:rsidR="00F62BC1">
        <w:rPr>
          <w:lang w:val="en-US" w:eastAsia="en-AU"/>
        </w:rPr>
        <w:t xml:space="preserve">. Indeed, the latter </w:t>
      </w:r>
      <w:r w:rsidR="00CE61A3" w:rsidRPr="00CE61A3">
        <w:rPr>
          <w:lang w:val="en-US" w:eastAsia="en-AU"/>
        </w:rPr>
        <w:t xml:space="preserve">provides </w:t>
      </w:r>
      <w:r w:rsidR="00AC6323">
        <w:rPr>
          <w:lang w:val="en-US" w:eastAsia="en-AU"/>
        </w:rPr>
        <w:t xml:space="preserve">a </w:t>
      </w:r>
      <w:r w:rsidR="00CE61A3" w:rsidRPr="00CE61A3">
        <w:rPr>
          <w:lang w:val="en-US" w:eastAsia="en-AU"/>
        </w:rPr>
        <w:t xml:space="preserve">new insight into why wage growth has been </w:t>
      </w:r>
      <w:r w:rsidR="00AC6121">
        <w:rPr>
          <w:lang w:val="en-US" w:eastAsia="en-AU"/>
        </w:rPr>
        <w:t xml:space="preserve">unexpectedly </w:t>
      </w:r>
      <w:r w:rsidR="00CE61A3" w:rsidRPr="00CE61A3">
        <w:rPr>
          <w:lang w:val="en-US" w:eastAsia="en-AU"/>
        </w:rPr>
        <w:t>low since 2012 (Lowe 2018)</w:t>
      </w:r>
      <w:r w:rsidR="00CE61A3">
        <w:rPr>
          <w:lang w:val="en-US" w:eastAsia="en-AU"/>
        </w:rPr>
        <w:t>. It also</w:t>
      </w:r>
      <w:r w:rsidR="00CE61A3" w:rsidRPr="00CE61A3">
        <w:rPr>
          <w:lang w:val="en-US" w:eastAsia="en-AU"/>
        </w:rPr>
        <w:t xml:space="preserve"> complements our ongoing research agenda into the extent to which declining labour market dynamism – particularly job switching rates – has constrained aggregate wage growth (Deutscher 2019; Andrews</w:t>
      </w:r>
      <w:r w:rsidR="008722B1">
        <w:rPr>
          <w:lang w:val="en-US" w:eastAsia="en-AU"/>
        </w:rPr>
        <w:t xml:space="preserve"> et al., </w:t>
      </w:r>
      <w:r w:rsidR="00CE61A3" w:rsidRPr="00CE61A3">
        <w:rPr>
          <w:lang w:val="en-US" w:eastAsia="en-AU"/>
        </w:rPr>
        <w:t xml:space="preserve">2019). </w:t>
      </w:r>
      <w:r w:rsidR="00C9356D">
        <w:rPr>
          <w:color w:val="auto"/>
        </w:rPr>
        <w:br w:type="page"/>
      </w:r>
    </w:p>
    <w:p w14:paraId="188937A7" w14:textId="77777777" w:rsidR="00275F6A" w:rsidRDefault="00275F6A" w:rsidP="00275F6A">
      <w:pPr>
        <w:pStyle w:val="AppendixHeadingLevel2NotNumbered"/>
      </w:pPr>
      <w:r>
        <w:lastRenderedPageBreak/>
        <w:t>References</w:t>
      </w:r>
    </w:p>
    <w:p w14:paraId="6328B6DE" w14:textId="77777777" w:rsidR="00877B79" w:rsidRDefault="00877B79" w:rsidP="00275F6A">
      <w:pPr>
        <w:rPr>
          <w:color w:val="auto"/>
        </w:rPr>
      </w:pPr>
      <w:r w:rsidRPr="00877B79">
        <w:rPr>
          <w:color w:val="auto"/>
        </w:rPr>
        <w:t>Adalet McGowan,</w:t>
      </w:r>
      <w:r>
        <w:rPr>
          <w:color w:val="auto"/>
        </w:rPr>
        <w:t xml:space="preserve"> M., </w:t>
      </w:r>
      <w:r w:rsidRPr="00877B79">
        <w:rPr>
          <w:color w:val="auto"/>
        </w:rPr>
        <w:t>D</w:t>
      </w:r>
      <w:r>
        <w:rPr>
          <w:color w:val="auto"/>
        </w:rPr>
        <w:t>.</w:t>
      </w:r>
      <w:r w:rsidRPr="00877B79">
        <w:rPr>
          <w:color w:val="auto"/>
        </w:rPr>
        <w:t xml:space="preserve"> Andrews</w:t>
      </w:r>
      <w:r>
        <w:rPr>
          <w:color w:val="auto"/>
        </w:rPr>
        <w:t xml:space="preserve"> and</w:t>
      </w:r>
      <w:r w:rsidRPr="00877B79">
        <w:rPr>
          <w:color w:val="auto"/>
        </w:rPr>
        <w:t xml:space="preserve"> V</w:t>
      </w:r>
      <w:r>
        <w:rPr>
          <w:color w:val="auto"/>
        </w:rPr>
        <w:t>.</w:t>
      </w:r>
      <w:r w:rsidRPr="00877B79">
        <w:rPr>
          <w:color w:val="auto"/>
        </w:rPr>
        <w:t xml:space="preserve"> Millot</w:t>
      </w:r>
      <w:r>
        <w:rPr>
          <w:color w:val="auto"/>
        </w:rPr>
        <w:t xml:space="preserve"> (2018)</w:t>
      </w:r>
      <w:r w:rsidRPr="00877B79">
        <w:rPr>
          <w:color w:val="auto"/>
        </w:rPr>
        <w:t xml:space="preserve">, </w:t>
      </w:r>
      <w:r w:rsidR="00D33706">
        <w:rPr>
          <w:color w:val="auto"/>
        </w:rPr>
        <w:t>‘</w:t>
      </w:r>
      <w:r w:rsidRPr="00877B79">
        <w:rPr>
          <w:color w:val="auto"/>
        </w:rPr>
        <w:t>The walking dead? Zombie firms and productivity performance in OECD countries</w:t>
      </w:r>
      <w:r w:rsidR="00D33706">
        <w:rPr>
          <w:color w:val="auto"/>
        </w:rPr>
        <w:t>’</w:t>
      </w:r>
      <w:r w:rsidRPr="00877B79">
        <w:rPr>
          <w:color w:val="auto"/>
        </w:rPr>
        <w:t xml:space="preserve">, </w:t>
      </w:r>
      <w:r w:rsidRPr="00877B79">
        <w:rPr>
          <w:i/>
          <w:color w:val="auto"/>
        </w:rPr>
        <w:t>Economic Policy</w:t>
      </w:r>
      <w:r w:rsidRPr="00877B79">
        <w:rPr>
          <w:color w:val="auto"/>
        </w:rPr>
        <w:t>, 33</w:t>
      </w:r>
      <w:r>
        <w:rPr>
          <w:color w:val="auto"/>
        </w:rPr>
        <w:t>(</w:t>
      </w:r>
      <w:r w:rsidRPr="00877B79">
        <w:rPr>
          <w:color w:val="auto"/>
        </w:rPr>
        <w:t>96</w:t>
      </w:r>
      <w:r>
        <w:rPr>
          <w:color w:val="auto"/>
        </w:rPr>
        <w:t>)</w:t>
      </w:r>
      <w:r w:rsidRPr="00877B79">
        <w:rPr>
          <w:color w:val="auto"/>
        </w:rPr>
        <w:t xml:space="preserve">, </w:t>
      </w:r>
      <w:r>
        <w:rPr>
          <w:color w:val="auto"/>
        </w:rPr>
        <w:t>pp.</w:t>
      </w:r>
      <w:r w:rsidRPr="00877B79">
        <w:rPr>
          <w:color w:val="auto"/>
        </w:rPr>
        <w:t xml:space="preserve"> 685–736</w:t>
      </w:r>
      <w:r>
        <w:rPr>
          <w:color w:val="auto"/>
        </w:rPr>
        <w:t>.</w:t>
      </w:r>
    </w:p>
    <w:p w14:paraId="2BFC3B24" w14:textId="77777777" w:rsidR="007B42F0" w:rsidRDefault="007B42F0" w:rsidP="00275F6A">
      <w:pPr>
        <w:rPr>
          <w:color w:val="auto"/>
        </w:rPr>
      </w:pPr>
      <w:r w:rsidRPr="007B42F0">
        <w:rPr>
          <w:color w:val="auto"/>
        </w:rPr>
        <w:t xml:space="preserve">Andrews, D., C. Criscuolo and P. Gal (2016), </w:t>
      </w:r>
      <w:r w:rsidR="00D33706">
        <w:rPr>
          <w:color w:val="auto"/>
        </w:rPr>
        <w:t>‘</w:t>
      </w:r>
      <w:r w:rsidRPr="007B42F0">
        <w:rPr>
          <w:color w:val="auto"/>
        </w:rPr>
        <w:t>The Best versus the Rest: The Global Productivity Slowdown, Divergence across Firms and the Role of Public Policy</w:t>
      </w:r>
      <w:r w:rsidR="00D33706">
        <w:rPr>
          <w:color w:val="auto"/>
        </w:rPr>
        <w:t>’</w:t>
      </w:r>
      <w:r w:rsidRPr="007B42F0">
        <w:rPr>
          <w:color w:val="auto"/>
        </w:rPr>
        <w:t xml:space="preserve">, </w:t>
      </w:r>
      <w:r w:rsidRPr="002E3841">
        <w:rPr>
          <w:i/>
          <w:color w:val="auto"/>
        </w:rPr>
        <w:t>OECD Productivity Working Papers</w:t>
      </w:r>
      <w:r w:rsidRPr="007B42F0">
        <w:rPr>
          <w:color w:val="auto"/>
        </w:rPr>
        <w:t>, No. 5, OECD Publishing, Paris</w:t>
      </w:r>
      <w:r w:rsidR="009D1390">
        <w:rPr>
          <w:color w:val="auto"/>
        </w:rPr>
        <w:t>.</w:t>
      </w:r>
      <w:r w:rsidR="009D1390" w:rsidRPr="007B42F0" w:rsidDel="009D1390">
        <w:rPr>
          <w:color w:val="auto"/>
        </w:rPr>
        <w:t xml:space="preserve"> </w:t>
      </w:r>
    </w:p>
    <w:p w14:paraId="06759B6A" w14:textId="77777777" w:rsidR="00F866FA" w:rsidRPr="002A1163" w:rsidRDefault="00F866FA" w:rsidP="00275F6A">
      <w:pPr>
        <w:rPr>
          <w:rFonts w:cs="Arial"/>
          <w:color w:val="auto"/>
          <w:shd w:val="clear" w:color="auto" w:fill="FFFFFF"/>
        </w:rPr>
      </w:pPr>
      <w:r w:rsidRPr="002A1163">
        <w:rPr>
          <w:rFonts w:cs="Arial"/>
          <w:color w:val="auto"/>
          <w:shd w:val="clear" w:color="auto" w:fill="FFFFFF"/>
        </w:rPr>
        <w:t xml:space="preserve">Andrews, D., C. Criscuolo and C. Menon (2014), </w:t>
      </w:r>
      <w:r w:rsidR="00D33706">
        <w:rPr>
          <w:rFonts w:cs="Arial"/>
          <w:color w:val="auto"/>
          <w:shd w:val="clear" w:color="auto" w:fill="FFFFFF"/>
        </w:rPr>
        <w:t>‘</w:t>
      </w:r>
      <w:r w:rsidRPr="002A1163">
        <w:rPr>
          <w:rFonts w:cs="Arial"/>
          <w:color w:val="auto"/>
          <w:shd w:val="clear" w:color="auto" w:fill="FFFFFF"/>
        </w:rPr>
        <w:t>Do Resources Flow to Patenting Firms?: Cross-Country Evidence from Firm Level Data</w:t>
      </w:r>
      <w:r w:rsidR="00D33706">
        <w:rPr>
          <w:rFonts w:cs="Arial"/>
          <w:color w:val="auto"/>
          <w:shd w:val="clear" w:color="auto" w:fill="FFFFFF"/>
        </w:rPr>
        <w:t>’</w:t>
      </w:r>
      <w:r w:rsidRPr="002A1163">
        <w:rPr>
          <w:rFonts w:cs="Arial"/>
          <w:color w:val="auto"/>
          <w:shd w:val="clear" w:color="auto" w:fill="FFFFFF"/>
        </w:rPr>
        <w:t>, </w:t>
      </w:r>
      <w:r w:rsidRPr="002A1163">
        <w:rPr>
          <w:rFonts w:cs="Arial"/>
          <w:i/>
          <w:iCs/>
          <w:color w:val="auto"/>
          <w:shd w:val="clear" w:color="auto" w:fill="FFFFFF"/>
        </w:rPr>
        <w:t>OECD Economics Department Working Papers</w:t>
      </w:r>
      <w:r w:rsidRPr="002A1163">
        <w:rPr>
          <w:rFonts w:cs="Arial"/>
          <w:color w:val="auto"/>
          <w:shd w:val="clear" w:color="auto" w:fill="FFFFFF"/>
        </w:rPr>
        <w:t>, No. 1127, OECD Publishing, Paris</w:t>
      </w:r>
      <w:r w:rsidR="009D1390">
        <w:rPr>
          <w:rFonts w:cs="Arial"/>
          <w:color w:val="auto"/>
          <w:shd w:val="clear" w:color="auto" w:fill="FFFFFF"/>
        </w:rPr>
        <w:t>.</w:t>
      </w:r>
    </w:p>
    <w:p w14:paraId="68D7E1FC" w14:textId="77777777" w:rsidR="00275F6A" w:rsidRDefault="00275F6A" w:rsidP="00275F6A">
      <w:pPr>
        <w:rPr>
          <w:i/>
          <w:color w:val="auto"/>
        </w:rPr>
      </w:pPr>
      <w:r w:rsidRPr="00DA5CD4">
        <w:rPr>
          <w:color w:val="auto"/>
        </w:rPr>
        <w:t>Andrews, D and F</w:t>
      </w:r>
      <w:r w:rsidR="00877B79">
        <w:rPr>
          <w:color w:val="auto"/>
        </w:rPr>
        <w:t>.</w:t>
      </w:r>
      <w:r w:rsidRPr="00DA5CD4">
        <w:rPr>
          <w:color w:val="auto"/>
        </w:rPr>
        <w:t xml:space="preserve"> Cingano (201</w:t>
      </w:r>
      <w:r w:rsidR="00DD203F">
        <w:rPr>
          <w:color w:val="auto"/>
        </w:rPr>
        <w:t>4</w:t>
      </w:r>
      <w:r w:rsidRPr="00DA5CD4">
        <w:rPr>
          <w:color w:val="auto"/>
        </w:rPr>
        <w:t>)</w:t>
      </w:r>
      <w:r w:rsidR="00585FB1">
        <w:rPr>
          <w:color w:val="auto"/>
        </w:rPr>
        <w:t>,</w:t>
      </w:r>
      <w:r w:rsidRPr="00DA5CD4">
        <w:rPr>
          <w:color w:val="auto"/>
        </w:rPr>
        <w:t xml:space="preserve"> </w:t>
      </w:r>
      <w:r w:rsidR="00D33706">
        <w:rPr>
          <w:color w:val="auto"/>
        </w:rPr>
        <w:t>‘</w:t>
      </w:r>
      <w:r w:rsidRPr="00DA5CD4">
        <w:rPr>
          <w:color w:val="auto"/>
        </w:rPr>
        <w:t>Public Policy and Resource Allocation: Evidence from Firms in OECD Countries</w:t>
      </w:r>
      <w:r w:rsidR="00D33706">
        <w:rPr>
          <w:color w:val="auto"/>
        </w:rPr>
        <w:t>’</w:t>
      </w:r>
      <w:r w:rsidRPr="00DA5CD4">
        <w:rPr>
          <w:color w:val="auto"/>
        </w:rPr>
        <w:t xml:space="preserve">, </w:t>
      </w:r>
      <w:r w:rsidRPr="00DA5CD4">
        <w:rPr>
          <w:i/>
          <w:color w:val="auto"/>
        </w:rPr>
        <w:t>Economic</w:t>
      </w:r>
      <w:r w:rsidR="00DD203F">
        <w:rPr>
          <w:i/>
          <w:color w:val="auto"/>
        </w:rPr>
        <w:t xml:space="preserve"> Policy </w:t>
      </w:r>
      <w:r w:rsidR="00DD203F" w:rsidRPr="00DD203F">
        <w:rPr>
          <w:color w:val="auto"/>
        </w:rPr>
        <w:t>29(78)</w:t>
      </w:r>
      <w:r w:rsidR="00DD203F">
        <w:rPr>
          <w:color w:val="auto"/>
        </w:rPr>
        <w:t>,</w:t>
      </w:r>
      <w:r w:rsidR="00DD203F" w:rsidRPr="00DD203F">
        <w:rPr>
          <w:color w:val="auto"/>
        </w:rPr>
        <w:t xml:space="preserve"> pp.</w:t>
      </w:r>
      <w:r w:rsidR="00DD203F">
        <w:rPr>
          <w:color w:val="auto"/>
        </w:rPr>
        <w:t xml:space="preserve"> 253–296.</w:t>
      </w:r>
    </w:p>
    <w:p w14:paraId="3D056E64" w14:textId="77777777" w:rsidR="004A6010" w:rsidRDefault="004A6010" w:rsidP="00275F6A">
      <w:pPr>
        <w:rPr>
          <w:color w:val="auto"/>
        </w:rPr>
      </w:pPr>
      <w:r>
        <w:rPr>
          <w:color w:val="auto"/>
        </w:rPr>
        <w:t xml:space="preserve">Andrews, D., N. Deutscher, J. Hambur and D. Hansell (2019), </w:t>
      </w:r>
      <w:r w:rsidR="00D33706">
        <w:rPr>
          <w:color w:val="auto"/>
        </w:rPr>
        <w:t>‘</w:t>
      </w:r>
      <w:r>
        <w:rPr>
          <w:color w:val="auto"/>
        </w:rPr>
        <w:t>Wages Growth in Australia: Lessons from Longitudinal Microdata</w:t>
      </w:r>
      <w:r w:rsidR="00D33706">
        <w:rPr>
          <w:color w:val="auto"/>
        </w:rPr>
        <w:t>’</w:t>
      </w:r>
      <w:r w:rsidR="00F95DBB">
        <w:rPr>
          <w:color w:val="auto"/>
        </w:rPr>
        <w:t>,</w:t>
      </w:r>
      <w:r w:rsidR="00685365">
        <w:rPr>
          <w:color w:val="auto"/>
        </w:rPr>
        <w:t xml:space="preserve"> </w:t>
      </w:r>
      <w:r w:rsidR="00685365" w:rsidRPr="00F95DBB">
        <w:rPr>
          <w:i/>
          <w:color w:val="auto"/>
        </w:rPr>
        <w:t>Treasury Working Paper</w:t>
      </w:r>
      <w:r w:rsidR="00685365">
        <w:rPr>
          <w:color w:val="auto"/>
        </w:rPr>
        <w:t xml:space="preserve"> 2019-04.</w:t>
      </w:r>
    </w:p>
    <w:p w14:paraId="1468D71C" w14:textId="77777777" w:rsidR="00275F6A" w:rsidRDefault="00275F6A" w:rsidP="00275F6A">
      <w:pPr>
        <w:rPr>
          <w:color w:val="auto"/>
        </w:rPr>
      </w:pPr>
      <w:r w:rsidRPr="008C43B8">
        <w:rPr>
          <w:color w:val="auto"/>
        </w:rPr>
        <w:t>Andrews</w:t>
      </w:r>
      <w:r>
        <w:rPr>
          <w:color w:val="auto"/>
        </w:rPr>
        <w:t>, D and A</w:t>
      </w:r>
      <w:r w:rsidR="00877B79">
        <w:rPr>
          <w:color w:val="auto"/>
        </w:rPr>
        <w:t>. Saia</w:t>
      </w:r>
      <w:r>
        <w:rPr>
          <w:color w:val="auto"/>
        </w:rPr>
        <w:t xml:space="preserve"> (2016) </w:t>
      </w:r>
      <w:r w:rsidR="00D33706">
        <w:rPr>
          <w:color w:val="auto"/>
        </w:rPr>
        <w:t>‘</w:t>
      </w:r>
      <w:r>
        <w:rPr>
          <w:color w:val="auto"/>
        </w:rPr>
        <w:t>Coping with Creative Destruction: Reducing the Costs of Firm Exit</w:t>
      </w:r>
      <w:r w:rsidR="00D33706">
        <w:rPr>
          <w:color w:val="auto"/>
        </w:rPr>
        <w:t>’</w:t>
      </w:r>
      <w:r>
        <w:rPr>
          <w:color w:val="auto"/>
        </w:rPr>
        <w:t xml:space="preserve">, </w:t>
      </w:r>
      <w:r w:rsidRPr="008C43B8">
        <w:rPr>
          <w:i/>
          <w:color w:val="auto"/>
        </w:rPr>
        <w:t>OECD Economics Department Working Papers</w:t>
      </w:r>
      <w:r>
        <w:rPr>
          <w:color w:val="auto"/>
        </w:rPr>
        <w:t xml:space="preserve"> No. 1353. </w:t>
      </w:r>
    </w:p>
    <w:p w14:paraId="15110C6A" w14:textId="77777777" w:rsidR="0086171D" w:rsidRDefault="0086171D" w:rsidP="00275F6A">
      <w:pPr>
        <w:rPr>
          <w:color w:val="auto"/>
        </w:rPr>
      </w:pPr>
      <w:r w:rsidRPr="000F447E">
        <w:rPr>
          <w:color w:val="auto"/>
        </w:rPr>
        <w:t>Australian Bureau of Statistics (2019), ‘Australian National Accounts: National Income,</w:t>
      </w:r>
      <w:r>
        <w:rPr>
          <w:color w:val="auto"/>
        </w:rPr>
        <w:t xml:space="preserve"> </w:t>
      </w:r>
      <w:r w:rsidRPr="000F447E">
        <w:rPr>
          <w:color w:val="auto"/>
        </w:rPr>
        <w:t>Expenditure and Product’, cat. no. 5206.</w:t>
      </w:r>
    </w:p>
    <w:p w14:paraId="4A15FDAC" w14:textId="77777777" w:rsidR="00CA72D8" w:rsidRDefault="00CA72D8" w:rsidP="00CA72D8">
      <w:pPr>
        <w:rPr>
          <w:color w:val="auto"/>
        </w:rPr>
      </w:pPr>
      <w:r>
        <w:rPr>
          <w:color w:val="auto"/>
        </w:rPr>
        <w:t>Bailey, M</w:t>
      </w:r>
      <w:r w:rsidR="00877B79">
        <w:rPr>
          <w:color w:val="auto"/>
        </w:rPr>
        <w:t>.</w:t>
      </w:r>
      <w:r>
        <w:rPr>
          <w:color w:val="auto"/>
        </w:rPr>
        <w:t>, C</w:t>
      </w:r>
      <w:r w:rsidR="00877B79">
        <w:rPr>
          <w:color w:val="auto"/>
        </w:rPr>
        <w:t>.</w:t>
      </w:r>
      <w:r>
        <w:rPr>
          <w:color w:val="auto"/>
        </w:rPr>
        <w:t xml:space="preserve"> Hulten and D</w:t>
      </w:r>
      <w:r w:rsidR="00877B79">
        <w:rPr>
          <w:color w:val="auto"/>
        </w:rPr>
        <w:t>.</w:t>
      </w:r>
      <w:r>
        <w:rPr>
          <w:color w:val="auto"/>
        </w:rPr>
        <w:t xml:space="preserve"> Campbell (1992)</w:t>
      </w:r>
      <w:r w:rsidR="00585FB1">
        <w:rPr>
          <w:color w:val="auto"/>
        </w:rPr>
        <w:t>,</w:t>
      </w:r>
      <w:r>
        <w:rPr>
          <w:color w:val="auto"/>
        </w:rPr>
        <w:t xml:space="preserve"> Productivity Dynamics in Manufacturing Plants, </w:t>
      </w:r>
      <w:r w:rsidRPr="002E3841">
        <w:rPr>
          <w:i/>
          <w:color w:val="auto"/>
        </w:rPr>
        <w:t>Brookings Papers on Economic Activity</w:t>
      </w:r>
      <w:r>
        <w:rPr>
          <w:color w:val="auto"/>
        </w:rPr>
        <w:t xml:space="preserve">, vol 23, issue 1992, Microeconomics: 187-267. </w:t>
      </w:r>
    </w:p>
    <w:p w14:paraId="48B18E0B" w14:textId="77777777" w:rsidR="00F866FA" w:rsidRPr="002A1163" w:rsidRDefault="00F866FA" w:rsidP="00275F6A">
      <w:pPr>
        <w:rPr>
          <w:rFonts w:cs="Courier New"/>
          <w:color w:val="000000"/>
          <w:shd w:val="clear" w:color="auto" w:fill="FFFFFF"/>
        </w:rPr>
      </w:pPr>
      <w:r w:rsidRPr="002A1163">
        <w:rPr>
          <w:rFonts w:cs="Courier New"/>
          <w:color w:val="000000"/>
          <w:shd w:val="clear" w:color="auto" w:fill="FFFFFF"/>
        </w:rPr>
        <w:t xml:space="preserve">Balasubramanian, N and </w:t>
      </w:r>
      <w:r w:rsidR="00877B79">
        <w:rPr>
          <w:rFonts w:cs="Courier New"/>
          <w:color w:val="000000"/>
          <w:shd w:val="clear" w:color="auto" w:fill="FFFFFF"/>
        </w:rPr>
        <w:t xml:space="preserve">J </w:t>
      </w:r>
      <w:r w:rsidRPr="002A1163">
        <w:rPr>
          <w:rFonts w:cs="Courier New"/>
          <w:color w:val="000000"/>
          <w:shd w:val="clear" w:color="auto" w:fill="FFFFFF"/>
        </w:rPr>
        <w:t xml:space="preserve">Sivadasan, (2011), </w:t>
      </w:r>
      <w:r w:rsidR="00D33706">
        <w:rPr>
          <w:rFonts w:cs="Courier New"/>
          <w:color w:val="000000"/>
          <w:shd w:val="clear" w:color="auto" w:fill="FFFFFF"/>
        </w:rPr>
        <w:t>‘</w:t>
      </w:r>
      <w:r w:rsidRPr="002A1163">
        <w:rPr>
          <w:rFonts w:cs="Courier New"/>
          <w:color w:val="000000"/>
          <w:shd w:val="clear" w:color="auto" w:fill="FFFFFF"/>
        </w:rPr>
        <w:t>What Happens When Firms Patent? New Evidence from U.S. Economic Census Data</w:t>
      </w:r>
      <w:r w:rsidR="00D33706">
        <w:rPr>
          <w:rFonts w:cs="Courier New"/>
          <w:color w:val="000000"/>
          <w:shd w:val="clear" w:color="auto" w:fill="FFFFFF"/>
        </w:rPr>
        <w:t>’</w:t>
      </w:r>
      <w:r w:rsidRPr="002A1163">
        <w:rPr>
          <w:rFonts w:cs="Courier New"/>
          <w:color w:val="000000"/>
          <w:shd w:val="clear" w:color="auto" w:fill="FFFFFF"/>
        </w:rPr>
        <w:t>, </w:t>
      </w:r>
      <w:r w:rsidRPr="002A1163">
        <w:rPr>
          <w:rFonts w:cs="Courier New"/>
          <w:i/>
          <w:iCs/>
          <w:color w:val="000000"/>
          <w:shd w:val="clear" w:color="auto" w:fill="FFFFFF"/>
        </w:rPr>
        <w:t>The Review of Economics and Statistics</w:t>
      </w:r>
      <w:r w:rsidRPr="002A1163">
        <w:rPr>
          <w:rFonts w:cs="Courier New"/>
          <w:color w:val="000000"/>
          <w:shd w:val="clear" w:color="auto" w:fill="FFFFFF"/>
        </w:rPr>
        <w:t>, 93, issue 1, p. 126-146, </w:t>
      </w:r>
    </w:p>
    <w:p w14:paraId="5EA31EAD" w14:textId="77777777" w:rsidR="00275F6A" w:rsidRPr="004A6010" w:rsidRDefault="00275F6A" w:rsidP="00275F6A">
      <w:r w:rsidRPr="004A6010">
        <w:lastRenderedPageBreak/>
        <w:t>Baldwin, J and W</w:t>
      </w:r>
      <w:r w:rsidR="00877B79">
        <w:t>.</w:t>
      </w:r>
      <w:r w:rsidRPr="004A6010">
        <w:t xml:space="preserve"> Gu (2006), </w:t>
      </w:r>
      <w:r w:rsidR="00D33706">
        <w:t>‘</w:t>
      </w:r>
      <w:r w:rsidRPr="004A6010">
        <w:t>Competition, Firm Turnover and Productivity Growth</w:t>
      </w:r>
      <w:r w:rsidR="00D33706">
        <w:t>’</w:t>
      </w:r>
      <w:r w:rsidRPr="004A6010">
        <w:t xml:space="preserve">, </w:t>
      </w:r>
      <w:r w:rsidRPr="00F95DBB">
        <w:rPr>
          <w:i/>
        </w:rPr>
        <w:t>Research Paper Economic Analysis</w:t>
      </w:r>
      <w:r w:rsidRPr="004A6010">
        <w:t>, Research Paper Series, Statistics Canada.</w:t>
      </w:r>
    </w:p>
    <w:p w14:paraId="32DCB528" w14:textId="77777777" w:rsidR="00275F6A" w:rsidRPr="004A6010" w:rsidRDefault="00275F6A" w:rsidP="00275F6A">
      <w:pPr>
        <w:rPr>
          <w:color w:val="auto"/>
        </w:rPr>
      </w:pPr>
      <w:r w:rsidRPr="004A6010">
        <w:t>Bartelsman, E., J. Haltiwanger and S. Scarpetta (2013)</w:t>
      </w:r>
      <w:r w:rsidR="00585FB1">
        <w:t>,</w:t>
      </w:r>
      <w:r w:rsidRPr="004A6010">
        <w:t xml:space="preserve"> </w:t>
      </w:r>
      <w:r w:rsidR="00D33706">
        <w:t>‘</w:t>
      </w:r>
      <w:r w:rsidRPr="004A6010">
        <w:t>Cross-Country Differences in Productivity: The Role of Allocation and Selection,</w:t>
      </w:r>
      <w:r w:rsidR="00D33706">
        <w:t>’</w:t>
      </w:r>
      <w:r w:rsidRPr="004A6010">
        <w:t xml:space="preserve"> </w:t>
      </w:r>
      <w:r w:rsidRPr="00D500C9">
        <w:rPr>
          <w:i/>
        </w:rPr>
        <w:t>American Economic Review</w:t>
      </w:r>
      <w:r w:rsidRPr="004A6010">
        <w:t>, 103(1): 305-34.</w:t>
      </w:r>
    </w:p>
    <w:p w14:paraId="581E7EFF" w14:textId="77777777" w:rsidR="00275F6A" w:rsidRPr="004A6010" w:rsidRDefault="00E70CFB" w:rsidP="00275F6A">
      <w:pPr>
        <w:rPr>
          <w:color w:val="auto"/>
          <w:shd w:val="clear" w:color="auto" w:fill="FFFFFF"/>
        </w:rPr>
      </w:pPr>
      <w:hyperlink r:id="rId34" w:history="1">
        <w:r w:rsidR="00275F6A" w:rsidRPr="004A6010">
          <w:rPr>
            <w:rStyle w:val="Hyperlink"/>
            <w:color w:val="auto"/>
            <w:u w:val="none"/>
            <w:shd w:val="clear" w:color="auto" w:fill="FFFFFF"/>
          </w:rPr>
          <w:t>Bellemare, M.F. and C. Wichman</w:t>
        </w:r>
      </w:hyperlink>
      <w:r w:rsidR="00915130">
        <w:rPr>
          <w:rStyle w:val="Hyperlink"/>
          <w:color w:val="auto"/>
          <w:u w:val="none"/>
          <w:shd w:val="clear" w:color="auto" w:fill="FFFFFF"/>
        </w:rPr>
        <w:t xml:space="preserve"> </w:t>
      </w:r>
      <w:r w:rsidR="009D1390">
        <w:rPr>
          <w:color w:val="auto"/>
          <w:shd w:val="clear" w:color="auto" w:fill="FFFFFF"/>
        </w:rPr>
        <w:t>(</w:t>
      </w:r>
      <w:r w:rsidR="00275F6A" w:rsidRPr="004A6010">
        <w:rPr>
          <w:color w:val="auto"/>
          <w:shd w:val="clear" w:color="auto" w:fill="FFFFFF"/>
        </w:rPr>
        <w:t>2018</w:t>
      </w:r>
      <w:r w:rsidR="009D1390">
        <w:rPr>
          <w:color w:val="auto"/>
          <w:shd w:val="clear" w:color="auto" w:fill="FFFFFF"/>
        </w:rPr>
        <w:t>),</w:t>
      </w:r>
      <w:r w:rsidR="00275F6A" w:rsidRPr="004A6010">
        <w:rPr>
          <w:color w:val="auto"/>
          <w:shd w:val="clear" w:color="auto" w:fill="FFFFFF"/>
        </w:rPr>
        <w:t xml:space="preserve"> </w:t>
      </w:r>
      <w:r w:rsidR="00F95DBB">
        <w:rPr>
          <w:color w:val="auto"/>
          <w:shd w:val="clear" w:color="auto" w:fill="FFFFFF"/>
        </w:rPr>
        <w:t>‘</w:t>
      </w:r>
      <w:r w:rsidR="00275F6A" w:rsidRPr="007F3CE8">
        <w:rPr>
          <w:color w:val="auto"/>
          <w:shd w:val="clear" w:color="auto" w:fill="FFFFFF"/>
        </w:rPr>
        <w:t>Elasticities and the inverse hyperbolic sine transformation</w:t>
      </w:r>
      <w:r w:rsidR="00F95DBB" w:rsidRPr="007F3CE8">
        <w:rPr>
          <w:color w:val="auto"/>
          <w:shd w:val="clear" w:color="auto" w:fill="FFFFFF"/>
        </w:rPr>
        <w:t>’</w:t>
      </w:r>
      <w:r w:rsidR="00275F6A" w:rsidRPr="004A6010">
        <w:rPr>
          <w:color w:val="auto"/>
          <w:shd w:val="clear" w:color="auto" w:fill="FFFFFF"/>
        </w:rPr>
        <w:t>. Mimeo., Department of Applied Economics, University of Minnesota.</w:t>
      </w:r>
    </w:p>
    <w:p w14:paraId="24FAD0B5" w14:textId="77777777" w:rsidR="00CA72D8" w:rsidRPr="004A6010" w:rsidRDefault="00CA72D8" w:rsidP="00CA72D8">
      <w:pPr>
        <w:rPr>
          <w:color w:val="auto"/>
          <w:shd w:val="clear" w:color="auto" w:fill="FFFFFF"/>
        </w:rPr>
      </w:pPr>
      <w:r w:rsidRPr="004A6010">
        <w:rPr>
          <w:color w:val="auto"/>
          <w:shd w:val="clear" w:color="auto" w:fill="FFFFFF"/>
        </w:rPr>
        <w:t>Cairo</w:t>
      </w:r>
      <w:r w:rsidR="00F64AA0" w:rsidRPr="004A6010">
        <w:rPr>
          <w:color w:val="auto"/>
          <w:shd w:val="clear" w:color="auto" w:fill="FFFFFF"/>
        </w:rPr>
        <w:t>, I</w:t>
      </w:r>
      <w:r w:rsidRPr="004A6010">
        <w:rPr>
          <w:color w:val="auto"/>
          <w:shd w:val="clear" w:color="auto" w:fill="FFFFFF"/>
        </w:rPr>
        <w:t xml:space="preserve"> and</w:t>
      </w:r>
      <w:r w:rsidR="00F64AA0" w:rsidRPr="004A6010">
        <w:rPr>
          <w:color w:val="auto"/>
          <w:shd w:val="clear" w:color="auto" w:fill="FFFFFF"/>
        </w:rPr>
        <w:t xml:space="preserve"> T.</w:t>
      </w:r>
      <w:r w:rsidRPr="004A6010">
        <w:rPr>
          <w:color w:val="auto"/>
          <w:shd w:val="clear" w:color="auto" w:fill="FFFFFF"/>
        </w:rPr>
        <w:t xml:space="preserve"> Cajner (2018)</w:t>
      </w:r>
      <w:r w:rsidR="00585FB1">
        <w:rPr>
          <w:color w:val="auto"/>
          <w:shd w:val="clear" w:color="auto" w:fill="FFFFFF"/>
        </w:rPr>
        <w:t>,</w:t>
      </w:r>
      <w:r w:rsidR="00F866FA" w:rsidRPr="004A6010">
        <w:rPr>
          <w:color w:val="auto"/>
          <w:shd w:val="clear" w:color="auto" w:fill="FFFFFF"/>
        </w:rPr>
        <w:t xml:space="preserve"> </w:t>
      </w:r>
      <w:r w:rsidR="00D33706">
        <w:rPr>
          <w:color w:val="auto"/>
          <w:shd w:val="clear" w:color="auto" w:fill="FFFFFF"/>
        </w:rPr>
        <w:t>‘</w:t>
      </w:r>
      <w:r w:rsidR="00F866FA" w:rsidRPr="004A6010">
        <w:rPr>
          <w:color w:val="auto"/>
          <w:shd w:val="clear" w:color="auto" w:fill="FFFFFF"/>
        </w:rPr>
        <w:t>Human capital and unemployment dynamics: Why more educated workers enjoy greater stability</w:t>
      </w:r>
      <w:r w:rsidR="00D33706">
        <w:rPr>
          <w:color w:val="auto"/>
          <w:shd w:val="clear" w:color="auto" w:fill="FFFFFF"/>
        </w:rPr>
        <w:t>’</w:t>
      </w:r>
      <w:r w:rsidR="00F866FA" w:rsidRPr="004A6010">
        <w:rPr>
          <w:color w:val="auto"/>
          <w:shd w:val="clear" w:color="auto" w:fill="FFFFFF"/>
        </w:rPr>
        <w:t xml:space="preserve">, </w:t>
      </w:r>
      <w:r w:rsidR="00F866FA" w:rsidRPr="004A6010">
        <w:rPr>
          <w:i/>
          <w:color w:val="auto"/>
          <w:shd w:val="clear" w:color="auto" w:fill="FFFFFF"/>
        </w:rPr>
        <w:t>Economic Journal</w:t>
      </w:r>
      <w:r w:rsidR="00F866FA" w:rsidRPr="004A6010">
        <w:rPr>
          <w:color w:val="auto"/>
          <w:shd w:val="clear" w:color="auto" w:fill="FFFFFF"/>
        </w:rPr>
        <w:t xml:space="preserve">, vol 128 March (609): 652-682. </w:t>
      </w:r>
    </w:p>
    <w:p w14:paraId="452581F3" w14:textId="77777777" w:rsidR="002878A7" w:rsidRDefault="002878A7" w:rsidP="00275F6A">
      <w:r>
        <w:t xml:space="preserve">Cassidy, N (2019), </w:t>
      </w:r>
      <w:r w:rsidR="00D33706">
        <w:t>‘</w:t>
      </w:r>
      <w:r w:rsidRPr="002878A7">
        <w:t>Low Wages Growth: An Introduction</w:t>
      </w:r>
      <w:r w:rsidR="00D33706">
        <w:t>’</w:t>
      </w:r>
      <w:r>
        <w:t xml:space="preserve"> </w:t>
      </w:r>
      <w:r w:rsidR="002B038B">
        <w:t xml:space="preserve">in </w:t>
      </w:r>
      <w:r w:rsidR="002B038B" w:rsidRPr="00FA66A8">
        <w:rPr>
          <w:i/>
        </w:rPr>
        <w:t>Low Wage Growth</w:t>
      </w:r>
      <w:r w:rsidR="002B038B">
        <w:rPr>
          <w:i/>
        </w:rPr>
        <w:t>,</w:t>
      </w:r>
      <w:r w:rsidR="002B038B">
        <w:t xml:space="preserve"> </w:t>
      </w:r>
      <w:r>
        <w:t>Reserve Bank of Australia Annual Conference</w:t>
      </w:r>
      <w:r w:rsidR="002B038B">
        <w:t>.</w:t>
      </w:r>
    </w:p>
    <w:p w14:paraId="4AF72B15" w14:textId="77777777" w:rsidR="00275F6A" w:rsidRPr="004A6010" w:rsidRDefault="00275F6A" w:rsidP="00275F6A">
      <w:pPr>
        <w:rPr>
          <w:color w:val="auto"/>
        </w:rPr>
      </w:pPr>
      <w:r w:rsidRPr="004A6010">
        <w:t xml:space="preserve">Criscuolo, C, P. Gal, C. Menon (2014), </w:t>
      </w:r>
      <w:r w:rsidR="00D33706">
        <w:t>‘</w:t>
      </w:r>
      <w:r w:rsidRPr="004A6010">
        <w:t>The Dynamics of Employment Growth: New Evidence from 17 Countries</w:t>
      </w:r>
      <w:r w:rsidR="00D33706">
        <w:t>’</w:t>
      </w:r>
      <w:r w:rsidR="00F95DBB">
        <w:t>,</w:t>
      </w:r>
      <w:r w:rsidRPr="004A6010">
        <w:t xml:space="preserve"> </w:t>
      </w:r>
      <w:r w:rsidRPr="00F95DBB">
        <w:rPr>
          <w:i/>
        </w:rPr>
        <w:t>OECD STI Policy Papers</w:t>
      </w:r>
      <w:r w:rsidRPr="004A6010">
        <w:t xml:space="preserve"> No. 14.</w:t>
      </w:r>
    </w:p>
    <w:p w14:paraId="073C9C60" w14:textId="77777777" w:rsidR="00275F6A" w:rsidRDefault="00275F6A" w:rsidP="00275F6A">
      <w:pPr>
        <w:rPr>
          <w:color w:val="auto"/>
        </w:rPr>
      </w:pPr>
      <w:r w:rsidRPr="004A6010">
        <w:rPr>
          <w:color w:val="auto"/>
        </w:rPr>
        <w:t>Campbell, S, T Nguyen, A Sibelle and F Soriano (201</w:t>
      </w:r>
      <w:r w:rsidR="00EE7640">
        <w:rPr>
          <w:color w:val="auto"/>
        </w:rPr>
        <w:t>9</w:t>
      </w:r>
      <w:r w:rsidRPr="004A6010">
        <w:rPr>
          <w:color w:val="auto"/>
        </w:rPr>
        <w:t>)</w:t>
      </w:r>
      <w:r w:rsidR="00585FB1">
        <w:rPr>
          <w:color w:val="auto"/>
        </w:rPr>
        <w:t>,</w:t>
      </w:r>
      <w:r w:rsidRPr="004A6010">
        <w:rPr>
          <w:color w:val="auto"/>
        </w:rPr>
        <w:t xml:space="preserve"> </w:t>
      </w:r>
      <w:r w:rsidR="00D33706">
        <w:rPr>
          <w:color w:val="auto"/>
        </w:rPr>
        <w:t>‘</w:t>
      </w:r>
      <w:r w:rsidRPr="004A6010">
        <w:rPr>
          <w:color w:val="auto"/>
        </w:rPr>
        <w:t>Measuring Productivity Dispersion in Selected Australian</w:t>
      </w:r>
      <w:r w:rsidRPr="00DA5CD4">
        <w:rPr>
          <w:color w:val="auto"/>
        </w:rPr>
        <w:t xml:space="preserve"> Industries</w:t>
      </w:r>
      <w:r w:rsidR="00D33706">
        <w:rPr>
          <w:color w:val="auto"/>
        </w:rPr>
        <w:t>’</w:t>
      </w:r>
      <w:r w:rsidRPr="00DA5CD4">
        <w:rPr>
          <w:color w:val="auto"/>
        </w:rPr>
        <w:t xml:space="preserve">, </w:t>
      </w:r>
      <w:r w:rsidRPr="00F95DBB">
        <w:rPr>
          <w:i/>
          <w:color w:val="auto"/>
        </w:rPr>
        <w:t>Treasury-ABS Working Paper</w:t>
      </w:r>
      <w:r>
        <w:rPr>
          <w:color w:val="auto"/>
        </w:rPr>
        <w:t xml:space="preserve">. </w:t>
      </w:r>
    </w:p>
    <w:p w14:paraId="3B47B6E3" w14:textId="77777777" w:rsidR="00275F6A" w:rsidRDefault="00275F6A" w:rsidP="00275F6A">
      <w:pPr>
        <w:rPr>
          <w:color w:val="auto"/>
        </w:rPr>
      </w:pPr>
      <w:r>
        <w:rPr>
          <w:color w:val="auto"/>
        </w:rPr>
        <w:t>Davis, S</w:t>
      </w:r>
      <w:r w:rsidR="00877B79">
        <w:rPr>
          <w:color w:val="auto"/>
        </w:rPr>
        <w:t>,</w:t>
      </w:r>
      <w:r>
        <w:rPr>
          <w:color w:val="auto"/>
        </w:rPr>
        <w:t xml:space="preserve"> J</w:t>
      </w:r>
      <w:r w:rsidR="00877B79">
        <w:rPr>
          <w:color w:val="auto"/>
        </w:rPr>
        <w:t>.</w:t>
      </w:r>
      <w:r>
        <w:rPr>
          <w:color w:val="auto"/>
        </w:rPr>
        <w:t xml:space="preserve"> Haltiwanger and S</w:t>
      </w:r>
      <w:r w:rsidR="00877B79">
        <w:rPr>
          <w:color w:val="auto"/>
        </w:rPr>
        <w:t>.</w:t>
      </w:r>
      <w:r>
        <w:rPr>
          <w:color w:val="auto"/>
        </w:rPr>
        <w:t xml:space="preserve"> Schuh (1996)</w:t>
      </w:r>
      <w:r w:rsidR="00F95DBB">
        <w:rPr>
          <w:color w:val="auto"/>
        </w:rPr>
        <w:t>,</w:t>
      </w:r>
      <w:r>
        <w:rPr>
          <w:color w:val="auto"/>
        </w:rPr>
        <w:t xml:space="preserve"> </w:t>
      </w:r>
      <w:r w:rsidR="00F95DBB">
        <w:rPr>
          <w:color w:val="auto"/>
        </w:rPr>
        <w:t>‘</w:t>
      </w:r>
      <w:r w:rsidRPr="00F95DBB">
        <w:rPr>
          <w:color w:val="auto"/>
        </w:rPr>
        <w:t>Job Creation and Destruction</w:t>
      </w:r>
      <w:r w:rsidR="00F95DBB">
        <w:rPr>
          <w:color w:val="auto"/>
        </w:rPr>
        <w:t>’</w:t>
      </w:r>
      <w:r>
        <w:rPr>
          <w:color w:val="auto"/>
        </w:rPr>
        <w:t xml:space="preserve"> Cambridge, MA: </w:t>
      </w:r>
      <w:r w:rsidRPr="00D500C9">
        <w:rPr>
          <w:i/>
          <w:color w:val="auto"/>
        </w:rPr>
        <w:t>MIT Press</w:t>
      </w:r>
      <w:r>
        <w:rPr>
          <w:color w:val="auto"/>
        </w:rPr>
        <w:t>.</w:t>
      </w:r>
    </w:p>
    <w:p w14:paraId="493FFC27" w14:textId="77777777" w:rsidR="00CA72D8" w:rsidRDefault="00CA72D8" w:rsidP="002A1163">
      <w:pPr>
        <w:rPr>
          <w:color w:val="auto"/>
        </w:rPr>
      </w:pPr>
      <w:r w:rsidRPr="004A6010">
        <w:rPr>
          <w:color w:val="auto"/>
        </w:rPr>
        <w:t>De</w:t>
      </w:r>
      <w:r w:rsidR="002A1163" w:rsidRPr="004A6010">
        <w:rPr>
          <w:color w:val="auto"/>
        </w:rPr>
        <w:t>b</w:t>
      </w:r>
      <w:r w:rsidRPr="004A6010">
        <w:rPr>
          <w:color w:val="auto"/>
        </w:rPr>
        <w:t>elle, G (2017)</w:t>
      </w:r>
      <w:r w:rsidR="002A1163" w:rsidRPr="004A6010">
        <w:rPr>
          <w:color w:val="auto"/>
        </w:rPr>
        <w:t xml:space="preserve">, </w:t>
      </w:r>
      <w:r w:rsidR="00D33706">
        <w:rPr>
          <w:color w:val="auto"/>
        </w:rPr>
        <w:t>‘</w:t>
      </w:r>
      <w:r w:rsidR="002A1163" w:rsidRPr="004A6010">
        <w:rPr>
          <w:color w:val="auto"/>
        </w:rPr>
        <w:t>Business Investment in Australia,</w:t>
      </w:r>
      <w:r w:rsidR="00D33706">
        <w:rPr>
          <w:color w:val="auto"/>
        </w:rPr>
        <w:t>’</w:t>
      </w:r>
      <w:r w:rsidR="002A1163" w:rsidRPr="004A6010">
        <w:rPr>
          <w:color w:val="auto"/>
        </w:rPr>
        <w:t xml:space="preserve"> speech to UBS Australasia Conference 2017,</w:t>
      </w:r>
      <w:r w:rsidR="002A1163">
        <w:rPr>
          <w:color w:val="auto"/>
        </w:rPr>
        <w:t xml:space="preserve"> </w:t>
      </w:r>
      <w:r w:rsidR="002A1163" w:rsidRPr="002A1163">
        <w:rPr>
          <w:color w:val="auto"/>
        </w:rPr>
        <w:t>Sydney – 13 November 2017</w:t>
      </w:r>
    </w:p>
    <w:p w14:paraId="36B94E44" w14:textId="77777777" w:rsidR="00275F6A" w:rsidRPr="004A6010" w:rsidRDefault="00275F6A" w:rsidP="00275F6A">
      <w:pPr>
        <w:rPr>
          <w:color w:val="auto"/>
        </w:rPr>
      </w:pPr>
      <w:r w:rsidRPr="00DA5CD4">
        <w:rPr>
          <w:color w:val="auto"/>
        </w:rPr>
        <w:t xml:space="preserve">Decker, </w:t>
      </w:r>
      <w:r>
        <w:rPr>
          <w:color w:val="auto"/>
        </w:rPr>
        <w:t>R, J Haltiwanger, R</w:t>
      </w:r>
      <w:r w:rsidRPr="00DA5CD4">
        <w:rPr>
          <w:color w:val="auto"/>
        </w:rPr>
        <w:t xml:space="preserve"> Jarmin and J Miranda (201</w:t>
      </w:r>
      <w:r w:rsidR="00CD67DB">
        <w:rPr>
          <w:color w:val="auto"/>
        </w:rPr>
        <w:t>8</w:t>
      </w:r>
      <w:r w:rsidRPr="00DA5CD4">
        <w:rPr>
          <w:color w:val="auto"/>
        </w:rPr>
        <w:t>)</w:t>
      </w:r>
      <w:r w:rsidR="00585FB1">
        <w:rPr>
          <w:color w:val="auto"/>
        </w:rPr>
        <w:t>,</w:t>
      </w:r>
      <w:r w:rsidRPr="00DA5CD4">
        <w:rPr>
          <w:color w:val="auto"/>
        </w:rPr>
        <w:t xml:space="preserve"> </w:t>
      </w:r>
      <w:r w:rsidR="00D33706">
        <w:rPr>
          <w:color w:val="auto"/>
        </w:rPr>
        <w:t>‘</w:t>
      </w:r>
      <w:r w:rsidR="00CD67DB" w:rsidRPr="00CD67DB">
        <w:rPr>
          <w:color w:val="auto"/>
        </w:rPr>
        <w:t>Changing Business Dynamism and Productivity: Shocks vs. Responsiveness</w:t>
      </w:r>
      <w:r w:rsidR="00D33706">
        <w:rPr>
          <w:color w:val="auto"/>
        </w:rPr>
        <w:t>’</w:t>
      </w:r>
      <w:r w:rsidRPr="004A6010">
        <w:rPr>
          <w:color w:val="auto"/>
        </w:rPr>
        <w:t xml:space="preserve"> </w:t>
      </w:r>
      <w:r w:rsidR="00CD67DB" w:rsidRPr="00D500C9">
        <w:rPr>
          <w:i/>
          <w:color w:val="auto"/>
        </w:rPr>
        <w:t>NBER Working Paper</w:t>
      </w:r>
      <w:r w:rsidR="00CD67DB" w:rsidRPr="00CD67DB">
        <w:rPr>
          <w:color w:val="auto"/>
        </w:rPr>
        <w:t xml:space="preserve"> No. 24236</w:t>
      </w:r>
      <w:r w:rsidRPr="004A6010">
        <w:rPr>
          <w:color w:val="auto"/>
        </w:rPr>
        <w:t xml:space="preserve">. </w:t>
      </w:r>
    </w:p>
    <w:p w14:paraId="7DFC6855" w14:textId="77777777" w:rsidR="00CA72D8" w:rsidRPr="00DA5CD4" w:rsidRDefault="00CA72D8" w:rsidP="00CA72D8">
      <w:pPr>
        <w:rPr>
          <w:color w:val="auto"/>
        </w:rPr>
      </w:pPr>
      <w:r w:rsidRPr="004A6010">
        <w:rPr>
          <w:color w:val="auto"/>
        </w:rPr>
        <w:lastRenderedPageBreak/>
        <w:t>Deutscher, N (2019)</w:t>
      </w:r>
      <w:r w:rsidR="00EE7640" w:rsidRPr="004A6010">
        <w:rPr>
          <w:color w:val="auto"/>
        </w:rPr>
        <w:t>,</w:t>
      </w:r>
      <w:r w:rsidRPr="004A6010">
        <w:rPr>
          <w:color w:val="auto"/>
        </w:rPr>
        <w:t xml:space="preserve"> </w:t>
      </w:r>
      <w:r w:rsidR="00D33706">
        <w:rPr>
          <w:color w:val="auto"/>
        </w:rPr>
        <w:t>‘</w:t>
      </w:r>
      <w:r w:rsidR="00EE7640" w:rsidRPr="004A6010">
        <w:rPr>
          <w:color w:val="auto"/>
        </w:rPr>
        <w:t>Job-to-job transitions and the earnings of Australian workers</w:t>
      </w:r>
      <w:r w:rsidR="00D33706">
        <w:rPr>
          <w:color w:val="auto"/>
        </w:rPr>
        <w:t>’</w:t>
      </w:r>
      <w:r w:rsidR="00EE7640" w:rsidRPr="004A6010">
        <w:rPr>
          <w:color w:val="auto"/>
        </w:rPr>
        <w:t xml:space="preserve">, </w:t>
      </w:r>
      <w:r w:rsidR="00EE7640" w:rsidRPr="00D500C9">
        <w:rPr>
          <w:i/>
          <w:color w:val="auto"/>
        </w:rPr>
        <w:t>Treasury Working Paper</w:t>
      </w:r>
      <w:r w:rsidR="00EE7640" w:rsidRPr="004A6010">
        <w:rPr>
          <w:color w:val="auto"/>
        </w:rPr>
        <w:t xml:space="preserve"> </w:t>
      </w:r>
      <w:r w:rsidR="00606A26">
        <w:rPr>
          <w:i/>
          <w:color w:val="auto"/>
        </w:rPr>
        <w:t>2019-07</w:t>
      </w:r>
      <w:r w:rsidR="00EE7640" w:rsidRPr="004A6010">
        <w:rPr>
          <w:color w:val="auto"/>
        </w:rPr>
        <w:t>.</w:t>
      </w:r>
    </w:p>
    <w:p w14:paraId="573B78B8" w14:textId="77777777" w:rsidR="00275F6A" w:rsidRDefault="00275F6A" w:rsidP="00275F6A">
      <w:r>
        <w:t xml:space="preserve">Disney, R, J. Haskel and Y. Heden (2003), </w:t>
      </w:r>
      <w:r w:rsidR="00F95DBB">
        <w:t>‘</w:t>
      </w:r>
      <w:r>
        <w:t>Restructuring and Productivity Growth in UK Manufacturing</w:t>
      </w:r>
      <w:r w:rsidR="00F95DBB">
        <w:t>’</w:t>
      </w:r>
      <w:r>
        <w:t xml:space="preserve">, </w:t>
      </w:r>
      <w:r w:rsidRPr="00D500C9">
        <w:rPr>
          <w:i/>
        </w:rPr>
        <w:t>Economic Journal</w:t>
      </w:r>
      <w:r>
        <w:t xml:space="preserve"> 113, 666-694.</w:t>
      </w:r>
    </w:p>
    <w:p w14:paraId="1F92FDCB" w14:textId="77777777" w:rsidR="00275F6A" w:rsidRDefault="00275F6A" w:rsidP="00275F6A">
      <w:pPr>
        <w:rPr>
          <w:color w:val="auto"/>
        </w:rPr>
      </w:pPr>
      <w:r>
        <w:t xml:space="preserve">Eisfeldt, A.L. and A.A. Rampini (2006), </w:t>
      </w:r>
      <w:r w:rsidR="00D33706">
        <w:t>‘</w:t>
      </w:r>
      <w:r>
        <w:t>Capital Reallocation and Liquidity</w:t>
      </w:r>
      <w:r w:rsidR="00D33706">
        <w:t>’</w:t>
      </w:r>
      <w:r>
        <w:t xml:space="preserve">, </w:t>
      </w:r>
      <w:r w:rsidRPr="00D500C9">
        <w:rPr>
          <w:i/>
        </w:rPr>
        <w:t>Journal of Monetary Economics</w:t>
      </w:r>
      <w:r w:rsidRPr="00D500C9">
        <w:t>, No. 53</w:t>
      </w:r>
      <w:r>
        <w:t>, pp. 369-399.</w:t>
      </w:r>
    </w:p>
    <w:p w14:paraId="651F0B24" w14:textId="77777777" w:rsidR="006A6AE6" w:rsidRDefault="006A6AE6" w:rsidP="004A6010">
      <w:r w:rsidRPr="004A6010">
        <w:rPr>
          <w:color w:val="auto"/>
        </w:rPr>
        <w:t>Foster,</w:t>
      </w:r>
      <w:r w:rsidR="002A1163" w:rsidRPr="004A6010">
        <w:rPr>
          <w:color w:val="auto"/>
        </w:rPr>
        <w:t xml:space="preserve"> L, J</w:t>
      </w:r>
      <w:r w:rsidRPr="004A6010">
        <w:rPr>
          <w:color w:val="auto"/>
        </w:rPr>
        <w:t xml:space="preserve"> Haltiwanger and </w:t>
      </w:r>
      <w:r w:rsidR="002A1163" w:rsidRPr="004A6010">
        <w:rPr>
          <w:color w:val="auto"/>
        </w:rPr>
        <w:t xml:space="preserve">CJ </w:t>
      </w:r>
      <w:r w:rsidRPr="004A6010">
        <w:rPr>
          <w:color w:val="auto"/>
        </w:rPr>
        <w:t xml:space="preserve">Krizan </w:t>
      </w:r>
      <w:r w:rsidR="002A1163" w:rsidRPr="004A6010">
        <w:rPr>
          <w:color w:val="auto"/>
        </w:rPr>
        <w:t>(</w:t>
      </w:r>
      <w:r w:rsidRPr="004A6010">
        <w:rPr>
          <w:color w:val="auto"/>
        </w:rPr>
        <w:t>2001</w:t>
      </w:r>
      <w:r w:rsidR="002A1163" w:rsidRPr="004A6010">
        <w:rPr>
          <w:color w:val="auto"/>
        </w:rPr>
        <w:t xml:space="preserve">), </w:t>
      </w:r>
      <w:r w:rsidR="00D33706">
        <w:rPr>
          <w:color w:val="auto"/>
        </w:rPr>
        <w:t>‘</w:t>
      </w:r>
      <w:r w:rsidR="002A1163" w:rsidRPr="004A6010">
        <w:rPr>
          <w:color w:val="auto"/>
        </w:rPr>
        <w:t>Aggregate Productivity Growth: Lessons from Microeconomic Evidence,</w:t>
      </w:r>
      <w:r w:rsidR="00D33706">
        <w:rPr>
          <w:color w:val="auto"/>
        </w:rPr>
        <w:t>’</w:t>
      </w:r>
      <w:r w:rsidR="002A1163" w:rsidRPr="004A6010">
        <w:rPr>
          <w:color w:val="auto"/>
        </w:rPr>
        <w:t xml:space="preserve"> Chapter in NBER book New Developments in Productivity Analysis (2001), Charles R. Hulten, Edwin R. Dean and Michael J. Harper, editors (p. 303 - 372), University of Chicago Press.</w:t>
      </w:r>
    </w:p>
    <w:p w14:paraId="72FB5F55" w14:textId="77777777" w:rsidR="00275F6A" w:rsidRDefault="00275F6A" w:rsidP="00275F6A">
      <w:r>
        <w:t xml:space="preserve">Foster, L, J Haltiwanger and CJ Krizan (2006), Market Selection, Reallocation, and Restructuring in the U. S Retail Trade Sector in the 1990s, </w:t>
      </w:r>
      <w:r w:rsidRPr="00D500C9">
        <w:rPr>
          <w:i/>
        </w:rPr>
        <w:t>Review of Economics and Statistics</w:t>
      </w:r>
      <w:r>
        <w:t xml:space="preserve"> 88, 748-758. </w:t>
      </w:r>
    </w:p>
    <w:p w14:paraId="3085385D" w14:textId="77777777" w:rsidR="00CA72D8" w:rsidRDefault="00CA72D8" w:rsidP="00CA72D8">
      <w:r w:rsidRPr="004A6010">
        <w:t>Fox, K (2019</w:t>
      </w:r>
      <w:r w:rsidR="00EE7640" w:rsidRPr="004A6010">
        <w:t>)</w:t>
      </w:r>
      <w:r w:rsidR="00EE7640">
        <w:t>,</w:t>
      </w:r>
      <w:r w:rsidR="00F866FA" w:rsidRPr="004A6010">
        <w:t xml:space="preserve"> </w:t>
      </w:r>
      <w:r w:rsidR="00D33706">
        <w:t>‘</w:t>
      </w:r>
      <w:r w:rsidR="00F866FA" w:rsidRPr="004A6010">
        <w:t>Estimates of Multifactor Productivity using BLADE</w:t>
      </w:r>
      <w:r w:rsidR="00D33706">
        <w:t>’</w:t>
      </w:r>
      <w:r w:rsidR="00EE7640" w:rsidRPr="004A6010">
        <w:t>, forthcoming.</w:t>
      </w:r>
    </w:p>
    <w:p w14:paraId="01D024A0" w14:textId="77777777" w:rsidR="00CA72D8" w:rsidRDefault="00CA72D8" w:rsidP="00CA72D8">
      <w:r w:rsidRPr="004A6010">
        <w:t>Furman, J (2015)</w:t>
      </w:r>
      <w:r w:rsidR="00EE7640">
        <w:t>,</w:t>
      </w:r>
      <w:r w:rsidR="00F64AA0" w:rsidRPr="004A6010">
        <w:t xml:space="preserve"> Remarks at the launch of the OECD Study on the Future of Productivity, Peterson</w:t>
      </w:r>
      <w:r w:rsidR="00F64AA0">
        <w:t xml:space="preserve"> Institute for International Economics 9 July 2015</w:t>
      </w:r>
      <w:r w:rsidR="009D1390">
        <w:t>.</w:t>
      </w:r>
      <w:r w:rsidR="00F64AA0">
        <w:t xml:space="preserve"> </w:t>
      </w:r>
    </w:p>
    <w:p w14:paraId="2919C3A0" w14:textId="77777777" w:rsidR="00CA72D8" w:rsidRDefault="00CA72D8" w:rsidP="00F819DE">
      <w:r w:rsidRPr="004A6010">
        <w:t>Gaetjens</w:t>
      </w:r>
      <w:r w:rsidR="00F819DE" w:rsidRPr="004A6010">
        <w:t>, P</w:t>
      </w:r>
      <w:r w:rsidRPr="004A6010">
        <w:t xml:space="preserve"> (2018)</w:t>
      </w:r>
      <w:r w:rsidR="00F819DE" w:rsidRPr="004A6010">
        <w:t>, Bateman Lecture, UWA Public Policy Institute 04 September 2018</w:t>
      </w:r>
      <w:r w:rsidR="004F1BA0">
        <w:t>.</w:t>
      </w:r>
    </w:p>
    <w:p w14:paraId="5C729F20" w14:textId="77777777" w:rsidR="00275F6A" w:rsidRDefault="00275F6A" w:rsidP="00275F6A">
      <w:pPr>
        <w:rPr>
          <w:color w:val="auto"/>
        </w:rPr>
      </w:pPr>
      <w:r w:rsidRPr="00DA5CD4">
        <w:rPr>
          <w:color w:val="auto"/>
        </w:rPr>
        <w:t xml:space="preserve">Griliches, Zvi and </w:t>
      </w:r>
      <w:r>
        <w:rPr>
          <w:color w:val="auto"/>
        </w:rPr>
        <w:t>Haim Regev (1992</w:t>
      </w:r>
      <w:r w:rsidRPr="00DA5CD4">
        <w:rPr>
          <w:color w:val="auto"/>
        </w:rPr>
        <w:t>)</w:t>
      </w:r>
      <w:r w:rsidR="00585FB1">
        <w:rPr>
          <w:color w:val="auto"/>
        </w:rPr>
        <w:t>,</w:t>
      </w:r>
      <w:r w:rsidRPr="00DA5CD4">
        <w:rPr>
          <w:color w:val="auto"/>
        </w:rPr>
        <w:t xml:space="preserve"> </w:t>
      </w:r>
      <w:r w:rsidR="00D33706">
        <w:rPr>
          <w:color w:val="auto"/>
        </w:rPr>
        <w:t>‘</w:t>
      </w:r>
      <w:r>
        <w:rPr>
          <w:color w:val="auto"/>
        </w:rPr>
        <w:t>Productivity and Firm Turnover in Israeli Industry: 1979-1988</w:t>
      </w:r>
      <w:r w:rsidR="00D33706">
        <w:rPr>
          <w:color w:val="auto"/>
        </w:rPr>
        <w:t>’</w:t>
      </w:r>
      <w:r>
        <w:rPr>
          <w:color w:val="auto"/>
        </w:rPr>
        <w:t xml:space="preserve">, </w:t>
      </w:r>
      <w:r w:rsidRPr="00D500C9">
        <w:rPr>
          <w:i/>
          <w:color w:val="auto"/>
        </w:rPr>
        <w:t>NBER Working Paper Series</w:t>
      </w:r>
      <w:r>
        <w:rPr>
          <w:color w:val="auto"/>
        </w:rPr>
        <w:t xml:space="preserve"> No. 4059</w:t>
      </w:r>
      <w:r w:rsidR="004F1BA0">
        <w:rPr>
          <w:color w:val="auto"/>
        </w:rPr>
        <w:t>.</w:t>
      </w:r>
    </w:p>
    <w:p w14:paraId="344F82D7" w14:textId="77777777" w:rsidR="00275F6A" w:rsidRDefault="00275F6A" w:rsidP="00275F6A">
      <w:r>
        <w:t xml:space="preserve">Haltiwanger, J. (2011), </w:t>
      </w:r>
      <w:r w:rsidR="00D33706">
        <w:t>‘</w:t>
      </w:r>
      <w:r>
        <w:t>Firm Dynamics and Economic Performance</w:t>
      </w:r>
      <w:r w:rsidR="00D33706">
        <w:t>’</w:t>
      </w:r>
      <w:r>
        <w:t>, mimeo.</w:t>
      </w:r>
    </w:p>
    <w:p w14:paraId="695B4161" w14:textId="77777777" w:rsidR="00275F6A" w:rsidRDefault="00275F6A" w:rsidP="00275F6A">
      <w:pPr>
        <w:rPr>
          <w:color w:val="auto"/>
        </w:rPr>
      </w:pPr>
      <w:r>
        <w:t xml:space="preserve">Haltiwanger, J, R. Jarmin and J. Miranda (2013), </w:t>
      </w:r>
      <w:r w:rsidR="00D33706">
        <w:t>‘</w:t>
      </w:r>
      <w:r>
        <w:t>Who Creates Jobs: Small vs Large vs Young</w:t>
      </w:r>
      <w:r w:rsidR="00D33706">
        <w:t>’</w:t>
      </w:r>
      <w:r>
        <w:t xml:space="preserve"> </w:t>
      </w:r>
      <w:r w:rsidRPr="002E3841">
        <w:rPr>
          <w:i/>
        </w:rPr>
        <w:t>Review of Economics and Statistics</w:t>
      </w:r>
      <w:r>
        <w:t xml:space="preserve"> 95(2), pp. 347-61.</w:t>
      </w:r>
    </w:p>
    <w:p w14:paraId="6CE806D2" w14:textId="77777777" w:rsidR="00275F6A" w:rsidRPr="00DA5CD4" w:rsidRDefault="00275F6A" w:rsidP="00275F6A">
      <w:pPr>
        <w:rPr>
          <w:color w:val="auto"/>
        </w:rPr>
      </w:pPr>
      <w:r w:rsidRPr="00DA5CD4">
        <w:rPr>
          <w:color w:val="auto"/>
        </w:rPr>
        <w:lastRenderedPageBreak/>
        <w:t>Hansell, D, T Nguyen and F Soriano (2015)</w:t>
      </w:r>
      <w:r w:rsidR="00585FB1">
        <w:rPr>
          <w:color w:val="auto"/>
        </w:rPr>
        <w:t>,</w:t>
      </w:r>
      <w:r w:rsidRPr="00DA5CD4">
        <w:rPr>
          <w:color w:val="auto"/>
        </w:rPr>
        <w:t xml:space="preserve"> </w:t>
      </w:r>
      <w:r w:rsidR="00D33706">
        <w:rPr>
          <w:color w:val="auto"/>
        </w:rPr>
        <w:t>‘</w:t>
      </w:r>
      <w:r w:rsidRPr="00DA5CD4">
        <w:rPr>
          <w:color w:val="auto"/>
        </w:rPr>
        <w:t>Can we improve on a headcount? Estimating unobserved labour input with individual wage data</w:t>
      </w:r>
      <w:r w:rsidR="00D33706">
        <w:rPr>
          <w:i/>
          <w:color w:val="auto"/>
        </w:rPr>
        <w:t>’</w:t>
      </w:r>
      <w:r w:rsidRPr="00DA5CD4">
        <w:rPr>
          <w:i/>
          <w:color w:val="auto"/>
        </w:rPr>
        <w:t>, Paper presented to the Australian Labour Market Research Workshop</w:t>
      </w:r>
      <w:r w:rsidRPr="00DA5CD4">
        <w:rPr>
          <w:color w:val="auto"/>
        </w:rPr>
        <w:t xml:space="preserve">, Adelaide 3 December. </w:t>
      </w:r>
    </w:p>
    <w:p w14:paraId="1C5A854D" w14:textId="77777777" w:rsidR="00275F6A" w:rsidRPr="00DA5CD4" w:rsidRDefault="00275F6A" w:rsidP="00275F6A">
      <w:pPr>
        <w:rPr>
          <w:color w:val="auto"/>
        </w:rPr>
      </w:pPr>
      <w:r w:rsidRPr="00DA5CD4">
        <w:rPr>
          <w:color w:val="auto"/>
        </w:rPr>
        <w:t>Hansell, D and B</w:t>
      </w:r>
      <w:r w:rsidR="00877B79">
        <w:rPr>
          <w:color w:val="auto"/>
        </w:rPr>
        <w:t>.</w:t>
      </w:r>
      <w:r w:rsidRPr="00DA5CD4">
        <w:rPr>
          <w:color w:val="auto"/>
        </w:rPr>
        <w:t xml:space="preserve"> Rafi (2018)</w:t>
      </w:r>
      <w:r w:rsidR="00585FB1">
        <w:rPr>
          <w:color w:val="auto"/>
        </w:rPr>
        <w:t>,</w:t>
      </w:r>
      <w:r w:rsidRPr="00DA5CD4">
        <w:rPr>
          <w:color w:val="auto"/>
        </w:rPr>
        <w:t xml:space="preserve"> </w:t>
      </w:r>
      <w:r w:rsidR="00D33706">
        <w:rPr>
          <w:color w:val="auto"/>
        </w:rPr>
        <w:t>‘</w:t>
      </w:r>
      <w:r w:rsidRPr="00DA5CD4">
        <w:rPr>
          <w:color w:val="auto"/>
        </w:rPr>
        <w:t>Firm-level Analysis Using the ABS’ Business Longitudinal Analysis Data Environment (BLADE)</w:t>
      </w:r>
      <w:r w:rsidR="00D33706">
        <w:rPr>
          <w:color w:val="auto"/>
        </w:rPr>
        <w:t>’</w:t>
      </w:r>
      <w:r w:rsidRPr="00DA5CD4">
        <w:rPr>
          <w:color w:val="auto"/>
        </w:rPr>
        <w:t xml:space="preserve">, </w:t>
      </w:r>
      <w:r w:rsidRPr="002E3841">
        <w:rPr>
          <w:i/>
          <w:color w:val="auto"/>
        </w:rPr>
        <w:t>Australian Economic Review</w:t>
      </w:r>
      <w:r w:rsidRPr="00DA5CD4">
        <w:rPr>
          <w:color w:val="auto"/>
        </w:rPr>
        <w:t xml:space="preserve">, Vol. 51(1): 132-138. </w:t>
      </w:r>
    </w:p>
    <w:p w14:paraId="57B89ABC" w14:textId="77777777" w:rsidR="00CA72D8" w:rsidRPr="004A6010" w:rsidRDefault="00CA72D8" w:rsidP="00CA72D8">
      <w:pPr>
        <w:rPr>
          <w:color w:val="auto"/>
        </w:rPr>
      </w:pPr>
      <w:r w:rsidRPr="004A6010">
        <w:rPr>
          <w:color w:val="auto"/>
        </w:rPr>
        <w:t>Heads of Treasuries (2017)</w:t>
      </w:r>
      <w:r w:rsidR="002A1163" w:rsidRPr="004A6010">
        <w:rPr>
          <w:color w:val="auto"/>
        </w:rPr>
        <w:t xml:space="preserve">, </w:t>
      </w:r>
      <w:r w:rsidR="002A1163" w:rsidRPr="004A6010">
        <w:rPr>
          <w:i/>
          <w:color w:val="auto"/>
        </w:rPr>
        <w:t>Intergovernmental Review of Business Investment</w:t>
      </w:r>
      <w:r w:rsidR="002A1163" w:rsidRPr="004A6010">
        <w:rPr>
          <w:color w:val="auto"/>
        </w:rPr>
        <w:t xml:space="preserve"> September 2017.</w:t>
      </w:r>
    </w:p>
    <w:p w14:paraId="60150E3D" w14:textId="77777777" w:rsidR="00CA72D8" w:rsidRDefault="00CA72D8" w:rsidP="00CA72D8">
      <w:pPr>
        <w:rPr>
          <w:color w:val="auto"/>
        </w:rPr>
      </w:pPr>
      <w:r w:rsidRPr="00DA5CD4">
        <w:rPr>
          <w:color w:val="auto"/>
        </w:rPr>
        <w:t>Hendrickson, L,</w:t>
      </w:r>
      <w:r>
        <w:rPr>
          <w:color w:val="auto"/>
        </w:rPr>
        <w:t xml:space="preserve"> A</w:t>
      </w:r>
      <w:r w:rsidR="00877B79">
        <w:rPr>
          <w:color w:val="auto"/>
        </w:rPr>
        <w:t xml:space="preserve"> </w:t>
      </w:r>
      <w:r>
        <w:rPr>
          <w:color w:val="auto"/>
        </w:rPr>
        <w:t>Balaguer, S Bucifal and D Hansell</w:t>
      </w:r>
      <w:r w:rsidRPr="00DA5CD4">
        <w:rPr>
          <w:color w:val="auto"/>
        </w:rPr>
        <w:t xml:space="preserve"> (2015)</w:t>
      </w:r>
      <w:r w:rsidR="00585FB1">
        <w:rPr>
          <w:color w:val="auto"/>
        </w:rPr>
        <w:t>,</w:t>
      </w:r>
      <w:r w:rsidRPr="00DA5CD4">
        <w:rPr>
          <w:color w:val="auto"/>
        </w:rPr>
        <w:t xml:space="preserve"> </w:t>
      </w:r>
      <w:r w:rsidR="00D33706">
        <w:rPr>
          <w:color w:val="auto"/>
        </w:rPr>
        <w:t>‘</w:t>
      </w:r>
      <w:r>
        <w:rPr>
          <w:color w:val="auto"/>
        </w:rPr>
        <w:t xml:space="preserve">The Employment Dynamics of Australian </w:t>
      </w:r>
      <w:r w:rsidRPr="00DA5CD4">
        <w:rPr>
          <w:color w:val="auto"/>
        </w:rPr>
        <w:t>Entrepreneurship</w:t>
      </w:r>
      <w:r w:rsidR="00D33706">
        <w:rPr>
          <w:color w:val="auto"/>
        </w:rPr>
        <w:t>’</w:t>
      </w:r>
      <w:r w:rsidRPr="00DA5CD4">
        <w:rPr>
          <w:color w:val="auto"/>
        </w:rPr>
        <w:t xml:space="preserve">, </w:t>
      </w:r>
      <w:r>
        <w:rPr>
          <w:color w:val="auto"/>
        </w:rPr>
        <w:t xml:space="preserve">Office of the Chief Economist, Department of Industry and Science, </w:t>
      </w:r>
      <w:r w:rsidRPr="00D500C9">
        <w:rPr>
          <w:i/>
          <w:color w:val="auto"/>
        </w:rPr>
        <w:t>Research Paper 4/2015</w:t>
      </w:r>
      <w:r>
        <w:rPr>
          <w:color w:val="auto"/>
        </w:rPr>
        <w:t xml:space="preserve"> </w:t>
      </w:r>
    </w:p>
    <w:p w14:paraId="22D0223D" w14:textId="77777777" w:rsidR="00275F6A" w:rsidRDefault="00275F6A" w:rsidP="00275F6A">
      <w:r>
        <w:t xml:space="preserve">Hsieh, C-T. and P. Klenow (2009), </w:t>
      </w:r>
      <w:r w:rsidR="00D33706">
        <w:t>‘</w:t>
      </w:r>
      <w:r>
        <w:t>Misallocation and Manufacturing Productivity in China and India,</w:t>
      </w:r>
      <w:r w:rsidR="00D33706">
        <w:t>’</w:t>
      </w:r>
      <w:r>
        <w:t xml:space="preserve"> </w:t>
      </w:r>
      <w:r w:rsidRPr="002E3841">
        <w:rPr>
          <w:i/>
        </w:rPr>
        <w:t>Quarterly Journal of Economics</w:t>
      </w:r>
      <w:r>
        <w:t xml:space="preserve">, 124(4), pp. 1403-1448. </w:t>
      </w:r>
    </w:p>
    <w:p w14:paraId="25BE3D1A" w14:textId="77777777" w:rsidR="00275F6A" w:rsidRPr="004A6010" w:rsidRDefault="00275F6A" w:rsidP="00275F6A">
      <w:r>
        <w:t xml:space="preserve">Jovanovic, B. and P.L. Rousseau (2002), </w:t>
      </w:r>
      <w:r w:rsidR="00D33706">
        <w:t>‘</w:t>
      </w:r>
      <w:r>
        <w:t>The Q-Theory of Mergers</w:t>
      </w:r>
      <w:r w:rsidR="00D33706">
        <w:t>’</w:t>
      </w:r>
      <w:r>
        <w:t xml:space="preserve">, </w:t>
      </w:r>
      <w:r w:rsidRPr="002E3841">
        <w:rPr>
          <w:i/>
        </w:rPr>
        <w:t>American Economic Review Papers and Proceedings</w:t>
      </w:r>
      <w:r w:rsidRPr="004A6010">
        <w:t xml:space="preserve"> 91, pp. 336–341.</w:t>
      </w:r>
    </w:p>
    <w:p w14:paraId="0E3AD81A" w14:textId="77777777" w:rsidR="00CA72D8" w:rsidRDefault="00CA72D8" w:rsidP="00F64AA0">
      <w:r w:rsidRPr="004A6010">
        <w:t>Lowe, P (2018)</w:t>
      </w:r>
      <w:r w:rsidR="00F64AA0" w:rsidRPr="004A6010">
        <w:t xml:space="preserve">, </w:t>
      </w:r>
      <w:r w:rsidR="00D33706">
        <w:t>‘</w:t>
      </w:r>
      <w:r w:rsidR="00F64AA0" w:rsidRPr="004A6010">
        <w:t>Productivity, Wages and Prosperity</w:t>
      </w:r>
      <w:r w:rsidR="00D33706">
        <w:t>’</w:t>
      </w:r>
      <w:r w:rsidRPr="004A6010">
        <w:t xml:space="preserve"> </w:t>
      </w:r>
      <w:r w:rsidR="00F64AA0" w:rsidRPr="004A6010">
        <w:t>Address to Australian Industry Group, Melbourne – 13 June 2018.</w:t>
      </w:r>
    </w:p>
    <w:p w14:paraId="02812621" w14:textId="77777777" w:rsidR="00CA72D8" w:rsidRDefault="00CA72D8" w:rsidP="00CA72D8">
      <w:r>
        <w:t>Meltitz, M and Saso Polanec (2015)</w:t>
      </w:r>
      <w:r w:rsidR="00585FB1">
        <w:t>,</w:t>
      </w:r>
      <w:r>
        <w:t xml:space="preserve"> </w:t>
      </w:r>
      <w:r w:rsidR="00D33706">
        <w:t>‘</w:t>
      </w:r>
      <w:r>
        <w:t>Dynamic Olley-Pakes Productivity Decomposition with entry and exit</w:t>
      </w:r>
      <w:r w:rsidR="00D33706">
        <w:t>’</w:t>
      </w:r>
      <w:r>
        <w:t xml:space="preserve">, </w:t>
      </w:r>
      <w:r w:rsidRPr="00D500C9">
        <w:rPr>
          <w:i/>
        </w:rPr>
        <w:t>RAND Journal of Economics</w:t>
      </w:r>
      <w:r>
        <w:t xml:space="preserve">, Rand Corporation, June, vol. 46(2): 362-375. </w:t>
      </w:r>
    </w:p>
    <w:p w14:paraId="2FA07ACF" w14:textId="77777777" w:rsidR="002A1163" w:rsidRDefault="002A1163" w:rsidP="00275F6A">
      <w:pPr>
        <w:rPr>
          <w:color w:val="auto"/>
        </w:rPr>
      </w:pPr>
      <w:r w:rsidRPr="002A1163">
        <w:rPr>
          <w:color w:val="auto"/>
        </w:rPr>
        <w:t xml:space="preserve">Mora Sanguinetti, J. and A. Fuentes (2012), </w:t>
      </w:r>
      <w:r w:rsidR="00D33706">
        <w:rPr>
          <w:color w:val="auto"/>
        </w:rPr>
        <w:t>‘</w:t>
      </w:r>
      <w:r w:rsidRPr="002A1163">
        <w:rPr>
          <w:color w:val="auto"/>
        </w:rPr>
        <w:t>An Analysis of Productivity Performance in Spain Before and During the Crisis: Exploring the Role of Institutions</w:t>
      </w:r>
      <w:r w:rsidR="00D33706">
        <w:rPr>
          <w:color w:val="auto"/>
        </w:rPr>
        <w:t>’</w:t>
      </w:r>
      <w:r w:rsidRPr="002A1163">
        <w:rPr>
          <w:color w:val="auto"/>
        </w:rPr>
        <w:t xml:space="preserve">, </w:t>
      </w:r>
      <w:r w:rsidRPr="00D500C9">
        <w:rPr>
          <w:i/>
          <w:color w:val="auto"/>
        </w:rPr>
        <w:t>OECD Economics Department Working Papers</w:t>
      </w:r>
      <w:r w:rsidRPr="002A1163">
        <w:rPr>
          <w:color w:val="auto"/>
        </w:rPr>
        <w:t>, No. 973, OECD Publishing, Paris</w:t>
      </w:r>
      <w:r w:rsidR="009D1390">
        <w:rPr>
          <w:color w:val="auto"/>
        </w:rPr>
        <w:t>.</w:t>
      </w:r>
    </w:p>
    <w:p w14:paraId="3A94213B" w14:textId="77777777" w:rsidR="00275F6A" w:rsidRDefault="00275F6A" w:rsidP="00275F6A">
      <w:pPr>
        <w:rPr>
          <w:i/>
        </w:rPr>
      </w:pPr>
      <w:r>
        <w:t>Nguyen, T and D Hansell (2014)</w:t>
      </w:r>
      <w:r w:rsidR="00585FB1">
        <w:t>,</w:t>
      </w:r>
      <w:r>
        <w:t xml:space="preserve"> </w:t>
      </w:r>
      <w:r w:rsidR="00D33706">
        <w:t>‘</w:t>
      </w:r>
      <w:r>
        <w:t>Firm Dynamics and Productivity Growth in Australian Manufacturing and Business Services</w:t>
      </w:r>
      <w:r w:rsidR="00D33706">
        <w:t>’</w:t>
      </w:r>
      <w:r>
        <w:t xml:space="preserve">, </w:t>
      </w:r>
      <w:r w:rsidRPr="002A1905">
        <w:rPr>
          <w:i/>
        </w:rPr>
        <w:t xml:space="preserve">ABS Research Paper </w:t>
      </w:r>
      <w:r>
        <w:rPr>
          <w:i/>
        </w:rPr>
        <w:t>(Cat No.</w:t>
      </w:r>
      <w:r w:rsidRPr="002A1905">
        <w:rPr>
          <w:i/>
        </w:rPr>
        <w:t xml:space="preserve"> 1351.0.55.052</w:t>
      </w:r>
      <w:r>
        <w:rPr>
          <w:i/>
        </w:rPr>
        <w:t>)</w:t>
      </w:r>
    </w:p>
    <w:p w14:paraId="5FCBB098" w14:textId="77777777" w:rsidR="00915130" w:rsidRPr="00915130" w:rsidRDefault="00915130" w:rsidP="00915130">
      <w:r w:rsidRPr="00915130">
        <w:lastRenderedPageBreak/>
        <w:t>OECD (2018), </w:t>
      </w:r>
      <w:r>
        <w:t>‘</w:t>
      </w:r>
      <w:r w:rsidRPr="00915130">
        <w:t>Economic Policy Reforms 2018: Going for Growth Report</w:t>
      </w:r>
      <w:r>
        <w:t>’</w:t>
      </w:r>
      <w:r w:rsidRPr="00915130">
        <w:t xml:space="preserve">, </w:t>
      </w:r>
      <w:r w:rsidRPr="00915130">
        <w:rPr>
          <w:i/>
        </w:rPr>
        <w:t>OECD Publishing</w:t>
      </w:r>
      <w:r w:rsidRPr="00915130">
        <w:t>, Paris</w:t>
      </w:r>
    </w:p>
    <w:p w14:paraId="2442A118" w14:textId="77777777" w:rsidR="00275F6A" w:rsidRPr="00DA5CD4" w:rsidRDefault="00275F6A" w:rsidP="00275F6A">
      <w:pPr>
        <w:rPr>
          <w:color w:val="auto"/>
        </w:rPr>
      </w:pPr>
      <w:r>
        <w:t xml:space="preserve">Olley, G.S and A. Pakes (1996), </w:t>
      </w:r>
      <w:r w:rsidR="00D33706">
        <w:t>‘</w:t>
      </w:r>
      <w:r>
        <w:t>The Dynamics of Productivity in the Telecommunications Equipment Industry</w:t>
      </w:r>
      <w:r w:rsidR="00D33706">
        <w:t>’</w:t>
      </w:r>
      <w:r>
        <w:t xml:space="preserve">, </w:t>
      </w:r>
      <w:r w:rsidRPr="002E3841">
        <w:rPr>
          <w:i/>
        </w:rPr>
        <w:t>Econometrica</w:t>
      </w:r>
      <w:r>
        <w:t>, 64(6), pp. 1263-97.</w:t>
      </w:r>
    </w:p>
    <w:p w14:paraId="2B2AE272" w14:textId="77777777" w:rsidR="002E1698" w:rsidRDefault="002E1698" w:rsidP="00275F6A">
      <w:r w:rsidRPr="002E1698">
        <w:t>Petrin</w:t>
      </w:r>
      <w:r>
        <w:t>, A,</w:t>
      </w:r>
      <w:r w:rsidRPr="002E1698">
        <w:t xml:space="preserve">  J</w:t>
      </w:r>
      <w:r>
        <w:t>. Reiter and K</w:t>
      </w:r>
      <w:r w:rsidRPr="002E1698">
        <w:t xml:space="preserve"> White</w:t>
      </w:r>
      <w:r>
        <w:t xml:space="preserve"> (</w:t>
      </w:r>
      <w:r w:rsidRPr="002E1698">
        <w:t>2011</w:t>
      </w:r>
      <w:r>
        <w:t>),</w:t>
      </w:r>
      <w:r w:rsidRPr="002E1698">
        <w:t xml:space="preserve"> </w:t>
      </w:r>
      <w:r w:rsidR="00D33706">
        <w:t>‘</w:t>
      </w:r>
      <w:r w:rsidRPr="002E1698">
        <w:t>The Impact of Plant-level Resource Reallocations and Technical Progress on U.S. Macroeconomic Growth,</w:t>
      </w:r>
      <w:r w:rsidR="00D33706">
        <w:t>’</w:t>
      </w:r>
      <w:r w:rsidRPr="002E1698">
        <w:t xml:space="preserve"> </w:t>
      </w:r>
      <w:r w:rsidRPr="004A6010">
        <w:rPr>
          <w:i/>
        </w:rPr>
        <w:t>Review of Economic Dynamics</w:t>
      </w:r>
      <w:r w:rsidRPr="002E1698">
        <w:t>, vol. 14(1), p</w:t>
      </w:r>
      <w:r>
        <w:t>p.</w:t>
      </w:r>
      <w:r w:rsidRPr="002E1698">
        <w:t>3-26</w:t>
      </w:r>
      <w:r>
        <w:t>.</w:t>
      </w:r>
    </w:p>
    <w:p w14:paraId="273E0941" w14:textId="77777777" w:rsidR="002878A7" w:rsidRDefault="002878A7" w:rsidP="00275F6A">
      <w:r>
        <w:t xml:space="preserve">Quinn, M (2019), </w:t>
      </w:r>
      <w:r w:rsidR="00D33706">
        <w:t>‘</w:t>
      </w:r>
      <w:r w:rsidRPr="002878A7">
        <w:t>What’s driving low wages growth in Australia?</w:t>
      </w:r>
      <w:r w:rsidR="00D33706">
        <w:t>’</w:t>
      </w:r>
      <w:r>
        <w:t xml:space="preserve"> Speech to Australian Conference of Economists 16 July 2019</w:t>
      </w:r>
      <w:r w:rsidR="009D1390">
        <w:t>.</w:t>
      </w:r>
    </w:p>
    <w:p w14:paraId="11F5D44A" w14:textId="77777777" w:rsidR="0077408A" w:rsidRDefault="0077408A" w:rsidP="00275F6A">
      <w:r>
        <w:t xml:space="preserve">Rotemberg, M and K White (2017), </w:t>
      </w:r>
      <w:r w:rsidR="00D33706">
        <w:t>‘</w:t>
      </w:r>
      <w:r>
        <w:t>Measuring Cross-Country Differences in Misallocation</w:t>
      </w:r>
      <w:r w:rsidR="00D33706">
        <w:t>’</w:t>
      </w:r>
      <w:r>
        <w:t xml:space="preserve"> Mimeo.</w:t>
      </w:r>
    </w:p>
    <w:p w14:paraId="1EDDCDE9" w14:textId="77777777" w:rsidR="00275F6A" w:rsidRPr="00DA5CD4" w:rsidRDefault="00275F6A" w:rsidP="00275F6A">
      <w:pPr>
        <w:rPr>
          <w:color w:val="auto"/>
        </w:rPr>
      </w:pPr>
      <w:r>
        <w:t xml:space="preserve">Syverson, C. (2004), </w:t>
      </w:r>
      <w:r w:rsidR="00D33706">
        <w:t>‘</w:t>
      </w:r>
      <w:r>
        <w:t>Substitutability and Product Dispersion,</w:t>
      </w:r>
      <w:r w:rsidR="00D33706">
        <w:t>’</w:t>
      </w:r>
      <w:r>
        <w:t xml:space="preserve"> </w:t>
      </w:r>
      <w:r w:rsidRPr="002E3841">
        <w:rPr>
          <w:i/>
        </w:rPr>
        <w:t>Review of Economics and Statistics</w:t>
      </w:r>
      <w:r>
        <w:t>, 86 (2), pp. 534-550.</w:t>
      </w:r>
    </w:p>
    <w:p w14:paraId="3E3131DF" w14:textId="77777777" w:rsidR="00275F6A" w:rsidRDefault="002A1163">
      <w:pPr>
        <w:spacing w:after="200" w:line="276" w:lineRule="auto"/>
        <w:rPr>
          <w:rFonts w:ascii="Arial Bold" w:hAnsi="Arial Bold" w:cs="Arial"/>
          <w:b/>
          <w:smallCaps/>
          <w:color w:val="003157"/>
          <w:sz w:val="32"/>
          <w:szCs w:val="32"/>
        </w:rPr>
      </w:pPr>
      <w:r w:rsidRPr="002A1163">
        <w:t>Syverson, C</w:t>
      </w:r>
      <w:r>
        <w:t xml:space="preserve"> (</w:t>
      </w:r>
      <w:r w:rsidRPr="002A1163">
        <w:t>2011</w:t>
      </w:r>
      <w:r>
        <w:t>),</w:t>
      </w:r>
      <w:r w:rsidRPr="002A1163">
        <w:t xml:space="preserve"> </w:t>
      </w:r>
      <w:r w:rsidR="00D33706">
        <w:t>‘</w:t>
      </w:r>
      <w:r w:rsidRPr="002A1163">
        <w:t>What Determines Productivity?</w:t>
      </w:r>
      <w:r w:rsidR="00D33706">
        <w:t>’</w:t>
      </w:r>
      <w:r w:rsidRPr="002A1163">
        <w:t xml:space="preserve"> </w:t>
      </w:r>
      <w:r w:rsidRPr="004A6010">
        <w:rPr>
          <w:i/>
        </w:rPr>
        <w:t>Journal of Economic Literature</w:t>
      </w:r>
      <w:r w:rsidRPr="002A1163">
        <w:t>, 49 (2): 326-65.</w:t>
      </w:r>
      <w:r w:rsidR="00275F6A">
        <w:br w:type="page"/>
      </w:r>
    </w:p>
    <w:p w14:paraId="005303C5" w14:textId="77777777" w:rsidR="00C9356D" w:rsidRDefault="00C9356D" w:rsidP="00C9356D">
      <w:pPr>
        <w:pStyle w:val="AppendixHeadingLevel2NotNumbered"/>
      </w:pPr>
      <w:r>
        <w:lastRenderedPageBreak/>
        <w:t>Appendix A: Deriving Implicit Price Deflators for ANZSIC06 Divisions</w:t>
      </w:r>
    </w:p>
    <w:p w14:paraId="0BC4422F" w14:textId="77777777" w:rsidR="00C9356D" w:rsidRPr="00300D8B" w:rsidRDefault="00C9356D" w:rsidP="00C9356D">
      <w:pPr>
        <w:jc w:val="both"/>
        <w:rPr>
          <w:color w:val="auto"/>
        </w:rPr>
      </w:pPr>
      <w:r w:rsidRPr="00300D8B">
        <w:rPr>
          <w:color w:val="auto"/>
        </w:rPr>
        <w:t>This appendix describes the method used to derive implicit price deflators from the Australian System of National Accounts – ASNA (ABS cat no 5204) and Estimates of Industry Multifactor Productivity (ABS cat no 5260.0.55.002), also known as the productivity data cube.</w:t>
      </w:r>
      <w:r w:rsidRPr="00300D8B">
        <w:rPr>
          <w:rStyle w:val="FootnoteReference"/>
          <w:color w:val="auto"/>
        </w:rPr>
        <w:footnoteReference w:id="24"/>
      </w:r>
    </w:p>
    <w:p w14:paraId="032BBF99" w14:textId="77777777" w:rsidR="00C9356D" w:rsidRPr="00300D8B" w:rsidRDefault="00C9356D" w:rsidP="00C9356D">
      <w:pPr>
        <w:jc w:val="both"/>
        <w:rPr>
          <w:color w:val="auto"/>
        </w:rPr>
      </w:pPr>
      <w:r w:rsidRPr="00300D8B">
        <w:rPr>
          <w:color w:val="auto"/>
        </w:rPr>
        <w:t>The first stage involves backing out gross output and intermediate use in current prices at the one-digit ANZSIC06 level. To do this we require the published estimates of value-added in current prices (VA</w:t>
      </w:r>
      <w:r w:rsidRPr="00300D8B">
        <w:rPr>
          <w:color w:val="auto"/>
          <w:vertAlign w:val="subscript"/>
        </w:rPr>
        <w:t>it</w:t>
      </w:r>
      <w:r w:rsidRPr="00300D8B">
        <w:rPr>
          <w:color w:val="auto"/>
        </w:rPr>
        <w:t>) from cat no 5204, and the income shares for capital (SK</w:t>
      </w:r>
      <w:r w:rsidRPr="00300D8B">
        <w:rPr>
          <w:color w:val="auto"/>
          <w:vertAlign w:val="subscript"/>
        </w:rPr>
        <w:t>it</w:t>
      </w:r>
      <w:r w:rsidRPr="00300D8B">
        <w:rPr>
          <w:color w:val="auto"/>
        </w:rPr>
        <w:t>), labour (SL</w:t>
      </w:r>
      <w:r w:rsidRPr="00300D8B">
        <w:rPr>
          <w:color w:val="auto"/>
          <w:vertAlign w:val="subscript"/>
        </w:rPr>
        <w:t>it</w:t>
      </w:r>
      <w:r w:rsidRPr="00300D8B">
        <w:rPr>
          <w:color w:val="auto"/>
        </w:rPr>
        <w:t>) and intermediate use (SI</w:t>
      </w:r>
      <w:r w:rsidRPr="00300D8B">
        <w:rPr>
          <w:color w:val="auto"/>
          <w:vertAlign w:val="subscript"/>
        </w:rPr>
        <w:t>it</w:t>
      </w:r>
      <w:r w:rsidRPr="00300D8B">
        <w:rPr>
          <w:color w:val="auto"/>
        </w:rPr>
        <w:t>) from table 19 of the productivity data cube. Then we calculate intermediate use and gross output in current prices</w:t>
      </w:r>
      <w:r w:rsidR="00050080">
        <w:rPr>
          <w:color w:val="auto"/>
        </w:rPr>
        <w:t> </w:t>
      </w:r>
      <w:r w:rsidRPr="00300D8B">
        <w:rPr>
          <w:color w:val="auto"/>
        </w:rPr>
        <w:t>as</w:t>
      </w:r>
      <w:r>
        <w:rPr>
          <w:color w:val="auto"/>
        </w:rPr>
        <w:t xml:space="preserve">: </w:t>
      </w:r>
    </w:p>
    <w:p w14:paraId="40620D1D" w14:textId="77777777" w:rsidR="00C9356D" w:rsidRPr="00300D8B" w:rsidRDefault="00C9356D" w:rsidP="00C9356D">
      <w:pPr>
        <w:ind w:left="720"/>
        <w:rPr>
          <w:color w:val="auto"/>
        </w:rPr>
      </w:pPr>
      <w:r w:rsidRPr="00300D8B">
        <w:rPr>
          <w:color w:val="auto"/>
        </w:rPr>
        <w:t>Intuse</w:t>
      </w:r>
      <w:r w:rsidRPr="00300D8B">
        <w:rPr>
          <w:color w:val="auto"/>
          <w:vertAlign w:val="subscript"/>
        </w:rPr>
        <w:t>it</w:t>
      </w:r>
      <w:r w:rsidRPr="00300D8B">
        <w:rPr>
          <w:color w:val="auto"/>
        </w:rPr>
        <w:t xml:space="preserve"> = VA</w:t>
      </w:r>
      <w:r w:rsidRPr="00300D8B">
        <w:rPr>
          <w:color w:val="auto"/>
          <w:vertAlign w:val="subscript"/>
        </w:rPr>
        <w:t>it</w:t>
      </w:r>
      <w:r w:rsidRPr="00300D8B">
        <w:rPr>
          <w:color w:val="auto"/>
        </w:rPr>
        <w:t>*(SI</w:t>
      </w:r>
      <w:r w:rsidRPr="00300D8B">
        <w:rPr>
          <w:color w:val="auto"/>
          <w:vertAlign w:val="subscript"/>
        </w:rPr>
        <w:t>it</w:t>
      </w:r>
      <w:r w:rsidRPr="00300D8B">
        <w:rPr>
          <w:color w:val="auto"/>
        </w:rPr>
        <w:t>/(SL</w:t>
      </w:r>
      <w:r w:rsidRPr="00300D8B">
        <w:rPr>
          <w:color w:val="auto"/>
          <w:vertAlign w:val="subscript"/>
        </w:rPr>
        <w:t>it</w:t>
      </w:r>
      <w:r w:rsidRPr="00300D8B">
        <w:rPr>
          <w:color w:val="auto"/>
        </w:rPr>
        <w:t xml:space="preserve"> + SK</w:t>
      </w:r>
      <w:r w:rsidRPr="00300D8B">
        <w:rPr>
          <w:color w:val="auto"/>
          <w:vertAlign w:val="subscript"/>
        </w:rPr>
        <w:t xml:space="preserve">it </w:t>
      </w:r>
      <w:r w:rsidRPr="00300D8B">
        <w:rPr>
          <w:color w:val="auto"/>
        </w:rPr>
        <w:t>) and so</w:t>
      </w:r>
    </w:p>
    <w:p w14:paraId="0C9DF97F" w14:textId="77777777" w:rsidR="00C9356D" w:rsidRPr="00300D8B" w:rsidRDefault="00C9356D" w:rsidP="00C9356D">
      <w:pPr>
        <w:ind w:left="720"/>
        <w:rPr>
          <w:color w:val="auto"/>
        </w:rPr>
      </w:pPr>
      <w:r w:rsidRPr="00300D8B">
        <w:rPr>
          <w:color w:val="auto"/>
        </w:rPr>
        <w:t>GO</w:t>
      </w:r>
      <w:r w:rsidRPr="00300D8B">
        <w:rPr>
          <w:color w:val="auto"/>
          <w:vertAlign w:val="subscript"/>
        </w:rPr>
        <w:t>it</w:t>
      </w:r>
      <w:r w:rsidRPr="00300D8B">
        <w:rPr>
          <w:color w:val="auto"/>
        </w:rPr>
        <w:t xml:space="preserve"> = VA</w:t>
      </w:r>
      <w:r w:rsidRPr="00300D8B">
        <w:rPr>
          <w:color w:val="auto"/>
          <w:vertAlign w:val="subscript"/>
        </w:rPr>
        <w:t>it</w:t>
      </w:r>
      <w:r w:rsidRPr="00300D8B">
        <w:rPr>
          <w:color w:val="auto"/>
        </w:rPr>
        <w:t xml:space="preserve"> </w:t>
      </w:r>
      <w:r w:rsidR="000F1539">
        <w:rPr>
          <w:color w:val="auto"/>
        </w:rPr>
        <w:t>+</w:t>
      </w:r>
      <w:r w:rsidRPr="00300D8B">
        <w:rPr>
          <w:color w:val="auto"/>
        </w:rPr>
        <w:t xml:space="preserve"> Intuse</w:t>
      </w:r>
      <w:r w:rsidRPr="00300D8B">
        <w:rPr>
          <w:color w:val="auto"/>
          <w:vertAlign w:val="subscript"/>
        </w:rPr>
        <w:t>it</w:t>
      </w:r>
    </w:p>
    <w:p w14:paraId="23792633" w14:textId="77777777" w:rsidR="00C9356D" w:rsidRPr="00300D8B" w:rsidRDefault="00C9356D" w:rsidP="00C9356D">
      <w:pPr>
        <w:jc w:val="both"/>
        <w:rPr>
          <w:color w:val="auto"/>
        </w:rPr>
      </w:pPr>
      <w:r w:rsidRPr="00300D8B">
        <w:rPr>
          <w:color w:val="auto"/>
        </w:rPr>
        <w:t>Noting that the chain volume measure in the period prior to the most recent period is equal to the current price value, we can create dollar values of real gross output (RGO</w:t>
      </w:r>
      <w:r w:rsidRPr="00300D8B">
        <w:rPr>
          <w:color w:val="auto"/>
          <w:vertAlign w:val="subscript"/>
        </w:rPr>
        <w:t>it</w:t>
      </w:r>
      <w:r w:rsidRPr="00300D8B">
        <w:rPr>
          <w:color w:val="auto"/>
        </w:rPr>
        <w:t>) and real intermediate use (RIU</w:t>
      </w:r>
      <w:r w:rsidRPr="00300D8B">
        <w:rPr>
          <w:color w:val="auto"/>
          <w:vertAlign w:val="subscript"/>
        </w:rPr>
        <w:t>it</w:t>
      </w:r>
      <w:r w:rsidRPr="00300D8B">
        <w:rPr>
          <w:color w:val="auto"/>
        </w:rPr>
        <w:t>) using the real gross output (RGO_Index</w:t>
      </w:r>
      <w:r w:rsidRPr="00300D8B">
        <w:rPr>
          <w:color w:val="auto"/>
          <w:vertAlign w:val="subscript"/>
        </w:rPr>
        <w:t>it</w:t>
      </w:r>
      <w:r w:rsidRPr="00300D8B">
        <w:rPr>
          <w:color w:val="auto"/>
        </w:rPr>
        <w:t>) and real intermediate use indexes (RIU_Index</w:t>
      </w:r>
      <w:r w:rsidRPr="00300D8B">
        <w:rPr>
          <w:color w:val="auto"/>
          <w:vertAlign w:val="subscript"/>
        </w:rPr>
        <w:t>it</w:t>
      </w:r>
      <w:r w:rsidRPr="00300D8B">
        <w:rPr>
          <w:color w:val="auto"/>
        </w:rPr>
        <w:t xml:space="preserve">) published in </w:t>
      </w:r>
      <w:r w:rsidR="00D9096C">
        <w:rPr>
          <w:color w:val="auto"/>
        </w:rPr>
        <w:t>T</w:t>
      </w:r>
      <w:r w:rsidRPr="00300D8B">
        <w:rPr>
          <w:color w:val="auto"/>
        </w:rPr>
        <w:t>able 8 of the productivity data cube. That is</w:t>
      </w:r>
      <w:r>
        <w:rPr>
          <w:color w:val="auto"/>
        </w:rPr>
        <w:t>:</w:t>
      </w:r>
      <w:r w:rsidRPr="00300D8B">
        <w:rPr>
          <w:color w:val="auto"/>
        </w:rPr>
        <w:t xml:space="preserve"> </w:t>
      </w:r>
    </w:p>
    <w:p w14:paraId="79BB3AAE" w14:textId="77777777" w:rsidR="00C9356D" w:rsidRPr="00300D8B" w:rsidRDefault="00C9356D" w:rsidP="00C9356D">
      <w:pPr>
        <w:ind w:firstLine="720"/>
        <w:rPr>
          <w:color w:val="auto"/>
        </w:rPr>
      </w:pPr>
      <w:r w:rsidRPr="00300D8B">
        <w:rPr>
          <w:color w:val="auto"/>
        </w:rPr>
        <w:t>RGO</w:t>
      </w:r>
      <w:r w:rsidRPr="00300D8B">
        <w:rPr>
          <w:color w:val="auto"/>
          <w:vertAlign w:val="subscript"/>
        </w:rPr>
        <w:t xml:space="preserve">it-2 </w:t>
      </w:r>
      <w:r w:rsidRPr="00300D8B">
        <w:rPr>
          <w:color w:val="auto"/>
        </w:rPr>
        <w:t>= RGO</w:t>
      </w:r>
      <w:r w:rsidRPr="00300D8B">
        <w:rPr>
          <w:color w:val="auto"/>
          <w:vertAlign w:val="subscript"/>
        </w:rPr>
        <w:t>it-1</w:t>
      </w:r>
      <w:r w:rsidRPr="00300D8B">
        <w:rPr>
          <w:color w:val="auto"/>
        </w:rPr>
        <w:t>*(RGO_Index</w:t>
      </w:r>
      <w:r w:rsidRPr="00300D8B">
        <w:rPr>
          <w:color w:val="auto"/>
          <w:vertAlign w:val="subscript"/>
        </w:rPr>
        <w:t xml:space="preserve">it-2 </w:t>
      </w:r>
      <w:r w:rsidRPr="00300D8B">
        <w:rPr>
          <w:color w:val="auto"/>
        </w:rPr>
        <w:t>/ RGO_Index</w:t>
      </w:r>
      <w:r w:rsidRPr="00300D8B">
        <w:rPr>
          <w:color w:val="auto"/>
          <w:vertAlign w:val="subscript"/>
        </w:rPr>
        <w:t>it-1</w:t>
      </w:r>
      <w:r w:rsidRPr="00300D8B">
        <w:rPr>
          <w:color w:val="auto"/>
        </w:rPr>
        <w:t xml:space="preserve">) </w:t>
      </w:r>
    </w:p>
    <w:p w14:paraId="1EC72258" w14:textId="77777777" w:rsidR="00C9356D" w:rsidRPr="00300D8B" w:rsidRDefault="00C9356D" w:rsidP="00C9356D">
      <w:pPr>
        <w:rPr>
          <w:color w:val="auto"/>
        </w:rPr>
      </w:pPr>
      <w:r w:rsidRPr="00300D8B">
        <w:rPr>
          <w:color w:val="auto"/>
        </w:rPr>
        <w:t>Hence if GO</w:t>
      </w:r>
      <w:r w:rsidRPr="00300D8B">
        <w:rPr>
          <w:color w:val="auto"/>
          <w:vertAlign w:val="subscript"/>
        </w:rPr>
        <w:t xml:space="preserve">it-1 </w:t>
      </w:r>
      <w:r w:rsidRPr="00300D8B">
        <w:rPr>
          <w:color w:val="auto"/>
        </w:rPr>
        <w:t>= RGO</w:t>
      </w:r>
      <w:r w:rsidRPr="00300D8B">
        <w:rPr>
          <w:color w:val="auto"/>
          <w:vertAlign w:val="subscript"/>
        </w:rPr>
        <w:t xml:space="preserve">it-1 </w:t>
      </w:r>
      <w:r w:rsidRPr="00300D8B">
        <w:rPr>
          <w:color w:val="auto"/>
        </w:rPr>
        <w:t>= $1,500 and the RGO_Index</w:t>
      </w:r>
      <w:r w:rsidRPr="00300D8B">
        <w:rPr>
          <w:color w:val="auto"/>
          <w:vertAlign w:val="subscript"/>
        </w:rPr>
        <w:t xml:space="preserve">it-2 </w:t>
      </w:r>
      <w:r w:rsidRPr="00300D8B">
        <w:rPr>
          <w:color w:val="auto"/>
        </w:rPr>
        <w:t>= 98.3 and RGO_Index</w:t>
      </w:r>
      <w:r w:rsidRPr="00300D8B">
        <w:rPr>
          <w:color w:val="auto"/>
          <w:vertAlign w:val="subscript"/>
        </w:rPr>
        <w:t xml:space="preserve">it-1 </w:t>
      </w:r>
      <w:r w:rsidRPr="00300D8B">
        <w:rPr>
          <w:color w:val="auto"/>
        </w:rPr>
        <w:t>= 100, then</w:t>
      </w:r>
    </w:p>
    <w:p w14:paraId="587D4AA1" w14:textId="77777777" w:rsidR="00C9356D" w:rsidRPr="00300D8B" w:rsidRDefault="00C9356D" w:rsidP="00C9356D">
      <w:pPr>
        <w:ind w:firstLine="720"/>
        <w:rPr>
          <w:color w:val="auto"/>
        </w:rPr>
      </w:pPr>
      <w:r w:rsidRPr="00300D8B">
        <w:rPr>
          <w:color w:val="auto"/>
        </w:rPr>
        <w:lastRenderedPageBreak/>
        <w:t>RGO</w:t>
      </w:r>
      <w:r w:rsidRPr="00300D8B">
        <w:rPr>
          <w:color w:val="auto"/>
          <w:vertAlign w:val="subscript"/>
        </w:rPr>
        <w:t xml:space="preserve">it-2 </w:t>
      </w:r>
      <w:r w:rsidRPr="00300D8B">
        <w:rPr>
          <w:color w:val="auto"/>
        </w:rPr>
        <w:t>= $1,500*(98.3</w:t>
      </w:r>
      <w:r w:rsidRPr="00300D8B">
        <w:rPr>
          <w:color w:val="auto"/>
          <w:vertAlign w:val="subscript"/>
        </w:rPr>
        <w:t xml:space="preserve"> </w:t>
      </w:r>
      <w:r>
        <w:rPr>
          <w:color w:val="auto"/>
        </w:rPr>
        <w:t xml:space="preserve">/ 100) = </w:t>
      </w:r>
      <w:r w:rsidRPr="00300D8B">
        <w:rPr>
          <w:color w:val="auto"/>
        </w:rPr>
        <w:t>$1,474.5</w:t>
      </w:r>
    </w:p>
    <w:p w14:paraId="59A4F953" w14:textId="77777777" w:rsidR="00C9356D" w:rsidRDefault="00C9356D" w:rsidP="00C9356D">
      <w:pPr>
        <w:jc w:val="both"/>
        <w:rPr>
          <w:color w:val="auto"/>
        </w:rPr>
      </w:pPr>
      <w:r w:rsidRPr="00300D8B">
        <w:rPr>
          <w:color w:val="auto"/>
        </w:rPr>
        <w:t>Finally, the implicit price deflator is obtained by dividing the current price estimate by the real since the quantity for each period is the same and so we obtain the implicit change in prices. Note we use the term implicit because unlike a price index, an implicit price deflator changes when revisions are made to the national accounts due to improved information or methodological changes. Note also that the implicit price deflator for value-added is readily obtained by dividing the publis</w:t>
      </w:r>
      <w:r w:rsidR="00050080">
        <w:rPr>
          <w:color w:val="auto"/>
        </w:rPr>
        <w:t>hed estimates of industry value</w:t>
      </w:r>
      <w:r w:rsidR="00050080">
        <w:rPr>
          <w:color w:val="auto"/>
        </w:rPr>
        <w:noBreakHyphen/>
      </w:r>
      <w:r w:rsidRPr="00300D8B">
        <w:rPr>
          <w:color w:val="auto"/>
        </w:rPr>
        <w:t xml:space="preserve">added at current prices by the chain volumes found in </w:t>
      </w:r>
      <w:r w:rsidR="00D9096C">
        <w:rPr>
          <w:color w:val="auto"/>
        </w:rPr>
        <w:t>T</w:t>
      </w:r>
      <w:r w:rsidRPr="00300D8B">
        <w:rPr>
          <w:color w:val="auto"/>
        </w:rPr>
        <w:t xml:space="preserve">able 5 of the ASNA. </w:t>
      </w:r>
    </w:p>
    <w:p w14:paraId="28FDC224" w14:textId="77777777" w:rsidR="00C9356D" w:rsidRDefault="00C9356D">
      <w:pPr>
        <w:spacing w:after="200" w:line="276" w:lineRule="auto"/>
        <w:rPr>
          <w:color w:val="auto"/>
        </w:rPr>
      </w:pPr>
      <w:r>
        <w:rPr>
          <w:color w:val="auto"/>
        </w:rPr>
        <w:br w:type="page"/>
      </w:r>
    </w:p>
    <w:p w14:paraId="2A0DA284" w14:textId="77777777" w:rsidR="00C9356D" w:rsidRDefault="00C9356D" w:rsidP="00C9356D">
      <w:pPr>
        <w:pStyle w:val="AppendixHeadingLevel2NotNumbered"/>
      </w:pPr>
      <w:r>
        <w:lastRenderedPageBreak/>
        <w:t>Appendix B: Additional Empirical Results</w:t>
      </w:r>
    </w:p>
    <w:p w14:paraId="682067B6" w14:textId="77777777" w:rsidR="00371825" w:rsidRDefault="00371825" w:rsidP="00D602BC">
      <w:pPr>
        <w:pStyle w:val="TableMainHeading"/>
        <w:jc w:val="center"/>
      </w:pPr>
      <w:r w:rsidRPr="00C618F9">
        <w:t xml:space="preserve">Table </w:t>
      </w:r>
      <w:r>
        <w:t>B</w:t>
      </w:r>
      <w:r w:rsidRPr="00C618F9">
        <w:t xml:space="preserve">1: </w:t>
      </w:r>
      <w:r>
        <w:t>Summary Statistics</w:t>
      </w:r>
    </w:p>
    <w:p w14:paraId="3E378F14" w14:textId="77777777" w:rsidR="00371825" w:rsidRDefault="003443D4" w:rsidP="00371825">
      <w:pPr>
        <w:jc w:val="center"/>
        <w:rPr>
          <w:b/>
          <w:color w:val="auto"/>
        </w:rPr>
      </w:pPr>
      <w:r w:rsidRPr="003443D4">
        <w:rPr>
          <w:noProof/>
          <w:lang w:eastAsia="en-AU"/>
        </w:rPr>
        <w:drawing>
          <wp:inline distT="0" distB="0" distL="0" distR="0" wp14:anchorId="3BFFF555" wp14:editId="6573818A">
            <wp:extent cx="5904230" cy="1793762"/>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04230" cy="1793762"/>
                    </a:xfrm>
                    <a:prstGeom prst="rect">
                      <a:avLst/>
                    </a:prstGeom>
                    <a:noFill/>
                    <a:ln>
                      <a:noFill/>
                    </a:ln>
                  </pic:spPr>
                </pic:pic>
              </a:graphicData>
            </a:graphic>
          </wp:inline>
        </w:drawing>
      </w:r>
    </w:p>
    <w:p w14:paraId="7478C38F" w14:textId="77777777" w:rsidR="00371825" w:rsidRDefault="00371825" w:rsidP="00386243">
      <w:pPr>
        <w:pStyle w:val="TableMainHeading"/>
        <w:spacing w:before="360"/>
        <w:jc w:val="center"/>
      </w:pPr>
      <w:r w:rsidRPr="00C16916">
        <w:t>Table B2: The Effect of Lagged Productivity on Firm-Level Employment Growth: With</w:t>
      </w:r>
      <w:r w:rsidR="005320D6" w:rsidRPr="00C16916">
        <w:t>in</w:t>
      </w:r>
      <w:r w:rsidRPr="00C16916">
        <w:t xml:space="preserve"> Firm Age Groups</w:t>
      </w:r>
    </w:p>
    <w:p w14:paraId="57F34839" w14:textId="77777777" w:rsidR="00371825" w:rsidRDefault="00C16916" w:rsidP="00386243">
      <w:pPr>
        <w:spacing w:after="120"/>
        <w:jc w:val="center"/>
        <w:rPr>
          <w:b/>
          <w:color w:val="auto"/>
        </w:rPr>
      </w:pPr>
      <w:r w:rsidRPr="00C16916">
        <w:rPr>
          <w:noProof/>
          <w:lang w:eastAsia="en-AU"/>
        </w:rPr>
        <w:drawing>
          <wp:inline distT="0" distB="0" distL="0" distR="0" wp14:anchorId="1B3D65CC" wp14:editId="1D7714B5">
            <wp:extent cx="5904230" cy="2885882"/>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04230" cy="2885882"/>
                    </a:xfrm>
                    <a:prstGeom prst="rect">
                      <a:avLst/>
                    </a:prstGeom>
                    <a:noFill/>
                    <a:ln>
                      <a:noFill/>
                    </a:ln>
                  </pic:spPr>
                </pic:pic>
              </a:graphicData>
            </a:graphic>
          </wp:inline>
        </w:drawing>
      </w:r>
    </w:p>
    <w:p w14:paraId="2B26958A" w14:textId="77777777" w:rsidR="006932F3" w:rsidRPr="00275F6A" w:rsidRDefault="009A5EA8" w:rsidP="00FB1737">
      <w:pPr>
        <w:pStyle w:val="ChartorTableNote"/>
        <w:rPr>
          <w:highlight w:val="green"/>
        </w:rPr>
      </w:pPr>
      <w:r w:rsidRPr="00275F6A">
        <w:t xml:space="preserve">Note: Sample encompasses 2002-2016 with one period sacrificed due to the lag. Size dummies refer to the following number of full-time equivalent employees: 0-4, 5-19, 20-199, 200-499, and 500 plus. </w:t>
      </w:r>
      <w:r w:rsidRPr="00275F6A">
        <w:rPr>
          <w:highlight w:val="green"/>
        </w:rPr>
        <w:t xml:space="preserve"> </w:t>
      </w:r>
    </w:p>
    <w:p w14:paraId="02439904" w14:textId="77777777" w:rsidR="00DE6A5B" w:rsidRDefault="00DE6A5B">
      <w:pPr>
        <w:spacing w:after="200" w:line="276" w:lineRule="auto"/>
        <w:rPr>
          <w:b/>
          <w:color w:val="auto"/>
          <w:highlight w:val="green"/>
        </w:rPr>
      </w:pPr>
      <w:r>
        <w:rPr>
          <w:b/>
          <w:color w:val="auto"/>
          <w:highlight w:val="green"/>
        </w:rPr>
        <w:br w:type="page"/>
      </w:r>
    </w:p>
    <w:p w14:paraId="7651E5AC" w14:textId="77777777" w:rsidR="00DE6A5B" w:rsidRDefault="00DE6A5B">
      <w:pPr>
        <w:spacing w:after="200" w:line="276" w:lineRule="auto"/>
        <w:rPr>
          <w:b/>
          <w:color w:val="auto"/>
          <w:highlight w:val="green"/>
        </w:rPr>
      </w:pPr>
    </w:p>
    <w:p w14:paraId="3EE4F2AB" w14:textId="77777777" w:rsidR="005320D6" w:rsidRDefault="005320D6" w:rsidP="00FB1737">
      <w:pPr>
        <w:pStyle w:val="TableMainHeading"/>
      </w:pPr>
      <w:r w:rsidRPr="006932F3">
        <w:t>Table B3: The Effect of Lagged Productivity on Firm Exit: Within Firm Age Groups</w:t>
      </w:r>
    </w:p>
    <w:p w14:paraId="703E6C59" w14:textId="77777777" w:rsidR="005320D6" w:rsidRDefault="006932F3" w:rsidP="009D3E4A">
      <w:pPr>
        <w:jc w:val="center"/>
        <w:rPr>
          <w:b/>
          <w:color w:val="auto"/>
        </w:rPr>
      </w:pPr>
      <w:r w:rsidRPr="006932F3">
        <w:rPr>
          <w:noProof/>
          <w:lang w:eastAsia="en-AU"/>
        </w:rPr>
        <w:drawing>
          <wp:inline distT="0" distB="0" distL="0" distR="0" wp14:anchorId="7C62362C" wp14:editId="5EC52EB1">
            <wp:extent cx="4948580" cy="3600000"/>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48580" cy="3600000"/>
                    </a:xfrm>
                    <a:prstGeom prst="rect">
                      <a:avLst/>
                    </a:prstGeom>
                    <a:noFill/>
                    <a:ln>
                      <a:noFill/>
                    </a:ln>
                  </pic:spPr>
                </pic:pic>
              </a:graphicData>
            </a:graphic>
          </wp:inline>
        </w:drawing>
      </w:r>
    </w:p>
    <w:p w14:paraId="25CF978E" w14:textId="77777777" w:rsidR="009D37C2" w:rsidRPr="00275F6A" w:rsidRDefault="009A5EA8" w:rsidP="00FB1737">
      <w:pPr>
        <w:pStyle w:val="ChartorTableNote"/>
        <w:rPr>
          <w:highlight w:val="green"/>
        </w:rPr>
      </w:pPr>
      <w:r w:rsidRPr="00275F6A">
        <w:t xml:space="preserve">Note: Sample encompasses 2002-2016 with one period sacrificed due to the lag. Size dummies refer to the following number of employees: 0-4, 5-19, 20-199, 200-499, and 500 plus. </w:t>
      </w:r>
      <w:r w:rsidR="00275F6A" w:rsidRPr="00275F6A">
        <w:t xml:space="preserve">Dependent variable is a binary indicator which takes a value of 1 if the firm exits, and zero otherwise. </w:t>
      </w:r>
      <w:r w:rsidR="00716C66">
        <w:t xml:space="preserve">Exit models have higher sample sizes because exit is defined in the year after the units ceases reporting. Contemporaneous definitions of exit yield very similar results. </w:t>
      </w:r>
      <w:r w:rsidR="00355E87" w:rsidRPr="00275F6A">
        <w:rPr>
          <w:highlight w:val="green"/>
        </w:rPr>
        <w:br w:type="page"/>
      </w:r>
    </w:p>
    <w:p w14:paraId="27F5FAEE" w14:textId="77777777" w:rsidR="009A5EA8" w:rsidRDefault="009A5EA8">
      <w:pPr>
        <w:spacing w:after="200" w:line="276" w:lineRule="auto"/>
        <w:rPr>
          <w:b/>
          <w:color w:val="auto"/>
          <w:highlight w:val="green"/>
        </w:rPr>
        <w:sectPr w:rsidR="009A5EA8" w:rsidSect="003C4225">
          <w:pgSz w:w="11906" w:h="16838" w:code="9"/>
          <w:pgMar w:top="1418" w:right="1304" w:bottom="1418" w:left="1304" w:header="567" w:footer="567" w:gutter="0"/>
          <w:pgNumType w:start="1"/>
          <w:cols w:space="708"/>
          <w:titlePg/>
          <w:docGrid w:linePitch="360"/>
        </w:sectPr>
      </w:pPr>
    </w:p>
    <w:p w14:paraId="22A835DC" w14:textId="77777777" w:rsidR="00355E87" w:rsidRDefault="00355E87">
      <w:pPr>
        <w:spacing w:after="200" w:line="276" w:lineRule="auto"/>
        <w:rPr>
          <w:b/>
          <w:color w:val="auto"/>
          <w:highlight w:val="green"/>
        </w:rPr>
      </w:pPr>
    </w:p>
    <w:p w14:paraId="2A26F1A5" w14:textId="77777777" w:rsidR="009D3E4A" w:rsidRDefault="009D3E4A" w:rsidP="00FB1737">
      <w:pPr>
        <w:pStyle w:val="TableMainHeading"/>
      </w:pPr>
      <w:r w:rsidRPr="009D37C2">
        <w:t>Table B</w:t>
      </w:r>
      <w:r w:rsidR="005320D6" w:rsidRPr="009D37C2">
        <w:t>4</w:t>
      </w:r>
      <w:r w:rsidRPr="009D37C2">
        <w:t>: The Effect of Lagged Productivity on Firm-Level Employment Growth: Robustness to Alternate Functional Forms</w:t>
      </w:r>
    </w:p>
    <w:p w14:paraId="33110DAD" w14:textId="77777777" w:rsidR="009D3E4A" w:rsidRDefault="009D37C2" w:rsidP="009D3E4A">
      <w:pPr>
        <w:jc w:val="center"/>
        <w:rPr>
          <w:b/>
          <w:color w:val="auto"/>
        </w:rPr>
      </w:pPr>
      <w:r w:rsidRPr="009D37C2">
        <w:rPr>
          <w:noProof/>
          <w:lang w:eastAsia="en-AU"/>
        </w:rPr>
        <w:drawing>
          <wp:inline distT="0" distB="0" distL="0" distR="0" wp14:anchorId="4D9D2E1E" wp14:editId="21FF0B5E">
            <wp:extent cx="8891270" cy="2224918"/>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91270" cy="2224918"/>
                    </a:xfrm>
                    <a:prstGeom prst="rect">
                      <a:avLst/>
                    </a:prstGeom>
                    <a:noFill/>
                    <a:ln>
                      <a:noFill/>
                    </a:ln>
                  </pic:spPr>
                </pic:pic>
              </a:graphicData>
            </a:graphic>
          </wp:inline>
        </w:drawing>
      </w:r>
    </w:p>
    <w:p w14:paraId="30466B4F" w14:textId="77777777" w:rsidR="008806D8" w:rsidRPr="00275F6A" w:rsidRDefault="008806D8" w:rsidP="00FB1737">
      <w:pPr>
        <w:pStyle w:val="ChartorTableNote"/>
        <w:rPr>
          <w:color w:val="auto"/>
        </w:rPr>
        <w:sectPr w:rsidR="008806D8" w:rsidRPr="00275F6A" w:rsidSect="009D37C2">
          <w:pgSz w:w="16838" w:h="11906" w:orient="landscape" w:code="9"/>
          <w:pgMar w:top="1304" w:right="1418" w:bottom="1304" w:left="1418" w:header="567" w:footer="567" w:gutter="0"/>
          <w:pgNumType w:start="1"/>
          <w:cols w:space="708"/>
          <w:titlePg/>
          <w:docGrid w:linePitch="360"/>
        </w:sectPr>
      </w:pPr>
      <w:r w:rsidRPr="00275F6A">
        <w:rPr>
          <w:color w:val="auto"/>
        </w:rPr>
        <w:t xml:space="preserve">Note: </w:t>
      </w:r>
      <w:r w:rsidR="00DE6A5B" w:rsidRPr="00275F6A">
        <w:t>Sample encompasses 2002-2016 with one period sacrificed due to the lag. Size dummies refer to the following number of full-time equivalent employees: 0-4, 5-19, 20-199, 200-499, and 500 plus.</w:t>
      </w:r>
      <w:r w:rsidR="00275F6A" w:rsidRPr="00275F6A">
        <w:t xml:space="preserve"> Post 2009 is a binary indicator which takes a value of one for all periods post 2009 and zero otherwise. </w:t>
      </w:r>
    </w:p>
    <w:p w14:paraId="188F77CA" w14:textId="77777777" w:rsidR="0051351C" w:rsidRDefault="0051351C" w:rsidP="005B33BB">
      <w:pPr>
        <w:pStyle w:val="FigureHeading"/>
        <w:spacing w:after="0"/>
      </w:pPr>
      <w:r>
        <w:lastRenderedPageBreak/>
        <w:t>Figure</w:t>
      </w:r>
      <w:r w:rsidRPr="00C618F9">
        <w:t xml:space="preserve"> </w:t>
      </w:r>
      <w:r>
        <w:t>B1</w:t>
      </w:r>
      <w:r w:rsidRPr="00C618F9">
        <w:t xml:space="preserve">: </w:t>
      </w:r>
      <w:r w:rsidRPr="00FF14DF">
        <w:t>Allocative Efficiency</w:t>
      </w:r>
      <w:r>
        <w:t xml:space="preserve"> in Services</w:t>
      </w:r>
      <w:r w:rsidRPr="00FF14DF">
        <w:t xml:space="preserve"> </w:t>
      </w:r>
      <w:r>
        <w:t>– S</w:t>
      </w:r>
      <w:r w:rsidRPr="00FF14DF">
        <w:t>elected OECD Countries, 2005</w:t>
      </w:r>
    </w:p>
    <w:p w14:paraId="52F33BCD" w14:textId="660B989E" w:rsidR="0051351C" w:rsidRDefault="005B33BB" w:rsidP="0051351C">
      <w:pPr>
        <w:pStyle w:val="Figuregraphic"/>
        <w:rPr>
          <w:lang w:eastAsia="en-AU"/>
        </w:rPr>
      </w:pPr>
      <w:r w:rsidRPr="005B33BB">
        <w:rPr>
          <w:noProof/>
          <w:lang w:eastAsia="en-AU"/>
        </w:rPr>
        <w:drawing>
          <wp:inline distT="0" distB="0" distL="0" distR="0" wp14:anchorId="2F0E098F" wp14:editId="4A91280D">
            <wp:extent cx="5904230" cy="3819713"/>
            <wp:effectExtent l="0" t="0" r="127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04230" cy="3819713"/>
                    </a:xfrm>
                    <a:prstGeom prst="rect">
                      <a:avLst/>
                    </a:prstGeom>
                    <a:noFill/>
                    <a:ln>
                      <a:noFill/>
                    </a:ln>
                  </pic:spPr>
                </pic:pic>
              </a:graphicData>
            </a:graphic>
          </wp:inline>
        </w:drawing>
      </w:r>
    </w:p>
    <w:p w14:paraId="584A02E2" w14:textId="77777777" w:rsidR="0051351C" w:rsidRDefault="0051351C" w:rsidP="0051351C">
      <w:pPr>
        <w:pStyle w:val="ChartorTableNote"/>
      </w:pPr>
      <w:r>
        <w:t>Notes</w:t>
      </w:r>
      <w:r w:rsidRPr="00984A34">
        <w:t>: International estimates sourced from Andrews and Cingano (2014).</w:t>
      </w:r>
    </w:p>
    <w:p w14:paraId="2A5D8905" w14:textId="77777777" w:rsidR="00142D58" w:rsidRDefault="00142D58">
      <w:pPr>
        <w:spacing w:after="200" w:line="276" w:lineRule="auto"/>
        <w:rPr>
          <w:rFonts w:ascii="Arial Bold" w:eastAsia="Times New Roman" w:hAnsi="Arial Bold" w:cs="Times New Roman"/>
          <w:b/>
          <w:color w:val="003057"/>
          <w:lang w:eastAsia="en-AU"/>
        </w:rPr>
      </w:pPr>
      <w:r>
        <w:br w:type="page"/>
      </w:r>
    </w:p>
    <w:p w14:paraId="615E5463" w14:textId="77777777" w:rsidR="00180D4D" w:rsidRDefault="00180D4D" w:rsidP="00FB1737">
      <w:pPr>
        <w:pStyle w:val="FigureHeading"/>
      </w:pPr>
      <w:r>
        <w:lastRenderedPageBreak/>
        <w:t>Figure</w:t>
      </w:r>
      <w:r w:rsidRPr="00C618F9">
        <w:t xml:space="preserve"> </w:t>
      </w:r>
      <w:r>
        <w:t>B</w:t>
      </w:r>
      <w:r w:rsidR="008E781D">
        <w:t>2</w:t>
      </w:r>
      <w:r w:rsidRPr="00C618F9">
        <w:t xml:space="preserve">: </w:t>
      </w:r>
      <w:r>
        <w:t xml:space="preserve">The Shadow of Death </w:t>
      </w:r>
    </w:p>
    <w:p w14:paraId="7AD8566B" w14:textId="77777777" w:rsidR="00180D4D" w:rsidRPr="00E711AB" w:rsidRDefault="00E711AB" w:rsidP="00180D4D">
      <w:pPr>
        <w:jc w:val="center"/>
        <w:rPr>
          <w:color w:val="auto"/>
        </w:rPr>
      </w:pPr>
      <w:r w:rsidRPr="00E711AB">
        <w:rPr>
          <w:color w:val="auto"/>
        </w:rPr>
        <w:t>Labour productivity of exiting firms at t=0 as per cent of continuing firms productivity</w:t>
      </w:r>
    </w:p>
    <w:p w14:paraId="58783BC2" w14:textId="77777777" w:rsidR="00E711AB" w:rsidRDefault="00EA7198" w:rsidP="00180D4D">
      <w:pPr>
        <w:jc w:val="center"/>
        <w:rPr>
          <w:b/>
          <w:color w:val="auto"/>
        </w:rPr>
      </w:pPr>
      <w:r>
        <w:rPr>
          <w:noProof/>
          <w:lang w:eastAsia="en-AU"/>
        </w:rPr>
        <w:drawing>
          <wp:inline distT="0" distB="0" distL="0" distR="0" wp14:anchorId="3109142B" wp14:editId="44578665">
            <wp:extent cx="5580000" cy="4320000"/>
            <wp:effectExtent l="0" t="0" r="1905" b="44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799691B" w14:textId="77777777" w:rsidR="00180D4D" w:rsidRPr="00275F6A" w:rsidRDefault="00180D4D" w:rsidP="00FB1737">
      <w:pPr>
        <w:pStyle w:val="ChartorTableNote"/>
      </w:pPr>
      <w:r w:rsidRPr="0010549B">
        <w:t xml:space="preserve">Notes: </w:t>
      </w:r>
      <w:r w:rsidR="00716C66" w:rsidRPr="00924157">
        <w:t>The</w:t>
      </w:r>
      <w:r w:rsidR="00716C66" w:rsidRPr="00275F6A">
        <w:t xml:space="preserve"> above chart plots the unweighted mean of the median productivity of each exiting cohort. Productivity is defined as real value-added per employee. Time is </w:t>
      </w:r>
      <w:r w:rsidR="00716C66">
        <w:t>measured in years prior to exit</w:t>
      </w:r>
      <w:r w:rsidR="00716C66" w:rsidRPr="00275F6A">
        <w:t xml:space="preserve">. </w:t>
      </w:r>
      <w:r w:rsidR="00716C66">
        <w:t xml:space="preserve">Exit = 1 if a unit reports no further information to the ATO. </w:t>
      </w:r>
      <w:r w:rsidR="00716C66" w:rsidRPr="00275F6A">
        <w:t>Consequently, there is a minimum of four cohorts at t-10.</w:t>
      </w:r>
    </w:p>
    <w:p w14:paraId="7361EC4D" w14:textId="77777777" w:rsidR="00896371" w:rsidRDefault="00896371" w:rsidP="00896371">
      <w:pPr>
        <w:jc w:val="center"/>
        <w:rPr>
          <w:b/>
        </w:rPr>
      </w:pPr>
    </w:p>
    <w:p w14:paraId="0EB3285B" w14:textId="77777777" w:rsidR="003443D4" w:rsidRDefault="003443D4">
      <w:pPr>
        <w:spacing w:after="200" w:line="276" w:lineRule="auto"/>
        <w:rPr>
          <w:b/>
        </w:rPr>
      </w:pPr>
      <w:r>
        <w:rPr>
          <w:b/>
        </w:rPr>
        <w:br w:type="page"/>
      </w:r>
    </w:p>
    <w:p w14:paraId="0A1FF192" w14:textId="77777777" w:rsidR="00896371" w:rsidRDefault="008E781D" w:rsidP="00FB1737">
      <w:pPr>
        <w:pStyle w:val="FigureHeading"/>
      </w:pPr>
      <w:r>
        <w:lastRenderedPageBreak/>
        <w:t>Figure B3</w:t>
      </w:r>
      <w:r w:rsidR="00896371" w:rsidRPr="00896371">
        <w:t>: Dynamic Allocative Efficiency in Selected Australian Industries</w:t>
      </w:r>
    </w:p>
    <w:p w14:paraId="06831E99" w14:textId="77777777" w:rsidR="008A5408" w:rsidRPr="00FA66A8" w:rsidRDefault="008A5408" w:rsidP="00896371">
      <w:pPr>
        <w:jc w:val="center"/>
      </w:pPr>
      <w:r w:rsidRPr="00FA66A8">
        <w:t xml:space="preserve">Estimated coefficient on </w:t>
      </w:r>
      <w:r w:rsidR="00BE5853">
        <w:t xml:space="preserve">lagged labour </w:t>
      </w:r>
      <w:r w:rsidRPr="00FA66A8">
        <w:t>productivity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896371" w14:paraId="3817CB6C" w14:textId="77777777" w:rsidTr="00EA7198">
        <w:tc>
          <w:tcPr>
            <w:tcW w:w="9298" w:type="dxa"/>
          </w:tcPr>
          <w:p w14:paraId="6F397BAB" w14:textId="77777777" w:rsidR="00896371" w:rsidRDefault="00896371" w:rsidP="00EA7198">
            <w:pPr>
              <w:pStyle w:val="FigureSecondHeading"/>
            </w:pPr>
            <w:r>
              <w:t xml:space="preserve">A: Employment </w:t>
            </w:r>
            <w:r w:rsidR="00BE5853">
              <w:t>g</w:t>
            </w:r>
            <w:r>
              <w:t>rowth</w:t>
            </w:r>
            <w:r w:rsidR="00BE5853">
              <w:t xml:space="preserve"> model</w:t>
            </w:r>
          </w:p>
          <w:p w14:paraId="0B4A2FC8" w14:textId="77777777" w:rsidR="00896371" w:rsidRDefault="00EA7198" w:rsidP="00A24E80">
            <w:pPr>
              <w:jc w:val="center"/>
              <w:rPr>
                <w:b/>
              </w:rPr>
            </w:pPr>
            <w:r>
              <w:rPr>
                <w:noProof/>
              </w:rPr>
              <w:drawing>
                <wp:inline distT="0" distB="0" distL="0" distR="0" wp14:anchorId="6CCBA32F" wp14:editId="5B4041C0">
                  <wp:extent cx="5580000" cy="2880000"/>
                  <wp:effectExtent l="0" t="0" r="190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896371" w14:paraId="39DFE885" w14:textId="77777777" w:rsidTr="00EA7198">
        <w:tc>
          <w:tcPr>
            <w:tcW w:w="9298" w:type="dxa"/>
          </w:tcPr>
          <w:p w14:paraId="03E3B7D1" w14:textId="77777777" w:rsidR="00896371" w:rsidRDefault="00896371" w:rsidP="00EA7198">
            <w:pPr>
              <w:pStyle w:val="FigureSecondHeading"/>
            </w:pPr>
            <w:r>
              <w:t xml:space="preserve">B: Exit </w:t>
            </w:r>
            <w:r w:rsidR="00BE5853">
              <w:t>probability model</w:t>
            </w:r>
          </w:p>
          <w:p w14:paraId="520F8EA3" w14:textId="77777777" w:rsidR="00896371" w:rsidRDefault="00EA7198" w:rsidP="00A24E80">
            <w:pPr>
              <w:jc w:val="center"/>
              <w:rPr>
                <w:b/>
              </w:rPr>
            </w:pPr>
            <w:r>
              <w:rPr>
                <w:noProof/>
              </w:rPr>
              <w:drawing>
                <wp:inline distT="0" distB="0" distL="0" distR="0" wp14:anchorId="4B27505F" wp14:editId="3E431C63">
                  <wp:extent cx="5580000" cy="2880000"/>
                  <wp:effectExtent l="0" t="0" r="190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DE7FFF8" w14:textId="77777777" w:rsidR="00896371" w:rsidRPr="00275F6A" w:rsidRDefault="00896371" w:rsidP="00FB1737">
      <w:pPr>
        <w:pStyle w:val="ChartorTableNote"/>
      </w:pPr>
      <w:r w:rsidRPr="00275F6A">
        <w:rPr>
          <w:color w:val="auto"/>
        </w:rPr>
        <w:t>Note:</w:t>
      </w:r>
      <w:r w:rsidR="008806D8" w:rsidRPr="00275F6A">
        <w:t xml:space="preserve"> Employment growth chart reports coefficients on productivity term (see equation </w:t>
      </w:r>
      <w:r w:rsidR="00716C66">
        <w:t>4</w:t>
      </w:r>
      <w:r w:rsidR="008806D8" w:rsidRPr="00275F6A">
        <w:t>) for industry-level regressions without the trend and trend-squared terms. Sample encompasses 2002-2016 with one period sacrificed due to the lag. Size dummies refer to the following number of full-time equivalent employees: 0-4, 5-19, 20-199, 200-499, and 500 plus. Exit margin chart reports coefficient on productivity term where dependent variable is a binary indicator for exit, otherwise all independent variables as the same as the employment growth chart. Both models include the change in state unemployment levels alone and interacted with the productivity term to control for state-level business cycle effects</w:t>
      </w:r>
    </w:p>
    <w:p w14:paraId="2853BC24" w14:textId="77777777" w:rsidR="00BC0236" w:rsidRDefault="00BC0236">
      <w:pPr>
        <w:spacing w:after="200" w:line="276" w:lineRule="auto"/>
        <w:rPr>
          <w:color w:val="auto"/>
        </w:rPr>
      </w:pPr>
      <w:r>
        <w:rPr>
          <w:color w:val="auto"/>
        </w:rPr>
        <w:br w:type="page"/>
      </w:r>
    </w:p>
    <w:p w14:paraId="2F656BE6" w14:textId="77777777" w:rsidR="00BC0236" w:rsidRDefault="00BC0236" w:rsidP="00BC0236">
      <w:pPr>
        <w:pStyle w:val="AppendixHeadingLevel2NotNumbered"/>
      </w:pPr>
      <w:r>
        <w:lastRenderedPageBreak/>
        <w:t>Appendix C: Productivity and Wages: Firm Level Evidence</w:t>
      </w:r>
    </w:p>
    <w:p w14:paraId="60E92095" w14:textId="77777777" w:rsidR="00BE368D" w:rsidRDefault="00BE368D" w:rsidP="00FB1737">
      <w:pPr>
        <w:pStyle w:val="TableMainHeading"/>
      </w:pPr>
      <w:r>
        <w:t>Table C1</w:t>
      </w:r>
      <w:r w:rsidRPr="00896371">
        <w:t xml:space="preserve">: </w:t>
      </w:r>
      <w:r>
        <w:t>The link between wages and labour productivity at the firm level</w:t>
      </w:r>
    </w:p>
    <w:p w14:paraId="6A93DFA6" w14:textId="77777777" w:rsidR="00FE5495" w:rsidRDefault="00FE5495" w:rsidP="00FE5495">
      <w:pPr>
        <w:jc w:val="center"/>
        <w:rPr>
          <w:color w:val="auto"/>
        </w:rPr>
      </w:pPr>
      <w:r w:rsidRPr="00FE5495">
        <w:rPr>
          <w:noProof/>
          <w:lang w:eastAsia="en-AU"/>
        </w:rPr>
        <w:drawing>
          <wp:inline distT="0" distB="0" distL="0" distR="0" wp14:anchorId="2FA4CD92" wp14:editId="606F1814">
            <wp:extent cx="3864610" cy="3108960"/>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64610" cy="3108960"/>
                    </a:xfrm>
                    <a:prstGeom prst="rect">
                      <a:avLst/>
                    </a:prstGeom>
                    <a:noFill/>
                    <a:ln>
                      <a:noFill/>
                    </a:ln>
                  </pic:spPr>
                </pic:pic>
              </a:graphicData>
            </a:graphic>
          </wp:inline>
        </w:drawing>
      </w:r>
    </w:p>
    <w:p w14:paraId="45F7D63F" w14:textId="77777777" w:rsidR="00BE368D" w:rsidRPr="00275F6A" w:rsidRDefault="00BE368D" w:rsidP="00FB1737">
      <w:pPr>
        <w:pStyle w:val="ChartorTableNote"/>
        <w:rPr>
          <w:color w:val="auto"/>
          <w:szCs w:val="18"/>
        </w:rPr>
      </w:pPr>
      <w:r w:rsidRPr="00275F6A">
        <w:rPr>
          <w:color w:val="auto"/>
          <w:szCs w:val="18"/>
        </w:rPr>
        <w:t xml:space="preserve">Notes: </w:t>
      </w:r>
      <w:r w:rsidR="008806D8" w:rsidRPr="00275F6A">
        <w:t xml:space="preserve">Dependent variables are log(wages) and log(wage / full-time equivalent employment). Sample encompasses 2002-2016 with one period sacrificed due to the lag. Size dummies refer to the following number of full-time equivalent employees: 0-4, 5-19, 20-199, 200-499, and 500 plus. </w:t>
      </w:r>
    </w:p>
    <w:p w14:paraId="4FE2FACA" w14:textId="77777777" w:rsidR="00BE368D" w:rsidRPr="00DC50A4" w:rsidRDefault="00BE368D" w:rsidP="00FE5495">
      <w:pPr>
        <w:jc w:val="center"/>
        <w:rPr>
          <w:color w:val="auto"/>
        </w:rPr>
      </w:pPr>
    </w:p>
    <w:sectPr w:rsidR="00BE368D" w:rsidRPr="00DC50A4" w:rsidSect="003C4225">
      <w:pgSz w:w="11906" w:h="16838" w:code="9"/>
      <w:pgMar w:top="1418" w:right="1304" w:bottom="1418" w:left="130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A6DAA" w14:textId="77777777" w:rsidR="009605BC" w:rsidRDefault="009605BC" w:rsidP="005F100C">
      <w:pPr>
        <w:spacing w:after="0"/>
      </w:pPr>
      <w:r>
        <w:separator/>
      </w:r>
    </w:p>
  </w:endnote>
  <w:endnote w:type="continuationSeparator" w:id="0">
    <w:p w14:paraId="78843AE1" w14:textId="77777777" w:rsidR="009605BC" w:rsidRDefault="009605BC" w:rsidP="005F100C">
      <w:pPr>
        <w:spacing w:after="0"/>
      </w:pPr>
      <w:r>
        <w:continuationSeparator/>
      </w:r>
    </w:p>
  </w:endnote>
  <w:endnote w:type="continuationNotice" w:id="1">
    <w:p w14:paraId="6E0B3EE6" w14:textId="77777777" w:rsidR="009605BC" w:rsidRDefault="009605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106C3" w14:textId="77777777" w:rsidR="009605BC" w:rsidRDefault="009605BC"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FCEF8" w14:textId="1078938F" w:rsidR="009605BC" w:rsidRDefault="009605BC"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E70CFB">
      <w:rPr>
        <w:rStyle w:val="PageNumber"/>
        <w:noProof/>
      </w:rPr>
      <w:t>7</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A79F7" w14:textId="77777777" w:rsidR="009605BC" w:rsidRDefault="009605BC" w:rsidP="005F100C">
      <w:pPr>
        <w:spacing w:after="0"/>
      </w:pPr>
      <w:r>
        <w:separator/>
      </w:r>
    </w:p>
  </w:footnote>
  <w:footnote w:type="continuationSeparator" w:id="0">
    <w:p w14:paraId="2F719718" w14:textId="77777777" w:rsidR="009605BC" w:rsidRDefault="009605BC" w:rsidP="005F100C">
      <w:pPr>
        <w:spacing w:after="0"/>
      </w:pPr>
      <w:r>
        <w:continuationSeparator/>
      </w:r>
    </w:p>
  </w:footnote>
  <w:footnote w:type="continuationNotice" w:id="1">
    <w:p w14:paraId="26283ED5" w14:textId="77777777" w:rsidR="009605BC" w:rsidRDefault="009605BC">
      <w:pPr>
        <w:spacing w:after="0"/>
      </w:pPr>
    </w:p>
  </w:footnote>
  <w:footnote w:id="2">
    <w:p w14:paraId="4D362D7C" w14:textId="77777777" w:rsidR="009605BC" w:rsidRPr="00E31BB9" w:rsidRDefault="009605BC" w:rsidP="00F012EA">
      <w:pPr>
        <w:pStyle w:val="FootnoteText"/>
        <w:rPr>
          <w:sz w:val="21"/>
          <w:szCs w:val="21"/>
        </w:rPr>
      </w:pPr>
      <w:r w:rsidRPr="00283148">
        <w:rPr>
          <w:rStyle w:val="FootnoteReference"/>
          <w:sz w:val="20"/>
          <w:vertAlign w:val="baseline"/>
        </w:rPr>
        <w:footnoteRef/>
      </w:r>
      <w:r w:rsidRPr="00283148">
        <w:rPr>
          <w:sz w:val="20"/>
        </w:rPr>
        <w:t xml:space="preserve"> </w:t>
      </w:r>
      <w:r>
        <w:tab/>
      </w:r>
      <w:r w:rsidRPr="00E31BB9">
        <w:rPr>
          <w:sz w:val="20"/>
          <w:szCs w:val="20"/>
        </w:rPr>
        <w:t xml:space="preserve">Dan Andrews and David Hansell work in the Macroeconomic Group, The Treasury, Langton Crescent, Parkes ACT 2600, Australia. Correspondence: </w:t>
      </w:r>
      <w:hyperlink r:id="rId1" w:history="1">
        <w:r w:rsidRPr="00CD2767">
          <w:rPr>
            <w:rStyle w:val="Hyperlink"/>
            <w:sz w:val="20"/>
            <w:szCs w:val="20"/>
          </w:rPr>
          <w:t>Dan.Andrews@treasury.gov.au</w:t>
        </w:r>
      </w:hyperlink>
      <w:r>
        <w:rPr>
          <w:sz w:val="20"/>
          <w:szCs w:val="20"/>
        </w:rPr>
        <w:t xml:space="preserve">, </w:t>
      </w:r>
      <w:r w:rsidRPr="00E31BB9">
        <w:rPr>
          <w:sz w:val="20"/>
          <w:szCs w:val="20"/>
        </w:rPr>
        <w:t xml:space="preserve"> </w:t>
      </w:r>
      <w:hyperlink r:id="rId2" w:history="1">
        <w:r w:rsidRPr="00CD2767">
          <w:rPr>
            <w:rStyle w:val="Hyperlink"/>
            <w:sz w:val="20"/>
            <w:szCs w:val="20"/>
          </w:rPr>
          <w:t>David.Hansell@treasury.gov.au</w:t>
        </w:r>
      </w:hyperlink>
      <w:r w:rsidRPr="00E31BB9">
        <w:rPr>
          <w:sz w:val="20"/>
          <w:szCs w:val="20"/>
        </w:rPr>
        <w:t>. We thank Nathan Deutscher, Kevin Fox, Jonathan Hambur, Meghan Quinn</w:t>
      </w:r>
      <w:r>
        <w:rPr>
          <w:sz w:val="20"/>
          <w:szCs w:val="20"/>
        </w:rPr>
        <w:t>, Lachlan Vass, Lex Williamson, Phillip Womack</w:t>
      </w:r>
      <w:r w:rsidRPr="00E31BB9">
        <w:rPr>
          <w:sz w:val="20"/>
          <w:szCs w:val="20"/>
        </w:rPr>
        <w:t xml:space="preserve"> and a range of seminar participants at the Brookings Institution, Commonwealth Treasury, IMF, OECD and the Reserve Bank of Australia.</w:t>
      </w:r>
    </w:p>
  </w:footnote>
  <w:footnote w:id="3">
    <w:p w14:paraId="327BC989" w14:textId="77777777" w:rsidR="009605BC" w:rsidRDefault="009605BC" w:rsidP="00F012EA">
      <w:pPr>
        <w:pStyle w:val="FootnoteText"/>
      </w:pPr>
      <w:r w:rsidRPr="00283148">
        <w:rPr>
          <w:rStyle w:val="FootnoteReference"/>
          <w:sz w:val="20"/>
          <w:vertAlign w:val="baseline"/>
        </w:rPr>
        <w:footnoteRef/>
      </w:r>
      <w:r w:rsidRPr="00283148">
        <w:rPr>
          <w:sz w:val="20"/>
        </w:rPr>
        <w:t xml:space="preserve"> </w:t>
      </w:r>
      <w:r>
        <w:tab/>
      </w:r>
      <w:r w:rsidRPr="00E31BB9">
        <w:rPr>
          <w:sz w:val="20"/>
          <w:szCs w:val="20"/>
        </w:rPr>
        <w:t xml:space="preserve">The views expressed in this paper are those of the authors and do not necessarily reflect those of The Australian Treasury or the Australian Government. The results presented here are based in part, on ABR data supplied by the Registrar to the ABS under </w:t>
      </w:r>
      <w:r w:rsidRPr="00C93384">
        <w:rPr>
          <w:i/>
          <w:sz w:val="20"/>
          <w:szCs w:val="20"/>
        </w:rPr>
        <w:t>A New Tax System (Australian Business Number) Act 1999</w:t>
      </w:r>
      <w:r w:rsidRPr="00E31BB9">
        <w:rPr>
          <w:sz w:val="20"/>
          <w:szCs w:val="20"/>
        </w:rPr>
        <w:t xml:space="preserve"> and tax data supplied by the ATO to the ABS under the </w:t>
      </w:r>
      <w:r w:rsidRPr="00C93384">
        <w:rPr>
          <w:i/>
          <w:sz w:val="20"/>
          <w:szCs w:val="20"/>
        </w:rPr>
        <w:t>Taxation Administration Act 1953</w:t>
      </w:r>
      <w:r w:rsidRPr="00E31BB9">
        <w:rPr>
          <w:sz w:val="20"/>
          <w:szCs w:val="20"/>
        </w:rPr>
        <w:t xml:space="preserve">. These require that such data is only used for the purpose of carrying out functions of the ABS. No individual information collected under the </w:t>
      </w:r>
      <w:r w:rsidRPr="00C93384">
        <w:rPr>
          <w:i/>
          <w:sz w:val="20"/>
          <w:szCs w:val="20"/>
        </w:rPr>
        <w:t>Census and Statistics Act 1905</w:t>
      </w:r>
      <w:r w:rsidRPr="00E31BB9">
        <w:rPr>
          <w:sz w:val="20"/>
          <w:szCs w:val="20"/>
        </w:rPr>
        <w:t xml:space="preserve"> is provided back to the Registrar or the ATO for administrative or regulatory purposes. Any discussion of data limitations or weaknesses is in the context of using the data for statistical purposes, and is not related to the ability of the data to support the ABR’s core operational requirements. Legislative requirements to ensure privacy and secrecy of this data have been followed. Only people authorised under the </w:t>
      </w:r>
      <w:r w:rsidRPr="00C93384">
        <w:rPr>
          <w:i/>
          <w:sz w:val="20"/>
          <w:szCs w:val="20"/>
        </w:rPr>
        <w:t>Australian Bureau of Statistics Act 1975</w:t>
      </w:r>
      <w:r w:rsidRPr="00E31BB9">
        <w:rPr>
          <w:sz w:val="20"/>
          <w:szCs w:val="20"/>
        </w:rPr>
        <w:t xml:space="preserve"> have been allowed to view data about any particular firm in conducting these analyses. In accordance with the </w:t>
      </w:r>
      <w:r w:rsidRPr="00C93384">
        <w:rPr>
          <w:i/>
          <w:sz w:val="20"/>
          <w:szCs w:val="20"/>
        </w:rPr>
        <w:t>Census and Statistics Act 1905</w:t>
      </w:r>
      <w:r w:rsidRPr="00E31BB9">
        <w:rPr>
          <w:sz w:val="20"/>
          <w:szCs w:val="20"/>
        </w:rPr>
        <w:t>, results have been confidentialised to ensure that they are not likely to enable identification of a particular person or organisation</w:t>
      </w:r>
    </w:p>
    <w:p w14:paraId="51EF5E4A" w14:textId="77777777" w:rsidR="009605BC" w:rsidRDefault="009605BC" w:rsidP="00F012EA">
      <w:pPr>
        <w:pStyle w:val="FootnoteText"/>
      </w:pPr>
    </w:p>
  </w:footnote>
  <w:footnote w:id="4">
    <w:p w14:paraId="67012EB2" w14:textId="77777777" w:rsidR="009605BC" w:rsidRDefault="009605BC">
      <w:pPr>
        <w:pStyle w:val="FootnoteText"/>
      </w:pPr>
      <w:r w:rsidRPr="00283148">
        <w:rPr>
          <w:rStyle w:val="FootnoteReference"/>
          <w:sz w:val="20"/>
          <w:vertAlign w:val="baseline"/>
        </w:rPr>
        <w:footnoteRef/>
      </w:r>
      <w:r w:rsidRPr="00283148">
        <w:rPr>
          <w:sz w:val="20"/>
        </w:rPr>
        <w:t xml:space="preserve"> </w:t>
      </w:r>
      <w:r>
        <w:tab/>
      </w:r>
      <w:r>
        <w:rPr>
          <w:color w:val="auto"/>
          <w:sz w:val="20"/>
          <w:szCs w:val="20"/>
        </w:rPr>
        <w:t>Using</w:t>
      </w:r>
      <w:r w:rsidRPr="00AE39C1">
        <w:rPr>
          <w:color w:val="auto"/>
          <w:sz w:val="20"/>
          <w:szCs w:val="20"/>
        </w:rPr>
        <w:t xml:space="preserve"> estimates of static allocative efficiency at the industry level for </w:t>
      </w:r>
      <w:r>
        <w:rPr>
          <w:color w:val="auto"/>
          <w:sz w:val="20"/>
          <w:szCs w:val="20"/>
        </w:rPr>
        <w:t>22</w:t>
      </w:r>
      <w:r w:rsidRPr="00AE39C1">
        <w:rPr>
          <w:color w:val="auto"/>
          <w:sz w:val="20"/>
          <w:szCs w:val="20"/>
        </w:rPr>
        <w:t xml:space="preserve"> OECD countries, Andrews and Cingano (2014) show </w:t>
      </w:r>
      <w:r>
        <w:rPr>
          <w:color w:val="auto"/>
          <w:sz w:val="20"/>
          <w:szCs w:val="20"/>
        </w:rPr>
        <w:t xml:space="preserve">a causal link between </w:t>
      </w:r>
      <w:r w:rsidRPr="00AE39C1">
        <w:rPr>
          <w:color w:val="auto"/>
          <w:sz w:val="20"/>
          <w:szCs w:val="20"/>
        </w:rPr>
        <w:t>more stringent product and labour market</w:t>
      </w:r>
      <w:r>
        <w:rPr>
          <w:color w:val="auto"/>
          <w:sz w:val="20"/>
          <w:szCs w:val="20"/>
        </w:rPr>
        <w:t xml:space="preserve"> </w:t>
      </w:r>
      <w:r w:rsidRPr="00AE39C1">
        <w:rPr>
          <w:color w:val="auto"/>
          <w:sz w:val="20"/>
          <w:szCs w:val="20"/>
        </w:rPr>
        <w:t>regulations</w:t>
      </w:r>
      <w:r>
        <w:rPr>
          <w:color w:val="auto"/>
          <w:sz w:val="20"/>
          <w:szCs w:val="20"/>
        </w:rPr>
        <w:t>,</w:t>
      </w:r>
      <w:r w:rsidRPr="00AE39C1">
        <w:rPr>
          <w:color w:val="auto"/>
          <w:sz w:val="20"/>
          <w:szCs w:val="20"/>
        </w:rPr>
        <w:t xml:space="preserve"> and bankruptcy laws that excessively penalise business failure</w:t>
      </w:r>
      <w:r>
        <w:rPr>
          <w:color w:val="auto"/>
          <w:sz w:val="20"/>
          <w:szCs w:val="20"/>
        </w:rPr>
        <w:t>,</w:t>
      </w:r>
      <w:r w:rsidRPr="00AE39C1">
        <w:rPr>
          <w:color w:val="auto"/>
          <w:sz w:val="20"/>
          <w:szCs w:val="20"/>
        </w:rPr>
        <w:t xml:space="preserve"> a</w:t>
      </w:r>
      <w:r>
        <w:rPr>
          <w:color w:val="auto"/>
          <w:sz w:val="20"/>
          <w:szCs w:val="20"/>
        </w:rPr>
        <w:t>nd</w:t>
      </w:r>
      <w:r w:rsidRPr="00AE39C1">
        <w:rPr>
          <w:color w:val="auto"/>
          <w:sz w:val="20"/>
          <w:szCs w:val="20"/>
        </w:rPr>
        <w:t xml:space="preserve"> less efficient resource allocation.</w:t>
      </w:r>
    </w:p>
  </w:footnote>
  <w:footnote w:id="5">
    <w:p w14:paraId="33695F7F" w14:textId="77777777" w:rsidR="009605BC" w:rsidRDefault="009605BC" w:rsidP="004C35E6">
      <w:pPr>
        <w:pStyle w:val="FootnoteText"/>
      </w:pPr>
      <w:r w:rsidRPr="00283148">
        <w:rPr>
          <w:rStyle w:val="FootnoteReference"/>
          <w:sz w:val="20"/>
          <w:vertAlign w:val="baseline"/>
        </w:rPr>
        <w:footnoteRef/>
      </w:r>
      <w:r w:rsidRPr="00283148">
        <w:rPr>
          <w:sz w:val="20"/>
        </w:rPr>
        <w:t xml:space="preserve"> </w:t>
      </w:r>
      <w:r>
        <w:tab/>
      </w:r>
      <w:r w:rsidRPr="006178B2">
        <w:rPr>
          <w:sz w:val="20"/>
          <w:szCs w:val="20"/>
        </w:rPr>
        <w:t>Baldwin and Gu (2006) for Canada find that this reallocation accounts for about 70</w:t>
      </w:r>
      <w:r>
        <w:rPr>
          <w:sz w:val="20"/>
          <w:szCs w:val="20"/>
        </w:rPr>
        <w:t xml:space="preserve"> per cent</w:t>
      </w:r>
      <w:r w:rsidRPr="006178B2">
        <w:rPr>
          <w:sz w:val="20"/>
          <w:szCs w:val="20"/>
        </w:rPr>
        <w:t xml:space="preserve"> of aggregate labour productivity growth. Foster et al. (2006) find that entry and exit explain almost all labour productivity growth of the US retail sector.</w:t>
      </w:r>
    </w:p>
  </w:footnote>
  <w:footnote w:id="6">
    <w:p w14:paraId="6C815623" w14:textId="77777777" w:rsidR="009605BC" w:rsidRDefault="009605BC">
      <w:pPr>
        <w:pStyle w:val="FootnoteText"/>
      </w:pPr>
      <w:r w:rsidRPr="00283148">
        <w:rPr>
          <w:rStyle w:val="FootnoteReference"/>
          <w:sz w:val="20"/>
          <w:vertAlign w:val="baseline"/>
        </w:rPr>
        <w:footnoteRef/>
      </w:r>
      <w:r w:rsidRPr="00283148">
        <w:rPr>
          <w:sz w:val="20"/>
        </w:rPr>
        <w:t xml:space="preserve"> </w:t>
      </w:r>
      <w:r w:rsidRPr="0023133F">
        <w:tab/>
      </w:r>
      <w:r w:rsidRPr="0023133F">
        <w:rPr>
          <w:color w:val="auto"/>
          <w:sz w:val="20"/>
          <w:szCs w:val="20"/>
        </w:rPr>
        <w:t>Simulations show that aggregate labour productivity would have been 2.5</w:t>
      </w:r>
      <w:r>
        <w:rPr>
          <w:color w:val="auto"/>
          <w:sz w:val="20"/>
          <w:szCs w:val="20"/>
        </w:rPr>
        <w:t xml:space="preserve"> per cent</w:t>
      </w:r>
      <w:r w:rsidRPr="0023133F">
        <w:rPr>
          <w:color w:val="auto"/>
          <w:sz w:val="20"/>
          <w:szCs w:val="20"/>
        </w:rPr>
        <w:t xml:space="preserve"> higher in 2013 if their metric of reallocation – the responsiveness of firm growth to productivity – had returned to the more efficient levels of the late 1990s levels.</w:t>
      </w:r>
    </w:p>
  </w:footnote>
  <w:footnote w:id="7">
    <w:p w14:paraId="38D27619" w14:textId="77777777" w:rsidR="009605BC" w:rsidRDefault="009605BC" w:rsidP="00783BAD">
      <w:pPr>
        <w:pStyle w:val="FootnoteText"/>
      </w:pPr>
      <w:r w:rsidRPr="00283148">
        <w:rPr>
          <w:rStyle w:val="FootnoteReference"/>
          <w:sz w:val="20"/>
          <w:vertAlign w:val="baseline"/>
        </w:rPr>
        <w:footnoteRef/>
      </w:r>
      <w:r w:rsidRPr="00283148">
        <w:rPr>
          <w:sz w:val="20"/>
        </w:rPr>
        <w:t xml:space="preserve"> </w:t>
      </w:r>
      <w:r>
        <w:tab/>
      </w:r>
      <w:r w:rsidRPr="00783BAD">
        <w:rPr>
          <w:sz w:val="20"/>
          <w:szCs w:val="20"/>
        </w:rPr>
        <w:t xml:space="preserve">The third administrative dataset in BLADE </w:t>
      </w:r>
      <w:r w:rsidRPr="00783BAD">
        <w:rPr>
          <w:color w:val="auto"/>
          <w:sz w:val="20"/>
          <w:szCs w:val="20"/>
        </w:rPr>
        <w:t>is the Business Income Tax (BIT), which contains detailed balance sheet information on income and expenditure, assets, liabilities and the like.</w:t>
      </w:r>
    </w:p>
  </w:footnote>
  <w:footnote w:id="8">
    <w:p w14:paraId="7D0980CF" w14:textId="77777777" w:rsidR="009605BC" w:rsidRDefault="009605BC" w:rsidP="00783BAD">
      <w:pPr>
        <w:pStyle w:val="FootnoteText"/>
      </w:pPr>
      <w:r w:rsidRPr="00283148">
        <w:rPr>
          <w:rStyle w:val="FootnoteReference"/>
          <w:sz w:val="20"/>
          <w:vertAlign w:val="baseline"/>
        </w:rPr>
        <w:footnoteRef/>
      </w:r>
      <w:r w:rsidRPr="00283148">
        <w:rPr>
          <w:sz w:val="20"/>
        </w:rPr>
        <w:t xml:space="preserve"> </w:t>
      </w:r>
      <w:r>
        <w:tab/>
      </w:r>
      <w:r w:rsidRPr="00783BAD">
        <w:rPr>
          <w:sz w:val="20"/>
          <w:szCs w:val="20"/>
        </w:rPr>
        <w:t xml:space="preserve">It is important to note that the ABS does not permit access to person-level data. All information from the payment summaries has been aggregated to the business unit. </w:t>
      </w:r>
    </w:p>
  </w:footnote>
  <w:footnote w:id="9">
    <w:p w14:paraId="709F7C55" w14:textId="77777777" w:rsidR="009605BC" w:rsidRDefault="009605BC" w:rsidP="00783BAD">
      <w:pPr>
        <w:pStyle w:val="FootnoteText"/>
      </w:pPr>
      <w:r w:rsidRPr="00283148">
        <w:rPr>
          <w:rStyle w:val="FootnoteReference"/>
          <w:sz w:val="20"/>
          <w:vertAlign w:val="baseline"/>
        </w:rPr>
        <w:footnoteRef/>
      </w:r>
      <w:r w:rsidRPr="00283148">
        <w:rPr>
          <w:sz w:val="20"/>
        </w:rPr>
        <w:t xml:space="preserve"> </w:t>
      </w:r>
      <w:r>
        <w:tab/>
      </w:r>
      <w:r w:rsidRPr="00783BAD">
        <w:rPr>
          <w:sz w:val="20"/>
          <w:szCs w:val="20"/>
        </w:rPr>
        <w:t xml:space="preserve">For more information see Hansell, Nguyen and Soriano (2015). </w:t>
      </w:r>
    </w:p>
  </w:footnote>
  <w:footnote w:id="10">
    <w:p w14:paraId="3171C1E4" w14:textId="77777777" w:rsidR="009605BC" w:rsidRDefault="009605BC" w:rsidP="00783BAD">
      <w:pPr>
        <w:pStyle w:val="FootnoteText"/>
      </w:pPr>
      <w:r w:rsidRPr="00283148">
        <w:rPr>
          <w:rStyle w:val="FootnoteReference"/>
          <w:sz w:val="20"/>
          <w:vertAlign w:val="baseline"/>
        </w:rPr>
        <w:footnoteRef/>
      </w:r>
      <w:r w:rsidRPr="00283148">
        <w:rPr>
          <w:sz w:val="20"/>
        </w:rPr>
        <w:t xml:space="preserve"> </w:t>
      </w:r>
      <w:r>
        <w:tab/>
      </w:r>
      <w:r w:rsidRPr="00783BAD">
        <w:rPr>
          <w:sz w:val="20"/>
          <w:szCs w:val="20"/>
        </w:rPr>
        <w:t xml:space="preserve">The Australian fiscal year ends in June. For simplicity, we refer to the last year of the fiscal year, and so the 2001-02 fiscal year becomes 2002. </w:t>
      </w:r>
    </w:p>
  </w:footnote>
  <w:footnote w:id="11">
    <w:p w14:paraId="742808CA" w14:textId="77777777" w:rsidR="009605BC" w:rsidRDefault="009605BC">
      <w:pPr>
        <w:pStyle w:val="FootnoteText"/>
      </w:pPr>
      <w:r w:rsidRPr="00283148">
        <w:rPr>
          <w:rStyle w:val="FootnoteReference"/>
          <w:sz w:val="20"/>
          <w:vertAlign w:val="baseline"/>
        </w:rPr>
        <w:footnoteRef/>
      </w:r>
      <w:r w:rsidRPr="00283148">
        <w:rPr>
          <w:sz w:val="20"/>
        </w:rPr>
        <w:t xml:space="preserve"> </w:t>
      </w:r>
      <w:r>
        <w:tab/>
      </w:r>
      <w:r w:rsidRPr="000F447E">
        <w:rPr>
          <w:sz w:val="20"/>
          <w:szCs w:val="20"/>
        </w:rPr>
        <w:t>Note that firms with less than one FTE are also excluded</w:t>
      </w:r>
      <w:r>
        <w:rPr>
          <w:sz w:val="20"/>
          <w:szCs w:val="20"/>
        </w:rPr>
        <w:t xml:space="preserve"> as conventional in the international literature</w:t>
      </w:r>
      <w:r w:rsidRPr="000F447E">
        <w:rPr>
          <w:sz w:val="20"/>
          <w:szCs w:val="20"/>
        </w:rPr>
        <w:t>.</w:t>
      </w:r>
    </w:p>
  </w:footnote>
  <w:footnote w:id="12">
    <w:p w14:paraId="5DB1D810" w14:textId="77777777" w:rsidR="00160AB4" w:rsidRDefault="00160AB4" w:rsidP="00160AB4">
      <w:pPr>
        <w:pStyle w:val="FootnoteText"/>
        <w:jc w:val="both"/>
      </w:pPr>
      <w:r>
        <w:rPr>
          <w:rStyle w:val="FootnoteReference"/>
        </w:rPr>
        <w:footnoteRef/>
      </w:r>
      <w:r>
        <w:t xml:space="preserve"> </w:t>
      </w:r>
      <w:r>
        <w:tab/>
      </w:r>
      <w:r w:rsidRPr="009605BC">
        <w:rPr>
          <w:sz w:val="20"/>
          <w:szCs w:val="20"/>
        </w:rPr>
        <w:t>Aggregate labour productivity in Australia is around 80</w:t>
      </w:r>
      <w:r>
        <w:rPr>
          <w:sz w:val="20"/>
          <w:szCs w:val="20"/>
        </w:rPr>
        <w:t xml:space="preserve"> per cent</w:t>
      </w:r>
      <w:r w:rsidRPr="009605BC">
        <w:rPr>
          <w:sz w:val="20"/>
          <w:szCs w:val="20"/>
        </w:rPr>
        <w:t xml:space="preserve"> of the US level. Given that market se</w:t>
      </w:r>
      <w:r>
        <w:rPr>
          <w:sz w:val="20"/>
          <w:szCs w:val="20"/>
        </w:rPr>
        <w:t>rvices account for around 50 per cent</w:t>
      </w:r>
      <w:r w:rsidRPr="009605BC">
        <w:rPr>
          <w:sz w:val="20"/>
          <w:szCs w:val="20"/>
        </w:rPr>
        <w:t xml:space="preserve"> of total employment in Australia, lifting services sector allocative efficiency in Australia by around 20 percentage points would imply a 10 per cent rise in aggregate labour productivity, which would close one-half of Australia’s (20 per cent</w:t>
      </w:r>
      <w:r>
        <w:rPr>
          <w:sz w:val="20"/>
          <w:szCs w:val="20"/>
        </w:rPr>
        <w:t>)</w:t>
      </w:r>
      <w:r w:rsidRPr="009605BC">
        <w:rPr>
          <w:sz w:val="20"/>
          <w:szCs w:val="20"/>
        </w:rPr>
        <w:t xml:space="preserve"> labour productivity gap with the US.</w:t>
      </w:r>
    </w:p>
  </w:footnote>
  <w:footnote w:id="13">
    <w:p w14:paraId="3EE619BB" w14:textId="77777777" w:rsidR="009605BC" w:rsidRDefault="009605BC" w:rsidP="002F6F65">
      <w:pPr>
        <w:pStyle w:val="FootnoteText"/>
      </w:pPr>
      <w:r w:rsidRPr="00283148">
        <w:rPr>
          <w:rStyle w:val="FootnoteReference"/>
          <w:sz w:val="20"/>
          <w:vertAlign w:val="baseline"/>
        </w:rPr>
        <w:footnoteRef/>
      </w:r>
      <w:r w:rsidRPr="00283148">
        <w:rPr>
          <w:sz w:val="18"/>
          <w:szCs w:val="20"/>
        </w:rPr>
        <w:t xml:space="preserve"> </w:t>
      </w:r>
      <w:r w:rsidRPr="003E3C9E">
        <w:rPr>
          <w:sz w:val="20"/>
          <w:szCs w:val="20"/>
        </w:rPr>
        <w:tab/>
        <w:t xml:space="preserve">Figure 4 shows </w:t>
      </w:r>
      <w:r>
        <w:rPr>
          <w:sz w:val="20"/>
          <w:szCs w:val="20"/>
        </w:rPr>
        <w:t xml:space="preserve">estimates for </w:t>
      </w:r>
      <w:r w:rsidRPr="003E3C9E">
        <w:rPr>
          <w:color w:val="auto"/>
          <w:sz w:val="20"/>
          <w:szCs w:val="20"/>
        </w:rPr>
        <w:t>13 of the 16 market sector industries.</w:t>
      </w:r>
      <w:r>
        <w:rPr>
          <w:color w:val="auto"/>
        </w:rPr>
        <w:t xml:space="preserve"> </w:t>
      </w:r>
      <w:r w:rsidRPr="00E00AD9">
        <w:rPr>
          <w:sz w:val="20"/>
          <w:szCs w:val="20"/>
        </w:rPr>
        <w:t xml:space="preserve">We exclude </w:t>
      </w:r>
      <w:r>
        <w:rPr>
          <w:sz w:val="20"/>
          <w:szCs w:val="20"/>
        </w:rPr>
        <w:t>M</w:t>
      </w:r>
      <w:r w:rsidRPr="00E00AD9">
        <w:rPr>
          <w:sz w:val="20"/>
          <w:szCs w:val="20"/>
        </w:rPr>
        <w:t xml:space="preserve">ining and </w:t>
      </w:r>
      <w:r>
        <w:rPr>
          <w:sz w:val="20"/>
          <w:szCs w:val="20"/>
        </w:rPr>
        <w:t>Utilities</w:t>
      </w:r>
      <w:r w:rsidRPr="00E00AD9">
        <w:rPr>
          <w:sz w:val="20"/>
          <w:szCs w:val="20"/>
        </w:rPr>
        <w:t xml:space="preserve"> because they are highly concentrated </w:t>
      </w:r>
      <w:r>
        <w:rPr>
          <w:sz w:val="20"/>
          <w:szCs w:val="20"/>
        </w:rPr>
        <w:t xml:space="preserve">while </w:t>
      </w:r>
      <w:r w:rsidRPr="00E00AD9">
        <w:rPr>
          <w:sz w:val="20"/>
          <w:szCs w:val="20"/>
        </w:rPr>
        <w:t xml:space="preserve">we exclude Finance and Insurance </w:t>
      </w:r>
      <w:r>
        <w:rPr>
          <w:sz w:val="20"/>
          <w:szCs w:val="20"/>
        </w:rPr>
        <w:t>due to the well-known problems in measuring productivity in this sector</w:t>
      </w:r>
      <w:r w:rsidRPr="00E00AD9">
        <w:rPr>
          <w:sz w:val="20"/>
          <w:szCs w:val="20"/>
        </w:rPr>
        <w:t>.</w:t>
      </w:r>
      <w:r>
        <w:t xml:space="preserve"> </w:t>
      </w:r>
    </w:p>
  </w:footnote>
  <w:footnote w:id="14">
    <w:p w14:paraId="1C75E796" w14:textId="77777777" w:rsidR="009605BC" w:rsidRDefault="009605BC" w:rsidP="00246743">
      <w:pPr>
        <w:pStyle w:val="FootnoteText"/>
      </w:pPr>
      <w:r w:rsidRPr="00283148">
        <w:rPr>
          <w:rStyle w:val="FootnoteReference"/>
          <w:sz w:val="20"/>
          <w:vertAlign w:val="baseline"/>
        </w:rPr>
        <w:footnoteRef/>
      </w:r>
      <w:r w:rsidRPr="00283148">
        <w:rPr>
          <w:sz w:val="20"/>
        </w:rPr>
        <w:t xml:space="preserve"> </w:t>
      </w:r>
      <w:r>
        <w:tab/>
      </w:r>
      <w:r w:rsidRPr="004466EE">
        <w:rPr>
          <w:sz w:val="20"/>
          <w:szCs w:val="20"/>
        </w:rPr>
        <w:t xml:space="preserve">Given the model we estimate covers two periods, including exiting firms in the sample </w:t>
      </w:r>
      <w:r>
        <w:rPr>
          <w:sz w:val="20"/>
          <w:szCs w:val="20"/>
        </w:rPr>
        <w:t>tends to overstate growth. This is because</w:t>
      </w:r>
      <w:r w:rsidRPr="004466EE">
        <w:rPr>
          <w:sz w:val="20"/>
          <w:szCs w:val="20"/>
        </w:rPr>
        <w:t xml:space="preserve"> the final growth rate </w:t>
      </w:r>
      <w:r>
        <w:rPr>
          <w:sz w:val="20"/>
          <w:szCs w:val="20"/>
        </w:rPr>
        <w:t>of</w:t>
      </w:r>
      <w:r w:rsidRPr="004466EE">
        <w:rPr>
          <w:sz w:val="20"/>
          <w:szCs w:val="20"/>
        </w:rPr>
        <w:t xml:space="preserve"> -2 is not matched by the initi</w:t>
      </w:r>
      <w:r>
        <w:rPr>
          <w:sz w:val="20"/>
          <w:szCs w:val="20"/>
        </w:rPr>
        <w:t>al growth rate of entrants (that is,</w:t>
      </w:r>
      <w:r w:rsidRPr="004466EE">
        <w:rPr>
          <w:sz w:val="20"/>
          <w:szCs w:val="20"/>
        </w:rPr>
        <w:t xml:space="preserve"> 2) since this growth rate has no corresponding lag.</w:t>
      </w:r>
      <w:r>
        <w:t xml:space="preserve"> </w:t>
      </w:r>
    </w:p>
  </w:footnote>
  <w:footnote w:id="15">
    <w:p w14:paraId="7242385C" w14:textId="77777777" w:rsidR="009605BC" w:rsidRPr="004466EE" w:rsidRDefault="009605BC" w:rsidP="00246743">
      <w:pPr>
        <w:pStyle w:val="FootnoteText"/>
        <w:rPr>
          <w:sz w:val="20"/>
          <w:szCs w:val="20"/>
        </w:rPr>
      </w:pPr>
      <w:r w:rsidRPr="00283148">
        <w:rPr>
          <w:rStyle w:val="FootnoteReference"/>
          <w:sz w:val="20"/>
          <w:vertAlign w:val="baseline"/>
        </w:rPr>
        <w:footnoteRef/>
      </w:r>
      <w:r w:rsidRPr="00283148">
        <w:rPr>
          <w:sz w:val="20"/>
        </w:rPr>
        <w:t xml:space="preserve"> </w:t>
      </w:r>
      <w:r w:rsidRPr="00931A0D">
        <w:tab/>
      </w:r>
      <w:r w:rsidRPr="004466EE">
        <w:rPr>
          <w:sz w:val="20"/>
          <w:szCs w:val="20"/>
        </w:rPr>
        <w:t xml:space="preserve">Alternatively we could use the inverse hyperbolic sign function (Bellamare and Wichman 2018) to deal with negative value added observations. </w:t>
      </w:r>
      <w:r w:rsidRPr="004466EE">
        <w:rPr>
          <w:color w:val="auto"/>
          <w:sz w:val="20"/>
          <w:szCs w:val="20"/>
        </w:rPr>
        <w:t>Moreover, in margin industries such as wholesale and retail trade, real revenue is a valid specification of each firm’s contribution to output</w:t>
      </w:r>
    </w:p>
  </w:footnote>
  <w:footnote w:id="16">
    <w:p w14:paraId="71791D93" w14:textId="77777777" w:rsidR="009605BC" w:rsidRDefault="009605BC" w:rsidP="00246743">
      <w:pPr>
        <w:pStyle w:val="FootnoteText"/>
      </w:pPr>
      <w:r w:rsidRPr="00283148">
        <w:rPr>
          <w:rStyle w:val="FootnoteReference"/>
          <w:sz w:val="20"/>
          <w:vertAlign w:val="baseline"/>
        </w:rPr>
        <w:footnoteRef/>
      </w:r>
      <w:r>
        <w:t xml:space="preserve">  </w:t>
      </w:r>
      <w:r>
        <w:tab/>
      </w:r>
      <w:r w:rsidRPr="004466EE">
        <w:rPr>
          <w:sz w:val="20"/>
          <w:szCs w:val="20"/>
        </w:rPr>
        <w:t>These estimates are currently under construction. See Fox (2019).</w:t>
      </w:r>
    </w:p>
  </w:footnote>
  <w:footnote w:id="17">
    <w:p w14:paraId="4E708FDB" w14:textId="77777777" w:rsidR="009605BC" w:rsidRDefault="009605BC" w:rsidP="00246743">
      <w:pPr>
        <w:pStyle w:val="FootnoteText"/>
      </w:pPr>
      <w:r w:rsidRPr="00283148">
        <w:rPr>
          <w:rStyle w:val="FootnoteReference"/>
          <w:sz w:val="20"/>
          <w:vertAlign w:val="baseline"/>
        </w:rPr>
        <w:footnoteRef/>
      </w:r>
      <w:r w:rsidRPr="00283148">
        <w:rPr>
          <w:sz w:val="20"/>
        </w:rPr>
        <w:t xml:space="preserve"> </w:t>
      </w:r>
      <w:r>
        <w:tab/>
      </w:r>
      <w:r w:rsidRPr="004466EE">
        <w:rPr>
          <w:color w:val="auto"/>
          <w:sz w:val="20"/>
          <w:szCs w:val="20"/>
        </w:rPr>
        <w:t>Given this, it is unsurprising then that the estimated responsiveness of firm employment growth to (lagged) productivity in Decker et al (2018) is insensitive to the choice of LP or MFP</w:t>
      </w:r>
      <w:r>
        <w:rPr>
          <w:color w:val="auto"/>
          <w:sz w:val="20"/>
          <w:szCs w:val="20"/>
        </w:rPr>
        <w:t>.</w:t>
      </w:r>
    </w:p>
  </w:footnote>
  <w:footnote w:id="18">
    <w:p w14:paraId="4F4B9D59" w14:textId="77777777" w:rsidR="009605BC" w:rsidRDefault="009605BC" w:rsidP="00246743">
      <w:pPr>
        <w:pStyle w:val="FootnoteText"/>
      </w:pPr>
      <w:r w:rsidRPr="00283148">
        <w:rPr>
          <w:rStyle w:val="FootnoteReference"/>
          <w:sz w:val="20"/>
          <w:vertAlign w:val="baseline"/>
        </w:rPr>
        <w:footnoteRef/>
      </w:r>
      <w:r w:rsidRPr="00283148">
        <w:rPr>
          <w:sz w:val="20"/>
        </w:rPr>
        <w:t xml:space="preserve"> </w:t>
      </w:r>
      <w:r>
        <w:tab/>
      </w:r>
      <w:r w:rsidRPr="004466EE">
        <w:rPr>
          <w:sz w:val="20"/>
          <w:szCs w:val="20"/>
        </w:rPr>
        <w:t>Note that replacing changes in the state unemployment rates with state by year fixed effects – which controls for the impact of all state-specific time-varying shocks – yields very similar results (</w:t>
      </w:r>
      <w:r>
        <w:rPr>
          <w:sz w:val="20"/>
          <w:szCs w:val="20"/>
        </w:rPr>
        <w:t>these results are available upon request</w:t>
      </w:r>
      <w:r w:rsidRPr="004466EE">
        <w:rPr>
          <w:sz w:val="20"/>
          <w:szCs w:val="20"/>
        </w:rPr>
        <w:t xml:space="preserve">). This suggests that the state unemployment rate </w:t>
      </w:r>
      <w:r>
        <w:rPr>
          <w:sz w:val="20"/>
          <w:szCs w:val="20"/>
        </w:rPr>
        <w:t>is a sufficient proxy for state</w:t>
      </w:r>
      <w:r>
        <w:rPr>
          <w:sz w:val="20"/>
          <w:szCs w:val="20"/>
        </w:rPr>
        <w:noBreakHyphen/>
      </w:r>
      <w:r w:rsidRPr="004466EE">
        <w:rPr>
          <w:sz w:val="20"/>
          <w:szCs w:val="20"/>
        </w:rPr>
        <w:t>level business cycle effects, such as the varying cross-state impacts of the mining construction boom.</w:t>
      </w:r>
    </w:p>
  </w:footnote>
  <w:footnote w:id="19">
    <w:p w14:paraId="22E0428A" w14:textId="77777777" w:rsidR="009605BC" w:rsidRDefault="009605BC">
      <w:pPr>
        <w:pStyle w:val="FootnoteText"/>
      </w:pPr>
      <w:r w:rsidRPr="00283148">
        <w:rPr>
          <w:rStyle w:val="FootnoteReference"/>
          <w:sz w:val="20"/>
          <w:vertAlign w:val="baseline"/>
        </w:rPr>
        <w:footnoteRef/>
      </w:r>
      <w:r w:rsidRPr="00283148">
        <w:rPr>
          <w:sz w:val="20"/>
        </w:rPr>
        <w:t xml:space="preserve"> </w:t>
      </w:r>
      <w:r>
        <w:tab/>
      </w:r>
      <w:r w:rsidRPr="00074743">
        <w:rPr>
          <w:sz w:val="20"/>
          <w:szCs w:val="20"/>
        </w:rPr>
        <w:t>See Nguyen and Hansell (2014) for additional evidence for Australia.</w:t>
      </w:r>
    </w:p>
  </w:footnote>
  <w:footnote w:id="20">
    <w:p w14:paraId="10656E7E" w14:textId="77777777" w:rsidR="009605BC" w:rsidRDefault="009605BC">
      <w:pPr>
        <w:pStyle w:val="FootnoteText"/>
      </w:pPr>
      <w:r w:rsidRPr="00283148">
        <w:rPr>
          <w:rStyle w:val="FootnoteReference"/>
          <w:sz w:val="20"/>
          <w:vertAlign w:val="baseline"/>
        </w:rPr>
        <w:footnoteRef/>
      </w:r>
      <w:r>
        <w:t xml:space="preserve"> </w:t>
      </w:r>
      <w:r>
        <w:tab/>
      </w:r>
      <w:r w:rsidRPr="00150182">
        <w:rPr>
          <w:sz w:val="20"/>
          <w:szCs w:val="20"/>
        </w:rPr>
        <w:t xml:space="preserve">We calculate this as the geometric mean of the annual movements (as depicted in </w:t>
      </w:r>
      <w:r>
        <w:rPr>
          <w:sz w:val="20"/>
          <w:szCs w:val="20"/>
        </w:rPr>
        <w:t>F</w:t>
      </w:r>
      <w:r w:rsidRPr="00150182">
        <w:rPr>
          <w:sz w:val="20"/>
          <w:szCs w:val="20"/>
        </w:rPr>
        <w:t>igure 7) from 2011-12 to 2015-</w:t>
      </w:r>
      <w:r w:rsidRPr="00E039FF">
        <w:rPr>
          <w:sz w:val="20"/>
          <w:szCs w:val="20"/>
        </w:rPr>
        <w:t>16.</w:t>
      </w:r>
      <w:r w:rsidRPr="00FA66A8">
        <w:rPr>
          <w:sz w:val="20"/>
          <w:szCs w:val="20"/>
        </w:rPr>
        <w:t xml:space="preserve"> These results</w:t>
      </w:r>
      <w:r>
        <w:rPr>
          <w:sz w:val="20"/>
          <w:szCs w:val="20"/>
        </w:rPr>
        <w:t xml:space="preserve"> are robust to measuring labour productivity in terms of real revenue per FTE.</w:t>
      </w:r>
    </w:p>
  </w:footnote>
  <w:footnote w:id="21">
    <w:p w14:paraId="1E4CA0C2" w14:textId="77777777" w:rsidR="009605BC" w:rsidRDefault="009605BC" w:rsidP="00571D39">
      <w:pPr>
        <w:pStyle w:val="FootnoteText"/>
      </w:pPr>
      <w:r w:rsidRPr="00283148">
        <w:rPr>
          <w:rStyle w:val="FootnoteReference"/>
          <w:sz w:val="20"/>
          <w:vertAlign w:val="baseline"/>
        </w:rPr>
        <w:footnoteRef/>
      </w:r>
      <w:r>
        <w:t xml:space="preserve"> </w:t>
      </w:r>
      <w:r>
        <w:tab/>
      </w:r>
      <w:r w:rsidRPr="00150182">
        <w:rPr>
          <w:sz w:val="20"/>
          <w:szCs w:val="20"/>
        </w:rPr>
        <w:t>Higher order polynomial trends were used, but made no substantial difference to the counterfactual</w:t>
      </w:r>
      <w:r>
        <w:rPr>
          <w:sz w:val="20"/>
          <w:szCs w:val="20"/>
        </w:rPr>
        <w:t> </w:t>
      </w:r>
      <w:r w:rsidRPr="00150182">
        <w:rPr>
          <w:sz w:val="20"/>
          <w:szCs w:val="20"/>
        </w:rPr>
        <w:t>exercises.</w:t>
      </w:r>
    </w:p>
  </w:footnote>
  <w:footnote w:id="22">
    <w:p w14:paraId="7CBFE2CD" w14:textId="77777777" w:rsidR="009605BC" w:rsidRDefault="009605BC">
      <w:pPr>
        <w:pStyle w:val="FootnoteText"/>
      </w:pPr>
      <w:r w:rsidRPr="00283148">
        <w:rPr>
          <w:rStyle w:val="FootnoteReference"/>
          <w:sz w:val="20"/>
          <w:vertAlign w:val="baseline"/>
        </w:rPr>
        <w:footnoteRef/>
      </w:r>
      <w:r w:rsidRPr="00283148">
        <w:rPr>
          <w:sz w:val="20"/>
        </w:rPr>
        <w:t xml:space="preserve"> </w:t>
      </w:r>
      <w:r w:rsidRPr="00283148">
        <w:rPr>
          <w:sz w:val="20"/>
        </w:rPr>
        <w:tab/>
      </w:r>
      <w:r w:rsidRPr="00FA66A8">
        <w:rPr>
          <w:sz w:val="20"/>
          <w:szCs w:val="20"/>
        </w:rPr>
        <w:t>These include lower inflation and inflation expectations, slower productivity growth, high rates of participation and spare capacity in the labour market, and the unwinding of the once in a century commodity price boom.</w:t>
      </w:r>
    </w:p>
  </w:footnote>
  <w:footnote w:id="23">
    <w:p w14:paraId="686CD8BE" w14:textId="77777777" w:rsidR="009605BC" w:rsidRDefault="009605BC" w:rsidP="00AA0561">
      <w:pPr>
        <w:pStyle w:val="FootnoteText"/>
      </w:pPr>
      <w:r w:rsidRPr="00283148">
        <w:rPr>
          <w:rStyle w:val="FootnoteReference"/>
          <w:sz w:val="20"/>
          <w:vertAlign w:val="baseline"/>
        </w:rPr>
        <w:footnoteRef/>
      </w:r>
      <w:r w:rsidRPr="00283148">
        <w:rPr>
          <w:sz w:val="20"/>
        </w:rPr>
        <w:t xml:space="preserve"> </w:t>
      </w:r>
      <w:r>
        <w:tab/>
      </w:r>
      <w:r w:rsidRPr="009E22ED">
        <w:rPr>
          <w:sz w:val="20"/>
          <w:szCs w:val="20"/>
        </w:rPr>
        <w:t>As in Figure 5, a high (low) productivity firm is defined as one with labour productivity one standard deviation above (below) the industry labour productivity mean.</w:t>
      </w:r>
    </w:p>
  </w:footnote>
  <w:footnote w:id="24">
    <w:p w14:paraId="32C3DE0C" w14:textId="77777777" w:rsidR="009605BC" w:rsidRDefault="009605BC" w:rsidP="00C9356D">
      <w:pPr>
        <w:pStyle w:val="FootnoteText"/>
      </w:pPr>
      <w:r w:rsidRPr="00283148">
        <w:rPr>
          <w:rStyle w:val="FootnoteReference"/>
          <w:sz w:val="18"/>
          <w:vertAlign w:val="baseline"/>
        </w:rPr>
        <w:footnoteRef/>
      </w:r>
      <w:r w:rsidRPr="00283148">
        <w:rPr>
          <w:sz w:val="18"/>
        </w:rPr>
        <w:t xml:space="preserve"> </w:t>
      </w:r>
      <w:r>
        <w:rPr>
          <w:sz w:val="20"/>
        </w:rPr>
        <w:tab/>
      </w:r>
      <w:r w:rsidRPr="0010549B">
        <w:rPr>
          <w:sz w:val="20"/>
        </w:rPr>
        <w:t xml:space="preserve">Thanks to Derek Burnell of the Australian Bureau of Statistics for pointing out this method.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C2E91" w14:textId="77777777" w:rsidR="009605BC" w:rsidRDefault="009605BC" w:rsidP="00F60530">
    <w:pPr>
      <w:pStyle w:val="SecurityClassificationHeader"/>
    </w:pPr>
  </w:p>
  <w:p w14:paraId="28E37766" w14:textId="77777777" w:rsidR="009605BC" w:rsidRDefault="009605BC" w:rsidP="005559A2">
    <w:pPr>
      <w:pStyle w:val="SecurityClassification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1B5C" w14:textId="77777777" w:rsidR="009605BC" w:rsidRPr="00F012EA" w:rsidRDefault="009605BC" w:rsidP="005559A2">
    <w:pPr>
      <w:pStyle w:val="SecurityClassificationHeader"/>
    </w:pPr>
    <w:r>
      <w:rPr>
        <w:noProof/>
      </w:rPr>
      <w:drawing>
        <wp:anchor distT="0" distB="0" distL="114300" distR="114300" simplePos="0" relativeHeight="251658240" behindDoc="1" locked="0" layoutInCell="1" allowOverlap="1" wp14:anchorId="5DE1887B" wp14:editId="303DC834">
          <wp:simplePos x="828136" y="612475"/>
          <wp:positionH relativeFrom="page">
            <wp:align>center</wp:align>
          </wp:positionH>
          <wp:positionV relativeFrom="page">
            <wp:posOffset>180340</wp:posOffset>
          </wp:positionV>
          <wp:extent cx="7200000" cy="9997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DE38D" w14:textId="77777777" w:rsidR="009605BC" w:rsidRPr="005559A2" w:rsidRDefault="009605BC" w:rsidP="00555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4"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7"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0"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45B0A7E"/>
    <w:multiLevelType w:val="multilevel"/>
    <w:tmpl w:val="EDEE4FB6"/>
    <w:numStyleLink w:val="RecommendationBulletList"/>
  </w:abstractNum>
  <w:abstractNum w:abstractNumId="22"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4" w15:restartNumberingAfterBreak="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10D2021"/>
    <w:multiLevelType w:val="multilevel"/>
    <w:tmpl w:val="72F8140E"/>
    <w:numStyleLink w:val="OutlineList"/>
  </w:abstractNum>
  <w:abstractNum w:abstractNumId="26"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F73129"/>
    <w:multiLevelType w:val="multilevel"/>
    <w:tmpl w:val="D9A8A212"/>
    <w:numStyleLink w:val="RomanNumeralList"/>
  </w:abstractNum>
  <w:abstractNum w:abstractNumId="28" w15:restartNumberingAfterBreak="0">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15:restartNumberingAfterBreak="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2" w15:restartNumberingAfterBreak="0">
    <w:nsid w:val="6A5F7B24"/>
    <w:multiLevelType w:val="multilevel"/>
    <w:tmpl w:val="2090AC60"/>
    <w:lvl w:ilvl="0">
      <w:start w:val="1"/>
      <w:numFmt w:val="decimal"/>
      <w:lvlRestart w:val="0"/>
      <w:pStyle w:val="Heading2"/>
      <w:lvlText w:val="%1."/>
      <w:lvlJc w:val="left"/>
      <w:pPr>
        <w:tabs>
          <w:tab w:val="num" w:pos="850"/>
        </w:tabs>
        <w:ind w:left="0"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3" w15:restartNumberingAfterBreak="0">
    <w:nsid w:val="6FF01FD8"/>
    <w:multiLevelType w:val="hybridMultilevel"/>
    <w:tmpl w:val="92B01730"/>
    <w:lvl w:ilvl="0" w:tplc="D4F09E2C">
      <w:start w:val="1"/>
      <w:numFmt w:val="bullet"/>
      <w:lvlText w:val="•"/>
      <w:lvlJc w:val="left"/>
      <w:pPr>
        <w:tabs>
          <w:tab w:val="num" w:pos="720"/>
        </w:tabs>
        <w:ind w:left="720" w:hanging="360"/>
      </w:pPr>
      <w:rPr>
        <w:rFonts w:ascii="Times New Roman" w:hAnsi="Times New Roman" w:hint="default"/>
      </w:rPr>
    </w:lvl>
    <w:lvl w:ilvl="1" w:tplc="7C8A3624" w:tentative="1">
      <w:start w:val="1"/>
      <w:numFmt w:val="bullet"/>
      <w:lvlText w:val="•"/>
      <w:lvlJc w:val="left"/>
      <w:pPr>
        <w:tabs>
          <w:tab w:val="num" w:pos="1440"/>
        </w:tabs>
        <w:ind w:left="1440" w:hanging="360"/>
      </w:pPr>
      <w:rPr>
        <w:rFonts w:ascii="Times New Roman" w:hAnsi="Times New Roman" w:hint="default"/>
      </w:rPr>
    </w:lvl>
    <w:lvl w:ilvl="2" w:tplc="589CBADC" w:tentative="1">
      <w:start w:val="1"/>
      <w:numFmt w:val="bullet"/>
      <w:lvlText w:val="•"/>
      <w:lvlJc w:val="left"/>
      <w:pPr>
        <w:tabs>
          <w:tab w:val="num" w:pos="2160"/>
        </w:tabs>
        <w:ind w:left="2160" w:hanging="360"/>
      </w:pPr>
      <w:rPr>
        <w:rFonts w:ascii="Times New Roman" w:hAnsi="Times New Roman" w:hint="default"/>
      </w:rPr>
    </w:lvl>
    <w:lvl w:ilvl="3" w:tplc="0848273A" w:tentative="1">
      <w:start w:val="1"/>
      <w:numFmt w:val="bullet"/>
      <w:lvlText w:val="•"/>
      <w:lvlJc w:val="left"/>
      <w:pPr>
        <w:tabs>
          <w:tab w:val="num" w:pos="2880"/>
        </w:tabs>
        <w:ind w:left="2880" w:hanging="360"/>
      </w:pPr>
      <w:rPr>
        <w:rFonts w:ascii="Times New Roman" w:hAnsi="Times New Roman" w:hint="default"/>
      </w:rPr>
    </w:lvl>
    <w:lvl w:ilvl="4" w:tplc="22B62A1C" w:tentative="1">
      <w:start w:val="1"/>
      <w:numFmt w:val="bullet"/>
      <w:lvlText w:val="•"/>
      <w:lvlJc w:val="left"/>
      <w:pPr>
        <w:tabs>
          <w:tab w:val="num" w:pos="3600"/>
        </w:tabs>
        <w:ind w:left="3600" w:hanging="360"/>
      </w:pPr>
      <w:rPr>
        <w:rFonts w:ascii="Times New Roman" w:hAnsi="Times New Roman" w:hint="default"/>
      </w:rPr>
    </w:lvl>
    <w:lvl w:ilvl="5" w:tplc="C0CAAE10" w:tentative="1">
      <w:start w:val="1"/>
      <w:numFmt w:val="bullet"/>
      <w:lvlText w:val="•"/>
      <w:lvlJc w:val="left"/>
      <w:pPr>
        <w:tabs>
          <w:tab w:val="num" w:pos="4320"/>
        </w:tabs>
        <w:ind w:left="4320" w:hanging="360"/>
      </w:pPr>
      <w:rPr>
        <w:rFonts w:ascii="Times New Roman" w:hAnsi="Times New Roman" w:hint="default"/>
      </w:rPr>
    </w:lvl>
    <w:lvl w:ilvl="6" w:tplc="1C16CAA0" w:tentative="1">
      <w:start w:val="1"/>
      <w:numFmt w:val="bullet"/>
      <w:lvlText w:val="•"/>
      <w:lvlJc w:val="left"/>
      <w:pPr>
        <w:tabs>
          <w:tab w:val="num" w:pos="5040"/>
        </w:tabs>
        <w:ind w:left="5040" w:hanging="360"/>
      </w:pPr>
      <w:rPr>
        <w:rFonts w:ascii="Times New Roman" w:hAnsi="Times New Roman" w:hint="default"/>
      </w:rPr>
    </w:lvl>
    <w:lvl w:ilvl="7" w:tplc="FB6E56EC" w:tentative="1">
      <w:start w:val="1"/>
      <w:numFmt w:val="bullet"/>
      <w:lvlText w:val="•"/>
      <w:lvlJc w:val="left"/>
      <w:pPr>
        <w:tabs>
          <w:tab w:val="num" w:pos="5760"/>
        </w:tabs>
        <w:ind w:left="5760" w:hanging="360"/>
      </w:pPr>
      <w:rPr>
        <w:rFonts w:ascii="Times New Roman" w:hAnsi="Times New Roman" w:hint="default"/>
      </w:rPr>
    </w:lvl>
    <w:lvl w:ilvl="8" w:tplc="F5021050"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38"/>
  </w:num>
  <w:num w:numId="2">
    <w:abstractNumId w:val="24"/>
  </w:num>
  <w:num w:numId="3">
    <w:abstractNumId w:val="13"/>
  </w:num>
  <w:num w:numId="4">
    <w:abstractNumId w:val="28"/>
  </w:num>
  <w:num w:numId="5">
    <w:abstractNumId w:val="23"/>
  </w:num>
  <w:num w:numId="6">
    <w:abstractNumId w:val="11"/>
  </w:num>
  <w:num w:numId="7">
    <w:abstractNumId w:val="35"/>
  </w:num>
  <w:num w:numId="8">
    <w:abstractNumId w:val="8"/>
  </w:num>
  <w:num w:numId="9">
    <w:abstractNumId w:val="16"/>
  </w:num>
  <w:num w:numId="10">
    <w:abstractNumId w:val="29"/>
  </w:num>
  <w:num w:numId="11">
    <w:abstractNumId w:val="12"/>
  </w:num>
  <w:num w:numId="12">
    <w:abstractNumId w:val="37"/>
  </w:num>
  <w:num w:numId="13">
    <w:abstractNumId w:val="30"/>
  </w:num>
  <w:num w:numId="14">
    <w:abstractNumId w:val="15"/>
  </w:num>
  <w:num w:numId="15">
    <w:abstractNumId w:val="3"/>
  </w:num>
  <w:num w:numId="16">
    <w:abstractNumId w:val="7"/>
  </w:num>
  <w:num w:numId="17">
    <w:abstractNumId w:val="22"/>
  </w:num>
  <w:num w:numId="18">
    <w:abstractNumId w:val="2"/>
  </w:num>
  <w:num w:numId="19">
    <w:abstractNumId w:val="18"/>
  </w:num>
  <w:num w:numId="20">
    <w:abstractNumId w:val="5"/>
  </w:num>
  <w:num w:numId="21">
    <w:abstractNumId w:val="9"/>
  </w:num>
  <w:num w:numId="22">
    <w:abstractNumId w:val="4"/>
  </w:num>
  <w:num w:numId="23">
    <w:abstractNumId w:val="6"/>
  </w:num>
  <w:num w:numId="24">
    <w:abstractNumId w:val="25"/>
  </w:num>
  <w:num w:numId="25">
    <w:abstractNumId w:val="21"/>
  </w:num>
  <w:num w:numId="26">
    <w:abstractNumId w:val="27"/>
  </w:num>
  <w:num w:numId="27">
    <w:abstractNumId w:val="17"/>
  </w:num>
  <w:num w:numId="28">
    <w:abstractNumId w:val="26"/>
  </w:num>
  <w:num w:numId="29">
    <w:abstractNumId w:val="10"/>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2"/>
  </w:num>
  <w:num w:numId="33">
    <w:abstractNumId w:val="20"/>
  </w:num>
  <w:num w:numId="34">
    <w:abstractNumId w:val="1"/>
  </w:num>
  <w:num w:numId="35">
    <w:abstractNumId w:val="1"/>
  </w:num>
  <w:num w:numId="36">
    <w:abstractNumId w:val="36"/>
  </w:num>
  <w:num w:numId="37">
    <w:abstractNumId w:val="1"/>
  </w:num>
  <w:num w:numId="38">
    <w:abstractNumId w:val="32"/>
  </w:num>
  <w:num w:numId="39">
    <w:abstractNumId w:val="1"/>
  </w:num>
  <w:num w:numId="40">
    <w:abstractNumId w:val="14"/>
  </w:num>
  <w:num w:numId="41">
    <w:abstractNumId w:val="31"/>
  </w:num>
  <w:num w:numId="42">
    <w:abstractNumId w:val="14"/>
  </w:num>
  <w:num w:numId="43">
    <w:abstractNumId w:val="14"/>
  </w:num>
  <w:num w:numId="44">
    <w:abstractNumId w:val="19"/>
  </w:num>
  <w:num w:numId="45">
    <w:abstractNumId w:val="32"/>
  </w:num>
  <w:num w:numId="46">
    <w:abstractNumId w:val="32"/>
  </w:num>
  <w:num w:numId="47">
    <w:abstractNumId w:val="34"/>
  </w:num>
  <w:num w:numId="48">
    <w:abstractNumId w:val="0"/>
  </w:num>
  <w:num w:numId="49">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False"/>
    <w:docVar w:name="SecurityClassificationInHeader" w:val="False"/>
    <w:docVar w:name="SecurityDLMInHeader" w:val="False"/>
  </w:docVars>
  <w:rsids>
    <w:rsidRoot w:val="00CB52BA"/>
    <w:rsid w:val="00001986"/>
    <w:rsid w:val="0000295A"/>
    <w:rsid w:val="00002C74"/>
    <w:rsid w:val="00002CDB"/>
    <w:rsid w:val="00002D45"/>
    <w:rsid w:val="00003ACD"/>
    <w:rsid w:val="00007CDE"/>
    <w:rsid w:val="00010D4D"/>
    <w:rsid w:val="000111C5"/>
    <w:rsid w:val="00011CDA"/>
    <w:rsid w:val="00015308"/>
    <w:rsid w:val="000167A9"/>
    <w:rsid w:val="00021F93"/>
    <w:rsid w:val="00023373"/>
    <w:rsid w:val="000237AE"/>
    <w:rsid w:val="0002465D"/>
    <w:rsid w:val="000254EA"/>
    <w:rsid w:val="00026843"/>
    <w:rsid w:val="000320AF"/>
    <w:rsid w:val="000333D8"/>
    <w:rsid w:val="0003490F"/>
    <w:rsid w:val="00036131"/>
    <w:rsid w:val="000364DB"/>
    <w:rsid w:val="000419D0"/>
    <w:rsid w:val="00042370"/>
    <w:rsid w:val="00044272"/>
    <w:rsid w:val="000464B6"/>
    <w:rsid w:val="00050080"/>
    <w:rsid w:val="000500D6"/>
    <w:rsid w:val="000517E4"/>
    <w:rsid w:val="00051C46"/>
    <w:rsid w:val="0005354A"/>
    <w:rsid w:val="000622B2"/>
    <w:rsid w:val="00067C9D"/>
    <w:rsid w:val="000704CE"/>
    <w:rsid w:val="00071573"/>
    <w:rsid w:val="00073666"/>
    <w:rsid w:val="00074743"/>
    <w:rsid w:val="000752DC"/>
    <w:rsid w:val="000768BF"/>
    <w:rsid w:val="000775E4"/>
    <w:rsid w:val="00077D52"/>
    <w:rsid w:val="000801CC"/>
    <w:rsid w:val="000852E4"/>
    <w:rsid w:val="00087C96"/>
    <w:rsid w:val="00091054"/>
    <w:rsid w:val="00095C3F"/>
    <w:rsid w:val="000967A1"/>
    <w:rsid w:val="00097568"/>
    <w:rsid w:val="000A2D3D"/>
    <w:rsid w:val="000A4528"/>
    <w:rsid w:val="000A5240"/>
    <w:rsid w:val="000A529E"/>
    <w:rsid w:val="000B2EA2"/>
    <w:rsid w:val="000B3E8F"/>
    <w:rsid w:val="000B5AAD"/>
    <w:rsid w:val="000C5602"/>
    <w:rsid w:val="000C79C6"/>
    <w:rsid w:val="000D01A8"/>
    <w:rsid w:val="000D3258"/>
    <w:rsid w:val="000D4DD6"/>
    <w:rsid w:val="000D76A0"/>
    <w:rsid w:val="000E1031"/>
    <w:rsid w:val="000E13B0"/>
    <w:rsid w:val="000E2538"/>
    <w:rsid w:val="000E3C93"/>
    <w:rsid w:val="000E3D02"/>
    <w:rsid w:val="000E7B4C"/>
    <w:rsid w:val="000F1539"/>
    <w:rsid w:val="000F1D3E"/>
    <w:rsid w:val="000F330A"/>
    <w:rsid w:val="000F476D"/>
    <w:rsid w:val="0010021B"/>
    <w:rsid w:val="0010166B"/>
    <w:rsid w:val="001047C4"/>
    <w:rsid w:val="0010549B"/>
    <w:rsid w:val="00111FD8"/>
    <w:rsid w:val="00115BF5"/>
    <w:rsid w:val="001163C0"/>
    <w:rsid w:val="001238C7"/>
    <w:rsid w:val="00125C4D"/>
    <w:rsid w:val="00125FF1"/>
    <w:rsid w:val="001303F2"/>
    <w:rsid w:val="0013178C"/>
    <w:rsid w:val="00132A5A"/>
    <w:rsid w:val="00134E83"/>
    <w:rsid w:val="00136589"/>
    <w:rsid w:val="00142D58"/>
    <w:rsid w:val="001438EC"/>
    <w:rsid w:val="0014481C"/>
    <w:rsid w:val="00145D81"/>
    <w:rsid w:val="00147046"/>
    <w:rsid w:val="0014762E"/>
    <w:rsid w:val="00150182"/>
    <w:rsid w:val="00155199"/>
    <w:rsid w:val="00157337"/>
    <w:rsid w:val="00160AB4"/>
    <w:rsid w:val="00162E84"/>
    <w:rsid w:val="0016737E"/>
    <w:rsid w:val="00171880"/>
    <w:rsid w:val="00175568"/>
    <w:rsid w:val="001759E9"/>
    <w:rsid w:val="00177F13"/>
    <w:rsid w:val="00180337"/>
    <w:rsid w:val="00180D4D"/>
    <w:rsid w:val="0018373A"/>
    <w:rsid w:val="00185082"/>
    <w:rsid w:val="00185487"/>
    <w:rsid w:val="001856FE"/>
    <w:rsid w:val="00185CA6"/>
    <w:rsid w:val="00190FDD"/>
    <w:rsid w:val="001A1264"/>
    <w:rsid w:val="001A2703"/>
    <w:rsid w:val="001A2839"/>
    <w:rsid w:val="001A31C0"/>
    <w:rsid w:val="001A3263"/>
    <w:rsid w:val="001A420D"/>
    <w:rsid w:val="001A4A65"/>
    <w:rsid w:val="001B12AE"/>
    <w:rsid w:val="001B1D18"/>
    <w:rsid w:val="001B4492"/>
    <w:rsid w:val="001B541A"/>
    <w:rsid w:val="001C158A"/>
    <w:rsid w:val="001C3323"/>
    <w:rsid w:val="001C386F"/>
    <w:rsid w:val="001C41BD"/>
    <w:rsid w:val="001C5B15"/>
    <w:rsid w:val="001C6DC0"/>
    <w:rsid w:val="001D2588"/>
    <w:rsid w:val="001D2E29"/>
    <w:rsid w:val="001D36C2"/>
    <w:rsid w:val="001D7755"/>
    <w:rsid w:val="001E0A89"/>
    <w:rsid w:val="001E1D66"/>
    <w:rsid w:val="001E20E2"/>
    <w:rsid w:val="001E3161"/>
    <w:rsid w:val="001E4A20"/>
    <w:rsid w:val="001E664D"/>
    <w:rsid w:val="001E7104"/>
    <w:rsid w:val="001F0DC9"/>
    <w:rsid w:val="001F441A"/>
    <w:rsid w:val="001F520B"/>
    <w:rsid w:val="001F55A4"/>
    <w:rsid w:val="001F7F68"/>
    <w:rsid w:val="002015AB"/>
    <w:rsid w:val="00201B0C"/>
    <w:rsid w:val="00211545"/>
    <w:rsid w:val="00216C26"/>
    <w:rsid w:val="002245BE"/>
    <w:rsid w:val="002249D2"/>
    <w:rsid w:val="00225932"/>
    <w:rsid w:val="002271BB"/>
    <w:rsid w:val="0023133F"/>
    <w:rsid w:val="00231345"/>
    <w:rsid w:val="002330AC"/>
    <w:rsid w:val="002355F2"/>
    <w:rsid w:val="00236B8C"/>
    <w:rsid w:val="0023785A"/>
    <w:rsid w:val="00241571"/>
    <w:rsid w:val="00245637"/>
    <w:rsid w:val="0024632F"/>
    <w:rsid w:val="00246743"/>
    <w:rsid w:val="00247C6F"/>
    <w:rsid w:val="00251FE6"/>
    <w:rsid w:val="00256378"/>
    <w:rsid w:val="00257A2D"/>
    <w:rsid w:val="0027035F"/>
    <w:rsid w:val="00271BA7"/>
    <w:rsid w:val="00273C2A"/>
    <w:rsid w:val="002746A2"/>
    <w:rsid w:val="00275F6A"/>
    <w:rsid w:val="002768B3"/>
    <w:rsid w:val="0027733E"/>
    <w:rsid w:val="00280D28"/>
    <w:rsid w:val="00282352"/>
    <w:rsid w:val="00283148"/>
    <w:rsid w:val="002878A7"/>
    <w:rsid w:val="00291937"/>
    <w:rsid w:val="00291BEB"/>
    <w:rsid w:val="00296017"/>
    <w:rsid w:val="00296CA6"/>
    <w:rsid w:val="0029719F"/>
    <w:rsid w:val="00297406"/>
    <w:rsid w:val="00297C46"/>
    <w:rsid w:val="00297D43"/>
    <w:rsid w:val="002A1163"/>
    <w:rsid w:val="002A1905"/>
    <w:rsid w:val="002B038B"/>
    <w:rsid w:val="002B06C2"/>
    <w:rsid w:val="002B3C37"/>
    <w:rsid w:val="002B4B1D"/>
    <w:rsid w:val="002B5007"/>
    <w:rsid w:val="002B53E2"/>
    <w:rsid w:val="002C3075"/>
    <w:rsid w:val="002C3186"/>
    <w:rsid w:val="002C3379"/>
    <w:rsid w:val="002C3563"/>
    <w:rsid w:val="002C5398"/>
    <w:rsid w:val="002C5ED3"/>
    <w:rsid w:val="002C77D1"/>
    <w:rsid w:val="002D026F"/>
    <w:rsid w:val="002D316D"/>
    <w:rsid w:val="002E1698"/>
    <w:rsid w:val="002E3841"/>
    <w:rsid w:val="002E5F5C"/>
    <w:rsid w:val="002E6C67"/>
    <w:rsid w:val="002E7527"/>
    <w:rsid w:val="002E7BDD"/>
    <w:rsid w:val="002F06D2"/>
    <w:rsid w:val="002F35E3"/>
    <w:rsid w:val="002F3DFC"/>
    <w:rsid w:val="002F5721"/>
    <w:rsid w:val="002F5836"/>
    <w:rsid w:val="002F6A60"/>
    <w:rsid w:val="002F6F65"/>
    <w:rsid w:val="002F73DF"/>
    <w:rsid w:val="003005D5"/>
    <w:rsid w:val="00300D8B"/>
    <w:rsid w:val="00301A52"/>
    <w:rsid w:val="00302763"/>
    <w:rsid w:val="003028B3"/>
    <w:rsid w:val="00302D55"/>
    <w:rsid w:val="00305A05"/>
    <w:rsid w:val="00306F6B"/>
    <w:rsid w:val="00307263"/>
    <w:rsid w:val="00307A3B"/>
    <w:rsid w:val="003102BD"/>
    <w:rsid w:val="003226EA"/>
    <w:rsid w:val="00325F2D"/>
    <w:rsid w:val="00326C0B"/>
    <w:rsid w:val="00327002"/>
    <w:rsid w:val="003310DF"/>
    <w:rsid w:val="003326C6"/>
    <w:rsid w:val="00334335"/>
    <w:rsid w:val="00334B48"/>
    <w:rsid w:val="003350D8"/>
    <w:rsid w:val="003406DF"/>
    <w:rsid w:val="0034072E"/>
    <w:rsid w:val="00341269"/>
    <w:rsid w:val="003420F4"/>
    <w:rsid w:val="003427FE"/>
    <w:rsid w:val="00342E92"/>
    <w:rsid w:val="003431D3"/>
    <w:rsid w:val="003443D4"/>
    <w:rsid w:val="003446E7"/>
    <w:rsid w:val="00345A1B"/>
    <w:rsid w:val="00350F01"/>
    <w:rsid w:val="00355E87"/>
    <w:rsid w:val="00363D79"/>
    <w:rsid w:val="003641BA"/>
    <w:rsid w:val="00365C6D"/>
    <w:rsid w:val="00367FDE"/>
    <w:rsid w:val="003703A4"/>
    <w:rsid w:val="00371825"/>
    <w:rsid w:val="00371FBD"/>
    <w:rsid w:val="00375415"/>
    <w:rsid w:val="0038061A"/>
    <w:rsid w:val="003809EA"/>
    <w:rsid w:val="003832DB"/>
    <w:rsid w:val="00386243"/>
    <w:rsid w:val="00390529"/>
    <w:rsid w:val="00392116"/>
    <w:rsid w:val="003955E2"/>
    <w:rsid w:val="00395DCC"/>
    <w:rsid w:val="003A00D1"/>
    <w:rsid w:val="003A1A88"/>
    <w:rsid w:val="003A2F0C"/>
    <w:rsid w:val="003A30A7"/>
    <w:rsid w:val="003B0501"/>
    <w:rsid w:val="003B1B63"/>
    <w:rsid w:val="003B353B"/>
    <w:rsid w:val="003B3B59"/>
    <w:rsid w:val="003B6915"/>
    <w:rsid w:val="003C36A2"/>
    <w:rsid w:val="003C4225"/>
    <w:rsid w:val="003C4D08"/>
    <w:rsid w:val="003C6E3D"/>
    <w:rsid w:val="003C720F"/>
    <w:rsid w:val="003D27B3"/>
    <w:rsid w:val="003D296C"/>
    <w:rsid w:val="003D2F8A"/>
    <w:rsid w:val="003D3DC9"/>
    <w:rsid w:val="003D73B6"/>
    <w:rsid w:val="003E0E7B"/>
    <w:rsid w:val="003E261D"/>
    <w:rsid w:val="003E3374"/>
    <w:rsid w:val="003E3C9E"/>
    <w:rsid w:val="003E586A"/>
    <w:rsid w:val="003E6B90"/>
    <w:rsid w:val="003E6F66"/>
    <w:rsid w:val="003F6F1E"/>
    <w:rsid w:val="003F70F1"/>
    <w:rsid w:val="00400DED"/>
    <w:rsid w:val="00402665"/>
    <w:rsid w:val="00406016"/>
    <w:rsid w:val="004071FE"/>
    <w:rsid w:val="00416E7C"/>
    <w:rsid w:val="00417677"/>
    <w:rsid w:val="00425070"/>
    <w:rsid w:val="00425444"/>
    <w:rsid w:val="004257C9"/>
    <w:rsid w:val="00426A13"/>
    <w:rsid w:val="00426CC1"/>
    <w:rsid w:val="00433221"/>
    <w:rsid w:val="00434598"/>
    <w:rsid w:val="00434A51"/>
    <w:rsid w:val="004370F4"/>
    <w:rsid w:val="00437E74"/>
    <w:rsid w:val="004404D1"/>
    <w:rsid w:val="004414A7"/>
    <w:rsid w:val="0044158D"/>
    <w:rsid w:val="0044221C"/>
    <w:rsid w:val="00444D7E"/>
    <w:rsid w:val="00445AEC"/>
    <w:rsid w:val="004466EE"/>
    <w:rsid w:val="004529DF"/>
    <w:rsid w:val="004534E3"/>
    <w:rsid w:val="00456AD4"/>
    <w:rsid w:val="00457AC1"/>
    <w:rsid w:val="00457E9A"/>
    <w:rsid w:val="00460338"/>
    <w:rsid w:val="00460A29"/>
    <w:rsid w:val="00460C65"/>
    <w:rsid w:val="004610A1"/>
    <w:rsid w:val="00461327"/>
    <w:rsid w:val="00461689"/>
    <w:rsid w:val="004644F0"/>
    <w:rsid w:val="004653A5"/>
    <w:rsid w:val="0046659A"/>
    <w:rsid w:val="004765A8"/>
    <w:rsid w:val="004768F2"/>
    <w:rsid w:val="004818E2"/>
    <w:rsid w:val="00483940"/>
    <w:rsid w:val="004839CA"/>
    <w:rsid w:val="00484E6C"/>
    <w:rsid w:val="00486739"/>
    <w:rsid w:val="00487711"/>
    <w:rsid w:val="0049062B"/>
    <w:rsid w:val="004942A1"/>
    <w:rsid w:val="004943D4"/>
    <w:rsid w:val="00494B7C"/>
    <w:rsid w:val="00494DE6"/>
    <w:rsid w:val="00497737"/>
    <w:rsid w:val="00497F7D"/>
    <w:rsid w:val="004A12FA"/>
    <w:rsid w:val="004A23DB"/>
    <w:rsid w:val="004A2C6C"/>
    <w:rsid w:val="004A326E"/>
    <w:rsid w:val="004A3965"/>
    <w:rsid w:val="004A6010"/>
    <w:rsid w:val="004A6117"/>
    <w:rsid w:val="004A6735"/>
    <w:rsid w:val="004A7448"/>
    <w:rsid w:val="004A7B2D"/>
    <w:rsid w:val="004B07A5"/>
    <w:rsid w:val="004B5784"/>
    <w:rsid w:val="004B6C4C"/>
    <w:rsid w:val="004C167F"/>
    <w:rsid w:val="004C35E6"/>
    <w:rsid w:val="004C40C8"/>
    <w:rsid w:val="004C4BE4"/>
    <w:rsid w:val="004C7E14"/>
    <w:rsid w:val="004C7FD9"/>
    <w:rsid w:val="004D1E4D"/>
    <w:rsid w:val="004D3F55"/>
    <w:rsid w:val="004E310C"/>
    <w:rsid w:val="004E36C3"/>
    <w:rsid w:val="004E437C"/>
    <w:rsid w:val="004E6B60"/>
    <w:rsid w:val="004F1BA0"/>
    <w:rsid w:val="004F28E4"/>
    <w:rsid w:val="004F4EE7"/>
    <w:rsid w:val="004F550B"/>
    <w:rsid w:val="0050015C"/>
    <w:rsid w:val="00500704"/>
    <w:rsid w:val="00502B9D"/>
    <w:rsid w:val="00506713"/>
    <w:rsid w:val="00511488"/>
    <w:rsid w:val="0051251F"/>
    <w:rsid w:val="00513299"/>
    <w:rsid w:val="0051351C"/>
    <w:rsid w:val="005165C0"/>
    <w:rsid w:val="00517B8A"/>
    <w:rsid w:val="00523780"/>
    <w:rsid w:val="005319D7"/>
    <w:rsid w:val="005320D4"/>
    <w:rsid w:val="005320D6"/>
    <w:rsid w:val="005351A2"/>
    <w:rsid w:val="00543B19"/>
    <w:rsid w:val="00544ABF"/>
    <w:rsid w:val="00547371"/>
    <w:rsid w:val="0055464B"/>
    <w:rsid w:val="005554B2"/>
    <w:rsid w:val="005559A2"/>
    <w:rsid w:val="00555B0A"/>
    <w:rsid w:val="0055680B"/>
    <w:rsid w:val="00560D98"/>
    <w:rsid w:val="00562EFB"/>
    <w:rsid w:val="0056440E"/>
    <w:rsid w:val="0057074A"/>
    <w:rsid w:val="00571D39"/>
    <w:rsid w:val="005734BD"/>
    <w:rsid w:val="00576994"/>
    <w:rsid w:val="00582FB7"/>
    <w:rsid w:val="00585FB1"/>
    <w:rsid w:val="005873F1"/>
    <w:rsid w:val="00587FFA"/>
    <w:rsid w:val="005904CD"/>
    <w:rsid w:val="0059085B"/>
    <w:rsid w:val="005923A6"/>
    <w:rsid w:val="0059573E"/>
    <w:rsid w:val="0059632E"/>
    <w:rsid w:val="0059637C"/>
    <w:rsid w:val="005A6919"/>
    <w:rsid w:val="005B0854"/>
    <w:rsid w:val="005B33BB"/>
    <w:rsid w:val="005B3A0F"/>
    <w:rsid w:val="005B52C6"/>
    <w:rsid w:val="005B594D"/>
    <w:rsid w:val="005B7300"/>
    <w:rsid w:val="005C71AA"/>
    <w:rsid w:val="005C7CED"/>
    <w:rsid w:val="005E200E"/>
    <w:rsid w:val="005E3572"/>
    <w:rsid w:val="005E50DB"/>
    <w:rsid w:val="005E6A7A"/>
    <w:rsid w:val="005E701B"/>
    <w:rsid w:val="005F100C"/>
    <w:rsid w:val="005F3390"/>
    <w:rsid w:val="005F5653"/>
    <w:rsid w:val="005F5731"/>
    <w:rsid w:val="005F57C1"/>
    <w:rsid w:val="005F5B1A"/>
    <w:rsid w:val="005F66EC"/>
    <w:rsid w:val="005F6EA2"/>
    <w:rsid w:val="0060086D"/>
    <w:rsid w:val="00603EBE"/>
    <w:rsid w:val="00604292"/>
    <w:rsid w:val="006054AE"/>
    <w:rsid w:val="00605A80"/>
    <w:rsid w:val="00606A26"/>
    <w:rsid w:val="00607BCE"/>
    <w:rsid w:val="00610DA1"/>
    <w:rsid w:val="00614BAC"/>
    <w:rsid w:val="006170F1"/>
    <w:rsid w:val="006178B2"/>
    <w:rsid w:val="00620A86"/>
    <w:rsid w:val="00623AC8"/>
    <w:rsid w:val="00630E36"/>
    <w:rsid w:val="00630ED4"/>
    <w:rsid w:val="006349E6"/>
    <w:rsid w:val="00634B0C"/>
    <w:rsid w:val="006352C3"/>
    <w:rsid w:val="006374B7"/>
    <w:rsid w:val="006429FF"/>
    <w:rsid w:val="00644192"/>
    <w:rsid w:val="006457CC"/>
    <w:rsid w:val="00654D19"/>
    <w:rsid w:val="00657839"/>
    <w:rsid w:val="006631B4"/>
    <w:rsid w:val="0066506F"/>
    <w:rsid w:val="00665A80"/>
    <w:rsid w:val="00667729"/>
    <w:rsid w:val="0067046C"/>
    <w:rsid w:val="00672387"/>
    <w:rsid w:val="00672CA1"/>
    <w:rsid w:val="0067429F"/>
    <w:rsid w:val="00676A1F"/>
    <w:rsid w:val="00676B7F"/>
    <w:rsid w:val="0067754D"/>
    <w:rsid w:val="00684FAB"/>
    <w:rsid w:val="00685365"/>
    <w:rsid w:val="00685EDD"/>
    <w:rsid w:val="00692A4F"/>
    <w:rsid w:val="006932F3"/>
    <w:rsid w:val="00693FD4"/>
    <w:rsid w:val="00694443"/>
    <w:rsid w:val="00694A4F"/>
    <w:rsid w:val="00694EA8"/>
    <w:rsid w:val="006952FF"/>
    <w:rsid w:val="00695C01"/>
    <w:rsid w:val="0069656F"/>
    <w:rsid w:val="006A0146"/>
    <w:rsid w:val="006A30A5"/>
    <w:rsid w:val="006A6073"/>
    <w:rsid w:val="006A6AE6"/>
    <w:rsid w:val="006B0DE6"/>
    <w:rsid w:val="006B5DF8"/>
    <w:rsid w:val="006C0A0B"/>
    <w:rsid w:val="006C274F"/>
    <w:rsid w:val="006C3D63"/>
    <w:rsid w:val="006C4833"/>
    <w:rsid w:val="006D0369"/>
    <w:rsid w:val="006D039A"/>
    <w:rsid w:val="006D2611"/>
    <w:rsid w:val="006D5467"/>
    <w:rsid w:val="006D6023"/>
    <w:rsid w:val="006D6F3E"/>
    <w:rsid w:val="006D7074"/>
    <w:rsid w:val="006D72F5"/>
    <w:rsid w:val="006E0591"/>
    <w:rsid w:val="006E4318"/>
    <w:rsid w:val="006E448F"/>
    <w:rsid w:val="006F1B55"/>
    <w:rsid w:val="006F3E0E"/>
    <w:rsid w:val="006F3E79"/>
    <w:rsid w:val="006F5707"/>
    <w:rsid w:val="006F6761"/>
    <w:rsid w:val="006F719E"/>
    <w:rsid w:val="006F7544"/>
    <w:rsid w:val="0070058D"/>
    <w:rsid w:val="007042E1"/>
    <w:rsid w:val="00710327"/>
    <w:rsid w:val="00713991"/>
    <w:rsid w:val="00714153"/>
    <w:rsid w:val="007143DA"/>
    <w:rsid w:val="0071456E"/>
    <w:rsid w:val="0071547A"/>
    <w:rsid w:val="0071647B"/>
    <w:rsid w:val="00716C66"/>
    <w:rsid w:val="0072015B"/>
    <w:rsid w:val="00724874"/>
    <w:rsid w:val="0073064F"/>
    <w:rsid w:val="00732D91"/>
    <w:rsid w:val="00733CC4"/>
    <w:rsid w:val="007358F3"/>
    <w:rsid w:val="00742850"/>
    <w:rsid w:val="00744BB7"/>
    <w:rsid w:val="00745F95"/>
    <w:rsid w:val="0075070E"/>
    <w:rsid w:val="00753811"/>
    <w:rsid w:val="007610E2"/>
    <w:rsid w:val="00762D04"/>
    <w:rsid w:val="00767F36"/>
    <w:rsid w:val="007718AC"/>
    <w:rsid w:val="0077230A"/>
    <w:rsid w:val="007733D6"/>
    <w:rsid w:val="0077408A"/>
    <w:rsid w:val="00777313"/>
    <w:rsid w:val="00777710"/>
    <w:rsid w:val="0078304B"/>
    <w:rsid w:val="00783BAD"/>
    <w:rsid w:val="00783EFA"/>
    <w:rsid w:val="00784218"/>
    <w:rsid w:val="00784B66"/>
    <w:rsid w:val="007853E5"/>
    <w:rsid w:val="007903F8"/>
    <w:rsid w:val="00791FE7"/>
    <w:rsid w:val="00792AE4"/>
    <w:rsid w:val="00794727"/>
    <w:rsid w:val="00795456"/>
    <w:rsid w:val="007A2ACB"/>
    <w:rsid w:val="007A3967"/>
    <w:rsid w:val="007A4ED8"/>
    <w:rsid w:val="007A5D6D"/>
    <w:rsid w:val="007A76E6"/>
    <w:rsid w:val="007B0C23"/>
    <w:rsid w:val="007B113C"/>
    <w:rsid w:val="007B21F0"/>
    <w:rsid w:val="007B42F0"/>
    <w:rsid w:val="007B596F"/>
    <w:rsid w:val="007C4654"/>
    <w:rsid w:val="007C48F0"/>
    <w:rsid w:val="007C7D88"/>
    <w:rsid w:val="007D441B"/>
    <w:rsid w:val="007D55D2"/>
    <w:rsid w:val="007D6C91"/>
    <w:rsid w:val="007E13ED"/>
    <w:rsid w:val="007E376A"/>
    <w:rsid w:val="007E6420"/>
    <w:rsid w:val="007E6992"/>
    <w:rsid w:val="007F0804"/>
    <w:rsid w:val="007F1B74"/>
    <w:rsid w:val="007F3CE8"/>
    <w:rsid w:val="007F3E0B"/>
    <w:rsid w:val="007F762C"/>
    <w:rsid w:val="00802352"/>
    <w:rsid w:val="00803B2A"/>
    <w:rsid w:val="00803E19"/>
    <w:rsid w:val="008053B8"/>
    <w:rsid w:val="008071E2"/>
    <w:rsid w:val="00810B31"/>
    <w:rsid w:val="00811033"/>
    <w:rsid w:val="00811103"/>
    <w:rsid w:val="00812433"/>
    <w:rsid w:val="00812E32"/>
    <w:rsid w:val="00814D1B"/>
    <w:rsid w:val="00815906"/>
    <w:rsid w:val="00816513"/>
    <w:rsid w:val="0082097D"/>
    <w:rsid w:val="00822183"/>
    <w:rsid w:val="00822A55"/>
    <w:rsid w:val="00823EBA"/>
    <w:rsid w:val="0082621D"/>
    <w:rsid w:val="008306A3"/>
    <w:rsid w:val="00833945"/>
    <w:rsid w:val="00836360"/>
    <w:rsid w:val="008363FC"/>
    <w:rsid w:val="00843648"/>
    <w:rsid w:val="00844C50"/>
    <w:rsid w:val="00845C16"/>
    <w:rsid w:val="00846CF9"/>
    <w:rsid w:val="00852966"/>
    <w:rsid w:val="00855A9A"/>
    <w:rsid w:val="0086171D"/>
    <w:rsid w:val="00861CE8"/>
    <w:rsid w:val="008627B1"/>
    <w:rsid w:val="00864BC4"/>
    <w:rsid w:val="00864D1D"/>
    <w:rsid w:val="008722B1"/>
    <w:rsid w:val="00872E4A"/>
    <w:rsid w:val="0087564C"/>
    <w:rsid w:val="00877B79"/>
    <w:rsid w:val="008806D8"/>
    <w:rsid w:val="00880ADB"/>
    <w:rsid w:val="008820A7"/>
    <w:rsid w:val="00883627"/>
    <w:rsid w:val="008847CC"/>
    <w:rsid w:val="00891BE8"/>
    <w:rsid w:val="00893AB5"/>
    <w:rsid w:val="00896371"/>
    <w:rsid w:val="00897955"/>
    <w:rsid w:val="008A2444"/>
    <w:rsid w:val="008A2A80"/>
    <w:rsid w:val="008A3474"/>
    <w:rsid w:val="008A4CE8"/>
    <w:rsid w:val="008A5408"/>
    <w:rsid w:val="008A7EDB"/>
    <w:rsid w:val="008B17FC"/>
    <w:rsid w:val="008B538F"/>
    <w:rsid w:val="008C0793"/>
    <w:rsid w:val="008C0A7F"/>
    <w:rsid w:val="008C1101"/>
    <w:rsid w:val="008C20EB"/>
    <w:rsid w:val="008C43B8"/>
    <w:rsid w:val="008C4B01"/>
    <w:rsid w:val="008C659C"/>
    <w:rsid w:val="008C7F9F"/>
    <w:rsid w:val="008D08BE"/>
    <w:rsid w:val="008D28B1"/>
    <w:rsid w:val="008D5FD5"/>
    <w:rsid w:val="008E13EA"/>
    <w:rsid w:val="008E781D"/>
    <w:rsid w:val="008F1ACC"/>
    <w:rsid w:val="008F373B"/>
    <w:rsid w:val="008F5AA4"/>
    <w:rsid w:val="0090339D"/>
    <w:rsid w:val="00903887"/>
    <w:rsid w:val="009049A7"/>
    <w:rsid w:val="0090565E"/>
    <w:rsid w:val="009060F0"/>
    <w:rsid w:val="00906245"/>
    <w:rsid w:val="00906C74"/>
    <w:rsid w:val="00907CB0"/>
    <w:rsid w:val="0091199A"/>
    <w:rsid w:val="00915130"/>
    <w:rsid w:val="0091526C"/>
    <w:rsid w:val="00920512"/>
    <w:rsid w:val="00920FBF"/>
    <w:rsid w:val="0092354D"/>
    <w:rsid w:val="009235B5"/>
    <w:rsid w:val="00931A0D"/>
    <w:rsid w:val="009344DB"/>
    <w:rsid w:val="0093510F"/>
    <w:rsid w:val="00936238"/>
    <w:rsid w:val="009365F7"/>
    <w:rsid w:val="00937588"/>
    <w:rsid w:val="00940FE5"/>
    <w:rsid w:val="0094266D"/>
    <w:rsid w:val="00945E5E"/>
    <w:rsid w:val="00946120"/>
    <w:rsid w:val="00946E7F"/>
    <w:rsid w:val="00951C06"/>
    <w:rsid w:val="0095232A"/>
    <w:rsid w:val="00953C28"/>
    <w:rsid w:val="0095562B"/>
    <w:rsid w:val="00955C7D"/>
    <w:rsid w:val="00955F84"/>
    <w:rsid w:val="0095629F"/>
    <w:rsid w:val="009570F3"/>
    <w:rsid w:val="009605BC"/>
    <w:rsid w:val="00960F92"/>
    <w:rsid w:val="009626E5"/>
    <w:rsid w:val="00963110"/>
    <w:rsid w:val="00964818"/>
    <w:rsid w:val="00972087"/>
    <w:rsid w:val="0097260B"/>
    <w:rsid w:val="0097280B"/>
    <w:rsid w:val="00974815"/>
    <w:rsid w:val="009774FA"/>
    <w:rsid w:val="00981573"/>
    <w:rsid w:val="00981BDF"/>
    <w:rsid w:val="00984A34"/>
    <w:rsid w:val="00985DD5"/>
    <w:rsid w:val="009862D1"/>
    <w:rsid w:val="00986C3E"/>
    <w:rsid w:val="009918D7"/>
    <w:rsid w:val="009946CB"/>
    <w:rsid w:val="0099479B"/>
    <w:rsid w:val="00997F9E"/>
    <w:rsid w:val="009A5EA8"/>
    <w:rsid w:val="009A6AE4"/>
    <w:rsid w:val="009A6C6A"/>
    <w:rsid w:val="009A79BE"/>
    <w:rsid w:val="009B2734"/>
    <w:rsid w:val="009B32A7"/>
    <w:rsid w:val="009C0D81"/>
    <w:rsid w:val="009C1116"/>
    <w:rsid w:val="009C1EF5"/>
    <w:rsid w:val="009C2319"/>
    <w:rsid w:val="009C41C8"/>
    <w:rsid w:val="009C57C2"/>
    <w:rsid w:val="009C6352"/>
    <w:rsid w:val="009C7E17"/>
    <w:rsid w:val="009D059C"/>
    <w:rsid w:val="009D0790"/>
    <w:rsid w:val="009D1390"/>
    <w:rsid w:val="009D1488"/>
    <w:rsid w:val="009D37C2"/>
    <w:rsid w:val="009D3E4A"/>
    <w:rsid w:val="009E0107"/>
    <w:rsid w:val="009E22ED"/>
    <w:rsid w:val="009E5545"/>
    <w:rsid w:val="009F16DC"/>
    <w:rsid w:val="009F2CAF"/>
    <w:rsid w:val="00A004EC"/>
    <w:rsid w:val="00A02B07"/>
    <w:rsid w:val="00A06A66"/>
    <w:rsid w:val="00A1496B"/>
    <w:rsid w:val="00A14A54"/>
    <w:rsid w:val="00A14CD9"/>
    <w:rsid w:val="00A14EFB"/>
    <w:rsid w:val="00A1658C"/>
    <w:rsid w:val="00A23974"/>
    <w:rsid w:val="00A24E80"/>
    <w:rsid w:val="00A24F4A"/>
    <w:rsid w:val="00A256A4"/>
    <w:rsid w:val="00A2599E"/>
    <w:rsid w:val="00A266AA"/>
    <w:rsid w:val="00A26DA3"/>
    <w:rsid w:val="00A2747E"/>
    <w:rsid w:val="00A30097"/>
    <w:rsid w:val="00A30C89"/>
    <w:rsid w:val="00A32E85"/>
    <w:rsid w:val="00A34B48"/>
    <w:rsid w:val="00A34C4D"/>
    <w:rsid w:val="00A3513E"/>
    <w:rsid w:val="00A3716C"/>
    <w:rsid w:val="00A379C0"/>
    <w:rsid w:val="00A40BA2"/>
    <w:rsid w:val="00A41626"/>
    <w:rsid w:val="00A42DFF"/>
    <w:rsid w:val="00A42F49"/>
    <w:rsid w:val="00A44201"/>
    <w:rsid w:val="00A537E0"/>
    <w:rsid w:val="00A5764A"/>
    <w:rsid w:val="00A57848"/>
    <w:rsid w:val="00A62D27"/>
    <w:rsid w:val="00A63954"/>
    <w:rsid w:val="00A63DDA"/>
    <w:rsid w:val="00A7411D"/>
    <w:rsid w:val="00A74A2E"/>
    <w:rsid w:val="00A74F2E"/>
    <w:rsid w:val="00A75F04"/>
    <w:rsid w:val="00A85F84"/>
    <w:rsid w:val="00A874C4"/>
    <w:rsid w:val="00A90BDB"/>
    <w:rsid w:val="00A94143"/>
    <w:rsid w:val="00A9572D"/>
    <w:rsid w:val="00A9799E"/>
    <w:rsid w:val="00AA0561"/>
    <w:rsid w:val="00AA246D"/>
    <w:rsid w:val="00AA4111"/>
    <w:rsid w:val="00AA4528"/>
    <w:rsid w:val="00AA4694"/>
    <w:rsid w:val="00AA5363"/>
    <w:rsid w:val="00AA5D97"/>
    <w:rsid w:val="00AA66C7"/>
    <w:rsid w:val="00AB057E"/>
    <w:rsid w:val="00AB525B"/>
    <w:rsid w:val="00AB5E66"/>
    <w:rsid w:val="00AC4E31"/>
    <w:rsid w:val="00AC6121"/>
    <w:rsid w:val="00AC6323"/>
    <w:rsid w:val="00AC6388"/>
    <w:rsid w:val="00AD27DF"/>
    <w:rsid w:val="00AD60DB"/>
    <w:rsid w:val="00AD723C"/>
    <w:rsid w:val="00AE0C8C"/>
    <w:rsid w:val="00AE2394"/>
    <w:rsid w:val="00AE39C1"/>
    <w:rsid w:val="00AE766E"/>
    <w:rsid w:val="00AF1796"/>
    <w:rsid w:val="00AF3BB4"/>
    <w:rsid w:val="00B00DCC"/>
    <w:rsid w:val="00B01B1D"/>
    <w:rsid w:val="00B0335B"/>
    <w:rsid w:val="00B12EE4"/>
    <w:rsid w:val="00B13571"/>
    <w:rsid w:val="00B14EF4"/>
    <w:rsid w:val="00B23A2E"/>
    <w:rsid w:val="00B249AF"/>
    <w:rsid w:val="00B25045"/>
    <w:rsid w:val="00B26F47"/>
    <w:rsid w:val="00B2793B"/>
    <w:rsid w:val="00B34034"/>
    <w:rsid w:val="00B34577"/>
    <w:rsid w:val="00B36704"/>
    <w:rsid w:val="00B36F82"/>
    <w:rsid w:val="00B40736"/>
    <w:rsid w:val="00B409AA"/>
    <w:rsid w:val="00B41BAB"/>
    <w:rsid w:val="00B45BFD"/>
    <w:rsid w:val="00B5086D"/>
    <w:rsid w:val="00B52FB2"/>
    <w:rsid w:val="00B52FE8"/>
    <w:rsid w:val="00B55137"/>
    <w:rsid w:val="00B62162"/>
    <w:rsid w:val="00B64BEE"/>
    <w:rsid w:val="00B669DF"/>
    <w:rsid w:val="00B70BBC"/>
    <w:rsid w:val="00B719B7"/>
    <w:rsid w:val="00B74426"/>
    <w:rsid w:val="00B804EF"/>
    <w:rsid w:val="00B8164E"/>
    <w:rsid w:val="00B81DDA"/>
    <w:rsid w:val="00B84C4F"/>
    <w:rsid w:val="00B85491"/>
    <w:rsid w:val="00B86869"/>
    <w:rsid w:val="00B8752A"/>
    <w:rsid w:val="00B93DFE"/>
    <w:rsid w:val="00B95F27"/>
    <w:rsid w:val="00BA05DA"/>
    <w:rsid w:val="00BA0B0F"/>
    <w:rsid w:val="00BA160F"/>
    <w:rsid w:val="00BA2D2B"/>
    <w:rsid w:val="00BA4E01"/>
    <w:rsid w:val="00BA4F53"/>
    <w:rsid w:val="00BA6BF3"/>
    <w:rsid w:val="00BA7195"/>
    <w:rsid w:val="00BB3278"/>
    <w:rsid w:val="00BB4C3F"/>
    <w:rsid w:val="00BB55FC"/>
    <w:rsid w:val="00BC0236"/>
    <w:rsid w:val="00BC1337"/>
    <w:rsid w:val="00BC1921"/>
    <w:rsid w:val="00BC352F"/>
    <w:rsid w:val="00BC4ADF"/>
    <w:rsid w:val="00BC5A10"/>
    <w:rsid w:val="00BC6527"/>
    <w:rsid w:val="00BC67BC"/>
    <w:rsid w:val="00BD36F0"/>
    <w:rsid w:val="00BD4589"/>
    <w:rsid w:val="00BD491D"/>
    <w:rsid w:val="00BD4EE5"/>
    <w:rsid w:val="00BE0609"/>
    <w:rsid w:val="00BE2076"/>
    <w:rsid w:val="00BE368D"/>
    <w:rsid w:val="00BE3FA6"/>
    <w:rsid w:val="00BE5853"/>
    <w:rsid w:val="00BE59DB"/>
    <w:rsid w:val="00BE5AF9"/>
    <w:rsid w:val="00BF2757"/>
    <w:rsid w:val="00BF70D7"/>
    <w:rsid w:val="00C012EC"/>
    <w:rsid w:val="00C0399F"/>
    <w:rsid w:val="00C07100"/>
    <w:rsid w:val="00C07F94"/>
    <w:rsid w:val="00C13B4A"/>
    <w:rsid w:val="00C14DF2"/>
    <w:rsid w:val="00C16916"/>
    <w:rsid w:val="00C20C36"/>
    <w:rsid w:val="00C26351"/>
    <w:rsid w:val="00C26617"/>
    <w:rsid w:val="00C26C0C"/>
    <w:rsid w:val="00C30B5D"/>
    <w:rsid w:val="00C34BC5"/>
    <w:rsid w:val="00C36B44"/>
    <w:rsid w:val="00C371F9"/>
    <w:rsid w:val="00C37CB7"/>
    <w:rsid w:val="00C41BBB"/>
    <w:rsid w:val="00C45328"/>
    <w:rsid w:val="00C53DA6"/>
    <w:rsid w:val="00C569B4"/>
    <w:rsid w:val="00C6031F"/>
    <w:rsid w:val="00C603EA"/>
    <w:rsid w:val="00C618F9"/>
    <w:rsid w:val="00C63763"/>
    <w:rsid w:val="00C70C65"/>
    <w:rsid w:val="00C71A47"/>
    <w:rsid w:val="00C740FF"/>
    <w:rsid w:val="00C77C6D"/>
    <w:rsid w:val="00C80DCF"/>
    <w:rsid w:val="00C81051"/>
    <w:rsid w:val="00C83776"/>
    <w:rsid w:val="00C86465"/>
    <w:rsid w:val="00C86A05"/>
    <w:rsid w:val="00C8767F"/>
    <w:rsid w:val="00C911C1"/>
    <w:rsid w:val="00C92ABC"/>
    <w:rsid w:val="00C930AD"/>
    <w:rsid w:val="00C93384"/>
    <w:rsid w:val="00C9356D"/>
    <w:rsid w:val="00C95442"/>
    <w:rsid w:val="00C96F2F"/>
    <w:rsid w:val="00C9786D"/>
    <w:rsid w:val="00CA001D"/>
    <w:rsid w:val="00CA030D"/>
    <w:rsid w:val="00CA182C"/>
    <w:rsid w:val="00CA18B4"/>
    <w:rsid w:val="00CA2989"/>
    <w:rsid w:val="00CA595B"/>
    <w:rsid w:val="00CA626E"/>
    <w:rsid w:val="00CA72D8"/>
    <w:rsid w:val="00CB04C1"/>
    <w:rsid w:val="00CB1E5D"/>
    <w:rsid w:val="00CB2127"/>
    <w:rsid w:val="00CB224A"/>
    <w:rsid w:val="00CB299A"/>
    <w:rsid w:val="00CB2CE1"/>
    <w:rsid w:val="00CB52BA"/>
    <w:rsid w:val="00CB6AA7"/>
    <w:rsid w:val="00CC086B"/>
    <w:rsid w:val="00CC08D1"/>
    <w:rsid w:val="00CC1A8A"/>
    <w:rsid w:val="00CC2FA6"/>
    <w:rsid w:val="00CC4223"/>
    <w:rsid w:val="00CC67EF"/>
    <w:rsid w:val="00CC755F"/>
    <w:rsid w:val="00CC7E7B"/>
    <w:rsid w:val="00CD084A"/>
    <w:rsid w:val="00CD1766"/>
    <w:rsid w:val="00CD1A9D"/>
    <w:rsid w:val="00CD3F18"/>
    <w:rsid w:val="00CD67DB"/>
    <w:rsid w:val="00CE062E"/>
    <w:rsid w:val="00CE2A97"/>
    <w:rsid w:val="00CE367E"/>
    <w:rsid w:val="00CE5DD3"/>
    <w:rsid w:val="00CE61A3"/>
    <w:rsid w:val="00CE768C"/>
    <w:rsid w:val="00CF0660"/>
    <w:rsid w:val="00D01FC3"/>
    <w:rsid w:val="00D02BBD"/>
    <w:rsid w:val="00D0383D"/>
    <w:rsid w:val="00D11517"/>
    <w:rsid w:val="00D1265F"/>
    <w:rsid w:val="00D12A6B"/>
    <w:rsid w:val="00D1586B"/>
    <w:rsid w:val="00D15C00"/>
    <w:rsid w:val="00D210A7"/>
    <w:rsid w:val="00D25144"/>
    <w:rsid w:val="00D27515"/>
    <w:rsid w:val="00D319EE"/>
    <w:rsid w:val="00D32CC8"/>
    <w:rsid w:val="00D33706"/>
    <w:rsid w:val="00D3485C"/>
    <w:rsid w:val="00D35773"/>
    <w:rsid w:val="00D36274"/>
    <w:rsid w:val="00D4005D"/>
    <w:rsid w:val="00D40460"/>
    <w:rsid w:val="00D41755"/>
    <w:rsid w:val="00D440AA"/>
    <w:rsid w:val="00D44AD0"/>
    <w:rsid w:val="00D452E0"/>
    <w:rsid w:val="00D46334"/>
    <w:rsid w:val="00D46E1F"/>
    <w:rsid w:val="00D47FE2"/>
    <w:rsid w:val="00D500C9"/>
    <w:rsid w:val="00D51F45"/>
    <w:rsid w:val="00D5333B"/>
    <w:rsid w:val="00D5588E"/>
    <w:rsid w:val="00D575CC"/>
    <w:rsid w:val="00D602BC"/>
    <w:rsid w:val="00D6257B"/>
    <w:rsid w:val="00D70526"/>
    <w:rsid w:val="00D70B6D"/>
    <w:rsid w:val="00D74C6F"/>
    <w:rsid w:val="00D7512E"/>
    <w:rsid w:val="00D7647A"/>
    <w:rsid w:val="00D7715A"/>
    <w:rsid w:val="00D82CDF"/>
    <w:rsid w:val="00D82F8A"/>
    <w:rsid w:val="00D83578"/>
    <w:rsid w:val="00D83627"/>
    <w:rsid w:val="00D83940"/>
    <w:rsid w:val="00D85EF2"/>
    <w:rsid w:val="00D865B0"/>
    <w:rsid w:val="00D877C3"/>
    <w:rsid w:val="00D9096C"/>
    <w:rsid w:val="00D935F2"/>
    <w:rsid w:val="00D97FCB"/>
    <w:rsid w:val="00DA1954"/>
    <w:rsid w:val="00DA70F2"/>
    <w:rsid w:val="00DA725A"/>
    <w:rsid w:val="00DB56C9"/>
    <w:rsid w:val="00DC1672"/>
    <w:rsid w:val="00DC2018"/>
    <w:rsid w:val="00DC266F"/>
    <w:rsid w:val="00DC36B9"/>
    <w:rsid w:val="00DC45A3"/>
    <w:rsid w:val="00DC45A4"/>
    <w:rsid w:val="00DC6201"/>
    <w:rsid w:val="00DD16BC"/>
    <w:rsid w:val="00DD203F"/>
    <w:rsid w:val="00DD3822"/>
    <w:rsid w:val="00DE2B14"/>
    <w:rsid w:val="00DE5CD0"/>
    <w:rsid w:val="00DE6A5B"/>
    <w:rsid w:val="00DE711B"/>
    <w:rsid w:val="00DF13A3"/>
    <w:rsid w:val="00DF1EB9"/>
    <w:rsid w:val="00DF2DF9"/>
    <w:rsid w:val="00DF4F94"/>
    <w:rsid w:val="00DF721B"/>
    <w:rsid w:val="00E00311"/>
    <w:rsid w:val="00E00AD9"/>
    <w:rsid w:val="00E024F6"/>
    <w:rsid w:val="00E02CC7"/>
    <w:rsid w:val="00E039FF"/>
    <w:rsid w:val="00E0592C"/>
    <w:rsid w:val="00E05B93"/>
    <w:rsid w:val="00E073D4"/>
    <w:rsid w:val="00E13B71"/>
    <w:rsid w:val="00E142FB"/>
    <w:rsid w:val="00E16ADD"/>
    <w:rsid w:val="00E17330"/>
    <w:rsid w:val="00E177C9"/>
    <w:rsid w:val="00E1793A"/>
    <w:rsid w:val="00E2001B"/>
    <w:rsid w:val="00E20027"/>
    <w:rsid w:val="00E213EA"/>
    <w:rsid w:val="00E22678"/>
    <w:rsid w:val="00E2425F"/>
    <w:rsid w:val="00E264C6"/>
    <w:rsid w:val="00E275B3"/>
    <w:rsid w:val="00E31769"/>
    <w:rsid w:val="00E31BB9"/>
    <w:rsid w:val="00E31C65"/>
    <w:rsid w:val="00E370E1"/>
    <w:rsid w:val="00E37A79"/>
    <w:rsid w:val="00E43878"/>
    <w:rsid w:val="00E44110"/>
    <w:rsid w:val="00E44260"/>
    <w:rsid w:val="00E50AF1"/>
    <w:rsid w:val="00E54BA2"/>
    <w:rsid w:val="00E54C79"/>
    <w:rsid w:val="00E54DB4"/>
    <w:rsid w:val="00E5630D"/>
    <w:rsid w:val="00E7024C"/>
    <w:rsid w:val="00E70CFB"/>
    <w:rsid w:val="00E711AB"/>
    <w:rsid w:val="00E73BC7"/>
    <w:rsid w:val="00E75C3F"/>
    <w:rsid w:val="00E83C63"/>
    <w:rsid w:val="00E86D12"/>
    <w:rsid w:val="00E922CB"/>
    <w:rsid w:val="00E930CD"/>
    <w:rsid w:val="00E936B7"/>
    <w:rsid w:val="00E9677B"/>
    <w:rsid w:val="00E96C21"/>
    <w:rsid w:val="00E97758"/>
    <w:rsid w:val="00EA2B45"/>
    <w:rsid w:val="00EA4EDF"/>
    <w:rsid w:val="00EA50D0"/>
    <w:rsid w:val="00EA583C"/>
    <w:rsid w:val="00EA666C"/>
    <w:rsid w:val="00EA7198"/>
    <w:rsid w:val="00EA7F7F"/>
    <w:rsid w:val="00EB169C"/>
    <w:rsid w:val="00EB2D7F"/>
    <w:rsid w:val="00EB48B3"/>
    <w:rsid w:val="00EB6158"/>
    <w:rsid w:val="00EB71D2"/>
    <w:rsid w:val="00EC230C"/>
    <w:rsid w:val="00EC53A1"/>
    <w:rsid w:val="00ED07BA"/>
    <w:rsid w:val="00ED1F19"/>
    <w:rsid w:val="00ED7BEA"/>
    <w:rsid w:val="00EE1E01"/>
    <w:rsid w:val="00EE3FF7"/>
    <w:rsid w:val="00EE4CA9"/>
    <w:rsid w:val="00EE6F94"/>
    <w:rsid w:val="00EE7640"/>
    <w:rsid w:val="00EF00D9"/>
    <w:rsid w:val="00EF3E90"/>
    <w:rsid w:val="00EF5D56"/>
    <w:rsid w:val="00EF6F80"/>
    <w:rsid w:val="00F012EA"/>
    <w:rsid w:val="00F01ACF"/>
    <w:rsid w:val="00F026D5"/>
    <w:rsid w:val="00F02C07"/>
    <w:rsid w:val="00F02D1A"/>
    <w:rsid w:val="00F036EF"/>
    <w:rsid w:val="00F041CA"/>
    <w:rsid w:val="00F05199"/>
    <w:rsid w:val="00F10355"/>
    <w:rsid w:val="00F10822"/>
    <w:rsid w:val="00F11669"/>
    <w:rsid w:val="00F1305F"/>
    <w:rsid w:val="00F17B12"/>
    <w:rsid w:val="00F21ECF"/>
    <w:rsid w:val="00F21F10"/>
    <w:rsid w:val="00F26131"/>
    <w:rsid w:val="00F264DD"/>
    <w:rsid w:val="00F33A6A"/>
    <w:rsid w:val="00F3538C"/>
    <w:rsid w:val="00F36868"/>
    <w:rsid w:val="00F37370"/>
    <w:rsid w:val="00F4059C"/>
    <w:rsid w:val="00F41889"/>
    <w:rsid w:val="00F41E30"/>
    <w:rsid w:val="00F46D46"/>
    <w:rsid w:val="00F504B6"/>
    <w:rsid w:val="00F5454E"/>
    <w:rsid w:val="00F55F0C"/>
    <w:rsid w:val="00F574CE"/>
    <w:rsid w:val="00F60530"/>
    <w:rsid w:val="00F61FA4"/>
    <w:rsid w:val="00F62908"/>
    <w:rsid w:val="00F62BC1"/>
    <w:rsid w:val="00F64AA0"/>
    <w:rsid w:val="00F6535F"/>
    <w:rsid w:val="00F703DE"/>
    <w:rsid w:val="00F73064"/>
    <w:rsid w:val="00F73924"/>
    <w:rsid w:val="00F73E35"/>
    <w:rsid w:val="00F74714"/>
    <w:rsid w:val="00F8025D"/>
    <w:rsid w:val="00F805AB"/>
    <w:rsid w:val="00F80BB2"/>
    <w:rsid w:val="00F81046"/>
    <w:rsid w:val="00F819DE"/>
    <w:rsid w:val="00F81AE6"/>
    <w:rsid w:val="00F866FA"/>
    <w:rsid w:val="00F8675B"/>
    <w:rsid w:val="00F87048"/>
    <w:rsid w:val="00F87A86"/>
    <w:rsid w:val="00F90417"/>
    <w:rsid w:val="00F913A3"/>
    <w:rsid w:val="00F91DCD"/>
    <w:rsid w:val="00F93418"/>
    <w:rsid w:val="00F9567F"/>
    <w:rsid w:val="00F95DBB"/>
    <w:rsid w:val="00FA0D2B"/>
    <w:rsid w:val="00FA12FD"/>
    <w:rsid w:val="00FA47F0"/>
    <w:rsid w:val="00FA5281"/>
    <w:rsid w:val="00FA66A8"/>
    <w:rsid w:val="00FA67C0"/>
    <w:rsid w:val="00FB1737"/>
    <w:rsid w:val="00FB244A"/>
    <w:rsid w:val="00FB259A"/>
    <w:rsid w:val="00FB3B0A"/>
    <w:rsid w:val="00FB3FED"/>
    <w:rsid w:val="00FB40A8"/>
    <w:rsid w:val="00FB57C1"/>
    <w:rsid w:val="00FB582C"/>
    <w:rsid w:val="00FB59AE"/>
    <w:rsid w:val="00FC1641"/>
    <w:rsid w:val="00FC1E59"/>
    <w:rsid w:val="00FC34BA"/>
    <w:rsid w:val="00FD35B8"/>
    <w:rsid w:val="00FE164A"/>
    <w:rsid w:val="00FE2FCB"/>
    <w:rsid w:val="00FE3AA3"/>
    <w:rsid w:val="00FE3DBD"/>
    <w:rsid w:val="00FE5495"/>
    <w:rsid w:val="00FE5EDE"/>
    <w:rsid w:val="00FF14DF"/>
    <w:rsid w:val="00FF1C16"/>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BF2D2D"/>
  <w15:docId w15:val="{09737CB8-43DF-4752-8901-7CD6354F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F73064"/>
    <w:pPr>
      <w:spacing w:before="48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46"/>
      </w:numPr>
      <w:tabs>
        <w:tab w:val="left" w:pos="426"/>
      </w:tabs>
      <w:adjustRightInd w:val="0"/>
      <w:spacing w:before="360" w:after="24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E22678"/>
    <w:pPr>
      <w:keepNext/>
      <w:widowControl w:val="0"/>
      <w:tabs>
        <w:tab w:val="left" w:pos="0"/>
      </w:tabs>
      <w:adjustRightInd w:val="0"/>
      <w:spacing w:before="120" w:after="240"/>
      <w:jc w:val="both"/>
      <w:textAlignment w:val="baseline"/>
      <w:outlineLvl w:val="2"/>
    </w:pPr>
    <w:rPr>
      <w:rFonts w:eastAsia="Times New Roman" w:cstheme="minorHAnsi"/>
      <w:b/>
      <w:color w:val="auto"/>
      <w:lang w:val="en-US" w:eastAsia="en-AU"/>
    </w:rPr>
  </w:style>
  <w:style w:type="paragraph" w:styleId="Heading4">
    <w:name w:val="heading 4"/>
    <w:basedOn w:val="HeadingBaseStyle"/>
    <w:next w:val="Normal"/>
    <w:link w:val="Heading4Char"/>
    <w:autoRedefine/>
    <w:qFormat/>
    <w:rsid w:val="008C0793"/>
    <w:pPr>
      <w:numPr>
        <w:ilvl w:val="2"/>
        <w:numId w:val="46"/>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F73064"/>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E22678"/>
    <w:rPr>
      <w:rFonts w:ascii="Calibri" w:eastAsia="Times New Roman" w:hAnsi="Calibri" w:cstheme="minorHAnsi"/>
      <w:b/>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F73064"/>
    <w:pPr>
      <w:keepNext/>
      <w:numPr>
        <w:numId w:val="43"/>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43"/>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uiPriority w:val="99"/>
    <w:rsid w:val="00F73064"/>
    <w:rPr>
      <w:vertAlign w:val="superscript"/>
    </w:rPr>
  </w:style>
  <w:style w:type="paragraph" w:styleId="FootnoteText">
    <w:name w:val="footnote text"/>
    <w:basedOn w:val="Normal"/>
    <w:link w:val="FootnoteTextChar"/>
    <w:uiPriority w:val="99"/>
    <w:rsid w:val="00A57848"/>
    <w:pPr>
      <w:tabs>
        <w:tab w:val="left" w:pos="567"/>
      </w:tabs>
      <w:spacing w:after="0"/>
      <w:ind w:left="567" w:hanging="567"/>
    </w:pPr>
  </w:style>
  <w:style w:type="character" w:customStyle="1" w:styleId="FootnoteTextChar">
    <w:name w:val="Footnote Text Char"/>
    <w:basedOn w:val="DefaultParagraphFont"/>
    <w:link w:val="FootnoteText"/>
    <w:uiPriority w:val="99"/>
    <w:rsid w:val="00A57848"/>
    <w:rPr>
      <w:rFonts w:ascii="Calibri" w:hAnsi="Calibri"/>
      <w:color w:val="000000" w:themeColor="text1"/>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uiPriority w:val="99"/>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uiPriority w:val="99"/>
    <w:rsid w:val="00F73064"/>
    <w:rPr>
      <w:sz w:val="16"/>
      <w:szCs w:val="16"/>
    </w:rPr>
  </w:style>
  <w:style w:type="paragraph" w:styleId="CommentText">
    <w:name w:val="annotation text"/>
    <w:basedOn w:val="Normal"/>
    <w:link w:val="CommentTextChar"/>
    <w:uiPriority w:val="99"/>
    <w:rsid w:val="00F73064"/>
    <w:rPr>
      <w:sz w:val="20"/>
    </w:rPr>
  </w:style>
  <w:style w:type="character" w:customStyle="1" w:styleId="CommentTextChar">
    <w:name w:val="Comment Text Char"/>
    <w:basedOn w:val="DefaultParagraphFont"/>
    <w:link w:val="CommentText"/>
    <w:uiPriority w:val="99"/>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77408A"/>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77408A"/>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styleId="Revision">
    <w:name w:val="Revision"/>
    <w:hidden/>
    <w:uiPriority w:val="99"/>
    <w:semiHidden/>
    <w:rsid w:val="001D2588"/>
    <w:pPr>
      <w:spacing w:after="0" w:line="240" w:lineRule="auto"/>
    </w:pPr>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54372">
      <w:bodyDiv w:val="1"/>
      <w:marLeft w:val="0"/>
      <w:marRight w:val="0"/>
      <w:marTop w:val="0"/>
      <w:marBottom w:val="0"/>
      <w:divBdr>
        <w:top w:val="none" w:sz="0" w:space="0" w:color="auto"/>
        <w:left w:val="none" w:sz="0" w:space="0" w:color="auto"/>
        <w:bottom w:val="none" w:sz="0" w:space="0" w:color="auto"/>
        <w:right w:val="none" w:sz="0" w:space="0" w:color="auto"/>
      </w:divBdr>
    </w:div>
    <w:div w:id="810901391">
      <w:bodyDiv w:val="1"/>
      <w:marLeft w:val="0"/>
      <w:marRight w:val="0"/>
      <w:marTop w:val="0"/>
      <w:marBottom w:val="0"/>
      <w:divBdr>
        <w:top w:val="none" w:sz="0" w:space="0" w:color="auto"/>
        <w:left w:val="none" w:sz="0" w:space="0" w:color="auto"/>
        <w:bottom w:val="none" w:sz="0" w:space="0" w:color="auto"/>
        <w:right w:val="none" w:sz="0" w:space="0" w:color="auto"/>
      </w:divBdr>
    </w:div>
    <w:div w:id="1101028834">
      <w:bodyDiv w:val="1"/>
      <w:marLeft w:val="0"/>
      <w:marRight w:val="0"/>
      <w:marTop w:val="0"/>
      <w:marBottom w:val="0"/>
      <w:divBdr>
        <w:top w:val="none" w:sz="0" w:space="0" w:color="auto"/>
        <w:left w:val="none" w:sz="0" w:space="0" w:color="auto"/>
        <w:bottom w:val="none" w:sz="0" w:space="0" w:color="auto"/>
        <w:right w:val="none" w:sz="0" w:space="0" w:color="auto"/>
      </w:divBdr>
    </w:div>
    <w:div w:id="1540705069">
      <w:bodyDiv w:val="1"/>
      <w:marLeft w:val="0"/>
      <w:marRight w:val="0"/>
      <w:marTop w:val="0"/>
      <w:marBottom w:val="0"/>
      <w:divBdr>
        <w:top w:val="none" w:sz="0" w:space="0" w:color="auto"/>
        <w:left w:val="none" w:sz="0" w:space="0" w:color="auto"/>
        <w:bottom w:val="none" w:sz="0" w:space="0" w:color="auto"/>
        <w:right w:val="none" w:sz="0" w:space="0" w:color="auto"/>
      </w:divBdr>
    </w:div>
    <w:div w:id="1706052329">
      <w:bodyDiv w:val="1"/>
      <w:marLeft w:val="0"/>
      <w:marRight w:val="0"/>
      <w:marTop w:val="0"/>
      <w:marBottom w:val="0"/>
      <w:divBdr>
        <w:top w:val="none" w:sz="0" w:space="0" w:color="auto"/>
        <w:left w:val="none" w:sz="0" w:space="0" w:color="auto"/>
        <w:bottom w:val="none" w:sz="0" w:space="0" w:color="auto"/>
        <w:right w:val="none" w:sz="0" w:space="0" w:color="auto"/>
      </w:divBdr>
    </w:div>
    <w:div w:id="1960525049">
      <w:bodyDiv w:val="1"/>
      <w:marLeft w:val="0"/>
      <w:marRight w:val="0"/>
      <w:marTop w:val="0"/>
      <w:marBottom w:val="0"/>
      <w:divBdr>
        <w:top w:val="none" w:sz="0" w:space="0" w:color="auto"/>
        <w:left w:val="none" w:sz="0" w:space="0" w:color="auto"/>
        <w:bottom w:val="none" w:sz="0" w:space="0" w:color="auto"/>
        <w:right w:val="none" w:sz="0" w:space="0" w:color="auto"/>
      </w:divBdr>
    </w:div>
    <w:div w:id="20630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creativecommons.org/licenses/by/3.0/au/legalcode" TargetMode="External"/><Relationship Id="rId26" Type="http://schemas.openxmlformats.org/officeDocument/2006/relationships/chart" Target="charts/chart3.xml"/><Relationship Id="rId39"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hyperlink" Target="http://www.pmc.gov.au/government/commonwealth-coat-arms" TargetMode="External"/><Relationship Id="rId34" Type="http://schemas.openxmlformats.org/officeDocument/2006/relationships/hyperlink" Target="http://marcfbellemare.com/wordpress/wp-content/uploads/2018/06/BellemareWichmanIHSJune2018.pdf" TargetMode="External"/><Relationship Id="rId42" Type="http://schemas.openxmlformats.org/officeDocument/2006/relationships/chart" Target="charts/chart1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deed.en" TargetMode="External"/><Relationship Id="rId25"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creativecommons.org/licenses/by/3.0/au/deed.en" TargetMode="External"/><Relationship Id="rId29" Type="http://schemas.openxmlformats.org/officeDocument/2006/relationships/image" Target="media/image3.emf"/><Relationship Id="rId41"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hart" Target="charts/chart1.xml"/><Relationship Id="rId32" Type="http://schemas.openxmlformats.org/officeDocument/2006/relationships/chart" Target="charts/chart8.xml"/><Relationship Id="rId37" Type="http://schemas.openxmlformats.org/officeDocument/2006/relationships/image" Target="media/image6.emf"/><Relationship Id="rId40" Type="http://schemas.openxmlformats.org/officeDocument/2006/relationships/chart" Target="charts/chart10.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chart" Target="charts/chart5.xml"/><Relationship Id="rId36" Type="http://schemas.openxmlformats.org/officeDocument/2006/relationships/image" Target="media/image5.emf"/><Relationship Id="rId10" Type="http://schemas.openxmlformats.org/officeDocument/2006/relationships/webSettings" Target="webSettings.xml"/><Relationship Id="rId19" Type="http://schemas.openxmlformats.org/officeDocument/2006/relationships/image" Target="media/image2.wmf"/><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medialiaison@treasury.gov.au" TargetMode="External"/><Relationship Id="rId27" Type="http://schemas.openxmlformats.org/officeDocument/2006/relationships/chart" Target="charts/chart4.xml"/><Relationship Id="rId30" Type="http://schemas.openxmlformats.org/officeDocument/2006/relationships/chart" Target="charts/chart6.xml"/><Relationship Id="rId35" Type="http://schemas.openxmlformats.org/officeDocument/2006/relationships/image" Target="media/image4.emf"/><Relationship Id="rId43" Type="http://schemas.openxmlformats.org/officeDocument/2006/relationships/image" Target="media/image9.emf"/></Relationships>
</file>

<file path=word/_rels/footnotes.xml.rels><?xml version="1.0" encoding="UTF-8" standalone="yes"?>
<Relationships xmlns="http://schemas.openxmlformats.org/package/2006/relationships"><Relationship Id="rId2" Type="http://schemas.openxmlformats.org/officeDocument/2006/relationships/hyperlink" Target="mailto:David.Hansell@treasury.gov.au" TargetMode="External"/><Relationship Id="rId1" Type="http://schemas.openxmlformats.org/officeDocument/2006/relationships/hyperlink" Target="mailto:Dan.Andrews@treasury.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tweb/sites/meg/mmpd/product/ppf/2019/Data/190403%20Real%20GNI%20Decomposition.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http://tweb/sites/cssg/ped/pu/pt/2019/Treasury%20Working%20Papers/2019-06%20Productivity-Enhancing%20Labour%20Reallocation%20in%20Australia/Copy%20of%20All_tables_in%20paper_final.xlsx" TargetMode="External"/><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1" Type="http://schemas.openxmlformats.org/officeDocument/2006/relationships/oleObject" Target="http://tweb/sites/cssg/ped/pu/pt/2019/Treasury%20Working%20Papers/2019-06%20Productivity-Enhancing%20Labour%20Reallocation%20in%20Australia/Copy%20of%20All_tables_in%20paper_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tweb/sites/cssg/ped/pu/pt/2019/Treasury%20Working%20Papers/2019-06%20Productivity-Enhancing%20Labour%20Reallocation%20in%20Australia/Copy%20of%20All_tables_in%20paper_final.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tweb/sites/cssg/ped/pu/pt/2019/Treasury%20Working%20Papers/2019-06%20Productivity-Enhancing%20Labour%20Reallocation%20in%20Australia/Copy%20of%20All_tables_in%20paper_fina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1" Type="http://schemas.openxmlformats.org/officeDocument/2006/relationships/oleObject" Target="http://tweb/sites/cssg/ped/pu/pt/2019/Treasury%20Working%20Papers/2019-06%20Productivity-Enhancing%20Labour%20Reallocation%20in%20Australia/Copy%20of%20All_tables_in%20paper_final.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http://tweb/sites/cssg/ped/pu/pt/2019/Treasury%20Working%20Papers/2019-06%20Productivity-Enhancing%20Labour%20Reallocation%20in%20Australia/Copy%20of%20All_tables_in%20paper_final.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1" Type="http://schemas.openxmlformats.org/officeDocument/2006/relationships/oleObject" Target="http://tweb/sites/cssg/ped/pu/pt/2019/Treasury%20Working%20Papers/2019-06%20Productivity-Enhancing%20Labour%20Reallocation%20in%20Australia/Copy%20of%20All_tables_in%20paper_final.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http://tweb/sites/cssg/ped/pu/pt/2019/Treasury%20Working%20Papers/2019-06%20Productivity-Enhancing%20Labour%20Reallocation%20in%20Australia/Copy%20of%20All_tables_in%20paper_final.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4.xml"/></Relationships>
</file>

<file path=word/charts/_rels/chart7.xml.rels><?xml version="1.0" encoding="UTF-8" standalone="yes"?>
<Relationships xmlns="http://schemas.openxmlformats.org/package/2006/relationships"><Relationship Id="rId3" Type="http://schemas.openxmlformats.org/officeDocument/2006/relationships/oleObject" Target="http://tweb/sites/cssg/ped/pu/pt/2019/Treasury%20Working%20Papers/2019-06%20Productivity-Enhancing%20Labour%20Reallocation%20in%20Australia/Copy%20of%20All_tables_in%20paper_final.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oleObject" Target="http://tweb/sites/cssg/ped/pu/pt/2019/Treasury%20Working%20Papers/2019-06%20Productivity-Enhancing%20Labour%20Reallocation%20in%20Australia/Copy%20of%20All_tables_in%20paper_final.xlsx"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http://tweb/sites/cssg/ped/pu/pt/2019/Treasury%20Working%20Papers/2019-06%20Productivity-Enhancing%20Labour%20Reallocation%20in%20Australia/180613%20-%20NAB%20hiring%20constraints%20-%20%20for%20MMP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940593299793093E-2"/>
          <c:y val="7.8746527777777783E-2"/>
          <c:w val="0.91228110682439656"/>
          <c:h val="0.65449409722222229"/>
        </c:manualLayout>
      </c:layout>
      <c:barChart>
        <c:barDir val="col"/>
        <c:grouping val="stacked"/>
        <c:varyColors val="0"/>
        <c:ser>
          <c:idx val="1"/>
          <c:order val="1"/>
          <c:tx>
            <c:strRef>
              <c:f>'Summary and Charts'!$A$26</c:f>
              <c:strCache>
                <c:ptCount val="1"/>
                <c:pt idx="0">
                  <c:v>Labour utilisation</c:v>
                </c:pt>
              </c:strCache>
            </c:strRef>
          </c:tx>
          <c:spPr>
            <a:solidFill>
              <a:schemeClr val="accent2"/>
            </a:solidFill>
          </c:spPr>
          <c:invertIfNegative val="0"/>
          <c:cat>
            <c:strRef>
              <c:f>'Summary and Charts'!$B$24:$H$24</c:f>
              <c:strCache>
                <c:ptCount val="7"/>
                <c:pt idx="0">
                  <c:v>1960s</c:v>
                </c:pt>
                <c:pt idx="1">
                  <c:v>1970s</c:v>
                </c:pt>
                <c:pt idx="2">
                  <c:v>1980s</c:v>
                </c:pt>
                <c:pt idx="3">
                  <c:v>1990s</c:v>
                </c:pt>
                <c:pt idx="4">
                  <c:v>2000s</c:v>
                </c:pt>
                <c:pt idx="5">
                  <c:v>2010-11 to
2018-19</c:v>
                </c:pt>
                <c:pt idx="6">
                  <c:v>2019-20 to
2029-30</c:v>
                </c:pt>
              </c:strCache>
            </c:strRef>
          </c:cat>
          <c:val>
            <c:numRef>
              <c:f>'Summary and Charts'!$B$26:$H$26</c:f>
              <c:numCache>
                <c:formatCode>0.0</c:formatCode>
                <c:ptCount val="7"/>
                <c:pt idx="0">
                  <c:v>0.51384705901118366</c:v>
                </c:pt>
                <c:pt idx="1">
                  <c:v>0.76180672051206955</c:v>
                </c:pt>
                <c:pt idx="2">
                  <c:v>0.64758356618108337</c:v>
                </c:pt>
                <c:pt idx="3">
                  <c:v>-4.7615502295315082E-2</c:v>
                </c:pt>
                <c:pt idx="4">
                  <c:v>0.16558652242935068</c:v>
                </c:pt>
                <c:pt idx="5">
                  <c:v>-0.1887739804633668</c:v>
                </c:pt>
                <c:pt idx="6">
                  <c:v>-0.29361649262405365</c:v>
                </c:pt>
              </c:numCache>
            </c:numRef>
          </c:val>
          <c:extLst>
            <c:ext xmlns:c16="http://schemas.microsoft.com/office/drawing/2014/chart" uri="{C3380CC4-5D6E-409C-BE32-E72D297353CC}">
              <c16:uniqueId val="{00000000-6CFB-4F83-900C-727078144EAF}"/>
            </c:ext>
          </c:extLst>
        </c:ser>
        <c:ser>
          <c:idx val="2"/>
          <c:order val="2"/>
          <c:tx>
            <c:strRef>
              <c:f>'Summary and Charts'!$A$27</c:f>
              <c:strCache>
                <c:ptCount val="1"/>
                <c:pt idx="0">
                  <c:v>Net foreign income</c:v>
                </c:pt>
              </c:strCache>
            </c:strRef>
          </c:tx>
          <c:spPr>
            <a:solidFill>
              <a:schemeClr val="accent3"/>
            </a:solidFill>
          </c:spPr>
          <c:invertIfNegative val="0"/>
          <c:cat>
            <c:strRef>
              <c:f>'Summary and Charts'!$B$24:$H$24</c:f>
              <c:strCache>
                <c:ptCount val="7"/>
                <c:pt idx="0">
                  <c:v>1960s</c:v>
                </c:pt>
                <c:pt idx="1">
                  <c:v>1970s</c:v>
                </c:pt>
                <c:pt idx="2">
                  <c:v>1980s</c:v>
                </c:pt>
                <c:pt idx="3">
                  <c:v>1990s</c:v>
                </c:pt>
                <c:pt idx="4">
                  <c:v>2000s</c:v>
                </c:pt>
                <c:pt idx="5">
                  <c:v>2010-11 to
2018-19</c:v>
                </c:pt>
                <c:pt idx="6">
                  <c:v>2019-20 to
2029-30</c:v>
                </c:pt>
              </c:strCache>
            </c:strRef>
          </c:cat>
          <c:val>
            <c:numRef>
              <c:f>'Summary and Charts'!$B$27:$H$27</c:f>
              <c:numCache>
                <c:formatCode>0.0</c:formatCode>
                <c:ptCount val="7"/>
                <c:pt idx="0">
                  <c:v>1.9884774947485084E-3</c:v>
                </c:pt>
                <c:pt idx="1">
                  <c:v>-1.9178539012926876E-2</c:v>
                </c:pt>
                <c:pt idx="2">
                  <c:v>-0.22981325723355894</c:v>
                </c:pt>
                <c:pt idx="3">
                  <c:v>0.11286562310242232</c:v>
                </c:pt>
                <c:pt idx="4">
                  <c:v>-0.10645986731714174</c:v>
                </c:pt>
                <c:pt idx="5">
                  <c:v>0.11428317124770615</c:v>
                </c:pt>
                <c:pt idx="6">
                  <c:v>4.2644618034515247E-2</c:v>
                </c:pt>
              </c:numCache>
            </c:numRef>
          </c:val>
          <c:extLst>
            <c:ext xmlns:c16="http://schemas.microsoft.com/office/drawing/2014/chart" uri="{C3380CC4-5D6E-409C-BE32-E72D297353CC}">
              <c16:uniqueId val="{00000001-6CFB-4F83-900C-727078144EAF}"/>
            </c:ext>
          </c:extLst>
        </c:ser>
        <c:ser>
          <c:idx val="3"/>
          <c:order val="3"/>
          <c:tx>
            <c:strRef>
              <c:f>'Summary and Charts'!$A$28</c:f>
              <c:strCache>
                <c:ptCount val="1"/>
                <c:pt idx="0">
                  <c:v>Terms of trade</c:v>
                </c:pt>
              </c:strCache>
            </c:strRef>
          </c:tx>
          <c:spPr>
            <a:solidFill>
              <a:schemeClr val="accent4"/>
            </a:solidFill>
          </c:spPr>
          <c:invertIfNegative val="0"/>
          <c:cat>
            <c:strRef>
              <c:f>'Summary and Charts'!$B$24:$H$24</c:f>
              <c:strCache>
                <c:ptCount val="7"/>
                <c:pt idx="0">
                  <c:v>1960s</c:v>
                </c:pt>
                <c:pt idx="1">
                  <c:v>1970s</c:v>
                </c:pt>
                <c:pt idx="2">
                  <c:v>1980s</c:v>
                </c:pt>
                <c:pt idx="3">
                  <c:v>1990s</c:v>
                </c:pt>
                <c:pt idx="4">
                  <c:v>2000s</c:v>
                </c:pt>
                <c:pt idx="5">
                  <c:v>2010-11 to
2018-19</c:v>
                </c:pt>
                <c:pt idx="6">
                  <c:v>2019-20 to
2029-30</c:v>
                </c:pt>
              </c:strCache>
            </c:strRef>
          </c:cat>
          <c:val>
            <c:numRef>
              <c:f>'Summary and Charts'!$B$28:$H$28</c:f>
              <c:numCache>
                <c:formatCode>0.0</c:formatCode>
                <c:ptCount val="7"/>
                <c:pt idx="0">
                  <c:v>5.770492383099679E-2</c:v>
                </c:pt>
                <c:pt idx="1">
                  <c:v>-0.1401396032840978</c:v>
                </c:pt>
                <c:pt idx="2">
                  <c:v>0.1040004331713078</c:v>
                </c:pt>
                <c:pt idx="3">
                  <c:v>-0.11499646225389881</c:v>
                </c:pt>
                <c:pt idx="4">
                  <c:v>0.90729834940408693</c:v>
                </c:pt>
                <c:pt idx="5">
                  <c:v>-0.33673772992153772</c:v>
                </c:pt>
                <c:pt idx="6">
                  <c:v>-0.30826763397224966</c:v>
                </c:pt>
              </c:numCache>
            </c:numRef>
          </c:val>
          <c:extLst>
            <c:ext xmlns:c16="http://schemas.microsoft.com/office/drawing/2014/chart" uri="{C3380CC4-5D6E-409C-BE32-E72D297353CC}">
              <c16:uniqueId val="{00000002-6CFB-4F83-900C-727078144EAF}"/>
            </c:ext>
          </c:extLst>
        </c:ser>
        <c:ser>
          <c:idx val="4"/>
          <c:order val="4"/>
          <c:tx>
            <c:strRef>
              <c:f>'Summary and Charts'!$A$29</c:f>
              <c:strCache>
                <c:ptCount val="1"/>
                <c:pt idx="0">
                  <c:v>Labour productivity</c:v>
                </c:pt>
              </c:strCache>
            </c:strRef>
          </c:tx>
          <c:spPr>
            <a:solidFill>
              <a:schemeClr val="accent5"/>
            </a:solidFill>
          </c:spPr>
          <c:invertIfNegative val="0"/>
          <c:cat>
            <c:strRef>
              <c:f>'Summary and Charts'!$B$24:$H$24</c:f>
              <c:strCache>
                <c:ptCount val="7"/>
                <c:pt idx="0">
                  <c:v>1960s</c:v>
                </c:pt>
                <c:pt idx="1">
                  <c:v>1970s</c:v>
                </c:pt>
                <c:pt idx="2">
                  <c:v>1980s</c:v>
                </c:pt>
                <c:pt idx="3">
                  <c:v>1990s</c:v>
                </c:pt>
                <c:pt idx="4">
                  <c:v>2000s</c:v>
                </c:pt>
                <c:pt idx="5">
                  <c:v>2010-11 to
2018-19</c:v>
                </c:pt>
                <c:pt idx="6">
                  <c:v>2019-20 to
2029-30</c:v>
                </c:pt>
              </c:strCache>
            </c:strRef>
          </c:cat>
          <c:val>
            <c:numRef>
              <c:f>'Summary and Charts'!$B$29:$H$29</c:f>
              <c:numCache>
                <c:formatCode>0.0</c:formatCode>
                <c:ptCount val="7"/>
                <c:pt idx="0">
                  <c:v>2.4702201483430883</c:v>
                </c:pt>
                <c:pt idx="1">
                  <c:v>0.81176677473106906</c:v>
                </c:pt>
                <c:pt idx="2">
                  <c:v>1.2061033509261421</c:v>
                </c:pt>
                <c:pt idx="3">
                  <c:v>2.2274768284096922</c:v>
                </c:pt>
                <c:pt idx="4">
                  <c:v>1.3960359033283538</c:v>
                </c:pt>
                <c:pt idx="5">
                  <c:v>1.2535837134691121</c:v>
                </c:pt>
                <c:pt idx="6">
                  <c:v>1.4846026290462788</c:v>
                </c:pt>
              </c:numCache>
            </c:numRef>
          </c:val>
          <c:extLst>
            <c:ext xmlns:c16="http://schemas.microsoft.com/office/drawing/2014/chart" uri="{C3380CC4-5D6E-409C-BE32-E72D297353CC}">
              <c16:uniqueId val="{00000003-6CFB-4F83-900C-727078144EAF}"/>
            </c:ext>
          </c:extLst>
        </c:ser>
        <c:ser>
          <c:idx val="5"/>
          <c:order val="5"/>
          <c:tx>
            <c:strRef>
              <c:f>'Summary and Charts'!$A$30</c:f>
              <c:strCache>
                <c:ptCount val="1"/>
                <c:pt idx="0">
                  <c:v>Add. labour productivity to hit 30-yr avg GNI</c:v>
                </c:pt>
              </c:strCache>
            </c:strRef>
          </c:tx>
          <c:spPr>
            <a:solidFill>
              <a:schemeClr val="accent6"/>
            </a:solidFill>
          </c:spPr>
          <c:invertIfNegative val="0"/>
          <c:cat>
            <c:strRef>
              <c:f>'Summary and Charts'!$B$24:$H$24</c:f>
              <c:strCache>
                <c:ptCount val="7"/>
                <c:pt idx="0">
                  <c:v>1960s</c:v>
                </c:pt>
                <c:pt idx="1">
                  <c:v>1970s</c:v>
                </c:pt>
                <c:pt idx="2">
                  <c:v>1980s</c:v>
                </c:pt>
                <c:pt idx="3">
                  <c:v>1990s</c:v>
                </c:pt>
                <c:pt idx="4">
                  <c:v>2000s</c:v>
                </c:pt>
                <c:pt idx="5">
                  <c:v>2010-11 to
2018-19</c:v>
                </c:pt>
                <c:pt idx="6">
                  <c:v>2019-20 to
2029-30</c:v>
                </c:pt>
              </c:strCache>
            </c:strRef>
          </c:cat>
          <c:val>
            <c:numRef>
              <c:f>'Summary and Charts'!$B$30:$H$30</c:f>
              <c:numCache>
                <c:formatCode>General</c:formatCode>
                <c:ptCount val="7"/>
                <c:pt idx="6" formatCode="0.0">
                  <c:v>1.0328313504696922</c:v>
                </c:pt>
              </c:numCache>
            </c:numRef>
          </c:val>
          <c:extLst>
            <c:ext xmlns:c16="http://schemas.microsoft.com/office/drawing/2014/chart" uri="{C3380CC4-5D6E-409C-BE32-E72D297353CC}">
              <c16:uniqueId val="{00000004-6CFB-4F83-900C-727078144EAF}"/>
            </c:ext>
          </c:extLst>
        </c:ser>
        <c:dLbls>
          <c:showLegendKey val="0"/>
          <c:showVal val="0"/>
          <c:showCatName val="0"/>
          <c:showSerName val="0"/>
          <c:showPercent val="0"/>
          <c:showBubbleSize val="0"/>
        </c:dLbls>
        <c:gapWidth val="50"/>
        <c:overlap val="100"/>
        <c:axId val="475091464"/>
        <c:axId val="475092040"/>
      </c:barChart>
      <c:lineChart>
        <c:grouping val="standard"/>
        <c:varyColors val="0"/>
        <c:ser>
          <c:idx val="0"/>
          <c:order val="0"/>
          <c:tx>
            <c:strRef>
              <c:f>'Summary and Charts'!$A$25</c:f>
              <c:strCache>
                <c:ptCount val="1"/>
                <c:pt idx="0">
                  <c:v>Per capita income growth</c:v>
                </c:pt>
              </c:strCache>
            </c:strRef>
          </c:tx>
          <c:spPr>
            <a:ln w="19050" cap="rnd" cmpd="sng" algn="ctr">
              <a:solidFill>
                <a:schemeClr val="dk1"/>
              </a:solidFill>
              <a:prstDash val="solid"/>
              <a:round/>
            </a:ln>
            <a:effectLst/>
          </c:spPr>
          <c:marker>
            <c:symbol val="none"/>
          </c:marker>
          <c:cat>
            <c:strRef>
              <c:f>'Summary and Charts'!$B$24:$H$24</c:f>
              <c:strCache>
                <c:ptCount val="7"/>
                <c:pt idx="0">
                  <c:v>1960s</c:v>
                </c:pt>
                <c:pt idx="1">
                  <c:v>1970s</c:v>
                </c:pt>
                <c:pt idx="2">
                  <c:v>1980s</c:v>
                </c:pt>
                <c:pt idx="3">
                  <c:v>1990s</c:v>
                </c:pt>
                <c:pt idx="4">
                  <c:v>2000s</c:v>
                </c:pt>
                <c:pt idx="5">
                  <c:v>2010-11 to
2018-19</c:v>
                </c:pt>
                <c:pt idx="6">
                  <c:v>2019-20 to
2029-30</c:v>
                </c:pt>
              </c:strCache>
            </c:strRef>
          </c:cat>
          <c:val>
            <c:numRef>
              <c:f>'Summary and Charts'!$B$25:$H$25</c:f>
              <c:numCache>
                <c:formatCode>0.0</c:formatCode>
                <c:ptCount val="7"/>
                <c:pt idx="0">
                  <c:v>3.0582438122881399</c:v>
                </c:pt>
                <c:pt idx="1">
                  <c:v>1.4179499076628161</c:v>
                </c:pt>
                <c:pt idx="2">
                  <c:v>1.7330991617442066</c:v>
                </c:pt>
                <c:pt idx="3">
                  <c:v>2.1764908165729366</c:v>
                </c:pt>
                <c:pt idx="4">
                  <c:v>2.3763161262474455</c:v>
                </c:pt>
                <c:pt idx="5">
                  <c:v>0.83723635771319493</c:v>
                </c:pt>
                <c:pt idx="6">
                  <c:v>0.91771910813965007</c:v>
                </c:pt>
              </c:numCache>
            </c:numRef>
          </c:val>
          <c:smooth val="0"/>
          <c:extLst>
            <c:ext xmlns:c16="http://schemas.microsoft.com/office/drawing/2014/chart" uri="{C3380CC4-5D6E-409C-BE32-E72D297353CC}">
              <c16:uniqueId val="{00000005-6CFB-4F83-900C-727078144EAF}"/>
            </c:ext>
          </c:extLst>
        </c:ser>
        <c:dLbls>
          <c:showLegendKey val="0"/>
          <c:showVal val="0"/>
          <c:showCatName val="0"/>
          <c:showSerName val="0"/>
          <c:showPercent val="0"/>
          <c:showBubbleSize val="0"/>
        </c:dLbls>
        <c:marker val="1"/>
        <c:smooth val="0"/>
        <c:axId val="475091464"/>
        <c:axId val="475092040"/>
      </c:lineChart>
      <c:scatterChart>
        <c:scatterStyle val="lineMarker"/>
        <c:varyColors val="0"/>
        <c:ser>
          <c:idx val="6"/>
          <c:order val="6"/>
          <c:tx>
            <c:strRef>
              <c:f>'Summary and Charts'!$A$34</c:f>
              <c:strCache>
                <c:ptCount val="1"/>
                <c:pt idx="0">
                  <c:v>Alternative path for income growth</c:v>
                </c:pt>
              </c:strCache>
            </c:strRef>
          </c:tx>
          <c:spPr>
            <a:ln w="22225">
              <a:solidFill>
                <a:schemeClr val="tx1"/>
              </a:solidFill>
              <a:prstDash val="sysDash"/>
              <a:round/>
            </a:ln>
            <a:effectLst/>
            <a:extLst/>
          </c:spPr>
          <c:marker>
            <c:symbol val="none"/>
          </c:marker>
          <c:xVal>
            <c:strRef>
              <c:f>'Summary and Charts'!$B$24:$H$24</c:f>
              <c:strCache>
                <c:ptCount val="7"/>
                <c:pt idx="0">
                  <c:v>1960s</c:v>
                </c:pt>
                <c:pt idx="1">
                  <c:v>1970s</c:v>
                </c:pt>
                <c:pt idx="2">
                  <c:v>1980s</c:v>
                </c:pt>
                <c:pt idx="3">
                  <c:v>1990s</c:v>
                </c:pt>
                <c:pt idx="4">
                  <c:v>2000s</c:v>
                </c:pt>
                <c:pt idx="5">
                  <c:v>2010-11 to
2018-19</c:v>
                </c:pt>
                <c:pt idx="6">
                  <c:v>2019-20 to
2029-30</c:v>
                </c:pt>
              </c:strCache>
            </c:strRef>
          </c:xVal>
          <c:yVal>
            <c:numRef>
              <c:f>'Summary and Charts'!$B$34:$H$34</c:f>
              <c:numCache>
                <c:formatCode>General</c:formatCode>
                <c:ptCount val="7"/>
                <c:pt idx="5" formatCode="0.0">
                  <c:v>0.83723635771319493</c:v>
                </c:pt>
                <c:pt idx="6" formatCode="0.0">
                  <c:v>1.9505504586093423</c:v>
                </c:pt>
              </c:numCache>
            </c:numRef>
          </c:yVal>
          <c:smooth val="0"/>
          <c:extLst>
            <c:ext xmlns:c16="http://schemas.microsoft.com/office/drawing/2014/chart" uri="{C3380CC4-5D6E-409C-BE32-E72D297353CC}">
              <c16:uniqueId val="{00000006-6CFB-4F83-900C-727078144EAF}"/>
            </c:ext>
          </c:extLst>
        </c:ser>
        <c:dLbls>
          <c:showLegendKey val="0"/>
          <c:showVal val="0"/>
          <c:showCatName val="0"/>
          <c:showSerName val="0"/>
          <c:showPercent val="0"/>
          <c:showBubbleSize val="0"/>
        </c:dLbls>
        <c:axId val="475093768"/>
        <c:axId val="475093192"/>
      </c:scatterChart>
      <c:catAx>
        <c:axId val="475091464"/>
        <c:scaling>
          <c:orientation val="minMax"/>
        </c:scaling>
        <c:delete val="0"/>
        <c:axPos val="b"/>
        <c:numFmt formatCode="General" sourceLinked="0"/>
        <c:majorTickMark val="in"/>
        <c:minorTickMark val="none"/>
        <c:tickLblPos val="low"/>
        <c:spPr>
          <a:ln w="9525">
            <a:solidFill>
              <a:srgbClr val="808080"/>
            </a:solidFill>
            <a:prstDash val="solid"/>
          </a:ln>
        </c:spPr>
        <c:txPr>
          <a:bodyPr/>
          <a:lstStyle/>
          <a:p>
            <a:pPr>
              <a:defRPr sz="800" b="0" i="0">
                <a:solidFill>
                  <a:srgbClr val="000000"/>
                </a:solidFill>
                <a:latin typeface="Arial"/>
                <a:ea typeface="Arial"/>
                <a:cs typeface="Arial"/>
              </a:defRPr>
            </a:pPr>
            <a:endParaRPr lang="en-US"/>
          </a:p>
        </c:txPr>
        <c:crossAx val="475092040"/>
        <c:crosses val="autoZero"/>
        <c:auto val="1"/>
        <c:lblAlgn val="ctr"/>
        <c:lblOffset val="100"/>
        <c:tickMarkSkip val="1"/>
        <c:noMultiLvlLbl val="0"/>
      </c:catAx>
      <c:valAx>
        <c:axId val="475092040"/>
        <c:scaling>
          <c:orientation val="minMax"/>
          <c:max val="4"/>
          <c:min val="-1"/>
        </c:scaling>
        <c:delete val="0"/>
        <c:axPos val="l"/>
        <c:numFmt formatCode="#,##0" sourceLinked="0"/>
        <c:majorTickMark val="in"/>
        <c:minorTickMark val="none"/>
        <c:tickLblPos val="nextTo"/>
        <c:spPr>
          <a:ln w="9525">
            <a:solidFill>
              <a:srgbClr val="808080"/>
            </a:solidFill>
            <a:prstDash val="solid"/>
          </a:ln>
        </c:spPr>
        <c:txPr>
          <a:bodyPr/>
          <a:lstStyle/>
          <a:p>
            <a:pPr>
              <a:defRPr sz="800" b="0" i="0">
                <a:solidFill>
                  <a:srgbClr val="000000"/>
                </a:solidFill>
                <a:latin typeface="Arial"/>
                <a:ea typeface="Arial"/>
                <a:cs typeface="Arial"/>
              </a:defRPr>
            </a:pPr>
            <a:endParaRPr lang="en-US"/>
          </a:p>
        </c:txPr>
        <c:crossAx val="475091464"/>
        <c:crosses val="autoZero"/>
        <c:crossBetween val="between"/>
        <c:majorUnit val="1"/>
      </c:valAx>
      <c:valAx>
        <c:axId val="475093192"/>
        <c:scaling>
          <c:orientation val="minMax"/>
          <c:max val="4"/>
          <c:min val="-1"/>
        </c:scaling>
        <c:delete val="0"/>
        <c:axPos val="r"/>
        <c:numFmt formatCode="#,##0" sourceLinked="0"/>
        <c:majorTickMark val="in"/>
        <c:minorTickMark val="none"/>
        <c:tickLblPos val="nextTo"/>
        <c:spPr>
          <a:ln>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475093768"/>
        <c:crosses val="max"/>
        <c:crossBetween val="midCat"/>
        <c:majorUnit val="1"/>
        <c:minorUnit val="0.2"/>
      </c:valAx>
      <c:valAx>
        <c:axId val="475093768"/>
        <c:scaling>
          <c:orientation val="minMax"/>
        </c:scaling>
        <c:delete val="1"/>
        <c:axPos val="b"/>
        <c:majorTickMark val="out"/>
        <c:minorTickMark val="none"/>
        <c:tickLblPos val="nextTo"/>
        <c:crossAx val="475093192"/>
        <c:crosses val="autoZero"/>
        <c:crossBetween val="midCat"/>
      </c:valAx>
      <c:spPr>
        <a:noFill/>
        <a:ln w="25400">
          <a:noFill/>
        </a:ln>
        <a:extLst>
          <a:ext uri="{909E8E84-426E-40DD-AFC4-6F175D3DCCD1}">
            <a14:hiddenFill xmlns:a14="http://schemas.microsoft.com/office/drawing/2010/main">
              <a:solidFill>
                <a:srgbClr val="FFFFFF"/>
              </a:solidFill>
            </a14:hiddenFill>
          </a:ext>
        </a:extLst>
      </c:spPr>
    </c:plotArea>
    <c:legend>
      <c:legendPos val="b"/>
      <c:legendEntry>
        <c:idx val="6"/>
        <c:delete val="1"/>
      </c:legendEntry>
      <c:layout>
        <c:manualLayout>
          <c:xMode val="edge"/>
          <c:yMode val="edge"/>
          <c:x val="0"/>
          <c:y val="0.83667812500000005"/>
          <c:w val="1"/>
          <c:h val="0.16332187499999998"/>
        </c:manualLayout>
      </c:layout>
      <c:overlay val="0"/>
      <c:spPr>
        <a:noFill/>
        <a:ln w="25400">
          <a:noFill/>
        </a:ln>
      </c:spPr>
      <c:txPr>
        <a:bodyPr/>
        <a:lstStyle/>
        <a:p>
          <a:pPr>
            <a:defRPr sz="800" b="0">
              <a:solidFill>
                <a:srgbClr val="000000"/>
              </a:solidFill>
              <a:latin typeface="Arial"/>
              <a:ea typeface="Arial"/>
              <a:cs typeface="Arial"/>
            </a:defRPr>
          </a:pPr>
          <a:endParaRPr lang="en-US"/>
        </a:p>
      </c:txPr>
    </c:legend>
    <c:plotVisOnly val="1"/>
    <c:dispBlanksAs val="gap"/>
    <c:showDLblsOverMax val="0"/>
  </c:chart>
  <c:spPr>
    <a:noFill/>
    <a:ln w="25400">
      <a:noFill/>
    </a:ln>
    <a:extLst>
      <a:ext uri="{909E8E84-426E-40DD-AFC4-6F175D3DCCD1}">
        <a14:hiddenFill xmlns:a14="http://schemas.microsoft.com/office/drawing/2010/main">
          <a:solidFill>
            <a:srgbClr val="FFFFFF"/>
          </a:solidFill>
        </a14:hiddenFill>
      </a:ext>
    </a:extLst>
  </c:sp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390860215053762E-2"/>
          <c:y val="3.9591898148148147E-2"/>
          <c:w val="0.88515017921146955"/>
          <c:h val="0.89638657407407407"/>
        </c:manualLayout>
      </c:layout>
      <c:barChart>
        <c:barDir val="col"/>
        <c:grouping val="clustered"/>
        <c:varyColors val="0"/>
        <c:ser>
          <c:idx val="0"/>
          <c:order val="0"/>
          <c:spPr>
            <a:solidFill>
              <a:schemeClr val="accent1"/>
            </a:solidFill>
            <a:ln>
              <a:noFill/>
            </a:ln>
            <a:effectLst/>
          </c:spPr>
          <c:invertIfNegative val="0"/>
          <c:dPt>
            <c:idx val="10"/>
            <c:invertIfNegative val="0"/>
            <c:bubble3D val="0"/>
            <c:spPr>
              <a:solidFill>
                <a:schemeClr val="accent3"/>
              </a:solidFill>
              <a:ln>
                <a:noFill/>
              </a:ln>
              <a:effectLst/>
            </c:spPr>
            <c:extLst>
              <c:ext xmlns:c16="http://schemas.microsoft.com/office/drawing/2014/chart" uri="{C3380CC4-5D6E-409C-BE32-E72D297353CC}">
                <c16:uniqueId val="{00000001-3DBB-42DA-A01C-CBCBD64A2F4E}"/>
              </c:ext>
            </c:extLst>
          </c:dPt>
          <c:cat>
            <c:strRef>
              <c:f>FigB1Shadow_Death!$A$4:$A$14</c:f>
              <c:strCache>
                <c:ptCount val="11"/>
                <c:pt idx="0">
                  <c:v>t-10</c:v>
                </c:pt>
                <c:pt idx="1">
                  <c:v>t-9</c:v>
                </c:pt>
                <c:pt idx="2">
                  <c:v>t-8</c:v>
                </c:pt>
                <c:pt idx="3">
                  <c:v>t-7</c:v>
                </c:pt>
                <c:pt idx="4">
                  <c:v>t-6</c:v>
                </c:pt>
                <c:pt idx="5">
                  <c:v>t-5</c:v>
                </c:pt>
                <c:pt idx="6">
                  <c:v>t-4</c:v>
                </c:pt>
                <c:pt idx="7">
                  <c:v>t-3</c:v>
                </c:pt>
                <c:pt idx="8">
                  <c:v>t-2</c:v>
                </c:pt>
                <c:pt idx="9">
                  <c:v>t-1</c:v>
                </c:pt>
                <c:pt idx="10">
                  <c:v>t=0</c:v>
                </c:pt>
              </c:strCache>
            </c:strRef>
          </c:cat>
          <c:val>
            <c:numRef>
              <c:f>FigB1Shadow_Death!$D$4:$D$14</c:f>
              <c:numCache>
                <c:formatCode>0.0</c:formatCode>
                <c:ptCount val="11"/>
                <c:pt idx="0">
                  <c:v>97.491578832237053</c:v>
                </c:pt>
                <c:pt idx="1">
                  <c:v>97.431195190557602</c:v>
                </c:pt>
                <c:pt idx="2">
                  <c:v>96.275802863089538</c:v>
                </c:pt>
                <c:pt idx="3">
                  <c:v>96.363093833705747</c:v>
                </c:pt>
                <c:pt idx="4">
                  <c:v>95.570774607810208</c:v>
                </c:pt>
                <c:pt idx="5">
                  <c:v>94.31522859085581</c:v>
                </c:pt>
                <c:pt idx="6">
                  <c:v>93.015937962746463</c:v>
                </c:pt>
                <c:pt idx="7">
                  <c:v>91.611234602978286</c:v>
                </c:pt>
                <c:pt idx="8">
                  <c:v>89.792420119473846</c:v>
                </c:pt>
                <c:pt idx="9">
                  <c:v>88.740891912952691</c:v>
                </c:pt>
                <c:pt idx="10">
                  <c:v>79.247998798444641</c:v>
                </c:pt>
              </c:numCache>
            </c:numRef>
          </c:val>
          <c:extLst>
            <c:ext xmlns:c16="http://schemas.microsoft.com/office/drawing/2014/chart" uri="{C3380CC4-5D6E-409C-BE32-E72D297353CC}">
              <c16:uniqueId val="{00000002-3DBB-42DA-A01C-CBCBD64A2F4E}"/>
            </c:ext>
          </c:extLst>
        </c:ser>
        <c:dLbls>
          <c:showLegendKey val="0"/>
          <c:showVal val="0"/>
          <c:showCatName val="0"/>
          <c:showSerName val="0"/>
          <c:showPercent val="0"/>
          <c:showBubbleSize val="0"/>
        </c:dLbls>
        <c:gapWidth val="100"/>
        <c:axId val="806492680"/>
        <c:axId val="806493664"/>
      </c:barChart>
      <c:barChart>
        <c:barDir val="col"/>
        <c:grouping val="clustered"/>
        <c:varyColors val="0"/>
        <c:ser>
          <c:idx val="1"/>
          <c:order val="1"/>
          <c:tx>
            <c:v>DUMMY</c:v>
          </c:tx>
          <c:spPr>
            <a:noFill/>
            <a:ln w="25400">
              <a:noFill/>
            </a:ln>
            <a:effectLst/>
          </c:spPr>
          <c:invertIfNegative val="0"/>
          <c:extLst>
            <c:ext xmlns:c16="http://schemas.microsoft.com/office/drawing/2014/chart" uri="{C3380CC4-5D6E-409C-BE32-E72D297353CC}">
              <c16:uniqueId val="{00000003-3DBB-42DA-A01C-CBCBD64A2F4E}"/>
            </c:ext>
          </c:extLst>
        </c:ser>
        <c:dLbls>
          <c:showLegendKey val="0"/>
          <c:showVal val="0"/>
          <c:showCatName val="0"/>
          <c:showSerName val="0"/>
          <c:showPercent val="0"/>
          <c:showBubbleSize val="0"/>
        </c:dLbls>
        <c:gapWidth val="100"/>
        <c:axId val="693523560"/>
        <c:axId val="689177544"/>
      </c:barChart>
      <c:catAx>
        <c:axId val="806492680"/>
        <c:scaling>
          <c:orientation val="minMax"/>
        </c:scaling>
        <c:delete val="0"/>
        <c:axPos val="b"/>
        <c:numFmt formatCode="General" sourceLinked="1"/>
        <c:majorTickMark val="in"/>
        <c:minorTickMark val="none"/>
        <c:tickLblPos val="low"/>
        <c:spPr>
          <a:noFill/>
          <a:ln w="12700"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806493664"/>
        <c:crosses val="autoZero"/>
        <c:auto val="1"/>
        <c:lblAlgn val="ctr"/>
        <c:lblOffset val="100"/>
        <c:noMultiLvlLbl val="0"/>
      </c:catAx>
      <c:valAx>
        <c:axId val="806493664"/>
        <c:scaling>
          <c:orientation val="minMax"/>
          <c:max val="99.990000000000009"/>
          <c:min val="50"/>
        </c:scaling>
        <c:delete val="0"/>
        <c:axPos val="l"/>
        <c:title>
          <c:tx>
            <c:rich>
              <a:bodyPr rot="0" spcFirstLastPara="1" vertOverflow="ellipsis" wrap="square" anchor="ctr" anchorCtr="1"/>
              <a:lstStyle/>
              <a:p>
                <a:pPr>
                  <a:defRPr sz="800" b="0" i="0" u="none" strike="noStrike" kern="1200" baseline="0">
                    <a:solidFill>
                      <a:srgbClr val="333333"/>
                    </a:solidFill>
                    <a:latin typeface="Arial"/>
                    <a:ea typeface="Arial"/>
                    <a:cs typeface="Arial"/>
                  </a:defRPr>
                </a:pPr>
                <a:r>
                  <a:rPr lang="en-US"/>
                  <a:t>Per cent</a:t>
                </a:r>
              </a:p>
            </c:rich>
          </c:tx>
          <c:layout>
            <c:manualLayout>
              <c:xMode val="edge"/>
              <c:yMode val="edge"/>
              <c:x val="6.1451612903225809E-2"/>
              <c:y val="0"/>
            </c:manualLayout>
          </c:layout>
          <c:overlay val="0"/>
          <c:spPr>
            <a:noFill/>
            <a:ln>
              <a:noFill/>
            </a:ln>
            <a:effectLst/>
          </c:spPr>
          <c:txPr>
            <a:bodyPr rot="0" spcFirstLastPara="1" vertOverflow="ellipsis" wrap="square" anchor="ctr" anchorCtr="1"/>
            <a:lstStyle/>
            <a:p>
              <a:pPr>
                <a:defRPr sz="800" b="0" i="0" u="none" strike="noStrike" kern="1200" baseline="0">
                  <a:solidFill>
                    <a:srgbClr val="333333"/>
                  </a:solidFill>
                  <a:latin typeface="Arial"/>
                  <a:ea typeface="Arial"/>
                  <a:cs typeface="Arial"/>
                </a:defRPr>
              </a:pPr>
              <a:endParaRPr lang="en-US"/>
            </a:p>
          </c:txPr>
        </c:title>
        <c:numFmt formatCode="#,##0" sourceLinked="0"/>
        <c:majorTickMark val="in"/>
        <c:minorTickMark val="none"/>
        <c:tickLblPos val="nextTo"/>
        <c:spPr>
          <a:noFill/>
          <a:ln w="12700">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806492680"/>
        <c:crosses val="autoZero"/>
        <c:crossBetween val="between"/>
        <c:majorUnit val="10"/>
      </c:valAx>
      <c:valAx>
        <c:axId val="689177544"/>
        <c:scaling>
          <c:orientation val="minMax"/>
          <c:max val="99.990000000000009"/>
          <c:min val="50"/>
        </c:scaling>
        <c:delete val="0"/>
        <c:axPos val="r"/>
        <c:title>
          <c:tx>
            <c:rich>
              <a:bodyPr rot="0" spcFirstLastPara="1" vertOverflow="ellipsis" wrap="square" anchor="ctr" anchorCtr="1"/>
              <a:lstStyle/>
              <a:p>
                <a:pPr>
                  <a:defRPr sz="800" b="0" i="0" u="none" strike="noStrike" kern="1200" baseline="0">
                    <a:solidFill>
                      <a:srgbClr val="333333"/>
                    </a:solidFill>
                    <a:latin typeface="Arial"/>
                    <a:ea typeface="Arial"/>
                    <a:cs typeface="Arial"/>
                  </a:defRPr>
                </a:pPr>
                <a:r>
                  <a:rPr lang="en-AU"/>
                  <a:t>Per cent</a:t>
                </a:r>
              </a:p>
            </c:rich>
          </c:tx>
          <c:layout>
            <c:manualLayout>
              <c:xMode val="edge"/>
              <c:yMode val="edge"/>
              <c:x val="0.8752759856630824"/>
              <c:y val="0"/>
            </c:manualLayout>
          </c:layout>
          <c:overlay val="0"/>
          <c:spPr>
            <a:noFill/>
            <a:ln>
              <a:noFill/>
            </a:ln>
            <a:effectLst/>
          </c:spPr>
          <c:txPr>
            <a:bodyPr rot="0" spcFirstLastPara="1" vertOverflow="ellipsis" wrap="square" anchor="ctr" anchorCtr="1"/>
            <a:lstStyle/>
            <a:p>
              <a:pPr>
                <a:defRPr sz="800" b="0" i="0" u="none" strike="noStrike" kern="1200" baseline="0">
                  <a:solidFill>
                    <a:srgbClr val="333333"/>
                  </a:solidFill>
                  <a:latin typeface="Arial"/>
                  <a:ea typeface="Arial"/>
                  <a:cs typeface="Arial"/>
                </a:defRPr>
              </a:pPr>
              <a:endParaRPr lang="en-US"/>
            </a:p>
          </c:txPr>
        </c:title>
        <c:numFmt formatCode="#,##0" sourceLinked="0"/>
        <c:majorTickMark val="in"/>
        <c:minorTickMark val="none"/>
        <c:tickLblPos val="nextTo"/>
        <c:spPr>
          <a:noFill/>
          <a:ln w="12700">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93523560"/>
        <c:crosses val="max"/>
        <c:crossBetween val="between"/>
        <c:majorUnit val="10"/>
        <c:minorUnit val="2"/>
      </c:valAx>
      <c:catAx>
        <c:axId val="693523560"/>
        <c:scaling>
          <c:orientation val="minMax"/>
        </c:scaling>
        <c:delete val="1"/>
        <c:axPos val="b"/>
        <c:majorTickMark val="out"/>
        <c:minorTickMark val="none"/>
        <c:tickLblPos val="nextTo"/>
        <c:crossAx val="689177544"/>
        <c:crosses val="autoZero"/>
        <c:auto val="1"/>
        <c:lblAlgn val="ctr"/>
        <c:lblOffset val="100"/>
        <c:noMultiLvlLbl val="0"/>
      </c:catAx>
      <c:spPr>
        <a:solidFill>
          <a:srgbClr val="FFFFFF"/>
        </a:solidFill>
        <a:ln>
          <a:noFill/>
        </a:ln>
        <a:effectLst/>
        <a:extLst>
          <a:ext uri="{91240B29-F687-4F45-9708-019B960494DF}">
            <a14:hiddenLine xmlns:a14="http://schemas.microsoft.com/office/drawing/2010/main">
              <a:noFill/>
            </a14:hiddenLine>
          </a:ext>
        </a:extLst>
      </c:spPr>
    </c:plotArea>
    <c:plotVisOnly val="1"/>
    <c:dispBlanksAs val="gap"/>
    <c:showDLblsOverMax val="0"/>
  </c:chart>
  <c:spPr>
    <a:solidFill>
      <a:srgbClr val="FFFFFF"/>
    </a:solidFill>
    <a:ln w="9525" cap="flat" cmpd="sng" algn="ctr">
      <a:noFill/>
      <a:round/>
    </a:ln>
    <a:effectLst/>
    <a:extLs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5931899641577062E-2"/>
          <c:y val="3.9687500000000001E-2"/>
          <c:w val="0.98406810035842296"/>
          <c:h val="0.8801562500000002"/>
        </c:manualLayout>
      </c:layout>
      <c:barChart>
        <c:barDir val="bar"/>
        <c:grouping val="clustered"/>
        <c:varyColors val="0"/>
        <c:ser>
          <c:idx val="0"/>
          <c:order val="0"/>
          <c:spPr>
            <a:solidFill>
              <a:schemeClr val="accent1"/>
            </a:solidFill>
            <a:ln w="25400">
              <a:noFill/>
            </a:ln>
          </c:spPr>
          <c:invertIfNegative val="0"/>
          <c:cat>
            <c:strRef>
              <c:f>FigB2BProd_Div_EmpnExit!$M$19:$M$30</c:f>
              <c:strCache>
                <c:ptCount val="12"/>
                <c:pt idx="0">
                  <c:v>Manufacturing</c:v>
                </c:pt>
                <c:pt idx="1">
                  <c:v>Accom and Food</c:v>
                </c:pt>
                <c:pt idx="2">
                  <c:v>Construction</c:v>
                </c:pt>
                <c:pt idx="3">
                  <c:v>Retail</c:v>
                </c:pt>
                <c:pt idx="4">
                  <c:v>Transport Postal Warehouse</c:v>
                </c:pt>
                <c:pt idx="5">
                  <c:v>Info Media Telecom</c:v>
                </c:pt>
                <c:pt idx="6">
                  <c:v>Arts and Recreation</c:v>
                </c:pt>
                <c:pt idx="7">
                  <c:v>Professionl Scientific Technical </c:v>
                </c:pt>
                <c:pt idx="8">
                  <c:v>Wholesale</c:v>
                </c:pt>
                <c:pt idx="9">
                  <c:v>Other Services</c:v>
                </c:pt>
                <c:pt idx="10">
                  <c:v>Rental Hiring Real Estate</c:v>
                </c:pt>
                <c:pt idx="11">
                  <c:v>Admin and Support</c:v>
                </c:pt>
              </c:strCache>
            </c:strRef>
          </c:cat>
          <c:val>
            <c:numRef>
              <c:f>FigB2BProd_Div_EmpnExit!$N$19:$N$30</c:f>
              <c:numCache>
                <c:formatCode>General</c:formatCode>
                <c:ptCount val="12"/>
                <c:pt idx="0">
                  <c:v>6.5000000000000002E-2</c:v>
                </c:pt>
                <c:pt idx="1">
                  <c:v>6.3600000000000004E-2</c:v>
                </c:pt>
                <c:pt idx="2">
                  <c:v>6.0299999999999999E-2</c:v>
                </c:pt>
                <c:pt idx="3">
                  <c:v>5.8799999999999998E-2</c:v>
                </c:pt>
                <c:pt idx="4">
                  <c:v>5.4899999999999997E-2</c:v>
                </c:pt>
                <c:pt idx="5">
                  <c:v>5.3800000000000001E-2</c:v>
                </c:pt>
                <c:pt idx="6">
                  <c:v>5.3100000000000001E-2</c:v>
                </c:pt>
                <c:pt idx="7">
                  <c:v>5.0299999999999997E-2</c:v>
                </c:pt>
                <c:pt idx="8">
                  <c:v>4.6800000000000001E-2</c:v>
                </c:pt>
                <c:pt idx="9">
                  <c:v>4.5400000000000003E-2</c:v>
                </c:pt>
                <c:pt idx="10">
                  <c:v>3.7499999999999999E-2</c:v>
                </c:pt>
                <c:pt idx="11">
                  <c:v>3.5900000000000001E-2</c:v>
                </c:pt>
              </c:numCache>
            </c:numRef>
          </c:val>
          <c:extLst>
            <c:ext xmlns:c16="http://schemas.microsoft.com/office/drawing/2014/chart" uri="{C3380CC4-5D6E-409C-BE32-E72D297353CC}">
              <c16:uniqueId val="{00000000-A98B-4DFD-BC83-48CE9288D7A3}"/>
            </c:ext>
          </c:extLst>
        </c:ser>
        <c:dLbls>
          <c:showLegendKey val="0"/>
          <c:showVal val="0"/>
          <c:showCatName val="0"/>
          <c:showSerName val="0"/>
          <c:showPercent val="0"/>
          <c:showBubbleSize val="0"/>
        </c:dLbls>
        <c:gapWidth val="150"/>
        <c:axId val="197544960"/>
        <c:axId val="208060416"/>
      </c:barChart>
      <c:catAx>
        <c:axId val="197544960"/>
        <c:scaling>
          <c:orientation val="minMax"/>
        </c:scaling>
        <c:delete val="0"/>
        <c:axPos val="l"/>
        <c:numFmt formatCode="General" sourceLinked="0"/>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208060416"/>
        <c:crosses val="autoZero"/>
        <c:auto val="1"/>
        <c:lblAlgn val="ctr"/>
        <c:lblOffset val="100"/>
        <c:noMultiLvlLbl val="0"/>
      </c:catAx>
      <c:valAx>
        <c:axId val="208060416"/>
        <c:scaling>
          <c:orientation val="minMax"/>
        </c:scaling>
        <c:delete val="0"/>
        <c:axPos val="b"/>
        <c:numFmt formatCode="General" sourceLinked="1"/>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7544960"/>
        <c:crosses val="autoZero"/>
        <c:crossBetween val="between"/>
      </c:valAx>
      <c:spPr>
        <a:solidFill>
          <a:srgbClr val="FFFFFF"/>
        </a:solidFill>
        <a:ln w="25400">
          <a:noFill/>
        </a:ln>
      </c:spPr>
    </c:plotArea>
    <c:plotVisOnly val="1"/>
    <c:dispBlanksAs val="gap"/>
    <c:showDLblsOverMax val="0"/>
  </c:chart>
  <c:spPr>
    <a:solidFill>
      <a:srgbClr val="FFFFFF"/>
    </a:solidFill>
    <a:ln w="9525">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5931899641577062E-2"/>
          <c:y val="3.9687500000000001E-2"/>
          <c:w val="0.98406810035842296"/>
          <c:h val="0.8801562500000002"/>
        </c:manualLayout>
      </c:layout>
      <c:barChart>
        <c:barDir val="bar"/>
        <c:grouping val="clustered"/>
        <c:varyColors val="0"/>
        <c:ser>
          <c:idx val="0"/>
          <c:order val="0"/>
          <c:spPr>
            <a:solidFill>
              <a:schemeClr val="accent1"/>
            </a:solidFill>
            <a:ln w="25400">
              <a:noFill/>
            </a:ln>
          </c:spPr>
          <c:invertIfNegative val="0"/>
          <c:cat>
            <c:strRef>
              <c:f>FigB2BProd_Div_EmpnExit!$H$20:$H$31</c:f>
              <c:strCache>
                <c:ptCount val="12"/>
                <c:pt idx="0">
                  <c:v>Accom and Food</c:v>
                </c:pt>
                <c:pt idx="1">
                  <c:v>Manufacturing</c:v>
                </c:pt>
                <c:pt idx="2">
                  <c:v>Wholesale</c:v>
                </c:pt>
                <c:pt idx="3">
                  <c:v>Professional Scientific Technical</c:v>
                </c:pt>
                <c:pt idx="4">
                  <c:v>Retail</c:v>
                </c:pt>
                <c:pt idx="5">
                  <c:v>Info Media Telecom</c:v>
                </c:pt>
                <c:pt idx="6">
                  <c:v>Transport Postal Warehouse</c:v>
                </c:pt>
                <c:pt idx="7">
                  <c:v>Arts and Recreation</c:v>
                </c:pt>
                <c:pt idx="8">
                  <c:v>Construction</c:v>
                </c:pt>
                <c:pt idx="9">
                  <c:v>Other Services</c:v>
                </c:pt>
                <c:pt idx="10">
                  <c:v>Rental Hiring Real Estate</c:v>
                </c:pt>
                <c:pt idx="11">
                  <c:v>Admin and Support</c:v>
                </c:pt>
              </c:strCache>
            </c:strRef>
          </c:cat>
          <c:val>
            <c:numRef>
              <c:f>FigB2BProd_Div_EmpnExit!$I$20:$I$31</c:f>
              <c:numCache>
                <c:formatCode>General</c:formatCode>
                <c:ptCount val="12"/>
                <c:pt idx="0">
                  <c:v>-0.23799999999999999</c:v>
                </c:pt>
                <c:pt idx="1">
                  <c:v>-0.22700000000000001</c:v>
                </c:pt>
                <c:pt idx="2">
                  <c:v>-0.20799999999999999</c:v>
                </c:pt>
                <c:pt idx="3">
                  <c:v>-0.19</c:v>
                </c:pt>
                <c:pt idx="4">
                  <c:v>-0.17899999999999999</c:v>
                </c:pt>
                <c:pt idx="5">
                  <c:v>-0.17799999999999999</c:v>
                </c:pt>
                <c:pt idx="6">
                  <c:v>-0.17599999999999999</c:v>
                </c:pt>
                <c:pt idx="7">
                  <c:v>-0.17199999999999999</c:v>
                </c:pt>
                <c:pt idx="8">
                  <c:v>-0.17</c:v>
                </c:pt>
                <c:pt idx="9">
                  <c:v>-0.14499999999999999</c:v>
                </c:pt>
                <c:pt idx="10">
                  <c:v>-0.14000000000000001</c:v>
                </c:pt>
                <c:pt idx="11">
                  <c:v>-0.13400000000000001</c:v>
                </c:pt>
              </c:numCache>
            </c:numRef>
          </c:val>
          <c:extLst>
            <c:ext xmlns:c16="http://schemas.microsoft.com/office/drawing/2014/chart" uri="{C3380CC4-5D6E-409C-BE32-E72D297353CC}">
              <c16:uniqueId val="{00000000-14D6-485A-B4E4-8E4638213E7F}"/>
            </c:ext>
          </c:extLst>
        </c:ser>
        <c:dLbls>
          <c:showLegendKey val="0"/>
          <c:showVal val="0"/>
          <c:showCatName val="0"/>
          <c:showSerName val="0"/>
          <c:showPercent val="0"/>
          <c:showBubbleSize val="0"/>
        </c:dLbls>
        <c:gapWidth val="150"/>
        <c:axId val="204447744"/>
        <c:axId val="204449280"/>
      </c:barChart>
      <c:catAx>
        <c:axId val="204447744"/>
        <c:scaling>
          <c:orientation val="minMax"/>
        </c:scaling>
        <c:delete val="0"/>
        <c:axPos val="l"/>
        <c:numFmt formatCode="General" sourceLinked="0"/>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204449280"/>
        <c:crosses val="autoZero"/>
        <c:auto val="1"/>
        <c:lblAlgn val="ctr"/>
        <c:lblOffset val="100"/>
        <c:noMultiLvlLbl val="0"/>
      </c:catAx>
      <c:valAx>
        <c:axId val="204449280"/>
        <c:scaling>
          <c:orientation val="minMax"/>
        </c:scaling>
        <c:delete val="0"/>
        <c:axPos val="b"/>
        <c:numFmt formatCode="General" sourceLinked="1"/>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204447744"/>
        <c:crosses val="autoZero"/>
        <c:crossBetween val="between"/>
      </c:valAx>
      <c:spPr>
        <a:solidFill>
          <a:srgbClr val="FFFFFF"/>
        </a:solidFill>
        <a:ln w="25400">
          <a:noFill/>
        </a:ln>
      </c:spPr>
    </c:plotArea>
    <c:plotVisOnly val="1"/>
    <c:dispBlanksAs val="gap"/>
    <c:showDLblsOverMax val="0"/>
  </c:chart>
  <c:spPr>
    <a:solidFill>
      <a:srgbClr val="FFFFFF"/>
    </a:solidFill>
    <a:ln w="9525">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29103942652329"/>
          <c:y val="2.5323015873015872E-2"/>
          <c:w val="0.83392473118279575"/>
          <c:h val="0.89776309523809528"/>
        </c:manualLayout>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6"/>
              </a:solidFill>
              <a:ln>
                <a:noFill/>
              </a:ln>
              <a:effectLst/>
            </c:spPr>
            <c:extLst>
              <c:ext xmlns:c16="http://schemas.microsoft.com/office/drawing/2014/chart" uri="{C3380CC4-5D6E-409C-BE32-E72D297353CC}">
                <c16:uniqueId val="{00000001-CA7C-4F43-9C39-08CECD0B7C5F}"/>
              </c:ext>
            </c:extLst>
          </c:dPt>
          <c:cat>
            <c:strRef>
              <c:f>Fig2OP_gap_mfg_OECD!$A$2:$A$24</c:f>
              <c:strCache>
                <c:ptCount val="23"/>
                <c:pt idx="0">
                  <c:v>Sweden</c:v>
                </c:pt>
                <c:pt idx="1">
                  <c:v>Finland</c:v>
                </c:pt>
                <c:pt idx="2">
                  <c:v>Australia</c:v>
                </c:pt>
                <c:pt idx="3">
                  <c:v>United States</c:v>
                </c:pt>
                <c:pt idx="4">
                  <c:v>Spain</c:v>
                </c:pt>
                <c:pt idx="5">
                  <c:v>France</c:v>
                </c:pt>
                <c:pt idx="6">
                  <c:v>Germany</c:v>
                </c:pt>
                <c:pt idx="7">
                  <c:v>Japan</c:v>
                </c:pt>
                <c:pt idx="8">
                  <c:v>Norway</c:v>
                </c:pt>
                <c:pt idx="9">
                  <c:v>United Kingdom</c:v>
                </c:pt>
                <c:pt idx="10">
                  <c:v>Denmark</c:v>
                </c:pt>
                <c:pt idx="11">
                  <c:v>Czech Republic</c:v>
                </c:pt>
                <c:pt idx="12">
                  <c:v>Belgium</c:v>
                </c:pt>
                <c:pt idx="13">
                  <c:v>Austria</c:v>
                </c:pt>
                <c:pt idx="14">
                  <c:v>Italy</c:v>
                </c:pt>
                <c:pt idx="15">
                  <c:v>Hungary</c:v>
                </c:pt>
                <c:pt idx="16">
                  <c:v>Portugal</c:v>
                </c:pt>
                <c:pt idx="17">
                  <c:v>Slovak Republic</c:v>
                </c:pt>
                <c:pt idx="18">
                  <c:v>Switzerland</c:v>
                </c:pt>
                <c:pt idx="19">
                  <c:v>Netherlands</c:v>
                </c:pt>
                <c:pt idx="20">
                  <c:v>Korea</c:v>
                </c:pt>
                <c:pt idx="21">
                  <c:v>Greece</c:v>
                </c:pt>
                <c:pt idx="22">
                  <c:v>Poland</c:v>
                </c:pt>
              </c:strCache>
            </c:strRef>
          </c:cat>
          <c:val>
            <c:numRef>
              <c:f>Fig2OP_gap_mfg_OECD!$B$2:$B$24</c:f>
              <c:numCache>
                <c:formatCode>General</c:formatCode>
                <c:ptCount val="23"/>
                <c:pt idx="0">
                  <c:v>96.403297596984743</c:v>
                </c:pt>
                <c:pt idx="1">
                  <c:v>95.42373206359396</c:v>
                </c:pt>
                <c:pt idx="2">
                  <c:v>66.529119494588642</c:v>
                </c:pt>
                <c:pt idx="3">
                  <c:v>60.80141974857829</c:v>
                </c:pt>
                <c:pt idx="4">
                  <c:v>59.201418888710108</c:v>
                </c:pt>
                <c:pt idx="5">
                  <c:v>59.201418888710108</c:v>
                </c:pt>
                <c:pt idx="6">
                  <c:v>56.831218549016896</c:v>
                </c:pt>
                <c:pt idx="7">
                  <c:v>44.773461466332456</c:v>
                </c:pt>
                <c:pt idx="8">
                  <c:v>44.773461466332456</c:v>
                </c:pt>
                <c:pt idx="9">
                  <c:v>34.98588075760032</c:v>
                </c:pt>
                <c:pt idx="10">
                  <c:v>30.996445073324729</c:v>
                </c:pt>
                <c:pt idx="11">
                  <c:v>27.124915032140471</c:v>
                </c:pt>
                <c:pt idx="12">
                  <c:v>22.752506496317771</c:v>
                </c:pt>
                <c:pt idx="13">
                  <c:v>22.140275816016985</c:v>
                </c:pt>
                <c:pt idx="14">
                  <c:v>15.603957026802151</c:v>
                </c:pt>
                <c:pt idx="15">
                  <c:v>11.071061035570517</c:v>
                </c:pt>
                <c:pt idx="16">
                  <c:v>8.3287067674958628</c:v>
                </c:pt>
                <c:pt idx="17">
                  <c:v>6.8226717165993378</c:v>
                </c:pt>
                <c:pt idx="18">
                  <c:v>5.7597683736611227</c:v>
                </c:pt>
                <c:pt idx="19">
                  <c:v>5.1271096376024117</c:v>
                </c:pt>
                <c:pt idx="20">
                  <c:v>-2.9554466451491845</c:v>
                </c:pt>
                <c:pt idx="21">
                  <c:v>-4.8770575499285984</c:v>
                </c:pt>
                <c:pt idx="22">
                  <c:v>-37.811494353497984</c:v>
                </c:pt>
              </c:numCache>
            </c:numRef>
          </c:val>
          <c:extLst>
            <c:ext xmlns:c16="http://schemas.microsoft.com/office/drawing/2014/chart" uri="{C3380CC4-5D6E-409C-BE32-E72D297353CC}">
              <c16:uniqueId val="{00000002-CA7C-4F43-9C39-08CECD0B7C5F}"/>
            </c:ext>
          </c:extLst>
        </c:ser>
        <c:dLbls>
          <c:showLegendKey val="0"/>
          <c:showVal val="0"/>
          <c:showCatName val="0"/>
          <c:showSerName val="0"/>
          <c:showPercent val="0"/>
          <c:showBubbleSize val="0"/>
        </c:dLbls>
        <c:gapWidth val="150"/>
        <c:axId val="197969792"/>
        <c:axId val="202683904"/>
      </c:barChart>
      <c:catAx>
        <c:axId val="197969792"/>
        <c:scaling>
          <c:orientation val="minMax"/>
        </c:scaling>
        <c:delete val="0"/>
        <c:axPos val="l"/>
        <c:numFmt formatCode="General" sourceLinked="0"/>
        <c:majorTickMark val="cross"/>
        <c:minorTickMark val="none"/>
        <c:tickLblPos val="low"/>
        <c:spPr>
          <a:noFill/>
          <a:ln w="12700"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202683904"/>
        <c:crosses val="autoZero"/>
        <c:auto val="1"/>
        <c:lblAlgn val="ctr"/>
        <c:lblOffset val="100"/>
        <c:noMultiLvlLbl val="0"/>
      </c:catAx>
      <c:valAx>
        <c:axId val="202683904"/>
        <c:scaling>
          <c:orientation val="minMax"/>
          <c:max val="119.99000000000001"/>
          <c:min val="-60"/>
        </c:scaling>
        <c:delete val="0"/>
        <c:axPos val="b"/>
        <c:numFmt formatCode="General" sourceLinked="1"/>
        <c:majorTickMark val="in"/>
        <c:minorTickMark val="none"/>
        <c:tickLblPos val="nextTo"/>
        <c:spPr>
          <a:noFill/>
          <a:ln w="12700"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197969792"/>
        <c:crosses val="autoZero"/>
        <c:crossBetween val="between"/>
      </c:valAx>
      <c:spPr>
        <a:solidFill>
          <a:srgbClr val="FFFFFF"/>
        </a:solidFill>
        <a:ln w="25400">
          <a:noFill/>
        </a:ln>
        <a:effectLst/>
      </c:spPr>
    </c:plotArea>
    <c:plotVisOnly val="1"/>
    <c:dispBlanksAs val="gap"/>
    <c:showDLblsOverMax val="0"/>
  </c:chart>
  <c:spPr>
    <a:solidFill>
      <a:srgbClr val="FFFFFF"/>
    </a:solidFill>
    <a:ln w="9525" cap="flat" cmpd="sng" algn="ctr">
      <a:noFill/>
      <a:prstDash val="solid"/>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500000002"/>
        </c:manualLayout>
      </c:layout>
      <c:barChart>
        <c:barDir val="col"/>
        <c:grouping val="clustered"/>
        <c:varyColors val="0"/>
        <c:ser>
          <c:idx val="0"/>
          <c:order val="0"/>
          <c:tx>
            <c:strRef>
              <c:f>Fig3OP_gap_serv_mfg!$A$2</c:f>
              <c:strCache>
                <c:ptCount val="1"/>
                <c:pt idx="0">
                  <c:v>Manufacturing</c:v>
                </c:pt>
              </c:strCache>
            </c:strRef>
          </c:tx>
          <c:spPr>
            <a:solidFill>
              <a:schemeClr val="accent1"/>
            </a:solidFill>
            <a:ln w="25400">
              <a:noFill/>
            </a:ln>
          </c:spPr>
          <c:invertIfNegative val="0"/>
          <c:cat>
            <c:strRef>
              <c:f>Fig3OP_gap_serv_mfg!$B$1:$E$1</c:f>
              <c:strCache>
                <c:ptCount val="4"/>
                <c:pt idx="0">
                  <c:v>United States</c:v>
                </c:pt>
                <c:pt idx="1">
                  <c:v>Japan</c:v>
                </c:pt>
                <c:pt idx="2">
                  <c:v>EU</c:v>
                </c:pt>
                <c:pt idx="3">
                  <c:v>Australia</c:v>
                </c:pt>
              </c:strCache>
            </c:strRef>
          </c:cat>
          <c:val>
            <c:numRef>
              <c:f>Fig3OP_gap_serv_mfg!$B$2:$E$2</c:f>
              <c:numCache>
                <c:formatCode>General</c:formatCode>
                <c:ptCount val="4"/>
                <c:pt idx="0">
                  <c:v>60.2</c:v>
                </c:pt>
                <c:pt idx="1">
                  <c:v>45.1</c:v>
                </c:pt>
                <c:pt idx="2">
                  <c:v>31.5</c:v>
                </c:pt>
                <c:pt idx="3">
                  <c:v>65.864333475030506</c:v>
                </c:pt>
              </c:numCache>
            </c:numRef>
          </c:val>
          <c:extLst>
            <c:ext xmlns:c16="http://schemas.microsoft.com/office/drawing/2014/chart" uri="{C3380CC4-5D6E-409C-BE32-E72D297353CC}">
              <c16:uniqueId val="{00000000-CF0C-4574-B5C9-A809D42B4DCD}"/>
            </c:ext>
          </c:extLst>
        </c:ser>
        <c:ser>
          <c:idx val="1"/>
          <c:order val="1"/>
          <c:tx>
            <c:strRef>
              <c:f>Fig3OP_gap_serv_mfg!$A$3</c:f>
              <c:strCache>
                <c:ptCount val="1"/>
                <c:pt idx="0">
                  <c:v>Services</c:v>
                </c:pt>
              </c:strCache>
            </c:strRef>
          </c:tx>
          <c:spPr>
            <a:solidFill>
              <a:schemeClr val="accent3"/>
            </a:solidFill>
            <a:ln w="25400">
              <a:noFill/>
            </a:ln>
          </c:spPr>
          <c:invertIfNegative val="0"/>
          <c:cat>
            <c:strRef>
              <c:f>Fig3OP_gap_serv_mfg!$B$1:$E$1</c:f>
              <c:strCache>
                <c:ptCount val="4"/>
                <c:pt idx="0">
                  <c:v>United States</c:v>
                </c:pt>
                <c:pt idx="1">
                  <c:v>Japan</c:v>
                </c:pt>
                <c:pt idx="2">
                  <c:v>EU</c:v>
                </c:pt>
                <c:pt idx="3">
                  <c:v>Australia</c:v>
                </c:pt>
              </c:strCache>
            </c:strRef>
          </c:cat>
          <c:val>
            <c:numRef>
              <c:f>Fig3OP_gap_serv_mfg!$B$3:$E$3</c:f>
              <c:numCache>
                <c:formatCode>General</c:formatCode>
                <c:ptCount val="4"/>
                <c:pt idx="0">
                  <c:v>43.3</c:v>
                </c:pt>
                <c:pt idx="1">
                  <c:v>-5.0999999999999996</c:v>
                </c:pt>
                <c:pt idx="2">
                  <c:v>4.2</c:v>
                </c:pt>
                <c:pt idx="3">
                  <c:v>21.045945208129947</c:v>
                </c:pt>
              </c:numCache>
            </c:numRef>
          </c:val>
          <c:extLst>
            <c:ext xmlns:c16="http://schemas.microsoft.com/office/drawing/2014/chart" uri="{C3380CC4-5D6E-409C-BE32-E72D297353CC}">
              <c16:uniqueId val="{00000001-CF0C-4574-B5C9-A809D42B4DCD}"/>
            </c:ext>
          </c:extLst>
        </c:ser>
        <c:dLbls>
          <c:showLegendKey val="0"/>
          <c:showVal val="0"/>
          <c:showCatName val="0"/>
          <c:showSerName val="0"/>
          <c:showPercent val="0"/>
          <c:showBubbleSize val="0"/>
        </c:dLbls>
        <c:gapWidth val="100"/>
        <c:axId val="195364736"/>
        <c:axId val="195366272"/>
      </c:barChart>
      <c:barChart>
        <c:barDir val="col"/>
        <c:grouping val="clustered"/>
        <c:varyColors val="0"/>
        <c:ser>
          <c:idx val="2"/>
          <c:order val="2"/>
          <c:tx>
            <c:v>DUMMY</c:v>
          </c:tx>
          <c:spPr>
            <a:noFill/>
            <a:ln w="25400">
              <a:noFill/>
            </a:ln>
            <a:effectLst/>
          </c:spPr>
          <c:invertIfNegative val="0"/>
          <c:extLst>
            <c:ext xmlns:c16="http://schemas.microsoft.com/office/drawing/2014/chart" uri="{C3380CC4-5D6E-409C-BE32-E72D297353CC}">
              <c16:uniqueId val="{00000002-CF0C-4574-B5C9-A809D42B4DCD}"/>
            </c:ext>
          </c:extLst>
        </c:ser>
        <c:dLbls>
          <c:showLegendKey val="0"/>
          <c:showVal val="0"/>
          <c:showCatName val="0"/>
          <c:showSerName val="0"/>
          <c:showPercent val="0"/>
          <c:showBubbleSize val="0"/>
        </c:dLbls>
        <c:gapWidth val="100"/>
        <c:axId val="519703568"/>
        <c:axId val="519690776"/>
      </c:barChart>
      <c:catAx>
        <c:axId val="195364736"/>
        <c:scaling>
          <c:orientation val="minMax"/>
        </c:scaling>
        <c:delete val="0"/>
        <c:axPos val="b"/>
        <c:numFmt formatCode="General" sourceLinked="0"/>
        <c:majorTickMark val="cross"/>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5366272"/>
        <c:crosses val="autoZero"/>
        <c:auto val="1"/>
        <c:lblAlgn val="ctr"/>
        <c:lblOffset val="100"/>
        <c:noMultiLvlLbl val="0"/>
      </c:catAx>
      <c:valAx>
        <c:axId val="195366272"/>
        <c:scaling>
          <c:orientation val="minMax"/>
          <c:max val="69.990000000000009"/>
          <c:min val="-10"/>
        </c:scaling>
        <c:delete val="0"/>
        <c:axPos val="l"/>
        <c:title>
          <c:tx>
            <c:rich>
              <a:bodyPr rot="0" vert="horz"/>
              <a:lstStyle/>
              <a:p>
                <a:pPr>
                  <a:defRPr sz="800" b="0" i="0" baseline="0">
                    <a:latin typeface="Arial"/>
                    <a:ea typeface="Arial"/>
                    <a:cs typeface="Arial"/>
                  </a:defRPr>
                </a:pPr>
                <a:r>
                  <a:rPr lang="en-US"/>
                  <a:t>Per cent</a:t>
                </a:r>
              </a:p>
            </c:rich>
          </c:tx>
          <c:layout>
            <c:manualLayout>
              <c:xMode val="edge"/>
              <c:yMode val="edge"/>
              <c:x val="5.234767025089606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95364736"/>
        <c:crosses val="autoZero"/>
        <c:crossBetween val="between"/>
      </c:valAx>
      <c:valAx>
        <c:axId val="519690776"/>
        <c:scaling>
          <c:orientation val="minMax"/>
          <c:max val="69.990000000000009"/>
          <c:min val="-10"/>
        </c:scaling>
        <c:delete val="0"/>
        <c:axPos val="r"/>
        <c:title>
          <c:tx>
            <c:rich>
              <a:bodyPr rot="0" vert="horz"/>
              <a:lstStyle/>
              <a:p>
                <a:pPr>
                  <a:defRPr sz="800" b="0" i="0">
                    <a:latin typeface="Arial"/>
                    <a:ea typeface="Arial"/>
                    <a:cs typeface="Arial"/>
                  </a:defRPr>
                </a:pPr>
                <a:r>
                  <a:rPr lang="en-AU"/>
                  <a:t>Per cent</a:t>
                </a:r>
              </a:p>
            </c:rich>
          </c:tx>
          <c:layout>
            <c:manualLayout>
              <c:xMode val="edge"/>
              <c:yMode val="edge"/>
              <c:x val="0.87982795698924743"/>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519703568"/>
        <c:crosses val="max"/>
        <c:crossBetween val="between"/>
        <c:majorUnit val="10"/>
        <c:minorUnit val="2"/>
      </c:valAx>
      <c:catAx>
        <c:axId val="519703568"/>
        <c:scaling>
          <c:orientation val="minMax"/>
        </c:scaling>
        <c:delete val="1"/>
        <c:axPos val="b"/>
        <c:majorTickMark val="out"/>
        <c:minorTickMark val="none"/>
        <c:tickLblPos val="nextTo"/>
        <c:crossAx val="519690776"/>
        <c:crosses val="autoZero"/>
        <c:auto val="1"/>
        <c:lblAlgn val="ctr"/>
        <c:lblOffset val="100"/>
        <c:noMultiLvlLbl val="0"/>
      </c:catAx>
      <c:spPr>
        <a:solidFill>
          <a:srgbClr val="FFFFFF"/>
        </a:solidFill>
        <a:ln w="25400">
          <a:noFill/>
        </a:ln>
        <a:extLst/>
      </c:spPr>
    </c:plotArea>
    <c:legend>
      <c:legendPos val="b"/>
      <c:legendEntry>
        <c:idx val="2"/>
        <c:delete val="1"/>
      </c:legendEntry>
      <c:layout>
        <c:manualLayout>
          <c:xMode val="edge"/>
          <c:yMode val="edge"/>
          <c:x val="0.36690501792114694"/>
          <c:y val="0.92807673611111108"/>
          <c:w val="0.26618996415770607"/>
          <c:h val="6.5464930555555551E-2"/>
        </c:manualLayout>
      </c:layout>
      <c:overlay val="0"/>
      <c:spPr>
        <a:noFill/>
        <a:ln w="25400">
          <a:noFill/>
        </a:ln>
      </c:spPr>
      <c:txPr>
        <a:bodyPr/>
        <a:lstStyle/>
        <a:p>
          <a:pPr>
            <a:defRPr sz="800" b="0" i="0">
              <a:solidFill>
                <a:srgbClr val="010000"/>
              </a:solidFill>
              <a:latin typeface="Arial"/>
              <a:ea typeface="Arial"/>
              <a:cs typeface="Arial"/>
            </a:defRPr>
          </a:pPr>
          <a:endParaRPr lang="en-US"/>
        </a:p>
      </c:txPr>
    </c:legend>
    <c:plotVisOnly val="1"/>
    <c:dispBlanksAs val="gap"/>
    <c:showDLblsOverMax val="0"/>
  </c:chart>
  <c:spPr>
    <a:solidFill>
      <a:srgbClr val="FFFFFF"/>
    </a:solidFill>
    <a:ln w="9525">
      <a:noFill/>
    </a:ln>
    <a:ex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1.5931899641577062E-2"/>
          <c:y val="1.2828282828282828E-2"/>
          <c:w val="0.98406810035842296"/>
          <c:h val="0.98075757575757561"/>
        </c:manualLayout>
      </c:layout>
      <c:barChart>
        <c:barDir val="bar"/>
        <c:grouping val="clustered"/>
        <c:varyColors val="0"/>
        <c:ser>
          <c:idx val="0"/>
          <c:order val="0"/>
          <c:spPr>
            <a:solidFill>
              <a:schemeClr val="accent1"/>
            </a:solidFill>
            <a:ln>
              <a:noFill/>
            </a:ln>
            <a:effectLst/>
          </c:spPr>
          <c:invertIfNegative val="0"/>
          <c:dPt>
            <c:idx val="5"/>
            <c:invertIfNegative val="0"/>
            <c:bubble3D val="0"/>
            <c:spPr>
              <a:solidFill>
                <a:schemeClr val="accent3"/>
              </a:solidFill>
              <a:ln>
                <a:noFill/>
              </a:ln>
              <a:effectLst/>
            </c:spPr>
            <c:extLst>
              <c:ext xmlns:c16="http://schemas.microsoft.com/office/drawing/2014/chart" uri="{C3380CC4-5D6E-409C-BE32-E72D297353CC}">
                <c16:uniqueId val="{00000001-7073-466C-B9A8-B7FDE538EC1C}"/>
              </c:ext>
            </c:extLst>
          </c:dPt>
          <c:cat>
            <c:strRef>
              <c:f>Fig4OP_gap_selected_divs!$A$1:$A$14</c:f>
              <c:strCache>
                <c:ptCount val="14"/>
                <c:pt idx="0">
                  <c:v>Information Media and Telecommunications</c:v>
                </c:pt>
                <c:pt idx="1">
                  <c:v>Manufacturing</c:v>
                </c:pt>
                <c:pt idx="2">
                  <c:v>Wholesale</c:v>
                </c:pt>
                <c:pt idx="3">
                  <c:v>Transport, Postal, and Warehousing</c:v>
                </c:pt>
                <c:pt idx="4">
                  <c:v>Construction</c:v>
                </c:pt>
                <c:pt idx="5">
                  <c:v>Average</c:v>
                </c:pt>
                <c:pt idx="6">
                  <c:v>Retail</c:v>
                </c:pt>
                <c:pt idx="7">
                  <c:v>Professional, Scientific and Technical</c:v>
                </c:pt>
                <c:pt idx="8">
                  <c:v>Arts and Recreation</c:v>
                </c:pt>
                <c:pt idx="9">
                  <c:v>Rental, Real Estate, and Hiring</c:v>
                </c:pt>
                <c:pt idx="10">
                  <c:v>Other Services</c:v>
                </c:pt>
                <c:pt idx="11">
                  <c:v>Accommodation and Food</c:v>
                </c:pt>
                <c:pt idx="12">
                  <c:v>Agriculture</c:v>
                </c:pt>
                <c:pt idx="13">
                  <c:v>Administrative Support</c:v>
                </c:pt>
              </c:strCache>
            </c:strRef>
          </c:cat>
          <c:val>
            <c:numRef>
              <c:f>Fig4OP_gap_selected_divs!$B$1:$B$14</c:f>
              <c:numCache>
                <c:formatCode>General</c:formatCode>
                <c:ptCount val="14"/>
                <c:pt idx="0">
                  <c:v>92.017821107390475</c:v>
                </c:pt>
                <c:pt idx="1">
                  <c:v>70.944712581651032</c:v>
                </c:pt>
                <c:pt idx="2">
                  <c:v>40.331037635437106</c:v>
                </c:pt>
                <c:pt idx="3">
                  <c:v>28.785880728483203</c:v>
                </c:pt>
                <c:pt idx="4">
                  <c:v>22.337202382114938</c:v>
                </c:pt>
                <c:pt idx="5">
                  <c:v>21.435613675085293</c:v>
                </c:pt>
                <c:pt idx="6">
                  <c:v>19.522804522323757</c:v>
                </c:pt>
                <c:pt idx="7">
                  <c:v>18.258178289144112</c:v>
                </c:pt>
                <c:pt idx="8">
                  <c:v>12.120163660730853</c:v>
                </c:pt>
                <c:pt idx="9">
                  <c:v>9.9049812840653182</c:v>
                </c:pt>
                <c:pt idx="10">
                  <c:v>2.9712873718794608</c:v>
                </c:pt>
                <c:pt idx="11">
                  <c:v>0.84424380641550112</c:v>
                </c:pt>
                <c:pt idx="12">
                  <c:v>-19.398102937749005</c:v>
                </c:pt>
                <c:pt idx="13">
                  <c:v>-19.977232655777975</c:v>
                </c:pt>
              </c:numCache>
            </c:numRef>
          </c:val>
          <c:extLst>
            <c:ext xmlns:c16="http://schemas.microsoft.com/office/drawing/2014/chart" uri="{C3380CC4-5D6E-409C-BE32-E72D297353CC}">
              <c16:uniqueId val="{00000002-7073-466C-B9A8-B7FDE538EC1C}"/>
            </c:ext>
          </c:extLst>
        </c:ser>
        <c:dLbls>
          <c:showLegendKey val="0"/>
          <c:showVal val="0"/>
          <c:showCatName val="0"/>
          <c:showSerName val="0"/>
          <c:showPercent val="0"/>
          <c:showBubbleSize val="0"/>
        </c:dLbls>
        <c:gapWidth val="182"/>
        <c:axId val="802121064"/>
        <c:axId val="802098760"/>
      </c:barChart>
      <c:barChart>
        <c:barDir val="bar"/>
        <c:grouping val="clustered"/>
        <c:varyColors val="0"/>
        <c:ser>
          <c:idx val="1"/>
          <c:order val="1"/>
          <c:tx>
            <c:v>DUMMY</c:v>
          </c:tx>
          <c:spPr>
            <a:noFill/>
            <a:ln w="25400">
              <a:noFill/>
            </a:ln>
            <a:effectLst/>
          </c:spPr>
          <c:invertIfNegative val="0"/>
          <c:extLst>
            <c:ext xmlns:c16="http://schemas.microsoft.com/office/drawing/2014/chart" uri="{C3380CC4-5D6E-409C-BE32-E72D297353CC}">
              <c16:uniqueId val="{00000003-7073-466C-B9A8-B7FDE538EC1C}"/>
            </c:ext>
          </c:extLst>
        </c:ser>
        <c:ser>
          <c:idx val="2"/>
          <c:order val="2"/>
          <c:tx>
            <c:v>DUMMY</c:v>
          </c:tx>
          <c:spPr>
            <a:solidFill>
              <a:schemeClr val="accent3"/>
            </a:solidFill>
            <a:ln>
              <a:noFill/>
            </a:ln>
            <a:effectLst/>
          </c:spPr>
          <c:invertIfNegative val="0"/>
          <c:extLst>
            <c:ext xmlns:c16="http://schemas.microsoft.com/office/drawing/2014/chart" uri="{C3380CC4-5D6E-409C-BE32-E72D297353CC}">
              <c16:uniqueId val="{00000004-7073-466C-B9A8-B7FDE538EC1C}"/>
            </c:ext>
          </c:extLst>
        </c:ser>
        <c:dLbls>
          <c:showLegendKey val="0"/>
          <c:showVal val="0"/>
          <c:showCatName val="0"/>
          <c:showSerName val="0"/>
          <c:showPercent val="0"/>
          <c:showBubbleSize val="0"/>
        </c:dLbls>
        <c:gapWidth val="182"/>
        <c:axId val="802101712"/>
        <c:axId val="802070552"/>
      </c:barChart>
      <c:catAx>
        <c:axId val="802121064"/>
        <c:scaling>
          <c:orientation val="minMax"/>
        </c:scaling>
        <c:delete val="0"/>
        <c:axPos val="l"/>
        <c:numFmt formatCode="General" sourceLinked="1"/>
        <c:majorTickMark val="in"/>
        <c:minorTickMark val="none"/>
        <c:tickLblPos val="low"/>
        <c:spPr>
          <a:noFill/>
          <a:ln w="9525"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802098760"/>
        <c:crosses val="autoZero"/>
        <c:auto val="1"/>
        <c:lblAlgn val="ctr"/>
        <c:lblOffset val="100"/>
        <c:noMultiLvlLbl val="0"/>
      </c:catAx>
      <c:valAx>
        <c:axId val="802098760"/>
        <c:scaling>
          <c:orientation val="minMax"/>
          <c:max val="99.990000000000009"/>
          <c:min val="-40"/>
        </c:scaling>
        <c:delete val="0"/>
        <c:axPos val="b"/>
        <c:numFmt formatCode="#,##0" sourceLinked="0"/>
        <c:majorTickMark val="cross"/>
        <c:minorTickMark val="none"/>
        <c:tickLblPos val="nextTo"/>
        <c:spPr>
          <a:noFill/>
          <a:ln w="9525">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802121064"/>
        <c:crosses val="autoZero"/>
        <c:crossBetween val="between"/>
      </c:valAx>
      <c:valAx>
        <c:axId val="802070552"/>
        <c:scaling>
          <c:orientation val="minMax"/>
          <c:max val="99.990000000000009"/>
          <c:min val="-40"/>
        </c:scaling>
        <c:delete val="1"/>
        <c:axPos val="t"/>
        <c:numFmt formatCode="#,##0" sourceLinked="0"/>
        <c:majorTickMark val="in"/>
        <c:minorTickMark val="none"/>
        <c:tickLblPos val="nextTo"/>
        <c:crossAx val="802101712"/>
        <c:crosses val="max"/>
        <c:crossBetween val="between"/>
        <c:majorUnit val="20"/>
        <c:minorUnit val="4"/>
      </c:valAx>
      <c:catAx>
        <c:axId val="802101712"/>
        <c:scaling>
          <c:orientation val="minMax"/>
        </c:scaling>
        <c:delete val="1"/>
        <c:axPos val="l"/>
        <c:majorTickMark val="out"/>
        <c:minorTickMark val="none"/>
        <c:tickLblPos val="nextTo"/>
        <c:crossAx val="802070552"/>
        <c:crosses val="autoZero"/>
        <c:auto val="1"/>
        <c:lblAlgn val="ctr"/>
        <c:lblOffset val="100"/>
        <c:noMultiLvlLbl val="0"/>
      </c:catAx>
      <c:spPr>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14:hiddenLine>
          </a:ext>
        </a:extLst>
      </c:spPr>
    </c:plotArea>
    <c:plotVisOnly val="1"/>
    <c:dispBlanksAs val="gap"/>
    <c:showDLblsOverMax val="0"/>
  </c:chart>
  <c:spPr>
    <a:noFill/>
    <a:ln w="9525" cap="flat" cmpd="sng" algn="ctr">
      <a:noFill/>
      <a:round/>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379928315412187E-2"/>
          <c:y val="3.9687500000000001E-2"/>
          <c:w val="0.98862007168458776"/>
          <c:h val="0.8801562500000002"/>
        </c:manualLayout>
      </c:layout>
      <c:lineChart>
        <c:grouping val="standard"/>
        <c:varyColors val="0"/>
        <c:ser>
          <c:idx val="0"/>
          <c:order val="0"/>
          <c:tx>
            <c:strRef>
              <c:f>Fig5jc_jd_smooth!$E$2</c:f>
              <c:strCache>
                <c:ptCount val="1"/>
                <c:pt idx="0">
                  <c:v>Annual</c:v>
                </c:pt>
              </c:strCache>
            </c:strRef>
          </c:tx>
          <c:spPr>
            <a:ln w="25400">
              <a:solidFill>
                <a:schemeClr val="accent1"/>
              </a:solidFill>
              <a:prstDash val="solid"/>
            </a:ln>
          </c:spPr>
          <c:marker>
            <c:symbol val="none"/>
          </c:marker>
          <c:cat>
            <c:numRef>
              <c:f>Fig5jc_jd_smooth!$A$3:$A$16</c:f>
              <c:numCache>
                <c:formatCode>General</c:formatCode>
                <c:ptCount val="14"/>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numCache>
            </c:numRef>
          </c:cat>
          <c:val>
            <c:numRef>
              <c:f>Fig5jc_jd_smooth!$E$3:$E$16</c:f>
              <c:numCache>
                <c:formatCode>General</c:formatCode>
                <c:ptCount val="14"/>
                <c:pt idx="0">
                  <c:v>16.32921</c:v>
                </c:pt>
                <c:pt idx="1">
                  <c:v>16.34235</c:v>
                </c:pt>
                <c:pt idx="2">
                  <c:v>17.072199999999999</c:v>
                </c:pt>
                <c:pt idx="3">
                  <c:v>17.318390000000001</c:v>
                </c:pt>
                <c:pt idx="4">
                  <c:v>16.781949999999998</c:v>
                </c:pt>
                <c:pt idx="5">
                  <c:v>15.533810000000001</c:v>
                </c:pt>
                <c:pt idx="6">
                  <c:v>16.207889999999999</c:v>
                </c:pt>
                <c:pt idx="7">
                  <c:v>15.815469999999999</c:v>
                </c:pt>
                <c:pt idx="8">
                  <c:v>13.187469999999999</c:v>
                </c:pt>
                <c:pt idx="9">
                  <c:v>14.144629999999999</c:v>
                </c:pt>
                <c:pt idx="10">
                  <c:v>15.63466</c:v>
                </c:pt>
                <c:pt idx="11">
                  <c:v>14.747059999999999</c:v>
                </c:pt>
                <c:pt idx="12">
                  <c:v>14.616770000000001</c:v>
                </c:pt>
                <c:pt idx="13">
                  <c:v>14.58629</c:v>
                </c:pt>
              </c:numCache>
            </c:numRef>
          </c:val>
          <c:smooth val="0"/>
          <c:extLst>
            <c:ext xmlns:c16="http://schemas.microsoft.com/office/drawing/2014/chart" uri="{C3380CC4-5D6E-409C-BE32-E72D297353CC}">
              <c16:uniqueId val="{00000000-19CB-4B45-8996-864F89AC69F4}"/>
            </c:ext>
          </c:extLst>
        </c:ser>
        <c:dLbls>
          <c:showLegendKey val="0"/>
          <c:showVal val="0"/>
          <c:showCatName val="0"/>
          <c:showSerName val="0"/>
          <c:showPercent val="0"/>
          <c:showBubbleSize val="0"/>
        </c:dLbls>
        <c:marker val="1"/>
        <c:smooth val="0"/>
        <c:axId val="206960896"/>
        <c:axId val="207024128"/>
      </c:lineChart>
      <c:lineChart>
        <c:grouping val="standard"/>
        <c:varyColors val="0"/>
        <c:ser>
          <c:idx val="1"/>
          <c:order val="1"/>
          <c:tx>
            <c:strRef>
              <c:f>Fig5jc_jd_smooth!$F$2</c:f>
              <c:strCache>
                <c:ptCount val="1"/>
                <c:pt idx="0">
                  <c:v>Smoothed</c:v>
                </c:pt>
              </c:strCache>
            </c:strRef>
          </c:tx>
          <c:spPr>
            <a:ln w="28575">
              <a:solidFill>
                <a:schemeClr val="accent3"/>
              </a:solidFill>
              <a:prstDash val="sysDash"/>
            </a:ln>
          </c:spPr>
          <c:marker>
            <c:symbol val="none"/>
          </c:marker>
          <c:cat>
            <c:numRef>
              <c:f>Fig5jc_jd_smooth!$A$3:$A$16</c:f>
              <c:numCache>
                <c:formatCode>General</c:formatCode>
                <c:ptCount val="14"/>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numCache>
            </c:numRef>
          </c:cat>
          <c:val>
            <c:numRef>
              <c:f>Fig5jc_jd_smooth!$F$3:$F$16</c:f>
              <c:numCache>
                <c:formatCode>General</c:formatCode>
                <c:ptCount val="14"/>
                <c:pt idx="0">
                  <c:v>16.32921</c:v>
                </c:pt>
                <c:pt idx="1">
                  <c:v>16.61224</c:v>
                </c:pt>
                <c:pt idx="2">
                  <c:v>16.875389999999999</c:v>
                </c:pt>
                <c:pt idx="3">
                  <c:v>16.989850000000001</c:v>
                </c:pt>
                <c:pt idx="4">
                  <c:v>16.884830000000001</c:v>
                </c:pt>
                <c:pt idx="5">
                  <c:v>16.49615</c:v>
                </c:pt>
                <c:pt idx="6">
                  <c:v>15.897629999999999</c:v>
                </c:pt>
                <c:pt idx="7">
                  <c:v>15.30545</c:v>
                </c:pt>
                <c:pt idx="8">
                  <c:v>14.86726</c:v>
                </c:pt>
                <c:pt idx="9">
                  <c:v>14.63022</c:v>
                </c:pt>
                <c:pt idx="10">
                  <c:v>14.56916</c:v>
                </c:pt>
                <c:pt idx="11">
                  <c:v>14.59403</c:v>
                </c:pt>
                <c:pt idx="12">
                  <c:v>14.62664</c:v>
                </c:pt>
                <c:pt idx="13">
                  <c:v>14.640090000000001</c:v>
                </c:pt>
              </c:numCache>
            </c:numRef>
          </c:val>
          <c:smooth val="0"/>
          <c:extLst>
            <c:ext xmlns:c16="http://schemas.microsoft.com/office/drawing/2014/chart" uri="{C3380CC4-5D6E-409C-BE32-E72D297353CC}">
              <c16:uniqueId val="{00000001-19CB-4B45-8996-864F89AC69F4}"/>
            </c:ext>
          </c:extLst>
        </c:ser>
        <c:ser>
          <c:idx val="2"/>
          <c:order val="2"/>
          <c:tx>
            <c:v>DUMMY</c:v>
          </c:tx>
          <c:spPr>
            <a:ln w="25400">
              <a:noFill/>
            </a:ln>
            <a:effectLst/>
          </c:spPr>
          <c:marker>
            <c:symbol val="none"/>
          </c:marker>
          <c:smooth val="0"/>
          <c:extLst>
            <c:ext xmlns:c16="http://schemas.microsoft.com/office/drawing/2014/chart" uri="{C3380CC4-5D6E-409C-BE32-E72D297353CC}">
              <c16:uniqueId val="{00000002-19CB-4B45-8996-864F89AC69F4}"/>
            </c:ext>
          </c:extLst>
        </c:ser>
        <c:dLbls>
          <c:showLegendKey val="0"/>
          <c:showVal val="0"/>
          <c:showCatName val="0"/>
          <c:showSerName val="0"/>
          <c:showPercent val="0"/>
          <c:showBubbleSize val="0"/>
        </c:dLbls>
        <c:marker val="1"/>
        <c:smooth val="0"/>
        <c:axId val="679476896"/>
        <c:axId val="679475912"/>
      </c:lineChart>
      <c:catAx>
        <c:axId val="206960896"/>
        <c:scaling>
          <c:orientation val="minMax"/>
        </c:scaling>
        <c:delete val="0"/>
        <c:axPos val="b"/>
        <c:numFmt formatCode="General" sourceLinked="1"/>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207024128"/>
        <c:crosses val="autoZero"/>
        <c:auto val="1"/>
        <c:lblAlgn val="ctr"/>
        <c:lblOffset val="100"/>
        <c:noMultiLvlLbl val="0"/>
      </c:catAx>
      <c:valAx>
        <c:axId val="207024128"/>
        <c:scaling>
          <c:orientation val="minMax"/>
          <c:max val="17.989999999999998"/>
          <c:min val="12"/>
        </c:scaling>
        <c:delete val="0"/>
        <c:axPos val="l"/>
        <c:title>
          <c:tx>
            <c:rich>
              <a:bodyPr rot="0" vert="horz"/>
              <a:lstStyle/>
              <a:p>
                <a:pPr>
                  <a:defRPr sz="800" b="0" i="0" baseline="0">
                    <a:latin typeface="Arial"/>
                    <a:ea typeface="Arial"/>
                    <a:cs typeface="Arial"/>
                  </a:defRPr>
                </a:pPr>
                <a:r>
                  <a:rPr lang="en-US"/>
                  <a:t>Per cent</a:t>
                </a:r>
              </a:p>
            </c:rich>
          </c:tx>
          <c:layout>
            <c:manualLayout>
              <c:xMode val="edge"/>
              <c:yMode val="edge"/>
              <c:x val="4.5519713261648748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206960896"/>
        <c:crosses val="autoZero"/>
        <c:crossBetween val="between"/>
      </c:valAx>
      <c:valAx>
        <c:axId val="679475912"/>
        <c:scaling>
          <c:orientation val="minMax"/>
          <c:max val="17.989999999999998"/>
          <c:min val="12"/>
        </c:scaling>
        <c:delete val="0"/>
        <c:axPos val="r"/>
        <c:title>
          <c:tx>
            <c:rich>
              <a:bodyPr rot="0" vert="horz"/>
              <a:lstStyle/>
              <a:p>
                <a:pPr>
                  <a:defRPr sz="800" b="0" i="0">
                    <a:latin typeface="Arial"/>
                    <a:ea typeface="Arial"/>
                    <a:cs typeface="Arial"/>
                  </a:defRPr>
                </a:pPr>
                <a:r>
                  <a:rPr lang="en-AU"/>
                  <a:t>Per cent</a:t>
                </a:r>
              </a:p>
            </c:rich>
          </c:tx>
          <c:layout>
            <c:manualLayout>
              <c:xMode val="edge"/>
              <c:yMode val="edge"/>
              <c:x val="0.88665591397849464"/>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679476896"/>
        <c:crosses val="max"/>
        <c:crossBetween val="between"/>
        <c:majorUnit val="1"/>
        <c:minorUnit val="0.2"/>
      </c:valAx>
      <c:catAx>
        <c:axId val="679476896"/>
        <c:scaling>
          <c:orientation val="minMax"/>
        </c:scaling>
        <c:delete val="1"/>
        <c:axPos val="b"/>
        <c:numFmt formatCode="General" sourceLinked="1"/>
        <c:majorTickMark val="out"/>
        <c:minorTickMark val="none"/>
        <c:tickLblPos val="nextTo"/>
        <c:crossAx val="679475912"/>
        <c:crosses val="autoZero"/>
        <c:auto val="1"/>
        <c:lblAlgn val="ctr"/>
        <c:lblOffset val="100"/>
        <c:noMultiLvlLbl val="0"/>
      </c:catAx>
      <c:spPr>
        <a:solidFill>
          <a:srgbClr val="FFFFFF"/>
        </a:solidFill>
        <a:ln w="25400">
          <a:noFill/>
        </a:ln>
        <a:extLst/>
      </c:spPr>
    </c:plotArea>
    <c:legend>
      <c:legendPos val="b"/>
      <c:legendEntry>
        <c:idx val="2"/>
        <c:delete val="1"/>
      </c:legendEntry>
      <c:layout/>
      <c:overlay val="0"/>
      <c:spPr>
        <a:noFill/>
        <a:ln w="25400">
          <a:noFill/>
        </a:ln>
      </c:spPr>
      <c:txPr>
        <a:bodyPr/>
        <a:lstStyle/>
        <a:p>
          <a:pPr>
            <a:defRPr sz="800" b="0" i="0">
              <a:solidFill>
                <a:srgbClr val="010000"/>
              </a:solidFill>
              <a:latin typeface="Arial"/>
              <a:ea typeface="Arial"/>
              <a:cs typeface="Arial"/>
            </a:defRPr>
          </a:pPr>
          <a:endParaRPr lang="en-US"/>
        </a:p>
      </c:txPr>
    </c:legend>
    <c:plotVisOnly val="1"/>
    <c:dispBlanksAs val="gap"/>
    <c:showDLblsOverMax val="0"/>
  </c:chart>
  <c:spPr>
    <a:solidFill>
      <a:srgbClr val="FFFFFF"/>
    </a:solidFill>
    <a:ln w="9525">
      <a:noFill/>
    </a:ln>
    <a:ex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285627748221467E-2"/>
          <c:y val="5.7844334180844746E-2"/>
          <c:w val="0.90995484560674367"/>
          <c:h val="0.72275272134368695"/>
        </c:manualLayout>
      </c:layout>
      <c:barChart>
        <c:barDir val="col"/>
        <c:grouping val="clustered"/>
        <c:varyColors val="0"/>
        <c:ser>
          <c:idx val="0"/>
          <c:order val="0"/>
          <c:tx>
            <c:strRef>
              <c:f>Fig6Emp_growth_Exit_gap!$A$3</c:f>
              <c:strCache>
                <c:ptCount val="1"/>
                <c:pt idx="0">
                  <c:v>2003</c:v>
                </c:pt>
              </c:strCache>
            </c:strRef>
          </c:tx>
          <c:spPr>
            <a:solidFill>
              <a:schemeClr val="tx2"/>
            </a:solidFill>
            <a:ln>
              <a:noFill/>
            </a:ln>
            <a:effectLst/>
          </c:spPr>
          <c:invertIfNegative val="0"/>
          <c:cat>
            <c:strRef>
              <c:f>(Fig6Emp_growth_Exit_gap!$B$2,Fig6Emp_growth_Exit_gap!$C$2,Fig6Emp_growth_Exit_gap!$D$2)</c:f>
              <c:strCache>
                <c:ptCount val="3"/>
                <c:pt idx="0">
                  <c:v>All Firms</c:v>
                </c:pt>
                <c:pt idx="1">
                  <c:v>Old Firms</c:v>
                </c:pt>
                <c:pt idx="2">
                  <c:v>Young Firms</c:v>
                </c:pt>
              </c:strCache>
            </c:strRef>
          </c:cat>
          <c:val>
            <c:numRef>
              <c:f>(Fig6Emp_growth_Exit_gap!$B$3,Fig6Emp_growth_Exit_gap!$C$3,Fig6Emp_growth_Exit_gap!$D$3)</c:f>
              <c:numCache>
                <c:formatCode>General</c:formatCode>
                <c:ptCount val="3"/>
                <c:pt idx="0">
                  <c:v>9.2035999999999998</c:v>
                </c:pt>
                <c:pt idx="1">
                  <c:v>6.5750336318111655</c:v>
                </c:pt>
                <c:pt idx="2">
                  <c:v>6.0812872109845468</c:v>
                </c:pt>
              </c:numCache>
            </c:numRef>
          </c:val>
          <c:extLst>
            <c:ext xmlns:c16="http://schemas.microsoft.com/office/drawing/2014/chart" uri="{C3380CC4-5D6E-409C-BE32-E72D297353CC}">
              <c16:uniqueId val="{00000000-D2FC-465C-8181-1C696092978B}"/>
            </c:ext>
          </c:extLst>
        </c:ser>
        <c:ser>
          <c:idx val="1"/>
          <c:order val="1"/>
          <c:tx>
            <c:strRef>
              <c:f>Fig6Emp_growth_Exit_gap!$A$4</c:f>
              <c:strCache>
                <c:ptCount val="1"/>
                <c:pt idx="0">
                  <c:v>2009</c:v>
                </c:pt>
              </c:strCache>
            </c:strRef>
          </c:tx>
          <c:spPr>
            <a:solidFill>
              <a:schemeClr val="accent5"/>
            </a:solidFill>
            <a:ln>
              <a:noFill/>
            </a:ln>
            <a:effectLst/>
          </c:spPr>
          <c:invertIfNegative val="0"/>
          <c:cat>
            <c:strRef>
              <c:f>(Fig6Emp_growth_Exit_gap!$B$2,Fig6Emp_growth_Exit_gap!$C$2,Fig6Emp_growth_Exit_gap!$D$2)</c:f>
              <c:strCache>
                <c:ptCount val="3"/>
                <c:pt idx="0">
                  <c:v>All Firms</c:v>
                </c:pt>
                <c:pt idx="1">
                  <c:v>Old Firms</c:v>
                </c:pt>
                <c:pt idx="2">
                  <c:v>Young Firms</c:v>
                </c:pt>
              </c:strCache>
            </c:strRef>
          </c:cat>
          <c:val>
            <c:numRef>
              <c:f>(Fig6Emp_growth_Exit_gap!$B$4,Fig6Emp_growth_Exit_gap!$C$4,Fig6Emp_growth_Exit_gap!$D$4)</c:f>
              <c:numCache>
                <c:formatCode>General</c:formatCode>
                <c:ptCount val="3"/>
                <c:pt idx="0">
                  <c:v>9.7620439999999995</c:v>
                </c:pt>
                <c:pt idx="1">
                  <c:v>5.3863311105606968</c:v>
                </c:pt>
                <c:pt idx="2">
                  <c:v>7.1242593755249857</c:v>
                </c:pt>
              </c:numCache>
            </c:numRef>
          </c:val>
          <c:extLst>
            <c:ext xmlns:c16="http://schemas.microsoft.com/office/drawing/2014/chart" uri="{C3380CC4-5D6E-409C-BE32-E72D297353CC}">
              <c16:uniqueId val="{00000001-D2FC-465C-8181-1C696092978B}"/>
            </c:ext>
          </c:extLst>
        </c:ser>
        <c:ser>
          <c:idx val="2"/>
          <c:order val="2"/>
          <c:tx>
            <c:strRef>
              <c:f>Fig6Emp_growth_Exit_gap!$A$5</c:f>
              <c:strCache>
                <c:ptCount val="1"/>
                <c:pt idx="0">
                  <c:v>2016</c:v>
                </c:pt>
              </c:strCache>
            </c:strRef>
          </c:tx>
          <c:spPr>
            <a:solidFill>
              <a:schemeClr val="accent2"/>
            </a:solidFill>
            <a:ln>
              <a:noFill/>
            </a:ln>
            <a:effectLst/>
          </c:spPr>
          <c:invertIfNegative val="0"/>
          <c:cat>
            <c:strRef>
              <c:f>(Fig6Emp_growth_Exit_gap!$B$2,Fig6Emp_growth_Exit_gap!$C$2,Fig6Emp_growth_Exit_gap!$D$2)</c:f>
              <c:strCache>
                <c:ptCount val="3"/>
                <c:pt idx="0">
                  <c:v>All Firms</c:v>
                </c:pt>
                <c:pt idx="1">
                  <c:v>Old Firms</c:v>
                </c:pt>
                <c:pt idx="2">
                  <c:v>Young Firms</c:v>
                </c:pt>
              </c:strCache>
            </c:strRef>
          </c:cat>
          <c:val>
            <c:numRef>
              <c:f>(Fig6Emp_growth_Exit_gap!$B$5,Fig6Emp_growth_Exit_gap!$C$5,Fig6Emp_growth_Exit_gap!$D$5)</c:f>
              <c:numCache>
                <c:formatCode>General</c:formatCode>
                <c:ptCount val="3"/>
                <c:pt idx="0">
                  <c:v>6.9973310000000009</c:v>
                </c:pt>
                <c:pt idx="1">
                  <c:v>4.6587400181893805</c:v>
                </c:pt>
                <c:pt idx="2">
                  <c:v>5.2856630988847213</c:v>
                </c:pt>
              </c:numCache>
            </c:numRef>
          </c:val>
          <c:extLst>
            <c:ext xmlns:c16="http://schemas.microsoft.com/office/drawing/2014/chart" uri="{C3380CC4-5D6E-409C-BE32-E72D297353CC}">
              <c16:uniqueId val="{00000002-D2FC-465C-8181-1C696092978B}"/>
            </c:ext>
          </c:extLst>
        </c:ser>
        <c:dLbls>
          <c:showLegendKey val="0"/>
          <c:showVal val="0"/>
          <c:showCatName val="0"/>
          <c:showSerName val="0"/>
          <c:showPercent val="0"/>
          <c:showBubbleSize val="0"/>
        </c:dLbls>
        <c:gapWidth val="100"/>
        <c:axId val="855264104"/>
        <c:axId val="855294280"/>
      </c:barChart>
      <c:barChart>
        <c:barDir val="col"/>
        <c:grouping val="clustered"/>
        <c:varyColors val="0"/>
        <c:ser>
          <c:idx val="3"/>
          <c:order val="3"/>
          <c:tx>
            <c:v>DUMMY</c:v>
          </c:tx>
          <c:spPr>
            <a:noFill/>
            <a:ln w="25400">
              <a:noFill/>
            </a:ln>
            <a:effectLst/>
          </c:spPr>
          <c:invertIfNegative val="0"/>
          <c:extLst>
            <c:ext xmlns:c16="http://schemas.microsoft.com/office/drawing/2014/chart" uri="{C3380CC4-5D6E-409C-BE32-E72D297353CC}">
              <c16:uniqueId val="{00000003-D2FC-465C-8181-1C696092978B}"/>
            </c:ext>
          </c:extLst>
        </c:ser>
        <c:dLbls>
          <c:showLegendKey val="0"/>
          <c:showVal val="0"/>
          <c:showCatName val="0"/>
          <c:showSerName val="0"/>
          <c:showPercent val="0"/>
          <c:showBubbleSize val="0"/>
        </c:dLbls>
        <c:gapWidth val="100"/>
        <c:axId val="691873848"/>
        <c:axId val="691870896"/>
      </c:barChart>
      <c:catAx>
        <c:axId val="855264104"/>
        <c:scaling>
          <c:orientation val="minMax"/>
        </c:scaling>
        <c:delete val="0"/>
        <c:axPos val="b"/>
        <c:numFmt formatCode="General" sourceLinked="1"/>
        <c:majorTickMark val="in"/>
        <c:minorTickMark val="none"/>
        <c:tickLblPos val="low"/>
        <c:spPr>
          <a:noFill/>
          <a:ln w="12700"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855294280"/>
        <c:crosses val="autoZero"/>
        <c:auto val="1"/>
        <c:lblAlgn val="ctr"/>
        <c:lblOffset val="100"/>
        <c:noMultiLvlLbl val="0"/>
      </c:catAx>
      <c:valAx>
        <c:axId val="855294280"/>
        <c:scaling>
          <c:orientation val="minMax"/>
          <c:max val="11.99"/>
          <c:min val="0"/>
        </c:scaling>
        <c:delete val="0"/>
        <c:axPos val="l"/>
        <c:title>
          <c:tx>
            <c:rich>
              <a:bodyPr rot="0" spcFirstLastPara="1" vertOverflow="ellipsis" wrap="square" anchor="ctr" anchorCtr="1"/>
              <a:lstStyle/>
              <a:p>
                <a:pPr>
                  <a:defRPr sz="800" b="0" i="0" u="none" strike="noStrike" kern="1200" baseline="0">
                    <a:solidFill>
                      <a:srgbClr val="333333"/>
                    </a:solidFill>
                    <a:latin typeface="Arial"/>
                    <a:ea typeface="Arial"/>
                    <a:cs typeface="Arial"/>
                  </a:defRPr>
                </a:pPr>
                <a:r>
                  <a:rPr lang="en-US"/>
                  <a:t>Percentage points</a:t>
                </a:r>
              </a:p>
            </c:rich>
          </c:tx>
          <c:layout>
            <c:manualLayout>
              <c:xMode val="edge"/>
              <c:yMode val="edge"/>
              <c:x val="4.0967741935483873E-2"/>
              <c:y val="0"/>
            </c:manualLayout>
          </c:layout>
          <c:overlay val="0"/>
          <c:spPr>
            <a:noFill/>
            <a:ln>
              <a:noFill/>
            </a:ln>
            <a:effectLst/>
          </c:spPr>
          <c:txPr>
            <a:bodyPr rot="0" spcFirstLastPara="1" vertOverflow="ellipsis" wrap="square" anchor="ctr" anchorCtr="1"/>
            <a:lstStyle/>
            <a:p>
              <a:pPr>
                <a:defRPr sz="800" b="0" i="0" u="none" strike="noStrike" kern="1200" baseline="0">
                  <a:solidFill>
                    <a:srgbClr val="333333"/>
                  </a:solidFill>
                  <a:latin typeface="Arial"/>
                  <a:ea typeface="Arial"/>
                  <a:cs typeface="Arial"/>
                </a:defRPr>
              </a:pPr>
              <a:endParaRPr lang="en-US"/>
            </a:p>
          </c:txPr>
        </c:title>
        <c:numFmt formatCode="#,##0" sourceLinked="0"/>
        <c:majorTickMark val="in"/>
        <c:minorTickMark val="none"/>
        <c:tickLblPos val="nextTo"/>
        <c:spPr>
          <a:noFill/>
          <a:ln w="12700">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855264104"/>
        <c:crosses val="autoZero"/>
        <c:crossBetween val="between"/>
      </c:valAx>
      <c:valAx>
        <c:axId val="691870896"/>
        <c:scaling>
          <c:orientation val="minMax"/>
          <c:max val="11.99"/>
          <c:min val="0"/>
        </c:scaling>
        <c:delete val="0"/>
        <c:axPos val="r"/>
        <c:title>
          <c:tx>
            <c:rich>
              <a:bodyPr rot="0" spcFirstLastPara="1" vertOverflow="ellipsis" wrap="square" anchor="ctr" anchorCtr="1"/>
              <a:lstStyle/>
              <a:p>
                <a:pPr>
                  <a:defRPr sz="800" b="0" i="0" u="none" strike="noStrike" kern="1200" baseline="0">
                    <a:solidFill>
                      <a:srgbClr val="333333"/>
                    </a:solidFill>
                    <a:latin typeface="Arial"/>
                    <a:ea typeface="Arial"/>
                    <a:cs typeface="Arial"/>
                  </a:defRPr>
                </a:pPr>
                <a:r>
                  <a:rPr lang="en-AU"/>
                  <a:t>Percentage points</a:t>
                </a:r>
              </a:p>
            </c:rich>
          </c:tx>
          <c:layout>
            <c:manualLayout>
              <c:xMode val="edge"/>
              <c:yMode val="edge"/>
              <c:x val="0.80767921146953392"/>
              <c:y val="0"/>
            </c:manualLayout>
          </c:layout>
          <c:overlay val="0"/>
          <c:spPr>
            <a:noFill/>
            <a:ln>
              <a:noFill/>
            </a:ln>
            <a:effectLst/>
          </c:spPr>
          <c:txPr>
            <a:bodyPr rot="0" spcFirstLastPara="1" vertOverflow="ellipsis" wrap="square" anchor="ctr" anchorCtr="1"/>
            <a:lstStyle/>
            <a:p>
              <a:pPr>
                <a:defRPr sz="800" b="0" i="0" u="none" strike="noStrike" kern="1200" baseline="0">
                  <a:solidFill>
                    <a:srgbClr val="333333"/>
                  </a:solidFill>
                  <a:latin typeface="Arial"/>
                  <a:ea typeface="Arial"/>
                  <a:cs typeface="Arial"/>
                </a:defRPr>
              </a:pPr>
              <a:endParaRPr lang="en-US"/>
            </a:p>
          </c:txPr>
        </c:title>
        <c:numFmt formatCode="#,##0" sourceLinked="0"/>
        <c:majorTickMark val="in"/>
        <c:minorTickMark val="none"/>
        <c:tickLblPos val="nextTo"/>
        <c:spPr>
          <a:noFill/>
          <a:ln w="12700">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91873848"/>
        <c:crosses val="max"/>
        <c:crossBetween val="between"/>
        <c:majorUnit val="2"/>
        <c:minorUnit val="0.4"/>
      </c:valAx>
      <c:catAx>
        <c:axId val="691873848"/>
        <c:scaling>
          <c:orientation val="minMax"/>
        </c:scaling>
        <c:delete val="1"/>
        <c:axPos val="b"/>
        <c:majorTickMark val="out"/>
        <c:minorTickMark val="none"/>
        <c:tickLblPos val="nextTo"/>
        <c:crossAx val="691870896"/>
        <c:crosses val="autoZero"/>
        <c:auto val="1"/>
        <c:lblAlgn val="ctr"/>
        <c:lblOffset val="100"/>
        <c:noMultiLvlLbl val="0"/>
      </c:catAx>
      <c:spPr>
        <a:solidFill>
          <a:srgbClr val="FFFFFF"/>
        </a:solidFill>
        <a:ln>
          <a:noFill/>
        </a:ln>
        <a:effectLst/>
        <a:extLst>
          <a:ext uri="{91240B29-F687-4F45-9708-019B960494DF}">
            <a14:hiddenLine xmlns:a14="http://schemas.microsoft.com/office/drawing/2010/main">
              <a:noFill/>
            </a14:hiddenLine>
          </a:ext>
        </a:extLst>
      </c:spPr>
    </c:plotArea>
    <c:legend>
      <c:legendPos val="b"/>
      <c:legendEntry>
        <c:idx val="3"/>
        <c:delete val="1"/>
      </c:legendEntry>
      <c:layout>
        <c:manualLayout>
          <c:xMode val="edge"/>
          <c:yMode val="edge"/>
          <c:x val="0.37592434779725598"/>
          <c:y val="9.3380097057878725E-2"/>
          <c:w val="0.21173351254480285"/>
          <c:h val="6.5464930555555551E-2"/>
        </c:manualLayout>
      </c:layout>
      <c:overlay val="0"/>
      <c:spPr>
        <a:noFill/>
        <a:ln w="25400">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a:ea typeface="Arial"/>
              <a:cs typeface="Arial"/>
            </a:defRPr>
          </a:pPr>
          <a:endParaRPr lang="en-US"/>
        </a:p>
      </c:txPr>
    </c:legend>
    <c:plotVisOnly val="1"/>
    <c:dispBlanksAs val="gap"/>
    <c:showDLblsOverMax val="0"/>
  </c:chart>
  <c:spPr>
    <a:solidFill>
      <a:srgbClr val="FFFFFF"/>
    </a:solidFill>
    <a:ln w="9525" cap="flat" cmpd="sng" algn="ctr">
      <a:noFill/>
      <a:round/>
    </a:ln>
    <a:effectLst/>
    <a:extLs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6.4944444444444444E-2"/>
          <c:y val="5.938784722222222E-2"/>
          <c:w val="0.88459498207885301"/>
          <c:h val="0.85489236111111111"/>
        </c:manualLayout>
      </c:layout>
      <c:barChart>
        <c:barDir val="col"/>
        <c:grouping val="clustered"/>
        <c:varyColors val="0"/>
        <c:ser>
          <c:idx val="0"/>
          <c:order val="0"/>
          <c:tx>
            <c:strRef>
              <c:f>'Fig7a_Counterfactual_RE (va'!$B$2</c:f>
              <c:strCache>
                <c:ptCount val="1"/>
                <c:pt idx="0">
                  <c:v>Value-added per FTE</c:v>
                </c:pt>
              </c:strCache>
            </c:strRef>
          </c:tx>
          <c:spPr>
            <a:solidFill>
              <a:schemeClr val="accent1">
                <a:shade val="76000"/>
              </a:schemeClr>
            </a:solidFill>
            <a:ln>
              <a:noFill/>
            </a:ln>
            <a:effectLst/>
          </c:spPr>
          <c:invertIfNegative val="0"/>
          <c:cat>
            <c:numRef>
              <c:f>'Fig7a_Counterfactual_RE (va'!$A$3:$A$15</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'Fig7a_Counterfactual_RE (va'!$B$3:$B$15</c:f>
              <c:numCache>
                <c:formatCode>General</c:formatCode>
                <c:ptCount val="13"/>
                <c:pt idx="0">
                  <c:v>-1.2023799999999999E-2</c:v>
                </c:pt>
                <c:pt idx="1">
                  <c:v>7.5332200000000002E-2</c:v>
                </c:pt>
                <c:pt idx="2">
                  <c:v>0.20365720000000001</c:v>
                </c:pt>
                <c:pt idx="3">
                  <c:v>0.26069599999999998</c:v>
                </c:pt>
                <c:pt idx="4">
                  <c:v>0.1987236</c:v>
                </c:pt>
                <c:pt idx="5">
                  <c:v>0.24487980000000001</c:v>
                </c:pt>
                <c:pt idx="6">
                  <c:v>0.12598329999999999</c:v>
                </c:pt>
                <c:pt idx="7">
                  <c:v>0.13753850000000001</c:v>
                </c:pt>
                <c:pt idx="8">
                  <c:v>5.2835600000000003E-2</c:v>
                </c:pt>
                <c:pt idx="9">
                  <c:v>-2.49348E-2</c:v>
                </c:pt>
                <c:pt idx="10">
                  <c:v>-0.1349929</c:v>
                </c:pt>
                <c:pt idx="11">
                  <c:v>-0.23689730000000001</c:v>
                </c:pt>
                <c:pt idx="12">
                  <c:v>-0.3202178</c:v>
                </c:pt>
              </c:numCache>
            </c:numRef>
          </c:val>
          <c:extLst>
            <c:ext xmlns:c16="http://schemas.microsoft.com/office/drawing/2014/chart" uri="{C3380CC4-5D6E-409C-BE32-E72D297353CC}">
              <c16:uniqueId val="{00000000-EB00-4FAD-9D61-3D27CA21B7CB}"/>
            </c:ext>
          </c:extLst>
        </c:ser>
        <c:dLbls>
          <c:showLegendKey val="0"/>
          <c:showVal val="0"/>
          <c:showCatName val="0"/>
          <c:showSerName val="0"/>
          <c:showPercent val="0"/>
          <c:showBubbleSize val="0"/>
        </c:dLbls>
        <c:gapWidth val="100"/>
        <c:axId val="208493568"/>
        <c:axId val="219124480"/>
      </c:barChart>
      <c:barChart>
        <c:barDir val="col"/>
        <c:grouping val="clustered"/>
        <c:varyColors val="0"/>
        <c:ser>
          <c:idx val="1"/>
          <c:order val="1"/>
          <c:tx>
            <c:v>DUMMY</c:v>
          </c:tx>
          <c:spPr>
            <a:noFill/>
            <a:ln w="25400">
              <a:noFill/>
            </a:ln>
            <a:effectLst/>
          </c:spPr>
          <c:invertIfNegative val="0"/>
          <c:extLst>
            <c:ext xmlns:c16="http://schemas.microsoft.com/office/drawing/2014/chart" uri="{C3380CC4-5D6E-409C-BE32-E72D297353CC}">
              <c16:uniqueId val="{00000001-EB00-4FAD-9D61-3D27CA21B7CB}"/>
            </c:ext>
          </c:extLst>
        </c:ser>
        <c:dLbls>
          <c:showLegendKey val="0"/>
          <c:showVal val="0"/>
          <c:showCatName val="0"/>
          <c:showSerName val="0"/>
          <c:showPercent val="0"/>
          <c:showBubbleSize val="0"/>
        </c:dLbls>
        <c:gapWidth val="100"/>
        <c:axId val="692325072"/>
        <c:axId val="692324088"/>
      </c:barChart>
      <c:catAx>
        <c:axId val="208493568"/>
        <c:scaling>
          <c:orientation val="minMax"/>
        </c:scaling>
        <c:delete val="0"/>
        <c:axPos val="b"/>
        <c:numFmt formatCode="General" sourceLinked="1"/>
        <c:majorTickMark val="cross"/>
        <c:minorTickMark val="none"/>
        <c:tickLblPos val="low"/>
        <c:spPr>
          <a:noFill/>
          <a:ln w="12700"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219124480"/>
        <c:crosses val="autoZero"/>
        <c:auto val="1"/>
        <c:lblAlgn val="ctr"/>
        <c:lblOffset val="100"/>
        <c:noMultiLvlLbl val="0"/>
      </c:catAx>
      <c:valAx>
        <c:axId val="219124480"/>
        <c:scaling>
          <c:orientation val="minMax"/>
          <c:max val="0.39900000000000008"/>
          <c:min val="-0.4"/>
        </c:scaling>
        <c:delete val="0"/>
        <c:axPos val="l"/>
        <c:title>
          <c:tx>
            <c:rich>
              <a:bodyPr rot="0" spcFirstLastPara="1" vertOverflow="ellipsis" wrap="square" anchor="ctr" anchorCtr="1"/>
              <a:lstStyle/>
              <a:p>
                <a:pPr>
                  <a:defRPr sz="800" b="0" i="0" u="none" strike="noStrike" kern="1200" baseline="0">
                    <a:solidFill>
                      <a:srgbClr val="000000"/>
                    </a:solidFill>
                    <a:latin typeface="Arial"/>
                    <a:ea typeface="Arial"/>
                    <a:cs typeface="Arial"/>
                  </a:defRPr>
                </a:pPr>
                <a:r>
                  <a:rPr lang="en-US"/>
                  <a:t>Per cent</a:t>
                </a:r>
              </a:p>
            </c:rich>
          </c:tx>
          <c:layout>
            <c:manualLayout>
              <c:xMode val="edge"/>
              <c:yMode val="edge"/>
              <c:x val="5.9175627240143372E-2"/>
              <c:y val="0"/>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a:ea typeface="Arial"/>
                  <a:cs typeface="Arial"/>
                </a:defRPr>
              </a:pPr>
              <a:endParaRPr lang="en-US"/>
            </a:p>
          </c:txPr>
        </c:title>
        <c:numFmt formatCode="#,##0.0" sourceLinked="0"/>
        <c:majorTickMark val="in"/>
        <c:minorTickMark val="none"/>
        <c:tickLblPos val="nextTo"/>
        <c:spPr>
          <a:noFill/>
          <a:ln w="12700"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208493568"/>
        <c:crossesAt val="1"/>
        <c:crossBetween val="between"/>
      </c:valAx>
      <c:valAx>
        <c:axId val="692324088"/>
        <c:scaling>
          <c:orientation val="minMax"/>
          <c:max val="0.39900000000000008"/>
          <c:min val="-0.4"/>
        </c:scaling>
        <c:delete val="0"/>
        <c:axPos val="r"/>
        <c:title>
          <c:tx>
            <c:rich>
              <a:bodyPr rot="0" spcFirstLastPara="1" vertOverflow="ellipsis" wrap="square" anchor="ctr" anchorCtr="1"/>
              <a:lstStyle/>
              <a:p>
                <a:pPr>
                  <a:defRPr sz="800" b="0" i="0" u="none" strike="noStrike" kern="1200" baseline="0">
                    <a:solidFill>
                      <a:srgbClr val="000000"/>
                    </a:solidFill>
                    <a:latin typeface="Arial"/>
                    <a:ea typeface="Arial"/>
                    <a:cs typeface="Arial"/>
                  </a:defRPr>
                </a:pPr>
                <a:r>
                  <a:rPr lang="en-AU"/>
                  <a:t>Per cent</a:t>
                </a:r>
              </a:p>
            </c:rich>
          </c:tx>
          <c:layout>
            <c:manualLayout>
              <c:xMode val="edge"/>
              <c:yMode val="edge"/>
              <c:x val="0.8752759856630824"/>
              <c:y val="0"/>
            </c:manualLayout>
          </c:layout>
          <c:overlay val="0"/>
          <c:spPr>
            <a:noFill/>
            <a:ln>
              <a:noFill/>
            </a:ln>
            <a:effectLst/>
          </c:spPr>
          <c:txPr>
            <a:bodyPr rot="0" spcFirstLastPara="1" vertOverflow="ellipsis" wrap="square" anchor="ctr" anchorCtr="1"/>
            <a:lstStyle/>
            <a:p>
              <a:pPr>
                <a:defRPr sz="800" b="0" i="0" u="none" strike="noStrike" kern="1200" baseline="0">
                  <a:solidFill>
                    <a:srgbClr val="000000"/>
                  </a:solidFill>
                  <a:latin typeface="Arial"/>
                  <a:ea typeface="Arial"/>
                  <a:cs typeface="Arial"/>
                </a:defRPr>
              </a:pPr>
              <a:endParaRPr lang="en-US"/>
            </a:p>
          </c:txPr>
        </c:title>
        <c:numFmt formatCode="#,##0.0" sourceLinked="0"/>
        <c:majorTickMark val="in"/>
        <c:minorTickMark val="none"/>
        <c:tickLblPos val="nextTo"/>
        <c:spPr>
          <a:noFill/>
          <a:ln w="12700"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92325072"/>
        <c:crosses val="max"/>
        <c:crossBetween val="between"/>
        <c:majorUnit val="0.1"/>
        <c:minorUnit val="0.02"/>
      </c:valAx>
      <c:catAx>
        <c:axId val="692325072"/>
        <c:scaling>
          <c:orientation val="minMax"/>
        </c:scaling>
        <c:delete val="1"/>
        <c:axPos val="b"/>
        <c:majorTickMark val="out"/>
        <c:minorTickMark val="none"/>
        <c:tickLblPos val="nextTo"/>
        <c:crossAx val="692324088"/>
        <c:crosses val="autoZero"/>
        <c:auto val="1"/>
        <c:lblAlgn val="ctr"/>
        <c:lblOffset val="100"/>
        <c:noMultiLvlLbl val="0"/>
      </c:catAx>
      <c:spPr>
        <a:solidFill>
          <a:srgbClr val="FFFFFF"/>
        </a:solidFill>
        <a:ln w="25400">
          <a:noFill/>
        </a:ln>
        <a:effectLst/>
        <a:extLst/>
      </c:spPr>
    </c:plotArea>
    <c:plotVisOnly val="1"/>
    <c:dispBlanksAs val="gap"/>
    <c:showDLblsOverMax val="0"/>
  </c:chart>
  <c:spPr>
    <a:solidFill>
      <a:srgbClr val="FFFFFF"/>
    </a:solidFill>
    <a:ln w="9525" cap="flat" cmpd="sng" algn="ctr">
      <a:noFill/>
      <a:prstDash val="solid"/>
      <a:round/>
    </a:ln>
    <a:effectLst/>
    <a:ex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1.5931899641577062E-2"/>
          <c:y val="3.9687500000000001E-2"/>
          <c:w val="0.98406810035842296"/>
          <c:h val="0.8801562500000002"/>
        </c:manualLayout>
      </c:layout>
      <c:barChart>
        <c:barDir val="col"/>
        <c:grouping val="stacked"/>
        <c:varyColors val="0"/>
        <c:ser>
          <c:idx val="0"/>
          <c:order val="0"/>
          <c:tx>
            <c:strRef>
              <c:f>'http://tweb/sites/cssg/ped/pu/pt/2019/Treasury Working Papers/2019-06 Productivity-Enhancing Labour Reallocation in Australia/[Aggregate_Business_Sector_LP.xlsx]Sheet1'!$O$45</c:f>
              <c:strCache>
                <c:ptCount val="1"/>
                <c:pt idx="0">
                  <c:v>Actual</c:v>
                </c:pt>
              </c:strCache>
            </c:strRef>
          </c:tx>
          <c:spPr>
            <a:solidFill>
              <a:schemeClr val="accent1"/>
            </a:solidFill>
            <a:ln>
              <a:noFill/>
            </a:ln>
            <a:effectLst/>
          </c:spPr>
          <c:invertIfNegative val="0"/>
          <c:cat>
            <c:strRef>
              <c:f>[2]Sheet1!$P$44:$Q$44</c:f>
              <c:strCache>
                <c:ptCount val="2"/>
                <c:pt idx="0">
                  <c:v>2003-2012</c:v>
                </c:pt>
                <c:pt idx="1">
                  <c:v>2012-2016</c:v>
                </c:pt>
              </c:strCache>
            </c:strRef>
          </c:cat>
          <c:val>
            <c:numRef>
              <c:f>[2]Sheet1!$P$45:$Q$45</c:f>
              <c:numCache>
                <c:formatCode>General</c:formatCode>
                <c:ptCount val="2"/>
                <c:pt idx="0">
                  <c:v>1.62</c:v>
                </c:pt>
                <c:pt idx="1">
                  <c:v>0.99</c:v>
                </c:pt>
              </c:numCache>
            </c:numRef>
          </c:val>
          <c:extLst>
            <c:ext xmlns:c16="http://schemas.microsoft.com/office/drawing/2014/chart" uri="{C3380CC4-5D6E-409C-BE32-E72D297353CC}">
              <c16:uniqueId val="{00000000-BC4E-4FA3-94AE-90BD83078835}"/>
            </c:ext>
          </c:extLst>
        </c:ser>
        <c:ser>
          <c:idx val="1"/>
          <c:order val="1"/>
          <c:tx>
            <c:strRef>
              <c:f>'http://tweb/sites/cssg/ped/pu/pt/2019/Treasury Working Papers/2019-06 Productivity-Enhancing Labour Reallocation in Australia/[Aggregate_Business_Sector_LP.xlsx]Sheet1'!$O$46</c:f>
              <c:strCache>
                <c:ptCount val="1"/>
                <c:pt idx="0">
                  <c:v>Counterfactual</c:v>
                </c:pt>
              </c:strCache>
            </c:strRef>
          </c:tx>
          <c:spPr>
            <a:solidFill>
              <a:schemeClr val="accent3"/>
            </a:solidFill>
            <a:ln>
              <a:noFill/>
            </a:ln>
            <a:effectLst/>
          </c:spPr>
          <c:invertIfNegative val="0"/>
          <c:cat>
            <c:strRef>
              <c:f>[2]Sheet1!$P$44:$Q$44</c:f>
              <c:strCache>
                <c:ptCount val="2"/>
                <c:pt idx="0">
                  <c:v>2003-2012</c:v>
                </c:pt>
                <c:pt idx="1">
                  <c:v>2012-2016</c:v>
                </c:pt>
              </c:strCache>
            </c:strRef>
          </c:cat>
          <c:val>
            <c:numRef>
              <c:f>[2]Sheet1!$P$46:$Q$46</c:f>
              <c:numCache>
                <c:formatCode>General</c:formatCode>
                <c:ptCount val="2"/>
                <c:pt idx="0">
                  <c:v>0</c:v>
                </c:pt>
                <c:pt idx="1">
                  <c:v>0.15</c:v>
                </c:pt>
              </c:numCache>
            </c:numRef>
          </c:val>
          <c:extLst>
            <c:ext xmlns:c16="http://schemas.microsoft.com/office/drawing/2014/chart" uri="{C3380CC4-5D6E-409C-BE32-E72D297353CC}">
              <c16:uniqueId val="{00000001-BC4E-4FA3-94AE-90BD83078835}"/>
            </c:ext>
          </c:extLst>
        </c:ser>
        <c:dLbls>
          <c:showLegendKey val="0"/>
          <c:showVal val="0"/>
          <c:showCatName val="0"/>
          <c:showSerName val="0"/>
          <c:showPercent val="0"/>
          <c:showBubbleSize val="0"/>
        </c:dLbls>
        <c:gapWidth val="100"/>
        <c:overlap val="100"/>
        <c:axId val="855309040"/>
        <c:axId val="855316584"/>
      </c:barChart>
      <c:barChart>
        <c:barDir val="col"/>
        <c:grouping val="stacked"/>
        <c:varyColors val="0"/>
        <c:ser>
          <c:idx val="2"/>
          <c:order val="2"/>
          <c:tx>
            <c:v>DUMMY</c:v>
          </c:tx>
          <c:spPr>
            <a:noFill/>
            <a:ln w="25400">
              <a:noFill/>
            </a:ln>
            <a:effectLst/>
          </c:spPr>
          <c:invertIfNegative val="0"/>
          <c:extLst>
            <c:ext xmlns:c16="http://schemas.microsoft.com/office/drawing/2014/chart" uri="{C3380CC4-5D6E-409C-BE32-E72D297353CC}">
              <c16:uniqueId val="{00000002-BC4E-4FA3-94AE-90BD83078835}"/>
            </c:ext>
          </c:extLst>
        </c:ser>
        <c:dLbls>
          <c:showLegendKey val="0"/>
          <c:showVal val="0"/>
          <c:showCatName val="0"/>
          <c:showSerName val="0"/>
          <c:showPercent val="0"/>
          <c:showBubbleSize val="0"/>
        </c:dLbls>
        <c:gapWidth val="100"/>
        <c:overlap val="100"/>
        <c:axId val="692006336"/>
        <c:axId val="692005352"/>
      </c:barChart>
      <c:catAx>
        <c:axId val="855309040"/>
        <c:scaling>
          <c:orientation val="minMax"/>
        </c:scaling>
        <c:delete val="0"/>
        <c:axPos val="b"/>
        <c:numFmt formatCode="General" sourceLinked="1"/>
        <c:majorTickMark val="in"/>
        <c:minorTickMark val="none"/>
        <c:tickLblPos val="low"/>
        <c:spPr>
          <a:noFill/>
          <a:ln w="12700" cap="flat" cmpd="sng" algn="ctr">
            <a:solidFill>
              <a:srgbClr val="80808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855316584"/>
        <c:crosses val="autoZero"/>
        <c:auto val="1"/>
        <c:lblAlgn val="ctr"/>
        <c:lblOffset val="100"/>
        <c:noMultiLvlLbl val="0"/>
      </c:catAx>
      <c:valAx>
        <c:axId val="855316584"/>
        <c:scaling>
          <c:orientation val="minMax"/>
          <c:max val="1.7900000000000003"/>
          <c:min val="0"/>
        </c:scaling>
        <c:delete val="0"/>
        <c:axPos val="l"/>
        <c:title>
          <c:tx>
            <c:rich>
              <a:bodyPr rot="0" spcFirstLastPara="1" vertOverflow="ellipsis" wrap="square" anchor="ctr" anchorCtr="1"/>
              <a:lstStyle/>
              <a:p>
                <a:pPr>
                  <a:defRPr sz="800" b="0" i="0" u="none" strike="noStrike" kern="1200" baseline="0">
                    <a:solidFill>
                      <a:srgbClr val="333333"/>
                    </a:solidFill>
                    <a:latin typeface="Arial"/>
                    <a:ea typeface="Arial"/>
                    <a:cs typeface="Arial"/>
                  </a:defRPr>
                </a:pPr>
                <a:r>
                  <a:rPr lang="en-US"/>
                  <a:t>Per cent</a:t>
                </a:r>
              </a:p>
            </c:rich>
          </c:tx>
          <c:layout>
            <c:manualLayout>
              <c:xMode val="edge"/>
              <c:yMode val="edge"/>
              <c:x val="5.6899641577060935E-2"/>
              <c:y val="0"/>
            </c:manualLayout>
          </c:layout>
          <c:overlay val="0"/>
          <c:spPr>
            <a:noFill/>
            <a:ln>
              <a:noFill/>
            </a:ln>
            <a:effectLst/>
          </c:spPr>
          <c:txPr>
            <a:bodyPr rot="0" spcFirstLastPara="1" vertOverflow="ellipsis" wrap="square" anchor="ctr" anchorCtr="1"/>
            <a:lstStyle/>
            <a:p>
              <a:pPr>
                <a:defRPr sz="800" b="0" i="0" u="none" strike="noStrike" kern="1200" baseline="0">
                  <a:solidFill>
                    <a:srgbClr val="333333"/>
                  </a:solidFill>
                  <a:latin typeface="Arial"/>
                  <a:ea typeface="Arial"/>
                  <a:cs typeface="Arial"/>
                </a:defRPr>
              </a:pPr>
              <a:endParaRPr lang="en-US"/>
            </a:p>
          </c:txPr>
        </c:title>
        <c:numFmt formatCode="#,##0.0" sourceLinked="0"/>
        <c:majorTickMark val="in"/>
        <c:minorTickMark val="none"/>
        <c:tickLblPos val="nextTo"/>
        <c:spPr>
          <a:noFill/>
          <a:ln w="12700">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855309040"/>
        <c:crosses val="autoZero"/>
        <c:crossBetween val="between"/>
      </c:valAx>
      <c:valAx>
        <c:axId val="692005352"/>
        <c:scaling>
          <c:orientation val="minMax"/>
          <c:max val="1.7900000000000003"/>
          <c:min val="0"/>
        </c:scaling>
        <c:delete val="0"/>
        <c:axPos val="r"/>
        <c:title>
          <c:tx>
            <c:rich>
              <a:bodyPr rot="0" spcFirstLastPara="1" vertOverflow="ellipsis" wrap="square" anchor="ctr" anchorCtr="1"/>
              <a:lstStyle/>
              <a:p>
                <a:pPr>
                  <a:defRPr sz="800" b="0" i="0" u="none" strike="noStrike" kern="1200" baseline="0">
                    <a:solidFill>
                      <a:srgbClr val="333333"/>
                    </a:solidFill>
                    <a:latin typeface="Arial"/>
                    <a:ea typeface="Arial"/>
                    <a:cs typeface="Arial"/>
                  </a:defRPr>
                </a:pPr>
                <a:r>
                  <a:rPr lang="en-AU"/>
                  <a:t>Per cent</a:t>
                </a:r>
              </a:p>
            </c:rich>
          </c:tx>
          <c:layout>
            <c:manualLayout>
              <c:xMode val="edge"/>
              <c:yMode val="edge"/>
              <c:x val="0.87982795698924743"/>
              <c:y val="0"/>
            </c:manualLayout>
          </c:layout>
          <c:overlay val="0"/>
          <c:spPr>
            <a:noFill/>
            <a:ln>
              <a:noFill/>
            </a:ln>
            <a:effectLst/>
          </c:spPr>
          <c:txPr>
            <a:bodyPr rot="0" spcFirstLastPara="1" vertOverflow="ellipsis" wrap="square" anchor="ctr" anchorCtr="1"/>
            <a:lstStyle/>
            <a:p>
              <a:pPr>
                <a:defRPr sz="800" b="0" i="0" u="none" strike="noStrike" kern="1200" baseline="0">
                  <a:solidFill>
                    <a:srgbClr val="333333"/>
                  </a:solidFill>
                  <a:latin typeface="Arial"/>
                  <a:ea typeface="Arial"/>
                  <a:cs typeface="Arial"/>
                </a:defRPr>
              </a:pPr>
              <a:endParaRPr lang="en-US"/>
            </a:p>
          </c:txPr>
        </c:title>
        <c:numFmt formatCode="#,##0.0" sourceLinked="0"/>
        <c:majorTickMark val="in"/>
        <c:minorTickMark val="none"/>
        <c:tickLblPos val="nextTo"/>
        <c:spPr>
          <a:noFill/>
          <a:ln w="12700">
            <a:solidFill>
              <a:srgbClr val="808080"/>
            </a:solidFill>
            <a:prstDash val="soli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692006336"/>
        <c:crosses val="max"/>
        <c:crossBetween val="between"/>
        <c:majorUnit val="0.2"/>
        <c:minorUnit val="0.04"/>
      </c:valAx>
      <c:catAx>
        <c:axId val="692006336"/>
        <c:scaling>
          <c:orientation val="minMax"/>
        </c:scaling>
        <c:delete val="1"/>
        <c:axPos val="b"/>
        <c:majorTickMark val="out"/>
        <c:minorTickMark val="none"/>
        <c:tickLblPos val="nextTo"/>
        <c:crossAx val="692005352"/>
        <c:crosses val="autoZero"/>
        <c:auto val="1"/>
        <c:lblAlgn val="ctr"/>
        <c:lblOffset val="100"/>
        <c:noMultiLvlLbl val="0"/>
      </c:catAx>
      <c:spPr>
        <a:solidFill>
          <a:srgbClr val="FFFFFF"/>
        </a:solidFill>
        <a:ln>
          <a:noFill/>
        </a:ln>
        <a:effectLst/>
        <a:extLst>
          <a:ext uri="{91240B29-F687-4F45-9708-019B960494DF}">
            <a14:hiddenLine xmlns:a14="http://schemas.microsoft.com/office/drawing/2010/main">
              <a:noFill/>
            </a14:hiddenLine>
          </a:ext>
        </a:extLst>
      </c:spPr>
    </c:plotArea>
    <c:legend>
      <c:legendPos val="b"/>
      <c:legendEntry>
        <c:idx val="2"/>
        <c:delete val="1"/>
      </c:legendEntry>
      <c:layout/>
      <c:overlay val="0"/>
      <c:spPr>
        <a:noFill/>
        <a:ln w="25400">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a:ea typeface="Arial"/>
              <a:cs typeface="Arial"/>
            </a:defRPr>
          </a:pPr>
          <a:endParaRPr lang="en-US"/>
        </a:p>
      </c:txPr>
    </c:legend>
    <c:plotVisOnly val="1"/>
    <c:dispBlanksAs val="gap"/>
    <c:showDLblsOverMax val="0"/>
  </c:chart>
  <c:spPr>
    <a:solidFill>
      <a:srgbClr val="FFFFFF"/>
    </a:solidFill>
    <a:ln w="9525" cap="flat" cmpd="sng" algn="ctr">
      <a:noFill/>
      <a:round/>
    </a:ln>
    <a:effectLst/>
    <a:extLs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xMode val="edge"/>
          <c:yMode val="edge"/>
          <c:x val="1.1265863966466757E-2"/>
          <c:y val="4.2333333333333334E-2"/>
          <c:w val="0.98873413603353322"/>
          <c:h val="0.95766666666666667"/>
        </c:manualLayout>
      </c:layout>
      <c:lineChart>
        <c:grouping val="standard"/>
        <c:varyColors val="0"/>
        <c:ser>
          <c:idx val="0"/>
          <c:order val="0"/>
          <c:spPr>
            <a:ln w="28575">
              <a:solidFill>
                <a:schemeClr val="accent3"/>
              </a:solidFill>
            </a:ln>
          </c:spPr>
          <c:marker>
            <c:symbol val="none"/>
          </c:marker>
          <c:cat>
            <c:numRef>
              <c:f>'DATA NAB'!$AK$3:$DS$3</c:f>
              <c:numCache>
                <c:formatCode>mmm\-yy</c:formatCode>
                <c:ptCount val="87"/>
                <c:pt idx="0">
                  <c:v>35855</c:v>
                </c:pt>
                <c:pt idx="1">
                  <c:v>35947</c:v>
                </c:pt>
                <c:pt idx="2">
                  <c:v>36039</c:v>
                </c:pt>
                <c:pt idx="3">
                  <c:v>36130</c:v>
                </c:pt>
                <c:pt idx="4">
                  <c:v>36220</c:v>
                </c:pt>
                <c:pt idx="5">
                  <c:v>36312</c:v>
                </c:pt>
                <c:pt idx="6">
                  <c:v>36404</c:v>
                </c:pt>
                <c:pt idx="7">
                  <c:v>36495</c:v>
                </c:pt>
                <c:pt idx="8">
                  <c:v>36586</c:v>
                </c:pt>
                <c:pt idx="9">
                  <c:v>36678</c:v>
                </c:pt>
                <c:pt idx="10">
                  <c:v>36770</c:v>
                </c:pt>
                <c:pt idx="11">
                  <c:v>36861</c:v>
                </c:pt>
                <c:pt idx="12">
                  <c:v>36951</c:v>
                </c:pt>
                <c:pt idx="13">
                  <c:v>37043</c:v>
                </c:pt>
                <c:pt idx="14">
                  <c:v>37135</c:v>
                </c:pt>
                <c:pt idx="15">
                  <c:v>37226</c:v>
                </c:pt>
                <c:pt idx="16">
                  <c:v>37316</c:v>
                </c:pt>
                <c:pt idx="17">
                  <c:v>37408</c:v>
                </c:pt>
                <c:pt idx="18">
                  <c:v>37500</c:v>
                </c:pt>
                <c:pt idx="19">
                  <c:v>37591</c:v>
                </c:pt>
                <c:pt idx="20">
                  <c:v>37681</c:v>
                </c:pt>
                <c:pt idx="21">
                  <c:v>37773</c:v>
                </c:pt>
                <c:pt idx="22">
                  <c:v>37865</c:v>
                </c:pt>
                <c:pt idx="23">
                  <c:v>37956</c:v>
                </c:pt>
                <c:pt idx="24">
                  <c:v>38047</c:v>
                </c:pt>
                <c:pt idx="25">
                  <c:v>38139</c:v>
                </c:pt>
                <c:pt idx="26">
                  <c:v>38231</c:v>
                </c:pt>
                <c:pt idx="27">
                  <c:v>38322</c:v>
                </c:pt>
                <c:pt idx="28">
                  <c:v>38412</c:v>
                </c:pt>
                <c:pt idx="29">
                  <c:v>38504</c:v>
                </c:pt>
                <c:pt idx="30">
                  <c:v>38596</c:v>
                </c:pt>
                <c:pt idx="31">
                  <c:v>38687</c:v>
                </c:pt>
                <c:pt idx="32">
                  <c:v>38777</c:v>
                </c:pt>
                <c:pt idx="33">
                  <c:v>38869</c:v>
                </c:pt>
                <c:pt idx="34">
                  <c:v>38961</c:v>
                </c:pt>
                <c:pt idx="35">
                  <c:v>39052</c:v>
                </c:pt>
                <c:pt idx="36">
                  <c:v>39142</c:v>
                </c:pt>
                <c:pt idx="37">
                  <c:v>39234</c:v>
                </c:pt>
                <c:pt idx="38">
                  <c:v>39326</c:v>
                </c:pt>
                <c:pt idx="39">
                  <c:v>39417</c:v>
                </c:pt>
                <c:pt idx="40">
                  <c:v>39508</c:v>
                </c:pt>
                <c:pt idx="41">
                  <c:v>39600</c:v>
                </c:pt>
                <c:pt idx="42">
                  <c:v>39692</c:v>
                </c:pt>
                <c:pt idx="43">
                  <c:v>39783</c:v>
                </c:pt>
                <c:pt idx="44">
                  <c:v>39873</c:v>
                </c:pt>
                <c:pt idx="45">
                  <c:v>39965</c:v>
                </c:pt>
                <c:pt idx="46">
                  <c:v>40057</c:v>
                </c:pt>
                <c:pt idx="47">
                  <c:v>40148</c:v>
                </c:pt>
                <c:pt idx="48">
                  <c:v>40238</c:v>
                </c:pt>
                <c:pt idx="49">
                  <c:v>40330</c:v>
                </c:pt>
                <c:pt idx="50">
                  <c:v>40422</c:v>
                </c:pt>
                <c:pt idx="51">
                  <c:v>40513</c:v>
                </c:pt>
                <c:pt idx="52">
                  <c:v>40603</c:v>
                </c:pt>
                <c:pt idx="53">
                  <c:v>40695</c:v>
                </c:pt>
                <c:pt idx="54">
                  <c:v>40787</c:v>
                </c:pt>
                <c:pt idx="55">
                  <c:v>40878</c:v>
                </c:pt>
                <c:pt idx="56">
                  <c:v>40969</c:v>
                </c:pt>
                <c:pt idx="57">
                  <c:v>41061</c:v>
                </c:pt>
                <c:pt idx="58">
                  <c:v>41153</c:v>
                </c:pt>
                <c:pt idx="59">
                  <c:v>41244</c:v>
                </c:pt>
                <c:pt idx="60">
                  <c:v>41334</c:v>
                </c:pt>
                <c:pt idx="61">
                  <c:v>41426</c:v>
                </c:pt>
                <c:pt idx="62">
                  <c:v>41518</c:v>
                </c:pt>
                <c:pt idx="63">
                  <c:v>41609</c:v>
                </c:pt>
                <c:pt idx="64">
                  <c:v>41699</c:v>
                </c:pt>
                <c:pt idx="65">
                  <c:v>41791</c:v>
                </c:pt>
                <c:pt idx="66">
                  <c:v>41883</c:v>
                </c:pt>
                <c:pt idx="67">
                  <c:v>41974</c:v>
                </c:pt>
                <c:pt idx="68">
                  <c:v>42064</c:v>
                </c:pt>
                <c:pt idx="69">
                  <c:v>42156</c:v>
                </c:pt>
                <c:pt idx="70">
                  <c:v>42248</c:v>
                </c:pt>
                <c:pt idx="71">
                  <c:v>42339</c:v>
                </c:pt>
                <c:pt idx="72">
                  <c:v>42430</c:v>
                </c:pt>
                <c:pt idx="73">
                  <c:v>42522</c:v>
                </c:pt>
                <c:pt idx="74">
                  <c:v>42614</c:v>
                </c:pt>
                <c:pt idx="75">
                  <c:v>42705</c:v>
                </c:pt>
                <c:pt idx="76">
                  <c:v>42795</c:v>
                </c:pt>
                <c:pt idx="77">
                  <c:v>42887</c:v>
                </c:pt>
                <c:pt idx="78">
                  <c:v>42979</c:v>
                </c:pt>
                <c:pt idx="79">
                  <c:v>43070</c:v>
                </c:pt>
                <c:pt idx="80">
                  <c:v>43160</c:v>
                </c:pt>
                <c:pt idx="81">
                  <c:v>43252</c:v>
                </c:pt>
                <c:pt idx="82">
                  <c:v>43344</c:v>
                </c:pt>
                <c:pt idx="83">
                  <c:v>43435</c:v>
                </c:pt>
                <c:pt idx="84">
                  <c:v>43525</c:v>
                </c:pt>
                <c:pt idx="85">
                  <c:v>43617</c:v>
                </c:pt>
                <c:pt idx="86">
                  <c:v>43709</c:v>
                </c:pt>
              </c:numCache>
            </c:numRef>
          </c:cat>
          <c:val>
            <c:numRef>
              <c:f>'DATA NAB'!$AK$6:$DS$6</c:f>
              <c:numCache>
                <c:formatCode>General</c:formatCode>
                <c:ptCount val="87"/>
                <c:pt idx="0">
                  <c:v>36.800000000000004</c:v>
                </c:pt>
                <c:pt idx="1">
                  <c:v>35.31</c:v>
                </c:pt>
                <c:pt idx="2">
                  <c:v>34.47</c:v>
                </c:pt>
                <c:pt idx="3">
                  <c:v>36.980000000000004</c:v>
                </c:pt>
                <c:pt idx="4">
                  <c:v>40.690000000000005</c:v>
                </c:pt>
                <c:pt idx="5">
                  <c:v>39.89</c:v>
                </c:pt>
                <c:pt idx="6">
                  <c:v>43.550000000000004</c:v>
                </c:pt>
                <c:pt idx="7">
                  <c:v>45.5</c:v>
                </c:pt>
                <c:pt idx="8">
                  <c:v>45.449999999999996</c:v>
                </c:pt>
                <c:pt idx="9">
                  <c:v>44.853875476493016</c:v>
                </c:pt>
                <c:pt idx="10">
                  <c:v>42.875</c:v>
                </c:pt>
                <c:pt idx="11">
                  <c:v>40.831295843520785</c:v>
                </c:pt>
                <c:pt idx="12">
                  <c:v>36.720554272517319</c:v>
                </c:pt>
                <c:pt idx="13">
                  <c:v>36.553238199780459</c:v>
                </c:pt>
                <c:pt idx="14">
                  <c:v>37.792642140468232</c:v>
                </c:pt>
                <c:pt idx="15">
                  <c:v>34.213421342134218</c:v>
                </c:pt>
                <c:pt idx="16">
                  <c:v>39.31339977851605</c:v>
                </c:pt>
                <c:pt idx="17">
                  <c:v>42.584269662921344</c:v>
                </c:pt>
                <c:pt idx="18">
                  <c:v>44.292237442922378</c:v>
                </c:pt>
                <c:pt idx="19">
                  <c:v>43.568945538818078</c:v>
                </c:pt>
                <c:pt idx="20">
                  <c:v>44.945054945054942</c:v>
                </c:pt>
                <c:pt idx="21">
                  <c:v>45.704467353951891</c:v>
                </c:pt>
                <c:pt idx="22">
                  <c:v>43.314285714285717</c:v>
                </c:pt>
                <c:pt idx="23">
                  <c:v>50.448430493273541</c:v>
                </c:pt>
                <c:pt idx="24">
                  <c:v>49.063231850117099</c:v>
                </c:pt>
                <c:pt idx="25">
                  <c:v>49.186046511627907</c:v>
                </c:pt>
                <c:pt idx="26">
                  <c:v>52.349726775956285</c:v>
                </c:pt>
                <c:pt idx="27">
                  <c:v>57.619577308120135</c:v>
                </c:pt>
                <c:pt idx="28">
                  <c:v>60.026737967914443</c:v>
                </c:pt>
                <c:pt idx="29">
                  <c:v>56.51537335285505</c:v>
                </c:pt>
                <c:pt idx="30">
                  <c:v>56.464088397790057</c:v>
                </c:pt>
                <c:pt idx="31">
                  <c:v>59.845132743362839</c:v>
                </c:pt>
                <c:pt idx="32">
                  <c:v>57.609921082299891</c:v>
                </c:pt>
                <c:pt idx="33">
                  <c:v>60.961968680089484</c:v>
                </c:pt>
                <c:pt idx="34">
                  <c:v>65.559246954595793</c:v>
                </c:pt>
                <c:pt idx="35">
                  <c:v>63.100436681222718</c:v>
                </c:pt>
                <c:pt idx="36">
                  <c:v>64.132762312633844</c:v>
                </c:pt>
                <c:pt idx="37">
                  <c:v>65.874730021598268</c:v>
                </c:pt>
                <c:pt idx="38">
                  <c:v>66.073414905450505</c:v>
                </c:pt>
                <c:pt idx="39">
                  <c:v>68.181818181818187</c:v>
                </c:pt>
                <c:pt idx="40">
                  <c:v>71.923937360178968</c:v>
                </c:pt>
                <c:pt idx="41">
                  <c:v>66.155531215772186</c:v>
                </c:pt>
                <c:pt idx="42">
                  <c:v>63.576881134133046</c:v>
                </c:pt>
                <c:pt idx="43">
                  <c:v>47.844827586206897</c:v>
                </c:pt>
                <c:pt idx="44">
                  <c:v>29.70620239390642</c:v>
                </c:pt>
                <c:pt idx="45">
                  <c:v>25.913978494623656</c:v>
                </c:pt>
                <c:pt idx="46">
                  <c:v>32.047159699892823</c:v>
                </c:pt>
                <c:pt idx="47">
                  <c:v>38.105489773950481</c:v>
                </c:pt>
                <c:pt idx="48">
                  <c:v>40.371991247264766</c:v>
                </c:pt>
                <c:pt idx="49">
                  <c:v>43.13940724478595</c:v>
                </c:pt>
                <c:pt idx="50">
                  <c:v>42.047930283224403</c:v>
                </c:pt>
                <c:pt idx="51">
                  <c:v>48.264642082429503</c:v>
                </c:pt>
                <c:pt idx="52">
                  <c:v>43.857758620689658</c:v>
                </c:pt>
                <c:pt idx="53">
                  <c:v>47.339847991313789</c:v>
                </c:pt>
                <c:pt idx="54">
                  <c:v>48.468271334792128</c:v>
                </c:pt>
                <c:pt idx="55">
                  <c:v>49.235807860262</c:v>
                </c:pt>
                <c:pt idx="56">
                  <c:v>47.854785478547853</c:v>
                </c:pt>
                <c:pt idx="57">
                  <c:v>44.065934065934066</c:v>
                </c:pt>
                <c:pt idx="58">
                  <c:v>44.082519001085778</c:v>
                </c:pt>
                <c:pt idx="59">
                  <c:v>38.995726495726494</c:v>
                </c:pt>
                <c:pt idx="60">
                  <c:v>38.906752411575567</c:v>
                </c:pt>
                <c:pt idx="61">
                  <c:v>32.48898678414097</c:v>
                </c:pt>
                <c:pt idx="62">
                  <c:v>32.938643702906347</c:v>
                </c:pt>
                <c:pt idx="63">
                  <c:v>33.039647577092509</c:v>
                </c:pt>
                <c:pt idx="64">
                  <c:v>35.522066738428421</c:v>
                </c:pt>
                <c:pt idx="65">
                  <c:v>36.887921653971709</c:v>
                </c:pt>
                <c:pt idx="66">
                  <c:v>35.332606324972737</c:v>
                </c:pt>
                <c:pt idx="67">
                  <c:v>36.092715231788077</c:v>
                </c:pt>
                <c:pt idx="68">
                  <c:v>34.408602150537639</c:v>
                </c:pt>
                <c:pt idx="69">
                  <c:v>33.515881708652792</c:v>
                </c:pt>
                <c:pt idx="70">
                  <c:v>37.053087757313108</c:v>
                </c:pt>
                <c:pt idx="71">
                  <c:v>38.840262582056887</c:v>
                </c:pt>
                <c:pt idx="72">
                  <c:v>40.481400437636765</c:v>
                </c:pt>
                <c:pt idx="73">
                  <c:v>37.609649122807021</c:v>
                </c:pt>
                <c:pt idx="74">
                  <c:v>40.914036996735589</c:v>
                </c:pt>
                <c:pt idx="75">
                  <c:v>44.030668127053673</c:v>
                </c:pt>
                <c:pt idx="76">
                  <c:v>46.666666666666671</c:v>
                </c:pt>
                <c:pt idx="77">
                  <c:v>45.545657015590194</c:v>
                </c:pt>
                <c:pt idx="78">
                  <c:v>53.135313531353134</c:v>
                </c:pt>
                <c:pt idx="79">
                  <c:v>55.506607929515418</c:v>
                </c:pt>
                <c:pt idx="80">
                  <c:v>58.643326039387311</c:v>
                </c:pt>
                <c:pt idx="81">
                  <c:v>57.807308970099669</c:v>
                </c:pt>
                <c:pt idx="82">
                  <c:v>57.846506300114541</c:v>
                </c:pt>
                <c:pt idx="83">
                  <c:v>59.914255091103968</c:v>
                </c:pt>
                <c:pt idx="84">
                  <c:v>57.947019867549663</c:v>
                </c:pt>
                <c:pt idx="85">
                  <c:v>58.868335146898815</c:v>
                </c:pt>
                <c:pt idx="86">
                  <c:v>60.043907793633366</c:v>
                </c:pt>
              </c:numCache>
            </c:numRef>
          </c:val>
          <c:smooth val="0"/>
          <c:extLst>
            <c:ext xmlns:c16="http://schemas.microsoft.com/office/drawing/2014/chart" uri="{C3380CC4-5D6E-409C-BE32-E72D297353CC}">
              <c16:uniqueId val="{00000000-ABCC-4B03-8044-D2CFF2DC3E9D}"/>
            </c:ext>
          </c:extLst>
        </c:ser>
        <c:dLbls>
          <c:showLegendKey val="0"/>
          <c:showVal val="0"/>
          <c:showCatName val="0"/>
          <c:showSerName val="0"/>
          <c:showPercent val="0"/>
          <c:showBubbleSize val="0"/>
        </c:dLbls>
        <c:marker val="1"/>
        <c:smooth val="0"/>
        <c:axId val="204364800"/>
        <c:axId val="206467840"/>
      </c:lineChart>
      <c:lineChart>
        <c:grouping val="standard"/>
        <c:varyColors val="0"/>
        <c:ser>
          <c:idx val="1"/>
          <c:order val="1"/>
          <c:spPr>
            <a:ln w="28575">
              <a:solidFill>
                <a:schemeClr val="accent1"/>
              </a:solidFill>
            </a:ln>
          </c:spPr>
          <c:marker>
            <c:symbol val="none"/>
          </c:marker>
          <c:val>
            <c:numRef>
              <c:f>'DATA NAB'!$AK$10:$DS$10</c:f>
              <c:numCache>
                <c:formatCode>General</c:formatCode>
                <c:ptCount val="87"/>
                <c:pt idx="2">
                  <c:v>3.3033033033033092</c:v>
                </c:pt>
                <c:pt idx="3">
                  <c:v>3.125</c:v>
                </c:pt>
                <c:pt idx="4">
                  <c:v>3.097345132743385</c:v>
                </c:pt>
                <c:pt idx="5">
                  <c:v>3.0746705710102447</c:v>
                </c:pt>
                <c:pt idx="6">
                  <c:v>3.0523255813953654</c:v>
                </c:pt>
                <c:pt idx="7">
                  <c:v>3.0303030303030454</c:v>
                </c:pt>
                <c:pt idx="8">
                  <c:v>2.718168812589397</c:v>
                </c:pt>
                <c:pt idx="9">
                  <c:v>2.9829545454545467</c:v>
                </c:pt>
                <c:pt idx="10">
                  <c:v>3.1029619181946089</c:v>
                </c:pt>
                <c:pt idx="11">
                  <c:v>3.3613445378151141</c:v>
                </c:pt>
                <c:pt idx="12">
                  <c:v>3.7604456824512624</c:v>
                </c:pt>
                <c:pt idx="13">
                  <c:v>3.7241379310344769</c:v>
                </c:pt>
                <c:pt idx="14">
                  <c:v>3.5567715458276581</c:v>
                </c:pt>
                <c:pt idx="15">
                  <c:v>3.3875338753387467</c:v>
                </c:pt>
                <c:pt idx="16">
                  <c:v>3.2214765100671201</c:v>
                </c:pt>
                <c:pt idx="17">
                  <c:v>3.0585106382978751</c:v>
                </c:pt>
                <c:pt idx="18">
                  <c:v>3.3025099075297106</c:v>
                </c:pt>
                <c:pt idx="19">
                  <c:v>3.4076015727392104</c:v>
                </c:pt>
                <c:pt idx="20">
                  <c:v>3.6410923276983169</c:v>
                </c:pt>
                <c:pt idx="21">
                  <c:v>3.6129032258064484</c:v>
                </c:pt>
                <c:pt idx="22">
                  <c:v>3.5805626598465494</c:v>
                </c:pt>
                <c:pt idx="23">
                  <c:v>3.6755386565272374</c:v>
                </c:pt>
                <c:pt idx="24">
                  <c:v>3.5131744040150608</c:v>
                </c:pt>
                <c:pt idx="25">
                  <c:v>3.486924034869233</c:v>
                </c:pt>
                <c:pt idx="26">
                  <c:v>3.5802469135802539</c:v>
                </c:pt>
                <c:pt idx="27">
                  <c:v>3.6674816625916833</c:v>
                </c:pt>
                <c:pt idx="28">
                  <c:v>3.8787878787878753</c:v>
                </c:pt>
                <c:pt idx="29">
                  <c:v>4.0914560770156356</c:v>
                </c:pt>
                <c:pt idx="30">
                  <c:v>4.1716328963051268</c:v>
                </c:pt>
                <c:pt idx="31">
                  <c:v>4.0094339622641684</c:v>
                </c:pt>
                <c:pt idx="32">
                  <c:v>4.084014002333717</c:v>
                </c:pt>
                <c:pt idx="33">
                  <c:v>4.1618497109826507</c:v>
                </c:pt>
                <c:pt idx="34">
                  <c:v>4.0045766590389036</c:v>
                </c:pt>
                <c:pt idx="35">
                  <c:v>4.195011337868479</c:v>
                </c:pt>
                <c:pt idx="36">
                  <c:v>4.0358744394618782</c:v>
                </c:pt>
                <c:pt idx="37">
                  <c:v>3.9955604883462854</c:v>
                </c:pt>
                <c:pt idx="38">
                  <c:v>4.1804180418041739</c:v>
                </c:pt>
                <c:pt idx="39">
                  <c:v>4.0261153427638732</c:v>
                </c:pt>
                <c:pt idx="40">
                  <c:v>3.9870689655172384</c:v>
                </c:pt>
                <c:pt idx="41">
                  <c:v>4.2689434364994554</c:v>
                </c:pt>
                <c:pt idx="42">
                  <c:v>4.223864836325248</c:v>
                </c:pt>
                <c:pt idx="43">
                  <c:v>4.2887029288702934</c:v>
                </c:pt>
                <c:pt idx="44">
                  <c:v>4.2487046632124361</c:v>
                </c:pt>
                <c:pt idx="45">
                  <c:v>3.6847492323439042</c:v>
                </c:pt>
                <c:pt idx="46">
                  <c:v>3.1408308004052543</c:v>
                </c:pt>
                <c:pt idx="47">
                  <c:v>2.9087261785355878</c:v>
                </c:pt>
                <c:pt idx="48">
                  <c:v>2.9821073558648123</c:v>
                </c:pt>
                <c:pt idx="49">
                  <c:v>3.0602171767028636</c:v>
                </c:pt>
                <c:pt idx="50">
                  <c:v>3.6345776031434269</c:v>
                </c:pt>
                <c:pt idx="51">
                  <c:v>3.8986354775828431</c:v>
                </c:pt>
                <c:pt idx="52">
                  <c:v>3.8610038610038515</c:v>
                </c:pt>
                <c:pt idx="53">
                  <c:v>3.8314176245210803</c:v>
                </c:pt>
                <c:pt idx="54">
                  <c:v>3.6966824644549803</c:v>
                </c:pt>
                <c:pt idx="55">
                  <c:v>3.5647279549718718</c:v>
                </c:pt>
                <c:pt idx="56">
                  <c:v>3.6245353159851419</c:v>
                </c:pt>
                <c:pt idx="57">
                  <c:v>3.7822878228782173</c:v>
                </c:pt>
                <c:pt idx="58">
                  <c:v>3.656307129798904</c:v>
                </c:pt>
                <c:pt idx="59">
                  <c:v>3.4420289855072497</c:v>
                </c:pt>
                <c:pt idx="60">
                  <c:v>3.1390134529148099</c:v>
                </c:pt>
                <c:pt idx="61">
                  <c:v>2.8444444444444485</c:v>
                </c:pt>
                <c:pt idx="62">
                  <c:v>2.6455026455026456</c:v>
                </c:pt>
                <c:pt idx="63">
                  <c:v>2.6269702276707534</c:v>
                </c:pt>
                <c:pt idx="64">
                  <c:v>2.6956521739130324</c:v>
                </c:pt>
                <c:pt idx="65">
                  <c:v>2.5929127052722691</c:v>
                </c:pt>
                <c:pt idx="66">
                  <c:v>2.5773195876288639</c:v>
                </c:pt>
                <c:pt idx="67">
                  <c:v>2.4744027303754308</c:v>
                </c:pt>
                <c:pt idx="68">
                  <c:v>2.2861981371718798</c:v>
                </c:pt>
                <c:pt idx="69">
                  <c:v>2.2746419545071745</c:v>
                </c:pt>
                <c:pt idx="70">
                  <c:v>2.2613065326632977</c:v>
                </c:pt>
                <c:pt idx="71">
                  <c:v>2.1648626144879444</c:v>
                </c:pt>
                <c:pt idx="72">
                  <c:v>2.0695364238410718</c:v>
                </c:pt>
                <c:pt idx="73">
                  <c:v>2.0593080724876387</c:v>
                </c:pt>
                <c:pt idx="74">
                  <c:v>1.8837018837018888</c:v>
                </c:pt>
                <c:pt idx="75">
                  <c:v>1.874490627546848</c:v>
                </c:pt>
                <c:pt idx="76">
                  <c:v>1.9464720194647214</c:v>
                </c:pt>
                <c:pt idx="77">
                  <c:v>1.9370460048426139</c:v>
                </c:pt>
                <c:pt idx="78">
                  <c:v>2.0096463022508004</c:v>
                </c:pt>
                <c:pt idx="79">
                  <c:v>2.0799999999999983</c:v>
                </c:pt>
                <c:pt idx="80">
                  <c:v>2.0684168655529049</c:v>
                </c:pt>
                <c:pt idx="81">
                  <c:v>2.1377672209026173</c:v>
                </c:pt>
                <c:pt idx="82">
                  <c:v>2.2852639873916587</c:v>
                </c:pt>
                <c:pt idx="83">
                  <c:v>2.2727272727272663</c:v>
                </c:pt>
                <c:pt idx="84">
                  <c:v>2.3382696804364684</c:v>
                </c:pt>
                <c:pt idx="85">
                  <c:v>2.3255813953488484</c:v>
                </c:pt>
                <c:pt idx="86">
                  <c:v>2.2342064714945877</c:v>
                </c:pt>
              </c:numCache>
            </c:numRef>
          </c:val>
          <c:smooth val="0"/>
          <c:extLst>
            <c:ext xmlns:c16="http://schemas.microsoft.com/office/drawing/2014/chart" uri="{C3380CC4-5D6E-409C-BE32-E72D297353CC}">
              <c16:uniqueId val="{00000001-ABCC-4B03-8044-D2CFF2DC3E9D}"/>
            </c:ext>
          </c:extLst>
        </c:ser>
        <c:ser>
          <c:idx val="2"/>
          <c:order val="2"/>
          <c:tx>
            <c:v>DUMMY</c:v>
          </c:tx>
          <c:spPr>
            <a:ln w="25400">
              <a:noFill/>
            </a:ln>
            <a:effectLst/>
          </c:spPr>
          <c:marker>
            <c:symbol val="none"/>
          </c:marker>
          <c:smooth val="0"/>
          <c:extLst>
            <c:ext xmlns:c16="http://schemas.microsoft.com/office/drawing/2014/chart" uri="{C3380CC4-5D6E-409C-BE32-E72D297353CC}">
              <c16:uniqueId val="{00000002-ABCC-4B03-8044-D2CFF2DC3E9D}"/>
            </c:ext>
          </c:extLst>
        </c:ser>
        <c:dLbls>
          <c:showLegendKey val="0"/>
          <c:showVal val="0"/>
          <c:showCatName val="0"/>
          <c:showSerName val="0"/>
          <c:showPercent val="0"/>
          <c:showBubbleSize val="0"/>
        </c:dLbls>
        <c:marker val="1"/>
        <c:smooth val="0"/>
        <c:axId val="196236800"/>
        <c:axId val="196235264"/>
      </c:lineChart>
      <c:dateAx>
        <c:axId val="204364800"/>
        <c:scaling>
          <c:orientation val="minMax"/>
          <c:max val="43709"/>
          <c:min val="36039"/>
        </c:scaling>
        <c:delete val="0"/>
        <c:axPos val="b"/>
        <c:numFmt formatCode="mmm\-yy" sourceLinked="1"/>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206467840"/>
        <c:crosses val="autoZero"/>
        <c:auto val="1"/>
        <c:lblOffset val="100"/>
        <c:baseTimeUnit val="months"/>
        <c:majorUnit val="3"/>
        <c:majorTimeUnit val="years"/>
      </c:dateAx>
      <c:valAx>
        <c:axId val="206467840"/>
        <c:scaling>
          <c:orientation val="minMax"/>
        </c:scaling>
        <c:delete val="0"/>
        <c:axPos val="l"/>
        <c:title>
          <c:tx>
            <c:rich>
              <a:bodyPr rot="0" vert="horz"/>
              <a:lstStyle/>
              <a:p>
                <a:pPr>
                  <a:defRPr sz="800" b="0" i="0">
                    <a:solidFill>
                      <a:srgbClr val="000000"/>
                    </a:solidFill>
                    <a:latin typeface="Arial"/>
                    <a:ea typeface="Arial"/>
                    <a:cs typeface="Arial"/>
                  </a:defRPr>
                </a:pPr>
                <a:r>
                  <a:rPr lang="en-US"/>
                  <a:t>Per cent</a:t>
                </a:r>
              </a:p>
            </c:rich>
          </c:tx>
          <c:layout>
            <c:manualLayout>
              <c:xMode val="edge"/>
              <c:yMode val="edge"/>
              <c:x val="5.3512853840717092E-2"/>
              <c:y val="0"/>
            </c:manualLayout>
          </c:layout>
          <c:overlay val="0"/>
        </c:title>
        <c:numFmt formatCode="0" sourceLinked="0"/>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204364800"/>
        <c:crosses val="autoZero"/>
        <c:crossBetween val="between"/>
        <c:majorUnit val="20"/>
      </c:valAx>
      <c:valAx>
        <c:axId val="196235264"/>
        <c:scaling>
          <c:orientation val="minMax"/>
          <c:max val="5"/>
          <c:min val="1"/>
        </c:scaling>
        <c:delete val="0"/>
        <c:axPos val="r"/>
        <c:title>
          <c:tx>
            <c:rich>
              <a:bodyPr rot="0" vert="horz"/>
              <a:lstStyle/>
              <a:p>
                <a:pPr>
                  <a:defRPr sz="800" b="0" i="0">
                    <a:solidFill>
                      <a:srgbClr val="000000"/>
                    </a:solidFill>
                    <a:latin typeface="Arial"/>
                    <a:ea typeface="Arial"/>
                    <a:cs typeface="Arial"/>
                  </a:defRPr>
                </a:pPr>
                <a:r>
                  <a:rPr lang="en-US"/>
                  <a:t>Per cent</a:t>
                </a:r>
              </a:p>
            </c:rich>
          </c:tx>
          <c:layout>
            <c:manualLayout>
              <c:xMode val="edge"/>
              <c:yMode val="edge"/>
              <c:x val="0.87581389359040396"/>
              <c:y val="0"/>
            </c:manualLayout>
          </c:layout>
          <c:overlay val="0"/>
        </c:title>
        <c:numFmt formatCode="0" sourceLinked="0"/>
        <c:majorTickMark val="in"/>
        <c:minorTickMark val="none"/>
        <c:tickLblPos val="nextTo"/>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96236800"/>
        <c:crosses val="max"/>
        <c:crossBetween val="between"/>
        <c:majorUnit val="1"/>
      </c:valAx>
      <c:catAx>
        <c:axId val="196236800"/>
        <c:scaling>
          <c:orientation val="minMax"/>
        </c:scaling>
        <c:delete val="1"/>
        <c:axPos val="b"/>
        <c:majorTickMark val="out"/>
        <c:minorTickMark val="none"/>
        <c:tickLblPos val="nextTo"/>
        <c:crossAx val="196235264"/>
        <c:crosses val="autoZero"/>
        <c:auto val="1"/>
        <c:lblAlgn val="ctr"/>
        <c:lblOffset val="100"/>
        <c:noMultiLvlLbl val="0"/>
      </c:catAx>
      <c:spPr>
        <a:noFill/>
        <a:ln w="25400">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a:noFill/>
              <a:round/>
            </a14:hiddenLine>
          </a:ext>
        </a:extLst>
      </c:spPr>
    </c:plotArea>
    <c:plotVisOnly val="1"/>
    <c:dispBlanksAs val="gap"/>
    <c:showDLblsOverMax val="0"/>
  </c:chart>
  <c:spPr>
    <a:noFill/>
    <a:ln w="25400">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0.832</cdr:x>
      <cdr:y>0.927</cdr:y>
    </cdr:from>
    <cdr:to>
      <cdr:x>1</cdr:x>
      <cdr:y>1</cdr:y>
    </cdr:to>
    <cdr:sp macro="" textlink="">
      <cdr:nvSpPr>
        <cdr:cNvPr id="2" name="txt_Style"/>
        <cdr:cNvSpPr txBox="1">
          <a:spLocks xmlns:a="http://schemas.openxmlformats.org/drawingml/2006/main" noChangeAspect="1"/>
        </cdr:cNvSpPr>
      </cdr:nvSpPr>
      <cdr:spPr>
        <a:xfrm xmlns:a="http://schemas.openxmlformats.org/drawingml/2006/main">
          <a:off x="5528588" y="2866666"/>
          <a:ext cx="931409" cy="210250"/>
        </a:xfrm>
        <a:prstGeom xmlns:a="http://schemas.openxmlformats.org/drawingml/2006/main" prst="rect">
          <a:avLst/>
        </a:prstGeom>
      </cdr:spPr>
      <cdr:txBody>
        <a:bodyPr xmlns:a="http://schemas.openxmlformats.org/drawingml/2006/main" vertOverflow="clip" horzOverflow="clip" vert="horz" wrap="none" rtlCol="0">
          <a:spAutoFit/>
        </a:bodyPr>
        <a:lstStyle xmlns:a="http://schemas.openxmlformats.org/drawingml/2006/main"/>
        <a:p xmlns:a="http://schemas.openxmlformats.org/drawingml/2006/main">
          <a:r>
            <a:rPr lang="en-AU" sz="800" b="1" i="0">
              <a:noFill/>
              <a:latin typeface="Arial"/>
            </a:rPr>
            <a:t>A4 - Third page</a:t>
          </a:r>
        </a:p>
      </cdr:txBody>
    </cdr:sp>
  </cdr:relSizeAnchor>
  <cdr:relSizeAnchor xmlns:cdr="http://schemas.openxmlformats.org/drawingml/2006/chartDrawing">
    <cdr:from>
      <cdr:x>0.82667</cdr:x>
      <cdr:y>0.11402</cdr:y>
    </cdr:from>
    <cdr:to>
      <cdr:x>0.82667</cdr:x>
      <cdr:y>0.68032</cdr:y>
    </cdr:to>
    <cdr:cxnSp macro="">
      <cdr:nvCxnSpPr>
        <cdr:cNvPr id="3" name="ForecastLine_2010-11 to 2017-18"/>
        <cdr:cNvCxnSpPr>
          <a:cxnSpLocks xmlns:a="http://schemas.openxmlformats.org/drawingml/2006/main" noChangeAspect="1"/>
        </cdr:cNvCxnSpPr>
      </cdr:nvCxnSpPr>
      <cdr:spPr>
        <a:xfrm xmlns:a="http://schemas.openxmlformats.org/drawingml/2006/main">
          <a:off x="4583058" y="328390"/>
          <a:ext cx="0" cy="1630943"/>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0.03958</cdr:x>
      <cdr:y>0.00472</cdr:y>
    </cdr:from>
    <cdr:to>
      <cdr:x>0.32902</cdr:x>
      <cdr:y>0.10394</cdr:y>
    </cdr:to>
    <cdr:sp macro="" textlink="">
      <cdr:nvSpPr>
        <cdr:cNvPr id="5" name="TextBox 4"/>
        <cdr:cNvSpPr txBox="1"/>
      </cdr:nvSpPr>
      <cdr:spPr>
        <a:xfrm xmlns:a="http://schemas.openxmlformats.org/drawingml/2006/main">
          <a:off x="217714" y="13607"/>
          <a:ext cx="1592036"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Per</a:t>
          </a:r>
          <a:r>
            <a:rPr lang="en-AU" sz="800" baseline="0">
              <a:latin typeface="Arial" panose="020B0604020202020204" pitchFamily="34" charset="0"/>
              <a:cs typeface="Arial" panose="020B0604020202020204" pitchFamily="34" charset="0"/>
            </a:rPr>
            <a:t> cent, annual average</a:t>
          </a:r>
          <a:endParaRPr lang="en-AU"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0.73967</cdr:x>
      <cdr:y>0.00473</cdr:y>
    </cdr:from>
    <cdr:to>
      <cdr:x>0.98516</cdr:x>
      <cdr:y>0.08505</cdr:y>
    </cdr:to>
    <cdr:sp macro="" textlink="">
      <cdr:nvSpPr>
        <cdr:cNvPr id="6" name="TextBox 5"/>
        <cdr:cNvSpPr txBox="1"/>
      </cdr:nvSpPr>
      <cdr:spPr>
        <a:xfrm xmlns:a="http://schemas.openxmlformats.org/drawingml/2006/main">
          <a:off x="4068535" y="13608"/>
          <a:ext cx="1350279" cy="231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Per cent, annual average</a:t>
          </a:r>
        </a:p>
      </cdr:txBody>
    </cdr:sp>
  </cdr:relSizeAnchor>
</c:userShapes>
</file>

<file path=word/drawings/drawing2.xml><?xml version="1.0" encoding="utf-8"?>
<c:userShapes xmlns:c="http://schemas.openxmlformats.org/drawingml/2006/chart">
  <cdr:relSizeAnchor xmlns:cdr="http://schemas.openxmlformats.org/drawingml/2006/chartDrawing">
    <cdr:from>
      <cdr:x>0.89571</cdr:x>
      <cdr:y>0.92617</cdr:y>
    </cdr:from>
    <cdr:to>
      <cdr:x>1</cdr:x>
      <cdr:y>0.98625</cdr:y>
    </cdr:to>
    <cdr:sp macro="" textlink="">
      <cdr:nvSpPr>
        <cdr:cNvPr id="2" name="Text Box 1"/>
        <cdr:cNvSpPr txBox="1"/>
      </cdr:nvSpPr>
      <cdr:spPr>
        <a:xfrm xmlns:a="http://schemas.openxmlformats.org/drawingml/2006/main">
          <a:off x="4997855" y="3200524"/>
          <a:ext cx="581890" cy="2076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AU" sz="800"/>
            <a:t>Per</a:t>
          </a:r>
          <a:r>
            <a:rPr lang="en-AU" sz="800" baseline="0"/>
            <a:t> cent</a:t>
          </a:r>
          <a:endParaRPr lang="en-AU" sz="800"/>
        </a:p>
      </cdr:txBody>
    </cdr:sp>
  </cdr:relSizeAnchor>
</c:userShapes>
</file>

<file path=word/drawings/drawing3.xml><?xml version="1.0" encoding="utf-8"?>
<c:userShapes xmlns:c="http://schemas.openxmlformats.org/drawingml/2006/chart">
  <cdr:relSizeAnchor xmlns:cdr="http://schemas.openxmlformats.org/drawingml/2006/chartDrawing">
    <cdr:from>
      <cdr:x>0.89608</cdr:x>
      <cdr:y>0.94214</cdr:y>
    </cdr:from>
    <cdr:to>
      <cdr:x>1</cdr:x>
      <cdr:y>1</cdr:y>
    </cdr:to>
    <cdr:sp macro="" textlink="">
      <cdr:nvSpPr>
        <cdr:cNvPr id="2" name="TextBox 1"/>
        <cdr:cNvSpPr txBox="1">
          <a:spLocks xmlns:a="http://schemas.openxmlformats.org/drawingml/2006/main" noChangeAspect="1"/>
        </cdr:cNvSpPr>
      </cdr:nvSpPr>
      <cdr:spPr>
        <a:xfrm xmlns:a="http://schemas.openxmlformats.org/drawingml/2006/main">
          <a:off x="4352925" y="3184539"/>
          <a:ext cx="504825" cy="195566"/>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r>
            <a:rPr lang="en-AU" sz="700"/>
            <a:t>per cent</a:t>
          </a:r>
        </a:p>
      </cdr:txBody>
    </cdr:sp>
  </cdr:relSizeAnchor>
</c:userShapes>
</file>

<file path=word/drawings/drawing4.xml><?xml version="1.0" encoding="utf-8"?>
<c:userShapes xmlns:c="http://schemas.openxmlformats.org/drawingml/2006/chart">
  <cdr:relSizeAnchor xmlns:cdr="http://schemas.openxmlformats.org/drawingml/2006/chartDrawing">
    <cdr:from>
      <cdr:x>0.06555</cdr:x>
      <cdr:y>0.91946</cdr:y>
    </cdr:from>
    <cdr:to>
      <cdr:x>0.31636</cdr:x>
      <cdr:y>1</cdr:y>
    </cdr:to>
    <cdr:sp macro="" textlink="">
      <cdr:nvSpPr>
        <cdr:cNvPr id="2" name="Text Box 1"/>
        <cdr:cNvSpPr txBox="1"/>
      </cdr:nvSpPr>
      <cdr:spPr>
        <a:xfrm xmlns:a="http://schemas.openxmlformats.org/drawingml/2006/main">
          <a:off x="365760" y="2647785"/>
          <a:ext cx="1399429" cy="2319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0.05985</cdr:x>
      <cdr:y>0.88041</cdr:y>
    </cdr:from>
    <cdr:to>
      <cdr:x>0.33916</cdr:x>
      <cdr:y>1</cdr:y>
    </cdr:to>
    <cdr:sp macro="" textlink="">
      <cdr:nvSpPr>
        <cdr:cNvPr id="3" name="Text Box 2"/>
        <cdr:cNvSpPr txBox="1"/>
      </cdr:nvSpPr>
      <cdr:spPr>
        <a:xfrm xmlns:a="http://schemas.openxmlformats.org/drawingml/2006/main">
          <a:off x="333955" y="2775006"/>
          <a:ext cx="1558455" cy="3737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0.04988</cdr:x>
      <cdr:y>0.87533</cdr:y>
    </cdr:from>
    <cdr:to>
      <cdr:x>0.33916</cdr:x>
      <cdr:y>0.99053</cdr:y>
    </cdr:to>
    <cdr:sp macro="" textlink="">
      <cdr:nvSpPr>
        <cdr:cNvPr id="4" name="Text Box 3"/>
        <cdr:cNvSpPr txBox="1"/>
      </cdr:nvSpPr>
      <cdr:spPr>
        <a:xfrm xmlns:a="http://schemas.openxmlformats.org/drawingml/2006/main">
          <a:off x="278295" y="2735249"/>
          <a:ext cx="1614114" cy="360000"/>
        </a:xfrm>
        <a:prstGeom xmlns:a="http://schemas.openxmlformats.org/drawingml/2006/main" prst="rect">
          <a:avLst/>
        </a:prstGeom>
      </cdr:spPr>
      <cdr:txBody>
        <a:bodyPr xmlns:a="http://schemas.openxmlformats.org/drawingml/2006/main" vertOverflow="clip" wrap="square" rtlCol="0" anchor="b" anchorCtr="0"/>
        <a:lstStyle xmlns:a="http://schemas.openxmlformats.org/drawingml/2006/main"/>
        <a:p xmlns:a="http://schemas.openxmlformats.org/drawingml/2006/main">
          <a:pPr algn="ctr"/>
          <a:r>
            <a:rPr lang="en-AU" sz="800">
              <a:latin typeface="Arial" panose="020B0604020202020204" pitchFamily="34" charset="0"/>
              <a:cs typeface="Arial" panose="020B0604020202020204" pitchFamily="34" charset="0"/>
            </a:rPr>
            <a:t>A:</a:t>
          </a:r>
          <a:r>
            <a:rPr lang="en-AU" sz="800" baseline="0">
              <a:latin typeface="Arial" panose="020B0604020202020204" pitchFamily="34" charset="0"/>
              <a:cs typeface="Arial" panose="020B0604020202020204" pitchFamily="34" charset="0"/>
            </a:rPr>
            <a:t> Employment growth gap</a:t>
          </a:r>
        </a:p>
        <a:p xmlns:a="http://schemas.openxmlformats.org/drawingml/2006/main">
          <a:pPr algn="ctr"/>
          <a:r>
            <a:rPr lang="en-AU" sz="800" baseline="0">
              <a:latin typeface="Arial" panose="020B0604020202020204" pitchFamily="34" charset="0"/>
              <a:cs typeface="Arial" panose="020B0604020202020204" pitchFamily="34" charset="0"/>
            </a:rPr>
            <a:t>(</a:t>
          </a:r>
          <a:r>
            <a:rPr lang="en-AU" sz="800" i="1" baseline="0">
              <a:latin typeface="Arial" panose="020B0604020202020204" pitchFamily="34" charset="0"/>
              <a:cs typeface="Arial" panose="020B0604020202020204" pitchFamily="34" charset="0"/>
            </a:rPr>
            <a:t>high vs low productivity firm</a:t>
          </a:r>
          <a:r>
            <a:rPr lang="en-AU" sz="800" baseline="0">
              <a:latin typeface="Arial" panose="020B0604020202020204" pitchFamily="34" charset="0"/>
              <a:cs typeface="Arial" panose="020B0604020202020204" pitchFamily="34" charset="0"/>
            </a:rPr>
            <a:t>)</a:t>
          </a:r>
          <a:endParaRPr lang="en-AU" sz="800">
            <a:latin typeface="Arial" panose="020B0604020202020204" pitchFamily="34" charset="0"/>
            <a:cs typeface="Arial" panose="020B0604020202020204" pitchFamily="34" charset="0"/>
          </a:endParaRPr>
        </a:p>
        <a:p xmlns:a="http://schemas.openxmlformats.org/drawingml/2006/main">
          <a:endParaRPr lang="en-AU" sz="800"/>
        </a:p>
      </cdr:txBody>
    </cdr:sp>
  </cdr:relSizeAnchor>
  <cdr:relSizeAnchor xmlns:cdr="http://schemas.openxmlformats.org/drawingml/2006/chartDrawing">
    <cdr:from>
      <cdr:x>0.44318</cdr:x>
      <cdr:y>0.87533</cdr:y>
    </cdr:from>
    <cdr:to>
      <cdr:x>0.86072</cdr:x>
      <cdr:y>0.99053</cdr:y>
    </cdr:to>
    <cdr:sp macro="" textlink="">
      <cdr:nvSpPr>
        <cdr:cNvPr id="5" name="Text Box 4"/>
        <cdr:cNvSpPr txBox="1"/>
      </cdr:nvSpPr>
      <cdr:spPr>
        <a:xfrm xmlns:a="http://schemas.openxmlformats.org/drawingml/2006/main">
          <a:off x="2472856" y="2735249"/>
          <a:ext cx="2329732" cy="360000"/>
        </a:xfrm>
        <a:prstGeom xmlns:a="http://schemas.openxmlformats.org/drawingml/2006/main" prst="rect">
          <a:avLst/>
        </a:prstGeom>
      </cdr:spPr>
      <cdr:txBody>
        <a:bodyPr xmlns:a="http://schemas.openxmlformats.org/drawingml/2006/main" vertOverflow="clip" wrap="square" rtlCol="0" anchor="b" anchorCtr="0"/>
        <a:lstStyle xmlns:a="http://schemas.openxmlformats.org/drawingml/2006/main"/>
        <a:p xmlns:a="http://schemas.openxmlformats.org/drawingml/2006/main">
          <a:pPr algn="ctr"/>
          <a:r>
            <a:rPr lang="en-AU" sz="800">
              <a:latin typeface="Arial" panose="020B0604020202020204" pitchFamily="34" charset="0"/>
              <a:cs typeface="Arial" panose="020B0604020202020204" pitchFamily="34" charset="0"/>
            </a:rPr>
            <a:t>B:</a:t>
          </a:r>
          <a:r>
            <a:rPr lang="en-AU" sz="800" baseline="0">
              <a:latin typeface="Arial" panose="020B0604020202020204" pitchFamily="34" charset="0"/>
              <a:cs typeface="Arial" panose="020B0604020202020204" pitchFamily="34" charset="0"/>
            </a:rPr>
            <a:t> Exit probability gap</a:t>
          </a:r>
        </a:p>
        <a:p xmlns:a="http://schemas.openxmlformats.org/drawingml/2006/main">
          <a:pPr algn="ctr"/>
          <a:r>
            <a:rPr lang="en-AU" sz="800" baseline="0">
              <a:latin typeface="Arial" panose="020B0604020202020204" pitchFamily="34" charset="0"/>
              <a:cs typeface="Arial" panose="020B0604020202020204" pitchFamily="34" charset="0"/>
            </a:rPr>
            <a:t>(</a:t>
          </a:r>
          <a:r>
            <a:rPr lang="en-AU" sz="800" i="1" baseline="0">
              <a:latin typeface="Arial" panose="020B0604020202020204" pitchFamily="34" charset="0"/>
              <a:cs typeface="Arial" panose="020B0604020202020204" pitchFamily="34" charset="0"/>
            </a:rPr>
            <a:t>low vs high productivity firm</a:t>
          </a:r>
          <a:r>
            <a:rPr lang="en-AU" sz="800" baseline="0">
              <a:latin typeface="Arial" panose="020B0604020202020204" pitchFamily="34" charset="0"/>
              <a:cs typeface="Arial" panose="020B0604020202020204" pitchFamily="34" charset="0"/>
            </a:rPr>
            <a:t>)</a:t>
          </a:r>
          <a:endParaRPr lang="en-AU" sz="800">
            <a:latin typeface="Arial" panose="020B0604020202020204" pitchFamily="34" charset="0"/>
            <a:cs typeface="Arial" panose="020B0604020202020204" pitchFamily="34" charset="0"/>
          </a:endParaRPr>
        </a:p>
        <a:p xmlns:a="http://schemas.openxmlformats.org/drawingml/2006/main">
          <a:endParaRPr lang="en-AU" sz="800"/>
        </a:p>
      </cdr:txBody>
    </cdr:sp>
  </cdr:relSizeAnchor>
</c:userShapes>
</file>

<file path=word/drawings/drawing5.xml><?xml version="1.0" encoding="utf-8"?>
<c:userShapes xmlns:c="http://schemas.openxmlformats.org/drawingml/2006/chart">
  <cdr:relSizeAnchor xmlns:cdr="http://schemas.openxmlformats.org/drawingml/2006/chartDrawing">
    <cdr:from>
      <cdr:x>0.14628</cdr:x>
      <cdr:y>0.58323</cdr:y>
    </cdr:from>
    <cdr:to>
      <cdr:x>0.37594</cdr:x>
      <cdr:y>0.72756</cdr:y>
    </cdr:to>
    <cdr:sp macro="" textlink="">
      <cdr:nvSpPr>
        <cdr:cNvPr id="2" name="Text Box 1"/>
        <cdr:cNvSpPr txBox="1"/>
      </cdr:nvSpPr>
      <cdr:spPr>
        <a:xfrm xmlns:a="http://schemas.openxmlformats.org/drawingml/2006/main">
          <a:off x="795131" y="1574358"/>
          <a:ext cx="1248354" cy="3896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b="1" i="0">
              <a:solidFill>
                <a:schemeClr val="accent3"/>
              </a:solidFill>
              <a:latin typeface="Arial" panose="020B0604020202020204" pitchFamily="34" charset="0"/>
              <a:cs typeface="Arial" panose="020B0604020202020204" pitchFamily="34" charset="0"/>
            </a:rPr>
            <a:t>NAB Survey: 'labour is a constraint'</a:t>
          </a:r>
          <a:r>
            <a:rPr lang="en-AU" sz="800" b="1" i="0" baseline="0">
              <a:solidFill>
                <a:schemeClr val="accent3"/>
              </a:solidFill>
              <a:latin typeface="Arial" panose="020B0604020202020204" pitchFamily="34" charset="0"/>
              <a:cs typeface="Arial" panose="020B0604020202020204" pitchFamily="34" charset="0"/>
            </a:rPr>
            <a:t> (LHS)*</a:t>
          </a:r>
          <a:endParaRPr lang="en-AU" sz="800" b="1" i="0">
            <a:solidFill>
              <a:schemeClr val="accent3"/>
            </a:solidFill>
            <a:latin typeface="Arial" panose="020B0604020202020204" pitchFamily="34" charset="0"/>
            <a:cs typeface="Arial" panose="020B0604020202020204" pitchFamily="34" charset="0"/>
          </a:endParaRPr>
        </a:p>
        <a:p xmlns:a="http://schemas.openxmlformats.org/drawingml/2006/main">
          <a:endParaRPr lang="en-AU" sz="800" b="1" i="0">
            <a:solidFill>
              <a:schemeClr val="accent3"/>
            </a:solidFill>
            <a:latin typeface="Arial" panose="020B0604020202020204" pitchFamily="34" charset="0"/>
          </a:endParaRPr>
        </a:p>
        <a:p xmlns:a="http://schemas.openxmlformats.org/drawingml/2006/main">
          <a:endParaRPr lang="en-AU" sz="800">
            <a:solidFill>
              <a:schemeClr val="accent3"/>
            </a:solidFill>
          </a:endParaRPr>
        </a:p>
      </cdr:txBody>
    </cdr:sp>
  </cdr:relSizeAnchor>
  <cdr:relSizeAnchor xmlns:cdr="http://schemas.openxmlformats.org/drawingml/2006/chartDrawing">
    <cdr:from>
      <cdr:x>0.69045</cdr:x>
      <cdr:y>0.74524</cdr:y>
    </cdr:from>
    <cdr:to>
      <cdr:x>0.95376</cdr:x>
      <cdr:y>0.87484</cdr:y>
    </cdr:to>
    <cdr:sp macro="" textlink="">
      <cdr:nvSpPr>
        <cdr:cNvPr id="3" name="Text Box 2"/>
        <cdr:cNvSpPr txBox="1"/>
      </cdr:nvSpPr>
      <cdr:spPr>
        <a:xfrm xmlns:a="http://schemas.openxmlformats.org/drawingml/2006/main">
          <a:off x="3753016" y="2011679"/>
          <a:ext cx="1431234" cy="3498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800" b="1" i="0">
              <a:solidFill>
                <a:schemeClr val="accent1"/>
              </a:solidFill>
              <a:latin typeface="Arial" panose="020B0604020202020204" pitchFamily="34" charset="0"/>
              <a:cs typeface="Arial" panose="020B0604020202020204" pitchFamily="34" charset="0"/>
            </a:rPr>
            <a:t>Wage</a:t>
          </a:r>
          <a:r>
            <a:rPr lang="en-AU" sz="800" b="1" i="0" baseline="0">
              <a:solidFill>
                <a:schemeClr val="accent1"/>
              </a:solidFill>
              <a:latin typeface="Arial" panose="020B0604020202020204" pitchFamily="34" charset="0"/>
              <a:cs typeface="Arial" panose="020B0604020202020204" pitchFamily="34" charset="0"/>
            </a:rPr>
            <a:t> Price Index (RHS)**</a:t>
          </a:r>
          <a:endParaRPr lang="en-AU" sz="800"/>
        </a:p>
      </cdr:txBody>
    </cdr:sp>
  </cdr:relSizeAnchor>
</c:userShape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563589-9cf9-4143-b1eb-fb0534803d38">2019MEG-167-66</_dlc_DocId>
    <TaxCatchAll xmlns="0f563589-9cf9-4143-b1eb-fb0534803d38">
      <Value>49</Value>
    </TaxCatchAll>
    <_dlc_DocIdUrl xmlns="0f563589-9cf9-4143-b1eb-fb0534803d38">
      <Url>http://tweb/sites/meg/mmpd/_layouts/15/DocIdRedir.aspx?ID=2019MEG-167-66</Url>
      <Description>2019MEG-167-66</Description>
    </_dlc_DocIdUrl>
    <lb508a4dc5e84436a0fe496b536466aa xmlns="54bb81cf-96ba-41ce-8a26-ccbc5a57d34e">
      <Terms xmlns="http://schemas.microsoft.com/office/infopath/2007/PartnerControls">
        <TermInfo xmlns="http://schemas.microsoft.com/office/infopath/2007/PartnerControls">
          <TermName xmlns="http://schemas.microsoft.com/office/infopath/2007/PartnerControls">AE-20336-Destroy 3 years after production</TermName>
          <TermId xmlns="http://schemas.microsoft.com/office/infopath/2007/PartnerControls">772c9fff-ac92-4d4b-86d1-33888c4b043f</TermId>
        </TermInfo>
      </Terms>
    </lb508a4dc5e84436a0fe496b536466aa>
    <Content_x0020_tyoes xmlns="2607908e-e259-4497-ba2a-eb929317cb90" xsi:nil="true"/>
    <IconOverlay xmlns="http://schemas.microsoft.com/sharepoint/v4" xsi:nil="true"/>
    <Population_x0020_streams xmlns="2607908e-e259-4497-ba2a-eb929317cb90"/>
    <Macro_x002d_financial_x0020_risk_x0020_streams xmlns="2607908e-e259-4497-ba2a-eb929317cb90"/>
    <Work_x0020_streams xmlns="2607908e-e259-4497-ba2a-eb929317cb90"/>
    <Productivity_x0020_streams xmlns="2607908e-e259-4497-ba2a-eb929317cb90"/>
    <Fiscal_x0020_policy_x0020_streams xmlns="2607908e-e259-4497-ba2a-eb929317cb90"/>
    <Model_x0020_development xmlns="2607908e-e259-4497-ba2a-eb929317cb90"/>
    <Model_x0020_simulation xmlns="2607908e-e259-4497-ba2a-eb929317cb90"/>
    <Project_x0020_number xmlns="2607908e-e259-4497-ba2a-eb929317cb90" xsi:nil="true"/>
    <ContentTypes xmlns="f0b8e850-5d6c-4fdf-aaa8-971c30da5c10" xsi:nil="true"/>
    <Participation_x0020_streams xmlns="2607908e-e259-4497-ba2a-eb929317cb90"/>
    <Monetary_x0020_policy_x0020_streams xmlns="2607908e-e259-4497-ba2a-eb929317cb90"/>
    <WorkStreams xmlns="f0b8e850-5d6c-4fdf-aaa8-971c30da5c1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2D77FC5E78371044AD6489ADEA6DAB9B00194541FE243FB14FA31679C44A042B1B" ma:contentTypeVersion="24614" ma:contentTypeDescription="" ma:contentTypeScope="" ma:versionID="c3b771dbb76aded60957e68d9083f692">
  <xsd:schema xmlns:xsd="http://www.w3.org/2001/XMLSchema" xmlns:xs="http://www.w3.org/2001/XMLSchema" xmlns:p="http://schemas.microsoft.com/office/2006/metadata/properties" xmlns:ns1="http://schemas.microsoft.com/sharepoint/v3" xmlns:ns2="0f563589-9cf9-4143-b1eb-fb0534803d38" xmlns:ns3="54bb81cf-96ba-41ce-8a26-ccbc5a57d34e" xmlns:ns4="2607908e-e259-4497-ba2a-eb929317cb90" xmlns:ns5="f0b8e850-5d6c-4fdf-aaa8-971c30da5c10" xmlns:ns6="http://schemas.microsoft.com/sharepoint/v4" targetNamespace="http://schemas.microsoft.com/office/2006/metadata/properties" ma:root="true" ma:fieldsID="df2cecd158ad6c78ed21a5ccff0aa8cb" ns1:_="" ns2:_="" ns3:_="" ns4:_="" ns5:_="" ns6:_="">
    <xsd:import namespace="http://schemas.microsoft.com/sharepoint/v3"/>
    <xsd:import namespace="0f563589-9cf9-4143-b1eb-fb0534803d38"/>
    <xsd:import namespace="54bb81cf-96ba-41ce-8a26-ccbc5a57d34e"/>
    <xsd:import namespace="2607908e-e259-4497-ba2a-eb929317cb90"/>
    <xsd:import namespace="f0b8e850-5d6c-4fdf-aaa8-971c30da5c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Content_x0020_tyoes" minOccurs="0"/>
                <xsd:element ref="ns5:WorkStreams" minOccurs="0"/>
                <xsd:element ref="ns4:Population_x0020_streams" minOccurs="0"/>
                <xsd:element ref="ns4:Participation_x0020_streams" minOccurs="0"/>
                <xsd:element ref="ns4:Productivity_x0020_streams" minOccurs="0"/>
                <xsd:element ref="ns4:Fiscal_x0020_policy_x0020_streams" minOccurs="0"/>
                <xsd:element ref="ns4:Monetary_x0020_policy_x0020_streams" minOccurs="0"/>
                <xsd:element ref="ns4:Macro_x002d_financial_x0020_risk_x0020_streams" minOccurs="0"/>
                <xsd:element ref="ns6:IconOverlay" minOccurs="0"/>
                <xsd:element ref="ns4:Model_x0020_simulation" minOccurs="0"/>
                <xsd:element ref="ns4:Model_x0020_development" minOccurs="0"/>
                <xsd:element ref="ns4:Project_x0020_number" minOccurs="0"/>
                <xsd:element ref="ns4:Work_x0020_streams" minOccurs="0"/>
                <xsd:element ref="ns5:Cont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c05f6137-831b-4cf2-ae58-d88291490615}" ma:internalName="TaxCatchAll" ma:showField="CatchAllData" ma:web="54bb81cf-96ba-41ce-8a26-ccbc5a57d34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05f6137-831b-4cf2-ae58-d88291490615}" ma:internalName="TaxCatchAllLabel" ma:readOnly="true" ma:showField="CatchAllDataLabel" ma:web="54bb81cf-96ba-41ce-8a26-ccbc5a57d3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bb81cf-96ba-41ce-8a26-ccbc5a57d34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49;#AE-20336-Destroy 3 years after production|772c9fff-ac92-4d4b-86d1-33888c4b043f"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07908e-e259-4497-ba2a-eb929317cb90" elementFormDefault="qualified">
    <xsd:import namespace="http://schemas.microsoft.com/office/2006/documentManagement/types"/>
    <xsd:import namespace="http://schemas.microsoft.com/office/infopath/2007/PartnerControls"/>
    <xsd:element name="Content_x0020_tyoes" ma:index="16" nillable="true" ma:displayName="Content types" ma:list="{4f224bbf-b44e-4c30-b732-17c4320ce6cc}" ma:internalName="Content_x0020_tyoes" ma:showField="Title">
      <xsd:simpleType>
        <xsd:restriction base="dms:Lookup"/>
      </xsd:simpleType>
    </xsd:element>
    <xsd:element name="Population_x0020_streams" ma:index="18" nillable="true" ma:displayName="Population streams" ma:list="{626ce797-6a0f-4efc-92db-4b02c7dae518}" ma:internalName="Population_x0020_streams" ma:showField="Title">
      <xsd:complexType>
        <xsd:complexContent>
          <xsd:extension base="dms:MultiChoiceLookup">
            <xsd:sequence>
              <xsd:element name="Value" type="dms:Lookup" maxOccurs="unbounded" minOccurs="0" nillable="true"/>
            </xsd:sequence>
          </xsd:extension>
        </xsd:complexContent>
      </xsd:complexType>
    </xsd:element>
    <xsd:element name="Participation_x0020_streams" ma:index="19" nillable="true" ma:displayName="Participation streams" ma:list="{ea297aad-21fb-4814-bfb4-c1d165e238af}" ma:internalName="Participation_x0020_streams" ma:showField="Title">
      <xsd:complexType>
        <xsd:complexContent>
          <xsd:extension base="dms:MultiChoiceLookup">
            <xsd:sequence>
              <xsd:element name="Value" type="dms:Lookup" maxOccurs="unbounded" minOccurs="0" nillable="true"/>
            </xsd:sequence>
          </xsd:extension>
        </xsd:complexContent>
      </xsd:complexType>
    </xsd:element>
    <xsd:element name="Productivity_x0020_streams" ma:index="20" nillable="true" ma:displayName="Productivity streams" ma:list="{559149e6-9ef6-42b6-869a-da44a1232927}" ma:internalName="Productivity_x0020_streams" ma:showField="Title">
      <xsd:complexType>
        <xsd:complexContent>
          <xsd:extension base="dms:MultiChoiceLookup">
            <xsd:sequence>
              <xsd:element name="Value" type="dms:Lookup" maxOccurs="unbounded" minOccurs="0" nillable="true"/>
            </xsd:sequence>
          </xsd:extension>
        </xsd:complexContent>
      </xsd:complexType>
    </xsd:element>
    <xsd:element name="Fiscal_x0020_policy_x0020_streams" ma:index="21" nillable="true" ma:displayName="Fiscal policy streams" ma:list="{3261a855-5808-4ced-8a1d-31d8e7e3e2f9}" ma:internalName="Fiscal_x0020_policy_x0020_streams" ma:showField="Title">
      <xsd:complexType>
        <xsd:complexContent>
          <xsd:extension base="dms:MultiChoiceLookup">
            <xsd:sequence>
              <xsd:element name="Value" type="dms:Lookup" maxOccurs="unbounded" minOccurs="0" nillable="true"/>
            </xsd:sequence>
          </xsd:extension>
        </xsd:complexContent>
      </xsd:complexType>
    </xsd:element>
    <xsd:element name="Monetary_x0020_policy_x0020_streams" ma:index="22" nillable="true" ma:displayName="Monetary policy streams" ma:list="{e5f9ceb1-1dc5-4b38-b56c-a059627dfb53}" ma:internalName="Monetary_x0020_policy_x0020_streams" ma:showField="Title">
      <xsd:complexType>
        <xsd:complexContent>
          <xsd:extension base="dms:MultiChoiceLookup">
            <xsd:sequence>
              <xsd:element name="Value" type="dms:Lookup" maxOccurs="unbounded" minOccurs="0" nillable="true"/>
            </xsd:sequence>
          </xsd:extension>
        </xsd:complexContent>
      </xsd:complexType>
    </xsd:element>
    <xsd:element name="Macro_x002d_financial_x0020_risk_x0020_streams" ma:index="23" nillable="true" ma:displayName="Macro-financial risk streams" ma:list="{0e047be6-86fe-42ab-a4e9-d2d4b793196f}" ma:internalName="Macro_x002d_financial_x0020_risk_x0020_streams" ma:showField="Title">
      <xsd:complexType>
        <xsd:complexContent>
          <xsd:extension base="dms:MultiChoiceLookup">
            <xsd:sequence>
              <xsd:element name="Value" type="dms:Lookup" maxOccurs="unbounded" minOccurs="0" nillable="true"/>
            </xsd:sequence>
          </xsd:extension>
        </xsd:complexContent>
      </xsd:complexType>
    </xsd:element>
    <xsd:element name="Model_x0020_simulation" ma:index="26" nillable="true" ma:displayName="Model simulation streams" ma:list="{36332a20-ab24-4d4d-a40f-075860218e23}" ma:internalName="Model_x0020_simulation" ma:showField="Title">
      <xsd:complexType>
        <xsd:complexContent>
          <xsd:extension base="dms:MultiChoiceLookup">
            <xsd:sequence>
              <xsd:element name="Value" type="dms:Lookup" maxOccurs="unbounded" minOccurs="0" nillable="true"/>
            </xsd:sequence>
          </xsd:extension>
        </xsd:complexContent>
      </xsd:complexType>
    </xsd:element>
    <xsd:element name="Model_x0020_development" ma:index="27" nillable="true" ma:displayName="Model development streams" ma:internalName="Model_x0020_development">
      <xsd:complexType>
        <xsd:complexContent>
          <xsd:extension base="dms:MultiChoice">
            <xsd:sequence>
              <xsd:element name="Value" maxOccurs="unbounded" minOccurs="0" nillable="true">
                <xsd:simpleType>
                  <xsd:restriction base="dms:Choice">
                    <xsd:enumeration value="G-cubed"/>
                    <xsd:enumeration value="IECGE"/>
                    <xsd:enumeration value="GIMF"/>
                    <xsd:enumeration value="GVAR"/>
                    <xsd:enumeration value="Overlapping Generations"/>
                    <xsd:enumeration value="Dynamic general equilibrium"/>
                    <xsd:enumeration value="Single equation"/>
                    <xsd:enumeration value="VAR"/>
                    <xsd:enumeration value="Forecast/projection model"/>
                    <xsd:enumeration value="Government spending"/>
                    <xsd:enumeration value="Dr Chung Tran training course 2016"/>
                    <xsd:enumeration value="International modelling"/>
                    <xsd:enumeration value="HILDA"/>
                  </xsd:restriction>
                </xsd:simpleType>
              </xsd:element>
            </xsd:sequence>
          </xsd:extension>
        </xsd:complexContent>
      </xsd:complexType>
    </xsd:element>
    <xsd:element name="Project_x0020_number" ma:index="28" nillable="true" ma:displayName="Project number" ma:list="{b58c7af6-9285-4f5e-9df2-dfb3963c4ce7}" ma:internalName="Project_x0020_number" ma:showField="Project_x0020_number">
      <xsd:simpleType>
        <xsd:restriction base="dms:Lookup"/>
      </xsd:simpleType>
    </xsd:element>
    <xsd:element name="Work_x0020_streams" ma:index="29" nillable="true" ma:displayName="Work streams" ma:hidden="true" ma:list="{504b9a15-e5a5-47ba-acbd-a5ca5b65581d}" ma:internalName="Work_x0020_streams"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b8e850-5d6c-4fdf-aaa8-971c30da5c10" elementFormDefault="qualified">
    <xsd:import namespace="http://schemas.microsoft.com/office/2006/documentManagement/types"/>
    <xsd:import namespace="http://schemas.microsoft.com/office/infopath/2007/PartnerControls"/>
    <xsd:element name="WorkStreams" ma:index="17" nillable="true" ma:displayName="WorkStreams" ma:list="{504b9a15-e5a5-47ba-acbd-a5ca5b65581d}" ma:internalName="WorkStreams" ma:showField="Title" ma:web="f0b8e850-5d6c-4fdf-aaa8-971c30da5c10">
      <xsd:complexType>
        <xsd:complexContent>
          <xsd:extension base="dms:MultiChoiceLookup">
            <xsd:sequence>
              <xsd:element name="Value" type="dms:Lookup" maxOccurs="unbounded" minOccurs="0" nillable="true"/>
            </xsd:sequence>
          </xsd:extension>
        </xsd:complexContent>
      </xsd:complexType>
    </xsd:element>
    <xsd:element name="ContentTypes" ma:index="30" nillable="true" ma:displayName="ContentTypes" ma:list="{4f224bbf-b44e-4c30-b732-17c4320ce6cc}" ma:internalName="ContentTypes" ma:showField="Title" ma:web="f0b8e850-5d6c-4fdf-aaa8-971c30da5c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2D77FC5E78371044AD6489ADEA6DAB9B|1757814118" UniqueId="907908e7-fe2a-4e3a-8319-ed1139c39beb">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F0B8-95B2-44F7-81ED-C265961DF9B3}">
  <ds:schemaRefs>
    <ds:schemaRef ds:uri="http://schemas.microsoft.com/office/infopath/2007/PartnerControls"/>
    <ds:schemaRef ds:uri="0f563589-9cf9-4143-b1eb-fb0534803d38"/>
    <ds:schemaRef ds:uri="http://schemas.openxmlformats.org/package/2006/metadata/core-properties"/>
    <ds:schemaRef ds:uri="http://purl.org/dc/terms/"/>
    <ds:schemaRef ds:uri="54bb81cf-96ba-41ce-8a26-ccbc5a57d34e"/>
    <ds:schemaRef ds:uri="http://schemas.microsoft.com/sharepoint/v4"/>
    <ds:schemaRef ds:uri="http://schemas.microsoft.com/office/2006/documentManagement/types"/>
    <ds:schemaRef ds:uri="f0b8e850-5d6c-4fdf-aaa8-971c30da5c10"/>
    <ds:schemaRef ds:uri="2607908e-e259-4497-ba2a-eb929317cb90"/>
    <ds:schemaRef ds:uri="http://schemas.microsoft.com/sharepoint/v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2E68247-9BB4-4F7C-B7B8-5FAE131FE181}">
  <ds:schemaRefs>
    <ds:schemaRef ds:uri="http://schemas.microsoft.com/sharepoint/events"/>
  </ds:schemaRefs>
</ds:datastoreItem>
</file>

<file path=customXml/itemProps3.xml><?xml version="1.0" encoding="utf-8"?>
<ds:datastoreItem xmlns:ds="http://schemas.openxmlformats.org/officeDocument/2006/customXml" ds:itemID="{5D40A263-11A4-4777-9EAC-20D45795E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54bb81cf-96ba-41ce-8a26-ccbc5a57d34e"/>
    <ds:schemaRef ds:uri="2607908e-e259-4497-ba2a-eb929317cb90"/>
    <ds:schemaRef ds:uri="f0b8e850-5d6c-4fdf-aaa8-971c30da5c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07728-8CCC-48DA-9E87-B668D1FD91D3}">
  <ds:schemaRefs>
    <ds:schemaRef ds:uri="office.server.policy"/>
  </ds:schemaRefs>
</ds:datastoreItem>
</file>

<file path=customXml/itemProps5.xml><?xml version="1.0" encoding="utf-8"?>
<ds:datastoreItem xmlns:ds="http://schemas.openxmlformats.org/officeDocument/2006/customXml" ds:itemID="{DD749642-5BDD-45B6-911E-D73E70C9D38D}">
  <ds:schemaRefs>
    <ds:schemaRef ds:uri="http://schemas.microsoft.com/sharepoint/v3/contenttype/forms"/>
  </ds:schemaRefs>
</ds:datastoreItem>
</file>

<file path=customXml/itemProps6.xml><?xml version="1.0" encoding="utf-8"?>
<ds:datastoreItem xmlns:ds="http://schemas.openxmlformats.org/officeDocument/2006/customXml" ds:itemID="{C3B836DE-F339-40A3-8FFC-E843704C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0</TotalTime>
  <Pages>30</Pages>
  <Words>9094</Words>
  <Characters>51838</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Productivity-enchancing labour reallocations in Australia</vt:lpstr>
    </vt:vector>
  </TitlesOfParts>
  <Company>Australian Government - The Treasury</Company>
  <LinksUpToDate>false</LinksUpToDate>
  <CharactersWithSpaces>60811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Productivity-enchancing labour reallocations in Australia</dc:title>
  <dc:subject/>
  <dc:creator>Andrews, Dan and Hansell, David</dc:creator>
  <cp:lastModifiedBy>Thomas, Deborah</cp:lastModifiedBy>
  <cp:revision>2</cp:revision>
  <cp:lastPrinted>2019-11-20T01:32:00Z</cp:lastPrinted>
  <dcterms:created xsi:type="dcterms:W3CDTF">2019-11-29T06:21:00Z</dcterms:created>
  <dcterms:modified xsi:type="dcterms:W3CDTF">2019-11-29T06:21:00Z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0x0101002D77FC5E78371044AD6489ADEA6DAB9B00194541FE243FB14FA31679C44A042B1B</vt:lpwstr>
  </property>
  <property fmtid="{D5CDD505-2E9C-101B-9397-08002B2CF9AE}" pid="3" name="TSYRecordClass">
    <vt:lpwstr>49;#AE-20336-Destroy 3 years after production|772c9fff-ac92-4d4b-86d1-33888c4b043f</vt:lpwstr>
  </property>
  <property fmtid="{D5CDD505-2E9C-101B-9397-08002B2CF9AE}" pid="4" name="_dlc_DocIdItemGuid">
    <vt:lpwstr>fdd97850-7eb4-4fda-8e0e-bc14798518d1</vt:lpwstr>
  </property>
</Properties>
</file>