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Spec="center" w:tblpY="1809"/>
        <w:tblW w:w="12015" w:type="dxa"/>
        <w:shd w:val="clear" w:color="auto" w:fill="006F66"/>
        <w:tblLook w:val="04A0" w:firstRow="1" w:lastRow="0" w:firstColumn="1" w:lastColumn="0" w:noHBand="0" w:noVBand="1"/>
      </w:tblPr>
      <w:tblGrid>
        <w:gridCol w:w="12015"/>
      </w:tblGrid>
      <w:tr w:rsidR="00236729" w:rsidRPr="00A23109" w14:paraId="6DB9D8FA" w14:textId="77777777" w:rsidTr="39E2171E">
        <w:tc>
          <w:tcPr>
            <w:tcW w:w="12015" w:type="dxa"/>
            <w:shd w:val="clear" w:color="auto" w:fill="84BD00"/>
          </w:tcPr>
          <w:p w14:paraId="71C322D9" w14:textId="77777777" w:rsidR="00236729" w:rsidRPr="00A23109" w:rsidRDefault="00E423D3" w:rsidP="009C22E3">
            <w:pPr>
              <w:pStyle w:val="SuncorpBulletLevel1"/>
              <w:numPr>
                <w:ilvl w:val="0"/>
                <w:numId w:val="0"/>
              </w:numPr>
              <w:ind w:left="709"/>
            </w:pPr>
            <w:r w:rsidRPr="00A23109">
              <w:t xml:space="preserve"> </w:t>
            </w:r>
          </w:p>
          <w:p w14:paraId="00F87747" w14:textId="77777777" w:rsidR="00495CA6" w:rsidRDefault="006E6B89" w:rsidP="00F74701">
            <w:pPr>
              <w:pStyle w:val="Heading-frontpage"/>
              <w:framePr w:hSpace="0" w:wrap="auto" w:vAnchor="margin" w:hAnchor="text" w:xAlign="left" w:yAlign="inline"/>
            </w:pPr>
            <w:r w:rsidRPr="00A23109">
              <w:rPr>
                <w:noProof/>
                <w:lang w:eastAsia="zh-CN"/>
              </w:rPr>
              <w:drawing>
                <wp:anchor distT="0" distB="0" distL="114300" distR="114300" simplePos="0" relativeHeight="251658240" behindDoc="1" locked="0" layoutInCell="1" allowOverlap="1" wp14:anchorId="5F6A2E4D" wp14:editId="077F19BE">
                  <wp:simplePos x="0" y="0"/>
                  <wp:positionH relativeFrom="column">
                    <wp:posOffset>-34290</wp:posOffset>
                  </wp:positionH>
                  <wp:positionV relativeFrom="paragraph">
                    <wp:posOffset>347056</wp:posOffset>
                  </wp:positionV>
                  <wp:extent cx="7556955" cy="503797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361465\AppData\Local\Microsoft\Windows\Temporary Internet Files\Content.Outlook\YVIKW6RU\iStock_000013684241Large.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56955" cy="5037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2BCA">
              <w:t xml:space="preserve">Ending Grandfathered Conflicted Remuneration </w:t>
            </w:r>
          </w:p>
          <w:p w14:paraId="661CE241" w14:textId="49D1126E" w:rsidR="00236729" w:rsidRPr="00A23109" w:rsidRDefault="00A62BCA" w:rsidP="00F74701">
            <w:pPr>
              <w:pStyle w:val="Heading-frontpage"/>
              <w:framePr w:hSpace="0" w:wrap="auto" w:vAnchor="margin" w:hAnchor="text" w:xAlign="left" w:yAlign="inline"/>
            </w:pPr>
            <w:r>
              <w:t>for Financial Advisers</w:t>
            </w:r>
            <w:r w:rsidR="006E6B89" w:rsidRPr="00A23109">
              <w:br/>
            </w:r>
            <w:r w:rsidR="00CC4BCB" w:rsidRPr="00A23109">
              <w:rPr>
                <w:sz w:val="40"/>
              </w:rPr>
              <w:br/>
            </w:r>
            <w:r w:rsidR="004C5ADA">
              <w:rPr>
                <w:sz w:val="40"/>
                <w:szCs w:val="40"/>
              </w:rPr>
              <w:t>Su</w:t>
            </w:r>
            <w:r>
              <w:rPr>
                <w:sz w:val="40"/>
                <w:szCs w:val="40"/>
              </w:rPr>
              <w:t xml:space="preserve">bmission to Treasury </w:t>
            </w:r>
            <w:r w:rsidR="00495CA6">
              <w:rPr>
                <w:sz w:val="40"/>
                <w:szCs w:val="40"/>
              </w:rPr>
              <w:t xml:space="preserve">                                        22/3/19</w:t>
            </w:r>
          </w:p>
          <w:p w14:paraId="7D20C887" w14:textId="77777777" w:rsidR="00236729" w:rsidRPr="00A23109" w:rsidRDefault="00236729" w:rsidP="00273255"/>
        </w:tc>
      </w:tr>
    </w:tbl>
    <w:p w14:paraId="0DC5EB6E" w14:textId="77777777" w:rsidR="00E14E51" w:rsidRPr="00A23109" w:rsidRDefault="00DE1CE9" w:rsidP="00CA6E6A">
      <w:bookmarkStart w:id="0" w:name="_GoBack"/>
      <w:bookmarkEnd w:id="0"/>
      <w:r w:rsidRPr="00A23109">
        <w:rPr>
          <w:noProof/>
          <w:lang w:eastAsia="zh-CN"/>
        </w:rPr>
        <w:drawing>
          <wp:anchor distT="0" distB="0" distL="114300" distR="114300" simplePos="0" relativeHeight="251658241" behindDoc="1" locked="0" layoutInCell="1" allowOverlap="1" wp14:anchorId="320B325D" wp14:editId="7297F74B">
            <wp:simplePos x="0" y="0"/>
            <wp:positionH relativeFrom="column">
              <wp:posOffset>-619434</wp:posOffset>
            </wp:positionH>
            <wp:positionV relativeFrom="paragraph">
              <wp:posOffset>-914252</wp:posOffset>
            </wp:positionV>
            <wp:extent cx="3448033" cy="1622128"/>
            <wp:effectExtent l="0" t="0" r="635" b="0"/>
            <wp:wrapNone/>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448033" cy="1622128"/>
                    </a:xfrm>
                    <a:prstGeom prst="rect">
                      <a:avLst/>
                    </a:prstGeom>
                    <a:noFill/>
                  </pic:spPr>
                </pic:pic>
              </a:graphicData>
            </a:graphic>
            <wp14:sizeRelH relativeFrom="page">
              <wp14:pctWidth>0</wp14:pctWidth>
            </wp14:sizeRelH>
            <wp14:sizeRelV relativeFrom="page">
              <wp14:pctHeight>0</wp14:pctHeight>
            </wp14:sizeRelV>
          </wp:anchor>
        </w:drawing>
      </w:r>
      <w:r w:rsidR="00506DA1" w:rsidRPr="00A23109">
        <w:br w:type="page"/>
      </w:r>
    </w:p>
    <w:sdt>
      <w:sdtPr>
        <w:rPr>
          <w:rFonts w:eastAsiaTheme="minorHAnsi" w:cstheme="minorBidi"/>
          <w:b w:val="0"/>
          <w:bCs w:val="0"/>
          <w:noProof w:val="0"/>
          <w:color w:val="auto"/>
          <w:sz w:val="22"/>
          <w:szCs w:val="22"/>
          <w:lang w:val="en-AU" w:eastAsia="en-US"/>
        </w:rPr>
        <w:id w:val="1744602828"/>
        <w:docPartObj>
          <w:docPartGallery w:val="Table of Contents"/>
          <w:docPartUnique/>
        </w:docPartObj>
      </w:sdtPr>
      <w:sdtEndPr/>
      <w:sdtContent>
        <w:p w14:paraId="7CE59121" w14:textId="77777777" w:rsidR="00CC6B3A" w:rsidRPr="001931CF" w:rsidRDefault="00CC6B3A" w:rsidP="001931CF">
          <w:pPr>
            <w:pStyle w:val="TOCHeading"/>
          </w:pPr>
          <w:r w:rsidRPr="001931CF">
            <w:t>Contents</w:t>
          </w:r>
        </w:p>
        <w:p w14:paraId="766B02D8" w14:textId="3F6A08DB" w:rsidR="006266A0" w:rsidRDefault="004A38E1">
          <w:pPr>
            <w:pStyle w:val="TOC1"/>
            <w:rPr>
              <w:rFonts w:asciiTheme="minorHAnsi" w:eastAsiaTheme="minorEastAsia" w:hAnsiTheme="minorHAnsi"/>
              <w:bCs w:val="0"/>
              <w:noProof/>
              <w:szCs w:val="22"/>
              <w:lang w:eastAsia="en-AU"/>
            </w:rPr>
          </w:pPr>
          <w:r>
            <w:rPr>
              <w:rFonts w:asciiTheme="minorHAnsi" w:hAnsiTheme="minorHAnsi" w:cstheme="minorHAnsi"/>
              <w:bCs w:val="0"/>
              <w:noProof/>
              <w:sz w:val="24"/>
            </w:rPr>
            <w:fldChar w:fldCharType="begin"/>
          </w:r>
          <w:r>
            <w:rPr>
              <w:rFonts w:asciiTheme="minorHAnsi" w:hAnsiTheme="minorHAnsi" w:cstheme="minorHAnsi"/>
              <w:bCs w:val="0"/>
              <w:noProof/>
              <w:sz w:val="24"/>
            </w:rPr>
            <w:instrText xml:space="preserve"> TOC \o "1-3" \h \z \u </w:instrText>
          </w:r>
          <w:r>
            <w:rPr>
              <w:rFonts w:asciiTheme="minorHAnsi" w:hAnsiTheme="minorHAnsi" w:cstheme="minorHAnsi"/>
              <w:bCs w:val="0"/>
              <w:noProof/>
              <w:sz w:val="24"/>
            </w:rPr>
            <w:fldChar w:fldCharType="separate"/>
          </w:r>
          <w:hyperlink w:anchor="_Toc4166012" w:history="1">
            <w:r w:rsidR="006266A0" w:rsidRPr="00AE4B79">
              <w:rPr>
                <w:rStyle w:val="Hyperlink"/>
                <w:noProof/>
              </w:rPr>
              <w:t>1.</w:t>
            </w:r>
            <w:r w:rsidR="006266A0">
              <w:rPr>
                <w:rFonts w:asciiTheme="minorHAnsi" w:eastAsiaTheme="minorEastAsia" w:hAnsiTheme="minorHAnsi"/>
                <w:bCs w:val="0"/>
                <w:noProof/>
                <w:szCs w:val="22"/>
                <w:lang w:eastAsia="en-AU"/>
              </w:rPr>
              <w:tab/>
            </w:r>
            <w:r w:rsidR="006266A0" w:rsidRPr="00AE4B79">
              <w:rPr>
                <w:rStyle w:val="Hyperlink"/>
                <w:noProof/>
              </w:rPr>
              <w:t>About the Financial Services Council</w:t>
            </w:r>
            <w:r w:rsidR="006266A0">
              <w:rPr>
                <w:noProof/>
                <w:webHidden/>
              </w:rPr>
              <w:tab/>
            </w:r>
            <w:r w:rsidR="006266A0">
              <w:rPr>
                <w:noProof/>
                <w:webHidden/>
              </w:rPr>
              <w:fldChar w:fldCharType="begin"/>
            </w:r>
            <w:r w:rsidR="006266A0">
              <w:rPr>
                <w:noProof/>
                <w:webHidden/>
              </w:rPr>
              <w:instrText xml:space="preserve"> PAGEREF _Toc4166012 \h </w:instrText>
            </w:r>
            <w:r w:rsidR="006266A0">
              <w:rPr>
                <w:noProof/>
                <w:webHidden/>
              </w:rPr>
            </w:r>
            <w:r w:rsidR="006266A0">
              <w:rPr>
                <w:noProof/>
                <w:webHidden/>
              </w:rPr>
              <w:fldChar w:fldCharType="separate"/>
            </w:r>
            <w:r w:rsidR="006266A0">
              <w:rPr>
                <w:noProof/>
                <w:webHidden/>
              </w:rPr>
              <w:t>3</w:t>
            </w:r>
            <w:r w:rsidR="006266A0">
              <w:rPr>
                <w:noProof/>
                <w:webHidden/>
              </w:rPr>
              <w:fldChar w:fldCharType="end"/>
            </w:r>
          </w:hyperlink>
        </w:p>
        <w:p w14:paraId="02590BCA" w14:textId="0AB0EFC9" w:rsidR="006266A0" w:rsidRDefault="003164D8">
          <w:pPr>
            <w:pStyle w:val="TOC1"/>
            <w:rPr>
              <w:rFonts w:asciiTheme="minorHAnsi" w:eastAsiaTheme="minorEastAsia" w:hAnsiTheme="minorHAnsi"/>
              <w:bCs w:val="0"/>
              <w:noProof/>
              <w:szCs w:val="22"/>
              <w:lang w:eastAsia="en-AU"/>
            </w:rPr>
          </w:pPr>
          <w:hyperlink w:anchor="_Toc4166013" w:history="1">
            <w:r w:rsidR="006266A0" w:rsidRPr="00AE4B79">
              <w:rPr>
                <w:rStyle w:val="Hyperlink"/>
                <w:noProof/>
              </w:rPr>
              <w:t>2.</w:t>
            </w:r>
            <w:r w:rsidR="006266A0">
              <w:rPr>
                <w:rFonts w:asciiTheme="minorHAnsi" w:eastAsiaTheme="minorEastAsia" w:hAnsiTheme="minorHAnsi"/>
                <w:bCs w:val="0"/>
                <w:noProof/>
                <w:szCs w:val="22"/>
                <w:lang w:eastAsia="en-AU"/>
              </w:rPr>
              <w:tab/>
            </w:r>
            <w:r w:rsidR="006266A0" w:rsidRPr="00AE4B79">
              <w:rPr>
                <w:rStyle w:val="Hyperlink"/>
                <w:noProof/>
              </w:rPr>
              <w:t>Response to Draft Bill</w:t>
            </w:r>
            <w:r w:rsidR="006266A0">
              <w:rPr>
                <w:noProof/>
                <w:webHidden/>
              </w:rPr>
              <w:tab/>
            </w:r>
            <w:r w:rsidR="006266A0">
              <w:rPr>
                <w:noProof/>
                <w:webHidden/>
              </w:rPr>
              <w:fldChar w:fldCharType="begin"/>
            </w:r>
            <w:r w:rsidR="006266A0">
              <w:rPr>
                <w:noProof/>
                <w:webHidden/>
              </w:rPr>
              <w:instrText xml:space="preserve"> PAGEREF _Toc4166013 \h </w:instrText>
            </w:r>
            <w:r w:rsidR="006266A0">
              <w:rPr>
                <w:noProof/>
                <w:webHidden/>
              </w:rPr>
            </w:r>
            <w:r w:rsidR="006266A0">
              <w:rPr>
                <w:noProof/>
                <w:webHidden/>
              </w:rPr>
              <w:fldChar w:fldCharType="separate"/>
            </w:r>
            <w:r w:rsidR="006266A0">
              <w:rPr>
                <w:noProof/>
                <w:webHidden/>
              </w:rPr>
              <w:t>4</w:t>
            </w:r>
            <w:r w:rsidR="006266A0">
              <w:rPr>
                <w:noProof/>
                <w:webHidden/>
              </w:rPr>
              <w:fldChar w:fldCharType="end"/>
            </w:r>
          </w:hyperlink>
        </w:p>
        <w:p w14:paraId="2D25E67A" w14:textId="508154C2" w:rsidR="006266A0" w:rsidRDefault="003164D8">
          <w:pPr>
            <w:pStyle w:val="TOC2"/>
            <w:rPr>
              <w:rFonts w:asciiTheme="minorHAnsi" w:eastAsiaTheme="minorEastAsia" w:hAnsiTheme="minorHAnsi" w:cstheme="minorBidi"/>
              <w:bCs w:val="0"/>
              <w:noProof/>
              <w:szCs w:val="22"/>
              <w:lang w:eastAsia="en-AU"/>
            </w:rPr>
          </w:pPr>
          <w:hyperlink w:anchor="_Toc4166014" w:history="1">
            <w:r w:rsidR="006266A0" w:rsidRPr="00AE4B79">
              <w:rPr>
                <w:rStyle w:val="Hyperlink"/>
                <w:noProof/>
              </w:rPr>
              <w:t>2.1.</w:t>
            </w:r>
            <w:r w:rsidR="006266A0">
              <w:rPr>
                <w:rFonts w:asciiTheme="minorHAnsi" w:eastAsiaTheme="minorEastAsia" w:hAnsiTheme="minorHAnsi" w:cstheme="minorBidi"/>
                <w:bCs w:val="0"/>
                <w:noProof/>
                <w:szCs w:val="22"/>
                <w:lang w:eastAsia="en-AU"/>
              </w:rPr>
              <w:tab/>
            </w:r>
            <w:r w:rsidR="006266A0" w:rsidRPr="00AE4B79">
              <w:rPr>
                <w:rStyle w:val="Hyperlink"/>
                <w:noProof/>
              </w:rPr>
              <w:t>Background</w:t>
            </w:r>
            <w:r w:rsidR="006266A0">
              <w:rPr>
                <w:noProof/>
                <w:webHidden/>
              </w:rPr>
              <w:tab/>
            </w:r>
            <w:r w:rsidR="006266A0">
              <w:rPr>
                <w:noProof/>
                <w:webHidden/>
              </w:rPr>
              <w:fldChar w:fldCharType="begin"/>
            </w:r>
            <w:r w:rsidR="006266A0">
              <w:rPr>
                <w:noProof/>
                <w:webHidden/>
              </w:rPr>
              <w:instrText xml:space="preserve"> PAGEREF _Toc4166014 \h </w:instrText>
            </w:r>
            <w:r w:rsidR="006266A0">
              <w:rPr>
                <w:noProof/>
                <w:webHidden/>
              </w:rPr>
            </w:r>
            <w:r w:rsidR="006266A0">
              <w:rPr>
                <w:noProof/>
                <w:webHidden/>
              </w:rPr>
              <w:fldChar w:fldCharType="separate"/>
            </w:r>
            <w:r w:rsidR="006266A0">
              <w:rPr>
                <w:noProof/>
                <w:webHidden/>
              </w:rPr>
              <w:t>4</w:t>
            </w:r>
            <w:r w:rsidR="006266A0">
              <w:rPr>
                <w:noProof/>
                <w:webHidden/>
              </w:rPr>
              <w:fldChar w:fldCharType="end"/>
            </w:r>
          </w:hyperlink>
        </w:p>
        <w:p w14:paraId="2207A29A" w14:textId="10FFFA09" w:rsidR="006266A0" w:rsidRDefault="003164D8">
          <w:pPr>
            <w:pStyle w:val="TOC2"/>
            <w:rPr>
              <w:rFonts w:asciiTheme="minorHAnsi" w:eastAsiaTheme="minorEastAsia" w:hAnsiTheme="minorHAnsi" w:cstheme="minorBidi"/>
              <w:bCs w:val="0"/>
              <w:noProof/>
              <w:szCs w:val="22"/>
              <w:lang w:eastAsia="en-AU"/>
            </w:rPr>
          </w:pPr>
          <w:hyperlink w:anchor="_Toc4166015" w:history="1">
            <w:r w:rsidR="006266A0" w:rsidRPr="00AE4B79">
              <w:rPr>
                <w:rStyle w:val="Hyperlink"/>
                <w:noProof/>
              </w:rPr>
              <w:t>2.2.</w:t>
            </w:r>
            <w:r w:rsidR="006266A0">
              <w:rPr>
                <w:rFonts w:asciiTheme="minorHAnsi" w:eastAsiaTheme="minorEastAsia" w:hAnsiTheme="minorHAnsi" w:cstheme="minorBidi"/>
                <w:bCs w:val="0"/>
                <w:noProof/>
                <w:szCs w:val="22"/>
                <w:lang w:eastAsia="en-AU"/>
              </w:rPr>
              <w:tab/>
            </w:r>
            <w:r w:rsidR="006266A0" w:rsidRPr="00AE4B79">
              <w:rPr>
                <w:rStyle w:val="Hyperlink"/>
                <w:noProof/>
              </w:rPr>
              <w:t>Key Issues</w:t>
            </w:r>
            <w:r w:rsidR="006266A0">
              <w:rPr>
                <w:noProof/>
                <w:webHidden/>
              </w:rPr>
              <w:tab/>
            </w:r>
            <w:r w:rsidR="006266A0">
              <w:rPr>
                <w:noProof/>
                <w:webHidden/>
              </w:rPr>
              <w:fldChar w:fldCharType="begin"/>
            </w:r>
            <w:r w:rsidR="006266A0">
              <w:rPr>
                <w:noProof/>
                <w:webHidden/>
              </w:rPr>
              <w:instrText xml:space="preserve"> PAGEREF _Toc4166015 \h </w:instrText>
            </w:r>
            <w:r w:rsidR="006266A0">
              <w:rPr>
                <w:noProof/>
                <w:webHidden/>
              </w:rPr>
            </w:r>
            <w:r w:rsidR="006266A0">
              <w:rPr>
                <w:noProof/>
                <w:webHidden/>
              </w:rPr>
              <w:fldChar w:fldCharType="separate"/>
            </w:r>
            <w:r w:rsidR="006266A0">
              <w:rPr>
                <w:noProof/>
                <w:webHidden/>
              </w:rPr>
              <w:t>5</w:t>
            </w:r>
            <w:r w:rsidR="006266A0">
              <w:rPr>
                <w:noProof/>
                <w:webHidden/>
              </w:rPr>
              <w:fldChar w:fldCharType="end"/>
            </w:r>
          </w:hyperlink>
        </w:p>
        <w:p w14:paraId="19F5B4FB" w14:textId="4A4E3EF3" w:rsidR="006266A0" w:rsidRDefault="003164D8">
          <w:pPr>
            <w:pStyle w:val="TOC2"/>
            <w:rPr>
              <w:rFonts w:asciiTheme="minorHAnsi" w:eastAsiaTheme="minorEastAsia" w:hAnsiTheme="minorHAnsi" w:cstheme="minorBidi"/>
              <w:bCs w:val="0"/>
              <w:noProof/>
              <w:szCs w:val="22"/>
              <w:lang w:eastAsia="en-AU"/>
            </w:rPr>
          </w:pPr>
          <w:hyperlink w:anchor="_Toc4166016" w:history="1">
            <w:r w:rsidR="006266A0" w:rsidRPr="00AE4B79">
              <w:rPr>
                <w:rStyle w:val="Hyperlink"/>
                <w:noProof/>
              </w:rPr>
              <w:t>2.3.</w:t>
            </w:r>
            <w:r w:rsidR="006266A0">
              <w:rPr>
                <w:rFonts w:asciiTheme="minorHAnsi" w:eastAsiaTheme="minorEastAsia" w:hAnsiTheme="minorHAnsi" w:cstheme="minorBidi"/>
                <w:bCs w:val="0"/>
                <w:noProof/>
                <w:szCs w:val="22"/>
                <w:lang w:eastAsia="en-AU"/>
              </w:rPr>
              <w:tab/>
            </w:r>
            <w:r w:rsidR="006266A0" w:rsidRPr="00AE4B79">
              <w:rPr>
                <w:rStyle w:val="Hyperlink"/>
                <w:noProof/>
              </w:rPr>
              <w:t>Detailed Suggested Amendments</w:t>
            </w:r>
            <w:r w:rsidR="006266A0">
              <w:rPr>
                <w:noProof/>
                <w:webHidden/>
              </w:rPr>
              <w:tab/>
            </w:r>
            <w:r w:rsidR="006266A0">
              <w:rPr>
                <w:noProof/>
                <w:webHidden/>
              </w:rPr>
              <w:fldChar w:fldCharType="begin"/>
            </w:r>
            <w:r w:rsidR="006266A0">
              <w:rPr>
                <w:noProof/>
                <w:webHidden/>
              </w:rPr>
              <w:instrText xml:space="preserve"> PAGEREF _Toc4166016 \h </w:instrText>
            </w:r>
            <w:r w:rsidR="006266A0">
              <w:rPr>
                <w:noProof/>
                <w:webHidden/>
              </w:rPr>
            </w:r>
            <w:r w:rsidR="006266A0">
              <w:rPr>
                <w:noProof/>
                <w:webHidden/>
              </w:rPr>
              <w:fldChar w:fldCharType="separate"/>
            </w:r>
            <w:r w:rsidR="006266A0">
              <w:rPr>
                <w:noProof/>
                <w:webHidden/>
              </w:rPr>
              <w:t>8</w:t>
            </w:r>
            <w:r w:rsidR="006266A0">
              <w:rPr>
                <w:noProof/>
                <w:webHidden/>
              </w:rPr>
              <w:fldChar w:fldCharType="end"/>
            </w:r>
          </w:hyperlink>
        </w:p>
        <w:p w14:paraId="07951BBC" w14:textId="7D9FCC3C" w:rsidR="00CC6B3A" w:rsidRDefault="004A38E1">
          <w:r>
            <w:rPr>
              <w:rFonts w:asciiTheme="minorHAnsi" w:hAnsiTheme="minorHAnsi" w:cstheme="minorHAnsi"/>
              <w:bCs/>
              <w:noProof/>
              <w:sz w:val="24"/>
              <w:szCs w:val="24"/>
            </w:rPr>
            <w:fldChar w:fldCharType="end"/>
          </w:r>
        </w:p>
      </w:sdtContent>
    </w:sdt>
    <w:p w14:paraId="7E55A57A" w14:textId="77777777" w:rsidR="0027201A" w:rsidRPr="00A23109" w:rsidRDefault="0027201A" w:rsidP="0040254C">
      <w:pPr>
        <w:pStyle w:val="NoSpacing"/>
        <w:rPr>
          <w:rFonts w:ascii="Georgia" w:hAnsi="Georgia"/>
          <w:color w:val="006F66"/>
        </w:rPr>
      </w:pPr>
      <w:r w:rsidRPr="00A23109">
        <w:br w:type="page"/>
      </w:r>
    </w:p>
    <w:p w14:paraId="36BA43A4" w14:textId="77777777" w:rsidR="00230B49" w:rsidRPr="00A23109" w:rsidRDefault="00230B49" w:rsidP="00811DB6">
      <w:pPr>
        <w:pStyle w:val="Heading1"/>
      </w:pPr>
      <w:bookmarkStart w:id="1" w:name="_Toc535939772"/>
      <w:bookmarkStart w:id="2" w:name="_Ref1659981"/>
      <w:bookmarkStart w:id="3" w:name="_Toc4166012"/>
      <w:r w:rsidRPr="00A23109">
        <w:lastRenderedPageBreak/>
        <w:t>About the Financial Services Council</w:t>
      </w:r>
      <w:bookmarkEnd w:id="1"/>
      <w:bookmarkEnd w:id="2"/>
      <w:bookmarkEnd w:id="3"/>
    </w:p>
    <w:p w14:paraId="22C1AA0B" w14:textId="77777777" w:rsidR="00230B49" w:rsidRPr="00A23109" w:rsidRDefault="00230B49" w:rsidP="00230B49">
      <w:r w:rsidRPr="00A23109">
        <w:t xml:space="preserve">The FSC is a leading peak body which sets mandatory Standards and develops policy for more than </w:t>
      </w:r>
      <w:proofErr w:type="gramStart"/>
      <w:r w:rsidRPr="00A23109">
        <w:t>100 member</w:t>
      </w:r>
      <w:proofErr w:type="gramEnd"/>
      <w:r w:rsidRPr="00A23109">
        <w:t xml:space="preserve"> companies in Australia’s largest industry sector, financial services.</w:t>
      </w:r>
    </w:p>
    <w:p w14:paraId="7AA53C10" w14:textId="77777777" w:rsidR="00230B49" w:rsidRPr="00A23109" w:rsidRDefault="00230B49" w:rsidP="00230B49">
      <w:r w:rsidRPr="00A23109">
        <w:t>Our Full Members represent Australia’s retail and wholesale funds management businesses, superannuation funds, life insurers, financial advisory networks and licensed trustee companies. Our Supporting Members represent the professional services firms such as ICT, consulting, accounting, legal, recruitment, actuarial and research houses.</w:t>
      </w:r>
    </w:p>
    <w:p w14:paraId="2FFE2A60" w14:textId="77777777" w:rsidR="00230B49" w:rsidRDefault="00230B49" w:rsidP="00230B49">
      <w:r w:rsidRPr="00A23109">
        <w:t xml:space="preserve">The financial services industry is responsible for investing almost $3 trillion on behalf of more than 14.8 million Australians. The pool of funds under management is larger than Australia’s GDP and the capitalisation of the Australian </w:t>
      </w:r>
      <w:proofErr w:type="gramStart"/>
      <w:r w:rsidRPr="00A23109">
        <w:t>Securities Exchange, and</w:t>
      </w:r>
      <w:proofErr w:type="gramEnd"/>
      <w:r w:rsidRPr="00A23109">
        <w:t xml:space="preserve"> is the fourth largest pool of managed funds in the world.</w:t>
      </w:r>
    </w:p>
    <w:p w14:paraId="44AC6264" w14:textId="77777777" w:rsidR="003229B0" w:rsidRPr="00A23109" w:rsidRDefault="003229B0" w:rsidP="003229B0"/>
    <w:p w14:paraId="2447750A" w14:textId="77777777" w:rsidR="008A54F6" w:rsidRPr="00DB66AA" w:rsidRDefault="00A62BCA" w:rsidP="00811DB6">
      <w:pPr>
        <w:pStyle w:val="Heading1"/>
      </w:pPr>
      <w:bookmarkStart w:id="4" w:name="_Toc4166013"/>
      <w:r>
        <w:lastRenderedPageBreak/>
        <w:t>Response to Draft Bill</w:t>
      </w:r>
      <w:bookmarkEnd w:id="4"/>
      <w:r>
        <w:t xml:space="preserve"> </w:t>
      </w:r>
    </w:p>
    <w:p w14:paraId="6461CAE3" w14:textId="77777777" w:rsidR="006364B7" w:rsidRPr="00811DB6" w:rsidRDefault="00A62BCA" w:rsidP="00811DB6">
      <w:pPr>
        <w:pStyle w:val="Heading2"/>
      </w:pPr>
      <w:bookmarkStart w:id="5" w:name="_Toc4166014"/>
      <w:r>
        <w:t>Background</w:t>
      </w:r>
      <w:bookmarkEnd w:id="5"/>
    </w:p>
    <w:p w14:paraId="16B14088" w14:textId="30347E25" w:rsidR="0091370F" w:rsidRDefault="00523754" w:rsidP="00886F95">
      <w:r>
        <w:t>On 28 September 2018, t</w:t>
      </w:r>
      <w:r w:rsidR="0056571C">
        <w:t>he R</w:t>
      </w:r>
      <w:r>
        <w:t>oyal Commission</w:t>
      </w:r>
      <w:r w:rsidR="00A62BCA">
        <w:t xml:space="preserve"> </w:t>
      </w:r>
      <w:r w:rsidR="00E3750F">
        <w:t xml:space="preserve">into Misconduct in the Banking, Superannuation and Financial Services Industry </w:t>
      </w:r>
      <w:r w:rsidR="00A62BCA">
        <w:t>(</w:t>
      </w:r>
      <w:r w:rsidR="00A62BCA" w:rsidRPr="00A62BCA">
        <w:rPr>
          <w:b/>
        </w:rPr>
        <w:t>RC</w:t>
      </w:r>
      <w:r w:rsidR="00A62BCA">
        <w:t>)</w:t>
      </w:r>
      <w:r>
        <w:t xml:space="preserve"> released its </w:t>
      </w:r>
      <w:r w:rsidR="0056571C">
        <w:t>Interim Report</w:t>
      </w:r>
      <w:r>
        <w:t xml:space="preserve">.  </w:t>
      </w:r>
      <w:r w:rsidR="00A62BCA">
        <w:t xml:space="preserve">In </w:t>
      </w:r>
      <w:r w:rsidR="005A439C">
        <w:t>his</w:t>
      </w:r>
      <w:r w:rsidR="00A62BCA">
        <w:t xml:space="preserve"> Interim Report, the Commissioner </w:t>
      </w:r>
      <w:r>
        <w:t xml:space="preserve">asked the </w:t>
      </w:r>
      <w:r w:rsidR="00A62BCA">
        <w:t xml:space="preserve">following </w:t>
      </w:r>
      <w:r>
        <w:t>question</w:t>
      </w:r>
      <w:r w:rsidR="00A62BCA">
        <w:t>s:</w:t>
      </w:r>
      <w:r w:rsidR="0091370F">
        <w:t xml:space="preserve"> </w:t>
      </w:r>
    </w:p>
    <w:p w14:paraId="2905619F" w14:textId="77777777" w:rsidR="0056571C" w:rsidRDefault="0091370F" w:rsidP="005A439C">
      <w:pPr>
        <w:ind w:left="454" w:right="454"/>
      </w:pPr>
      <w:r>
        <w:t>“</w:t>
      </w:r>
      <w:r w:rsidRPr="00A62BCA">
        <w:rPr>
          <w:i/>
        </w:rPr>
        <w:t>Should the grandfathering exceptions to the conflicted remuneration provisions now be changed? How far should they be changed? If they should be changed, when should the change or changes take effect?”</w:t>
      </w:r>
    </w:p>
    <w:p w14:paraId="4E7EDDCA" w14:textId="10ED0E2C" w:rsidR="009B7ABE" w:rsidRDefault="00A62BCA" w:rsidP="00342394">
      <w:r>
        <w:t>In our submission in response to the Interim Report</w:t>
      </w:r>
      <w:r w:rsidR="005A439C">
        <w:t>,</w:t>
      </w:r>
      <w:r>
        <w:t xml:space="preserve"> o</w:t>
      </w:r>
      <w:r w:rsidR="005A439C">
        <w:t>n</w:t>
      </w:r>
      <w:r>
        <w:t xml:space="preserve"> 26 October 2019, we stated our position as follows</w:t>
      </w:r>
      <w:r w:rsidR="0056571C">
        <w:t>:</w:t>
      </w:r>
      <w:r w:rsidR="007D56EA">
        <w:t xml:space="preserve"> </w:t>
      </w:r>
    </w:p>
    <w:p w14:paraId="740F5DBB" w14:textId="77777777" w:rsidR="00342394" w:rsidRPr="00353884" w:rsidRDefault="00A62BCA" w:rsidP="00A62BCA">
      <w:pPr>
        <w:pStyle w:val="ListParagraph"/>
        <w:autoSpaceDE w:val="0"/>
        <w:autoSpaceDN w:val="0"/>
        <w:adjustRightInd w:val="0"/>
        <w:spacing w:after="0" w:line="240" w:lineRule="auto"/>
        <w:ind w:left="567"/>
        <w:rPr>
          <w:rFonts w:cs="Arial"/>
          <w:i/>
          <w:color w:val="000000" w:themeColor="text1"/>
        </w:rPr>
      </w:pPr>
      <w:r w:rsidRPr="00353884">
        <w:rPr>
          <w:rFonts w:cs="Arial"/>
          <w:i/>
          <w:color w:val="000000" w:themeColor="text1"/>
        </w:rPr>
        <w:t>“</w:t>
      </w:r>
      <w:r w:rsidR="00342394" w:rsidRPr="00353884">
        <w:rPr>
          <w:rFonts w:cs="Arial"/>
          <w:i/>
          <w:color w:val="000000" w:themeColor="text1"/>
        </w:rPr>
        <w:t>The FSC supports:</w:t>
      </w:r>
    </w:p>
    <w:p w14:paraId="0C8BB67D" w14:textId="77777777" w:rsidR="00342394" w:rsidRPr="00353884" w:rsidRDefault="00342394" w:rsidP="00DC5FC2">
      <w:pPr>
        <w:pStyle w:val="ListParagraph"/>
        <w:numPr>
          <w:ilvl w:val="0"/>
          <w:numId w:val="15"/>
        </w:numPr>
        <w:autoSpaceDE w:val="0"/>
        <w:autoSpaceDN w:val="0"/>
        <w:adjustRightInd w:val="0"/>
        <w:spacing w:after="0" w:line="240" w:lineRule="auto"/>
        <w:rPr>
          <w:rFonts w:cs="Arial"/>
          <w:i/>
          <w:color w:val="000000" w:themeColor="text1"/>
        </w:rPr>
      </w:pPr>
      <w:r w:rsidRPr="00353884">
        <w:rPr>
          <w:rFonts w:cs="Arial"/>
          <w:i/>
          <w:color w:val="000000" w:themeColor="text1"/>
        </w:rPr>
        <w:t>the ceasing of the grandfathering of conflicted remuneration payments (apart from</w:t>
      </w:r>
      <w:r w:rsidR="00A62BCA" w:rsidRPr="00353884">
        <w:rPr>
          <w:rFonts w:cs="Arial"/>
          <w:i/>
          <w:color w:val="000000" w:themeColor="text1"/>
        </w:rPr>
        <w:t xml:space="preserve"> </w:t>
      </w:r>
      <w:r w:rsidRPr="00353884">
        <w:rPr>
          <w:rFonts w:cs="Arial"/>
          <w:i/>
          <w:color w:val="000000" w:themeColor="text1"/>
        </w:rPr>
        <w:t>payments made under the LIF grandfathering regime</w:t>
      </w:r>
      <w:r w:rsidR="00E3750F" w:rsidRPr="00353884">
        <w:rPr>
          <w:rStyle w:val="FootnoteReference"/>
          <w:color w:val="000000" w:themeColor="text1"/>
        </w:rPr>
        <w:footnoteReference w:id="2"/>
      </w:r>
      <w:r w:rsidRPr="00353884">
        <w:rPr>
          <w:rFonts w:cs="Arial"/>
          <w:i/>
          <w:color w:val="000000" w:themeColor="text1"/>
        </w:rPr>
        <w:t>) and, so far as is possible and</w:t>
      </w:r>
      <w:r w:rsidR="00A62BCA" w:rsidRPr="00353884">
        <w:rPr>
          <w:rFonts w:cs="Arial"/>
          <w:i/>
          <w:color w:val="000000" w:themeColor="text1"/>
        </w:rPr>
        <w:t xml:space="preserve"> </w:t>
      </w:r>
      <w:r w:rsidRPr="00353884">
        <w:rPr>
          <w:rFonts w:cs="Arial"/>
          <w:i/>
          <w:color w:val="000000" w:themeColor="text1"/>
        </w:rPr>
        <w:t>practicable, issuers redirecting these payments to consumers; and</w:t>
      </w:r>
    </w:p>
    <w:p w14:paraId="66E48E15" w14:textId="77777777" w:rsidR="00342394" w:rsidRPr="00353884" w:rsidRDefault="00342394" w:rsidP="00A62BCA">
      <w:pPr>
        <w:pStyle w:val="ListParagraph"/>
        <w:numPr>
          <w:ilvl w:val="0"/>
          <w:numId w:val="15"/>
        </w:numPr>
        <w:autoSpaceDE w:val="0"/>
        <w:autoSpaceDN w:val="0"/>
        <w:adjustRightInd w:val="0"/>
        <w:spacing w:after="0" w:line="240" w:lineRule="auto"/>
        <w:rPr>
          <w:rFonts w:cs="Arial"/>
          <w:i/>
          <w:color w:val="000000" w:themeColor="text1"/>
        </w:rPr>
      </w:pPr>
      <w:r w:rsidRPr="00353884">
        <w:rPr>
          <w:rFonts w:cs="Arial"/>
          <w:i/>
          <w:color w:val="000000" w:themeColor="text1"/>
        </w:rPr>
        <w:t>the ceasing of the grandfathering of volume-based shelf space fees,</w:t>
      </w:r>
    </w:p>
    <w:p w14:paraId="692BB011" w14:textId="77777777" w:rsidR="00342394" w:rsidRPr="00353884" w:rsidRDefault="00342394" w:rsidP="00A62BCA">
      <w:pPr>
        <w:pStyle w:val="ListParagraph"/>
        <w:autoSpaceDE w:val="0"/>
        <w:autoSpaceDN w:val="0"/>
        <w:adjustRightInd w:val="0"/>
        <w:spacing w:after="0" w:line="240" w:lineRule="auto"/>
        <w:ind w:left="567"/>
        <w:rPr>
          <w:rFonts w:cs="Arial"/>
          <w:i/>
          <w:color w:val="000000" w:themeColor="text1"/>
        </w:rPr>
      </w:pPr>
      <w:r w:rsidRPr="00353884">
        <w:rPr>
          <w:rFonts w:cs="Arial"/>
          <w:i/>
          <w:color w:val="000000" w:themeColor="text1"/>
        </w:rPr>
        <w:t>via legislated change.</w:t>
      </w:r>
    </w:p>
    <w:p w14:paraId="4C0E605B" w14:textId="77777777" w:rsidR="00A62BCA" w:rsidRPr="00353884" w:rsidRDefault="00A62BCA" w:rsidP="00A62BCA">
      <w:pPr>
        <w:pStyle w:val="ListParagraph"/>
        <w:autoSpaceDE w:val="0"/>
        <w:autoSpaceDN w:val="0"/>
        <w:adjustRightInd w:val="0"/>
        <w:spacing w:after="0" w:line="240" w:lineRule="auto"/>
        <w:ind w:left="567"/>
        <w:rPr>
          <w:rFonts w:cs="Arial"/>
          <w:i/>
          <w:color w:val="000000" w:themeColor="text1"/>
        </w:rPr>
      </w:pPr>
    </w:p>
    <w:p w14:paraId="5E935747" w14:textId="77777777" w:rsidR="00342394" w:rsidRPr="00353884" w:rsidRDefault="00342394" w:rsidP="00A62BCA">
      <w:pPr>
        <w:pStyle w:val="ListParagraph"/>
        <w:autoSpaceDE w:val="0"/>
        <w:autoSpaceDN w:val="0"/>
        <w:adjustRightInd w:val="0"/>
        <w:spacing w:after="0" w:line="240" w:lineRule="auto"/>
        <w:ind w:left="567"/>
        <w:rPr>
          <w:rFonts w:cs="Arial"/>
          <w:i/>
          <w:color w:val="000000" w:themeColor="text1"/>
        </w:rPr>
      </w:pPr>
      <w:r w:rsidRPr="00353884">
        <w:rPr>
          <w:rFonts w:cs="Arial"/>
          <w:i/>
          <w:color w:val="000000" w:themeColor="text1"/>
        </w:rPr>
        <w:t>We support the cessation of these payments as soon as practicable (to enable implementation).</w:t>
      </w:r>
      <w:r w:rsidR="00E3750F" w:rsidRPr="00353884">
        <w:rPr>
          <w:rFonts w:cs="Arial"/>
          <w:i/>
          <w:color w:val="000000" w:themeColor="text1"/>
        </w:rPr>
        <w:t xml:space="preserve">  </w:t>
      </w:r>
      <w:r w:rsidRPr="00353884">
        <w:rPr>
          <w:rFonts w:cs="Arial"/>
          <w:i/>
          <w:color w:val="000000" w:themeColor="text1"/>
        </w:rPr>
        <w:t>We recommend that there be consultation on this aspect.</w:t>
      </w:r>
    </w:p>
    <w:p w14:paraId="55881EED" w14:textId="77777777" w:rsidR="00A62BCA" w:rsidRPr="00353884" w:rsidRDefault="00A62BCA" w:rsidP="00A62BCA">
      <w:pPr>
        <w:pStyle w:val="ListParagraph"/>
        <w:autoSpaceDE w:val="0"/>
        <w:autoSpaceDN w:val="0"/>
        <w:adjustRightInd w:val="0"/>
        <w:spacing w:after="0" w:line="240" w:lineRule="auto"/>
        <w:ind w:left="567"/>
        <w:rPr>
          <w:rFonts w:cs="Arial"/>
          <w:i/>
          <w:color w:val="000000" w:themeColor="text1"/>
        </w:rPr>
      </w:pPr>
    </w:p>
    <w:p w14:paraId="621745A9" w14:textId="184AAFC3" w:rsidR="00342394" w:rsidRPr="00353884" w:rsidRDefault="00342394" w:rsidP="00A62BCA">
      <w:pPr>
        <w:pStyle w:val="ListParagraph"/>
        <w:autoSpaceDE w:val="0"/>
        <w:autoSpaceDN w:val="0"/>
        <w:adjustRightInd w:val="0"/>
        <w:spacing w:after="0" w:line="240" w:lineRule="auto"/>
        <w:ind w:left="567"/>
        <w:rPr>
          <w:rFonts w:cs="Arial"/>
          <w:i/>
          <w:color w:val="000000" w:themeColor="text1"/>
        </w:rPr>
      </w:pPr>
      <w:r w:rsidRPr="00353884">
        <w:rPr>
          <w:rFonts w:cs="Arial"/>
          <w:i/>
          <w:color w:val="000000" w:themeColor="text1"/>
        </w:rPr>
        <w:t>The FSC would like to reinforce that it strongly supports the LIF Reforms and reiterates its</w:t>
      </w:r>
      <w:r w:rsidR="00A62BCA" w:rsidRPr="00353884">
        <w:rPr>
          <w:rFonts w:cs="Arial"/>
          <w:i/>
          <w:color w:val="000000" w:themeColor="text1"/>
        </w:rPr>
        <w:t xml:space="preserve"> </w:t>
      </w:r>
      <w:r w:rsidRPr="00353884">
        <w:rPr>
          <w:rFonts w:cs="Arial"/>
          <w:i/>
          <w:color w:val="000000" w:themeColor="text1"/>
        </w:rPr>
        <w:t>comments in this regard in its submission in relation to the Round 6 Insurance Hearings,</w:t>
      </w:r>
      <w:r w:rsidR="00A62BCA" w:rsidRPr="00353884">
        <w:rPr>
          <w:rFonts w:cs="Arial"/>
          <w:i/>
          <w:color w:val="000000" w:themeColor="text1"/>
        </w:rPr>
        <w:t xml:space="preserve"> </w:t>
      </w:r>
      <w:r w:rsidRPr="00353884">
        <w:rPr>
          <w:rFonts w:cs="Arial"/>
          <w:i/>
          <w:color w:val="000000" w:themeColor="text1"/>
        </w:rPr>
        <w:t>responding to policy question number 8.</w:t>
      </w:r>
      <w:r w:rsidR="00A62BCA" w:rsidRPr="00353884">
        <w:rPr>
          <w:rFonts w:cs="Arial"/>
          <w:i/>
          <w:color w:val="000000" w:themeColor="text1"/>
        </w:rPr>
        <w:t>”</w:t>
      </w:r>
    </w:p>
    <w:p w14:paraId="04458696" w14:textId="7A48EB8D" w:rsidR="0076022B" w:rsidRDefault="0076022B" w:rsidP="00A62BCA">
      <w:pPr>
        <w:pStyle w:val="ListParagraph"/>
        <w:autoSpaceDE w:val="0"/>
        <w:autoSpaceDN w:val="0"/>
        <w:adjustRightInd w:val="0"/>
        <w:spacing w:after="0" w:line="240" w:lineRule="auto"/>
        <w:ind w:left="567"/>
        <w:rPr>
          <w:rFonts w:cs="Arial"/>
          <w:i/>
          <w:color w:val="000000"/>
        </w:rPr>
      </w:pPr>
    </w:p>
    <w:p w14:paraId="5A816FDD" w14:textId="510DF6D8" w:rsidR="0076022B" w:rsidRPr="00A62BCA" w:rsidRDefault="0076022B" w:rsidP="00A62BCA">
      <w:pPr>
        <w:pStyle w:val="ListParagraph"/>
        <w:autoSpaceDE w:val="0"/>
        <w:autoSpaceDN w:val="0"/>
        <w:adjustRightInd w:val="0"/>
        <w:spacing w:after="0" w:line="240" w:lineRule="auto"/>
        <w:ind w:left="567"/>
        <w:rPr>
          <w:rFonts w:cs="Arial"/>
          <w:i/>
          <w:color w:val="000000"/>
        </w:rPr>
      </w:pPr>
      <w:r>
        <w:rPr>
          <w:rFonts w:cs="Arial"/>
          <w:i/>
          <w:color w:val="000000"/>
        </w:rPr>
        <w:t>(</w:t>
      </w:r>
      <w:r w:rsidRPr="0076022B">
        <w:rPr>
          <w:rFonts w:cs="Arial"/>
          <w:b/>
          <w:i/>
          <w:color w:val="000000"/>
        </w:rPr>
        <w:t>FSC’s Position</w:t>
      </w:r>
      <w:r>
        <w:rPr>
          <w:rFonts w:cs="Arial"/>
          <w:i/>
          <w:color w:val="000000"/>
        </w:rPr>
        <w:t>)</w:t>
      </w:r>
    </w:p>
    <w:p w14:paraId="22573696" w14:textId="77777777" w:rsidR="00956578" w:rsidRPr="00956578" w:rsidRDefault="00956578" w:rsidP="0056571C">
      <w:pPr>
        <w:rPr>
          <w:sz w:val="16"/>
          <w:szCs w:val="16"/>
        </w:rPr>
      </w:pPr>
    </w:p>
    <w:p w14:paraId="4FA497CC" w14:textId="13403C55" w:rsidR="0056571C" w:rsidRDefault="00E3750F" w:rsidP="0056571C">
      <w:r>
        <w:t>In the</w:t>
      </w:r>
      <w:r w:rsidR="0056571C">
        <w:t xml:space="preserve"> RC</w:t>
      </w:r>
      <w:r>
        <w:t>’s</w:t>
      </w:r>
      <w:r w:rsidR="0056571C">
        <w:t xml:space="preserve"> Final Report</w:t>
      </w:r>
      <w:r>
        <w:t>, the Commissioner recommended that the grandfathering provisions for conflicted remuneration should be repealed as soon as is reasonably practicable.</w:t>
      </w:r>
      <w:r>
        <w:rPr>
          <w:rStyle w:val="FootnoteReference"/>
        </w:rPr>
        <w:footnoteReference w:id="3"/>
      </w:r>
    </w:p>
    <w:p w14:paraId="786043F3" w14:textId="6171A54D" w:rsidR="0056571C" w:rsidRDefault="000A7EFB" w:rsidP="0056571C">
      <w:r>
        <w:t>On 4 February 2019, the Government released its response to the RC’s recommendations</w:t>
      </w:r>
      <w:r w:rsidR="00FF7AB2">
        <w:rPr>
          <w:rStyle w:val="FootnoteReference"/>
        </w:rPr>
        <w:footnoteReference w:id="4"/>
      </w:r>
      <w:r>
        <w:t xml:space="preserve">. </w:t>
      </w:r>
      <w:r w:rsidR="0056571C">
        <w:t>The Gov</w:t>
      </w:r>
      <w:r w:rsidR="00062A9E">
        <w:t>ernment agreed to end grandfathering of conflicted remuneration, effective from 1 January 2021.  In fact</w:t>
      </w:r>
      <w:r w:rsidR="00155709">
        <w:t>,</w:t>
      </w:r>
      <w:r w:rsidR="00062A9E">
        <w:t xml:space="preserve"> it went further</w:t>
      </w:r>
      <w:r w:rsidR="00B80937">
        <w:t xml:space="preserve"> tha</w:t>
      </w:r>
      <w:r w:rsidR="00977CBA">
        <w:t>n</w:t>
      </w:r>
      <w:r w:rsidR="00B80937">
        <w:t xml:space="preserve"> the RC</w:t>
      </w:r>
      <w:r w:rsidR="00062A9E">
        <w:t xml:space="preserve">, and committed to ensuring that the benefits of removing grandfathering would be passed on to clients </w:t>
      </w:r>
      <w:r w:rsidR="004447DA">
        <w:t>(</w:t>
      </w:r>
      <w:r w:rsidR="004447DA" w:rsidRPr="004447DA">
        <w:rPr>
          <w:b/>
        </w:rPr>
        <w:t>Government Position</w:t>
      </w:r>
      <w:r w:rsidR="004447DA">
        <w:t>).</w:t>
      </w:r>
    </w:p>
    <w:p w14:paraId="201BAF20" w14:textId="09865C03" w:rsidR="0010403B" w:rsidRDefault="00062A9E" w:rsidP="00062A9E">
      <w:r>
        <w:lastRenderedPageBreak/>
        <w:t xml:space="preserve">The draft Bill upon which Treasury has sought consultation seeks to bring into effect the Government Position.  As can be seen from our previous submission, the FSC wholly supports the Government Position.  However, we consider that parts of the draft Bill </w:t>
      </w:r>
      <w:r w:rsidR="000A0B1C">
        <w:t xml:space="preserve">require </w:t>
      </w:r>
      <w:r>
        <w:t xml:space="preserve">further </w:t>
      </w:r>
      <w:r w:rsidR="000A0B1C">
        <w:t>clarification</w:t>
      </w:r>
      <w:r w:rsidR="00977CBA">
        <w:t xml:space="preserve"> </w:t>
      </w:r>
      <w:proofErr w:type="gramStart"/>
      <w:r w:rsidR="00977CBA">
        <w:t>in order to</w:t>
      </w:r>
      <w:proofErr w:type="gramEnd"/>
      <w:r w:rsidR="00977CBA">
        <w:t xml:space="preserve"> achieve the Government Position</w:t>
      </w:r>
      <w:r>
        <w:t xml:space="preserve">.  This response seeks to highlight the key areas of concern for our members.  It then </w:t>
      </w:r>
      <w:r w:rsidR="00730E66">
        <w:t xml:space="preserve">provides some </w:t>
      </w:r>
      <w:r>
        <w:t xml:space="preserve">detail as to the changes to the Bill (and </w:t>
      </w:r>
      <w:r w:rsidR="00F2238F">
        <w:t>proposed</w:t>
      </w:r>
      <w:r>
        <w:t xml:space="preserve"> Regulations) that we consider necessary.  </w:t>
      </w:r>
    </w:p>
    <w:p w14:paraId="7BE38AE2" w14:textId="3781548D" w:rsidR="00062A9E" w:rsidRDefault="00062A9E" w:rsidP="00062A9E">
      <w:pPr>
        <w:pStyle w:val="Heading2"/>
      </w:pPr>
      <w:bookmarkStart w:id="6" w:name="_Toc4166015"/>
      <w:r>
        <w:t xml:space="preserve">Key </w:t>
      </w:r>
      <w:r w:rsidR="003B546E">
        <w:t>Issues</w:t>
      </w:r>
      <w:bookmarkEnd w:id="6"/>
    </w:p>
    <w:p w14:paraId="6A2B696C" w14:textId="5C4D431B" w:rsidR="00062A9E" w:rsidRPr="00062A9E" w:rsidRDefault="00F2238F" w:rsidP="00062A9E">
      <w:pPr>
        <w:rPr>
          <w:lang w:eastAsia="en-AU"/>
        </w:rPr>
      </w:pPr>
      <w:r>
        <w:rPr>
          <w:lang w:eastAsia="en-AU"/>
        </w:rPr>
        <w:t xml:space="preserve">The key issues we seek to raise </w:t>
      </w:r>
      <w:r w:rsidR="00235197">
        <w:rPr>
          <w:lang w:eastAsia="en-AU"/>
        </w:rPr>
        <w:t>with</w:t>
      </w:r>
      <w:r w:rsidR="00062A9E">
        <w:rPr>
          <w:lang w:eastAsia="en-AU"/>
        </w:rPr>
        <w:t xml:space="preserve"> the current drafting of the Bill are as follows. </w:t>
      </w:r>
    </w:p>
    <w:p w14:paraId="611A1D30" w14:textId="13A7EE99" w:rsidR="000A0B1C" w:rsidRPr="000C53D7" w:rsidRDefault="000A0B1C" w:rsidP="000C53D7">
      <w:pPr>
        <w:pStyle w:val="ListParagraph"/>
        <w:numPr>
          <w:ilvl w:val="0"/>
          <w:numId w:val="17"/>
        </w:numPr>
        <w:rPr>
          <w:b/>
        </w:rPr>
      </w:pPr>
      <w:r w:rsidRPr="000C53D7">
        <w:rPr>
          <w:b/>
        </w:rPr>
        <w:t xml:space="preserve">LIF </w:t>
      </w:r>
      <w:r w:rsidR="00062A9E" w:rsidRPr="000C53D7">
        <w:rPr>
          <w:b/>
        </w:rPr>
        <w:t xml:space="preserve">Reforms </w:t>
      </w:r>
      <w:r w:rsidRPr="000C53D7">
        <w:rPr>
          <w:b/>
        </w:rPr>
        <w:t>not to be included</w:t>
      </w:r>
    </w:p>
    <w:p w14:paraId="2BD64FA3" w14:textId="0E88CCCF" w:rsidR="00C41A12" w:rsidRDefault="00C41A12" w:rsidP="00C41A12">
      <w:r>
        <w:t xml:space="preserve">The RC’s recommendation regarding grandfathered conflicted remuneration </w:t>
      </w:r>
      <w:r w:rsidR="00B80937">
        <w:t>wa</w:t>
      </w:r>
      <w:r>
        <w:t xml:space="preserve">s contained </w:t>
      </w:r>
      <w:r w:rsidR="009B722B">
        <w:t>in</w:t>
      </w:r>
      <w:r>
        <w:t xml:space="preserve"> Recommendation 2.4.  Recommendation 2.5 relate</w:t>
      </w:r>
      <w:r w:rsidR="00B80937">
        <w:t>d</w:t>
      </w:r>
      <w:r>
        <w:t xml:space="preserve"> solely to the exception to the ban on conflicted remuneration for life risk insurance products.  The Commissioner recommended that, when ASIC conducts its review of life risk insurance products, it should consider further reducing the cap on commissions in respect of life risk insurance products.  In response, the Government stated that it supports ASIC conducting its review of the reforms to life insurance remuneration in </w:t>
      </w:r>
      <w:proofErr w:type="gramStart"/>
      <w:r>
        <w:t>2021, and</w:t>
      </w:r>
      <w:proofErr w:type="gramEnd"/>
      <w:r>
        <w:t xml:space="preserve"> taking into account the factors identified by the RC in its Final Report.  There has been no indication by the RC or the Government that the cessation of grandfathering should </w:t>
      </w:r>
      <w:r w:rsidR="00B80937">
        <w:t>in any way affect</w:t>
      </w:r>
      <w:r w:rsidR="00F05658">
        <w:t xml:space="preserve"> the LIF Reforms.  We are pleased to see that the drafting of the Bill does not appear to affect the LIF Reforms (however we have sought some clarification regarding Treasury’s intention with respect to the proposed Regulations).</w:t>
      </w:r>
    </w:p>
    <w:p w14:paraId="2560441F" w14:textId="1CD756E5" w:rsidR="00575904" w:rsidRPr="00415843" w:rsidRDefault="00575904" w:rsidP="000C53D7">
      <w:pPr>
        <w:pStyle w:val="ListParagraph"/>
        <w:numPr>
          <w:ilvl w:val="0"/>
          <w:numId w:val="17"/>
        </w:numPr>
        <w:rPr>
          <w:b/>
        </w:rPr>
      </w:pPr>
      <w:r w:rsidRPr="00415843">
        <w:rPr>
          <w:b/>
        </w:rPr>
        <w:t>Legacy Products</w:t>
      </w:r>
    </w:p>
    <w:p w14:paraId="75A4DB9A" w14:textId="69C93E6B" w:rsidR="00D05130" w:rsidRDefault="001A0F29" w:rsidP="00D05130">
      <w:r>
        <w:t>T</w:t>
      </w:r>
      <w:r w:rsidR="00D05130">
        <w:t xml:space="preserve">he cost of grandfathered conflicted remuneration payments is often incorporated into a bundled administration fee.  In many cases, the manufacturer cannot cease paying these commissions without making substantial changes to the product administration systems and/or redesigning the product pricing model. </w:t>
      </w:r>
    </w:p>
    <w:p w14:paraId="50898BEB" w14:textId="043476C8" w:rsidR="00D05130" w:rsidRDefault="00D05130" w:rsidP="00D05130">
      <w:r>
        <w:t>Rather than restructuring old products, it may be more efficient for the product manufacturer to transfer customers to more contemporary, non-commission paying products</w:t>
      </w:r>
      <w:r w:rsidR="002E47D9">
        <w:t xml:space="preserve">, ensuring </w:t>
      </w:r>
      <w:proofErr w:type="gramStart"/>
      <w:r w:rsidR="002E47D9">
        <w:t>at all times</w:t>
      </w:r>
      <w:proofErr w:type="gramEnd"/>
      <w:r w:rsidR="002E47D9">
        <w:t xml:space="preserve"> that any such transfer</w:t>
      </w:r>
      <w:r w:rsidR="00235197">
        <w:t xml:space="preserve"> is</w:t>
      </w:r>
      <w:r w:rsidR="002E47D9">
        <w:t xml:space="preserve"> in the best interests of customers</w:t>
      </w:r>
      <w:r>
        <w:t xml:space="preserve">. </w:t>
      </w:r>
    </w:p>
    <w:p w14:paraId="47C9A2A4" w14:textId="77777777" w:rsidR="00D05130" w:rsidRDefault="00D05130" w:rsidP="00D05130">
      <w:r>
        <w:t>The FSC has for many years strongly supported and advocated for appropriate regulatory frameworks to facilitate rationalisation of legacy financial products.</w:t>
      </w:r>
      <w:r>
        <w:rPr>
          <w:rStyle w:val="FootnoteReference"/>
        </w:rPr>
        <w:footnoteReference w:id="5"/>
      </w:r>
      <w:r>
        <w:t xml:space="preserve">  </w:t>
      </w:r>
      <w:r>
        <w:rPr>
          <w:spacing w:val="1"/>
        </w:rPr>
        <w:t>Rationalisation should r</w:t>
      </w:r>
      <w:r>
        <w:rPr>
          <w:spacing w:val="-5"/>
        </w:rPr>
        <w:t>e</w:t>
      </w:r>
      <w:r>
        <w:rPr>
          <w:spacing w:val="-1"/>
        </w:rPr>
        <w:t>m</w:t>
      </w:r>
      <w:r>
        <w:t>ove ou</w:t>
      </w:r>
      <w:r>
        <w:rPr>
          <w:spacing w:val="5"/>
        </w:rPr>
        <w:t>t</w:t>
      </w:r>
      <w:r>
        <w:t>da</w:t>
      </w:r>
      <w:r>
        <w:rPr>
          <w:spacing w:val="1"/>
        </w:rPr>
        <w:t>t</w:t>
      </w:r>
      <w:r>
        <w:t>ed</w:t>
      </w:r>
      <w:r>
        <w:rPr>
          <w:spacing w:val="-1"/>
        </w:rPr>
        <w:t xml:space="preserve"> </w:t>
      </w:r>
      <w:r>
        <w:rPr>
          <w:spacing w:val="3"/>
        </w:rPr>
        <w:t xml:space="preserve">and often more expensive products (often due to attached commissions), </w:t>
      </w:r>
      <w:r>
        <w:t>while providing</w:t>
      </w:r>
      <w:r>
        <w:rPr>
          <w:spacing w:val="3"/>
        </w:rPr>
        <w:t xml:space="preserve"> </w:t>
      </w:r>
      <w:r>
        <w:t>a</w:t>
      </w:r>
      <w:r>
        <w:rPr>
          <w:spacing w:val="-1"/>
        </w:rPr>
        <w:t xml:space="preserve"> </w:t>
      </w:r>
      <w:r>
        <w:rPr>
          <w:spacing w:val="1"/>
        </w:rPr>
        <w:t>f</w:t>
      </w:r>
      <w:r>
        <w:t>a</w:t>
      </w:r>
      <w:r>
        <w:rPr>
          <w:spacing w:val="-1"/>
        </w:rPr>
        <w:t>i</w:t>
      </w:r>
      <w:r>
        <w:t>r</w:t>
      </w:r>
      <w:r>
        <w:rPr>
          <w:spacing w:val="4"/>
        </w:rPr>
        <w:t xml:space="preserve"> </w:t>
      </w:r>
      <w:r>
        <w:t>ou</w:t>
      </w:r>
      <w:r>
        <w:rPr>
          <w:spacing w:val="1"/>
        </w:rPr>
        <w:t>t</w:t>
      </w:r>
      <w:r>
        <w:t>co</w:t>
      </w:r>
      <w:r>
        <w:rPr>
          <w:spacing w:val="-1"/>
        </w:rPr>
        <w:t>m</w:t>
      </w:r>
      <w:r>
        <w:t>e</w:t>
      </w:r>
      <w:r>
        <w:rPr>
          <w:spacing w:val="-1"/>
        </w:rPr>
        <w:t xml:space="preserve"> </w:t>
      </w:r>
      <w:r>
        <w:rPr>
          <w:spacing w:val="1"/>
        </w:rPr>
        <w:t>f</w:t>
      </w:r>
      <w:r>
        <w:t>or</w:t>
      </w:r>
      <w:r>
        <w:rPr>
          <w:spacing w:val="1"/>
        </w:rPr>
        <w:t xml:space="preserve"> </w:t>
      </w:r>
      <w:r>
        <w:t>c</w:t>
      </w:r>
      <w:r>
        <w:rPr>
          <w:spacing w:val="-5"/>
        </w:rPr>
        <w:t>o</w:t>
      </w:r>
      <w:r>
        <w:t>nsu</w:t>
      </w:r>
      <w:r>
        <w:rPr>
          <w:spacing w:val="1"/>
        </w:rPr>
        <w:t>m</w:t>
      </w:r>
      <w:r>
        <w:t>e</w:t>
      </w:r>
      <w:r>
        <w:rPr>
          <w:spacing w:val="1"/>
        </w:rPr>
        <w:t>r</w:t>
      </w:r>
      <w:r>
        <w:t xml:space="preserve">s.  The FSC urges Treasury to ensure appropriate options are available to the product manufacturer to respond to the ending of the grandfathering provisions in a manner which benefits customers.  </w:t>
      </w:r>
    </w:p>
    <w:p w14:paraId="1D71597A" w14:textId="77777777" w:rsidR="00D05130" w:rsidRDefault="00D05130" w:rsidP="00D05130">
      <w:r>
        <w:lastRenderedPageBreak/>
        <w:t>While the design of modern products may provide better consumer outcomes, current mechanisms for moving clients from legacy products to new products can create costs for consumers, including:</w:t>
      </w:r>
    </w:p>
    <w:p w14:paraId="20826661" w14:textId="77777777" w:rsidR="00D05130" w:rsidRDefault="00D05130" w:rsidP="00D05130">
      <w:pPr>
        <w:pStyle w:val="ListParagraph"/>
        <w:numPr>
          <w:ilvl w:val="0"/>
          <w:numId w:val="13"/>
        </w:numPr>
        <w:spacing w:after="0" w:line="240" w:lineRule="auto"/>
      </w:pPr>
      <w:r>
        <w:t>tax consequences such as CGT and stamp duty;</w:t>
      </w:r>
    </w:p>
    <w:p w14:paraId="6537B98E" w14:textId="77777777" w:rsidR="00D05130" w:rsidRPr="00087027" w:rsidRDefault="00D05130" w:rsidP="00D05130">
      <w:pPr>
        <w:pStyle w:val="ListParagraph"/>
        <w:numPr>
          <w:ilvl w:val="1"/>
          <w:numId w:val="13"/>
        </w:numPr>
      </w:pPr>
      <w:r>
        <w:t xml:space="preserve">clients may be charged </w:t>
      </w:r>
      <w:r w:rsidRPr="00087027">
        <w:t>exit fees</w:t>
      </w:r>
      <w:r>
        <w:t xml:space="preserve"> (noting that these fees will be banned for superannuation products from 1 July 2019);</w:t>
      </w:r>
      <w:r w:rsidRPr="00087027">
        <w:t xml:space="preserve"> </w:t>
      </w:r>
      <w:r>
        <w:t>and</w:t>
      </w:r>
    </w:p>
    <w:p w14:paraId="25D669FC" w14:textId="77777777" w:rsidR="00D05130" w:rsidRDefault="00D05130" w:rsidP="00D05130">
      <w:pPr>
        <w:pStyle w:val="ListParagraph"/>
        <w:numPr>
          <w:ilvl w:val="1"/>
          <w:numId w:val="13"/>
        </w:numPr>
      </w:pPr>
      <w:r>
        <w:t xml:space="preserve">clients may require </w:t>
      </w:r>
      <w:r w:rsidRPr="00087027">
        <w:t>financial advice</w:t>
      </w:r>
      <w:r>
        <w:t xml:space="preserve"> on the replacement of products.   </w:t>
      </w:r>
      <w:r w:rsidRPr="00087027">
        <w:t xml:space="preserve"> </w:t>
      </w:r>
    </w:p>
    <w:p w14:paraId="2DACA384" w14:textId="38E711D6" w:rsidR="00D05130" w:rsidRDefault="00D05130" w:rsidP="00D05130">
      <w:r>
        <w:t xml:space="preserve">Addressing these issues will substantially reduce costs to members and enable them to move into more up to date products with better customer benefits </w:t>
      </w:r>
      <w:r w:rsidR="002E47D9">
        <w:t>where it is in their best interests to do so.</w:t>
      </w:r>
    </w:p>
    <w:p w14:paraId="4BAC3447" w14:textId="7B1CF5B7" w:rsidR="00D05130" w:rsidRDefault="00D05130" w:rsidP="00D05130">
      <w:r>
        <w:rPr>
          <w:spacing w:val="-2"/>
        </w:rPr>
        <w:t>T</w:t>
      </w:r>
      <w:r>
        <w:t xml:space="preserve">he </w:t>
      </w:r>
      <w:r>
        <w:rPr>
          <w:spacing w:val="-2"/>
        </w:rPr>
        <w:t>FS</w:t>
      </w:r>
      <w:r>
        <w:t xml:space="preserve">C </w:t>
      </w:r>
      <w:r>
        <w:rPr>
          <w:spacing w:val="-2"/>
        </w:rPr>
        <w:t>p</w:t>
      </w:r>
      <w:r>
        <w:rPr>
          <w:spacing w:val="1"/>
        </w:rPr>
        <w:t>r</w:t>
      </w:r>
      <w:r>
        <w:t>o</w:t>
      </w:r>
      <w:r>
        <w:rPr>
          <w:spacing w:val="-2"/>
        </w:rPr>
        <w:t>po</w:t>
      </w:r>
      <w:r>
        <w:rPr>
          <w:spacing w:val="2"/>
        </w:rPr>
        <w:t>s</w:t>
      </w:r>
      <w:r>
        <w:rPr>
          <w:spacing w:val="-2"/>
        </w:rPr>
        <w:t>e</w:t>
      </w:r>
      <w:r>
        <w:t>s</w:t>
      </w:r>
      <w:r>
        <w:rPr>
          <w:spacing w:val="2"/>
        </w:rPr>
        <w:t xml:space="preserve"> </w:t>
      </w:r>
      <w:r>
        <w:t>a</w:t>
      </w:r>
      <w:r>
        <w:rPr>
          <w:spacing w:val="-1"/>
        </w:rPr>
        <w:t xml:space="preserve"> </w:t>
      </w:r>
      <w:r>
        <w:t>c</w:t>
      </w:r>
      <w:r>
        <w:rPr>
          <w:spacing w:val="-2"/>
        </w:rPr>
        <w:t>o</w:t>
      </w:r>
      <w:r>
        <w:rPr>
          <w:spacing w:val="-1"/>
        </w:rPr>
        <w:t>mm</w:t>
      </w:r>
      <w:r>
        <w:rPr>
          <w:spacing w:val="-2"/>
        </w:rPr>
        <w:t>o</w:t>
      </w:r>
      <w:r>
        <w:t>n</w:t>
      </w:r>
      <w:r>
        <w:rPr>
          <w:spacing w:val="-1"/>
        </w:rPr>
        <w:t xml:space="preserve"> </w:t>
      </w:r>
      <w:r>
        <w:rPr>
          <w:spacing w:val="1"/>
        </w:rPr>
        <w:t>r</w:t>
      </w:r>
      <w:r>
        <w:rPr>
          <w:spacing w:val="-2"/>
        </w:rPr>
        <w:t>a</w:t>
      </w:r>
      <w:r>
        <w:rPr>
          <w:spacing w:val="1"/>
        </w:rPr>
        <w:t>ti</w:t>
      </w:r>
      <w:r>
        <w:rPr>
          <w:spacing w:val="-2"/>
        </w:rPr>
        <w:t>ona</w:t>
      </w:r>
      <w:r>
        <w:rPr>
          <w:spacing w:val="1"/>
        </w:rPr>
        <w:t>li</w:t>
      </w:r>
      <w:r>
        <w:t>s</w:t>
      </w:r>
      <w:r>
        <w:rPr>
          <w:spacing w:val="-2"/>
        </w:rPr>
        <w:t>a</w:t>
      </w:r>
      <w:r>
        <w:rPr>
          <w:spacing w:val="1"/>
        </w:rPr>
        <w:t>ti</w:t>
      </w:r>
      <w:r>
        <w:rPr>
          <w:spacing w:val="-2"/>
        </w:rPr>
        <w:t>o</w:t>
      </w:r>
      <w:r>
        <w:t>n</w:t>
      </w:r>
      <w:r>
        <w:rPr>
          <w:spacing w:val="-1"/>
        </w:rPr>
        <w:t xml:space="preserve"> </w:t>
      </w:r>
      <w:r>
        <w:rPr>
          <w:spacing w:val="1"/>
        </w:rPr>
        <w:t>r</w:t>
      </w:r>
      <w:r>
        <w:rPr>
          <w:spacing w:val="-2"/>
        </w:rPr>
        <w:t>eg</w:t>
      </w:r>
      <w:r>
        <w:rPr>
          <w:spacing w:val="1"/>
        </w:rPr>
        <w:t>i</w:t>
      </w:r>
      <w:r>
        <w:rPr>
          <w:spacing w:val="-1"/>
        </w:rPr>
        <w:t>m</w:t>
      </w:r>
      <w:r>
        <w:t>e</w:t>
      </w:r>
      <w:r>
        <w:rPr>
          <w:spacing w:val="-1"/>
        </w:rPr>
        <w:t xml:space="preserve"> </w:t>
      </w:r>
      <w:r>
        <w:rPr>
          <w:spacing w:val="1"/>
        </w:rPr>
        <w:t>t</w:t>
      </w:r>
      <w:r>
        <w:rPr>
          <w:spacing w:val="-2"/>
        </w:rPr>
        <w:t>ha</w:t>
      </w:r>
      <w:r>
        <w:t>t</w:t>
      </w:r>
      <w:r>
        <w:rPr>
          <w:spacing w:val="3"/>
        </w:rPr>
        <w:t xml:space="preserve"> </w:t>
      </w:r>
      <w:r>
        <w:t>could</w:t>
      </w:r>
      <w:r>
        <w:rPr>
          <w:spacing w:val="-1"/>
        </w:rPr>
        <w:t xml:space="preserve"> </w:t>
      </w:r>
      <w:r>
        <w:rPr>
          <w:spacing w:val="-2"/>
        </w:rPr>
        <w:t>b</w:t>
      </w:r>
      <w:r>
        <w:t>e</w:t>
      </w:r>
      <w:r>
        <w:rPr>
          <w:spacing w:val="-1"/>
        </w:rPr>
        <w:t xml:space="preserve"> </w:t>
      </w:r>
      <w:r>
        <w:t>a</w:t>
      </w:r>
      <w:r>
        <w:rPr>
          <w:spacing w:val="-2"/>
        </w:rPr>
        <w:t>pp</w:t>
      </w:r>
      <w:r>
        <w:rPr>
          <w:spacing w:val="1"/>
        </w:rPr>
        <w:t>li</w:t>
      </w:r>
      <w:r>
        <w:t xml:space="preserve">ed </w:t>
      </w:r>
      <w:r>
        <w:rPr>
          <w:spacing w:val="1"/>
        </w:rPr>
        <w:t>t</w:t>
      </w:r>
      <w:r>
        <w:t>o</w:t>
      </w:r>
      <w:r>
        <w:rPr>
          <w:spacing w:val="-3"/>
        </w:rPr>
        <w:t xml:space="preserve"> any financial product</w:t>
      </w:r>
      <w:r w:rsidR="006C7856">
        <w:rPr>
          <w:spacing w:val="-3"/>
        </w:rPr>
        <w:t xml:space="preserve">.  </w:t>
      </w:r>
      <w:r>
        <w:t xml:space="preserve">The rationalisation scheme would have the following components: </w:t>
      </w:r>
    </w:p>
    <w:p w14:paraId="285E6036" w14:textId="018702BB" w:rsidR="00D05130" w:rsidRDefault="00D05130" w:rsidP="00D05130">
      <w:pPr>
        <w:pStyle w:val="ListParagraph"/>
        <w:numPr>
          <w:ilvl w:val="0"/>
          <w:numId w:val="14"/>
        </w:numPr>
      </w:pPr>
      <w:r>
        <w:t>a</w:t>
      </w:r>
      <w:r w:rsidRPr="001F7C9E">
        <w:rPr>
          <w:spacing w:val="-1"/>
        </w:rPr>
        <w:t xml:space="preserve"> </w:t>
      </w:r>
      <w:r>
        <w:t>consu</w:t>
      </w:r>
      <w:r w:rsidRPr="001F7C9E">
        <w:rPr>
          <w:spacing w:val="1"/>
        </w:rPr>
        <w:t>m</w:t>
      </w:r>
      <w:r>
        <w:t>er</w:t>
      </w:r>
      <w:r w:rsidRPr="001F7C9E">
        <w:rPr>
          <w:spacing w:val="3"/>
        </w:rPr>
        <w:t xml:space="preserve"> </w:t>
      </w:r>
      <w:r w:rsidRPr="001F7C9E">
        <w:rPr>
          <w:spacing w:val="-1"/>
        </w:rPr>
        <w:t>i</w:t>
      </w:r>
      <w:r>
        <w:t>n</w:t>
      </w:r>
      <w:r w:rsidRPr="001F7C9E">
        <w:rPr>
          <w:spacing w:val="1"/>
        </w:rPr>
        <w:t>t</w:t>
      </w:r>
      <w:r>
        <w:t>e</w:t>
      </w:r>
      <w:r w:rsidRPr="001F7C9E">
        <w:rPr>
          <w:spacing w:val="1"/>
        </w:rPr>
        <w:t>r</w:t>
      </w:r>
      <w:r>
        <w:t>est</w:t>
      </w:r>
      <w:r w:rsidRPr="001F7C9E">
        <w:rPr>
          <w:spacing w:val="6"/>
        </w:rPr>
        <w:t xml:space="preserve"> </w:t>
      </w:r>
      <w:r w:rsidRPr="001F7C9E">
        <w:rPr>
          <w:spacing w:val="1"/>
        </w:rPr>
        <w:t>t</w:t>
      </w:r>
      <w:r>
        <w:t xml:space="preserve">est </w:t>
      </w:r>
      <w:r w:rsidR="006C7856">
        <w:t xml:space="preserve">which </w:t>
      </w:r>
      <w:r>
        <w:t>would app</w:t>
      </w:r>
      <w:r w:rsidRPr="001F7C9E">
        <w:rPr>
          <w:spacing w:val="1"/>
        </w:rPr>
        <w:t>l</w:t>
      </w:r>
      <w:r>
        <w:t>y</w:t>
      </w:r>
      <w:r w:rsidRPr="001F7C9E">
        <w:rPr>
          <w:spacing w:val="-1"/>
        </w:rPr>
        <w:t xml:space="preserve"> </w:t>
      </w:r>
      <w:r>
        <w:t>at</w:t>
      </w:r>
      <w:r w:rsidRPr="001F7C9E">
        <w:rPr>
          <w:spacing w:val="4"/>
        </w:rPr>
        <w:t xml:space="preserve"> </w:t>
      </w:r>
      <w:r w:rsidR="006C7856">
        <w:rPr>
          <w:spacing w:val="4"/>
        </w:rPr>
        <w:t>the</w:t>
      </w:r>
      <w:r>
        <w:rPr>
          <w:spacing w:val="4"/>
        </w:rPr>
        <w:t xml:space="preserve"> </w:t>
      </w:r>
      <w:r>
        <w:t>g</w:t>
      </w:r>
      <w:r w:rsidRPr="001F7C9E">
        <w:rPr>
          <w:spacing w:val="1"/>
        </w:rPr>
        <w:t>r</w:t>
      </w:r>
      <w:r>
        <w:t xml:space="preserve">oup </w:t>
      </w:r>
      <w:r w:rsidRPr="001F7C9E">
        <w:rPr>
          <w:spacing w:val="1"/>
        </w:rPr>
        <w:t>l</w:t>
      </w:r>
      <w:r>
        <w:t>evel</w:t>
      </w:r>
      <w:r w:rsidRPr="001F7C9E">
        <w:rPr>
          <w:spacing w:val="4"/>
        </w:rPr>
        <w:t xml:space="preserve"> </w:t>
      </w:r>
      <w:r w:rsidRPr="001F7C9E">
        <w:rPr>
          <w:spacing w:val="1"/>
        </w:rPr>
        <w:t>t</w:t>
      </w:r>
      <w:r>
        <w:t>o</w:t>
      </w:r>
      <w:r w:rsidRPr="001F7C9E">
        <w:rPr>
          <w:spacing w:val="-1"/>
        </w:rPr>
        <w:t xml:space="preserve"> </w:t>
      </w:r>
      <w:r>
        <w:t>assess</w:t>
      </w:r>
      <w:r w:rsidRPr="001F7C9E">
        <w:rPr>
          <w:spacing w:val="-1"/>
        </w:rPr>
        <w:t xml:space="preserve"> w</w:t>
      </w:r>
      <w:r>
        <w:t>he</w:t>
      </w:r>
      <w:r w:rsidRPr="001F7C9E">
        <w:rPr>
          <w:spacing w:val="1"/>
        </w:rPr>
        <w:t>t</w:t>
      </w:r>
      <w:r>
        <w:t>her</w:t>
      </w:r>
      <w:r w:rsidRPr="001F7C9E">
        <w:rPr>
          <w:spacing w:val="3"/>
        </w:rPr>
        <w:t xml:space="preserve"> </w:t>
      </w:r>
      <w:r>
        <w:rPr>
          <w:spacing w:val="3"/>
        </w:rPr>
        <w:t>moving clients into the new product is in the best interests of clients as a group</w:t>
      </w:r>
      <w:r>
        <w:rPr>
          <w:rStyle w:val="FootnoteReference"/>
          <w:spacing w:val="-1"/>
        </w:rPr>
        <w:footnoteReference w:id="6"/>
      </w:r>
      <w:r>
        <w:t>;</w:t>
      </w:r>
    </w:p>
    <w:p w14:paraId="479DB7FB" w14:textId="77777777" w:rsidR="00D05130" w:rsidRDefault="00D05130" w:rsidP="00D05130">
      <w:pPr>
        <w:pStyle w:val="ListParagraph"/>
        <w:ind w:left="360"/>
      </w:pPr>
    </w:p>
    <w:p w14:paraId="08A7F326" w14:textId="26B5ACDD" w:rsidR="00D05130" w:rsidRDefault="00D05130" w:rsidP="00D05130">
      <w:pPr>
        <w:pStyle w:val="ListParagraph"/>
        <w:numPr>
          <w:ilvl w:val="0"/>
          <w:numId w:val="14"/>
        </w:numPr>
      </w:pPr>
      <w:r w:rsidRPr="007E6229">
        <w:t xml:space="preserve">ASIC </w:t>
      </w:r>
      <w:r>
        <w:t xml:space="preserve">would have a role to play </w:t>
      </w:r>
      <w:r w:rsidRPr="007E6229">
        <w:t xml:space="preserve">to ensure that, on balance, customers are better off </w:t>
      </w:r>
      <w:proofErr w:type="gramStart"/>
      <w:r w:rsidRPr="007E6229">
        <w:t>as a result of</w:t>
      </w:r>
      <w:proofErr w:type="gramEnd"/>
      <w:r w:rsidRPr="007E6229">
        <w:t xml:space="preserve"> the rationalisation</w:t>
      </w:r>
      <w:r>
        <w:t xml:space="preserve">; and </w:t>
      </w:r>
    </w:p>
    <w:p w14:paraId="2E27BFEA" w14:textId="77777777" w:rsidR="00D05130" w:rsidRDefault="00D05130" w:rsidP="00D05130">
      <w:pPr>
        <w:pStyle w:val="ListParagraph"/>
        <w:ind w:left="360"/>
      </w:pPr>
    </w:p>
    <w:p w14:paraId="45FA35F2" w14:textId="70EC8C16" w:rsidR="00D05130" w:rsidRDefault="00D05130" w:rsidP="00D05130">
      <w:pPr>
        <w:pStyle w:val="ListParagraph"/>
        <w:numPr>
          <w:ilvl w:val="0"/>
          <w:numId w:val="14"/>
        </w:numPr>
        <w:spacing w:after="0" w:line="240" w:lineRule="auto"/>
      </w:pPr>
      <w:r w:rsidRPr="001E140F">
        <w:rPr>
          <w:spacing w:val="1"/>
        </w:rPr>
        <w:t>t</w:t>
      </w:r>
      <w:r>
        <w:t>he</w:t>
      </w:r>
      <w:r w:rsidRPr="001E140F">
        <w:rPr>
          <w:spacing w:val="-1"/>
        </w:rPr>
        <w:t xml:space="preserve"> </w:t>
      </w:r>
      <w:r w:rsidRPr="001E140F">
        <w:rPr>
          <w:spacing w:val="1"/>
        </w:rPr>
        <w:t>t</w:t>
      </w:r>
      <w:r>
        <w:t>ax</w:t>
      </w:r>
      <w:r w:rsidRPr="001E140F">
        <w:rPr>
          <w:spacing w:val="-3"/>
        </w:rPr>
        <w:t xml:space="preserve"> </w:t>
      </w:r>
      <w:r>
        <w:t>a</w:t>
      </w:r>
      <w:r w:rsidRPr="001E140F">
        <w:rPr>
          <w:spacing w:val="1"/>
        </w:rPr>
        <w:t>ttri</w:t>
      </w:r>
      <w:r>
        <w:t>bu</w:t>
      </w:r>
      <w:r w:rsidRPr="001E140F">
        <w:rPr>
          <w:spacing w:val="1"/>
        </w:rPr>
        <w:t>t</w:t>
      </w:r>
      <w:r>
        <w:t>es</w:t>
      </w:r>
      <w:r w:rsidRPr="001E140F">
        <w:rPr>
          <w:spacing w:val="2"/>
        </w:rPr>
        <w:t xml:space="preserve"> </w:t>
      </w:r>
      <w:r>
        <w:t xml:space="preserve">of </w:t>
      </w:r>
      <w:r>
        <w:rPr>
          <w:spacing w:val="1"/>
        </w:rPr>
        <w:t xml:space="preserve">the legacy product </w:t>
      </w:r>
      <w:r>
        <w:t>shou</w:t>
      </w:r>
      <w:r w:rsidRPr="001E140F">
        <w:rPr>
          <w:spacing w:val="1"/>
        </w:rPr>
        <w:t>l</w:t>
      </w:r>
      <w:r>
        <w:t>d</w:t>
      </w:r>
      <w:r w:rsidRPr="001E140F">
        <w:rPr>
          <w:spacing w:val="-1"/>
        </w:rPr>
        <w:t xml:space="preserve"> </w:t>
      </w:r>
      <w:r>
        <w:t>be ab</w:t>
      </w:r>
      <w:r w:rsidRPr="001E140F">
        <w:rPr>
          <w:spacing w:val="1"/>
        </w:rPr>
        <w:t>l</w:t>
      </w:r>
      <w:r>
        <w:t>e</w:t>
      </w:r>
      <w:r w:rsidRPr="001E140F">
        <w:rPr>
          <w:spacing w:val="-1"/>
        </w:rPr>
        <w:t xml:space="preserve"> </w:t>
      </w:r>
      <w:r w:rsidRPr="001E140F">
        <w:rPr>
          <w:spacing w:val="1"/>
        </w:rPr>
        <w:t>t</w:t>
      </w:r>
      <w:r>
        <w:t>o</w:t>
      </w:r>
      <w:r w:rsidRPr="001E140F">
        <w:rPr>
          <w:spacing w:val="-1"/>
        </w:rPr>
        <w:t xml:space="preserve"> </w:t>
      </w:r>
      <w:r>
        <w:rPr>
          <w:spacing w:val="-1"/>
        </w:rPr>
        <w:t xml:space="preserve">be </w:t>
      </w:r>
      <w:r w:rsidRPr="001E140F">
        <w:rPr>
          <w:spacing w:val="1"/>
        </w:rPr>
        <w:t>r</w:t>
      </w:r>
      <w:r>
        <w:t>o</w:t>
      </w:r>
      <w:r w:rsidRPr="001E140F">
        <w:rPr>
          <w:spacing w:val="1"/>
        </w:rPr>
        <w:t>l</w:t>
      </w:r>
      <w:r>
        <w:t>led over</w:t>
      </w:r>
      <w:r w:rsidRPr="001E140F">
        <w:rPr>
          <w:spacing w:val="3"/>
        </w:rPr>
        <w:t xml:space="preserve"> </w:t>
      </w:r>
      <w:r w:rsidRPr="001E140F">
        <w:rPr>
          <w:spacing w:val="1"/>
        </w:rPr>
        <w:t>t</w:t>
      </w:r>
      <w:r>
        <w:t>o</w:t>
      </w:r>
      <w:r w:rsidRPr="001E140F">
        <w:rPr>
          <w:spacing w:val="-3"/>
        </w:rPr>
        <w:t xml:space="preserve"> </w:t>
      </w:r>
      <w:r w:rsidRPr="001E140F">
        <w:rPr>
          <w:spacing w:val="1"/>
        </w:rPr>
        <w:t>t</w:t>
      </w:r>
      <w:r>
        <w:t>he</w:t>
      </w:r>
      <w:r w:rsidRPr="001E140F">
        <w:rPr>
          <w:spacing w:val="-1"/>
        </w:rPr>
        <w:t xml:space="preserve"> </w:t>
      </w:r>
      <w:r>
        <w:t>des</w:t>
      </w:r>
      <w:r w:rsidRPr="001E140F">
        <w:rPr>
          <w:spacing w:val="1"/>
        </w:rPr>
        <w:t>ti</w:t>
      </w:r>
      <w:r>
        <w:t>na</w:t>
      </w:r>
      <w:r w:rsidRPr="001E140F">
        <w:rPr>
          <w:spacing w:val="1"/>
        </w:rPr>
        <w:t>ti</w:t>
      </w:r>
      <w:r>
        <w:t>on</w:t>
      </w:r>
      <w:r w:rsidRPr="001E140F">
        <w:rPr>
          <w:spacing w:val="-1"/>
        </w:rPr>
        <w:t xml:space="preserve"> </w:t>
      </w:r>
      <w:r>
        <w:rPr>
          <w:spacing w:val="-1"/>
        </w:rPr>
        <w:t>product</w:t>
      </w:r>
      <w:r>
        <w:t>, meaning</w:t>
      </w:r>
      <w:r w:rsidRPr="00EB11C0">
        <w:t xml:space="preserve"> </w:t>
      </w:r>
      <w:r>
        <w:t>the product transfer should not trigger a tax event.</w:t>
      </w:r>
      <w:r>
        <w:rPr>
          <w:rStyle w:val="FootnoteReference"/>
        </w:rPr>
        <w:footnoteReference w:id="7"/>
      </w:r>
    </w:p>
    <w:p w14:paraId="2AF458C3" w14:textId="77777777" w:rsidR="00D05130" w:rsidRDefault="00D05130" w:rsidP="00D05130">
      <w:pPr>
        <w:spacing w:after="0" w:line="240" w:lineRule="auto"/>
      </w:pPr>
    </w:p>
    <w:p w14:paraId="7AFDEE21" w14:textId="104963C7" w:rsidR="00D05130" w:rsidRDefault="00D05130" w:rsidP="00D05130">
      <w:pPr>
        <w:spacing w:after="0" w:line="240" w:lineRule="auto"/>
      </w:pPr>
      <w:r>
        <w:t>Where clients are moved out of legacy products and into new products</w:t>
      </w:r>
      <w:r w:rsidR="002E47D9">
        <w:t xml:space="preserve"> (where it is in their best interest to do so)</w:t>
      </w:r>
      <w:r>
        <w:t xml:space="preserve">, the obligation to rebate commissions to clients would not arise as product manufacturers do not have arrangements to pay commissions with respect to these new products. </w:t>
      </w:r>
    </w:p>
    <w:p w14:paraId="0B92A30B" w14:textId="77777777" w:rsidR="00E0564D" w:rsidRDefault="00E0564D" w:rsidP="00E0564D">
      <w:pPr>
        <w:pStyle w:val="ListParagraph"/>
      </w:pPr>
    </w:p>
    <w:p w14:paraId="67BD8BCF" w14:textId="7C584B7A" w:rsidR="00062A9E" w:rsidRDefault="00062A9E" w:rsidP="000C53D7">
      <w:pPr>
        <w:pStyle w:val="ListParagraph"/>
        <w:numPr>
          <w:ilvl w:val="0"/>
          <w:numId w:val="17"/>
        </w:numPr>
        <w:rPr>
          <w:b/>
        </w:rPr>
      </w:pPr>
      <w:r>
        <w:rPr>
          <w:b/>
        </w:rPr>
        <w:t>Entity responsible for rebating clients</w:t>
      </w:r>
    </w:p>
    <w:p w14:paraId="79E413FB" w14:textId="269BFDF7" w:rsidR="00F05658" w:rsidRDefault="00F05658" w:rsidP="00F05658">
      <w:r>
        <w:t xml:space="preserve">We consider that the product manufacturer </w:t>
      </w:r>
      <w:r w:rsidR="0096721B">
        <w:t xml:space="preserve">(namely the issuer of the product) </w:t>
      </w:r>
      <w:r w:rsidR="00A36EA0">
        <w:t xml:space="preserve">generally </w:t>
      </w:r>
      <w:r>
        <w:t>is be</w:t>
      </w:r>
      <w:r w:rsidR="008A505B">
        <w:t>tter</w:t>
      </w:r>
      <w:r>
        <w:t xml:space="preserve"> placed to rebate the client for the following reasons:</w:t>
      </w:r>
    </w:p>
    <w:p w14:paraId="067C2729" w14:textId="5D94D08A" w:rsidR="00626330" w:rsidRDefault="00626330" w:rsidP="00626330">
      <w:pPr>
        <w:pStyle w:val="ListParagraph"/>
        <w:numPr>
          <w:ilvl w:val="0"/>
          <w:numId w:val="10"/>
        </w:numPr>
      </w:pPr>
      <w:r>
        <w:t xml:space="preserve">allowing the </w:t>
      </w:r>
      <w:r w:rsidR="004552B0">
        <w:t xml:space="preserve">holder of an </w:t>
      </w:r>
      <w:r w:rsidR="003F02CC">
        <w:t>Australian Financial Services Licen</w:t>
      </w:r>
      <w:r w:rsidR="004552B0">
        <w:t>ce</w:t>
      </w:r>
      <w:r w:rsidR="003F02CC">
        <w:t xml:space="preserve"> (</w:t>
      </w:r>
      <w:r w:rsidR="004552B0" w:rsidRPr="004552B0">
        <w:rPr>
          <w:b/>
        </w:rPr>
        <w:t>Advice</w:t>
      </w:r>
      <w:r w:rsidR="004552B0">
        <w:t xml:space="preserve"> </w:t>
      </w:r>
      <w:r w:rsidR="003F02CC" w:rsidRPr="00F05658">
        <w:rPr>
          <w:b/>
        </w:rPr>
        <w:t>Licensee</w:t>
      </w:r>
      <w:r w:rsidR="003F02CC">
        <w:t xml:space="preserve">) </w:t>
      </w:r>
      <w:r>
        <w:t xml:space="preserve">to rebate the conflicted remuneration means that it would be lawful for the product manufacturer to pay the conflicted remuneration to the </w:t>
      </w:r>
      <w:r w:rsidR="004552B0">
        <w:t>Advice Licensee</w:t>
      </w:r>
      <w:r>
        <w:t>, which would be inconsistent with the Government Position of terminating grandfathered commission arrangements;</w:t>
      </w:r>
    </w:p>
    <w:p w14:paraId="66927A33" w14:textId="2CB36DC7" w:rsidR="00FC424A" w:rsidRDefault="00FC424A" w:rsidP="00FC424A">
      <w:pPr>
        <w:pStyle w:val="ListParagraph"/>
        <w:numPr>
          <w:ilvl w:val="0"/>
          <w:numId w:val="10"/>
        </w:numPr>
      </w:pPr>
      <w:r>
        <w:t xml:space="preserve">a product manufacturer would </w:t>
      </w:r>
      <w:r w:rsidR="00A356A6">
        <w:t xml:space="preserve">generally </w:t>
      </w:r>
      <w:r>
        <w:t>be better equipped to implement, manage</w:t>
      </w:r>
      <w:r w:rsidR="00B0759F">
        <w:t>,</w:t>
      </w:r>
      <w:r>
        <w:t xml:space="preserve"> control and monitor processes to </w:t>
      </w:r>
      <w:r w:rsidR="002E47D9">
        <w:t xml:space="preserve">equitably </w:t>
      </w:r>
      <w:r>
        <w:t xml:space="preserve">pass </w:t>
      </w:r>
      <w:r w:rsidR="0031781F">
        <w:t xml:space="preserve">back potentially hundreds or thousands of individual payments </w:t>
      </w:r>
      <w:r>
        <w:t xml:space="preserve">to customers </w:t>
      </w:r>
      <w:r w:rsidR="00F834BD">
        <w:t xml:space="preserve">through </w:t>
      </w:r>
      <w:r>
        <w:t>central</w:t>
      </w:r>
      <w:r w:rsidR="00F834BD">
        <w:t xml:space="preserve">ised </w:t>
      </w:r>
      <w:r>
        <w:t xml:space="preserve">systems than for </w:t>
      </w:r>
      <w:r w:rsidR="00021C07">
        <w:lastRenderedPageBreak/>
        <w:t xml:space="preserve">Advice </w:t>
      </w:r>
      <w:r w:rsidR="00E42882">
        <w:t>L</w:t>
      </w:r>
      <w:r>
        <w:t xml:space="preserve">icensees or their representatives, </w:t>
      </w:r>
      <w:r w:rsidR="00E42882">
        <w:t xml:space="preserve">given </w:t>
      </w:r>
      <w:r w:rsidR="004552B0">
        <w:t>Advice Licensee</w:t>
      </w:r>
      <w:r w:rsidR="000869B1">
        <w:t xml:space="preserve">s and representatives </w:t>
      </w:r>
      <w:r>
        <w:t>often operate as small businesses</w:t>
      </w:r>
      <w:r w:rsidR="0031781F">
        <w:t>;</w:t>
      </w:r>
    </w:p>
    <w:p w14:paraId="1C66E067" w14:textId="26761533" w:rsidR="00FC424A" w:rsidRDefault="00FC424A" w:rsidP="00FC424A">
      <w:pPr>
        <w:pStyle w:val="ListParagraph"/>
        <w:numPr>
          <w:ilvl w:val="0"/>
          <w:numId w:val="10"/>
        </w:numPr>
      </w:pPr>
      <w:r>
        <w:t xml:space="preserve">it would be easier for ASIC to verify whether the payments are being passed back to customers if the obligation was managed by a </w:t>
      </w:r>
      <w:r w:rsidR="009F0A4A">
        <w:t xml:space="preserve">large </w:t>
      </w:r>
      <w:r>
        <w:t>corporate entity rather than hundreds of individual businesses</w:t>
      </w:r>
      <w:r w:rsidR="009F0A4A">
        <w:t>;</w:t>
      </w:r>
      <w:r>
        <w:t xml:space="preserve"> </w:t>
      </w:r>
    </w:p>
    <w:p w14:paraId="7E520CE0" w14:textId="2E5BBE28" w:rsidR="00EC39B1" w:rsidRDefault="00FC424A" w:rsidP="00DD228D">
      <w:pPr>
        <w:pStyle w:val="ListParagraph"/>
        <w:numPr>
          <w:ilvl w:val="0"/>
          <w:numId w:val="10"/>
        </w:numPr>
      </w:pPr>
      <w:r>
        <w:t xml:space="preserve">it would be more efficient and quicker for the product manufacturer to pay the client directly rather than having the product manufacturer pay the </w:t>
      </w:r>
      <w:r w:rsidR="004552B0">
        <w:t xml:space="preserve">Advice Licensee </w:t>
      </w:r>
      <w:r>
        <w:t xml:space="preserve">and then for the </w:t>
      </w:r>
      <w:r w:rsidR="004552B0">
        <w:t>Advice Licensee</w:t>
      </w:r>
      <w:r>
        <w:t xml:space="preserve"> to on forward the payment the client</w:t>
      </w:r>
      <w:r w:rsidR="004E0EC7">
        <w:t>;</w:t>
      </w:r>
    </w:p>
    <w:p w14:paraId="1E3DC8D5" w14:textId="69022502" w:rsidR="00FC424A" w:rsidRDefault="00813E39" w:rsidP="00FC424A">
      <w:pPr>
        <w:pStyle w:val="ListParagraph"/>
        <w:numPr>
          <w:ilvl w:val="0"/>
          <w:numId w:val="10"/>
        </w:numPr>
      </w:pPr>
      <w:r>
        <w:t xml:space="preserve">subject to system limitations, </w:t>
      </w:r>
      <w:r w:rsidR="00FC424A">
        <w:t xml:space="preserve">the product manufacturer </w:t>
      </w:r>
      <w:r w:rsidR="003037F4">
        <w:t xml:space="preserve">is the entity that controls pricing of a product and </w:t>
      </w:r>
      <w:r w:rsidR="00FC424A">
        <w:t xml:space="preserve">could give the client a reduction in a product fee instead of paying the clients small amounts of cash (paragraph 1.17 of the draft Explanatory Materials </w:t>
      </w:r>
      <w:r w:rsidR="00FF3295">
        <w:t>(</w:t>
      </w:r>
      <w:r w:rsidR="00FF3295" w:rsidRPr="00FF3295">
        <w:rPr>
          <w:b/>
        </w:rPr>
        <w:t>EM</w:t>
      </w:r>
      <w:r w:rsidR="00FF3295">
        <w:t xml:space="preserve">) </w:t>
      </w:r>
      <w:r w:rsidR="00FC424A">
        <w:t>refers to the reduction of a fee as a possible way to rebate a client</w:t>
      </w:r>
      <w:r w:rsidR="003037F4">
        <w:t xml:space="preserve"> which it is envisaged will be contained in the proposed Regulations</w:t>
      </w:r>
      <w:r w:rsidR="00FC424A">
        <w:t>)</w:t>
      </w:r>
      <w:r w:rsidR="003037F4">
        <w:t xml:space="preserve">.  The </w:t>
      </w:r>
      <w:r w:rsidR="00021C07">
        <w:t>Advice L</w:t>
      </w:r>
      <w:r w:rsidR="003037F4">
        <w:t>icensee cannot control pricing of the product</w:t>
      </w:r>
      <w:r w:rsidR="00AF49BE">
        <w:t>; and</w:t>
      </w:r>
    </w:p>
    <w:p w14:paraId="434E4668" w14:textId="530222DD" w:rsidR="00FC424A" w:rsidRDefault="003037F4" w:rsidP="008F2DC5">
      <w:pPr>
        <w:pStyle w:val="ListParagraph"/>
        <w:numPr>
          <w:ilvl w:val="0"/>
          <w:numId w:val="10"/>
        </w:numPr>
      </w:pPr>
      <w:r>
        <w:t xml:space="preserve"> </w:t>
      </w:r>
      <w:r w:rsidR="00A15B8C">
        <w:t>i</w:t>
      </w:r>
      <w:r w:rsidR="00FC424A">
        <w:t xml:space="preserve">f the </w:t>
      </w:r>
      <w:r w:rsidR="004552B0">
        <w:t>Advice Licensee</w:t>
      </w:r>
      <w:r w:rsidR="00FC424A">
        <w:t xml:space="preserve"> was permitted to refund cash deposits to their customer</w:t>
      </w:r>
      <w:r w:rsidR="00D71AE4">
        <w:t>s</w:t>
      </w:r>
      <w:r w:rsidR="00FC424A">
        <w:t>, super</w:t>
      </w:r>
      <w:r w:rsidR="0032177F">
        <w:t>annuation</w:t>
      </w:r>
      <w:r w:rsidR="00FC424A">
        <w:t xml:space="preserve"> members could effectively receive early release payments from preserved funds</w:t>
      </w:r>
      <w:r w:rsidR="00AF49BE">
        <w:t>.</w:t>
      </w:r>
    </w:p>
    <w:p w14:paraId="25A33E60" w14:textId="46396D68" w:rsidR="0053320B" w:rsidRDefault="0053320B" w:rsidP="00FC424A">
      <w:pPr>
        <w:ind w:left="360"/>
      </w:pPr>
      <w:r>
        <w:t xml:space="preserve">While the Bill does not name the product manufacturer as being responsible for rebating, we think the better reading of the Bill would </w:t>
      </w:r>
      <w:r w:rsidR="00AF5314">
        <w:t xml:space="preserve">mean that the </w:t>
      </w:r>
      <w:r>
        <w:t>product manufacturer</w:t>
      </w:r>
      <w:r w:rsidR="00AF5314">
        <w:t xml:space="preserve"> was responsible</w:t>
      </w:r>
      <w:r w:rsidR="00390345">
        <w:t>, in most instances</w:t>
      </w:r>
      <w:r>
        <w:t>.</w:t>
      </w:r>
      <w:r w:rsidR="003037F4">
        <w:t xml:space="preserve">  As a general principle, the person originating the payment should be responsible for rebating the client.  We believe in </w:t>
      </w:r>
      <w:proofErr w:type="gramStart"/>
      <w:r w:rsidR="003037F4">
        <w:t>the majority of</w:t>
      </w:r>
      <w:proofErr w:type="gramEnd"/>
      <w:r w:rsidR="003037F4">
        <w:t xml:space="preserve"> cases that this would be the product </w:t>
      </w:r>
      <w:r w:rsidR="00D71AE4">
        <w:t>manufacturer</w:t>
      </w:r>
      <w:r w:rsidR="003037F4">
        <w:t>, but the EM should include guidance that</w:t>
      </w:r>
      <w:r w:rsidR="00D71AE4">
        <w:t>, in some instances,</w:t>
      </w:r>
      <w:r w:rsidR="003037F4">
        <w:t xml:space="preserve"> it may </w:t>
      </w:r>
      <w:r w:rsidR="00A86A09">
        <w:t xml:space="preserve">instead </w:t>
      </w:r>
      <w:r w:rsidR="003037F4">
        <w:t xml:space="preserve">be the </w:t>
      </w:r>
      <w:r w:rsidR="00A86A09">
        <w:t>Advice L</w:t>
      </w:r>
      <w:r w:rsidR="003037F4">
        <w:t>icensee or employer.</w:t>
      </w:r>
    </w:p>
    <w:p w14:paraId="2B920376" w14:textId="1B25E722" w:rsidR="00062A9E" w:rsidRDefault="00062A9E" w:rsidP="000C53D7">
      <w:pPr>
        <w:pStyle w:val="ListParagraph"/>
        <w:numPr>
          <w:ilvl w:val="0"/>
          <w:numId w:val="17"/>
        </w:numPr>
        <w:rPr>
          <w:b/>
        </w:rPr>
      </w:pPr>
      <w:r w:rsidRPr="00415843">
        <w:rPr>
          <w:b/>
        </w:rPr>
        <w:t xml:space="preserve">Payments that are not referable to </w:t>
      </w:r>
      <w:r w:rsidR="00DF6086">
        <w:rPr>
          <w:b/>
        </w:rPr>
        <w:t xml:space="preserve">individual </w:t>
      </w:r>
      <w:r w:rsidRPr="00415843">
        <w:rPr>
          <w:b/>
        </w:rPr>
        <w:t>clients</w:t>
      </w:r>
    </w:p>
    <w:p w14:paraId="1820B33C" w14:textId="77777777" w:rsidR="000C53D7" w:rsidRDefault="000C53D7" w:rsidP="000C53D7">
      <w:pPr>
        <w:pStyle w:val="ListParagraph"/>
        <w:rPr>
          <w:b/>
        </w:rPr>
      </w:pPr>
    </w:p>
    <w:p w14:paraId="2F091621" w14:textId="43DE7599" w:rsidR="009C22BA" w:rsidRDefault="00D32B62" w:rsidP="00D32B62">
      <w:pPr>
        <w:pStyle w:val="ListParagraph"/>
        <w:ind w:left="360"/>
      </w:pPr>
      <w:r>
        <w:t>Section 963N (Regulations may provide for rebate of conflicted remuneration) of the draft Bill envisages that a scheme will be set up under the Regulations to provide for a person who pa</w:t>
      </w:r>
      <w:r w:rsidR="00DF6086">
        <w:t>id</w:t>
      </w:r>
      <w:r>
        <w:t xml:space="preserve"> conflicted remuneration to </w:t>
      </w:r>
      <w:r w:rsidR="00DF6086">
        <w:t>rebate</w:t>
      </w:r>
      <w:r>
        <w:t xml:space="preserve"> that amount to the relevant person to whom the </w:t>
      </w:r>
      <w:r w:rsidR="004552B0">
        <w:t>Advice Licensee</w:t>
      </w:r>
      <w:r>
        <w:t xml:space="preserve"> gave advice as a retail client.  It does not refer specifically to the situation where product manufacturers </w:t>
      </w:r>
      <w:r w:rsidR="0038082F">
        <w:t>pay</w:t>
      </w:r>
      <w:r>
        <w:t xml:space="preserve"> </w:t>
      </w:r>
      <w:r w:rsidR="004552B0">
        <w:t>Advice Licensee</w:t>
      </w:r>
      <w:r>
        <w:t xml:space="preserve">s </w:t>
      </w:r>
      <w:r w:rsidR="00DF6086">
        <w:t xml:space="preserve">a benefit </w:t>
      </w:r>
      <w:r w:rsidR="00DF6086">
        <w:rPr>
          <w:rFonts w:cstheme="minorHAnsi"/>
          <w:color w:val="000000" w:themeColor="text1"/>
        </w:rPr>
        <w:t xml:space="preserve">based upon the volume of a financial product acquired </w:t>
      </w:r>
      <w:r w:rsidR="0038082F">
        <w:rPr>
          <w:rFonts w:cstheme="minorHAnsi"/>
          <w:color w:val="000000" w:themeColor="text1"/>
        </w:rPr>
        <w:t xml:space="preserve">by the </w:t>
      </w:r>
      <w:r w:rsidR="004552B0">
        <w:rPr>
          <w:rFonts w:cstheme="minorHAnsi"/>
          <w:color w:val="000000" w:themeColor="text1"/>
        </w:rPr>
        <w:t>Advice Licensee</w:t>
      </w:r>
      <w:r w:rsidR="0038082F">
        <w:rPr>
          <w:rFonts w:cstheme="minorHAnsi"/>
          <w:color w:val="000000" w:themeColor="text1"/>
        </w:rPr>
        <w:t xml:space="preserve">s’ clients </w:t>
      </w:r>
      <w:r w:rsidR="00DF6086">
        <w:rPr>
          <w:rFonts w:cstheme="minorHAnsi"/>
          <w:color w:val="000000" w:themeColor="text1"/>
        </w:rPr>
        <w:t xml:space="preserve">over a certain period.  In this situation, the benefit could not be attributable to </w:t>
      </w:r>
      <w:proofErr w:type="gramStart"/>
      <w:r w:rsidR="00DF6086">
        <w:rPr>
          <w:rFonts w:cstheme="minorHAnsi"/>
          <w:color w:val="000000" w:themeColor="text1"/>
        </w:rPr>
        <w:t>particular retail</w:t>
      </w:r>
      <w:proofErr w:type="gramEnd"/>
      <w:r w:rsidR="00DF6086">
        <w:rPr>
          <w:rFonts w:cstheme="minorHAnsi"/>
          <w:color w:val="000000" w:themeColor="text1"/>
        </w:rPr>
        <w:t xml:space="preserve"> clients, only to the acquisition of certain products by a group of clients in respect of whom the </w:t>
      </w:r>
      <w:r w:rsidR="004552B0">
        <w:rPr>
          <w:rFonts w:cstheme="minorHAnsi"/>
          <w:color w:val="000000" w:themeColor="text1"/>
        </w:rPr>
        <w:t>Advice Licensee</w:t>
      </w:r>
      <w:r w:rsidR="00DF6086">
        <w:rPr>
          <w:rFonts w:cstheme="minorHAnsi"/>
          <w:color w:val="000000" w:themeColor="text1"/>
        </w:rPr>
        <w:t xml:space="preserve"> provides advice or other financial services.  Therefore, a mechanism is required for product manufacturers to rebate these clients as a cohort.  </w:t>
      </w:r>
      <w:r w:rsidR="00223BFB">
        <w:rPr>
          <w:rFonts w:cstheme="minorHAnsi"/>
          <w:color w:val="000000" w:themeColor="text1"/>
        </w:rPr>
        <w:t>In keeping with the drafting of the Bill, such a mechanism could be contained in the Regulations</w:t>
      </w:r>
      <w:r w:rsidR="0053640A">
        <w:rPr>
          <w:rFonts w:cstheme="minorHAnsi"/>
          <w:color w:val="000000" w:themeColor="text1"/>
        </w:rPr>
        <w:t xml:space="preserve">.  The FSC asks that industry </w:t>
      </w:r>
      <w:r w:rsidR="000D161E">
        <w:t xml:space="preserve">be consulted on the Regulations to ensure </w:t>
      </w:r>
      <w:r w:rsidR="008E6240">
        <w:t xml:space="preserve">rebating of </w:t>
      </w:r>
      <w:r w:rsidR="000D161E">
        <w:t>volume-based payments</w:t>
      </w:r>
      <w:r w:rsidR="008E6240">
        <w:t xml:space="preserve"> </w:t>
      </w:r>
      <w:r w:rsidR="003C6874">
        <w:t xml:space="preserve">is fair and equitable to clients, while at the same time, efficient to </w:t>
      </w:r>
      <w:r w:rsidR="00C86FC9">
        <w:t>providers</w:t>
      </w:r>
      <w:r w:rsidR="000D161E">
        <w:t>.</w:t>
      </w:r>
    </w:p>
    <w:p w14:paraId="5AEB4B58" w14:textId="77777777" w:rsidR="009C22BA" w:rsidRDefault="009C22BA">
      <w:r>
        <w:br w:type="page"/>
      </w:r>
    </w:p>
    <w:p w14:paraId="651F6050" w14:textId="77777777" w:rsidR="00B44459" w:rsidRDefault="00B44459" w:rsidP="00D32B62">
      <w:pPr>
        <w:pStyle w:val="ListParagraph"/>
        <w:ind w:left="360"/>
        <w:sectPr w:rsidR="00B44459" w:rsidSect="006545B4">
          <w:headerReference w:type="default" r:id="rId13"/>
          <w:footerReference w:type="default" r:id="rId14"/>
          <w:headerReference w:type="first" r:id="rId15"/>
          <w:footerReference w:type="first" r:id="rId16"/>
          <w:pgSz w:w="11906" w:h="16838"/>
          <w:pgMar w:top="2268" w:right="1440" w:bottom="1135" w:left="1440" w:header="0" w:footer="313" w:gutter="0"/>
          <w:cols w:space="708"/>
          <w:titlePg/>
          <w:docGrid w:linePitch="360"/>
        </w:sectPr>
      </w:pPr>
    </w:p>
    <w:p w14:paraId="31CD31EF" w14:textId="19FEF590" w:rsidR="00D32B62" w:rsidRPr="00D32B62" w:rsidRDefault="00D32B62" w:rsidP="00D32B62">
      <w:pPr>
        <w:pStyle w:val="ListParagraph"/>
        <w:ind w:left="360"/>
      </w:pPr>
    </w:p>
    <w:p w14:paraId="1864A292" w14:textId="6D4DB74E" w:rsidR="00062A9E" w:rsidRDefault="00062A9E" w:rsidP="00DC5FC2">
      <w:pPr>
        <w:pStyle w:val="Heading2"/>
      </w:pPr>
      <w:bookmarkStart w:id="7" w:name="_Toc4166016"/>
      <w:r>
        <w:t>Detailed Suggested Amendments</w:t>
      </w:r>
      <w:bookmarkEnd w:id="7"/>
    </w:p>
    <w:p w14:paraId="038C7D7A" w14:textId="168EBA32" w:rsidR="0026544D" w:rsidRDefault="00575904" w:rsidP="0026544D">
      <w:r>
        <w:t xml:space="preserve">We deal with the specific </w:t>
      </w:r>
      <w:r w:rsidR="000633F4">
        <w:t>changes we seek to the Bill (or suggested inclusions to the proposed Regulations) below.</w:t>
      </w:r>
    </w:p>
    <w:tbl>
      <w:tblPr>
        <w:tblStyle w:val="Style1"/>
        <w:tblW w:w="15304" w:type="dxa"/>
        <w:tblLook w:val="04A0" w:firstRow="1" w:lastRow="0" w:firstColumn="1" w:lastColumn="0" w:noHBand="0" w:noVBand="1"/>
      </w:tblPr>
      <w:tblGrid>
        <w:gridCol w:w="1586"/>
        <w:gridCol w:w="6773"/>
        <w:gridCol w:w="6945"/>
      </w:tblGrid>
      <w:tr w:rsidR="00B41DC6" w14:paraId="51D7DC8B" w14:textId="77777777" w:rsidTr="00225418">
        <w:trPr>
          <w:cnfStyle w:val="100000000000" w:firstRow="1" w:lastRow="0" w:firstColumn="0" w:lastColumn="0" w:oddVBand="0" w:evenVBand="0" w:oddHBand="0" w:evenHBand="0" w:firstRowFirstColumn="0" w:firstRowLastColumn="0" w:lastRowFirstColumn="0" w:lastRowLastColumn="0"/>
        </w:trPr>
        <w:tc>
          <w:tcPr>
            <w:tcW w:w="1586" w:type="dxa"/>
          </w:tcPr>
          <w:p w14:paraId="3FB673EF" w14:textId="77777777" w:rsidR="008E2CBB" w:rsidRDefault="008E2CBB" w:rsidP="00886F95">
            <w:r>
              <w:t>Reference</w:t>
            </w:r>
          </w:p>
        </w:tc>
        <w:tc>
          <w:tcPr>
            <w:tcW w:w="6773" w:type="dxa"/>
          </w:tcPr>
          <w:p w14:paraId="558A5DA8" w14:textId="77777777" w:rsidR="008E2CBB" w:rsidRDefault="008E2CBB" w:rsidP="00886F95">
            <w:r>
              <w:t>Issue</w:t>
            </w:r>
          </w:p>
        </w:tc>
        <w:tc>
          <w:tcPr>
            <w:tcW w:w="6945" w:type="dxa"/>
          </w:tcPr>
          <w:p w14:paraId="3837DAF6" w14:textId="77777777" w:rsidR="008E2CBB" w:rsidRDefault="008E2CBB" w:rsidP="00886F95">
            <w:r>
              <w:t xml:space="preserve">Suggested Solution </w:t>
            </w:r>
          </w:p>
        </w:tc>
      </w:tr>
      <w:tr w:rsidR="00245A67" w14:paraId="3482CDF0" w14:textId="77777777" w:rsidTr="00225418">
        <w:tc>
          <w:tcPr>
            <w:tcW w:w="1586" w:type="dxa"/>
          </w:tcPr>
          <w:p w14:paraId="61349DC8" w14:textId="77777777" w:rsidR="008A5466" w:rsidRDefault="008A5466" w:rsidP="00886F95">
            <w:r>
              <w:t>Ban on conflicted remuneration</w:t>
            </w:r>
          </w:p>
          <w:p w14:paraId="3A95E0F7" w14:textId="77777777" w:rsidR="00EE2129" w:rsidRDefault="00EB2B02" w:rsidP="00886F95">
            <w:r>
              <w:t>S</w:t>
            </w:r>
            <w:r w:rsidR="00BA11A9">
              <w:t>1528</w:t>
            </w:r>
          </w:p>
          <w:p w14:paraId="22E43F5F" w14:textId="77777777" w:rsidR="00EE2129" w:rsidRDefault="00EE2129" w:rsidP="00886F95"/>
          <w:p w14:paraId="295FD89C" w14:textId="77777777" w:rsidR="00EE2129" w:rsidRDefault="00EE2129" w:rsidP="00886F95"/>
          <w:p w14:paraId="5D059BE2" w14:textId="77777777" w:rsidR="00EE2129" w:rsidRDefault="00EE2129" w:rsidP="00886F95"/>
          <w:p w14:paraId="3B3A0452" w14:textId="77777777" w:rsidR="00ED67E3" w:rsidRDefault="00BA11A9" w:rsidP="00886F95">
            <w:r>
              <w:t xml:space="preserve"> </w:t>
            </w:r>
          </w:p>
          <w:p w14:paraId="3BC481C0" w14:textId="77777777" w:rsidR="00ED67E3" w:rsidRDefault="00ED67E3" w:rsidP="00886F95"/>
          <w:p w14:paraId="7CB272EB" w14:textId="77777777" w:rsidR="00ED67E3" w:rsidRDefault="00ED67E3" w:rsidP="00886F95"/>
          <w:p w14:paraId="64EFAF35" w14:textId="77777777" w:rsidR="00ED67E3" w:rsidRDefault="00ED67E3" w:rsidP="00886F95"/>
          <w:p w14:paraId="5A217E9C" w14:textId="77777777" w:rsidR="00ED67E3" w:rsidRDefault="00ED67E3" w:rsidP="00886F95"/>
          <w:p w14:paraId="52031843" w14:textId="77777777" w:rsidR="00ED67E3" w:rsidRDefault="00ED67E3" w:rsidP="00886F95"/>
          <w:p w14:paraId="5BC6AA44" w14:textId="77777777" w:rsidR="008E2CBB" w:rsidRDefault="008E2CBB" w:rsidP="00886F95"/>
        </w:tc>
        <w:tc>
          <w:tcPr>
            <w:tcW w:w="6773" w:type="dxa"/>
          </w:tcPr>
          <w:p w14:paraId="6F7ECA11" w14:textId="0CA7B160" w:rsidR="00593D38" w:rsidRDefault="0041248E" w:rsidP="00E97A41">
            <w:proofErr w:type="gramStart"/>
            <w:r>
              <w:t>In order to</w:t>
            </w:r>
            <w:proofErr w:type="gramEnd"/>
            <w:r>
              <w:t xml:space="preserve"> achieve the Government Position, certain </w:t>
            </w:r>
            <w:r w:rsidR="00E97A41">
              <w:t>Regulations need to be repealed.  Item 1.6 of the EM</w:t>
            </w:r>
            <w:r w:rsidR="00A86A09">
              <w:t xml:space="preserve"> </w:t>
            </w:r>
            <w:r w:rsidR="00E97A41">
              <w:t xml:space="preserve">stipulates that the Government will repeal </w:t>
            </w:r>
            <w:proofErr w:type="gramStart"/>
            <w:r w:rsidR="00E97A41">
              <w:t>a number of</w:t>
            </w:r>
            <w:proofErr w:type="gramEnd"/>
            <w:r w:rsidR="00E97A41">
              <w:t xml:space="preserve"> grandfathering arrangements which are continued in Part 7.7A of the Corporations Regulations.</w:t>
            </w:r>
            <w:r w:rsidR="001C0327">
              <w:t xml:space="preserve">  </w:t>
            </w:r>
            <w:r w:rsidR="00904FDC">
              <w:t xml:space="preserve">We set out in the next column the Regulations which we </w:t>
            </w:r>
            <w:r w:rsidR="008747C2">
              <w:t>believe need to be repealed or changed to give full effect to the Government Position.</w:t>
            </w:r>
          </w:p>
          <w:p w14:paraId="6E1AE66F" w14:textId="77777777" w:rsidR="00D016FA" w:rsidRDefault="00D016FA" w:rsidP="00E97A41"/>
          <w:p w14:paraId="1D92BFC4" w14:textId="1B33BF01" w:rsidR="00A33506" w:rsidRDefault="00EF15BF" w:rsidP="00745C9E">
            <w:r>
              <w:t>In accordance with the Government’s response to the RC’s Recommendation 2.5</w:t>
            </w:r>
            <w:r w:rsidR="004276A4">
              <w:t xml:space="preserve">, </w:t>
            </w:r>
            <w:r w:rsidR="005E29E8">
              <w:t xml:space="preserve">Regulations regarding the treatment of </w:t>
            </w:r>
            <w:r w:rsidR="00593D38">
              <w:t xml:space="preserve">life risk insurance products </w:t>
            </w:r>
            <w:r w:rsidR="00F80D55">
              <w:t>(</w:t>
            </w:r>
            <w:r w:rsidR="00593D38">
              <w:t>other than a group life policy for members of a superannuation entity or a life policy for a member of a default superannuation fund</w:t>
            </w:r>
            <w:r w:rsidR="00A2131E">
              <w:t>)</w:t>
            </w:r>
            <w:r w:rsidR="003453D7">
              <w:t xml:space="preserve"> should not be repealed</w:t>
            </w:r>
            <w:r w:rsidR="00F24423">
              <w:t xml:space="preserve">.  </w:t>
            </w:r>
          </w:p>
        </w:tc>
        <w:tc>
          <w:tcPr>
            <w:tcW w:w="6945" w:type="dxa"/>
          </w:tcPr>
          <w:p w14:paraId="21D37FDF" w14:textId="1CBB1666" w:rsidR="00DB657A" w:rsidRDefault="00DD1661" w:rsidP="00886F95">
            <w:r>
              <w:t>Repeal Regulations</w:t>
            </w:r>
            <w:r w:rsidR="00D0239D">
              <w:t xml:space="preserve"> (n</w:t>
            </w:r>
            <w:r w:rsidR="008C2F98">
              <w:t>ote</w:t>
            </w:r>
            <w:r w:rsidR="00D0239D">
              <w:t xml:space="preserve">: this </w:t>
            </w:r>
            <w:r w:rsidR="008C2F98">
              <w:t>may</w:t>
            </w:r>
            <w:r w:rsidR="00D0239D">
              <w:t xml:space="preserve"> not </w:t>
            </w:r>
            <w:r w:rsidR="008C2F98">
              <w:t xml:space="preserve">be </w:t>
            </w:r>
            <w:r w:rsidR="00D0239D">
              <w:t>an exhaustive list</w:t>
            </w:r>
            <w:r w:rsidR="0038082F">
              <w:t>)</w:t>
            </w:r>
            <w:r w:rsidR="0076022B">
              <w:t xml:space="preserve"> </w:t>
            </w:r>
            <w:r w:rsidR="00895570">
              <w:t xml:space="preserve">7.7A.15B, </w:t>
            </w:r>
            <w:r w:rsidR="001D3A54">
              <w:t>7.7A.</w:t>
            </w:r>
            <w:r w:rsidR="000C4C10">
              <w:t>16</w:t>
            </w:r>
            <w:r w:rsidR="001D3A54">
              <w:t xml:space="preserve">; </w:t>
            </w:r>
          </w:p>
          <w:p w14:paraId="49DD544B" w14:textId="505703F9" w:rsidR="008E2CBB" w:rsidRDefault="00DB657A" w:rsidP="00886F95">
            <w:r>
              <w:t xml:space="preserve">Amend Regulations </w:t>
            </w:r>
            <w:r w:rsidR="00D369A8">
              <w:t xml:space="preserve">7.7A.16A </w:t>
            </w:r>
            <w:r w:rsidR="006265A6">
              <w:t>and 7.7A.16B</w:t>
            </w:r>
            <w:r w:rsidR="00DD1661">
              <w:t xml:space="preserve">. </w:t>
            </w:r>
          </w:p>
          <w:p w14:paraId="4AF7A99F" w14:textId="77777777" w:rsidR="00944841" w:rsidRDefault="00944841" w:rsidP="00886F95"/>
          <w:p w14:paraId="2EABAF3E" w14:textId="77777777" w:rsidR="00EF15BF" w:rsidRDefault="00EF15BF" w:rsidP="00886F95"/>
          <w:p w14:paraId="2CE2BCFC" w14:textId="77777777" w:rsidR="00EF15BF" w:rsidRDefault="00EF15BF" w:rsidP="00886F95"/>
          <w:p w14:paraId="633E837F" w14:textId="77777777" w:rsidR="00EF15BF" w:rsidRDefault="00EF15BF" w:rsidP="00886F95"/>
          <w:p w14:paraId="0563FDA5" w14:textId="77777777" w:rsidR="00EF15BF" w:rsidRDefault="00EF15BF" w:rsidP="00886F95"/>
          <w:p w14:paraId="1A331394" w14:textId="70479675" w:rsidR="00944841" w:rsidRDefault="00944841" w:rsidP="00886F95">
            <w:r>
              <w:t xml:space="preserve">Do not repeal Regulations </w:t>
            </w:r>
            <w:r w:rsidR="00B51479">
              <w:t>7</w:t>
            </w:r>
            <w:r w:rsidR="00856208">
              <w:t>.7A.11B, 7.7A.11C, 7.7A.11D, 7.7A.12EB, 7.7A.</w:t>
            </w:r>
            <w:r w:rsidR="00D0239D">
              <w:t>12EC, 7.7A.16G and 7.7A.16H</w:t>
            </w:r>
          </w:p>
        </w:tc>
      </w:tr>
      <w:tr w:rsidR="00245A67" w14:paraId="70D1E328" w14:textId="77777777" w:rsidTr="00225418">
        <w:tc>
          <w:tcPr>
            <w:tcW w:w="1586" w:type="dxa"/>
          </w:tcPr>
          <w:p w14:paraId="19233A5F" w14:textId="77777777" w:rsidR="00980B31" w:rsidRDefault="00980B31" w:rsidP="00980B31">
            <w:r>
              <w:t xml:space="preserve">Rebate </w:t>
            </w:r>
            <w:r w:rsidR="0066550C">
              <w:t xml:space="preserve">of conflicted remuneration </w:t>
            </w:r>
            <w:r>
              <w:t xml:space="preserve">S963M </w:t>
            </w:r>
          </w:p>
          <w:p w14:paraId="7782FB3E" w14:textId="77777777" w:rsidR="008E2CBB" w:rsidRDefault="008E2CBB" w:rsidP="00886F95"/>
        </w:tc>
        <w:tc>
          <w:tcPr>
            <w:tcW w:w="6773" w:type="dxa"/>
          </w:tcPr>
          <w:p w14:paraId="76ED6438" w14:textId="5A522B4D" w:rsidR="00497376" w:rsidRPr="00896CE8" w:rsidRDefault="00A9535E" w:rsidP="00497376">
            <w:r w:rsidRPr="00896CE8">
              <w:t xml:space="preserve">We understand that </w:t>
            </w:r>
            <w:r w:rsidR="00473C48" w:rsidRPr="00896CE8">
              <w:t xml:space="preserve">S963M and </w:t>
            </w:r>
            <w:r w:rsidR="00C74CE8" w:rsidRPr="00896CE8">
              <w:t>S</w:t>
            </w:r>
            <w:r w:rsidR="00DC5FC2" w:rsidRPr="00896CE8">
              <w:t>963</w:t>
            </w:r>
            <w:r w:rsidR="00473C48" w:rsidRPr="00896CE8">
              <w:t xml:space="preserve">N were drafted to bring into effect the </w:t>
            </w:r>
            <w:r w:rsidR="003339EE" w:rsidRPr="00896CE8">
              <w:t>Government Position</w:t>
            </w:r>
            <w:r w:rsidR="00473C48" w:rsidRPr="00896CE8">
              <w:t xml:space="preserve">, which is:  </w:t>
            </w:r>
          </w:p>
          <w:p w14:paraId="0C2AAB5D" w14:textId="77777777" w:rsidR="00673877" w:rsidRPr="00896CE8" w:rsidRDefault="00673877" w:rsidP="00497376"/>
          <w:p w14:paraId="5BFCBB5E" w14:textId="365D44E8" w:rsidR="008C0219" w:rsidRPr="00896CE8" w:rsidRDefault="008C0219" w:rsidP="00497376">
            <w:pPr>
              <w:rPr>
                <w:i/>
              </w:rPr>
            </w:pPr>
            <w:r w:rsidRPr="00896CE8">
              <w:rPr>
                <w:i/>
              </w:rPr>
              <w:t xml:space="preserve">“The Government is committed to ensuring that the benefits of removing grandfathering </w:t>
            </w:r>
            <w:r w:rsidR="00D96D13" w:rsidRPr="00896CE8">
              <w:rPr>
                <w:i/>
              </w:rPr>
              <w:t xml:space="preserve">flow to clients. </w:t>
            </w:r>
            <w:r w:rsidR="00D96D13" w:rsidRPr="00896CE8">
              <w:rPr>
                <w:b/>
                <w:i/>
              </w:rPr>
              <w:t>From 1 January 2021</w:t>
            </w:r>
            <w:r w:rsidR="00D96D13" w:rsidRPr="00896CE8">
              <w:rPr>
                <w:i/>
              </w:rPr>
              <w:t xml:space="preserve">, payments of any previously </w:t>
            </w:r>
            <w:r w:rsidR="00D96D13" w:rsidRPr="00896CE8">
              <w:rPr>
                <w:b/>
                <w:i/>
              </w:rPr>
              <w:t xml:space="preserve">grandfathered conflicted remuneration still in contracts will instead be required to be rebated to </w:t>
            </w:r>
            <w:r w:rsidR="00211430" w:rsidRPr="00896CE8">
              <w:rPr>
                <w:b/>
                <w:i/>
              </w:rPr>
              <w:t>applicable clients</w:t>
            </w:r>
            <w:r w:rsidR="00211430" w:rsidRPr="00896CE8">
              <w:rPr>
                <w:i/>
              </w:rPr>
              <w:t xml:space="preserve"> where the applicable client can reasonably be identified” </w:t>
            </w:r>
          </w:p>
          <w:p w14:paraId="09ACE1EA" w14:textId="77777777" w:rsidR="00EB2B02" w:rsidRPr="00896CE8" w:rsidRDefault="00EB2B02" w:rsidP="00497376"/>
          <w:p w14:paraId="6252B537" w14:textId="77777777" w:rsidR="009A29CF" w:rsidRPr="00896CE8" w:rsidRDefault="00D02BC7" w:rsidP="00497376">
            <w:r w:rsidRPr="00896CE8">
              <w:t xml:space="preserve">The Government’s Position itself is not without </w:t>
            </w:r>
            <w:r w:rsidR="003E0B23" w:rsidRPr="00896CE8">
              <w:t>ambiguity.</w:t>
            </w:r>
            <w:r w:rsidR="001667C9" w:rsidRPr="00896CE8">
              <w:t xml:space="preserve">  </w:t>
            </w:r>
            <w:r w:rsidR="006D742A" w:rsidRPr="00896CE8">
              <w:t xml:space="preserve">Most commercial contracts have, as an express term, provision that a contracting party would not be obliged to undertake an act if, during </w:t>
            </w:r>
            <w:r w:rsidR="006D742A" w:rsidRPr="00896CE8">
              <w:lastRenderedPageBreak/>
              <w:t xml:space="preserve">the term of the contract, that act becomes unlawful. Further, there are general law rules impacting the ability to enforce a contract where doing so would require an unlawful act to be performed. Therefore, the phrase “still in contracts” we submit </w:t>
            </w:r>
            <w:r w:rsidR="006D5364" w:rsidRPr="00896CE8">
              <w:t>may be</w:t>
            </w:r>
            <w:r w:rsidR="006D742A" w:rsidRPr="00896CE8">
              <w:t xml:space="preserve"> unnecessary</w:t>
            </w:r>
            <w:r w:rsidR="006D5364" w:rsidRPr="00896CE8">
              <w:t xml:space="preserve">.  </w:t>
            </w:r>
          </w:p>
          <w:p w14:paraId="652C0FC8" w14:textId="77777777" w:rsidR="009A29CF" w:rsidRPr="00896CE8" w:rsidRDefault="009A29CF" w:rsidP="00497376"/>
          <w:p w14:paraId="240013D2" w14:textId="795B73AB" w:rsidR="002A19E0" w:rsidRPr="00896CE8" w:rsidRDefault="001667C9" w:rsidP="009A29CF">
            <w:r w:rsidRPr="00896CE8">
              <w:t>We are keen to understand whether it is the intention of the draft legislation that contracts remain on foot and that the grandfathered arrangements do</w:t>
            </w:r>
            <w:r w:rsidR="00F82B2B" w:rsidRPr="00896CE8">
              <w:t xml:space="preserve"> </w:t>
            </w:r>
            <w:r w:rsidRPr="00896CE8">
              <w:t>n</w:t>
            </w:r>
            <w:r w:rsidR="00F82B2B" w:rsidRPr="00896CE8">
              <w:t>o</w:t>
            </w:r>
            <w:r w:rsidRPr="00896CE8">
              <w:t>t terminate</w:t>
            </w:r>
            <w:r w:rsidR="00895BDF">
              <w:t xml:space="preserve"> (that is, payments are still made under these contracts, but are redirected to the client)</w:t>
            </w:r>
            <w:r w:rsidRPr="00896CE8">
              <w:t>. If so, this should be made clearer in the Bill.</w:t>
            </w:r>
            <w:r w:rsidR="009A29CF" w:rsidRPr="00896CE8">
              <w:t xml:space="preserve">  </w:t>
            </w:r>
            <w:r w:rsidR="002A19E0" w:rsidRPr="00896CE8">
              <w:t xml:space="preserve">Further, there ought to be express recognition </w:t>
            </w:r>
            <w:r w:rsidR="00D91AB9" w:rsidRPr="00896CE8">
              <w:t xml:space="preserve">in the Bill </w:t>
            </w:r>
            <w:r w:rsidR="002A19E0" w:rsidRPr="00896CE8">
              <w:t>that if payments are made in compliance with S963 M and S963N</w:t>
            </w:r>
            <w:r w:rsidR="00012EF1" w:rsidRPr="00896CE8">
              <w:t>, the person making the payments does not breach Division 4 of Part 7.7A</w:t>
            </w:r>
            <w:r w:rsidR="00D91AB9" w:rsidRPr="00896CE8">
              <w:t xml:space="preserve"> of the Corporations Act. </w:t>
            </w:r>
          </w:p>
          <w:p w14:paraId="2BAD8C41" w14:textId="77777777" w:rsidR="008E2CBB" w:rsidRPr="003E7B2F" w:rsidRDefault="008E2CBB" w:rsidP="001D2DF3">
            <w:pPr>
              <w:rPr>
                <w:highlight w:val="yellow"/>
              </w:rPr>
            </w:pPr>
          </w:p>
        </w:tc>
        <w:tc>
          <w:tcPr>
            <w:tcW w:w="6945" w:type="dxa"/>
          </w:tcPr>
          <w:p w14:paraId="487CA4FA" w14:textId="4213389C" w:rsidR="000D27A8" w:rsidRDefault="000D27A8" w:rsidP="006B4441">
            <w:pPr>
              <w:ind w:left="510" w:hanging="510"/>
            </w:pPr>
          </w:p>
        </w:tc>
      </w:tr>
      <w:tr w:rsidR="008C04C8" w14:paraId="243FAB68" w14:textId="77777777" w:rsidTr="00225418">
        <w:tc>
          <w:tcPr>
            <w:tcW w:w="1586" w:type="dxa"/>
          </w:tcPr>
          <w:p w14:paraId="3F047BA7" w14:textId="77777777" w:rsidR="008C04C8" w:rsidRDefault="008C04C8" w:rsidP="008C04C8">
            <w:r>
              <w:t xml:space="preserve">Rebate of conflicted remuneration </w:t>
            </w:r>
            <w:r w:rsidR="005A53DE">
              <w:t>963</w:t>
            </w:r>
            <w:r>
              <w:t>N</w:t>
            </w:r>
          </w:p>
          <w:p w14:paraId="2A0894E7" w14:textId="77777777" w:rsidR="008C04C8" w:rsidRDefault="008C04C8" w:rsidP="00980B31"/>
        </w:tc>
        <w:tc>
          <w:tcPr>
            <w:tcW w:w="6773" w:type="dxa"/>
          </w:tcPr>
          <w:p w14:paraId="0EE78722" w14:textId="4C1D1AA0" w:rsidR="00C3072A" w:rsidRPr="00C3072A" w:rsidRDefault="009D2C4A" w:rsidP="00966768">
            <w:r>
              <w:t xml:space="preserve">We consider that the product manufacturer, should in most instances, be better placed to rebate the client for the reasons stated in Section 2.2C above.  </w:t>
            </w:r>
            <w:r w:rsidR="00C3072A" w:rsidRPr="00C3072A">
              <w:t xml:space="preserve">However, </w:t>
            </w:r>
            <w:r w:rsidR="007C0438">
              <w:t xml:space="preserve">there </w:t>
            </w:r>
            <w:r w:rsidR="00966768">
              <w:t xml:space="preserve">will be </w:t>
            </w:r>
            <w:r w:rsidR="003660A6">
              <w:t xml:space="preserve">some situations where </w:t>
            </w:r>
            <w:r w:rsidR="00C3072A" w:rsidRPr="00C3072A">
              <w:t xml:space="preserve">the grandfathered payment originates </w:t>
            </w:r>
            <w:r w:rsidR="00A17D19">
              <w:t>from</w:t>
            </w:r>
            <w:r w:rsidR="00C3072A" w:rsidRPr="00C3072A">
              <w:t xml:space="preserve"> </w:t>
            </w:r>
            <w:r w:rsidR="00FB5AC8">
              <w:t>an entity other than the</w:t>
            </w:r>
            <w:r w:rsidR="00C3072A" w:rsidRPr="00C3072A">
              <w:t xml:space="preserve"> product </w:t>
            </w:r>
            <w:r w:rsidR="00893322">
              <w:t>manufacturer</w:t>
            </w:r>
            <w:r w:rsidR="00FB5AC8">
              <w:t xml:space="preserve"> (for example,</w:t>
            </w:r>
            <w:r w:rsidR="00A17D19">
              <w:t xml:space="preserve"> the </w:t>
            </w:r>
            <w:r w:rsidR="004552B0">
              <w:t>Advice Licensee</w:t>
            </w:r>
            <w:r w:rsidR="00FC2EC0">
              <w:t xml:space="preserve"> or an employer</w:t>
            </w:r>
            <w:r w:rsidR="00C3072A" w:rsidRPr="00C3072A">
              <w:t>).  Whil</w:t>
            </w:r>
            <w:r w:rsidR="001D2BE7">
              <w:t>e</w:t>
            </w:r>
            <w:r w:rsidR="00C3072A" w:rsidRPr="00C3072A">
              <w:t xml:space="preserve"> this is likely to be </w:t>
            </w:r>
            <w:r w:rsidR="00EF20AF">
              <w:t>rare</w:t>
            </w:r>
            <w:r w:rsidR="00C3072A" w:rsidRPr="00C3072A">
              <w:t xml:space="preserve">, the law </w:t>
            </w:r>
            <w:r w:rsidR="00EF20AF">
              <w:t>should</w:t>
            </w:r>
            <w:r w:rsidR="00965588">
              <w:t xml:space="preserve"> </w:t>
            </w:r>
            <w:r w:rsidR="00C3072A" w:rsidRPr="00C3072A">
              <w:t>contemplate th</w:t>
            </w:r>
            <w:r w:rsidR="00E51FEE">
              <w:t>ese</w:t>
            </w:r>
            <w:r w:rsidR="00C3072A" w:rsidRPr="00C3072A">
              <w:t xml:space="preserve"> scenario</w:t>
            </w:r>
            <w:r w:rsidR="00E51FEE">
              <w:t>s</w:t>
            </w:r>
            <w:r w:rsidR="00C3072A" w:rsidRPr="00C3072A">
              <w:t>.</w:t>
            </w:r>
            <w:r w:rsidR="00E51FEE">
              <w:t xml:space="preserve">  We consider the </w:t>
            </w:r>
            <w:r w:rsidR="007E0C07">
              <w:t xml:space="preserve">current wording </w:t>
            </w:r>
            <w:r w:rsidR="00ED5457">
              <w:t xml:space="preserve">of the draft Bill </w:t>
            </w:r>
            <w:r w:rsidR="00DA4224">
              <w:t xml:space="preserve">covers </w:t>
            </w:r>
            <w:r w:rsidR="00ED5457">
              <w:t xml:space="preserve">the fact that it will be the product manufacturer who makes the rebate in most instances, </w:t>
            </w:r>
            <w:r w:rsidR="00DA4224">
              <w:t xml:space="preserve">however </w:t>
            </w:r>
            <w:r w:rsidR="002666A1">
              <w:t>the EM should clarify th</w:t>
            </w:r>
            <w:r w:rsidR="00883D2E">
              <w:t xml:space="preserve">is, and indicate that in some </w:t>
            </w:r>
            <w:r w:rsidR="002666A1">
              <w:t xml:space="preserve">situations, the obligation to rebate will fall on </w:t>
            </w:r>
            <w:r w:rsidR="0026730E">
              <w:t>others</w:t>
            </w:r>
            <w:r w:rsidR="002666A1">
              <w:t xml:space="preserve">.  </w:t>
            </w:r>
          </w:p>
          <w:p w14:paraId="6337DC5F" w14:textId="77777777" w:rsidR="00C3072A" w:rsidRPr="00C3072A" w:rsidRDefault="00C3072A" w:rsidP="00C3072A">
            <w:pPr>
              <w:pStyle w:val="CommentText"/>
              <w:rPr>
                <w:sz w:val="22"/>
                <w:szCs w:val="22"/>
              </w:rPr>
            </w:pPr>
          </w:p>
          <w:p w14:paraId="675C1DB4" w14:textId="459FB643" w:rsidR="007E5C96" w:rsidRPr="00D32B62" w:rsidRDefault="00BF532C" w:rsidP="007E5C96">
            <w:r w:rsidRPr="007E5C96">
              <w:rPr>
                <w:rFonts w:cstheme="minorHAnsi"/>
                <w:color w:val="000000" w:themeColor="text1"/>
              </w:rPr>
              <w:t>Where the benefit cannot be attributable to individual retail clients</w:t>
            </w:r>
            <w:r w:rsidR="00C217D8" w:rsidRPr="007E5C96">
              <w:rPr>
                <w:rFonts w:cstheme="minorHAnsi"/>
                <w:color w:val="000000" w:themeColor="text1"/>
              </w:rPr>
              <w:t>, for example, because it is a benefit that is based upon the volume of a financial product acquired over a certain period</w:t>
            </w:r>
            <w:r w:rsidR="0076022B" w:rsidRPr="007E5C96">
              <w:rPr>
                <w:rFonts w:cstheme="minorHAnsi"/>
                <w:color w:val="000000" w:themeColor="text1"/>
              </w:rPr>
              <w:t xml:space="preserve"> by a group of the </w:t>
            </w:r>
            <w:r w:rsidR="004552B0">
              <w:rPr>
                <w:rFonts w:cstheme="minorHAnsi"/>
                <w:color w:val="000000" w:themeColor="text1"/>
              </w:rPr>
              <w:t>Advice Licensee</w:t>
            </w:r>
            <w:r w:rsidR="0076022B" w:rsidRPr="007E5C96">
              <w:rPr>
                <w:rFonts w:cstheme="minorHAnsi"/>
                <w:color w:val="000000" w:themeColor="text1"/>
              </w:rPr>
              <w:t xml:space="preserve">’s clients, </w:t>
            </w:r>
            <w:r w:rsidR="007E5C96" w:rsidRPr="007E5C96">
              <w:rPr>
                <w:rFonts w:cstheme="minorHAnsi"/>
                <w:color w:val="000000" w:themeColor="text1"/>
              </w:rPr>
              <w:t xml:space="preserve">a mechanism is required for product manufacturers to rebate these clients as a cohort.  </w:t>
            </w:r>
          </w:p>
          <w:p w14:paraId="101FAEC7" w14:textId="56ED882D" w:rsidR="005C57EF" w:rsidRDefault="00267521" w:rsidP="007B4162">
            <w:r>
              <w:lastRenderedPageBreak/>
              <w:t>Further</w:t>
            </w:r>
            <w:r w:rsidR="005C57EF">
              <w:t xml:space="preserve">, </w:t>
            </w:r>
            <w:r w:rsidR="00DA2049">
              <w:t>our members foresee situations where client</w:t>
            </w:r>
            <w:r w:rsidR="003A5627">
              <w:t xml:space="preserve">s to whom a rebate is owed, for one reason or another, cannot be identified.  The Regulations ought </w:t>
            </w:r>
            <w:r w:rsidR="008D6038">
              <w:t xml:space="preserve">to </w:t>
            </w:r>
            <w:r w:rsidR="003A5627">
              <w:t xml:space="preserve">make provision for </w:t>
            </w:r>
            <w:r w:rsidR="009D5A64">
              <w:t>how product manufacturers should rebate clients in th</w:t>
            </w:r>
            <w:r w:rsidR="00C83CB0">
              <w:t>ese</w:t>
            </w:r>
            <w:r w:rsidR="009D5A64">
              <w:t xml:space="preserve"> circumstance</w:t>
            </w:r>
            <w:r w:rsidR="00C83CB0">
              <w:t>s</w:t>
            </w:r>
            <w:r w:rsidR="009D5A64">
              <w:t>.</w:t>
            </w:r>
          </w:p>
          <w:p w14:paraId="2A80D53F" w14:textId="77777777" w:rsidR="00B91A54" w:rsidRDefault="00B91A54" w:rsidP="007B4162"/>
          <w:p w14:paraId="30C3096C" w14:textId="1DAED63A" w:rsidR="00BF3D6B" w:rsidRPr="00363230" w:rsidRDefault="00267521" w:rsidP="00B91A54">
            <w:pPr>
              <w:spacing w:after="40" w:line="254" w:lineRule="auto"/>
            </w:pPr>
            <w:r w:rsidRPr="00363230">
              <w:t>Under S</w:t>
            </w:r>
            <w:r w:rsidR="00B91A54" w:rsidRPr="00363230">
              <w:t>963N</w:t>
            </w:r>
            <w:r w:rsidRPr="00363230">
              <w:t xml:space="preserve">, entities who have paid conflicted remuneration are </w:t>
            </w:r>
            <w:r w:rsidR="00B91A54" w:rsidRPr="00363230">
              <w:t xml:space="preserve">only </w:t>
            </w:r>
            <w:r w:rsidRPr="00363230">
              <w:t xml:space="preserve">obliged to rebate clients </w:t>
            </w:r>
            <w:r w:rsidR="003B29E7" w:rsidRPr="00363230">
              <w:t xml:space="preserve">who have received advice as a retail client.  We foresee numerous situations where the product manufacturer </w:t>
            </w:r>
            <w:r w:rsidR="00BF3D6B" w:rsidRPr="00363230">
              <w:t>would pay conflicted remuneration to a</w:t>
            </w:r>
            <w:r w:rsidR="00EF20AF">
              <w:t>n</w:t>
            </w:r>
            <w:r w:rsidR="00BF3D6B" w:rsidRPr="00363230">
              <w:t xml:space="preserve"> </w:t>
            </w:r>
            <w:r w:rsidR="004552B0">
              <w:t>Advice Licensee</w:t>
            </w:r>
            <w:r w:rsidR="00BF3D6B" w:rsidRPr="00363230">
              <w:t xml:space="preserve"> in circumstances where the client has not received advice, for example:</w:t>
            </w:r>
          </w:p>
          <w:p w14:paraId="454D4695" w14:textId="705DF140" w:rsidR="003B2A39" w:rsidRDefault="003B2A39" w:rsidP="007327BD">
            <w:pPr>
              <w:pStyle w:val="ListParagraph"/>
              <w:numPr>
                <w:ilvl w:val="0"/>
                <w:numId w:val="11"/>
              </w:numPr>
              <w:spacing w:after="40" w:line="254" w:lineRule="auto"/>
            </w:pPr>
            <w:r w:rsidRPr="00363230">
              <w:t>the financial adviser deals on behalf of the client</w:t>
            </w:r>
            <w:r w:rsidR="00753192">
              <w:t xml:space="preserve"> without providing </w:t>
            </w:r>
            <w:r w:rsidR="00FD5F78">
              <w:t xml:space="preserve">the client </w:t>
            </w:r>
            <w:r w:rsidR="00753192">
              <w:t>with any financial advice</w:t>
            </w:r>
            <w:r w:rsidRPr="00363230">
              <w:t>;</w:t>
            </w:r>
            <w:r w:rsidR="00C73C0D">
              <w:t xml:space="preserve"> and</w:t>
            </w:r>
          </w:p>
          <w:p w14:paraId="40998D82" w14:textId="0CE8BED7" w:rsidR="00C73C0D" w:rsidRPr="00363230" w:rsidRDefault="00EB5752" w:rsidP="00C73C0D">
            <w:pPr>
              <w:pStyle w:val="ListParagraph"/>
              <w:numPr>
                <w:ilvl w:val="0"/>
                <w:numId w:val="11"/>
              </w:numPr>
              <w:spacing w:after="40" w:line="254" w:lineRule="auto"/>
            </w:pPr>
            <w:r>
              <w:t xml:space="preserve">a </w:t>
            </w:r>
            <w:r w:rsidR="00D33505">
              <w:t xml:space="preserve">client </w:t>
            </w:r>
            <w:r>
              <w:t>book of business has been sold to another financial adviser</w:t>
            </w:r>
            <w:r w:rsidR="00D33505">
              <w:t xml:space="preserve"> and the second financial adviser is not obliged to provide financial advice to the client</w:t>
            </w:r>
            <w:r w:rsidR="00CE1749">
              <w:t>s</w:t>
            </w:r>
            <w:r w:rsidR="00D33505">
              <w:t xml:space="preserve"> within that book</w:t>
            </w:r>
            <w:r w:rsidR="00C73C0D">
              <w:t>.</w:t>
            </w:r>
          </w:p>
          <w:p w14:paraId="257D8D61" w14:textId="77777777" w:rsidR="00B91A54" w:rsidRDefault="00930ACE" w:rsidP="00D43575">
            <w:pPr>
              <w:spacing w:after="40" w:line="254" w:lineRule="auto"/>
            </w:pPr>
            <w:r w:rsidRPr="00AB557E">
              <w:t xml:space="preserve">We consider that </w:t>
            </w:r>
            <w:r w:rsidR="00AB557E" w:rsidRPr="00AB557E">
              <w:t xml:space="preserve">the rebating of conflicted remuneration should not be limited to only those clients who have received advice.  </w:t>
            </w:r>
          </w:p>
          <w:p w14:paraId="3588E546" w14:textId="77777777" w:rsidR="00DC5FC2" w:rsidRDefault="00DC5FC2" w:rsidP="00D43575">
            <w:pPr>
              <w:spacing w:after="40" w:line="254" w:lineRule="auto"/>
            </w:pPr>
          </w:p>
          <w:p w14:paraId="098845B3" w14:textId="299C50B5" w:rsidR="00E20942" w:rsidRDefault="0084004F" w:rsidP="00D43575">
            <w:pPr>
              <w:spacing w:after="40" w:line="254" w:lineRule="auto"/>
            </w:pPr>
            <w:r w:rsidRPr="00EC39A3">
              <w:t>There s</w:t>
            </w:r>
            <w:r w:rsidR="00DC5FC2" w:rsidRPr="001D4E95">
              <w:t xml:space="preserve">hould there be a </w:t>
            </w:r>
            <w:r w:rsidRPr="00EC39A3">
              <w:t xml:space="preserve">mechanism to </w:t>
            </w:r>
            <w:r w:rsidR="00DC5FC2" w:rsidRPr="001D4E95">
              <w:t xml:space="preserve">allow </w:t>
            </w:r>
            <w:r w:rsidR="00E84F68">
              <w:t>o</w:t>
            </w:r>
            <w:r w:rsidR="00DC5FC2" w:rsidRPr="001D4E95">
              <w:t>ther ways to pass the benefit back to the retail client</w:t>
            </w:r>
            <w:r w:rsidR="00E84F68">
              <w:t xml:space="preserve"> other than rebating an amount of money</w:t>
            </w:r>
            <w:r w:rsidRPr="00EC39A3">
              <w:t xml:space="preserve">, </w:t>
            </w:r>
            <w:r w:rsidR="0098309A" w:rsidRPr="00EC39A3">
              <w:t>for example</w:t>
            </w:r>
            <w:r w:rsidR="00EC39A3" w:rsidRPr="00EC39A3">
              <w:t xml:space="preserve">, </w:t>
            </w:r>
            <w:r w:rsidRPr="00EC39A3">
              <w:t xml:space="preserve">a </w:t>
            </w:r>
            <w:r w:rsidR="00DC5FC2" w:rsidRPr="001D4E95">
              <w:t>reduction in fees</w:t>
            </w:r>
            <w:r w:rsidR="00FD7C39">
              <w:t xml:space="preserve"> or </w:t>
            </w:r>
            <w:r w:rsidR="00EC39A3" w:rsidRPr="00EC39A3">
              <w:t xml:space="preserve">a credit to the cost </w:t>
            </w:r>
            <w:r w:rsidR="00DC5FC2" w:rsidRPr="001D4E95">
              <w:t>of the product</w:t>
            </w:r>
            <w:r w:rsidR="00EC39A3" w:rsidRPr="00EC39A3">
              <w:t>.</w:t>
            </w:r>
            <w:r w:rsidRPr="00EC39A3">
              <w:t xml:space="preserve"> </w:t>
            </w:r>
            <w:r w:rsidR="003A3570">
              <w:t xml:space="preserve">Such </w:t>
            </w:r>
            <w:r w:rsidR="00C42385">
              <w:t xml:space="preserve">methods should be </w:t>
            </w:r>
            <w:r w:rsidR="003A3570">
              <w:t xml:space="preserve">determined through </w:t>
            </w:r>
            <w:r w:rsidR="00C42385">
              <w:t>consult</w:t>
            </w:r>
            <w:r w:rsidR="003A3570">
              <w:t xml:space="preserve">ation </w:t>
            </w:r>
            <w:r w:rsidR="00C42385">
              <w:t xml:space="preserve">with industry to ensure they are feasible from a product and IT system perspective.  </w:t>
            </w:r>
            <w:r w:rsidR="008C498D">
              <w:t xml:space="preserve">This is consistent with </w:t>
            </w:r>
            <w:r w:rsidR="009238E8">
              <w:t xml:space="preserve">Section 1.17 of </w:t>
            </w:r>
            <w:r w:rsidR="008C498D">
              <w:t>the EM</w:t>
            </w:r>
            <w:r w:rsidR="009238E8">
              <w:t>.</w:t>
            </w:r>
          </w:p>
        </w:tc>
        <w:tc>
          <w:tcPr>
            <w:tcW w:w="6945" w:type="dxa"/>
          </w:tcPr>
          <w:p w14:paraId="5BDDB0CB" w14:textId="0485F2B0" w:rsidR="00DC5FC2" w:rsidRDefault="002666A1" w:rsidP="00886F95">
            <w:r>
              <w:lastRenderedPageBreak/>
              <w:t xml:space="preserve">No </w:t>
            </w:r>
            <w:r w:rsidR="00707022">
              <w:t xml:space="preserve">change – however provide clarity in the EM that, in most situations, the obligation to rebate will </w:t>
            </w:r>
            <w:r w:rsidR="0089326D">
              <w:t xml:space="preserve">typically </w:t>
            </w:r>
            <w:r w:rsidR="00707022">
              <w:t>fall on the product manufacturer</w:t>
            </w:r>
            <w:r w:rsidR="0026730E">
              <w:t>, and</w:t>
            </w:r>
            <w:r w:rsidR="00C83CB0">
              <w:t>, in rare cases it will fall on the employer or Advice Licensee</w:t>
            </w:r>
            <w:r w:rsidR="00707022">
              <w:t xml:space="preserve">.  </w:t>
            </w:r>
          </w:p>
          <w:p w14:paraId="4AAD9504" w14:textId="77777777" w:rsidR="008452F1" w:rsidRDefault="008452F1" w:rsidP="00886F95"/>
          <w:p w14:paraId="53404C89" w14:textId="77777777" w:rsidR="00FE1F54" w:rsidRDefault="00FE1F54" w:rsidP="00665161"/>
          <w:p w14:paraId="7530B09B" w14:textId="77777777" w:rsidR="00FE1F54" w:rsidRDefault="00FE1F54" w:rsidP="00665161"/>
          <w:p w14:paraId="1D7A107B" w14:textId="77777777" w:rsidR="00FE1F54" w:rsidRDefault="00FE1F54" w:rsidP="00665161"/>
          <w:p w14:paraId="4728FFA9" w14:textId="77777777" w:rsidR="00FE1F54" w:rsidRDefault="00FE1F54" w:rsidP="00665161"/>
          <w:p w14:paraId="08740FB2" w14:textId="77777777" w:rsidR="00FE1F54" w:rsidRDefault="00FE1F54" w:rsidP="00665161"/>
          <w:p w14:paraId="53266582" w14:textId="77777777" w:rsidR="00FE1F54" w:rsidRDefault="00FE1F54" w:rsidP="00665161"/>
          <w:p w14:paraId="42ED2914" w14:textId="77777777" w:rsidR="00C83CB0" w:rsidRDefault="00C83CB0" w:rsidP="00665161"/>
          <w:p w14:paraId="003A9160" w14:textId="21BBF686" w:rsidR="00665161" w:rsidRDefault="004E391E" w:rsidP="00665161">
            <w:r>
              <w:t xml:space="preserve">We note </w:t>
            </w:r>
            <w:r w:rsidR="007275E7">
              <w:t>the power to make Regulations under this section is broad.  Therefore</w:t>
            </w:r>
            <w:r w:rsidR="008F4173">
              <w:t>,</w:t>
            </w:r>
            <w:r w:rsidR="007275E7">
              <w:t xml:space="preserve"> n</w:t>
            </w:r>
            <w:r w:rsidR="00665161">
              <w:t>o change</w:t>
            </w:r>
            <w:r w:rsidR="007275E7">
              <w:t xml:space="preserve"> is</w:t>
            </w:r>
            <w:r w:rsidR="00665161">
              <w:t xml:space="preserve"> required, however, given the detail of the scheme will be contained in the Regulations, we consider that detailed consultation with industry </w:t>
            </w:r>
            <w:r w:rsidR="0067747C">
              <w:t xml:space="preserve">on the Regulations </w:t>
            </w:r>
            <w:r w:rsidR="00665161">
              <w:t xml:space="preserve">is appropriate.   </w:t>
            </w:r>
          </w:p>
          <w:p w14:paraId="61E7B7F6" w14:textId="77777777" w:rsidR="009D5A64" w:rsidRDefault="009D5A64" w:rsidP="00886F95"/>
          <w:p w14:paraId="11893908" w14:textId="4AD3EDAC" w:rsidR="009D5A64" w:rsidRDefault="009D5A64" w:rsidP="00886F95">
            <w:r>
              <w:lastRenderedPageBreak/>
              <w:t xml:space="preserve">No change required, however, </w:t>
            </w:r>
            <w:r w:rsidR="00184FD4">
              <w:t xml:space="preserve">given the </w:t>
            </w:r>
            <w:r w:rsidR="002E422B">
              <w:t>detail of the scheme will be contained in the Regulations</w:t>
            </w:r>
            <w:r w:rsidR="00A441DF">
              <w:t xml:space="preserve">, </w:t>
            </w:r>
            <w:r>
              <w:t xml:space="preserve">we </w:t>
            </w:r>
            <w:r w:rsidR="00184FD4">
              <w:t xml:space="preserve">consider that </w:t>
            </w:r>
            <w:r w:rsidR="00A441DF">
              <w:t xml:space="preserve">detailed consultation with industry </w:t>
            </w:r>
            <w:r w:rsidR="0067747C">
              <w:t xml:space="preserve">on the Regulations </w:t>
            </w:r>
            <w:r w:rsidR="00A441DF">
              <w:t xml:space="preserve">is appropriate.  </w:t>
            </w:r>
            <w:r>
              <w:t xml:space="preserve"> </w:t>
            </w:r>
          </w:p>
          <w:p w14:paraId="7FFC1D6C" w14:textId="77777777" w:rsidR="0067747C" w:rsidRDefault="0067747C" w:rsidP="00886F95"/>
          <w:p w14:paraId="4CBB26B1" w14:textId="77777777" w:rsidR="005E10EA" w:rsidRDefault="005E10EA" w:rsidP="00886F95"/>
          <w:p w14:paraId="1858A4B6" w14:textId="5582C48A" w:rsidR="00B91A54" w:rsidRDefault="00AB557E" w:rsidP="00886F95">
            <w:r>
              <w:t xml:space="preserve">Amend </w:t>
            </w:r>
            <w:r w:rsidR="00D32707">
              <w:t xml:space="preserve">the relevant part of </w:t>
            </w:r>
            <w:r>
              <w:t xml:space="preserve">S963N to read: </w:t>
            </w:r>
          </w:p>
          <w:p w14:paraId="1BB38C19" w14:textId="77777777" w:rsidR="00AB557E" w:rsidRPr="0067747C" w:rsidRDefault="0096655B" w:rsidP="00AB557E">
            <w:pPr>
              <w:spacing w:after="40" w:line="254" w:lineRule="auto"/>
              <w:ind w:right="340"/>
              <w:rPr>
                <w:color w:val="00B050"/>
              </w:rPr>
            </w:pPr>
            <w:r w:rsidRPr="0096655B">
              <w:rPr>
                <w:i/>
                <w:color w:val="000000" w:themeColor="text1"/>
              </w:rPr>
              <w:t xml:space="preserve"> </w:t>
            </w:r>
            <w:r w:rsidR="00AB557E" w:rsidRPr="0067747C">
              <w:rPr>
                <w:color w:val="000000" w:themeColor="text1"/>
              </w:rPr>
              <w:t xml:space="preserve">“gave advice as a retail </w:t>
            </w:r>
            <w:r w:rsidRPr="0067747C">
              <w:rPr>
                <w:color w:val="000000" w:themeColor="text1"/>
              </w:rPr>
              <w:t>c</w:t>
            </w:r>
            <w:r w:rsidR="00AB557E" w:rsidRPr="0067747C">
              <w:rPr>
                <w:color w:val="000000" w:themeColor="text1"/>
              </w:rPr>
              <w:t xml:space="preserve">lient or the retail client’s initial advice provider was obliged, at a particular point in time, to give the retail client financial advice or another </w:t>
            </w:r>
            <w:r w:rsidR="00EC13FC" w:rsidRPr="0067747C">
              <w:rPr>
                <w:color w:val="000000" w:themeColor="text1"/>
              </w:rPr>
              <w:t xml:space="preserve">financial </w:t>
            </w:r>
            <w:r w:rsidR="00AB557E" w:rsidRPr="0067747C">
              <w:rPr>
                <w:color w:val="000000" w:themeColor="text1"/>
              </w:rPr>
              <w:t xml:space="preserve">service”    </w:t>
            </w:r>
          </w:p>
          <w:p w14:paraId="0D8DF5BF" w14:textId="77777777" w:rsidR="00AB557E" w:rsidRDefault="00AB557E" w:rsidP="00886F95"/>
          <w:p w14:paraId="5942D07D" w14:textId="77777777" w:rsidR="00FA2D7E" w:rsidRDefault="00FA2D7E" w:rsidP="00886F95"/>
          <w:p w14:paraId="423F310E" w14:textId="77777777" w:rsidR="00FA2D7E" w:rsidRDefault="00FA2D7E" w:rsidP="00886F95"/>
          <w:p w14:paraId="6199B5AA" w14:textId="77777777" w:rsidR="00FA2D7E" w:rsidRDefault="00FA2D7E" w:rsidP="00886F95"/>
          <w:p w14:paraId="520DA818" w14:textId="77777777" w:rsidR="00FA2D7E" w:rsidRDefault="00FA2D7E" w:rsidP="00886F95"/>
          <w:p w14:paraId="3D40F52B" w14:textId="77777777" w:rsidR="00FA2D7E" w:rsidRDefault="00FA2D7E" w:rsidP="00886F95"/>
          <w:p w14:paraId="283504BF" w14:textId="77777777" w:rsidR="00FA2D7E" w:rsidRDefault="00FA2D7E" w:rsidP="00886F95"/>
          <w:p w14:paraId="4E389CDA" w14:textId="77777777" w:rsidR="00FA2D7E" w:rsidRDefault="00FA2D7E" w:rsidP="00886F95"/>
          <w:p w14:paraId="54CEC522" w14:textId="6D0F61FE" w:rsidR="00FA2D7E" w:rsidRDefault="00FA2D7E" w:rsidP="00886F95"/>
          <w:p w14:paraId="2467D909" w14:textId="77777777" w:rsidR="00FD7C39" w:rsidRDefault="00FD7C39" w:rsidP="00FA2D7E"/>
          <w:p w14:paraId="2F6ACFCC" w14:textId="77777777" w:rsidR="00FD7C39" w:rsidRDefault="00FD7C39" w:rsidP="00FA2D7E"/>
          <w:p w14:paraId="7F872668" w14:textId="14BAB30F" w:rsidR="00FA2D7E" w:rsidRDefault="00FA2D7E" w:rsidP="00FA2D7E">
            <w:r>
              <w:t xml:space="preserve">No change required, however, given the detail of the scheme will be contained in the Regulations, we consider that detailed consultation with industry on the Regulations is appropriate.   </w:t>
            </w:r>
          </w:p>
          <w:p w14:paraId="52FE4418" w14:textId="77777777" w:rsidR="00FA2D7E" w:rsidRDefault="00FA2D7E" w:rsidP="00886F95"/>
          <w:p w14:paraId="5212547A" w14:textId="1B6D8118" w:rsidR="00FA2D7E" w:rsidRDefault="00FA2D7E" w:rsidP="00886F95"/>
        </w:tc>
      </w:tr>
      <w:tr w:rsidR="00814221" w14:paraId="32C80917" w14:textId="77777777" w:rsidTr="00225418">
        <w:tc>
          <w:tcPr>
            <w:tcW w:w="1586" w:type="dxa"/>
          </w:tcPr>
          <w:p w14:paraId="5D77B7F9" w14:textId="77777777" w:rsidR="00814221" w:rsidRDefault="00814221" w:rsidP="00F70215">
            <w:r>
              <w:lastRenderedPageBreak/>
              <w:t>Rebate to clients – annuities</w:t>
            </w:r>
          </w:p>
          <w:p w14:paraId="54D9B315" w14:textId="77777777" w:rsidR="00814221" w:rsidRDefault="00814221" w:rsidP="00F70215">
            <w:r>
              <w:t>S963N</w:t>
            </w:r>
          </w:p>
        </w:tc>
        <w:tc>
          <w:tcPr>
            <w:tcW w:w="6773" w:type="dxa"/>
          </w:tcPr>
          <w:p w14:paraId="54B4F176" w14:textId="0C0FD175" w:rsidR="0065263F" w:rsidRDefault="003B0F1E" w:rsidP="000E69F1">
            <w:pPr>
              <w:rPr>
                <w:rFonts w:eastAsia="Times New Roman"/>
                <w:color w:val="000000" w:themeColor="text1"/>
              </w:rPr>
            </w:pPr>
            <w:r>
              <w:t xml:space="preserve">The concept of rebating </w:t>
            </w:r>
            <w:r w:rsidR="00C715D5">
              <w:t xml:space="preserve">clients creates issues </w:t>
            </w:r>
            <w:proofErr w:type="gramStart"/>
            <w:r w:rsidR="00C715D5">
              <w:t>particular to</w:t>
            </w:r>
            <w:proofErr w:type="gramEnd"/>
            <w:r w:rsidR="00C715D5">
              <w:t xml:space="preserve"> annuity </w:t>
            </w:r>
            <w:r w:rsidR="00682C33">
              <w:t xml:space="preserve">and pension </w:t>
            </w:r>
            <w:r w:rsidR="00C715D5">
              <w:t>providers.  This is because SIS Regulations</w:t>
            </w:r>
            <w:r w:rsidR="007F6153">
              <w:t xml:space="preserve"> </w:t>
            </w:r>
            <w:r w:rsidR="00AC31ED" w:rsidRPr="00AC31ED">
              <w:rPr>
                <w:color w:val="000000" w:themeColor="text1"/>
              </w:rPr>
              <w:t xml:space="preserve">1.05(11A) (b)(ii)(E) and 1.06(9A) (b)(ii)(D) </w:t>
            </w:r>
            <w:r w:rsidR="002404F9">
              <w:t xml:space="preserve">prohibit </w:t>
            </w:r>
            <w:r w:rsidR="007F6153">
              <w:t>provider</w:t>
            </w:r>
            <w:r w:rsidR="002404F9">
              <w:t>s from</w:t>
            </w:r>
            <w:r w:rsidR="007F6153">
              <w:t xml:space="preserve"> changing the amount of </w:t>
            </w:r>
            <w:r w:rsidR="002E3C9D">
              <w:t>an</w:t>
            </w:r>
            <w:r w:rsidR="007F6153">
              <w:t xml:space="preserve"> annuity or pension payment from year to year</w:t>
            </w:r>
            <w:r w:rsidR="002404F9">
              <w:t xml:space="preserve"> unless the change </w:t>
            </w:r>
            <w:r w:rsidR="0065263F" w:rsidRPr="002404F9">
              <w:rPr>
                <w:rFonts w:eastAsia="Times New Roman"/>
                <w:color w:val="000000" w:themeColor="text1"/>
              </w:rPr>
              <w:t xml:space="preserve">is </w:t>
            </w:r>
            <w:proofErr w:type="gramStart"/>
            <w:r w:rsidR="0065263F" w:rsidRPr="002404F9">
              <w:rPr>
                <w:rFonts w:eastAsia="Times New Roman"/>
                <w:color w:val="000000" w:themeColor="text1"/>
              </w:rPr>
              <w:t>as a result of</w:t>
            </w:r>
            <w:proofErr w:type="gramEnd"/>
            <w:r w:rsidR="0065263F" w:rsidRPr="002404F9">
              <w:rPr>
                <w:rFonts w:eastAsia="Times New Roman"/>
                <w:color w:val="000000" w:themeColor="text1"/>
              </w:rPr>
              <w:t xml:space="preserve"> an indexation arrangement or the transfer of the annuity </w:t>
            </w:r>
            <w:r w:rsidR="002404F9" w:rsidRPr="002404F9">
              <w:rPr>
                <w:rFonts w:eastAsia="Times New Roman"/>
                <w:color w:val="000000" w:themeColor="text1"/>
              </w:rPr>
              <w:t xml:space="preserve">or pension </w:t>
            </w:r>
            <w:r w:rsidR="0065263F" w:rsidRPr="002404F9">
              <w:rPr>
                <w:rFonts w:eastAsia="Times New Roman"/>
                <w:color w:val="000000" w:themeColor="text1"/>
              </w:rPr>
              <w:t>to another person</w:t>
            </w:r>
            <w:r w:rsidR="002404F9" w:rsidRPr="002404F9">
              <w:rPr>
                <w:rFonts w:eastAsia="Times New Roman"/>
                <w:color w:val="000000" w:themeColor="text1"/>
              </w:rPr>
              <w:t>.</w:t>
            </w:r>
          </w:p>
          <w:p w14:paraId="340E7B65" w14:textId="154D61FD" w:rsidR="000E69F1" w:rsidRDefault="000E69F1" w:rsidP="000E69F1"/>
        </w:tc>
        <w:tc>
          <w:tcPr>
            <w:tcW w:w="6945" w:type="dxa"/>
          </w:tcPr>
          <w:p w14:paraId="2AA0A1A4" w14:textId="0558CE2A" w:rsidR="00DE4B9B" w:rsidRDefault="008F4173" w:rsidP="00F70215">
            <w:r>
              <w:lastRenderedPageBreak/>
              <w:t xml:space="preserve">We note the power to make Regulations under this section is broad.  Therefore, no change </w:t>
            </w:r>
            <w:r w:rsidR="00E07749">
              <w:t xml:space="preserve">to the Bill </w:t>
            </w:r>
            <w:r>
              <w:t xml:space="preserve">is required, however </w:t>
            </w:r>
          </w:p>
          <w:p w14:paraId="6F65E326" w14:textId="21F9A0DA" w:rsidR="00814221" w:rsidRDefault="00DE4B9B" w:rsidP="00794C7B">
            <w:r>
              <w:t xml:space="preserve">we consider that </w:t>
            </w:r>
            <w:r w:rsidR="00CA4639">
              <w:t xml:space="preserve">changes to the SIS Regulations are necessary.  We </w:t>
            </w:r>
            <w:r w:rsidR="00155296">
              <w:t xml:space="preserve">believe that </w:t>
            </w:r>
            <w:r>
              <w:t xml:space="preserve">detailed consultation </w:t>
            </w:r>
            <w:r w:rsidR="005E6795">
              <w:t xml:space="preserve">on the Regulations </w:t>
            </w:r>
            <w:r>
              <w:t>is appropriate</w:t>
            </w:r>
            <w:r w:rsidR="005E6795">
              <w:t xml:space="preserve"> to ensure </w:t>
            </w:r>
            <w:r w:rsidR="00794C7B">
              <w:t xml:space="preserve">that they </w:t>
            </w:r>
            <w:r w:rsidR="008F4173">
              <w:rPr>
                <w:lang w:eastAsia="ja-JP"/>
              </w:rPr>
              <w:t xml:space="preserve">clearly and specifically facilitate these payments in relation to annuities </w:t>
            </w:r>
            <w:r w:rsidR="00794C7B">
              <w:rPr>
                <w:lang w:eastAsia="ja-JP"/>
              </w:rPr>
              <w:t xml:space="preserve">as soon as the Bill </w:t>
            </w:r>
            <w:r w:rsidR="0061519F">
              <w:rPr>
                <w:lang w:eastAsia="ja-JP"/>
              </w:rPr>
              <w:t xml:space="preserve">becomes law. </w:t>
            </w:r>
          </w:p>
        </w:tc>
      </w:tr>
      <w:tr w:rsidR="00CF19E1" w14:paraId="73B45B7C" w14:textId="77777777" w:rsidTr="00225418">
        <w:tc>
          <w:tcPr>
            <w:tcW w:w="1586" w:type="dxa"/>
          </w:tcPr>
          <w:p w14:paraId="2C73FA8A" w14:textId="29543E36" w:rsidR="00CF19E1" w:rsidRDefault="00CF19E1" w:rsidP="00F70215">
            <w:r>
              <w:t>Rebate to clients</w:t>
            </w:r>
            <w:r w:rsidR="00E20942">
              <w:t xml:space="preserve"> – potential cost to client</w:t>
            </w:r>
            <w:r w:rsidR="006D2ED4">
              <w:t xml:space="preserve">s </w:t>
            </w:r>
          </w:p>
        </w:tc>
        <w:tc>
          <w:tcPr>
            <w:tcW w:w="6773" w:type="dxa"/>
          </w:tcPr>
          <w:p w14:paraId="785F3F38" w14:textId="038BC42E" w:rsidR="00CF19E1" w:rsidRDefault="00CF19E1" w:rsidP="00CF19E1">
            <w:r>
              <w:t xml:space="preserve">The concept of rebating amounts could have income and social security </w:t>
            </w:r>
            <w:proofErr w:type="gramStart"/>
            <w:r>
              <w:t>implications,</w:t>
            </w:r>
            <w:proofErr w:type="gramEnd"/>
            <w:r>
              <w:t xml:space="preserve"> however, this has not yet been considered in detail.  </w:t>
            </w:r>
          </w:p>
        </w:tc>
        <w:tc>
          <w:tcPr>
            <w:tcW w:w="6945" w:type="dxa"/>
          </w:tcPr>
          <w:p w14:paraId="7909454C" w14:textId="10152E1B" w:rsidR="00CF19E1" w:rsidRDefault="00CF19E1" w:rsidP="00F70215">
            <w:r>
              <w:t xml:space="preserve">We recommend that the Government consider what amendments are required to these </w:t>
            </w:r>
            <w:r w:rsidR="00C95FB4">
              <w:t xml:space="preserve">and other </w:t>
            </w:r>
            <w:r>
              <w:t>laws to ensure that retail clients are not adversely affected by rebating arrangements.</w:t>
            </w:r>
          </w:p>
        </w:tc>
      </w:tr>
      <w:tr w:rsidR="00245A67" w14:paraId="6EF7EF9E" w14:textId="77777777" w:rsidTr="00B41DC6">
        <w:tc>
          <w:tcPr>
            <w:tcW w:w="1586" w:type="dxa"/>
          </w:tcPr>
          <w:p w14:paraId="3F117A91" w14:textId="77777777" w:rsidR="00F70215" w:rsidRDefault="00B605DB" w:rsidP="00F70215">
            <w:r>
              <w:t>Non-monetary benefits</w:t>
            </w:r>
          </w:p>
          <w:p w14:paraId="1C97E3E5" w14:textId="77777777" w:rsidR="00C34174" w:rsidRDefault="00C34174" w:rsidP="00F70215">
            <w:r>
              <w:t>S</w:t>
            </w:r>
            <w:r w:rsidR="00F03A39">
              <w:t>963N</w:t>
            </w:r>
          </w:p>
        </w:tc>
        <w:tc>
          <w:tcPr>
            <w:tcW w:w="6773" w:type="dxa"/>
          </w:tcPr>
          <w:p w14:paraId="56626D79" w14:textId="77777777" w:rsidR="00841FB2" w:rsidRDefault="00BB7287" w:rsidP="00F70215">
            <w:r>
              <w:t xml:space="preserve">While we support </w:t>
            </w:r>
            <w:r w:rsidR="006D2ED4">
              <w:t>the cessation of grandfathering of non-monetary benefits,</w:t>
            </w:r>
            <w:r w:rsidR="000D579C">
              <w:t xml:space="preserve"> we consider that</w:t>
            </w:r>
            <w:r w:rsidR="00E511FB">
              <w:t xml:space="preserve">, in many instances it would simply not be feasible to rebate a non-monetary benefit to a client.  </w:t>
            </w:r>
          </w:p>
          <w:p w14:paraId="63183D9F" w14:textId="77777777" w:rsidR="00841FB2" w:rsidRDefault="00841FB2" w:rsidP="00F70215"/>
          <w:p w14:paraId="4C98E515" w14:textId="21E8D171" w:rsidR="00922164" w:rsidRDefault="00922164" w:rsidP="00375074"/>
        </w:tc>
        <w:tc>
          <w:tcPr>
            <w:tcW w:w="6945" w:type="dxa"/>
          </w:tcPr>
          <w:p w14:paraId="7C4BC62B" w14:textId="63BC55FC" w:rsidR="008D0259" w:rsidRDefault="008D0259" w:rsidP="008D0259">
            <w:r>
              <w:t xml:space="preserve">No change required, however, given the detail of the scheme will be contained in the Regulations, there ought to be appropriate mechanisms in the Regulations </w:t>
            </w:r>
            <w:r w:rsidR="00586C67">
              <w:t xml:space="preserve">related to rebates to ensure there is clear direction as to </w:t>
            </w:r>
            <w:r w:rsidR="0050175C">
              <w:t xml:space="preserve">how </w:t>
            </w:r>
            <w:r w:rsidR="00375074">
              <w:t xml:space="preserve">providers should deal with non-monetary benefits.  </w:t>
            </w:r>
          </w:p>
          <w:p w14:paraId="2F05075B" w14:textId="5B3E04F9" w:rsidR="00F03A39" w:rsidRDefault="00F03A39" w:rsidP="00375074"/>
        </w:tc>
      </w:tr>
      <w:tr w:rsidR="00245A67" w14:paraId="7E2AFFC6" w14:textId="77777777" w:rsidTr="00B41DC6">
        <w:tc>
          <w:tcPr>
            <w:tcW w:w="1586" w:type="dxa"/>
          </w:tcPr>
          <w:p w14:paraId="38B07E21" w14:textId="77777777" w:rsidR="00480B0F" w:rsidRDefault="00480B0F" w:rsidP="00480B0F">
            <w:r w:rsidRPr="00616576">
              <w:t>Ban on Asset</w:t>
            </w:r>
            <w:r w:rsidR="009C3ECA">
              <w:t>-</w:t>
            </w:r>
            <w:r w:rsidRPr="00616576">
              <w:t xml:space="preserve"> based fees on borrowed amounts </w:t>
            </w:r>
            <w:r w:rsidR="00283455">
              <w:t>S1531(2)</w:t>
            </w:r>
          </w:p>
        </w:tc>
        <w:tc>
          <w:tcPr>
            <w:tcW w:w="6773" w:type="dxa"/>
          </w:tcPr>
          <w:p w14:paraId="65E38A08" w14:textId="172778BA" w:rsidR="00BD20DA" w:rsidRDefault="00281033" w:rsidP="00CB2D0E">
            <w:pPr>
              <w:rPr>
                <w:rFonts w:cstheme="minorHAnsi"/>
              </w:rPr>
            </w:pPr>
            <w:r>
              <w:rPr>
                <w:rFonts w:cstheme="minorHAnsi"/>
              </w:rPr>
              <w:t xml:space="preserve">We do not agree that the current grandfathering arrangements relating to this ban (that is, that the ban </w:t>
            </w:r>
            <w:r w:rsidRPr="00C95FB4">
              <w:rPr>
                <w:rFonts w:cstheme="minorHAnsi"/>
                <w:u w:val="single"/>
              </w:rPr>
              <w:t>does not apply</w:t>
            </w:r>
            <w:r>
              <w:rPr>
                <w:rFonts w:cstheme="minorHAnsi"/>
              </w:rPr>
              <w:t xml:space="preserve"> to borrowed amounts used to acquire financial products before 1 July 2013) should be removed</w:t>
            </w:r>
            <w:r w:rsidR="00BD20DA">
              <w:rPr>
                <w:rFonts w:cstheme="minorHAnsi"/>
              </w:rPr>
              <w:t>.  We understand the intention of S1531</w:t>
            </w:r>
            <w:r w:rsidR="00B47869">
              <w:rPr>
                <w:rFonts w:cstheme="minorHAnsi"/>
              </w:rPr>
              <w:t xml:space="preserve"> </w:t>
            </w:r>
            <w:r w:rsidR="00E14D47">
              <w:rPr>
                <w:rFonts w:cstheme="minorHAnsi"/>
              </w:rPr>
              <w:t xml:space="preserve">in the </w:t>
            </w:r>
            <w:r w:rsidR="0019497F">
              <w:rPr>
                <w:rFonts w:cstheme="minorHAnsi"/>
              </w:rPr>
              <w:t xml:space="preserve">draft </w:t>
            </w:r>
            <w:r w:rsidR="00E14D47">
              <w:rPr>
                <w:rFonts w:cstheme="minorHAnsi"/>
              </w:rPr>
              <w:t xml:space="preserve">Bill </w:t>
            </w:r>
            <w:r w:rsidR="00BD20DA">
              <w:rPr>
                <w:rFonts w:cstheme="minorHAnsi"/>
              </w:rPr>
              <w:t>is to ban</w:t>
            </w:r>
            <w:r w:rsidR="00331191">
              <w:rPr>
                <w:rFonts w:cstheme="minorHAnsi"/>
              </w:rPr>
              <w:t>,</w:t>
            </w:r>
            <w:r w:rsidR="00BD20DA">
              <w:rPr>
                <w:rFonts w:cstheme="minorHAnsi"/>
              </w:rPr>
              <w:t xml:space="preserve"> </w:t>
            </w:r>
            <w:r w:rsidR="00331191">
              <w:rPr>
                <w:rFonts w:cstheme="minorHAnsi"/>
              </w:rPr>
              <w:t xml:space="preserve">from 1 January 2021, </w:t>
            </w:r>
            <w:r w:rsidR="00ED0858">
              <w:rPr>
                <w:rFonts w:cstheme="minorHAnsi"/>
              </w:rPr>
              <w:t>the charging of asset</w:t>
            </w:r>
            <w:r w:rsidR="00E30525">
              <w:rPr>
                <w:rFonts w:cstheme="minorHAnsi"/>
              </w:rPr>
              <w:t>-</w:t>
            </w:r>
            <w:r w:rsidR="00ED0858">
              <w:rPr>
                <w:rFonts w:cstheme="minorHAnsi"/>
              </w:rPr>
              <w:t xml:space="preserve">based fees on borrowed amounts used to acquire </w:t>
            </w:r>
            <w:r w:rsidR="001B35A1">
              <w:rPr>
                <w:rFonts w:cstheme="minorHAnsi"/>
              </w:rPr>
              <w:t>products at any time</w:t>
            </w:r>
            <w:r w:rsidR="001D4E95">
              <w:rPr>
                <w:rFonts w:cstheme="minorHAnsi"/>
              </w:rPr>
              <w:t xml:space="preserve">.  That is, the ban would, for the first time, apply to products acquired before 1 July 2013.  </w:t>
            </w:r>
            <w:r w:rsidR="00E14D47">
              <w:rPr>
                <w:rFonts w:cstheme="minorHAnsi"/>
              </w:rPr>
              <w:t xml:space="preserve">We do not consider this provision to be desirable or necessary for the following reasons: </w:t>
            </w:r>
          </w:p>
          <w:p w14:paraId="65335123" w14:textId="77777777" w:rsidR="00CB2D0E" w:rsidRDefault="00281033" w:rsidP="00CB2D0E">
            <w:pPr>
              <w:rPr>
                <w:rFonts w:cstheme="minorHAnsi"/>
              </w:rPr>
            </w:pPr>
            <w:r>
              <w:rPr>
                <w:rFonts w:cstheme="minorHAnsi"/>
              </w:rPr>
              <w:t xml:space="preserve"> </w:t>
            </w:r>
          </w:p>
          <w:p w14:paraId="7CBC8BB2" w14:textId="42B57F20" w:rsidR="006B2692" w:rsidRDefault="006B2692" w:rsidP="007327BD">
            <w:pPr>
              <w:pStyle w:val="ListParagraph"/>
              <w:numPr>
                <w:ilvl w:val="0"/>
                <w:numId w:val="8"/>
              </w:numPr>
            </w:pPr>
            <w:r>
              <w:rPr>
                <w:rFonts w:cstheme="minorHAnsi"/>
              </w:rPr>
              <w:t>t</w:t>
            </w:r>
            <w:r w:rsidRPr="009A4281">
              <w:rPr>
                <w:rFonts w:cstheme="minorHAnsi"/>
              </w:rPr>
              <w:t>he mischief which the ban was designed to address</w:t>
            </w:r>
            <w:r>
              <w:rPr>
                <w:rFonts w:cstheme="minorHAnsi"/>
              </w:rPr>
              <w:t xml:space="preserve"> is no longer at issue.  That is, there is no </w:t>
            </w:r>
            <w:r w:rsidR="00760149">
              <w:rPr>
                <w:rFonts w:cstheme="minorHAnsi"/>
              </w:rPr>
              <w:t xml:space="preserve">longer an </w:t>
            </w:r>
            <w:r w:rsidRPr="009A4281">
              <w:rPr>
                <w:rFonts w:cstheme="minorHAnsi"/>
              </w:rPr>
              <w:t xml:space="preserve">inducement for advisers to increase </w:t>
            </w:r>
            <w:r w:rsidR="0087322C">
              <w:rPr>
                <w:rFonts w:cstheme="minorHAnsi"/>
              </w:rPr>
              <w:t xml:space="preserve">the size of a </w:t>
            </w:r>
            <w:r w:rsidRPr="009A4281">
              <w:rPr>
                <w:rFonts w:cstheme="minorHAnsi"/>
              </w:rPr>
              <w:t>client</w:t>
            </w:r>
            <w:r w:rsidR="0087322C">
              <w:rPr>
                <w:rFonts w:cstheme="minorHAnsi"/>
              </w:rPr>
              <w:t xml:space="preserve">’s </w:t>
            </w:r>
            <w:r w:rsidRPr="009A4281">
              <w:rPr>
                <w:rFonts w:cstheme="minorHAnsi"/>
              </w:rPr>
              <w:t xml:space="preserve">borrowing </w:t>
            </w:r>
            <w:proofErr w:type="gramStart"/>
            <w:r w:rsidR="0087322C">
              <w:rPr>
                <w:rFonts w:cstheme="minorHAnsi"/>
              </w:rPr>
              <w:t>in order to</w:t>
            </w:r>
            <w:proofErr w:type="gramEnd"/>
            <w:r w:rsidR="0087322C">
              <w:rPr>
                <w:rFonts w:cstheme="minorHAnsi"/>
              </w:rPr>
              <w:t xml:space="preserve"> increase </w:t>
            </w:r>
            <w:r w:rsidR="00E722D3">
              <w:rPr>
                <w:rFonts w:cstheme="minorHAnsi"/>
              </w:rPr>
              <w:t xml:space="preserve">their </w:t>
            </w:r>
            <w:r w:rsidRPr="009A4281">
              <w:rPr>
                <w:rFonts w:cstheme="minorHAnsi"/>
              </w:rPr>
              <w:t>fee</w:t>
            </w:r>
            <w:r w:rsidR="0087322C">
              <w:rPr>
                <w:rFonts w:cstheme="minorHAnsi"/>
              </w:rPr>
              <w:t xml:space="preserve">s.  </w:t>
            </w:r>
          </w:p>
          <w:p w14:paraId="68481FA7" w14:textId="12B56243" w:rsidR="00FF7040" w:rsidRDefault="00083924" w:rsidP="007327BD">
            <w:pPr>
              <w:pStyle w:val="ListParagraph"/>
              <w:numPr>
                <w:ilvl w:val="0"/>
                <w:numId w:val="8"/>
              </w:numPr>
              <w:rPr>
                <w:rFonts w:cstheme="minorHAnsi"/>
              </w:rPr>
            </w:pPr>
            <w:r>
              <w:rPr>
                <w:rFonts w:cstheme="minorHAnsi"/>
              </w:rPr>
              <w:t xml:space="preserve">product manufacturer and </w:t>
            </w:r>
            <w:r w:rsidR="004552B0">
              <w:rPr>
                <w:rFonts w:cstheme="minorHAnsi"/>
              </w:rPr>
              <w:t>Advice Licensee</w:t>
            </w:r>
            <w:r>
              <w:rPr>
                <w:rFonts w:cstheme="minorHAnsi"/>
              </w:rPr>
              <w:t xml:space="preserve">s often do </w:t>
            </w:r>
            <w:r w:rsidR="003947FC">
              <w:rPr>
                <w:rFonts w:cstheme="minorHAnsi"/>
              </w:rPr>
              <w:t xml:space="preserve">not know </w:t>
            </w:r>
            <w:proofErr w:type="gramStart"/>
            <w:r w:rsidR="003947FC">
              <w:rPr>
                <w:rFonts w:cstheme="minorHAnsi"/>
              </w:rPr>
              <w:t>whether or not</w:t>
            </w:r>
            <w:proofErr w:type="gramEnd"/>
            <w:r w:rsidR="003947FC">
              <w:rPr>
                <w:rFonts w:cstheme="minorHAnsi"/>
              </w:rPr>
              <w:t xml:space="preserve"> </w:t>
            </w:r>
            <w:r w:rsidR="00E14D47">
              <w:rPr>
                <w:rFonts w:cstheme="minorHAnsi"/>
              </w:rPr>
              <w:t>a</w:t>
            </w:r>
            <w:r w:rsidR="003947FC">
              <w:rPr>
                <w:rFonts w:cstheme="minorHAnsi"/>
              </w:rPr>
              <w:t xml:space="preserve"> client has</w:t>
            </w:r>
            <w:r w:rsidR="00FF7040">
              <w:rPr>
                <w:rFonts w:cstheme="minorHAnsi"/>
              </w:rPr>
              <w:t xml:space="preserve"> used borrowed amounts to acquire a </w:t>
            </w:r>
            <w:r w:rsidR="001F011C">
              <w:rPr>
                <w:rFonts w:cstheme="minorHAnsi"/>
              </w:rPr>
              <w:t xml:space="preserve">financial </w:t>
            </w:r>
            <w:r w:rsidR="00FF7040">
              <w:rPr>
                <w:rFonts w:cstheme="minorHAnsi"/>
              </w:rPr>
              <w:t>product</w:t>
            </w:r>
            <w:r w:rsidR="00CA7CF8">
              <w:rPr>
                <w:rFonts w:cstheme="minorHAnsi"/>
              </w:rPr>
              <w:t>.  It would be even more difficult to determine this for products a customer purchased before 1 July 2013</w:t>
            </w:r>
            <w:r w:rsidR="00FF7040">
              <w:rPr>
                <w:rFonts w:cstheme="minorHAnsi"/>
              </w:rPr>
              <w:t>;</w:t>
            </w:r>
          </w:p>
          <w:p w14:paraId="31F32A67" w14:textId="224EF984" w:rsidR="00CB2D0E" w:rsidRDefault="00D9463D" w:rsidP="007327BD">
            <w:pPr>
              <w:pStyle w:val="ListParagraph"/>
              <w:numPr>
                <w:ilvl w:val="0"/>
                <w:numId w:val="8"/>
              </w:numPr>
              <w:rPr>
                <w:rFonts w:cstheme="minorHAnsi"/>
              </w:rPr>
            </w:pPr>
            <w:r>
              <w:rPr>
                <w:rFonts w:cstheme="minorHAnsi"/>
              </w:rPr>
              <w:t>product manufacturers</w:t>
            </w:r>
            <w:r w:rsidR="00CB2D0E">
              <w:rPr>
                <w:rFonts w:cstheme="minorHAnsi"/>
              </w:rPr>
              <w:t xml:space="preserve"> would not </w:t>
            </w:r>
            <w:r w:rsidR="004F5EF6">
              <w:rPr>
                <w:rFonts w:cstheme="minorHAnsi"/>
              </w:rPr>
              <w:t xml:space="preserve">know </w:t>
            </w:r>
            <w:r w:rsidR="00582898">
              <w:rPr>
                <w:rFonts w:cstheme="minorHAnsi"/>
              </w:rPr>
              <w:t xml:space="preserve">how much of the </w:t>
            </w:r>
            <w:r w:rsidR="002F1C71">
              <w:rPr>
                <w:rFonts w:cstheme="minorHAnsi"/>
              </w:rPr>
              <w:t xml:space="preserve">funds </w:t>
            </w:r>
            <w:r w:rsidR="00582898">
              <w:rPr>
                <w:rFonts w:cstheme="minorHAnsi"/>
              </w:rPr>
              <w:t xml:space="preserve">used to purchase </w:t>
            </w:r>
            <w:r w:rsidR="002F1C71">
              <w:rPr>
                <w:rFonts w:cstheme="minorHAnsi"/>
              </w:rPr>
              <w:t xml:space="preserve">the </w:t>
            </w:r>
            <w:r w:rsidR="00582898">
              <w:rPr>
                <w:rFonts w:cstheme="minorHAnsi"/>
              </w:rPr>
              <w:t xml:space="preserve">financial products </w:t>
            </w:r>
            <w:r w:rsidR="002F1C71">
              <w:rPr>
                <w:rFonts w:cstheme="minorHAnsi"/>
              </w:rPr>
              <w:t xml:space="preserve">before 1 July 2013 </w:t>
            </w:r>
            <w:r w:rsidR="0067747C">
              <w:rPr>
                <w:rFonts w:cstheme="minorHAnsi"/>
              </w:rPr>
              <w:t>were</w:t>
            </w:r>
            <w:r w:rsidR="00582898">
              <w:rPr>
                <w:rFonts w:cstheme="minorHAnsi"/>
              </w:rPr>
              <w:t xml:space="preserve"> still borrowed (that is, the client may have paid </w:t>
            </w:r>
            <w:r w:rsidR="002A542F">
              <w:rPr>
                <w:rFonts w:cstheme="minorHAnsi"/>
              </w:rPr>
              <w:lastRenderedPageBreak/>
              <w:t>back a sizeable portion of th</w:t>
            </w:r>
            <w:r w:rsidR="0067747C">
              <w:rPr>
                <w:rFonts w:cstheme="minorHAnsi"/>
              </w:rPr>
              <w:t>e</w:t>
            </w:r>
            <w:r w:rsidR="002A542F">
              <w:rPr>
                <w:rFonts w:cstheme="minorHAnsi"/>
              </w:rPr>
              <w:t xml:space="preserve"> loan </w:t>
            </w:r>
            <w:r w:rsidR="004F5EF6">
              <w:rPr>
                <w:rFonts w:cstheme="minorHAnsi"/>
              </w:rPr>
              <w:t>since 2013</w:t>
            </w:r>
            <w:r w:rsidR="00243F6A">
              <w:rPr>
                <w:rFonts w:cstheme="minorHAnsi"/>
              </w:rPr>
              <w:t>, meaning much of the fees would no longer be banned under S964D of the Corporations Act)</w:t>
            </w:r>
            <w:r w:rsidR="00CB2D0E">
              <w:rPr>
                <w:rFonts w:cstheme="minorHAnsi"/>
              </w:rPr>
              <w:t xml:space="preserve">. </w:t>
            </w:r>
          </w:p>
          <w:p w14:paraId="58AE7800" w14:textId="47446A6C" w:rsidR="00B03114" w:rsidRPr="00B03114" w:rsidRDefault="00B03114" w:rsidP="00B03114">
            <w:pPr>
              <w:rPr>
                <w:rFonts w:cstheme="minorHAnsi"/>
              </w:rPr>
            </w:pPr>
            <w:r>
              <w:rPr>
                <w:rFonts w:cstheme="minorHAnsi"/>
              </w:rPr>
              <w:t xml:space="preserve">Therefore, we submit that ceasing grandfathering on this ban will not result in clients being better off than they </w:t>
            </w:r>
            <w:r w:rsidR="0067747C">
              <w:rPr>
                <w:rFonts w:cstheme="minorHAnsi"/>
              </w:rPr>
              <w:t>are presently</w:t>
            </w:r>
            <w:r w:rsidR="00FB5000">
              <w:rPr>
                <w:rFonts w:cstheme="minorHAnsi"/>
              </w:rPr>
              <w:t xml:space="preserve">. </w:t>
            </w:r>
          </w:p>
          <w:p w14:paraId="383E75E3" w14:textId="77777777" w:rsidR="000A6AB4" w:rsidRDefault="000A6AB4" w:rsidP="0087322C">
            <w:pPr>
              <w:pStyle w:val="ListParagraph"/>
            </w:pPr>
          </w:p>
        </w:tc>
        <w:tc>
          <w:tcPr>
            <w:tcW w:w="6945" w:type="dxa"/>
          </w:tcPr>
          <w:p w14:paraId="4F3D4FCB" w14:textId="77777777" w:rsidR="00480B0F" w:rsidRDefault="00FB5000" w:rsidP="00480B0F">
            <w:r>
              <w:lastRenderedPageBreak/>
              <w:t>Delete</w:t>
            </w:r>
            <w:r w:rsidR="005E2A92">
              <w:t xml:space="preserve"> Items 6 and 7 from the Bill. </w:t>
            </w:r>
          </w:p>
        </w:tc>
      </w:tr>
    </w:tbl>
    <w:p w14:paraId="3897435B" w14:textId="77777777" w:rsidR="00FA1928" w:rsidRDefault="00FA1928" w:rsidP="00886F95">
      <w:pPr>
        <w:sectPr w:rsidR="00FA1928" w:rsidSect="00FA1928">
          <w:pgSz w:w="16838" w:h="11906" w:orient="landscape"/>
          <w:pgMar w:top="1440" w:right="2268" w:bottom="1440" w:left="1134" w:header="0" w:footer="312" w:gutter="0"/>
          <w:cols w:space="708"/>
          <w:titlePg/>
          <w:docGrid w:linePitch="360"/>
        </w:sectPr>
      </w:pPr>
    </w:p>
    <w:p w14:paraId="52A357BF" w14:textId="068ABC8B" w:rsidR="00B44459" w:rsidRDefault="00B44459" w:rsidP="00886F95"/>
    <w:p w14:paraId="21E8E7A2" w14:textId="77777777" w:rsidR="00B44459" w:rsidRPr="00B44459" w:rsidRDefault="00B44459" w:rsidP="00B44459"/>
    <w:p w14:paraId="62CCD980" w14:textId="77777777" w:rsidR="00B44459" w:rsidRPr="00B44459" w:rsidRDefault="00B44459" w:rsidP="00B44459"/>
    <w:p w14:paraId="70D4F7C9" w14:textId="77777777" w:rsidR="00B44459" w:rsidRPr="00B44459" w:rsidRDefault="00B44459" w:rsidP="00B44459"/>
    <w:p w14:paraId="7B1E4C1F" w14:textId="77777777" w:rsidR="00B44459" w:rsidRPr="00B44459" w:rsidRDefault="00B44459" w:rsidP="00B44459"/>
    <w:p w14:paraId="4D471441" w14:textId="77777777" w:rsidR="00B44459" w:rsidRPr="00B44459" w:rsidRDefault="00B44459" w:rsidP="00B44459"/>
    <w:p w14:paraId="5F416375" w14:textId="77777777" w:rsidR="00B44459" w:rsidRPr="00B44459" w:rsidRDefault="00B44459" w:rsidP="00B44459"/>
    <w:p w14:paraId="682293DA" w14:textId="77777777" w:rsidR="00B44459" w:rsidRPr="00B44459" w:rsidRDefault="00B44459" w:rsidP="00B44459"/>
    <w:p w14:paraId="338900DD" w14:textId="77777777" w:rsidR="00B44459" w:rsidRPr="00B44459" w:rsidRDefault="00B44459" w:rsidP="00B44459"/>
    <w:p w14:paraId="68CC994E" w14:textId="77777777" w:rsidR="00B44459" w:rsidRPr="00B44459" w:rsidRDefault="00B44459" w:rsidP="00B44459"/>
    <w:p w14:paraId="15E75DF1" w14:textId="77777777" w:rsidR="00B44459" w:rsidRPr="00B44459" w:rsidRDefault="00B44459" w:rsidP="00B44459"/>
    <w:p w14:paraId="22E11088" w14:textId="77777777" w:rsidR="009A095B" w:rsidRPr="00B44459" w:rsidRDefault="009A095B" w:rsidP="00B44459"/>
    <w:sectPr w:rsidR="009A095B" w:rsidRPr="00B44459" w:rsidSect="006545B4">
      <w:pgSz w:w="11906" w:h="16838"/>
      <w:pgMar w:top="2268" w:right="1440" w:bottom="1135" w:left="1440" w:header="0" w:footer="3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7307B" w14:textId="77777777" w:rsidR="00662CE6" w:rsidRDefault="00662CE6" w:rsidP="00273255">
      <w:r>
        <w:separator/>
      </w:r>
    </w:p>
  </w:endnote>
  <w:endnote w:type="continuationSeparator" w:id="0">
    <w:p w14:paraId="6D5A18A9" w14:textId="77777777" w:rsidR="00662CE6" w:rsidRDefault="00662CE6" w:rsidP="00273255">
      <w:r>
        <w:continuationSeparator/>
      </w:r>
    </w:p>
  </w:endnote>
  <w:endnote w:type="continuationNotice" w:id="1">
    <w:p w14:paraId="6EB46B77" w14:textId="77777777" w:rsidR="00662CE6" w:rsidRDefault="00662C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456050"/>
      <w:docPartObj>
        <w:docPartGallery w:val="Page Numbers (Bottom of Page)"/>
        <w:docPartUnique/>
      </w:docPartObj>
    </w:sdtPr>
    <w:sdtEndPr>
      <w:rPr>
        <w:noProof/>
      </w:rPr>
    </w:sdtEndPr>
    <w:sdtContent>
      <w:p w14:paraId="59A77F9A" w14:textId="77777777" w:rsidR="00DC5FC2" w:rsidRDefault="00DC5FC2" w:rsidP="00273255">
        <w:pPr>
          <w:pStyle w:val="Footer"/>
        </w:pPr>
        <w:r>
          <w:t xml:space="preserve">Page </w:t>
        </w:r>
        <w:r>
          <w:fldChar w:fldCharType="begin"/>
        </w:r>
        <w:r>
          <w:instrText xml:space="preserve"> PAGE   \* MERGEFORMAT </w:instrText>
        </w:r>
        <w:r>
          <w:fldChar w:fldCharType="separate"/>
        </w:r>
        <w:r w:rsidR="00CF19E1">
          <w:rPr>
            <w:noProof/>
          </w:rPr>
          <w:t>12</w:t>
        </w:r>
        <w:r>
          <w:rPr>
            <w:noProof/>
          </w:rPr>
          <w:fldChar w:fldCharType="end"/>
        </w:r>
      </w:p>
    </w:sdtContent>
  </w:sdt>
  <w:p w14:paraId="09D7144F" w14:textId="77777777" w:rsidR="00DC5FC2" w:rsidRDefault="00DC5FC2" w:rsidP="00273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09"/>
      <w:gridCol w:w="3009"/>
      <w:gridCol w:w="3009"/>
    </w:tblGrid>
    <w:tr w:rsidR="00DC5FC2" w14:paraId="3F324950" w14:textId="77777777" w:rsidTr="0C2D6AD4">
      <w:tc>
        <w:tcPr>
          <w:tcW w:w="3009" w:type="dxa"/>
        </w:tcPr>
        <w:p w14:paraId="3A651B55" w14:textId="77777777" w:rsidR="00DC5FC2" w:rsidRDefault="00DC5FC2" w:rsidP="0C2D6AD4">
          <w:pPr>
            <w:pStyle w:val="Header"/>
            <w:ind w:left="-115"/>
          </w:pPr>
        </w:p>
      </w:tc>
      <w:tc>
        <w:tcPr>
          <w:tcW w:w="3009" w:type="dxa"/>
        </w:tcPr>
        <w:p w14:paraId="53D6692A" w14:textId="77777777" w:rsidR="00DC5FC2" w:rsidRDefault="00DC5FC2" w:rsidP="0C2D6AD4">
          <w:pPr>
            <w:pStyle w:val="Header"/>
            <w:jc w:val="center"/>
          </w:pPr>
        </w:p>
      </w:tc>
      <w:tc>
        <w:tcPr>
          <w:tcW w:w="3009" w:type="dxa"/>
        </w:tcPr>
        <w:p w14:paraId="638D4F91" w14:textId="77777777" w:rsidR="00DC5FC2" w:rsidRDefault="00DC5FC2" w:rsidP="0C2D6AD4">
          <w:pPr>
            <w:pStyle w:val="Header"/>
            <w:ind w:right="-115"/>
            <w:jc w:val="right"/>
          </w:pPr>
        </w:p>
      </w:tc>
    </w:tr>
  </w:tbl>
  <w:p w14:paraId="07336186" w14:textId="77777777" w:rsidR="00DC5FC2" w:rsidRDefault="00DC5FC2" w:rsidP="0C2D6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2142F" w14:textId="77777777" w:rsidR="00662CE6" w:rsidRDefault="00662CE6" w:rsidP="00273255">
      <w:r>
        <w:separator/>
      </w:r>
    </w:p>
  </w:footnote>
  <w:footnote w:type="continuationSeparator" w:id="0">
    <w:p w14:paraId="02DCE3F5" w14:textId="77777777" w:rsidR="00662CE6" w:rsidRDefault="00662CE6" w:rsidP="00273255">
      <w:r>
        <w:continuationSeparator/>
      </w:r>
    </w:p>
  </w:footnote>
  <w:footnote w:type="continuationNotice" w:id="1">
    <w:p w14:paraId="042439B7" w14:textId="77777777" w:rsidR="00662CE6" w:rsidRDefault="00662CE6">
      <w:pPr>
        <w:spacing w:after="0" w:line="240" w:lineRule="auto"/>
      </w:pPr>
    </w:p>
  </w:footnote>
  <w:footnote w:id="2">
    <w:p w14:paraId="79EE4CAF" w14:textId="77777777" w:rsidR="00DC5FC2" w:rsidRPr="004E23BB" w:rsidRDefault="00DC5FC2" w:rsidP="00E3750F">
      <w:pPr>
        <w:autoSpaceDE w:val="0"/>
        <w:autoSpaceDN w:val="0"/>
        <w:adjustRightInd w:val="0"/>
        <w:spacing w:after="0" w:line="240" w:lineRule="auto"/>
        <w:rPr>
          <w:rFonts w:asciiTheme="minorHAnsi" w:hAnsiTheme="minorHAnsi" w:cstheme="minorHAnsi"/>
          <w:i/>
          <w:iCs/>
          <w:sz w:val="20"/>
          <w:szCs w:val="20"/>
        </w:rPr>
      </w:pPr>
      <w:r>
        <w:rPr>
          <w:rStyle w:val="FootnoteReference"/>
        </w:rPr>
        <w:footnoteRef/>
      </w:r>
      <w:r>
        <w:t xml:space="preserve"> </w:t>
      </w:r>
      <w:r w:rsidRPr="004E23BB">
        <w:rPr>
          <w:rFonts w:asciiTheme="minorHAnsi" w:hAnsiTheme="minorHAnsi" w:cstheme="minorHAnsi"/>
          <w:sz w:val="20"/>
          <w:szCs w:val="20"/>
        </w:rPr>
        <w:t xml:space="preserve">“LIF grandfathering regime” is a reference to the grandfathering regime that was introduced by the </w:t>
      </w:r>
      <w:r w:rsidRPr="004E23BB">
        <w:rPr>
          <w:rFonts w:asciiTheme="minorHAnsi" w:hAnsiTheme="minorHAnsi" w:cstheme="minorHAnsi"/>
          <w:i/>
          <w:iCs/>
          <w:sz w:val="20"/>
          <w:szCs w:val="20"/>
        </w:rPr>
        <w:t>Corporations</w:t>
      </w:r>
    </w:p>
    <w:p w14:paraId="2633465A" w14:textId="453BF2A6" w:rsidR="00DC5FC2" w:rsidRPr="004E23BB" w:rsidRDefault="00DC5FC2" w:rsidP="007F5D63">
      <w:pPr>
        <w:autoSpaceDE w:val="0"/>
        <w:autoSpaceDN w:val="0"/>
        <w:adjustRightInd w:val="0"/>
        <w:spacing w:after="0" w:line="240" w:lineRule="auto"/>
        <w:rPr>
          <w:rFonts w:asciiTheme="minorHAnsi" w:hAnsiTheme="minorHAnsi" w:cstheme="minorHAnsi"/>
          <w:lang w:val="en-GB"/>
        </w:rPr>
      </w:pPr>
      <w:r w:rsidRPr="004E23BB">
        <w:rPr>
          <w:rFonts w:asciiTheme="minorHAnsi" w:hAnsiTheme="minorHAnsi" w:cstheme="minorHAnsi"/>
          <w:i/>
          <w:iCs/>
          <w:sz w:val="20"/>
          <w:szCs w:val="20"/>
        </w:rPr>
        <w:t xml:space="preserve">Amendment (Life Insurance Remuneration Arrangements) Act </w:t>
      </w:r>
      <w:r w:rsidRPr="004E23BB">
        <w:rPr>
          <w:rFonts w:asciiTheme="minorHAnsi" w:hAnsiTheme="minorHAnsi" w:cstheme="minorHAnsi"/>
          <w:sz w:val="20"/>
          <w:szCs w:val="20"/>
        </w:rPr>
        <w:t xml:space="preserve">2017 (Cth) and the </w:t>
      </w:r>
      <w:r w:rsidRPr="004E23BB">
        <w:rPr>
          <w:rFonts w:asciiTheme="minorHAnsi" w:hAnsiTheme="minorHAnsi" w:cstheme="minorHAnsi"/>
          <w:i/>
          <w:iCs/>
          <w:sz w:val="20"/>
          <w:szCs w:val="20"/>
        </w:rPr>
        <w:t xml:space="preserve">Corporations Amendment (Life Insurance Regulation Arrangements) Regulations (2017) </w:t>
      </w:r>
      <w:r w:rsidRPr="004E23BB">
        <w:rPr>
          <w:rFonts w:asciiTheme="minorHAnsi" w:hAnsiTheme="minorHAnsi" w:cstheme="minorHAnsi"/>
          <w:sz w:val="20"/>
          <w:szCs w:val="20"/>
        </w:rPr>
        <w:t>(Cth).</w:t>
      </w:r>
    </w:p>
  </w:footnote>
  <w:footnote w:id="3">
    <w:p w14:paraId="5A68CB9D" w14:textId="2CB0228A" w:rsidR="00DC5FC2" w:rsidRPr="004E23BB" w:rsidRDefault="00DC5FC2">
      <w:pPr>
        <w:pStyle w:val="FootnoteText"/>
        <w:rPr>
          <w:rFonts w:asciiTheme="minorHAnsi" w:hAnsiTheme="minorHAnsi" w:cstheme="minorHAnsi"/>
          <w:lang w:val="en-GB"/>
        </w:rPr>
      </w:pPr>
      <w:r w:rsidRPr="004E23BB">
        <w:rPr>
          <w:rStyle w:val="FootnoteReference"/>
          <w:rFonts w:asciiTheme="minorHAnsi" w:hAnsiTheme="minorHAnsi" w:cstheme="minorHAnsi"/>
        </w:rPr>
        <w:footnoteRef/>
      </w:r>
      <w:r w:rsidRPr="004E23BB">
        <w:rPr>
          <w:rFonts w:asciiTheme="minorHAnsi" w:hAnsiTheme="minorHAnsi" w:cstheme="minorHAnsi"/>
        </w:rPr>
        <w:t xml:space="preserve"> </w:t>
      </w:r>
      <w:r w:rsidRPr="004E23BB">
        <w:rPr>
          <w:rFonts w:asciiTheme="minorHAnsi" w:hAnsiTheme="minorHAnsi" w:cstheme="minorHAnsi"/>
          <w:lang w:val="en-GB"/>
        </w:rPr>
        <w:t>Recommendation 2.4</w:t>
      </w:r>
      <w:r w:rsidR="002903FF" w:rsidRPr="004E23BB">
        <w:rPr>
          <w:rFonts w:asciiTheme="minorHAnsi" w:hAnsiTheme="minorHAnsi" w:cstheme="minorHAnsi"/>
          <w:lang w:val="en-GB"/>
        </w:rPr>
        <w:t xml:space="preserve"> of the </w:t>
      </w:r>
      <w:r w:rsidR="002576BD" w:rsidRPr="004E23BB">
        <w:rPr>
          <w:rFonts w:asciiTheme="minorHAnsi" w:hAnsiTheme="minorHAnsi" w:cstheme="minorHAnsi"/>
          <w:lang w:val="en-GB"/>
        </w:rPr>
        <w:t>RC’s Final Report</w:t>
      </w:r>
    </w:p>
  </w:footnote>
  <w:footnote w:id="4">
    <w:p w14:paraId="5FDF65E5" w14:textId="27BE14F7" w:rsidR="00FF7AB2" w:rsidRPr="004E23BB" w:rsidRDefault="00FF7AB2">
      <w:pPr>
        <w:pStyle w:val="FootnoteText"/>
        <w:rPr>
          <w:rFonts w:asciiTheme="minorHAnsi" w:hAnsiTheme="minorHAnsi" w:cstheme="minorHAnsi"/>
        </w:rPr>
      </w:pPr>
      <w:r w:rsidRPr="004E23BB">
        <w:rPr>
          <w:rStyle w:val="FootnoteReference"/>
          <w:rFonts w:asciiTheme="minorHAnsi" w:hAnsiTheme="minorHAnsi" w:cstheme="minorHAnsi"/>
        </w:rPr>
        <w:footnoteRef/>
      </w:r>
      <w:r w:rsidRPr="004E23BB">
        <w:rPr>
          <w:rFonts w:asciiTheme="minorHAnsi" w:hAnsiTheme="minorHAnsi" w:cstheme="minorHAnsi"/>
        </w:rPr>
        <w:t xml:space="preserve"> </w:t>
      </w:r>
      <w:r w:rsidR="00A84928" w:rsidRPr="004E23BB">
        <w:rPr>
          <w:rFonts w:asciiTheme="minorHAnsi" w:hAnsiTheme="minorHAnsi" w:cstheme="minorHAnsi"/>
        </w:rPr>
        <w:t>See:  https://treasury.gov.au/publication/p2019-fsrc-final-report</w:t>
      </w:r>
    </w:p>
  </w:footnote>
  <w:footnote w:id="5">
    <w:p w14:paraId="4254E3B1" w14:textId="364CF812" w:rsidR="00D05130" w:rsidRDefault="00D05130" w:rsidP="00D05130">
      <w:pPr>
        <w:pStyle w:val="FootnoteText"/>
      </w:pPr>
      <w:r>
        <w:rPr>
          <w:rStyle w:val="FootnoteReference"/>
        </w:rPr>
        <w:footnoteRef/>
      </w:r>
      <w:r>
        <w:t xml:space="preserve"> Please read: </w:t>
      </w:r>
      <w:hyperlink r:id="rId1" w:history="1">
        <w:r w:rsidR="00687E56" w:rsidRPr="00516B3B">
          <w:rPr>
            <w:rStyle w:val="Hyperlink"/>
          </w:rPr>
          <w:t>https://consult.treasury.gov.au/budget-policy-division/2018-19-pre-budget-submissions/consultation/view_respondent?sort=excerpt&amp;order=ascending&amp;_b_index=120&amp;uuId=596571344</w:t>
        </w:r>
      </w:hyperlink>
      <w:r w:rsidR="00662FC2">
        <w:rPr>
          <w:rStyle w:val="Hyperlink"/>
        </w:rPr>
        <w:t xml:space="preserve"> </w:t>
      </w:r>
      <w:r>
        <w:t xml:space="preserve">for full details of the FSC’s policy position regarding legacy products. </w:t>
      </w:r>
    </w:p>
  </w:footnote>
  <w:footnote w:id="6">
    <w:p w14:paraId="4DAFCAED" w14:textId="77777777" w:rsidR="00D05130" w:rsidRDefault="00D05130" w:rsidP="00D05130">
      <w:pPr>
        <w:pStyle w:val="FootnoteText"/>
      </w:pPr>
      <w:r>
        <w:rPr>
          <w:rStyle w:val="FootnoteReference"/>
        </w:rPr>
        <w:footnoteRef/>
      </w:r>
      <w:r>
        <w:t xml:space="preserve"> For further information on the consumer interest test, please see pages 9 – 10 of the FSC’s 2019-2020 Federal Budget Submission to Treasury. </w:t>
      </w:r>
    </w:p>
  </w:footnote>
  <w:footnote w:id="7">
    <w:p w14:paraId="6C08C6D4" w14:textId="77777777" w:rsidR="00D05130" w:rsidRDefault="00D05130" w:rsidP="00D05130">
      <w:pPr>
        <w:pStyle w:val="FootnoteText"/>
      </w:pPr>
      <w:r>
        <w:rPr>
          <w:rStyle w:val="FootnoteReference"/>
        </w:rPr>
        <w:footnoteRef/>
      </w:r>
      <w:r>
        <w:t xml:space="preserve"> We appreciate that stamp duties are within the remit of State and Territory Governments. However, we are hopeful that the Commonwealth could facilitate dialogue in this context.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FF402" w14:textId="77777777" w:rsidR="00DC5FC2" w:rsidRDefault="00DC5FC2" w:rsidP="00273255">
    <w:pPr>
      <w:pStyle w:val="Header"/>
    </w:pPr>
    <w:r>
      <w:rPr>
        <w:noProof/>
        <w:lang w:eastAsia="zh-CN"/>
      </w:rPr>
      <w:drawing>
        <wp:anchor distT="0" distB="0" distL="114300" distR="114300" simplePos="0" relativeHeight="251658240" behindDoc="1" locked="0" layoutInCell="1" allowOverlap="1" wp14:anchorId="24BAFE52" wp14:editId="34BB5FF7">
          <wp:simplePos x="0" y="0"/>
          <wp:positionH relativeFrom="column">
            <wp:posOffset>-857250</wp:posOffset>
          </wp:positionH>
          <wp:positionV relativeFrom="paragraph">
            <wp:posOffset>38100</wp:posOffset>
          </wp:positionV>
          <wp:extent cx="1752600" cy="790575"/>
          <wp:effectExtent l="0" t="0" r="0" b="9525"/>
          <wp:wrapNone/>
          <wp:docPr id="5" name="Picture 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29" cy="790588"/>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09"/>
      <w:gridCol w:w="3009"/>
      <w:gridCol w:w="3009"/>
    </w:tblGrid>
    <w:tr w:rsidR="00DC5FC2" w14:paraId="262E63B1" w14:textId="77777777" w:rsidTr="0C2D6AD4">
      <w:tc>
        <w:tcPr>
          <w:tcW w:w="3009" w:type="dxa"/>
        </w:tcPr>
        <w:p w14:paraId="08F9908E" w14:textId="77777777" w:rsidR="00DC5FC2" w:rsidRDefault="00DC5FC2" w:rsidP="0C2D6AD4">
          <w:pPr>
            <w:pStyle w:val="Header"/>
            <w:ind w:left="-115"/>
          </w:pPr>
        </w:p>
      </w:tc>
      <w:tc>
        <w:tcPr>
          <w:tcW w:w="3009" w:type="dxa"/>
        </w:tcPr>
        <w:p w14:paraId="692B510E" w14:textId="77777777" w:rsidR="00DC5FC2" w:rsidRDefault="00DC5FC2" w:rsidP="0C2D6AD4">
          <w:pPr>
            <w:pStyle w:val="Header"/>
            <w:jc w:val="center"/>
          </w:pPr>
        </w:p>
      </w:tc>
      <w:tc>
        <w:tcPr>
          <w:tcW w:w="3009" w:type="dxa"/>
        </w:tcPr>
        <w:p w14:paraId="3DD16C24" w14:textId="77777777" w:rsidR="00DC5FC2" w:rsidRDefault="00DC5FC2" w:rsidP="0C2D6AD4">
          <w:pPr>
            <w:pStyle w:val="Header"/>
            <w:ind w:right="-115"/>
            <w:jc w:val="right"/>
          </w:pPr>
        </w:p>
      </w:tc>
    </w:tr>
  </w:tbl>
  <w:p w14:paraId="5CB34322" w14:textId="77777777" w:rsidR="00DC5FC2" w:rsidRDefault="00DC5FC2" w:rsidP="0C2D6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4BD5"/>
    <w:multiLevelType w:val="hybridMultilevel"/>
    <w:tmpl w:val="948E7E00"/>
    <w:name w:val="OneLevelNumberedParagraphList23"/>
    <w:lvl w:ilvl="0" w:tplc="503EC358">
      <w:start w:val="1"/>
      <w:numFmt w:val="decimal"/>
      <w:pStyle w:val="AppQuestionNumbering"/>
      <w:suff w:val="nothing"/>
      <w:lvlText w:val="%1."/>
      <w:lvlJc w:val="left"/>
      <w:pPr>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9270F2"/>
    <w:multiLevelType w:val="hybridMultilevel"/>
    <w:tmpl w:val="79B48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13540E"/>
    <w:multiLevelType w:val="hybridMultilevel"/>
    <w:tmpl w:val="E0024F16"/>
    <w:lvl w:ilvl="0" w:tplc="8BDAB068">
      <w:start w:val="1"/>
      <w:numFmt w:val="bullet"/>
      <w:pStyle w:val="SuncorpBulletLevel1"/>
      <w:lvlText w:val=""/>
      <w:lvlJc w:val="left"/>
      <w:pPr>
        <w:ind w:left="3068" w:hanging="360"/>
      </w:pPr>
      <w:rPr>
        <w:rFonts w:ascii="Symbol" w:hAnsi="Symbol" w:hint="default"/>
        <w:color w:val="EB6411"/>
      </w:rPr>
    </w:lvl>
    <w:lvl w:ilvl="1" w:tplc="FA52B822">
      <w:numFmt w:val="bullet"/>
      <w:lvlText w:val="-"/>
      <w:lvlJc w:val="left"/>
      <w:pPr>
        <w:ind w:left="4148" w:hanging="360"/>
      </w:pPr>
      <w:rPr>
        <w:rFonts w:ascii="inherit" w:eastAsia="Times New Roman" w:hAnsi="inherit" w:cs="Arial" w:hint="default"/>
      </w:rPr>
    </w:lvl>
    <w:lvl w:ilvl="2" w:tplc="0C090005" w:tentative="1">
      <w:start w:val="1"/>
      <w:numFmt w:val="bullet"/>
      <w:lvlText w:val=""/>
      <w:lvlJc w:val="left"/>
      <w:pPr>
        <w:ind w:left="4868" w:hanging="360"/>
      </w:pPr>
      <w:rPr>
        <w:rFonts w:ascii="Wingdings" w:hAnsi="Wingdings" w:hint="default"/>
      </w:rPr>
    </w:lvl>
    <w:lvl w:ilvl="3" w:tplc="0C090001" w:tentative="1">
      <w:start w:val="1"/>
      <w:numFmt w:val="bullet"/>
      <w:lvlText w:val=""/>
      <w:lvlJc w:val="left"/>
      <w:pPr>
        <w:ind w:left="5588" w:hanging="360"/>
      </w:pPr>
      <w:rPr>
        <w:rFonts w:ascii="Symbol" w:hAnsi="Symbol" w:hint="default"/>
      </w:rPr>
    </w:lvl>
    <w:lvl w:ilvl="4" w:tplc="0C090003" w:tentative="1">
      <w:start w:val="1"/>
      <w:numFmt w:val="bullet"/>
      <w:lvlText w:val="o"/>
      <w:lvlJc w:val="left"/>
      <w:pPr>
        <w:ind w:left="6308" w:hanging="360"/>
      </w:pPr>
      <w:rPr>
        <w:rFonts w:ascii="Courier New" w:hAnsi="Courier New" w:cs="Courier New" w:hint="default"/>
      </w:rPr>
    </w:lvl>
    <w:lvl w:ilvl="5" w:tplc="0C090005" w:tentative="1">
      <w:start w:val="1"/>
      <w:numFmt w:val="bullet"/>
      <w:lvlText w:val=""/>
      <w:lvlJc w:val="left"/>
      <w:pPr>
        <w:ind w:left="7028" w:hanging="360"/>
      </w:pPr>
      <w:rPr>
        <w:rFonts w:ascii="Wingdings" w:hAnsi="Wingdings" w:hint="default"/>
      </w:rPr>
    </w:lvl>
    <w:lvl w:ilvl="6" w:tplc="0C090001" w:tentative="1">
      <w:start w:val="1"/>
      <w:numFmt w:val="bullet"/>
      <w:lvlText w:val=""/>
      <w:lvlJc w:val="left"/>
      <w:pPr>
        <w:ind w:left="7748" w:hanging="360"/>
      </w:pPr>
      <w:rPr>
        <w:rFonts w:ascii="Symbol" w:hAnsi="Symbol" w:hint="default"/>
      </w:rPr>
    </w:lvl>
    <w:lvl w:ilvl="7" w:tplc="0C090003" w:tentative="1">
      <w:start w:val="1"/>
      <w:numFmt w:val="bullet"/>
      <w:lvlText w:val="o"/>
      <w:lvlJc w:val="left"/>
      <w:pPr>
        <w:ind w:left="8468" w:hanging="360"/>
      </w:pPr>
      <w:rPr>
        <w:rFonts w:ascii="Courier New" w:hAnsi="Courier New" w:cs="Courier New" w:hint="default"/>
      </w:rPr>
    </w:lvl>
    <w:lvl w:ilvl="8" w:tplc="0C090005" w:tentative="1">
      <w:start w:val="1"/>
      <w:numFmt w:val="bullet"/>
      <w:lvlText w:val=""/>
      <w:lvlJc w:val="left"/>
      <w:pPr>
        <w:ind w:left="9188" w:hanging="360"/>
      </w:pPr>
      <w:rPr>
        <w:rFonts w:ascii="Wingdings" w:hAnsi="Wingdings" w:hint="default"/>
      </w:rPr>
    </w:lvl>
  </w:abstractNum>
  <w:abstractNum w:abstractNumId="3" w15:restartNumberingAfterBreak="0">
    <w:nsid w:val="11C32583"/>
    <w:multiLevelType w:val="multilevel"/>
    <w:tmpl w:val="65F03484"/>
    <w:lvl w:ilvl="0">
      <w:start w:val="1"/>
      <w:numFmt w:val="bullet"/>
      <w:lvlText w:val=""/>
      <w:lvlJc w:val="left"/>
      <w:pPr>
        <w:ind w:left="567" w:hanging="567"/>
      </w:pPr>
      <w:rPr>
        <w:rFonts w:ascii="Symbol" w:hAnsi="Symbol" w:hint="default"/>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4" w15:restartNumberingAfterBreak="0">
    <w:nsid w:val="17AE2BEC"/>
    <w:multiLevelType w:val="multilevel"/>
    <w:tmpl w:val="2F7E53BC"/>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7B3980"/>
    <w:multiLevelType w:val="hybridMultilevel"/>
    <w:tmpl w:val="20BC182A"/>
    <w:lvl w:ilvl="0" w:tplc="08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6" w15:restartNumberingAfterBreak="0">
    <w:nsid w:val="2C53206B"/>
    <w:multiLevelType w:val="hybridMultilevel"/>
    <w:tmpl w:val="10C0E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83F08"/>
    <w:multiLevelType w:val="hybridMultilevel"/>
    <w:tmpl w:val="CD6E6A2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261FF2"/>
    <w:multiLevelType w:val="hybridMultilevel"/>
    <w:tmpl w:val="94981A42"/>
    <w:lvl w:ilvl="0" w:tplc="7D4647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66168C"/>
    <w:multiLevelType w:val="hybridMultilevel"/>
    <w:tmpl w:val="5ABA1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01759E"/>
    <w:multiLevelType w:val="multilevel"/>
    <w:tmpl w:val="7196107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9F04FDE"/>
    <w:multiLevelType w:val="multilevel"/>
    <w:tmpl w:val="19A2B1E4"/>
    <w:name w:val="StandardNumberedList"/>
    <w:lvl w:ilvl="0">
      <w:start w:val="1"/>
      <w:numFmt w:val="decimal"/>
      <w:pStyle w:val="OutlineNumbered1"/>
      <w:lvlText w:val="%1."/>
      <w:lvlJc w:val="left"/>
      <w:pPr>
        <w:tabs>
          <w:tab w:val="num" w:pos="520"/>
        </w:tabs>
        <w:ind w:left="520" w:hanging="520"/>
      </w:pPr>
      <w:rPr>
        <w:b w:val="0"/>
        <w:i w:val="0"/>
      </w:r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DA45B17"/>
    <w:multiLevelType w:val="hybridMultilevel"/>
    <w:tmpl w:val="0EC4BB94"/>
    <w:lvl w:ilvl="0" w:tplc="08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3" w15:restartNumberingAfterBreak="0">
    <w:nsid w:val="4E625C85"/>
    <w:multiLevelType w:val="hybridMultilevel"/>
    <w:tmpl w:val="F38AAB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135EEA"/>
    <w:multiLevelType w:val="hybridMultilevel"/>
    <w:tmpl w:val="DCC05BE0"/>
    <w:lvl w:ilvl="0" w:tplc="FFFFFFFF">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F53620"/>
    <w:multiLevelType w:val="hybridMultilevel"/>
    <w:tmpl w:val="F38AAB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7394FF1"/>
    <w:multiLevelType w:val="hybridMultilevel"/>
    <w:tmpl w:val="25CC7BF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6B1257DA"/>
    <w:multiLevelType w:val="hybridMultilevel"/>
    <w:tmpl w:val="43628E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737C1B58"/>
    <w:multiLevelType w:val="hybridMultilevel"/>
    <w:tmpl w:val="81F04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53631B"/>
    <w:multiLevelType w:val="hybridMultilevel"/>
    <w:tmpl w:val="A050B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4"/>
  </w:num>
  <w:num w:numId="8">
    <w:abstractNumId w:val="6"/>
  </w:num>
  <w:num w:numId="9">
    <w:abstractNumId w:val="15"/>
  </w:num>
  <w:num w:numId="10">
    <w:abstractNumId w:val="18"/>
  </w:num>
  <w:num w:numId="11">
    <w:abstractNumId w:val="19"/>
  </w:num>
  <w:num w:numId="12">
    <w:abstractNumId w:val="9"/>
  </w:num>
  <w:num w:numId="13">
    <w:abstractNumId w:val="5"/>
  </w:num>
  <w:num w:numId="14">
    <w:abstractNumId w:val="12"/>
  </w:num>
  <w:num w:numId="15">
    <w:abstractNumId w:val="17"/>
  </w:num>
  <w:num w:numId="16">
    <w:abstractNumId w:val="13"/>
  </w:num>
  <w:num w:numId="17">
    <w:abstractNumId w:val="7"/>
  </w:num>
  <w:num w:numId="18">
    <w:abstractNumId w:val="1"/>
  </w:num>
  <w:num w:numId="19">
    <w:abstractNumId w:val="8"/>
  </w:num>
  <w:num w:numId="20">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efaultTableStyle w:val="Style1"/>
  <w:characterSpacingControl w:val="doNotCompress"/>
  <w:hdrShapeDefaults>
    <o:shapedefaults v:ext="edit" spidmax="4097">
      <o:colormru v:ext="edit" colors="#9d948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00"/>
    <w:rsid w:val="000000E7"/>
    <w:rsid w:val="0000026F"/>
    <w:rsid w:val="000005BA"/>
    <w:rsid w:val="00001E4C"/>
    <w:rsid w:val="00001F0D"/>
    <w:rsid w:val="00002097"/>
    <w:rsid w:val="00002FB6"/>
    <w:rsid w:val="000034B8"/>
    <w:rsid w:val="00003899"/>
    <w:rsid w:val="00004169"/>
    <w:rsid w:val="000042CB"/>
    <w:rsid w:val="00004B64"/>
    <w:rsid w:val="00006452"/>
    <w:rsid w:val="0001181D"/>
    <w:rsid w:val="00011B3B"/>
    <w:rsid w:val="00012773"/>
    <w:rsid w:val="00012EF1"/>
    <w:rsid w:val="00013716"/>
    <w:rsid w:val="0001388D"/>
    <w:rsid w:val="00013F13"/>
    <w:rsid w:val="0001468D"/>
    <w:rsid w:val="00014E53"/>
    <w:rsid w:val="00014F62"/>
    <w:rsid w:val="00015B12"/>
    <w:rsid w:val="00016597"/>
    <w:rsid w:val="00017617"/>
    <w:rsid w:val="000209D8"/>
    <w:rsid w:val="00021956"/>
    <w:rsid w:val="00021C07"/>
    <w:rsid w:val="00021F9C"/>
    <w:rsid w:val="000222AB"/>
    <w:rsid w:val="00022E24"/>
    <w:rsid w:val="00022E98"/>
    <w:rsid w:val="00023416"/>
    <w:rsid w:val="00023EB8"/>
    <w:rsid w:val="0002430E"/>
    <w:rsid w:val="00024467"/>
    <w:rsid w:val="00025D69"/>
    <w:rsid w:val="00026245"/>
    <w:rsid w:val="000269D5"/>
    <w:rsid w:val="00027302"/>
    <w:rsid w:val="00027DB8"/>
    <w:rsid w:val="000301A8"/>
    <w:rsid w:val="00030440"/>
    <w:rsid w:val="00030617"/>
    <w:rsid w:val="00031608"/>
    <w:rsid w:val="0003168C"/>
    <w:rsid w:val="000317D0"/>
    <w:rsid w:val="00032207"/>
    <w:rsid w:val="000331D3"/>
    <w:rsid w:val="0003333D"/>
    <w:rsid w:val="00033387"/>
    <w:rsid w:val="00033F88"/>
    <w:rsid w:val="00034B83"/>
    <w:rsid w:val="00035332"/>
    <w:rsid w:val="0003575D"/>
    <w:rsid w:val="00035D20"/>
    <w:rsid w:val="000361D8"/>
    <w:rsid w:val="00036BE6"/>
    <w:rsid w:val="00037E63"/>
    <w:rsid w:val="000401C7"/>
    <w:rsid w:val="00040C9B"/>
    <w:rsid w:val="000428C9"/>
    <w:rsid w:val="00042C3C"/>
    <w:rsid w:val="00042D0E"/>
    <w:rsid w:val="000439BD"/>
    <w:rsid w:val="0004451A"/>
    <w:rsid w:val="000458E2"/>
    <w:rsid w:val="00046D47"/>
    <w:rsid w:val="000479F8"/>
    <w:rsid w:val="000501A1"/>
    <w:rsid w:val="000501DF"/>
    <w:rsid w:val="00050565"/>
    <w:rsid w:val="00051ADA"/>
    <w:rsid w:val="000521CB"/>
    <w:rsid w:val="00053BC6"/>
    <w:rsid w:val="00054DC7"/>
    <w:rsid w:val="0005511F"/>
    <w:rsid w:val="0005518F"/>
    <w:rsid w:val="00055201"/>
    <w:rsid w:val="00055A1F"/>
    <w:rsid w:val="00055F59"/>
    <w:rsid w:val="00056196"/>
    <w:rsid w:val="00056CC3"/>
    <w:rsid w:val="00057291"/>
    <w:rsid w:val="000572AE"/>
    <w:rsid w:val="000604DE"/>
    <w:rsid w:val="0006066F"/>
    <w:rsid w:val="0006089D"/>
    <w:rsid w:val="00060BA4"/>
    <w:rsid w:val="00060DC4"/>
    <w:rsid w:val="000615BB"/>
    <w:rsid w:val="00062981"/>
    <w:rsid w:val="00062A9E"/>
    <w:rsid w:val="000633F4"/>
    <w:rsid w:val="00063668"/>
    <w:rsid w:val="00064702"/>
    <w:rsid w:val="000673BA"/>
    <w:rsid w:val="00070332"/>
    <w:rsid w:val="000703FD"/>
    <w:rsid w:val="000709C3"/>
    <w:rsid w:val="00070C67"/>
    <w:rsid w:val="00070D7C"/>
    <w:rsid w:val="00071B79"/>
    <w:rsid w:val="000724F6"/>
    <w:rsid w:val="000725D3"/>
    <w:rsid w:val="000727EA"/>
    <w:rsid w:val="000733A2"/>
    <w:rsid w:val="00073921"/>
    <w:rsid w:val="00074F3B"/>
    <w:rsid w:val="00075C08"/>
    <w:rsid w:val="00076258"/>
    <w:rsid w:val="00077415"/>
    <w:rsid w:val="00077638"/>
    <w:rsid w:val="00081454"/>
    <w:rsid w:val="00082745"/>
    <w:rsid w:val="00083924"/>
    <w:rsid w:val="00083BDF"/>
    <w:rsid w:val="00083DC3"/>
    <w:rsid w:val="000844BE"/>
    <w:rsid w:val="00084D6F"/>
    <w:rsid w:val="00084F1B"/>
    <w:rsid w:val="000863F9"/>
    <w:rsid w:val="000869B1"/>
    <w:rsid w:val="00087027"/>
    <w:rsid w:val="000874AD"/>
    <w:rsid w:val="000902AB"/>
    <w:rsid w:val="00090F6B"/>
    <w:rsid w:val="00091942"/>
    <w:rsid w:val="00091BE4"/>
    <w:rsid w:val="0009205E"/>
    <w:rsid w:val="00092CE1"/>
    <w:rsid w:val="000936B0"/>
    <w:rsid w:val="00094248"/>
    <w:rsid w:val="0009487E"/>
    <w:rsid w:val="00094A60"/>
    <w:rsid w:val="000957BA"/>
    <w:rsid w:val="00095DE2"/>
    <w:rsid w:val="00096028"/>
    <w:rsid w:val="000964CF"/>
    <w:rsid w:val="000A0047"/>
    <w:rsid w:val="000A0308"/>
    <w:rsid w:val="000A0647"/>
    <w:rsid w:val="000A067A"/>
    <w:rsid w:val="000A0A8D"/>
    <w:rsid w:val="000A0AA8"/>
    <w:rsid w:val="000A0B1C"/>
    <w:rsid w:val="000A0D0B"/>
    <w:rsid w:val="000A272C"/>
    <w:rsid w:val="000A2C7B"/>
    <w:rsid w:val="000A36F0"/>
    <w:rsid w:val="000A6AB4"/>
    <w:rsid w:val="000A7142"/>
    <w:rsid w:val="000A7561"/>
    <w:rsid w:val="000A7B00"/>
    <w:rsid w:val="000A7EFB"/>
    <w:rsid w:val="000B04A2"/>
    <w:rsid w:val="000B1FB4"/>
    <w:rsid w:val="000B2DF8"/>
    <w:rsid w:val="000B4574"/>
    <w:rsid w:val="000B466C"/>
    <w:rsid w:val="000B48D8"/>
    <w:rsid w:val="000B4EC2"/>
    <w:rsid w:val="000B5002"/>
    <w:rsid w:val="000B5F87"/>
    <w:rsid w:val="000B67A8"/>
    <w:rsid w:val="000B6D74"/>
    <w:rsid w:val="000C078E"/>
    <w:rsid w:val="000C2657"/>
    <w:rsid w:val="000C27C1"/>
    <w:rsid w:val="000C2C8F"/>
    <w:rsid w:val="000C3FD4"/>
    <w:rsid w:val="000C423E"/>
    <w:rsid w:val="000C44D9"/>
    <w:rsid w:val="000C467F"/>
    <w:rsid w:val="000C47CA"/>
    <w:rsid w:val="000C4C10"/>
    <w:rsid w:val="000C53D7"/>
    <w:rsid w:val="000C5D91"/>
    <w:rsid w:val="000C611A"/>
    <w:rsid w:val="000C7059"/>
    <w:rsid w:val="000C7A74"/>
    <w:rsid w:val="000C7C81"/>
    <w:rsid w:val="000D0D76"/>
    <w:rsid w:val="000D161E"/>
    <w:rsid w:val="000D1726"/>
    <w:rsid w:val="000D1B97"/>
    <w:rsid w:val="000D1FF2"/>
    <w:rsid w:val="000D27A8"/>
    <w:rsid w:val="000D4103"/>
    <w:rsid w:val="000D4C5A"/>
    <w:rsid w:val="000D4E5E"/>
    <w:rsid w:val="000D579C"/>
    <w:rsid w:val="000D5B1C"/>
    <w:rsid w:val="000D66A0"/>
    <w:rsid w:val="000D71A9"/>
    <w:rsid w:val="000D7EC5"/>
    <w:rsid w:val="000E0D34"/>
    <w:rsid w:val="000E21B4"/>
    <w:rsid w:val="000E2DED"/>
    <w:rsid w:val="000E38D4"/>
    <w:rsid w:val="000E3DB5"/>
    <w:rsid w:val="000E4529"/>
    <w:rsid w:val="000E4C47"/>
    <w:rsid w:val="000E59BB"/>
    <w:rsid w:val="000E6090"/>
    <w:rsid w:val="000E641B"/>
    <w:rsid w:val="000E673C"/>
    <w:rsid w:val="000E69F1"/>
    <w:rsid w:val="000E6C10"/>
    <w:rsid w:val="000E72F0"/>
    <w:rsid w:val="000E75D7"/>
    <w:rsid w:val="000E75FD"/>
    <w:rsid w:val="000E765F"/>
    <w:rsid w:val="000E77D0"/>
    <w:rsid w:val="000E7EF5"/>
    <w:rsid w:val="000F0BA3"/>
    <w:rsid w:val="000F0D34"/>
    <w:rsid w:val="000F312B"/>
    <w:rsid w:val="000F3183"/>
    <w:rsid w:val="000F3517"/>
    <w:rsid w:val="000F396F"/>
    <w:rsid w:val="000F4D97"/>
    <w:rsid w:val="000F544E"/>
    <w:rsid w:val="000F652C"/>
    <w:rsid w:val="000F707B"/>
    <w:rsid w:val="00100DDC"/>
    <w:rsid w:val="00101807"/>
    <w:rsid w:val="00101B80"/>
    <w:rsid w:val="001022D9"/>
    <w:rsid w:val="00102A74"/>
    <w:rsid w:val="00103277"/>
    <w:rsid w:val="0010403B"/>
    <w:rsid w:val="00104097"/>
    <w:rsid w:val="00104251"/>
    <w:rsid w:val="001046D7"/>
    <w:rsid w:val="0010536E"/>
    <w:rsid w:val="00105927"/>
    <w:rsid w:val="00105B90"/>
    <w:rsid w:val="00105C9D"/>
    <w:rsid w:val="00105CD7"/>
    <w:rsid w:val="00106CC4"/>
    <w:rsid w:val="00111E3D"/>
    <w:rsid w:val="001127F7"/>
    <w:rsid w:val="0011357B"/>
    <w:rsid w:val="001154E1"/>
    <w:rsid w:val="00116428"/>
    <w:rsid w:val="0012023F"/>
    <w:rsid w:val="0012062E"/>
    <w:rsid w:val="00120A1E"/>
    <w:rsid w:val="00120F96"/>
    <w:rsid w:val="0012131B"/>
    <w:rsid w:val="00122B6B"/>
    <w:rsid w:val="00122D4D"/>
    <w:rsid w:val="0012389D"/>
    <w:rsid w:val="00124597"/>
    <w:rsid w:val="00126FFC"/>
    <w:rsid w:val="001277DA"/>
    <w:rsid w:val="00127DD0"/>
    <w:rsid w:val="001315D5"/>
    <w:rsid w:val="00131709"/>
    <w:rsid w:val="0013221D"/>
    <w:rsid w:val="00133575"/>
    <w:rsid w:val="00133772"/>
    <w:rsid w:val="00134514"/>
    <w:rsid w:val="0013500F"/>
    <w:rsid w:val="00135A9F"/>
    <w:rsid w:val="001366E6"/>
    <w:rsid w:val="00136859"/>
    <w:rsid w:val="00136A21"/>
    <w:rsid w:val="00136C14"/>
    <w:rsid w:val="00137EBA"/>
    <w:rsid w:val="00137EED"/>
    <w:rsid w:val="001414C3"/>
    <w:rsid w:val="0014178A"/>
    <w:rsid w:val="00141D55"/>
    <w:rsid w:val="00142D62"/>
    <w:rsid w:val="0014391A"/>
    <w:rsid w:val="00144B15"/>
    <w:rsid w:val="001457A7"/>
    <w:rsid w:val="00145CDE"/>
    <w:rsid w:val="0014782A"/>
    <w:rsid w:val="00147836"/>
    <w:rsid w:val="00147A2A"/>
    <w:rsid w:val="00147A71"/>
    <w:rsid w:val="00151756"/>
    <w:rsid w:val="00151CCC"/>
    <w:rsid w:val="00151D05"/>
    <w:rsid w:val="00152424"/>
    <w:rsid w:val="0015248B"/>
    <w:rsid w:val="001527ED"/>
    <w:rsid w:val="00152CA7"/>
    <w:rsid w:val="00154B82"/>
    <w:rsid w:val="00154C46"/>
    <w:rsid w:val="00154F56"/>
    <w:rsid w:val="00155296"/>
    <w:rsid w:val="001554F7"/>
    <w:rsid w:val="00155709"/>
    <w:rsid w:val="00155CB4"/>
    <w:rsid w:val="0015624C"/>
    <w:rsid w:val="0015652C"/>
    <w:rsid w:val="00156ED2"/>
    <w:rsid w:val="001570CC"/>
    <w:rsid w:val="00157A46"/>
    <w:rsid w:val="0016044F"/>
    <w:rsid w:val="0016065A"/>
    <w:rsid w:val="00160BD8"/>
    <w:rsid w:val="00160DC3"/>
    <w:rsid w:val="00160E1F"/>
    <w:rsid w:val="00161C5F"/>
    <w:rsid w:val="00162833"/>
    <w:rsid w:val="00163D88"/>
    <w:rsid w:val="0016554C"/>
    <w:rsid w:val="00165719"/>
    <w:rsid w:val="00165A38"/>
    <w:rsid w:val="00165C6A"/>
    <w:rsid w:val="00166162"/>
    <w:rsid w:val="001661A0"/>
    <w:rsid w:val="001667C9"/>
    <w:rsid w:val="00170184"/>
    <w:rsid w:val="001707D4"/>
    <w:rsid w:val="001709CC"/>
    <w:rsid w:val="0017179A"/>
    <w:rsid w:val="001733F7"/>
    <w:rsid w:val="00174B68"/>
    <w:rsid w:val="00174DDE"/>
    <w:rsid w:val="00174E68"/>
    <w:rsid w:val="00174EB0"/>
    <w:rsid w:val="00175B96"/>
    <w:rsid w:val="001760AC"/>
    <w:rsid w:val="001765B4"/>
    <w:rsid w:val="00176F94"/>
    <w:rsid w:val="00177172"/>
    <w:rsid w:val="00180536"/>
    <w:rsid w:val="00180A68"/>
    <w:rsid w:val="00180AF8"/>
    <w:rsid w:val="00180EB6"/>
    <w:rsid w:val="00183228"/>
    <w:rsid w:val="0018358D"/>
    <w:rsid w:val="00184050"/>
    <w:rsid w:val="00184847"/>
    <w:rsid w:val="00184D8A"/>
    <w:rsid w:val="00184FD4"/>
    <w:rsid w:val="0018531C"/>
    <w:rsid w:val="0018571F"/>
    <w:rsid w:val="0018684C"/>
    <w:rsid w:val="00187232"/>
    <w:rsid w:val="00190C82"/>
    <w:rsid w:val="00190D4D"/>
    <w:rsid w:val="00190FA0"/>
    <w:rsid w:val="001912A9"/>
    <w:rsid w:val="001913BC"/>
    <w:rsid w:val="001914A8"/>
    <w:rsid w:val="001931CF"/>
    <w:rsid w:val="001933FB"/>
    <w:rsid w:val="001938D2"/>
    <w:rsid w:val="00193C6E"/>
    <w:rsid w:val="001941A6"/>
    <w:rsid w:val="001941EB"/>
    <w:rsid w:val="001948D6"/>
    <w:rsid w:val="0019497F"/>
    <w:rsid w:val="001976BA"/>
    <w:rsid w:val="001A0B78"/>
    <w:rsid w:val="001A0F29"/>
    <w:rsid w:val="001A1354"/>
    <w:rsid w:val="001A30FC"/>
    <w:rsid w:val="001A4850"/>
    <w:rsid w:val="001A51CA"/>
    <w:rsid w:val="001A5C08"/>
    <w:rsid w:val="001A61A6"/>
    <w:rsid w:val="001A67D1"/>
    <w:rsid w:val="001A7676"/>
    <w:rsid w:val="001A7D77"/>
    <w:rsid w:val="001A7FBE"/>
    <w:rsid w:val="001A883F"/>
    <w:rsid w:val="001B0750"/>
    <w:rsid w:val="001B08E8"/>
    <w:rsid w:val="001B11A5"/>
    <w:rsid w:val="001B1840"/>
    <w:rsid w:val="001B2207"/>
    <w:rsid w:val="001B35A1"/>
    <w:rsid w:val="001B3BB1"/>
    <w:rsid w:val="001B47B3"/>
    <w:rsid w:val="001B4F88"/>
    <w:rsid w:val="001B6A4F"/>
    <w:rsid w:val="001B6A62"/>
    <w:rsid w:val="001B7894"/>
    <w:rsid w:val="001B7AB5"/>
    <w:rsid w:val="001B7D12"/>
    <w:rsid w:val="001B7D2C"/>
    <w:rsid w:val="001C02E7"/>
    <w:rsid w:val="001C0327"/>
    <w:rsid w:val="001C1DB1"/>
    <w:rsid w:val="001C2C1B"/>
    <w:rsid w:val="001C3163"/>
    <w:rsid w:val="001C49E1"/>
    <w:rsid w:val="001C5755"/>
    <w:rsid w:val="001C6064"/>
    <w:rsid w:val="001C6436"/>
    <w:rsid w:val="001C7013"/>
    <w:rsid w:val="001D0004"/>
    <w:rsid w:val="001D0182"/>
    <w:rsid w:val="001D0C3B"/>
    <w:rsid w:val="001D0D12"/>
    <w:rsid w:val="001D1BBD"/>
    <w:rsid w:val="001D1CAF"/>
    <w:rsid w:val="001D1D48"/>
    <w:rsid w:val="001D2BE7"/>
    <w:rsid w:val="001D2DF3"/>
    <w:rsid w:val="001D310A"/>
    <w:rsid w:val="001D3A54"/>
    <w:rsid w:val="001D436D"/>
    <w:rsid w:val="001D457B"/>
    <w:rsid w:val="001D4E95"/>
    <w:rsid w:val="001D5278"/>
    <w:rsid w:val="001D5778"/>
    <w:rsid w:val="001D6763"/>
    <w:rsid w:val="001D68E7"/>
    <w:rsid w:val="001D6B1B"/>
    <w:rsid w:val="001E0794"/>
    <w:rsid w:val="001E12FC"/>
    <w:rsid w:val="001E140F"/>
    <w:rsid w:val="001E1CE9"/>
    <w:rsid w:val="001E27D8"/>
    <w:rsid w:val="001E32F3"/>
    <w:rsid w:val="001E32FE"/>
    <w:rsid w:val="001E356B"/>
    <w:rsid w:val="001E3A72"/>
    <w:rsid w:val="001E3B5B"/>
    <w:rsid w:val="001E3ED4"/>
    <w:rsid w:val="001E4931"/>
    <w:rsid w:val="001E497E"/>
    <w:rsid w:val="001E527E"/>
    <w:rsid w:val="001E5B60"/>
    <w:rsid w:val="001E662E"/>
    <w:rsid w:val="001E6C18"/>
    <w:rsid w:val="001E75FA"/>
    <w:rsid w:val="001E7F7E"/>
    <w:rsid w:val="001F011C"/>
    <w:rsid w:val="001F1023"/>
    <w:rsid w:val="001F1127"/>
    <w:rsid w:val="001F157F"/>
    <w:rsid w:val="001F2510"/>
    <w:rsid w:val="001F2A9E"/>
    <w:rsid w:val="001F2C62"/>
    <w:rsid w:val="001F41B5"/>
    <w:rsid w:val="001F4BCB"/>
    <w:rsid w:val="001F5AD7"/>
    <w:rsid w:val="001F6C43"/>
    <w:rsid w:val="001F7C9E"/>
    <w:rsid w:val="00200BCF"/>
    <w:rsid w:val="00200F5A"/>
    <w:rsid w:val="00201017"/>
    <w:rsid w:val="00202510"/>
    <w:rsid w:val="0020270D"/>
    <w:rsid w:val="00202F35"/>
    <w:rsid w:val="00203F3E"/>
    <w:rsid w:val="00204438"/>
    <w:rsid w:val="0020481F"/>
    <w:rsid w:val="00204B4A"/>
    <w:rsid w:val="00205BDF"/>
    <w:rsid w:val="002068F3"/>
    <w:rsid w:val="00207028"/>
    <w:rsid w:val="00210028"/>
    <w:rsid w:val="00210B22"/>
    <w:rsid w:val="00210BB9"/>
    <w:rsid w:val="00211159"/>
    <w:rsid w:val="00211430"/>
    <w:rsid w:val="0021158B"/>
    <w:rsid w:val="00213437"/>
    <w:rsid w:val="002134B5"/>
    <w:rsid w:val="00214776"/>
    <w:rsid w:val="002149F6"/>
    <w:rsid w:val="00216571"/>
    <w:rsid w:val="00217A42"/>
    <w:rsid w:val="00220A4D"/>
    <w:rsid w:val="00220B3D"/>
    <w:rsid w:val="0022346D"/>
    <w:rsid w:val="00223BFB"/>
    <w:rsid w:val="00223E3A"/>
    <w:rsid w:val="00225418"/>
    <w:rsid w:val="002256F3"/>
    <w:rsid w:val="00225844"/>
    <w:rsid w:val="00227080"/>
    <w:rsid w:val="00227596"/>
    <w:rsid w:val="00230564"/>
    <w:rsid w:val="00230B49"/>
    <w:rsid w:val="00230FF4"/>
    <w:rsid w:val="002316A6"/>
    <w:rsid w:val="00233794"/>
    <w:rsid w:val="00233A04"/>
    <w:rsid w:val="00233CBF"/>
    <w:rsid w:val="00234256"/>
    <w:rsid w:val="0023439C"/>
    <w:rsid w:val="00234D2C"/>
    <w:rsid w:val="00235197"/>
    <w:rsid w:val="00236729"/>
    <w:rsid w:val="00236E29"/>
    <w:rsid w:val="00240397"/>
    <w:rsid w:val="002404F9"/>
    <w:rsid w:val="002409FB"/>
    <w:rsid w:val="00240E5B"/>
    <w:rsid w:val="00240E66"/>
    <w:rsid w:val="0024173A"/>
    <w:rsid w:val="0024359B"/>
    <w:rsid w:val="00243D4E"/>
    <w:rsid w:val="00243F6A"/>
    <w:rsid w:val="00244F8C"/>
    <w:rsid w:val="00245150"/>
    <w:rsid w:val="002451A1"/>
    <w:rsid w:val="002454B2"/>
    <w:rsid w:val="0024565A"/>
    <w:rsid w:val="00245960"/>
    <w:rsid w:val="00245A67"/>
    <w:rsid w:val="002462EB"/>
    <w:rsid w:val="00246633"/>
    <w:rsid w:val="002472F1"/>
    <w:rsid w:val="0024767D"/>
    <w:rsid w:val="00247988"/>
    <w:rsid w:val="00251388"/>
    <w:rsid w:val="002514A3"/>
    <w:rsid w:val="00252280"/>
    <w:rsid w:val="00253A78"/>
    <w:rsid w:val="00254864"/>
    <w:rsid w:val="002559BF"/>
    <w:rsid w:val="00256348"/>
    <w:rsid w:val="00256775"/>
    <w:rsid w:val="002576BD"/>
    <w:rsid w:val="00257A7E"/>
    <w:rsid w:val="00257DFA"/>
    <w:rsid w:val="00257F05"/>
    <w:rsid w:val="00257FB9"/>
    <w:rsid w:val="00260104"/>
    <w:rsid w:val="0026070C"/>
    <w:rsid w:val="00260BB0"/>
    <w:rsid w:val="00261310"/>
    <w:rsid w:val="0026211B"/>
    <w:rsid w:val="00262600"/>
    <w:rsid w:val="00262DE9"/>
    <w:rsid w:val="00262E7E"/>
    <w:rsid w:val="00262ECD"/>
    <w:rsid w:val="0026452B"/>
    <w:rsid w:val="002646D2"/>
    <w:rsid w:val="00264A47"/>
    <w:rsid w:val="0026544D"/>
    <w:rsid w:val="00266174"/>
    <w:rsid w:val="002662BF"/>
    <w:rsid w:val="002666A1"/>
    <w:rsid w:val="002669AC"/>
    <w:rsid w:val="00266BC5"/>
    <w:rsid w:val="00266C9B"/>
    <w:rsid w:val="0026730E"/>
    <w:rsid w:val="00267521"/>
    <w:rsid w:val="00267569"/>
    <w:rsid w:val="00267CA2"/>
    <w:rsid w:val="00267F61"/>
    <w:rsid w:val="00270BC2"/>
    <w:rsid w:val="0027138E"/>
    <w:rsid w:val="00271759"/>
    <w:rsid w:val="00271D34"/>
    <w:rsid w:val="00271E12"/>
    <w:rsid w:val="0027201A"/>
    <w:rsid w:val="0027227E"/>
    <w:rsid w:val="0027321E"/>
    <w:rsid w:val="00273255"/>
    <w:rsid w:val="00273F6E"/>
    <w:rsid w:val="00274FFE"/>
    <w:rsid w:val="00275E27"/>
    <w:rsid w:val="002768E4"/>
    <w:rsid w:val="00276A7A"/>
    <w:rsid w:val="002800BD"/>
    <w:rsid w:val="00280B9C"/>
    <w:rsid w:val="00281033"/>
    <w:rsid w:val="00281C4A"/>
    <w:rsid w:val="00282098"/>
    <w:rsid w:val="00282EF2"/>
    <w:rsid w:val="00283455"/>
    <w:rsid w:val="0028396F"/>
    <w:rsid w:val="00283B90"/>
    <w:rsid w:val="00283F7E"/>
    <w:rsid w:val="0028441A"/>
    <w:rsid w:val="00284C4A"/>
    <w:rsid w:val="00284EF5"/>
    <w:rsid w:val="0028559D"/>
    <w:rsid w:val="00285C90"/>
    <w:rsid w:val="00286523"/>
    <w:rsid w:val="00287480"/>
    <w:rsid w:val="002903FF"/>
    <w:rsid w:val="00290755"/>
    <w:rsid w:val="00290C3C"/>
    <w:rsid w:val="0029166C"/>
    <w:rsid w:val="00291DE2"/>
    <w:rsid w:val="0029219F"/>
    <w:rsid w:val="002921DF"/>
    <w:rsid w:val="002931BB"/>
    <w:rsid w:val="00294579"/>
    <w:rsid w:val="00295A2A"/>
    <w:rsid w:val="00295BF6"/>
    <w:rsid w:val="002968DF"/>
    <w:rsid w:val="00296D7A"/>
    <w:rsid w:val="00296E95"/>
    <w:rsid w:val="0029740A"/>
    <w:rsid w:val="002977A0"/>
    <w:rsid w:val="002A04F3"/>
    <w:rsid w:val="002A0588"/>
    <w:rsid w:val="002A1490"/>
    <w:rsid w:val="002A15BA"/>
    <w:rsid w:val="002A19E0"/>
    <w:rsid w:val="002A1E3F"/>
    <w:rsid w:val="002A2093"/>
    <w:rsid w:val="002A372F"/>
    <w:rsid w:val="002A4FBC"/>
    <w:rsid w:val="002A542F"/>
    <w:rsid w:val="002A54FC"/>
    <w:rsid w:val="002A5D99"/>
    <w:rsid w:val="002A5DF2"/>
    <w:rsid w:val="002A696A"/>
    <w:rsid w:val="002A698C"/>
    <w:rsid w:val="002A6BFE"/>
    <w:rsid w:val="002A7548"/>
    <w:rsid w:val="002A7554"/>
    <w:rsid w:val="002A755B"/>
    <w:rsid w:val="002B0081"/>
    <w:rsid w:val="002B16E3"/>
    <w:rsid w:val="002B1742"/>
    <w:rsid w:val="002B1D88"/>
    <w:rsid w:val="002B1D99"/>
    <w:rsid w:val="002B2BD7"/>
    <w:rsid w:val="002B3442"/>
    <w:rsid w:val="002B3B31"/>
    <w:rsid w:val="002B3B93"/>
    <w:rsid w:val="002B48AA"/>
    <w:rsid w:val="002B6BED"/>
    <w:rsid w:val="002B6C9E"/>
    <w:rsid w:val="002B6F40"/>
    <w:rsid w:val="002C0E26"/>
    <w:rsid w:val="002C1937"/>
    <w:rsid w:val="002C1F6F"/>
    <w:rsid w:val="002C3ED5"/>
    <w:rsid w:val="002C4086"/>
    <w:rsid w:val="002C41B2"/>
    <w:rsid w:val="002C42F5"/>
    <w:rsid w:val="002C5AA0"/>
    <w:rsid w:val="002C5CE5"/>
    <w:rsid w:val="002C726F"/>
    <w:rsid w:val="002C7474"/>
    <w:rsid w:val="002C7671"/>
    <w:rsid w:val="002C77B3"/>
    <w:rsid w:val="002C79C2"/>
    <w:rsid w:val="002D0348"/>
    <w:rsid w:val="002D147A"/>
    <w:rsid w:val="002D2889"/>
    <w:rsid w:val="002D3311"/>
    <w:rsid w:val="002D45BF"/>
    <w:rsid w:val="002D5AD7"/>
    <w:rsid w:val="002D5F99"/>
    <w:rsid w:val="002D6054"/>
    <w:rsid w:val="002D6E67"/>
    <w:rsid w:val="002E053C"/>
    <w:rsid w:val="002E0DFE"/>
    <w:rsid w:val="002E14E7"/>
    <w:rsid w:val="002E2A04"/>
    <w:rsid w:val="002E3C9D"/>
    <w:rsid w:val="002E422B"/>
    <w:rsid w:val="002E47D9"/>
    <w:rsid w:val="002E4C6A"/>
    <w:rsid w:val="002E6209"/>
    <w:rsid w:val="002E74E4"/>
    <w:rsid w:val="002E7FCE"/>
    <w:rsid w:val="002F148E"/>
    <w:rsid w:val="002F1608"/>
    <w:rsid w:val="002F160D"/>
    <w:rsid w:val="002F1641"/>
    <w:rsid w:val="002F1C71"/>
    <w:rsid w:val="002F1F2B"/>
    <w:rsid w:val="002F206C"/>
    <w:rsid w:val="002F2214"/>
    <w:rsid w:val="002F26FD"/>
    <w:rsid w:val="002F3D38"/>
    <w:rsid w:val="002F4BDD"/>
    <w:rsid w:val="002F68D5"/>
    <w:rsid w:val="002F6A5E"/>
    <w:rsid w:val="00300681"/>
    <w:rsid w:val="00300AEB"/>
    <w:rsid w:val="00301DF9"/>
    <w:rsid w:val="00301E29"/>
    <w:rsid w:val="003037F4"/>
    <w:rsid w:val="003045A9"/>
    <w:rsid w:val="00304722"/>
    <w:rsid w:val="00305074"/>
    <w:rsid w:val="00305B22"/>
    <w:rsid w:val="00305B5A"/>
    <w:rsid w:val="00305C28"/>
    <w:rsid w:val="00307D79"/>
    <w:rsid w:val="00310729"/>
    <w:rsid w:val="00310ACC"/>
    <w:rsid w:val="00311914"/>
    <w:rsid w:val="00311E2C"/>
    <w:rsid w:val="00312270"/>
    <w:rsid w:val="003127CC"/>
    <w:rsid w:val="003127D1"/>
    <w:rsid w:val="00312BD6"/>
    <w:rsid w:val="00313005"/>
    <w:rsid w:val="0031318A"/>
    <w:rsid w:val="003139B6"/>
    <w:rsid w:val="00313D95"/>
    <w:rsid w:val="003143AE"/>
    <w:rsid w:val="00314A29"/>
    <w:rsid w:val="00314C51"/>
    <w:rsid w:val="0031531A"/>
    <w:rsid w:val="003157E1"/>
    <w:rsid w:val="003158BD"/>
    <w:rsid w:val="0031623C"/>
    <w:rsid w:val="003164D8"/>
    <w:rsid w:val="00316DB0"/>
    <w:rsid w:val="0031781F"/>
    <w:rsid w:val="00317C6E"/>
    <w:rsid w:val="0032177F"/>
    <w:rsid w:val="0032195D"/>
    <w:rsid w:val="00321CCD"/>
    <w:rsid w:val="003229B0"/>
    <w:rsid w:val="00323461"/>
    <w:rsid w:val="00324F78"/>
    <w:rsid w:val="003256CC"/>
    <w:rsid w:val="003257F7"/>
    <w:rsid w:val="00325AEA"/>
    <w:rsid w:val="00326279"/>
    <w:rsid w:val="00326C98"/>
    <w:rsid w:val="00327474"/>
    <w:rsid w:val="0033017B"/>
    <w:rsid w:val="00330A32"/>
    <w:rsid w:val="00331191"/>
    <w:rsid w:val="003322FF"/>
    <w:rsid w:val="00332CD3"/>
    <w:rsid w:val="0033353B"/>
    <w:rsid w:val="003339BD"/>
    <w:rsid w:val="003339EE"/>
    <w:rsid w:val="003345CB"/>
    <w:rsid w:val="00334861"/>
    <w:rsid w:val="00334F9B"/>
    <w:rsid w:val="003351AB"/>
    <w:rsid w:val="0033554C"/>
    <w:rsid w:val="003358BD"/>
    <w:rsid w:val="003369F3"/>
    <w:rsid w:val="00336D26"/>
    <w:rsid w:val="003371DF"/>
    <w:rsid w:val="00337A96"/>
    <w:rsid w:val="00340228"/>
    <w:rsid w:val="00340A18"/>
    <w:rsid w:val="00341209"/>
    <w:rsid w:val="00341B39"/>
    <w:rsid w:val="00341D0D"/>
    <w:rsid w:val="00342394"/>
    <w:rsid w:val="003423B3"/>
    <w:rsid w:val="0034254D"/>
    <w:rsid w:val="00342FA4"/>
    <w:rsid w:val="00343673"/>
    <w:rsid w:val="00343F96"/>
    <w:rsid w:val="003447C1"/>
    <w:rsid w:val="00344E6B"/>
    <w:rsid w:val="003453D7"/>
    <w:rsid w:val="003466DD"/>
    <w:rsid w:val="00347F0E"/>
    <w:rsid w:val="00350916"/>
    <w:rsid w:val="00351667"/>
    <w:rsid w:val="00352A35"/>
    <w:rsid w:val="00353884"/>
    <w:rsid w:val="00353C8C"/>
    <w:rsid w:val="0035412C"/>
    <w:rsid w:val="00354178"/>
    <w:rsid w:val="00355906"/>
    <w:rsid w:val="00355EDD"/>
    <w:rsid w:val="00355FA2"/>
    <w:rsid w:val="00357024"/>
    <w:rsid w:val="0036295D"/>
    <w:rsid w:val="00363194"/>
    <w:rsid w:val="00363230"/>
    <w:rsid w:val="0036395E"/>
    <w:rsid w:val="003647D1"/>
    <w:rsid w:val="00364AD6"/>
    <w:rsid w:val="00365A93"/>
    <w:rsid w:val="00365F46"/>
    <w:rsid w:val="003660A6"/>
    <w:rsid w:val="0036620C"/>
    <w:rsid w:val="00367008"/>
    <w:rsid w:val="0036713F"/>
    <w:rsid w:val="00367403"/>
    <w:rsid w:val="00367E90"/>
    <w:rsid w:val="00370102"/>
    <w:rsid w:val="00370F4C"/>
    <w:rsid w:val="00371C4E"/>
    <w:rsid w:val="00372118"/>
    <w:rsid w:val="00373AB2"/>
    <w:rsid w:val="00373B9A"/>
    <w:rsid w:val="0037467A"/>
    <w:rsid w:val="00375074"/>
    <w:rsid w:val="003758C5"/>
    <w:rsid w:val="00375F81"/>
    <w:rsid w:val="003763CC"/>
    <w:rsid w:val="00377241"/>
    <w:rsid w:val="003777E1"/>
    <w:rsid w:val="00377933"/>
    <w:rsid w:val="00377CCD"/>
    <w:rsid w:val="00380032"/>
    <w:rsid w:val="0038082F"/>
    <w:rsid w:val="0038120A"/>
    <w:rsid w:val="00381792"/>
    <w:rsid w:val="003818B8"/>
    <w:rsid w:val="00381EEC"/>
    <w:rsid w:val="003821C0"/>
    <w:rsid w:val="003828A1"/>
    <w:rsid w:val="00383170"/>
    <w:rsid w:val="0038337F"/>
    <w:rsid w:val="003861C0"/>
    <w:rsid w:val="00390345"/>
    <w:rsid w:val="003905C0"/>
    <w:rsid w:val="00391422"/>
    <w:rsid w:val="003917A8"/>
    <w:rsid w:val="003932E6"/>
    <w:rsid w:val="00393B43"/>
    <w:rsid w:val="003947FC"/>
    <w:rsid w:val="00394EB6"/>
    <w:rsid w:val="00395358"/>
    <w:rsid w:val="00395889"/>
    <w:rsid w:val="0039626C"/>
    <w:rsid w:val="003965D6"/>
    <w:rsid w:val="00397FB4"/>
    <w:rsid w:val="003A0A4D"/>
    <w:rsid w:val="003A2E42"/>
    <w:rsid w:val="003A3570"/>
    <w:rsid w:val="003A39D9"/>
    <w:rsid w:val="003A3B54"/>
    <w:rsid w:val="003A4261"/>
    <w:rsid w:val="003A43A7"/>
    <w:rsid w:val="003A45B5"/>
    <w:rsid w:val="003A5503"/>
    <w:rsid w:val="003A5627"/>
    <w:rsid w:val="003A563B"/>
    <w:rsid w:val="003A5C61"/>
    <w:rsid w:val="003A60B2"/>
    <w:rsid w:val="003A691B"/>
    <w:rsid w:val="003A6A03"/>
    <w:rsid w:val="003B0D59"/>
    <w:rsid w:val="003B0F1E"/>
    <w:rsid w:val="003B25A3"/>
    <w:rsid w:val="003B29E7"/>
    <w:rsid w:val="003B2A39"/>
    <w:rsid w:val="003B4281"/>
    <w:rsid w:val="003B4AE6"/>
    <w:rsid w:val="003B4D6E"/>
    <w:rsid w:val="003B546E"/>
    <w:rsid w:val="003B588F"/>
    <w:rsid w:val="003B5A08"/>
    <w:rsid w:val="003B64D9"/>
    <w:rsid w:val="003B714D"/>
    <w:rsid w:val="003B7F70"/>
    <w:rsid w:val="003C0194"/>
    <w:rsid w:val="003C1005"/>
    <w:rsid w:val="003C159D"/>
    <w:rsid w:val="003C15BA"/>
    <w:rsid w:val="003C1E82"/>
    <w:rsid w:val="003C37CC"/>
    <w:rsid w:val="003C4B28"/>
    <w:rsid w:val="003C4E3B"/>
    <w:rsid w:val="003C4E53"/>
    <w:rsid w:val="003C5300"/>
    <w:rsid w:val="003C5406"/>
    <w:rsid w:val="003C580C"/>
    <w:rsid w:val="003C582F"/>
    <w:rsid w:val="003C640A"/>
    <w:rsid w:val="003C6643"/>
    <w:rsid w:val="003C6874"/>
    <w:rsid w:val="003C6A27"/>
    <w:rsid w:val="003C6E8E"/>
    <w:rsid w:val="003C6FB1"/>
    <w:rsid w:val="003C7728"/>
    <w:rsid w:val="003D01E5"/>
    <w:rsid w:val="003D1D53"/>
    <w:rsid w:val="003D246C"/>
    <w:rsid w:val="003D2647"/>
    <w:rsid w:val="003D2E34"/>
    <w:rsid w:val="003D2F6D"/>
    <w:rsid w:val="003D384C"/>
    <w:rsid w:val="003D422C"/>
    <w:rsid w:val="003D42E2"/>
    <w:rsid w:val="003D4541"/>
    <w:rsid w:val="003D47D7"/>
    <w:rsid w:val="003D503B"/>
    <w:rsid w:val="003D52D5"/>
    <w:rsid w:val="003D547C"/>
    <w:rsid w:val="003D5D9B"/>
    <w:rsid w:val="003D659E"/>
    <w:rsid w:val="003D694F"/>
    <w:rsid w:val="003E00C4"/>
    <w:rsid w:val="003E0292"/>
    <w:rsid w:val="003E029F"/>
    <w:rsid w:val="003E0B23"/>
    <w:rsid w:val="003E1203"/>
    <w:rsid w:val="003E170C"/>
    <w:rsid w:val="003E2F58"/>
    <w:rsid w:val="003E330A"/>
    <w:rsid w:val="003E3F79"/>
    <w:rsid w:val="003E4B02"/>
    <w:rsid w:val="003E4FE6"/>
    <w:rsid w:val="003E6361"/>
    <w:rsid w:val="003E66DB"/>
    <w:rsid w:val="003E6F5A"/>
    <w:rsid w:val="003E7B2F"/>
    <w:rsid w:val="003E7D44"/>
    <w:rsid w:val="003F02CC"/>
    <w:rsid w:val="003F1594"/>
    <w:rsid w:val="003F1BE8"/>
    <w:rsid w:val="003F2516"/>
    <w:rsid w:val="003F2E3C"/>
    <w:rsid w:val="003F3835"/>
    <w:rsid w:val="003F3B4C"/>
    <w:rsid w:val="003F43E3"/>
    <w:rsid w:val="003F4C07"/>
    <w:rsid w:val="003F5B3C"/>
    <w:rsid w:val="003F6CBE"/>
    <w:rsid w:val="003F7924"/>
    <w:rsid w:val="0040144B"/>
    <w:rsid w:val="004018B7"/>
    <w:rsid w:val="00401B4F"/>
    <w:rsid w:val="0040246A"/>
    <w:rsid w:val="0040254C"/>
    <w:rsid w:val="0040260A"/>
    <w:rsid w:val="00404170"/>
    <w:rsid w:val="0040496B"/>
    <w:rsid w:val="00405756"/>
    <w:rsid w:val="00405E04"/>
    <w:rsid w:val="00405EA7"/>
    <w:rsid w:val="00405FB5"/>
    <w:rsid w:val="00406707"/>
    <w:rsid w:val="00407E5A"/>
    <w:rsid w:val="00410E47"/>
    <w:rsid w:val="0041107B"/>
    <w:rsid w:val="00412322"/>
    <w:rsid w:val="0041248E"/>
    <w:rsid w:val="004129A4"/>
    <w:rsid w:val="004140C5"/>
    <w:rsid w:val="004142EC"/>
    <w:rsid w:val="00414350"/>
    <w:rsid w:val="00414449"/>
    <w:rsid w:val="00414C76"/>
    <w:rsid w:val="00414EC3"/>
    <w:rsid w:val="00414F11"/>
    <w:rsid w:val="00415843"/>
    <w:rsid w:val="00416AF8"/>
    <w:rsid w:val="00417284"/>
    <w:rsid w:val="00417355"/>
    <w:rsid w:val="00417B50"/>
    <w:rsid w:val="004209E7"/>
    <w:rsid w:val="00421F48"/>
    <w:rsid w:val="00423331"/>
    <w:rsid w:val="00423B21"/>
    <w:rsid w:val="00426620"/>
    <w:rsid w:val="0042706A"/>
    <w:rsid w:val="004271AD"/>
    <w:rsid w:val="004274C0"/>
    <w:rsid w:val="004276A4"/>
    <w:rsid w:val="0043023B"/>
    <w:rsid w:val="00431604"/>
    <w:rsid w:val="00431A96"/>
    <w:rsid w:val="004326C7"/>
    <w:rsid w:val="00432884"/>
    <w:rsid w:val="00433F54"/>
    <w:rsid w:val="00434235"/>
    <w:rsid w:val="00434ED1"/>
    <w:rsid w:val="00435198"/>
    <w:rsid w:val="0043588B"/>
    <w:rsid w:val="00435F4B"/>
    <w:rsid w:val="00436192"/>
    <w:rsid w:val="00436B62"/>
    <w:rsid w:val="00436E46"/>
    <w:rsid w:val="00436F67"/>
    <w:rsid w:val="00436F6B"/>
    <w:rsid w:val="00437DE5"/>
    <w:rsid w:val="004405B1"/>
    <w:rsid w:val="00440BA5"/>
    <w:rsid w:val="00441947"/>
    <w:rsid w:val="00442315"/>
    <w:rsid w:val="0044329C"/>
    <w:rsid w:val="00443669"/>
    <w:rsid w:val="004439D4"/>
    <w:rsid w:val="004440BA"/>
    <w:rsid w:val="004442FE"/>
    <w:rsid w:val="00444530"/>
    <w:rsid w:val="004447DA"/>
    <w:rsid w:val="00444F3E"/>
    <w:rsid w:val="00445135"/>
    <w:rsid w:val="00446684"/>
    <w:rsid w:val="00446C3B"/>
    <w:rsid w:val="004472FF"/>
    <w:rsid w:val="00447BDC"/>
    <w:rsid w:val="00450E5B"/>
    <w:rsid w:val="004524DE"/>
    <w:rsid w:val="00452D90"/>
    <w:rsid w:val="00453CC7"/>
    <w:rsid w:val="00454050"/>
    <w:rsid w:val="00454B78"/>
    <w:rsid w:val="00454E4C"/>
    <w:rsid w:val="004552B0"/>
    <w:rsid w:val="004564D3"/>
    <w:rsid w:val="004564F1"/>
    <w:rsid w:val="00456841"/>
    <w:rsid w:val="00457DB5"/>
    <w:rsid w:val="00460BA3"/>
    <w:rsid w:val="00460D75"/>
    <w:rsid w:val="00461849"/>
    <w:rsid w:val="00462C07"/>
    <w:rsid w:val="00462CE8"/>
    <w:rsid w:val="004635AE"/>
    <w:rsid w:val="00463B92"/>
    <w:rsid w:val="00463D67"/>
    <w:rsid w:val="004642FF"/>
    <w:rsid w:val="00464C52"/>
    <w:rsid w:val="004650A7"/>
    <w:rsid w:val="0046510B"/>
    <w:rsid w:val="00465573"/>
    <w:rsid w:val="0046616D"/>
    <w:rsid w:val="004667A2"/>
    <w:rsid w:val="00470F51"/>
    <w:rsid w:val="00473299"/>
    <w:rsid w:val="0047378B"/>
    <w:rsid w:val="00473C48"/>
    <w:rsid w:val="00473FB3"/>
    <w:rsid w:val="0047497A"/>
    <w:rsid w:val="0047504B"/>
    <w:rsid w:val="004763C9"/>
    <w:rsid w:val="00480102"/>
    <w:rsid w:val="00480B0F"/>
    <w:rsid w:val="00481456"/>
    <w:rsid w:val="004814B0"/>
    <w:rsid w:val="00481975"/>
    <w:rsid w:val="00481A45"/>
    <w:rsid w:val="00482F53"/>
    <w:rsid w:val="00484025"/>
    <w:rsid w:val="00484FAE"/>
    <w:rsid w:val="00486788"/>
    <w:rsid w:val="004876B0"/>
    <w:rsid w:val="0048793F"/>
    <w:rsid w:val="00487C76"/>
    <w:rsid w:val="0049086C"/>
    <w:rsid w:val="004919EE"/>
    <w:rsid w:val="00491BDC"/>
    <w:rsid w:val="0049287F"/>
    <w:rsid w:val="0049352D"/>
    <w:rsid w:val="004940B2"/>
    <w:rsid w:val="00495642"/>
    <w:rsid w:val="00495CA6"/>
    <w:rsid w:val="00496BFB"/>
    <w:rsid w:val="00496DDB"/>
    <w:rsid w:val="00497376"/>
    <w:rsid w:val="00497605"/>
    <w:rsid w:val="00497C54"/>
    <w:rsid w:val="004A0128"/>
    <w:rsid w:val="004A0FF9"/>
    <w:rsid w:val="004A10D4"/>
    <w:rsid w:val="004A1267"/>
    <w:rsid w:val="004A38E1"/>
    <w:rsid w:val="004A3B1E"/>
    <w:rsid w:val="004A409E"/>
    <w:rsid w:val="004A47C5"/>
    <w:rsid w:val="004A5A87"/>
    <w:rsid w:val="004B031F"/>
    <w:rsid w:val="004B0C3C"/>
    <w:rsid w:val="004B36C2"/>
    <w:rsid w:val="004B43D5"/>
    <w:rsid w:val="004B46CE"/>
    <w:rsid w:val="004B5455"/>
    <w:rsid w:val="004B5599"/>
    <w:rsid w:val="004B571F"/>
    <w:rsid w:val="004B63D8"/>
    <w:rsid w:val="004B6D81"/>
    <w:rsid w:val="004B7043"/>
    <w:rsid w:val="004B790C"/>
    <w:rsid w:val="004B792F"/>
    <w:rsid w:val="004C001F"/>
    <w:rsid w:val="004C0D0C"/>
    <w:rsid w:val="004C0D27"/>
    <w:rsid w:val="004C1E4B"/>
    <w:rsid w:val="004C211F"/>
    <w:rsid w:val="004C2758"/>
    <w:rsid w:val="004C3EDE"/>
    <w:rsid w:val="004C56A6"/>
    <w:rsid w:val="004C5ADA"/>
    <w:rsid w:val="004C6097"/>
    <w:rsid w:val="004C6AAE"/>
    <w:rsid w:val="004C72A7"/>
    <w:rsid w:val="004C72F4"/>
    <w:rsid w:val="004C7543"/>
    <w:rsid w:val="004C765A"/>
    <w:rsid w:val="004D0FED"/>
    <w:rsid w:val="004D2EA0"/>
    <w:rsid w:val="004D350C"/>
    <w:rsid w:val="004D4F8A"/>
    <w:rsid w:val="004D594B"/>
    <w:rsid w:val="004D623F"/>
    <w:rsid w:val="004D6B8A"/>
    <w:rsid w:val="004E048C"/>
    <w:rsid w:val="004E0EC7"/>
    <w:rsid w:val="004E16A1"/>
    <w:rsid w:val="004E186C"/>
    <w:rsid w:val="004E23BB"/>
    <w:rsid w:val="004E2BB3"/>
    <w:rsid w:val="004E352F"/>
    <w:rsid w:val="004E391E"/>
    <w:rsid w:val="004E4FDF"/>
    <w:rsid w:val="004E51CE"/>
    <w:rsid w:val="004E568D"/>
    <w:rsid w:val="004F00F6"/>
    <w:rsid w:val="004F01CF"/>
    <w:rsid w:val="004F0553"/>
    <w:rsid w:val="004F1B0E"/>
    <w:rsid w:val="004F1EF5"/>
    <w:rsid w:val="004F22B0"/>
    <w:rsid w:val="004F2776"/>
    <w:rsid w:val="004F4000"/>
    <w:rsid w:val="004F4121"/>
    <w:rsid w:val="004F478C"/>
    <w:rsid w:val="004F4978"/>
    <w:rsid w:val="004F5A7B"/>
    <w:rsid w:val="004F5EF6"/>
    <w:rsid w:val="004F60D6"/>
    <w:rsid w:val="004F72BC"/>
    <w:rsid w:val="0050003A"/>
    <w:rsid w:val="005016ED"/>
    <w:rsid w:val="0050175C"/>
    <w:rsid w:val="00502156"/>
    <w:rsid w:val="005023B5"/>
    <w:rsid w:val="00502A72"/>
    <w:rsid w:val="00502EF5"/>
    <w:rsid w:val="005046AB"/>
    <w:rsid w:val="005049D3"/>
    <w:rsid w:val="00504C6C"/>
    <w:rsid w:val="00505056"/>
    <w:rsid w:val="00505BA9"/>
    <w:rsid w:val="00506130"/>
    <w:rsid w:val="00506DA1"/>
    <w:rsid w:val="00506DB1"/>
    <w:rsid w:val="00507CB7"/>
    <w:rsid w:val="00507E59"/>
    <w:rsid w:val="005113DD"/>
    <w:rsid w:val="0051200C"/>
    <w:rsid w:val="0051274A"/>
    <w:rsid w:val="00512F85"/>
    <w:rsid w:val="0051301F"/>
    <w:rsid w:val="00513389"/>
    <w:rsid w:val="00513AF0"/>
    <w:rsid w:val="005142F3"/>
    <w:rsid w:val="00515574"/>
    <w:rsid w:val="00515764"/>
    <w:rsid w:val="00515DC0"/>
    <w:rsid w:val="00520F8A"/>
    <w:rsid w:val="005216F9"/>
    <w:rsid w:val="005219CA"/>
    <w:rsid w:val="00521D59"/>
    <w:rsid w:val="00522E70"/>
    <w:rsid w:val="0052302F"/>
    <w:rsid w:val="00523754"/>
    <w:rsid w:val="0052382F"/>
    <w:rsid w:val="00524D39"/>
    <w:rsid w:val="00524F81"/>
    <w:rsid w:val="00525365"/>
    <w:rsid w:val="00525422"/>
    <w:rsid w:val="005265A9"/>
    <w:rsid w:val="005267AD"/>
    <w:rsid w:val="00526ED5"/>
    <w:rsid w:val="00527D41"/>
    <w:rsid w:val="00530115"/>
    <w:rsid w:val="00530575"/>
    <w:rsid w:val="00530B6A"/>
    <w:rsid w:val="0053320B"/>
    <w:rsid w:val="00533E64"/>
    <w:rsid w:val="00534143"/>
    <w:rsid w:val="005352AE"/>
    <w:rsid w:val="005360E8"/>
    <w:rsid w:val="0053640A"/>
    <w:rsid w:val="00536C74"/>
    <w:rsid w:val="0053710B"/>
    <w:rsid w:val="005373EE"/>
    <w:rsid w:val="00537729"/>
    <w:rsid w:val="00537E9F"/>
    <w:rsid w:val="00541569"/>
    <w:rsid w:val="005425E3"/>
    <w:rsid w:val="005436CE"/>
    <w:rsid w:val="00543E4A"/>
    <w:rsid w:val="00545082"/>
    <w:rsid w:val="0054630D"/>
    <w:rsid w:val="00546B67"/>
    <w:rsid w:val="00547F69"/>
    <w:rsid w:val="005503AA"/>
    <w:rsid w:val="00550D3E"/>
    <w:rsid w:val="0055179C"/>
    <w:rsid w:val="0055277E"/>
    <w:rsid w:val="005527ED"/>
    <w:rsid w:val="00552C11"/>
    <w:rsid w:val="00552E74"/>
    <w:rsid w:val="0055374A"/>
    <w:rsid w:val="00553B76"/>
    <w:rsid w:val="00553C93"/>
    <w:rsid w:val="005574D0"/>
    <w:rsid w:val="005600EF"/>
    <w:rsid w:val="005601D5"/>
    <w:rsid w:val="00560EB6"/>
    <w:rsid w:val="00560FD2"/>
    <w:rsid w:val="005625CD"/>
    <w:rsid w:val="0056285C"/>
    <w:rsid w:val="00562DB8"/>
    <w:rsid w:val="005631A0"/>
    <w:rsid w:val="00563867"/>
    <w:rsid w:val="00563ADE"/>
    <w:rsid w:val="00564195"/>
    <w:rsid w:val="005647D3"/>
    <w:rsid w:val="005647EB"/>
    <w:rsid w:val="00564A4D"/>
    <w:rsid w:val="00564B1A"/>
    <w:rsid w:val="0056503D"/>
    <w:rsid w:val="0056571C"/>
    <w:rsid w:val="005658DD"/>
    <w:rsid w:val="0056595B"/>
    <w:rsid w:val="005663CD"/>
    <w:rsid w:val="00566752"/>
    <w:rsid w:val="00567944"/>
    <w:rsid w:val="00567E3A"/>
    <w:rsid w:val="0057168A"/>
    <w:rsid w:val="00571DD2"/>
    <w:rsid w:val="00571EF7"/>
    <w:rsid w:val="005735D5"/>
    <w:rsid w:val="00574057"/>
    <w:rsid w:val="0057421B"/>
    <w:rsid w:val="00574707"/>
    <w:rsid w:val="00574841"/>
    <w:rsid w:val="0057494D"/>
    <w:rsid w:val="00575904"/>
    <w:rsid w:val="00576AAB"/>
    <w:rsid w:val="00576D2C"/>
    <w:rsid w:val="005808CA"/>
    <w:rsid w:val="00581108"/>
    <w:rsid w:val="0058146D"/>
    <w:rsid w:val="00582898"/>
    <w:rsid w:val="00583061"/>
    <w:rsid w:val="005845F4"/>
    <w:rsid w:val="0058488E"/>
    <w:rsid w:val="00585095"/>
    <w:rsid w:val="0058607A"/>
    <w:rsid w:val="00586117"/>
    <w:rsid w:val="00586C67"/>
    <w:rsid w:val="005875A4"/>
    <w:rsid w:val="005901D8"/>
    <w:rsid w:val="00590847"/>
    <w:rsid w:val="00590B9B"/>
    <w:rsid w:val="00591452"/>
    <w:rsid w:val="0059242A"/>
    <w:rsid w:val="00592564"/>
    <w:rsid w:val="0059293C"/>
    <w:rsid w:val="00592F6F"/>
    <w:rsid w:val="00593179"/>
    <w:rsid w:val="005933FB"/>
    <w:rsid w:val="00593D38"/>
    <w:rsid w:val="00594CB5"/>
    <w:rsid w:val="005953A5"/>
    <w:rsid w:val="0059569A"/>
    <w:rsid w:val="005958F0"/>
    <w:rsid w:val="00596088"/>
    <w:rsid w:val="0059649C"/>
    <w:rsid w:val="00596B5D"/>
    <w:rsid w:val="00597715"/>
    <w:rsid w:val="005977FB"/>
    <w:rsid w:val="00597DC7"/>
    <w:rsid w:val="00597F21"/>
    <w:rsid w:val="005A27AB"/>
    <w:rsid w:val="005A285A"/>
    <w:rsid w:val="005A2C84"/>
    <w:rsid w:val="005A370B"/>
    <w:rsid w:val="005A4194"/>
    <w:rsid w:val="005A439C"/>
    <w:rsid w:val="005A43AD"/>
    <w:rsid w:val="005A4B4B"/>
    <w:rsid w:val="005A510A"/>
    <w:rsid w:val="005A53DE"/>
    <w:rsid w:val="005A5594"/>
    <w:rsid w:val="005A5DFB"/>
    <w:rsid w:val="005A5F77"/>
    <w:rsid w:val="005A62F5"/>
    <w:rsid w:val="005A7AB8"/>
    <w:rsid w:val="005A7FE8"/>
    <w:rsid w:val="005B22A7"/>
    <w:rsid w:val="005B3070"/>
    <w:rsid w:val="005B341C"/>
    <w:rsid w:val="005B35EF"/>
    <w:rsid w:val="005B402C"/>
    <w:rsid w:val="005B42FD"/>
    <w:rsid w:val="005B5AB5"/>
    <w:rsid w:val="005B5B23"/>
    <w:rsid w:val="005B75C3"/>
    <w:rsid w:val="005B784D"/>
    <w:rsid w:val="005C10B4"/>
    <w:rsid w:val="005C171B"/>
    <w:rsid w:val="005C1FA4"/>
    <w:rsid w:val="005C22A7"/>
    <w:rsid w:val="005C23DF"/>
    <w:rsid w:val="005C2724"/>
    <w:rsid w:val="005C365C"/>
    <w:rsid w:val="005C4C36"/>
    <w:rsid w:val="005C57EF"/>
    <w:rsid w:val="005C588A"/>
    <w:rsid w:val="005C630E"/>
    <w:rsid w:val="005C680C"/>
    <w:rsid w:val="005C736E"/>
    <w:rsid w:val="005C73DC"/>
    <w:rsid w:val="005C7711"/>
    <w:rsid w:val="005C7862"/>
    <w:rsid w:val="005C7B7B"/>
    <w:rsid w:val="005C7C0D"/>
    <w:rsid w:val="005D0912"/>
    <w:rsid w:val="005D0CE7"/>
    <w:rsid w:val="005D1FE6"/>
    <w:rsid w:val="005D2C99"/>
    <w:rsid w:val="005D2DD2"/>
    <w:rsid w:val="005D3040"/>
    <w:rsid w:val="005D3253"/>
    <w:rsid w:val="005D37C4"/>
    <w:rsid w:val="005D397F"/>
    <w:rsid w:val="005D39A0"/>
    <w:rsid w:val="005D4029"/>
    <w:rsid w:val="005D4588"/>
    <w:rsid w:val="005D4B38"/>
    <w:rsid w:val="005D4D7A"/>
    <w:rsid w:val="005D5108"/>
    <w:rsid w:val="005D73A7"/>
    <w:rsid w:val="005D7758"/>
    <w:rsid w:val="005D7A93"/>
    <w:rsid w:val="005E0AF4"/>
    <w:rsid w:val="005E10EA"/>
    <w:rsid w:val="005E237E"/>
    <w:rsid w:val="005E2471"/>
    <w:rsid w:val="005E29E8"/>
    <w:rsid w:val="005E2A92"/>
    <w:rsid w:val="005E2C38"/>
    <w:rsid w:val="005E3402"/>
    <w:rsid w:val="005E4112"/>
    <w:rsid w:val="005E4F09"/>
    <w:rsid w:val="005E6183"/>
    <w:rsid w:val="005E65F3"/>
    <w:rsid w:val="005E6795"/>
    <w:rsid w:val="005E7142"/>
    <w:rsid w:val="005F0187"/>
    <w:rsid w:val="005F07EB"/>
    <w:rsid w:val="005F0AD5"/>
    <w:rsid w:val="005F1C2A"/>
    <w:rsid w:val="005F204A"/>
    <w:rsid w:val="005F300D"/>
    <w:rsid w:val="005F36C8"/>
    <w:rsid w:val="005F3AB2"/>
    <w:rsid w:val="005F4224"/>
    <w:rsid w:val="005F5F10"/>
    <w:rsid w:val="005F61AE"/>
    <w:rsid w:val="005F67E4"/>
    <w:rsid w:val="005F6875"/>
    <w:rsid w:val="005F7358"/>
    <w:rsid w:val="005F7809"/>
    <w:rsid w:val="006000D3"/>
    <w:rsid w:val="00600A9D"/>
    <w:rsid w:val="00600E27"/>
    <w:rsid w:val="006013C4"/>
    <w:rsid w:val="0060195D"/>
    <w:rsid w:val="00602D8F"/>
    <w:rsid w:val="00603173"/>
    <w:rsid w:val="00603406"/>
    <w:rsid w:val="00603677"/>
    <w:rsid w:val="00603A01"/>
    <w:rsid w:val="00603A9D"/>
    <w:rsid w:val="00603BF4"/>
    <w:rsid w:val="00603F44"/>
    <w:rsid w:val="0060496A"/>
    <w:rsid w:val="00604BBF"/>
    <w:rsid w:val="00605036"/>
    <w:rsid w:val="00607158"/>
    <w:rsid w:val="00607879"/>
    <w:rsid w:val="00610F0F"/>
    <w:rsid w:val="006112FC"/>
    <w:rsid w:val="0061147C"/>
    <w:rsid w:val="006119DA"/>
    <w:rsid w:val="00611B6E"/>
    <w:rsid w:val="00611E28"/>
    <w:rsid w:val="00613793"/>
    <w:rsid w:val="00613C4F"/>
    <w:rsid w:val="00613D2B"/>
    <w:rsid w:val="00614B27"/>
    <w:rsid w:val="00614FC9"/>
    <w:rsid w:val="0061519F"/>
    <w:rsid w:val="0061606F"/>
    <w:rsid w:val="0061741A"/>
    <w:rsid w:val="0062069C"/>
    <w:rsid w:val="006206AB"/>
    <w:rsid w:val="00621737"/>
    <w:rsid w:val="0062296C"/>
    <w:rsid w:val="00622C0A"/>
    <w:rsid w:val="006233DB"/>
    <w:rsid w:val="00623A29"/>
    <w:rsid w:val="0062405C"/>
    <w:rsid w:val="00624455"/>
    <w:rsid w:val="00624E5D"/>
    <w:rsid w:val="00624ED0"/>
    <w:rsid w:val="00625C2D"/>
    <w:rsid w:val="0062621D"/>
    <w:rsid w:val="00626330"/>
    <w:rsid w:val="006265A6"/>
    <w:rsid w:val="006266A0"/>
    <w:rsid w:val="006302AD"/>
    <w:rsid w:val="00630AA1"/>
    <w:rsid w:val="0063122B"/>
    <w:rsid w:val="00631253"/>
    <w:rsid w:val="00631617"/>
    <w:rsid w:val="00631B9E"/>
    <w:rsid w:val="00632002"/>
    <w:rsid w:val="00633143"/>
    <w:rsid w:val="006338D4"/>
    <w:rsid w:val="00633FE1"/>
    <w:rsid w:val="00634559"/>
    <w:rsid w:val="0063461A"/>
    <w:rsid w:val="00634BFB"/>
    <w:rsid w:val="0063597A"/>
    <w:rsid w:val="006364B7"/>
    <w:rsid w:val="00637B61"/>
    <w:rsid w:val="00640845"/>
    <w:rsid w:val="006423C7"/>
    <w:rsid w:val="006424C3"/>
    <w:rsid w:val="00642F75"/>
    <w:rsid w:val="00642FB4"/>
    <w:rsid w:val="0064377E"/>
    <w:rsid w:val="00643DCA"/>
    <w:rsid w:val="006440F3"/>
    <w:rsid w:val="00644AF0"/>
    <w:rsid w:val="00644F0A"/>
    <w:rsid w:val="0064632D"/>
    <w:rsid w:val="00647C42"/>
    <w:rsid w:val="00647DB8"/>
    <w:rsid w:val="00647F0A"/>
    <w:rsid w:val="00650A9F"/>
    <w:rsid w:val="00651A6C"/>
    <w:rsid w:val="0065254F"/>
    <w:rsid w:val="0065263F"/>
    <w:rsid w:val="00652CC3"/>
    <w:rsid w:val="00653817"/>
    <w:rsid w:val="006539DF"/>
    <w:rsid w:val="00653B8A"/>
    <w:rsid w:val="00653D01"/>
    <w:rsid w:val="006541ED"/>
    <w:rsid w:val="00654351"/>
    <w:rsid w:val="006545B4"/>
    <w:rsid w:val="00654A04"/>
    <w:rsid w:val="00656D36"/>
    <w:rsid w:val="006612F5"/>
    <w:rsid w:val="0066130E"/>
    <w:rsid w:val="00661961"/>
    <w:rsid w:val="00662CE6"/>
    <w:rsid w:val="00662FC2"/>
    <w:rsid w:val="00663401"/>
    <w:rsid w:val="00664951"/>
    <w:rsid w:val="00665161"/>
    <w:rsid w:val="00665324"/>
    <w:rsid w:val="0066550C"/>
    <w:rsid w:val="00665B65"/>
    <w:rsid w:val="00666ABA"/>
    <w:rsid w:val="006670B5"/>
    <w:rsid w:val="00667CAC"/>
    <w:rsid w:val="00670D1F"/>
    <w:rsid w:val="00671420"/>
    <w:rsid w:val="00671946"/>
    <w:rsid w:val="00671B60"/>
    <w:rsid w:val="00672070"/>
    <w:rsid w:val="00673877"/>
    <w:rsid w:val="006741DE"/>
    <w:rsid w:val="00675C90"/>
    <w:rsid w:val="006760C8"/>
    <w:rsid w:val="0067747C"/>
    <w:rsid w:val="006778CF"/>
    <w:rsid w:val="00677A56"/>
    <w:rsid w:val="006800CB"/>
    <w:rsid w:val="0068032C"/>
    <w:rsid w:val="006818A2"/>
    <w:rsid w:val="006818A8"/>
    <w:rsid w:val="00681A80"/>
    <w:rsid w:val="00682C33"/>
    <w:rsid w:val="00683482"/>
    <w:rsid w:val="00683F8B"/>
    <w:rsid w:val="006861E6"/>
    <w:rsid w:val="00687128"/>
    <w:rsid w:val="006874FA"/>
    <w:rsid w:val="00687D66"/>
    <w:rsid w:val="00687DC1"/>
    <w:rsid w:val="00687E56"/>
    <w:rsid w:val="00691403"/>
    <w:rsid w:val="00691A38"/>
    <w:rsid w:val="00691BDC"/>
    <w:rsid w:val="00691D5A"/>
    <w:rsid w:val="006921AC"/>
    <w:rsid w:val="00692643"/>
    <w:rsid w:val="00692809"/>
    <w:rsid w:val="00692B22"/>
    <w:rsid w:val="00692C63"/>
    <w:rsid w:val="0069403B"/>
    <w:rsid w:val="006943E2"/>
    <w:rsid w:val="0069488D"/>
    <w:rsid w:val="00694B29"/>
    <w:rsid w:val="006953A5"/>
    <w:rsid w:val="006966CA"/>
    <w:rsid w:val="00697CE9"/>
    <w:rsid w:val="006A2262"/>
    <w:rsid w:val="006A387E"/>
    <w:rsid w:val="006A4E51"/>
    <w:rsid w:val="006A5E0A"/>
    <w:rsid w:val="006A64D8"/>
    <w:rsid w:val="006A68BA"/>
    <w:rsid w:val="006A7120"/>
    <w:rsid w:val="006A7180"/>
    <w:rsid w:val="006B0211"/>
    <w:rsid w:val="006B03EF"/>
    <w:rsid w:val="006B1435"/>
    <w:rsid w:val="006B1E64"/>
    <w:rsid w:val="006B253D"/>
    <w:rsid w:val="006B259B"/>
    <w:rsid w:val="006B268A"/>
    <w:rsid w:val="006B2692"/>
    <w:rsid w:val="006B3822"/>
    <w:rsid w:val="006B403E"/>
    <w:rsid w:val="006B4441"/>
    <w:rsid w:val="006B46CE"/>
    <w:rsid w:val="006B475D"/>
    <w:rsid w:val="006B484E"/>
    <w:rsid w:val="006B4D81"/>
    <w:rsid w:val="006B58BD"/>
    <w:rsid w:val="006B70BA"/>
    <w:rsid w:val="006B7915"/>
    <w:rsid w:val="006B7DF5"/>
    <w:rsid w:val="006C0A99"/>
    <w:rsid w:val="006C15F8"/>
    <w:rsid w:val="006C2339"/>
    <w:rsid w:val="006C238A"/>
    <w:rsid w:val="006C285B"/>
    <w:rsid w:val="006C4FEA"/>
    <w:rsid w:val="006C588E"/>
    <w:rsid w:val="006C7856"/>
    <w:rsid w:val="006D2ED4"/>
    <w:rsid w:val="006D3411"/>
    <w:rsid w:val="006D3D43"/>
    <w:rsid w:val="006D4ACD"/>
    <w:rsid w:val="006D4CEA"/>
    <w:rsid w:val="006D52FB"/>
    <w:rsid w:val="006D5364"/>
    <w:rsid w:val="006D5BA7"/>
    <w:rsid w:val="006D5F26"/>
    <w:rsid w:val="006D620A"/>
    <w:rsid w:val="006D6F5E"/>
    <w:rsid w:val="006D742A"/>
    <w:rsid w:val="006D78CD"/>
    <w:rsid w:val="006E0980"/>
    <w:rsid w:val="006E134E"/>
    <w:rsid w:val="006E2429"/>
    <w:rsid w:val="006E2672"/>
    <w:rsid w:val="006E2FB4"/>
    <w:rsid w:val="006E326E"/>
    <w:rsid w:val="006E4B19"/>
    <w:rsid w:val="006E5254"/>
    <w:rsid w:val="006E53BA"/>
    <w:rsid w:val="006E570E"/>
    <w:rsid w:val="006E5D5B"/>
    <w:rsid w:val="006E6B89"/>
    <w:rsid w:val="006E6C40"/>
    <w:rsid w:val="006E73CF"/>
    <w:rsid w:val="006E7DFB"/>
    <w:rsid w:val="006F027B"/>
    <w:rsid w:val="006F0364"/>
    <w:rsid w:val="006F17D3"/>
    <w:rsid w:val="006F2068"/>
    <w:rsid w:val="006F20AE"/>
    <w:rsid w:val="006F2E8A"/>
    <w:rsid w:val="006F4238"/>
    <w:rsid w:val="006F4F6B"/>
    <w:rsid w:val="006F5A76"/>
    <w:rsid w:val="006F6A74"/>
    <w:rsid w:val="006F6FCD"/>
    <w:rsid w:val="006F70A9"/>
    <w:rsid w:val="006F7354"/>
    <w:rsid w:val="006F7B97"/>
    <w:rsid w:val="006F7FB6"/>
    <w:rsid w:val="00700417"/>
    <w:rsid w:val="00700BA8"/>
    <w:rsid w:val="007015AB"/>
    <w:rsid w:val="0070187E"/>
    <w:rsid w:val="00702AA0"/>
    <w:rsid w:val="00702EBB"/>
    <w:rsid w:val="00703E0A"/>
    <w:rsid w:val="00703E74"/>
    <w:rsid w:val="00703F04"/>
    <w:rsid w:val="00704926"/>
    <w:rsid w:val="00704B24"/>
    <w:rsid w:val="00704E6B"/>
    <w:rsid w:val="007055A3"/>
    <w:rsid w:val="00705B57"/>
    <w:rsid w:val="0070669E"/>
    <w:rsid w:val="00706B33"/>
    <w:rsid w:val="00707022"/>
    <w:rsid w:val="007078BB"/>
    <w:rsid w:val="00707B97"/>
    <w:rsid w:val="00707C51"/>
    <w:rsid w:val="00707F97"/>
    <w:rsid w:val="007101C9"/>
    <w:rsid w:val="0071181C"/>
    <w:rsid w:val="007121F5"/>
    <w:rsid w:val="007133CF"/>
    <w:rsid w:val="007147A4"/>
    <w:rsid w:val="00714B17"/>
    <w:rsid w:val="00715041"/>
    <w:rsid w:val="007155A3"/>
    <w:rsid w:val="00715C1A"/>
    <w:rsid w:val="00715F8B"/>
    <w:rsid w:val="00716E48"/>
    <w:rsid w:val="007204FC"/>
    <w:rsid w:val="007206DB"/>
    <w:rsid w:val="00721300"/>
    <w:rsid w:val="00726004"/>
    <w:rsid w:val="00726792"/>
    <w:rsid w:val="0072687F"/>
    <w:rsid w:val="007275E7"/>
    <w:rsid w:val="00730E66"/>
    <w:rsid w:val="0073106D"/>
    <w:rsid w:val="007327BD"/>
    <w:rsid w:val="007327C9"/>
    <w:rsid w:val="007329BD"/>
    <w:rsid w:val="007329E9"/>
    <w:rsid w:val="00732F8A"/>
    <w:rsid w:val="007344E8"/>
    <w:rsid w:val="00734E36"/>
    <w:rsid w:val="007356FC"/>
    <w:rsid w:val="00735810"/>
    <w:rsid w:val="00735D9D"/>
    <w:rsid w:val="00736ADE"/>
    <w:rsid w:val="0073756B"/>
    <w:rsid w:val="0073793D"/>
    <w:rsid w:val="00742CC9"/>
    <w:rsid w:val="0074300B"/>
    <w:rsid w:val="007432DB"/>
    <w:rsid w:val="007433B9"/>
    <w:rsid w:val="00743AB1"/>
    <w:rsid w:val="00743CB3"/>
    <w:rsid w:val="00744A74"/>
    <w:rsid w:val="00745C9E"/>
    <w:rsid w:val="007464D9"/>
    <w:rsid w:val="007504B5"/>
    <w:rsid w:val="00750BCB"/>
    <w:rsid w:val="007517C3"/>
    <w:rsid w:val="007527DF"/>
    <w:rsid w:val="00752E97"/>
    <w:rsid w:val="00752F02"/>
    <w:rsid w:val="00753192"/>
    <w:rsid w:val="007542A1"/>
    <w:rsid w:val="00756342"/>
    <w:rsid w:val="0075660D"/>
    <w:rsid w:val="00756B03"/>
    <w:rsid w:val="007571B7"/>
    <w:rsid w:val="00760149"/>
    <w:rsid w:val="0076022B"/>
    <w:rsid w:val="007607C3"/>
    <w:rsid w:val="00760FFD"/>
    <w:rsid w:val="007626BE"/>
    <w:rsid w:val="00762884"/>
    <w:rsid w:val="00763CAE"/>
    <w:rsid w:val="007642F1"/>
    <w:rsid w:val="00765757"/>
    <w:rsid w:val="007659A8"/>
    <w:rsid w:val="00766B9A"/>
    <w:rsid w:val="00767ECA"/>
    <w:rsid w:val="00770505"/>
    <w:rsid w:val="00771FCE"/>
    <w:rsid w:val="007734F0"/>
    <w:rsid w:val="0077433B"/>
    <w:rsid w:val="0077501F"/>
    <w:rsid w:val="00775453"/>
    <w:rsid w:val="00775FA8"/>
    <w:rsid w:val="00777BDB"/>
    <w:rsid w:val="00777DBA"/>
    <w:rsid w:val="007800CF"/>
    <w:rsid w:val="007801FF"/>
    <w:rsid w:val="00781292"/>
    <w:rsid w:val="007829C4"/>
    <w:rsid w:val="00782B4B"/>
    <w:rsid w:val="007858A7"/>
    <w:rsid w:val="00785B9D"/>
    <w:rsid w:val="007862B8"/>
    <w:rsid w:val="007863B4"/>
    <w:rsid w:val="007865BF"/>
    <w:rsid w:val="00787633"/>
    <w:rsid w:val="00790101"/>
    <w:rsid w:val="00790FE9"/>
    <w:rsid w:val="0079125D"/>
    <w:rsid w:val="00791DD1"/>
    <w:rsid w:val="00792526"/>
    <w:rsid w:val="007938C6"/>
    <w:rsid w:val="00793A3C"/>
    <w:rsid w:val="00793A7D"/>
    <w:rsid w:val="00794620"/>
    <w:rsid w:val="0079483D"/>
    <w:rsid w:val="0079485D"/>
    <w:rsid w:val="00794C7B"/>
    <w:rsid w:val="00795B26"/>
    <w:rsid w:val="007963D5"/>
    <w:rsid w:val="00797E0A"/>
    <w:rsid w:val="007A05FD"/>
    <w:rsid w:val="007A0C65"/>
    <w:rsid w:val="007A0D54"/>
    <w:rsid w:val="007A0E44"/>
    <w:rsid w:val="007A107C"/>
    <w:rsid w:val="007A130D"/>
    <w:rsid w:val="007A17C4"/>
    <w:rsid w:val="007A2965"/>
    <w:rsid w:val="007A358B"/>
    <w:rsid w:val="007A4126"/>
    <w:rsid w:val="007A48A2"/>
    <w:rsid w:val="007A4D76"/>
    <w:rsid w:val="007A4FF6"/>
    <w:rsid w:val="007A5872"/>
    <w:rsid w:val="007A5DDC"/>
    <w:rsid w:val="007A62EC"/>
    <w:rsid w:val="007A65A5"/>
    <w:rsid w:val="007A65F7"/>
    <w:rsid w:val="007A6BB4"/>
    <w:rsid w:val="007A779F"/>
    <w:rsid w:val="007A7B0E"/>
    <w:rsid w:val="007A7DBA"/>
    <w:rsid w:val="007B069D"/>
    <w:rsid w:val="007B0748"/>
    <w:rsid w:val="007B0E84"/>
    <w:rsid w:val="007B1A60"/>
    <w:rsid w:val="007B20FE"/>
    <w:rsid w:val="007B35B0"/>
    <w:rsid w:val="007B36F7"/>
    <w:rsid w:val="007B3708"/>
    <w:rsid w:val="007B4162"/>
    <w:rsid w:val="007B465E"/>
    <w:rsid w:val="007B508E"/>
    <w:rsid w:val="007B51EE"/>
    <w:rsid w:val="007B53E3"/>
    <w:rsid w:val="007B55B0"/>
    <w:rsid w:val="007B5D2E"/>
    <w:rsid w:val="007B6792"/>
    <w:rsid w:val="007B69A9"/>
    <w:rsid w:val="007B6AD5"/>
    <w:rsid w:val="007B77DA"/>
    <w:rsid w:val="007C0438"/>
    <w:rsid w:val="007C08A8"/>
    <w:rsid w:val="007C1951"/>
    <w:rsid w:val="007C1B26"/>
    <w:rsid w:val="007C2043"/>
    <w:rsid w:val="007C232C"/>
    <w:rsid w:val="007C366E"/>
    <w:rsid w:val="007C3DD0"/>
    <w:rsid w:val="007C3EC5"/>
    <w:rsid w:val="007C4BEA"/>
    <w:rsid w:val="007C5EB1"/>
    <w:rsid w:val="007C6C10"/>
    <w:rsid w:val="007C6EF5"/>
    <w:rsid w:val="007D11C0"/>
    <w:rsid w:val="007D192C"/>
    <w:rsid w:val="007D1E8D"/>
    <w:rsid w:val="007D237F"/>
    <w:rsid w:val="007D249E"/>
    <w:rsid w:val="007D2DDC"/>
    <w:rsid w:val="007D56EA"/>
    <w:rsid w:val="007D5796"/>
    <w:rsid w:val="007D6DD0"/>
    <w:rsid w:val="007D76FB"/>
    <w:rsid w:val="007D7A34"/>
    <w:rsid w:val="007E05C1"/>
    <w:rsid w:val="007E0C07"/>
    <w:rsid w:val="007E10CA"/>
    <w:rsid w:val="007E162F"/>
    <w:rsid w:val="007E1632"/>
    <w:rsid w:val="007E1AFF"/>
    <w:rsid w:val="007E2D03"/>
    <w:rsid w:val="007E356F"/>
    <w:rsid w:val="007E367F"/>
    <w:rsid w:val="007E3827"/>
    <w:rsid w:val="007E499B"/>
    <w:rsid w:val="007E5C96"/>
    <w:rsid w:val="007E6743"/>
    <w:rsid w:val="007E7AB5"/>
    <w:rsid w:val="007F01F2"/>
    <w:rsid w:val="007F0E56"/>
    <w:rsid w:val="007F0FBF"/>
    <w:rsid w:val="007F1056"/>
    <w:rsid w:val="007F18E8"/>
    <w:rsid w:val="007F1BA3"/>
    <w:rsid w:val="007F26CA"/>
    <w:rsid w:val="007F26E1"/>
    <w:rsid w:val="007F3273"/>
    <w:rsid w:val="007F478D"/>
    <w:rsid w:val="007F4A4D"/>
    <w:rsid w:val="007F5404"/>
    <w:rsid w:val="007F5D63"/>
    <w:rsid w:val="007F6153"/>
    <w:rsid w:val="007F6543"/>
    <w:rsid w:val="007F6551"/>
    <w:rsid w:val="007F671E"/>
    <w:rsid w:val="007F75D8"/>
    <w:rsid w:val="007F79DD"/>
    <w:rsid w:val="007F7CDF"/>
    <w:rsid w:val="007F7E4B"/>
    <w:rsid w:val="00802BA9"/>
    <w:rsid w:val="00804B96"/>
    <w:rsid w:val="00805398"/>
    <w:rsid w:val="00805653"/>
    <w:rsid w:val="00806888"/>
    <w:rsid w:val="00806D12"/>
    <w:rsid w:val="00807FB4"/>
    <w:rsid w:val="0081028E"/>
    <w:rsid w:val="008116A2"/>
    <w:rsid w:val="00811DB6"/>
    <w:rsid w:val="008126B5"/>
    <w:rsid w:val="008126FF"/>
    <w:rsid w:val="00812753"/>
    <w:rsid w:val="00812BBC"/>
    <w:rsid w:val="00813E39"/>
    <w:rsid w:val="00814221"/>
    <w:rsid w:val="008143E6"/>
    <w:rsid w:val="0081483F"/>
    <w:rsid w:val="00814873"/>
    <w:rsid w:val="008172BB"/>
    <w:rsid w:val="00817999"/>
    <w:rsid w:val="00817BD7"/>
    <w:rsid w:val="00817E08"/>
    <w:rsid w:val="00820EB2"/>
    <w:rsid w:val="0082172F"/>
    <w:rsid w:val="00822DD1"/>
    <w:rsid w:val="008247AB"/>
    <w:rsid w:val="008251CE"/>
    <w:rsid w:val="00826124"/>
    <w:rsid w:val="00827085"/>
    <w:rsid w:val="008274F2"/>
    <w:rsid w:val="00831B7F"/>
    <w:rsid w:val="00831EDD"/>
    <w:rsid w:val="008320DE"/>
    <w:rsid w:val="0083234B"/>
    <w:rsid w:val="00832675"/>
    <w:rsid w:val="00832A2D"/>
    <w:rsid w:val="0083388B"/>
    <w:rsid w:val="008338C7"/>
    <w:rsid w:val="00834420"/>
    <w:rsid w:val="00834E1C"/>
    <w:rsid w:val="00835301"/>
    <w:rsid w:val="00836305"/>
    <w:rsid w:val="00837808"/>
    <w:rsid w:val="0084004F"/>
    <w:rsid w:val="00841FB2"/>
    <w:rsid w:val="008428B1"/>
    <w:rsid w:val="0084329E"/>
    <w:rsid w:val="00843D4C"/>
    <w:rsid w:val="00843F2B"/>
    <w:rsid w:val="00845285"/>
    <w:rsid w:val="008452F1"/>
    <w:rsid w:val="0084583E"/>
    <w:rsid w:val="008466FC"/>
    <w:rsid w:val="008477AF"/>
    <w:rsid w:val="00850223"/>
    <w:rsid w:val="00850861"/>
    <w:rsid w:val="008519DD"/>
    <w:rsid w:val="00852D8A"/>
    <w:rsid w:val="008534B9"/>
    <w:rsid w:val="00853D13"/>
    <w:rsid w:val="00854550"/>
    <w:rsid w:val="0085508D"/>
    <w:rsid w:val="00855746"/>
    <w:rsid w:val="00855F3D"/>
    <w:rsid w:val="00856208"/>
    <w:rsid w:val="0085638D"/>
    <w:rsid w:val="00857D8C"/>
    <w:rsid w:val="008602DD"/>
    <w:rsid w:val="00860CB0"/>
    <w:rsid w:val="00860F71"/>
    <w:rsid w:val="00860F87"/>
    <w:rsid w:val="00860FD3"/>
    <w:rsid w:val="00861319"/>
    <w:rsid w:val="00861BCE"/>
    <w:rsid w:val="008620AF"/>
    <w:rsid w:val="00863403"/>
    <w:rsid w:val="00865055"/>
    <w:rsid w:val="00865EC1"/>
    <w:rsid w:val="00866357"/>
    <w:rsid w:val="00866407"/>
    <w:rsid w:val="00867B7A"/>
    <w:rsid w:val="008705DB"/>
    <w:rsid w:val="008715F5"/>
    <w:rsid w:val="0087322C"/>
    <w:rsid w:val="008734AE"/>
    <w:rsid w:val="0087359B"/>
    <w:rsid w:val="00873E63"/>
    <w:rsid w:val="008742B6"/>
    <w:rsid w:val="00874319"/>
    <w:rsid w:val="008747C2"/>
    <w:rsid w:val="008762DD"/>
    <w:rsid w:val="008764D1"/>
    <w:rsid w:val="00876B3D"/>
    <w:rsid w:val="008779E5"/>
    <w:rsid w:val="00880AB6"/>
    <w:rsid w:val="008818DD"/>
    <w:rsid w:val="00881932"/>
    <w:rsid w:val="00881F3E"/>
    <w:rsid w:val="0088301C"/>
    <w:rsid w:val="00883942"/>
    <w:rsid w:val="00883D2E"/>
    <w:rsid w:val="008845E3"/>
    <w:rsid w:val="00885474"/>
    <w:rsid w:val="0088587A"/>
    <w:rsid w:val="00886F95"/>
    <w:rsid w:val="00887E37"/>
    <w:rsid w:val="0089036E"/>
    <w:rsid w:val="0089088D"/>
    <w:rsid w:val="008918A5"/>
    <w:rsid w:val="008921BD"/>
    <w:rsid w:val="00892509"/>
    <w:rsid w:val="00892CB0"/>
    <w:rsid w:val="00893099"/>
    <w:rsid w:val="0089326D"/>
    <w:rsid w:val="00893322"/>
    <w:rsid w:val="008935EF"/>
    <w:rsid w:val="00894962"/>
    <w:rsid w:val="00894F9C"/>
    <w:rsid w:val="00895570"/>
    <w:rsid w:val="00895BDF"/>
    <w:rsid w:val="00896A19"/>
    <w:rsid w:val="00896CE8"/>
    <w:rsid w:val="00896D4F"/>
    <w:rsid w:val="00897A4E"/>
    <w:rsid w:val="00897CF1"/>
    <w:rsid w:val="008A0413"/>
    <w:rsid w:val="008A0C81"/>
    <w:rsid w:val="008A0F22"/>
    <w:rsid w:val="008A0FE2"/>
    <w:rsid w:val="008A10CE"/>
    <w:rsid w:val="008A1BD8"/>
    <w:rsid w:val="008A278D"/>
    <w:rsid w:val="008A27AB"/>
    <w:rsid w:val="008A3C4E"/>
    <w:rsid w:val="008A4B76"/>
    <w:rsid w:val="008A4CA7"/>
    <w:rsid w:val="008A505B"/>
    <w:rsid w:val="008A5466"/>
    <w:rsid w:val="008A54F6"/>
    <w:rsid w:val="008A5768"/>
    <w:rsid w:val="008A5919"/>
    <w:rsid w:val="008A6CC6"/>
    <w:rsid w:val="008A6E80"/>
    <w:rsid w:val="008A7231"/>
    <w:rsid w:val="008A75B9"/>
    <w:rsid w:val="008B0343"/>
    <w:rsid w:val="008B0D1B"/>
    <w:rsid w:val="008B0DC6"/>
    <w:rsid w:val="008B1106"/>
    <w:rsid w:val="008B11E4"/>
    <w:rsid w:val="008B12F9"/>
    <w:rsid w:val="008B3C2F"/>
    <w:rsid w:val="008B516C"/>
    <w:rsid w:val="008B5884"/>
    <w:rsid w:val="008B5A5C"/>
    <w:rsid w:val="008B5EDC"/>
    <w:rsid w:val="008B7111"/>
    <w:rsid w:val="008B73F9"/>
    <w:rsid w:val="008C01FD"/>
    <w:rsid w:val="008C0219"/>
    <w:rsid w:val="008C04C8"/>
    <w:rsid w:val="008C20DE"/>
    <w:rsid w:val="008C24F2"/>
    <w:rsid w:val="008C2573"/>
    <w:rsid w:val="008C29BD"/>
    <w:rsid w:val="008C2F98"/>
    <w:rsid w:val="008C35B7"/>
    <w:rsid w:val="008C3CA1"/>
    <w:rsid w:val="008C3FE1"/>
    <w:rsid w:val="008C4193"/>
    <w:rsid w:val="008C498D"/>
    <w:rsid w:val="008C4BAC"/>
    <w:rsid w:val="008C5661"/>
    <w:rsid w:val="008C6205"/>
    <w:rsid w:val="008C66FC"/>
    <w:rsid w:val="008C70AA"/>
    <w:rsid w:val="008C70C6"/>
    <w:rsid w:val="008C7A71"/>
    <w:rsid w:val="008C7D89"/>
    <w:rsid w:val="008D0259"/>
    <w:rsid w:val="008D0285"/>
    <w:rsid w:val="008D125B"/>
    <w:rsid w:val="008D16BB"/>
    <w:rsid w:val="008D1C23"/>
    <w:rsid w:val="008D1C37"/>
    <w:rsid w:val="008D2693"/>
    <w:rsid w:val="008D321F"/>
    <w:rsid w:val="008D3AFA"/>
    <w:rsid w:val="008D4541"/>
    <w:rsid w:val="008D4806"/>
    <w:rsid w:val="008D4AC8"/>
    <w:rsid w:val="008D4FA5"/>
    <w:rsid w:val="008D5483"/>
    <w:rsid w:val="008D54FD"/>
    <w:rsid w:val="008D56BD"/>
    <w:rsid w:val="008D5C51"/>
    <w:rsid w:val="008D6038"/>
    <w:rsid w:val="008D67F4"/>
    <w:rsid w:val="008D691D"/>
    <w:rsid w:val="008D7049"/>
    <w:rsid w:val="008D70C0"/>
    <w:rsid w:val="008D719E"/>
    <w:rsid w:val="008D7717"/>
    <w:rsid w:val="008D7CFB"/>
    <w:rsid w:val="008E1161"/>
    <w:rsid w:val="008E2264"/>
    <w:rsid w:val="008E2991"/>
    <w:rsid w:val="008E2CBB"/>
    <w:rsid w:val="008E34D7"/>
    <w:rsid w:val="008E3675"/>
    <w:rsid w:val="008E41E7"/>
    <w:rsid w:val="008E4E48"/>
    <w:rsid w:val="008E6240"/>
    <w:rsid w:val="008E6436"/>
    <w:rsid w:val="008E6E8E"/>
    <w:rsid w:val="008E721E"/>
    <w:rsid w:val="008E7719"/>
    <w:rsid w:val="008F0BD7"/>
    <w:rsid w:val="008F17F2"/>
    <w:rsid w:val="008F18C0"/>
    <w:rsid w:val="008F1ED6"/>
    <w:rsid w:val="008F2278"/>
    <w:rsid w:val="008F2C36"/>
    <w:rsid w:val="008F2DFD"/>
    <w:rsid w:val="008F3389"/>
    <w:rsid w:val="008F4173"/>
    <w:rsid w:val="008F4AB9"/>
    <w:rsid w:val="008F4F72"/>
    <w:rsid w:val="008F5265"/>
    <w:rsid w:val="008F698E"/>
    <w:rsid w:val="0090001B"/>
    <w:rsid w:val="00900060"/>
    <w:rsid w:val="00900614"/>
    <w:rsid w:val="00900DE4"/>
    <w:rsid w:val="00901A01"/>
    <w:rsid w:val="00902705"/>
    <w:rsid w:val="0090289C"/>
    <w:rsid w:val="00902C94"/>
    <w:rsid w:val="0090320A"/>
    <w:rsid w:val="00903550"/>
    <w:rsid w:val="009041AE"/>
    <w:rsid w:val="009047B4"/>
    <w:rsid w:val="00904CA0"/>
    <w:rsid w:val="00904FDC"/>
    <w:rsid w:val="0090565D"/>
    <w:rsid w:val="0090583D"/>
    <w:rsid w:val="00905F68"/>
    <w:rsid w:val="00906536"/>
    <w:rsid w:val="00906F33"/>
    <w:rsid w:val="009076B4"/>
    <w:rsid w:val="0091137C"/>
    <w:rsid w:val="00911AE0"/>
    <w:rsid w:val="009133F8"/>
    <w:rsid w:val="0091370F"/>
    <w:rsid w:val="00914565"/>
    <w:rsid w:val="00915463"/>
    <w:rsid w:val="00915C2D"/>
    <w:rsid w:val="00916962"/>
    <w:rsid w:val="00916D3D"/>
    <w:rsid w:val="0091797D"/>
    <w:rsid w:val="00917B81"/>
    <w:rsid w:val="00920159"/>
    <w:rsid w:val="0092036C"/>
    <w:rsid w:val="0092087A"/>
    <w:rsid w:val="00920C52"/>
    <w:rsid w:val="0092150B"/>
    <w:rsid w:val="00921F0D"/>
    <w:rsid w:val="00922164"/>
    <w:rsid w:val="00922281"/>
    <w:rsid w:val="009224C5"/>
    <w:rsid w:val="00922910"/>
    <w:rsid w:val="00923235"/>
    <w:rsid w:val="0092362B"/>
    <w:rsid w:val="009238E8"/>
    <w:rsid w:val="00923985"/>
    <w:rsid w:val="00924586"/>
    <w:rsid w:val="009245EC"/>
    <w:rsid w:val="00924E47"/>
    <w:rsid w:val="00925110"/>
    <w:rsid w:val="009262D0"/>
    <w:rsid w:val="0092635A"/>
    <w:rsid w:val="0092685F"/>
    <w:rsid w:val="0092696B"/>
    <w:rsid w:val="0092778D"/>
    <w:rsid w:val="0093079F"/>
    <w:rsid w:val="00930ACE"/>
    <w:rsid w:val="009312B1"/>
    <w:rsid w:val="009314F7"/>
    <w:rsid w:val="0093291F"/>
    <w:rsid w:val="00934C64"/>
    <w:rsid w:val="00935333"/>
    <w:rsid w:val="009370C2"/>
    <w:rsid w:val="009373C3"/>
    <w:rsid w:val="00940085"/>
    <w:rsid w:val="009426D7"/>
    <w:rsid w:val="00942B91"/>
    <w:rsid w:val="00944841"/>
    <w:rsid w:val="009450A9"/>
    <w:rsid w:val="009459BA"/>
    <w:rsid w:val="00945A71"/>
    <w:rsid w:val="00946266"/>
    <w:rsid w:val="009463C7"/>
    <w:rsid w:val="00946F86"/>
    <w:rsid w:val="00950ABC"/>
    <w:rsid w:val="00950AD7"/>
    <w:rsid w:val="00951452"/>
    <w:rsid w:val="00951B02"/>
    <w:rsid w:val="00951D20"/>
    <w:rsid w:val="0095231F"/>
    <w:rsid w:val="0095276F"/>
    <w:rsid w:val="009531E9"/>
    <w:rsid w:val="0095325A"/>
    <w:rsid w:val="00954D09"/>
    <w:rsid w:val="00954DE4"/>
    <w:rsid w:val="0095533A"/>
    <w:rsid w:val="00955731"/>
    <w:rsid w:val="00956578"/>
    <w:rsid w:val="0095774C"/>
    <w:rsid w:val="00957D0D"/>
    <w:rsid w:val="00957ECD"/>
    <w:rsid w:val="00960611"/>
    <w:rsid w:val="0096135E"/>
    <w:rsid w:val="0096173B"/>
    <w:rsid w:val="009619E2"/>
    <w:rsid w:val="00961C57"/>
    <w:rsid w:val="009624DC"/>
    <w:rsid w:val="00962925"/>
    <w:rsid w:val="009629CA"/>
    <w:rsid w:val="0096431C"/>
    <w:rsid w:val="00964A61"/>
    <w:rsid w:val="00964AC1"/>
    <w:rsid w:val="00965588"/>
    <w:rsid w:val="00965980"/>
    <w:rsid w:val="0096655B"/>
    <w:rsid w:val="00966768"/>
    <w:rsid w:val="009668AD"/>
    <w:rsid w:val="00966CFC"/>
    <w:rsid w:val="0096721B"/>
    <w:rsid w:val="00967E3B"/>
    <w:rsid w:val="009718D8"/>
    <w:rsid w:val="00971906"/>
    <w:rsid w:val="00971B9E"/>
    <w:rsid w:val="00972033"/>
    <w:rsid w:val="00972C2A"/>
    <w:rsid w:val="00975890"/>
    <w:rsid w:val="009758EC"/>
    <w:rsid w:val="00975EC0"/>
    <w:rsid w:val="00977C27"/>
    <w:rsid w:val="00977CBA"/>
    <w:rsid w:val="009802F1"/>
    <w:rsid w:val="0098055D"/>
    <w:rsid w:val="00980B31"/>
    <w:rsid w:val="0098160A"/>
    <w:rsid w:val="009818B3"/>
    <w:rsid w:val="00981FBF"/>
    <w:rsid w:val="00982D3B"/>
    <w:rsid w:val="0098309A"/>
    <w:rsid w:val="009830DD"/>
    <w:rsid w:val="00983156"/>
    <w:rsid w:val="0098321C"/>
    <w:rsid w:val="0098567C"/>
    <w:rsid w:val="009863F3"/>
    <w:rsid w:val="0098785E"/>
    <w:rsid w:val="00987FE1"/>
    <w:rsid w:val="009906C9"/>
    <w:rsid w:val="0099152D"/>
    <w:rsid w:val="00991A2F"/>
    <w:rsid w:val="0099261D"/>
    <w:rsid w:val="0099284C"/>
    <w:rsid w:val="0099288F"/>
    <w:rsid w:val="00993D42"/>
    <w:rsid w:val="00993F97"/>
    <w:rsid w:val="009952F3"/>
    <w:rsid w:val="009956D6"/>
    <w:rsid w:val="009964E6"/>
    <w:rsid w:val="009967D2"/>
    <w:rsid w:val="0099718A"/>
    <w:rsid w:val="00997F4C"/>
    <w:rsid w:val="009A0238"/>
    <w:rsid w:val="009A095B"/>
    <w:rsid w:val="009A0ACF"/>
    <w:rsid w:val="009A1088"/>
    <w:rsid w:val="009A1973"/>
    <w:rsid w:val="009A1F38"/>
    <w:rsid w:val="009A29CF"/>
    <w:rsid w:val="009A3590"/>
    <w:rsid w:val="009A3A69"/>
    <w:rsid w:val="009A3E6F"/>
    <w:rsid w:val="009A4281"/>
    <w:rsid w:val="009A64D7"/>
    <w:rsid w:val="009A771E"/>
    <w:rsid w:val="009B181F"/>
    <w:rsid w:val="009B1B5C"/>
    <w:rsid w:val="009B2234"/>
    <w:rsid w:val="009B2368"/>
    <w:rsid w:val="009B26CF"/>
    <w:rsid w:val="009B2B14"/>
    <w:rsid w:val="009B3076"/>
    <w:rsid w:val="009B3318"/>
    <w:rsid w:val="009B3492"/>
    <w:rsid w:val="009B4331"/>
    <w:rsid w:val="009B52EB"/>
    <w:rsid w:val="009B5748"/>
    <w:rsid w:val="009B5A1B"/>
    <w:rsid w:val="009B5A69"/>
    <w:rsid w:val="009B5C0D"/>
    <w:rsid w:val="009B70B1"/>
    <w:rsid w:val="009B722B"/>
    <w:rsid w:val="009B7ABE"/>
    <w:rsid w:val="009C03B9"/>
    <w:rsid w:val="009C12A0"/>
    <w:rsid w:val="009C1915"/>
    <w:rsid w:val="009C22BA"/>
    <w:rsid w:val="009C22E3"/>
    <w:rsid w:val="009C3ECA"/>
    <w:rsid w:val="009C4C47"/>
    <w:rsid w:val="009C515C"/>
    <w:rsid w:val="009C7E64"/>
    <w:rsid w:val="009D0136"/>
    <w:rsid w:val="009D0420"/>
    <w:rsid w:val="009D1064"/>
    <w:rsid w:val="009D139E"/>
    <w:rsid w:val="009D1FE9"/>
    <w:rsid w:val="009D2C4A"/>
    <w:rsid w:val="009D2C83"/>
    <w:rsid w:val="009D504C"/>
    <w:rsid w:val="009D52EE"/>
    <w:rsid w:val="009D57D8"/>
    <w:rsid w:val="009D5A64"/>
    <w:rsid w:val="009D62F9"/>
    <w:rsid w:val="009D7930"/>
    <w:rsid w:val="009E016D"/>
    <w:rsid w:val="009E0939"/>
    <w:rsid w:val="009E179D"/>
    <w:rsid w:val="009E2573"/>
    <w:rsid w:val="009E2AD6"/>
    <w:rsid w:val="009E2B67"/>
    <w:rsid w:val="009E2E16"/>
    <w:rsid w:val="009E3E1E"/>
    <w:rsid w:val="009E45B5"/>
    <w:rsid w:val="009E5130"/>
    <w:rsid w:val="009E5AC1"/>
    <w:rsid w:val="009E685D"/>
    <w:rsid w:val="009E6B41"/>
    <w:rsid w:val="009E7606"/>
    <w:rsid w:val="009F0A4A"/>
    <w:rsid w:val="009F1523"/>
    <w:rsid w:val="009F1E2A"/>
    <w:rsid w:val="009F323C"/>
    <w:rsid w:val="009F3621"/>
    <w:rsid w:val="009F3E50"/>
    <w:rsid w:val="009F402B"/>
    <w:rsid w:val="009F40FD"/>
    <w:rsid w:val="009F4165"/>
    <w:rsid w:val="009F4513"/>
    <w:rsid w:val="009F47EC"/>
    <w:rsid w:val="009F4EDF"/>
    <w:rsid w:val="009F5328"/>
    <w:rsid w:val="009F5CEA"/>
    <w:rsid w:val="009F5E45"/>
    <w:rsid w:val="009F65A9"/>
    <w:rsid w:val="009F69B6"/>
    <w:rsid w:val="009F6A44"/>
    <w:rsid w:val="009F7134"/>
    <w:rsid w:val="009F742D"/>
    <w:rsid w:val="009F7A00"/>
    <w:rsid w:val="009F7F56"/>
    <w:rsid w:val="00A00846"/>
    <w:rsid w:val="00A00CE7"/>
    <w:rsid w:val="00A02C72"/>
    <w:rsid w:val="00A02C98"/>
    <w:rsid w:val="00A04160"/>
    <w:rsid w:val="00A04355"/>
    <w:rsid w:val="00A05F8E"/>
    <w:rsid w:val="00A069DF"/>
    <w:rsid w:val="00A07D10"/>
    <w:rsid w:val="00A10113"/>
    <w:rsid w:val="00A10C44"/>
    <w:rsid w:val="00A11EB4"/>
    <w:rsid w:val="00A13413"/>
    <w:rsid w:val="00A1433C"/>
    <w:rsid w:val="00A14360"/>
    <w:rsid w:val="00A1477F"/>
    <w:rsid w:val="00A15A6E"/>
    <w:rsid w:val="00A15AE6"/>
    <w:rsid w:val="00A15B8C"/>
    <w:rsid w:val="00A15DC2"/>
    <w:rsid w:val="00A163A0"/>
    <w:rsid w:val="00A164BA"/>
    <w:rsid w:val="00A16554"/>
    <w:rsid w:val="00A16FCB"/>
    <w:rsid w:val="00A17135"/>
    <w:rsid w:val="00A17512"/>
    <w:rsid w:val="00A17B3E"/>
    <w:rsid w:val="00A17D19"/>
    <w:rsid w:val="00A201F0"/>
    <w:rsid w:val="00A2054A"/>
    <w:rsid w:val="00A20AA4"/>
    <w:rsid w:val="00A21173"/>
    <w:rsid w:val="00A2131E"/>
    <w:rsid w:val="00A21C5A"/>
    <w:rsid w:val="00A2231E"/>
    <w:rsid w:val="00A23109"/>
    <w:rsid w:val="00A237A3"/>
    <w:rsid w:val="00A23972"/>
    <w:rsid w:val="00A23A07"/>
    <w:rsid w:val="00A24434"/>
    <w:rsid w:val="00A24C29"/>
    <w:rsid w:val="00A253D9"/>
    <w:rsid w:val="00A2563A"/>
    <w:rsid w:val="00A25F27"/>
    <w:rsid w:val="00A2615E"/>
    <w:rsid w:val="00A265C3"/>
    <w:rsid w:val="00A26B9E"/>
    <w:rsid w:val="00A27A98"/>
    <w:rsid w:val="00A27D85"/>
    <w:rsid w:val="00A27E48"/>
    <w:rsid w:val="00A30D54"/>
    <w:rsid w:val="00A3104E"/>
    <w:rsid w:val="00A3255D"/>
    <w:rsid w:val="00A33506"/>
    <w:rsid w:val="00A33A28"/>
    <w:rsid w:val="00A3472F"/>
    <w:rsid w:val="00A347ED"/>
    <w:rsid w:val="00A34F57"/>
    <w:rsid w:val="00A356A6"/>
    <w:rsid w:val="00A35D73"/>
    <w:rsid w:val="00A3612C"/>
    <w:rsid w:val="00A36EA0"/>
    <w:rsid w:val="00A36FDC"/>
    <w:rsid w:val="00A3788B"/>
    <w:rsid w:val="00A423F1"/>
    <w:rsid w:val="00A425E6"/>
    <w:rsid w:val="00A435BC"/>
    <w:rsid w:val="00A43A27"/>
    <w:rsid w:val="00A441DF"/>
    <w:rsid w:val="00A444F8"/>
    <w:rsid w:val="00A468D9"/>
    <w:rsid w:val="00A47553"/>
    <w:rsid w:val="00A47A47"/>
    <w:rsid w:val="00A501EC"/>
    <w:rsid w:val="00A5067E"/>
    <w:rsid w:val="00A50933"/>
    <w:rsid w:val="00A51CA4"/>
    <w:rsid w:val="00A520C9"/>
    <w:rsid w:val="00A5269A"/>
    <w:rsid w:val="00A52D05"/>
    <w:rsid w:val="00A53E65"/>
    <w:rsid w:val="00A540A2"/>
    <w:rsid w:val="00A54694"/>
    <w:rsid w:val="00A55FEE"/>
    <w:rsid w:val="00A562D1"/>
    <w:rsid w:val="00A56851"/>
    <w:rsid w:val="00A56BCB"/>
    <w:rsid w:val="00A575D6"/>
    <w:rsid w:val="00A608DA"/>
    <w:rsid w:val="00A60B58"/>
    <w:rsid w:val="00A60C26"/>
    <w:rsid w:val="00A62BCA"/>
    <w:rsid w:val="00A62D9D"/>
    <w:rsid w:val="00A62ECB"/>
    <w:rsid w:val="00A62F17"/>
    <w:rsid w:val="00A6313C"/>
    <w:rsid w:val="00A635F1"/>
    <w:rsid w:val="00A64E96"/>
    <w:rsid w:val="00A66876"/>
    <w:rsid w:val="00A67262"/>
    <w:rsid w:val="00A67671"/>
    <w:rsid w:val="00A700FF"/>
    <w:rsid w:val="00A704F1"/>
    <w:rsid w:val="00A72634"/>
    <w:rsid w:val="00A73C86"/>
    <w:rsid w:val="00A7410D"/>
    <w:rsid w:val="00A74D30"/>
    <w:rsid w:val="00A754EF"/>
    <w:rsid w:val="00A755EC"/>
    <w:rsid w:val="00A77A05"/>
    <w:rsid w:val="00A77D5B"/>
    <w:rsid w:val="00A77EF8"/>
    <w:rsid w:val="00A806C8"/>
    <w:rsid w:val="00A809DE"/>
    <w:rsid w:val="00A81525"/>
    <w:rsid w:val="00A8284B"/>
    <w:rsid w:val="00A829A4"/>
    <w:rsid w:val="00A82EC3"/>
    <w:rsid w:val="00A83D1F"/>
    <w:rsid w:val="00A84928"/>
    <w:rsid w:val="00A849F1"/>
    <w:rsid w:val="00A84CCC"/>
    <w:rsid w:val="00A84DEC"/>
    <w:rsid w:val="00A86367"/>
    <w:rsid w:val="00A8686C"/>
    <w:rsid w:val="00A86A09"/>
    <w:rsid w:val="00A86AE0"/>
    <w:rsid w:val="00A87DC3"/>
    <w:rsid w:val="00A917F2"/>
    <w:rsid w:val="00A92203"/>
    <w:rsid w:val="00A92EF6"/>
    <w:rsid w:val="00A94622"/>
    <w:rsid w:val="00A95259"/>
    <w:rsid w:val="00A9535E"/>
    <w:rsid w:val="00A96626"/>
    <w:rsid w:val="00A96958"/>
    <w:rsid w:val="00A96D74"/>
    <w:rsid w:val="00A9720C"/>
    <w:rsid w:val="00A97B85"/>
    <w:rsid w:val="00A97BFB"/>
    <w:rsid w:val="00A97C85"/>
    <w:rsid w:val="00A97C87"/>
    <w:rsid w:val="00A97F91"/>
    <w:rsid w:val="00AA0EEC"/>
    <w:rsid w:val="00AA1134"/>
    <w:rsid w:val="00AA1591"/>
    <w:rsid w:val="00AA15B0"/>
    <w:rsid w:val="00AA1BBF"/>
    <w:rsid w:val="00AA1C0D"/>
    <w:rsid w:val="00AA1F1F"/>
    <w:rsid w:val="00AA28DA"/>
    <w:rsid w:val="00AA2E08"/>
    <w:rsid w:val="00AA2FF5"/>
    <w:rsid w:val="00AA4D7E"/>
    <w:rsid w:val="00AA5F61"/>
    <w:rsid w:val="00AA7621"/>
    <w:rsid w:val="00AB03A3"/>
    <w:rsid w:val="00AB1A0B"/>
    <w:rsid w:val="00AB242C"/>
    <w:rsid w:val="00AB2DE2"/>
    <w:rsid w:val="00AB3C1F"/>
    <w:rsid w:val="00AB4389"/>
    <w:rsid w:val="00AB4397"/>
    <w:rsid w:val="00AB557E"/>
    <w:rsid w:val="00AB5722"/>
    <w:rsid w:val="00AB67D2"/>
    <w:rsid w:val="00AB69B4"/>
    <w:rsid w:val="00AC0463"/>
    <w:rsid w:val="00AC046B"/>
    <w:rsid w:val="00AC1569"/>
    <w:rsid w:val="00AC31E2"/>
    <w:rsid w:val="00AC31ED"/>
    <w:rsid w:val="00AC4018"/>
    <w:rsid w:val="00AC4150"/>
    <w:rsid w:val="00AC5729"/>
    <w:rsid w:val="00AC6D78"/>
    <w:rsid w:val="00AC7948"/>
    <w:rsid w:val="00AD0D28"/>
    <w:rsid w:val="00AD12A9"/>
    <w:rsid w:val="00AD142C"/>
    <w:rsid w:val="00AD165F"/>
    <w:rsid w:val="00AD1F10"/>
    <w:rsid w:val="00AD2952"/>
    <w:rsid w:val="00AD2C8B"/>
    <w:rsid w:val="00AD362C"/>
    <w:rsid w:val="00AD375F"/>
    <w:rsid w:val="00AD3D27"/>
    <w:rsid w:val="00AD3DAA"/>
    <w:rsid w:val="00AD4810"/>
    <w:rsid w:val="00AD503A"/>
    <w:rsid w:val="00AD5484"/>
    <w:rsid w:val="00AD77EB"/>
    <w:rsid w:val="00AD78B4"/>
    <w:rsid w:val="00AE08C1"/>
    <w:rsid w:val="00AE2ECB"/>
    <w:rsid w:val="00AE3C97"/>
    <w:rsid w:val="00AE56C3"/>
    <w:rsid w:val="00AE5734"/>
    <w:rsid w:val="00AE69A4"/>
    <w:rsid w:val="00AE7514"/>
    <w:rsid w:val="00AE7E0C"/>
    <w:rsid w:val="00AF156C"/>
    <w:rsid w:val="00AF2D18"/>
    <w:rsid w:val="00AF383A"/>
    <w:rsid w:val="00AF3935"/>
    <w:rsid w:val="00AF3FF6"/>
    <w:rsid w:val="00AF43A5"/>
    <w:rsid w:val="00AF49BE"/>
    <w:rsid w:val="00AF4EE4"/>
    <w:rsid w:val="00AF5314"/>
    <w:rsid w:val="00AF565B"/>
    <w:rsid w:val="00AF69EA"/>
    <w:rsid w:val="00AF6B1F"/>
    <w:rsid w:val="00AF6B55"/>
    <w:rsid w:val="00AF6EB8"/>
    <w:rsid w:val="00AF7C18"/>
    <w:rsid w:val="00AF7E1E"/>
    <w:rsid w:val="00AF7FF7"/>
    <w:rsid w:val="00B01380"/>
    <w:rsid w:val="00B019E5"/>
    <w:rsid w:val="00B01A33"/>
    <w:rsid w:val="00B02743"/>
    <w:rsid w:val="00B02A24"/>
    <w:rsid w:val="00B02A50"/>
    <w:rsid w:val="00B02BC1"/>
    <w:rsid w:val="00B02E47"/>
    <w:rsid w:val="00B03114"/>
    <w:rsid w:val="00B039D0"/>
    <w:rsid w:val="00B051D2"/>
    <w:rsid w:val="00B0703D"/>
    <w:rsid w:val="00B0759F"/>
    <w:rsid w:val="00B0775B"/>
    <w:rsid w:val="00B07DF6"/>
    <w:rsid w:val="00B10051"/>
    <w:rsid w:val="00B104C4"/>
    <w:rsid w:val="00B122E6"/>
    <w:rsid w:val="00B1280A"/>
    <w:rsid w:val="00B12BFD"/>
    <w:rsid w:val="00B15BFD"/>
    <w:rsid w:val="00B15E9E"/>
    <w:rsid w:val="00B168A3"/>
    <w:rsid w:val="00B17273"/>
    <w:rsid w:val="00B20031"/>
    <w:rsid w:val="00B2115D"/>
    <w:rsid w:val="00B222C0"/>
    <w:rsid w:val="00B22603"/>
    <w:rsid w:val="00B23B87"/>
    <w:rsid w:val="00B23BB5"/>
    <w:rsid w:val="00B241E0"/>
    <w:rsid w:val="00B247CC"/>
    <w:rsid w:val="00B25688"/>
    <w:rsid w:val="00B25B4A"/>
    <w:rsid w:val="00B25C74"/>
    <w:rsid w:val="00B25DA7"/>
    <w:rsid w:val="00B26849"/>
    <w:rsid w:val="00B27B32"/>
    <w:rsid w:val="00B30ED6"/>
    <w:rsid w:val="00B31B8D"/>
    <w:rsid w:val="00B31C29"/>
    <w:rsid w:val="00B32515"/>
    <w:rsid w:val="00B32E08"/>
    <w:rsid w:val="00B3369A"/>
    <w:rsid w:val="00B356D5"/>
    <w:rsid w:val="00B37648"/>
    <w:rsid w:val="00B3781C"/>
    <w:rsid w:val="00B406DB"/>
    <w:rsid w:val="00B419CC"/>
    <w:rsid w:val="00B41DC6"/>
    <w:rsid w:val="00B42DF2"/>
    <w:rsid w:val="00B43889"/>
    <w:rsid w:val="00B44459"/>
    <w:rsid w:val="00B45D31"/>
    <w:rsid w:val="00B47869"/>
    <w:rsid w:val="00B50225"/>
    <w:rsid w:val="00B50B38"/>
    <w:rsid w:val="00B51479"/>
    <w:rsid w:val="00B51A3E"/>
    <w:rsid w:val="00B52513"/>
    <w:rsid w:val="00B52BB7"/>
    <w:rsid w:val="00B53626"/>
    <w:rsid w:val="00B5397A"/>
    <w:rsid w:val="00B53CBF"/>
    <w:rsid w:val="00B540FB"/>
    <w:rsid w:val="00B55A14"/>
    <w:rsid w:val="00B56C1C"/>
    <w:rsid w:val="00B573AE"/>
    <w:rsid w:val="00B575DC"/>
    <w:rsid w:val="00B576AC"/>
    <w:rsid w:val="00B57D8E"/>
    <w:rsid w:val="00B57ECC"/>
    <w:rsid w:val="00B57F29"/>
    <w:rsid w:val="00B60273"/>
    <w:rsid w:val="00B6030F"/>
    <w:rsid w:val="00B604C8"/>
    <w:rsid w:val="00B605DB"/>
    <w:rsid w:val="00B60BF3"/>
    <w:rsid w:val="00B61855"/>
    <w:rsid w:val="00B61944"/>
    <w:rsid w:val="00B62377"/>
    <w:rsid w:val="00B62652"/>
    <w:rsid w:val="00B62F9C"/>
    <w:rsid w:val="00B647ED"/>
    <w:rsid w:val="00B6533E"/>
    <w:rsid w:val="00B65650"/>
    <w:rsid w:val="00B6657E"/>
    <w:rsid w:val="00B674E9"/>
    <w:rsid w:val="00B67D51"/>
    <w:rsid w:val="00B704F1"/>
    <w:rsid w:val="00B70688"/>
    <w:rsid w:val="00B708AF"/>
    <w:rsid w:val="00B708FF"/>
    <w:rsid w:val="00B70B38"/>
    <w:rsid w:val="00B740AC"/>
    <w:rsid w:val="00B74213"/>
    <w:rsid w:val="00B75227"/>
    <w:rsid w:val="00B75BD0"/>
    <w:rsid w:val="00B76058"/>
    <w:rsid w:val="00B766EC"/>
    <w:rsid w:val="00B779B9"/>
    <w:rsid w:val="00B80409"/>
    <w:rsid w:val="00B80937"/>
    <w:rsid w:val="00B8210E"/>
    <w:rsid w:val="00B82124"/>
    <w:rsid w:val="00B82136"/>
    <w:rsid w:val="00B82E6C"/>
    <w:rsid w:val="00B83C4D"/>
    <w:rsid w:val="00B849F9"/>
    <w:rsid w:val="00B84BBF"/>
    <w:rsid w:val="00B85C0E"/>
    <w:rsid w:val="00B85FD2"/>
    <w:rsid w:val="00B86AE5"/>
    <w:rsid w:val="00B871C4"/>
    <w:rsid w:val="00B875EA"/>
    <w:rsid w:val="00B87C57"/>
    <w:rsid w:val="00B9018E"/>
    <w:rsid w:val="00B91080"/>
    <w:rsid w:val="00B919E4"/>
    <w:rsid w:val="00B91A54"/>
    <w:rsid w:val="00B91C49"/>
    <w:rsid w:val="00B91C61"/>
    <w:rsid w:val="00B91ECE"/>
    <w:rsid w:val="00B921EC"/>
    <w:rsid w:val="00B9224C"/>
    <w:rsid w:val="00B943DD"/>
    <w:rsid w:val="00B9477D"/>
    <w:rsid w:val="00B947F2"/>
    <w:rsid w:val="00B9580E"/>
    <w:rsid w:val="00B95996"/>
    <w:rsid w:val="00B960AA"/>
    <w:rsid w:val="00B961B4"/>
    <w:rsid w:val="00B97912"/>
    <w:rsid w:val="00B97C24"/>
    <w:rsid w:val="00B97D2F"/>
    <w:rsid w:val="00BA0C7E"/>
    <w:rsid w:val="00BA11A9"/>
    <w:rsid w:val="00BA14DF"/>
    <w:rsid w:val="00BA175B"/>
    <w:rsid w:val="00BA1DD9"/>
    <w:rsid w:val="00BA3ED8"/>
    <w:rsid w:val="00BA494E"/>
    <w:rsid w:val="00BA4AB3"/>
    <w:rsid w:val="00BA55BE"/>
    <w:rsid w:val="00BA60E4"/>
    <w:rsid w:val="00BA6DF8"/>
    <w:rsid w:val="00BA7948"/>
    <w:rsid w:val="00BA7F8A"/>
    <w:rsid w:val="00BB0614"/>
    <w:rsid w:val="00BB06EC"/>
    <w:rsid w:val="00BB0DA1"/>
    <w:rsid w:val="00BB0DD1"/>
    <w:rsid w:val="00BB0EC4"/>
    <w:rsid w:val="00BB266C"/>
    <w:rsid w:val="00BB2902"/>
    <w:rsid w:val="00BB2B12"/>
    <w:rsid w:val="00BB3F21"/>
    <w:rsid w:val="00BB487A"/>
    <w:rsid w:val="00BB4C9F"/>
    <w:rsid w:val="00BB54E3"/>
    <w:rsid w:val="00BB57B4"/>
    <w:rsid w:val="00BB5F43"/>
    <w:rsid w:val="00BB60A7"/>
    <w:rsid w:val="00BB7287"/>
    <w:rsid w:val="00BB768E"/>
    <w:rsid w:val="00BC079C"/>
    <w:rsid w:val="00BC2175"/>
    <w:rsid w:val="00BC27DF"/>
    <w:rsid w:val="00BC2D75"/>
    <w:rsid w:val="00BC327A"/>
    <w:rsid w:val="00BC75EB"/>
    <w:rsid w:val="00BC7871"/>
    <w:rsid w:val="00BD0069"/>
    <w:rsid w:val="00BD07BF"/>
    <w:rsid w:val="00BD0F54"/>
    <w:rsid w:val="00BD1942"/>
    <w:rsid w:val="00BD20DA"/>
    <w:rsid w:val="00BD22E5"/>
    <w:rsid w:val="00BD3657"/>
    <w:rsid w:val="00BD3994"/>
    <w:rsid w:val="00BD3AF0"/>
    <w:rsid w:val="00BD59B8"/>
    <w:rsid w:val="00BD672D"/>
    <w:rsid w:val="00BD7F35"/>
    <w:rsid w:val="00BE1792"/>
    <w:rsid w:val="00BE17AC"/>
    <w:rsid w:val="00BE27C1"/>
    <w:rsid w:val="00BE37B3"/>
    <w:rsid w:val="00BE4084"/>
    <w:rsid w:val="00BE4390"/>
    <w:rsid w:val="00BE542B"/>
    <w:rsid w:val="00BE6739"/>
    <w:rsid w:val="00BE6D0B"/>
    <w:rsid w:val="00BE72A5"/>
    <w:rsid w:val="00BF01BB"/>
    <w:rsid w:val="00BF0795"/>
    <w:rsid w:val="00BF08BE"/>
    <w:rsid w:val="00BF137D"/>
    <w:rsid w:val="00BF2022"/>
    <w:rsid w:val="00BF2437"/>
    <w:rsid w:val="00BF2649"/>
    <w:rsid w:val="00BF3241"/>
    <w:rsid w:val="00BF39D6"/>
    <w:rsid w:val="00BF3AE3"/>
    <w:rsid w:val="00BF3D6B"/>
    <w:rsid w:val="00BF3DF5"/>
    <w:rsid w:val="00BF47EC"/>
    <w:rsid w:val="00BF50F3"/>
    <w:rsid w:val="00BF532C"/>
    <w:rsid w:val="00BF5E1C"/>
    <w:rsid w:val="00BF676C"/>
    <w:rsid w:val="00BF7336"/>
    <w:rsid w:val="00BF755D"/>
    <w:rsid w:val="00BF76CF"/>
    <w:rsid w:val="00C00744"/>
    <w:rsid w:val="00C008E9"/>
    <w:rsid w:val="00C00B4D"/>
    <w:rsid w:val="00C00D7D"/>
    <w:rsid w:val="00C0170B"/>
    <w:rsid w:val="00C0335B"/>
    <w:rsid w:val="00C040BA"/>
    <w:rsid w:val="00C04DF0"/>
    <w:rsid w:val="00C0605F"/>
    <w:rsid w:val="00C11C66"/>
    <w:rsid w:val="00C124D0"/>
    <w:rsid w:val="00C13955"/>
    <w:rsid w:val="00C14057"/>
    <w:rsid w:val="00C14CDA"/>
    <w:rsid w:val="00C15D69"/>
    <w:rsid w:val="00C15F2D"/>
    <w:rsid w:val="00C17936"/>
    <w:rsid w:val="00C179ED"/>
    <w:rsid w:val="00C17A8C"/>
    <w:rsid w:val="00C17DBE"/>
    <w:rsid w:val="00C20AD6"/>
    <w:rsid w:val="00C20E41"/>
    <w:rsid w:val="00C217D8"/>
    <w:rsid w:val="00C222DE"/>
    <w:rsid w:val="00C22C2E"/>
    <w:rsid w:val="00C25011"/>
    <w:rsid w:val="00C250E0"/>
    <w:rsid w:val="00C257EE"/>
    <w:rsid w:val="00C25DD7"/>
    <w:rsid w:val="00C26338"/>
    <w:rsid w:val="00C26627"/>
    <w:rsid w:val="00C2665A"/>
    <w:rsid w:val="00C2690C"/>
    <w:rsid w:val="00C26D09"/>
    <w:rsid w:val="00C26FB0"/>
    <w:rsid w:val="00C27560"/>
    <w:rsid w:val="00C3072A"/>
    <w:rsid w:val="00C30AD2"/>
    <w:rsid w:val="00C316D0"/>
    <w:rsid w:val="00C31780"/>
    <w:rsid w:val="00C31ACA"/>
    <w:rsid w:val="00C33AA6"/>
    <w:rsid w:val="00C34174"/>
    <w:rsid w:val="00C34606"/>
    <w:rsid w:val="00C3526D"/>
    <w:rsid w:val="00C36A18"/>
    <w:rsid w:val="00C37B00"/>
    <w:rsid w:val="00C37BFA"/>
    <w:rsid w:val="00C40978"/>
    <w:rsid w:val="00C409D6"/>
    <w:rsid w:val="00C40B2B"/>
    <w:rsid w:val="00C40F44"/>
    <w:rsid w:val="00C40FD0"/>
    <w:rsid w:val="00C40FF1"/>
    <w:rsid w:val="00C41A12"/>
    <w:rsid w:val="00C41C8F"/>
    <w:rsid w:val="00C42385"/>
    <w:rsid w:val="00C42564"/>
    <w:rsid w:val="00C42C36"/>
    <w:rsid w:val="00C43F13"/>
    <w:rsid w:val="00C4406E"/>
    <w:rsid w:val="00C44912"/>
    <w:rsid w:val="00C44F88"/>
    <w:rsid w:val="00C453BA"/>
    <w:rsid w:val="00C468FD"/>
    <w:rsid w:val="00C501B0"/>
    <w:rsid w:val="00C50670"/>
    <w:rsid w:val="00C5091A"/>
    <w:rsid w:val="00C51C6D"/>
    <w:rsid w:val="00C51F95"/>
    <w:rsid w:val="00C52075"/>
    <w:rsid w:val="00C5361F"/>
    <w:rsid w:val="00C539ED"/>
    <w:rsid w:val="00C53AC5"/>
    <w:rsid w:val="00C53DB3"/>
    <w:rsid w:val="00C54905"/>
    <w:rsid w:val="00C55228"/>
    <w:rsid w:val="00C55DCE"/>
    <w:rsid w:val="00C56EB4"/>
    <w:rsid w:val="00C574FD"/>
    <w:rsid w:val="00C57608"/>
    <w:rsid w:val="00C6066D"/>
    <w:rsid w:val="00C60C2F"/>
    <w:rsid w:val="00C60DA1"/>
    <w:rsid w:val="00C60FB8"/>
    <w:rsid w:val="00C60FF3"/>
    <w:rsid w:val="00C62064"/>
    <w:rsid w:val="00C634A8"/>
    <w:rsid w:val="00C63AF4"/>
    <w:rsid w:val="00C644E4"/>
    <w:rsid w:val="00C645A5"/>
    <w:rsid w:val="00C6524C"/>
    <w:rsid w:val="00C6570F"/>
    <w:rsid w:val="00C66EE4"/>
    <w:rsid w:val="00C67ACD"/>
    <w:rsid w:val="00C703F5"/>
    <w:rsid w:val="00C715D5"/>
    <w:rsid w:val="00C71EB0"/>
    <w:rsid w:val="00C722D6"/>
    <w:rsid w:val="00C72440"/>
    <w:rsid w:val="00C72518"/>
    <w:rsid w:val="00C726AE"/>
    <w:rsid w:val="00C72E45"/>
    <w:rsid w:val="00C7337E"/>
    <w:rsid w:val="00C738B3"/>
    <w:rsid w:val="00C7392D"/>
    <w:rsid w:val="00C73C0D"/>
    <w:rsid w:val="00C743BA"/>
    <w:rsid w:val="00C74A80"/>
    <w:rsid w:val="00C74CE8"/>
    <w:rsid w:val="00C75442"/>
    <w:rsid w:val="00C761B3"/>
    <w:rsid w:val="00C76832"/>
    <w:rsid w:val="00C77176"/>
    <w:rsid w:val="00C7725D"/>
    <w:rsid w:val="00C773D4"/>
    <w:rsid w:val="00C8038E"/>
    <w:rsid w:val="00C80A7F"/>
    <w:rsid w:val="00C81C83"/>
    <w:rsid w:val="00C822B3"/>
    <w:rsid w:val="00C82568"/>
    <w:rsid w:val="00C838C5"/>
    <w:rsid w:val="00C83A86"/>
    <w:rsid w:val="00C83CB0"/>
    <w:rsid w:val="00C84B5E"/>
    <w:rsid w:val="00C85711"/>
    <w:rsid w:val="00C86F09"/>
    <w:rsid w:val="00C86FC9"/>
    <w:rsid w:val="00C874C4"/>
    <w:rsid w:val="00C875F1"/>
    <w:rsid w:val="00C87802"/>
    <w:rsid w:val="00C904FF"/>
    <w:rsid w:val="00C90A38"/>
    <w:rsid w:val="00C914BC"/>
    <w:rsid w:val="00C91A8E"/>
    <w:rsid w:val="00C91F5A"/>
    <w:rsid w:val="00C92668"/>
    <w:rsid w:val="00C939C1"/>
    <w:rsid w:val="00C9404A"/>
    <w:rsid w:val="00C94484"/>
    <w:rsid w:val="00C94940"/>
    <w:rsid w:val="00C94A7E"/>
    <w:rsid w:val="00C95FB4"/>
    <w:rsid w:val="00C96154"/>
    <w:rsid w:val="00C9622A"/>
    <w:rsid w:val="00C9702D"/>
    <w:rsid w:val="00CA0901"/>
    <w:rsid w:val="00CA0A9B"/>
    <w:rsid w:val="00CA19C9"/>
    <w:rsid w:val="00CA1A5F"/>
    <w:rsid w:val="00CA252D"/>
    <w:rsid w:val="00CA27FC"/>
    <w:rsid w:val="00CA2D05"/>
    <w:rsid w:val="00CA33B9"/>
    <w:rsid w:val="00CA3839"/>
    <w:rsid w:val="00CA3B65"/>
    <w:rsid w:val="00CA3BE9"/>
    <w:rsid w:val="00CA3D5D"/>
    <w:rsid w:val="00CA4639"/>
    <w:rsid w:val="00CA4764"/>
    <w:rsid w:val="00CA4BF8"/>
    <w:rsid w:val="00CA4E8C"/>
    <w:rsid w:val="00CA4EB4"/>
    <w:rsid w:val="00CA5274"/>
    <w:rsid w:val="00CA5337"/>
    <w:rsid w:val="00CA595B"/>
    <w:rsid w:val="00CA604B"/>
    <w:rsid w:val="00CA62F8"/>
    <w:rsid w:val="00CA6E6A"/>
    <w:rsid w:val="00CA758D"/>
    <w:rsid w:val="00CA76F9"/>
    <w:rsid w:val="00CA7CF8"/>
    <w:rsid w:val="00CB20BF"/>
    <w:rsid w:val="00CB2442"/>
    <w:rsid w:val="00CB29DD"/>
    <w:rsid w:val="00CB2AED"/>
    <w:rsid w:val="00CB2D0E"/>
    <w:rsid w:val="00CB2ECB"/>
    <w:rsid w:val="00CB3282"/>
    <w:rsid w:val="00CB3E7F"/>
    <w:rsid w:val="00CB3ED3"/>
    <w:rsid w:val="00CB4111"/>
    <w:rsid w:val="00CB4D1F"/>
    <w:rsid w:val="00CB5F6E"/>
    <w:rsid w:val="00CB673E"/>
    <w:rsid w:val="00CB6882"/>
    <w:rsid w:val="00CB6ADE"/>
    <w:rsid w:val="00CB7490"/>
    <w:rsid w:val="00CC1D68"/>
    <w:rsid w:val="00CC21BC"/>
    <w:rsid w:val="00CC2769"/>
    <w:rsid w:val="00CC37AE"/>
    <w:rsid w:val="00CC47BB"/>
    <w:rsid w:val="00CC4BCB"/>
    <w:rsid w:val="00CC6B3A"/>
    <w:rsid w:val="00CC6DED"/>
    <w:rsid w:val="00CC74FC"/>
    <w:rsid w:val="00CC7F70"/>
    <w:rsid w:val="00CD059C"/>
    <w:rsid w:val="00CD10BF"/>
    <w:rsid w:val="00CD1506"/>
    <w:rsid w:val="00CD1BA2"/>
    <w:rsid w:val="00CD1C4D"/>
    <w:rsid w:val="00CD1E6F"/>
    <w:rsid w:val="00CD2CB2"/>
    <w:rsid w:val="00CD38B4"/>
    <w:rsid w:val="00CD4852"/>
    <w:rsid w:val="00CD4990"/>
    <w:rsid w:val="00CD5212"/>
    <w:rsid w:val="00CD5937"/>
    <w:rsid w:val="00CD5CDB"/>
    <w:rsid w:val="00CD64F3"/>
    <w:rsid w:val="00CD69E3"/>
    <w:rsid w:val="00CD6C6E"/>
    <w:rsid w:val="00CD78FD"/>
    <w:rsid w:val="00CE1749"/>
    <w:rsid w:val="00CE1FDC"/>
    <w:rsid w:val="00CE2753"/>
    <w:rsid w:val="00CE2D2B"/>
    <w:rsid w:val="00CE31D3"/>
    <w:rsid w:val="00CE3457"/>
    <w:rsid w:val="00CE40AE"/>
    <w:rsid w:val="00CE41DC"/>
    <w:rsid w:val="00CE4D0D"/>
    <w:rsid w:val="00CE53CA"/>
    <w:rsid w:val="00CE57FA"/>
    <w:rsid w:val="00CE6BAB"/>
    <w:rsid w:val="00CE721C"/>
    <w:rsid w:val="00CE76DE"/>
    <w:rsid w:val="00CF0012"/>
    <w:rsid w:val="00CF0BB1"/>
    <w:rsid w:val="00CF15AD"/>
    <w:rsid w:val="00CF19E1"/>
    <w:rsid w:val="00CF1C50"/>
    <w:rsid w:val="00CF288C"/>
    <w:rsid w:val="00CF2A99"/>
    <w:rsid w:val="00CF37BD"/>
    <w:rsid w:val="00CF3913"/>
    <w:rsid w:val="00CF3C13"/>
    <w:rsid w:val="00CF4377"/>
    <w:rsid w:val="00CF79D2"/>
    <w:rsid w:val="00CF7CD4"/>
    <w:rsid w:val="00D016FA"/>
    <w:rsid w:val="00D0198C"/>
    <w:rsid w:val="00D0239D"/>
    <w:rsid w:val="00D0273C"/>
    <w:rsid w:val="00D02BC7"/>
    <w:rsid w:val="00D02F8C"/>
    <w:rsid w:val="00D03650"/>
    <w:rsid w:val="00D03A14"/>
    <w:rsid w:val="00D03D2C"/>
    <w:rsid w:val="00D04CB0"/>
    <w:rsid w:val="00D05130"/>
    <w:rsid w:val="00D056EC"/>
    <w:rsid w:val="00D05B53"/>
    <w:rsid w:val="00D0689C"/>
    <w:rsid w:val="00D06B26"/>
    <w:rsid w:val="00D076BD"/>
    <w:rsid w:val="00D10708"/>
    <w:rsid w:val="00D108E1"/>
    <w:rsid w:val="00D10BDB"/>
    <w:rsid w:val="00D11D1D"/>
    <w:rsid w:val="00D11DBF"/>
    <w:rsid w:val="00D12140"/>
    <w:rsid w:val="00D122A5"/>
    <w:rsid w:val="00D13B96"/>
    <w:rsid w:val="00D13CEE"/>
    <w:rsid w:val="00D13E31"/>
    <w:rsid w:val="00D13F47"/>
    <w:rsid w:val="00D145F2"/>
    <w:rsid w:val="00D14C4D"/>
    <w:rsid w:val="00D14D34"/>
    <w:rsid w:val="00D14F70"/>
    <w:rsid w:val="00D16A3E"/>
    <w:rsid w:val="00D16A9D"/>
    <w:rsid w:val="00D16D13"/>
    <w:rsid w:val="00D17025"/>
    <w:rsid w:val="00D171F7"/>
    <w:rsid w:val="00D17342"/>
    <w:rsid w:val="00D173F9"/>
    <w:rsid w:val="00D176E0"/>
    <w:rsid w:val="00D177D0"/>
    <w:rsid w:val="00D20331"/>
    <w:rsid w:val="00D2054F"/>
    <w:rsid w:val="00D20D79"/>
    <w:rsid w:val="00D21CFF"/>
    <w:rsid w:val="00D223AA"/>
    <w:rsid w:val="00D22A4D"/>
    <w:rsid w:val="00D22F40"/>
    <w:rsid w:val="00D23718"/>
    <w:rsid w:val="00D237F6"/>
    <w:rsid w:val="00D2519A"/>
    <w:rsid w:val="00D2571B"/>
    <w:rsid w:val="00D25FA6"/>
    <w:rsid w:val="00D2676E"/>
    <w:rsid w:val="00D26A69"/>
    <w:rsid w:val="00D30CFF"/>
    <w:rsid w:val="00D32695"/>
    <w:rsid w:val="00D32707"/>
    <w:rsid w:val="00D32A71"/>
    <w:rsid w:val="00D32AAC"/>
    <w:rsid w:val="00D32B62"/>
    <w:rsid w:val="00D33505"/>
    <w:rsid w:val="00D3378A"/>
    <w:rsid w:val="00D33EB7"/>
    <w:rsid w:val="00D35617"/>
    <w:rsid w:val="00D35B81"/>
    <w:rsid w:val="00D369A8"/>
    <w:rsid w:val="00D36F27"/>
    <w:rsid w:val="00D371D8"/>
    <w:rsid w:val="00D3733B"/>
    <w:rsid w:val="00D37E43"/>
    <w:rsid w:val="00D41A53"/>
    <w:rsid w:val="00D41AC4"/>
    <w:rsid w:val="00D41DEF"/>
    <w:rsid w:val="00D42BB1"/>
    <w:rsid w:val="00D431F9"/>
    <w:rsid w:val="00D43575"/>
    <w:rsid w:val="00D43EB6"/>
    <w:rsid w:val="00D44D90"/>
    <w:rsid w:val="00D46795"/>
    <w:rsid w:val="00D4765B"/>
    <w:rsid w:val="00D47689"/>
    <w:rsid w:val="00D4768B"/>
    <w:rsid w:val="00D509E2"/>
    <w:rsid w:val="00D51421"/>
    <w:rsid w:val="00D5172E"/>
    <w:rsid w:val="00D52888"/>
    <w:rsid w:val="00D53923"/>
    <w:rsid w:val="00D53A9E"/>
    <w:rsid w:val="00D53D94"/>
    <w:rsid w:val="00D53FA8"/>
    <w:rsid w:val="00D541E6"/>
    <w:rsid w:val="00D54968"/>
    <w:rsid w:val="00D562F4"/>
    <w:rsid w:val="00D56D10"/>
    <w:rsid w:val="00D5758C"/>
    <w:rsid w:val="00D57613"/>
    <w:rsid w:val="00D5786B"/>
    <w:rsid w:val="00D57D48"/>
    <w:rsid w:val="00D57EA2"/>
    <w:rsid w:val="00D60887"/>
    <w:rsid w:val="00D60EE7"/>
    <w:rsid w:val="00D6117F"/>
    <w:rsid w:val="00D62768"/>
    <w:rsid w:val="00D63221"/>
    <w:rsid w:val="00D644A5"/>
    <w:rsid w:val="00D645CC"/>
    <w:rsid w:val="00D653B2"/>
    <w:rsid w:val="00D653C0"/>
    <w:rsid w:val="00D65B1E"/>
    <w:rsid w:val="00D679E7"/>
    <w:rsid w:val="00D70EB2"/>
    <w:rsid w:val="00D7102A"/>
    <w:rsid w:val="00D71379"/>
    <w:rsid w:val="00D717B2"/>
    <w:rsid w:val="00D71AE4"/>
    <w:rsid w:val="00D732FE"/>
    <w:rsid w:val="00D7331A"/>
    <w:rsid w:val="00D73C27"/>
    <w:rsid w:val="00D741C1"/>
    <w:rsid w:val="00D752C8"/>
    <w:rsid w:val="00D75884"/>
    <w:rsid w:val="00D75A49"/>
    <w:rsid w:val="00D77603"/>
    <w:rsid w:val="00D77F2E"/>
    <w:rsid w:val="00D8008F"/>
    <w:rsid w:val="00D81A7B"/>
    <w:rsid w:val="00D81E97"/>
    <w:rsid w:val="00D82CA4"/>
    <w:rsid w:val="00D82FAA"/>
    <w:rsid w:val="00D833C0"/>
    <w:rsid w:val="00D83AC5"/>
    <w:rsid w:val="00D83CF7"/>
    <w:rsid w:val="00D8431F"/>
    <w:rsid w:val="00D87565"/>
    <w:rsid w:val="00D90E19"/>
    <w:rsid w:val="00D91AB9"/>
    <w:rsid w:val="00D92520"/>
    <w:rsid w:val="00D92762"/>
    <w:rsid w:val="00D92C11"/>
    <w:rsid w:val="00D9463D"/>
    <w:rsid w:val="00D94E5A"/>
    <w:rsid w:val="00D953DB"/>
    <w:rsid w:val="00D95423"/>
    <w:rsid w:val="00D95E41"/>
    <w:rsid w:val="00D962A5"/>
    <w:rsid w:val="00D96C54"/>
    <w:rsid w:val="00D96D13"/>
    <w:rsid w:val="00D96E6A"/>
    <w:rsid w:val="00D97B66"/>
    <w:rsid w:val="00DA029F"/>
    <w:rsid w:val="00DA02F6"/>
    <w:rsid w:val="00DA0BB4"/>
    <w:rsid w:val="00DA1034"/>
    <w:rsid w:val="00DA2049"/>
    <w:rsid w:val="00DA3515"/>
    <w:rsid w:val="00DA4224"/>
    <w:rsid w:val="00DA490E"/>
    <w:rsid w:val="00DA53E6"/>
    <w:rsid w:val="00DA58FC"/>
    <w:rsid w:val="00DA5D2A"/>
    <w:rsid w:val="00DA61BD"/>
    <w:rsid w:val="00DA6FF4"/>
    <w:rsid w:val="00DB0A63"/>
    <w:rsid w:val="00DB10CF"/>
    <w:rsid w:val="00DB12B7"/>
    <w:rsid w:val="00DB2D15"/>
    <w:rsid w:val="00DB485F"/>
    <w:rsid w:val="00DB5581"/>
    <w:rsid w:val="00DB5C0D"/>
    <w:rsid w:val="00DB5F2D"/>
    <w:rsid w:val="00DB6295"/>
    <w:rsid w:val="00DB657A"/>
    <w:rsid w:val="00DB66AA"/>
    <w:rsid w:val="00DB76E2"/>
    <w:rsid w:val="00DB78B8"/>
    <w:rsid w:val="00DC006A"/>
    <w:rsid w:val="00DC1236"/>
    <w:rsid w:val="00DC1660"/>
    <w:rsid w:val="00DC1C1F"/>
    <w:rsid w:val="00DC28BE"/>
    <w:rsid w:val="00DC293D"/>
    <w:rsid w:val="00DC29C6"/>
    <w:rsid w:val="00DC3050"/>
    <w:rsid w:val="00DC3895"/>
    <w:rsid w:val="00DC53AC"/>
    <w:rsid w:val="00DC5FC2"/>
    <w:rsid w:val="00DC7A17"/>
    <w:rsid w:val="00DC7D77"/>
    <w:rsid w:val="00DC7DD1"/>
    <w:rsid w:val="00DD0BC2"/>
    <w:rsid w:val="00DD1661"/>
    <w:rsid w:val="00DD17AC"/>
    <w:rsid w:val="00DD1A3D"/>
    <w:rsid w:val="00DD1B23"/>
    <w:rsid w:val="00DD1FA4"/>
    <w:rsid w:val="00DD2485"/>
    <w:rsid w:val="00DD3BB5"/>
    <w:rsid w:val="00DD4539"/>
    <w:rsid w:val="00DD55B5"/>
    <w:rsid w:val="00DD5B89"/>
    <w:rsid w:val="00DD606F"/>
    <w:rsid w:val="00DD685E"/>
    <w:rsid w:val="00DD7722"/>
    <w:rsid w:val="00DD7B6F"/>
    <w:rsid w:val="00DD7BCA"/>
    <w:rsid w:val="00DE04D0"/>
    <w:rsid w:val="00DE093C"/>
    <w:rsid w:val="00DE107C"/>
    <w:rsid w:val="00DE1878"/>
    <w:rsid w:val="00DE1CE9"/>
    <w:rsid w:val="00DE3504"/>
    <w:rsid w:val="00DE4B9B"/>
    <w:rsid w:val="00DE6E08"/>
    <w:rsid w:val="00DE7353"/>
    <w:rsid w:val="00DF0480"/>
    <w:rsid w:val="00DF0668"/>
    <w:rsid w:val="00DF06A3"/>
    <w:rsid w:val="00DF16FA"/>
    <w:rsid w:val="00DF1D77"/>
    <w:rsid w:val="00DF23EF"/>
    <w:rsid w:val="00DF2AD5"/>
    <w:rsid w:val="00DF339F"/>
    <w:rsid w:val="00DF3BF0"/>
    <w:rsid w:val="00DF51B5"/>
    <w:rsid w:val="00DF5613"/>
    <w:rsid w:val="00DF6086"/>
    <w:rsid w:val="00DF62FD"/>
    <w:rsid w:val="00DF63D9"/>
    <w:rsid w:val="00DF6518"/>
    <w:rsid w:val="00DF6D04"/>
    <w:rsid w:val="00DF7B8D"/>
    <w:rsid w:val="00E00232"/>
    <w:rsid w:val="00E00447"/>
    <w:rsid w:val="00E01646"/>
    <w:rsid w:val="00E034C8"/>
    <w:rsid w:val="00E03E14"/>
    <w:rsid w:val="00E0564D"/>
    <w:rsid w:val="00E06A32"/>
    <w:rsid w:val="00E06AC5"/>
    <w:rsid w:val="00E07749"/>
    <w:rsid w:val="00E11A8E"/>
    <w:rsid w:val="00E11B0B"/>
    <w:rsid w:val="00E128BC"/>
    <w:rsid w:val="00E13B83"/>
    <w:rsid w:val="00E13FA8"/>
    <w:rsid w:val="00E142EB"/>
    <w:rsid w:val="00E14573"/>
    <w:rsid w:val="00E14D47"/>
    <w:rsid w:val="00E14E51"/>
    <w:rsid w:val="00E14F90"/>
    <w:rsid w:val="00E15D57"/>
    <w:rsid w:val="00E20116"/>
    <w:rsid w:val="00E20276"/>
    <w:rsid w:val="00E20590"/>
    <w:rsid w:val="00E20942"/>
    <w:rsid w:val="00E2116D"/>
    <w:rsid w:val="00E218C3"/>
    <w:rsid w:val="00E21DC8"/>
    <w:rsid w:val="00E22492"/>
    <w:rsid w:val="00E23750"/>
    <w:rsid w:val="00E23AAC"/>
    <w:rsid w:val="00E246C7"/>
    <w:rsid w:val="00E24D0E"/>
    <w:rsid w:val="00E25833"/>
    <w:rsid w:val="00E259AD"/>
    <w:rsid w:val="00E267EA"/>
    <w:rsid w:val="00E26CBE"/>
    <w:rsid w:val="00E26FFF"/>
    <w:rsid w:val="00E274BC"/>
    <w:rsid w:val="00E2768A"/>
    <w:rsid w:val="00E278B2"/>
    <w:rsid w:val="00E30111"/>
    <w:rsid w:val="00E30525"/>
    <w:rsid w:val="00E30650"/>
    <w:rsid w:val="00E330ED"/>
    <w:rsid w:val="00E3415E"/>
    <w:rsid w:val="00E34460"/>
    <w:rsid w:val="00E352E8"/>
    <w:rsid w:val="00E36776"/>
    <w:rsid w:val="00E37423"/>
    <w:rsid w:val="00E3750F"/>
    <w:rsid w:val="00E37F57"/>
    <w:rsid w:val="00E401D7"/>
    <w:rsid w:val="00E40D0B"/>
    <w:rsid w:val="00E40FF7"/>
    <w:rsid w:val="00E423D3"/>
    <w:rsid w:val="00E42882"/>
    <w:rsid w:val="00E43472"/>
    <w:rsid w:val="00E436DD"/>
    <w:rsid w:val="00E43BC0"/>
    <w:rsid w:val="00E44E2C"/>
    <w:rsid w:val="00E45173"/>
    <w:rsid w:val="00E4518D"/>
    <w:rsid w:val="00E458AB"/>
    <w:rsid w:val="00E45C3A"/>
    <w:rsid w:val="00E4617D"/>
    <w:rsid w:val="00E46F35"/>
    <w:rsid w:val="00E46F81"/>
    <w:rsid w:val="00E509AE"/>
    <w:rsid w:val="00E50C4B"/>
    <w:rsid w:val="00E511FB"/>
    <w:rsid w:val="00E5150C"/>
    <w:rsid w:val="00E51601"/>
    <w:rsid w:val="00E51FEE"/>
    <w:rsid w:val="00E533A8"/>
    <w:rsid w:val="00E54D0B"/>
    <w:rsid w:val="00E55085"/>
    <w:rsid w:val="00E555E8"/>
    <w:rsid w:val="00E57770"/>
    <w:rsid w:val="00E5786A"/>
    <w:rsid w:val="00E615E5"/>
    <w:rsid w:val="00E61CD0"/>
    <w:rsid w:val="00E62751"/>
    <w:rsid w:val="00E62905"/>
    <w:rsid w:val="00E638F6"/>
    <w:rsid w:val="00E63A52"/>
    <w:rsid w:val="00E643C8"/>
    <w:rsid w:val="00E6512B"/>
    <w:rsid w:val="00E66136"/>
    <w:rsid w:val="00E66610"/>
    <w:rsid w:val="00E67198"/>
    <w:rsid w:val="00E67302"/>
    <w:rsid w:val="00E6739C"/>
    <w:rsid w:val="00E70035"/>
    <w:rsid w:val="00E70BFE"/>
    <w:rsid w:val="00E70D43"/>
    <w:rsid w:val="00E70E8D"/>
    <w:rsid w:val="00E71A97"/>
    <w:rsid w:val="00E722D3"/>
    <w:rsid w:val="00E732C3"/>
    <w:rsid w:val="00E73424"/>
    <w:rsid w:val="00E73B06"/>
    <w:rsid w:val="00E73DFF"/>
    <w:rsid w:val="00E74891"/>
    <w:rsid w:val="00E75220"/>
    <w:rsid w:val="00E76730"/>
    <w:rsid w:val="00E76B85"/>
    <w:rsid w:val="00E76FB9"/>
    <w:rsid w:val="00E8056A"/>
    <w:rsid w:val="00E806A9"/>
    <w:rsid w:val="00E80BAD"/>
    <w:rsid w:val="00E80E7E"/>
    <w:rsid w:val="00E81AA8"/>
    <w:rsid w:val="00E81BEC"/>
    <w:rsid w:val="00E82765"/>
    <w:rsid w:val="00E82EE2"/>
    <w:rsid w:val="00E83B19"/>
    <w:rsid w:val="00E84689"/>
    <w:rsid w:val="00E84F68"/>
    <w:rsid w:val="00E85823"/>
    <w:rsid w:val="00E85DED"/>
    <w:rsid w:val="00E863CB"/>
    <w:rsid w:val="00E875A1"/>
    <w:rsid w:val="00E911E7"/>
    <w:rsid w:val="00E938DF"/>
    <w:rsid w:val="00E93BDF"/>
    <w:rsid w:val="00E955C3"/>
    <w:rsid w:val="00E960A8"/>
    <w:rsid w:val="00E96981"/>
    <w:rsid w:val="00E96AFC"/>
    <w:rsid w:val="00E96E77"/>
    <w:rsid w:val="00E97A41"/>
    <w:rsid w:val="00EA1DC7"/>
    <w:rsid w:val="00EA1EE6"/>
    <w:rsid w:val="00EA3516"/>
    <w:rsid w:val="00EA39DB"/>
    <w:rsid w:val="00EA40CC"/>
    <w:rsid w:val="00EA562E"/>
    <w:rsid w:val="00EA5F0C"/>
    <w:rsid w:val="00EA6067"/>
    <w:rsid w:val="00EA64F0"/>
    <w:rsid w:val="00EA6871"/>
    <w:rsid w:val="00EA7EDC"/>
    <w:rsid w:val="00EB06A2"/>
    <w:rsid w:val="00EB11B1"/>
    <w:rsid w:val="00EB11C0"/>
    <w:rsid w:val="00EB277A"/>
    <w:rsid w:val="00EB28C1"/>
    <w:rsid w:val="00EB2AB2"/>
    <w:rsid w:val="00EB2B02"/>
    <w:rsid w:val="00EB39E9"/>
    <w:rsid w:val="00EB432B"/>
    <w:rsid w:val="00EB4806"/>
    <w:rsid w:val="00EB4CE9"/>
    <w:rsid w:val="00EB50E1"/>
    <w:rsid w:val="00EB54DE"/>
    <w:rsid w:val="00EB5752"/>
    <w:rsid w:val="00EB5C68"/>
    <w:rsid w:val="00EB6303"/>
    <w:rsid w:val="00EC0034"/>
    <w:rsid w:val="00EC13FC"/>
    <w:rsid w:val="00EC1721"/>
    <w:rsid w:val="00EC2DE2"/>
    <w:rsid w:val="00EC3337"/>
    <w:rsid w:val="00EC39A3"/>
    <w:rsid w:val="00EC39B1"/>
    <w:rsid w:val="00EC3F5A"/>
    <w:rsid w:val="00EC46EE"/>
    <w:rsid w:val="00EC499E"/>
    <w:rsid w:val="00EC4AD1"/>
    <w:rsid w:val="00EC4F0B"/>
    <w:rsid w:val="00EC5E1B"/>
    <w:rsid w:val="00EC71E7"/>
    <w:rsid w:val="00EC75C7"/>
    <w:rsid w:val="00EC77E2"/>
    <w:rsid w:val="00ED0858"/>
    <w:rsid w:val="00ED1734"/>
    <w:rsid w:val="00ED20C3"/>
    <w:rsid w:val="00ED2829"/>
    <w:rsid w:val="00ED3B2B"/>
    <w:rsid w:val="00ED3C00"/>
    <w:rsid w:val="00ED3C69"/>
    <w:rsid w:val="00ED4DAF"/>
    <w:rsid w:val="00ED5457"/>
    <w:rsid w:val="00ED6282"/>
    <w:rsid w:val="00ED631F"/>
    <w:rsid w:val="00ED67E3"/>
    <w:rsid w:val="00ED6F3D"/>
    <w:rsid w:val="00ED798F"/>
    <w:rsid w:val="00ED7A91"/>
    <w:rsid w:val="00ED7FE2"/>
    <w:rsid w:val="00EE00D5"/>
    <w:rsid w:val="00EE1178"/>
    <w:rsid w:val="00EE16C7"/>
    <w:rsid w:val="00EE1FD7"/>
    <w:rsid w:val="00EE2129"/>
    <w:rsid w:val="00EE2E10"/>
    <w:rsid w:val="00EE339C"/>
    <w:rsid w:val="00EE424B"/>
    <w:rsid w:val="00EE434E"/>
    <w:rsid w:val="00EE4DB3"/>
    <w:rsid w:val="00EE508C"/>
    <w:rsid w:val="00EE5996"/>
    <w:rsid w:val="00EE5A51"/>
    <w:rsid w:val="00EE5AEF"/>
    <w:rsid w:val="00EE6955"/>
    <w:rsid w:val="00EF00CE"/>
    <w:rsid w:val="00EF03CB"/>
    <w:rsid w:val="00EF0783"/>
    <w:rsid w:val="00EF14DC"/>
    <w:rsid w:val="00EF15BF"/>
    <w:rsid w:val="00EF20AF"/>
    <w:rsid w:val="00EF27CB"/>
    <w:rsid w:val="00EF2EEF"/>
    <w:rsid w:val="00EF38C4"/>
    <w:rsid w:val="00EF41C2"/>
    <w:rsid w:val="00EF4A8D"/>
    <w:rsid w:val="00EF5247"/>
    <w:rsid w:val="00EF607C"/>
    <w:rsid w:val="00EF61B5"/>
    <w:rsid w:val="00EF6E3C"/>
    <w:rsid w:val="00EF7092"/>
    <w:rsid w:val="00F02486"/>
    <w:rsid w:val="00F024BF"/>
    <w:rsid w:val="00F03A39"/>
    <w:rsid w:val="00F044B5"/>
    <w:rsid w:val="00F046BB"/>
    <w:rsid w:val="00F049F9"/>
    <w:rsid w:val="00F04B0B"/>
    <w:rsid w:val="00F04EAE"/>
    <w:rsid w:val="00F05658"/>
    <w:rsid w:val="00F06C8D"/>
    <w:rsid w:val="00F074C8"/>
    <w:rsid w:val="00F10715"/>
    <w:rsid w:val="00F10D76"/>
    <w:rsid w:val="00F10FBC"/>
    <w:rsid w:val="00F11890"/>
    <w:rsid w:val="00F12426"/>
    <w:rsid w:val="00F129FA"/>
    <w:rsid w:val="00F13721"/>
    <w:rsid w:val="00F1434F"/>
    <w:rsid w:val="00F14539"/>
    <w:rsid w:val="00F14868"/>
    <w:rsid w:val="00F14C95"/>
    <w:rsid w:val="00F14FE9"/>
    <w:rsid w:val="00F15BB6"/>
    <w:rsid w:val="00F16CA7"/>
    <w:rsid w:val="00F17C8C"/>
    <w:rsid w:val="00F20AAA"/>
    <w:rsid w:val="00F2238F"/>
    <w:rsid w:val="00F24423"/>
    <w:rsid w:val="00F24D9B"/>
    <w:rsid w:val="00F25C8C"/>
    <w:rsid w:val="00F25FB1"/>
    <w:rsid w:val="00F26114"/>
    <w:rsid w:val="00F26542"/>
    <w:rsid w:val="00F27F85"/>
    <w:rsid w:val="00F30B22"/>
    <w:rsid w:val="00F30F25"/>
    <w:rsid w:val="00F31296"/>
    <w:rsid w:val="00F3168A"/>
    <w:rsid w:val="00F3173B"/>
    <w:rsid w:val="00F3194B"/>
    <w:rsid w:val="00F31DEC"/>
    <w:rsid w:val="00F32276"/>
    <w:rsid w:val="00F3348E"/>
    <w:rsid w:val="00F334C2"/>
    <w:rsid w:val="00F334D4"/>
    <w:rsid w:val="00F33589"/>
    <w:rsid w:val="00F345B9"/>
    <w:rsid w:val="00F36256"/>
    <w:rsid w:val="00F36378"/>
    <w:rsid w:val="00F36A76"/>
    <w:rsid w:val="00F40460"/>
    <w:rsid w:val="00F412F0"/>
    <w:rsid w:val="00F420A5"/>
    <w:rsid w:val="00F433D1"/>
    <w:rsid w:val="00F4381B"/>
    <w:rsid w:val="00F43831"/>
    <w:rsid w:val="00F43F22"/>
    <w:rsid w:val="00F44151"/>
    <w:rsid w:val="00F44737"/>
    <w:rsid w:val="00F448E1"/>
    <w:rsid w:val="00F44BFD"/>
    <w:rsid w:val="00F44C91"/>
    <w:rsid w:val="00F45E89"/>
    <w:rsid w:val="00F460C3"/>
    <w:rsid w:val="00F47AAB"/>
    <w:rsid w:val="00F51CD5"/>
    <w:rsid w:val="00F542F4"/>
    <w:rsid w:val="00F54D29"/>
    <w:rsid w:val="00F55174"/>
    <w:rsid w:val="00F559F4"/>
    <w:rsid w:val="00F55EB7"/>
    <w:rsid w:val="00F5607D"/>
    <w:rsid w:val="00F56184"/>
    <w:rsid w:val="00F571D6"/>
    <w:rsid w:val="00F576F0"/>
    <w:rsid w:val="00F60AC0"/>
    <w:rsid w:val="00F60F68"/>
    <w:rsid w:val="00F612E8"/>
    <w:rsid w:val="00F616E5"/>
    <w:rsid w:val="00F61C4E"/>
    <w:rsid w:val="00F63382"/>
    <w:rsid w:val="00F63FBA"/>
    <w:rsid w:val="00F65CE3"/>
    <w:rsid w:val="00F66B0F"/>
    <w:rsid w:val="00F66D59"/>
    <w:rsid w:val="00F67217"/>
    <w:rsid w:val="00F67587"/>
    <w:rsid w:val="00F701B0"/>
    <w:rsid w:val="00F70215"/>
    <w:rsid w:val="00F71583"/>
    <w:rsid w:val="00F71F83"/>
    <w:rsid w:val="00F727DB"/>
    <w:rsid w:val="00F73F4E"/>
    <w:rsid w:val="00F74701"/>
    <w:rsid w:val="00F75281"/>
    <w:rsid w:val="00F75730"/>
    <w:rsid w:val="00F75EC5"/>
    <w:rsid w:val="00F75FB4"/>
    <w:rsid w:val="00F80088"/>
    <w:rsid w:val="00F80C93"/>
    <w:rsid w:val="00F80D55"/>
    <w:rsid w:val="00F80D5A"/>
    <w:rsid w:val="00F8236E"/>
    <w:rsid w:val="00F82B2B"/>
    <w:rsid w:val="00F82D6A"/>
    <w:rsid w:val="00F82EF2"/>
    <w:rsid w:val="00F8307B"/>
    <w:rsid w:val="00F834BD"/>
    <w:rsid w:val="00F840CA"/>
    <w:rsid w:val="00F841F1"/>
    <w:rsid w:val="00F848B6"/>
    <w:rsid w:val="00F84A57"/>
    <w:rsid w:val="00F84CDC"/>
    <w:rsid w:val="00F85782"/>
    <w:rsid w:val="00F861DE"/>
    <w:rsid w:val="00F86579"/>
    <w:rsid w:val="00F86879"/>
    <w:rsid w:val="00F8710D"/>
    <w:rsid w:val="00F905EB"/>
    <w:rsid w:val="00F909FD"/>
    <w:rsid w:val="00F9143E"/>
    <w:rsid w:val="00F92305"/>
    <w:rsid w:val="00F928D6"/>
    <w:rsid w:val="00F92B9A"/>
    <w:rsid w:val="00F92CF8"/>
    <w:rsid w:val="00F937C8"/>
    <w:rsid w:val="00F949AC"/>
    <w:rsid w:val="00F94CD7"/>
    <w:rsid w:val="00F96673"/>
    <w:rsid w:val="00F96A1C"/>
    <w:rsid w:val="00FA0610"/>
    <w:rsid w:val="00FA0FEA"/>
    <w:rsid w:val="00FA160B"/>
    <w:rsid w:val="00FA1857"/>
    <w:rsid w:val="00FA1928"/>
    <w:rsid w:val="00FA27FB"/>
    <w:rsid w:val="00FA2D7E"/>
    <w:rsid w:val="00FA31CD"/>
    <w:rsid w:val="00FA385E"/>
    <w:rsid w:val="00FA4104"/>
    <w:rsid w:val="00FA416C"/>
    <w:rsid w:val="00FA4F60"/>
    <w:rsid w:val="00FA5064"/>
    <w:rsid w:val="00FA57F8"/>
    <w:rsid w:val="00FA582F"/>
    <w:rsid w:val="00FA7177"/>
    <w:rsid w:val="00FA77B5"/>
    <w:rsid w:val="00FA7958"/>
    <w:rsid w:val="00FB001E"/>
    <w:rsid w:val="00FB0137"/>
    <w:rsid w:val="00FB0174"/>
    <w:rsid w:val="00FB0CB4"/>
    <w:rsid w:val="00FB122E"/>
    <w:rsid w:val="00FB1979"/>
    <w:rsid w:val="00FB1A5A"/>
    <w:rsid w:val="00FB267A"/>
    <w:rsid w:val="00FB2997"/>
    <w:rsid w:val="00FB315E"/>
    <w:rsid w:val="00FB5000"/>
    <w:rsid w:val="00FB55C8"/>
    <w:rsid w:val="00FB5AC8"/>
    <w:rsid w:val="00FB656B"/>
    <w:rsid w:val="00FB6E18"/>
    <w:rsid w:val="00FB7A41"/>
    <w:rsid w:val="00FC03A5"/>
    <w:rsid w:val="00FC096B"/>
    <w:rsid w:val="00FC0D52"/>
    <w:rsid w:val="00FC0DC9"/>
    <w:rsid w:val="00FC2A03"/>
    <w:rsid w:val="00FC2EC0"/>
    <w:rsid w:val="00FC3FAF"/>
    <w:rsid w:val="00FC403A"/>
    <w:rsid w:val="00FC424A"/>
    <w:rsid w:val="00FC5126"/>
    <w:rsid w:val="00FC530F"/>
    <w:rsid w:val="00FC5E4D"/>
    <w:rsid w:val="00FC607D"/>
    <w:rsid w:val="00FC7DA6"/>
    <w:rsid w:val="00FD0932"/>
    <w:rsid w:val="00FD0D4F"/>
    <w:rsid w:val="00FD0E42"/>
    <w:rsid w:val="00FD0ED6"/>
    <w:rsid w:val="00FD158A"/>
    <w:rsid w:val="00FD1BC6"/>
    <w:rsid w:val="00FD282E"/>
    <w:rsid w:val="00FD28EC"/>
    <w:rsid w:val="00FD3331"/>
    <w:rsid w:val="00FD34CB"/>
    <w:rsid w:val="00FD366C"/>
    <w:rsid w:val="00FD3A0A"/>
    <w:rsid w:val="00FD5F78"/>
    <w:rsid w:val="00FD6881"/>
    <w:rsid w:val="00FD7019"/>
    <w:rsid w:val="00FD73E9"/>
    <w:rsid w:val="00FD73F2"/>
    <w:rsid w:val="00FD775D"/>
    <w:rsid w:val="00FD7AF8"/>
    <w:rsid w:val="00FD7C39"/>
    <w:rsid w:val="00FD7ED7"/>
    <w:rsid w:val="00FE0583"/>
    <w:rsid w:val="00FE0AFF"/>
    <w:rsid w:val="00FE0B8B"/>
    <w:rsid w:val="00FE140D"/>
    <w:rsid w:val="00FE1E81"/>
    <w:rsid w:val="00FE1F54"/>
    <w:rsid w:val="00FE217C"/>
    <w:rsid w:val="00FE28AC"/>
    <w:rsid w:val="00FE3106"/>
    <w:rsid w:val="00FE44D1"/>
    <w:rsid w:val="00FE4DA8"/>
    <w:rsid w:val="00FE53AC"/>
    <w:rsid w:val="00FE596B"/>
    <w:rsid w:val="00FE5CA2"/>
    <w:rsid w:val="00FE6BF0"/>
    <w:rsid w:val="00FE6E2F"/>
    <w:rsid w:val="00FE75B7"/>
    <w:rsid w:val="00FE771A"/>
    <w:rsid w:val="00FF04EB"/>
    <w:rsid w:val="00FF1F6F"/>
    <w:rsid w:val="00FF208D"/>
    <w:rsid w:val="00FF3295"/>
    <w:rsid w:val="00FF3872"/>
    <w:rsid w:val="00FF5530"/>
    <w:rsid w:val="00FF6316"/>
    <w:rsid w:val="00FF7040"/>
    <w:rsid w:val="00FF750B"/>
    <w:rsid w:val="00FF7762"/>
    <w:rsid w:val="00FF778C"/>
    <w:rsid w:val="00FF7AB2"/>
    <w:rsid w:val="01072402"/>
    <w:rsid w:val="01BE9A27"/>
    <w:rsid w:val="0512D788"/>
    <w:rsid w:val="05156AC1"/>
    <w:rsid w:val="06893314"/>
    <w:rsid w:val="069E02F5"/>
    <w:rsid w:val="078A08D5"/>
    <w:rsid w:val="0C2D6AD4"/>
    <w:rsid w:val="0E099AC3"/>
    <w:rsid w:val="1387A074"/>
    <w:rsid w:val="142C1775"/>
    <w:rsid w:val="15959159"/>
    <w:rsid w:val="1685355F"/>
    <w:rsid w:val="16DA8FE6"/>
    <w:rsid w:val="18AE6D22"/>
    <w:rsid w:val="1CEDD8CD"/>
    <w:rsid w:val="1E52AE9D"/>
    <w:rsid w:val="1EA23398"/>
    <w:rsid w:val="1F990315"/>
    <w:rsid w:val="23F4F414"/>
    <w:rsid w:val="25787A9B"/>
    <w:rsid w:val="25FD345E"/>
    <w:rsid w:val="26D541DF"/>
    <w:rsid w:val="2AC4DB4C"/>
    <w:rsid w:val="2B786AEE"/>
    <w:rsid w:val="2BD06DF7"/>
    <w:rsid w:val="2DB294AA"/>
    <w:rsid w:val="2E47170F"/>
    <w:rsid w:val="303D9838"/>
    <w:rsid w:val="30806F0C"/>
    <w:rsid w:val="32A7C59E"/>
    <w:rsid w:val="34133764"/>
    <w:rsid w:val="35BC58F7"/>
    <w:rsid w:val="3603D706"/>
    <w:rsid w:val="39E2171E"/>
    <w:rsid w:val="3ACD6BAE"/>
    <w:rsid w:val="3B5A31B5"/>
    <w:rsid w:val="3C246530"/>
    <w:rsid w:val="3CA1031A"/>
    <w:rsid w:val="3ECA994C"/>
    <w:rsid w:val="3EDED1B5"/>
    <w:rsid w:val="4023A2A2"/>
    <w:rsid w:val="40DAD1E6"/>
    <w:rsid w:val="42960494"/>
    <w:rsid w:val="451C5275"/>
    <w:rsid w:val="47306140"/>
    <w:rsid w:val="48C4D141"/>
    <w:rsid w:val="4FD8CAAD"/>
    <w:rsid w:val="4FF4CCC3"/>
    <w:rsid w:val="517D08BC"/>
    <w:rsid w:val="520E691C"/>
    <w:rsid w:val="528D09F5"/>
    <w:rsid w:val="59B7655D"/>
    <w:rsid w:val="5CEBC8C6"/>
    <w:rsid w:val="5E1DBADD"/>
    <w:rsid w:val="61962CE3"/>
    <w:rsid w:val="637B48E9"/>
    <w:rsid w:val="6749284D"/>
    <w:rsid w:val="67B99CF4"/>
    <w:rsid w:val="6A30E3E6"/>
    <w:rsid w:val="6C20D7E7"/>
    <w:rsid w:val="704C6DB5"/>
    <w:rsid w:val="71DF738E"/>
    <w:rsid w:val="76418AF3"/>
    <w:rsid w:val="76986AFB"/>
    <w:rsid w:val="769EDE37"/>
    <w:rsid w:val="7721FDCF"/>
    <w:rsid w:val="77E53FA5"/>
    <w:rsid w:val="786ECF9A"/>
    <w:rsid w:val="7E076128"/>
    <w:rsid w:val="7E548387"/>
    <w:rsid w:val="7F176DA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9d9489"/>
    </o:shapedefaults>
    <o:shapelayout v:ext="edit">
      <o:idmap v:ext="edit" data="1"/>
    </o:shapelayout>
  </w:shapeDefaults>
  <w:decimalSymbol w:val="."/>
  <w:listSeparator w:val=","/>
  <w14:docId w14:val="3B2FC429"/>
  <w15:docId w15:val="{73691AC7-A421-4E6E-BEAE-C2218D62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808080" w:themeColor="background1" w:themeShade="80"/>
        <w:sz w:val="24"/>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255"/>
    <w:rPr>
      <w:color w:val="auto"/>
      <w:sz w:val="22"/>
    </w:rPr>
  </w:style>
  <w:style w:type="paragraph" w:styleId="Heading1">
    <w:name w:val="heading 1"/>
    <w:basedOn w:val="Normal"/>
    <w:next w:val="Normal"/>
    <w:link w:val="Heading1Char"/>
    <w:autoRedefine/>
    <w:qFormat/>
    <w:rsid w:val="00811DB6"/>
    <w:pPr>
      <w:keepNext/>
      <w:keepLines/>
      <w:pageBreakBefore/>
      <w:numPr>
        <w:numId w:val="3"/>
      </w:numPr>
      <w:spacing w:after="240" w:line="240" w:lineRule="auto"/>
      <w:ind w:left="567" w:hanging="567"/>
      <w:outlineLvl w:val="0"/>
    </w:pPr>
    <w:rPr>
      <w:rFonts w:eastAsiaTheme="majorEastAsia" w:cstheme="majorBidi"/>
      <w:b/>
      <w:bCs/>
      <w:noProof/>
      <w:color w:val="84BD00"/>
      <w:sz w:val="32"/>
      <w:szCs w:val="32"/>
      <w:lang w:val="en-US" w:eastAsia="en-AU"/>
    </w:rPr>
  </w:style>
  <w:style w:type="paragraph" w:styleId="Heading2">
    <w:name w:val="heading 2"/>
    <w:basedOn w:val="Normal"/>
    <w:next w:val="Normal"/>
    <w:link w:val="Heading2Char"/>
    <w:unhideWhenUsed/>
    <w:qFormat/>
    <w:rsid w:val="00811DB6"/>
    <w:pPr>
      <w:keepNext/>
      <w:keepLines/>
      <w:numPr>
        <w:ilvl w:val="1"/>
        <w:numId w:val="3"/>
      </w:numPr>
      <w:spacing w:before="200" w:after="240"/>
      <w:ind w:left="567" w:hanging="567"/>
      <w:outlineLvl w:val="1"/>
    </w:pPr>
    <w:rPr>
      <w:rFonts w:eastAsia="Arial" w:cstheme="majorBidi"/>
      <w:b/>
      <w:bCs/>
      <w:color w:val="84BD00"/>
      <w:sz w:val="24"/>
      <w:szCs w:val="26"/>
      <w:lang w:eastAsia="en-AU"/>
    </w:rPr>
  </w:style>
  <w:style w:type="paragraph" w:styleId="Heading3">
    <w:name w:val="heading 3"/>
    <w:basedOn w:val="Normal"/>
    <w:next w:val="Normal"/>
    <w:link w:val="Heading3Char"/>
    <w:unhideWhenUsed/>
    <w:qFormat/>
    <w:rsid w:val="007015AB"/>
    <w:pPr>
      <w:keepNext/>
      <w:keepLines/>
      <w:spacing w:before="200" w:after="120"/>
      <w:outlineLvl w:val="2"/>
    </w:pPr>
    <w:rPr>
      <w:rFonts w:eastAsiaTheme="majorEastAsia" w:cs="Arial"/>
      <w:b/>
      <w:bCs/>
      <w:color w:val="84BD00"/>
      <w:sz w:val="24"/>
      <w:lang w:eastAsia="en-AU"/>
    </w:rPr>
  </w:style>
  <w:style w:type="paragraph" w:styleId="Heading4">
    <w:name w:val="heading 4"/>
    <w:basedOn w:val="Normal"/>
    <w:next w:val="Normal"/>
    <w:link w:val="Heading4Char"/>
    <w:unhideWhenUsed/>
    <w:qFormat/>
    <w:rsid w:val="00B6657E"/>
    <w:pPr>
      <w:keepNext/>
      <w:keepLines/>
      <w:spacing w:before="40" w:after="0" w:line="259" w:lineRule="auto"/>
      <w:outlineLvl w:val="3"/>
    </w:pPr>
    <w:rPr>
      <w:rFonts w:asciiTheme="majorHAnsi" w:eastAsiaTheme="majorEastAsia" w:hAnsiTheme="majorHAnsi" w:cstheme="majorBidi"/>
      <w:i/>
      <w:iCs/>
      <w:color w:val="365F91" w:themeColor="accent1" w:themeShade="BF"/>
      <w:sz w:val="24"/>
    </w:rPr>
  </w:style>
  <w:style w:type="paragraph" w:styleId="Heading5">
    <w:name w:val="heading 5"/>
    <w:basedOn w:val="Normal"/>
    <w:next w:val="Normal"/>
    <w:link w:val="Heading5Char"/>
    <w:unhideWhenUsed/>
    <w:qFormat/>
    <w:rsid w:val="00B6657E"/>
    <w:pPr>
      <w:tabs>
        <w:tab w:val="num" w:pos="3600"/>
      </w:tabs>
      <w:spacing w:after="60" w:line="240" w:lineRule="auto"/>
      <w:ind w:left="720" w:hanging="720"/>
      <w:outlineLvl w:val="4"/>
    </w:pPr>
    <w:rPr>
      <w:rFonts w:asciiTheme="minorHAnsi" w:eastAsiaTheme="minorEastAsia" w:hAnsiTheme="minorHAnsi"/>
      <w:bCs/>
      <w:i/>
      <w:iCs/>
      <w:lang w:val="en-US"/>
    </w:rPr>
  </w:style>
  <w:style w:type="paragraph" w:styleId="Heading6">
    <w:name w:val="heading 6"/>
    <w:basedOn w:val="Normal"/>
    <w:next w:val="Normal"/>
    <w:link w:val="Heading6Char"/>
    <w:qFormat/>
    <w:rsid w:val="00B6657E"/>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nhideWhenUsed/>
    <w:qFormat/>
    <w:rsid w:val="00B6657E"/>
    <w:pPr>
      <w:tabs>
        <w:tab w:val="num" w:pos="5040"/>
      </w:tabs>
      <w:spacing w:before="240" w:after="60" w:line="240" w:lineRule="auto"/>
      <w:ind w:left="5040" w:hanging="720"/>
      <w:outlineLvl w:val="6"/>
    </w:pPr>
    <w:rPr>
      <w:rFonts w:asciiTheme="minorHAnsi" w:eastAsiaTheme="minorEastAsia" w:hAnsiTheme="minorHAnsi"/>
      <w:sz w:val="24"/>
      <w:szCs w:val="24"/>
      <w:lang w:val="en-US"/>
    </w:rPr>
  </w:style>
  <w:style w:type="paragraph" w:styleId="Heading8">
    <w:name w:val="heading 8"/>
    <w:basedOn w:val="Normal"/>
    <w:next w:val="Normal"/>
    <w:link w:val="Heading8Char"/>
    <w:unhideWhenUsed/>
    <w:qFormat/>
    <w:rsid w:val="00B6657E"/>
    <w:pPr>
      <w:tabs>
        <w:tab w:val="num" w:pos="5760"/>
      </w:tabs>
      <w:spacing w:before="240" w:after="60" w:line="240" w:lineRule="auto"/>
      <w:ind w:left="5760" w:hanging="720"/>
      <w:outlineLvl w:val="7"/>
    </w:pPr>
    <w:rPr>
      <w:rFonts w:asciiTheme="minorHAnsi" w:eastAsiaTheme="minorEastAsia" w:hAnsiTheme="minorHAnsi"/>
      <w:i/>
      <w:iCs/>
      <w:sz w:val="24"/>
      <w:szCs w:val="24"/>
      <w:lang w:val="en-US"/>
    </w:rPr>
  </w:style>
  <w:style w:type="paragraph" w:styleId="Heading9">
    <w:name w:val="heading 9"/>
    <w:basedOn w:val="Normal"/>
    <w:next w:val="Normal"/>
    <w:link w:val="Heading9Char"/>
    <w:unhideWhenUsed/>
    <w:qFormat/>
    <w:rsid w:val="00B6657E"/>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1E3F"/>
    <w:pPr>
      <w:ind w:left="720"/>
      <w:contextualSpacing/>
    </w:pPr>
  </w:style>
  <w:style w:type="character" w:customStyle="1" w:styleId="apple-converted-space">
    <w:name w:val="apple-converted-space"/>
    <w:basedOn w:val="DefaultParagraphFont"/>
    <w:rsid w:val="00EE2E10"/>
  </w:style>
  <w:style w:type="character" w:styleId="Hyperlink">
    <w:name w:val="Hyperlink"/>
    <w:basedOn w:val="DefaultParagraphFont"/>
    <w:uiPriority w:val="99"/>
    <w:unhideWhenUsed/>
    <w:rsid w:val="00806D12"/>
    <w:rPr>
      <w:color w:val="0000FF" w:themeColor="hyperlink"/>
      <w:u w:val="single"/>
    </w:rPr>
  </w:style>
  <w:style w:type="paragraph" w:styleId="BodyText">
    <w:name w:val="Body Text"/>
    <w:aliases w:val="Suncorp Body Text"/>
    <w:basedOn w:val="Normal"/>
    <w:link w:val="BodyTextChar"/>
    <w:rsid w:val="006E0980"/>
    <w:pPr>
      <w:autoSpaceDE w:val="0"/>
      <w:autoSpaceDN w:val="0"/>
      <w:adjustRightInd w:val="0"/>
      <w:spacing w:before="120" w:after="120"/>
    </w:pPr>
    <w:rPr>
      <w:rFonts w:cs="Arial"/>
      <w:color w:val="000000" w:themeColor="text1"/>
      <w:sz w:val="20"/>
      <w:szCs w:val="18"/>
      <w:lang w:eastAsia="en-GB"/>
    </w:rPr>
  </w:style>
  <w:style w:type="character" w:customStyle="1" w:styleId="BodyTextChar">
    <w:name w:val="Body Text Char"/>
    <w:aliases w:val="Suncorp Body Text Char"/>
    <w:basedOn w:val="DefaultParagraphFont"/>
    <w:link w:val="BodyText"/>
    <w:rsid w:val="006E0980"/>
    <w:rPr>
      <w:rFonts w:ascii="Arial" w:hAnsi="Arial" w:cs="Arial"/>
      <w:color w:val="000000" w:themeColor="text1"/>
      <w:sz w:val="20"/>
      <w:szCs w:val="18"/>
      <w:lang w:eastAsia="en-GB"/>
    </w:rPr>
  </w:style>
  <w:style w:type="paragraph" w:customStyle="1" w:styleId="SuncorpBulletLevel1">
    <w:name w:val="Suncorp Bullet Level 1"/>
    <w:basedOn w:val="BodyText"/>
    <w:rsid w:val="006E0980"/>
    <w:pPr>
      <w:numPr>
        <w:numId w:val="1"/>
      </w:numPr>
      <w:spacing w:before="0" w:after="0"/>
      <w:ind w:left="709"/>
    </w:pPr>
  </w:style>
  <w:style w:type="character" w:customStyle="1" w:styleId="Heading1Char">
    <w:name w:val="Heading 1 Char"/>
    <w:basedOn w:val="DefaultParagraphFont"/>
    <w:link w:val="Heading1"/>
    <w:rsid w:val="00811DB6"/>
    <w:rPr>
      <w:rFonts w:eastAsiaTheme="majorEastAsia" w:cstheme="majorBidi"/>
      <w:b/>
      <w:bCs/>
      <w:noProof/>
      <w:color w:val="84BD00"/>
      <w:sz w:val="32"/>
      <w:szCs w:val="32"/>
      <w:lang w:val="en-US" w:eastAsia="en-AU"/>
    </w:rPr>
  </w:style>
  <w:style w:type="character" w:customStyle="1" w:styleId="Heading3Char">
    <w:name w:val="Heading 3 Char"/>
    <w:basedOn w:val="DefaultParagraphFont"/>
    <w:link w:val="Heading3"/>
    <w:rsid w:val="007015AB"/>
    <w:rPr>
      <w:rFonts w:eastAsiaTheme="majorEastAsia" w:cs="Arial"/>
      <w:b/>
      <w:bCs/>
      <w:color w:val="84BD00"/>
      <w:lang w:eastAsia="en-AU"/>
    </w:rPr>
  </w:style>
  <w:style w:type="character" w:customStyle="1" w:styleId="Heading2Char">
    <w:name w:val="Heading 2 Char"/>
    <w:basedOn w:val="DefaultParagraphFont"/>
    <w:link w:val="Heading2"/>
    <w:rsid w:val="00811DB6"/>
    <w:rPr>
      <w:rFonts w:eastAsia="Arial" w:cstheme="majorBidi"/>
      <w:b/>
      <w:bCs/>
      <w:color w:val="84BD00"/>
      <w:szCs w:val="26"/>
      <w:lang w:eastAsia="en-AU"/>
    </w:rPr>
  </w:style>
  <w:style w:type="paragraph" w:styleId="Header">
    <w:name w:val="header"/>
    <w:basedOn w:val="Normal"/>
    <w:link w:val="HeaderChar"/>
    <w:uiPriority w:val="99"/>
    <w:unhideWhenUsed/>
    <w:rsid w:val="006B26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68A"/>
  </w:style>
  <w:style w:type="paragraph" w:styleId="Footer">
    <w:name w:val="footer"/>
    <w:basedOn w:val="Normal"/>
    <w:link w:val="FooterChar"/>
    <w:uiPriority w:val="99"/>
    <w:unhideWhenUsed/>
    <w:rsid w:val="006B26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68A"/>
  </w:style>
  <w:style w:type="character" w:styleId="FootnoteReference">
    <w:name w:val="footnote reference"/>
    <w:basedOn w:val="DefaultParagraphFont"/>
    <w:uiPriority w:val="99"/>
    <w:unhideWhenUsed/>
    <w:rsid w:val="00E46F35"/>
    <w:rPr>
      <w:vertAlign w:val="superscript"/>
    </w:rPr>
  </w:style>
  <w:style w:type="paragraph" w:styleId="FootnoteText">
    <w:name w:val="footnote text"/>
    <w:basedOn w:val="Normal"/>
    <w:link w:val="FootnoteTextChar"/>
    <w:uiPriority w:val="99"/>
    <w:rsid w:val="00E46F35"/>
    <w:pPr>
      <w:spacing w:after="0" w:line="240" w:lineRule="auto"/>
    </w:pPr>
    <w:rPr>
      <w:rFonts w:cs="Times New Roman"/>
      <w:sz w:val="20"/>
      <w:szCs w:val="20"/>
      <w:lang w:eastAsia="en-GB"/>
    </w:rPr>
  </w:style>
  <w:style w:type="character" w:customStyle="1" w:styleId="FootnoteTextChar">
    <w:name w:val="Footnote Text Char"/>
    <w:basedOn w:val="DefaultParagraphFont"/>
    <w:link w:val="FootnoteText"/>
    <w:uiPriority w:val="99"/>
    <w:rsid w:val="00E46F35"/>
    <w:rPr>
      <w:rFonts w:ascii="Arial" w:hAnsi="Arial" w:cs="Times New Roman"/>
      <w:sz w:val="20"/>
      <w:szCs w:val="20"/>
      <w:lang w:eastAsia="en-GB"/>
    </w:rPr>
  </w:style>
  <w:style w:type="character" w:styleId="FollowedHyperlink">
    <w:name w:val="FollowedHyperlink"/>
    <w:basedOn w:val="DefaultParagraphFont"/>
    <w:uiPriority w:val="99"/>
    <w:semiHidden/>
    <w:unhideWhenUsed/>
    <w:rsid w:val="00256348"/>
    <w:rPr>
      <w:color w:val="800080" w:themeColor="followedHyperlink"/>
      <w:u w:val="single"/>
    </w:rPr>
  </w:style>
  <w:style w:type="paragraph" w:styleId="BalloonText">
    <w:name w:val="Balloon Text"/>
    <w:basedOn w:val="Normal"/>
    <w:link w:val="BalloonTextChar"/>
    <w:uiPriority w:val="99"/>
    <w:semiHidden/>
    <w:unhideWhenUsed/>
    <w:rsid w:val="00CD1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0BF"/>
    <w:rPr>
      <w:rFonts w:ascii="Tahoma" w:hAnsi="Tahoma" w:cs="Tahoma"/>
      <w:color w:val="808080" w:themeColor="background1" w:themeShade="80"/>
      <w:sz w:val="16"/>
      <w:szCs w:val="16"/>
    </w:rPr>
  </w:style>
  <w:style w:type="table" w:styleId="TableGrid">
    <w:name w:val="Table Grid"/>
    <w:basedOn w:val="TableNormal"/>
    <w:uiPriority w:val="39"/>
    <w:rsid w:val="00506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75A1"/>
    <w:pPr>
      <w:spacing w:before="100" w:beforeAutospacing="1" w:after="100" w:afterAutospacing="1" w:line="240" w:lineRule="auto"/>
    </w:pPr>
    <w:rPr>
      <w:rFonts w:ascii="Times New Roman" w:eastAsia="Times New Roman" w:hAnsi="Times New Roman" w:cs="Times New Roman"/>
      <w:szCs w:val="24"/>
      <w:lang w:eastAsia="en-AU"/>
    </w:rPr>
  </w:style>
  <w:style w:type="paragraph" w:styleId="EndnoteText">
    <w:name w:val="endnote text"/>
    <w:basedOn w:val="Normal"/>
    <w:link w:val="EndnoteTextChar"/>
    <w:uiPriority w:val="99"/>
    <w:semiHidden/>
    <w:unhideWhenUsed/>
    <w:rsid w:val="00D267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676E"/>
    <w:rPr>
      <w:rFonts w:ascii="Arial" w:hAnsi="Arial"/>
      <w:color w:val="808080" w:themeColor="background1" w:themeShade="80"/>
      <w:sz w:val="20"/>
      <w:szCs w:val="20"/>
    </w:rPr>
  </w:style>
  <w:style w:type="character" w:styleId="EndnoteReference">
    <w:name w:val="endnote reference"/>
    <w:basedOn w:val="DefaultParagraphFont"/>
    <w:uiPriority w:val="99"/>
    <w:semiHidden/>
    <w:unhideWhenUsed/>
    <w:rsid w:val="00D2676E"/>
    <w:rPr>
      <w:vertAlign w:val="superscript"/>
    </w:rPr>
  </w:style>
  <w:style w:type="paragraph" w:styleId="CommentText">
    <w:name w:val="annotation text"/>
    <w:basedOn w:val="Normal"/>
    <w:link w:val="CommentTextChar"/>
    <w:uiPriority w:val="99"/>
    <w:unhideWhenUsed/>
    <w:rsid w:val="005B3070"/>
    <w:pPr>
      <w:spacing w:line="240" w:lineRule="auto"/>
    </w:pPr>
    <w:rPr>
      <w:sz w:val="20"/>
      <w:szCs w:val="20"/>
    </w:rPr>
  </w:style>
  <w:style w:type="character" w:customStyle="1" w:styleId="CommentTextChar">
    <w:name w:val="Comment Text Char"/>
    <w:basedOn w:val="DefaultParagraphFont"/>
    <w:link w:val="CommentText"/>
    <w:uiPriority w:val="99"/>
    <w:rsid w:val="005B3070"/>
    <w:rPr>
      <w:rFonts w:ascii="Arial" w:hAnsi="Arial"/>
      <w:color w:val="808080" w:themeColor="background1" w:themeShade="80"/>
      <w:sz w:val="20"/>
      <w:szCs w:val="20"/>
    </w:rPr>
  </w:style>
  <w:style w:type="paragraph" w:styleId="NoSpacing">
    <w:name w:val="No Spacing"/>
    <w:aliases w:val="FSC Body"/>
    <w:uiPriority w:val="1"/>
    <w:qFormat/>
    <w:rsid w:val="0040254C"/>
    <w:pPr>
      <w:spacing w:after="0" w:line="240" w:lineRule="auto"/>
    </w:pPr>
    <w:rPr>
      <w:sz w:val="22"/>
    </w:rPr>
  </w:style>
  <w:style w:type="character" w:styleId="CommentReference">
    <w:name w:val="annotation reference"/>
    <w:basedOn w:val="DefaultParagraphFont"/>
    <w:uiPriority w:val="99"/>
    <w:semiHidden/>
    <w:unhideWhenUsed/>
    <w:rsid w:val="001D68E7"/>
    <w:rPr>
      <w:sz w:val="16"/>
      <w:szCs w:val="16"/>
    </w:rPr>
  </w:style>
  <w:style w:type="paragraph" w:styleId="CommentSubject">
    <w:name w:val="annotation subject"/>
    <w:basedOn w:val="CommentText"/>
    <w:next w:val="CommentText"/>
    <w:link w:val="CommentSubjectChar"/>
    <w:uiPriority w:val="99"/>
    <w:semiHidden/>
    <w:unhideWhenUsed/>
    <w:rsid w:val="001D68E7"/>
    <w:rPr>
      <w:b/>
      <w:bCs/>
    </w:rPr>
  </w:style>
  <w:style w:type="character" w:customStyle="1" w:styleId="CommentSubjectChar">
    <w:name w:val="Comment Subject Char"/>
    <w:basedOn w:val="CommentTextChar"/>
    <w:link w:val="CommentSubject"/>
    <w:uiPriority w:val="99"/>
    <w:semiHidden/>
    <w:rsid w:val="001D68E7"/>
    <w:rPr>
      <w:rFonts w:ascii="Arial" w:hAnsi="Arial"/>
      <w:b/>
      <w:bCs/>
      <w:color w:val="808080" w:themeColor="background1" w:themeShade="80"/>
      <w:sz w:val="20"/>
      <w:szCs w:val="20"/>
    </w:rPr>
  </w:style>
  <w:style w:type="character" w:styleId="Strong">
    <w:name w:val="Strong"/>
    <w:basedOn w:val="DefaultParagraphFont"/>
    <w:uiPriority w:val="22"/>
    <w:qFormat/>
    <w:rsid w:val="0027201A"/>
    <w:rPr>
      <w:b/>
      <w:bCs/>
      <w:sz w:val="22"/>
    </w:rPr>
  </w:style>
  <w:style w:type="paragraph" w:styleId="TOCHeading">
    <w:name w:val="TOC Heading"/>
    <w:basedOn w:val="ContentsHeading"/>
    <w:next w:val="Normal"/>
    <w:uiPriority w:val="39"/>
    <w:unhideWhenUsed/>
    <w:qFormat/>
    <w:rsid w:val="001931CF"/>
  </w:style>
  <w:style w:type="paragraph" w:styleId="TOC1">
    <w:name w:val="toc 1"/>
    <w:basedOn w:val="Normal"/>
    <w:next w:val="Normal"/>
    <w:autoRedefine/>
    <w:uiPriority w:val="39"/>
    <w:unhideWhenUsed/>
    <w:qFormat/>
    <w:rsid w:val="003B714D"/>
    <w:pPr>
      <w:tabs>
        <w:tab w:val="left" w:pos="426"/>
        <w:tab w:val="left" w:leader="dot" w:pos="8505"/>
      </w:tabs>
      <w:spacing w:before="240" w:after="0"/>
    </w:pPr>
    <w:rPr>
      <w:bCs/>
      <w:szCs w:val="24"/>
    </w:rPr>
  </w:style>
  <w:style w:type="paragraph" w:styleId="TOC2">
    <w:name w:val="toc 2"/>
    <w:basedOn w:val="Normal"/>
    <w:next w:val="Normal"/>
    <w:autoRedefine/>
    <w:uiPriority w:val="39"/>
    <w:unhideWhenUsed/>
    <w:rsid w:val="004A38E1"/>
    <w:pPr>
      <w:tabs>
        <w:tab w:val="left" w:pos="993"/>
        <w:tab w:val="left" w:leader="dot" w:pos="8505"/>
      </w:tabs>
      <w:spacing w:before="240" w:after="0"/>
      <w:ind w:left="425"/>
    </w:pPr>
    <w:rPr>
      <w:rFonts w:cstheme="minorHAnsi"/>
      <w:bCs/>
      <w:szCs w:val="20"/>
    </w:rPr>
  </w:style>
  <w:style w:type="table" w:styleId="GridTable1Light">
    <w:name w:val="Grid Table 1 Light"/>
    <w:basedOn w:val="TableNormal"/>
    <w:uiPriority w:val="46"/>
    <w:rsid w:val="00FB299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B65650"/>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bottom w:w="57" w:type="dxa"/>
      </w:tblCellMar>
    </w:tblPr>
    <w:tcPr>
      <w:shd w:val="clear" w:color="auto" w:fill="auto"/>
    </w:tcPr>
    <w:tblStylePr w:type="firstRow">
      <w:rPr>
        <w:rFonts w:ascii="Arial" w:hAnsi="Arial"/>
        <w:b/>
        <w:color w:val="808080" w:themeColor="background1" w:themeShade="80"/>
        <w:sz w:val="24"/>
      </w:rPr>
      <w:tblPr/>
      <w:tcPr>
        <w:shd w:val="clear" w:color="auto" w:fill="C2D69B" w:themeFill="accent3" w:themeFillTint="99"/>
      </w:tcPr>
    </w:tblStylePr>
  </w:style>
  <w:style w:type="table" w:styleId="TableGridLight">
    <w:name w:val="Grid Table Light"/>
    <w:basedOn w:val="TableNormal"/>
    <w:uiPriority w:val="40"/>
    <w:rsid w:val="00B656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4F4121"/>
    <w:pPr>
      <w:keepNext/>
      <w:spacing w:line="240" w:lineRule="auto"/>
    </w:pPr>
    <w:rPr>
      <w:b/>
      <w:iCs/>
    </w:rPr>
  </w:style>
  <w:style w:type="paragraph" w:customStyle="1" w:styleId="Heading-frontpage">
    <w:name w:val="Heading - front page"/>
    <w:basedOn w:val="Normal"/>
    <w:qFormat/>
    <w:rsid w:val="00F74701"/>
    <w:pPr>
      <w:framePr w:hSpace="180" w:wrap="around" w:vAnchor="text" w:hAnchor="margin" w:xAlign="center" w:y="1809"/>
      <w:spacing w:after="0" w:line="240" w:lineRule="auto"/>
      <w:ind w:left="884"/>
    </w:pPr>
    <w:rPr>
      <w:color w:val="FFFFFF" w:themeColor="background1"/>
      <w:sz w:val="48"/>
    </w:rPr>
  </w:style>
  <w:style w:type="character" w:customStyle="1" w:styleId="UnresolvedMention1">
    <w:name w:val="Unresolved Mention1"/>
    <w:basedOn w:val="DefaultParagraphFont"/>
    <w:uiPriority w:val="99"/>
    <w:semiHidden/>
    <w:unhideWhenUsed/>
    <w:rsid w:val="004F4121"/>
    <w:rPr>
      <w:color w:val="808080"/>
      <w:shd w:val="clear" w:color="auto" w:fill="E6E6E6"/>
    </w:rPr>
  </w:style>
  <w:style w:type="character" w:customStyle="1" w:styleId="Heading4Char">
    <w:name w:val="Heading 4 Char"/>
    <w:basedOn w:val="DefaultParagraphFont"/>
    <w:link w:val="Heading4"/>
    <w:uiPriority w:val="9"/>
    <w:rsid w:val="00B6657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B6657E"/>
    <w:rPr>
      <w:rFonts w:asciiTheme="minorHAnsi" w:eastAsiaTheme="minorEastAsia" w:hAnsiTheme="minorHAnsi"/>
      <w:bCs/>
      <w:i/>
      <w:iCs/>
      <w:color w:val="auto"/>
      <w:sz w:val="22"/>
      <w:lang w:val="en-US"/>
    </w:rPr>
  </w:style>
  <w:style w:type="character" w:customStyle="1" w:styleId="Heading6Char">
    <w:name w:val="Heading 6 Char"/>
    <w:basedOn w:val="DefaultParagraphFont"/>
    <w:link w:val="Heading6"/>
    <w:rsid w:val="00B6657E"/>
    <w:rPr>
      <w:rFonts w:ascii="Times New Roman" w:eastAsia="Times New Roman" w:hAnsi="Times New Roman" w:cs="Times New Roman"/>
      <w:b/>
      <w:bCs/>
      <w:color w:val="auto"/>
      <w:sz w:val="22"/>
      <w:lang w:val="en-US"/>
    </w:rPr>
  </w:style>
  <w:style w:type="character" w:customStyle="1" w:styleId="Heading7Char">
    <w:name w:val="Heading 7 Char"/>
    <w:basedOn w:val="DefaultParagraphFont"/>
    <w:link w:val="Heading7"/>
    <w:uiPriority w:val="9"/>
    <w:semiHidden/>
    <w:rsid w:val="00B6657E"/>
    <w:rPr>
      <w:rFonts w:asciiTheme="minorHAnsi" w:eastAsiaTheme="minorEastAsia" w:hAnsiTheme="minorHAnsi"/>
      <w:color w:val="auto"/>
      <w:szCs w:val="24"/>
      <w:lang w:val="en-US"/>
    </w:rPr>
  </w:style>
  <w:style w:type="character" w:customStyle="1" w:styleId="Heading8Char">
    <w:name w:val="Heading 8 Char"/>
    <w:basedOn w:val="DefaultParagraphFont"/>
    <w:link w:val="Heading8"/>
    <w:uiPriority w:val="9"/>
    <w:semiHidden/>
    <w:rsid w:val="00B6657E"/>
    <w:rPr>
      <w:rFonts w:asciiTheme="minorHAnsi" w:eastAsiaTheme="minorEastAsia" w:hAnsiTheme="minorHAnsi"/>
      <w:i/>
      <w:iCs/>
      <w:color w:val="auto"/>
      <w:szCs w:val="24"/>
      <w:lang w:val="en-US"/>
    </w:rPr>
  </w:style>
  <w:style w:type="character" w:customStyle="1" w:styleId="Heading9Char">
    <w:name w:val="Heading 9 Char"/>
    <w:basedOn w:val="DefaultParagraphFont"/>
    <w:link w:val="Heading9"/>
    <w:uiPriority w:val="9"/>
    <w:semiHidden/>
    <w:rsid w:val="00B6657E"/>
    <w:rPr>
      <w:rFonts w:asciiTheme="majorHAnsi" w:eastAsiaTheme="majorEastAsia" w:hAnsiTheme="majorHAnsi" w:cstheme="majorBidi"/>
      <w:color w:val="auto"/>
      <w:sz w:val="22"/>
      <w:lang w:val="en-US"/>
    </w:rPr>
  </w:style>
  <w:style w:type="paragraph" w:styleId="Revision">
    <w:name w:val="Revision"/>
    <w:hidden/>
    <w:uiPriority w:val="99"/>
    <w:semiHidden/>
    <w:rsid w:val="00B6657E"/>
    <w:pPr>
      <w:spacing w:after="0" w:line="240" w:lineRule="auto"/>
    </w:pPr>
    <w:rPr>
      <w:rFonts w:asciiTheme="minorHAnsi" w:hAnsiTheme="minorHAnsi"/>
      <w:color w:val="auto"/>
      <w:sz w:val="22"/>
    </w:rPr>
  </w:style>
  <w:style w:type="paragraph" w:customStyle="1" w:styleId="subsection">
    <w:name w:val="subsection"/>
    <w:basedOn w:val="Normal"/>
    <w:rsid w:val="00B6657E"/>
    <w:pPr>
      <w:spacing w:before="100" w:beforeAutospacing="1" w:after="100" w:afterAutospacing="1" w:line="240" w:lineRule="auto"/>
    </w:pPr>
    <w:rPr>
      <w:rFonts w:ascii="Times New Roman" w:hAnsi="Times New Roman" w:cs="Times New Roman"/>
      <w:sz w:val="24"/>
      <w:szCs w:val="24"/>
      <w:lang w:eastAsia="en-AU"/>
    </w:rPr>
  </w:style>
  <w:style w:type="paragraph" w:customStyle="1" w:styleId="paragraph">
    <w:name w:val="paragraph"/>
    <w:basedOn w:val="Normal"/>
    <w:rsid w:val="00B6657E"/>
    <w:pPr>
      <w:spacing w:before="100" w:beforeAutospacing="1" w:after="100" w:afterAutospacing="1" w:line="240" w:lineRule="auto"/>
    </w:pPr>
    <w:rPr>
      <w:rFonts w:ascii="Times New Roman" w:hAnsi="Times New Roman" w:cs="Times New Roman"/>
      <w:sz w:val="24"/>
      <w:szCs w:val="24"/>
      <w:lang w:eastAsia="en-AU"/>
    </w:rPr>
  </w:style>
  <w:style w:type="paragraph" w:customStyle="1" w:styleId="paragraphsub">
    <w:name w:val="paragraphsub"/>
    <w:basedOn w:val="Normal"/>
    <w:rsid w:val="00B6657E"/>
    <w:pPr>
      <w:spacing w:before="100" w:beforeAutospacing="1" w:after="100" w:afterAutospacing="1" w:line="240" w:lineRule="auto"/>
    </w:pPr>
    <w:rPr>
      <w:rFonts w:ascii="Times New Roman" w:hAnsi="Times New Roman" w:cs="Times New Roman"/>
      <w:sz w:val="24"/>
      <w:szCs w:val="24"/>
      <w:lang w:eastAsia="en-AU"/>
    </w:rPr>
  </w:style>
  <w:style w:type="paragraph" w:customStyle="1" w:styleId="ShortT">
    <w:name w:val="ShortT"/>
    <w:basedOn w:val="Normal"/>
    <w:next w:val="Normal"/>
    <w:qFormat/>
    <w:rsid w:val="00B6657E"/>
    <w:pPr>
      <w:spacing w:after="0" w:line="240" w:lineRule="auto"/>
    </w:pPr>
    <w:rPr>
      <w:rFonts w:ascii="Times New Roman" w:eastAsia="Times New Roman" w:hAnsi="Times New Roman" w:cs="Times New Roman"/>
      <w:b/>
      <w:sz w:val="40"/>
      <w:szCs w:val="20"/>
      <w:lang w:eastAsia="en-AU"/>
    </w:rPr>
  </w:style>
  <w:style w:type="character" w:customStyle="1" w:styleId="blue">
    <w:name w:val="blue"/>
    <w:basedOn w:val="DefaultParagraphFont"/>
    <w:rsid w:val="00B6657E"/>
  </w:style>
  <w:style w:type="paragraph" w:customStyle="1" w:styleId="Body">
    <w:name w:val="Body"/>
    <w:aliases w:val="Bullet,b,b + line,b1,level 1"/>
    <w:link w:val="BulletChar"/>
    <w:rsid w:val="00B6657E"/>
    <w:pPr>
      <w:pBdr>
        <w:top w:val="nil"/>
        <w:left w:val="nil"/>
        <w:bottom w:val="nil"/>
        <w:right w:val="nil"/>
        <w:between w:val="nil"/>
        <w:bar w:val="nil"/>
      </w:pBdr>
    </w:pPr>
    <w:rPr>
      <w:rFonts w:ascii="Calibri" w:eastAsia="Calibri" w:hAnsi="Calibri" w:cs="Calibri"/>
      <w:color w:val="000000"/>
      <w:sz w:val="22"/>
      <w:u w:color="000000"/>
      <w:bdr w:val="nil"/>
      <w:lang w:eastAsia="en-AU"/>
    </w:rPr>
  </w:style>
  <w:style w:type="character" w:customStyle="1" w:styleId="BulletChar">
    <w:name w:val="Bullet Char"/>
    <w:aliases w:val="b Char"/>
    <w:basedOn w:val="DefaultParagraphFont"/>
    <w:link w:val="Body"/>
    <w:locked/>
    <w:rsid w:val="00B6657E"/>
    <w:rPr>
      <w:rFonts w:ascii="Calibri" w:eastAsia="Calibri" w:hAnsi="Calibri" w:cs="Calibri"/>
      <w:color w:val="000000"/>
      <w:sz w:val="22"/>
      <w:u w:color="000000"/>
      <w:bdr w:val="nil"/>
      <w:lang w:eastAsia="en-AU"/>
    </w:rPr>
  </w:style>
  <w:style w:type="paragraph" w:customStyle="1" w:styleId="Default">
    <w:name w:val="Default"/>
    <w:rsid w:val="00B6657E"/>
    <w:pPr>
      <w:autoSpaceDE w:val="0"/>
      <w:autoSpaceDN w:val="0"/>
      <w:adjustRightInd w:val="0"/>
      <w:spacing w:after="0" w:line="240" w:lineRule="auto"/>
    </w:pPr>
    <w:rPr>
      <w:rFonts w:ascii="Verdana" w:hAnsi="Verdana" w:cs="Verdana"/>
      <w:color w:val="000000"/>
      <w:szCs w:val="24"/>
    </w:rPr>
  </w:style>
  <w:style w:type="paragraph" w:customStyle="1" w:styleId="TableColumnHeadingLeft">
    <w:name w:val="Table Column Heading Left"/>
    <w:basedOn w:val="Normal"/>
    <w:rsid w:val="00B6657E"/>
    <w:pPr>
      <w:spacing w:before="40" w:after="40" w:line="240" w:lineRule="auto"/>
    </w:pPr>
    <w:rPr>
      <w:rFonts w:eastAsia="Times New Roman" w:cs="Times New Roman"/>
      <w:b/>
      <w:color w:val="000000"/>
      <w:sz w:val="16"/>
      <w:szCs w:val="20"/>
      <w:lang w:eastAsia="en-AU"/>
    </w:rPr>
  </w:style>
  <w:style w:type="paragraph" w:customStyle="1" w:styleId="AppQuestionNumbering">
    <w:name w:val="AppQuestionNumbering"/>
    <w:basedOn w:val="Normal"/>
    <w:rsid w:val="00B6657E"/>
    <w:pPr>
      <w:numPr>
        <w:numId w:val="2"/>
      </w:numPr>
      <w:spacing w:before="56" w:after="56" w:line="250" w:lineRule="exact"/>
    </w:pPr>
    <w:rPr>
      <w:rFonts w:eastAsia="Times New Roman" w:cs="Symbol"/>
      <w:color w:val="000000"/>
      <w:sz w:val="18"/>
      <w:szCs w:val="16"/>
      <w:lang w:eastAsia="en-AU"/>
    </w:rPr>
  </w:style>
  <w:style w:type="paragraph" w:customStyle="1" w:styleId="TableColumnHeadingLeft-Appendix">
    <w:name w:val="Table Column Heading Left - Appendix"/>
    <w:basedOn w:val="TableColumnHeadingLeft"/>
    <w:rsid w:val="00B6657E"/>
    <w:pPr>
      <w:spacing w:before="80" w:after="80"/>
    </w:pPr>
    <w:rPr>
      <w:color w:val="FFFFFF" w:themeColor="background1"/>
      <w:sz w:val="21"/>
    </w:rPr>
  </w:style>
  <w:style w:type="paragraph" w:customStyle="1" w:styleId="Normal-AppendixQuestions">
    <w:name w:val="Normal - AppendixQuestions"/>
    <w:basedOn w:val="Normal"/>
    <w:rsid w:val="00B6657E"/>
    <w:pPr>
      <w:spacing w:before="56" w:after="56" w:line="250" w:lineRule="exact"/>
      <w:jc w:val="both"/>
    </w:pPr>
    <w:rPr>
      <w:rFonts w:eastAsia="Times New Roman" w:cs="Arial"/>
      <w:color w:val="000000"/>
      <w:sz w:val="18"/>
      <w:szCs w:val="18"/>
      <w:lang w:eastAsia="en-AU"/>
    </w:rPr>
  </w:style>
  <w:style w:type="paragraph" w:styleId="TOC3">
    <w:name w:val="toc 3"/>
    <w:basedOn w:val="Normal"/>
    <w:next w:val="Normal"/>
    <w:autoRedefine/>
    <w:uiPriority w:val="39"/>
    <w:unhideWhenUsed/>
    <w:qFormat/>
    <w:rsid w:val="0044329C"/>
    <w:pPr>
      <w:tabs>
        <w:tab w:val="left" w:leader="dot" w:pos="8505"/>
      </w:tabs>
      <w:spacing w:before="120" w:after="120"/>
      <w:ind w:left="993"/>
    </w:pPr>
    <w:rPr>
      <w:rFonts w:cstheme="minorHAnsi"/>
      <w:noProof/>
      <w:szCs w:val="20"/>
    </w:rPr>
  </w:style>
  <w:style w:type="paragraph" w:customStyle="1" w:styleId="Heading1-nonums">
    <w:name w:val="Heading 1 - no nums"/>
    <w:basedOn w:val="Heading1"/>
    <w:next w:val="Normal"/>
    <w:qFormat/>
    <w:rsid w:val="003A5503"/>
    <w:pPr>
      <w:numPr>
        <w:numId w:val="0"/>
      </w:numPr>
    </w:pPr>
  </w:style>
  <w:style w:type="table" w:customStyle="1" w:styleId="KWMTableWhite">
    <w:name w:val="KWM Table White"/>
    <w:basedOn w:val="TableNormal"/>
    <w:uiPriority w:val="99"/>
    <w:rsid w:val="00C76832"/>
    <w:pPr>
      <w:spacing w:before="120" w:after="120" w:line="240" w:lineRule="auto"/>
    </w:pPr>
    <w:rPr>
      <w:rFonts w:eastAsia="Times New Roman" w:cs="Times New Roman"/>
      <w:color w:val="auto"/>
      <w:sz w:val="18"/>
      <w:szCs w:val="20"/>
      <w:lang w:eastAsia="zh-CN"/>
    </w:rPr>
    <w:tblPr>
      <w:tblStyleRowBandSize w:val="1"/>
      <w:tblStyleColBandSize w:val="1"/>
      <w:tblInd w:w="0" w:type="nil"/>
      <w:tblBorders>
        <w:top w:val="single" w:sz="4" w:space="0" w:color="D1D3D4"/>
        <w:left w:val="single" w:sz="4" w:space="0" w:color="D1D3D4"/>
        <w:bottom w:val="single" w:sz="4" w:space="0" w:color="D1D3D4"/>
        <w:right w:val="single" w:sz="4" w:space="0" w:color="D1D3D4"/>
        <w:insideH w:val="single" w:sz="6" w:space="0" w:color="D1D3D4"/>
        <w:insideV w:val="single" w:sz="6" w:space="0" w:color="D1D3D4"/>
      </w:tblBorders>
      <w:tblCellMar>
        <w:left w:w="142" w:type="dxa"/>
        <w:right w:w="142" w:type="dxa"/>
      </w:tblCellMar>
    </w:tblPr>
    <w:tcPr>
      <w:shd w:val="clear" w:color="auto" w:fill="FFFFFF" w:themeFill="background1"/>
    </w:tcPr>
    <w:tblStylePr w:type="firstRow">
      <w:pPr>
        <w:wordWrap/>
        <w:spacing w:beforeLines="0" w:before="100" w:beforeAutospacing="1" w:afterLines="0" w:after="100" w:afterAutospacing="1" w:line="240" w:lineRule="auto"/>
        <w:jc w:val="left"/>
      </w:pPr>
      <w:rPr>
        <w:rFonts w:ascii="Arial" w:hAnsi="Arial" w:cs="Arial" w:hint="default"/>
        <w:b/>
        <w:color w:val="FFFFFF" w:themeColor="background1"/>
        <w:sz w:val="20"/>
        <w:szCs w:val="20"/>
      </w:rPr>
      <w:tblPr/>
      <w:tcPr>
        <w:shd w:val="clear" w:color="auto" w:fill="808284"/>
        <w:vAlign w:val="bottom"/>
      </w:tcPr>
    </w:tblStylePr>
    <w:tblStylePr w:type="lastRow">
      <w:pPr>
        <w:wordWrap/>
        <w:spacing w:beforeLines="0" w:before="100" w:beforeAutospacing="1" w:afterLines="0" w:after="100" w:afterAutospacing="1" w:line="240" w:lineRule="auto"/>
      </w:pPr>
      <w:rPr>
        <w:rFonts w:ascii="Arial" w:hAnsi="Arial" w:cs="Arial" w:hint="default"/>
        <w:b/>
        <w:color w:val="FFFFFF" w:themeColor="background1"/>
        <w:sz w:val="18"/>
        <w:szCs w:val="18"/>
      </w:rPr>
      <w:tblPr/>
      <w:tcPr>
        <w:shd w:val="clear" w:color="auto" w:fill="D1D3D4"/>
        <w:vAlign w:val="top"/>
      </w:tcPr>
    </w:tblStylePr>
    <w:tblStylePr w:type="firstCol">
      <w:pPr>
        <w:wordWrap/>
        <w:spacing w:beforeLines="0" w:before="100" w:beforeAutospacing="1" w:afterLines="0" w:after="100" w:afterAutospacing="1" w:line="240" w:lineRule="auto"/>
      </w:pPr>
      <w:rPr>
        <w:rFonts w:ascii="Arial" w:hAnsi="Arial" w:cs="Arial" w:hint="default"/>
        <w:b/>
        <w:color w:val="FFFFFF" w:themeColor="background1"/>
        <w:sz w:val="18"/>
        <w:szCs w:val="18"/>
      </w:rPr>
      <w:tblPr/>
      <w:tcPr>
        <w:shd w:val="clear" w:color="auto" w:fill="D1D3D4"/>
        <w:vAlign w:val="top"/>
      </w:tcPr>
    </w:tblStylePr>
    <w:tblStylePr w:type="lastCol">
      <w:pPr>
        <w:wordWrap/>
        <w:spacing w:beforeLines="0" w:before="100" w:beforeAutospacing="1" w:afterLines="0" w:after="100" w:afterAutospacing="1" w:line="240" w:lineRule="auto"/>
      </w:pPr>
      <w:rPr>
        <w:rFonts w:ascii="Arial" w:hAnsi="Arial" w:cs="Arial" w:hint="default"/>
        <w:b/>
        <w:color w:val="FFFFFF" w:themeColor="background1"/>
        <w:sz w:val="18"/>
        <w:szCs w:val="18"/>
      </w:rPr>
      <w:tblPr/>
      <w:tcPr>
        <w:shd w:val="clear" w:color="auto" w:fill="D1D3D4"/>
        <w:vAlign w:val="top"/>
      </w:tcPr>
    </w:tblStylePr>
    <w:tblStylePr w:type="band1Vert">
      <w:pPr>
        <w:wordWrap/>
        <w:spacing w:beforeLines="0" w:before="100" w:beforeAutospacing="1" w:afterLines="0" w:after="100" w:afterAutospacing="1" w:line="240" w:lineRule="auto"/>
      </w:pPr>
      <w:rPr>
        <w:rFonts w:ascii="Arial" w:hAnsi="Arial" w:cs="Arial" w:hint="default"/>
        <w:sz w:val="18"/>
        <w:szCs w:val="18"/>
      </w:rPr>
      <w:tblPr/>
      <w:tcPr>
        <w:shd w:val="clear" w:color="auto" w:fill="FFFFFF"/>
      </w:tcPr>
    </w:tblStylePr>
    <w:tblStylePr w:type="band2Vert">
      <w:pPr>
        <w:wordWrap/>
        <w:spacing w:beforeLines="0" w:before="100" w:beforeAutospacing="1" w:afterLines="0" w:after="100" w:afterAutospacing="1" w:line="240" w:lineRule="auto"/>
      </w:pPr>
      <w:rPr>
        <w:rFonts w:ascii="Arial" w:hAnsi="Arial" w:cs="Arial" w:hint="default"/>
        <w:sz w:val="18"/>
        <w:szCs w:val="18"/>
      </w:rPr>
      <w:tblPr/>
      <w:tcPr>
        <w:shd w:val="clear" w:color="auto" w:fill="D1D3D4"/>
        <w:vAlign w:val="top"/>
      </w:tcPr>
    </w:tblStylePr>
    <w:tblStylePr w:type="band1Horz">
      <w:pPr>
        <w:wordWrap/>
        <w:spacing w:beforeLines="0" w:before="100" w:beforeAutospacing="1" w:afterLines="0" w:after="100" w:afterAutospacing="1" w:line="240" w:lineRule="auto"/>
      </w:pPr>
      <w:rPr>
        <w:rFonts w:ascii="Arial" w:hAnsi="Arial" w:cs="Arial" w:hint="default"/>
        <w:color w:val="auto"/>
        <w:sz w:val="18"/>
        <w:szCs w:val="18"/>
      </w:rPr>
      <w:tblPr/>
      <w:tcPr>
        <w:shd w:val="clear" w:color="auto" w:fill="FFFFFF" w:themeFill="background1"/>
      </w:tcPr>
    </w:tblStylePr>
    <w:tblStylePr w:type="band2Horz">
      <w:pPr>
        <w:wordWrap/>
        <w:spacing w:beforeLines="0" w:before="100" w:beforeAutospacing="1" w:afterLines="0" w:after="100" w:afterAutospacing="1" w:line="240" w:lineRule="auto"/>
      </w:pPr>
      <w:rPr>
        <w:rFonts w:ascii="Arial" w:hAnsi="Arial" w:cs="Arial" w:hint="default"/>
        <w:sz w:val="18"/>
        <w:szCs w:val="18"/>
      </w:rPr>
      <w:tblPr/>
      <w:tcPr>
        <w:shd w:val="clear" w:color="auto" w:fill="D1D3D4"/>
        <w:vAlign w:val="top"/>
      </w:tcPr>
    </w:tblStylePr>
  </w:style>
  <w:style w:type="paragraph" w:customStyle="1" w:styleId="Indent2">
    <w:name w:val="Indent 2"/>
    <w:basedOn w:val="Normal"/>
    <w:uiPriority w:val="99"/>
    <w:rsid w:val="008251CE"/>
    <w:pPr>
      <w:spacing w:after="240" w:line="240" w:lineRule="auto"/>
      <w:ind w:left="567"/>
    </w:pPr>
    <w:rPr>
      <w:rFonts w:cs="Arial"/>
      <w:color w:val="434244"/>
      <w:sz w:val="20"/>
      <w:szCs w:val="20"/>
      <w:lang w:eastAsia="zh-CN"/>
    </w:rPr>
  </w:style>
  <w:style w:type="character" w:customStyle="1" w:styleId="tabletextChar">
    <w:name w:val="table text Char"/>
    <w:basedOn w:val="DefaultParagraphFont"/>
    <w:link w:val="tabletext"/>
    <w:locked/>
    <w:rsid w:val="000479F8"/>
    <w:rPr>
      <w:rFonts w:ascii="Times New Roman" w:eastAsia="Times New Roman" w:hAnsi="Times New Roman" w:cs="Times New Roman"/>
      <w:sz w:val="20"/>
      <w:szCs w:val="20"/>
      <w:lang w:eastAsia="en-AU"/>
    </w:rPr>
  </w:style>
  <w:style w:type="paragraph" w:customStyle="1" w:styleId="tabletext">
    <w:name w:val="table text"/>
    <w:basedOn w:val="Normal"/>
    <w:link w:val="tabletextChar"/>
    <w:rsid w:val="000479F8"/>
    <w:pPr>
      <w:spacing w:before="40" w:after="40" w:line="240" w:lineRule="auto"/>
    </w:pPr>
    <w:rPr>
      <w:rFonts w:ascii="Times New Roman" w:eastAsia="Times New Roman" w:hAnsi="Times New Roman" w:cs="Times New Roman"/>
      <w:color w:val="808080" w:themeColor="background1" w:themeShade="80"/>
      <w:sz w:val="20"/>
      <w:szCs w:val="20"/>
      <w:lang w:eastAsia="en-AU"/>
    </w:rPr>
  </w:style>
  <w:style w:type="paragraph" w:customStyle="1" w:styleId="tabledotpoint">
    <w:name w:val="table dot point"/>
    <w:basedOn w:val="tabletext"/>
    <w:rsid w:val="000479F8"/>
    <w:pPr>
      <w:numPr>
        <w:numId w:val="4"/>
      </w:numPr>
      <w:tabs>
        <w:tab w:val="clear" w:pos="284"/>
        <w:tab w:val="num" w:pos="360"/>
      </w:tabs>
      <w:ind w:left="0" w:firstLine="0"/>
    </w:pPr>
  </w:style>
  <w:style w:type="paragraph" w:customStyle="1" w:styleId="tabledotpoint2">
    <w:name w:val="table dot point 2"/>
    <w:basedOn w:val="tabletext"/>
    <w:rsid w:val="000479F8"/>
    <w:pPr>
      <w:numPr>
        <w:ilvl w:val="1"/>
        <w:numId w:val="4"/>
      </w:numPr>
      <w:tabs>
        <w:tab w:val="clear" w:pos="567"/>
        <w:tab w:val="num" w:pos="360"/>
      </w:tabs>
      <w:ind w:left="0" w:firstLine="0"/>
    </w:pPr>
  </w:style>
  <w:style w:type="character" w:customStyle="1" w:styleId="OutlineNumbered1Char">
    <w:name w:val="Outline Numbered 1 Char"/>
    <w:basedOn w:val="DefaultParagraphFont"/>
    <w:link w:val="OutlineNumbered1"/>
    <w:locked/>
    <w:rsid w:val="000479F8"/>
    <w:rPr>
      <w:rFonts w:ascii="Book Antiqua" w:eastAsia="Times New Roman" w:hAnsi="Book Antiqua" w:cs="Times New Roman"/>
      <w:color w:val="000000"/>
      <w:szCs w:val="20"/>
      <w:lang w:eastAsia="en-AU"/>
    </w:rPr>
  </w:style>
  <w:style w:type="paragraph" w:customStyle="1" w:styleId="OutlineNumbered1">
    <w:name w:val="Outline Numbered 1"/>
    <w:basedOn w:val="Normal"/>
    <w:link w:val="OutlineNumbered1Char"/>
    <w:rsid w:val="000479F8"/>
    <w:pPr>
      <w:numPr>
        <w:numId w:val="5"/>
      </w:numPr>
      <w:spacing w:after="240" w:line="260" w:lineRule="exact"/>
      <w:jc w:val="both"/>
    </w:pPr>
    <w:rPr>
      <w:rFonts w:ascii="Book Antiqua" w:eastAsia="Times New Roman" w:hAnsi="Book Antiqua" w:cs="Times New Roman"/>
      <w:color w:val="000000"/>
      <w:sz w:val="24"/>
      <w:szCs w:val="20"/>
      <w:lang w:eastAsia="en-AU"/>
    </w:rPr>
  </w:style>
  <w:style w:type="paragraph" w:customStyle="1" w:styleId="OutlineNumbered2">
    <w:name w:val="Outline Numbered 2"/>
    <w:basedOn w:val="Normal"/>
    <w:rsid w:val="000479F8"/>
    <w:pPr>
      <w:numPr>
        <w:ilvl w:val="1"/>
        <w:numId w:val="5"/>
      </w:numPr>
      <w:spacing w:after="240" w:line="260" w:lineRule="exact"/>
      <w:jc w:val="both"/>
    </w:pPr>
    <w:rPr>
      <w:rFonts w:ascii="Book Antiqua" w:eastAsia="Times New Roman" w:hAnsi="Book Antiqua" w:cs="Times New Roman"/>
      <w:color w:val="000000"/>
      <w:szCs w:val="20"/>
      <w:lang w:eastAsia="en-AU"/>
    </w:rPr>
  </w:style>
  <w:style w:type="paragraph" w:customStyle="1" w:styleId="OutlineNumbered3">
    <w:name w:val="Outline Numbered 3"/>
    <w:basedOn w:val="Normal"/>
    <w:rsid w:val="000479F8"/>
    <w:pPr>
      <w:numPr>
        <w:ilvl w:val="2"/>
        <w:numId w:val="5"/>
      </w:numPr>
      <w:spacing w:after="240" w:line="260" w:lineRule="exact"/>
      <w:jc w:val="both"/>
    </w:pPr>
    <w:rPr>
      <w:rFonts w:ascii="Book Antiqua" w:eastAsia="Times New Roman" w:hAnsi="Book Antiqua" w:cs="Times New Roman"/>
      <w:color w:val="000000"/>
      <w:szCs w:val="20"/>
      <w:lang w:eastAsia="en-AU"/>
    </w:rPr>
  </w:style>
  <w:style w:type="table" w:customStyle="1" w:styleId="EMTable">
    <w:name w:val="EMTable"/>
    <w:basedOn w:val="TableNormal"/>
    <w:uiPriority w:val="99"/>
    <w:rsid w:val="000479F8"/>
    <w:pPr>
      <w:spacing w:after="0" w:line="240" w:lineRule="auto"/>
    </w:pPr>
    <w:rPr>
      <w:rFonts w:ascii="Times New Roman" w:hAnsi="Times New Roman"/>
      <w:color w:val="auto"/>
      <w:sz w:val="20"/>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cs="Times New Roman" w:hint="default"/>
        <w:b/>
        <w:i/>
        <w:sz w:val="20"/>
        <w:szCs w:val="20"/>
      </w:rPr>
      <w:tblPr>
        <w:tblCellMar>
          <w:top w:w="57" w:type="dxa"/>
          <w:left w:w="57" w:type="dxa"/>
          <w:bottom w:w="0" w:type="dxa"/>
          <w:right w:w="108" w:type="dxa"/>
        </w:tblCellMar>
      </w:tblPr>
    </w:tblStylePr>
  </w:style>
  <w:style w:type="numbering" w:customStyle="1" w:styleId="TableDotPointList">
    <w:name w:val="Table Dot Point List"/>
    <w:uiPriority w:val="99"/>
    <w:rsid w:val="000479F8"/>
    <w:pPr>
      <w:numPr>
        <w:numId w:val="4"/>
      </w:numPr>
    </w:pPr>
  </w:style>
  <w:style w:type="paragraph" w:customStyle="1" w:styleId="ContentsHeading">
    <w:name w:val="Contents Heading"/>
    <w:link w:val="ContentsHeadingChar"/>
    <w:qFormat/>
    <w:rsid w:val="00105B90"/>
    <w:rPr>
      <w:rFonts w:eastAsiaTheme="majorEastAsia" w:cstheme="majorBidi"/>
      <w:b/>
      <w:bCs/>
      <w:noProof/>
      <w:color w:val="84BD00"/>
      <w:sz w:val="32"/>
      <w:szCs w:val="32"/>
      <w:lang w:val="en-US" w:eastAsia="en-AU"/>
    </w:rPr>
  </w:style>
  <w:style w:type="character" w:customStyle="1" w:styleId="ContentsHeadingChar">
    <w:name w:val="Contents Heading Char"/>
    <w:basedOn w:val="Heading1Char"/>
    <w:link w:val="ContentsHeading"/>
    <w:rsid w:val="00105B90"/>
    <w:rPr>
      <w:rFonts w:eastAsiaTheme="majorEastAsia" w:cstheme="majorBidi"/>
      <w:b/>
      <w:bCs/>
      <w:noProof/>
      <w:color w:val="84BD00"/>
      <w:sz w:val="32"/>
      <w:szCs w:val="32"/>
      <w:lang w:val="en-US" w:eastAsia="en-AU"/>
    </w:rPr>
  </w:style>
  <w:style w:type="paragraph" w:styleId="TOC4">
    <w:name w:val="toc 4"/>
    <w:basedOn w:val="Normal"/>
    <w:next w:val="Normal"/>
    <w:autoRedefine/>
    <w:uiPriority w:val="39"/>
    <w:unhideWhenUsed/>
    <w:rsid w:val="00CC6B3A"/>
    <w:pPr>
      <w:spacing w:after="0"/>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CC6B3A"/>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CC6B3A"/>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CC6B3A"/>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CC6B3A"/>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CC6B3A"/>
    <w:pPr>
      <w:spacing w:after="0"/>
      <w:ind w:left="1540"/>
    </w:pPr>
    <w:rPr>
      <w:rFonts w:asciiTheme="minorHAnsi" w:hAnsiTheme="minorHAnsi" w:cstheme="minorHAnsi"/>
      <w:sz w:val="20"/>
      <w:szCs w:val="20"/>
    </w:rPr>
  </w:style>
  <w:style w:type="character" w:customStyle="1" w:styleId="ListParagraphChar">
    <w:name w:val="List Paragraph Char"/>
    <w:basedOn w:val="DefaultParagraphFont"/>
    <w:link w:val="ListParagraph"/>
    <w:uiPriority w:val="34"/>
    <w:locked/>
    <w:rsid w:val="0077501F"/>
    <w:rPr>
      <w:color w:val="auto"/>
      <w:sz w:val="22"/>
    </w:rPr>
  </w:style>
  <w:style w:type="character" w:styleId="UnresolvedMention">
    <w:name w:val="Unresolved Mention"/>
    <w:basedOn w:val="DefaultParagraphFont"/>
    <w:uiPriority w:val="99"/>
    <w:semiHidden/>
    <w:unhideWhenUsed/>
    <w:rsid w:val="00687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34426">
      <w:bodyDiv w:val="1"/>
      <w:marLeft w:val="0"/>
      <w:marRight w:val="0"/>
      <w:marTop w:val="0"/>
      <w:marBottom w:val="0"/>
      <w:divBdr>
        <w:top w:val="none" w:sz="0" w:space="0" w:color="auto"/>
        <w:left w:val="none" w:sz="0" w:space="0" w:color="auto"/>
        <w:bottom w:val="none" w:sz="0" w:space="0" w:color="auto"/>
        <w:right w:val="none" w:sz="0" w:space="0" w:color="auto"/>
      </w:divBdr>
    </w:div>
    <w:div w:id="67844079">
      <w:bodyDiv w:val="1"/>
      <w:marLeft w:val="0"/>
      <w:marRight w:val="0"/>
      <w:marTop w:val="0"/>
      <w:marBottom w:val="0"/>
      <w:divBdr>
        <w:top w:val="none" w:sz="0" w:space="0" w:color="auto"/>
        <w:left w:val="none" w:sz="0" w:space="0" w:color="auto"/>
        <w:bottom w:val="none" w:sz="0" w:space="0" w:color="auto"/>
        <w:right w:val="none" w:sz="0" w:space="0" w:color="auto"/>
      </w:divBdr>
    </w:div>
    <w:div w:id="111946106">
      <w:bodyDiv w:val="1"/>
      <w:marLeft w:val="0"/>
      <w:marRight w:val="0"/>
      <w:marTop w:val="0"/>
      <w:marBottom w:val="0"/>
      <w:divBdr>
        <w:top w:val="none" w:sz="0" w:space="0" w:color="auto"/>
        <w:left w:val="none" w:sz="0" w:space="0" w:color="auto"/>
        <w:bottom w:val="none" w:sz="0" w:space="0" w:color="auto"/>
        <w:right w:val="none" w:sz="0" w:space="0" w:color="auto"/>
      </w:divBdr>
    </w:div>
    <w:div w:id="171915899">
      <w:bodyDiv w:val="1"/>
      <w:marLeft w:val="0"/>
      <w:marRight w:val="0"/>
      <w:marTop w:val="0"/>
      <w:marBottom w:val="0"/>
      <w:divBdr>
        <w:top w:val="none" w:sz="0" w:space="0" w:color="auto"/>
        <w:left w:val="none" w:sz="0" w:space="0" w:color="auto"/>
        <w:bottom w:val="none" w:sz="0" w:space="0" w:color="auto"/>
        <w:right w:val="none" w:sz="0" w:space="0" w:color="auto"/>
      </w:divBdr>
    </w:div>
    <w:div w:id="229275567">
      <w:bodyDiv w:val="1"/>
      <w:marLeft w:val="0"/>
      <w:marRight w:val="0"/>
      <w:marTop w:val="0"/>
      <w:marBottom w:val="0"/>
      <w:divBdr>
        <w:top w:val="none" w:sz="0" w:space="0" w:color="auto"/>
        <w:left w:val="none" w:sz="0" w:space="0" w:color="auto"/>
        <w:bottom w:val="none" w:sz="0" w:space="0" w:color="auto"/>
        <w:right w:val="none" w:sz="0" w:space="0" w:color="auto"/>
      </w:divBdr>
    </w:div>
    <w:div w:id="296490048">
      <w:bodyDiv w:val="1"/>
      <w:marLeft w:val="0"/>
      <w:marRight w:val="0"/>
      <w:marTop w:val="0"/>
      <w:marBottom w:val="0"/>
      <w:divBdr>
        <w:top w:val="none" w:sz="0" w:space="0" w:color="auto"/>
        <w:left w:val="none" w:sz="0" w:space="0" w:color="auto"/>
        <w:bottom w:val="none" w:sz="0" w:space="0" w:color="auto"/>
        <w:right w:val="none" w:sz="0" w:space="0" w:color="auto"/>
      </w:divBdr>
    </w:div>
    <w:div w:id="433328580">
      <w:bodyDiv w:val="1"/>
      <w:marLeft w:val="0"/>
      <w:marRight w:val="0"/>
      <w:marTop w:val="0"/>
      <w:marBottom w:val="0"/>
      <w:divBdr>
        <w:top w:val="none" w:sz="0" w:space="0" w:color="auto"/>
        <w:left w:val="none" w:sz="0" w:space="0" w:color="auto"/>
        <w:bottom w:val="none" w:sz="0" w:space="0" w:color="auto"/>
        <w:right w:val="none" w:sz="0" w:space="0" w:color="auto"/>
      </w:divBdr>
    </w:div>
    <w:div w:id="460416302">
      <w:bodyDiv w:val="1"/>
      <w:marLeft w:val="0"/>
      <w:marRight w:val="0"/>
      <w:marTop w:val="0"/>
      <w:marBottom w:val="0"/>
      <w:divBdr>
        <w:top w:val="none" w:sz="0" w:space="0" w:color="auto"/>
        <w:left w:val="none" w:sz="0" w:space="0" w:color="auto"/>
        <w:bottom w:val="none" w:sz="0" w:space="0" w:color="auto"/>
        <w:right w:val="none" w:sz="0" w:space="0" w:color="auto"/>
      </w:divBdr>
    </w:div>
    <w:div w:id="462694421">
      <w:bodyDiv w:val="1"/>
      <w:marLeft w:val="0"/>
      <w:marRight w:val="0"/>
      <w:marTop w:val="0"/>
      <w:marBottom w:val="0"/>
      <w:divBdr>
        <w:top w:val="none" w:sz="0" w:space="0" w:color="auto"/>
        <w:left w:val="none" w:sz="0" w:space="0" w:color="auto"/>
        <w:bottom w:val="none" w:sz="0" w:space="0" w:color="auto"/>
        <w:right w:val="none" w:sz="0" w:space="0" w:color="auto"/>
      </w:divBdr>
    </w:div>
    <w:div w:id="483471238">
      <w:bodyDiv w:val="1"/>
      <w:marLeft w:val="0"/>
      <w:marRight w:val="0"/>
      <w:marTop w:val="0"/>
      <w:marBottom w:val="0"/>
      <w:divBdr>
        <w:top w:val="none" w:sz="0" w:space="0" w:color="auto"/>
        <w:left w:val="none" w:sz="0" w:space="0" w:color="auto"/>
        <w:bottom w:val="none" w:sz="0" w:space="0" w:color="auto"/>
        <w:right w:val="none" w:sz="0" w:space="0" w:color="auto"/>
      </w:divBdr>
    </w:div>
    <w:div w:id="485822255">
      <w:bodyDiv w:val="1"/>
      <w:marLeft w:val="0"/>
      <w:marRight w:val="0"/>
      <w:marTop w:val="0"/>
      <w:marBottom w:val="0"/>
      <w:divBdr>
        <w:top w:val="none" w:sz="0" w:space="0" w:color="auto"/>
        <w:left w:val="none" w:sz="0" w:space="0" w:color="auto"/>
        <w:bottom w:val="none" w:sz="0" w:space="0" w:color="auto"/>
        <w:right w:val="none" w:sz="0" w:space="0" w:color="auto"/>
      </w:divBdr>
    </w:div>
    <w:div w:id="497312621">
      <w:bodyDiv w:val="1"/>
      <w:marLeft w:val="0"/>
      <w:marRight w:val="0"/>
      <w:marTop w:val="0"/>
      <w:marBottom w:val="0"/>
      <w:divBdr>
        <w:top w:val="none" w:sz="0" w:space="0" w:color="auto"/>
        <w:left w:val="none" w:sz="0" w:space="0" w:color="auto"/>
        <w:bottom w:val="none" w:sz="0" w:space="0" w:color="auto"/>
        <w:right w:val="none" w:sz="0" w:space="0" w:color="auto"/>
      </w:divBdr>
    </w:div>
    <w:div w:id="498732211">
      <w:bodyDiv w:val="1"/>
      <w:marLeft w:val="0"/>
      <w:marRight w:val="0"/>
      <w:marTop w:val="0"/>
      <w:marBottom w:val="0"/>
      <w:divBdr>
        <w:top w:val="none" w:sz="0" w:space="0" w:color="auto"/>
        <w:left w:val="none" w:sz="0" w:space="0" w:color="auto"/>
        <w:bottom w:val="none" w:sz="0" w:space="0" w:color="auto"/>
        <w:right w:val="none" w:sz="0" w:space="0" w:color="auto"/>
      </w:divBdr>
    </w:div>
    <w:div w:id="524640989">
      <w:bodyDiv w:val="1"/>
      <w:marLeft w:val="0"/>
      <w:marRight w:val="0"/>
      <w:marTop w:val="0"/>
      <w:marBottom w:val="0"/>
      <w:divBdr>
        <w:top w:val="none" w:sz="0" w:space="0" w:color="auto"/>
        <w:left w:val="none" w:sz="0" w:space="0" w:color="auto"/>
        <w:bottom w:val="none" w:sz="0" w:space="0" w:color="auto"/>
        <w:right w:val="none" w:sz="0" w:space="0" w:color="auto"/>
      </w:divBdr>
    </w:div>
    <w:div w:id="569312191">
      <w:bodyDiv w:val="1"/>
      <w:marLeft w:val="0"/>
      <w:marRight w:val="0"/>
      <w:marTop w:val="0"/>
      <w:marBottom w:val="0"/>
      <w:divBdr>
        <w:top w:val="none" w:sz="0" w:space="0" w:color="auto"/>
        <w:left w:val="none" w:sz="0" w:space="0" w:color="auto"/>
        <w:bottom w:val="none" w:sz="0" w:space="0" w:color="auto"/>
        <w:right w:val="none" w:sz="0" w:space="0" w:color="auto"/>
      </w:divBdr>
    </w:div>
    <w:div w:id="580599038">
      <w:bodyDiv w:val="1"/>
      <w:marLeft w:val="0"/>
      <w:marRight w:val="0"/>
      <w:marTop w:val="0"/>
      <w:marBottom w:val="0"/>
      <w:divBdr>
        <w:top w:val="none" w:sz="0" w:space="0" w:color="auto"/>
        <w:left w:val="none" w:sz="0" w:space="0" w:color="auto"/>
        <w:bottom w:val="none" w:sz="0" w:space="0" w:color="auto"/>
        <w:right w:val="none" w:sz="0" w:space="0" w:color="auto"/>
      </w:divBdr>
    </w:div>
    <w:div w:id="622884813">
      <w:bodyDiv w:val="1"/>
      <w:marLeft w:val="0"/>
      <w:marRight w:val="0"/>
      <w:marTop w:val="0"/>
      <w:marBottom w:val="0"/>
      <w:divBdr>
        <w:top w:val="none" w:sz="0" w:space="0" w:color="auto"/>
        <w:left w:val="none" w:sz="0" w:space="0" w:color="auto"/>
        <w:bottom w:val="none" w:sz="0" w:space="0" w:color="auto"/>
        <w:right w:val="none" w:sz="0" w:space="0" w:color="auto"/>
      </w:divBdr>
    </w:div>
    <w:div w:id="634792527">
      <w:bodyDiv w:val="1"/>
      <w:marLeft w:val="0"/>
      <w:marRight w:val="0"/>
      <w:marTop w:val="0"/>
      <w:marBottom w:val="0"/>
      <w:divBdr>
        <w:top w:val="none" w:sz="0" w:space="0" w:color="auto"/>
        <w:left w:val="none" w:sz="0" w:space="0" w:color="auto"/>
        <w:bottom w:val="none" w:sz="0" w:space="0" w:color="auto"/>
        <w:right w:val="none" w:sz="0" w:space="0" w:color="auto"/>
      </w:divBdr>
    </w:div>
    <w:div w:id="640428359">
      <w:bodyDiv w:val="1"/>
      <w:marLeft w:val="0"/>
      <w:marRight w:val="0"/>
      <w:marTop w:val="0"/>
      <w:marBottom w:val="0"/>
      <w:divBdr>
        <w:top w:val="none" w:sz="0" w:space="0" w:color="auto"/>
        <w:left w:val="none" w:sz="0" w:space="0" w:color="auto"/>
        <w:bottom w:val="none" w:sz="0" w:space="0" w:color="auto"/>
        <w:right w:val="none" w:sz="0" w:space="0" w:color="auto"/>
      </w:divBdr>
    </w:div>
    <w:div w:id="679626499">
      <w:bodyDiv w:val="1"/>
      <w:marLeft w:val="0"/>
      <w:marRight w:val="0"/>
      <w:marTop w:val="0"/>
      <w:marBottom w:val="0"/>
      <w:divBdr>
        <w:top w:val="none" w:sz="0" w:space="0" w:color="auto"/>
        <w:left w:val="none" w:sz="0" w:space="0" w:color="auto"/>
        <w:bottom w:val="none" w:sz="0" w:space="0" w:color="auto"/>
        <w:right w:val="none" w:sz="0" w:space="0" w:color="auto"/>
      </w:divBdr>
    </w:div>
    <w:div w:id="751271867">
      <w:bodyDiv w:val="1"/>
      <w:marLeft w:val="0"/>
      <w:marRight w:val="0"/>
      <w:marTop w:val="0"/>
      <w:marBottom w:val="0"/>
      <w:divBdr>
        <w:top w:val="none" w:sz="0" w:space="0" w:color="auto"/>
        <w:left w:val="none" w:sz="0" w:space="0" w:color="auto"/>
        <w:bottom w:val="none" w:sz="0" w:space="0" w:color="auto"/>
        <w:right w:val="none" w:sz="0" w:space="0" w:color="auto"/>
      </w:divBdr>
    </w:div>
    <w:div w:id="797770644">
      <w:bodyDiv w:val="1"/>
      <w:marLeft w:val="0"/>
      <w:marRight w:val="0"/>
      <w:marTop w:val="0"/>
      <w:marBottom w:val="0"/>
      <w:divBdr>
        <w:top w:val="none" w:sz="0" w:space="0" w:color="auto"/>
        <w:left w:val="none" w:sz="0" w:space="0" w:color="auto"/>
        <w:bottom w:val="none" w:sz="0" w:space="0" w:color="auto"/>
        <w:right w:val="none" w:sz="0" w:space="0" w:color="auto"/>
      </w:divBdr>
    </w:div>
    <w:div w:id="825164287">
      <w:bodyDiv w:val="1"/>
      <w:marLeft w:val="0"/>
      <w:marRight w:val="0"/>
      <w:marTop w:val="0"/>
      <w:marBottom w:val="0"/>
      <w:divBdr>
        <w:top w:val="none" w:sz="0" w:space="0" w:color="auto"/>
        <w:left w:val="none" w:sz="0" w:space="0" w:color="auto"/>
        <w:bottom w:val="none" w:sz="0" w:space="0" w:color="auto"/>
        <w:right w:val="none" w:sz="0" w:space="0" w:color="auto"/>
      </w:divBdr>
    </w:div>
    <w:div w:id="886189402">
      <w:bodyDiv w:val="1"/>
      <w:marLeft w:val="0"/>
      <w:marRight w:val="0"/>
      <w:marTop w:val="0"/>
      <w:marBottom w:val="0"/>
      <w:divBdr>
        <w:top w:val="none" w:sz="0" w:space="0" w:color="auto"/>
        <w:left w:val="none" w:sz="0" w:space="0" w:color="auto"/>
        <w:bottom w:val="none" w:sz="0" w:space="0" w:color="auto"/>
        <w:right w:val="none" w:sz="0" w:space="0" w:color="auto"/>
      </w:divBdr>
    </w:div>
    <w:div w:id="904877138">
      <w:bodyDiv w:val="1"/>
      <w:marLeft w:val="0"/>
      <w:marRight w:val="0"/>
      <w:marTop w:val="0"/>
      <w:marBottom w:val="0"/>
      <w:divBdr>
        <w:top w:val="none" w:sz="0" w:space="0" w:color="auto"/>
        <w:left w:val="none" w:sz="0" w:space="0" w:color="auto"/>
        <w:bottom w:val="none" w:sz="0" w:space="0" w:color="auto"/>
        <w:right w:val="none" w:sz="0" w:space="0" w:color="auto"/>
      </w:divBdr>
    </w:div>
    <w:div w:id="916717832">
      <w:bodyDiv w:val="1"/>
      <w:marLeft w:val="0"/>
      <w:marRight w:val="0"/>
      <w:marTop w:val="0"/>
      <w:marBottom w:val="0"/>
      <w:divBdr>
        <w:top w:val="none" w:sz="0" w:space="0" w:color="auto"/>
        <w:left w:val="none" w:sz="0" w:space="0" w:color="auto"/>
        <w:bottom w:val="none" w:sz="0" w:space="0" w:color="auto"/>
        <w:right w:val="none" w:sz="0" w:space="0" w:color="auto"/>
      </w:divBdr>
    </w:div>
    <w:div w:id="995064062">
      <w:bodyDiv w:val="1"/>
      <w:marLeft w:val="0"/>
      <w:marRight w:val="0"/>
      <w:marTop w:val="0"/>
      <w:marBottom w:val="0"/>
      <w:divBdr>
        <w:top w:val="none" w:sz="0" w:space="0" w:color="auto"/>
        <w:left w:val="none" w:sz="0" w:space="0" w:color="auto"/>
        <w:bottom w:val="none" w:sz="0" w:space="0" w:color="auto"/>
        <w:right w:val="none" w:sz="0" w:space="0" w:color="auto"/>
      </w:divBdr>
    </w:div>
    <w:div w:id="1011644634">
      <w:bodyDiv w:val="1"/>
      <w:marLeft w:val="0"/>
      <w:marRight w:val="0"/>
      <w:marTop w:val="0"/>
      <w:marBottom w:val="0"/>
      <w:divBdr>
        <w:top w:val="none" w:sz="0" w:space="0" w:color="auto"/>
        <w:left w:val="none" w:sz="0" w:space="0" w:color="auto"/>
        <w:bottom w:val="none" w:sz="0" w:space="0" w:color="auto"/>
        <w:right w:val="none" w:sz="0" w:space="0" w:color="auto"/>
      </w:divBdr>
    </w:div>
    <w:div w:id="1063143630">
      <w:bodyDiv w:val="1"/>
      <w:marLeft w:val="0"/>
      <w:marRight w:val="0"/>
      <w:marTop w:val="0"/>
      <w:marBottom w:val="0"/>
      <w:divBdr>
        <w:top w:val="none" w:sz="0" w:space="0" w:color="auto"/>
        <w:left w:val="none" w:sz="0" w:space="0" w:color="auto"/>
        <w:bottom w:val="none" w:sz="0" w:space="0" w:color="auto"/>
        <w:right w:val="none" w:sz="0" w:space="0" w:color="auto"/>
      </w:divBdr>
      <w:divsChild>
        <w:div w:id="376046828">
          <w:marLeft w:val="0"/>
          <w:marRight w:val="0"/>
          <w:marTop w:val="0"/>
          <w:marBottom w:val="0"/>
          <w:divBdr>
            <w:top w:val="none" w:sz="0" w:space="0" w:color="auto"/>
            <w:left w:val="none" w:sz="0" w:space="0" w:color="auto"/>
            <w:bottom w:val="none" w:sz="0" w:space="0" w:color="auto"/>
            <w:right w:val="none" w:sz="0" w:space="0" w:color="auto"/>
          </w:divBdr>
          <w:divsChild>
            <w:div w:id="1523739213">
              <w:marLeft w:val="0"/>
              <w:marRight w:val="0"/>
              <w:marTop w:val="0"/>
              <w:marBottom w:val="0"/>
              <w:divBdr>
                <w:top w:val="none" w:sz="0" w:space="0" w:color="auto"/>
                <w:left w:val="none" w:sz="0" w:space="0" w:color="auto"/>
                <w:bottom w:val="none" w:sz="0" w:space="0" w:color="auto"/>
                <w:right w:val="none" w:sz="0" w:space="0" w:color="auto"/>
              </w:divBdr>
            </w:div>
            <w:div w:id="575239975">
              <w:marLeft w:val="0"/>
              <w:marRight w:val="0"/>
              <w:marTop w:val="0"/>
              <w:marBottom w:val="0"/>
              <w:divBdr>
                <w:top w:val="none" w:sz="0" w:space="0" w:color="auto"/>
                <w:left w:val="none" w:sz="0" w:space="0" w:color="auto"/>
                <w:bottom w:val="none" w:sz="0" w:space="0" w:color="auto"/>
                <w:right w:val="none" w:sz="0" w:space="0" w:color="auto"/>
              </w:divBdr>
            </w:div>
            <w:div w:id="826358186">
              <w:marLeft w:val="0"/>
              <w:marRight w:val="0"/>
              <w:marTop w:val="0"/>
              <w:marBottom w:val="0"/>
              <w:divBdr>
                <w:top w:val="none" w:sz="0" w:space="0" w:color="auto"/>
                <w:left w:val="none" w:sz="0" w:space="0" w:color="auto"/>
                <w:bottom w:val="none" w:sz="0" w:space="0" w:color="auto"/>
                <w:right w:val="none" w:sz="0" w:space="0" w:color="auto"/>
              </w:divBdr>
            </w:div>
            <w:div w:id="1231619043">
              <w:marLeft w:val="0"/>
              <w:marRight w:val="0"/>
              <w:marTop w:val="0"/>
              <w:marBottom w:val="0"/>
              <w:divBdr>
                <w:top w:val="none" w:sz="0" w:space="0" w:color="auto"/>
                <w:left w:val="none" w:sz="0" w:space="0" w:color="auto"/>
                <w:bottom w:val="none" w:sz="0" w:space="0" w:color="auto"/>
                <w:right w:val="none" w:sz="0" w:space="0" w:color="auto"/>
              </w:divBdr>
            </w:div>
            <w:div w:id="916940487">
              <w:marLeft w:val="0"/>
              <w:marRight w:val="0"/>
              <w:marTop w:val="0"/>
              <w:marBottom w:val="0"/>
              <w:divBdr>
                <w:top w:val="none" w:sz="0" w:space="0" w:color="auto"/>
                <w:left w:val="none" w:sz="0" w:space="0" w:color="auto"/>
                <w:bottom w:val="none" w:sz="0" w:space="0" w:color="auto"/>
                <w:right w:val="none" w:sz="0" w:space="0" w:color="auto"/>
              </w:divBdr>
            </w:div>
            <w:div w:id="128286698">
              <w:marLeft w:val="0"/>
              <w:marRight w:val="0"/>
              <w:marTop w:val="0"/>
              <w:marBottom w:val="0"/>
              <w:divBdr>
                <w:top w:val="none" w:sz="0" w:space="0" w:color="auto"/>
                <w:left w:val="none" w:sz="0" w:space="0" w:color="auto"/>
                <w:bottom w:val="none" w:sz="0" w:space="0" w:color="auto"/>
                <w:right w:val="none" w:sz="0" w:space="0" w:color="auto"/>
              </w:divBdr>
            </w:div>
            <w:div w:id="1739745589">
              <w:marLeft w:val="0"/>
              <w:marRight w:val="0"/>
              <w:marTop w:val="0"/>
              <w:marBottom w:val="0"/>
              <w:divBdr>
                <w:top w:val="none" w:sz="0" w:space="0" w:color="auto"/>
                <w:left w:val="none" w:sz="0" w:space="0" w:color="auto"/>
                <w:bottom w:val="none" w:sz="0" w:space="0" w:color="auto"/>
                <w:right w:val="none" w:sz="0" w:space="0" w:color="auto"/>
              </w:divBdr>
            </w:div>
            <w:div w:id="1267156710">
              <w:marLeft w:val="0"/>
              <w:marRight w:val="0"/>
              <w:marTop w:val="0"/>
              <w:marBottom w:val="0"/>
              <w:divBdr>
                <w:top w:val="none" w:sz="0" w:space="0" w:color="auto"/>
                <w:left w:val="none" w:sz="0" w:space="0" w:color="auto"/>
                <w:bottom w:val="none" w:sz="0" w:space="0" w:color="auto"/>
                <w:right w:val="none" w:sz="0" w:space="0" w:color="auto"/>
              </w:divBdr>
            </w:div>
            <w:div w:id="2087146570">
              <w:marLeft w:val="0"/>
              <w:marRight w:val="0"/>
              <w:marTop w:val="0"/>
              <w:marBottom w:val="0"/>
              <w:divBdr>
                <w:top w:val="none" w:sz="0" w:space="0" w:color="auto"/>
                <w:left w:val="none" w:sz="0" w:space="0" w:color="auto"/>
                <w:bottom w:val="none" w:sz="0" w:space="0" w:color="auto"/>
                <w:right w:val="none" w:sz="0" w:space="0" w:color="auto"/>
              </w:divBdr>
            </w:div>
            <w:div w:id="825978468">
              <w:marLeft w:val="0"/>
              <w:marRight w:val="0"/>
              <w:marTop w:val="0"/>
              <w:marBottom w:val="0"/>
              <w:divBdr>
                <w:top w:val="none" w:sz="0" w:space="0" w:color="auto"/>
                <w:left w:val="none" w:sz="0" w:space="0" w:color="auto"/>
                <w:bottom w:val="none" w:sz="0" w:space="0" w:color="auto"/>
                <w:right w:val="none" w:sz="0" w:space="0" w:color="auto"/>
              </w:divBdr>
            </w:div>
            <w:div w:id="289363991">
              <w:marLeft w:val="0"/>
              <w:marRight w:val="0"/>
              <w:marTop w:val="0"/>
              <w:marBottom w:val="0"/>
              <w:divBdr>
                <w:top w:val="none" w:sz="0" w:space="0" w:color="auto"/>
                <w:left w:val="none" w:sz="0" w:space="0" w:color="auto"/>
                <w:bottom w:val="none" w:sz="0" w:space="0" w:color="auto"/>
                <w:right w:val="none" w:sz="0" w:space="0" w:color="auto"/>
              </w:divBdr>
            </w:div>
            <w:div w:id="2061972020">
              <w:marLeft w:val="0"/>
              <w:marRight w:val="0"/>
              <w:marTop w:val="0"/>
              <w:marBottom w:val="0"/>
              <w:divBdr>
                <w:top w:val="none" w:sz="0" w:space="0" w:color="auto"/>
                <w:left w:val="none" w:sz="0" w:space="0" w:color="auto"/>
                <w:bottom w:val="none" w:sz="0" w:space="0" w:color="auto"/>
                <w:right w:val="none" w:sz="0" w:space="0" w:color="auto"/>
              </w:divBdr>
            </w:div>
            <w:div w:id="2044281678">
              <w:marLeft w:val="0"/>
              <w:marRight w:val="0"/>
              <w:marTop w:val="0"/>
              <w:marBottom w:val="0"/>
              <w:divBdr>
                <w:top w:val="none" w:sz="0" w:space="0" w:color="auto"/>
                <w:left w:val="none" w:sz="0" w:space="0" w:color="auto"/>
                <w:bottom w:val="none" w:sz="0" w:space="0" w:color="auto"/>
                <w:right w:val="none" w:sz="0" w:space="0" w:color="auto"/>
              </w:divBdr>
            </w:div>
            <w:div w:id="418452600">
              <w:marLeft w:val="0"/>
              <w:marRight w:val="0"/>
              <w:marTop w:val="0"/>
              <w:marBottom w:val="0"/>
              <w:divBdr>
                <w:top w:val="none" w:sz="0" w:space="0" w:color="auto"/>
                <w:left w:val="none" w:sz="0" w:space="0" w:color="auto"/>
                <w:bottom w:val="none" w:sz="0" w:space="0" w:color="auto"/>
                <w:right w:val="none" w:sz="0" w:space="0" w:color="auto"/>
              </w:divBdr>
            </w:div>
            <w:div w:id="1492326693">
              <w:marLeft w:val="0"/>
              <w:marRight w:val="0"/>
              <w:marTop w:val="0"/>
              <w:marBottom w:val="0"/>
              <w:divBdr>
                <w:top w:val="none" w:sz="0" w:space="0" w:color="auto"/>
                <w:left w:val="none" w:sz="0" w:space="0" w:color="auto"/>
                <w:bottom w:val="none" w:sz="0" w:space="0" w:color="auto"/>
                <w:right w:val="none" w:sz="0" w:space="0" w:color="auto"/>
              </w:divBdr>
            </w:div>
            <w:div w:id="800734163">
              <w:marLeft w:val="0"/>
              <w:marRight w:val="0"/>
              <w:marTop w:val="0"/>
              <w:marBottom w:val="0"/>
              <w:divBdr>
                <w:top w:val="none" w:sz="0" w:space="0" w:color="auto"/>
                <w:left w:val="none" w:sz="0" w:space="0" w:color="auto"/>
                <w:bottom w:val="none" w:sz="0" w:space="0" w:color="auto"/>
                <w:right w:val="none" w:sz="0" w:space="0" w:color="auto"/>
              </w:divBdr>
            </w:div>
            <w:div w:id="832182615">
              <w:marLeft w:val="0"/>
              <w:marRight w:val="0"/>
              <w:marTop w:val="0"/>
              <w:marBottom w:val="0"/>
              <w:divBdr>
                <w:top w:val="none" w:sz="0" w:space="0" w:color="auto"/>
                <w:left w:val="none" w:sz="0" w:space="0" w:color="auto"/>
                <w:bottom w:val="none" w:sz="0" w:space="0" w:color="auto"/>
                <w:right w:val="none" w:sz="0" w:space="0" w:color="auto"/>
              </w:divBdr>
            </w:div>
            <w:div w:id="468787317">
              <w:marLeft w:val="0"/>
              <w:marRight w:val="0"/>
              <w:marTop w:val="0"/>
              <w:marBottom w:val="0"/>
              <w:divBdr>
                <w:top w:val="none" w:sz="0" w:space="0" w:color="auto"/>
                <w:left w:val="none" w:sz="0" w:space="0" w:color="auto"/>
                <w:bottom w:val="none" w:sz="0" w:space="0" w:color="auto"/>
                <w:right w:val="none" w:sz="0" w:space="0" w:color="auto"/>
              </w:divBdr>
            </w:div>
            <w:div w:id="90232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20666">
      <w:bodyDiv w:val="1"/>
      <w:marLeft w:val="0"/>
      <w:marRight w:val="0"/>
      <w:marTop w:val="0"/>
      <w:marBottom w:val="0"/>
      <w:divBdr>
        <w:top w:val="none" w:sz="0" w:space="0" w:color="auto"/>
        <w:left w:val="none" w:sz="0" w:space="0" w:color="auto"/>
        <w:bottom w:val="none" w:sz="0" w:space="0" w:color="auto"/>
        <w:right w:val="none" w:sz="0" w:space="0" w:color="auto"/>
      </w:divBdr>
    </w:div>
    <w:div w:id="1128016130">
      <w:bodyDiv w:val="1"/>
      <w:marLeft w:val="0"/>
      <w:marRight w:val="0"/>
      <w:marTop w:val="0"/>
      <w:marBottom w:val="0"/>
      <w:divBdr>
        <w:top w:val="none" w:sz="0" w:space="0" w:color="auto"/>
        <w:left w:val="none" w:sz="0" w:space="0" w:color="auto"/>
        <w:bottom w:val="none" w:sz="0" w:space="0" w:color="auto"/>
        <w:right w:val="none" w:sz="0" w:space="0" w:color="auto"/>
      </w:divBdr>
    </w:div>
    <w:div w:id="1144278304">
      <w:bodyDiv w:val="1"/>
      <w:marLeft w:val="0"/>
      <w:marRight w:val="0"/>
      <w:marTop w:val="0"/>
      <w:marBottom w:val="0"/>
      <w:divBdr>
        <w:top w:val="none" w:sz="0" w:space="0" w:color="auto"/>
        <w:left w:val="none" w:sz="0" w:space="0" w:color="auto"/>
        <w:bottom w:val="none" w:sz="0" w:space="0" w:color="auto"/>
        <w:right w:val="none" w:sz="0" w:space="0" w:color="auto"/>
      </w:divBdr>
    </w:div>
    <w:div w:id="1147166978">
      <w:bodyDiv w:val="1"/>
      <w:marLeft w:val="0"/>
      <w:marRight w:val="0"/>
      <w:marTop w:val="0"/>
      <w:marBottom w:val="0"/>
      <w:divBdr>
        <w:top w:val="none" w:sz="0" w:space="0" w:color="auto"/>
        <w:left w:val="none" w:sz="0" w:space="0" w:color="auto"/>
        <w:bottom w:val="none" w:sz="0" w:space="0" w:color="auto"/>
        <w:right w:val="none" w:sz="0" w:space="0" w:color="auto"/>
      </w:divBdr>
    </w:div>
    <w:div w:id="1162044105">
      <w:bodyDiv w:val="1"/>
      <w:marLeft w:val="0"/>
      <w:marRight w:val="0"/>
      <w:marTop w:val="0"/>
      <w:marBottom w:val="0"/>
      <w:divBdr>
        <w:top w:val="none" w:sz="0" w:space="0" w:color="auto"/>
        <w:left w:val="none" w:sz="0" w:space="0" w:color="auto"/>
        <w:bottom w:val="none" w:sz="0" w:space="0" w:color="auto"/>
        <w:right w:val="none" w:sz="0" w:space="0" w:color="auto"/>
      </w:divBdr>
    </w:div>
    <w:div w:id="1199782916">
      <w:bodyDiv w:val="1"/>
      <w:marLeft w:val="0"/>
      <w:marRight w:val="0"/>
      <w:marTop w:val="0"/>
      <w:marBottom w:val="0"/>
      <w:divBdr>
        <w:top w:val="none" w:sz="0" w:space="0" w:color="auto"/>
        <w:left w:val="none" w:sz="0" w:space="0" w:color="auto"/>
        <w:bottom w:val="none" w:sz="0" w:space="0" w:color="auto"/>
        <w:right w:val="none" w:sz="0" w:space="0" w:color="auto"/>
      </w:divBdr>
    </w:div>
    <w:div w:id="1274559739">
      <w:bodyDiv w:val="1"/>
      <w:marLeft w:val="0"/>
      <w:marRight w:val="0"/>
      <w:marTop w:val="0"/>
      <w:marBottom w:val="0"/>
      <w:divBdr>
        <w:top w:val="none" w:sz="0" w:space="0" w:color="auto"/>
        <w:left w:val="none" w:sz="0" w:space="0" w:color="auto"/>
        <w:bottom w:val="none" w:sz="0" w:space="0" w:color="auto"/>
        <w:right w:val="none" w:sz="0" w:space="0" w:color="auto"/>
      </w:divBdr>
    </w:div>
    <w:div w:id="1290740477">
      <w:bodyDiv w:val="1"/>
      <w:marLeft w:val="0"/>
      <w:marRight w:val="0"/>
      <w:marTop w:val="0"/>
      <w:marBottom w:val="0"/>
      <w:divBdr>
        <w:top w:val="none" w:sz="0" w:space="0" w:color="auto"/>
        <w:left w:val="none" w:sz="0" w:space="0" w:color="auto"/>
        <w:bottom w:val="none" w:sz="0" w:space="0" w:color="auto"/>
        <w:right w:val="none" w:sz="0" w:space="0" w:color="auto"/>
      </w:divBdr>
    </w:div>
    <w:div w:id="1294867023">
      <w:bodyDiv w:val="1"/>
      <w:marLeft w:val="0"/>
      <w:marRight w:val="0"/>
      <w:marTop w:val="0"/>
      <w:marBottom w:val="0"/>
      <w:divBdr>
        <w:top w:val="none" w:sz="0" w:space="0" w:color="auto"/>
        <w:left w:val="none" w:sz="0" w:space="0" w:color="auto"/>
        <w:bottom w:val="none" w:sz="0" w:space="0" w:color="auto"/>
        <w:right w:val="none" w:sz="0" w:space="0" w:color="auto"/>
      </w:divBdr>
    </w:div>
    <w:div w:id="1303736254">
      <w:bodyDiv w:val="1"/>
      <w:marLeft w:val="0"/>
      <w:marRight w:val="0"/>
      <w:marTop w:val="0"/>
      <w:marBottom w:val="0"/>
      <w:divBdr>
        <w:top w:val="none" w:sz="0" w:space="0" w:color="auto"/>
        <w:left w:val="none" w:sz="0" w:space="0" w:color="auto"/>
        <w:bottom w:val="none" w:sz="0" w:space="0" w:color="auto"/>
        <w:right w:val="none" w:sz="0" w:space="0" w:color="auto"/>
      </w:divBdr>
    </w:div>
    <w:div w:id="1323579323">
      <w:bodyDiv w:val="1"/>
      <w:marLeft w:val="0"/>
      <w:marRight w:val="0"/>
      <w:marTop w:val="0"/>
      <w:marBottom w:val="0"/>
      <w:divBdr>
        <w:top w:val="none" w:sz="0" w:space="0" w:color="auto"/>
        <w:left w:val="none" w:sz="0" w:space="0" w:color="auto"/>
        <w:bottom w:val="none" w:sz="0" w:space="0" w:color="auto"/>
        <w:right w:val="none" w:sz="0" w:space="0" w:color="auto"/>
      </w:divBdr>
    </w:div>
    <w:div w:id="1326588799">
      <w:bodyDiv w:val="1"/>
      <w:marLeft w:val="0"/>
      <w:marRight w:val="0"/>
      <w:marTop w:val="0"/>
      <w:marBottom w:val="0"/>
      <w:divBdr>
        <w:top w:val="none" w:sz="0" w:space="0" w:color="auto"/>
        <w:left w:val="none" w:sz="0" w:space="0" w:color="auto"/>
        <w:bottom w:val="none" w:sz="0" w:space="0" w:color="auto"/>
        <w:right w:val="none" w:sz="0" w:space="0" w:color="auto"/>
      </w:divBdr>
    </w:div>
    <w:div w:id="1457093366">
      <w:bodyDiv w:val="1"/>
      <w:marLeft w:val="0"/>
      <w:marRight w:val="0"/>
      <w:marTop w:val="0"/>
      <w:marBottom w:val="0"/>
      <w:divBdr>
        <w:top w:val="none" w:sz="0" w:space="0" w:color="auto"/>
        <w:left w:val="none" w:sz="0" w:space="0" w:color="auto"/>
        <w:bottom w:val="none" w:sz="0" w:space="0" w:color="auto"/>
        <w:right w:val="none" w:sz="0" w:space="0" w:color="auto"/>
      </w:divBdr>
    </w:div>
    <w:div w:id="1590771938">
      <w:bodyDiv w:val="1"/>
      <w:marLeft w:val="0"/>
      <w:marRight w:val="0"/>
      <w:marTop w:val="0"/>
      <w:marBottom w:val="0"/>
      <w:divBdr>
        <w:top w:val="none" w:sz="0" w:space="0" w:color="auto"/>
        <w:left w:val="none" w:sz="0" w:space="0" w:color="auto"/>
        <w:bottom w:val="none" w:sz="0" w:space="0" w:color="auto"/>
        <w:right w:val="none" w:sz="0" w:space="0" w:color="auto"/>
      </w:divBdr>
    </w:div>
    <w:div w:id="1599799902">
      <w:bodyDiv w:val="1"/>
      <w:marLeft w:val="0"/>
      <w:marRight w:val="0"/>
      <w:marTop w:val="0"/>
      <w:marBottom w:val="0"/>
      <w:divBdr>
        <w:top w:val="none" w:sz="0" w:space="0" w:color="auto"/>
        <w:left w:val="none" w:sz="0" w:space="0" w:color="auto"/>
        <w:bottom w:val="none" w:sz="0" w:space="0" w:color="auto"/>
        <w:right w:val="none" w:sz="0" w:space="0" w:color="auto"/>
      </w:divBdr>
    </w:div>
    <w:div w:id="1600527759">
      <w:bodyDiv w:val="1"/>
      <w:marLeft w:val="0"/>
      <w:marRight w:val="0"/>
      <w:marTop w:val="0"/>
      <w:marBottom w:val="0"/>
      <w:divBdr>
        <w:top w:val="none" w:sz="0" w:space="0" w:color="auto"/>
        <w:left w:val="none" w:sz="0" w:space="0" w:color="auto"/>
        <w:bottom w:val="none" w:sz="0" w:space="0" w:color="auto"/>
        <w:right w:val="none" w:sz="0" w:space="0" w:color="auto"/>
      </w:divBdr>
    </w:div>
    <w:div w:id="1613591992">
      <w:bodyDiv w:val="1"/>
      <w:marLeft w:val="0"/>
      <w:marRight w:val="0"/>
      <w:marTop w:val="0"/>
      <w:marBottom w:val="0"/>
      <w:divBdr>
        <w:top w:val="none" w:sz="0" w:space="0" w:color="auto"/>
        <w:left w:val="none" w:sz="0" w:space="0" w:color="auto"/>
        <w:bottom w:val="none" w:sz="0" w:space="0" w:color="auto"/>
        <w:right w:val="none" w:sz="0" w:space="0" w:color="auto"/>
      </w:divBdr>
    </w:div>
    <w:div w:id="1685129706">
      <w:bodyDiv w:val="1"/>
      <w:marLeft w:val="0"/>
      <w:marRight w:val="0"/>
      <w:marTop w:val="0"/>
      <w:marBottom w:val="0"/>
      <w:divBdr>
        <w:top w:val="none" w:sz="0" w:space="0" w:color="auto"/>
        <w:left w:val="none" w:sz="0" w:space="0" w:color="auto"/>
        <w:bottom w:val="none" w:sz="0" w:space="0" w:color="auto"/>
        <w:right w:val="none" w:sz="0" w:space="0" w:color="auto"/>
      </w:divBdr>
      <w:divsChild>
        <w:div w:id="1294091461">
          <w:marLeft w:val="446"/>
          <w:marRight w:val="0"/>
          <w:marTop w:val="62"/>
          <w:marBottom w:val="0"/>
          <w:divBdr>
            <w:top w:val="none" w:sz="0" w:space="0" w:color="auto"/>
            <w:left w:val="none" w:sz="0" w:space="0" w:color="auto"/>
            <w:bottom w:val="none" w:sz="0" w:space="0" w:color="auto"/>
            <w:right w:val="none" w:sz="0" w:space="0" w:color="auto"/>
          </w:divBdr>
        </w:div>
      </w:divsChild>
    </w:div>
    <w:div w:id="1691369630">
      <w:bodyDiv w:val="1"/>
      <w:marLeft w:val="0"/>
      <w:marRight w:val="0"/>
      <w:marTop w:val="0"/>
      <w:marBottom w:val="0"/>
      <w:divBdr>
        <w:top w:val="none" w:sz="0" w:space="0" w:color="auto"/>
        <w:left w:val="none" w:sz="0" w:space="0" w:color="auto"/>
        <w:bottom w:val="none" w:sz="0" w:space="0" w:color="auto"/>
        <w:right w:val="none" w:sz="0" w:space="0" w:color="auto"/>
      </w:divBdr>
    </w:div>
    <w:div w:id="1711220983">
      <w:bodyDiv w:val="1"/>
      <w:marLeft w:val="0"/>
      <w:marRight w:val="0"/>
      <w:marTop w:val="0"/>
      <w:marBottom w:val="0"/>
      <w:divBdr>
        <w:top w:val="none" w:sz="0" w:space="0" w:color="auto"/>
        <w:left w:val="none" w:sz="0" w:space="0" w:color="auto"/>
        <w:bottom w:val="none" w:sz="0" w:space="0" w:color="auto"/>
        <w:right w:val="none" w:sz="0" w:space="0" w:color="auto"/>
      </w:divBdr>
    </w:div>
    <w:div w:id="1782916832">
      <w:bodyDiv w:val="1"/>
      <w:marLeft w:val="0"/>
      <w:marRight w:val="0"/>
      <w:marTop w:val="0"/>
      <w:marBottom w:val="0"/>
      <w:divBdr>
        <w:top w:val="none" w:sz="0" w:space="0" w:color="auto"/>
        <w:left w:val="none" w:sz="0" w:space="0" w:color="auto"/>
        <w:bottom w:val="none" w:sz="0" w:space="0" w:color="auto"/>
        <w:right w:val="none" w:sz="0" w:space="0" w:color="auto"/>
      </w:divBdr>
      <w:divsChild>
        <w:div w:id="1717197747">
          <w:marLeft w:val="446"/>
          <w:marRight w:val="0"/>
          <w:marTop w:val="62"/>
          <w:marBottom w:val="0"/>
          <w:divBdr>
            <w:top w:val="none" w:sz="0" w:space="0" w:color="auto"/>
            <w:left w:val="none" w:sz="0" w:space="0" w:color="auto"/>
            <w:bottom w:val="none" w:sz="0" w:space="0" w:color="auto"/>
            <w:right w:val="none" w:sz="0" w:space="0" w:color="auto"/>
          </w:divBdr>
        </w:div>
        <w:div w:id="2135515816">
          <w:marLeft w:val="446"/>
          <w:marRight w:val="0"/>
          <w:marTop w:val="62"/>
          <w:marBottom w:val="0"/>
          <w:divBdr>
            <w:top w:val="none" w:sz="0" w:space="0" w:color="auto"/>
            <w:left w:val="none" w:sz="0" w:space="0" w:color="auto"/>
            <w:bottom w:val="none" w:sz="0" w:space="0" w:color="auto"/>
            <w:right w:val="none" w:sz="0" w:space="0" w:color="auto"/>
          </w:divBdr>
        </w:div>
      </w:divsChild>
    </w:div>
    <w:div w:id="1787430446">
      <w:bodyDiv w:val="1"/>
      <w:marLeft w:val="0"/>
      <w:marRight w:val="0"/>
      <w:marTop w:val="0"/>
      <w:marBottom w:val="0"/>
      <w:divBdr>
        <w:top w:val="none" w:sz="0" w:space="0" w:color="auto"/>
        <w:left w:val="none" w:sz="0" w:space="0" w:color="auto"/>
        <w:bottom w:val="none" w:sz="0" w:space="0" w:color="auto"/>
        <w:right w:val="none" w:sz="0" w:space="0" w:color="auto"/>
      </w:divBdr>
    </w:div>
    <w:div w:id="1814829409">
      <w:bodyDiv w:val="1"/>
      <w:marLeft w:val="0"/>
      <w:marRight w:val="0"/>
      <w:marTop w:val="0"/>
      <w:marBottom w:val="0"/>
      <w:divBdr>
        <w:top w:val="none" w:sz="0" w:space="0" w:color="auto"/>
        <w:left w:val="none" w:sz="0" w:space="0" w:color="auto"/>
        <w:bottom w:val="none" w:sz="0" w:space="0" w:color="auto"/>
        <w:right w:val="none" w:sz="0" w:space="0" w:color="auto"/>
      </w:divBdr>
    </w:div>
    <w:div w:id="1821342145">
      <w:bodyDiv w:val="1"/>
      <w:marLeft w:val="0"/>
      <w:marRight w:val="0"/>
      <w:marTop w:val="0"/>
      <w:marBottom w:val="0"/>
      <w:divBdr>
        <w:top w:val="none" w:sz="0" w:space="0" w:color="auto"/>
        <w:left w:val="none" w:sz="0" w:space="0" w:color="auto"/>
        <w:bottom w:val="none" w:sz="0" w:space="0" w:color="auto"/>
        <w:right w:val="none" w:sz="0" w:space="0" w:color="auto"/>
      </w:divBdr>
    </w:div>
    <w:div w:id="1832326821">
      <w:bodyDiv w:val="1"/>
      <w:marLeft w:val="0"/>
      <w:marRight w:val="0"/>
      <w:marTop w:val="0"/>
      <w:marBottom w:val="0"/>
      <w:divBdr>
        <w:top w:val="none" w:sz="0" w:space="0" w:color="auto"/>
        <w:left w:val="none" w:sz="0" w:space="0" w:color="auto"/>
        <w:bottom w:val="none" w:sz="0" w:space="0" w:color="auto"/>
        <w:right w:val="none" w:sz="0" w:space="0" w:color="auto"/>
      </w:divBdr>
    </w:div>
    <w:div w:id="1855026695">
      <w:bodyDiv w:val="1"/>
      <w:marLeft w:val="0"/>
      <w:marRight w:val="0"/>
      <w:marTop w:val="0"/>
      <w:marBottom w:val="0"/>
      <w:divBdr>
        <w:top w:val="none" w:sz="0" w:space="0" w:color="auto"/>
        <w:left w:val="none" w:sz="0" w:space="0" w:color="auto"/>
        <w:bottom w:val="none" w:sz="0" w:space="0" w:color="auto"/>
        <w:right w:val="none" w:sz="0" w:space="0" w:color="auto"/>
      </w:divBdr>
    </w:div>
    <w:div w:id="1902789440">
      <w:bodyDiv w:val="1"/>
      <w:marLeft w:val="0"/>
      <w:marRight w:val="0"/>
      <w:marTop w:val="0"/>
      <w:marBottom w:val="0"/>
      <w:divBdr>
        <w:top w:val="none" w:sz="0" w:space="0" w:color="auto"/>
        <w:left w:val="none" w:sz="0" w:space="0" w:color="auto"/>
        <w:bottom w:val="none" w:sz="0" w:space="0" w:color="auto"/>
        <w:right w:val="none" w:sz="0" w:space="0" w:color="auto"/>
      </w:divBdr>
    </w:div>
    <w:div w:id="1928028046">
      <w:bodyDiv w:val="1"/>
      <w:marLeft w:val="0"/>
      <w:marRight w:val="0"/>
      <w:marTop w:val="0"/>
      <w:marBottom w:val="0"/>
      <w:divBdr>
        <w:top w:val="none" w:sz="0" w:space="0" w:color="auto"/>
        <w:left w:val="none" w:sz="0" w:space="0" w:color="auto"/>
        <w:bottom w:val="none" w:sz="0" w:space="0" w:color="auto"/>
        <w:right w:val="none" w:sz="0" w:space="0" w:color="auto"/>
      </w:divBdr>
    </w:div>
    <w:div w:id="1934586769">
      <w:bodyDiv w:val="1"/>
      <w:marLeft w:val="0"/>
      <w:marRight w:val="0"/>
      <w:marTop w:val="0"/>
      <w:marBottom w:val="0"/>
      <w:divBdr>
        <w:top w:val="none" w:sz="0" w:space="0" w:color="auto"/>
        <w:left w:val="none" w:sz="0" w:space="0" w:color="auto"/>
        <w:bottom w:val="none" w:sz="0" w:space="0" w:color="auto"/>
        <w:right w:val="none" w:sz="0" w:space="0" w:color="auto"/>
      </w:divBdr>
    </w:div>
    <w:div w:id="1969243879">
      <w:bodyDiv w:val="1"/>
      <w:marLeft w:val="0"/>
      <w:marRight w:val="0"/>
      <w:marTop w:val="0"/>
      <w:marBottom w:val="0"/>
      <w:divBdr>
        <w:top w:val="none" w:sz="0" w:space="0" w:color="auto"/>
        <w:left w:val="none" w:sz="0" w:space="0" w:color="auto"/>
        <w:bottom w:val="none" w:sz="0" w:space="0" w:color="auto"/>
        <w:right w:val="none" w:sz="0" w:space="0" w:color="auto"/>
      </w:divBdr>
    </w:div>
    <w:div w:id="1990595568">
      <w:bodyDiv w:val="1"/>
      <w:marLeft w:val="0"/>
      <w:marRight w:val="0"/>
      <w:marTop w:val="0"/>
      <w:marBottom w:val="0"/>
      <w:divBdr>
        <w:top w:val="none" w:sz="0" w:space="0" w:color="auto"/>
        <w:left w:val="none" w:sz="0" w:space="0" w:color="auto"/>
        <w:bottom w:val="none" w:sz="0" w:space="0" w:color="auto"/>
        <w:right w:val="none" w:sz="0" w:space="0" w:color="auto"/>
      </w:divBdr>
    </w:div>
    <w:div w:id="2068988085">
      <w:bodyDiv w:val="1"/>
      <w:marLeft w:val="0"/>
      <w:marRight w:val="0"/>
      <w:marTop w:val="0"/>
      <w:marBottom w:val="0"/>
      <w:divBdr>
        <w:top w:val="none" w:sz="0" w:space="0" w:color="auto"/>
        <w:left w:val="none" w:sz="0" w:space="0" w:color="auto"/>
        <w:bottom w:val="none" w:sz="0" w:space="0" w:color="auto"/>
        <w:right w:val="none" w:sz="0" w:space="0" w:color="auto"/>
      </w:divBdr>
      <w:divsChild>
        <w:div w:id="699432198">
          <w:marLeft w:val="446"/>
          <w:marRight w:val="0"/>
          <w:marTop w:val="62"/>
          <w:marBottom w:val="0"/>
          <w:divBdr>
            <w:top w:val="none" w:sz="0" w:space="0" w:color="auto"/>
            <w:left w:val="none" w:sz="0" w:space="0" w:color="auto"/>
            <w:bottom w:val="none" w:sz="0" w:space="0" w:color="auto"/>
            <w:right w:val="none" w:sz="0" w:space="0" w:color="auto"/>
          </w:divBdr>
        </w:div>
        <w:div w:id="1546983246">
          <w:marLeft w:val="446"/>
          <w:marRight w:val="0"/>
          <w:marTop w:val="62"/>
          <w:marBottom w:val="0"/>
          <w:divBdr>
            <w:top w:val="none" w:sz="0" w:space="0" w:color="auto"/>
            <w:left w:val="none" w:sz="0" w:space="0" w:color="auto"/>
            <w:bottom w:val="none" w:sz="0" w:space="0" w:color="auto"/>
            <w:right w:val="none" w:sz="0" w:space="0" w:color="auto"/>
          </w:divBdr>
        </w:div>
        <w:div w:id="484318573">
          <w:marLeft w:val="446"/>
          <w:marRight w:val="0"/>
          <w:marTop w:val="62"/>
          <w:marBottom w:val="0"/>
          <w:divBdr>
            <w:top w:val="none" w:sz="0" w:space="0" w:color="auto"/>
            <w:left w:val="none" w:sz="0" w:space="0" w:color="auto"/>
            <w:bottom w:val="none" w:sz="0" w:space="0" w:color="auto"/>
            <w:right w:val="none" w:sz="0" w:space="0" w:color="auto"/>
          </w:divBdr>
        </w:div>
        <w:div w:id="158887732">
          <w:marLeft w:val="446"/>
          <w:marRight w:val="0"/>
          <w:marTop w:val="62"/>
          <w:marBottom w:val="0"/>
          <w:divBdr>
            <w:top w:val="none" w:sz="0" w:space="0" w:color="auto"/>
            <w:left w:val="none" w:sz="0" w:space="0" w:color="auto"/>
            <w:bottom w:val="none" w:sz="0" w:space="0" w:color="auto"/>
            <w:right w:val="none" w:sz="0" w:space="0" w:color="auto"/>
          </w:divBdr>
        </w:div>
        <w:div w:id="1372536449">
          <w:marLeft w:val="446"/>
          <w:marRight w:val="0"/>
          <w:marTop w:val="62"/>
          <w:marBottom w:val="0"/>
          <w:divBdr>
            <w:top w:val="none" w:sz="0" w:space="0" w:color="auto"/>
            <w:left w:val="none" w:sz="0" w:space="0" w:color="auto"/>
            <w:bottom w:val="none" w:sz="0" w:space="0" w:color="auto"/>
            <w:right w:val="none" w:sz="0" w:space="0" w:color="auto"/>
          </w:divBdr>
        </w:div>
      </w:divsChild>
    </w:div>
    <w:div w:id="2114324077">
      <w:bodyDiv w:val="1"/>
      <w:marLeft w:val="0"/>
      <w:marRight w:val="0"/>
      <w:marTop w:val="0"/>
      <w:marBottom w:val="0"/>
      <w:divBdr>
        <w:top w:val="none" w:sz="0" w:space="0" w:color="auto"/>
        <w:left w:val="none" w:sz="0" w:space="0" w:color="auto"/>
        <w:bottom w:val="none" w:sz="0" w:space="0" w:color="auto"/>
        <w:right w:val="none" w:sz="0" w:space="0" w:color="auto"/>
      </w:divBdr>
    </w:div>
    <w:div w:id="212114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onsult.treasury.gov.au/budget-policy-division/2018-19-pre-budget-submissions/consultation/view_respondent?sort=excerpt&amp;order=ascending&amp;_b_index=120&amp;uuId=59657134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24450" ma:contentTypeDescription=" " ma:contentTypeScope="" ma:versionID="5595187158390eed0ba898fb6da1454f">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9035defeec2a07384202969f79448ecd"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0f563589-9cf9-4143-b1eb-fb0534803d38">2019MG-93-35352</_dlc_DocId>
    <_dlc_DocIdUrl xmlns="0f563589-9cf9-4143-b1eb-fb0534803d38">
      <Url>http://tweb/sites/mg/fsd/_layouts/15/DocIdRedir.aspx?ID=2019MG-93-35352</Url>
      <Description>2019MG-93-35352</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7.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6C8B30A4-5A79-4718-AA7E-0E9EBAAF88F8}"/>
</file>

<file path=customXml/itemProps2.xml><?xml version="1.0" encoding="utf-8"?>
<ds:datastoreItem xmlns:ds="http://schemas.openxmlformats.org/officeDocument/2006/customXml" ds:itemID="{C652F9DA-76EC-4EB9-9B7B-48C07E72D605}">
  <ds:schemaRefs>
    <ds:schemaRef ds:uri="http://schemas.microsoft.com/sharepoint/v3/contenttype/forms"/>
  </ds:schemaRefs>
</ds:datastoreItem>
</file>

<file path=customXml/itemProps3.xml><?xml version="1.0" encoding="utf-8"?>
<ds:datastoreItem xmlns:ds="http://schemas.openxmlformats.org/officeDocument/2006/customXml" ds:itemID="{CCFA6BE4-FDF4-4B75-B897-E56826817A1A}">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1f858bcc-781a-4871-b956-280e8ce0681f"/>
    <ds:schemaRef ds:uri="97d31cbd-d320-403c-8a6a-e1c61c6e0af4"/>
    <ds:schemaRef ds:uri="http://www.w3.org/XML/1998/namespace"/>
  </ds:schemaRefs>
</ds:datastoreItem>
</file>

<file path=customXml/itemProps4.xml><?xml version="1.0" encoding="utf-8"?>
<ds:datastoreItem xmlns:ds="http://schemas.openxmlformats.org/officeDocument/2006/customXml" ds:itemID="{D09BE916-4919-4579-B32D-C96E73B61E75}">
  <ds:schemaRefs>
    <ds:schemaRef ds:uri="http://schemas.openxmlformats.org/officeDocument/2006/bibliography"/>
  </ds:schemaRefs>
</ds:datastoreItem>
</file>

<file path=customXml/itemProps5.xml><?xml version="1.0" encoding="utf-8"?>
<ds:datastoreItem xmlns:ds="http://schemas.openxmlformats.org/officeDocument/2006/customXml" ds:itemID="{0611C5F6-09ED-43C7-91A6-C3CB4D567BAA}"/>
</file>

<file path=customXml/itemProps6.xml><?xml version="1.0" encoding="utf-8"?>
<ds:datastoreItem xmlns:ds="http://schemas.openxmlformats.org/officeDocument/2006/customXml" ds:itemID="{ED7790D8-C065-4A87-B10D-597B5D9E3BFD}"/>
</file>

<file path=customXml/itemProps7.xml><?xml version="1.0" encoding="utf-8"?>
<ds:datastoreItem xmlns:ds="http://schemas.openxmlformats.org/officeDocument/2006/customXml" ds:itemID="{7E9F63DD-835A-4C6E-AC5C-8C0CD6908099}"/>
</file>

<file path=docProps/app.xml><?xml version="1.0" encoding="utf-8"?>
<Properties xmlns="http://schemas.openxmlformats.org/officeDocument/2006/extended-properties" xmlns:vt="http://schemas.openxmlformats.org/officeDocument/2006/docPropsVTypes">
  <Template>Normal.dotm</Template>
  <TotalTime>1</TotalTime>
  <Pages>13</Pages>
  <Words>3106</Words>
  <Characters>17708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 Toomey</dc:creator>
  <cp:lastModifiedBy>Mel Toomey</cp:lastModifiedBy>
  <cp:revision>2</cp:revision>
  <cp:lastPrinted>2019-03-22T04:56:00Z</cp:lastPrinted>
  <dcterms:created xsi:type="dcterms:W3CDTF">2019-03-24T22:24:00Z</dcterms:created>
  <dcterms:modified xsi:type="dcterms:W3CDTF">2019-03-24T22:24:00Z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_dlc_DocIdItemGuid">
    <vt:lpwstr>ec8f8eed-5543-4b6c-bb2f-b9cfbbf30ce9</vt:lpwstr>
  </property>
  <property fmtid="{D5CDD505-2E9C-101B-9397-08002B2CF9AE}" pid="4" name="TSYRecordClass">
    <vt:lpwstr>7;#TSY RA-9072 - Retain as national archives|d71911a4-1e32-4fc6-834f-26c4fc33e217</vt:lpwstr>
  </property>
</Properties>
</file>