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1A6D2E" w:rsidTr="001A6D2E">
        <w:tc>
          <w:tcPr>
            <w:tcW w:w="7087" w:type="dxa"/>
            <w:shd w:val="clear" w:color="auto" w:fill="auto"/>
          </w:tcPr>
          <w:p w:rsidR="001A6D2E" w:rsidRDefault="001A6D2E" w:rsidP="001A6D2E">
            <w:pPr>
              <w:jc w:val="center"/>
              <w:rPr>
                <w:b/>
                <w:sz w:val="26"/>
              </w:rPr>
            </w:pPr>
            <w:bookmarkStart w:id="0" w:name="_GoBack"/>
            <w:bookmarkEnd w:id="0"/>
            <w:r>
              <w:rPr>
                <w:b/>
                <w:sz w:val="26"/>
              </w:rPr>
              <w:t>EXPOSURE DRAFT</w:t>
            </w:r>
          </w:p>
          <w:p w:rsidR="001A6D2E" w:rsidRPr="001A6D2E" w:rsidRDefault="001A6D2E" w:rsidP="001A6D2E">
            <w:pPr>
              <w:rPr>
                <w:b/>
                <w:sz w:val="20"/>
              </w:rPr>
            </w:pPr>
          </w:p>
        </w:tc>
      </w:tr>
    </w:tbl>
    <w:p w:rsidR="001A6D2E" w:rsidRDefault="001A6D2E" w:rsidP="00EF7182">
      <w:pPr>
        <w:rPr>
          <w:sz w:val="32"/>
          <w:szCs w:val="32"/>
        </w:rPr>
      </w:pPr>
    </w:p>
    <w:p w:rsidR="00664C63" w:rsidRPr="00EF7182" w:rsidRDefault="00664C63" w:rsidP="00EF7182">
      <w:pPr>
        <w:rPr>
          <w:sz w:val="32"/>
          <w:szCs w:val="32"/>
        </w:rPr>
      </w:pPr>
      <w:r w:rsidRPr="00EF7182">
        <w:rPr>
          <w:sz w:val="32"/>
          <w:szCs w:val="32"/>
        </w:rPr>
        <w:t>Inserts for</w:t>
      </w:r>
    </w:p>
    <w:p w:rsidR="00664C63" w:rsidRPr="00EF7182" w:rsidRDefault="008A7515" w:rsidP="00EF7182">
      <w:pPr>
        <w:pStyle w:val="ShortT"/>
      </w:pPr>
      <w:r w:rsidRPr="00EF7182">
        <w:t>Financial Sector Reform (Hayne Royal Commission Response—Protecting Consumers (2020 Measures)) Bill</w:t>
      </w:r>
      <w:bookmarkStart w:id="1" w:name="BK_S1P1L4C32"/>
      <w:bookmarkEnd w:id="1"/>
      <w:r w:rsidRPr="00EF7182">
        <w:t xml:space="preserve"> 2020</w:t>
      </w:r>
      <w:r w:rsidR="00664C63" w:rsidRPr="00EF7182">
        <w:t xml:space="preserve">: </w:t>
      </w:r>
      <w:r w:rsidR="00A76FEE" w:rsidRPr="00EF7182">
        <w:t>FSRC rec 1</w:t>
      </w:r>
      <w:r w:rsidR="008B1044">
        <w:t>.</w:t>
      </w:r>
      <w:r w:rsidR="00A76FEE" w:rsidRPr="00EF7182">
        <w:t xml:space="preserve">6, </w:t>
      </w:r>
      <w:r w:rsidR="006E37E6">
        <w:t>2</w:t>
      </w:r>
      <w:r w:rsidR="008B1044">
        <w:t>.</w:t>
      </w:r>
      <w:r w:rsidR="006E37E6">
        <w:t xml:space="preserve">7, </w:t>
      </w:r>
      <w:r w:rsidR="00A76FEE" w:rsidRPr="00EF7182">
        <w:t>2</w:t>
      </w:r>
      <w:r w:rsidR="008B1044">
        <w:t>.</w:t>
      </w:r>
      <w:r w:rsidR="00A76FEE" w:rsidRPr="00EF7182">
        <w:t>8</w:t>
      </w:r>
      <w:r w:rsidR="006E37E6">
        <w:t>, 2</w:t>
      </w:r>
      <w:r w:rsidR="008B1044">
        <w:t>.</w:t>
      </w:r>
      <w:r w:rsidR="006E37E6">
        <w:t>9</w:t>
      </w:r>
      <w:r w:rsidR="00A76FEE" w:rsidRPr="00EF7182">
        <w:t xml:space="preserve"> and 7</w:t>
      </w:r>
      <w:r w:rsidR="008B1044">
        <w:t>.</w:t>
      </w:r>
      <w:r w:rsidR="00A76FEE" w:rsidRPr="00EF7182">
        <w:t>2 (</w:t>
      </w:r>
      <w:r w:rsidR="006E37E6">
        <w:t xml:space="preserve">Reference checking and information sharing, breach reporting and </w:t>
      </w:r>
      <w:r w:rsidR="00A467DC">
        <w:t>remediation</w:t>
      </w:r>
      <w:r w:rsidR="00A76FEE" w:rsidRPr="00EF7182">
        <w:t>)</w:t>
      </w:r>
    </w:p>
    <w:p w:rsidR="00664C63" w:rsidRPr="00EF7182" w:rsidRDefault="00664C63" w:rsidP="00EF7182">
      <w:pPr>
        <w:jc w:val="center"/>
      </w:pPr>
    </w:p>
    <w:p w:rsidR="00664C63" w:rsidRPr="00EF7182" w:rsidRDefault="00664C63" w:rsidP="00EF718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EF7182" w:rsidTr="00554D11">
        <w:trPr>
          <w:tblHeader/>
        </w:trPr>
        <w:tc>
          <w:tcPr>
            <w:tcW w:w="7111" w:type="dxa"/>
            <w:gridSpan w:val="3"/>
            <w:tcBorders>
              <w:top w:val="single" w:sz="12" w:space="0" w:color="auto"/>
              <w:bottom w:val="single" w:sz="6" w:space="0" w:color="auto"/>
            </w:tcBorders>
            <w:shd w:val="clear" w:color="auto" w:fill="auto"/>
          </w:tcPr>
          <w:p w:rsidR="00664C63" w:rsidRPr="00EF7182" w:rsidRDefault="00664C63" w:rsidP="00EF7182">
            <w:pPr>
              <w:pStyle w:val="TableHeading"/>
            </w:pPr>
            <w:r w:rsidRPr="00EF7182">
              <w:t>Commencement information</w:t>
            </w:r>
          </w:p>
        </w:tc>
      </w:tr>
      <w:tr w:rsidR="00664C63" w:rsidRPr="00EF7182" w:rsidTr="00554D11">
        <w:trPr>
          <w:tblHeader/>
        </w:trPr>
        <w:tc>
          <w:tcPr>
            <w:tcW w:w="1701" w:type="dxa"/>
            <w:tcBorders>
              <w:top w:val="single" w:sz="6" w:space="0" w:color="auto"/>
              <w:bottom w:val="single" w:sz="6" w:space="0" w:color="auto"/>
            </w:tcBorders>
            <w:shd w:val="clear" w:color="auto" w:fill="auto"/>
          </w:tcPr>
          <w:p w:rsidR="00664C63" w:rsidRPr="00EF7182" w:rsidRDefault="00664C63" w:rsidP="00EF7182">
            <w:pPr>
              <w:pStyle w:val="TableHeading"/>
            </w:pPr>
            <w:r w:rsidRPr="00EF7182">
              <w:t>Column 1</w:t>
            </w:r>
          </w:p>
        </w:tc>
        <w:tc>
          <w:tcPr>
            <w:tcW w:w="3828" w:type="dxa"/>
            <w:tcBorders>
              <w:top w:val="single" w:sz="6" w:space="0" w:color="auto"/>
              <w:bottom w:val="single" w:sz="6" w:space="0" w:color="auto"/>
            </w:tcBorders>
            <w:shd w:val="clear" w:color="auto" w:fill="auto"/>
          </w:tcPr>
          <w:p w:rsidR="00664C63" w:rsidRPr="00EF7182" w:rsidRDefault="00664C63" w:rsidP="00EF7182">
            <w:pPr>
              <w:pStyle w:val="TableHeading"/>
            </w:pPr>
            <w:r w:rsidRPr="00EF7182">
              <w:t>Column 2</w:t>
            </w:r>
          </w:p>
        </w:tc>
        <w:tc>
          <w:tcPr>
            <w:tcW w:w="1582" w:type="dxa"/>
            <w:tcBorders>
              <w:top w:val="single" w:sz="6" w:space="0" w:color="auto"/>
              <w:bottom w:val="single" w:sz="6" w:space="0" w:color="auto"/>
            </w:tcBorders>
            <w:shd w:val="clear" w:color="auto" w:fill="auto"/>
          </w:tcPr>
          <w:p w:rsidR="00664C63" w:rsidRPr="00EF7182" w:rsidRDefault="00664C63" w:rsidP="00EF7182">
            <w:pPr>
              <w:pStyle w:val="TableHeading"/>
            </w:pPr>
            <w:r w:rsidRPr="00EF7182">
              <w:t>Column 3</w:t>
            </w:r>
          </w:p>
        </w:tc>
      </w:tr>
      <w:tr w:rsidR="00664C63" w:rsidRPr="00EF7182" w:rsidTr="00554D11">
        <w:trPr>
          <w:tblHeader/>
        </w:trPr>
        <w:tc>
          <w:tcPr>
            <w:tcW w:w="1701" w:type="dxa"/>
            <w:tcBorders>
              <w:top w:val="single" w:sz="6" w:space="0" w:color="auto"/>
              <w:bottom w:val="single" w:sz="12" w:space="0" w:color="auto"/>
            </w:tcBorders>
            <w:shd w:val="clear" w:color="auto" w:fill="auto"/>
          </w:tcPr>
          <w:p w:rsidR="00664C63" w:rsidRPr="00EF7182" w:rsidRDefault="00664C63" w:rsidP="00EF7182">
            <w:pPr>
              <w:pStyle w:val="TableHeading"/>
            </w:pPr>
            <w:r w:rsidRPr="00EF7182">
              <w:t>Provisions</w:t>
            </w:r>
          </w:p>
        </w:tc>
        <w:tc>
          <w:tcPr>
            <w:tcW w:w="3828" w:type="dxa"/>
            <w:tcBorders>
              <w:top w:val="single" w:sz="6" w:space="0" w:color="auto"/>
              <w:bottom w:val="single" w:sz="12" w:space="0" w:color="auto"/>
            </w:tcBorders>
            <w:shd w:val="clear" w:color="auto" w:fill="auto"/>
          </w:tcPr>
          <w:p w:rsidR="00664C63" w:rsidRPr="00EF7182" w:rsidRDefault="00664C63" w:rsidP="00EF7182">
            <w:pPr>
              <w:pStyle w:val="TableHeading"/>
            </w:pPr>
            <w:r w:rsidRPr="00EF7182">
              <w:t>Commencement</w:t>
            </w:r>
          </w:p>
        </w:tc>
        <w:tc>
          <w:tcPr>
            <w:tcW w:w="1582" w:type="dxa"/>
            <w:tcBorders>
              <w:top w:val="single" w:sz="6" w:space="0" w:color="auto"/>
              <w:bottom w:val="single" w:sz="12" w:space="0" w:color="auto"/>
            </w:tcBorders>
            <w:shd w:val="clear" w:color="auto" w:fill="auto"/>
          </w:tcPr>
          <w:p w:rsidR="00664C63" w:rsidRPr="00EF7182" w:rsidRDefault="00664C63" w:rsidP="00EF7182">
            <w:pPr>
              <w:pStyle w:val="TableHeading"/>
            </w:pPr>
            <w:r w:rsidRPr="00EF7182">
              <w:t>Date/Details</w:t>
            </w:r>
          </w:p>
        </w:tc>
      </w:tr>
      <w:tr w:rsidR="00664C63" w:rsidRPr="00EF7182" w:rsidTr="00554D11">
        <w:tc>
          <w:tcPr>
            <w:tcW w:w="1701" w:type="dxa"/>
            <w:tcBorders>
              <w:top w:val="single" w:sz="12" w:space="0" w:color="auto"/>
              <w:bottom w:val="single" w:sz="12" w:space="0" w:color="auto"/>
            </w:tcBorders>
            <w:shd w:val="clear" w:color="auto" w:fill="auto"/>
          </w:tcPr>
          <w:p w:rsidR="00664C63" w:rsidRPr="00EF7182" w:rsidRDefault="00664C63" w:rsidP="00895C04">
            <w:pPr>
              <w:pStyle w:val="Tabletext"/>
            </w:pPr>
            <w:r w:rsidRPr="00EF7182">
              <w:t>1</w:t>
            </w:r>
            <w:r w:rsidR="008B1044">
              <w:t>.</w:t>
            </w:r>
            <w:r w:rsidRPr="00EF7182">
              <w:t xml:space="preserve">  </w:t>
            </w:r>
            <w:r w:rsidR="00895C04">
              <w:t>Schedule [1</w:t>
            </w:r>
            <w:r w:rsidR="008B1044">
              <w:t>.</w:t>
            </w:r>
            <w:r w:rsidR="00895C04">
              <w:t>6 and 2</w:t>
            </w:r>
            <w:r w:rsidR="008B1044">
              <w:t>.</w:t>
            </w:r>
            <w:r w:rsidR="00895C04">
              <w:t>7]</w:t>
            </w:r>
          </w:p>
        </w:tc>
        <w:tc>
          <w:tcPr>
            <w:tcW w:w="3828" w:type="dxa"/>
            <w:tcBorders>
              <w:top w:val="single" w:sz="12" w:space="0" w:color="auto"/>
              <w:bottom w:val="single" w:sz="12" w:space="0" w:color="auto"/>
            </w:tcBorders>
            <w:shd w:val="clear" w:color="auto" w:fill="auto"/>
          </w:tcPr>
          <w:p w:rsidR="00664C63" w:rsidRPr="00EF7182" w:rsidRDefault="008F1CE7" w:rsidP="00EF7182">
            <w:pPr>
              <w:pStyle w:val="Tabletext"/>
            </w:pPr>
            <w:r w:rsidRPr="00EF7182">
              <w:t>1</w:t>
            </w:r>
            <w:r w:rsidR="00EF7182" w:rsidRPr="00EF7182">
              <w:t> </w:t>
            </w:r>
            <w:r w:rsidRPr="00EF7182">
              <w:t>July 2020</w:t>
            </w:r>
            <w:r w:rsidR="008B1044">
              <w:t>.</w:t>
            </w:r>
          </w:p>
        </w:tc>
        <w:tc>
          <w:tcPr>
            <w:tcW w:w="1582" w:type="dxa"/>
            <w:tcBorders>
              <w:top w:val="single" w:sz="12" w:space="0" w:color="auto"/>
              <w:bottom w:val="single" w:sz="12" w:space="0" w:color="auto"/>
            </w:tcBorders>
            <w:shd w:val="clear" w:color="auto" w:fill="auto"/>
          </w:tcPr>
          <w:p w:rsidR="00664C63" w:rsidRPr="00EF7182" w:rsidRDefault="008F1CE7" w:rsidP="00EF7182">
            <w:pPr>
              <w:pStyle w:val="Tabletext"/>
            </w:pPr>
            <w:r w:rsidRPr="00EF7182">
              <w:t>1</w:t>
            </w:r>
            <w:r w:rsidR="00EF7182" w:rsidRPr="00EF7182">
              <w:t> </w:t>
            </w:r>
            <w:r w:rsidRPr="00EF7182">
              <w:t>July 2020</w:t>
            </w:r>
          </w:p>
        </w:tc>
      </w:tr>
      <w:tr w:rsidR="00895C04" w:rsidRPr="00EF7182" w:rsidTr="00554D11">
        <w:tc>
          <w:tcPr>
            <w:tcW w:w="1701" w:type="dxa"/>
            <w:tcBorders>
              <w:top w:val="single" w:sz="12" w:space="0" w:color="auto"/>
              <w:bottom w:val="single" w:sz="12" w:space="0" w:color="auto"/>
            </w:tcBorders>
            <w:shd w:val="clear" w:color="auto" w:fill="auto"/>
          </w:tcPr>
          <w:p w:rsidR="00895C04" w:rsidRPr="00EF7182" w:rsidRDefault="00895C04" w:rsidP="00EF7182">
            <w:pPr>
              <w:pStyle w:val="Tabletext"/>
            </w:pPr>
            <w:r>
              <w:t>2</w:t>
            </w:r>
            <w:r w:rsidR="008B1044">
              <w:t>.</w:t>
            </w:r>
            <w:r>
              <w:t xml:space="preserve">  </w:t>
            </w:r>
            <w:r w:rsidRPr="00EF7182">
              <w:t>Schedule [1</w:t>
            </w:r>
            <w:r w:rsidR="008B1044">
              <w:t>.</w:t>
            </w:r>
            <w:r w:rsidRPr="00EF7182">
              <w:t>6, 2</w:t>
            </w:r>
            <w:r w:rsidR="008B1044">
              <w:t>.</w:t>
            </w:r>
            <w:r w:rsidRPr="00EF7182">
              <w:t>8</w:t>
            </w:r>
            <w:r w:rsidR="006E37E6">
              <w:t>, 2</w:t>
            </w:r>
            <w:r w:rsidR="008B1044">
              <w:t>.</w:t>
            </w:r>
            <w:r w:rsidR="006E37E6">
              <w:t>9</w:t>
            </w:r>
            <w:r w:rsidRPr="00EF7182">
              <w:t xml:space="preserve"> and 7</w:t>
            </w:r>
            <w:r w:rsidR="008B1044">
              <w:t>.</w:t>
            </w:r>
            <w:r w:rsidRPr="00EF7182">
              <w:t>2]</w:t>
            </w:r>
          </w:p>
        </w:tc>
        <w:tc>
          <w:tcPr>
            <w:tcW w:w="3828" w:type="dxa"/>
            <w:tcBorders>
              <w:top w:val="single" w:sz="12" w:space="0" w:color="auto"/>
              <w:bottom w:val="single" w:sz="12" w:space="0" w:color="auto"/>
            </w:tcBorders>
            <w:shd w:val="clear" w:color="auto" w:fill="auto"/>
          </w:tcPr>
          <w:p w:rsidR="00895C04" w:rsidRPr="00EF7182" w:rsidRDefault="00895C04" w:rsidP="00EF7182">
            <w:pPr>
              <w:pStyle w:val="Tabletext"/>
            </w:pPr>
            <w:r>
              <w:t>1 July 2020</w:t>
            </w:r>
            <w:r w:rsidR="008B1044">
              <w:t>.</w:t>
            </w:r>
          </w:p>
        </w:tc>
        <w:tc>
          <w:tcPr>
            <w:tcW w:w="1582" w:type="dxa"/>
            <w:tcBorders>
              <w:top w:val="single" w:sz="12" w:space="0" w:color="auto"/>
              <w:bottom w:val="single" w:sz="12" w:space="0" w:color="auto"/>
            </w:tcBorders>
            <w:shd w:val="clear" w:color="auto" w:fill="auto"/>
          </w:tcPr>
          <w:p w:rsidR="00895C04" w:rsidRPr="00EF7182" w:rsidRDefault="00895C04" w:rsidP="00EF7182">
            <w:pPr>
              <w:pStyle w:val="Tabletext"/>
            </w:pPr>
            <w:r>
              <w:t>1 July 2020</w:t>
            </w:r>
          </w:p>
        </w:tc>
      </w:tr>
    </w:tbl>
    <w:p w:rsidR="00895C04" w:rsidRDefault="00895C04" w:rsidP="00895C04">
      <w:pPr>
        <w:pStyle w:val="ActHead6"/>
        <w:pageBreakBefore/>
      </w:pPr>
      <w:bookmarkStart w:id="2" w:name="_Toc30054150"/>
      <w:bookmarkStart w:id="3" w:name="_Toc30410093"/>
      <w:bookmarkStart w:id="4" w:name="opcAmSched"/>
      <w:r w:rsidRPr="001A6D2E">
        <w:rPr>
          <w:rStyle w:val="CharAmSchNo"/>
        </w:rPr>
        <w:lastRenderedPageBreak/>
        <w:t>Schedule [1</w:t>
      </w:r>
      <w:r w:rsidR="008B1044" w:rsidRPr="001A6D2E">
        <w:rPr>
          <w:rStyle w:val="CharAmSchNo"/>
        </w:rPr>
        <w:t>.</w:t>
      </w:r>
      <w:r w:rsidRPr="001A6D2E">
        <w:rPr>
          <w:rStyle w:val="CharAmSchNo"/>
        </w:rPr>
        <w:t>6 and 2</w:t>
      </w:r>
      <w:r w:rsidR="008B1044" w:rsidRPr="001A6D2E">
        <w:rPr>
          <w:rStyle w:val="CharAmSchNo"/>
        </w:rPr>
        <w:t>.</w:t>
      </w:r>
      <w:r w:rsidRPr="001A6D2E">
        <w:rPr>
          <w:rStyle w:val="CharAmSchNo"/>
        </w:rPr>
        <w:t>7]</w:t>
      </w:r>
      <w:r>
        <w:t>—</w:t>
      </w:r>
      <w:r w:rsidRPr="001A6D2E">
        <w:rPr>
          <w:rStyle w:val="CharAmSchText"/>
        </w:rPr>
        <w:t>Reference Checking and Information Sharing Protocol</w:t>
      </w:r>
      <w:bookmarkEnd w:id="2"/>
    </w:p>
    <w:p w:rsidR="00895C04" w:rsidRPr="001A6D2E" w:rsidRDefault="00895C04" w:rsidP="00895C04">
      <w:pPr>
        <w:pStyle w:val="Header"/>
      </w:pPr>
      <w:r w:rsidRPr="001A6D2E">
        <w:rPr>
          <w:rStyle w:val="CharAmPartNo"/>
        </w:rPr>
        <w:t xml:space="preserve"> </w:t>
      </w:r>
      <w:r w:rsidRPr="001A6D2E">
        <w:rPr>
          <w:rStyle w:val="CharAmPartText"/>
        </w:rPr>
        <w:t xml:space="preserve"> </w:t>
      </w:r>
    </w:p>
    <w:p w:rsidR="00895C04" w:rsidRPr="0012470E" w:rsidRDefault="00895C04" w:rsidP="00895C04">
      <w:pPr>
        <w:pStyle w:val="ActHead9"/>
        <w:rPr>
          <w:i w:val="0"/>
        </w:rPr>
      </w:pPr>
      <w:bookmarkStart w:id="5" w:name="_Toc30054151"/>
      <w:r>
        <w:t>Corporations</w:t>
      </w:r>
      <w:bookmarkStart w:id="6" w:name="BK_S1P2L4C13"/>
      <w:bookmarkEnd w:id="6"/>
      <w:r>
        <w:t xml:space="preserve"> Act 2001</w:t>
      </w:r>
      <w:bookmarkEnd w:id="5"/>
    </w:p>
    <w:p w:rsidR="00895C04" w:rsidRDefault="00895C04" w:rsidP="00895C04">
      <w:pPr>
        <w:pStyle w:val="ItemHead"/>
      </w:pPr>
      <w:r>
        <w:t>1  Section 910A</w:t>
      </w:r>
    </w:p>
    <w:p w:rsidR="00895C04" w:rsidRDefault="00895C04" w:rsidP="00895C04">
      <w:pPr>
        <w:pStyle w:val="Item"/>
      </w:pPr>
      <w:r>
        <w:t>Insert:</w:t>
      </w:r>
    </w:p>
    <w:p w:rsidR="00895C04" w:rsidRDefault="00895C04" w:rsidP="00895C04">
      <w:pPr>
        <w:pStyle w:val="Definition"/>
      </w:pPr>
      <w:r>
        <w:rPr>
          <w:b/>
          <w:i/>
        </w:rPr>
        <w:t>Reference Checking and Information Sharing Protocol</w:t>
      </w:r>
      <w:r>
        <w:t xml:space="preserve"> means the protocol determined by ASIC under subsection 912A(3A)</w:t>
      </w:r>
      <w:r w:rsidR="008B1044">
        <w:t>.</w:t>
      </w:r>
    </w:p>
    <w:p w:rsidR="00895C04" w:rsidRDefault="00895C04" w:rsidP="00895C04">
      <w:pPr>
        <w:pStyle w:val="ItemHead"/>
      </w:pPr>
      <w:r>
        <w:t>2  Before subsection 912A(1)</w:t>
      </w:r>
    </w:p>
    <w:p w:rsidR="00895C04" w:rsidRDefault="00895C04" w:rsidP="00895C04">
      <w:pPr>
        <w:pStyle w:val="Item"/>
      </w:pPr>
      <w:r>
        <w:t>Insert:</w:t>
      </w:r>
    </w:p>
    <w:p w:rsidR="00895C04" w:rsidRDefault="00895C04" w:rsidP="00895C04">
      <w:pPr>
        <w:pStyle w:val="SubsectionHead"/>
      </w:pPr>
      <w:r>
        <w:t>General obligations</w:t>
      </w:r>
    </w:p>
    <w:p w:rsidR="00895C04" w:rsidRDefault="00895C04" w:rsidP="00895C04">
      <w:pPr>
        <w:pStyle w:val="ItemHead"/>
      </w:pPr>
      <w:r>
        <w:t>3  After paragraph 912A(1)(cb)</w:t>
      </w:r>
    </w:p>
    <w:p w:rsidR="00895C04" w:rsidRDefault="00895C04" w:rsidP="00895C04">
      <w:pPr>
        <w:pStyle w:val="Item"/>
      </w:pPr>
      <w:r>
        <w:t>Insert:</w:t>
      </w:r>
    </w:p>
    <w:p w:rsidR="00895C04" w:rsidRDefault="00895C04" w:rsidP="00895C04">
      <w:pPr>
        <w:pStyle w:val="paragraph"/>
      </w:pPr>
      <w:r>
        <w:tab/>
        <w:t>(cc)</w:t>
      </w:r>
      <w:r>
        <w:tab/>
        <w:t>comply with the Reference Checking and Information Sharing Protocol in relation to:</w:t>
      </w:r>
    </w:p>
    <w:p w:rsidR="00895C04" w:rsidRDefault="00895C04" w:rsidP="00895C04">
      <w:pPr>
        <w:pStyle w:val="paragraphsub"/>
      </w:pPr>
      <w:r>
        <w:tab/>
        <w:t>(i)</w:t>
      </w:r>
      <w:r>
        <w:tab/>
        <w:t>if the licensee is an individual to whom the Protocol applies—the licensee; and</w:t>
      </w:r>
    </w:p>
    <w:p w:rsidR="00895C04" w:rsidRDefault="00895C04" w:rsidP="00895C04">
      <w:pPr>
        <w:pStyle w:val="paragraphsub"/>
      </w:pPr>
      <w:r>
        <w:tab/>
        <w:t>(ii)</w:t>
      </w:r>
      <w:r>
        <w:tab/>
        <w:t>if a former, current or prospective representative of the licensee is an individual to whom the Protocol applies—the representative; and</w:t>
      </w:r>
    </w:p>
    <w:p w:rsidR="00895C04" w:rsidRDefault="00895C04" w:rsidP="00895C04">
      <w:pPr>
        <w:pStyle w:val="ItemHead"/>
      </w:pPr>
      <w:r>
        <w:t>4  Before subsection 912A(2)</w:t>
      </w:r>
    </w:p>
    <w:p w:rsidR="00895C04" w:rsidRDefault="00895C04" w:rsidP="00895C04">
      <w:pPr>
        <w:pStyle w:val="Item"/>
      </w:pPr>
      <w:r>
        <w:t>Insert:</w:t>
      </w:r>
    </w:p>
    <w:p w:rsidR="00895C04" w:rsidRDefault="00895C04" w:rsidP="00895C04">
      <w:pPr>
        <w:pStyle w:val="SubsectionHead"/>
      </w:pPr>
      <w:r>
        <w:t>Dispute resolution</w:t>
      </w:r>
      <w:bookmarkStart w:id="7" w:name="BK_S1P2L23C19"/>
      <w:bookmarkEnd w:id="7"/>
      <w:r>
        <w:t xml:space="preserve"> system</w:t>
      </w:r>
    </w:p>
    <w:p w:rsidR="00895C04" w:rsidRDefault="00895C04" w:rsidP="00895C04">
      <w:pPr>
        <w:pStyle w:val="ItemHead"/>
      </w:pPr>
      <w:r>
        <w:t>5  After subsection 912A(3)</w:t>
      </w:r>
    </w:p>
    <w:p w:rsidR="00895C04" w:rsidRDefault="00895C04" w:rsidP="00895C04">
      <w:pPr>
        <w:pStyle w:val="Item"/>
      </w:pPr>
      <w:r>
        <w:t>Insert:</w:t>
      </w:r>
    </w:p>
    <w:p w:rsidR="00895C04" w:rsidRDefault="00895C04" w:rsidP="00895C04">
      <w:pPr>
        <w:pStyle w:val="SubsectionHead"/>
      </w:pPr>
      <w:r>
        <w:t>Reference Checking and Information Sharing Protocol</w:t>
      </w:r>
    </w:p>
    <w:p w:rsidR="00895C04" w:rsidRDefault="00895C04" w:rsidP="00895C04">
      <w:pPr>
        <w:pStyle w:val="subsection"/>
      </w:pPr>
      <w:r>
        <w:tab/>
        <w:t>(3A)</w:t>
      </w:r>
      <w:r>
        <w:tab/>
        <w:t>ASIC may, by legislative instrument, determine a protocol for:</w:t>
      </w:r>
    </w:p>
    <w:p w:rsidR="00895C04" w:rsidRDefault="00895C04" w:rsidP="00895C04">
      <w:pPr>
        <w:pStyle w:val="paragraph"/>
      </w:pPr>
      <w:r>
        <w:tab/>
        <w:t>(a)</w:t>
      </w:r>
      <w:r>
        <w:tab/>
        <w:t>sharing information about any or all of the following:</w:t>
      </w:r>
    </w:p>
    <w:p w:rsidR="00895C04" w:rsidRDefault="00895C04" w:rsidP="00895C04">
      <w:pPr>
        <w:pStyle w:val="paragraphsub"/>
      </w:pPr>
      <w:r>
        <w:tab/>
        <w:t>(i)</w:t>
      </w:r>
      <w:r>
        <w:tab/>
        <w:t>a financial services licensee who is an individual;</w:t>
      </w:r>
    </w:p>
    <w:p w:rsidR="00895C04" w:rsidRDefault="00895C04" w:rsidP="00895C04">
      <w:pPr>
        <w:pStyle w:val="paragraphsub"/>
      </w:pPr>
      <w:r>
        <w:lastRenderedPageBreak/>
        <w:tab/>
        <w:t>(ii)</w:t>
      </w:r>
      <w:r>
        <w:tab/>
        <w:t>individuals who are former, current or prospective representatives of a financial services licensee;</w:t>
      </w:r>
    </w:p>
    <w:p w:rsidR="00895C04" w:rsidRDefault="00895C04" w:rsidP="00895C04">
      <w:pPr>
        <w:pStyle w:val="paragraph"/>
      </w:pPr>
      <w:r>
        <w:tab/>
      </w:r>
      <w:r>
        <w:tab/>
        <w:t>by that licensee with another financial services licensee; and</w:t>
      </w:r>
    </w:p>
    <w:p w:rsidR="00895C04" w:rsidRDefault="00895C04" w:rsidP="00895C04">
      <w:pPr>
        <w:pStyle w:val="paragraph"/>
      </w:pPr>
      <w:r>
        <w:tab/>
        <w:t>(b)</w:t>
      </w:r>
      <w:r>
        <w:tab/>
        <w:t>sharing information about any or all of the following:</w:t>
      </w:r>
    </w:p>
    <w:p w:rsidR="00895C04" w:rsidRDefault="00895C04" w:rsidP="00895C04">
      <w:pPr>
        <w:pStyle w:val="paragraphsub"/>
      </w:pPr>
      <w:r>
        <w:tab/>
        <w:t>(i)</w:t>
      </w:r>
      <w:r>
        <w:tab/>
        <w:t>a financial services licensee who is an individual;</w:t>
      </w:r>
    </w:p>
    <w:p w:rsidR="00895C04" w:rsidRDefault="00895C04" w:rsidP="00895C04">
      <w:pPr>
        <w:pStyle w:val="paragraphsub"/>
      </w:pPr>
      <w:r>
        <w:tab/>
        <w:t>(ii)</w:t>
      </w:r>
      <w:r>
        <w:tab/>
        <w:t>individuals who are former, current or prospective representatives of a financial services licensee;</w:t>
      </w:r>
    </w:p>
    <w:p w:rsidR="00895C04" w:rsidRPr="003F3335" w:rsidRDefault="00895C04" w:rsidP="00895C04">
      <w:pPr>
        <w:pStyle w:val="paragraph"/>
      </w:pPr>
      <w:r>
        <w:tab/>
      </w:r>
      <w:r>
        <w:tab/>
        <w:t xml:space="preserve">by that licensee with a licensee within the meaning of the </w:t>
      </w:r>
      <w:r>
        <w:rPr>
          <w:i/>
        </w:rPr>
        <w:t>National Consumer Credit Protection Act 2009</w:t>
      </w:r>
      <w:r>
        <w:t>; and</w:t>
      </w:r>
    </w:p>
    <w:p w:rsidR="00895C04" w:rsidRDefault="00895C04" w:rsidP="00895C04">
      <w:pPr>
        <w:pStyle w:val="paragraph"/>
      </w:pPr>
      <w:r>
        <w:tab/>
        <w:t>(c)</w:t>
      </w:r>
      <w:r>
        <w:tab/>
        <w:t>keeping and retaining records of information shared, and the circumstances under which the information is shared</w:t>
      </w:r>
      <w:r w:rsidR="008B1044">
        <w:t>.</w:t>
      </w:r>
    </w:p>
    <w:p w:rsidR="00895C04" w:rsidRDefault="00895C04" w:rsidP="00895C04">
      <w:pPr>
        <w:pStyle w:val="subsection"/>
      </w:pPr>
      <w:r>
        <w:tab/>
        <w:t>(3B)</w:t>
      </w:r>
      <w:r>
        <w:tab/>
        <w:t>The Reference Checking and Information Sharing Protocol must not:</w:t>
      </w:r>
    </w:p>
    <w:p w:rsidR="00895C04" w:rsidRDefault="00895C04" w:rsidP="00895C04">
      <w:pPr>
        <w:pStyle w:val="paragraph"/>
      </w:pPr>
      <w:r>
        <w:tab/>
        <w:t>(a)</w:t>
      </w:r>
      <w:r>
        <w:tab/>
        <w:t>require or permit personal information</w:t>
      </w:r>
      <w:bookmarkStart w:id="8" w:name="BK_S1P3L14C44"/>
      <w:bookmarkEnd w:id="8"/>
      <w:r>
        <w:t xml:space="preserve"> (within the meaning of the </w:t>
      </w:r>
      <w:r>
        <w:rPr>
          <w:i/>
        </w:rPr>
        <w:t>Privacy Act 1988</w:t>
      </w:r>
      <w:r>
        <w:t>) to be shared, other than with the consent of the individual to whom the information relates; or</w:t>
      </w:r>
    </w:p>
    <w:p w:rsidR="00895C04" w:rsidRDefault="00895C04" w:rsidP="00895C04">
      <w:pPr>
        <w:pStyle w:val="paragraph"/>
      </w:pPr>
      <w:r>
        <w:tab/>
        <w:t>(b)</w:t>
      </w:r>
      <w:r>
        <w:tab/>
        <w:t>require information to be shared in relation to conduct that occurred more than 5 years before the information is shared</w:t>
      </w:r>
      <w:r w:rsidR="008B1044">
        <w:t>.</w:t>
      </w:r>
    </w:p>
    <w:p w:rsidR="00895C04" w:rsidRPr="00204CA4" w:rsidRDefault="00895C04" w:rsidP="00895C04">
      <w:pPr>
        <w:pStyle w:val="SubsectionHead"/>
      </w:pPr>
      <w:r>
        <w:t>Application of Reference Checking and Information Sharing Protocol</w:t>
      </w:r>
    </w:p>
    <w:p w:rsidR="00895C04" w:rsidRDefault="00895C04" w:rsidP="00895C04">
      <w:pPr>
        <w:pStyle w:val="subsection"/>
      </w:pPr>
      <w:r>
        <w:tab/>
        <w:t>(3C)</w:t>
      </w:r>
      <w:r>
        <w:tab/>
        <w:t xml:space="preserve">The Reference Checking and Information Sharing Protocol applies to an individual mentioned in subparagraph (3A)(a)(i) or (ii) if </w:t>
      </w:r>
      <w:r w:rsidRPr="00C56DE9">
        <w:t>there are reason</w:t>
      </w:r>
      <w:bookmarkStart w:id="9" w:name="BK_S1P3L23C17"/>
      <w:bookmarkEnd w:id="9"/>
      <w:r w:rsidRPr="00C56DE9">
        <w:t xml:space="preserve">able grounds to suspect that the </w:t>
      </w:r>
      <w:r>
        <w:t>individual</w:t>
      </w:r>
      <w:r w:rsidRPr="00C56DE9">
        <w:t xml:space="preserve"> will provide personal advice to retail clients about relevant </w:t>
      </w:r>
      <w:r>
        <w:t xml:space="preserve">financial </w:t>
      </w:r>
      <w:r w:rsidRPr="00C56DE9">
        <w:t xml:space="preserve">products if the </w:t>
      </w:r>
      <w:r>
        <w:t>individual</w:t>
      </w:r>
      <w:r w:rsidRPr="00C56DE9">
        <w:t xml:space="preserve"> becomes</w:t>
      </w:r>
      <w:r>
        <w:t xml:space="preserve"> a</w:t>
      </w:r>
      <w:r w:rsidRPr="00C56DE9">
        <w:t xml:space="preserve"> representative of </w:t>
      </w:r>
      <w:r>
        <w:t>the other</w:t>
      </w:r>
      <w:r w:rsidRPr="00C56DE9">
        <w:t xml:space="preserve"> </w:t>
      </w:r>
      <w:r>
        <w:t>financial services licensee mentioned in paragraph (3A)(a)</w:t>
      </w:r>
      <w:r w:rsidR="008B1044">
        <w:t>.</w:t>
      </w:r>
    </w:p>
    <w:p w:rsidR="00895C04" w:rsidRDefault="00895C04" w:rsidP="00895C04">
      <w:pPr>
        <w:pStyle w:val="subsection"/>
      </w:pPr>
      <w:r>
        <w:tab/>
        <w:t>(3D)</w:t>
      </w:r>
      <w:r>
        <w:tab/>
        <w:t xml:space="preserve">The Reference Checking and Information Sharing Protocol applies to an individual mentioned in subparagraph (3A)(b)(i) or (ii) if </w:t>
      </w:r>
      <w:r w:rsidRPr="00C56DE9">
        <w:t>there are reasonable grounds to suspect that</w:t>
      </w:r>
      <w:r>
        <w:t xml:space="preserve">, </w:t>
      </w:r>
      <w:r w:rsidRPr="00C56DE9">
        <w:t xml:space="preserve">if the </w:t>
      </w:r>
      <w:r>
        <w:t>individual</w:t>
      </w:r>
      <w:r w:rsidRPr="00C56DE9">
        <w:t xml:space="preserve"> becomes</w:t>
      </w:r>
      <w:r>
        <w:t xml:space="preserve"> a</w:t>
      </w:r>
      <w:r w:rsidRPr="00C56DE9">
        <w:t xml:space="preserve"> representative of </w:t>
      </w:r>
      <w:r>
        <w:t>the licensee mentioned in paragraph (3A)(b), the individual will:</w:t>
      </w:r>
    </w:p>
    <w:p w:rsidR="00895C04" w:rsidRDefault="00895C04" w:rsidP="00895C04">
      <w:pPr>
        <w:pStyle w:val="paragraph"/>
      </w:pPr>
      <w:r>
        <w:tab/>
        <w:t>(a)</w:t>
      </w:r>
      <w:r>
        <w:tab/>
        <w:t xml:space="preserve">provide </w:t>
      </w:r>
      <w:r w:rsidRPr="00364AF9">
        <w:t>credit assistance in relation to credit contracts secured by mortgages over residential property</w:t>
      </w:r>
      <w:r>
        <w:t>; and</w:t>
      </w:r>
    </w:p>
    <w:p w:rsidR="00895C04" w:rsidRDefault="00895C04" w:rsidP="00895C04">
      <w:pPr>
        <w:pStyle w:val="paragraph"/>
      </w:pPr>
      <w:r>
        <w:tab/>
        <w:t>(b)</w:t>
      </w:r>
      <w:r>
        <w:tab/>
        <w:t xml:space="preserve">be a mortgage broker or a director, employee </w:t>
      </w:r>
      <w:r w:rsidRPr="00375A6A">
        <w:t xml:space="preserve">or agent </w:t>
      </w:r>
      <w:r>
        <w:t>of a mortgage broker</w:t>
      </w:r>
      <w:r w:rsidR="008B1044">
        <w:t>.</w:t>
      </w:r>
    </w:p>
    <w:p w:rsidR="00895C04" w:rsidRPr="008E7F37" w:rsidRDefault="00895C04" w:rsidP="00895C04">
      <w:pPr>
        <w:pStyle w:val="subsection"/>
      </w:pPr>
      <w:r>
        <w:tab/>
        <w:t>(3E)</w:t>
      </w:r>
      <w:r>
        <w:tab/>
        <w:t xml:space="preserve">Expressions used in subsection (3D) that are also used in the </w:t>
      </w:r>
      <w:r>
        <w:rPr>
          <w:i/>
        </w:rPr>
        <w:t xml:space="preserve">National Consumer Credit Protection Act 2009 </w:t>
      </w:r>
      <w:r>
        <w:t xml:space="preserve">(other than </w:t>
      </w:r>
      <w:r>
        <w:lastRenderedPageBreak/>
        <w:t>Reference Checking and Information Sharing Protocol) have the same meaning in that subsection as they have in that Act</w:t>
      </w:r>
      <w:r w:rsidR="008B1044">
        <w:t>.</w:t>
      </w:r>
    </w:p>
    <w:p w:rsidR="000A2205" w:rsidRPr="000A2205" w:rsidRDefault="000A2205" w:rsidP="000A2205">
      <w:pPr>
        <w:pStyle w:val="SubsectionHead"/>
      </w:pPr>
      <w:r>
        <w:t>Qualified privilege</w:t>
      </w:r>
    </w:p>
    <w:p w:rsidR="00895C04" w:rsidRDefault="00895C04" w:rsidP="00895C04">
      <w:pPr>
        <w:pStyle w:val="subsection"/>
      </w:pPr>
      <w:r>
        <w:tab/>
        <w:t>(3F)</w:t>
      </w:r>
      <w:r>
        <w:tab/>
        <w:t>A person has qualified privilege in respect of information shared in accordance with the Reference Checking and Information Sharing Protocol about an individual to whom the Protocol applies</w:t>
      </w:r>
      <w:r w:rsidR="008B1044">
        <w:t>.</w:t>
      </w:r>
    </w:p>
    <w:p w:rsidR="00895C04" w:rsidRDefault="00895C04" w:rsidP="00895C04">
      <w:pPr>
        <w:pStyle w:val="subsection"/>
      </w:pPr>
      <w:r>
        <w:tab/>
        <w:t>(3G)</w:t>
      </w:r>
      <w:r>
        <w:tab/>
        <w:t>A person who has qualified privilege under subsection (3F) in respect of conduct is also not liable for any action based on breach of confidence in relation to that conduct</w:t>
      </w:r>
      <w:r w:rsidR="008B1044">
        <w:t>.</w:t>
      </w:r>
    </w:p>
    <w:p w:rsidR="00895C04" w:rsidRDefault="00895C04" w:rsidP="00895C04">
      <w:pPr>
        <w:pStyle w:val="ItemHead"/>
      </w:pPr>
      <w:r>
        <w:t>6  Before subsection 912A(4)</w:t>
      </w:r>
    </w:p>
    <w:p w:rsidR="00895C04" w:rsidRDefault="00895C04" w:rsidP="00895C04">
      <w:pPr>
        <w:pStyle w:val="Item"/>
      </w:pPr>
      <w:r>
        <w:t>Insert:</w:t>
      </w:r>
    </w:p>
    <w:p w:rsidR="00895C04" w:rsidRDefault="00895C04" w:rsidP="00895C04">
      <w:pPr>
        <w:pStyle w:val="SubsectionHead"/>
      </w:pPr>
      <w:r>
        <w:t>Adequate resources to provide financial services—APRA regulated bodies</w:t>
      </w:r>
    </w:p>
    <w:p w:rsidR="00895C04" w:rsidRDefault="00895C04" w:rsidP="00895C04">
      <w:pPr>
        <w:pStyle w:val="ItemHead"/>
      </w:pPr>
      <w:r>
        <w:t>7  Before subsection 912A(5)</w:t>
      </w:r>
    </w:p>
    <w:p w:rsidR="00895C04" w:rsidRDefault="00895C04" w:rsidP="00895C04">
      <w:pPr>
        <w:pStyle w:val="Item"/>
      </w:pPr>
      <w:r>
        <w:t>Insert:</w:t>
      </w:r>
    </w:p>
    <w:p w:rsidR="00895C04" w:rsidRDefault="00895C04" w:rsidP="00895C04">
      <w:pPr>
        <w:pStyle w:val="SubsectionHead"/>
      </w:pPr>
      <w:r>
        <w:t>Adequate risk management systems—APRA regulated bodies</w:t>
      </w:r>
    </w:p>
    <w:p w:rsidR="00895C04" w:rsidRDefault="00895C04" w:rsidP="00895C04">
      <w:pPr>
        <w:pStyle w:val="ItemHead"/>
      </w:pPr>
      <w:r>
        <w:t>8  Before subsection 912A(5A)</w:t>
      </w:r>
    </w:p>
    <w:p w:rsidR="00895C04" w:rsidRDefault="00895C04" w:rsidP="00895C04">
      <w:pPr>
        <w:pStyle w:val="Item"/>
      </w:pPr>
      <w:r>
        <w:t>Insert:</w:t>
      </w:r>
    </w:p>
    <w:p w:rsidR="00895C04" w:rsidRPr="00E46C10" w:rsidRDefault="00895C04" w:rsidP="00895C04">
      <w:pPr>
        <w:pStyle w:val="SubsectionHead"/>
      </w:pPr>
      <w:r>
        <w:t>Civil penalty provision</w:t>
      </w:r>
    </w:p>
    <w:p w:rsidR="00895C04" w:rsidRDefault="00895C04" w:rsidP="00895C04">
      <w:pPr>
        <w:pStyle w:val="ItemHead"/>
      </w:pPr>
      <w:r>
        <w:t>9  Subsection 912A(5A)</w:t>
      </w:r>
    </w:p>
    <w:p w:rsidR="00895C04" w:rsidRDefault="00895C04" w:rsidP="00895C04">
      <w:pPr>
        <w:pStyle w:val="Item"/>
      </w:pPr>
      <w:r>
        <w:t>After “paragraph (1)(a), (aa), (ca),”, insert “</w:t>
      </w:r>
      <w:bookmarkStart w:id="10" w:name="BK_S1P4L20C48"/>
      <w:bookmarkEnd w:id="10"/>
      <w:r>
        <w:t xml:space="preserve"> </w:t>
      </w:r>
      <w:bookmarkStart w:id="11" w:name="BK_S1P4L20C49"/>
      <w:bookmarkEnd w:id="11"/>
      <w:r>
        <w:t>(cc),”</w:t>
      </w:r>
      <w:r w:rsidR="008B1044">
        <w:t>.</w:t>
      </w:r>
    </w:p>
    <w:p w:rsidR="00895C04" w:rsidRDefault="00895C04" w:rsidP="00895C04">
      <w:pPr>
        <w:pStyle w:val="ItemHead"/>
      </w:pPr>
      <w:r>
        <w:t>10  Before subsection 912A(6)</w:t>
      </w:r>
    </w:p>
    <w:p w:rsidR="00895C04" w:rsidRDefault="00895C04" w:rsidP="00895C04">
      <w:pPr>
        <w:pStyle w:val="Item"/>
      </w:pPr>
      <w:r>
        <w:t>Insert:</w:t>
      </w:r>
    </w:p>
    <w:p w:rsidR="00895C04" w:rsidRDefault="00895C04" w:rsidP="00895C04">
      <w:pPr>
        <w:pStyle w:val="SubsectionHead"/>
      </w:pPr>
      <w:r>
        <w:t>Definitions</w:t>
      </w:r>
    </w:p>
    <w:p w:rsidR="00895C04" w:rsidRDefault="00895C04" w:rsidP="00895C04">
      <w:pPr>
        <w:pStyle w:val="ItemHead"/>
      </w:pPr>
      <w:r>
        <w:t>11  In the appropriate position in Chapter 10</w:t>
      </w:r>
    </w:p>
    <w:p w:rsidR="00895C04" w:rsidRDefault="00895C04" w:rsidP="00895C04">
      <w:pPr>
        <w:pStyle w:val="Item"/>
      </w:pPr>
      <w:r>
        <w:t>Insert:</w:t>
      </w:r>
    </w:p>
    <w:p w:rsidR="00895C04" w:rsidRPr="0012470E" w:rsidRDefault="00895C04" w:rsidP="00895C04">
      <w:pPr>
        <w:pStyle w:val="ActHead2"/>
      </w:pPr>
      <w:bookmarkStart w:id="12" w:name="_Toc30054152"/>
      <w:r w:rsidRPr="001A6D2E">
        <w:rPr>
          <w:rStyle w:val="CharPartNo"/>
        </w:rPr>
        <w:lastRenderedPageBreak/>
        <w:t>Part 10</w:t>
      </w:r>
      <w:r w:rsidR="008B1044" w:rsidRPr="001A6D2E">
        <w:rPr>
          <w:rStyle w:val="CharPartNo"/>
        </w:rPr>
        <w:t>.</w:t>
      </w:r>
      <w:r w:rsidRPr="001A6D2E">
        <w:rPr>
          <w:rStyle w:val="CharPartNo"/>
        </w:rPr>
        <w:t>42</w:t>
      </w:r>
      <w:r>
        <w:t>—</w:t>
      </w:r>
      <w:r w:rsidRPr="001A6D2E">
        <w:rPr>
          <w:rStyle w:val="CharPartText"/>
        </w:rPr>
        <w:t>Application provisions relating to Schedule [1</w:t>
      </w:r>
      <w:r w:rsidR="008B1044" w:rsidRPr="001A6D2E">
        <w:rPr>
          <w:rStyle w:val="CharPartText"/>
        </w:rPr>
        <w:t>.</w:t>
      </w:r>
      <w:r w:rsidRPr="001A6D2E">
        <w:rPr>
          <w:rStyle w:val="CharPartText"/>
        </w:rPr>
        <w:t>6 and 2</w:t>
      </w:r>
      <w:r w:rsidR="008B1044" w:rsidRPr="001A6D2E">
        <w:rPr>
          <w:rStyle w:val="CharPartText"/>
        </w:rPr>
        <w:t>.</w:t>
      </w:r>
      <w:r w:rsidRPr="001A6D2E">
        <w:rPr>
          <w:rStyle w:val="CharPartText"/>
        </w:rPr>
        <w:t>7] to the Financial Sector Reform (Hayne Royal Commission Response—Protecting Consumers (2020 Measures)) Act 2020</w:t>
      </w:r>
      <w:bookmarkStart w:id="13" w:name="BK_S1P6L5C20"/>
      <w:bookmarkEnd w:id="12"/>
      <w:bookmarkEnd w:id="13"/>
    </w:p>
    <w:p w:rsidR="00895C04" w:rsidRPr="001A6D2E" w:rsidRDefault="00895C04" w:rsidP="00895C04">
      <w:pPr>
        <w:pStyle w:val="Header"/>
      </w:pPr>
      <w:r w:rsidRPr="001A6D2E">
        <w:rPr>
          <w:rStyle w:val="CharDivNo"/>
        </w:rPr>
        <w:t xml:space="preserve"> </w:t>
      </w:r>
      <w:r w:rsidRPr="001A6D2E">
        <w:rPr>
          <w:rStyle w:val="CharDivText"/>
        </w:rPr>
        <w:t xml:space="preserve"> </w:t>
      </w:r>
    </w:p>
    <w:p w:rsidR="00895C04" w:rsidRDefault="00895C04" w:rsidP="00895C04">
      <w:pPr>
        <w:pStyle w:val="ActHead5"/>
      </w:pPr>
      <w:bookmarkStart w:id="14" w:name="_Toc30054153"/>
      <w:r w:rsidRPr="001A6D2E">
        <w:rPr>
          <w:rStyle w:val="CharSectno"/>
        </w:rPr>
        <w:t>1669</w:t>
      </w:r>
      <w:r>
        <w:t xml:space="preserve">  Application of Reference Checking and Information Sharing Protocol</w:t>
      </w:r>
      <w:bookmarkEnd w:id="14"/>
    </w:p>
    <w:p w:rsidR="00895C04" w:rsidRPr="00327B4B" w:rsidRDefault="00895C04" w:rsidP="00895C04">
      <w:pPr>
        <w:pStyle w:val="subsection"/>
      </w:pPr>
      <w:r>
        <w:tab/>
      </w:r>
      <w:r>
        <w:tab/>
        <w:t>The amendments made by Schedule [1</w:t>
      </w:r>
      <w:r w:rsidR="008B1044">
        <w:t>.</w:t>
      </w:r>
      <w:r>
        <w:t>6 and 2</w:t>
      </w:r>
      <w:r w:rsidR="008B1044">
        <w:t>.</w:t>
      </w:r>
      <w:r>
        <w:t xml:space="preserve">7] to the </w:t>
      </w:r>
      <w:r w:rsidRPr="00357105">
        <w:rPr>
          <w:i/>
        </w:rPr>
        <w:t>Financial Sector Reform (Hayne Royal Commission Response—Protecting Consumers (2020 Measures)) Act 2020</w:t>
      </w:r>
      <w:r>
        <w:t xml:space="preserve"> apply in relation to information shared on or after 1 April 2021</w:t>
      </w:r>
      <w:r w:rsidR="008B1044">
        <w:t>.</w:t>
      </w:r>
    </w:p>
    <w:p w:rsidR="00895C04" w:rsidRPr="0012470E" w:rsidRDefault="00895C04" w:rsidP="00895C04">
      <w:pPr>
        <w:pStyle w:val="ActHead9"/>
        <w:rPr>
          <w:i w:val="0"/>
        </w:rPr>
      </w:pPr>
      <w:bookmarkStart w:id="15" w:name="_Toc30054154"/>
      <w:r>
        <w:t>National Consumer Credit Protection Act 2009</w:t>
      </w:r>
      <w:bookmarkStart w:id="16" w:name="BK_S1P5L13C45"/>
      <w:bookmarkEnd w:id="15"/>
      <w:bookmarkEnd w:id="16"/>
    </w:p>
    <w:p w:rsidR="00895C04" w:rsidRDefault="00895C04" w:rsidP="00895C04">
      <w:pPr>
        <w:pStyle w:val="ItemHead"/>
      </w:pPr>
      <w:r>
        <w:t>12  Subsection 5(1)</w:t>
      </w:r>
    </w:p>
    <w:p w:rsidR="00895C04" w:rsidRDefault="00895C04" w:rsidP="00895C04">
      <w:pPr>
        <w:pStyle w:val="Item"/>
      </w:pPr>
      <w:r>
        <w:t>Insert:</w:t>
      </w:r>
    </w:p>
    <w:p w:rsidR="00895C04" w:rsidRDefault="00895C04" w:rsidP="00895C04">
      <w:pPr>
        <w:pStyle w:val="Definition"/>
      </w:pPr>
      <w:r>
        <w:rPr>
          <w:b/>
          <w:i/>
        </w:rPr>
        <w:t>Reference Checking and Information Sharing Protocol</w:t>
      </w:r>
      <w:r>
        <w:t xml:space="preserve"> means the protocol determined by ASIC under subsection 47(3A)</w:t>
      </w:r>
      <w:r w:rsidR="008B1044">
        <w:t>.</w:t>
      </w:r>
    </w:p>
    <w:p w:rsidR="00895C04" w:rsidRDefault="00895C04" w:rsidP="00895C04">
      <w:pPr>
        <w:pStyle w:val="ItemHead"/>
      </w:pPr>
      <w:r>
        <w:t>13  After paragraph 47(1)(e)</w:t>
      </w:r>
    </w:p>
    <w:p w:rsidR="00895C04" w:rsidRDefault="00895C04" w:rsidP="00895C04">
      <w:pPr>
        <w:pStyle w:val="Item"/>
      </w:pPr>
      <w:r>
        <w:t>Insert:</w:t>
      </w:r>
    </w:p>
    <w:p w:rsidR="00895C04" w:rsidRDefault="00895C04" w:rsidP="00895C04">
      <w:pPr>
        <w:pStyle w:val="paragraph"/>
      </w:pPr>
      <w:r>
        <w:tab/>
        <w:t>(ea)</w:t>
      </w:r>
      <w:r>
        <w:tab/>
        <w:t>comply with the Reference Checking and Information Sharing Protocol in relation to:</w:t>
      </w:r>
    </w:p>
    <w:p w:rsidR="00895C04" w:rsidRDefault="00895C04" w:rsidP="00895C04">
      <w:pPr>
        <w:pStyle w:val="paragraphsub"/>
      </w:pPr>
      <w:r>
        <w:tab/>
        <w:t>(i)</w:t>
      </w:r>
      <w:r>
        <w:tab/>
        <w:t>if the licensee is an individual to whom the Protocol applies—the licensee; and</w:t>
      </w:r>
    </w:p>
    <w:p w:rsidR="00895C04" w:rsidRDefault="00895C04" w:rsidP="00895C04">
      <w:pPr>
        <w:pStyle w:val="paragraphsub"/>
      </w:pPr>
      <w:r>
        <w:tab/>
        <w:t>(ii)</w:t>
      </w:r>
      <w:r>
        <w:tab/>
        <w:t>if a former, current or prospective representative of the licensee is an individual to whom the Protocol applies—the representative; and</w:t>
      </w:r>
    </w:p>
    <w:p w:rsidR="00895C04" w:rsidRDefault="00895C04" w:rsidP="00895C04">
      <w:pPr>
        <w:pStyle w:val="ItemHead"/>
      </w:pPr>
      <w:r>
        <w:t>14  After subsection 47(3)</w:t>
      </w:r>
    </w:p>
    <w:p w:rsidR="00895C04" w:rsidRDefault="00895C04" w:rsidP="00895C04">
      <w:pPr>
        <w:pStyle w:val="Item"/>
      </w:pPr>
      <w:r>
        <w:t>Insert:</w:t>
      </w:r>
    </w:p>
    <w:p w:rsidR="00895C04" w:rsidRDefault="00895C04" w:rsidP="00895C04">
      <w:pPr>
        <w:pStyle w:val="SubsectionHead"/>
      </w:pPr>
      <w:r>
        <w:t>Reference Checking and Information Sharing Protocol</w:t>
      </w:r>
    </w:p>
    <w:p w:rsidR="00895C04" w:rsidRDefault="00895C04" w:rsidP="00895C04">
      <w:pPr>
        <w:pStyle w:val="subsection"/>
      </w:pPr>
      <w:r>
        <w:tab/>
        <w:t>(3A)</w:t>
      </w:r>
      <w:r>
        <w:tab/>
        <w:t>ASIC may, by legislative instrument, determine a protocol for:</w:t>
      </w:r>
    </w:p>
    <w:p w:rsidR="00895C04" w:rsidRDefault="00895C04" w:rsidP="00895C04">
      <w:pPr>
        <w:pStyle w:val="paragraph"/>
      </w:pPr>
      <w:r>
        <w:tab/>
        <w:t>(a)</w:t>
      </w:r>
      <w:r>
        <w:tab/>
        <w:t>sharing information about any or all of the following:</w:t>
      </w:r>
    </w:p>
    <w:p w:rsidR="00895C04" w:rsidRDefault="00895C04" w:rsidP="00895C04">
      <w:pPr>
        <w:pStyle w:val="paragraphsub"/>
      </w:pPr>
      <w:r>
        <w:tab/>
        <w:t>(i)</w:t>
      </w:r>
      <w:r>
        <w:tab/>
        <w:t>a licensee who is an individual;</w:t>
      </w:r>
    </w:p>
    <w:p w:rsidR="00895C04" w:rsidRDefault="00895C04" w:rsidP="00895C04">
      <w:pPr>
        <w:pStyle w:val="paragraphsub"/>
      </w:pPr>
      <w:r>
        <w:tab/>
        <w:t>(ii)</w:t>
      </w:r>
      <w:r>
        <w:tab/>
        <w:t>individuals who are former, current or prospective representatives of a licensee;</w:t>
      </w:r>
    </w:p>
    <w:p w:rsidR="00895C04" w:rsidRDefault="00895C04" w:rsidP="00895C04">
      <w:pPr>
        <w:pStyle w:val="paragraph"/>
      </w:pPr>
      <w:r>
        <w:tab/>
      </w:r>
      <w:r>
        <w:tab/>
        <w:t>by that licensee with another licensee; and</w:t>
      </w:r>
    </w:p>
    <w:p w:rsidR="00895C04" w:rsidRDefault="00895C04" w:rsidP="00895C04">
      <w:pPr>
        <w:pStyle w:val="paragraph"/>
      </w:pPr>
      <w:r>
        <w:tab/>
        <w:t>(b)</w:t>
      </w:r>
      <w:r>
        <w:tab/>
        <w:t>sharing information about any or all of the following:</w:t>
      </w:r>
    </w:p>
    <w:p w:rsidR="00895C04" w:rsidRDefault="00895C04" w:rsidP="00895C04">
      <w:pPr>
        <w:pStyle w:val="paragraphsub"/>
      </w:pPr>
      <w:r>
        <w:tab/>
        <w:t>(i)</w:t>
      </w:r>
      <w:r>
        <w:tab/>
        <w:t>a licensee who is an individual;</w:t>
      </w:r>
    </w:p>
    <w:p w:rsidR="00895C04" w:rsidRDefault="00895C04" w:rsidP="00895C04">
      <w:pPr>
        <w:pStyle w:val="paragraphsub"/>
      </w:pPr>
      <w:r>
        <w:tab/>
        <w:t>(ii)</w:t>
      </w:r>
      <w:r>
        <w:tab/>
        <w:t>individuals who are former, current or prospective representatives of a licensee;</w:t>
      </w:r>
    </w:p>
    <w:p w:rsidR="00895C04" w:rsidRPr="003F3335" w:rsidRDefault="00895C04" w:rsidP="00895C04">
      <w:pPr>
        <w:pStyle w:val="paragraph"/>
      </w:pPr>
      <w:r>
        <w:tab/>
      </w:r>
      <w:r>
        <w:tab/>
        <w:t xml:space="preserve">by that licensee with a financial services licensee within the meaning of the </w:t>
      </w:r>
      <w:r>
        <w:rPr>
          <w:i/>
        </w:rPr>
        <w:t>Corporations Act 2001</w:t>
      </w:r>
      <w:r>
        <w:t>; and</w:t>
      </w:r>
    </w:p>
    <w:p w:rsidR="00895C04" w:rsidRDefault="00895C04" w:rsidP="00895C04">
      <w:pPr>
        <w:pStyle w:val="paragraph"/>
      </w:pPr>
      <w:r>
        <w:tab/>
        <w:t>(c)</w:t>
      </w:r>
      <w:r>
        <w:tab/>
        <w:t>keeping and retaining records of information shared, and the circumstances under which that information is shared</w:t>
      </w:r>
      <w:r w:rsidR="008B1044">
        <w:t>.</w:t>
      </w:r>
    </w:p>
    <w:p w:rsidR="00895C04" w:rsidRDefault="00895C04" w:rsidP="00895C04">
      <w:pPr>
        <w:pStyle w:val="subsection"/>
      </w:pPr>
      <w:r>
        <w:tab/>
        <w:t>(3B)</w:t>
      </w:r>
      <w:r>
        <w:tab/>
        <w:t>The Reference Checking and Information Sharing Protocol must not:</w:t>
      </w:r>
    </w:p>
    <w:p w:rsidR="00895C04" w:rsidRDefault="00895C04" w:rsidP="00895C04">
      <w:pPr>
        <w:pStyle w:val="paragraph"/>
      </w:pPr>
      <w:r>
        <w:tab/>
        <w:t>(a)</w:t>
      </w:r>
      <w:r>
        <w:tab/>
        <w:t>require or permit personal information</w:t>
      </w:r>
      <w:bookmarkStart w:id="17" w:name="BK_S1P6L15C44"/>
      <w:bookmarkEnd w:id="17"/>
      <w:r>
        <w:t xml:space="preserve"> (within the meaning of the </w:t>
      </w:r>
      <w:r>
        <w:rPr>
          <w:i/>
        </w:rPr>
        <w:t>Privacy Act 1988</w:t>
      </w:r>
      <w:r>
        <w:t>) to be shared, other than with the consent of the individual to whom the information relates; or</w:t>
      </w:r>
    </w:p>
    <w:p w:rsidR="00895C04" w:rsidRDefault="00895C04" w:rsidP="00895C04">
      <w:pPr>
        <w:pStyle w:val="paragraph"/>
      </w:pPr>
      <w:r>
        <w:tab/>
        <w:t>(b)</w:t>
      </w:r>
      <w:r>
        <w:tab/>
        <w:t>require information to be shared in relation to conduct that occurred more than 5 years before the information is shared</w:t>
      </w:r>
      <w:r w:rsidR="008B1044">
        <w:t>.</w:t>
      </w:r>
    </w:p>
    <w:p w:rsidR="00895C04" w:rsidRPr="00B26940" w:rsidRDefault="00895C04" w:rsidP="00895C04">
      <w:pPr>
        <w:pStyle w:val="SubsectionHead"/>
      </w:pPr>
      <w:r>
        <w:t>Application of Reference Checking and Information Sharing Protocol</w:t>
      </w:r>
    </w:p>
    <w:p w:rsidR="00895C04" w:rsidRDefault="00895C04" w:rsidP="00895C04">
      <w:pPr>
        <w:pStyle w:val="subsection"/>
      </w:pPr>
      <w:r>
        <w:tab/>
        <w:t>(3C)</w:t>
      </w:r>
      <w:r>
        <w:tab/>
        <w:t xml:space="preserve">The Reference Checking and Information Sharing Protocol applies to an individual mentioned in subparagraph (3A)(a)(i) or (ii) if </w:t>
      </w:r>
      <w:r w:rsidRPr="00C56DE9">
        <w:t>there are reasonable grounds to suspect that</w:t>
      </w:r>
      <w:r>
        <w:t xml:space="preserve">, </w:t>
      </w:r>
      <w:r w:rsidRPr="00C56DE9">
        <w:t xml:space="preserve">if the </w:t>
      </w:r>
      <w:r>
        <w:t>individual</w:t>
      </w:r>
      <w:r w:rsidRPr="00C56DE9">
        <w:t xml:space="preserve"> becomes</w:t>
      </w:r>
      <w:r>
        <w:t xml:space="preserve"> a</w:t>
      </w:r>
      <w:r w:rsidRPr="00C56DE9">
        <w:t xml:space="preserve"> representative of </w:t>
      </w:r>
      <w:r>
        <w:t>the licensee mentioned in paragraph (3A)(a), the individual will:</w:t>
      </w:r>
    </w:p>
    <w:p w:rsidR="00895C04" w:rsidRDefault="00895C04" w:rsidP="00895C04">
      <w:pPr>
        <w:pStyle w:val="paragraph"/>
      </w:pPr>
      <w:r>
        <w:tab/>
        <w:t>(a)</w:t>
      </w:r>
      <w:r>
        <w:tab/>
        <w:t xml:space="preserve">provide </w:t>
      </w:r>
      <w:r w:rsidRPr="00364AF9">
        <w:t>credit assistance in relation to credit contracts secured by mortgages over residential property</w:t>
      </w:r>
      <w:r>
        <w:t>; and</w:t>
      </w:r>
    </w:p>
    <w:p w:rsidR="00895C04" w:rsidRDefault="00895C04" w:rsidP="00895C04">
      <w:pPr>
        <w:pStyle w:val="paragraph"/>
      </w:pPr>
      <w:r>
        <w:tab/>
        <w:t>(b)</w:t>
      </w:r>
      <w:r>
        <w:tab/>
        <w:t>be a mortgage broker or a director, employee or agent</w:t>
      </w:r>
      <w:r>
        <w:rPr>
          <w:i/>
        </w:rPr>
        <w:t xml:space="preserve"> </w:t>
      </w:r>
      <w:r>
        <w:t>of a mortgage broker</w:t>
      </w:r>
      <w:r w:rsidR="008B1044">
        <w:t>.</w:t>
      </w:r>
    </w:p>
    <w:p w:rsidR="00895C04" w:rsidRDefault="00895C04" w:rsidP="00895C04">
      <w:pPr>
        <w:pStyle w:val="subsection"/>
      </w:pPr>
      <w:r>
        <w:tab/>
        <w:t>(3D)</w:t>
      </w:r>
      <w:r>
        <w:tab/>
        <w:t xml:space="preserve">The Reference Checking and Information Sharing Protocol applies to an individual mentioned in subparagraph (3A)(b)(i) or (ii) if </w:t>
      </w:r>
      <w:r w:rsidRPr="00C56DE9">
        <w:t xml:space="preserve">there are reasonable grounds to suspect that the </w:t>
      </w:r>
      <w:r>
        <w:t>individual</w:t>
      </w:r>
      <w:r w:rsidRPr="00C56DE9">
        <w:t xml:space="preserve"> will provide </w:t>
      </w:r>
      <w:r>
        <w:t xml:space="preserve">personal advice to retail clients about relevant financial products </w:t>
      </w:r>
      <w:r w:rsidRPr="00C56DE9">
        <w:t xml:space="preserve">if the </w:t>
      </w:r>
      <w:r>
        <w:t>individual</w:t>
      </w:r>
      <w:r w:rsidRPr="00C56DE9">
        <w:t xml:space="preserve"> becomes</w:t>
      </w:r>
      <w:r>
        <w:t xml:space="preserve"> a</w:t>
      </w:r>
      <w:r w:rsidRPr="00C56DE9">
        <w:t xml:space="preserve"> representative of </w:t>
      </w:r>
      <w:r>
        <w:t>the financial services licensee mentioned in paragraph (3A)(b)</w:t>
      </w:r>
      <w:r w:rsidR="008B1044">
        <w:t>.</w:t>
      </w:r>
    </w:p>
    <w:p w:rsidR="00895C04" w:rsidRPr="008E7F37" w:rsidRDefault="00895C04" w:rsidP="00895C04">
      <w:pPr>
        <w:pStyle w:val="subsection"/>
      </w:pPr>
      <w:r>
        <w:tab/>
        <w:t>(3E)</w:t>
      </w:r>
      <w:r>
        <w:tab/>
        <w:t xml:space="preserve">Expressions used in subsection (3D) that are also used in the </w:t>
      </w:r>
      <w:r>
        <w:rPr>
          <w:i/>
        </w:rPr>
        <w:t xml:space="preserve">Corporations Act 2001 </w:t>
      </w:r>
      <w:r>
        <w:t>(other than Reference Checking and Information Sharing Protocol) have the same meaning in that subsection as they have in that Act</w:t>
      </w:r>
      <w:r w:rsidR="008B1044">
        <w:t>.</w:t>
      </w:r>
    </w:p>
    <w:p w:rsidR="00895C04" w:rsidRPr="00B26940" w:rsidRDefault="00895C04" w:rsidP="00895C04">
      <w:pPr>
        <w:pStyle w:val="SubsectionHead"/>
      </w:pPr>
      <w:r>
        <w:t>Qualified privilege</w:t>
      </w:r>
    </w:p>
    <w:p w:rsidR="00895C04" w:rsidRDefault="00895C04" w:rsidP="00895C04">
      <w:pPr>
        <w:pStyle w:val="subsection"/>
      </w:pPr>
      <w:r>
        <w:tab/>
        <w:t>(3F)</w:t>
      </w:r>
      <w:r>
        <w:tab/>
        <w:t>A person has qualified privilege in relation to information shared in accordance with the Reference Checking and Information Sharing Protocol about an individual to whom the Protocol applies</w:t>
      </w:r>
      <w:r w:rsidR="008B1044">
        <w:t>.</w:t>
      </w:r>
    </w:p>
    <w:p w:rsidR="00895C04" w:rsidRDefault="00895C04" w:rsidP="00895C04">
      <w:pPr>
        <w:pStyle w:val="subsection"/>
      </w:pPr>
      <w:r>
        <w:tab/>
        <w:t>(3G)</w:t>
      </w:r>
      <w:r>
        <w:tab/>
        <w:t>A person who has qualified privilege under subsection (3F) in respect of conduct is also not liable for any action based on breach of confidence in relation to that conduct</w:t>
      </w:r>
      <w:r w:rsidR="008B1044">
        <w:t>.</w:t>
      </w:r>
    </w:p>
    <w:p w:rsidR="00895C04" w:rsidRDefault="00895C04" w:rsidP="00895C04">
      <w:pPr>
        <w:pStyle w:val="ItemHead"/>
      </w:pPr>
      <w:r>
        <w:t>15  Subsection 47(4)</w:t>
      </w:r>
    </w:p>
    <w:p w:rsidR="00895C04" w:rsidRDefault="00895C04" w:rsidP="00895C04">
      <w:pPr>
        <w:pStyle w:val="Item"/>
      </w:pPr>
      <w:r>
        <w:t>After “paragraph (1)(a), (b), (e),”, insert “(ea),”</w:t>
      </w:r>
      <w:r w:rsidR="008B1044">
        <w:t>.</w:t>
      </w:r>
    </w:p>
    <w:p w:rsidR="00895C04" w:rsidRPr="0012470E" w:rsidRDefault="00895C04" w:rsidP="00895C04">
      <w:pPr>
        <w:pStyle w:val="ActHead9"/>
        <w:rPr>
          <w:i w:val="0"/>
        </w:rPr>
      </w:pPr>
      <w:bookmarkStart w:id="18" w:name="_Toc30054155"/>
      <w:r>
        <w:t>National Consumer Credit Protection (</w:t>
      </w:r>
      <w:bookmarkStart w:id="19" w:name="BK_S1P7L12C38"/>
      <w:bookmarkEnd w:id="19"/>
      <w:r>
        <w:t>Transitional and Consequential Provisions) Act 2009</w:t>
      </w:r>
      <w:bookmarkEnd w:id="18"/>
    </w:p>
    <w:p w:rsidR="00895C04" w:rsidRDefault="00895C04" w:rsidP="00895C04">
      <w:pPr>
        <w:pStyle w:val="ItemHead"/>
      </w:pPr>
      <w:r>
        <w:t>16  In the appropriate position</w:t>
      </w:r>
    </w:p>
    <w:p w:rsidR="00895C04" w:rsidRDefault="00895C04" w:rsidP="00895C04">
      <w:pPr>
        <w:pStyle w:val="Item"/>
      </w:pPr>
      <w:r>
        <w:t>Insert:</w:t>
      </w:r>
    </w:p>
    <w:p w:rsidR="00895C04" w:rsidRPr="0012470E" w:rsidRDefault="00895C04" w:rsidP="00895C04">
      <w:pPr>
        <w:pStyle w:val="ActHead6"/>
      </w:pPr>
      <w:bookmarkStart w:id="20" w:name="BK_S1P8L16C1"/>
      <w:bookmarkStart w:id="21" w:name="_Toc30054156"/>
      <w:bookmarkEnd w:id="20"/>
      <w:r w:rsidRPr="001A6D2E">
        <w:rPr>
          <w:rStyle w:val="CharAmSchNo"/>
        </w:rPr>
        <w:t>Schedule</w:t>
      </w:r>
      <w:bookmarkStart w:id="22" w:name="BK_S1P7L16C9"/>
      <w:bookmarkEnd w:id="22"/>
      <w:r w:rsidRPr="001A6D2E">
        <w:rPr>
          <w:rStyle w:val="CharAmSchNo"/>
        </w:rPr>
        <w:t xml:space="preserve"> 15</w:t>
      </w:r>
      <w:r>
        <w:t>—</w:t>
      </w:r>
      <w:r w:rsidRPr="001A6D2E">
        <w:rPr>
          <w:rStyle w:val="CharAmSchText"/>
        </w:rPr>
        <w:t>Application</w:t>
      </w:r>
      <w:bookmarkStart w:id="23" w:name="BK_S1P7L16C23"/>
      <w:bookmarkEnd w:id="23"/>
      <w:r w:rsidRPr="001A6D2E">
        <w:rPr>
          <w:rStyle w:val="CharAmSchText"/>
        </w:rPr>
        <w:t xml:space="preserve"> provisions relating to Schedule</w:t>
      </w:r>
      <w:bookmarkStart w:id="24" w:name="BK_S1P7L17C12"/>
      <w:bookmarkEnd w:id="24"/>
      <w:r w:rsidRPr="001A6D2E">
        <w:rPr>
          <w:rStyle w:val="CharAmSchText"/>
        </w:rPr>
        <w:t xml:space="preserve"> [1</w:t>
      </w:r>
      <w:r w:rsidR="008B1044" w:rsidRPr="001A6D2E">
        <w:rPr>
          <w:rStyle w:val="CharAmSchText"/>
        </w:rPr>
        <w:t>.</w:t>
      </w:r>
      <w:r w:rsidRPr="001A6D2E">
        <w:rPr>
          <w:rStyle w:val="CharAmSchText"/>
        </w:rPr>
        <w:t>6 and 2</w:t>
      </w:r>
      <w:r w:rsidR="008B1044" w:rsidRPr="001A6D2E">
        <w:rPr>
          <w:rStyle w:val="CharAmSchText"/>
        </w:rPr>
        <w:t>.</w:t>
      </w:r>
      <w:r w:rsidRPr="001A6D2E">
        <w:rPr>
          <w:rStyle w:val="CharAmSchText"/>
        </w:rPr>
        <w:t>7] to the Financial Sector Reform (Hayne Royal Commission Response—Protecting Consumers (2020 Measures)) Act 2020</w:t>
      </w:r>
      <w:bookmarkEnd w:id="21"/>
    </w:p>
    <w:p w:rsidR="00895C04" w:rsidRPr="001A6D2E" w:rsidRDefault="00895C04" w:rsidP="00895C04">
      <w:pPr>
        <w:pStyle w:val="Header"/>
      </w:pPr>
      <w:r w:rsidRPr="001A6D2E">
        <w:rPr>
          <w:rStyle w:val="CharAmPartNo"/>
        </w:rPr>
        <w:t xml:space="preserve"> </w:t>
      </w:r>
      <w:r w:rsidRPr="001A6D2E">
        <w:rPr>
          <w:rStyle w:val="CharAmPartText"/>
        </w:rPr>
        <w:t xml:space="preserve"> </w:t>
      </w:r>
    </w:p>
    <w:p w:rsidR="00895C04" w:rsidRPr="0025386F" w:rsidRDefault="00895C04" w:rsidP="00895C04">
      <w:pPr>
        <w:pStyle w:val="ItemHead"/>
      </w:pPr>
      <w:r w:rsidRPr="00465307">
        <w:t>1</w:t>
      </w:r>
      <w:r>
        <w:t xml:space="preserve">  Application</w:t>
      </w:r>
      <w:bookmarkStart w:id="25" w:name="BK_S1P7L22C17"/>
      <w:bookmarkEnd w:id="25"/>
      <w:r>
        <w:t xml:space="preserve"> of Reference Checking and Information Sharing Protocol</w:t>
      </w:r>
    </w:p>
    <w:p w:rsidR="00895C04" w:rsidRPr="00327B4B" w:rsidRDefault="00895C04" w:rsidP="00895C04">
      <w:pPr>
        <w:pStyle w:val="Subitem"/>
      </w:pPr>
      <w:r>
        <w:tab/>
        <w:t>The amendments made by Schedule [1</w:t>
      </w:r>
      <w:r w:rsidR="008B1044">
        <w:t>.</w:t>
      </w:r>
      <w:r>
        <w:t>6 and 2</w:t>
      </w:r>
      <w:r w:rsidR="008B1044">
        <w:t>.</w:t>
      </w:r>
      <w:r>
        <w:t xml:space="preserve">7] to the </w:t>
      </w:r>
      <w:r w:rsidRPr="00357105">
        <w:rPr>
          <w:i/>
        </w:rPr>
        <w:t>Financial Sector Reform (Hayne Royal Commission Response—Protecting Consumers (2020 Measures)) Act 2020</w:t>
      </w:r>
      <w:r>
        <w:t xml:space="preserve"> apply in relation to information shared on or after 1 April 2021</w:t>
      </w:r>
      <w:r w:rsidR="008B1044">
        <w:t>.</w:t>
      </w:r>
    </w:p>
    <w:p w:rsidR="00554D11" w:rsidRPr="00EF7182" w:rsidRDefault="00554D11" w:rsidP="00EF7182">
      <w:pPr>
        <w:pStyle w:val="ActHead6"/>
        <w:pageBreakBefore/>
      </w:pPr>
      <w:r w:rsidRPr="001A6D2E">
        <w:rPr>
          <w:rStyle w:val="CharAmSchNo"/>
        </w:rPr>
        <w:t>Schedule</w:t>
      </w:r>
      <w:bookmarkStart w:id="26" w:name="BK_S1P2L1C9"/>
      <w:bookmarkEnd w:id="26"/>
      <w:r w:rsidRPr="001A6D2E">
        <w:rPr>
          <w:rStyle w:val="CharAmSchNo"/>
        </w:rPr>
        <w:t xml:space="preserve"> </w:t>
      </w:r>
      <w:r w:rsidR="00A76FEE" w:rsidRPr="001A6D2E">
        <w:rPr>
          <w:rStyle w:val="CharAmSchNo"/>
        </w:rPr>
        <w:t>[1</w:t>
      </w:r>
      <w:r w:rsidR="008B1044" w:rsidRPr="001A6D2E">
        <w:rPr>
          <w:rStyle w:val="CharAmSchNo"/>
        </w:rPr>
        <w:t>.</w:t>
      </w:r>
      <w:r w:rsidR="00A76FEE" w:rsidRPr="001A6D2E">
        <w:rPr>
          <w:rStyle w:val="CharAmSchNo"/>
        </w:rPr>
        <w:t>6, 2</w:t>
      </w:r>
      <w:r w:rsidR="008B1044" w:rsidRPr="001A6D2E">
        <w:rPr>
          <w:rStyle w:val="CharAmSchNo"/>
        </w:rPr>
        <w:t>.</w:t>
      </w:r>
      <w:r w:rsidR="00A76FEE" w:rsidRPr="001A6D2E">
        <w:rPr>
          <w:rStyle w:val="CharAmSchNo"/>
        </w:rPr>
        <w:t>8</w:t>
      </w:r>
      <w:r w:rsidR="006E37E6" w:rsidRPr="001A6D2E">
        <w:rPr>
          <w:rStyle w:val="CharAmSchNo"/>
        </w:rPr>
        <w:t>, 2</w:t>
      </w:r>
      <w:r w:rsidR="008B1044" w:rsidRPr="001A6D2E">
        <w:rPr>
          <w:rStyle w:val="CharAmSchNo"/>
        </w:rPr>
        <w:t>.</w:t>
      </w:r>
      <w:r w:rsidR="006E37E6" w:rsidRPr="001A6D2E">
        <w:rPr>
          <w:rStyle w:val="CharAmSchNo"/>
        </w:rPr>
        <w:t>9</w:t>
      </w:r>
      <w:r w:rsidR="00A76FEE" w:rsidRPr="001A6D2E">
        <w:rPr>
          <w:rStyle w:val="CharAmSchNo"/>
        </w:rPr>
        <w:t xml:space="preserve"> and 7</w:t>
      </w:r>
      <w:r w:rsidR="008B1044" w:rsidRPr="001A6D2E">
        <w:rPr>
          <w:rStyle w:val="CharAmSchNo"/>
        </w:rPr>
        <w:t>.</w:t>
      </w:r>
      <w:r w:rsidR="00A76FEE" w:rsidRPr="001A6D2E">
        <w:rPr>
          <w:rStyle w:val="CharAmSchNo"/>
        </w:rPr>
        <w:t>2]</w:t>
      </w:r>
      <w:r w:rsidRPr="00EF7182">
        <w:t>—</w:t>
      </w:r>
      <w:r w:rsidRPr="001A6D2E">
        <w:rPr>
          <w:rStyle w:val="CharAmSchText"/>
        </w:rPr>
        <w:t>Breach reporting</w:t>
      </w:r>
      <w:bookmarkEnd w:id="3"/>
      <w:r w:rsidR="006E37E6" w:rsidRPr="001A6D2E">
        <w:rPr>
          <w:rStyle w:val="CharAmSchText"/>
        </w:rPr>
        <w:t xml:space="preserve"> and </w:t>
      </w:r>
      <w:r w:rsidR="00A467DC" w:rsidRPr="001A6D2E">
        <w:rPr>
          <w:rStyle w:val="CharAmSchText"/>
        </w:rPr>
        <w:t>remediation</w:t>
      </w:r>
    </w:p>
    <w:bookmarkEnd w:id="4"/>
    <w:p w:rsidR="00AA04BF" w:rsidRPr="001A6D2E" w:rsidRDefault="00AA04BF" w:rsidP="00EF7182">
      <w:pPr>
        <w:pStyle w:val="Header"/>
      </w:pPr>
      <w:r w:rsidRPr="001A6D2E">
        <w:rPr>
          <w:rStyle w:val="CharAmPartNo"/>
        </w:rPr>
        <w:t xml:space="preserve"> </w:t>
      </w:r>
      <w:r w:rsidRPr="001A6D2E">
        <w:rPr>
          <w:rStyle w:val="CharAmPartText"/>
        </w:rPr>
        <w:t xml:space="preserve"> </w:t>
      </w:r>
    </w:p>
    <w:p w:rsidR="008A7515" w:rsidRPr="00222F8E" w:rsidRDefault="008A7515" w:rsidP="00EF7182">
      <w:pPr>
        <w:pStyle w:val="ActHead9"/>
        <w:rPr>
          <w:i w:val="0"/>
        </w:rPr>
      </w:pPr>
      <w:bookmarkStart w:id="27" w:name="_Toc30410094"/>
      <w:r w:rsidRPr="00EF7182">
        <w:t>Corporations</w:t>
      </w:r>
      <w:bookmarkStart w:id="28" w:name="BK_S1P2L3C13"/>
      <w:bookmarkEnd w:id="28"/>
      <w:r w:rsidRPr="00EF7182">
        <w:t xml:space="preserve"> Act 2001</w:t>
      </w:r>
      <w:bookmarkEnd w:id="27"/>
    </w:p>
    <w:p w:rsidR="006E1753" w:rsidRPr="00EF7182" w:rsidRDefault="00FF1CA5" w:rsidP="00EF7182">
      <w:pPr>
        <w:pStyle w:val="ItemHead"/>
      </w:pPr>
      <w:r w:rsidRPr="00EF7182">
        <w:t>1</w:t>
      </w:r>
      <w:r w:rsidR="006E1753" w:rsidRPr="00EF7182">
        <w:t xml:space="preserve">  </w:t>
      </w:r>
      <w:r w:rsidR="00BE2959" w:rsidRPr="00EF7182">
        <w:t>Paragraph</w:t>
      </w:r>
      <w:r w:rsidR="00EF7182" w:rsidRPr="00EF7182">
        <w:t xml:space="preserve"> </w:t>
      </w:r>
      <w:r w:rsidR="00BE2959" w:rsidRPr="00EF7182">
        <w:t>6</w:t>
      </w:r>
      <w:r w:rsidR="006E1753" w:rsidRPr="00EF7182">
        <w:t>01FC(1)(l)</w:t>
      </w:r>
    </w:p>
    <w:p w:rsidR="006E1753" w:rsidRPr="00EF7182" w:rsidRDefault="006E1753" w:rsidP="00EF7182">
      <w:pPr>
        <w:pStyle w:val="Item"/>
      </w:pPr>
      <w:r w:rsidRPr="00EF7182">
        <w:t>Repeal the paragraph</w:t>
      </w:r>
      <w:r w:rsidR="008B1044">
        <w:t>.</w:t>
      </w:r>
    </w:p>
    <w:p w:rsidR="00982DA6" w:rsidRPr="00EF7182" w:rsidRDefault="00FF1CA5" w:rsidP="00EF7182">
      <w:pPr>
        <w:pStyle w:val="ItemHead"/>
      </w:pPr>
      <w:r w:rsidRPr="00EF7182">
        <w:t>2</w:t>
      </w:r>
      <w:r w:rsidR="00982DA6" w:rsidRPr="00EF7182">
        <w:t xml:space="preserve">  </w:t>
      </w:r>
      <w:r w:rsidR="00BE2959" w:rsidRPr="00EF7182">
        <w:t>Section</w:t>
      </w:r>
      <w:r w:rsidR="00EF7182" w:rsidRPr="00EF7182">
        <w:t> </w:t>
      </w:r>
      <w:r w:rsidR="00BE2959" w:rsidRPr="00EF7182">
        <w:t>9</w:t>
      </w:r>
      <w:r w:rsidR="00982DA6" w:rsidRPr="00EF7182">
        <w:t>10A</w:t>
      </w:r>
    </w:p>
    <w:p w:rsidR="00982DA6" w:rsidRPr="00EF7182" w:rsidRDefault="00982DA6" w:rsidP="00EF7182">
      <w:pPr>
        <w:pStyle w:val="Item"/>
      </w:pPr>
      <w:r w:rsidRPr="00EF7182">
        <w:t>Insert:</w:t>
      </w:r>
    </w:p>
    <w:p w:rsidR="00982DA6" w:rsidRPr="00EF7182" w:rsidRDefault="00982DA6" w:rsidP="00EF7182">
      <w:pPr>
        <w:pStyle w:val="Definition"/>
      </w:pPr>
      <w:r w:rsidRPr="00EF7182">
        <w:rPr>
          <w:b/>
          <w:i/>
        </w:rPr>
        <w:t>core obligation</w:t>
      </w:r>
      <w:r w:rsidRPr="00EF7182">
        <w:t xml:space="preserve"> has the meaning given by </w:t>
      </w:r>
      <w:r w:rsidR="00BE2959" w:rsidRPr="00EF7182">
        <w:t>subsection</w:t>
      </w:r>
      <w:r w:rsidR="00EF7182" w:rsidRPr="00EF7182">
        <w:t xml:space="preserve"> </w:t>
      </w:r>
      <w:r w:rsidR="008B1044">
        <w:t>912D</w:t>
      </w:r>
      <w:r w:rsidRPr="00EF7182">
        <w:t>(3)</w:t>
      </w:r>
      <w:r w:rsidR="008B1044">
        <w:t>.</w:t>
      </w:r>
    </w:p>
    <w:p w:rsidR="003042FD" w:rsidRDefault="003042FD" w:rsidP="003042FD">
      <w:pPr>
        <w:pStyle w:val="Definition"/>
      </w:pPr>
      <w:r>
        <w:rPr>
          <w:b/>
          <w:i/>
        </w:rPr>
        <w:t>reasonably knows</w:t>
      </w:r>
      <w:r w:rsidRPr="00921D7E">
        <w:t xml:space="preserve"> has the meaning given by </w:t>
      </w:r>
      <w:r>
        <w:t>section </w:t>
      </w:r>
      <w:r w:rsidR="008B1044">
        <w:t>912DAA.</w:t>
      </w:r>
    </w:p>
    <w:p w:rsidR="00982DA6" w:rsidRPr="00EF7182" w:rsidRDefault="00406A02" w:rsidP="00EF7182">
      <w:pPr>
        <w:pStyle w:val="Definition"/>
      </w:pPr>
      <w:r w:rsidRPr="00EF7182">
        <w:rPr>
          <w:b/>
          <w:i/>
        </w:rPr>
        <w:t>r</w:t>
      </w:r>
      <w:r w:rsidR="00982DA6" w:rsidRPr="00EF7182">
        <w:rPr>
          <w:b/>
          <w:i/>
        </w:rPr>
        <w:t xml:space="preserve">eportable situation </w:t>
      </w:r>
      <w:r w:rsidR="00982DA6" w:rsidRPr="00EF7182">
        <w:t xml:space="preserve">has the meaning given by </w:t>
      </w:r>
      <w:r w:rsidR="00BE2959" w:rsidRPr="00EF7182">
        <w:t>section</w:t>
      </w:r>
      <w:r w:rsidR="00EF7182" w:rsidRPr="00EF7182">
        <w:t xml:space="preserve"> </w:t>
      </w:r>
      <w:r w:rsidR="008B1044">
        <w:t>912D.</w:t>
      </w:r>
    </w:p>
    <w:p w:rsidR="00406A02" w:rsidRPr="00EF7182" w:rsidRDefault="00FF1CA5" w:rsidP="00EF7182">
      <w:pPr>
        <w:pStyle w:val="ItemHead"/>
      </w:pPr>
      <w:r w:rsidRPr="00EF7182">
        <w:t>3</w:t>
      </w:r>
      <w:r w:rsidR="00406A02" w:rsidRPr="00EF7182">
        <w:t xml:space="preserve">  Before </w:t>
      </w:r>
      <w:r w:rsidR="00BE2959" w:rsidRPr="00EF7182">
        <w:t>section</w:t>
      </w:r>
      <w:r w:rsidR="00EF7182" w:rsidRPr="00EF7182">
        <w:t> </w:t>
      </w:r>
      <w:r w:rsidR="00BE2959" w:rsidRPr="00EF7182">
        <w:t>9</w:t>
      </w:r>
      <w:r w:rsidR="00406A02" w:rsidRPr="00EF7182">
        <w:t>12A</w:t>
      </w:r>
    </w:p>
    <w:p w:rsidR="00406A02" w:rsidRPr="00EF7182" w:rsidRDefault="00406A02" w:rsidP="00EF7182">
      <w:pPr>
        <w:pStyle w:val="Item"/>
      </w:pPr>
      <w:r w:rsidRPr="00EF7182">
        <w:t>Insert:</w:t>
      </w:r>
    </w:p>
    <w:p w:rsidR="006E1753" w:rsidRPr="00EF7182" w:rsidRDefault="00406A02" w:rsidP="00EF7182">
      <w:pPr>
        <w:pStyle w:val="ActHead4"/>
      </w:pPr>
      <w:bookmarkStart w:id="29" w:name="_Toc30410095"/>
      <w:r w:rsidRPr="001A6D2E">
        <w:rPr>
          <w:rStyle w:val="CharSubdNo"/>
        </w:rPr>
        <w:t>Subdivision A</w:t>
      </w:r>
      <w:r w:rsidRPr="00EF7182">
        <w:t>—</w:t>
      </w:r>
      <w:r w:rsidRPr="001A6D2E">
        <w:rPr>
          <w:rStyle w:val="CharSubdText"/>
        </w:rPr>
        <w:t>General obligations</w:t>
      </w:r>
      <w:bookmarkEnd w:id="29"/>
    </w:p>
    <w:p w:rsidR="00A44AAA" w:rsidRPr="00EF7182" w:rsidRDefault="00FF1CA5" w:rsidP="00EF7182">
      <w:pPr>
        <w:pStyle w:val="ItemHead"/>
      </w:pPr>
      <w:r w:rsidRPr="00EF7182">
        <w:t>4</w:t>
      </w:r>
      <w:r w:rsidR="00A44AAA" w:rsidRPr="00EF7182">
        <w:t xml:space="preserve">  Before section</w:t>
      </w:r>
      <w:r w:rsidR="00EF7182" w:rsidRPr="00EF7182">
        <w:t> </w:t>
      </w:r>
      <w:r w:rsidR="00A44AAA" w:rsidRPr="00EF7182">
        <w:t>912C</w:t>
      </w:r>
    </w:p>
    <w:p w:rsidR="00A44AAA" w:rsidRPr="00EF7182" w:rsidRDefault="00A44AAA" w:rsidP="00EF7182">
      <w:pPr>
        <w:pStyle w:val="Item"/>
      </w:pPr>
      <w:r w:rsidRPr="00EF7182">
        <w:t>Insert:</w:t>
      </w:r>
    </w:p>
    <w:p w:rsidR="00A44AAA" w:rsidRPr="00EF7182" w:rsidRDefault="00A44AAA" w:rsidP="00EF7182">
      <w:pPr>
        <w:pStyle w:val="ActHead4"/>
      </w:pPr>
      <w:bookmarkStart w:id="30" w:name="_Toc30410096"/>
      <w:r w:rsidRPr="001A6D2E">
        <w:rPr>
          <w:rStyle w:val="CharSubdNo"/>
        </w:rPr>
        <w:t>Subdivision B</w:t>
      </w:r>
      <w:r w:rsidRPr="00EF7182">
        <w:t>—</w:t>
      </w:r>
      <w:r w:rsidRPr="001A6D2E">
        <w:rPr>
          <w:rStyle w:val="CharSubdText"/>
        </w:rPr>
        <w:t>Providing information and assistance to ASIC</w:t>
      </w:r>
      <w:bookmarkEnd w:id="30"/>
    </w:p>
    <w:p w:rsidR="00973B6B" w:rsidRPr="00EF7182" w:rsidRDefault="00FF1CA5" w:rsidP="00EF7182">
      <w:pPr>
        <w:pStyle w:val="ItemHead"/>
      </w:pPr>
      <w:r w:rsidRPr="00EF7182">
        <w:t>5</w:t>
      </w:r>
      <w:r w:rsidR="00973B6B" w:rsidRPr="00EF7182">
        <w:t xml:space="preserve">  </w:t>
      </w:r>
      <w:r w:rsidR="00BE2959" w:rsidRPr="00EF7182">
        <w:t>Section</w:t>
      </w:r>
      <w:r w:rsidR="00EF7182" w:rsidRPr="00EF7182">
        <w:t> </w:t>
      </w:r>
      <w:r w:rsidR="00BE2959" w:rsidRPr="00EF7182">
        <w:t>9</w:t>
      </w:r>
      <w:r w:rsidR="00973B6B" w:rsidRPr="00EF7182">
        <w:t>12D</w:t>
      </w:r>
    </w:p>
    <w:p w:rsidR="00973B6B" w:rsidRPr="00EF7182" w:rsidRDefault="00973B6B" w:rsidP="00EF7182">
      <w:pPr>
        <w:pStyle w:val="Item"/>
      </w:pPr>
      <w:r w:rsidRPr="00EF7182">
        <w:t>Repeal the section, substitute:</w:t>
      </w:r>
    </w:p>
    <w:p w:rsidR="00973B6B" w:rsidRPr="00EF7182" w:rsidRDefault="008B1044" w:rsidP="00EF7182">
      <w:pPr>
        <w:pStyle w:val="ActHead5"/>
      </w:pPr>
      <w:bookmarkStart w:id="31" w:name="_Toc30410097"/>
      <w:r w:rsidRPr="001A6D2E">
        <w:rPr>
          <w:rStyle w:val="CharSectno"/>
        </w:rPr>
        <w:t>912D</w:t>
      </w:r>
      <w:r w:rsidR="00973B6B" w:rsidRPr="00EF7182">
        <w:t xml:space="preserve">  What are </w:t>
      </w:r>
      <w:r w:rsidR="00973B6B" w:rsidRPr="00EF7182">
        <w:rPr>
          <w:i/>
        </w:rPr>
        <w:t>reportable situations</w:t>
      </w:r>
      <w:r w:rsidR="00973B6B" w:rsidRPr="00EF7182">
        <w:t>?</w:t>
      </w:r>
      <w:bookmarkEnd w:id="31"/>
    </w:p>
    <w:p w:rsidR="00973B6B" w:rsidRPr="00EF7182" w:rsidRDefault="00973B6B" w:rsidP="00EF7182">
      <w:pPr>
        <w:pStyle w:val="subsection"/>
      </w:pPr>
      <w:r w:rsidRPr="00EF7182">
        <w:tab/>
        <w:t>(1)</w:t>
      </w:r>
      <w:r w:rsidRPr="00EF7182">
        <w:tab/>
        <w:t xml:space="preserve">There is a </w:t>
      </w:r>
      <w:r w:rsidRPr="00EF7182">
        <w:rPr>
          <w:b/>
          <w:i/>
        </w:rPr>
        <w:t>reportable situation</w:t>
      </w:r>
      <w:r w:rsidRPr="00EF7182">
        <w:t xml:space="preserve"> in relation to a financial services licensee if:</w:t>
      </w:r>
    </w:p>
    <w:p w:rsidR="00973B6B" w:rsidRPr="00EF7182" w:rsidRDefault="00973B6B" w:rsidP="00EF7182">
      <w:pPr>
        <w:pStyle w:val="paragraph"/>
      </w:pPr>
      <w:r w:rsidRPr="00EF7182">
        <w:tab/>
        <w:t>(a)</w:t>
      </w:r>
      <w:r w:rsidRPr="00EF7182">
        <w:tab/>
        <w:t>one of the following is satisfied:</w:t>
      </w:r>
    </w:p>
    <w:p w:rsidR="00973B6B" w:rsidRPr="00EF7182" w:rsidRDefault="00973B6B" w:rsidP="00EF7182">
      <w:pPr>
        <w:pStyle w:val="paragraphsub"/>
      </w:pPr>
      <w:r w:rsidRPr="00EF7182">
        <w:tab/>
        <w:t>(i)</w:t>
      </w:r>
      <w:r w:rsidRPr="00EF7182">
        <w:tab/>
        <w:t>the financial services licensee or a representative of the financial services licensee has breached a core obligation;</w:t>
      </w:r>
    </w:p>
    <w:p w:rsidR="00973B6B" w:rsidRPr="00EF7182" w:rsidRDefault="00973B6B" w:rsidP="00EF7182">
      <w:pPr>
        <w:pStyle w:val="paragraphsub"/>
      </w:pPr>
      <w:r w:rsidRPr="00EF7182">
        <w:tab/>
        <w:t>(ii)</w:t>
      </w:r>
      <w:r w:rsidRPr="00EF7182">
        <w:tab/>
        <w:t>the financial services licensee or a representative of the financial services licensee</w:t>
      </w:r>
      <w:r w:rsidRPr="00EF7182">
        <w:rPr>
          <w:i/>
        </w:rPr>
        <w:t xml:space="preserve"> </w:t>
      </w:r>
      <w:r w:rsidRPr="00EF7182">
        <w:t>is likely to breach a core obligation;</w:t>
      </w:r>
    </w:p>
    <w:p w:rsidR="00973B6B" w:rsidRPr="00EF7182" w:rsidRDefault="00973B6B" w:rsidP="00EF7182">
      <w:pPr>
        <w:pStyle w:val="paragraphsub"/>
      </w:pPr>
      <w:r w:rsidRPr="00EF7182">
        <w:tab/>
        <w:t>(iii)</w:t>
      </w:r>
      <w:r w:rsidRPr="00EF7182">
        <w:tab/>
        <w:t>the financial services licensee has commenced an investigation into whether the financial services licensee or a representative of the financial services licensee has breached a core obligation; and</w:t>
      </w:r>
    </w:p>
    <w:p w:rsidR="00973B6B" w:rsidRPr="00EF7182" w:rsidRDefault="00973B6B" w:rsidP="00EF7182">
      <w:pPr>
        <w:pStyle w:val="paragraph"/>
      </w:pPr>
      <w:r w:rsidRPr="00EF7182">
        <w:tab/>
        <w:t>(b)</w:t>
      </w:r>
      <w:r w:rsidRPr="00EF7182">
        <w:tab/>
        <w:t>the breach or likely breach is significant</w:t>
      </w:r>
      <w:r w:rsidR="008B1044">
        <w:t>.</w:t>
      </w:r>
    </w:p>
    <w:p w:rsidR="0052500B" w:rsidRPr="00EF7182" w:rsidRDefault="0052500B" w:rsidP="00EF7182">
      <w:pPr>
        <w:pStyle w:val="subsection"/>
      </w:pPr>
      <w:r w:rsidRPr="00EF7182">
        <w:tab/>
        <w:t>(2)</w:t>
      </w:r>
      <w:r w:rsidRPr="00EF7182">
        <w:tab/>
        <w:t xml:space="preserve">There is also a </w:t>
      </w:r>
      <w:r w:rsidRPr="00EF7182">
        <w:rPr>
          <w:b/>
          <w:i/>
        </w:rPr>
        <w:t>reportable situation</w:t>
      </w:r>
      <w:r w:rsidRPr="00EF7182">
        <w:t xml:space="preserve"> in relation to a financial services licensee if:</w:t>
      </w:r>
    </w:p>
    <w:p w:rsidR="0052500B" w:rsidRPr="00EF7182" w:rsidRDefault="0052500B" w:rsidP="00EF7182">
      <w:pPr>
        <w:pStyle w:val="paragraph"/>
      </w:pPr>
      <w:r w:rsidRPr="00EF7182">
        <w:tab/>
        <w:t>(a)</w:t>
      </w:r>
      <w:r w:rsidRPr="00EF7182">
        <w:tab/>
        <w:t>in the course of providing a financial service, the financial services licensee or a representative of the financial services licensee has engag</w:t>
      </w:r>
      <w:bookmarkStart w:id="32" w:name="BK_S1P3L8C19"/>
      <w:bookmarkStart w:id="33" w:name="BK_S1P3L10C19"/>
      <w:bookmarkEnd w:id="32"/>
      <w:bookmarkEnd w:id="33"/>
      <w:r w:rsidRPr="00EF7182">
        <w:t>ed in conduct constituting gross negligence; or</w:t>
      </w:r>
    </w:p>
    <w:p w:rsidR="0052500B" w:rsidRPr="00EF7182" w:rsidRDefault="0052500B" w:rsidP="00EF7182">
      <w:pPr>
        <w:pStyle w:val="paragraph"/>
      </w:pPr>
      <w:r w:rsidRPr="00EF7182">
        <w:tab/>
        <w:t>(b)</w:t>
      </w:r>
      <w:r w:rsidRPr="00EF7182">
        <w:tab/>
        <w:t>the financial services licensee or a representative of the financial services licensee has committed serious fraud; or</w:t>
      </w:r>
    </w:p>
    <w:p w:rsidR="0052500B" w:rsidRPr="00EF7182" w:rsidRDefault="0052500B" w:rsidP="00EF7182">
      <w:pPr>
        <w:pStyle w:val="paragraph"/>
      </w:pPr>
      <w:r w:rsidRPr="00EF7182">
        <w:tab/>
        <w:t>(c)</w:t>
      </w:r>
      <w:r w:rsidRPr="00EF7182">
        <w:tab/>
        <w:t>any other circumstances prescribed by the regulation</w:t>
      </w:r>
      <w:bookmarkStart w:id="34" w:name="BK_S1P3L12C58"/>
      <w:bookmarkStart w:id="35" w:name="BK_S1P3L14C58"/>
      <w:bookmarkEnd w:id="34"/>
      <w:bookmarkEnd w:id="35"/>
      <w:r w:rsidRPr="00EF7182">
        <w:t>s for the purposes of this paragraph exist</w:t>
      </w:r>
      <w:r w:rsidR="008B1044">
        <w:t>.</w:t>
      </w:r>
    </w:p>
    <w:p w:rsidR="0052500B" w:rsidRPr="00EF7182" w:rsidRDefault="0052500B" w:rsidP="00EF7182">
      <w:pPr>
        <w:pStyle w:val="subsection"/>
      </w:pPr>
      <w:r w:rsidRPr="00EF7182">
        <w:tab/>
        <w:t>(3)</w:t>
      </w:r>
      <w:r w:rsidRPr="00EF7182">
        <w:tab/>
        <w:t xml:space="preserve">Each of the following is a </w:t>
      </w:r>
      <w:r w:rsidRPr="00EF7182">
        <w:rPr>
          <w:b/>
          <w:i/>
        </w:rPr>
        <w:t>core obligation</w:t>
      </w:r>
      <w:r w:rsidRPr="00EF7182">
        <w:t>:</w:t>
      </w:r>
    </w:p>
    <w:p w:rsidR="0052500B" w:rsidRPr="00EF7182" w:rsidRDefault="0052500B" w:rsidP="00EF7182">
      <w:pPr>
        <w:pStyle w:val="paragraph"/>
      </w:pPr>
      <w:r w:rsidRPr="00EF7182">
        <w:tab/>
        <w:t>(a)</w:t>
      </w:r>
      <w:r w:rsidRPr="00EF7182">
        <w:tab/>
        <w:t xml:space="preserve">an obligation under </w:t>
      </w:r>
      <w:r w:rsidR="00BE2959" w:rsidRPr="00EF7182">
        <w:t>section</w:t>
      </w:r>
      <w:r w:rsidR="00EF7182" w:rsidRPr="00EF7182">
        <w:t> </w:t>
      </w:r>
      <w:r w:rsidR="00BE2959" w:rsidRPr="00EF7182">
        <w:t>9</w:t>
      </w:r>
      <w:r w:rsidRPr="00EF7182">
        <w:t>12A or 912B, other than the obligation under paragraph</w:t>
      </w:r>
      <w:r w:rsidR="00EF7182" w:rsidRPr="00EF7182">
        <w:t> </w:t>
      </w:r>
      <w:r w:rsidRPr="00EF7182">
        <w:t>912A(1)(c);</w:t>
      </w:r>
    </w:p>
    <w:p w:rsidR="0052500B" w:rsidRPr="00EF7182" w:rsidRDefault="0052500B" w:rsidP="00EF7182">
      <w:pPr>
        <w:pStyle w:val="paragraph"/>
      </w:pPr>
      <w:r w:rsidRPr="00EF7182">
        <w:tab/>
        <w:t>(b)</w:t>
      </w:r>
      <w:r w:rsidRPr="00EF7182">
        <w:tab/>
        <w:t>the obligation under paragraph</w:t>
      </w:r>
      <w:r w:rsidR="00EF7182" w:rsidRPr="00EF7182">
        <w:t> </w:t>
      </w:r>
      <w:r w:rsidRPr="00EF7182">
        <w:t xml:space="preserve">912A(1)(c), so far as it relates to provisions of this Act or the ASIC Act referred to in </w:t>
      </w:r>
      <w:r w:rsidR="00EF7182" w:rsidRPr="00EF7182">
        <w:t>paragraphs (</w:t>
      </w:r>
      <w:r w:rsidRPr="00EF7182">
        <w:t xml:space="preserve">a), (b), (ba) and (c) of the definition of </w:t>
      </w:r>
      <w:r w:rsidRPr="00EF7182">
        <w:rPr>
          <w:b/>
          <w:i/>
        </w:rPr>
        <w:t>financial services law</w:t>
      </w:r>
      <w:r w:rsidRPr="00EF7182">
        <w:t xml:space="preserve"> in section</w:t>
      </w:r>
      <w:r w:rsidR="00EF7182" w:rsidRPr="00EF7182">
        <w:t> </w:t>
      </w:r>
      <w:r w:rsidRPr="00EF7182">
        <w:t>761A;</w:t>
      </w:r>
    </w:p>
    <w:p w:rsidR="0052500B" w:rsidRPr="00EF7182" w:rsidRDefault="0052500B" w:rsidP="00EF7182">
      <w:pPr>
        <w:pStyle w:val="paragraph"/>
      </w:pPr>
      <w:r w:rsidRPr="00EF7182">
        <w:tab/>
        <w:t>(c)</w:t>
      </w:r>
      <w:r w:rsidRPr="00EF7182">
        <w:tab/>
        <w:t>in relation to financial services, other than traditional trustee company services provided by a licensed trustee company—the obligation under paragraph</w:t>
      </w:r>
      <w:r w:rsidR="00EF7182" w:rsidRPr="00EF7182">
        <w:t> </w:t>
      </w:r>
      <w:r w:rsidRPr="00EF7182">
        <w:t xml:space="preserve">912A(1)(c), so far as it relates to Commonwealth legislation that is covered by </w:t>
      </w:r>
      <w:r w:rsidR="00EF7182" w:rsidRPr="00EF7182">
        <w:t>paragraph (</w:t>
      </w:r>
      <w:r w:rsidRPr="00EF7182">
        <w:t xml:space="preserve">d) of that definition and that is specified in regulations made for </w:t>
      </w:r>
      <w:r w:rsidR="00994010" w:rsidRPr="00EF7182">
        <w:t>the purposes of this paragraph;</w:t>
      </w:r>
    </w:p>
    <w:p w:rsidR="0052500B" w:rsidRPr="00EF7182" w:rsidRDefault="0052500B" w:rsidP="00EF7182">
      <w:pPr>
        <w:pStyle w:val="paragraph"/>
      </w:pPr>
      <w:r w:rsidRPr="00EF7182">
        <w:tab/>
        <w:t>(d)</w:t>
      </w:r>
      <w:r w:rsidRPr="00EF7182">
        <w:tab/>
        <w:t>in relation to traditional trustee company services provided by a licensed trustee company—the obligation under paragraph</w:t>
      </w:r>
      <w:r w:rsidR="00EF7182" w:rsidRPr="00EF7182">
        <w:t> </w:t>
      </w:r>
      <w:r w:rsidRPr="00EF7182">
        <w:t xml:space="preserve">912A(1)(c), so far as it relates to Commonwealth, State or Territory legislation, or a rule of common law or equity, that is covered by </w:t>
      </w:r>
      <w:r w:rsidR="00EF7182" w:rsidRPr="00EF7182">
        <w:t>paragraph (</w:t>
      </w:r>
      <w:r w:rsidRPr="00EF7182">
        <w:t>d) or (e) of that definition;</w:t>
      </w:r>
    </w:p>
    <w:p w:rsidR="0052500B" w:rsidRPr="00EF7182" w:rsidRDefault="0052500B" w:rsidP="00EF7182">
      <w:pPr>
        <w:pStyle w:val="paragraph"/>
      </w:pPr>
      <w:r w:rsidRPr="00EF7182">
        <w:tab/>
        <w:t>(e)</w:t>
      </w:r>
      <w:r w:rsidRPr="00EF7182">
        <w:tab/>
        <w:t xml:space="preserve">in relation to a financial services licensee that is a responsible entity of a registered scheme—an obligation under </w:t>
      </w:r>
      <w:r w:rsidR="00BE2959" w:rsidRPr="00EF7182">
        <w:t>section</w:t>
      </w:r>
      <w:r w:rsidR="00EF7182" w:rsidRPr="00EF7182">
        <w:t> </w:t>
      </w:r>
      <w:r w:rsidR="00BE2959" w:rsidRPr="00EF7182">
        <w:t>6</w:t>
      </w:r>
      <w:r w:rsidRPr="00EF7182">
        <w:t>01FC, 601FD or 601FE</w:t>
      </w:r>
      <w:r w:rsidR="008B1044">
        <w:t>.</w:t>
      </w:r>
    </w:p>
    <w:p w:rsidR="0052500B" w:rsidRPr="00EF7182" w:rsidRDefault="0052500B" w:rsidP="00EF7182">
      <w:pPr>
        <w:pStyle w:val="subsection"/>
      </w:pPr>
      <w:r w:rsidRPr="00EF7182">
        <w:tab/>
        <w:t>(4)</w:t>
      </w:r>
      <w:r w:rsidRPr="00EF7182">
        <w:tab/>
        <w:t xml:space="preserve">For the purposes of this section, a person is </w:t>
      </w:r>
      <w:r w:rsidRPr="00EF7182">
        <w:rPr>
          <w:b/>
          <w:i/>
        </w:rPr>
        <w:t>likely to breach</w:t>
      </w:r>
      <w:r w:rsidRPr="00EF7182">
        <w:t xml:space="preserve"> a core obligation if, and only if, the person is no longer able to comply with the obligation</w:t>
      </w:r>
      <w:r w:rsidR="008B1044">
        <w:t>.</w:t>
      </w:r>
    </w:p>
    <w:p w:rsidR="0052500B" w:rsidRPr="00EF7182" w:rsidRDefault="0052500B" w:rsidP="00EF7182">
      <w:pPr>
        <w:pStyle w:val="subsection"/>
      </w:pPr>
      <w:r w:rsidRPr="00EF7182">
        <w:tab/>
        <w:t>(5)</w:t>
      </w:r>
      <w:r w:rsidRPr="00EF7182">
        <w:tab/>
        <w:t xml:space="preserve">For the purposes of this section, a breach or likely breach of a core obligation is taken to be </w:t>
      </w:r>
      <w:r w:rsidRPr="00EF7182">
        <w:rPr>
          <w:b/>
          <w:i/>
        </w:rPr>
        <w:t xml:space="preserve">significant </w:t>
      </w:r>
      <w:r w:rsidRPr="00EF7182">
        <w:t>if:</w:t>
      </w:r>
    </w:p>
    <w:p w:rsidR="0052500B" w:rsidRPr="00EF7182" w:rsidRDefault="0052500B" w:rsidP="00EF7182">
      <w:pPr>
        <w:pStyle w:val="paragraph"/>
      </w:pPr>
      <w:r w:rsidRPr="00EF7182">
        <w:tab/>
        <w:t>(a)</w:t>
      </w:r>
      <w:r w:rsidRPr="00EF7182">
        <w:tab/>
        <w:t>the breach is punishable on conviction by a penalty that may include imprisonment for a maximum period of:</w:t>
      </w:r>
    </w:p>
    <w:p w:rsidR="0052500B" w:rsidRPr="00EF7182" w:rsidRDefault="0052500B" w:rsidP="00EF7182">
      <w:pPr>
        <w:pStyle w:val="paragraphsub"/>
      </w:pPr>
      <w:r w:rsidRPr="00EF7182">
        <w:tab/>
        <w:t>(i)</w:t>
      </w:r>
      <w:r w:rsidRPr="00EF7182">
        <w:tab/>
        <w:t>if the offence involves dishonesty—3 months or more; or</w:t>
      </w:r>
    </w:p>
    <w:p w:rsidR="0052500B" w:rsidRPr="00EF7182" w:rsidRDefault="0052500B" w:rsidP="00EF7182">
      <w:pPr>
        <w:pStyle w:val="paragraphsub"/>
      </w:pPr>
      <w:r w:rsidRPr="00EF7182">
        <w:tab/>
        <w:t>(ii)</w:t>
      </w:r>
      <w:r w:rsidRPr="00EF7182">
        <w:tab/>
        <w:t>in any other case—12 months or more; or</w:t>
      </w:r>
    </w:p>
    <w:p w:rsidR="0052500B" w:rsidRPr="00EF7182" w:rsidRDefault="0052500B" w:rsidP="00EF7182">
      <w:pPr>
        <w:pStyle w:val="paragraph"/>
      </w:pPr>
      <w:r w:rsidRPr="00EF7182">
        <w:tab/>
        <w:t>(b)</w:t>
      </w:r>
      <w:r w:rsidRPr="00EF7182">
        <w:tab/>
        <w:t>the breach constitutes a contravention of a civil penalty provision; or</w:t>
      </w:r>
    </w:p>
    <w:p w:rsidR="0052500B" w:rsidRPr="00EF7182" w:rsidRDefault="0052500B" w:rsidP="00EF7182">
      <w:pPr>
        <w:pStyle w:val="paragraph"/>
      </w:pPr>
      <w:r w:rsidRPr="00EF7182">
        <w:tab/>
        <w:t>(c)</w:t>
      </w:r>
      <w:r w:rsidRPr="00EF7182">
        <w:tab/>
        <w:t xml:space="preserve">the breach results, or is likely to result, in </w:t>
      </w:r>
      <w:r w:rsidR="001026C1">
        <w:t>loss or damage</w:t>
      </w:r>
      <w:r w:rsidRPr="00EF7182">
        <w:t xml:space="preserve"> to clients or, in the case of a managed investment scheme, members of the scheme; or</w:t>
      </w:r>
    </w:p>
    <w:p w:rsidR="0052500B" w:rsidRPr="00EF7182" w:rsidRDefault="0052500B" w:rsidP="00EF7182">
      <w:pPr>
        <w:pStyle w:val="paragraph"/>
      </w:pPr>
      <w:r w:rsidRPr="00EF7182">
        <w:tab/>
        <w:t>(d)</w:t>
      </w:r>
      <w:r w:rsidRPr="00EF7182">
        <w:tab/>
        <w:t>any other circumstances prescribed by the regulations for the purposes of this paragraph exist</w:t>
      </w:r>
      <w:r w:rsidR="008B1044">
        <w:t>.</w:t>
      </w:r>
    </w:p>
    <w:p w:rsidR="0052500B" w:rsidRPr="00EF7182" w:rsidRDefault="0052500B" w:rsidP="00EF7182">
      <w:pPr>
        <w:pStyle w:val="subsection"/>
      </w:pPr>
      <w:r w:rsidRPr="00EF7182">
        <w:tab/>
        <w:t>(6)</w:t>
      </w:r>
      <w:r w:rsidRPr="00EF7182">
        <w:tab/>
        <w:t xml:space="preserve">Otherwise, for the purposes of this section, a breach or likely breach of a core obligation is </w:t>
      </w:r>
      <w:r w:rsidRPr="00EF7182">
        <w:rPr>
          <w:b/>
          <w:i/>
        </w:rPr>
        <w:t>significant</w:t>
      </w:r>
      <w:r w:rsidRPr="00EF7182">
        <w:t xml:space="preserve"> having regard to the following:</w:t>
      </w:r>
    </w:p>
    <w:p w:rsidR="0052500B" w:rsidRPr="00EF7182" w:rsidRDefault="0052500B" w:rsidP="00EF7182">
      <w:pPr>
        <w:pStyle w:val="paragraph"/>
      </w:pPr>
      <w:r w:rsidRPr="00EF7182">
        <w:tab/>
        <w:t>(a)</w:t>
      </w:r>
      <w:r w:rsidRPr="00EF7182">
        <w:tab/>
        <w:t>the number or frequency of similar previous breaches;</w:t>
      </w:r>
    </w:p>
    <w:p w:rsidR="0052500B" w:rsidRPr="00EF7182" w:rsidRDefault="0052500B" w:rsidP="00EF7182">
      <w:pPr>
        <w:pStyle w:val="paragraph"/>
      </w:pPr>
      <w:r w:rsidRPr="00EF7182">
        <w:tab/>
        <w:t>(b)</w:t>
      </w:r>
      <w:r w:rsidRPr="00EF7182">
        <w:tab/>
        <w:t xml:space="preserve">the impact of the breach or likely breach on the </w:t>
      </w:r>
      <w:r w:rsidR="009606C9" w:rsidRPr="00EF7182">
        <w:t xml:space="preserve">financial services </w:t>
      </w:r>
      <w:r w:rsidRPr="00EF7182">
        <w:t>licensee’s ability to provide financial services covered by the licence;</w:t>
      </w:r>
    </w:p>
    <w:p w:rsidR="0052500B" w:rsidRPr="00EF7182" w:rsidRDefault="0052500B" w:rsidP="00EF7182">
      <w:pPr>
        <w:pStyle w:val="paragraph"/>
      </w:pPr>
      <w:r w:rsidRPr="00EF7182">
        <w:tab/>
        <w:t>(c)</w:t>
      </w:r>
      <w:r w:rsidRPr="00EF7182">
        <w:tab/>
        <w:t xml:space="preserve">the extent to which the breach or likely breach indicates that the </w:t>
      </w:r>
      <w:r w:rsidR="009606C9" w:rsidRPr="00EF7182">
        <w:t xml:space="preserve">financial services </w:t>
      </w:r>
      <w:r w:rsidRPr="00EF7182">
        <w:t>licensee’s arrangements to ensure comp</w:t>
      </w:r>
      <w:r w:rsidR="00AA04BF" w:rsidRPr="00EF7182">
        <w:t>liance with those obligations are</w:t>
      </w:r>
      <w:r w:rsidRPr="00EF7182">
        <w:t xml:space="preserve"> inadequate;</w:t>
      </w:r>
    </w:p>
    <w:p w:rsidR="0052500B" w:rsidRPr="00EF7182" w:rsidRDefault="0052500B" w:rsidP="00EF7182">
      <w:pPr>
        <w:pStyle w:val="paragraph"/>
      </w:pPr>
      <w:r w:rsidRPr="00EF7182">
        <w:tab/>
        <w:t>(d)</w:t>
      </w:r>
      <w:r w:rsidRPr="00EF7182">
        <w:tab/>
        <w:t>any other matters prescribed by regulations made for the purposes of this paragraph</w:t>
      </w:r>
      <w:r w:rsidR="008B1044">
        <w:t>.</w:t>
      </w:r>
    </w:p>
    <w:p w:rsidR="0052500B" w:rsidRPr="00EF7182" w:rsidRDefault="008B1044" w:rsidP="00EF7182">
      <w:pPr>
        <w:pStyle w:val="ActHead5"/>
        <w:rPr>
          <w:b w:val="0"/>
        </w:rPr>
      </w:pPr>
      <w:bookmarkStart w:id="36" w:name="_Toc30410098"/>
      <w:r w:rsidRPr="001A6D2E">
        <w:rPr>
          <w:rStyle w:val="CharSectno"/>
        </w:rPr>
        <w:t>912DAA</w:t>
      </w:r>
      <w:r w:rsidR="0052500B" w:rsidRPr="00EF7182">
        <w:t xml:space="preserve">  When does a person </w:t>
      </w:r>
      <w:r w:rsidR="0052500B" w:rsidRPr="00EF7182">
        <w:rPr>
          <w:i/>
        </w:rPr>
        <w:t>reasonably know</w:t>
      </w:r>
      <w:r w:rsidR="0052500B" w:rsidRPr="00EF7182">
        <w:rPr>
          <w:b w:val="0"/>
        </w:rPr>
        <w:t xml:space="preserve"> </w:t>
      </w:r>
      <w:r w:rsidR="0052500B" w:rsidRPr="00EF7182">
        <w:t>of a circumstance</w:t>
      </w:r>
      <w:r w:rsidR="00AA04BF" w:rsidRPr="00EF7182">
        <w:t>?</w:t>
      </w:r>
      <w:bookmarkEnd w:id="36"/>
    </w:p>
    <w:p w:rsidR="0052500B" w:rsidRPr="00EF7182" w:rsidRDefault="0052500B" w:rsidP="00EF7182">
      <w:pPr>
        <w:pStyle w:val="subsection"/>
      </w:pPr>
      <w:r w:rsidRPr="00EF7182">
        <w:tab/>
        <w:t>(1)</w:t>
      </w:r>
      <w:r w:rsidRPr="00EF7182">
        <w:tab/>
      </w:r>
      <w:r w:rsidR="00AB4066">
        <w:t>In this Part, a</w:t>
      </w:r>
      <w:r w:rsidRPr="00EF7182">
        <w:t xml:space="preserve"> person </w:t>
      </w:r>
      <w:r w:rsidRPr="00EF7182">
        <w:rPr>
          <w:b/>
          <w:i/>
        </w:rPr>
        <w:t>reasonably knows</w:t>
      </w:r>
      <w:r w:rsidRPr="00EF7182">
        <w:t xml:space="preserve"> of a circumstance if:</w:t>
      </w:r>
    </w:p>
    <w:p w:rsidR="0052500B" w:rsidRPr="00EF7182" w:rsidRDefault="0052500B" w:rsidP="00EF7182">
      <w:pPr>
        <w:pStyle w:val="paragraph"/>
      </w:pPr>
      <w:r w:rsidRPr="00EF7182">
        <w:tab/>
        <w:t>(a)</w:t>
      </w:r>
      <w:r w:rsidRPr="00EF7182">
        <w:tab/>
        <w:t>the person is aware that the circumstance exists or will exist in the ordinary course of events; or</w:t>
      </w:r>
    </w:p>
    <w:p w:rsidR="0052500B" w:rsidRPr="00EF7182" w:rsidRDefault="0052500B" w:rsidP="00EF7182">
      <w:pPr>
        <w:pStyle w:val="paragraph"/>
      </w:pPr>
      <w:r w:rsidRPr="00EF7182">
        <w:tab/>
        <w:t>(b)</w:t>
      </w:r>
      <w:r w:rsidRPr="00EF7182">
        <w:tab/>
        <w:t>each of the following is satisfied:</w:t>
      </w:r>
    </w:p>
    <w:p w:rsidR="0052500B" w:rsidRPr="00EF7182" w:rsidRDefault="0052500B" w:rsidP="00EF7182">
      <w:pPr>
        <w:pStyle w:val="paragraphsub"/>
      </w:pPr>
      <w:r w:rsidRPr="00EF7182">
        <w:tab/>
        <w:t>(i)</w:t>
      </w:r>
      <w:r w:rsidRPr="00EF7182">
        <w:tab/>
        <w:t>the person is aware of a substantial risk that the circumstance exists or will exist;</w:t>
      </w:r>
    </w:p>
    <w:p w:rsidR="0052500B" w:rsidRPr="00EF7182" w:rsidRDefault="0052500B" w:rsidP="00EF7182">
      <w:pPr>
        <w:pStyle w:val="paragraphsub"/>
      </w:pPr>
      <w:r w:rsidRPr="00EF7182">
        <w:tab/>
        <w:t>(ii)</w:t>
      </w:r>
      <w:r w:rsidRPr="00EF7182">
        <w:tab/>
        <w:t>having regard to the circumstances known to the person, it is unjustifiable to take the risk</w:t>
      </w:r>
      <w:r w:rsidR="008B1044">
        <w:t>.</w:t>
      </w:r>
    </w:p>
    <w:p w:rsidR="0052500B" w:rsidRPr="00EF7182" w:rsidRDefault="0052500B" w:rsidP="00EF7182">
      <w:pPr>
        <w:pStyle w:val="subsection"/>
      </w:pPr>
      <w:r w:rsidRPr="00EF7182">
        <w:tab/>
        <w:t>(2)</w:t>
      </w:r>
      <w:r w:rsidRPr="00EF7182">
        <w:tab/>
        <w:t xml:space="preserve">In </w:t>
      </w:r>
      <w:r w:rsidR="00EF7182" w:rsidRPr="00EF7182">
        <w:t>subsection (</w:t>
      </w:r>
      <w:r w:rsidRPr="00EF7182">
        <w:t>1), the question whether taking a risk is unjustifiable is one of fact</w:t>
      </w:r>
      <w:r w:rsidR="008B1044">
        <w:t>.</w:t>
      </w:r>
    </w:p>
    <w:p w:rsidR="0052500B" w:rsidRPr="00EF7182" w:rsidRDefault="008B1044" w:rsidP="00EF7182">
      <w:pPr>
        <w:pStyle w:val="ActHead5"/>
      </w:pPr>
      <w:bookmarkStart w:id="37" w:name="_Toc30410099"/>
      <w:r w:rsidRPr="001A6D2E">
        <w:rPr>
          <w:rStyle w:val="CharSectno"/>
        </w:rPr>
        <w:t>912DAB</w:t>
      </w:r>
      <w:r w:rsidR="0052500B" w:rsidRPr="00EF7182">
        <w:t xml:space="preserve">  Obligation to lodge a report—reportable situations in relation to the financial services licensee</w:t>
      </w:r>
      <w:bookmarkEnd w:id="37"/>
    </w:p>
    <w:p w:rsidR="0052500B" w:rsidRPr="00EF7182" w:rsidRDefault="0052500B" w:rsidP="00EF7182">
      <w:pPr>
        <w:pStyle w:val="SubsectionHead"/>
      </w:pPr>
      <w:r w:rsidRPr="00EF7182">
        <w:t>Reporting a reportable situation</w:t>
      </w:r>
      <w:r w:rsidR="00A44AAA" w:rsidRPr="00EF7182">
        <w:t xml:space="preserve"> to ASIC</w:t>
      </w:r>
    </w:p>
    <w:p w:rsidR="0052500B" w:rsidRPr="00EF7182" w:rsidRDefault="0052500B" w:rsidP="00EF7182">
      <w:pPr>
        <w:pStyle w:val="subsection"/>
      </w:pPr>
      <w:r w:rsidRPr="00EF7182">
        <w:tab/>
        <w:t>(1)</w:t>
      </w:r>
      <w:r w:rsidRPr="00EF7182">
        <w:tab/>
        <w:t>A financial services licensee must lodge a report with ASIC in accordance with this section if there are reason</w:t>
      </w:r>
      <w:bookmarkStart w:id="38" w:name="BK_S1P5L7C49"/>
      <w:bookmarkStart w:id="39" w:name="BK_S1P5L9C49"/>
      <w:bookmarkEnd w:id="38"/>
      <w:bookmarkEnd w:id="39"/>
      <w:r w:rsidRPr="00EF7182">
        <w:t>able grounds to believe that a reportable situation has arisen in relation to the financial services licensee</w:t>
      </w:r>
      <w:r w:rsidR="008B1044">
        <w:t>.</w:t>
      </w:r>
    </w:p>
    <w:p w:rsidR="0052500B" w:rsidRPr="00EF7182" w:rsidRDefault="0052500B" w:rsidP="00EF7182">
      <w:pPr>
        <w:pStyle w:val="notetext"/>
      </w:pPr>
      <w:r w:rsidRPr="00EF7182">
        <w:t>Note:</w:t>
      </w:r>
      <w:r w:rsidRPr="00EF7182">
        <w:tab/>
        <w:t>Failure to comply with this subsection is an offence (see subsection</w:t>
      </w:r>
      <w:r w:rsidR="00EF7182" w:rsidRPr="00EF7182">
        <w:t> </w:t>
      </w:r>
      <w:r w:rsidRPr="00EF7182">
        <w:t>1311(1))</w:t>
      </w:r>
      <w:r w:rsidR="008B1044">
        <w:t>.</w:t>
      </w:r>
    </w:p>
    <w:p w:rsidR="0052500B" w:rsidRPr="00EF7182" w:rsidRDefault="0052500B" w:rsidP="00EF7182">
      <w:pPr>
        <w:pStyle w:val="SubsectionHead"/>
      </w:pPr>
      <w:r w:rsidRPr="00EF7182">
        <w:t>Reporting the outcome of an investigation</w:t>
      </w:r>
      <w:r w:rsidR="00A44AAA" w:rsidRPr="00EF7182">
        <w:t xml:space="preserve"> to ASIC</w:t>
      </w:r>
    </w:p>
    <w:p w:rsidR="0052500B" w:rsidRPr="00EF7182" w:rsidRDefault="0052500B" w:rsidP="00EF7182">
      <w:pPr>
        <w:pStyle w:val="subsection"/>
      </w:pPr>
      <w:r w:rsidRPr="00EF7182">
        <w:tab/>
        <w:t>(2)</w:t>
      </w:r>
      <w:r w:rsidRPr="00EF7182">
        <w:tab/>
        <w:t>A financial services licensee must lodge a report with ASIC in accordance with this section if:</w:t>
      </w:r>
    </w:p>
    <w:p w:rsidR="0052500B" w:rsidRPr="00EF7182" w:rsidRDefault="0052500B" w:rsidP="00EF7182">
      <w:pPr>
        <w:pStyle w:val="paragraph"/>
      </w:pPr>
      <w:r w:rsidRPr="00EF7182">
        <w:tab/>
        <w:t>(a)</w:t>
      </w:r>
      <w:r w:rsidRPr="00EF7182">
        <w:tab/>
        <w:t>the financial services licensee has commenced an investigation into whether the financial services licensee or a representative of the financial services licensee has breached a core obligation; and</w:t>
      </w:r>
    </w:p>
    <w:p w:rsidR="0052500B" w:rsidRPr="00EF7182" w:rsidRDefault="0052500B" w:rsidP="00EF7182">
      <w:pPr>
        <w:pStyle w:val="paragraph"/>
      </w:pPr>
      <w:r w:rsidRPr="00EF7182">
        <w:tab/>
        <w:t>(b)</w:t>
      </w:r>
      <w:r w:rsidRPr="00EF7182">
        <w:tab/>
        <w:t xml:space="preserve">the financial services licensee is obliged under </w:t>
      </w:r>
      <w:r w:rsidR="00EF7182" w:rsidRPr="00EF7182">
        <w:t>subsection (</w:t>
      </w:r>
      <w:r w:rsidRPr="00EF7182">
        <w:t>1) to report the investigation; and</w:t>
      </w:r>
    </w:p>
    <w:p w:rsidR="0052500B" w:rsidRPr="00EF7182" w:rsidRDefault="0052500B" w:rsidP="00EF7182">
      <w:pPr>
        <w:pStyle w:val="paragraph"/>
      </w:pPr>
      <w:r w:rsidRPr="00EF7182">
        <w:tab/>
        <w:t>(c)</w:t>
      </w:r>
      <w:r w:rsidRPr="00EF7182">
        <w:tab/>
        <w:t>the investigation discloses no reasonable grounds to believe that the financial services licensee or a representative of the financial services licensee has breached the core obligation</w:t>
      </w:r>
      <w:r w:rsidR="008B1044">
        <w:t>.</w:t>
      </w:r>
    </w:p>
    <w:p w:rsidR="0052500B" w:rsidRPr="00EF7182" w:rsidRDefault="0052500B" w:rsidP="00EF7182">
      <w:pPr>
        <w:pStyle w:val="notetext"/>
      </w:pPr>
      <w:r w:rsidRPr="00EF7182">
        <w:t>Note:</w:t>
      </w:r>
      <w:r w:rsidRPr="00EF7182">
        <w:tab/>
        <w:t>Failure to comply with this subsection is an offence (see subsection</w:t>
      </w:r>
      <w:r w:rsidR="00EF7182" w:rsidRPr="00EF7182">
        <w:t> </w:t>
      </w:r>
      <w:r w:rsidRPr="00EF7182">
        <w:t>1311(1))</w:t>
      </w:r>
      <w:r w:rsidR="008B1044">
        <w:t>.</w:t>
      </w:r>
    </w:p>
    <w:p w:rsidR="0052500B" w:rsidRPr="00EF7182" w:rsidRDefault="0052500B" w:rsidP="00EF7182">
      <w:pPr>
        <w:pStyle w:val="SubsectionHead"/>
      </w:pPr>
      <w:r w:rsidRPr="00EF7182">
        <w:t>Report must be in the prescribed form</w:t>
      </w:r>
      <w:bookmarkStart w:id="40" w:name="BK_S1P5L26C38"/>
      <w:bookmarkStart w:id="41" w:name="BK_S1P5L28C38"/>
      <w:bookmarkEnd w:id="40"/>
      <w:bookmarkEnd w:id="41"/>
    </w:p>
    <w:p w:rsidR="0052500B" w:rsidRPr="00EF7182" w:rsidRDefault="0052500B" w:rsidP="00EF7182">
      <w:pPr>
        <w:pStyle w:val="subsection"/>
      </w:pPr>
      <w:r w:rsidRPr="00EF7182">
        <w:tab/>
        <w:t>(3)</w:t>
      </w:r>
      <w:r w:rsidRPr="00EF7182">
        <w:tab/>
        <w:t xml:space="preserve">A report under this section must be lodged </w:t>
      </w:r>
      <w:r w:rsidR="00177FC7" w:rsidRPr="00EF7182">
        <w:t xml:space="preserve">with ASIC </w:t>
      </w:r>
      <w:r w:rsidRPr="00EF7182">
        <w:t>in writi</w:t>
      </w:r>
      <w:bookmarkStart w:id="42" w:name="BK_S1P5L27C67"/>
      <w:bookmarkStart w:id="43" w:name="BK_S1P5L29C67"/>
      <w:bookmarkEnd w:id="42"/>
      <w:bookmarkEnd w:id="43"/>
      <w:r w:rsidRPr="00EF7182">
        <w:t>ng in the prescribed form</w:t>
      </w:r>
      <w:r w:rsidR="008B1044">
        <w:t>.</w:t>
      </w:r>
    </w:p>
    <w:p w:rsidR="0052500B" w:rsidRPr="00EF7182" w:rsidRDefault="0052500B" w:rsidP="00EF7182">
      <w:pPr>
        <w:pStyle w:val="SubsectionHead"/>
      </w:pPr>
      <w:r w:rsidRPr="00EF7182">
        <w:t>Period within which report must be lodged</w:t>
      </w:r>
    </w:p>
    <w:p w:rsidR="0052500B" w:rsidRPr="00EF7182" w:rsidRDefault="0052500B" w:rsidP="00EF7182">
      <w:pPr>
        <w:pStyle w:val="subsection"/>
      </w:pPr>
      <w:r w:rsidRPr="00EF7182">
        <w:tab/>
        <w:t>(4)</w:t>
      </w:r>
      <w:r w:rsidRPr="00EF7182">
        <w:tab/>
        <w:t xml:space="preserve">A report under this section must be lodged </w:t>
      </w:r>
      <w:r w:rsidR="00177FC7" w:rsidRPr="00EF7182">
        <w:t xml:space="preserve">with ASIC </w:t>
      </w:r>
      <w:r w:rsidRPr="00EF7182">
        <w:t xml:space="preserve">within 30 days after the </w:t>
      </w:r>
      <w:r w:rsidR="009606C9" w:rsidRPr="00EF7182">
        <w:t xml:space="preserve">financial services </w:t>
      </w:r>
      <w:r w:rsidRPr="00EF7182">
        <w:t>licensee first reasonably knows that there are reasonable grounds to believe the reportable situation has arisen</w:t>
      </w:r>
      <w:r w:rsidR="008B1044">
        <w:t>.</w:t>
      </w:r>
    </w:p>
    <w:p w:rsidR="0052500B" w:rsidRPr="00EF7182" w:rsidRDefault="0052500B" w:rsidP="00EF7182">
      <w:pPr>
        <w:pStyle w:val="notetext"/>
      </w:pPr>
      <w:r w:rsidRPr="00EF7182">
        <w:t>Note:</w:t>
      </w:r>
      <w:r w:rsidRPr="00EF7182">
        <w:tab/>
      </w:r>
      <w:r w:rsidRPr="00EF7182">
        <w:rPr>
          <w:b/>
          <w:i/>
        </w:rPr>
        <w:t xml:space="preserve">Reasonably knows </w:t>
      </w:r>
      <w:r w:rsidRPr="00EF7182">
        <w:t xml:space="preserve">is defined in </w:t>
      </w:r>
      <w:r w:rsidR="00BE2959" w:rsidRPr="00EF7182">
        <w:t>section</w:t>
      </w:r>
      <w:r w:rsidR="00EF7182" w:rsidRPr="00EF7182">
        <w:t xml:space="preserve"> </w:t>
      </w:r>
      <w:r w:rsidR="008B1044">
        <w:t>912DAA.</w:t>
      </w:r>
    </w:p>
    <w:p w:rsidR="0052500B" w:rsidRPr="00EF7182" w:rsidRDefault="0052500B" w:rsidP="00EF7182">
      <w:pPr>
        <w:pStyle w:val="subsection"/>
      </w:pPr>
      <w:r w:rsidRPr="00EF7182">
        <w:tab/>
        <w:t>(5)</w:t>
      </w:r>
      <w:r w:rsidRPr="00EF7182">
        <w:tab/>
        <w:t>However, if:</w:t>
      </w:r>
    </w:p>
    <w:p w:rsidR="0052500B" w:rsidRPr="00EF7182" w:rsidRDefault="0052500B" w:rsidP="00EF7182">
      <w:pPr>
        <w:pStyle w:val="paragraph"/>
      </w:pPr>
      <w:r w:rsidRPr="00EF7182">
        <w:tab/>
        <w:t>(a)</w:t>
      </w:r>
      <w:r w:rsidRPr="00EF7182">
        <w:tab/>
        <w:t>the financial services licensee has commenced an investigation into whether the financial services licensee or a representative of the financial services licensee has breached a core obligation; and</w:t>
      </w:r>
    </w:p>
    <w:p w:rsidR="0052500B" w:rsidRPr="00EF7182" w:rsidRDefault="0052500B" w:rsidP="00EF7182">
      <w:pPr>
        <w:pStyle w:val="paragraph"/>
      </w:pPr>
      <w:r w:rsidRPr="00EF7182">
        <w:tab/>
        <w:t>(b)</w:t>
      </w:r>
      <w:r w:rsidRPr="00EF7182">
        <w:tab/>
        <w:t xml:space="preserve">the financial services licensee is obliged under </w:t>
      </w:r>
      <w:r w:rsidR="00EF7182" w:rsidRPr="00EF7182">
        <w:t>subsection (</w:t>
      </w:r>
      <w:r w:rsidRPr="00EF7182">
        <w:t>1) to report the investigation; and</w:t>
      </w:r>
    </w:p>
    <w:p w:rsidR="0052500B" w:rsidRPr="00EF7182" w:rsidRDefault="0052500B" w:rsidP="00EF7182">
      <w:pPr>
        <w:pStyle w:val="paragraph"/>
      </w:pPr>
      <w:r w:rsidRPr="00EF7182">
        <w:tab/>
        <w:t>(c)</w:t>
      </w:r>
      <w:r w:rsidRPr="00EF7182">
        <w:tab/>
        <w:t>the investigation discloses either that:</w:t>
      </w:r>
    </w:p>
    <w:p w:rsidR="0052500B" w:rsidRPr="00EF7182" w:rsidRDefault="0052500B" w:rsidP="00EF7182">
      <w:pPr>
        <w:pStyle w:val="paragraphsub"/>
      </w:pPr>
      <w:r w:rsidRPr="00EF7182">
        <w:tab/>
        <w:t>(i)</w:t>
      </w:r>
      <w:r w:rsidRPr="00EF7182">
        <w:tab/>
        <w:t>there are reasonable grounds to believe that the financial services licensee or a representative of the financial services licensee has breached the core obligation; or</w:t>
      </w:r>
    </w:p>
    <w:p w:rsidR="0052500B" w:rsidRPr="00EF7182" w:rsidRDefault="0052500B" w:rsidP="00EF7182">
      <w:pPr>
        <w:pStyle w:val="paragraphsub"/>
      </w:pPr>
      <w:r w:rsidRPr="00EF7182">
        <w:tab/>
        <w:t>(ii)</w:t>
      </w:r>
      <w:r w:rsidRPr="00EF7182">
        <w:tab/>
        <w:t>there are no reasonable grounds to believe that the financial services licensee or a representative of the financial services licensee has breached the core obligation;</w:t>
      </w:r>
    </w:p>
    <w:p w:rsidR="0052500B" w:rsidRPr="00EF7182" w:rsidRDefault="0052500B" w:rsidP="00EF7182">
      <w:pPr>
        <w:pStyle w:val="subsection2"/>
      </w:pPr>
      <w:r w:rsidRPr="00EF7182">
        <w:t xml:space="preserve">the report must be lodged within 10 days after the </w:t>
      </w:r>
      <w:r w:rsidR="00717E4D" w:rsidRPr="00EF7182">
        <w:t xml:space="preserve">financial services </w:t>
      </w:r>
      <w:r w:rsidRPr="00EF7182">
        <w:t xml:space="preserve">licensee first reasonably knows the circumstance mentioned in </w:t>
      </w:r>
      <w:r w:rsidR="00EF7182" w:rsidRPr="00EF7182">
        <w:t>subparagraph (</w:t>
      </w:r>
      <w:r w:rsidRPr="00EF7182">
        <w:t>c)(i) or (ii) exists</w:t>
      </w:r>
      <w:r w:rsidR="008B1044">
        <w:t>.</w:t>
      </w:r>
    </w:p>
    <w:p w:rsidR="0052500B" w:rsidRPr="00EF7182" w:rsidRDefault="0052500B" w:rsidP="00EF7182">
      <w:pPr>
        <w:pStyle w:val="notetext"/>
      </w:pPr>
      <w:r w:rsidRPr="00EF7182">
        <w:t>Note 1:</w:t>
      </w:r>
      <w:r w:rsidRPr="00EF7182">
        <w:tab/>
      </w:r>
      <w:r w:rsidRPr="00EF7182">
        <w:rPr>
          <w:b/>
          <w:i/>
        </w:rPr>
        <w:t xml:space="preserve">Reasonably knows </w:t>
      </w:r>
      <w:r w:rsidRPr="00EF7182">
        <w:t xml:space="preserve">is defined in </w:t>
      </w:r>
      <w:r w:rsidR="00BE2959" w:rsidRPr="00EF7182">
        <w:t>section</w:t>
      </w:r>
      <w:r w:rsidR="00EF7182" w:rsidRPr="00EF7182">
        <w:t xml:space="preserve"> </w:t>
      </w:r>
      <w:r w:rsidR="008B1044">
        <w:t>912DAA.</w:t>
      </w:r>
    </w:p>
    <w:p w:rsidR="0052500B" w:rsidRPr="00EF7182" w:rsidRDefault="0052500B" w:rsidP="00EF7182">
      <w:pPr>
        <w:pStyle w:val="notetext"/>
      </w:pPr>
      <w:r w:rsidRPr="00EF7182">
        <w:t>Note 2:</w:t>
      </w:r>
      <w:r w:rsidRPr="00EF7182">
        <w:tab/>
        <w:t xml:space="preserve">Under </w:t>
      </w:r>
      <w:r w:rsidR="00EF7182" w:rsidRPr="00EF7182">
        <w:t>subsection (</w:t>
      </w:r>
      <w:r w:rsidR="00717E4D" w:rsidRPr="00EF7182">
        <w:t>4</w:t>
      </w:r>
      <w:r w:rsidRPr="00EF7182">
        <w:t xml:space="preserve">), the financial services licensee is obliged to report the existence of the investigation within 30 days after the licensee first reasonably knows that there are reasonable grounds to believe that </w:t>
      </w:r>
      <w:r w:rsidR="005F7587" w:rsidRPr="00EF7182">
        <w:t>that</w:t>
      </w:r>
      <w:r w:rsidRPr="00EF7182">
        <w:t xml:space="preserve"> reportable situation has arisen</w:t>
      </w:r>
      <w:r w:rsidR="008B1044">
        <w:t>.</w:t>
      </w:r>
    </w:p>
    <w:p w:rsidR="0052500B" w:rsidRPr="00EF7182" w:rsidRDefault="00A44AAA" w:rsidP="00EF7182">
      <w:pPr>
        <w:pStyle w:val="SubsectionHead"/>
      </w:pPr>
      <w:r w:rsidRPr="00EF7182">
        <w:t>If</w:t>
      </w:r>
      <w:r w:rsidR="0052500B" w:rsidRPr="00EF7182">
        <w:t xml:space="preserve"> report </w:t>
      </w:r>
      <w:r w:rsidR="006E55F7" w:rsidRPr="00EF7182">
        <w:t xml:space="preserve">is </w:t>
      </w:r>
      <w:r w:rsidR="0052500B" w:rsidRPr="00EF7182">
        <w:t>received by APRA</w:t>
      </w:r>
    </w:p>
    <w:p w:rsidR="0052500B" w:rsidRPr="00EF7182" w:rsidRDefault="0052500B" w:rsidP="00EF7182">
      <w:pPr>
        <w:pStyle w:val="subsection"/>
      </w:pPr>
      <w:r w:rsidRPr="00EF7182">
        <w:tab/>
        <w:t>(6)</w:t>
      </w:r>
      <w:r w:rsidRPr="00EF7182">
        <w:tab/>
        <w:t xml:space="preserve">A report that a </w:t>
      </w:r>
      <w:r w:rsidR="00177FC7" w:rsidRPr="00EF7182">
        <w:t xml:space="preserve">financial services licensee </w:t>
      </w:r>
      <w:r w:rsidRPr="00EF7182">
        <w:t>is required to lodge under this section in relation to a reportable situation is taken to have been lodged with ASIC if:</w:t>
      </w:r>
    </w:p>
    <w:p w:rsidR="0052500B" w:rsidRPr="00EF7182" w:rsidRDefault="0052500B" w:rsidP="00EF7182">
      <w:pPr>
        <w:pStyle w:val="paragraph"/>
      </w:pPr>
      <w:r w:rsidRPr="00EF7182">
        <w:tab/>
        <w:t>(a)</w:t>
      </w:r>
      <w:r w:rsidRPr="00EF7182">
        <w:tab/>
        <w:t>the licensee is a body regulated by APRA; and</w:t>
      </w:r>
    </w:p>
    <w:p w:rsidR="0052500B" w:rsidRPr="00EF7182" w:rsidRDefault="0052500B" w:rsidP="00EF7182">
      <w:pPr>
        <w:pStyle w:val="paragraph"/>
      </w:pPr>
      <w:r w:rsidRPr="00EF7182">
        <w:tab/>
        <w:t>(b)</w:t>
      </w:r>
      <w:r w:rsidRPr="00EF7182">
        <w:tab/>
        <w:t>the licensee has given a report to APRA that contains all of the information that is required in a report under this section in relation to the reportable situation</w:t>
      </w:r>
      <w:r w:rsidR="008B1044">
        <w:t>.</w:t>
      </w:r>
    </w:p>
    <w:p w:rsidR="0052500B" w:rsidRPr="00EF7182" w:rsidRDefault="0052500B" w:rsidP="00EF7182">
      <w:pPr>
        <w:pStyle w:val="subsection"/>
      </w:pPr>
      <w:r w:rsidRPr="00EF7182">
        <w:tab/>
        <w:t>(7)</w:t>
      </w:r>
      <w:r w:rsidRPr="00EF7182">
        <w:tab/>
      </w:r>
      <w:r w:rsidR="00EF7182" w:rsidRPr="00EF7182">
        <w:t>Subsection (</w:t>
      </w:r>
      <w:r w:rsidRPr="00EF7182">
        <w:t>1) does not apply to a financial services licensee that is a body regulated by APRA in relation to a reportable situation if:</w:t>
      </w:r>
    </w:p>
    <w:p w:rsidR="0052500B" w:rsidRPr="00EF7182" w:rsidRDefault="0052500B" w:rsidP="00EF7182">
      <w:pPr>
        <w:pStyle w:val="paragraph"/>
      </w:pPr>
      <w:r w:rsidRPr="00EF7182">
        <w:tab/>
        <w:t>(a)</w:t>
      </w:r>
      <w:r w:rsidRPr="00EF7182">
        <w:tab/>
        <w:t>the auditor or actuary of the licensee gives APRA a written report about a matter to which the reportable situation relates; and</w:t>
      </w:r>
    </w:p>
    <w:p w:rsidR="0052500B" w:rsidRPr="00EF7182" w:rsidRDefault="0052500B" w:rsidP="00EF7182">
      <w:pPr>
        <w:pStyle w:val="paragraph"/>
      </w:pPr>
      <w:r w:rsidRPr="00EF7182">
        <w:tab/>
        <w:t>(b)</w:t>
      </w:r>
      <w:r w:rsidRPr="00EF7182">
        <w:tab/>
        <w:t xml:space="preserve">the report is given before, or within 10 business days after, the licensee </w:t>
      </w:r>
      <w:r w:rsidR="00177FC7" w:rsidRPr="00EF7182">
        <w:t xml:space="preserve">first </w:t>
      </w:r>
      <w:r w:rsidRPr="00EF7182">
        <w:t>reasonably knows that there are reasonable grounds to believe that the reportable situation has arisen</w:t>
      </w:r>
      <w:r w:rsidR="008B1044">
        <w:t>.</w:t>
      </w:r>
    </w:p>
    <w:p w:rsidR="00615C3F" w:rsidRPr="00EF7182" w:rsidRDefault="00615C3F" w:rsidP="00EF7182">
      <w:pPr>
        <w:pStyle w:val="notetext"/>
      </w:pPr>
      <w:r w:rsidRPr="00EF7182">
        <w:t>Note:</w:t>
      </w:r>
      <w:r w:rsidRPr="00EF7182">
        <w:tab/>
      </w:r>
      <w:r w:rsidRPr="00EF7182">
        <w:rPr>
          <w:b/>
          <w:i/>
        </w:rPr>
        <w:t xml:space="preserve">Reasonably knows </w:t>
      </w:r>
      <w:r w:rsidRPr="00EF7182">
        <w:t>is defined in section</w:t>
      </w:r>
      <w:r w:rsidR="00EF7182" w:rsidRPr="00EF7182">
        <w:t xml:space="preserve"> </w:t>
      </w:r>
      <w:r w:rsidR="008B1044">
        <w:t>912DAA.</w:t>
      </w:r>
    </w:p>
    <w:p w:rsidR="00A44AAA" w:rsidRPr="00EF7182" w:rsidRDefault="00A44AAA" w:rsidP="00EF7182">
      <w:pPr>
        <w:pStyle w:val="SubsectionHead"/>
      </w:pPr>
      <w:r w:rsidRPr="00EF7182">
        <w:t>Civil penalty provision</w:t>
      </w:r>
    </w:p>
    <w:p w:rsidR="005A7FC0" w:rsidRPr="00EF7182" w:rsidRDefault="005A7FC0" w:rsidP="00EF7182">
      <w:pPr>
        <w:pStyle w:val="subsection"/>
      </w:pPr>
      <w:r w:rsidRPr="00EF7182">
        <w:tab/>
        <w:t>(8)</w:t>
      </w:r>
      <w:r w:rsidRPr="00EF7182">
        <w:tab/>
        <w:t xml:space="preserve">A person contravenes this subsection if the person contravenes </w:t>
      </w:r>
      <w:r w:rsidR="00EF7182" w:rsidRPr="00EF7182">
        <w:t>subsection (</w:t>
      </w:r>
      <w:r w:rsidRPr="00EF7182">
        <w:t>1) or (2)</w:t>
      </w:r>
      <w:r w:rsidR="008B1044">
        <w:t>.</w:t>
      </w:r>
    </w:p>
    <w:p w:rsidR="005A7FC0" w:rsidRPr="00EF7182" w:rsidRDefault="005A7FC0" w:rsidP="00EF7182">
      <w:pPr>
        <w:pStyle w:val="notetext"/>
      </w:pPr>
      <w:r w:rsidRPr="00EF7182">
        <w:t>Note:</w:t>
      </w:r>
      <w:r w:rsidRPr="00EF7182">
        <w:tab/>
        <w:t>This subsection is a civil penalty provision (see section</w:t>
      </w:r>
      <w:r w:rsidR="00EF7182" w:rsidRPr="00EF7182">
        <w:t> </w:t>
      </w:r>
      <w:r w:rsidRPr="00EF7182">
        <w:t>1317E)</w:t>
      </w:r>
      <w:r w:rsidR="008B1044">
        <w:t>.</w:t>
      </w:r>
    </w:p>
    <w:p w:rsidR="005A7FC0" w:rsidRPr="00EF7182" w:rsidRDefault="008B1044" w:rsidP="00EF7182">
      <w:pPr>
        <w:pStyle w:val="ActHead5"/>
      </w:pPr>
      <w:bookmarkStart w:id="44" w:name="_Toc30410100"/>
      <w:r w:rsidRPr="001A6D2E">
        <w:rPr>
          <w:rStyle w:val="CharSectno"/>
        </w:rPr>
        <w:t>912DAC</w:t>
      </w:r>
      <w:r w:rsidR="005A7FC0" w:rsidRPr="00EF7182">
        <w:t xml:space="preserve">  Obligation to lodge a report—reportable situations in relation to other financial services licensees</w:t>
      </w:r>
      <w:bookmarkEnd w:id="44"/>
    </w:p>
    <w:p w:rsidR="00A44AAA" w:rsidRPr="00EF7182" w:rsidRDefault="00A44AAA" w:rsidP="00EF7182">
      <w:pPr>
        <w:pStyle w:val="SubsectionHead"/>
      </w:pPr>
      <w:r w:rsidRPr="00EF7182">
        <w:t>Reporting a reportable situation to ASIC</w:t>
      </w:r>
    </w:p>
    <w:p w:rsidR="005A7FC0" w:rsidRPr="00EF7182" w:rsidRDefault="005A7FC0" w:rsidP="00EF7182">
      <w:pPr>
        <w:pStyle w:val="subsection"/>
      </w:pPr>
      <w:r w:rsidRPr="00EF7182">
        <w:tab/>
        <w:t>(1)</w:t>
      </w:r>
      <w:r w:rsidRPr="00EF7182">
        <w:tab/>
        <w:t xml:space="preserve">A financial services licensee (the </w:t>
      </w:r>
      <w:r w:rsidRPr="00EF7182">
        <w:rPr>
          <w:b/>
          <w:i/>
        </w:rPr>
        <w:t>reporting licensee</w:t>
      </w:r>
      <w:r w:rsidRPr="00EF7182">
        <w:t>) must lodge a report with ASIC in accordance with this section if:</w:t>
      </w:r>
    </w:p>
    <w:p w:rsidR="005A7FC0" w:rsidRPr="00EF7182" w:rsidRDefault="005A7FC0" w:rsidP="00EF7182">
      <w:pPr>
        <w:pStyle w:val="paragraph"/>
      </w:pPr>
      <w:r w:rsidRPr="00EF7182">
        <w:tab/>
        <w:t>(a)</w:t>
      </w:r>
      <w:r w:rsidRPr="00EF7182">
        <w:tab/>
        <w:t>there are reason</w:t>
      </w:r>
      <w:bookmarkStart w:id="45" w:name="BK_S1P7L11C22"/>
      <w:bookmarkStart w:id="46" w:name="BK_S1P7L17C22"/>
      <w:bookmarkEnd w:id="45"/>
      <w:bookmarkEnd w:id="46"/>
      <w:r w:rsidRPr="00EF7182">
        <w:t>able grounds to suspect that a reportable situation has arisen in relation to another financial services licensee; and</w:t>
      </w:r>
    </w:p>
    <w:p w:rsidR="005A7FC0" w:rsidRPr="00EF7182" w:rsidRDefault="005A7FC0" w:rsidP="00EF7182">
      <w:pPr>
        <w:pStyle w:val="paragraph"/>
      </w:pPr>
      <w:r w:rsidRPr="00EF7182">
        <w:tab/>
        <w:t>(b)</w:t>
      </w:r>
      <w:r w:rsidRPr="00EF7182">
        <w:tab/>
        <w:t>an individual who is either:</w:t>
      </w:r>
    </w:p>
    <w:p w:rsidR="005A7FC0" w:rsidRPr="00EF7182" w:rsidRDefault="005A7FC0" w:rsidP="00EF7182">
      <w:pPr>
        <w:pStyle w:val="paragraphsub"/>
      </w:pPr>
      <w:r w:rsidRPr="00EF7182">
        <w:tab/>
        <w:t>(i)</w:t>
      </w:r>
      <w:r w:rsidRPr="00EF7182">
        <w:tab/>
        <w:t>the other financial services licensee; or</w:t>
      </w:r>
    </w:p>
    <w:p w:rsidR="005A7FC0" w:rsidRPr="00EF7182" w:rsidRDefault="005A7FC0" w:rsidP="00EF7182">
      <w:pPr>
        <w:pStyle w:val="paragraphsub"/>
      </w:pPr>
      <w:r w:rsidRPr="00EF7182">
        <w:tab/>
        <w:t>(ii)</w:t>
      </w:r>
      <w:r w:rsidRPr="00EF7182">
        <w:tab/>
        <w:t xml:space="preserve">if, under </w:t>
      </w:r>
      <w:r w:rsidR="00BE2959" w:rsidRPr="00EF7182">
        <w:t>Division</w:t>
      </w:r>
      <w:r w:rsidR="00EF7182" w:rsidRPr="00EF7182">
        <w:t> </w:t>
      </w:r>
      <w:r w:rsidR="00BE2959" w:rsidRPr="00EF7182">
        <w:t>6</w:t>
      </w:r>
      <w:r w:rsidRPr="00EF7182">
        <w:t>, the other financial services licensee is responsible for conduct of a representative of the other financial services licensee that forms part of the reportable situation—the representative;</w:t>
      </w:r>
    </w:p>
    <w:p w:rsidR="005A7FC0" w:rsidRPr="00EF7182" w:rsidRDefault="005A7FC0" w:rsidP="00EF7182">
      <w:pPr>
        <w:pStyle w:val="paragraph"/>
      </w:pPr>
      <w:r w:rsidRPr="00EF7182">
        <w:tab/>
      </w:r>
      <w:r w:rsidRPr="00EF7182">
        <w:tab/>
        <w:t>provides personal advice to retail clients in relation to relevant financial products; and</w:t>
      </w:r>
    </w:p>
    <w:p w:rsidR="005A7FC0" w:rsidRPr="00EF7182" w:rsidRDefault="005A7FC0" w:rsidP="00EF7182">
      <w:pPr>
        <w:pStyle w:val="paragraph"/>
      </w:pPr>
      <w:r w:rsidRPr="00EF7182">
        <w:tab/>
        <w:t>(c)</w:t>
      </w:r>
      <w:r w:rsidRPr="00EF7182">
        <w:tab/>
        <w:t>the individual has engaged in conduct that forms part of the reportable situation (whether in the course of providing personal advice to retail clients in relation to relevant financial products or otherwise)</w:t>
      </w:r>
      <w:r w:rsidR="008B1044">
        <w:t>.</w:t>
      </w:r>
    </w:p>
    <w:p w:rsidR="005A7FC0" w:rsidRPr="00EF7182" w:rsidRDefault="005A7FC0" w:rsidP="00EF7182">
      <w:pPr>
        <w:pStyle w:val="notetext"/>
      </w:pPr>
      <w:r w:rsidRPr="00EF7182">
        <w:t>Note:</w:t>
      </w:r>
      <w:r w:rsidRPr="00EF7182">
        <w:tab/>
        <w:t>Failure to comply with this subsection is an offence (see subsection</w:t>
      </w:r>
      <w:r w:rsidR="00EF7182" w:rsidRPr="00EF7182">
        <w:t> </w:t>
      </w:r>
      <w:r w:rsidRPr="00EF7182">
        <w:t>1311(1))</w:t>
      </w:r>
      <w:r w:rsidR="008B1044">
        <w:t>.</w:t>
      </w:r>
    </w:p>
    <w:p w:rsidR="00A44AAA" w:rsidRPr="00EF7182" w:rsidRDefault="00A44AAA" w:rsidP="00EF7182">
      <w:pPr>
        <w:pStyle w:val="SubsectionHead"/>
      </w:pPr>
      <w:r w:rsidRPr="00EF7182">
        <w:t>Report must be in the prescribed form</w:t>
      </w:r>
    </w:p>
    <w:p w:rsidR="00A46216" w:rsidRPr="00EF7182" w:rsidRDefault="00A46216" w:rsidP="00EF7182">
      <w:pPr>
        <w:pStyle w:val="subsection"/>
      </w:pPr>
      <w:r w:rsidRPr="00EF7182">
        <w:tab/>
        <w:t>(2)</w:t>
      </w:r>
      <w:r w:rsidRPr="00EF7182">
        <w:tab/>
        <w:t>The report must be lodged in writing in the prescribed form</w:t>
      </w:r>
      <w:r w:rsidR="008B1044">
        <w:t>.</w:t>
      </w:r>
    </w:p>
    <w:p w:rsidR="00A44AAA" w:rsidRPr="00EF7182" w:rsidRDefault="00A44AAA" w:rsidP="00EF7182">
      <w:pPr>
        <w:pStyle w:val="SubsectionHead"/>
      </w:pPr>
      <w:r w:rsidRPr="00EF7182">
        <w:t>Period within which report must be lodged</w:t>
      </w:r>
    </w:p>
    <w:p w:rsidR="00964CEF" w:rsidRPr="00EF7182" w:rsidRDefault="00964CEF" w:rsidP="00EF7182">
      <w:pPr>
        <w:pStyle w:val="subsection"/>
      </w:pPr>
      <w:r w:rsidRPr="00EF7182">
        <w:tab/>
        <w:t>(3)</w:t>
      </w:r>
      <w:r w:rsidRPr="00EF7182">
        <w:tab/>
        <w:t>The report must be lodged with ASIC within 30 days after the reporting licensee first reasonably knows that there are reasonable grounds to suspect that the reportable situation has arisen</w:t>
      </w:r>
      <w:r w:rsidR="008B1044">
        <w:t>.</w:t>
      </w:r>
    </w:p>
    <w:p w:rsidR="00964CEF" w:rsidRPr="00EF7182" w:rsidRDefault="00964CEF" w:rsidP="00EF7182">
      <w:pPr>
        <w:pStyle w:val="notetext"/>
      </w:pPr>
      <w:r w:rsidRPr="00EF7182">
        <w:t>Note:</w:t>
      </w:r>
      <w:r w:rsidRPr="00EF7182">
        <w:tab/>
      </w:r>
      <w:r w:rsidRPr="00EF7182">
        <w:rPr>
          <w:b/>
          <w:i/>
        </w:rPr>
        <w:t xml:space="preserve">Reasonably knows </w:t>
      </w:r>
      <w:r w:rsidRPr="00EF7182">
        <w:t xml:space="preserve">is defined in </w:t>
      </w:r>
      <w:r w:rsidR="00BE2959" w:rsidRPr="00EF7182">
        <w:t>section</w:t>
      </w:r>
      <w:r w:rsidR="00EF7182" w:rsidRPr="00EF7182">
        <w:t xml:space="preserve"> </w:t>
      </w:r>
      <w:r w:rsidR="008B1044">
        <w:t>912DAA.</w:t>
      </w:r>
    </w:p>
    <w:p w:rsidR="00A44AAA" w:rsidRPr="00EF7182" w:rsidRDefault="00A44AAA" w:rsidP="00EF7182">
      <w:pPr>
        <w:pStyle w:val="SubsectionHead"/>
      </w:pPr>
      <w:r w:rsidRPr="00EF7182">
        <w:t xml:space="preserve">If report </w:t>
      </w:r>
      <w:r w:rsidR="006E55F7" w:rsidRPr="00EF7182">
        <w:t>is</w:t>
      </w:r>
      <w:r w:rsidRPr="00EF7182">
        <w:t xml:space="preserve"> received by APRA</w:t>
      </w:r>
    </w:p>
    <w:p w:rsidR="00964CEF" w:rsidRPr="00EF7182" w:rsidRDefault="00964CEF" w:rsidP="00EF7182">
      <w:pPr>
        <w:pStyle w:val="subsection"/>
      </w:pPr>
      <w:r w:rsidRPr="00EF7182">
        <w:tab/>
        <w:t>(4)</w:t>
      </w:r>
      <w:r w:rsidRPr="00EF7182">
        <w:tab/>
        <w:t xml:space="preserve">A report that a </w:t>
      </w:r>
      <w:r w:rsidR="00177FC7" w:rsidRPr="00EF7182">
        <w:t xml:space="preserve">financial services </w:t>
      </w:r>
      <w:r w:rsidRPr="00EF7182">
        <w:t>licensee is required to lodge under this section in relation to a reportable situation is taken to have been lodged with ASIC if:</w:t>
      </w:r>
    </w:p>
    <w:p w:rsidR="00964CEF" w:rsidRPr="00EF7182" w:rsidRDefault="00964CEF" w:rsidP="00EF7182">
      <w:pPr>
        <w:pStyle w:val="paragraph"/>
      </w:pPr>
      <w:r w:rsidRPr="00EF7182">
        <w:tab/>
        <w:t>(a)</w:t>
      </w:r>
      <w:r w:rsidRPr="00EF7182">
        <w:tab/>
        <w:t>the licensee is a body regulated by APRA; and</w:t>
      </w:r>
    </w:p>
    <w:p w:rsidR="00964CEF" w:rsidRPr="00EF7182" w:rsidRDefault="00964CEF" w:rsidP="00EF7182">
      <w:pPr>
        <w:pStyle w:val="paragraph"/>
      </w:pPr>
      <w:r w:rsidRPr="00EF7182">
        <w:tab/>
        <w:t>(b)</w:t>
      </w:r>
      <w:r w:rsidRPr="00EF7182">
        <w:tab/>
        <w:t>the licensee has given a report to APRA that contains all of the information that is required in a report under this section in relation to the reportable situation</w:t>
      </w:r>
      <w:r w:rsidR="008B1044">
        <w:t>.</w:t>
      </w:r>
    </w:p>
    <w:p w:rsidR="00964CEF" w:rsidRPr="00EF7182" w:rsidRDefault="00964CEF" w:rsidP="00EF7182">
      <w:pPr>
        <w:pStyle w:val="subsection"/>
      </w:pPr>
      <w:r w:rsidRPr="00EF7182">
        <w:tab/>
        <w:t>(5)</w:t>
      </w:r>
      <w:r w:rsidRPr="00EF7182">
        <w:tab/>
        <w:t>This section does not apply to a financial services licensee that is a body regulated by APRA in relation to a reportable situation if:</w:t>
      </w:r>
    </w:p>
    <w:p w:rsidR="00964CEF" w:rsidRPr="00EF7182" w:rsidRDefault="00964CEF" w:rsidP="00EF7182">
      <w:pPr>
        <w:pStyle w:val="paragraph"/>
      </w:pPr>
      <w:r w:rsidRPr="00EF7182">
        <w:tab/>
        <w:t>(a)</w:t>
      </w:r>
      <w:r w:rsidRPr="00EF7182">
        <w:tab/>
        <w:t>the auditor or actuary of the licensee gives APRA a written report about a matter to which the reportable situation relates; and</w:t>
      </w:r>
    </w:p>
    <w:p w:rsidR="00964CEF" w:rsidRPr="00EF7182" w:rsidRDefault="00964CEF" w:rsidP="00EF7182">
      <w:pPr>
        <w:pStyle w:val="paragraph"/>
      </w:pPr>
      <w:r w:rsidRPr="00EF7182">
        <w:tab/>
        <w:t>(b)</w:t>
      </w:r>
      <w:r w:rsidRPr="00EF7182">
        <w:tab/>
        <w:t xml:space="preserve">the report is given before, or within 10 business days after, the licensee </w:t>
      </w:r>
      <w:r w:rsidR="00177FC7" w:rsidRPr="00EF7182">
        <w:t xml:space="preserve">first </w:t>
      </w:r>
      <w:r w:rsidRPr="00EF7182">
        <w:t xml:space="preserve">reasonably knows that there are reasonable grounds to suspect that </w:t>
      </w:r>
      <w:r w:rsidR="00177FC7" w:rsidRPr="00EF7182">
        <w:t xml:space="preserve">the </w:t>
      </w:r>
      <w:r w:rsidRPr="00EF7182">
        <w:t>reportable situation has arisen</w:t>
      </w:r>
      <w:r w:rsidR="008B1044">
        <w:t>.</w:t>
      </w:r>
    </w:p>
    <w:p w:rsidR="00615C3F" w:rsidRPr="00EF7182" w:rsidRDefault="00615C3F" w:rsidP="00EF7182">
      <w:pPr>
        <w:pStyle w:val="notetext"/>
      </w:pPr>
      <w:r w:rsidRPr="00EF7182">
        <w:t>Note:</w:t>
      </w:r>
      <w:r w:rsidRPr="00EF7182">
        <w:tab/>
      </w:r>
      <w:r w:rsidRPr="00EF7182">
        <w:rPr>
          <w:b/>
          <w:i/>
        </w:rPr>
        <w:t xml:space="preserve">Reasonably knows </w:t>
      </w:r>
      <w:r w:rsidRPr="00EF7182">
        <w:t>is defined in section</w:t>
      </w:r>
      <w:r w:rsidR="00EF7182" w:rsidRPr="00EF7182">
        <w:t xml:space="preserve"> </w:t>
      </w:r>
      <w:r w:rsidR="008B1044">
        <w:t>912DAA.</w:t>
      </w:r>
    </w:p>
    <w:p w:rsidR="00A44AAA" w:rsidRPr="00EF7182" w:rsidRDefault="00A44AAA" w:rsidP="00EF7182">
      <w:pPr>
        <w:pStyle w:val="SubsectionHead"/>
      </w:pPr>
      <w:r w:rsidRPr="00EF7182">
        <w:t xml:space="preserve">If </w:t>
      </w:r>
      <w:r w:rsidR="00A430AF" w:rsidRPr="00EF7182">
        <w:t xml:space="preserve">the </w:t>
      </w:r>
      <w:r w:rsidRPr="00EF7182">
        <w:t>reportable situation already reported to ASIC</w:t>
      </w:r>
    </w:p>
    <w:p w:rsidR="00964CEF" w:rsidRPr="00EF7182" w:rsidRDefault="00964CEF" w:rsidP="00EF7182">
      <w:pPr>
        <w:pStyle w:val="subsection"/>
      </w:pPr>
      <w:r w:rsidRPr="00EF7182">
        <w:tab/>
        <w:t>(6)</w:t>
      </w:r>
      <w:r w:rsidRPr="00EF7182">
        <w:tab/>
      </w:r>
      <w:r w:rsidR="00EF7182" w:rsidRPr="00EF7182">
        <w:t>Subsection (</w:t>
      </w:r>
      <w:r w:rsidRPr="00EF7182">
        <w:t>1) does not apply in relation to a reportable situation if there are reasonable grounds to believe that ASIC is aware of:</w:t>
      </w:r>
    </w:p>
    <w:p w:rsidR="00964CEF" w:rsidRPr="00EF7182" w:rsidRDefault="00964CEF" w:rsidP="00EF7182">
      <w:pPr>
        <w:pStyle w:val="paragraph"/>
      </w:pPr>
      <w:r w:rsidRPr="00EF7182">
        <w:tab/>
        <w:t>(a)</w:t>
      </w:r>
      <w:r w:rsidRPr="00EF7182">
        <w:tab/>
        <w:t>the existence o</w:t>
      </w:r>
      <w:r w:rsidR="006E55F7" w:rsidRPr="00EF7182">
        <w:t>f the reportable situation; and</w:t>
      </w:r>
    </w:p>
    <w:p w:rsidR="00964CEF" w:rsidRPr="00EF7182" w:rsidRDefault="00964CEF" w:rsidP="00EF7182">
      <w:pPr>
        <w:pStyle w:val="paragraph"/>
      </w:pPr>
      <w:r w:rsidRPr="00EF7182">
        <w:tab/>
        <w:t>(b)</w:t>
      </w:r>
      <w:r w:rsidRPr="00EF7182">
        <w:tab/>
        <w:t>all of the information that is required in a report under this section in relation to the reportable situation</w:t>
      </w:r>
      <w:r w:rsidR="008B1044">
        <w:t>.</w:t>
      </w:r>
    </w:p>
    <w:p w:rsidR="006E55F7" w:rsidRPr="00EF7182" w:rsidRDefault="00615C3F" w:rsidP="00EF7182">
      <w:pPr>
        <w:pStyle w:val="SubsectionHead"/>
      </w:pPr>
      <w:r w:rsidRPr="00EF7182">
        <w:t>A copy of the report must be given to the other financial services licensee</w:t>
      </w:r>
    </w:p>
    <w:p w:rsidR="000C41C7" w:rsidRPr="00EF7182" w:rsidRDefault="000C41C7" w:rsidP="00EF7182">
      <w:pPr>
        <w:pStyle w:val="subsection"/>
      </w:pPr>
      <w:r w:rsidRPr="00EF7182">
        <w:tab/>
        <w:t>(7)</w:t>
      </w:r>
      <w:r w:rsidRPr="00EF7182">
        <w:tab/>
        <w:t xml:space="preserve">The reporting licensee must give a copy of any report that the reporting licensee is required to lodge with ASIC under </w:t>
      </w:r>
      <w:r w:rsidR="00EF7182" w:rsidRPr="00EF7182">
        <w:t>subsection (</w:t>
      </w:r>
      <w:r w:rsidRPr="00EF7182">
        <w:t>1) to the other financial services licensee within 30 days after the reporting licensee first reasonably knows that there are reasonable grounds to suspect that the reportable situation has arisen</w:t>
      </w:r>
      <w:r w:rsidR="008B1044">
        <w:t>.</w:t>
      </w:r>
    </w:p>
    <w:p w:rsidR="00615C3F" w:rsidRPr="00EF7182" w:rsidRDefault="00615C3F" w:rsidP="00EF7182">
      <w:pPr>
        <w:pStyle w:val="notetext"/>
      </w:pPr>
      <w:r w:rsidRPr="00EF7182">
        <w:t>Note 1:</w:t>
      </w:r>
      <w:r w:rsidRPr="00EF7182">
        <w:tab/>
      </w:r>
      <w:r w:rsidRPr="00EF7182">
        <w:rPr>
          <w:b/>
          <w:i/>
        </w:rPr>
        <w:t xml:space="preserve">Reasonably knows </w:t>
      </w:r>
      <w:r w:rsidRPr="00EF7182">
        <w:t>is defined in section</w:t>
      </w:r>
      <w:r w:rsidR="00EF7182" w:rsidRPr="00EF7182">
        <w:t xml:space="preserve"> </w:t>
      </w:r>
      <w:r w:rsidR="008B1044">
        <w:t>912DAA.</w:t>
      </w:r>
    </w:p>
    <w:p w:rsidR="000C41C7" w:rsidRPr="00EF7182" w:rsidRDefault="000C41C7" w:rsidP="00EF7182">
      <w:pPr>
        <w:pStyle w:val="notetext"/>
      </w:pPr>
      <w:r w:rsidRPr="00EF7182">
        <w:t>Note</w:t>
      </w:r>
      <w:r w:rsidR="00615C3F" w:rsidRPr="00EF7182">
        <w:t xml:space="preserve"> 2</w:t>
      </w:r>
      <w:r w:rsidRPr="00EF7182">
        <w:t>:</w:t>
      </w:r>
      <w:r w:rsidRPr="00EF7182">
        <w:tab/>
        <w:t>Failure to comply with this subsection is an offence (see subsection</w:t>
      </w:r>
      <w:r w:rsidR="00EF7182" w:rsidRPr="00EF7182">
        <w:t> </w:t>
      </w:r>
      <w:r w:rsidRPr="00EF7182">
        <w:t>1311(1))</w:t>
      </w:r>
      <w:r w:rsidR="008B1044">
        <w:t>.</w:t>
      </w:r>
    </w:p>
    <w:p w:rsidR="00615C3F" w:rsidRPr="00EF7182" w:rsidRDefault="00615C3F" w:rsidP="00EF7182">
      <w:pPr>
        <w:pStyle w:val="SubsectionHead"/>
      </w:pPr>
      <w:r w:rsidRPr="00EF7182">
        <w:t>Civil penalty provision</w:t>
      </w:r>
    </w:p>
    <w:p w:rsidR="000C41C7" w:rsidRPr="00EF7182" w:rsidRDefault="000C41C7" w:rsidP="00EF7182">
      <w:pPr>
        <w:pStyle w:val="subsection"/>
      </w:pPr>
      <w:r w:rsidRPr="00EF7182">
        <w:tab/>
        <w:t>(8)</w:t>
      </w:r>
      <w:r w:rsidRPr="00EF7182">
        <w:tab/>
        <w:t xml:space="preserve">A person contravenes this subsection if the person contravenes </w:t>
      </w:r>
      <w:r w:rsidR="00EF7182" w:rsidRPr="00EF7182">
        <w:t>subsection (</w:t>
      </w:r>
      <w:r w:rsidRPr="00EF7182">
        <w:t>1) or (7)</w:t>
      </w:r>
      <w:r w:rsidR="008B1044">
        <w:t>.</w:t>
      </w:r>
    </w:p>
    <w:p w:rsidR="000C41C7" w:rsidRPr="00EF7182" w:rsidRDefault="000C41C7" w:rsidP="00EF7182">
      <w:pPr>
        <w:pStyle w:val="notetext"/>
      </w:pPr>
      <w:r w:rsidRPr="00EF7182">
        <w:t>Note:</w:t>
      </w:r>
      <w:r w:rsidRPr="00EF7182">
        <w:tab/>
        <w:t>This subsection is a civil penalty provision (see section</w:t>
      </w:r>
      <w:r w:rsidR="00EF7182" w:rsidRPr="00EF7182">
        <w:t> </w:t>
      </w:r>
      <w:r w:rsidRPr="00EF7182">
        <w:t>1317E)</w:t>
      </w:r>
      <w:r w:rsidR="008B1044">
        <w:t>.</w:t>
      </w:r>
    </w:p>
    <w:p w:rsidR="000C41C7" w:rsidRPr="00EF7182" w:rsidRDefault="008B1044" w:rsidP="00EF7182">
      <w:pPr>
        <w:pStyle w:val="ActHead5"/>
      </w:pPr>
      <w:bookmarkStart w:id="47" w:name="_Toc30410101"/>
      <w:r w:rsidRPr="001A6D2E">
        <w:rPr>
          <w:rStyle w:val="CharSectno"/>
        </w:rPr>
        <w:t>912DAD</w:t>
      </w:r>
      <w:r w:rsidR="000C41C7" w:rsidRPr="00EF7182">
        <w:t xml:space="preserve">  Obligation to give notice—participants in licensed market or licensed CS facility</w:t>
      </w:r>
      <w:bookmarkEnd w:id="47"/>
    </w:p>
    <w:p w:rsidR="000C41C7" w:rsidRPr="00EF7182" w:rsidRDefault="000C41C7" w:rsidP="00EF7182">
      <w:pPr>
        <w:pStyle w:val="subsection"/>
      </w:pPr>
      <w:r w:rsidRPr="00EF7182">
        <w:tab/>
        <w:t>(1)</w:t>
      </w:r>
      <w:r w:rsidRPr="00EF7182">
        <w:tab/>
        <w:t>A financial services licensee must give written notice to ASIC in accordance with this section if the licensee becomes a participant in a licensed market or a licensed CS facility, or ceases to be such a participant</w:t>
      </w:r>
      <w:r w:rsidR="008B1044">
        <w:t>.</w:t>
      </w:r>
    </w:p>
    <w:p w:rsidR="000C41C7" w:rsidRPr="00EF7182" w:rsidRDefault="000C41C7" w:rsidP="00EF7182">
      <w:pPr>
        <w:pStyle w:val="notetext"/>
      </w:pPr>
      <w:r w:rsidRPr="00EF7182">
        <w:t>Note:</w:t>
      </w:r>
      <w:r w:rsidRPr="00EF7182">
        <w:tab/>
        <w:t>Failure to comply with this subsection is an offence (see subsection</w:t>
      </w:r>
      <w:r w:rsidR="00EF7182" w:rsidRPr="00EF7182">
        <w:t> </w:t>
      </w:r>
      <w:r w:rsidRPr="00EF7182">
        <w:t>1311(1))</w:t>
      </w:r>
      <w:r w:rsidR="008B1044">
        <w:t>.</w:t>
      </w:r>
    </w:p>
    <w:p w:rsidR="000C41C7" w:rsidRPr="00EF7182" w:rsidRDefault="000C41C7" w:rsidP="00EF7182">
      <w:pPr>
        <w:pStyle w:val="subsection"/>
      </w:pPr>
      <w:r w:rsidRPr="00EF7182">
        <w:tab/>
        <w:t>(2)</w:t>
      </w:r>
      <w:r w:rsidRPr="00EF7182">
        <w:tab/>
        <w:t>The notice must:</w:t>
      </w:r>
    </w:p>
    <w:p w:rsidR="000C41C7" w:rsidRPr="00EF7182" w:rsidRDefault="000C41C7" w:rsidP="00EF7182">
      <w:pPr>
        <w:pStyle w:val="paragraph"/>
      </w:pPr>
      <w:r w:rsidRPr="00EF7182">
        <w:tab/>
        <w:t>(a)</w:t>
      </w:r>
      <w:r w:rsidRPr="00EF7182">
        <w:tab/>
        <w:t>say when the event happened and identify the market or facility; and</w:t>
      </w:r>
    </w:p>
    <w:p w:rsidR="000C41C7" w:rsidRPr="00EF7182" w:rsidRDefault="000C41C7" w:rsidP="00EF7182">
      <w:pPr>
        <w:pStyle w:val="paragraph"/>
      </w:pPr>
      <w:r w:rsidRPr="00EF7182">
        <w:tab/>
        <w:t>(b)</w:t>
      </w:r>
      <w:r w:rsidRPr="00EF7182">
        <w:tab/>
        <w:t>be in the prescribed form</w:t>
      </w:r>
      <w:r w:rsidR="008B1044">
        <w:t>.</w:t>
      </w:r>
    </w:p>
    <w:p w:rsidR="000C41C7" w:rsidRPr="00EF7182" w:rsidRDefault="000C41C7" w:rsidP="00EF7182">
      <w:pPr>
        <w:pStyle w:val="subsection"/>
      </w:pPr>
      <w:r w:rsidRPr="00EF7182">
        <w:tab/>
        <w:t>(3)</w:t>
      </w:r>
      <w:r w:rsidRPr="00EF7182">
        <w:tab/>
        <w:t>The notice must be given as soon as practicable after the event happened</w:t>
      </w:r>
      <w:r w:rsidR="008B1044">
        <w:t>.</w:t>
      </w:r>
    </w:p>
    <w:p w:rsidR="00BD5CE8" w:rsidRPr="00EF7182" w:rsidRDefault="00177FC7" w:rsidP="00EF7182">
      <w:pPr>
        <w:pStyle w:val="subsection"/>
      </w:pPr>
      <w:r w:rsidRPr="00EF7182">
        <w:tab/>
        <w:t>(4)</w:t>
      </w:r>
      <w:r w:rsidRPr="00EF7182">
        <w:tab/>
      </w:r>
      <w:r w:rsidR="00BD5CE8" w:rsidRPr="00EF7182">
        <w:t xml:space="preserve">A person contravenes this subsection if the person contravenes </w:t>
      </w:r>
      <w:r w:rsidR="00EF7182" w:rsidRPr="00EF7182">
        <w:t>subsection (</w:t>
      </w:r>
      <w:r w:rsidR="00BD5CE8" w:rsidRPr="00EF7182">
        <w:t>1)</w:t>
      </w:r>
      <w:r w:rsidR="008B1044">
        <w:t>.</w:t>
      </w:r>
    </w:p>
    <w:p w:rsidR="00BD5CE8" w:rsidRPr="00EF7182" w:rsidRDefault="00BD5CE8" w:rsidP="00EF7182">
      <w:pPr>
        <w:pStyle w:val="notetext"/>
      </w:pPr>
      <w:r w:rsidRPr="00EF7182">
        <w:t>Note:</w:t>
      </w:r>
      <w:r w:rsidRPr="00EF7182">
        <w:tab/>
        <w:t>This subsection is a civil penalty provision (see section</w:t>
      </w:r>
      <w:r w:rsidR="00EF7182" w:rsidRPr="00EF7182">
        <w:t> </w:t>
      </w:r>
      <w:r w:rsidRPr="00EF7182">
        <w:t>1317E)</w:t>
      </w:r>
      <w:r w:rsidR="008B1044">
        <w:t>.</w:t>
      </w:r>
    </w:p>
    <w:p w:rsidR="000C41C7" w:rsidRPr="00EF7182" w:rsidRDefault="008B1044" w:rsidP="00EF7182">
      <w:pPr>
        <w:pStyle w:val="ActHead5"/>
      </w:pPr>
      <w:bookmarkStart w:id="48" w:name="_Toc30410102"/>
      <w:r w:rsidRPr="001A6D2E">
        <w:rPr>
          <w:rStyle w:val="CharSectno"/>
        </w:rPr>
        <w:t>912DAE</w:t>
      </w:r>
      <w:r w:rsidR="000C41C7" w:rsidRPr="00EF7182">
        <w:t xml:space="preserve">  ASIC must publish details of certain reports</w:t>
      </w:r>
      <w:bookmarkEnd w:id="48"/>
    </w:p>
    <w:p w:rsidR="000C41C7" w:rsidRPr="00EF7182" w:rsidRDefault="000C41C7" w:rsidP="00EF7182">
      <w:pPr>
        <w:pStyle w:val="subsection"/>
      </w:pPr>
      <w:r w:rsidRPr="00EF7182">
        <w:tab/>
        <w:t>(1)</w:t>
      </w:r>
      <w:r w:rsidRPr="00EF7182">
        <w:tab/>
        <w:t>ASIC must, for each financial year, publish information about:</w:t>
      </w:r>
    </w:p>
    <w:p w:rsidR="000C41C7" w:rsidRPr="00EF7182" w:rsidRDefault="000C41C7" w:rsidP="00EF7182">
      <w:pPr>
        <w:pStyle w:val="paragraph"/>
      </w:pPr>
      <w:r w:rsidRPr="00EF7182">
        <w:tab/>
        <w:t>(a)</w:t>
      </w:r>
      <w:r w:rsidRPr="00EF7182">
        <w:tab/>
        <w:t xml:space="preserve">reports lodged with ASIC during the financial year under </w:t>
      </w:r>
      <w:r w:rsidR="00BE2959" w:rsidRPr="00EF7182">
        <w:t>section</w:t>
      </w:r>
      <w:r w:rsidR="00EF7182" w:rsidRPr="00EF7182">
        <w:t xml:space="preserve"> </w:t>
      </w:r>
      <w:r w:rsidR="008B1044">
        <w:t>912DAB</w:t>
      </w:r>
      <w:r w:rsidRPr="00EF7182">
        <w:t xml:space="preserve"> in relation to reportable situations of the kind mentioned in </w:t>
      </w:r>
      <w:r w:rsidR="00BE2959" w:rsidRPr="00EF7182">
        <w:t>subparagraph</w:t>
      </w:r>
      <w:r w:rsidR="00EF7182" w:rsidRPr="00EF7182">
        <w:t xml:space="preserve"> </w:t>
      </w:r>
      <w:r w:rsidR="008B1044">
        <w:t>912D</w:t>
      </w:r>
      <w:r w:rsidRPr="00EF7182">
        <w:t>(1)(a)(i) or (ii) (breaches and likely breaches of core obligations); and</w:t>
      </w:r>
    </w:p>
    <w:p w:rsidR="000C41C7" w:rsidRPr="00EF7182" w:rsidRDefault="000C41C7" w:rsidP="00EF7182">
      <w:pPr>
        <w:pStyle w:val="paragraph"/>
      </w:pPr>
      <w:r w:rsidRPr="00EF7182">
        <w:tab/>
        <w:t>(b)</w:t>
      </w:r>
      <w:r w:rsidRPr="00EF7182">
        <w:tab/>
        <w:t>reports lodged with APRA</w:t>
      </w:r>
      <w:r w:rsidR="00A76FEE" w:rsidRPr="00EF7182">
        <w:t xml:space="preserve"> during the financial year</w:t>
      </w:r>
      <w:r w:rsidR="00F05CFC" w:rsidRPr="00EF7182">
        <w:t>,</w:t>
      </w:r>
      <w:r w:rsidRPr="00EF7182">
        <w:t xml:space="preserve"> as described in </w:t>
      </w:r>
      <w:r w:rsidR="00BE2959" w:rsidRPr="00EF7182">
        <w:t>subsection</w:t>
      </w:r>
      <w:r w:rsidR="0023185B" w:rsidRPr="00EF7182">
        <w:t>s</w:t>
      </w:r>
      <w:r w:rsidR="00EF7182" w:rsidRPr="00EF7182">
        <w:t xml:space="preserve"> </w:t>
      </w:r>
      <w:r w:rsidR="008B1044">
        <w:t>912DAB</w:t>
      </w:r>
      <w:r w:rsidRPr="00EF7182">
        <w:t>(6)</w:t>
      </w:r>
      <w:r w:rsidR="0023185B" w:rsidRPr="00EF7182">
        <w:t xml:space="preserve"> and (7)</w:t>
      </w:r>
      <w:r w:rsidR="00F05CFC" w:rsidRPr="00EF7182">
        <w:t>, in relation to reportable situations of the kind mentioned in subparagraph</w:t>
      </w:r>
      <w:r w:rsidR="00EF7182" w:rsidRPr="00EF7182">
        <w:t xml:space="preserve"> </w:t>
      </w:r>
      <w:r w:rsidR="008B1044">
        <w:t>912D</w:t>
      </w:r>
      <w:r w:rsidR="00F05CFC" w:rsidRPr="00EF7182">
        <w:t>(1)(a)(i) or (ii) (breaches and likely breaches of core obligations)</w:t>
      </w:r>
      <w:r w:rsidRPr="00EF7182">
        <w:t>; and</w:t>
      </w:r>
    </w:p>
    <w:p w:rsidR="000C41C7" w:rsidRPr="00EF7182" w:rsidRDefault="000C41C7" w:rsidP="00EF7182">
      <w:pPr>
        <w:pStyle w:val="paragraph"/>
      </w:pPr>
      <w:r w:rsidRPr="00EF7182">
        <w:tab/>
        <w:t>(c)</w:t>
      </w:r>
      <w:r w:rsidRPr="00EF7182">
        <w:tab/>
        <w:t>the entities in relation to which those reports are lodged with ASIC or APRA</w:t>
      </w:r>
      <w:r w:rsidR="008B1044">
        <w:t>.</w:t>
      </w:r>
    </w:p>
    <w:p w:rsidR="000C41C7" w:rsidRPr="00EF7182" w:rsidRDefault="000C41C7" w:rsidP="00EF7182">
      <w:pPr>
        <w:pStyle w:val="subsection"/>
      </w:pPr>
      <w:r w:rsidRPr="00EF7182">
        <w:tab/>
        <w:t>(2)</w:t>
      </w:r>
      <w:r w:rsidRPr="00EF7182">
        <w:tab/>
        <w:t>The information must:</w:t>
      </w:r>
    </w:p>
    <w:p w:rsidR="000C41C7" w:rsidRPr="00EF7182" w:rsidRDefault="000C41C7" w:rsidP="00EF7182">
      <w:pPr>
        <w:pStyle w:val="paragraph"/>
      </w:pPr>
      <w:r w:rsidRPr="00EF7182">
        <w:tab/>
        <w:t>(a)</w:t>
      </w:r>
      <w:r w:rsidRPr="00EF7182">
        <w:tab/>
        <w:t>be published within 4 months after the end of the financial year; and</w:t>
      </w:r>
    </w:p>
    <w:p w:rsidR="000C41C7" w:rsidRPr="00EF7182" w:rsidRDefault="000C41C7" w:rsidP="00EF7182">
      <w:pPr>
        <w:pStyle w:val="paragraph"/>
      </w:pPr>
      <w:r w:rsidRPr="00EF7182">
        <w:tab/>
        <w:t>(b)</w:t>
      </w:r>
      <w:r w:rsidRPr="00EF7182">
        <w:tab/>
        <w:t>be published on ASIC’s website; and</w:t>
      </w:r>
    </w:p>
    <w:p w:rsidR="000C41C7" w:rsidRPr="00EF7182" w:rsidRDefault="000C41C7" w:rsidP="00EF7182">
      <w:pPr>
        <w:pStyle w:val="paragraph"/>
      </w:pPr>
      <w:r w:rsidRPr="00EF7182">
        <w:tab/>
        <w:t>(c)</w:t>
      </w:r>
      <w:r w:rsidRPr="00EF7182">
        <w:tab/>
        <w:t>include the information (if any) prescribed by the regulations, which may include personal information</w:t>
      </w:r>
      <w:bookmarkStart w:id="49" w:name="BK_S1P10L6C52"/>
      <w:bookmarkStart w:id="50" w:name="BK_S1P10L13C52"/>
      <w:bookmarkEnd w:id="49"/>
      <w:bookmarkEnd w:id="50"/>
      <w:r w:rsidRPr="00EF7182">
        <w:t xml:space="preserve"> (within the meaning of the </w:t>
      </w:r>
      <w:r w:rsidRPr="00EF7182">
        <w:rPr>
          <w:i/>
        </w:rPr>
        <w:t>Privacy Act 1988</w:t>
      </w:r>
      <w:r w:rsidRPr="00EF7182">
        <w:t>) in relation to a financial services licensee who is an individual; and</w:t>
      </w:r>
    </w:p>
    <w:p w:rsidR="000C41C7" w:rsidRPr="00EF7182" w:rsidRDefault="000C41C7" w:rsidP="00EF7182">
      <w:pPr>
        <w:pStyle w:val="paragraph"/>
      </w:pPr>
      <w:r w:rsidRPr="00EF7182">
        <w:tab/>
        <w:t>(d)</w:t>
      </w:r>
      <w:r w:rsidRPr="00EF7182">
        <w:tab/>
        <w:t>if the regulations prescribe how the information is to be organised—be organised in accordance with the regulations</w:t>
      </w:r>
      <w:r w:rsidR="008B1044">
        <w:t>.</w:t>
      </w:r>
    </w:p>
    <w:p w:rsidR="000C41C7" w:rsidRPr="00EF7182" w:rsidRDefault="000C41C7" w:rsidP="00EF7182">
      <w:pPr>
        <w:pStyle w:val="subsection"/>
      </w:pPr>
      <w:r w:rsidRPr="00EF7182">
        <w:tab/>
        <w:t>(3)</w:t>
      </w:r>
      <w:r w:rsidRPr="00EF7182">
        <w:tab/>
        <w:t>The regulations may prescribe circumstances in which information need not be included in the information published by ASIC under this section</w:t>
      </w:r>
      <w:r w:rsidR="008B1044">
        <w:t>.</w:t>
      </w:r>
    </w:p>
    <w:p w:rsidR="000C41C7" w:rsidRPr="00EF7182" w:rsidRDefault="000C41C7" w:rsidP="00EF7182">
      <w:pPr>
        <w:pStyle w:val="subsection"/>
      </w:pPr>
      <w:r w:rsidRPr="00EF7182">
        <w:tab/>
        <w:t>(4)</w:t>
      </w:r>
      <w:r w:rsidRPr="00EF7182">
        <w:tab/>
        <w:t xml:space="preserve">ASIC may correct any error in, or omission from, </w:t>
      </w:r>
      <w:r w:rsidR="00B93C19" w:rsidRPr="00EF7182">
        <w:t xml:space="preserve">information </w:t>
      </w:r>
      <w:r w:rsidRPr="00EF7182">
        <w:t>published under this section</w:t>
      </w:r>
      <w:r w:rsidR="008B1044">
        <w:t>.</w:t>
      </w:r>
    </w:p>
    <w:p w:rsidR="00A467DC" w:rsidRDefault="00341757" w:rsidP="00A467DC">
      <w:pPr>
        <w:pStyle w:val="ItemHead"/>
      </w:pPr>
      <w:bookmarkStart w:id="51" w:name="_Toc30410452"/>
      <w:r>
        <w:t>6</w:t>
      </w:r>
      <w:r w:rsidR="00A467DC">
        <w:t xml:space="preserve">  Before section 912F</w:t>
      </w:r>
    </w:p>
    <w:p w:rsidR="00A467DC" w:rsidRPr="00A467DC" w:rsidRDefault="00A467DC" w:rsidP="00A467DC">
      <w:pPr>
        <w:pStyle w:val="Item"/>
      </w:pPr>
      <w:r>
        <w:t>Insert:</w:t>
      </w:r>
    </w:p>
    <w:p w:rsidR="006E37E6" w:rsidRPr="009D0802" w:rsidRDefault="006E37E6" w:rsidP="006E37E6">
      <w:pPr>
        <w:pStyle w:val="ActHead4"/>
      </w:pPr>
      <w:r w:rsidRPr="001A6D2E">
        <w:rPr>
          <w:rStyle w:val="CharSubdNo"/>
        </w:rPr>
        <w:t>Subdivision C</w:t>
      </w:r>
      <w:r w:rsidRPr="009D0802">
        <w:t>—</w:t>
      </w:r>
      <w:r w:rsidRPr="001A6D2E">
        <w:rPr>
          <w:rStyle w:val="CharSubdText"/>
        </w:rPr>
        <w:t>Notifying and remediating clients affected by reportable situations</w:t>
      </w:r>
      <w:bookmarkEnd w:id="51"/>
    </w:p>
    <w:p w:rsidR="006E37E6" w:rsidRPr="009D0802" w:rsidRDefault="008B1044" w:rsidP="006E37E6">
      <w:pPr>
        <w:pStyle w:val="ActHead5"/>
      </w:pPr>
      <w:bookmarkStart w:id="52" w:name="_Toc30410453"/>
      <w:r w:rsidRPr="001A6D2E">
        <w:rPr>
          <w:rStyle w:val="CharSectno"/>
        </w:rPr>
        <w:t>912EA</w:t>
      </w:r>
      <w:r w:rsidR="006E37E6" w:rsidRPr="009D0802">
        <w:t xml:space="preserve">  Reporting to clients affected by a reportable situation</w:t>
      </w:r>
      <w:bookmarkEnd w:id="52"/>
    </w:p>
    <w:p w:rsidR="006E37E6" w:rsidRPr="009D0802" w:rsidRDefault="006E37E6" w:rsidP="006E37E6">
      <w:pPr>
        <w:pStyle w:val="SubsectionHead"/>
      </w:pPr>
      <w:r w:rsidRPr="009D0802">
        <w:t>Notifying an affected client of a reportable situation</w:t>
      </w:r>
    </w:p>
    <w:p w:rsidR="006E37E6" w:rsidRPr="009D0802" w:rsidRDefault="006E37E6" w:rsidP="006E37E6">
      <w:pPr>
        <w:pStyle w:val="subsection"/>
      </w:pPr>
      <w:r w:rsidRPr="009D0802">
        <w:tab/>
        <w:t>(1)</w:t>
      </w:r>
      <w:r w:rsidRPr="009D0802">
        <w:tab/>
        <w:t xml:space="preserve">A financial services licensee must take reasonable steps to notify a person (the </w:t>
      </w:r>
      <w:r w:rsidRPr="009D0802">
        <w:rPr>
          <w:b/>
          <w:i/>
        </w:rPr>
        <w:t>affected client</w:t>
      </w:r>
      <w:r w:rsidRPr="009D0802">
        <w:t>) of a reportable situation in accordance with this section if:</w:t>
      </w:r>
    </w:p>
    <w:p w:rsidR="006E37E6" w:rsidRPr="009D0802" w:rsidRDefault="006E37E6" w:rsidP="006E37E6">
      <w:pPr>
        <w:pStyle w:val="paragraph"/>
      </w:pPr>
      <w:r w:rsidRPr="009D0802">
        <w:tab/>
        <w:t>(a)</w:t>
      </w:r>
      <w:r w:rsidRPr="009D0802">
        <w:tab/>
        <w:t>the licensee, or a representative of the licensee, provides or has provided personal advice to the affected client as a retail client in relation to a relevant financial product; and</w:t>
      </w:r>
    </w:p>
    <w:p w:rsidR="006E37E6" w:rsidRPr="009D0802" w:rsidRDefault="006E37E6" w:rsidP="006E37E6">
      <w:pPr>
        <w:pStyle w:val="paragraph"/>
      </w:pPr>
      <w:r w:rsidRPr="009D0802">
        <w:tab/>
        <w:t>(b)</w:t>
      </w:r>
      <w:r w:rsidRPr="009D0802">
        <w:tab/>
        <w:t>there are reason</w:t>
      </w:r>
      <w:bookmarkStart w:id="53" w:name="BK_S1P2L18C22"/>
      <w:bookmarkEnd w:id="53"/>
      <w:r w:rsidRPr="009D0802">
        <w:t>able grounds to believe that the reportable situation has arisen in relation to the licensee as mentioned in:</w:t>
      </w:r>
    </w:p>
    <w:p w:rsidR="006E37E6" w:rsidRPr="009D0802" w:rsidRDefault="006E37E6" w:rsidP="006E37E6">
      <w:pPr>
        <w:pStyle w:val="paragraphsub"/>
      </w:pPr>
      <w:r w:rsidRPr="009D0802">
        <w:tab/>
        <w:t>(i)</w:t>
      </w:r>
      <w:r w:rsidRPr="009D0802">
        <w:tab/>
        <w:t xml:space="preserve">subparagraph </w:t>
      </w:r>
      <w:r w:rsidR="008B1044">
        <w:t>912D</w:t>
      </w:r>
      <w:r w:rsidRPr="009D0802">
        <w:t xml:space="preserve">(1)(a)(i) and paragraph </w:t>
      </w:r>
      <w:r w:rsidR="008B1044">
        <w:t>912D</w:t>
      </w:r>
      <w:r w:rsidRPr="009D0802">
        <w:t>(1)(b) (significant breach of a core obligation); or</w:t>
      </w:r>
    </w:p>
    <w:p w:rsidR="006E37E6" w:rsidRPr="009D0802" w:rsidRDefault="006E37E6" w:rsidP="006E37E6">
      <w:pPr>
        <w:pStyle w:val="paragraphsub"/>
      </w:pPr>
      <w:r w:rsidRPr="009D0802">
        <w:tab/>
        <w:t>(ii)</w:t>
      </w:r>
      <w:r w:rsidRPr="009D0802">
        <w:tab/>
        <w:t xml:space="preserve">subsection </w:t>
      </w:r>
      <w:r w:rsidR="008B1044">
        <w:t>912D</w:t>
      </w:r>
      <w:r w:rsidRPr="009D0802">
        <w:t>(2) (gross negligence or serious fraud); and</w:t>
      </w:r>
    </w:p>
    <w:p w:rsidR="006E37E6" w:rsidRPr="009D0802" w:rsidRDefault="006E37E6" w:rsidP="006E37E6">
      <w:pPr>
        <w:pStyle w:val="paragraph"/>
      </w:pPr>
      <w:r w:rsidRPr="009D0802">
        <w:tab/>
        <w:t>(c)</w:t>
      </w:r>
      <w:r w:rsidRPr="009D0802">
        <w:tab/>
        <w:t>there are reason</w:t>
      </w:r>
      <w:bookmarkStart w:id="54" w:name="BK_S1P2L26C22"/>
      <w:bookmarkEnd w:id="54"/>
      <w:r w:rsidRPr="009D0802">
        <w:t>able grounds to suspect that:</w:t>
      </w:r>
    </w:p>
    <w:p w:rsidR="006E37E6" w:rsidRPr="009D0802" w:rsidRDefault="006E37E6" w:rsidP="006E37E6">
      <w:pPr>
        <w:pStyle w:val="paragraphsub"/>
      </w:pPr>
      <w:r w:rsidRPr="009D0802">
        <w:tab/>
        <w:t>(i)</w:t>
      </w:r>
      <w:r w:rsidRPr="009D0802">
        <w:tab/>
        <w:t>the affected client has suffered or will suffer loss or damage as a result of the reportable situation; and</w:t>
      </w:r>
    </w:p>
    <w:p w:rsidR="006E37E6" w:rsidRPr="009D0802" w:rsidRDefault="006E37E6" w:rsidP="006E37E6">
      <w:pPr>
        <w:pStyle w:val="paragraphsub"/>
      </w:pPr>
      <w:r w:rsidRPr="009D0802">
        <w:tab/>
        <w:t>(ii)</w:t>
      </w:r>
      <w:r w:rsidRPr="009D0802">
        <w:tab/>
        <w:t>the affected client has a legally enforceable right to recover the loss or damage from the financial services licensee</w:t>
      </w:r>
      <w:r w:rsidR="008B1044">
        <w:t>.</w:t>
      </w:r>
    </w:p>
    <w:p w:rsidR="006E37E6" w:rsidRPr="009D0802" w:rsidRDefault="006E37E6" w:rsidP="006E37E6">
      <w:pPr>
        <w:pStyle w:val="notetext"/>
      </w:pPr>
      <w:r w:rsidRPr="009D0802">
        <w:t>Note:</w:t>
      </w:r>
      <w:r w:rsidRPr="009D0802">
        <w:tab/>
        <w:t>Failure to comply with this subsection is an offence (see subsection 1311(1))</w:t>
      </w:r>
      <w:r w:rsidR="008B1044">
        <w:t>.</w:t>
      </w:r>
    </w:p>
    <w:p w:rsidR="006E37E6" w:rsidRPr="009D0802" w:rsidRDefault="006E37E6" w:rsidP="006E37E6">
      <w:pPr>
        <w:pStyle w:val="SubsectionHead"/>
      </w:pPr>
      <w:r w:rsidRPr="009D0802">
        <w:t>Form and period for giving notice</w:t>
      </w:r>
    </w:p>
    <w:p w:rsidR="006E37E6" w:rsidRPr="009D0802" w:rsidRDefault="006E37E6" w:rsidP="006E37E6">
      <w:pPr>
        <w:pStyle w:val="subsection"/>
      </w:pPr>
      <w:r w:rsidRPr="009D0802">
        <w:tab/>
        <w:t>(2)</w:t>
      </w:r>
      <w:r w:rsidRPr="009D0802">
        <w:tab/>
        <w:t>A notice under this section must be given:</w:t>
      </w:r>
    </w:p>
    <w:p w:rsidR="006E37E6" w:rsidRPr="009D0802" w:rsidRDefault="006E37E6" w:rsidP="006E37E6">
      <w:pPr>
        <w:pStyle w:val="paragraph"/>
      </w:pPr>
      <w:r w:rsidRPr="009D0802">
        <w:tab/>
        <w:t>(a)</w:t>
      </w:r>
      <w:r w:rsidRPr="009D0802">
        <w:tab/>
        <w:t>in writi</w:t>
      </w:r>
      <w:bookmarkStart w:id="55" w:name="BK_S1P3L3C14"/>
      <w:bookmarkEnd w:id="55"/>
      <w:r w:rsidRPr="009D0802">
        <w:t>ng; and</w:t>
      </w:r>
    </w:p>
    <w:p w:rsidR="006E37E6" w:rsidRPr="009D0802" w:rsidRDefault="006E37E6" w:rsidP="006E37E6">
      <w:pPr>
        <w:pStyle w:val="paragraph"/>
      </w:pPr>
      <w:r w:rsidRPr="009D0802">
        <w:tab/>
        <w:t>(b)</w:t>
      </w:r>
      <w:r w:rsidRPr="009D0802">
        <w:tab/>
        <w:t>if ASIC has approved the form</w:t>
      </w:r>
      <w:bookmarkStart w:id="56" w:name="BK_S1P3L4C35"/>
      <w:bookmarkEnd w:id="56"/>
      <w:r w:rsidRPr="009D0802">
        <w:t xml:space="preserve"> in which the notice must be given—in the approved form; and</w:t>
      </w:r>
    </w:p>
    <w:p w:rsidR="006E37E6" w:rsidRPr="009D0802" w:rsidRDefault="006E37E6" w:rsidP="006E37E6">
      <w:pPr>
        <w:pStyle w:val="paragraph"/>
      </w:pPr>
      <w:r w:rsidRPr="009D0802">
        <w:tab/>
        <w:t>(c)</w:t>
      </w:r>
      <w:r w:rsidRPr="009D0802">
        <w:tab/>
        <w:t>within 30 days after the licensee first reasonably knows of the matters mentioned in paragraphs (1)(a), (b) and (c)</w:t>
      </w:r>
      <w:r w:rsidR="008B1044">
        <w:t>.</w:t>
      </w:r>
    </w:p>
    <w:p w:rsidR="006E37E6" w:rsidRPr="009D0802" w:rsidRDefault="006E37E6" w:rsidP="006E37E6">
      <w:pPr>
        <w:pStyle w:val="notetext"/>
      </w:pPr>
      <w:r w:rsidRPr="009D0802">
        <w:t>Note:</w:t>
      </w:r>
      <w:r w:rsidRPr="009D0802">
        <w:tab/>
      </w:r>
      <w:r w:rsidRPr="009D0802">
        <w:rPr>
          <w:b/>
          <w:i/>
        </w:rPr>
        <w:t>Reasonably knows</w:t>
      </w:r>
      <w:r w:rsidRPr="009D0802">
        <w:t xml:space="preserve"> is defined in section </w:t>
      </w:r>
      <w:r w:rsidR="008B1044">
        <w:t>912DAA.</w:t>
      </w:r>
    </w:p>
    <w:p w:rsidR="006E37E6" w:rsidRPr="009D0802" w:rsidRDefault="006E37E6" w:rsidP="006E37E6">
      <w:pPr>
        <w:pStyle w:val="SubsectionHead"/>
      </w:pPr>
      <w:r w:rsidRPr="009D0802">
        <w:t>Civil penalty provision</w:t>
      </w:r>
    </w:p>
    <w:p w:rsidR="006E37E6" w:rsidRPr="009D0802" w:rsidRDefault="006E37E6" w:rsidP="006E37E6">
      <w:pPr>
        <w:pStyle w:val="subsection"/>
      </w:pPr>
      <w:r w:rsidRPr="009D0802">
        <w:tab/>
        <w:t>(3)</w:t>
      </w:r>
      <w:r w:rsidRPr="009D0802">
        <w:tab/>
        <w:t>A person contravenes this subsection if the person contravenes subsection (1)</w:t>
      </w:r>
      <w:r w:rsidR="008B1044">
        <w:t>.</w:t>
      </w:r>
    </w:p>
    <w:p w:rsidR="006E37E6" w:rsidRPr="009D0802" w:rsidRDefault="006E37E6" w:rsidP="006E37E6">
      <w:pPr>
        <w:pStyle w:val="notetext"/>
      </w:pPr>
      <w:r w:rsidRPr="009D0802">
        <w:t>Note:</w:t>
      </w:r>
      <w:r w:rsidRPr="009D0802">
        <w:tab/>
        <w:t>This subsection is a civil penalty provision (see section 1317E)</w:t>
      </w:r>
      <w:r w:rsidR="008B1044">
        <w:t>.</w:t>
      </w:r>
    </w:p>
    <w:p w:rsidR="006E37E6" w:rsidRPr="009D0802" w:rsidRDefault="008B1044" w:rsidP="006E37E6">
      <w:pPr>
        <w:pStyle w:val="ActHead5"/>
      </w:pPr>
      <w:bookmarkStart w:id="57" w:name="_Toc30410454"/>
      <w:r w:rsidRPr="001A6D2E">
        <w:rPr>
          <w:rStyle w:val="CharSectno"/>
        </w:rPr>
        <w:t>912EB</w:t>
      </w:r>
      <w:r w:rsidR="006E37E6" w:rsidRPr="009D0802">
        <w:t xml:space="preserve">  Obligation to investigate reportable situations that may affect clients</w:t>
      </w:r>
      <w:bookmarkEnd w:id="57"/>
    </w:p>
    <w:p w:rsidR="006E37E6" w:rsidRPr="009D0802" w:rsidRDefault="006E37E6" w:rsidP="006E37E6">
      <w:pPr>
        <w:pStyle w:val="SubsectionHead"/>
      </w:pPr>
      <w:r w:rsidRPr="009D0802">
        <w:t>Obligation to investigate</w:t>
      </w:r>
    </w:p>
    <w:p w:rsidR="006E37E6" w:rsidRPr="009D0802" w:rsidRDefault="006E37E6" w:rsidP="006E37E6">
      <w:pPr>
        <w:pStyle w:val="subsection"/>
      </w:pPr>
      <w:r w:rsidRPr="009D0802">
        <w:tab/>
        <w:t>(1)</w:t>
      </w:r>
      <w:r w:rsidRPr="009D0802">
        <w:tab/>
        <w:t>A financial services licensee must conduct an investigation into a reportable situation in accordance with this section if:</w:t>
      </w:r>
    </w:p>
    <w:p w:rsidR="006E37E6" w:rsidRPr="009D0802" w:rsidRDefault="006E37E6" w:rsidP="006E37E6">
      <w:pPr>
        <w:pStyle w:val="paragraph"/>
      </w:pPr>
      <w:r w:rsidRPr="009D0802">
        <w:tab/>
        <w:t>(a)</w:t>
      </w:r>
      <w:r w:rsidRPr="009D0802">
        <w:tab/>
        <w:t xml:space="preserve">the licensee, or a representative of the licensee, provides or has provided personal advice to a person as a retail client (the </w:t>
      </w:r>
      <w:r w:rsidRPr="009D0802">
        <w:rPr>
          <w:b/>
          <w:i/>
        </w:rPr>
        <w:t>affected client</w:t>
      </w:r>
      <w:r w:rsidRPr="009D0802">
        <w:t>) in relation to a relevant financial product; and</w:t>
      </w:r>
    </w:p>
    <w:p w:rsidR="006E37E6" w:rsidRPr="009D0802" w:rsidRDefault="006E37E6" w:rsidP="006E37E6">
      <w:pPr>
        <w:pStyle w:val="paragraph"/>
      </w:pPr>
      <w:r w:rsidRPr="009D0802">
        <w:tab/>
        <w:t>(b)</w:t>
      </w:r>
      <w:r w:rsidRPr="009D0802">
        <w:tab/>
        <w:t>there are reasonable grounds to believe that the reportable situation has arisen in relation to the licensee as mentioned in:</w:t>
      </w:r>
    </w:p>
    <w:p w:rsidR="006E37E6" w:rsidRPr="009D0802" w:rsidRDefault="006E37E6" w:rsidP="006E37E6">
      <w:pPr>
        <w:pStyle w:val="paragraphsub"/>
      </w:pPr>
      <w:r w:rsidRPr="009D0802">
        <w:tab/>
        <w:t>(i)</w:t>
      </w:r>
      <w:r w:rsidRPr="009D0802">
        <w:tab/>
        <w:t xml:space="preserve">subparagraph </w:t>
      </w:r>
      <w:r w:rsidR="008B1044">
        <w:t>912D</w:t>
      </w:r>
      <w:r w:rsidRPr="009D0802">
        <w:t xml:space="preserve">(1)(a)(i) and paragraph </w:t>
      </w:r>
      <w:r w:rsidR="008B1044">
        <w:t>912D</w:t>
      </w:r>
      <w:r w:rsidRPr="009D0802">
        <w:t>(1)(b) (significant breach of a core obligation); or</w:t>
      </w:r>
    </w:p>
    <w:p w:rsidR="006E37E6" w:rsidRPr="009D0802" w:rsidRDefault="006E37E6" w:rsidP="006E37E6">
      <w:pPr>
        <w:pStyle w:val="paragraphsub"/>
      </w:pPr>
      <w:r w:rsidRPr="009D0802">
        <w:tab/>
        <w:t>(ii)</w:t>
      </w:r>
      <w:r w:rsidRPr="009D0802">
        <w:tab/>
        <w:t xml:space="preserve">subsection </w:t>
      </w:r>
      <w:r w:rsidR="008B1044">
        <w:t>912D</w:t>
      </w:r>
      <w:r w:rsidRPr="009D0802">
        <w:t>(2) (gross negligence or serious fraud); and</w:t>
      </w:r>
    </w:p>
    <w:p w:rsidR="006E37E6" w:rsidRPr="009D0802" w:rsidRDefault="006E37E6" w:rsidP="006E37E6">
      <w:pPr>
        <w:pStyle w:val="paragraph"/>
      </w:pPr>
      <w:r w:rsidRPr="009D0802">
        <w:tab/>
        <w:t>(c)</w:t>
      </w:r>
      <w:r w:rsidRPr="009D0802">
        <w:tab/>
        <w:t>there are reasonable grounds to suspect that:</w:t>
      </w:r>
    </w:p>
    <w:p w:rsidR="006E37E6" w:rsidRPr="009D0802" w:rsidRDefault="006E37E6" w:rsidP="006E37E6">
      <w:pPr>
        <w:pStyle w:val="paragraphsub"/>
      </w:pPr>
      <w:r w:rsidRPr="009D0802">
        <w:tab/>
        <w:t>(i)</w:t>
      </w:r>
      <w:r w:rsidRPr="009D0802">
        <w:tab/>
        <w:t>the affected client has suffered or will suffer loss or damage as a result of the reportable situation; and</w:t>
      </w:r>
    </w:p>
    <w:p w:rsidR="006E37E6" w:rsidRPr="009D0802" w:rsidRDefault="006E37E6" w:rsidP="006E37E6">
      <w:pPr>
        <w:pStyle w:val="paragraphsub"/>
      </w:pPr>
      <w:r w:rsidRPr="009D0802">
        <w:tab/>
        <w:t>(ii)</w:t>
      </w:r>
      <w:r w:rsidRPr="009D0802">
        <w:tab/>
        <w:t>the affected client has a legally enforceable right to recover the loss or damage from the financial services licensee</w:t>
      </w:r>
      <w:r w:rsidR="008B1044">
        <w:t>.</w:t>
      </w:r>
    </w:p>
    <w:p w:rsidR="006E37E6" w:rsidRPr="009D0802" w:rsidRDefault="006E37E6" w:rsidP="006E37E6">
      <w:pPr>
        <w:pStyle w:val="notetext"/>
      </w:pPr>
      <w:r w:rsidRPr="009D0802">
        <w:t>Note:</w:t>
      </w:r>
      <w:r w:rsidRPr="009D0802">
        <w:tab/>
        <w:t>Failure to comply with this subsection is an offence (see subsection 1311(1))</w:t>
      </w:r>
      <w:r w:rsidR="008B1044">
        <w:t>.</w:t>
      </w:r>
    </w:p>
    <w:p w:rsidR="006E37E6" w:rsidRPr="009D0802" w:rsidRDefault="006E37E6" w:rsidP="006E37E6">
      <w:pPr>
        <w:pStyle w:val="SubsectionHead"/>
      </w:pPr>
      <w:r w:rsidRPr="009D0802">
        <w:t>Period within which investigation must be commenced</w:t>
      </w:r>
    </w:p>
    <w:p w:rsidR="006E37E6" w:rsidRPr="009D0802" w:rsidRDefault="006E37E6" w:rsidP="006E37E6">
      <w:pPr>
        <w:pStyle w:val="subsection"/>
      </w:pPr>
      <w:r w:rsidRPr="009D0802">
        <w:tab/>
        <w:t>(2)</w:t>
      </w:r>
      <w:r w:rsidRPr="009D0802">
        <w:tab/>
        <w:t>The investigation must be commenced within 30 days after the financial services licensee first reasonably knows of the matters mentioned in paragraphs (1)(a), (b) and (c)</w:t>
      </w:r>
      <w:r w:rsidR="008B1044">
        <w:t>.</w:t>
      </w:r>
    </w:p>
    <w:p w:rsidR="006E37E6" w:rsidRPr="009D0802" w:rsidRDefault="006E37E6" w:rsidP="006E37E6">
      <w:pPr>
        <w:pStyle w:val="notetext"/>
      </w:pPr>
      <w:r w:rsidRPr="009D0802">
        <w:t>Note:</w:t>
      </w:r>
      <w:r w:rsidRPr="009D0802">
        <w:tab/>
      </w:r>
      <w:r w:rsidRPr="009D0802">
        <w:rPr>
          <w:b/>
          <w:i/>
        </w:rPr>
        <w:t>Reasonably knows</w:t>
      </w:r>
      <w:r w:rsidRPr="009D0802">
        <w:t xml:space="preserve"> is defined in section </w:t>
      </w:r>
      <w:r w:rsidR="008B1044">
        <w:t>912DAA.</w:t>
      </w:r>
    </w:p>
    <w:p w:rsidR="006E37E6" w:rsidRPr="009D0802" w:rsidRDefault="006E37E6" w:rsidP="006E37E6">
      <w:pPr>
        <w:pStyle w:val="SubsectionHead"/>
      </w:pPr>
      <w:r w:rsidRPr="009D0802">
        <w:t>Matters to be considered in the investigation</w:t>
      </w:r>
    </w:p>
    <w:p w:rsidR="006E37E6" w:rsidRPr="009D0802" w:rsidRDefault="006E37E6" w:rsidP="006E37E6">
      <w:pPr>
        <w:pStyle w:val="subsection"/>
      </w:pPr>
      <w:r w:rsidRPr="009D0802">
        <w:tab/>
        <w:t>(3)</w:t>
      </w:r>
      <w:r w:rsidRPr="009D0802">
        <w:tab/>
        <w:t>In conducting the investigation, the financial services licensee must:</w:t>
      </w:r>
    </w:p>
    <w:p w:rsidR="006E37E6" w:rsidRPr="009D0802" w:rsidRDefault="006E37E6" w:rsidP="006E37E6">
      <w:pPr>
        <w:pStyle w:val="paragraph"/>
      </w:pPr>
      <w:r w:rsidRPr="009D0802">
        <w:tab/>
        <w:t>(a)</w:t>
      </w:r>
      <w:r w:rsidRPr="009D0802">
        <w:tab/>
        <w:t>identify the conduct that gave rise to the reportable situation; and</w:t>
      </w:r>
    </w:p>
    <w:p w:rsidR="006E37E6" w:rsidRPr="009D0802" w:rsidRDefault="006E37E6" w:rsidP="006E37E6">
      <w:pPr>
        <w:pStyle w:val="paragraph"/>
      </w:pPr>
      <w:r w:rsidRPr="009D0802">
        <w:tab/>
        <w:t>(b)</w:t>
      </w:r>
      <w:r w:rsidRPr="009D0802">
        <w:tab/>
        <w:t>quantify the loss or damage that there are reasonable grounds to believe:</w:t>
      </w:r>
    </w:p>
    <w:p w:rsidR="006E37E6" w:rsidRPr="009D0802" w:rsidRDefault="006E37E6" w:rsidP="006E37E6">
      <w:pPr>
        <w:pStyle w:val="paragraphsub"/>
      </w:pPr>
      <w:r w:rsidRPr="009D0802">
        <w:tab/>
        <w:t>(i)</w:t>
      </w:r>
      <w:r w:rsidRPr="009D0802">
        <w:tab/>
        <w:t>the affected client has suffered or will suffer as a result of the reportable situation; and</w:t>
      </w:r>
    </w:p>
    <w:p w:rsidR="006E37E6" w:rsidRPr="009D0802" w:rsidRDefault="006E37E6" w:rsidP="006E37E6">
      <w:pPr>
        <w:pStyle w:val="paragraphsub"/>
      </w:pPr>
      <w:r w:rsidRPr="009D0802">
        <w:tab/>
        <w:t>(ii)</w:t>
      </w:r>
      <w:r w:rsidRPr="009D0802">
        <w:tab/>
        <w:t>the affected client has a legally enforceable right to recover from the financial services licensee; and</w:t>
      </w:r>
    </w:p>
    <w:p w:rsidR="006E37E6" w:rsidRPr="009D0802" w:rsidRDefault="006E37E6" w:rsidP="006E37E6">
      <w:pPr>
        <w:pStyle w:val="paragraph"/>
      </w:pPr>
      <w:r w:rsidRPr="009D0802">
        <w:tab/>
        <w:t>(c)</w:t>
      </w:r>
      <w:r w:rsidRPr="009D0802">
        <w:tab/>
        <w:t>do anything else prescribed by the regulation</w:t>
      </w:r>
      <w:bookmarkStart w:id="58" w:name="BK_S1P4L19C51"/>
      <w:bookmarkEnd w:id="58"/>
      <w:r w:rsidRPr="009D0802">
        <w:t>s for the purposes of this paragraph</w:t>
      </w:r>
      <w:r w:rsidR="008B1044">
        <w:t>.</w:t>
      </w:r>
    </w:p>
    <w:p w:rsidR="006E37E6" w:rsidRPr="009D0802" w:rsidRDefault="006E37E6" w:rsidP="006E37E6">
      <w:pPr>
        <w:pStyle w:val="SubsectionHead"/>
      </w:pPr>
      <w:r w:rsidRPr="009D0802">
        <w:t>Completing the investigation</w:t>
      </w:r>
    </w:p>
    <w:p w:rsidR="006E37E6" w:rsidRPr="009D0802" w:rsidRDefault="006E37E6" w:rsidP="006E37E6">
      <w:pPr>
        <w:pStyle w:val="subsection"/>
      </w:pPr>
      <w:r w:rsidRPr="009D0802">
        <w:tab/>
        <w:t>(4)</w:t>
      </w:r>
      <w:r w:rsidRPr="009D0802">
        <w:tab/>
        <w:t>The investigation must be completed as soon as is reasonably practicable after it is commenced</w:t>
      </w:r>
      <w:r w:rsidR="008B1044">
        <w:t>.</w:t>
      </w:r>
    </w:p>
    <w:p w:rsidR="006E37E6" w:rsidRPr="009D0802" w:rsidRDefault="006E37E6" w:rsidP="006E37E6">
      <w:pPr>
        <w:pStyle w:val="SubsectionHead"/>
      </w:pPr>
      <w:r w:rsidRPr="009D0802">
        <w:t>Notifying affected client</w:t>
      </w:r>
    </w:p>
    <w:p w:rsidR="006E37E6" w:rsidRPr="009D0802" w:rsidRDefault="006E37E6" w:rsidP="006E37E6">
      <w:pPr>
        <w:pStyle w:val="subsection"/>
      </w:pPr>
      <w:r w:rsidRPr="009D0802">
        <w:tab/>
        <w:t>(5)</w:t>
      </w:r>
      <w:r w:rsidRPr="009D0802">
        <w:tab/>
        <w:t>The financial services licensee must take reasonable steps to notify the affected client of the outcome of the investigation:</w:t>
      </w:r>
    </w:p>
    <w:p w:rsidR="006E37E6" w:rsidRPr="009D0802" w:rsidRDefault="006E37E6" w:rsidP="006E37E6">
      <w:pPr>
        <w:pStyle w:val="paragraph"/>
      </w:pPr>
      <w:r w:rsidRPr="009D0802">
        <w:tab/>
        <w:t>(a)</w:t>
      </w:r>
      <w:r w:rsidRPr="009D0802">
        <w:tab/>
        <w:t>in writing; and</w:t>
      </w:r>
    </w:p>
    <w:p w:rsidR="006E37E6" w:rsidRPr="009D0802" w:rsidRDefault="006E37E6" w:rsidP="006E37E6">
      <w:pPr>
        <w:pStyle w:val="paragraph"/>
      </w:pPr>
      <w:r w:rsidRPr="009D0802">
        <w:tab/>
        <w:t>(b)</w:t>
      </w:r>
      <w:r w:rsidRPr="009D0802">
        <w:tab/>
        <w:t>if ASIC has approved the form in which the notice must be given—in the approved form; and</w:t>
      </w:r>
    </w:p>
    <w:p w:rsidR="006E37E6" w:rsidRPr="009D0802" w:rsidRDefault="006E37E6" w:rsidP="006E37E6">
      <w:pPr>
        <w:pStyle w:val="paragraph"/>
      </w:pPr>
      <w:r w:rsidRPr="009D0802">
        <w:tab/>
        <w:t>(c)</w:t>
      </w:r>
      <w:r w:rsidRPr="009D0802">
        <w:tab/>
        <w:t>within 10 days after the completion of the investigation</w:t>
      </w:r>
      <w:r w:rsidR="008B1044">
        <w:t>.</w:t>
      </w:r>
    </w:p>
    <w:p w:rsidR="006E37E6" w:rsidRPr="009D0802" w:rsidRDefault="006E37E6" w:rsidP="006E37E6">
      <w:pPr>
        <w:pStyle w:val="notetext"/>
      </w:pPr>
      <w:r w:rsidRPr="009D0802">
        <w:t>Note:</w:t>
      </w:r>
      <w:r w:rsidRPr="009D0802">
        <w:tab/>
        <w:t>Failure to comply with this subsection is an offence (see subsection 1311(1))</w:t>
      </w:r>
      <w:r w:rsidR="008B1044">
        <w:t>.</w:t>
      </w:r>
    </w:p>
    <w:p w:rsidR="006E37E6" w:rsidRPr="009D0802" w:rsidRDefault="006E37E6" w:rsidP="006E37E6">
      <w:pPr>
        <w:pStyle w:val="SubsectionHead"/>
      </w:pPr>
      <w:r w:rsidRPr="009D0802">
        <w:t>Compensating the affected client for loss or damage</w:t>
      </w:r>
    </w:p>
    <w:p w:rsidR="006E37E6" w:rsidRPr="009D0802" w:rsidRDefault="006E37E6" w:rsidP="006E37E6">
      <w:pPr>
        <w:pStyle w:val="subsection"/>
      </w:pPr>
      <w:r w:rsidRPr="009D0802">
        <w:tab/>
        <w:t>(6)</w:t>
      </w:r>
      <w:r w:rsidRPr="009D0802">
        <w:tab/>
        <w:t>If, after the investigation is completed, there are reasonable grounds to believe that:</w:t>
      </w:r>
    </w:p>
    <w:p w:rsidR="006E37E6" w:rsidRPr="009D0802" w:rsidRDefault="006E37E6" w:rsidP="006E37E6">
      <w:pPr>
        <w:pStyle w:val="paragraph"/>
      </w:pPr>
      <w:r w:rsidRPr="009D0802">
        <w:tab/>
        <w:t>(a)</w:t>
      </w:r>
      <w:r w:rsidRPr="009D0802">
        <w:tab/>
        <w:t>the affected client has suffered or will suffer loss or damage as a result of the reportable situation; and</w:t>
      </w:r>
    </w:p>
    <w:p w:rsidR="006E37E6" w:rsidRPr="009D0802" w:rsidRDefault="006E37E6" w:rsidP="006E37E6">
      <w:pPr>
        <w:pStyle w:val="paragraph"/>
      </w:pPr>
      <w:r w:rsidRPr="009D0802">
        <w:tab/>
        <w:t>(b)</w:t>
      </w:r>
      <w:r w:rsidRPr="009D0802">
        <w:tab/>
        <w:t>the affected client has a legally enforceable right to recover the loss or damage from the financial services licensee;</w:t>
      </w:r>
    </w:p>
    <w:p w:rsidR="006E37E6" w:rsidRPr="009D0802" w:rsidRDefault="006E37E6" w:rsidP="006E37E6">
      <w:pPr>
        <w:pStyle w:val="subsection2"/>
      </w:pPr>
      <w:r w:rsidRPr="009D0802">
        <w:t>the financial services licensee must take reasonable steps to pay the affected client an amount equal to the loss or damage within 30 days after the investigation is completed</w:t>
      </w:r>
      <w:r w:rsidR="008B1044">
        <w:t>.</w:t>
      </w:r>
    </w:p>
    <w:p w:rsidR="006E37E6" w:rsidRPr="009D0802" w:rsidRDefault="006E37E6" w:rsidP="006E37E6">
      <w:pPr>
        <w:pStyle w:val="notetext"/>
      </w:pPr>
      <w:r w:rsidRPr="009D0802">
        <w:t>Note:</w:t>
      </w:r>
      <w:r w:rsidRPr="009D0802">
        <w:tab/>
        <w:t>Failure to comply with this subsection is an offence (see subsection 1311(1))</w:t>
      </w:r>
      <w:r w:rsidR="008B1044">
        <w:t>.</w:t>
      </w:r>
    </w:p>
    <w:p w:rsidR="006E37E6" w:rsidRPr="009D0802" w:rsidRDefault="006E37E6" w:rsidP="006E37E6">
      <w:pPr>
        <w:pStyle w:val="SubsectionHead"/>
      </w:pPr>
      <w:r w:rsidRPr="009D0802">
        <w:t>Civil penalty provision</w:t>
      </w:r>
    </w:p>
    <w:p w:rsidR="006E37E6" w:rsidRPr="009D0802" w:rsidRDefault="006E37E6" w:rsidP="006E37E6">
      <w:pPr>
        <w:pStyle w:val="subsection"/>
      </w:pPr>
      <w:r w:rsidRPr="009D0802">
        <w:tab/>
        <w:t>(7)</w:t>
      </w:r>
      <w:r w:rsidRPr="009D0802">
        <w:tab/>
        <w:t>A person contravenes this subsection if the person contravenes subsection (1), (5) or (6)</w:t>
      </w:r>
      <w:r w:rsidR="008B1044">
        <w:t>.</w:t>
      </w:r>
    </w:p>
    <w:p w:rsidR="006E37E6" w:rsidRPr="009D0802" w:rsidRDefault="006E37E6" w:rsidP="006E37E6">
      <w:pPr>
        <w:pStyle w:val="notetext"/>
      </w:pPr>
      <w:r w:rsidRPr="009D0802">
        <w:t>Note:</w:t>
      </w:r>
      <w:r w:rsidRPr="009D0802">
        <w:tab/>
        <w:t>This subsection is a civil penalty provision (see section 1317E)</w:t>
      </w:r>
      <w:r w:rsidR="008B1044">
        <w:t>.</w:t>
      </w:r>
    </w:p>
    <w:p w:rsidR="006E37E6" w:rsidRPr="009D0802" w:rsidRDefault="006E37E6" w:rsidP="006E37E6">
      <w:pPr>
        <w:pStyle w:val="SubsectionHead"/>
      </w:pPr>
      <w:r w:rsidRPr="009D0802">
        <w:t>Nothing affects right of affected client to pursue legally enforceable rights</w:t>
      </w:r>
    </w:p>
    <w:p w:rsidR="006E37E6" w:rsidRPr="009D0802" w:rsidRDefault="006E37E6" w:rsidP="006E37E6">
      <w:pPr>
        <w:pStyle w:val="subsection"/>
      </w:pPr>
      <w:r w:rsidRPr="009D0802">
        <w:tab/>
        <w:t>(8)</w:t>
      </w:r>
      <w:r w:rsidRPr="009D0802">
        <w:tab/>
        <w:t>Nothing in this section affects any legally enforceable right of the affected client to recover loss or damage that the affected client suffers, or will suffer, as a result of a reportable situation</w:t>
      </w:r>
      <w:r w:rsidR="008B1044">
        <w:t>.</w:t>
      </w:r>
    </w:p>
    <w:p w:rsidR="006E37E6" w:rsidRPr="009D0802" w:rsidRDefault="006E37E6" w:rsidP="006E37E6">
      <w:pPr>
        <w:pStyle w:val="subsection"/>
      </w:pPr>
      <w:r w:rsidRPr="009D0802">
        <w:tab/>
        <w:t>(9)</w:t>
      </w:r>
      <w:r w:rsidRPr="009D0802">
        <w:tab/>
        <w:t>However, a court may take into account the amount paid by the financial services licensee under this section when quantifying the amount of compensation (if any) to be paid by the financial services licensee in relation to that loss or damage</w:t>
      </w:r>
      <w:r w:rsidR="008B1044">
        <w:t>.</w:t>
      </w:r>
    </w:p>
    <w:p w:rsidR="006E37E6" w:rsidRPr="009D0802" w:rsidRDefault="008B1044" w:rsidP="006E37E6">
      <w:pPr>
        <w:pStyle w:val="ActHead5"/>
      </w:pPr>
      <w:bookmarkStart w:id="59" w:name="_Toc30410455"/>
      <w:r w:rsidRPr="001A6D2E">
        <w:rPr>
          <w:rStyle w:val="CharSectno"/>
        </w:rPr>
        <w:t>912EC</w:t>
      </w:r>
      <w:r w:rsidR="006E37E6" w:rsidRPr="009D0802">
        <w:t xml:space="preserve">  Obligation to keep records of compliance</w:t>
      </w:r>
      <w:bookmarkEnd w:id="59"/>
    </w:p>
    <w:p w:rsidR="006E37E6" w:rsidRPr="009D0802" w:rsidRDefault="006E37E6" w:rsidP="006E37E6">
      <w:pPr>
        <w:pStyle w:val="subsection"/>
      </w:pPr>
      <w:r w:rsidRPr="009D0802">
        <w:tab/>
        <w:t>(1)</w:t>
      </w:r>
      <w:r w:rsidRPr="009D0802">
        <w:tab/>
        <w:t>A financial services licensee must keep records sufficient to enable the licensee’s compliance with this Subdivision to be readily ascertained</w:t>
      </w:r>
      <w:r w:rsidR="008B1044">
        <w:t>.</w:t>
      </w:r>
    </w:p>
    <w:p w:rsidR="006E37E6" w:rsidRPr="009D0802" w:rsidRDefault="006E37E6" w:rsidP="006E37E6">
      <w:pPr>
        <w:pStyle w:val="notetext"/>
      </w:pPr>
      <w:r w:rsidRPr="009D0802">
        <w:t>Note 1:</w:t>
      </w:r>
      <w:r w:rsidRPr="009D0802">
        <w:tab/>
        <w:t>Failure to comply with this subsection is an offence: see subsection 1311(1)</w:t>
      </w:r>
      <w:r w:rsidR="008B1044">
        <w:t>.</w:t>
      </w:r>
    </w:p>
    <w:p w:rsidR="006E37E6" w:rsidRPr="009D0802" w:rsidRDefault="006E37E6" w:rsidP="006E37E6">
      <w:pPr>
        <w:pStyle w:val="notetext"/>
      </w:pPr>
      <w:r w:rsidRPr="009D0802">
        <w:t>Note 2:</w:t>
      </w:r>
      <w:r w:rsidRPr="009D0802">
        <w:tab/>
        <w:t>For preservation of records, see section 1101C</w:t>
      </w:r>
      <w:r w:rsidR="008B1044">
        <w:t>.</w:t>
      </w:r>
    </w:p>
    <w:p w:rsidR="006E37E6" w:rsidRPr="009D0802" w:rsidRDefault="006E37E6" w:rsidP="006E37E6">
      <w:pPr>
        <w:pStyle w:val="subsection"/>
      </w:pPr>
      <w:r w:rsidRPr="009D0802">
        <w:tab/>
        <w:t>(2)</w:t>
      </w:r>
      <w:r w:rsidRPr="009D0802">
        <w:tab/>
        <w:t>The regulations may specify records that the financial services licensee must keep as part of the obligation in subsection (1)</w:t>
      </w:r>
      <w:r w:rsidR="008B1044">
        <w:t>.</w:t>
      </w:r>
    </w:p>
    <w:p w:rsidR="006E37E6" w:rsidRPr="00EF7182" w:rsidRDefault="006E37E6" w:rsidP="006E37E6">
      <w:pPr>
        <w:pStyle w:val="ActHead4"/>
      </w:pPr>
      <w:bookmarkStart w:id="60" w:name="_Toc30410103"/>
      <w:r w:rsidRPr="001A6D2E">
        <w:rPr>
          <w:rStyle w:val="CharSubdNo"/>
        </w:rPr>
        <w:t>Subdivision D</w:t>
      </w:r>
      <w:r w:rsidRPr="00EF7182">
        <w:t>—</w:t>
      </w:r>
      <w:r w:rsidRPr="001A6D2E">
        <w:rPr>
          <w:rStyle w:val="CharSubdText"/>
        </w:rPr>
        <w:t>Miscellaneous</w:t>
      </w:r>
      <w:bookmarkEnd w:id="60"/>
    </w:p>
    <w:p w:rsidR="00B93C19" w:rsidRPr="00EF7182" w:rsidRDefault="00FF1CA5" w:rsidP="00EF7182">
      <w:pPr>
        <w:pStyle w:val="ItemHead"/>
      </w:pPr>
      <w:r w:rsidRPr="00EF7182">
        <w:t>7</w:t>
      </w:r>
      <w:r w:rsidR="00B93C19" w:rsidRPr="00EF7182">
        <w:t xml:space="preserve">  Subsection</w:t>
      </w:r>
      <w:r w:rsidR="00EF7182" w:rsidRPr="00EF7182">
        <w:t> </w:t>
      </w:r>
      <w:r w:rsidR="00B93C19" w:rsidRPr="00EF7182">
        <w:t>1317E(3) (table item dealing with subsection</w:t>
      </w:r>
      <w:r w:rsidR="00EF7182" w:rsidRPr="00EF7182">
        <w:t> </w:t>
      </w:r>
      <w:r w:rsidR="00B93C19" w:rsidRPr="00EF7182">
        <w:t>912D(3))</w:t>
      </w:r>
    </w:p>
    <w:p w:rsidR="00B93C19" w:rsidRPr="00EF7182" w:rsidRDefault="00B93C19" w:rsidP="00EF7182">
      <w:pPr>
        <w:pStyle w:val="Item"/>
      </w:pPr>
      <w:r w:rsidRPr="00EF7182">
        <w:t>Repeal the item</w:t>
      </w:r>
      <w:r w:rsidR="008B1044">
        <w:t>.</w:t>
      </w:r>
    </w:p>
    <w:p w:rsidR="00CE243A" w:rsidRPr="00EF7182" w:rsidRDefault="00FF1CA5" w:rsidP="00EF7182">
      <w:pPr>
        <w:pStyle w:val="ItemHead"/>
      </w:pPr>
      <w:r w:rsidRPr="00EF7182">
        <w:t>8</w:t>
      </w:r>
      <w:r w:rsidR="00CE243A" w:rsidRPr="00EF7182">
        <w:t xml:space="preserve">  In the appropriate position in subsection</w:t>
      </w:r>
      <w:r w:rsidR="00EF7182" w:rsidRPr="00EF7182">
        <w:t> </w:t>
      </w:r>
      <w:r w:rsidR="00CE243A" w:rsidRPr="00EF7182">
        <w:t>1317E(3)</w:t>
      </w:r>
    </w:p>
    <w:p w:rsidR="00CE243A" w:rsidRPr="00EF7182" w:rsidRDefault="00CE243A" w:rsidP="00EF7182">
      <w:pPr>
        <w:pStyle w:val="Item"/>
      </w:pPr>
      <w:r w:rsidRPr="00EF7182">
        <w:t>Insert:</w:t>
      </w:r>
    </w:p>
    <w:tbl>
      <w:tblPr>
        <w:tblW w:w="7080" w:type="dxa"/>
        <w:tblInd w:w="113" w:type="dxa"/>
        <w:tblBorders>
          <w:insideH w:val="single" w:sz="4" w:space="0" w:color="auto"/>
        </w:tblBorders>
        <w:tblLayout w:type="fixed"/>
        <w:tblLook w:val="04A0" w:firstRow="1" w:lastRow="0" w:firstColumn="1" w:lastColumn="0" w:noHBand="0" w:noVBand="1"/>
      </w:tblPr>
      <w:tblGrid>
        <w:gridCol w:w="1979"/>
        <w:gridCol w:w="3401"/>
        <w:gridCol w:w="1700"/>
      </w:tblGrid>
      <w:tr w:rsidR="00CE243A" w:rsidRPr="00EF7182" w:rsidTr="006E37E6">
        <w:tc>
          <w:tcPr>
            <w:tcW w:w="1979" w:type="dxa"/>
            <w:tcBorders>
              <w:top w:val="nil"/>
              <w:left w:val="nil"/>
              <w:bottom w:val="single" w:sz="4" w:space="0" w:color="auto"/>
              <w:right w:val="nil"/>
            </w:tcBorders>
            <w:hideMark/>
          </w:tcPr>
          <w:p w:rsidR="00CE243A" w:rsidRPr="00EF7182" w:rsidRDefault="00CE243A" w:rsidP="00EF7182">
            <w:pPr>
              <w:pStyle w:val="Tabletext"/>
              <w:rPr>
                <w:lang w:eastAsia="en-US"/>
              </w:rPr>
            </w:pPr>
            <w:r w:rsidRPr="00EF7182">
              <w:rPr>
                <w:lang w:eastAsia="en-US"/>
              </w:rPr>
              <w:t xml:space="preserve">subsection </w:t>
            </w:r>
            <w:r w:rsidR="008B1044">
              <w:rPr>
                <w:lang w:eastAsia="en-US"/>
              </w:rPr>
              <w:t>912DAB</w:t>
            </w:r>
            <w:r w:rsidRPr="00EF7182">
              <w:rPr>
                <w:lang w:eastAsia="en-US"/>
              </w:rPr>
              <w:t>(8)</w:t>
            </w:r>
          </w:p>
        </w:tc>
        <w:tc>
          <w:tcPr>
            <w:tcW w:w="3401" w:type="dxa"/>
            <w:tcBorders>
              <w:top w:val="nil"/>
              <w:left w:val="nil"/>
              <w:bottom w:val="single" w:sz="4" w:space="0" w:color="auto"/>
              <w:right w:val="nil"/>
            </w:tcBorders>
            <w:hideMark/>
          </w:tcPr>
          <w:p w:rsidR="00CE243A" w:rsidRPr="00EF7182" w:rsidRDefault="005C25E1" w:rsidP="00EF7182">
            <w:pPr>
              <w:pStyle w:val="Tabletext"/>
              <w:rPr>
                <w:lang w:eastAsia="en-US"/>
              </w:rPr>
            </w:pPr>
            <w:r w:rsidRPr="00EF7182">
              <w:rPr>
                <w:lang w:eastAsia="en-US"/>
              </w:rPr>
              <w:t>failure by a financial services licensee to report</w:t>
            </w:r>
            <w:r w:rsidR="002959FE" w:rsidRPr="00EF7182">
              <w:rPr>
                <w:lang w:eastAsia="en-US"/>
              </w:rPr>
              <w:t xml:space="preserve"> to ASIC</w:t>
            </w:r>
            <w:r w:rsidRPr="00EF7182">
              <w:rPr>
                <w:lang w:eastAsia="en-US"/>
              </w:rPr>
              <w:t xml:space="preserve"> a reportable situation in relation to the licensee, or the outcome of an investigation</w:t>
            </w:r>
          </w:p>
        </w:tc>
        <w:tc>
          <w:tcPr>
            <w:tcW w:w="1700" w:type="dxa"/>
            <w:tcBorders>
              <w:top w:val="nil"/>
              <w:left w:val="nil"/>
              <w:bottom w:val="single" w:sz="4" w:space="0" w:color="auto"/>
              <w:right w:val="nil"/>
            </w:tcBorders>
            <w:hideMark/>
          </w:tcPr>
          <w:p w:rsidR="00CE243A" w:rsidRPr="00EF7182" w:rsidRDefault="005C25E1" w:rsidP="00EF7182">
            <w:pPr>
              <w:pStyle w:val="Tabletext"/>
              <w:rPr>
                <w:lang w:eastAsia="en-US"/>
              </w:rPr>
            </w:pPr>
            <w:r w:rsidRPr="00EF7182">
              <w:rPr>
                <w:lang w:eastAsia="en-US"/>
              </w:rPr>
              <w:t>uncategorised</w:t>
            </w:r>
          </w:p>
        </w:tc>
      </w:tr>
      <w:tr w:rsidR="00CE243A" w:rsidRPr="00EF7182" w:rsidTr="006E0037">
        <w:tc>
          <w:tcPr>
            <w:tcW w:w="1980" w:type="dxa"/>
            <w:tcBorders>
              <w:top w:val="single" w:sz="4" w:space="0" w:color="auto"/>
              <w:left w:val="nil"/>
              <w:bottom w:val="single" w:sz="4" w:space="0" w:color="auto"/>
              <w:right w:val="nil"/>
            </w:tcBorders>
            <w:hideMark/>
          </w:tcPr>
          <w:p w:rsidR="00CE243A" w:rsidRPr="00EF7182" w:rsidRDefault="00CE243A" w:rsidP="00EF7182">
            <w:pPr>
              <w:pStyle w:val="Tabletext"/>
              <w:rPr>
                <w:lang w:eastAsia="en-US"/>
              </w:rPr>
            </w:pPr>
            <w:r w:rsidRPr="00EF7182">
              <w:rPr>
                <w:lang w:eastAsia="en-US"/>
              </w:rPr>
              <w:t xml:space="preserve">subsection </w:t>
            </w:r>
            <w:r w:rsidR="008B1044">
              <w:rPr>
                <w:lang w:eastAsia="en-US"/>
              </w:rPr>
              <w:t>912DAC</w:t>
            </w:r>
            <w:r w:rsidRPr="00EF7182">
              <w:rPr>
                <w:lang w:eastAsia="en-US"/>
              </w:rPr>
              <w:t>(</w:t>
            </w:r>
            <w:r w:rsidR="005C25E1" w:rsidRPr="00EF7182">
              <w:rPr>
                <w:lang w:eastAsia="en-US"/>
              </w:rPr>
              <w:t>8)</w:t>
            </w:r>
          </w:p>
        </w:tc>
        <w:tc>
          <w:tcPr>
            <w:tcW w:w="3402" w:type="dxa"/>
            <w:tcBorders>
              <w:top w:val="single" w:sz="4" w:space="0" w:color="auto"/>
              <w:left w:val="nil"/>
              <w:bottom w:val="single" w:sz="4" w:space="0" w:color="auto"/>
              <w:right w:val="nil"/>
            </w:tcBorders>
            <w:hideMark/>
          </w:tcPr>
          <w:p w:rsidR="00CE243A" w:rsidRPr="00EF7182" w:rsidRDefault="005C25E1" w:rsidP="00EF7182">
            <w:pPr>
              <w:pStyle w:val="Tabletext"/>
              <w:rPr>
                <w:lang w:eastAsia="en-US"/>
              </w:rPr>
            </w:pPr>
            <w:r w:rsidRPr="00EF7182">
              <w:rPr>
                <w:lang w:eastAsia="en-US"/>
              </w:rPr>
              <w:t>failure by a financial services licensee to report</w:t>
            </w:r>
            <w:r w:rsidR="002959FE" w:rsidRPr="00EF7182">
              <w:rPr>
                <w:lang w:eastAsia="en-US"/>
              </w:rPr>
              <w:t xml:space="preserve"> to ASIC</w:t>
            </w:r>
            <w:r w:rsidRPr="00EF7182">
              <w:rPr>
                <w:lang w:eastAsia="en-US"/>
              </w:rPr>
              <w:t xml:space="preserve"> a reportable situation in relation to another financial services licensee, or to give a copy of the report to the other financial services licensee</w:t>
            </w:r>
          </w:p>
        </w:tc>
        <w:tc>
          <w:tcPr>
            <w:tcW w:w="1701" w:type="dxa"/>
            <w:tcBorders>
              <w:top w:val="single" w:sz="4" w:space="0" w:color="auto"/>
              <w:left w:val="nil"/>
              <w:bottom w:val="single" w:sz="4" w:space="0" w:color="auto"/>
              <w:right w:val="nil"/>
            </w:tcBorders>
            <w:hideMark/>
          </w:tcPr>
          <w:p w:rsidR="00CE243A" w:rsidRPr="00EF7182" w:rsidRDefault="005C25E1" w:rsidP="00EF7182">
            <w:pPr>
              <w:pStyle w:val="Tabletext"/>
              <w:rPr>
                <w:lang w:eastAsia="en-US"/>
              </w:rPr>
            </w:pPr>
            <w:r w:rsidRPr="00EF7182">
              <w:rPr>
                <w:lang w:eastAsia="en-US"/>
              </w:rPr>
              <w:t>uncategorised</w:t>
            </w:r>
          </w:p>
        </w:tc>
      </w:tr>
      <w:tr w:rsidR="001A526D" w:rsidRPr="00EF7182" w:rsidTr="006E37E6">
        <w:tc>
          <w:tcPr>
            <w:tcW w:w="1980" w:type="dxa"/>
            <w:tcBorders>
              <w:top w:val="single" w:sz="4" w:space="0" w:color="auto"/>
              <w:left w:val="nil"/>
              <w:bottom w:val="single" w:sz="4" w:space="0" w:color="auto"/>
              <w:right w:val="nil"/>
            </w:tcBorders>
          </w:tcPr>
          <w:p w:rsidR="001A526D" w:rsidRPr="00EF7182" w:rsidRDefault="001A526D" w:rsidP="00EF7182">
            <w:pPr>
              <w:pStyle w:val="Tabletext"/>
              <w:rPr>
                <w:lang w:eastAsia="en-US"/>
              </w:rPr>
            </w:pPr>
            <w:r w:rsidRPr="00EF7182">
              <w:rPr>
                <w:lang w:eastAsia="en-US"/>
              </w:rPr>
              <w:t xml:space="preserve">subsection </w:t>
            </w:r>
            <w:r w:rsidR="008B1044">
              <w:rPr>
                <w:lang w:eastAsia="en-US"/>
              </w:rPr>
              <w:t>912DAD</w:t>
            </w:r>
            <w:r w:rsidRPr="00EF7182">
              <w:rPr>
                <w:lang w:eastAsia="en-US"/>
              </w:rPr>
              <w:t>(4)</w:t>
            </w:r>
          </w:p>
        </w:tc>
        <w:tc>
          <w:tcPr>
            <w:tcW w:w="3402" w:type="dxa"/>
            <w:tcBorders>
              <w:top w:val="single" w:sz="4" w:space="0" w:color="auto"/>
              <w:left w:val="nil"/>
              <w:bottom w:val="single" w:sz="4" w:space="0" w:color="auto"/>
              <w:right w:val="nil"/>
            </w:tcBorders>
          </w:tcPr>
          <w:p w:rsidR="001A526D" w:rsidRPr="00EF7182" w:rsidRDefault="001A526D" w:rsidP="00EF7182">
            <w:pPr>
              <w:pStyle w:val="Tabletext"/>
              <w:rPr>
                <w:lang w:eastAsia="en-US"/>
              </w:rPr>
            </w:pPr>
            <w:r w:rsidRPr="00EF7182">
              <w:rPr>
                <w:lang w:eastAsia="en-US"/>
              </w:rPr>
              <w:t xml:space="preserve">failure by a financial services licensee to notify ASIC that the licensee has become, or ceased to be, a participant in </w:t>
            </w:r>
            <w:r w:rsidRPr="00EF7182">
              <w:t>a licensed market or a licensed CS facility</w:t>
            </w:r>
          </w:p>
        </w:tc>
        <w:tc>
          <w:tcPr>
            <w:tcW w:w="1701" w:type="dxa"/>
            <w:tcBorders>
              <w:top w:val="single" w:sz="4" w:space="0" w:color="auto"/>
              <w:left w:val="nil"/>
              <w:bottom w:val="single" w:sz="4" w:space="0" w:color="auto"/>
              <w:right w:val="nil"/>
            </w:tcBorders>
          </w:tcPr>
          <w:p w:rsidR="001A526D" w:rsidRPr="00EF7182" w:rsidRDefault="001A526D" w:rsidP="00EF7182">
            <w:pPr>
              <w:pStyle w:val="Tabletext"/>
              <w:rPr>
                <w:lang w:eastAsia="en-US"/>
              </w:rPr>
            </w:pPr>
            <w:r w:rsidRPr="00EF7182">
              <w:rPr>
                <w:lang w:eastAsia="en-US"/>
              </w:rPr>
              <w:t>uncategorised</w:t>
            </w:r>
          </w:p>
        </w:tc>
      </w:tr>
      <w:tr w:rsidR="006E37E6" w:rsidRPr="00EF7182" w:rsidTr="006E37E6">
        <w:tc>
          <w:tcPr>
            <w:tcW w:w="1980" w:type="dxa"/>
            <w:tcBorders>
              <w:top w:val="single" w:sz="4" w:space="0" w:color="auto"/>
              <w:left w:val="nil"/>
              <w:bottom w:val="single" w:sz="4" w:space="0" w:color="auto"/>
              <w:right w:val="nil"/>
            </w:tcBorders>
          </w:tcPr>
          <w:p w:rsidR="006E37E6" w:rsidRPr="009D0802" w:rsidRDefault="006E37E6" w:rsidP="006E37E6">
            <w:pPr>
              <w:pStyle w:val="Tabletext"/>
              <w:rPr>
                <w:lang w:eastAsia="en-US"/>
              </w:rPr>
            </w:pPr>
            <w:r w:rsidRPr="009D0802">
              <w:rPr>
                <w:lang w:eastAsia="en-US"/>
              </w:rPr>
              <w:t xml:space="preserve">subsection </w:t>
            </w:r>
            <w:r w:rsidR="008B1044">
              <w:rPr>
                <w:lang w:eastAsia="en-US"/>
              </w:rPr>
              <w:t>912EA</w:t>
            </w:r>
            <w:r w:rsidRPr="009D0802">
              <w:rPr>
                <w:lang w:eastAsia="en-US"/>
              </w:rPr>
              <w:t>(3)</w:t>
            </w:r>
          </w:p>
        </w:tc>
        <w:tc>
          <w:tcPr>
            <w:tcW w:w="3402" w:type="dxa"/>
            <w:tcBorders>
              <w:top w:val="single" w:sz="4" w:space="0" w:color="auto"/>
              <w:left w:val="nil"/>
              <w:bottom w:val="single" w:sz="4" w:space="0" w:color="auto"/>
              <w:right w:val="nil"/>
            </w:tcBorders>
          </w:tcPr>
          <w:p w:rsidR="006E37E6" w:rsidRPr="009D0802" w:rsidRDefault="006E37E6" w:rsidP="006E37E6">
            <w:pPr>
              <w:pStyle w:val="Tabletext"/>
              <w:rPr>
                <w:lang w:eastAsia="en-US"/>
              </w:rPr>
            </w:pPr>
            <w:r w:rsidRPr="009D0802">
              <w:rPr>
                <w:lang w:eastAsia="en-US"/>
              </w:rPr>
              <w:t>failure by a financial services licensee to notify an affected client of a reportable situation</w:t>
            </w:r>
          </w:p>
        </w:tc>
        <w:tc>
          <w:tcPr>
            <w:tcW w:w="1701" w:type="dxa"/>
            <w:tcBorders>
              <w:top w:val="single" w:sz="4" w:space="0" w:color="auto"/>
              <w:left w:val="nil"/>
              <w:bottom w:val="single" w:sz="4" w:space="0" w:color="auto"/>
              <w:right w:val="nil"/>
            </w:tcBorders>
          </w:tcPr>
          <w:p w:rsidR="006E37E6" w:rsidRPr="009D0802" w:rsidRDefault="006E37E6" w:rsidP="006E37E6">
            <w:pPr>
              <w:pStyle w:val="Tabletext"/>
              <w:rPr>
                <w:lang w:eastAsia="en-US"/>
              </w:rPr>
            </w:pPr>
            <w:r w:rsidRPr="009D0802">
              <w:rPr>
                <w:lang w:eastAsia="en-US"/>
              </w:rPr>
              <w:t>uncategorised</w:t>
            </w:r>
          </w:p>
        </w:tc>
      </w:tr>
      <w:tr w:rsidR="006E37E6" w:rsidRPr="00EF7182" w:rsidTr="006E37E6">
        <w:tc>
          <w:tcPr>
            <w:tcW w:w="1979" w:type="dxa"/>
            <w:tcBorders>
              <w:top w:val="single" w:sz="4" w:space="0" w:color="auto"/>
              <w:left w:val="nil"/>
              <w:bottom w:val="nil"/>
              <w:right w:val="nil"/>
            </w:tcBorders>
          </w:tcPr>
          <w:p w:rsidR="006E37E6" w:rsidRPr="009D0802" w:rsidRDefault="006E37E6" w:rsidP="006E37E6">
            <w:pPr>
              <w:pStyle w:val="Tabletext"/>
              <w:rPr>
                <w:lang w:eastAsia="en-US"/>
              </w:rPr>
            </w:pPr>
            <w:r w:rsidRPr="009D0802">
              <w:rPr>
                <w:lang w:eastAsia="en-US"/>
              </w:rPr>
              <w:t xml:space="preserve">subsection </w:t>
            </w:r>
            <w:r w:rsidR="008B1044">
              <w:rPr>
                <w:lang w:eastAsia="en-US"/>
              </w:rPr>
              <w:t>912EB</w:t>
            </w:r>
            <w:r w:rsidRPr="009D0802">
              <w:rPr>
                <w:lang w:eastAsia="en-US"/>
              </w:rPr>
              <w:t>(7)</w:t>
            </w:r>
          </w:p>
        </w:tc>
        <w:tc>
          <w:tcPr>
            <w:tcW w:w="3401" w:type="dxa"/>
            <w:tcBorders>
              <w:top w:val="single" w:sz="4" w:space="0" w:color="auto"/>
              <w:left w:val="nil"/>
              <w:bottom w:val="nil"/>
              <w:right w:val="nil"/>
            </w:tcBorders>
          </w:tcPr>
          <w:p w:rsidR="006E37E6" w:rsidRPr="009D0802" w:rsidRDefault="006E37E6" w:rsidP="006E37E6">
            <w:pPr>
              <w:pStyle w:val="Tabletext"/>
              <w:rPr>
                <w:lang w:eastAsia="en-US"/>
              </w:rPr>
            </w:pPr>
            <w:r w:rsidRPr="009D0802">
              <w:rPr>
                <w:lang w:eastAsia="en-US"/>
              </w:rPr>
              <w:t>failure by a financial services licensee to investigate a reportable situation, notify an affected client of the outcome of the investigation or compensate an affected client</w:t>
            </w:r>
          </w:p>
        </w:tc>
        <w:tc>
          <w:tcPr>
            <w:tcW w:w="1700" w:type="dxa"/>
            <w:tcBorders>
              <w:top w:val="single" w:sz="4" w:space="0" w:color="auto"/>
              <w:left w:val="nil"/>
              <w:bottom w:val="nil"/>
              <w:right w:val="nil"/>
            </w:tcBorders>
          </w:tcPr>
          <w:p w:rsidR="006E37E6" w:rsidRPr="009D0802" w:rsidRDefault="006E37E6" w:rsidP="006E37E6">
            <w:pPr>
              <w:pStyle w:val="Tabletext"/>
              <w:rPr>
                <w:lang w:eastAsia="en-US"/>
              </w:rPr>
            </w:pPr>
            <w:r w:rsidRPr="009D0802">
              <w:rPr>
                <w:lang w:eastAsia="en-US"/>
              </w:rPr>
              <w:t>uncategorised</w:t>
            </w:r>
          </w:p>
        </w:tc>
      </w:tr>
    </w:tbl>
    <w:p w:rsidR="000C41C7" w:rsidRPr="00EF7182" w:rsidRDefault="00FF1CA5" w:rsidP="00EF7182">
      <w:pPr>
        <w:pStyle w:val="ItemHead"/>
      </w:pPr>
      <w:r w:rsidRPr="00EF7182">
        <w:t>9</w:t>
      </w:r>
      <w:r w:rsidR="000C41C7" w:rsidRPr="00EF7182">
        <w:t xml:space="preserve">  In the appropriate position in </w:t>
      </w:r>
      <w:r w:rsidR="00BE2959" w:rsidRPr="00EF7182">
        <w:t>Chapter</w:t>
      </w:r>
      <w:r w:rsidR="00EF7182" w:rsidRPr="00EF7182">
        <w:t> </w:t>
      </w:r>
      <w:r w:rsidR="00BE2959" w:rsidRPr="00EF7182">
        <w:t>1</w:t>
      </w:r>
      <w:r w:rsidR="000C41C7" w:rsidRPr="00EF7182">
        <w:t>0</w:t>
      </w:r>
    </w:p>
    <w:p w:rsidR="000C41C7" w:rsidRPr="00EF7182" w:rsidRDefault="000C41C7" w:rsidP="00EF7182">
      <w:pPr>
        <w:pStyle w:val="Item"/>
      </w:pPr>
      <w:r w:rsidRPr="00EF7182">
        <w:t>Insert:</w:t>
      </w:r>
    </w:p>
    <w:p w:rsidR="000C41C7" w:rsidRPr="00222F8E" w:rsidRDefault="00BE2959" w:rsidP="00EF7182">
      <w:pPr>
        <w:pStyle w:val="ActHead2"/>
      </w:pPr>
      <w:bookmarkStart w:id="61" w:name="_Toc30410104"/>
      <w:r w:rsidRPr="001A6D2E">
        <w:rPr>
          <w:rStyle w:val="CharPartNo"/>
        </w:rPr>
        <w:t>Part</w:t>
      </w:r>
      <w:r w:rsidR="00EF7182" w:rsidRPr="001A6D2E">
        <w:rPr>
          <w:rStyle w:val="CharPartNo"/>
        </w:rPr>
        <w:t> </w:t>
      </w:r>
      <w:r w:rsidRPr="001A6D2E">
        <w:rPr>
          <w:rStyle w:val="CharPartNo"/>
        </w:rPr>
        <w:t>1</w:t>
      </w:r>
      <w:r w:rsidR="000C41C7" w:rsidRPr="001A6D2E">
        <w:rPr>
          <w:rStyle w:val="CharPartNo"/>
        </w:rPr>
        <w:t>0</w:t>
      </w:r>
      <w:r w:rsidR="008B1044" w:rsidRPr="001A6D2E">
        <w:rPr>
          <w:rStyle w:val="CharPartNo"/>
        </w:rPr>
        <w:t>.</w:t>
      </w:r>
      <w:r w:rsidR="00A467DC" w:rsidRPr="001A6D2E">
        <w:rPr>
          <w:rStyle w:val="CharPartNo"/>
        </w:rPr>
        <w:t>43</w:t>
      </w:r>
      <w:r w:rsidR="000C41C7" w:rsidRPr="00EF7182">
        <w:t>—</w:t>
      </w:r>
      <w:r w:rsidR="000C41C7" w:rsidRPr="001A6D2E">
        <w:rPr>
          <w:rStyle w:val="CharPartText"/>
        </w:rPr>
        <w:t xml:space="preserve">Application and transitional provisions relating to </w:t>
      </w:r>
      <w:r w:rsidR="00A76FEE" w:rsidRPr="001A6D2E">
        <w:rPr>
          <w:rStyle w:val="CharPartText"/>
        </w:rPr>
        <w:t>Schedule [1</w:t>
      </w:r>
      <w:r w:rsidR="008B1044" w:rsidRPr="001A6D2E">
        <w:rPr>
          <w:rStyle w:val="CharPartText"/>
        </w:rPr>
        <w:t>.</w:t>
      </w:r>
      <w:r w:rsidR="00A76FEE" w:rsidRPr="001A6D2E">
        <w:rPr>
          <w:rStyle w:val="CharPartText"/>
        </w:rPr>
        <w:t>6, 2</w:t>
      </w:r>
      <w:r w:rsidR="008B1044" w:rsidRPr="001A6D2E">
        <w:rPr>
          <w:rStyle w:val="CharPartText"/>
        </w:rPr>
        <w:t>.</w:t>
      </w:r>
      <w:r w:rsidR="00A76FEE" w:rsidRPr="001A6D2E">
        <w:rPr>
          <w:rStyle w:val="CharPartText"/>
        </w:rPr>
        <w:t>8</w:t>
      </w:r>
      <w:r w:rsidR="00105CC1" w:rsidRPr="001A6D2E">
        <w:rPr>
          <w:rStyle w:val="CharPartText"/>
        </w:rPr>
        <w:t>, 2.9</w:t>
      </w:r>
      <w:r w:rsidR="00A76FEE" w:rsidRPr="001A6D2E">
        <w:rPr>
          <w:rStyle w:val="CharPartText"/>
        </w:rPr>
        <w:t xml:space="preserve"> and 7</w:t>
      </w:r>
      <w:r w:rsidR="008B1044" w:rsidRPr="001A6D2E">
        <w:rPr>
          <w:rStyle w:val="CharPartText"/>
        </w:rPr>
        <w:t>.</w:t>
      </w:r>
      <w:r w:rsidR="00A76FEE" w:rsidRPr="001A6D2E">
        <w:rPr>
          <w:rStyle w:val="CharPartText"/>
        </w:rPr>
        <w:t>2]</w:t>
      </w:r>
      <w:r w:rsidR="000C41C7" w:rsidRPr="001A6D2E">
        <w:rPr>
          <w:rStyle w:val="CharPartText"/>
        </w:rPr>
        <w:t xml:space="preserve"> to the Financial Sector Reform (Hayne Royal Commission Response—Protecting Consumers (2020 Measures)) Act 2020</w:t>
      </w:r>
      <w:bookmarkStart w:id="62" w:name="BK_S1P12L12C9"/>
      <w:bookmarkStart w:id="63" w:name="BK_S1P12L17C9"/>
      <w:bookmarkEnd w:id="62"/>
      <w:bookmarkEnd w:id="61"/>
      <w:bookmarkEnd w:id="63"/>
    </w:p>
    <w:p w:rsidR="006E55F7" w:rsidRPr="001A6D2E" w:rsidRDefault="006E55F7" w:rsidP="00EF7182">
      <w:pPr>
        <w:pStyle w:val="Header"/>
      </w:pPr>
      <w:r w:rsidRPr="001A6D2E">
        <w:rPr>
          <w:rStyle w:val="CharDivNo"/>
        </w:rPr>
        <w:t xml:space="preserve"> </w:t>
      </w:r>
      <w:r w:rsidRPr="001A6D2E">
        <w:rPr>
          <w:rStyle w:val="CharDivText"/>
        </w:rPr>
        <w:t xml:space="preserve"> </w:t>
      </w:r>
    </w:p>
    <w:p w:rsidR="000C41C7" w:rsidRPr="00EF7182" w:rsidRDefault="00A467DC" w:rsidP="00EF7182">
      <w:pPr>
        <w:pStyle w:val="ActHead5"/>
      </w:pPr>
      <w:bookmarkStart w:id="64" w:name="_Toc30410105"/>
      <w:r w:rsidRPr="001A6D2E">
        <w:rPr>
          <w:rStyle w:val="CharSectno"/>
        </w:rPr>
        <w:t>1670</w:t>
      </w:r>
      <w:r w:rsidR="000C41C7" w:rsidRPr="00EF7182">
        <w:t xml:space="preserve">  Definitions</w:t>
      </w:r>
      <w:bookmarkEnd w:id="64"/>
    </w:p>
    <w:p w:rsidR="000C41C7" w:rsidRPr="00EF7182" w:rsidRDefault="00015264" w:rsidP="00EF7182">
      <w:pPr>
        <w:pStyle w:val="subsection"/>
      </w:pPr>
      <w:r w:rsidRPr="00EF7182">
        <w:tab/>
      </w:r>
      <w:r w:rsidRPr="00EF7182">
        <w:tab/>
      </w:r>
      <w:r w:rsidR="000C41C7" w:rsidRPr="00EF7182">
        <w:t>In this Part:</w:t>
      </w:r>
    </w:p>
    <w:p w:rsidR="000C41C7" w:rsidRPr="00EF7182" w:rsidRDefault="000C41C7" w:rsidP="00EF7182">
      <w:pPr>
        <w:pStyle w:val="Definition"/>
      </w:pPr>
      <w:r w:rsidRPr="00EF7182">
        <w:rPr>
          <w:b/>
          <w:i/>
        </w:rPr>
        <w:t xml:space="preserve">amending </w:t>
      </w:r>
      <w:r w:rsidR="00D40FF1">
        <w:rPr>
          <w:b/>
          <w:i/>
        </w:rPr>
        <w:t>Schedule</w:t>
      </w:r>
      <w:r w:rsidRPr="00EF7182">
        <w:t xml:space="preserve"> means </w:t>
      </w:r>
      <w:r w:rsidR="00D40FF1">
        <w:t>Schedule [1</w:t>
      </w:r>
      <w:r w:rsidR="008B1044">
        <w:t>.</w:t>
      </w:r>
      <w:r w:rsidR="00D40FF1">
        <w:t>6, 2</w:t>
      </w:r>
      <w:r w:rsidR="008B1044">
        <w:t>.</w:t>
      </w:r>
      <w:r w:rsidR="00D40FF1">
        <w:t>8</w:t>
      </w:r>
      <w:r w:rsidR="006E37E6">
        <w:t>, 2</w:t>
      </w:r>
      <w:r w:rsidR="008B1044">
        <w:t>.</w:t>
      </w:r>
      <w:r w:rsidR="006E37E6">
        <w:t>9</w:t>
      </w:r>
      <w:r w:rsidR="00D40FF1">
        <w:t xml:space="preserve"> and 7</w:t>
      </w:r>
      <w:r w:rsidR="008B1044">
        <w:t>.</w:t>
      </w:r>
      <w:r w:rsidR="00D40FF1">
        <w:t xml:space="preserve">2] </w:t>
      </w:r>
      <w:r w:rsidR="003A7956">
        <w:t>to</w:t>
      </w:r>
      <w:r w:rsidR="00D40FF1">
        <w:t xml:space="preserve"> </w:t>
      </w:r>
      <w:r w:rsidRPr="00EF7182">
        <w:t xml:space="preserve">the </w:t>
      </w:r>
      <w:r w:rsidRPr="00EF7182">
        <w:rPr>
          <w:i/>
        </w:rPr>
        <w:t>Financial Sector Reform (Hayne Royal Commission Response—Protecting Consumers (2020 Measures)) Act 2020</w:t>
      </w:r>
      <w:r w:rsidR="008B1044">
        <w:t>.</w:t>
      </w:r>
    </w:p>
    <w:p w:rsidR="000C41C7" w:rsidRPr="00EF7182" w:rsidRDefault="00A467DC" w:rsidP="00EF7182">
      <w:pPr>
        <w:pStyle w:val="ActHead5"/>
      </w:pPr>
      <w:bookmarkStart w:id="65" w:name="_Toc30410106"/>
      <w:r w:rsidRPr="001A6D2E">
        <w:rPr>
          <w:rStyle w:val="CharSectno"/>
        </w:rPr>
        <w:t>1670A</w:t>
      </w:r>
      <w:r w:rsidR="000C41C7" w:rsidRPr="00EF7182">
        <w:t xml:space="preserve">  </w:t>
      </w:r>
      <w:r w:rsidR="00B107F2" w:rsidRPr="00EF7182">
        <w:t>Continued application of paragraph</w:t>
      </w:r>
      <w:r w:rsidR="00EF7182" w:rsidRPr="00EF7182">
        <w:t> </w:t>
      </w:r>
      <w:r w:rsidR="00B107F2" w:rsidRPr="00EF7182">
        <w:t>601FC(1)(l) and section</w:t>
      </w:r>
      <w:r w:rsidR="00EF7182" w:rsidRPr="00EF7182">
        <w:t> </w:t>
      </w:r>
      <w:r w:rsidR="00B107F2" w:rsidRPr="00EF7182">
        <w:t>912D</w:t>
      </w:r>
      <w:bookmarkEnd w:id="65"/>
    </w:p>
    <w:p w:rsidR="001C110F" w:rsidRPr="00EF7182" w:rsidRDefault="001C110F" w:rsidP="00EF7182">
      <w:pPr>
        <w:pStyle w:val="subsection"/>
      </w:pPr>
      <w:r w:rsidRPr="00EF7182">
        <w:tab/>
        <w:t>(</w:t>
      </w:r>
      <w:r w:rsidR="00F0675E" w:rsidRPr="00EF7182">
        <w:t>1</w:t>
      </w:r>
      <w:r w:rsidRPr="00EF7182">
        <w:t>)</w:t>
      </w:r>
      <w:r w:rsidRPr="00EF7182">
        <w:tab/>
        <w:t>Despite the repeal of paragraph</w:t>
      </w:r>
      <w:r w:rsidR="00EF7182" w:rsidRPr="00EF7182">
        <w:t> </w:t>
      </w:r>
      <w:r w:rsidRPr="00EF7182">
        <w:t>601FC(1)(l) by item</w:t>
      </w:r>
      <w:r w:rsidR="00EF7182" w:rsidRPr="00EF7182">
        <w:t> </w:t>
      </w:r>
      <w:r w:rsidRPr="00EF7182">
        <w:t xml:space="preserve">1 of </w:t>
      </w:r>
      <w:r w:rsidR="00D40FF1">
        <w:t xml:space="preserve">the amending </w:t>
      </w:r>
      <w:r w:rsidRPr="00EF7182">
        <w:t xml:space="preserve">Schedule, that </w:t>
      </w:r>
      <w:r w:rsidR="00EF7182" w:rsidRPr="00EF7182">
        <w:t>paragraph (</w:t>
      </w:r>
      <w:r w:rsidRPr="00EF7182">
        <w:t xml:space="preserve">as in force </w:t>
      </w:r>
      <w:r w:rsidR="00071446" w:rsidRPr="00EF7182">
        <w:t xml:space="preserve">immediately </w:t>
      </w:r>
      <w:r w:rsidRPr="00EF7182">
        <w:t>before 1</w:t>
      </w:r>
      <w:r w:rsidR="00EF7182" w:rsidRPr="00EF7182">
        <w:t> </w:t>
      </w:r>
      <w:r w:rsidRPr="00EF7182">
        <w:t xml:space="preserve">July 2020) continues to apply </w:t>
      </w:r>
      <w:r w:rsidR="00FC074D" w:rsidRPr="00EF7182">
        <w:t>in relation to breaches that occur before 1</w:t>
      </w:r>
      <w:r w:rsidR="00EF7182" w:rsidRPr="00EF7182">
        <w:t> </w:t>
      </w:r>
      <w:r w:rsidR="00FC074D" w:rsidRPr="00EF7182">
        <w:t>April 2021</w:t>
      </w:r>
      <w:r w:rsidR="008B1044">
        <w:t>.</w:t>
      </w:r>
    </w:p>
    <w:p w:rsidR="00B107F2" w:rsidRPr="00EF7182" w:rsidRDefault="00A76FEE" w:rsidP="00EF7182">
      <w:pPr>
        <w:pStyle w:val="subsection"/>
      </w:pPr>
      <w:r w:rsidRPr="00EF7182">
        <w:tab/>
        <w:t>(</w:t>
      </w:r>
      <w:r w:rsidR="00F0675E" w:rsidRPr="00EF7182">
        <w:t>2</w:t>
      </w:r>
      <w:r w:rsidRPr="00EF7182">
        <w:t>)</w:t>
      </w:r>
      <w:r w:rsidRPr="00EF7182">
        <w:tab/>
        <w:t>Despite the repeal of section</w:t>
      </w:r>
      <w:r w:rsidR="00EF7182" w:rsidRPr="00EF7182">
        <w:t> </w:t>
      </w:r>
      <w:r w:rsidRPr="00EF7182">
        <w:t>912D by item</w:t>
      </w:r>
      <w:r w:rsidR="00EF7182" w:rsidRPr="00EF7182">
        <w:t> </w:t>
      </w:r>
      <w:r w:rsidRPr="00EF7182">
        <w:t xml:space="preserve">5 of </w:t>
      </w:r>
      <w:r w:rsidR="00D40FF1">
        <w:t xml:space="preserve">the amending </w:t>
      </w:r>
      <w:r w:rsidRPr="00EF7182">
        <w:t>Schedule</w:t>
      </w:r>
      <w:r w:rsidR="00B107F2" w:rsidRPr="00EF7182">
        <w:t>:</w:t>
      </w:r>
    </w:p>
    <w:p w:rsidR="00A76FEE" w:rsidRPr="00EF7182" w:rsidRDefault="00B107F2" w:rsidP="00EF7182">
      <w:pPr>
        <w:pStyle w:val="paragraph"/>
      </w:pPr>
      <w:r w:rsidRPr="00EF7182">
        <w:tab/>
        <w:t>(a)</w:t>
      </w:r>
      <w:r w:rsidRPr="00EF7182">
        <w:tab/>
        <w:t>subsections</w:t>
      </w:r>
      <w:r w:rsidR="00EF7182" w:rsidRPr="00EF7182">
        <w:t> </w:t>
      </w:r>
      <w:r w:rsidRPr="00EF7182">
        <w:t xml:space="preserve">912D(1) to </w:t>
      </w:r>
      <w:r w:rsidR="00784D64" w:rsidRPr="00EF7182">
        <w:t>(1D) and subsection</w:t>
      </w:r>
      <w:r w:rsidR="00EF7182" w:rsidRPr="00EF7182">
        <w:t> </w:t>
      </w:r>
      <w:r w:rsidR="00784D64" w:rsidRPr="00EF7182">
        <w:t>912D(3) (to the extent that it relates to subsection</w:t>
      </w:r>
      <w:r w:rsidR="00071446" w:rsidRPr="00EF7182">
        <w:t>s</w:t>
      </w:r>
      <w:r w:rsidR="00EF7182" w:rsidRPr="00EF7182">
        <w:t> </w:t>
      </w:r>
      <w:r w:rsidR="00784D64" w:rsidRPr="00EF7182">
        <w:t xml:space="preserve">912D(1) to (1D)), </w:t>
      </w:r>
      <w:r w:rsidR="00A76FEE" w:rsidRPr="00EF7182">
        <w:t xml:space="preserve">as in force </w:t>
      </w:r>
      <w:r w:rsidR="00071446" w:rsidRPr="00EF7182">
        <w:t xml:space="preserve">immediately </w:t>
      </w:r>
      <w:r w:rsidR="00A76FEE" w:rsidRPr="00EF7182">
        <w:t>before 1</w:t>
      </w:r>
      <w:r w:rsidR="00EF7182" w:rsidRPr="00EF7182">
        <w:t> </w:t>
      </w:r>
      <w:r w:rsidR="00A76FEE" w:rsidRPr="00EF7182">
        <w:t>July 2020</w:t>
      </w:r>
      <w:r w:rsidR="00784D64" w:rsidRPr="00EF7182">
        <w:t>,</w:t>
      </w:r>
      <w:r w:rsidR="00A76FEE" w:rsidRPr="00EF7182">
        <w:t xml:space="preserve"> continue to apply in relation to breaches or likely breaches </w:t>
      </w:r>
      <w:r w:rsidR="00784D64" w:rsidRPr="00EF7182">
        <w:t>that occur before 1</w:t>
      </w:r>
      <w:r w:rsidR="00EF7182" w:rsidRPr="00EF7182">
        <w:t> </w:t>
      </w:r>
      <w:r w:rsidR="00784D64" w:rsidRPr="00EF7182">
        <w:t>April 2021; and</w:t>
      </w:r>
    </w:p>
    <w:p w:rsidR="00784D64" w:rsidRPr="00EF7182" w:rsidRDefault="00784D64" w:rsidP="00EF7182">
      <w:pPr>
        <w:pStyle w:val="paragraph"/>
      </w:pPr>
      <w:r w:rsidRPr="00EF7182">
        <w:tab/>
        <w:t>(b)</w:t>
      </w:r>
      <w:r w:rsidRPr="00EF7182">
        <w:tab/>
        <w:t>subsection</w:t>
      </w:r>
      <w:r w:rsidR="00EF7182" w:rsidRPr="00EF7182">
        <w:t> </w:t>
      </w:r>
      <w:r w:rsidRPr="00EF7182">
        <w:t>912D(2) and subsection</w:t>
      </w:r>
      <w:r w:rsidR="00EF7182" w:rsidRPr="00EF7182">
        <w:t> </w:t>
      </w:r>
      <w:r w:rsidRPr="00EF7182">
        <w:t>912D(3) (to the extent that it relates to subsection</w:t>
      </w:r>
      <w:r w:rsidR="00EF7182" w:rsidRPr="00EF7182">
        <w:t> </w:t>
      </w:r>
      <w:r w:rsidRPr="00EF7182">
        <w:t xml:space="preserve">912D(2)), as in force </w:t>
      </w:r>
      <w:r w:rsidR="00071446" w:rsidRPr="00EF7182">
        <w:t xml:space="preserve">immediately </w:t>
      </w:r>
      <w:r w:rsidRPr="00EF7182">
        <w:t>before 1</w:t>
      </w:r>
      <w:r w:rsidR="00EF7182" w:rsidRPr="00EF7182">
        <w:t> </w:t>
      </w:r>
      <w:r w:rsidRPr="00EF7182">
        <w:t>July 2020, continue to apply in relation to financial services licensees who become participants, or cease to be participants, in a licensed market or a licensed CS facility before 1</w:t>
      </w:r>
      <w:r w:rsidR="00EF7182" w:rsidRPr="00EF7182">
        <w:t> </w:t>
      </w:r>
      <w:r w:rsidRPr="00EF7182">
        <w:t>April 2021</w:t>
      </w:r>
      <w:r w:rsidR="008B1044">
        <w:t>.</w:t>
      </w:r>
    </w:p>
    <w:p w:rsidR="00B107F2" w:rsidRPr="00EF7182" w:rsidRDefault="00A467DC" w:rsidP="00EF7182">
      <w:pPr>
        <w:pStyle w:val="ActHead5"/>
      </w:pPr>
      <w:bookmarkStart w:id="66" w:name="_Toc30410107"/>
      <w:r w:rsidRPr="001A6D2E">
        <w:rPr>
          <w:rStyle w:val="CharSectno"/>
        </w:rPr>
        <w:t>1670B</w:t>
      </w:r>
      <w:r w:rsidR="00B107F2" w:rsidRPr="00EF7182">
        <w:t xml:space="preserve">  Reportable situations to which section</w:t>
      </w:r>
      <w:r w:rsidR="00D40FF1">
        <w:t>s</w:t>
      </w:r>
      <w:r w:rsidR="00EF7182" w:rsidRPr="00EF7182">
        <w:t xml:space="preserve"> </w:t>
      </w:r>
      <w:r w:rsidR="008B1044">
        <w:t>912DAB</w:t>
      </w:r>
      <w:r w:rsidR="00D40FF1">
        <w:t xml:space="preserve"> and </w:t>
      </w:r>
      <w:r w:rsidR="008B1044">
        <w:t>912DAC</w:t>
      </w:r>
      <w:r w:rsidR="00B107F2" w:rsidRPr="00EF7182">
        <w:t xml:space="preserve"> will apply</w:t>
      </w:r>
      <w:bookmarkEnd w:id="66"/>
    </w:p>
    <w:p w:rsidR="00F0675E" w:rsidRPr="00EF7182" w:rsidRDefault="00F0675E" w:rsidP="00EF7182">
      <w:pPr>
        <w:pStyle w:val="subsection"/>
      </w:pPr>
      <w:r w:rsidRPr="00EF7182">
        <w:tab/>
      </w:r>
      <w:r w:rsidRPr="00EF7182">
        <w:tab/>
        <w:t>Section</w:t>
      </w:r>
      <w:r w:rsidR="00D40FF1">
        <w:t>s</w:t>
      </w:r>
      <w:r w:rsidR="00EF7182" w:rsidRPr="00EF7182">
        <w:t xml:space="preserve"> </w:t>
      </w:r>
      <w:r w:rsidR="008B1044">
        <w:t>912DAB</w:t>
      </w:r>
      <w:r w:rsidR="00D40FF1">
        <w:t xml:space="preserve"> and </w:t>
      </w:r>
      <w:r w:rsidR="008B1044">
        <w:t>912DAC</w:t>
      </w:r>
      <w:r w:rsidRPr="00EF7182">
        <w:t>, as inserted by item</w:t>
      </w:r>
      <w:r w:rsidR="00EF7182" w:rsidRPr="00EF7182">
        <w:t> </w:t>
      </w:r>
      <w:r w:rsidRPr="00EF7182">
        <w:t xml:space="preserve">5 of </w:t>
      </w:r>
      <w:r w:rsidR="00D40FF1">
        <w:t>the amending Schedule</w:t>
      </w:r>
      <w:r w:rsidRPr="00EF7182">
        <w:t>, appl</w:t>
      </w:r>
      <w:r w:rsidR="00D40FF1">
        <w:t>y</w:t>
      </w:r>
      <w:r w:rsidRPr="00EF7182">
        <w:t xml:space="preserve"> in relation to reportable situation</w:t>
      </w:r>
      <w:r w:rsidR="003A7956">
        <w:t>s</w:t>
      </w:r>
      <w:r w:rsidRPr="00EF7182">
        <w:t xml:space="preserve"> arising on or after 1</w:t>
      </w:r>
      <w:r w:rsidR="00EF7182" w:rsidRPr="00EF7182">
        <w:t> </w:t>
      </w:r>
      <w:r w:rsidRPr="00EF7182">
        <w:t>April 20</w:t>
      </w:r>
      <w:r w:rsidR="00D40FF1">
        <w:t>21</w:t>
      </w:r>
      <w:r w:rsidR="008B1044">
        <w:t>.</w:t>
      </w:r>
    </w:p>
    <w:p w:rsidR="000C41C7" w:rsidRPr="00EF7182" w:rsidRDefault="00A467DC" w:rsidP="00EF7182">
      <w:pPr>
        <w:pStyle w:val="ActHead5"/>
      </w:pPr>
      <w:bookmarkStart w:id="67" w:name="_Toc30410108"/>
      <w:r w:rsidRPr="001A6D2E">
        <w:rPr>
          <w:rStyle w:val="CharSectno"/>
        </w:rPr>
        <w:t>1670C</w:t>
      </w:r>
      <w:r w:rsidR="000C41C7" w:rsidRPr="00EF7182">
        <w:t xml:space="preserve">  Application of </w:t>
      </w:r>
      <w:r w:rsidR="00BE2959" w:rsidRPr="00EF7182">
        <w:t>section</w:t>
      </w:r>
      <w:r w:rsidR="00EF7182" w:rsidRPr="00EF7182">
        <w:t xml:space="preserve"> </w:t>
      </w:r>
      <w:r w:rsidR="008B1044">
        <w:t>912DAD</w:t>
      </w:r>
      <w:bookmarkEnd w:id="67"/>
    </w:p>
    <w:p w:rsidR="00DF0282" w:rsidRPr="00EF7182" w:rsidRDefault="00DF0282" w:rsidP="00EF7182">
      <w:pPr>
        <w:pStyle w:val="subsection"/>
      </w:pPr>
      <w:r w:rsidRPr="00EF7182">
        <w:tab/>
      </w:r>
      <w:r w:rsidRPr="00EF7182">
        <w:tab/>
        <w:t xml:space="preserve">Section </w:t>
      </w:r>
      <w:r w:rsidR="008B1044">
        <w:t>912DAD</w:t>
      </w:r>
      <w:r w:rsidRPr="00EF7182">
        <w:t>, as inserted by item</w:t>
      </w:r>
      <w:r w:rsidR="00EF7182" w:rsidRPr="00EF7182">
        <w:t> </w:t>
      </w:r>
      <w:r w:rsidR="00095936" w:rsidRPr="00EF7182">
        <w:t>5</w:t>
      </w:r>
      <w:r w:rsidRPr="00EF7182">
        <w:t xml:space="preserve"> of </w:t>
      </w:r>
      <w:r w:rsidR="00D40FF1">
        <w:t>the amending Schedule</w:t>
      </w:r>
      <w:r w:rsidRPr="00EF7182">
        <w:t>, applies if a financial services licensee becomes, or ceases to be, a participant in a licensed market or a licensed CS facility on or after 1</w:t>
      </w:r>
      <w:r w:rsidR="00EF7182" w:rsidRPr="00EF7182">
        <w:t> </w:t>
      </w:r>
      <w:r w:rsidRPr="00EF7182">
        <w:t>April 2021</w:t>
      </w:r>
      <w:r w:rsidR="008B1044">
        <w:t>.</w:t>
      </w:r>
    </w:p>
    <w:p w:rsidR="000C41C7" w:rsidRPr="00EF7182" w:rsidRDefault="00A467DC" w:rsidP="00EF7182">
      <w:pPr>
        <w:pStyle w:val="ActHead5"/>
      </w:pPr>
      <w:bookmarkStart w:id="68" w:name="_Toc30410109"/>
      <w:r w:rsidRPr="001A6D2E">
        <w:rPr>
          <w:rStyle w:val="CharSectno"/>
        </w:rPr>
        <w:t>1670D</w:t>
      </w:r>
      <w:r w:rsidR="000C41C7" w:rsidRPr="00EF7182">
        <w:t xml:space="preserve">  Application of ASIC’s obligations </w:t>
      </w:r>
      <w:r w:rsidR="006E7CB9" w:rsidRPr="00EF7182">
        <w:t xml:space="preserve">to publish information </w:t>
      </w:r>
      <w:r w:rsidR="000C41C7" w:rsidRPr="00EF7182">
        <w:t xml:space="preserve">under </w:t>
      </w:r>
      <w:r w:rsidR="00BE2959" w:rsidRPr="00EF7182">
        <w:t>section</w:t>
      </w:r>
      <w:r w:rsidR="00EF7182" w:rsidRPr="00EF7182">
        <w:t xml:space="preserve"> </w:t>
      </w:r>
      <w:r w:rsidR="008B1044">
        <w:t>912DAE</w:t>
      </w:r>
      <w:bookmarkEnd w:id="68"/>
    </w:p>
    <w:p w:rsidR="000C41C7" w:rsidRPr="00EF7182" w:rsidRDefault="003301A5" w:rsidP="00EF7182">
      <w:pPr>
        <w:pStyle w:val="subsection"/>
      </w:pPr>
      <w:r w:rsidRPr="00EF7182">
        <w:tab/>
      </w:r>
      <w:r w:rsidR="00015264" w:rsidRPr="00EF7182">
        <w:tab/>
      </w:r>
      <w:r w:rsidR="00BE2959" w:rsidRPr="00EF7182">
        <w:t>Section</w:t>
      </w:r>
      <w:r w:rsidR="00EF7182" w:rsidRPr="00EF7182">
        <w:t xml:space="preserve"> </w:t>
      </w:r>
      <w:r w:rsidR="008B1044">
        <w:t>912DAE</w:t>
      </w:r>
      <w:r w:rsidR="000C41C7" w:rsidRPr="00EF7182">
        <w:t>, as inserted by item</w:t>
      </w:r>
      <w:r w:rsidR="00EF7182" w:rsidRPr="00EF7182">
        <w:t> </w:t>
      </w:r>
      <w:r w:rsidR="00095936" w:rsidRPr="00EF7182">
        <w:t>5</w:t>
      </w:r>
      <w:r w:rsidR="000C41C7" w:rsidRPr="00EF7182">
        <w:t xml:space="preserve"> of </w:t>
      </w:r>
      <w:r w:rsidR="00D40FF1">
        <w:t xml:space="preserve">the amending </w:t>
      </w:r>
      <w:r w:rsidR="00A76FEE" w:rsidRPr="00EF7182">
        <w:t>Schedule</w:t>
      </w:r>
      <w:r w:rsidR="000C41C7" w:rsidRPr="00EF7182">
        <w:t xml:space="preserve">, applies </w:t>
      </w:r>
      <w:r w:rsidR="00A467DC">
        <w:t xml:space="preserve">in relation </w:t>
      </w:r>
      <w:r w:rsidR="000C41C7" w:rsidRPr="00EF7182">
        <w:t xml:space="preserve">to financial years ending on or after </w:t>
      </w:r>
      <w:r w:rsidR="00BE2959" w:rsidRPr="00EF7182">
        <w:t>30</w:t>
      </w:r>
      <w:r w:rsidR="00EF7182" w:rsidRPr="00EF7182">
        <w:t> </w:t>
      </w:r>
      <w:r w:rsidR="00BE2959" w:rsidRPr="00EF7182">
        <w:t>June</w:t>
      </w:r>
      <w:r w:rsidR="000C41C7" w:rsidRPr="00EF7182">
        <w:t xml:space="preserve"> 2021</w:t>
      </w:r>
      <w:r w:rsidR="008B1044">
        <w:t>.</w:t>
      </w:r>
    </w:p>
    <w:p w:rsidR="006E37E6" w:rsidRPr="009D0802" w:rsidRDefault="00A467DC" w:rsidP="006E37E6">
      <w:pPr>
        <w:pStyle w:val="ActHead5"/>
      </w:pPr>
      <w:bookmarkStart w:id="69" w:name="_Toc30410457"/>
      <w:r w:rsidRPr="001A6D2E">
        <w:rPr>
          <w:rStyle w:val="CharSectno"/>
        </w:rPr>
        <w:t>1670E</w:t>
      </w:r>
      <w:r w:rsidR="006E37E6" w:rsidRPr="009D0802">
        <w:t xml:space="preserve">  Application of provisions dealing with notifying and compensating a person affected by a reportable situation</w:t>
      </w:r>
      <w:bookmarkEnd w:id="69"/>
    </w:p>
    <w:p w:rsidR="006E37E6" w:rsidRPr="009D0802" w:rsidRDefault="006E37E6" w:rsidP="006E37E6">
      <w:pPr>
        <w:pStyle w:val="subsection"/>
      </w:pPr>
      <w:r w:rsidRPr="009D0802">
        <w:tab/>
      </w:r>
      <w:r w:rsidRPr="009D0802">
        <w:tab/>
      </w:r>
      <w:r>
        <w:t xml:space="preserve">Subdivision C of Division </w:t>
      </w:r>
      <w:r w:rsidR="00FC7CCB">
        <w:t>3 of Part 7</w:t>
      </w:r>
      <w:r w:rsidR="008B1044">
        <w:t>.</w:t>
      </w:r>
      <w:r w:rsidR="00FC7CCB">
        <w:t xml:space="preserve">6, as inserted by item </w:t>
      </w:r>
      <w:r w:rsidR="00341757">
        <w:t>6</w:t>
      </w:r>
      <w:r w:rsidR="00FC7CCB">
        <w:t xml:space="preserve"> of the amending Schedule</w:t>
      </w:r>
      <w:r w:rsidR="00BC7579">
        <w:t>,</w:t>
      </w:r>
      <w:r w:rsidRPr="009D0802">
        <w:rPr>
          <w:i/>
        </w:rPr>
        <w:t xml:space="preserve"> </w:t>
      </w:r>
      <w:r w:rsidR="00FC7CCB">
        <w:t>applies</w:t>
      </w:r>
      <w:r w:rsidRPr="009D0802">
        <w:t xml:space="preserve"> in relation to reportable situations arising on or after 1 April 2021</w:t>
      </w:r>
      <w:r w:rsidR="008B1044">
        <w:t>.</w:t>
      </w:r>
    </w:p>
    <w:p w:rsidR="00B93C19" w:rsidRPr="00EF7182" w:rsidRDefault="00FF1CA5" w:rsidP="00EF7182">
      <w:pPr>
        <w:pStyle w:val="ItemHead"/>
      </w:pPr>
      <w:r w:rsidRPr="00EF7182">
        <w:t>10</w:t>
      </w:r>
      <w:r w:rsidR="00B93C19" w:rsidRPr="00EF7182">
        <w:t xml:space="preserve">  Schedule</w:t>
      </w:r>
      <w:r w:rsidR="00EF7182" w:rsidRPr="00EF7182">
        <w:t> </w:t>
      </w:r>
      <w:r w:rsidR="00B93C19" w:rsidRPr="00EF7182">
        <w:t>3 (table items dealing with subsections</w:t>
      </w:r>
      <w:r w:rsidR="00EF7182" w:rsidRPr="00EF7182">
        <w:t> </w:t>
      </w:r>
      <w:r w:rsidR="00B93C19" w:rsidRPr="00EF7182">
        <w:t>912D(1B) and 912D(2))</w:t>
      </w:r>
    </w:p>
    <w:p w:rsidR="00B93C19" w:rsidRPr="00EF7182" w:rsidRDefault="00B93C19" w:rsidP="00EF7182">
      <w:pPr>
        <w:pStyle w:val="Item"/>
      </w:pPr>
      <w:r w:rsidRPr="00EF7182">
        <w:t>Repeal the items</w:t>
      </w:r>
      <w:r w:rsidR="008B1044">
        <w:t>.</w:t>
      </w:r>
    </w:p>
    <w:p w:rsidR="00B93C19" w:rsidRPr="00EF7182" w:rsidRDefault="00FF1CA5" w:rsidP="00EF7182">
      <w:pPr>
        <w:pStyle w:val="ItemHead"/>
      </w:pPr>
      <w:r w:rsidRPr="00EF7182">
        <w:t>11</w:t>
      </w:r>
      <w:r w:rsidR="00B93C19" w:rsidRPr="00EF7182">
        <w:t xml:space="preserve">  In the appropriate position in Schedule</w:t>
      </w:r>
      <w:r w:rsidR="00EF7182" w:rsidRPr="00EF7182">
        <w:t> </w:t>
      </w:r>
      <w:r w:rsidR="00B93C19" w:rsidRPr="00EF7182">
        <w:t>3</w:t>
      </w:r>
    </w:p>
    <w:p w:rsidR="00B93C19" w:rsidRPr="00EF7182" w:rsidRDefault="00B93C19" w:rsidP="00EF7182">
      <w:pPr>
        <w:pStyle w:val="Item"/>
      </w:pPr>
      <w:r w:rsidRPr="00EF7182">
        <w:t>Insert:</w:t>
      </w: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828"/>
        <w:gridCol w:w="2271"/>
      </w:tblGrid>
      <w:tr w:rsidR="00B93C19" w:rsidRPr="00EF7182" w:rsidTr="006E7CB9">
        <w:tc>
          <w:tcPr>
            <w:tcW w:w="3828" w:type="dxa"/>
            <w:tcBorders>
              <w:top w:val="nil"/>
            </w:tcBorders>
            <w:shd w:val="clear" w:color="auto" w:fill="auto"/>
            <w:hideMark/>
          </w:tcPr>
          <w:p w:rsidR="00B93C19" w:rsidRPr="00EF7182" w:rsidRDefault="00B93C19" w:rsidP="00EF7182">
            <w:pPr>
              <w:pStyle w:val="Tabletext"/>
              <w:rPr>
                <w:lang w:eastAsia="en-US"/>
              </w:rPr>
            </w:pPr>
            <w:r w:rsidRPr="00EF7182">
              <w:rPr>
                <w:lang w:eastAsia="en-US"/>
              </w:rPr>
              <w:t>Subsection</w:t>
            </w:r>
            <w:r w:rsidR="00EF7182" w:rsidRPr="00EF7182">
              <w:rPr>
                <w:lang w:eastAsia="en-US"/>
              </w:rPr>
              <w:t xml:space="preserve"> </w:t>
            </w:r>
            <w:r w:rsidR="008B1044">
              <w:rPr>
                <w:lang w:eastAsia="en-US"/>
              </w:rPr>
              <w:t>912DAB</w:t>
            </w:r>
            <w:r w:rsidRPr="00EF7182">
              <w:rPr>
                <w:lang w:eastAsia="en-US"/>
              </w:rPr>
              <w:t>(1)</w:t>
            </w:r>
          </w:p>
        </w:tc>
        <w:tc>
          <w:tcPr>
            <w:tcW w:w="2271" w:type="dxa"/>
            <w:tcBorders>
              <w:top w:val="nil"/>
            </w:tcBorders>
            <w:shd w:val="clear" w:color="auto" w:fill="auto"/>
            <w:hideMark/>
          </w:tcPr>
          <w:p w:rsidR="00B93C19" w:rsidRPr="00EF7182" w:rsidRDefault="00B93C19" w:rsidP="00EF7182">
            <w:pPr>
              <w:pStyle w:val="Tabletext"/>
              <w:rPr>
                <w:i/>
                <w:lang w:eastAsia="en-US"/>
              </w:rPr>
            </w:pPr>
            <w:r w:rsidRPr="00EF7182">
              <w:rPr>
                <w:lang w:eastAsia="en-US"/>
              </w:rPr>
              <w:t>2 years imprisonment</w:t>
            </w:r>
          </w:p>
        </w:tc>
      </w:tr>
      <w:tr w:rsidR="00B93C19" w:rsidRPr="00EF7182" w:rsidTr="006E7CB9">
        <w:tc>
          <w:tcPr>
            <w:tcW w:w="3828" w:type="dxa"/>
            <w:tcBorders>
              <w:bottom w:val="single" w:sz="2" w:space="0" w:color="auto"/>
            </w:tcBorders>
            <w:shd w:val="clear" w:color="auto" w:fill="auto"/>
            <w:hideMark/>
          </w:tcPr>
          <w:p w:rsidR="00B93C19" w:rsidRPr="00EF7182" w:rsidRDefault="00B93C19" w:rsidP="00EF7182">
            <w:pPr>
              <w:pStyle w:val="Tabletext"/>
              <w:rPr>
                <w:lang w:eastAsia="en-US"/>
              </w:rPr>
            </w:pPr>
            <w:r w:rsidRPr="00EF7182">
              <w:rPr>
                <w:lang w:eastAsia="en-US"/>
              </w:rPr>
              <w:t>Subsection</w:t>
            </w:r>
            <w:r w:rsidR="00EF7182" w:rsidRPr="00EF7182">
              <w:rPr>
                <w:lang w:eastAsia="en-US"/>
              </w:rPr>
              <w:t xml:space="preserve"> </w:t>
            </w:r>
            <w:r w:rsidR="008B1044">
              <w:rPr>
                <w:lang w:eastAsia="en-US"/>
              </w:rPr>
              <w:t>912DAB</w:t>
            </w:r>
            <w:r w:rsidRPr="00EF7182">
              <w:rPr>
                <w:lang w:eastAsia="en-US"/>
              </w:rPr>
              <w:t>(2)</w:t>
            </w:r>
          </w:p>
        </w:tc>
        <w:tc>
          <w:tcPr>
            <w:tcW w:w="2271" w:type="dxa"/>
            <w:tcBorders>
              <w:bottom w:val="single" w:sz="2" w:space="0" w:color="auto"/>
            </w:tcBorders>
            <w:shd w:val="clear" w:color="auto" w:fill="auto"/>
            <w:hideMark/>
          </w:tcPr>
          <w:p w:rsidR="00B93C19" w:rsidRPr="00EF7182" w:rsidRDefault="00B93C19" w:rsidP="00EF7182">
            <w:pPr>
              <w:pStyle w:val="Tabletext"/>
              <w:rPr>
                <w:i/>
                <w:lang w:eastAsia="en-US"/>
              </w:rPr>
            </w:pPr>
            <w:r w:rsidRPr="00EF7182">
              <w:rPr>
                <w:lang w:eastAsia="en-US"/>
              </w:rPr>
              <w:t>2 years imprisonment</w:t>
            </w:r>
          </w:p>
        </w:tc>
      </w:tr>
      <w:tr w:rsidR="00B93C19" w:rsidRPr="00EF7182" w:rsidTr="006E7CB9">
        <w:tc>
          <w:tcPr>
            <w:tcW w:w="3828" w:type="dxa"/>
            <w:tcBorders>
              <w:top w:val="single" w:sz="2" w:space="0" w:color="auto"/>
              <w:bottom w:val="single" w:sz="2" w:space="0" w:color="auto"/>
            </w:tcBorders>
            <w:shd w:val="clear" w:color="auto" w:fill="auto"/>
            <w:hideMark/>
          </w:tcPr>
          <w:p w:rsidR="00B93C19" w:rsidRPr="00EF7182" w:rsidRDefault="00B93C19" w:rsidP="00EF7182">
            <w:pPr>
              <w:pStyle w:val="Tabletext"/>
              <w:rPr>
                <w:lang w:eastAsia="en-US"/>
              </w:rPr>
            </w:pPr>
            <w:r w:rsidRPr="00EF7182">
              <w:rPr>
                <w:lang w:eastAsia="en-US"/>
              </w:rPr>
              <w:t>Subsection</w:t>
            </w:r>
            <w:r w:rsidR="003E13AB" w:rsidRPr="00EF7182">
              <w:rPr>
                <w:lang w:eastAsia="en-US"/>
              </w:rPr>
              <w:t xml:space="preserve"> </w:t>
            </w:r>
            <w:r w:rsidR="008B1044">
              <w:rPr>
                <w:lang w:eastAsia="en-US"/>
              </w:rPr>
              <w:t>912DAC</w:t>
            </w:r>
            <w:r w:rsidRPr="00EF7182">
              <w:rPr>
                <w:lang w:eastAsia="en-US"/>
              </w:rPr>
              <w:t>(1)</w:t>
            </w:r>
          </w:p>
        </w:tc>
        <w:tc>
          <w:tcPr>
            <w:tcW w:w="2271" w:type="dxa"/>
            <w:tcBorders>
              <w:top w:val="single" w:sz="2" w:space="0" w:color="auto"/>
              <w:bottom w:val="single" w:sz="2" w:space="0" w:color="auto"/>
            </w:tcBorders>
            <w:shd w:val="clear" w:color="auto" w:fill="auto"/>
            <w:hideMark/>
          </w:tcPr>
          <w:p w:rsidR="00B93C19" w:rsidRPr="00EF7182" w:rsidRDefault="00B93C19" w:rsidP="00EF7182">
            <w:pPr>
              <w:pStyle w:val="Tabletext"/>
              <w:rPr>
                <w:i/>
                <w:lang w:eastAsia="en-US"/>
              </w:rPr>
            </w:pPr>
            <w:r w:rsidRPr="00EF7182">
              <w:rPr>
                <w:lang w:eastAsia="en-US"/>
              </w:rPr>
              <w:t>2 years imprisonment</w:t>
            </w:r>
          </w:p>
        </w:tc>
      </w:tr>
      <w:tr w:rsidR="00B93C19" w:rsidRPr="00EF7182" w:rsidTr="006E7CB9">
        <w:tc>
          <w:tcPr>
            <w:tcW w:w="3828" w:type="dxa"/>
            <w:tcBorders>
              <w:top w:val="single" w:sz="2" w:space="0" w:color="auto"/>
              <w:bottom w:val="single" w:sz="2" w:space="0" w:color="auto"/>
            </w:tcBorders>
            <w:shd w:val="clear" w:color="auto" w:fill="auto"/>
          </w:tcPr>
          <w:p w:rsidR="00B93C19" w:rsidRPr="00EF7182" w:rsidRDefault="00B93C19" w:rsidP="00EF7182">
            <w:pPr>
              <w:pStyle w:val="Tabletext"/>
              <w:rPr>
                <w:lang w:eastAsia="en-US"/>
              </w:rPr>
            </w:pPr>
            <w:r w:rsidRPr="00EF7182">
              <w:rPr>
                <w:lang w:eastAsia="en-US"/>
              </w:rPr>
              <w:t>Subsection</w:t>
            </w:r>
            <w:r w:rsidR="003E13AB" w:rsidRPr="00EF7182">
              <w:rPr>
                <w:lang w:eastAsia="en-US"/>
              </w:rPr>
              <w:t xml:space="preserve"> </w:t>
            </w:r>
            <w:r w:rsidR="008B1044">
              <w:rPr>
                <w:lang w:eastAsia="en-US"/>
              </w:rPr>
              <w:t>912DAC</w:t>
            </w:r>
            <w:r w:rsidRPr="00EF7182">
              <w:rPr>
                <w:lang w:eastAsia="en-US"/>
              </w:rPr>
              <w:t>(7)</w:t>
            </w:r>
          </w:p>
        </w:tc>
        <w:tc>
          <w:tcPr>
            <w:tcW w:w="2271" w:type="dxa"/>
            <w:tcBorders>
              <w:top w:val="single" w:sz="2" w:space="0" w:color="auto"/>
              <w:bottom w:val="single" w:sz="2" w:space="0" w:color="auto"/>
            </w:tcBorders>
            <w:shd w:val="clear" w:color="auto" w:fill="auto"/>
          </w:tcPr>
          <w:p w:rsidR="00B93C19" w:rsidRPr="00EF7182" w:rsidRDefault="00B93C19" w:rsidP="00EF7182">
            <w:pPr>
              <w:pStyle w:val="Tabletext"/>
              <w:rPr>
                <w:i/>
                <w:lang w:eastAsia="en-US"/>
              </w:rPr>
            </w:pPr>
            <w:r w:rsidRPr="00EF7182">
              <w:rPr>
                <w:lang w:eastAsia="en-US"/>
              </w:rPr>
              <w:t>2 years imprisonment</w:t>
            </w:r>
          </w:p>
        </w:tc>
      </w:tr>
      <w:tr w:rsidR="00B93C19" w:rsidRPr="00EF7182" w:rsidTr="00FC7CCB">
        <w:tc>
          <w:tcPr>
            <w:tcW w:w="3828" w:type="dxa"/>
            <w:tcBorders>
              <w:top w:val="single" w:sz="2" w:space="0" w:color="auto"/>
              <w:bottom w:val="single" w:sz="2" w:space="0" w:color="auto"/>
            </w:tcBorders>
            <w:shd w:val="clear" w:color="auto" w:fill="auto"/>
          </w:tcPr>
          <w:p w:rsidR="00B93C19" w:rsidRPr="00EF7182" w:rsidRDefault="00B93C19" w:rsidP="00EF7182">
            <w:pPr>
              <w:pStyle w:val="Tabletext"/>
              <w:rPr>
                <w:lang w:eastAsia="en-US"/>
              </w:rPr>
            </w:pPr>
            <w:r w:rsidRPr="00EF7182">
              <w:rPr>
                <w:lang w:eastAsia="en-US"/>
              </w:rPr>
              <w:t xml:space="preserve">Subsection </w:t>
            </w:r>
            <w:r w:rsidR="008B1044">
              <w:rPr>
                <w:lang w:eastAsia="en-US"/>
              </w:rPr>
              <w:t>912DAD</w:t>
            </w:r>
            <w:r w:rsidRPr="00EF7182">
              <w:rPr>
                <w:lang w:eastAsia="en-US"/>
              </w:rPr>
              <w:t>(1)</w:t>
            </w:r>
          </w:p>
        </w:tc>
        <w:tc>
          <w:tcPr>
            <w:tcW w:w="2271" w:type="dxa"/>
            <w:tcBorders>
              <w:top w:val="single" w:sz="2" w:space="0" w:color="auto"/>
              <w:bottom w:val="single" w:sz="2" w:space="0" w:color="auto"/>
            </w:tcBorders>
            <w:shd w:val="clear" w:color="auto" w:fill="auto"/>
          </w:tcPr>
          <w:p w:rsidR="00B93C19" w:rsidRPr="00EF7182" w:rsidRDefault="00B93C19" w:rsidP="00EF7182">
            <w:pPr>
              <w:pStyle w:val="Tabletext"/>
              <w:rPr>
                <w:lang w:eastAsia="en-US"/>
              </w:rPr>
            </w:pPr>
            <w:r w:rsidRPr="00EF7182">
              <w:rPr>
                <w:lang w:eastAsia="en-US"/>
              </w:rPr>
              <w:t>1 year imprisonment</w:t>
            </w:r>
          </w:p>
        </w:tc>
      </w:tr>
      <w:tr w:rsidR="00FC7CCB" w:rsidRPr="00EF7182" w:rsidTr="00FC7CCB">
        <w:tc>
          <w:tcPr>
            <w:tcW w:w="3828" w:type="dxa"/>
            <w:tcBorders>
              <w:top w:val="single" w:sz="2" w:space="0" w:color="auto"/>
              <w:bottom w:val="single" w:sz="2" w:space="0" w:color="auto"/>
            </w:tcBorders>
            <w:shd w:val="clear" w:color="auto" w:fill="auto"/>
          </w:tcPr>
          <w:p w:rsidR="00FC7CCB" w:rsidRPr="009D0802" w:rsidRDefault="00FC7CCB" w:rsidP="00A467DC">
            <w:pPr>
              <w:pStyle w:val="Tabletext"/>
              <w:rPr>
                <w:lang w:eastAsia="en-US"/>
              </w:rPr>
            </w:pPr>
            <w:r w:rsidRPr="009D0802">
              <w:rPr>
                <w:lang w:eastAsia="en-US"/>
              </w:rPr>
              <w:t xml:space="preserve">Subsection </w:t>
            </w:r>
            <w:r w:rsidR="008B1044">
              <w:rPr>
                <w:lang w:eastAsia="en-US"/>
              </w:rPr>
              <w:t>912EA</w:t>
            </w:r>
            <w:r w:rsidRPr="009D0802">
              <w:rPr>
                <w:lang w:eastAsia="en-US"/>
              </w:rPr>
              <w:t>(1)</w:t>
            </w:r>
          </w:p>
        </w:tc>
        <w:tc>
          <w:tcPr>
            <w:tcW w:w="2271" w:type="dxa"/>
            <w:tcBorders>
              <w:top w:val="single" w:sz="2" w:space="0" w:color="auto"/>
              <w:bottom w:val="single" w:sz="2" w:space="0" w:color="auto"/>
            </w:tcBorders>
            <w:shd w:val="clear" w:color="auto" w:fill="auto"/>
          </w:tcPr>
          <w:p w:rsidR="00FC7CCB" w:rsidRPr="009D0802" w:rsidRDefault="00FC7CCB" w:rsidP="00A467DC">
            <w:pPr>
              <w:pStyle w:val="Tabletext"/>
              <w:rPr>
                <w:i/>
                <w:lang w:eastAsia="en-US"/>
              </w:rPr>
            </w:pPr>
            <w:r w:rsidRPr="009D0802">
              <w:rPr>
                <w:lang w:eastAsia="en-US"/>
              </w:rPr>
              <w:t>2 years imprisonment</w:t>
            </w:r>
          </w:p>
        </w:tc>
      </w:tr>
      <w:tr w:rsidR="00FC7CCB" w:rsidRPr="00EF7182" w:rsidTr="00FC7CCB">
        <w:tc>
          <w:tcPr>
            <w:tcW w:w="3828" w:type="dxa"/>
            <w:tcBorders>
              <w:top w:val="single" w:sz="2" w:space="0" w:color="auto"/>
              <w:bottom w:val="single" w:sz="2" w:space="0" w:color="auto"/>
            </w:tcBorders>
            <w:shd w:val="clear" w:color="auto" w:fill="auto"/>
          </w:tcPr>
          <w:p w:rsidR="00FC7CCB" w:rsidRPr="009D0802" w:rsidRDefault="00FC7CCB" w:rsidP="00A467DC">
            <w:pPr>
              <w:pStyle w:val="Tabletext"/>
              <w:rPr>
                <w:lang w:eastAsia="en-US"/>
              </w:rPr>
            </w:pPr>
            <w:r w:rsidRPr="009D0802">
              <w:rPr>
                <w:lang w:eastAsia="en-US"/>
              </w:rPr>
              <w:t xml:space="preserve">Subsection </w:t>
            </w:r>
            <w:r w:rsidR="008B1044">
              <w:rPr>
                <w:lang w:eastAsia="en-US"/>
              </w:rPr>
              <w:t>912EB</w:t>
            </w:r>
            <w:r w:rsidRPr="009D0802">
              <w:rPr>
                <w:lang w:eastAsia="en-US"/>
              </w:rPr>
              <w:t>(1)</w:t>
            </w:r>
          </w:p>
        </w:tc>
        <w:tc>
          <w:tcPr>
            <w:tcW w:w="2271" w:type="dxa"/>
            <w:tcBorders>
              <w:top w:val="single" w:sz="2" w:space="0" w:color="auto"/>
              <w:bottom w:val="single" w:sz="2" w:space="0" w:color="auto"/>
            </w:tcBorders>
            <w:shd w:val="clear" w:color="auto" w:fill="auto"/>
          </w:tcPr>
          <w:p w:rsidR="00FC7CCB" w:rsidRPr="009D0802" w:rsidRDefault="00FC7CCB" w:rsidP="00A467DC">
            <w:pPr>
              <w:pStyle w:val="Tabletext"/>
              <w:rPr>
                <w:i/>
                <w:lang w:eastAsia="en-US"/>
              </w:rPr>
            </w:pPr>
            <w:r w:rsidRPr="009D0802">
              <w:rPr>
                <w:lang w:eastAsia="en-US"/>
              </w:rPr>
              <w:t>2 years imprisonment</w:t>
            </w:r>
          </w:p>
        </w:tc>
      </w:tr>
      <w:tr w:rsidR="00FC7CCB" w:rsidRPr="00EF7182" w:rsidTr="00FC7CCB">
        <w:tc>
          <w:tcPr>
            <w:tcW w:w="3828" w:type="dxa"/>
            <w:tcBorders>
              <w:top w:val="single" w:sz="2" w:space="0" w:color="auto"/>
              <w:bottom w:val="single" w:sz="2" w:space="0" w:color="auto"/>
            </w:tcBorders>
            <w:shd w:val="clear" w:color="auto" w:fill="auto"/>
          </w:tcPr>
          <w:p w:rsidR="00FC7CCB" w:rsidRPr="009D0802" w:rsidRDefault="00FC7CCB" w:rsidP="00A467DC">
            <w:pPr>
              <w:pStyle w:val="Tabletext"/>
              <w:rPr>
                <w:lang w:eastAsia="en-US"/>
              </w:rPr>
            </w:pPr>
            <w:r w:rsidRPr="009D0802">
              <w:rPr>
                <w:lang w:eastAsia="en-US"/>
              </w:rPr>
              <w:t xml:space="preserve">Subsection </w:t>
            </w:r>
            <w:r w:rsidR="008B1044">
              <w:rPr>
                <w:lang w:eastAsia="en-US"/>
              </w:rPr>
              <w:t>912EB</w:t>
            </w:r>
            <w:r w:rsidRPr="009D0802">
              <w:rPr>
                <w:lang w:eastAsia="en-US"/>
              </w:rPr>
              <w:t>(5)</w:t>
            </w:r>
          </w:p>
        </w:tc>
        <w:tc>
          <w:tcPr>
            <w:tcW w:w="2271" w:type="dxa"/>
            <w:tcBorders>
              <w:top w:val="single" w:sz="2" w:space="0" w:color="auto"/>
              <w:bottom w:val="single" w:sz="2" w:space="0" w:color="auto"/>
            </w:tcBorders>
            <w:shd w:val="clear" w:color="auto" w:fill="auto"/>
          </w:tcPr>
          <w:p w:rsidR="00FC7CCB" w:rsidRPr="009D0802" w:rsidRDefault="00FC7CCB" w:rsidP="00A467DC">
            <w:pPr>
              <w:pStyle w:val="Tabletext"/>
              <w:rPr>
                <w:lang w:eastAsia="en-US"/>
              </w:rPr>
            </w:pPr>
            <w:r w:rsidRPr="009D0802">
              <w:rPr>
                <w:lang w:eastAsia="en-US"/>
              </w:rPr>
              <w:t>2 years imprisonment</w:t>
            </w:r>
          </w:p>
        </w:tc>
      </w:tr>
      <w:tr w:rsidR="00FC7CCB" w:rsidRPr="00EF7182" w:rsidTr="00FC7CCB">
        <w:tc>
          <w:tcPr>
            <w:tcW w:w="3828" w:type="dxa"/>
            <w:tcBorders>
              <w:top w:val="single" w:sz="2" w:space="0" w:color="auto"/>
              <w:bottom w:val="single" w:sz="2" w:space="0" w:color="auto"/>
            </w:tcBorders>
            <w:shd w:val="clear" w:color="auto" w:fill="auto"/>
          </w:tcPr>
          <w:p w:rsidR="00FC7CCB" w:rsidRPr="009D0802" w:rsidRDefault="00FC7CCB" w:rsidP="00A467DC">
            <w:pPr>
              <w:pStyle w:val="Tabletext"/>
              <w:rPr>
                <w:lang w:eastAsia="en-US"/>
              </w:rPr>
            </w:pPr>
            <w:r w:rsidRPr="009D0802">
              <w:rPr>
                <w:lang w:eastAsia="en-US"/>
              </w:rPr>
              <w:t xml:space="preserve">Subsection </w:t>
            </w:r>
            <w:r w:rsidR="008B1044">
              <w:rPr>
                <w:lang w:eastAsia="en-US"/>
              </w:rPr>
              <w:t>912EB</w:t>
            </w:r>
            <w:r w:rsidRPr="009D0802">
              <w:rPr>
                <w:lang w:eastAsia="en-US"/>
              </w:rPr>
              <w:t>(6)</w:t>
            </w:r>
          </w:p>
        </w:tc>
        <w:tc>
          <w:tcPr>
            <w:tcW w:w="2271" w:type="dxa"/>
            <w:tcBorders>
              <w:top w:val="single" w:sz="2" w:space="0" w:color="auto"/>
              <w:bottom w:val="single" w:sz="2" w:space="0" w:color="auto"/>
            </w:tcBorders>
            <w:shd w:val="clear" w:color="auto" w:fill="auto"/>
          </w:tcPr>
          <w:p w:rsidR="00FC7CCB" w:rsidRPr="009D0802" w:rsidRDefault="00FC7CCB" w:rsidP="00A467DC">
            <w:pPr>
              <w:pStyle w:val="Tabletext"/>
              <w:rPr>
                <w:lang w:eastAsia="en-US"/>
              </w:rPr>
            </w:pPr>
            <w:r w:rsidRPr="009D0802">
              <w:rPr>
                <w:lang w:eastAsia="en-US"/>
              </w:rPr>
              <w:t>2 years imprisonment</w:t>
            </w:r>
          </w:p>
        </w:tc>
      </w:tr>
      <w:tr w:rsidR="00FC7CCB" w:rsidRPr="00EF7182" w:rsidTr="006E7CB9">
        <w:tc>
          <w:tcPr>
            <w:tcW w:w="3828" w:type="dxa"/>
            <w:tcBorders>
              <w:top w:val="single" w:sz="2" w:space="0" w:color="auto"/>
              <w:bottom w:val="nil"/>
            </w:tcBorders>
            <w:shd w:val="clear" w:color="auto" w:fill="auto"/>
          </w:tcPr>
          <w:p w:rsidR="00FC7CCB" w:rsidRPr="009D0802" w:rsidRDefault="00FC7CCB" w:rsidP="00A467DC">
            <w:pPr>
              <w:pStyle w:val="Tabletext"/>
              <w:rPr>
                <w:lang w:eastAsia="en-US"/>
              </w:rPr>
            </w:pPr>
            <w:r w:rsidRPr="009D0802">
              <w:rPr>
                <w:lang w:eastAsia="en-US"/>
              </w:rPr>
              <w:t xml:space="preserve">Subsection </w:t>
            </w:r>
            <w:r w:rsidR="008B1044">
              <w:rPr>
                <w:lang w:eastAsia="en-US"/>
              </w:rPr>
              <w:t>912EC</w:t>
            </w:r>
            <w:r w:rsidRPr="009D0802">
              <w:rPr>
                <w:lang w:eastAsia="en-US"/>
              </w:rPr>
              <w:t>(1)</w:t>
            </w:r>
          </w:p>
        </w:tc>
        <w:tc>
          <w:tcPr>
            <w:tcW w:w="2271" w:type="dxa"/>
            <w:tcBorders>
              <w:top w:val="single" w:sz="2" w:space="0" w:color="auto"/>
              <w:bottom w:val="nil"/>
            </w:tcBorders>
            <w:shd w:val="clear" w:color="auto" w:fill="auto"/>
          </w:tcPr>
          <w:p w:rsidR="00FC7CCB" w:rsidRPr="009D0802" w:rsidRDefault="00FC7CCB" w:rsidP="00A467DC">
            <w:pPr>
              <w:pStyle w:val="Tabletext"/>
              <w:rPr>
                <w:lang w:eastAsia="en-US"/>
              </w:rPr>
            </w:pPr>
            <w:r w:rsidRPr="009D0802">
              <w:rPr>
                <w:lang w:eastAsia="en-US"/>
              </w:rPr>
              <w:t>5 years imprisonment</w:t>
            </w:r>
          </w:p>
        </w:tc>
      </w:tr>
    </w:tbl>
    <w:p w:rsidR="00F97AD0" w:rsidRPr="00222F8E" w:rsidRDefault="00F97AD0" w:rsidP="00EF7182">
      <w:pPr>
        <w:pStyle w:val="ActHead9"/>
        <w:rPr>
          <w:i w:val="0"/>
        </w:rPr>
      </w:pPr>
      <w:bookmarkStart w:id="70" w:name="_Toc30410110"/>
      <w:r w:rsidRPr="00EF7182">
        <w:t>National Consumer Credit Protection Act 2009</w:t>
      </w:r>
      <w:bookmarkStart w:id="71" w:name="BK_S1P13L8C45"/>
      <w:bookmarkStart w:id="72" w:name="BK_S1P13L1C45"/>
      <w:bookmarkEnd w:id="71"/>
      <w:bookmarkEnd w:id="70"/>
      <w:bookmarkEnd w:id="72"/>
    </w:p>
    <w:p w:rsidR="00F97AD0" w:rsidRPr="00EF7182" w:rsidRDefault="00FF1CA5" w:rsidP="00EF7182">
      <w:pPr>
        <w:pStyle w:val="ItemHead"/>
      </w:pPr>
      <w:r w:rsidRPr="00EF7182">
        <w:t>12</w:t>
      </w:r>
      <w:r w:rsidR="00F97AD0" w:rsidRPr="00EF7182">
        <w:t xml:space="preserve">  </w:t>
      </w:r>
      <w:r w:rsidR="00BE2959" w:rsidRPr="00EF7182">
        <w:t>Subsection</w:t>
      </w:r>
      <w:r w:rsidR="00EF7182" w:rsidRPr="00EF7182">
        <w:t> </w:t>
      </w:r>
      <w:r w:rsidR="00BE2959" w:rsidRPr="00EF7182">
        <w:t>5</w:t>
      </w:r>
      <w:r w:rsidR="00F97AD0" w:rsidRPr="00EF7182">
        <w:t>(1)</w:t>
      </w:r>
    </w:p>
    <w:p w:rsidR="00F97AD0" w:rsidRPr="00EF7182" w:rsidRDefault="00F97AD0" w:rsidP="00EF7182">
      <w:pPr>
        <w:pStyle w:val="Item"/>
      </w:pPr>
      <w:r w:rsidRPr="00EF7182">
        <w:t>Insert:</w:t>
      </w:r>
    </w:p>
    <w:p w:rsidR="00F97AD0" w:rsidRPr="00EF7182" w:rsidRDefault="00F97AD0" w:rsidP="00EF7182">
      <w:pPr>
        <w:pStyle w:val="Definition"/>
      </w:pPr>
      <w:r w:rsidRPr="00EF7182">
        <w:rPr>
          <w:b/>
          <w:i/>
        </w:rPr>
        <w:t>core obligation</w:t>
      </w:r>
      <w:r w:rsidRPr="00EF7182">
        <w:t xml:space="preserve"> has the meaning given by </w:t>
      </w:r>
      <w:r w:rsidR="00BE2959" w:rsidRPr="00EF7182">
        <w:t>subsection</w:t>
      </w:r>
      <w:r w:rsidR="00EF7182" w:rsidRPr="00EF7182">
        <w:t xml:space="preserve"> </w:t>
      </w:r>
      <w:r w:rsidR="008B1044">
        <w:t>50A</w:t>
      </w:r>
      <w:r w:rsidRPr="00EF7182">
        <w:t>(3)</w:t>
      </w:r>
      <w:r w:rsidR="008B1044">
        <w:t>.</w:t>
      </w:r>
    </w:p>
    <w:p w:rsidR="00F97AD0" w:rsidRPr="00EF7182" w:rsidRDefault="00F97AD0" w:rsidP="00EF7182">
      <w:pPr>
        <w:pStyle w:val="Definition"/>
      </w:pPr>
      <w:r w:rsidRPr="00EF7182">
        <w:rPr>
          <w:b/>
          <w:i/>
        </w:rPr>
        <w:t xml:space="preserve">reportable situation </w:t>
      </w:r>
      <w:r w:rsidRPr="00EF7182">
        <w:t xml:space="preserve">has the meaning given by </w:t>
      </w:r>
      <w:r w:rsidR="00BE2959" w:rsidRPr="00EF7182">
        <w:t>section</w:t>
      </w:r>
      <w:r w:rsidR="00EF7182" w:rsidRPr="00EF7182">
        <w:t xml:space="preserve"> </w:t>
      </w:r>
      <w:r w:rsidR="008B1044">
        <w:t>50A.</w:t>
      </w:r>
    </w:p>
    <w:p w:rsidR="00F97AD0" w:rsidRPr="00EF7182" w:rsidRDefault="00FF1CA5" w:rsidP="00EF7182">
      <w:pPr>
        <w:pStyle w:val="ItemHead"/>
      </w:pPr>
      <w:r w:rsidRPr="00EF7182">
        <w:t>13</w:t>
      </w:r>
      <w:r w:rsidR="00F97AD0" w:rsidRPr="00EF7182">
        <w:t xml:space="preserve">  Before </w:t>
      </w:r>
      <w:r w:rsidR="00BE2959" w:rsidRPr="00EF7182">
        <w:t>section</w:t>
      </w:r>
      <w:r w:rsidR="00EF7182" w:rsidRPr="00EF7182">
        <w:t> </w:t>
      </w:r>
      <w:r w:rsidR="00BE2959" w:rsidRPr="00EF7182">
        <w:t>4</w:t>
      </w:r>
      <w:r w:rsidR="00F97AD0" w:rsidRPr="00EF7182">
        <w:t>7</w:t>
      </w:r>
    </w:p>
    <w:p w:rsidR="00F97AD0" w:rsidRPr="00EF7182" w:rsidRDefault="00F97AD0" w:rsidP="00EF7182">
      <w:pPr>
        <w:pStyle w:val="Item"/>
      </w:pPr>
      <w:r w:rsidRPr="00EF7182">
        <w:t>Insert:</w:t>
      </w:r>
    </w:p>
    <w:p w:rsidR="00F97AD0" w:rsidRPr="00EF7182" w:rsidRDefault="00F97AD0" w:rsidP="00EF7182">
      <w:pPr>
        <w:pStyle w:val="ActHead4"/>
      </w:pPr>
      <w:bookmarkStart w:id="73" w:name="_Toc30410111"/>
      <w:r w:rsidRPr="001A6D2E">
        <w:rPr>
          <w:rStyle w:val="CharSubdNo"/>
        </w:rPr>
        <w:t>Subdivision A</w:t>
      </w:r>
      <w:r w:rsidRPr="00EF7182">
        <w:t>—</w:t>
      </w:r>
      <w:r w:rsidRPr="001A6D2E">
        <w:rPr>
          <w:rStyle w:val="CharSubdText"/>
        </w:rPr>
        <w:t>General obligations</w:t>
      </w:r>
      <w:bookmarkEnd w:id="73"/>
    </w:p>
    <w:p w:rsidR="00F97AD0" w:rsidRPr="00EF7182" w:rsidRDefault="00FF1CA5" w:rsidP="00EF7182">
      <w:pPr>
        <w:pStyle w:val="ItemHead"/>
      </w:pPr>
      <w:r w:rsidRPr="00EF7182">
        <w:t>14</w:t>
      </w:r>
      <w:r w:rsidR="00F97AD0" w:rsidRPr="00EF7182">
        <w:t xml:space="preserve">  Before </w:t>
      </w:r>
      <w:r w:rsidR="00BE2959" w:rsidRPr="00EF7182">
        <w:t>section</w:t>
      </w:r>
      <w:r w:rsidR="00EF7182" w:rsidRPr="00EF7182">
        <w:t> </w:t>
      </w:r>
      <w:r w:rsidR="00BE2959" w:rsidRPr="00EF7182">
        <w:t>4</w:t>
      </w:r>
      <w:r w:rsidR="00F97AD0" w:rsidRPr="00EF7182">
        <w:t>9</w:t>
      </w:r>
    </w:p>
    <w:p w:rsidR="00F97AD0" w:rsidRPr="00EF7182" w:rsidRDefault="00F97AD0" w:rsidP="00EF7182">
      <w:pPr>
        <w:pStyle w:val="Item"/>
      </w:pPr>
      <w:r w:rsidRPr="00EF7182">
        <w:t>Insert:</w:t>
      </w:r>
    </w:p>
    <w:p w:rsidR="00F97AD0" w:rsidRPr="00EF7182" w:rsidRDefault="00F97AD0" w:rsidP="00EF7182">
      <w:pPr>
        <w:pStyle w:val="ActHead4"/>
      </w:pPr>
      <w:bookmarkStart w:id="74" w:name="_Toc30410112"/>
      <w:r w:rsidRPr="001A6D2E">
        <w:rPr>
          <w:rStyle w:val="CharSubdNo"/>
        </w:rPr>
        <w:t>Subdivision B</w:t>
      </w:r>
      <w:r w:rsidRPr="00EF7182">
        <w:t>—</w:t>
      </w:r>
      <w:r w:rsidRPr="001A6D2E">
        <w:rPr>
          <w:rStyle w:val="CharSubdText"/>
        </w:rPr>
        <w:t>Providing information and assistance to ASIC</w:t>
      </w:r>
      <w:bookmarkEnd w:id="74"/>
    </w:p>
    <w:p w:rsidR="00F97AD0" w:rsidRPr="00EF7182" w:rsidRDefault="00FF1CA5" w:rsidP="00EF7182">
      <w:pPr>
        <w:pStyle w:val="ItemHead"/>
      </w:pPr>
      <w:r w:rsidRPr="00EF7182">
        <w:t>15</w:t>
      </w:r>
      <w:r w:rsidR="00F97AD0" w:rsidRPr="00EF7182">
        <w:t xml:space="preserve">  After </w:t>
      </w:r>
      <w:r w:rsidR="00BE2959" w:rsidRPr="00EF7182">
        <w:t>section</w:t>
      </w:r>
      <w:r w:rsidR="00EF7182" w:rsidRPr="00EF7182">
        <w:t> </w:t>
      </w:r>
      <w:r w:rsidR="00BE2959" w:rsidRPr="00EF7182">
        <w:t>5</w:t>
      </w:r>
      <w:r w:rsidR="00F97AD0" w:rsidRPr="00EF7182">
        <w:t>0</w:t>
      </w:r>
    </w:p>
    <w:p w:rsidR="00F97AD0" w:rsidRPr="00EF7182" w:rsidRDefault="00F97AD0" w:rsidP="00EF7182">
      <w:pPr>
        <w:pStyle w:val="Item"/>
      </w:pPr>
      <w:r w:rsidRPr="00EF7182">
        <w:t>Insert:</w:t>
      </w:r>
    </w:p>
    <w:p w:rsidR="00F97AD0" w:rsidRPr="00EF7182" w:rsidRDefault="008B1044" w:rsidP="00EF7182">
      <w:pPr>
        <w:pStyle w:val="ActHead5"/>
      </w:pPr>
      <w:bookmarkStart w:id="75" w:name="_Toc30410113"/>
      <w:r w:rsidRPr="001A6D2E">
        <w:rPr>
          <w:rStyle w:val="CharSectno"/>
        </w:rPr>
        <w:t>50A</w:t>
      </w:r>
      <w:r w:rsidR="00F97AD0" w:rsidRPr="00EF7182">
        <w:t xml:space="preserve">  What are </w:t>
      </w:r>
      <w:r w:rsidR="00F97AD0" w:rsidRPr="00EF7182">
        <w:rPr>
          <w:i/>
        </w:rPr>
        <w:t>reportable situations</w:t>
      </w:r>
      <w:r w:rsidR="00F97AD0" w:rsidRPr="00EF7182">
        <w:t>?</w:t>
      </w:r>
      <w:bookmarkEnd w:id="75"/>
    </w:p>
    <w:p w:rsidR="00F97AD0" w:rsidRPr="00EF7182" w:rsidRDefault="00F97AD0" w:rsidP="00EF7182">
      <w:pPr>
        <w:pStyle w:val="subsection"/>
      </w:pPr>
      <w:r w:rsidRPr="00EF7182">
        <w:tab/>
        <w:t>(1)</w:t>
      </w:r>
      <w:r w:rsidRPr="00EF7182">
        <w:tab/>
        <w:t xml:space="preserve">There is a </w:t>
      </w:r>
      <w:r w:rsidRPr="00EF7182">
        <w:rPr>
          <w:b/>
          <w:i/>
        </w:rPr>
        <w:t>reportable situation</w:t>
      </w:r>
      <w:r w:rsidRPr="00EF7182">
        <w:t xml:space="preserve"> in relation to a licensee if:</w:t>
      </w:r>
    </w:p>
    <w:p w:rsidR="00F97AD0" w:rsidRPr="00EF7182" w:rsidRDefault="00F97AD0" w:rsidP="00EF7182">
      <w:pPr>
        <w:pStyle w:val="paragraph"/>
      </w:pPr>
      <w:r w:rsidRPr="00EF7182">
        <w:tab/>
        <w:t>(a)</w:t>
      </w:r>
      <w:r w:rsidRPr="00EF7182">
        <w:tab/>
        <w:t>one of the following is satisfied:</w:t>
      </w:r>
    </w:p>
    <w:p w:rsidR="00F97AD0" w:rsidRPr="00EF7182" w:rsidRDefault="00F97AD0" w:rsidP="00EF7182">
      <w:pPr>
        <w:pStyle w:val="paragraphsub"/>
      </w:pPr>
      <w:r w:rsidRPr="00EF7182">
        <w:tab/>
        <w:t>(i)</w:t>
      </w:r>
      <w:r w:rsidRPr="00EF7182">
        <w:tab/>
        <w:t>the licensee or a representative of the licensee has breached a core obligation;</w:t>
      </w:r>
    </w:p>
    <w:p w:rsidR="00F97AD0" w:rsidRPr="00EF7182" w:rsidRDefault="00F97AD0" w:rsidP="00EF7182">
      <w:pPr>
        <w:pStyle w:val="paragraphsub"/>
      </w:pPr>
      <w:r w:rsidRPr="00EF7182">
        <w:tab/>
        <w:t>(ii)</w:t>
      </w:r>
      <w:r w:rsidRPr="00EF7182">
        <w:tab/>
        <w:t>the licensee or a representative of the licensee</w:t>
      </w:r>
      <w:r w:rsidRPr="00EF7182">
        <w:rPr>
          <w:i/>
        </w:rPr>
        <w:t xml:space="preserve"> </w:t>
      </w:r>
      <w:r w:rsidRPr="00EF7182">
        <w:t>is likely to breach a core obligation;</w:t>
      </w:r>
    </w:p>
    <w:p w:rsidR="00F97AD0" w:rsidRPr="00EF7182" w:rsidRDefault="00F97AD0" w:rsidP="00EF7182">
      <w:pPr>
        <w:pStyle w:val="paragraphsub"/>
      </w:pPr>
      <w:r w:rsidRPr="00EF7182">
        <w:tab/>
        <w:t>(iii)</w:t>
      </w:r>
      <w:r w:rsidRPr="00EF7182">
        <w:tab/>
        <w:t>the licensee has commenced an investigation into whether the licensee or a representative of the licensee has breached a core obligation; and</w:t>
      </w:r>
    </w:p>
    <w:p w:rsidR="00F97AD0" w:rsidRPr="00EF7182" w:rsidRDefault="00F97AD0" w:rsidP="00EF7182">
      <w:pPr>
        <w:pStyle w:val="paragraph"/>
      </w:pPr>
      <w:r w:rsidRPr="00EF7182">
        <w:tab/>
        <w:t>(b)</w:t>
      </w:r>
      <w:r w:rsidRPr="00EF7182">
        <w:tab/>
        <w:t>the breach or likely breach is significant</w:t>
      </w:r>
      <w:r w:rsidR="008B1044">
        <w:t>.</w:t>
      </w:r>
    </w:p>
    <w:p w:rsidR="00F97AD0" w:rsidRPr="00EF7182" w:rsidRDefault="00F97AD0" w:rsidP="00EF7182">
      <w:pPr>
        <w:pStyle w:val="subsection"/>
      </w:pPr>
      <w:r w:rsidRPr="00EF7182">
        <w:tab/>
        <w:t>(2)</w:t>
      </w:r>
      <w:r w:rsidRPr="00EF7182">
        <w:tab/>
        <w:t xml:space="preserve">There is also a </w:t>
      </w:r>
      <w:r w:rsidRPr="00EF7182">
        <w:rPr>
          <w:b/>
          <w:i/>
        </w:rPr>
        <w:t>reportable situation</w:t>
      </w:r>
      <w:r w:rsidRPr="00EF7182">
        <w:t xml:space="preserve"> in relation to a licensee if:</w:t>
      </w:r>
    </w:p>
    <w:p w:rsidR="00F97AD0" w:rsidRPr="00EF7182" w:rsidRDefault="00F97AD0" w:rsidP="00EF7182">
      <w:pPr>
        <w:pStyle w:val="paragraph"/>
      </w:pPr>
      <w:r w:rsidRPr="00EF7182">
        <w:tab/>
        <w:t>(a)</w:t>
      </w:r>
      <w:r w:rsidRPr="00EF7182">
        <w:tab/>
        <w:t>in the course of engaging in a credit activity, the licensee or a representative of the licensee has engaged in conduct constituting gross negligence; or</w:t>
      </w:r>
    </w:p>
    <w:p w:rsidR="00F97AD0" w:rsidRPr="00EF7182" w:rsidRDefault="00F97AD0" w:rsidP="00EF7182">
      <w:pPr>
        <w:pStyle w:val="paragraph"/>
      </w:pPr>
      <w:r w:rsidRPr="00EF7182">
        <w:tab/>
        <w:t>(b)</w:t>
      </w:r>
      <w:r w:rsidRPr="00EF7182">
        <w:tab/>
        <w:t>the licensee or a representative of the licensee has committed serious fraud; or</w:t>
      </w:r>
    </w:p>
    <w:p w:rsidR="00F97AD0" w:rsidRPr="00EF7182" w:rsidRDefault="00F97AD0" w:rsidP="00EF7182">
      <w:pPr>
        <w:pStyle w:val="paragraph"/>
      </w:pPr>
      <w:r w:rsidRPr="00EF7182">
        <w:tab/>
        <w:t>(c)</w:t>
      </w:r>
      <w:r w:rsidRPr="00EF7182">
        <w:tab/>
        <w:t>any other circumstances prescribed by the regulations for the purposes of this paragraph exist</w:t>
      </w:r>
      <w:r w:rsidR="008B1044">
        <w:t>.</w:t>
      </w:r>
    </w:p>
    <w:p w:rsidR="00F97AD0" w:rsidRPr="00EF7182" w:rsidRDefault="00F97AD0" w:rsidP="00EF7182">
      <w:pPr>
        <w:pStyle w:val="subsection"/>
      </w:pPr>
      <w:r w:rsidRPr="00EF7182">
        <w:tab/>
        <w:t>(3)</w:t>
      </w:r>
      <w:r w:rsidRPr="00EF7182">
        <w:tab/>
        <w:t xml:space="preserve">Each of the following is a </w:t>
      </w:r>
      <w:r w:rsidRPr="00EF7182">
        <w:rPr>
          <w:b/>
          <w:i/>
        </w:rPr>
        <w:t>core obligation</w:t>
      </w:r>
      <w:r w:rsidRPr="00EF7182">
        <w:t>:</w:t>
      </w:r>
    </w:p>
    <w:p w:rsidR="00F97AD0" w:rsidRPr="00EF7182" w:rsidRDefault="00F97AD0" w:rsidP="00EF7182">
      <w:pPr>
        <w:pStyle w:val="paragraph"/>
      </w:pPr>
      <w:r w:rsidRPr="00EF7182">
        <w:tab/>
        <w:t>(a)</w:t>
      </w:r>
      <w:r w:rsidRPr="00EF7182">
        <w:tab/>
        <w:t xml:space="preserve">an obligation under </w:t>
      </w:r>
      <w:r w:rsidR="00BE2959" w:rsidRPr="00EF7182">
        <w:t>section</w:t>
      </w:r>
      <w:r w:rsidR="00EF7182" w:rsidRPr="00EF7182">
        <w:t> </w:t>
      </w:r>
      <w:r w:rsidR="00BE2959" w:rsidRPr="00EF7182">
        <w:t>4</w:t>
      </w:r>
      <w:r w:rsidRPr="00EF7182">
        <w:t>7, other than the obligation under paragraph</w:t>
      </w:r>
      <w:r w:rsidR="00EF7182" w:rsidRPr="00EF7182">
        <w:t> </w:t>
      </w:r>
      <w:r w:rsidRPr="00EF7182">
        <w:t>47(1)(d);</w:t>
      </w:r>
    </w:p>
    <w:p w:rsidR="00F97AD0" w:rsidRPr="00EF7182" w:rsidRDefault="00F97AD0" w:rsidP="00EF7182">
      <w:pPr>
        <w:pStyle w:val="paragraph"/>
      </w:pPr>
      <w:r w:rsidRPr="00EF7182">
        <w:tab/>
        <w:t>(b)</w:t>
      </w:r>
      <w:r w:rsidRPr="00EF7182">
        <w:tab/>
        <w:t>the obligation under paragraph</w:t>
      </w:r>
      <w:r w:rsidR="00EF7182" w:rsidRPr="00EF7182">
        <w:t> </w:t>
      </w:r>
      <w:r w:rsidRPr="00EF7182">
        <w:t xml:space="preserve">47(1)(d), so far as it relates to this Act, the Transitional Act and </w:t>
      </w:r>
      <w:r w:rsidR="00BE2959" w:rsidRPr="00EF7182">
        <w:t>Division</w:t>
      </w:r>
      <w:r w:rsidR="00EF7182" w:rsidRPr="00EF7182">
        <w:t> </w:t>
      </w:r>
      <w:r w:rsidR="00BE2959" w:rsidRPr="00EF7182">
        <w:t>2</w:t>
      </w:r>
      <w:r w:rsidRPr="00EF7182">
        <w:t xml:space="preserve"> of </w:t>
      </w:r>
      <w:r w:rsidR="00BE2959" w:rsidRPr="00EF7182">
        <w:t>Part</w:t>
      </w:r>
      <w:r w:rsidR="00EF7182" w:rsidRPr="00EF7182">
        <w:t> </w:t>
      </w:r>
      <w:r w:rsidR="00BE2959" w:rsidRPr="00EF7182">
        <w:t>2</w:t>
      </w:r>
      <w:r w:rsidRPr="00EF7182">
        <w:t xml:space="preserve"> of the ASIC Act and regulations made for the purpose of that Division;</w:t>
      </w:r>
    </w:p>
    <w:p w:rsidR="00F97AD0" w:rsidRPr="00EF7182" w:rsidRDefault="00F97AD0" w:rsidP="00EF7182">
      <w:pPr>
        <w:pStyle w:val="paragraph"/>
      </w:pPr>
      <w:r w:rsidRPr="00EF7182">
        <w:tab/>
        <w:t>(c)</w:t>
      </w:r>
      <w:r w:rsidRPr="00EF7182">
        <w:tab/>
        <w:t>the obligation under paragraph</w:t>
      </w:r>
      <w:r w:rsidR="00EF7182" w:rsidRPr="00EF7182">
        <w:t> </w:t>
      </w:r>
      <w:r w:rsidRPr="00EF7182">
        <w:t xml:space="preserve">47(1)(d), so far as it relates to Commonwealth legislation that is covered by </w:t>
      </w:r>
      <w:r w:rsidR="00EF7182" w:rsidRPr="00EF7182">
        <w:t>paragraph (</w:t>
      </w:r>
      <w:r w:rsidRPr="00EF7182">
        <w:t xml:space="preserve">d) of the definition of </w:t>
      </w:r>
      <w:r w:rsidRPr="00EF7182">
        <w:rPr>
          <w:b/>
          <w:i/>
        </w:rPr>
        <w:t>credit legislation</w:t>
      </w:r>
      <w:r w:rsidR="008B1044">
        <w:t>.</w:t>
      </w:r>
    </w:p>
    <w:p w:rsidR="00CB39F1" w:rsidRPr="00EF7182" w:rsidRDefault="00CB39F1" w:rsidP="00EF7182">
      <w:pPr>
        <w:pStyle w:val="subsection"/>
      </w:pPr>
      <w:r w:rsidRPr="00EF7182">
        <w:tab/>
        <w:t>(4)</w:t>
      </w:r>
      <w:r w:rsidRPr="00EF7182">
        <w:tab/>
        <w:t xml:space="preserve">For the purposes of this section, a person is </w:t>
      </w:r>
      <w:r w:rsidRPr="00EF7182">
        <w:rPr>
          <w:b/>
          <w:i/>
        </w:rPr>
        <w:t>likely to breach</w:t>
      </w:r>
      <w:r w:rsidRPr="00EF7182">
        <w:t xml:space="preserve"> a core obligation if, and only if, the person is no longer able to comply with the obligation</w:t>
      </w:r>
      <w:r w:rsidR="008B1044">
        <w:t>.</w:t>
      </w:r>
    </w:p>
    <w:p w:rsidR="00CB39F1" w:rsidRPr="00EF7182" w:rsidRDefault="00CB39F1" w:rsidP="00EF7182">
      <w:pPr>
        <w:pStyle w:val="subsection"/>
      </w:pPr>
      <w:r w:rsidRPr="00EF7182">
        <w:tab/>
        <w:t>(5)</w:t>
      </w:r>
      <w:r w:rsidRPr="00EF7182">
        <w:tab/>
        <w:t xml:space="preserve">For the purposes of this section, a breach or likely breach of a core obligation is taken to be </w:t>
      </w:r>
      <w:r w:rsidRPr="00EF7182">
        <w:rPr>
          <w:b/>
          <w:i/>
        </w:rPr>
        <w:t xml:space="preserve">significant </w:t>
      </w:r>
      <w:r w:rsidRPr="00EF7182">
        <w:t>if:</w:t>
      </w:r>
    </w:p>
    <w:p w:rsidR="00CB39F1" w:rsidRPr="00EF7182" w:rsidRDefault="00CB39F1" w:rsidP="00EF7182">
      <w:pPr>
        <w:pStyle w:val="paragraph"/>
      </w:pPr>
      <w:r w:rsidRPr="00EF7182">
        <w:tab/>
        <w:t>(a)</w:t>
      </w:r>
      <w:r w:rsidRPr="00EF7182">
        <w:tab/>
        <w:t>the breach is punishable on conviction by a penalty that may include imprisonment for a maximum period of:</w:t>
      </w:r>
    </w:p>
    <w:p w:rsidR="00CB39F1" w:rsidRPr="00EF7182" w:rsidRDefault="00CB39F1" w:rsidP="00EF7182">
      <w:pPr>
        <w:pStyle w:val="paragraphsub"/>
      </w:pPr>
      <w:r w:rsidRPr="00EF7182">
        <w:tab/>
        <w:t>(i)</w:t>
      </w:r>
      <w:r w:rsidRPr="00EF7182">
        <w:tab/>
        <w:t>if the offence involves dishonesty—3 months or more; or</w:t>
      </w:r>
    </w:p>
    <w:p w:rsidR="00CB39F1" w:rsidRPr="00EF7182" w:rsidRDefault="00CB39F1" w:rsidP="00EF7182">
      <w:pPr>
        <w:pStyle w:val="paragraphsub"/>
      </w:pPr>
      <w:r w:rsidRPr="00EF7182">
        <w:tab/>
        <w:t>(ii)</w:t>
      </w:r>
      <w:r w:rsidRPr="00EF7182">
        <w:tab/>
        <w:t>in any other case—12 months or more; or</w:t>
      </w:r>
    </w:p>
    <w:p w:rsidR="00CB39F1" w:rsidRPr="00EF7182" w:rsidRDefault="00CB39F1" w:rsidP="00EF7182">
      <w:pPr>
        <w:pStyle w:val="paragraph"/>
      </w:pPr>
      <w:r w:rsidRPr="00EF7182">
        <w:tab/>
        <w:t>(b)</w:t>
      </w:r>
      <w:r w:rsidRPr="00EF7182">
        <w:tab/>
        <w:t>the breach constitutes a contravention of a civil penalty provision; or</w:t>
      </w:r>
    </w:p>
    <w:p w:rsidR="00CB39F1" w:rsidRPr="00EF7182" w:rsidRDefault="00CB39F1" w:rsidP="00EF7182">
      <w:pPr>
        <w:pStyle w:val="paragraph"/>
      </w:pPr>
      <w:r w:rsidRPr="00EF7182">
        <w:tab/>
        <w:t>(c)</w:t>
      </w:r>
      <w:r w:rsidRPr="00EF7182">
        <w:tab/>
        <w:t xml:space="preserve">the breach results, or is likely to result, in </w:t>
      </w:r>
      <w:r w:rsidR="001026C1">
        <w:t>loss or damage</w:t>
      </w:r>
      <w:r w:rsidRPr="00EF7182">
        <w:t xml:space="preserve"> to a credit activity client of the licensee; or</w:t>
      </w:r>
    </w:p>
    <w:p w:rsidR="00CB39F1" w:rsidRPr="00EF7182" w:rsidRDefault="00CB39F1" w:rsidP="00EF7182">
      <w:pPr>
        <w:pStyle w:val="paragraph"/>
      </w:pPr>
      <w:r w:rsidRPr="00EF7182">
        <w:tab/>
        <w:t>(d)</w:t>
      </w:r>
      <w:r w:rsidRPr="00EF7182">
        <w:tab/>
        <w:t>any other circumstances prescribed by the regulations for the purposes of this paragraph exist</w:t>
      </w:r>
      <w:r w:rsidR="008B1044">
        <w:t>.</w:t>
      </w:r>
    </w:p>
    <w:p w:rsidR="00CB39F1" w:rsidRPr="00EF7182" w:rsidRDefault="00CB39F1" w:rsidP="00EF7182">
      <w:pPr>
        <w:pStyle w:val="subsection"/>
      </w:pPr>
      <w:r w:rsidRPr="00EF7182">
        <w:tab/>
        <w:t>(6)</w:t>
      </w:r>
      <w:r w:rsidRPr="00EF7182">
        <w:tab/>
        <w:t xml:space="preserve">Otherwise, for the purposes of this section, a breach or likely breach of a core obligation is </w:t>
      </w:r>
      <w:r w:rsidRPr="00EF7182">
        <w:rPr>
          <w:b/>
          <w:i/>
        </w:rPr>
        <w:t>significant</w:t>
      </w:r>
      <w:r w:rsidRPr="00EF7182">
        <w:t xml:space="preserve"> having regard to the following:</w:t>
      </w:r>
    </w:p>
    <w:p w:rsidR="00CB39F1" w:rsidRPr="00EF7182" w:rsidRDefault="00CB39F1" w:rsidP="00EF7182">
      <w:pPr>
        <w:pStyle w:val="paragraph"/>
      </w:pPr>
      <w:r w:rsidRPr="00EF7182">
        <w:tab/>
        <w:t>(a)</w:t>
      </w:r>
      <w:r w:rsidRPr="00EF7182">
        <w:tab/>
        <w:t>the number or frequency of similar previous breaches;</w:t>
      </w:r>
    </w:p>
    <w:p w:rsidR="00CB39F1" w:rsidRPr="00EF7182" w:rsidRDefault="00CB39F1" w:rsidP="00EF7182">
      <w:pPr>
        <w:pStyle w:val="paragraph"/>
      </w:pPr>
      <w:r w:rsidRPr="00EF7182">
        <w:tab/>
        <w:t>(b)</w:t>
      </w:r>
      <w:r w:rsidRPr="00EF7182">
        <w:tab/>
        <w:t>the impact of the breach or likely breach on the licensee’s ability to engage in credit activities covered by the licence;</w:t>
      </w:r>
    </w:p>
    <w:p w:rsidR="00CB39F1" w:rsidRPr="00EF7182" w:rsidRDefault="00CB39F1" w:rsidP="00EF7182">
      <w:pPr>
        <w:pStyle w:val="paragraph"/>
      </w:pPr>
      <w:r w:rsidRPr="00EF7182">
        <w:tab/>
        <w:t>(c)</w:t>
      </w:r>
      <w:r w:rsidRPr="00EF7182">
        <w:tab/>
        <w:t xml:space="preserve">the extent to which the breach or likely breach indicates that the licensee’s arrangements to ensure compliance with those obligations </w:t>
      </w:r>
      <w:r w:rsidR="00300161" w:rsidRPr="00EF7182">
        <w:t>are</w:t>
      </w:r>
      <w:r w:rsidRPr="00EF7182">
        <w:t xml:space="preserve"> inadequate;</w:t>
      </w:r>
    </w:p>
    <w:p w:rsidR="00CB39F1" w:rsidRPr="00EF7182" w:rsidRDefault="00CB39F1" w:rsidP="00EF7182">
      <w:pPr>
        <w:pStyle w:val="paragraph"/>
      </w:pPr>
      <w:r w:rsidRPr="00EF7182">
        <w:tab/>
        <w:t>(d)</w:t>
      </w:r>
      <w:r w:rsidRPr="00EF7182">
        <w:tab/>
        <w:t>any other matters prescribed by regulations made for the purposes of this paragraph</w:t>
      </w:r>
      <w:r w:rsidR="008B1044">
        <w:t>.</w:t>
      </w:r>
    </w:p>
    <w:p w:rsidR="00CB39F1" w:rsidRPr="00EF7182" w:rsidRDefault="00CB39F1" w:rsidP="00EF7182">
      <w:pPr>
        <w:pStyle w:val="subsection"/>
      </w:pPr>
      <w:r w:rsidRPr="00EF7182">
        <w:tab/>
        <w:t>(7)</w:t>
      </w:r>
      <w:r w:rsidRPr="00EF7182">
        <w:tab/>
      </w:r>
      <w:r w:rsidR="00994010" w:rsidRPr="00EF7182">
        <w:t>F</w:t>
      </w:r>
      <w:r w:rsidR="0010242F" w:rsidRPr="00EF7182">
        <w:t>or the purposes of this section</w:t>
      </w:r>
      <w:r w:rsidRPr="00EF7182">
        <w:t xml:space="preserve">, a person is a </w:t>
      </w:r>
      <w:r w:rsidRPr="00EF7182">
        <w:rPr>
          <w:b/>
          <w:i/>
        </w:rPr>
        <w:t xml:space="preserve">credit activity client </w:t>
      </w:r>
      <w:r w:rsidRPr="00EF7182">
        <w:t xml:space="preserve">of a licensee </w:t>
      </w:r>
      <w:r w:rsidR="006E7CB9" w:rsidRPr="00EF7182">
        <w:t>if the person is a consumer who</w:t>
      </w:r>
      <w:r w:rsidRPr="00EF7182">
        <w:t>:</w:t>
      </w:r>
    </w:p>
    <w:p w:rsidR="00CB39F1" w:rsidRPr="00EF7182" w:rsidRDefault="00CB39F1" w:rsidP="00EF7182">
      <w:pPr>
        <w:pStyle w:val="paragraph"/>
      </w:pPr>
      <w:r w:rsidRPr="00EF7182">
        <w:tab/>
        <w:t>(a)</w:t>
      </w:r>
      <w:r w:rsidRPr="00EF7182">
        <w:tab/>
      </w:r>
      <w:r w:rsidR="007B12A6" w:rsidRPr="00EF7182">
        <w:t xml:space="preserve">is </w:t>
      </w:r>
      <w:r w:rsidRPr="00EF7182">
        <w:t>a party to a credit contract, or will be a party to a proposed credit contract, in relation to which the licensee, or a representative of the licensee, performs the obligations, or exercises the rights, of a credit provider; or</w:t>
      </w:r>
    </w:p>
    <w:p w:rsidR="00CB39F1" w:rsidRPr="00EF7182" w:rsidRDefault="00CB39F1" w:rsidP="00EF7182">
      <w:pPr>
        <w:pStyle w:val="paragraph"/>
      </w:pPr>
      <w:r w:rsidRPr="00EF7182">
        <w:tab/>
        <w:t>(b)</w:t>
      </w:r>
      <w:r w:rsidRPr="00EF7182">
        <w:tab/>
      </w:r>
      <w:r w:rsidR="007B12A6" w:rsidRPr="00EF7182">
        <w:t xml:space="preserve">is </w:t>
      </w:r>
      <w:r w:rsidRPr="00EF7182">
        <w:t>a person to whom the licensee, or a representative of the licensee, provides a credit service; or</w:t>
      </w:r>
    </w:p>
    <w:p w:rsidR="00CB39F1" w:rsidRPr="00EF7182" w:rsidRDefault="00CB39F1" w:rsidP="00EF7182">
      <w:pPr>
        <w:pStyle w:val="paragraph"/>
      </w:pPr>
      <w:r w:rsidRPr="00EF7182">
        <w:tab/>
        <w:t>(c)</w:t>
      </w:r>
      <w:r w:rsidRPr="00EF7182">
        <w:tab/>
      </w:r>
      <w:r w:rsidR="007B12A6" w:rsidRPr="00EF7182">
        <w:t xml:space="preserve">is </w:t>
      </w:r>
      <w:r w:rsidRPr="00EF7182">
        <w:t>a party to a consumer lease, or will be a party to a proposed consumer lease, in relation to which the licensee, or a representative of the licensee, performs the obligations, or exercises the rights, of a lessor; or</w:t>
      </w:r>
    </w:p>
    <w:p w:rsidR="00CB39F1" w:rsidRPr="00EF7182" w:rsidRDefault="00CB39F1" w:rsidP="00EF7182">
      <w:pPr>
        <w:pStyle w:val="paragraph"/>
      </w:pPr>
      <w:r w:rsidRPr="00EF7182">
        <w:tab/>
        <w:t>(d)</w:t>
      </w:r>
      <w:r w:rsidRPr="00EF7182">
        <w:tab/>
      </w:r>
      <w:r w:rsidR="007B12A6" w:rsidRPr="00EF7182">
        <w:t xml:space="preserve">is </w:t>
      </w:r>
      <w:r w:rsidRPr="00EF7182">
        <w:t>a mortgagor under a mortgage, or will be the mortgagor under a proposed mortgage, in relation to which the licensee, or a representative of the licensee, performs the obligations, or exercises the rights of a mortgagee; or</w:t>
      </w:r>
    </w:p>
    <w:p w:rsidR="00CB39F1" w:rsidRPr="00EF7182" w:rsidRDefault="00CB39F1" w:rsidP="00EF7182">
      <w:pPr>
        <w:pStyle w:val="paragraph"/>
      </w:pPr>
      <w:r w:rsidRPr="00EF7182">
        <w:tab/>
        <w:t>(e)</w:t>
      </w:r>
      <w:r w:rsidRPr="00EF7182">
        <w:tab/>
      </w:r>
      <w:r w:rsidR="007B12A6" w:rsidRPr="00EF7182">
        <w:t xml:space="preserve">is </w:t>
      </w:r>
      <w:r w:rsidRPr="00EF7182">
        <w:t>the guarantor under a guarantee, or will be the guarantor under a proposed guarantee, in relation to which the licensee, or a representative of the licensee, performs the obligations, or exercises the rights, of a beneficiary under the guarantee; or</w:t>
      </w:r>
    </w:p>
    <w:p w:rsidR="00CB39F1" w:rsidRPr="00EF7182" w:rsidRDefault="00CB39F1" w:rsidP="00EF7182">
      <w:pPr>
        <w:pStyle w:val="paragraph"/>
      </w:pPr>
      <w:r w:rsidRPr="00EF7182">
        <w:tab/>
        <w:t>(f)</w:t>
      </w:r>
      <w:r w:rsidRPr="00EF7182">
        <w:tab/>
      </w:r>
      <w:r w:rsidR="007B12A6" w:rsidRPr="00EF7182">
        <w:t xml:space="preserve">is </w:t>
      </w:r>
      <w:r w:rsidRPr="00EF7182">
        <w:t xml:space="preserve">a person in relation to whom the licensee, or a representative of the licensee, engages in a prescribed activity mentioned in </w:t>
      </w:r>
      <w:r w:rsidR="00BE2959" w:rsidRPr="00EF7182">
        <w:t>item</w:t>
      </w:r>
      <w:r w:rsidR="00EF7182" w:rsidRPr="00EF7182">
        <w:t> </w:t>
      </w:r>
      <w:r w:rsidR="00BE2959" w:rsidRPr="00EF7182">
        <w:t>6</w:t>
      </w:r>
      <w:r w:rsidRPr="00EF7182">
        <w:t xml:space="preserve"> of </w:t>
      </w:r>
      <w:r w:rsidR="006E7CB9" w:rsidRPr="00EF7182">
        <w:t xml:space="preserve">the table in </w:t>
      </w:r>
      <w:r w:rsidR="00BE2959" w:rsidRPr="00EF7182">
        <w:t>subsection</w:t>
      </w:r>
      <w:r w:rsidR="00EF7182" w:rsidRPr="00EF7182">
        <w:t> </w:t>
      </w:r>
      <w:r w:rsidR="00BE2959" w:rsidRPr="00EF7182">
        <w:t>6</w:t>
      </w:r>
      <w:r w:rsidRPr="00EF7182">
        <w:t>(1)</w:t>
      </w:r>
      <w:r w:rsidR="008B1044">
        <w:t>.</w:t>
      </w:r>
    </w:p>
    <w:p w:rsidR="00864253" w:rsidRPr="00EF7182" w:rsidRDefault="008B1044" w:rsidP="00EF7182">
      <w:pPr>
        <w:pStyle w:val="ActHead5"/>
        <w:rPr>
          <w:b w:val="0"/>
        </w:rPr>
      </w:pPr>
      <w:bookmarkStart w:id="76" w:name="_Toc30410114"/>
      <w:r w:rsidRPr="001A6D2E">
        <w:rPr>
          <w:rStyle w:val="CharSectno"/>
        </w:rPr>
        <w:t>50B</w:t>
      </w:r>
      <w:r w:rsidR="00864253" w:rsidRPr="00EF7182">
        <w:t xml:space="preserve">  When does a person </w:t>
      </w:r>
      <w:r w:rsidR="00864253" w:rsidRPr="00EF7182">
        <w:rPr>
          <w:i/>
        </w:rPr>
        <w:t>reasonably know</w:t>
      </w:r>
      <w:r w:rsidR="00864253" w:rsidRPr="00EF7182">
        <w:rPr>
          <w:b w:val="0"/>
        </w:rPr>
        <w:t xml:space="preserve"> </w:t>
      </w:r>
      <w:r w:rsidR="00864253" w:rsidRPr="00EF7182">
        <w:t>of a circumstance</w:t>
      </w:r>
      <w:r w:rsidR="00AA04BF" w:rsidRPr="00EF7182">
        <w:t>?</w:t>
      </w:r>
      <w:bookmarkEnd w:id="76"/>
    </w:p>
    <w:p w:rsidR="00864253" w:rsidRPr="00EF7182" w:rsidRDefault="00864253" w:rsidP="00EF7182">
      <w:pPr>
        <w:pStyle w:val="subsection"/>
      </w:pPr>
      <w:r w:rsidRPr="00EF7182">
        <w:tab/>
        <w:t>(1)</w:t>
      </w:r>
      <w:r w:rsidRPr="00EF7182">
        <w:tab/>
      </w:r>
      <w:r w:rsidR="00AB4066">
        <w:t xml:space="preserve">In this Division, a </w:t>
      </w:r>
      <w:r w:rsidRPr="00EF7182">
        <w:t xml:space="preserve">person </w:t>
      </w:r>
      <w:r w:rsidRPr="00EF7182">
        <w:rPr>
          <w:b/>
          <w:i/>
        </w:rPr>
        <w:t>reasonably knows</w:t>
      </w:r>
      <w:r w:rsidRPr="00EF7182">
        <w:t xml:space="preserve"> of a circumstance if:</w:t>
      </w:r>
    </w:p>
    <w:p w:rsidR="00864253" w:rsidRPr="00EF7182" w:rsidRDefault="00864253" w:rsidP="00EF7182">
      <w:pPr>
        <w:pStyle w:val="paragraph"/>
      </w:pPr>
      <w:r w:rsidRPr="00EF7182">
        <w:tab/>
        <w:t>(a)</w:t>
      </w:r>
      <w:r w:rsidRPr="00EF7182">
        <w:tab/>
        <w:t>the person is aware that the circumstance exists or will exist in the ordinary course of events; or</w:t>
      </w:r>
    </w:p>
    <w:p w:rsidR="00864253" w:rsidRPr="00EF7182" w:rsidRDefault="00864253" w:rsidP="00EF7182">
      <w:pPr>
        <w:pStyle w:val="paragraph"/>
      </w:pPr>
      <w:r w:rsidRPr="00EF7182">
        <w:tab/>
        <w:t>(b)</w:t>
      </w:r>
      <w:r w:rsidRPr="00EF7182">
        <w:tab/>
        <w:t>each of the following is satisfied:</w:t>
      </w:r>
    </w:p>
    <w:p w:rsidR="00864253" w:rsidRPr="00EF7182" w:rsidRDefault="00864253" w:rsidP="00EF7182">
      <w:pPr>
        <w:pStyle w:val="paragraphsub"/>
      </w:pPr>
      <w:r w:rsidRPr="00EF7182">
        <w:tab/>
        <w:t>(i)</w:t>
      </w:r>
      <w:r w:rsidRPr="00EF7182">
        <w:tab/>
        <w:t>the person is aware of a substantial risk that the circumstance exists or will exist;</w:t>
      </w:r>
    </w:p>
    <w:p w:rsidR="00864253" w:rsidRPr="00EF7182" w:rsidRDefault="00864253" w:rsidP="00EF7182">
      <w:pPr>
        <w:pStyle w:val="paragraphsub"/>
      </w:pPr>
      <w:r w:rsidRPr="00EF7182">
        <w:tab/>
        <w:t>(ii)</w:t>
      </w:r>
      <w:r w:rsidRPr="00EF7182">
        <w:tab/>
        <w:t>having regard to the circumstances known to the person, it is unjustifiable to take the risk</w:t>
      </w:r>
      <w:r w:rsidR="008B1044">
        <w:t>.</w:t>
      </w:r>
    </w:p>
    <w:p w:rsidR="00864253" w:rsidRPr="00EF7182" w:rsidRDefault="00864253" w:rsidP="00EF7182">
      <w:pPr>
        <w:pStyle w:val="subsection"/>
      </w:pPr>
      <w:r w:rsidRPr="00EF7182">
        <w:tab/>
        <w:t>(2)</w:t>
      </w:r>
      <w:r w:rsidRPr="00EF7182">
        <w:tab/>
        <w:t xml:space="preserve">In </w:t>
      </w:r>
      <w:r w:rsidR="00EF7182" w:rsidRPr="00EF7182">
        <w:t>subsection (</w:t>
      </w:r>
      <w:r w:rsidRPr="00EF7182">
        <w:t>1), the question whether taking a risk is unjustifiable is one of fact</w:t>
      </w:r>
      <w:r w:rsidR="008B1044">
        <w:t>.</w:t>
      </w:r>
    </w:p>
    <w:p w:rsidR="00864253" w:rsidRPr="00EF7182" w:rsidRDefault="008B1044" w:rsidP="00EF7182">
      <w:pPr>
        <w:pStyle w:val="ActHead5"/>
      </w:pPr>
      <w:bookmarkStart w:id="77" w:name="_Toc30410115"/>
      <w:r w:rsidRPr="001A6D2E">
        <w:rPr>
          <w:rStyle w:val="CharSectno"/>
        </w:rPr>
        <w:t>50C</w:t>
      </w:r>
      <w:r w:rsidR="00864253" w:rsidRPr="00EF7182">
        <w:t xml:space="preserve">  Obligation to lodge a report—reportable situations in relation to the licensee</w:t>
      </w:r>
      <w:bookmarkEnd w:id="77"/>
    </w:p>
    <w:p w:rsidR="00864253" w:rsidRPr="00EF7182" w:rsidRDefault="00864253" w:rsidP="00EF7182">
      <w:pPr>
        <w:pStyle w:val="SubsectionHead"/>
      </w:pPr>
      <w:r w:rsidRPr="00EF7182">
        <w:t>Reporting a reportable situation</w:t>
      </w:r>
      <w:r w:rsidR="00615C3F" w:rsidRPr="00EF7182">
        <w:t xml:space="preserve"> to ASIC</w:t>
      </w:r>
    </w:p>
    <w:p w:rsidR="00864253" w:rsidRPr="00EF7182" w:rsidRDefault="00864253" w:rsidP="00EF7182">
      <w:pPr>
        <w:pStyle w:val="subsection"/>
      </w:pPr>
      <w:r w:rsidRPr="00EF7182">
        <w:tab/>
        <w:t>(1)</w:t>
      </w:r>
      <w:r w:rsidRPr="00EF7182">
        <w:tab/>
        <w:t>A licensee must lodge a report with ASIC in accordance with this section if there are reasonable grounds to believe that a reportable situation has arisen in relation to the licensee</w:t>
      </w:r>
      <w:r w:rsidR="008B1044">
        <w:t>.</w:t>
      </w:r>
    </w:p>
    <w:p w:rsidR="00864253" w:rsidRPr="00EF7182" w:rsidRDefault="00864253" w:rsidP="00EF7182">
      <w:pPr>
        <w:pStyle w:val="Penalty"/>
      </w:pPr>
      <w:r w:rsidRPr="00EF7182">
        <w:t>Civil penalty:</w:t>
      </w:r>
      <w:r w:rsidRPr="00EF7182">
        <w:tab/>
        <w:t>5,000 penalty unit</w:t>
      </w:r>
      <w:bookmarkStart w:id="78" w:name="BK_S1P16L16C34"/>
      <w:bookmarkStart w:id="79" w:name="BK_S1P16L7C34"/>
      <w:bookmarkEnd w:id="78"/>
      <w:bookmarkEnd w:id="79"/>
      <w:r w:rsidRPr="00EF7182">
        <w:t>s</w:t>
      </w:r>
      <w:r w:rsidR="008B1044">
        <w:t>.</w:t>
      </w:r>
    </w:p>
    <w:p w:rsidR="00DC6839" w:rsidRPr="00EF7182" w:rsidRDefault="00DC6839" w:rsidP="00EF7182">
      <w:pPr>
        <w:pStyle w:val="SubsectionHead"/>
      </w:pPr>
      <w:r w:rsidRPr="00EF7182">
        <w:t>Reporting the outcome of an investigation</w:t>
      </w:r>
      <w:r w:rsidR="00615C3F" w:rsidRPr="00EF7182">
        <w:t xml:space="preserve"> to ASIC</w:t>
      </w:r>
    </w:p>
    <w:p w:rsidR="00DC6839" w:rsidRPr="00EF7182" w:rsidRDefault="00DC6839" w:rsidP="00EF7182">
      <w:pPr>
        <w:pStyle w:val="subsection"/>
      </w:pPr>
      <w:r w:rsidRPr="00EF7182">
        <w:tab/>
        <w:t>(2)</w:t>
      </w:r>
      <w:r w:rsidRPr="00EF7182">
        <w:tab/>
        <w:t>A licensee must lodge a report with ASIC in accordance with this section if:</w:t>
      </w:r>
    </w:p>
    <w:p w:rsidR="00DC6839" w:rsidRPr="00EF7182" w:rsidRDefault="00DC6839" w:rsidP="00EF7182">
      <w:pPr>
        <w:pStyle w:val="paragraph"/>
      </w:pPr>
      <w:r w:rsidRPr="00EF7182">
        <w:tab/>
        <w:t>(a)</w:t>
      </w:r>
      <w:r w:rsidRPr="00EF7182">
        <w:tab/>
        <w:t>the licensee has commenced an investigation into whether the licensee or a representative of the licensee has breached a core obligation; and</w:t>
      </w:r>
    </w:p>
    <w:p w:rsidR="00DC6839" w:rsidRPr="00EF7182" w:rsidRDefault="00DC6839" w:rsidP="00EF7182">
      <w:pPr>
        <w:pStyle w:val="paragraph"/>
      </w:pPr>
      <w:r w:rsidRPr="00EF7182">
        <w:tab/>
        <w:t>(b)</w:t>
      </w:r>
      <w:r w:rsidRPr="00EF7182">
        <w:tab/>
        <w:t xml:space="preserve">the licensee is obliged under </w:t>
      </w:r>
      <w:r w:rsidR="00EF7182" w:rsidRPr="00EF7182">
        <w:t>subsection (</w:t>
      </w:r>
      <w:r w:rsidRPr="00EF7182">
        <w:t>1) to report the investigation; and</w:t>
      </w:r>
    </w:p>
    <w:p w:rsidR="00DC6839" w:rsidRPr="00EF7182" w:rsidRDefault="00DC6839" w:rsidP="00EF7182">
      <w:pPr>
        <w:pStyle w:val="paragraph"/>
      </w:pPr>
      <w:r w:rsidRPr="00EF7182">
        <w:tab/>
        <w:t>(c)</w:t>
      </w:r>
      <w:r w:rsidRPr="00EF7182">
        <w:tab/>
        <w:t>the investigation discloses no reasonable grounds to believe that the licensee or a representative of the licensee has breached the core obligation</w:t>
      </w:r>
      <w:r w:rsidR="008B1044">
        <w:t>.</w:t>
      </w:r>
    </w:p>
    <w:p w:rsidR="00864253" w:rsidRPr="00EF7182" w:rsidRDefault="00DC6839" w:rsidP="00EF7182">
      <w:pPr>
        <w:pStyle w:val="Penalty"/>
      </w:pPr>
      <w:r w:rsidRPr="00EF7182">
        <w:t>Civil penalty:</w:t>
      </w:r>
      <w:r w:rsidRPr="00EF7182">
        <w:tab/>
        <w:t>5,000 penalty units</w:t>
      </w:r>
      <w:r w:rsidR="008B1044">
        <w:t>.</w:t>
      </w:r>
    </w:p>
    <w:p w:rsidR="00DC6839" w:rsidRPr="00EF7182" w:rsidRDefault="00DC6839" w:rsidP="00EF7182">
      <w:pPr>
        <w:pStyle w:val="SubsectionHead"/>
      </w:pPr>
      <w:r w:rsidRPr="00EF7182">
        <w:t>Offence</w:t>
      </w:r>
    </w:p>
    <w:p w:rsidR="00DC6839" w:rsidRPr="00EF7182" w:rsidRDefault="00DC6839" w:rsidP="00EF7182">
      <w:pPr>
        <w:pStyle w:val="subsection"/>
      </w:pPr>
      <w:r w:rsidRPr="00EF7182">
        <w:tab/>
        <w:t>(3)</w:t>
      </w:r>
      <w:r w:rsidRPr="00EF7182">
        <w:tab/>
        <w:t>A person commits</w:t>
      </w:r>
      <w:bookmarkStart w:id="80" w:name="BK_S1P16L30C22"/>
      <w:bookmarkStart w:id="81" w:name="BK_S1P16L21C22"/>
      <w:bookmarkEnd w:id="80"/>
      <w:bookmarkEnd w:id="81"/>
      <w:r w:rsidRPr="00EF7182">
        <w:t xml:space="preserve"> an offence if:</w:t>
      </w:r>
    </w:p>
    <w:p w:rsidR="00DC6839" w:rsidRPr="00EF7182" w:rsidRDefault="00DC6839" w:rsidP="00EF7182">
      <w:pPr>
        <w:pStyle w:val="paragraph"/>
      </w:pPr>
      <w:r w:rsidRPr="00EF7182">
        <w:tab/>
        <w:t>(a)</w:t>
      </w:r>
      <w:r w:rsidRPr="00EF7182">
        <w:tab/>
        <w:t xml:space="preserve">the person is subject to a requirement under </w:t>
      </w:r>
      <w:r w:rsidR="00EF7182" w:rsidRPr="00EF7182">
        <w:t>subsection (</w:t>
      </w:r>
      <w:r w:rsidRPr="00EF7182">
        <w:t>1) or (2); and</w:t>
      </w:r>
    </w:p>
    <w:p w:rsidR="00DC6839" w:rsidRPr="00EF7182" w:rsidRDefault="00DC6839" w:rsidP="00EF7182">
      <w:pPr>
        <w:pStyle w:val="paragraph"/>
      </w:pPr>
      <w:r w:rsidRPr="00EF7182">
        <w:tab/>
        <w:t>(b)</w:t>
      </w:r>
      <w:r w:rsidRPr="00EF7182">
        <w:tab/>
        <w:t>the person engages in conduct; and</w:t>
      </w:r>
    </w:p>
    <w:p w:rsidR="00DC6839" w:rsidRPr="00EF7182" w:rsidRDefault="00DC6839" w:rsidP="00EF7182">
      <w:pPr>
        <w:pStyle w:val="paragraph"/>
      </w:pPr>
      <w:r w:rsidRPr="00EF7182">
        <w:tab/>
        <w:t>(c)</w:t>
      </w:r>
      <w:r w:rsidRPr="00EF7182">
        <w:tab/>
        <w:t>the conduct contravenes the requirement</w:t>
      </w:r>
      <w:r w:rsidR="008B1044">
        <w:t>.</w:t>
      </w:r>
    </w:p>
    <w:p w:rsidR="00DC6839" w:rsidRPr="00EF7182" w:rsidRDefault="00DC6839" w:rsidP="00EF7182">
      <w:pPr>
        <w:pStyle w:val="Penalty"/>
      </w:pPr>
      <w:r w:rsidRPr="00EF7182">
        <w:t>Criminal penalty:</w:t>
      </w:r>
      <w:r w:rsidRPr="00EF7182">
        <w:tab/>
        <w:t>2 years imprisonment</w:t>
      </w:r>
      <w:r w:rsidR="008B1044">
        <w:t>.</w:t>
      </w:r>
    </w:p>
    <w:p w:rsidR="009D34D5" w:rsidRPr="00EF7182" w:rsidRDefault="009D34D5" w:rsidP="00EF7182">
      <w:pPr>
        <w:pStyle w:val="SubsectionHead"/>
      </w:pPr>
      <w:r w:rsidRPr="00EF7182">
        <w:t>Report must be in the approved form</w:t>
      </w:r>
      <w:bookmarkStart w:id="82" w:name="BK_S1P17L3C36"/>
      <w:bookmarkStart w:id="83" w:name="BK_S1P16L27C36"/>
      <w:bookmarkEnd w:id="82"/>
      <w:bookmarkEnd w:id="83"/>
    </w:p>
    <w:p w:rsidR="009D34D5" w:rsidRPr="00EF7182" w:rsidRDefault="009D34D5" w:rsidP="00EF7182">
      <w:pPr>
        <w:pStyle w:val="subsection"/>
      </w:pPr>
      <w:r w:rsidRPr="00EF7182">
        <w:tab/>
        <w:t>(4)</w:t>
      </w:r>
      <w:r w:rsidRPr="00EF7182">
        <w:tab/>
        <w:t>A report under this section must be lodged with ASIC in writing in the approved form</w:t>
      </w:r>
      <w:r w:rsidR="008B1044">
        <w:t>.</w:t>
      </w:r>
    </w:p>
    <w:p w:rsidR="009D34D5" w:rsidRPr="00EF7182" w:rsidRDefault="009D34D5" w:rsidP="00EF7182">
      <w:pPr>
        <w:pStyle w:val="SubsectionHead"/>
      </w:pPr>
      <w:r w:rsidRPr="00EF7182">
        <w:t>Period within which report must be lodged</w:t>
      </w:r>
    </w:p>
    <w:p w:rsidR="009D34D5" w:rsidRPr="00EF7182" w:rsidRDefault="009D34D5" w:rsidP="00EF7182">
      <w:pPr>
        <w:pStyle w:val="subsection"/>
      </w:pPr>
      <w:r w:rsidRPr="00EF7182">
        <w:tab/>
        <w:t>(5)</w:t>
      </w:r>
      <w:r w:rsidRPr="00EF7182">
        <w:tab/>
        <w:t>A report under this section must be lodged with ASIC within 30 days after the licensee first reasonably knows that there are reasonable grounds to believe that the reportable situation has arisen</w:t>
      </w:r>
      <w:r w:rsidR="008B1044">
        <w:t>.</w:t>
      </w:r>
    </w:p>
    <w:p w:rsidR="009D34D5" w:rsidRPr="00EF7182" w:rsidRDefault="009D34D5" w:rsidP="00EF7182">
      <w:pPr>
        <w:pStyle w:val="notetext"/>
      </w:pPr>
      <w:r w:rsidRPr="00EF7182">
        <w:t>Note:</w:t>
      </w:r>
      <w:r w:rsidRPr="00EF7182">
        <w:tab/>
      </w:r>
      <w:r w:rsidRPr="00EF7182">
        <w:rPr>
          <w:b/>
          <w:i/>
        </w:rPr>
        <w:t xml:space="preserve">Reasonably knows </w:t>
      </w:r>
      <w:r w:rsidRPr="00EF7182">
        <w:t xml:space="preserve">is defined in </w:t>
      </w:r>
      <w:r w:rsidR="00BE2959" w:rsidRPr="00EF7182">
        <w:t>section</w:t>
      </w:r>
      <w:r w:rsidR="00EF7182" w:rsidRPr="00EF7182">
        <w:t xml:space="preserve"> </w:t>
      </w:r>
      <w:r w:rsidR="008B1044">
        <w:t>50B.</w:t>
      </w:r>
    </w:p>
    <w:p w:rsidR="009D34D5" w:rsidRPr="00EF7182" w:rsidRDefault="009D34D5" w:rsidP="00EF7182">
      <w:pPr>
        <w:pStyle w:val="subsection"/>
      </w:pPr>
      <w:r w:rsidRPr="00EF7182">
        <w:tab/>
        <w:t>(6)</w:t>
      </w:r>
      <w:r w:rsidRPr="00EF7182">
        <w:tab/>
        <w:t>However, if:</w:t>
      </w:r>
    </w:p>
    <w:p w:rsidR="009D34D5" w:rsidRPr="00EF7182" w:rsidRDefault="009D34D5" w:rsidP="00EF7182">
      <w:pPr>
        <w:pStyle w:val="paragraph"/>
      </w:pPr>
      <w:r w:rsidRPr="00EF7182">
        <w:tab/>
        <w:t>(a)</w:t>
      </w:r>
      <w:r w:rsidRPr="00EF7182">
        <w:tab/>
        <w:t>the licensee has commenced an investigation into whether the licensee or a representative of the licensee has breached a core obligation; and</w:t>
      </w:r>
    </w:p>
    <w:p w:rsidR="009D34D5" w:rsidRPr="00EF7182" w:rsidRDefault="009D34D5" w:rsidP="00EF7182">
      <w:pPr>
        <w:pStyle w:val="paragraph"/>
      </w:pPr>
      <w:r w:rsidRPr="00EF7182">
        <w:tab/>
        <w:t>(b)</w:t>
      </w:r>
      <w:r w:rsidRPr="00EF7182">
        <w:tab/>
        <w:t xml:space="preserve">the licensee is obliged under </w:t>
      </w:r>
      <w:r w:rsidR="00EF7182" w:rsidRPr="00EF7182">
        <w:t>subsection (</w:t>
      </w:r>
      <w:r w:rsidRPr="00EF7182">
        <w:t>1) to report the investigation; and</w:t>
      </w:r>
    </w:p>
    <w:p w:rsidR="009D34D5" w:rsidRPr="00EF7182" w:rsidRDefault="009D34D5" w:rsidP="00EF7182">
      <w:pPr>
        <w:pStyle w:val="paragraph"/>
      </w:pPr>
      <w:r w:rsidRPr="00EF7182">
        <w:tab/>
        <w:t>(c)</w:t>
      </w:r>
      <w:r w:rsidRPr="00EF7182">
        <w:tab/>
        <w:t>the investigation discloses either that:</w:t>
      </w:r>
    </w:p>
    <w:p w:rsidR="009D34D5" w:rsidRPr="00EF7182" w:rsidRDefault="009D34D5" w:rsidP="00EF7182">
      <w:pPr>
        <w:pStyle w:val="paragraphsub"/>
      </w:pPr>
      <w:r w:rsidRPr="00EF7182">
        <w:tab/>
        <w:t>(i)</w:t>
      </w:r>
      <w:r w:rsidRPr="00EF7182">
        <w:tab/>
        <w:t>there are reasonable grounds to believe that the licensee or a representative of the licensee has breached the core obligation; or</w:t>
      </w:r>
    </w:p>
    <w:p w:rsidR="009D34D5" w:rsidRPr="00EF7182" w:rsidRDefault="009D34D5" w:rsidP="00EF7182">
      <w:pPr>
        <w:pStyle w:val="paragraphsub"/>
      </w:pPr>
      <w:r w:rsidRPr="00EF7182">
        <w:tab/>
        <w:t>(ii)</w:t>
      </w:r>
      <w:r w:rsidRPr="00EF7182">
        <w:tab/>
        <w:t>there are no reasonable grounds to believe that the licensee or a representative of the licensee has breached the core obligation;</w:t>
      </w:r>
    </w:p>
    <w:p w:rsidR="009D34D5" w:rsidRPr="00EF7182" w:rsidRDefault="009D34D5" w:rsidP="00EF7182">
      <w:pPr>
        <w:pStyle w:val="subsection2"/>
      </w:pPr>
      <w:r w:rsidRPr="00EF7182">
        <w:t xml:space="preserve">the report must be lodged with ASIC within 10 days after the licensee first reasonably knows the circumstance mentioned in </w:t>
      </w:r>
      <w:r w:rsidR="00EF7182" w:rsidRPr="00EF7182">
        <w:t>subparagraph (</w:t>
      </w:r>
      <w:r w:rsidRPr="00EF7182">
        <w:t>c)(i) or (ii) exists</w:t>
      </w:r>
      <w:r w:rsidR="008B1044">
        <w:t>.</w:t>
      </w:r>
    </w:p>
    <w:p w:rsidR="009D34D5" w:rsidRPr="00EF7182" w:rsidRDefault="009D34D5" w:rsidP="00EF7182">
      <w:pPr>
        <w:pStyle w:val="notetext"/>
      </w:pPr>
      <w:r w:rsidRPr="00EF7182">
        <w:t>Note 1:</w:t>
      </w:r>
      <w:r w:rsidRPr="00EF7182">
        <w:tab/>
      </w:r>
      <w:r w:rsidRPr="00EF7182">
        <w:rPr>
          <w:b/>
          <w:i/>
        </w:rPr>
        <w:t xml:space="preserve">Reasonably knows </w:t>
      </w:r>
      <w:r w:rsidRPr="00EF7182">
        <w:t xml:space="preserve">is defined in </w:t>
      </w:r>
      <w:r w:rsidR="00BE2959" w:rsidRPr="00EF7182">
        <w:t>section</w:t>
      </w:r>
      <w:r w:rsidR="00EF7182" w:rsidRPr="00EF7182">
        <w:t xml:space="preserve"> </w:t>
      </w:r>
      <w:r w:rsidR="008B1044">
        <w:t>50B.</w:t>
      </w:r>
    </w:p>
    <w:p w:rsidR="009D34D5" w:rsidRPr="00EF7182" w:rsidRDefault="009D34D5" w:rsidP="00EF7182">
      <w:pPr>
        <w:pStyle w:val="notetext"/>
      </w:pPr>
      <w:r w:rsidRPr="00EF7182">
        <w:t>Note 2:</w:t>
      </w:r>
      <w:r w:rsidRPr="00EF7182">
        <w:tab/>
        <w:t xml:space="preserve">Under </w:t>
      </w:r>
      <w:r w:rsidR="00EF7182" w:rsidRPr="00EF7182">
        <w:t>subsection (</w:t>
      </w:r>
      <w:r w:rsidRPr="00EF7182">
        <w:t xml:space="preserve">5), the licensee is obliged to report the existence of the investigation within 30 days after the licensee first reasonably knows that there are reasonable grounds to believe that </w:t>
      </w:r>
      <w:r w:rsidR="005F7587" w:rsidRPr="00EF7182">
        <w:t>that</w:t>
      </w:r>
      <w:r w:rsidRPr="00EF7182">
        <w:t xml:space="preserve"> reportable situation has arisen</w:t>
      </w:r>
      <w:r w:rsidR="008B1044">
        <w:t>.</w:t>
      </w:r>
    </w:p>
    <w:p w:rsidR="009D34D5" w:rsidRPr="00EF7182" w:rsidRDefault="00A430AF" w:rsidP="00EF7182">
      <w:pPr>
        <w:pStyle w:val="SubsectionHead"/>
      </w:pPr>
      <w:r w:rsidRPr="00EF7182">
        <w:t>If</w:t>
      </w:r>
      <w:r w:rsidR="009D34D5" w:rsidRPr="00EF7182">
        <w:t xml:space="preserve"> report </w:t>
      </w:r>
      <w:r w:rsidR="006E55F7" w:rsidRPr="00EF7182">
        <w:t xml:space="preserve">is </w:t>
      </w:r>
      <w:r w:rsidR="009D34D5" w:rsidRPr="00EF7182">
        <w:t>received by APRA</w:t>
      </w:r>
    </w:p>
    <w:p w:rsidR="009D34D5" w:rsidRPr="00EF7182" w:rsidRDefault="009D34D5" w:rsidP="00EF7182">
      <w:pPr>
        <w:pStyle w:val="subsection"/>
      </w:pPr>
      <w:r w:rsidRPr="00EF7182">
        <w:tab/>
        <w:t>(7)</w:t>
      </w:r>
      <w:r w:rsidRPr="00EF7182">
        <w:tab/>
        <w:t>A report that a licensee is required to lodge with ASIC under this section in relation to a reportable situation is taken to have been lodged with ASIC if:</w:t>
      </w:r>
    </w:p>
    <w:p w:rsidR="009D34D5" w:rsidRPr="00EF7182" w:rsidRDefault="009D34D5" w:rsidP="00EF7182">
      <w:pPr>
        <w:pStyle w:val="paragraph"/>
      </w:pPr>
      <w:r w:rsidRPr="00EF7182">
        <w:tab/>
        <w:t>(a)</w:t>
      </w:r>
      <w:r w:rsidRPr="00EF7182">
        <w:tab/>
        <w:t>the licensee is a body regulated by APRA; and</w:t>
      </w:r>
    </w:p>
    <w:p w:rsidR="009D34D5" w:rsidRPr="00EF7182" w:rsidRDefault="009D34D5" w:rsidP="00EF7182">
      <w:pPr>
        <w:pStyle w:val="paragraph"/>
      </w:pPr>
      <w:r w:rsidRPr="00EF7182">
        <w:tab/>
        <w:t>(b)</w:t>
      </w:r>
      <w:r w:rsidRPr="00EF7182">
        <w:tab/>
        <w:t>the licensee has given a report to APRA that contains all of the information that is required in a report under this section in relation to the reportable situation</w:t>
      </w:r>
      <w:r w:rsidR="008B1044">
        <w:t>.</w:t>
      </w:r>
    </w:p>
    <w:p w:rsidR="005821A5" w:rsidRPr="00EF7182" w:rsidRDefault="005821A5" w:rsidP="00EF7182">
      <w:pPr>
        <w:pStyle w:val="subsection"/>
      </w:pPr>
      <w:r w:rsidRPr="00EF7182">
        <w:tab/>
        <w:t>(8)</w:t>
      </w:r>
      <w:r w:rsidRPr="00EF7182">
        <w:tab/>
      </w:r>
      <w:r w:rsidR="00EF7182" w:rsidRPr="00EF7182">
        <w:t>Subsection (</w:t>
      </w:r>
      <w:r w:rsidRPr="00EF7182">
        <w:t>1) does not apply to a licensee that is a body regulated by APRA in relation to a reportable situation if:</w:t>
      </w:r>
    </w:p>
    <w:p w:rsidR="005821A5" w:rsidRPr="00EF7182" w:rsidRDefault="005821A5" w:rsidP="00EF7182">
      <w:pPr>
        <w:pStyle w:val="paragraph"/>
      </w:pPr>
      <w:r w:rsidRPr="00EF7182">
        <w:tab/>
        <w:t>(a)</w:t>
      </w:r>
      <w:r w:rsidRPr="00EF7182">
        <w:tab/>
        <w:t>the auditor or actuary of the licensee gives APRA a written report about a matter to which the reportable situation relates; and</w:t>
      </w:r>
    </w:p>
    <w:p w:rsidR="005821A5" w:rsidRPr="00EF7182" w:rsidRDefault="005821A5" w:rsidP="00EF7182">
      <w:pPr>
        <w:pStyle w:val="paragraph"/>
      </w:pPr>
      <w:r w:rsidRPr="00EF7182">
        <w:tab/>
        <w:t>(b)</w:t>
      </w:r>
      <w:r w:rsidRPr="00EF7182">
        <w:tab/>
        <w:t>the report is given before, or within 10 business days after, the licensee first reasonably knows that there are reasonable grounds to believe that the reportable situation has arisen</w:t>
      </w:r>
      <w:r w:rsidR="008B1044">
        <w:t>.</w:t>
      </w:r>
    </w:p>
    <w:p w:rsidR="00590B99" w:rsidRPr="00EF7182" w:rsidRDefault="00590B99" w:rsidP="00EF7182">
      <w:pPr>
        <w:pStyle w:val="notetext"/>
      </w:pPr>
      <w:r w:rsidRPr="00EF7182">
        <w:t>Note:</w:t>
      </w:r>
      <w:r w:rsidRPr="00EF7182">
        <w:tab/>
      </w:r>
      <w:r w:rsidRPr="00EF7182">
        <w:rPr>
          <w:b/>
          <w:i/>
        </w:rPr>
        <w:t xml:space="preserve">Reasonably knows </w:t>
      </w:r>
      <w:r w:rsidRPr="00EF7182">
        <w:t>is defined in section</w:t>
      </w:r>
      <w:r w:rsidR="00EF7182" w:rsidRPr="00EF7182">
        <w:t xml:space="preserve"> </w:t>
      </w:r>
      <w:r w:rsidR="008B1044">
        <w:t>50B.</w:t>
      </w:r>
    </w:p>
    <w:p w:rsidR="005821A5" w:rsidRPr="00EF7182" w:rsidRDefault="008B1044" w:rsidP="00EF7182">
      <w:pPr>
        <w:pStyle w:val="ActHead5"/>
      </w:pPr>
      <w:bookmarkStart w:id="84" w:name="_Toc30410116"/>
      <w:r w:rsidRPr="001A6D2E">
        <w:rPr>
          <w:rStyle w:val="CharSectno"/>
        </w:rPr>
        <w:t>50D</w:t>
      </w:r>
      <w:r w:rsidR="005821A5" w:rsidRPr="00EF7182">
        <w:t xml:space="preserve">  Obligation to lodge a report—reportable situations in relation to other licensees</w:t>
      </w:r>
      <w:bookmarkEnd w:id="84"/>
    </w:p>
    <w:p w:rsidR="00615C3F" w:rsidRPr="00EF7182" w:rsidRDefault="00615C3F" w:rsidP="00EF7182">
      <w:pPr>
        <w:pStyle w:val="SubsectionHead"/>
      </w:pPr>
      <w:r w:rsidRPr="00EF7182">
        <w:t>Reporting a reportable situation to ASIC</w:t>
      </w:r>
    </w:p>
    <w:p w:rsidR="00C85C2B" w:rsidRPr="00EF7182" w:rsidRDefault="00C85C2B" w:rsidP="00EF7182">
      <w:pPr>
        <w:pStyle w:val="subsection"/>
      </w:pPr>
      <w:r w:rsidRPr="00EF7182">
        <w:tab/>
        <w:t>(1)</w:t>
      </w:r>
      <w:r w:rsidRPr="00EF7182">
        <w:tab/>
        <w:t xml:space="preserve">A licensee (the </w:t>
      </w:r>
      <w:r w:rsidRPr="00EF7182">
        <w:rPr>
          <w:b/>
          <w:i/>
        </w:rPr>
        <w:t>reporting licensee</w:t>
      </w:r>
      <w:r w:rsidRPr="00EF7182">
        <w:t>) must lodge a report with ASIC in accordance with this section if:</w:t>
      </w:r>
    </w:p>
    <w:p w:rsidR="00C85C2B" w:rsidRPr="00EF7182" w:rsidRDefault="00C85C2B" w:rsidP="00EF7182">
      <w:pPr>
        <w:pStyle w:val="paragraph"/>
      </w:pPr>
      <w:r w:rsidRPr="00EF7182">
        <w:tab/>
        <w:t>(a)</w:t>
      </w:r>
      <w:r w:rsidRPr="00EF7182">
        <w:tab/>
        <w:t>there are reasonable grounds to suspect that a reportable situation has arisen in relation to another licensee; and</w:t>
      </w:r>
    </w:p>
    <w:p w:rsidR="00C85C2B" w:rsidRPr="00EF7182" w:rsidRDefault="00C85C2B" w:rsidP="00EF7182">
      <w:pPr>
        <w:pStyle w:val="paragraph"/>
      </w:pPr>
      <w:r w:rsidRPr="00EF7182">
        <w:tab/>
        <w:t>(b)</w:t>
      </w:r>
      <w:r w:rsidRPr="00EF7182">
        <w:tab/>
        <w:t>an individual who is either:</w:t>
      </w:r>
    </w:p>
    <w:p w:rsidR="00C85C2B" w:rsidRPr="00EF7182" w:rsidRDefault="00C85C2B" w:rsidP="00EF7182">
      <w:pPr>
        <w:pStyle w:val="paragraphsub"/>
      </w:pPr>
      <w:r w:rsidRPr="00EF7182">
        <w:tab/>
        <w:t>(i)</w:t>
      </w:r>
      <w:r w:rsidRPr="00EF7182">
        <w:tab/>
        <w:t>the other licensee; or</w:t>
      </w:r>
    </w:p>
    <w:p w:rsidR="00C85C2B" w:rsidRPr="00EF7182" w:rsidRDefault="00C85C2B" w:rsidP="00EF7182">
      <w:pPr>
        <w:pStyle w:val="paragraphsub"/>
      </w:pPr>
      <w:r w:rsidRPr="00EF7182">
        <w:tab/>
        <w:t>(ii)</w:t>
      </w:r>
      <w:r w:rsidRPr="00EF7182">
        <w:tab/>
        <w:t xml:space="preserve">if, under </w:t>
      </w:r>
      <w:r w:rsidR="00BE2959" w:rsidRPr="00EF7182">
        <w:t>Division</w:t>
      </w:r>
      <w:r w:rsidR="00EF7182" w:rsidRPr="00EF7182">
        <w:t> </w:t>
      </w:r>
      <w:r w:rsidR="00BE2959" w:rsidRPr="00EF7182">
        <w:t>4</w:t>
      </w:r>
      <w:r w:rsidRPr="00EF7182">
        <w:t xml:space="preserve"> of </w:t>
      </w:r>
      <w:r w:rsidR="00BE2959" w:rsidRPr="00EF7182">
        <w:t>Part</w:t>
      </w:r>
      <w:r w:rsidR="00EF7182" w:rsidRPr="00EF7182">
        <w:t> </w:t>
      </w:r>
      <w:r w:rsidR="00BE2959" w:rsidRPr="00EF7182">
        <w:t>2</w:t>
      </w:r>
      <w:r w:rsidR="008B1044">
        <w:noBreakHyphen/>
      </w:r>
      <w:r w:rsidRPr="00EF7182">
        <w:t>3, the other licensee is responsible for conduct of a representative of the other licensee that forms part of the reportable situation—the representative;</w:t>
      </w:r>
    </w:p>
    <w:p w:rsidR="00C85C2B" w:rsidRPr="00EF7182" w:rsidRDefault="00C85C2B" w:rsidP="00EF7182">
      <w:pPr>
        <w:pStyle w:val="paragraph"/>
      </w:pPr>
      <w:r w:rsidRPr="00EF7182">
        <w:tab/>
      </w:r>
      <w:r w:rsidRPr="00EF7182">
        <w:tab/>
        <w:t>is a mortgage broker; and</w:t>
      </w:r>
    </w:p>
    <w:p w:rsidR="00C85C2B" w:rsidRPr="00EF7182" w:rsidRDefault="00C85C2B" w:rsidP="00EF7182">
      <w:pPr>
        <w:pStyle w:val="paragraph"/>
      </w:pPr>
      <w:r w:rsidRPr="00EF7182">
        <w:tab/>
        <w:t>(c)</w:t>
      </w:r>
      <w:r w:rsidRPr="00EF7182">
        <w:tab/>
        <w:t xml:space="preserve">the individual has engaged in conduct that forms part of the reportable situation (whether in the course of </w:t>
      </w:r>
      <w:r w:rsidR="00855C8B" w:rsidRPr="00EF7182">
        <w:t xml:space="preserve">providing </w:t>
      </w:r>
      <w:r w:rsidRPr="00EF7182">
        <w:t>credit assistance in relation to credit contracts secured by mortgages over residential property or otherwise)</w:t>
      </w:r>
      <w:r w:rsidR="008B1044">
        <w:t>.</w:t>
      </w:r>
    </w:p>
    <w:p w:rsidR="00C85C2B" w:rsidRPr="00EF7182" w:rsidRDefault="00C85C2B" w:rsidP="00EF7182">
      <w:pPr>
        <w:pStyle w:val="Penalty"/>
      </w:pPr>
      <w:r w:rsidRPr="00EF7182">
        <w:t>Civil penalty:</w:t>
      </w:r>
      <w:r w:rsidRPr="00EF7182">
        <w:tab/>
        <w:t>5,000 penalty units</w:t>
      </w:r>
      <w:r w:rsidR="008B1044">
        <w:t>.</w:t>
      </w:r>
    </w:p>
    <w:p w:rsidR="00A430AF" w:rsidRPr="00EF7182" w:rsidRDefault="00A430AF" w:rsidP="00EF7182">
      <w:pPr>
        <w:pStyle w:val="SubsectionHead"/>
      </w:pPr>
      <w:r w:rsidRPr="00EF7182">
        <w:t>Report must be in the approved form</w:t>
      </w:r>
    </w:p>
    <w:p w:rsidR="00C85C2B" w:rsidRPr="00EF7182" w:rsidRDefault="00633AAF" w:rsidP="00EF7182">
      <w:pPr>
        <w:pStyle w:val="subsection"/>
      </w:pPr>
      <w:r>
        <w:tab/>
        <w:t>(2</w:t>
      </w:r>
      <w:r w:rsidR="00C85C2B" w:rsidRPr="00EF7182">
        <w:t>)</w:t>
      </w:r>
      <w:r w:rsidR="00C85C2B" w:rsidRPr="00EF7182">
        <w:tab/>
        <w:t>The report must be lodged with ASIC in writing in the approved form</w:t>
      </w:r>
      <w:r w:rsidR="008B1044">
        <w:t>.</w:t>
      </w:r>
    </w:p>
    <w:p w:rsidR="00A430AF" w:rsidRPr="00EF7182" w:rsidRDefault="00A430AF" w:rsidP="00EF7182">
      <w:pPr>
        <w:pStyle w:val="SubsectionHead"/>
      </w:pPr>
      <w:r w:rsidRPr="00EF7182">
        <w:t>Period within which report must be lodged</w:t>
      </w:r>
    </w:p>
    <w:p w:rsidR="00C85C2B" w:rsidRPr="00EF7182" w:rsidRDefault="00633AAF" w:rsidP="00EF7182">
      <w:pPr>
        <w:pStyle w:val="subsection"/>
      </w:pPr>
      <w:r>
        <w:tab/>
        <w:t>(3</w:t>
      </w:r>
      <w:r w:rsidR="00C85C2B" w:rsidRPr="00EF7182">
        <w:t>)</w:t>
      </w:r>
      <w:r w:rsidR="00C85C2B" w:rsidRPr="00EF7182">
        <w:tab/>
        <w:t>The report must be lodged with ASIC within 30 days after the reporting licensee first reasonably knows that there are reasonable grounds to suspect that the reportable situation has arisen</w:t>
      </w:r>
      <w:r w:rsidR="008B1044">
        <w:t>.</w:t>
      </w:r>
    </w:p>
    <w:p w:rsidR="00C85C2B" w:rsidRPr="00EF7182" w:rsidRDefault="00C85C2B" w:rsidP="00EF7182">
      <w:pPr>
        <w:pStyle w:val="notetext"/>
      </w:pPr>
      <w:r w:rsidRPr="00EF7182">
        <w:t>Note:</w:t>
      </w:r>
      <w:r w:rsidRPr="00EF7182">
        <w:tab/>
      </w:r>
      <w:r w:rsidRPr="00EF7182">
        <w:rPr>
          <w:b/>
          <w:i/>
        </w:rPr>
        <w:t xml:space="preserve">Reasonably knows </w:t>
      </w:r>
      <w:r w:rsidRPr="00EF7182">
        <w:t xml:space="preserve">is defined in </w:t>
      </w:r>
      <w:r w:rsidR="00BE2959" w:rsidRPr="00EF7182">
        <w:t>section</w:t>
      </w:r>
      <w:r w:rsidR="00EF7182" w:rsidRPr="00EF7182">
        <w:t xml:space="preserve"> </w:t>
      </w:r>
      <w:r w:rsidR="008B1044">
        <w:t>50B.</w:t>
      </w:r>
    </w:p>
    <w:p w:rsidR="00A430AF" w:rsidRPr="00EF7182" w:rsidRDefault="00A430AF" w:rsidP="00EF7182">
      <w:pPr>
        <w:pStyle w:val="SubsectionHead"/>
      </w:pPr>
      <w:r w:rsidRPr="00EF7182">
        <w:t xml:space="preserve">If report </w:t>
      </w:r>
      <w:r w:rsidR="006E55F7" w:rsidRPr="00EF7182">
        <w:t xml:space="preserve">is </w:t>
      </w:r>
      <w:r w:rsidRPr="00EF7182">
        <w:t>received by APRA</w:t>
      </w:r>
    </w:p>
    <w:p w:rsidR="00C85C2B" w:rsidRPr="00EF7182" w:rsidRDefault="00633AAF" w:rsidP="00EF7182">
      <w:pPr>
        <w:pStyle w:val="subsection"/>
      </w:pPr>
      <w:r>
        <w:tab/>
        <w:t>(4</w:t>
      </w:r>
      <w:r w:rsidR="00C85C2B" w:rsidRPr="00EF7182">
        <w:t>)</w:t>
      </w:r>
      <w:r w:rsidR="00C85C2B" w:rsidRPr="00EF7182">
        <w:tab/>
        <w:t>A report that a licensee is required to lodge with ASIC under this section in relation to a reportable situation is taken to have been lodged with ASIC if:</w:t>
      </w:r>
    </w:p>
    <w:p w:rsidR="00C85C2B" w:rsidRPr="00EF7182" w:rsidRDefault="00C85C2B" w:rsidP="00EF7182">
      <w:pPr>
        <w:pStyle w:val="paragraph"/>
      </w:pPr>
      <w:r w:rsidRPr="00EF7182">
        <w:tab/>
        <w:t>(a)</w:t>
      </w:r>
      <w:r w:rsidRPr="00EF7182">
        <w:tab/>
        <w:t>the licensee is a body regulated by APRA; and</w:t>
      </w:r>
    </w:p>
    <w:p w:rsidR="00C85C2B" w:rsidRPr="00EF7182" w:rsidRDefault="00C85C2B" w:rsidP="00EF7182">
      <w:pPr>
        <w:pStyle w:val="paragraph"/>
      </w:pPr>
      <w:r w:rsidRPr="00EF7182">
        <w:tab/>
        <w:t>(b)</w:t>
      </w:r>
      <w:r w:rsidRPr="00EF7182">
        <w:tab/>
        <w:t>the licensee has given a report to APRA that contains all of the information that is required in a report under this section in relation to the reportable situation</w:t>
      </w:r>
      <w:r w:rsidR="008B1044">
        <w:t>.</w:t>
      </w:r>
    </w:p>
    <w:p w:rsidR="00C85C2B" w:rsidRPr="00EF7182" w:rsidRDefault="00C85C2B" w:rsidP="00EF7182">
      <w:pPr>
        <w:pStyle w:val="subsection"/>
      </w:pPr>
      <w:r w:rsidRPr="00EF7182">
        <w:tab/>
        <w:t>(</w:t>
      </w:r>
      <w:r w:rsidR="00633AAF">
        <w:t>5</w:t>
      </w:r>
      <w:r w:rsidRPr="00EF7182">
        <w:t>)</w:t>
      </w:r>
      <w:r w:rsidRPr="00EF7182">
        <w:tab/>
        <w:t>This section does not apply to a licensee that is a body regulated by APRA in relation to a reportable situation if:</w:t>
      </w:r>
    </w:p>
    <w:p w:rsidR="00C85C2B" w:rsidRPr="00EF7182" w:rsidRDefault="00C85C2B" w:rsidP="00EF7182">
      <w:pPr>
        <w:pStyle w:val="paragraph"/>
      </w:pPr>
      <w:r w:rsidRPr="00EF7182">
        <w:tab/>
        <w:t>(a)</w:t>
      </w:r>
      <w:r w:rsidRPr="00EF7182">
        <w:tab/>
        <w:t>the auditor or actuary of the licensee gives APRA a written report about a matter to which the reportable situation relates; and</w:t>
      </w:r>
    </w:p>
    <w:p w:rsidR="00C85C2B" w:rsidRPr="00EF7182" w:rsidRDefault="00C85C2B" w:rsidP="00EF7182">
      <w:pPr>
        <w:pStyle w:val="paragraph"/>
      </w:pPr>
      <w:r w:rsidRPr="00EF7182">
        <w:tab/>
        <w:t>(b)</w:t>
      </w:r>
      <w:r w:rsidRPr="00EF7182">
        <w:tab/>
        <w:t>the report is given before, or within 10 business</w:t>
      </w:r>
      <w:r w:rsidRPr="00EF7182">
        <w:rPr>
          <w:i/>
        </w:rPr>
        <w:t xml:space="preserve"> </w:t>
      </w:r>
      <w:r w:rsidRPr="00EF7182">
        <w:t xml:space="preserve">days after, the licensee </w:t>
      </w:r>
      <w:r w:rsidR="00855C8B" w:rsidRPr="00EF7182">
        <w:t xml:space="preserve">first </w:t>
      </w:r>
      <w:r w:rsidRPr="00EF7182">
        <w:t>reasonably knows that there are reasonable grounds to suspect that the reportable situation has arisen</w:t>
      </w:r>
      <w:r w:rsidR="008B1044">
        <w:t>.</w:t>
      </w:r>
    </w:p>
    <w:p w:rsidR="00590B99" w:rsidRPr="00EF7182" w:rsidRDefault="00590B99" w:rsidP="00EF7182">
      <w:pPr>
        <w:pStyle w:val="notetext"/>
      </w:pPr>
      <w:r w:rsidRPr="00EF7182">
        <w:t>Note:</w:t>
      </w:r>
      <w:r w:rsidRPr="00EF7182">
        <w:tab/>
      </w:r>
      <w:r w:rsidRPr="00EF7182">
        <w:rPr>
          <w:b/>
          <w:i/>
        </w:rPr>
        <w:t xml:space="preserve">Reasonably knows </w:t>
      </w:r>
      <w:r w:rsidRPr="00EF7182">
        <w:t>is defined in section</w:t>
      </w:r>
      <w:r w:rsidR="00EF7182" w:rsidRPr="00EF7182">
        <w:t xml:space="preserve"> </w:t>
      </w:r>
      <w:r w:rsidR="008B1044">
        <w:t>50B.</w:t>
      </w:r>
    </w:p>
    <w:p w:rsidR="00A430AF" w:rsidRPr="00EF7182" w:rsidRDefault="00A430AF" w:rsidP="00EF7182">
      <w:pPr>
        <w:pStyle w:val="SubsectionHead"/>
      </w:pPr>
      <w:r w:rsidRPr="00EF7182">
        <w:t>If the reportable situation already reported to ASIC</w:t>
      </w:r>
    </w:p>
    <w:p w:rsidR="00C85C2B" w:rsidRPr="00EF7182" w:rsidRDefault="00633AAF" w:rsidP="00EF7182">
      <w:pPr>
        <w:pStyle w:val="subsection"/>
      </w:pPr>
      <w:r>
        <w:tab/>
        <w:t>(6</w:t>
      </w:r>
      <w:r w:rsidR="00C85C2B" w:rsidRPr="00EF7182">
        <w:t>)</w:t>
      </w:r>
      <w:r w:rsidR="00C85C2B" w:rsidRPr="00EF7182">
        <w:tab/>
      </w:r>
      <w:r w:rsidR="00EF7182" w:rsidRPr="00EF7182">
        <w:t>Subsection (</w:t>
      </w:r>
      <w:r w:rsidR="00C85C2B" w:rsidRPr="00EF7182">
        <w:t>1) does not apply in relation to a reportable situation if there are reasonable grounds to believe that ASIC is aware of:</w:t>
      </w:r>
    </w:p>
    <w:p w:rsidR="00C85C2B" w:rsidRPr="00EF7182" w:rsidRDefault="00C85C2B" w:rsidP="00EF7182">
      <w:pPr>
        <w:pStyle w:val="paragraph"/>
      </w:pPr>
      <w:r w:rsidRPr="00EF7182">
        <w:tab/>
        <w:t>(a)</w:t>
      </w:r>
      <w:r w:rsidRPr="00EF7182">
        <w:tab/>
        <w:t>the existence of the reportable</w:t>
      </w:r>
      <w:r w:rsidR="00662C1C" w:rsidRPr="00EF7182">
        <w:t xml:space="preserve"> situation; and</w:t>
      </w:r>
    </w:p>
    <w:p w:rsidR="00C85C2B" w:rsidRPr="00EF7182" w:rsidRDefault="00C85C2B" w:rsidP="00EF7182">
      <w:pPr>
        <w:pStyle w:val="paragraph"/>
      </w:pPr>
      <w:r w:rsidRPr="00EF7182">
        <w:tab/>
        <w:t>(b)</w:t>
      </w:r>
      <w:r w:rsidRPr="00EF7182">
        <w:tab/>
        <w:t>all of the information that is required in a report under this section in relation to the reportable situation</w:t>
      </w:r>
      <w:r w:rsidR="008B1044">
        <w:t>.</w:t>
      </w:r>
    </w:p>
    <w:p w:rsidR="00A430AF" w:rsidRPr="00EF7182" w:rsidRDefault="00A430AF" w:rsidP="00EF7182">
      <w:pPr>
        <w:pStyle w:val="SubsectionHead"/>
      </w:pPr>
      <w:r w:rsidRPr="00EF7182">
        <w:t>A copy of the report must be given to the other licensee</w:t>
      </w:r>
    </w:p>
    <w:p w:rsidR="00290803" w:rsidRPr="00EF7182" w:rsidRDefault="00633AAF" w:rsidP="00EF7182">
      <w:pPr>
        <w:pStyle w:val="subsection"/>
      </w:pPr>
      <w:r>
        <w:tab/>
        <w:t>(7</w:t>
      </w:r>
      <w:r w:rsidR="00290803" w:rsidRPr="00EF7182">
        <w:t>)</w:t>
      </w:r>
      <w:r w:rsidR="00290803" w:rsidRPr="00EF7182">
        <w:tab/>
        <w:t xml:space="preserve">The reporting licensee must give a copy of any report that the reporting licensee is required to lodge with ASIC under </w:t>
      </w:r>
      <w:r w:rsidR="00EF7182" w:rsidRPr="00EF7182">
        <w:t>subsection (</w:t>
      </w:r>
      <w:r w:rsidR="00290803" w:rsidRPr="00EF7182">
        <w:t>1) to the other licensee within 30 days after the reporting licensee first reasonably knows that there are reasonable grounds to suspect that the reportable situation has arisen</w:t>
      </w:r>
      <w:r w:rsidR="008B1044">
        <w:t>.</w:t>
      </w:r>
    </w:p>
    <w:p w:rsidR="00290803" w:rsidRDefault="00290803" w:rsidP="00EF7182">
      <w:pPr>
        <w:pStyle w:val="Penalty"/>
      </w:pPr>
      <w:r w:rsidRPr="00EF7182">
        <w:t>Civil penalty:</w:t>
      </w:r>
      <w:r w:rsidRPr="00EF7182">
        <w:tab/>
        <w:t>5,000 penalty units</w:t>
      </w:r>
      <w:r w:rsidR="008B1044">
        <w:t>.</w:t>
      </w:r>
    </w:p>
    <w:p w:rsidR="00633AAF" w:rsidRPr="00EF7182" w:rsidRDefault="00633AAF" w:rsidP="00633AAF">
      <w:pPr>
        <w:pStyle w:val="SubsectionHead"/>
      </w:pPr>
      <w:r w:rsidRPr="00EF7182">
        <w:t>Offence</w:t>
      </w:r>
    </w:p>
    <w:p w:rsidR="00633AAF" w:rsidRPr="00EF7182" w:rsidRDefault="00633AAF" w:rsidP="00633AAF">
      <w:pPr>
        <w:pStyle w:val="subsection"/>
      </w:pPr>
      <w:r w:rsidRPr="00EF7182">
        <w:tab/>
        <w:t>(</w:t>
      </w:r>
      <w:r>
        <w:t>8</w:t>
      </w:r>
      <w:r w:rsidRPr="00EF7182">
        <w:t>)</w:t>
      </w:r>
      <w:r w:rsidRPr="00EF7182">
        <w:tab/>
        <w:t>A person commits an offence if:</w:t>
      </w:r>
    </w:p>
    <w:p w:rsidR="00633AAF" w:rsidRPr="00EF7182" w:rsidRDefault="00633AAF" w:rsidP="00633AAF">
      <w:pPr>
        <w:pStyle w:val="paragraph"/>
      </w:pPr>
      <w:r w:rsidRPr="00EF7182">
        <w:tab/>
        <w:t>(a)</w:t>
      </w:r>
      <w:r w:rsidRPr="00EF7182">
        <w:tab/>
        <w:t>the person is subject to a requirement under subsection (1)</w:t>
      </w:r>
      <w:r>
        <w:t xml:space="preserve"> or (7)</w:t>
      </w:r>
      <w:r w:rsidRPr="00EF7182">
        <w:t>; and</w:t>
      </w:r>
    </w:p>
    <w:p w:rsidR="00633AAF" w:rsidRPr="00EF7182" w:rsidRDefault="00633AAF" w:rsidP="00633AAF">
      <w:pPr>
        <w:pStyle w:val="paragraph"/>
      </w:pPr>
      <w:r w:rsidRPr="00EF7182">
        <w:tab/>
        <w:t>(b)</w:t>
      </w:r>
      <w:r w:rsidRPr="00EF7182">
        <w:tab/>
        <w:t>the person engages in conduct; and</w:t>
      </w:r>
    </w:p>
    <w:p w:rsidR="00633AAF" w:rsidRPr="00EF7182" w:rsidRDefault="00633AAF" w:rsidP="00633AAF">
      <w:pPr>
        <w:pStyle w:val="paragraph"/>
      </w:pPr>
      <w:r w:rsidRPr="00EF7182">
        <w:tab/>
        <w:t>(c)</w:t>
      </w:r>
      <w:r w:rsidRPr="00EF7182">
        <w:tab/>
        <w:t>the conduct contravenes the requirement</w:t>
      </w:r>
      <w:r w:rsidR="008B1044">
        <w:t>.</w:t>
      </w:r>
    </w:p>
    <w:p w:rsidR="00633AAF" w:rsidRPr="00EF7182" w:rsidRDefault="00633AAF" w:rsidP="00633AAF">
      <w:pPr>
        <w:pStyle w:val="Penalty"/>
      </w:pPr>
      <w:r w:rsidRPr="00EF7182">
        <w:t>Criminal penalty:</w:t>
      </w:r>
      <w:r w:rsidRPr="00EF7182">
        <w:tab/>
        <w:t>2 years imprisonment</w:t>
      </w:r>
      <w:r w:rsidR="008B1044">
        <w:t>.</w:t>
      </w:r>
    </w:p>
    <w:p w:rsidR="00290803" w:rsidRPr="00EF7182" w:rsidRDefault="008B1044" w:rsidP="00EF7182">
      <w:pPr>
        <w:pStyle w:val="ActHead5"/>
      </w:pPr>
      <w:bookmarkStart w:id="85" w:name="_Toc30410117"/>
      <w:r w:rsidRPr="001A6D2E">
        <w:rPr>
          <w:rStyle w:val="CharSectno"/>
        </w:rPr>
        <w:t>50E</w:t>
      </w:r>
      <w:r w:rsidR="00290803" w:rsidRPr="00EF7182">
        <w:t xml:space="preserve">  ASIC must publish details of certain reports</w:t>
      </w:r>
      <w:bookmarkEnd w:id="85"/>
    </w:p>
    <w:p w:rsidR="00290803" w:rsidRPr="00EF7182" w:rsidRDefault="00290803" w:rsidP="00EF7182">
      <w:pPr>
        <w:pStyle w:val="subsection"/>
      </w:pPr>
      <w:r w:rsidRPr="00EF7182">
        <w:tab/>
        <w:t>(1)</w:t>
      </w:r>
      <w:r w:rsidRPr="00EF7182">
        <w:tab/>
        <w:t>ASIC must, for each financial year, publish information about:</w:t>
      </w:r>
    </w:p>
    <w:p w:rsidR="00290803" w:rsidRPr="00EF7182" w:rsidRDefault="00290803" w:rsidP="00EF7182">
      <w:pPr>
        <w:pStyle w:val="paragraph"/>
      </w:pPr>
      <w:r w:rsidRPr="00EF7182">
        <w:tab/>
        <w:t>(a)</w:t>
      </w:r>
      <w:r w:rsidRPr="00EF7182">
        <w:tab/>
        <w:t xml:space="preserve">reports lodged with ASIC during the financial year under </w:t>
      </w:r>
      <w:r w:rsidR="00BE2959" w:rsidRPr="00EF7182">
        <w:t>section</w:t>
      </w:r>
      <w:r w:rsidR="00EF7182" w:rsidRPr="00EF7182">
        <w:t xml:space="preserve"> </w:t>
      </w:r>
      <w:r w:rsidR="008B1044">
        <w:t>50C</w:t>
      </w:r>
      <w:r w:rsidRPr="00EF7182">
        <w:t xml:space="preserve"> in relation to reportable situations of the kind mentioned in </w:t>
      </w:r>
      <w:r w:rsidR="00BE2959" w:rsidRPr="00EF7182">
        <w:t>subparagraph</w:t>
      </w:r>
      <w:r w:rsidR="00EF7182" w:rsidRPr="00EF7182">
        <w:t xml:space="preserve"> </w:t>
      </w:r>
      <w:r w:rsidR="008B1044">
        <w:t>50A</w:t>
      </w:r>
      <w:r w:rsidRPr="00EF7182">
        <w:t>(1)(a)(i) or (ii) (breaches and likely breaches of core obligations); and</w:t>
      </w:r>
    </w:p>
    <w:p w:rsidR="00290803" w:rsidRPr="00EF7182" w:rsidRDefault="00290803" w:rsidP="00EF7182">
      <w:pPr>
        <w:pStyle w:val="paragraph"/>
      </w:pPr>
      <w:r w:rsidRPr="00EF7182">
        <w:tab/>
        <w:t>(b)</w:t>
      </w:r>
      <w:r w:rsidRPr="00EF7182">
        <w:tab/>
        <w:t>reports lodged with APRA</w:t>
      </w:r>
      <w:r w:rsidR="003E13AB" w:rsidRPr="00EF7182">
        <w:t xml:space="preserve"> during the financial year</w:t>
      </w:r>
      <w:r w:rsidR="00F05CFC" w:rsidRPr="00EF7182">
        <w:t>,</w:t>
      </w:r>
      <w:r w:rsidRPr="00EF7182">
        <w:t xml:space="preserve"> as described in </w:t>
      </w:r>
      <w:r w:rsidR="00BE2959" w:rsidRPr="00EF7182">
        <w:t>subsection</w:t>
      </w:r>
      <w:r w:rsidR="0023185B" w:rsidRPr="00EF7182">
        <w:t>s</w:t>
      </w:r>
      <w:r w:rsidR="00EF7182" w:rsidRPr="00EF7182">
        <w:t xml:space="preserve"> </w:t>
      </w:r>
      <w:r w:rsidR="008B1044">
        <w:t>50C</w:t>
      </w:r>
      <w:r w:rsidRPr="00EF7182">
        <w:t>(7)</w:t>
      </w:r>
      <w:r w:rsidR="0023185B" w:rsidRPr="00EF7182">
        <w:t xml:space="preserve"> and (8)</w:t>
      </w:r>
      <w:r w:rsidR="00F05CFC" w:rsidRPr="00EF7182">
        <w:t>, in relation to reportable situations of the kind mentioned in subparagraph</w:t>
      </w:r>
      <w:r w:rsidR="00EF7182" w:rsidRPr="00EF7182">
        <w:t xml:space="preserve"> </w:t>
      </w:r>
      <w:r w:rsidR="008B1044">
        <w:t>50A</w:t>
      </w:r>
      <w:r w:rsidR="00F05CFC" w:rsidRPr="00EF7182">
        <w:t>(1)(a)(i) or (ii) (breaches and likely breaches of core obligations)</w:t>
      </w:r>
      <w:r w:rsidRPr="00EF7182">
        <w:t>; and</w:t>
      </w:r>
    </w:p>
    <w:p w:rsidR="00290803" w:rsidRPr="00EF7182" w:rsidRDefault="00290803" w:rsidP="00EF7182">
      <w:pPr>
        <w:pStyle w:val="paragraph"/>
      </w:pPr>
      <w:r w:rsidRPr="00EF7182">
        <w:tab/>
        <w:t>(c)</w:t>
      </w:r>
      <w:r w:rsidRPr="00EF7182">
        <w:tab/>
        <w:t>the entities in relation to which those reports are lodged with ASIC or APRA</w:t>
      </w:r>
      <w:r w:rsidR="008B1044">
        <w:t>.</w:t>
      </w:r>
    </w:p>
    <w:p w:rsidR="00290803" w:rsidRPr="00EF7182" w:rsidRDefault="00290803" w:rsidP="00EF7182">
      <w:pPr>
        <w:pStyle w:val="subsection"/>
      </w:pPr>
      <w:r w:rsidRPr="00EF7182">
        <w:tab/>
        <w:t>(2)</w:t>
      </w:r>
      <w:r w:rsidRPr="00EF7182">
        <w:tab/>
        <w:t>The information must:</w:t>
      </w:r>
    </w:p>
    <w:p w:rsidR="00290803" w:rsidRPr="00EF7182" w:rsidRDefault="00290803" w:rsidP="00EF7182">
      <w:pPr>
        <w:pStyle w:val="paragraph"/>
      </w:pPr>
      <w:r w:rsidRPr="00EF7182">
        <w:tab/>
        <w:t>(a)</w:t>
      </w:r>
      <w:r w:rsidRPr="00EF7182">
        <w:tab/>
        <w:t>be published within 4 months after the end of the financial year; and</w:t>
      </w:r>
    </w:p>
    <w:p w:rsidR="00290803" w:rsidRPr="00EF7182" w:rsidRDefault="00290803" w:rsidP="00EF7182">
      <w:pPr>
        <w:pStyle w:val="paragraph"/>
      </w:pPr>
      <w:r w:rsidRPr="00EF7182">
        <w:tab/>
        <w:t>(b)</w:t>
      </w:r>
      <w:r w:rsidRPr="00EF7182">
        <w:tab/>
        <w:t>be published on ASIC’s website; and</w:t>
      </w:r>
    </w:p>
    <w:p w:rsidR="00290803" w:rsidRPr="00EF7182" w:rsidRDefault="00290803" w:rsidP="00EF7182">
      <w:pPr>
        <w:pStyle w:val="paragraph"/>
      </w:pPr>
      <w:r w:rsidRPr="00EF7182">
        <w:tab/>
        <w:t>(c)</w:t>
      </w:r>
      <w:r w:rsidRPr="00EF7182">
        <w:tab/>
        <w:t>include the information (if any) prescribed by the regulations, which may include personal information</w:t>
      </w:r>
      <w:bookmarkStart w:id="86" w:name="BK_S1P20L32C52"/>
      <w:bookmarkStart w:id="87" w:name="BK_S1P20L22C52"/>
      <w:bookmarkEnd w:id="86"/>
      <w:bookmarkEnd w:id="87"/>
      <w:r w:rsidRPr="00EF7182">
        <w:t xml:space="preserve"> (within the meaning of the </w:t>
      </w:r>
      <w:r w:rsidRPr="00EF7182">
        <w:rPr>
          <w:i/>
        </w:rPr>
        <w:t>Privacy Act 1988</w:t>
      </w:r>
      <w:r w:rsidRPr="00EF7182">
        <w:t>) in relation to a licensee who is an individual; and</w:t>
      </w:r>
    </w:p>
    <w:p w:rsidR="00290803" w:rsidRPr="00EF7182" w:rsidRDefault="00290803" w:rsidP="00EF7182">
      <w:pPr>
        <w:pStyle w:val="paragraph"/>
      </w:pPr>
      <w:r w:rsidRPr="00EF7182">
        <w:tab/>
        <w:t>(d)</w:t>
      </w:r>
      <w:r w:rsidRPr="00EF7182">
        <w:tab/>
        <w:t>if the regulations prescribe how the information is to be organised—be organised in accordance with the regulations</w:t>
      </w:r>
      <w:r w:rsidR="008B1044">
        <w:t>.</w:t>
      </w:r>
    </w:p>
    <w:p w:rsidR="00290803" w:rsidRPr="00EF7182" w:rsidRDefault="00290803" w:rsidP="00EF7182">
      <w:pPr>
        <w:pStyle w:val="subsection"/>
      </w:pPr>
      <w:r w:rsidRPr="00EF7182">
        <w:tab/>
        <w:t>(3)</w:t>
      </w:r>
      <w:r w:rsidRPr="00EF7182">
        <w:tab/>
        <w:t>The regulations may prescribe circumstances in which information need not be included in the information published by ASIC under this section</w:t>
      </w:r>
      <w:r w:rsidR="008B1044">
        <w:t>.</w:t>
      </w:r>
    </w:p>
    <w:p w:rsidR="00290803" w:rsidRPr="00EF7182" w:rsidRDefault="00290803" w:rsidP="00EF7182">
      <w:pPr>
        <w:pStyle w:val="subsection"/>
      </w:pPr>
      <w:r w:rsidRPr="00EF7182">
        <w:tab/>
        <w:t>(4)</w:t>
      </w:r>
      <w:r w:rsidRPr="00EF7182">
        <w:tab/>
        <w:t xml:space="preserve">ASIC may correct any error in, or omission from, </w:t>
      </w:r>
      <w:r w:rsidR="00855C8B" w:rsidRPr="00EF7182">
        <w:t>information</w:t>
      </w:r>
      <w:r w:rsidRPr="00EF7182">
        <w:t xml:space="preserve"> published under this section</w:t>
      </w:r>
      <w:r w:rsidR="008B1044">
        <w:t>.</w:t>
      </w:r>
    </w:p>
    <w:p w:rsidR="00A467DC" w:rsidRPr="009D0802" w:rsidRDefault="00341757" w:rsidP="00A467DC">
      <w:pPr>
        <w:pStyle w:val="ItemHead"/>
      </w:pPr>
      <w:bookmarkStart w:id="88" w:name="_Toc30410459"/>
      <w:bookmarkStart w:id="89" w:name="_Toc30410118"/>
      <w:r>
        <w:t>16</w:t>
      </w:r>
      <w:r w:rsidR="00A467DC" w:rsidRPr="009D0802">
        <w:t xml:space="preserve">  Before section 52</w:t>
      </w:r>
    </w:p>
    <w:p w:rsidR="00A467DC" w:rsidRPr="009D0802" w:rsidRDefault="00A467DC" w:rsidP="00A467DC">
      <w:pPr>
        <w:pStyle w:val="Item"/>
      </w:pPr>
      <w:r w:rsidRPr="009D0802">
        <w:t>Insert:</w:t>
      </w:r>
    </w:p>
    <w:p w:rsidR="00383871" w:rsidRPr="009D0802" w:rsidRDefault="00383871" w:rsidP="00383871">
      <w:pPr>
        <w:pStyle w:val="ActHead4"/>
      </w:pPr>
      <w:r w:rsidRPr="001A6D2E">
        <w:rPr>
          <w:rStyle w:val="CharSubdNo"/>
        </w:rPr>
        <w:t>Subdivision C</w:t>
      </w:r>
      <w:r w:rsidRPr="009D0802">
        <w:t>—</w:t>
      </w:r>
      <w:r w:rsidRPr="001A6D2E">
        <w:rPr>
          <w:rStyle w:val="CharSubdText"/>
        </w:rPr>
        <w:t>Notifying and remediating consumers affected by reportable situations</w:t>
      </w:r>
      <w:bookmarkEnd w:id="88"/>
    </w:p>
    <w:p w:rsidR="00383871" w:rsidRPr="009D0802" w:rsidRDefault="008B1044" w:rsidP="00383871">
      <w:pPr>
        <w:pStyle w:val="ActHead5"/>
      </w:pPr>
      <w:bookmarkStart w:id="90" w:name="_Toc30410460"/>
      <w:r w:rsidRPr="001A6D2E">
        <w:rPr>
          <w:rStyle w:val="CharSectno"/>
        </w:rPr>
        <w:t>51A</w:t>
      </w:r>
      <w:r w:rsidR="00383871" w:rsidRPr="009D0802">
        <w:t xml:space="preserve">  Reporting to consumers affected by a reportable situation</w:t>
      </w:r>
      <w:bookmarkEnd w:id="90"/>
    </w:p>
    <w:p w:rsidR="00383871" w:rsidRPr="009D0802" w:rsidRDefault="00383871" w:rsidP="00383871">
      <w:pPr>
        <w:pStyle w:val="SubsectionHead"/>
      </w:pPr>
      <w:r w:rsidRPr="009D0802">
        <w:t>Notifying an affected consumer of a reportable situation</w:t>
      </w:r>
    </w:p>
    <w:p w:rsidR="00383871" w:rsidRPr="009D0802" w:rsidRDefault="00383871" w:rsidP="00383871">
      <w:pPr>
        <w:pStyle w:val="subsection"/>
      </w:pPr>
      <w:r w:rsidRPr="009D0802">
        <w:tab/>
        <w:t>(1)</w:t>
      </w:r>
      <w:r w:rsidRPr="009D0802">
        <w:tab/>
        <w:t xml:space="preserve">A licensee must take reasonable steps to notify a consumer (the </w:t>
      </w:r>
      <w:r w:rsidRPr="009D0802">
        <w:rPr>
          <w:b/>
          <w:i/>
        </w:rPr>
        <w:t>affected consumer</w:t>
      </w:r>
      <w:r w:rsidRPr="009D0802">
        <w:t>) of a reportable situation in accordance with this section if:</w:t>
      </w:r>
    </w:p>
    <w:p w:rsidR="00383871" w:rsidRPr="009D0802" w:rsidRDefault="00383871" w:rsidP="00383871">
      <w:pPr>
        <w:pStyle w:val="paragraph"/>
      </w:pPr>
      <w:r w:rsidRPr="009D0802">
        <w:tab/>
        <w:t>(a)</w:t>
      </w:r>
      <w:r w:rsidRPr="009D0802">
        <w:tab/>
        <w:t>the licensee, or a representative of the licensee, provides or has provided credit assistance to the affected consumer in relation to a credit contract secured by a mortgage over residential property; and</w:t>
      </w:r>
    </w:p>
    <w:p w:rsidR="00383871" w:rsidRPr="009D0802" w:rsidRDefault="00383871" w:rsidP="00383871">
      <w:pPr>
        <w:pStyle w:val="paragraph"/>
      </w:pPr>
      <w:r w:rsidRPr="009D0802">
        <w:tab/>
        <w:t>(b)</w:t>
      </w:r>
      <w:r w:rsidRPr="009D0802">
        <w:tab/>
        <w:t>the licensee, or the representative of the licensee, is a mortgage broker; and</w:t>
      </w:r>
    </w:p>
    <w:p w:rsidR="00383871" w:rsidRPr="009D0802" w:rsidRDefault="00383871" w:rsidP="00383871">
      <w:pPr>
        <w:pStyle w:val="paragraph"/>
      </w:pPr>
      <w:r w:rsidRPr="009D0802">
        <w:tab/>
        <w:t>(c)</w:t>
      </w:r>
      <w:r w:rsidRPr="009D0802">
        <w:tab/>
        <w:t>there are reasonable grounds to believe that a reportable situation has arisen in relation to the licensee as mentioned in:</w:t>
      </w:r>
    </w:p>
    <w:p w:rsidR="00383871" w:rsidRPr="009D0802" w:rsidRDefault="00383871" w:rsidP="00383871">
      <w:pPr>
        <w:pStyle w:val="paragraphsub"/>
      </w:pPr>
      <w:r w:rsidRPr="009D0802">
        <w:tab/>
        <w:t>(i)</w:t>
      </w:r>
      <w:r w:rsidRPr="009D0802">
        <w:tab/>
        <w:t xml:space="preserve">subparagraph </w:t>
      </w:r>
      <w:r w:rsidR="008B1044">
        <w:t>50A</w:t>
      </w:r>
      <w:r w:rsidRPr="009D0802">
        <w:t xml:space="preserve">(1)(a)(i) and paragraph </w:t>
      </w:r>
      <w:r w:rsidR="008B1044">
        <w:t>50A</w:t>
      </w:r>
      <w:r w:rsidRPr="009D0802">
        <w:t>(1)(b) (significant breach of a core obligation); or</w:t>
      </w:r>
    </w:p>
    <w:p w:rsidR="00383871" w:rsidRPr="009D0802" w:rsidRDefault="00383871" w:rsidP="00383871">
      <w:pPr>
        <w:pStyle w:val="paragraphsub"/>
      </w:pPr>
      <w:r w:rsidRPr="009D0802">
        <w:tab/>
        <w:t>(ii)</w:t>
      </w:r>
      <w:r w:rsidRPr="009D0802">
        <w:tab/>
        <w:t xml:space="preserve">subsection </w:t>
      </w:r>
      <w:r w:rsidR="008B1044">
        <w:t>50A</w:t>
      </w:r>
      <w:r w:rsidRPr="009D0802">
        <w:t>(2) (gross negligence or serious fraud); and</w:t>
      </w:r>
    </w:p>
    <w:p w:rsidR="00383871" w:rsidRPr="009D0802" w:rsidRDefault="00383871" w:rsidP="00383871">
      <w:pPr>
        <w:pStyle w:val="paragraph"/>
      </w:pPr>
      <w:r w:rsidRPr="009D0802">
        <w:tab/>
        <w:t>(d)</w:t>
      </w:r>
      <w:r w:rsidRPr="009D0802">
        <w:tab/>
        <w:t>there are reasonable grounds to suspect that:</w:t>
      </w:r>
    </w:p>
    <w:p w:rsidR="00383871" w:rsidRPr="009D0802" w:rsidRDefault="00383871" w:rsidP="00383871">
      <w:pPr>
        <w:pStyle w:val="paragraphsub"/>
      </w:pPr>
      <w:r w:rsidRPr="009D0802">
        <w:tab/>
        <w:t>(i)</w:t>
      </w:r>
      <w:r w:rsidRPr="009D0802">
        <w:tab/>
        <w:t>the affected consumer has suffered or will suffer loss or damage as a result of the reportable situation; and</w:t>
      </w:r>
    </w:p>
    <w:p w:rsidR="00383871" w:rsidRPr="009D0802" w:rsidRDefault="00383871" w:rsidP="00383871">
      <w:pPr>
        <w:pStyle w:val="paragraphsub"/>
      </w:pPr>
      <w:r w:rsidRPr="009D0802">
        <w:tab/>
        <w:t>(ii)</w:t>
      </w:r>
      <w:r w:rsidRPr="009D0802">
        <w:tab/>
        <w:t>the affected consumer has a legally enforceable right to recover the loss or damage from the licensee</w:t>
      </w:r>
      <w:r w:rsidR="008B1044">
        <w:t>.</w:t>
      </w:r>
    </w:p>
    <w:p w:rsidR="00383871" w:rsidRPr="009D0802" w:rsidRDefault="00383871" w:rsidP="00383871">
      <w:pPr>
        <w:pStyle w:val="Penalty"/>
      </w:pPr>
      <w:r w:rsidRPr="009D0802">
        <w:t>Civil penalty:</w:t>
      </w:r>
      <w:r w:rsidRPr="009D0802">
        <w:tab/>
        <w:t>5,000 penalty unit</w:t>
      </w:r>
      <w:bookmarkStart w:id="91" w:name="BK_S1P7L29C34"/>
      <w:bookmarkEnd w:id="91"/>
      <w:r w:rsidRPr="009D0802">
        <w:t>s</w:t>
      </w:r>
      <w:r w:rsidR="008B1044">
        <w:t>.</w:t>
      </w:r>
    </w:p>
    <w:p w:rsidR="00383871" w:rsidRPr="009D0802" w:rsidRDefault="00383871" w:rsidP="00383871">
      <w:pPr>
        <w:pStyle w:val="SubsectionHead"/>
      </w:pPr>
      <w:r w:rsidRPr="009D0802">
        <w:t>Form and period for giving notice</w:t>
      </w:r>
    </w:p>
    <w:p w:rsidR="00383871" w:rsidRPr="009D0802" w:rsidRDefault="00383871" w:rsidP="00383871">
      <w:pPr>
        <w:pStyle w:val="subsection"/>
      </w:pPr>
      <w:r w:rsidRPr="009D0802">
        <w:tab/>
        <w:t>(2)</w:t>
      </w:r>
      <w:r w:rsidRPr="009D0802">
        <w:tab/>
        <w:t>A notice under this section must be given:</w:t>
      </w:r>
    </w:p>
    <w:p w:rsidR="00383871" w:rsidRPr="009D0802" w:rsidRDefault="00383871" w:rsidP="00383871">
      <w:pPr>
        <w:pStyle w:val="paragraph"/>
      </w:pPr>
      <w:r w:rsidRPr="009D0802">
        <w:tab/>
        <w:t>(a)</w:t>
      </w:r>
      <w:r w:rsidRPr="009D0802">
        <w:tab/>
        <w:t>in writing; and</w:t>
      </w:r>
    </w:p>
    <w:p w:rsidR="00383871" w:rsidRPr="009D0802" w:rsidRDefault="00383871" w:rsidP="00383871">
      <w:pPr>
        <w:pStyle w:val="paragraph"/>
      </w:pPr>
      <w:r w:rsidRPr="009D0802">
        <w:tab/>
        <w:t>(b)</w:t>
      </w:r>
      <w:r w:rsidRPr="009D0802">
        <w:tab/>
        <w:t>if ASIC has approved the form in which the notice must be given—in the approved form; and</w:t>
      </w:r>
    </w:p>
    <w:p w:rsidR="00383871" w:rsidRPr="009D0802" w:rsidRDefault="00383871" w:rsidP="00383871">
      <w:pPr>
        <w:pStyle w:val="paragraph"/>
      </w:pPr>
      <w:r w:rsidRPr="009D0802">
        <w:tab/>
        <w:t>(c)</w:t>
      </w:r>
      <w:r w:rsidRPr="009D0802">
        <w:tab/>
        <w:t>within 30 days after the licensee first reasonably knows of the matters mentioned in paragraphs (1)(a), (b), (c) and (d)</w:t>
      </w:r>
      <w:r w:rsidR="008B1044">
        <w:t>.</w:t>
      </w:r>
    </w:p>
    <w:p w:rsidR="00383871" w:rsidRPr="009D0802" w:rsidRDefault="00383871" w:rsidP="00383871">
      <w:pPr>
        <w:pStyle w:val="notetext"/>
      </w:pPr>
      <w:r w:rsidRPr="009D0802">
        <w:t>Note:</w:t>
      </w:r>
      <w:r w:rsidRPr="009D0802">
        <w:tab/>
      </w:r>
      <w:r w:rsidRPr="009D0802">
        <w:rPr>
          <w:b/>
          <w:i/>
        </w:rPr>
        <w:t>Reasonably knows</w:t>
      </w:r>
      <w:r w:rsidRPr="009D0802">
        <w:t xml:space="preserve"> is defined in section 50B</w:t>
      </w:r>
      <w:r w:rsidR="008B1044">
        <w:t>.</w:t>
      </w:r>
    </w:p>
    <w:p w:rsidR="00383871" w:rsidRPr="009D0802" w:rsidRDefault="00383871" w:rsidP="00383871">
      <w:pPr>
        <w:pStyle w:val="SubsectionHead"/>
      </w:pPr>
      <w:r w:rsidRPr="009D0802">
        <w:t>Offence</w:t>
      </w:r>
    </w:p>
    <w:p w:rsidR="00383871" w:rsidRPr="009D0802" w:rsidRDefault="00383871" w:rsidP="00383871">
      <w:pPr>
        <w:pStyle w:val="subsection"/>
      </w:pPr>
      <w:r w:rsidRPr="009D0802">
        <w:tab/>
        <w:t>(3)</w:t>
      </w:r>
      <w:r w:rsidRPr="009D0802">
        <w:tab/>
        <w:t>A person commits</w:t>
      </w:r>
      <w:bookmarkStart w:id="92" w:name="BK_S1P8L7C22"/>
      <w:bookmarkEnd w:id="92"/>
      <w:r w:rsidRPr="009D0802">
        <w:t xml:space="preserve"> an offence if:</w:t>
      </w:r>
    </w:p>
    <w:p w:rsidR="00383871" w:rsidRPr="009D0802" w:rsidRDefault="00383871" w:rsidP="00383871">
      <w:pPr>
        <w:pStyle w:val="paragraph"/>
      </w:pPr>
      <w:r w:rsidRPr="009D0802">
        <w:tab/>
        <w:t>(a)</w:t>
      </w:r>
      <w:r w:rsidRPr="009D0802">
        <w:tab/>
        <w:t>the person is subject to a requirement under subsection (1); and</w:t>
      </w:r>
    </w:p>
    <w:p w:rsidR="00383871" w:rsidRPr="009D0802" w:rsidRDefault="00383871" w:rsidP="00383871">
      <w:pPr>
        <w:pStyle w:val="paragraph"/>
      </w:pPr>
      <w:r w:rsidRPr="009D0802">
        <w:tab/>
        <w:t>(b)</w:t>
      </w:r>
      <w:r w:rsidRPr="009D0802">
        <w:tab/>
        <w:t>the person engag</w:t>
      </w:r>
      <w:bookmarkStart w:id="93" w:name="BK_S1P8L10C22"/>
      <w:bookmarkEnd w:id="93"/>
      <w:r w:rsidRPr="009D0802">
        <w:t>es in conduct; and</w:t>
      </w:r>
    </w:p>
    <w:p w:rsidR="00383871" w:rsidRPr="009D0802" w:rsidRDefault="00383871" w:rsidP="00383871">
      <w:pPr>
        <w:pStyle w:val="paragraph"/>
      </w:pPr>
      <w:r w:rsidRPr="009D0802">
        <w:tab/>
        <w:t>(c)</w:t>
      </w:r>
      <w:r w:rsidRPr="009D0802">
        <w:tab/>
        <w:t>the conduct contravenes the requirement</w:t>
      </w:r>
      <w:r w:rsidR="008B1044">
        <w:t>.</w:t>
      </w:r>
    </w:p>
    <w:p w:rsidR="00383871" w:rsidRPr="009D0802" w:rsidRDefault="00383871" w:rsidP="00383871">
      <w:pPr>
        <w:pStyle w:val="Penalty"/>
      </w:pPr>
      <w:r w:rsidRPr="009D0802">
        <w:t>Criminal penalty:</w:t>
      </w:r>
      <w:r w:rsidRPr="009D0802">
        <w:tab/>
        <w:t>2 years imprisonment</w:t>
      </w:r>
      <w:r w:rsidR="008B1044">
        <w:t>.</w:t>
      </w:r>
    </w:p>
    <w:p w:rsidR="00383871" w:rsidRPr="009D0802" w:rsidRDefault="008B1044" w:rsidP="00383871">
      <w:pPr>
        <w:pStyle w:val="ActHead5"/>
      </w:pPr>
      <w:bookmarkStart w:id="94" w:name="_Toc30410461"/>
      <w:r w:rsidRPr="001A6D2E">
        <w:rPr>
          <w:rStyle w:val="CharSectno"/>
        </w:rPr>
        <w:t>51B</w:t>
      </w:r>
      <w:r w:rsidR="00383871" w:rsidRPr="009D0802">
        <w:t xml:space="preserve">  Obligation to investigate reportable situations that may affect consumers</w:t>
      </w:r>
      <w:bookmarkEnd w:id="94"/>
    </w:p>
    <w:p w:rsidR="00383871" w:rsidRPr="009D0802" w:rsidRDefault="00383871" w:rsidP="00383871">
      <w:pPr>
        <w:pStyle w:val="SubsectionHead"/>
      </w:pPr>
      <w:r w:rsidRPr="009D0802">
        <w:t>Obligation to investigate</w:t>
      </w:r>
    </w:p>
    <w:p w:rsidR="00383871" w:rsidRPr="009D0802" w:rsidRDefault="00383871" w:rsidP="00383871">
      <w:pPr>
        <w:pStyle w:val="subsection"/>
      </w:pPr>
      <w:r w:rsidRPr="009D0802">
        <w:tab/>
        <w:t>(1)</w:t>
      </w:r>
      <w:r w:rsidRPr="009D0802">
        <w:tab/>
        <w:t>A licensee must conduct an investigation into a reportable situation in accordance with this section if:</w:t>
      </w:r>
    </w:p>
    <w:p w:rsidR="00383871" w:rsidRPr="009D0802" w:rsidRDefault="00383871" w:rsidP="00383871">
      <w:pPr>
        <w:pStyle w:val="paragraph"/>
      </w:pPr>
      <w:r w:rsidRPr="009D0802">
        <w:tab/>
        <w:t>(a)</w:t>
      </w:r>
      <w:r w:rsidRPr="009D0802">
        <w:tab/>
        <w:t xml:space="preserve">the licensee, or a representative of the licensee, has provided credit assistance to a consumer (the </w:t>
      </w:r>
      <w:r w:rsidRPr="009D0802">
        <w:rPr>
          <w:b/>
          <w:i/>
        </w:rPr>
        <w:t>affected consumer</w:t>
      </w:r>
      <w:r w:rsidRPr="009D0802">
        <w:t>) in relation to a credit contract secured by a mortgage over residential property; and</w:t>
      </w:r>
    </w:p>
    <w:p w:rsidR="00383871" w:rsidRPr="009D0802" w:rsidRDefault="00383871" w:rsidP="00383871">
      <w:pPr>
        <w:pStyle w:val="paragraph"/>
      </w:pPr>
      <w:r w:rsidRPr="009D0802">
        <w:tab/>
        <w:t>(b)</w:t>
      </w:r>
      <w:r w:rsidRPr="009D0802">
        <w:tab/>
        <w:t>the licensee, or the representative of the licensee, is a mortgage broker; and</w:t>
      </w:r>
    </w:p>
    <w:p w:rsidR="00383871" w:rsidRPr="009D0802" w:rsidRDefault="00383871" w:rsidP="00383871">
      <w:pPr>
        <w:pStyle w:val="paragraph"/>
      </w:pPr>
      <w:r w:rsidRPr="009D0802">
        <w:tab/>
        <w:t>(c)</w:t>
      </w:r>
      <w:r w:rsidRPr="009D0802">
        <w:tab/>
        <w:t>there are reasonable grounds to believe that a reportable situation has arisen in relation to the licensee as mentioned in:</w:t>
      </w:r>
    </w:p>
    <w:p w:rsidR="00383871" w:rsidRPr="009D0802" w:rsidRDefault="00383871" w:rsidP="00383871">
      <w:pPr>
        <w:pStyle w:val="paragraphsub"/>
      </w:pPr>
      <w:r w:rsidRPr="009D0802">
        <w:tab/>
        <w:t>(i)</w:t>
      </w:r>
      <w:r w:rsidRPr="009D0802">
        <w:tab/>
        <w:t xml:space="preserve">subparagraph </w:t>
      </w:r>
      <w:r w:rsidR="008B1044">
        <w:t>50A</w:t>
      </w:r>
      <w:r w:rsidRPr="009D0802">
        <w:t xml:space="preserve">(1)(a)(i) and paragraph </w:t>
      </w:r>
      <w:r w:rsidR="008B1044">
        <w:t>50A</w:t>
      </w:r>
      <w:r w:rsidRPr="009D0802">
        <w:t>(1)(b) (significant breach of a core obligation); or</w:t>
      </w:r>
    </w:p>
    <w:p w:rsidR="00383871" w:rsidRPr="009D0802" w:rsidRDefault="00383871" w:rsidP="00383871">
      <w:pPr>
        <w:pStyle w:val="paragraphsub"/>
      </w:pPr>
      <w:r w:rsidRPr="009D0802">
        <w:tab/>
        <w:t>(ii)</w:t>
      </w:r>
      <w:r w:rsidRPr="009D0802">
        <w:tab/>
        <w:t xml:space="preserve">subsection </w:t>
      </w:r>
      <w:r w:rsidR="008B1044">
        <w:t>50A</w:t>
      </w:r>
      <w:r w:rsidRPr="009D0802">
        <w:t>(2) (gross negligence or serious fraud); and</w:t>
      </w:r>
    </w:p>
    <w:p w:rsidR="00383871" w:rsidRPr="009D0802" w:rsidRDefault="00383871" w:rsidP="00383871">
      <w:pPr>
        <w:pStyle w:val="paragraph"/>
      </w:pPr>
      <w:r w:rsidRPr="009D0802">
        <w:tab/>
        <w:t>(d)</w:t>
      </w:r>
      <w:r w:rsidRPr="009D0802">
        <w:tab/>
        <w:t>there are reasonable grounds to suspect that:</w:t>
      </w:r>
    </w:p>
    <w:p w:rsidR="00383871" w:rsidRPr="009D0802" w:rsidRDefault="00383871" w:rsidP="00383871">
      <w:pPr>
        <w:pStyle w:val="paragraphsub"/>
      </w:pPr>
      <w:r w:rsidRPr="009D0802">
        <w:tab/>
        <w:t>(i)</w:t>
      </w:r>
      <w:r w:rsidRPr="009D0802">
        <w:tab/>
        <w:t>the affected consumer has suffered or will suffer loss or damage as a result of the reportable situation; and</w:t>
      </w:r>
    </w:p>
    <w:p w:rsidR="00383871" w:rsidRPr="009D0802" w:rsidRDefault="00383871" w:rsidP="00383871">
      <w:pPr>
        <w:pStyle w:val="paragraphsub"/>
      </w:pPr>
      <w:r w:rsidRPr="009D0802">
        <w:tab/>
        <w:t>(ii)</w:t>
      </w:r>
      <w:r w:rsidRPr="009D0802">
        <w:tab/>
        <w:t>the affected consumer has a legally enforceable right to recover the loss or damage from the licensee</w:t>
      </w:r>
      <w:r w:rsidR="008B1044">
        <w:t>.</w:t>
      </w:r>
    </w:p>
    <w:p w:rsidR="00383871" w:rsidRPr="009D0802" w:rsidRDefault="00383871" w:rsidP="00383871">
      <w:pPr>
        <w:pStyle w:val="Penalty"/>
      </w:pPr>
      <w:r w:rsidRPr="009D0802">
        <w:t>Civil penalty:</w:t>
      </w:r>
      <w:r w:rsidRPr="009D0802">
        <w:tab/>
        <w:t>5,000 penalty units</w:t>
      </w:r>
      <w:r w:rsidR="008B1044">
        <w:t>.</w:t>
      </w:r>
    </w:p>
    <w:p w:rsidR="00383871" w:rsidRPr="009D0802" w:rsidRDefault="00383871" w:rsidP="00383871">
      <w:pPr>
        <w:pStyle w:val="SubsectionHead"/>
      </w:pPr>
      <w:r w:rsidRPr="009D0802">
        <w:t>Period within which investigation must be commenced</w:t>
      </w:r>
    </w:p>
    <w:p w:rsidR="00383871" w:rsidRPr="009D0802" w:rsidRDefault="00383871" w:rsidP="00383871">
      <w:pPr>
        <w:pStyle w:val="subsection"/>
      </w:pPr>
      <w:r w:rsidRPr="009D0802">
        <w:tab/>
        <w:t>(2)</w:t>
      </w:r>
      <w:r w:rsidRPr="009D0802">
        <w:tab/>
        <w:t>The investigation must be commenced within 30 days after the licensee first reasonably knows of the matters mentioned in paragraphs (1)(a), (b), (c) and (d)</w:t>
      </w:r>
      <w:r w:rsidR="008B1044">
        <w:t>.</w:t>
      </w:r>
    </w:p>
    <w:p w:rsidR="00383871" w:rsidRPr="009D0802" w:rsidRDefault="00383871" w:rsidP="00383871">
      <w:pPr>
        <w:pStyle w:val="notetext"/>
      </w:pPr>
      <w:r w:rsidRPr="009D0802">
        <w:t>Note:</w:t>
      </w:r>
      <w:r w:rsidRPr="009D0802">
        <w:tab/>
      </w:r>
      <w:r w:rsidRPr="009D0802">
        <w:rPr>
          <w:b/>
          <w:i/>
        </w:rPr>
        <w:t>Reasonably knows</w:t>
      </w:r>
      <w:r w:rsidRPr="009D0802">
        <w:t xml:space="preserve"> is defined in section 50B</w:t>
      </w:r>
      <w:r w:rsidR="008B1044">
        <w:t>.</w:t>
      </w:r>
    </w:p>
    <w:p w:rsidR="00383871" w:rsidRPr="009D0802" w:rsidRDefault="00383871" w:rsidP="00383871">
      <w:pPr>
        <w:pStyle w:val="SubsectionHead"/>
      </w:pPr>
      <w:r w:rsidRPr="009D0802">
        <w:t>Matters to be considered in the investigation</w:t>
      </w:r>
    </w:p>
    <w:p w:rsidR="00383871" w:rsidRPr="009D0802" w:rsidRDefault="00383871" w:rsidP="00383871">
      <w:pPr>
        <w:pStyle w:val="subsection"/>
      </w:pPr>
      <w:r w:rsidRPr="009D0802">
        <w:tab/>
        <w:t>(3)</w:t>
      </w:r>
      <w:r w:rsidRPr="009D0802">
        <w:tab/>
        <w:t>In conducting the investigation, the licensee must:</w:t>
      </w:r>
    </w:p>
    <w:p w:rsidR="00383871" w:rsidRPr="009D0802" w:rsidRDefault="00383871" w:rsidP="00383871">
      <w:pPr>
        <w:pStyle w:val="paragraph"/>
      </w:pPr>
      <w:r w:rsidRPr="009D0802">
        <w:tab/>
        <w:t>(a)</w:t>
      </w:r>
      <w:r w:rsidRPr="009D0802">
        <w:tab/>
        <w:t>identify the conduct that gave rise to the reportable situation; and</w:t>
      </w:r>
    </w:p>
    <w:p w:rsidR="00383871" w:rsidRPr="009D0802" w:rsidRDefault="00383871" w:rsidP="00383871">
      <w:pPr>
        <w:pStyle w:val="paragraph"/>
      </w:pPr>
      <w:r w:rsidRPr="009D0802">
        <w:tab/>
        <w:t>(b)</w:t>
      </w:r>
      <w:r w:rsidRPr="009D0802">
        <w:tab/>
        <w:t>quantify the loss or damage that there are reasonable grounds to believe:</w:t>
      </w:r>
    </w:p>
    <w:p w:rsidR="00383871" w:rsidRPr="009D0802" w:rsidRDefault="00383871" w:rsidP="00383871">
      <w:pPr>
        <w:pStyle w:val="paragraphsub"/>
      </w:pPr>
      <w:r w:rsidRPr="009D0802">
        <w:tab/>
        <w:t>(i)</w:t>
      </w:r>
      <w:r w:rsidRPr="009D0802">
        <w:tab/>
        <w:t>the affected consumer has suffered or will suffer as a result of the reportable situation; and</w:t>
      </w:r>
    </w:p>
    <w:p w:rsidR="00383871" w:rsidRPr="009D0802" w:rsidRDefault="00383871" w:rsidP="00383871">
      <w:pPr>
        <w:pStyle w:val="paragraphsub"/>
      </w:pPr>
      <w:r w:rsidRPr="009D0802">
        <w:tab/>
        <w:t>(ii)</w:t>
      </w:r>
      <w:r w:rsidRPr="009D0802">
        <w:tab/>
        <w:t>the affected consumer has a legally enforceable right to recover from the licensee; and</w:t>
      </w:r>
    </w:p>
    <w:p w:rsidR="00383871" w:rsidRPr="009D0802" w:rsidRDefault="00383871" w:rsidP="00383871">
      <w:pPr>
        <w:pStyle w:val="paragraph"/>
      </w:pPr>
      <w:r w:rsidRPr="009D0802">
        <w:tab/>
        <w:t>(c)</w:t>
      </w:r>
      <w:r w:rsidRPr="009D0802">
        <w:tab/>
        <w:t>do anything else prescribed by the regulations for the purposes of this paragraph</w:t>
      </w:r>
      <w:r w:rsidR="008B1044">
        <w:t>.</w:t>
      </w:r>
    </w:p>
    <w:p w:rsidR="00383871" w:rsidRPr="009D0802" w:rsidRDefault="00383871" w:rsidP="00383871">
      <w:pPr>
        <w:pStyle w:val="SubsectionHead"/>
      </w:pPr>
      <w:r w:rsidRPr="009D0802">
        <w:t>Completing the investigation</w:t>
      </w:r>
    </w:p>
    <w:p w:rsidR="00383871" w:rsidRPr="009D0802" w:rsidRDefault="00383871" w:rsidP="00383871">
      <w:pPr>
        <w:pStyle w:val="subsection"/>
      </w:pPr>
      <w:r w:rsidRPr="009D0802">
        <w:tab/>
        <w:t>(4)</w:t>
      </w:r>
      <w:r w:rsidRPr="009D0802">
        <w:tab/>
        <w:t>The investigation must be completed as soon as is reasonably practicable after it is commenced</w:t>
      </w:r>
      <w:r w:rsidR="008B1044">
        <w:t>.</w:t>
      </w:r>
    </w:p>
    <w:p w:rsidR="00383871" w:rsidRPr="009D0802" w:rsidRDefault="00383871" w:rsidP="00383871">
      <w:pPr>
        <w:pStyle w:val="SubsectionHead"/>
      </w:pPr>
      <w:r w:rsidRPr="009D0802">
        <w:t>Notifying affected consumer</w:t>
      </w:r>
    </w:p>
    <w:p w:rsidR="00383871" w:rsidRPr="009D0802" w:rsidRDefault="00383871" w:rsidP="00383871">
      <w:pPr>
        <w:pStyle w:val="subsection"/>
      </w:pPr>
      <w:r w:rsidRPr="009D0802">
        <w:tab/>
        <w:t>(5)</w:t>
      </w:r>
      <w:r w:rsidRPr="009D0802">
        <w:tab/>
        <w:t>The licensee must take reasonable steps to notify the affected consumer of the outcome of the investigation:</w:t>
      </w:r>
    </w:p>
    <w:p w:rsidR="00383871" w:rsidRPr="009D0802" w:rsidRDefault="00383871" w:rsidP="00383871">
      <w:pPr>
        <w:pStyle w:val="paragraph"/>
      </w:pPr>
      <w:r w:rsidRPr="009D0802">
        <w:tab/>
        <w:t>(a)</w:t>
      </w:r>
      <w:r w:rsidRPr="009D0802">
        <w:tab/>
        <w:t>in writing; and</w:t>
      </w:r>
    </w:p>
    <w:p w:rsidR="00383871" w:rsidRPr="009D0802" w:rsidRDefault="00383871" w:rsidP="00383871">
      <w:pPr>
        <w:pStyle w:val="paragraph"/>
      </w:pPr>
      <w:r w:rsidRPr="009D0802">
        <w:tab/>
        <w:t>(b)</w:t>
      </w:r>
      <w:r w:rsidRPr="009D0802">
        <w:tab/>
        <w:t>if ASIC has approved the form in which the notice must be given—in the approved form; and</w:t>
      </w:r>
    </w:p>
    <w:p w:rsidR="00383871" w:rsidRPr="009D0802" w:rsidRDefault="00383871" w:rsidP="00383871">
      <w:pPr>
        <w:pStyle w:val="paragraph"/>
      </w:pPr>
      <w:r w:rsidRPr="009D0802">
        <w:tab/>
        <w:t>(c)</w:t>
      </w:r>
      <w:r w:rsidRPr="009D0802">
        <w:tab/>
        <w:t>within 10 days after the investigation is completed</w:t>
      </w:r>
      <w:r w:rsidR="008B1044">
        <w:t>.</w:t>
      </w:r>
    </w:p>
    <w:p w:rsidR="00383871" w:rsidRPr="009D0802" w:rsidRDefault="00383871" w:rsidP="00383871">
      <w:pPr>
        <w:pStyle w:val="Penalty"/>
      </w:pPr>
      <w:r w:rsidRPr="009D0802">
        <w:t>Civil penalty:</w:t>
      </w:r>
      <w:r w:rsidRPr="009D0802">
        <w:tab/>
        <w:t>5,000 penalty units</w:t>
      </w:r>
      <w:r w:rsidR="008B1044">
        <w:t>.</w:t>
      </w:r>
    </w:p>
    <w:p w:rsidR="00383871" w:rsidRPr="009D0802" w:rsidRDefault="00383871" w:rsidP="00383871">
      <w:pPr>
        <w:pStyle w:val="SubsectionHead"/>
      </w:pPr>
      <w:r w:rsidRPr="009D0802">
        <w:t>Compensating the affected consumer for loss or damage</w:t>
      </w:r>
    </w:p>
    <w:p w:rsidR="00383871" w:rsidRPr="009D0802" w:rsidRDefault="00383871" w:rsidP="00383871">
      <w:pPr>
        <w:pStyle w:val="subsection"/>
      </w:pPr>
      <w:r w:rsidRPr="009D0802">
        <w:tab/>
        <w:t>(6)</w:t>
      </w:r>
      <w:r w:rsidRPr="009D0802">
        <w:tab/>
        <w:t>If, after the investigation is completed, there are reasonable grounds to believe that:</w:t>
      </w:r>
    </w:p>
    <w:p w:rsidR="00383871" w:rsidRPr="009D0802" w:rsidRDefault="00383871" w:rsidP="00383871">
      <w:pPr>
        <w:pStyle w:val="paragraph"/>
      </w:pPr>
      <w:r w:rsidRPr="009D0802">
        <w:tab/>
        <w:t>(a)</w:t>
      </w:r>
      <w:r w:rsidRPr="009D0802">
        <w:tab/>
        <w:t>the affected consumer has suffered or will suffer loss or damage as a result of the reportable situation; and</w:t>
      </w:r>
    </w:p>
    <w:p w:rsidR="00383871" w:rsidRPr="009D0802" w:rsidRDefault="00383871" w:rsidP="00383871">
      <w:pPr>
        <w:pStyle w:val="paragraph"/>
      </w:pPr>
      <w:r w:rsidRPr="009D0802">
        <w:tab/>
        <w:t>(b)</w:t>
      </w:r>
      <w:r w:rsidRPr="009D0802">
        <w:tab/>
        <w:t>the affected consumer has a legally enforceable right to recover the loss or damage from the licensee;</w:t>
      </w:r>
    </w:p>
    <w:p w:rsidR="00383871" w:rsidRPr="009D0802" w:rsidRDefault="00383871" w:rsidP="00383871">
      <w:pPr>
        <w:pStyle w:val="subsection2"/>
      </w:pPr>
      <w:r w:rsidRPr="009D0802">
        <w:t>the licensee must take reasonable steps to pay the affected consumer an amount equal to the loss or damage within 30 days after the investigation is completed</w:t>
      </w:r>
      <w:r w:rsidR="008B1044">
        <w:t>.</w:t>
      </w:r>
    </w:p>
    <w:p w:rsidR="00383871" w:rsidRPr="009D0802" w:rsidRDefault="00383871" w:rsidP="00383871">
      <w:pPr>
        <w:pStyle w:val="Penalty"/>
      </w:pPr>
      <w:r w:rsidRPr="009D0802">
        <w:t>Civil penalty:</w:t>
      </w:r>
      <w:r w:rsidRPr="009D0802">
        <w:tab/>
        <w:t>5,000 penalty units</w:t>
      </w:r>
      <w:r w:rsidR="008B1044">
        <w:t>.</w:t>
      </w:r>
    </w:p>
    <w:p w:rsidR="00383871" w:rsidRPr="009D0802" w:rsidRDefault="00383871" w:rsidP="00383871">
      <w:pPr>
        <w:pStyle w:val="SubsectionHead"/>
      </w:pPr>
      <w:r w:rsidRPr="009D0802">
        <w:t>Offence</w:t>
      </w:r>
    </w:p>
    <w:p w:rsidR="00383871" w:rsidRPr="009D0802" w:rsidRDefault="00383871" w:rsidP="00383871">
      <w:pPr>
        <w:pStyle w:val="subsection"/>
      </w:pPr>
      <w:r w:rsidRPr="009D0802">
        <w:tab/>
        <w:t>(7)</w:t>
      </w:r>
      <w:r w:rsidRPr="009D0802">
        <w:tab/>
        <w:t>A person commits an offence if:</w:t>
      </w:r>
    </w:p>
    <w:p w:rsidR="00383871" w:rsidRPr="009D0802" w:rsidRDefault="00383871" w:rsidP="00383871">
      <w:pPr>
        <w:pStyle w:val="paragraph"/>
      </w:pPr>
      <w:r w:rsidRPr="009D0802">
        <w:tab/>
        <w:t>(a)</w:t>
      </w:r>
      <w:r w:rsidRPr="009D0802">
        <w:tab/>
        <w:t>the person is subject to a requirement under subsection (1), (5) or (6); and</w:t>
      </w:r>
    </w:p>
    <w:p w:rsidR="00383871" w:rsidRPr="009D0802" w:rsidRDefault="00383871" w:rsidP="00383871">
      <w:pPr>
        <w:pStyle w:val="paragraph"/>
      </w:pPr>
      <w:r w:rsidRPr="009D0802">
        <w:tab/>
        <w:t>(b)</w:t>
      </w:r>
      <w:r w:rsidRPr="009D0802">
        <w:tab/>
        <w:t>the person engages in conduct; and</w:t>
      </w:r>
    </w:p>
    <w:p w:rsidR="00383871" w:rsidRPr="009D0802" w:rsidRDefault="00383871" w:rsidP="00383871">
      <w:pPr>
        <w:pStyle w:val="paragraph"/>
      </w:pPr>
      <w:r w:rsidRPr="009D0802">
        <w:tab/>
        <w:t>(c)</w:t>
      </w:r>
      <w:r w:rsidRPr="009D0802">
        <w:tab/>
        <w:t>the conduct contravenes the requirement</w:t>
      </w:r>
      <w:r w:rsidR="008B1044">
        <w:t>.</w:t>
      </w:r>
    </w:p>
    <w:p w:rsidR="00383871" w:rsidRPr="009D0802" w:rsidRDefault="00383871" w:rsidP="00383871">
      <w:pPr>
        <w:pStyle w:val="Penalty"/>
      </w:pPr>
      <w:r w:rsidRPr="009D0802">
        <w:t>Criminal penalty:</w:t>
      </w:r>
      <w:r w:rsidRPr="009D0802">
        <w:tab/>
        <w:t>2 years imprisonment</w:t>
      </w:r>
      <w:r w:rsidR="008B1044">
        <w:t>.</w:t>
      </w:r>
    </w:p>
    <w:p w:rsidR="00383871" w:rsidRPr="009D0802" w:rsidRDefault="00383871" w:rsidP="00383871">
      <w:pPr>
        <w:pStyle w:val="SubsectionHead"/>
      </w:pPr>
      <w:r w:rsidRPr="009D0802">
        <w:t>Nothing affects right of affected consumer to pursue legally enforceable rights</w:t>
      </w:r>
    </w:p>
    <w:p w:rsidR="00383871" w:rsidRPr="009D0802" w:rsidRDefault="00383871" w:rsidP="00383871">
      <w:pPr>
        <w:pStyle w:val="subsection"/>
      </w:pPr>
      <w:r w:rsidRPr="009D0802">
        <w:tab/>
        <w:t>(8)</w:t>
      </w:r>
      <w:r w:rsidRPr="009D0802">
        <w:tab/>
        <w:t>Nothing in this section affects any legally enforceable right of the affected consumer to recover loss or damage that the affected consumer suffers, or will suffer, as a result of a reportable situation</w:t>
      </w:r>
      <w:r w:rsidR="008B1044">
        <w:t>.</w:t>
      </w:r>
    </w:p>
    <w:p w:rsidR="00383871" w:rsidRPr="009D0802" w:rsidRDefault="00383871" w:rsidP="00383871">
      <w:pPr>
        <w:pStyle w:val="subsection"/>
      </w:pPr>
      <w:r w:rsidRPr="009D0802">
        <w:tab/>
        <w:t>(9)</w:t>
      </w:r>
      <w:r w:rsidRPr="009D0802">
        <w:tab/>
        <w:t>However, a court may take into account the amount paid by the licensee under this section when quantifying the amount of compensation (if any) to be paid by the licensee in relation to that loss or damage</w:t>
      </w:r>
      <w:r w:rsidR="008B1044">
        <w:t>.</w:t>
      </w:r>
    </w:p>
    <w:p w:rsidR="00383871" w:rsidRPr="009D0802" w:rsidRDefault="008B1044" w:rsidP="00383871">
      <w:pPr>
        <w:pStyle w:val="ActHead5"/>
      </w:pPr>
      <w:bookmarkStart w:id="95" w:name="_Toc30410462"/>
      <w:r w:rsidRPr="001A6D2E">
        <w:rPr>
          <w:rStyle w:val="CharSectno"/>
        </w:rPr>
        <w:t>51C</w:t>
      </w:r>
      <w:r w:rsidR="00383871" w:rsidRPr="009D0802">
        <w:t xml:space="preserve">  Obligation to keep records of compliance</w:t>
      </w:r>
      <w:bookmarkEnd w:id="95"/>
    </w:p>
    <w:p w:rsidR="00383871" w:rsidRPr="009D0802" w:rsidRDefault="00383871" w:rsidP="00383871">
      <w:pPr>
        <w:pStyle w:val="SubsectionHead"/>
      </w:pPr>
      <w:r w:rsidRPr="009D0802">
        <w:t>Obligation to keep records of compliance</w:t>
      </w:r>
    </w:p>
    <w:p w:rsidR="00383871" w:rsidRPr="009D0802" w:rsidRDefault="00383871" w:rsidP="00383871">
      <w:pPr>
        <w:pStyle w:val="subsection"/>
      </w:pPr>
      <w:r w:rsidRPr="009D0802">
        <w:tab/>
        <w:t>(1)</w:t>
      </w:r>
      <w:r w:rsidRPr="009D0802">
        <w:tab/>
        <w:t>A licensee must keep records sufficient to enable the licensee’s compliance with this Subdivision to be readily ascertained</w:t>
      </w:r>
      <w:r w:rsidR="008B1044">
        <w:t>.</w:t>
      </w:r>
    </w:p>
    <w:p w:rsidR="00383871" w:rsidRPr="009D0802" w:rsidRDefault="00383871" w:rsidP="00383871">
      <w:pPr>
        <w:pStyle w:val="Penalty"/>
      </w:pPr>
      <w:r w:rsidRPr="009D0802">
        <w:t>Civil penalty:</w:t>
      </w:r>
      <w:r w:rsidRPr="009D0802">
        <w:tab/>
        <w:t>5,000 penalty units</w:t>
      </w:r>
      <w:r w:rsidR="008B1044">
        <w:t>.</w:t>
      </w:r>
    </w:p>
    <w:p w:rsidR="00383871" w:rsidRPr="009D0802" w:rsidRDefault="00383871" w:rsidP="00383871">
      <w:pPr>
        <w:pStyle w:val="subsection"/>
      </w:pPr>
      <w:r w:rsidRPr="009D0802">
        <w:tab/>
        <w:t>(2)</w:t>
      </w:r>
      <w:r w:rsidRPr="009D0802">
        <w:tab/>
        <w:t>The regulations may specify records that the licensee must keep as part of the obligation in subsection (1)</w:t>
      </w:r>
      <w:r w:rsidR="008B1044">
        <w:t>.</w:t>
      </w:r>
    </w:p>
    <w:p w:rsidR="00383871" w:rsidRPr="009D0802" w:rsidRDefault="00383871" w:rsidP="00383871">
      <w:pPr>
        <w:pStyle w:val="SubsectionHead"/>
      </w:pPr>
      <w:r w:rsidRPr="009D0802">
        <w:t>Offence</w:t>
      </w:r>
    </w:p>
    <w:p w:rsidR="00383871" w:rsidRPr="009D0802" w:rsidRDefault="00383871" w:rsidP="00383871">
      <w:pPr>
        <w:pStyle w:val="subsection"/>
      </w:pPr>
      <w:r w:rsidRPr="009D0802">
        <w:tab/>
        <w:t>(3)</w:t>
      </w:r>
      <w:r w:rsidRPr="009D0802">
        <w:tab/>
        <w:t>A person commits an offence if:</w:t>
      </w:r>
    </w:p>
    <w:p w:rsidR="00383871" w:rsidRPr="009D0802" w:rsidRDefault="00383871" w:rsidP="00383871">
      <w:pPr>
        <w:pStyle w:val="paragraph"/>
      </w:pPr>
      <w:r w:rsidRPr="009D0802">
        <w:tab/>
        <w:t>(a)</w:t>
      </w:r>
      <w:r w:rsidRPr="009D0802">
        <w:tab/>
        <w:t>the person is subject to a requirement in relation to records under subsection (1); and</w:t>
      </w:r>
    </w:p>
    <w:p w:rsidR="00383871" w:rsidRPr="009D0802" w:rsidRDefault="00383871" w:rsidP="00383871">
      <w:pPr>
        <w:pStyle w:val="paragraph"/>
      </w:pPr>
      <w:r w:rsidRPr="009D0802">
        <w:tab/>
        <w:t>(b)</w:t>
      </w:r>
      <w:r w:rsidRPr="009D0802">
        <w:tab/>
        <w:t>the person engages in conduct; and</w:t>
      </w:r>
    </w:p>
    <w:p w:rsidR="00383871" w:rsidRPr="009D0802" w:rsidRDefault="00383871" w:rsidP="00383871">
      <w:pPr>
        <w:pStyle w:val="paragraph"/>
      </w:pPr>
      <w:r w:rsidRPr="009D0802">
        <w:tab/>
        <w:t>(c)</w:t>
      </w:r>
      <w:r w:rsidRPr="009D0802">
        <w:tab/>
        <w:t>the conduct contravenes subsection (1)</w:t>
      </w:r>
      <w:r w:rsidR="008B1044">
        <w:t>.</w:t>
      </w:r>
    </w:p>
    <w:p w:rsidR="00383871" w:rsidRPr="009D0802" w:rsidRDefault="00383871" w:rsidP="00383871">
      <w:pPr>
        <w:pStyle w:val="Penalty"/>
      </w:pPr>
      <w:r w:rsidRPr="009D0802">
        <w:t>Criminal penalty:</w:t>
      </w:r>
      <w:r w:rsidRPr="009D0802">
        <w:tab/>
        <w:t>5 years imprisonment</w:t>
      </w:r>
      <w:r w:rsidR="008B1044">
        <w:t>.</w:t>
      </w:r>
    </w:p>
    <w:p w:rsidR="00290803" w:rsidRPr="00EF7182" w:rsidRDefault="00290803" w:rsidP="00383871">
      <w:pPr>
        <w:pStyle w:val="ItemHead"/>
      </w:pPr>
      <w:r w:rsidRPr="008B1044">
        <w:t xml:space="preserve">Subdivision </w:t>
      </w:r>
      <w:r w:rsidR="00855C8B" w:rsidRPr="008B1044">
        <w:t>D</w:t>
      </w:r>
      <w:r w:rsidRPr="00EF7182">
        <w:t>—</w:t>
      </w:r>
      <w:r w:rsidRPr="008B1044">
        <w:t>Miscellaneous</w:t>
      </w:r>
      <w:bookmarkEnd w:id="89"/>
    </w:p>
    <w:p w:rsidR="00290803" w:rsidRPr="00222F8E" w:rsidRDefault="00290803" w:rsidP="00EF7182">
      <w:pPr>
        <w:pStyle w:val="ActHead9"/>
        <w:rPr>
          <w:i w:val="0"/>
        </w:rPr>
      </w:pPr>
      <w:bookmarkStart w:id="96" w:name="_Toc30410119"/>
      <w:r w:rsidRPr="00EF7182">
        <w:t>National Consumer Credit Protection (</w:t>
      </w:r>
      <w:bookmarkStart w:id="97" w:name="BK_S1P21L9C38"/>
      <w:bookmarkStart w:id="98" w:name="BK_S1P21L2C38"/>
      <w:bookmarkEnd w:id="97"/>
      <w:bookmarkEnd w:id="98"/>
      <w:r w:rsidRPr="00EF7182">
        <w:t>Transitional and Consequential Provisions) Act 2009</w:t>
      </w:r>
      <w:bookmarkEnd w:id="96"/>
    </w:p>
    <w:p w:rsidR="00290803" w:rsidRPr="00EF7182" w:rsidRDefault="00FF1CA5" w:rsidP="00EF7182">
      <w:pPr>
        <w:pStyle w:val="ItemHead"/>
      </w:pPr>
      <w:r w:rsidRPr="00EF7182">
        <w:t>17</w:t>
      </w:r>
      <w:r w:rsidR="00290803" w:rsidRPr="00EF7182">
        <w:t xml:space="preserve">  In the appropriate position</w:t>
      </w:r>
    </w:p>
    <w:p w:rsidR="00290803" w:rsidRPr="00EF7182" w:rsidRDefault="00290803" w:rsidP="00EF7182">
      <w:pPr>
        <w:pStyle w:val="Item"/>
      </w:pPr>
      <w:r w:rsidRPr="00EF7182">
        <w:t>Insert:</w:t>
      </w:r>
    </w:p>
    <w:p w:rsidR="00290803" w:rsidRPr="00222F8E" w:rsidRDefault="00290803" w:rsidP="00EF7182">
      <w:pPr>
        <w:pStyle w:val="ActHead6"/>
      </w:pPr>
      <w:bookmarkStart w:id="99" w:name="BK_S1P22L13C1"/>
      <w:bookmarkStart w:id="100" w:name="BK_S1P22L6C1"/>
      <w:bookmarkStart w:id="101" w:name="_Toc30410120"/>
      <w:bookmarkStart w:id="102" w:name="opcCurrentFind"/>
      <w:bookmarkEnd w:id="99"/>
      <w:bookmarkEnd w:id="100"/>
      <w:r w:rsidRPr="001A6D2E">
        <w:rPr>
          <w:rStyle w:val="CharAmSchNo"/>
        </w:rPr>
        <w:t>Schedule</w:t>
      </w:r>
      <w:bookmarkStart w:id="103" w:name="BK_S1P21L13C9"/>
      <w:bookmarkStart w:id="104" w:name="BK_S1P21L6C9"/>
      <w:bookmarkEnd w:id="103"/>
      <w:bookmarkEnd w:id="104"/>
      <w:r w:rsidRPr="001A6D2E">
        <w:rPr>
          <w:rStyle w:val="CharAmSchNo"/>
        </w:rPr>
        <w:t xml:space="preserve"> </w:t>
      </w:r>
      <w:r w:rsidR="00890978" w:rsidRPr="001A6D2E">
        <w:rPr>
          <w:rStyle w:val="CharAmSchNo"/>
        </w:rPr>
        <w:t>16</w:t>
      </w:r>
      <w:r w:rsidRPr="00EF7182">
        <w:t>—</w:t>
      </w:r>
      <w:r w:rsidRPr="001A6D2E">
        <w:rPr>
          <w:rStyle w:val="CharAmSchText"/>
        </w:rPr>
        <w:t>Application</w:t>
      </w:r>
      <w:bookmarkStart w:id="105" w:name="BK_S1P21L13C23"/>
      <w:bookmarkStart w:id="106" w:name="BK_S1P21L6C23"/>
      <w:bookmarkEnd w:id="105"/>
      <w:bookmarkEnd w:id="106"/>
      <w:r w:rsidRPr="001A6D2E">
        <w:rPr>
          <w:rStyle w:val="CharAmSchText"/>
        </w:rPr>
        <w:t xml:space="preserve"> and transitional</w:t>
      </w:r>
      <w:bookmarkStart w:id="107" w:name="BK_S1P21L13C40"/>
      <w:bookmarkStart w:id="108" w:name="BK_S1P21L6C40"/>
      <w:bookmarkEnd w:id="107"/>
      <w:bookmarkEnd w:id="108"/>
      <w:r w:rsidRPr="001A6D2E">
        <w:rPr>
          <w:rStyle w:val="CharAmSchText"/>
        </w:rPr>
        <w:t xml:space="preserve"> provisions relating to </w:t>
      </w:r>
      <w:r w:rsidR="00A76FEE" w:rsidRPr="001A6D2E">
        <w:rPr>
          <w:rStyle w:val="CharAmSchText"/>
        </w:rPr>
        <w:t>Schedule</w:t>
      </w:r>
      <w:bookmarkStart w:id="109" w:name="BK_S1P21L14C32"/>
      <w:bookmarkStart w:id="110" w:name="BK_S1P21L7C32"/>
      <w:bookmarkEnd w:id="109"/>
      <w:bookmarkEnd w:id="110"/>
      <w:r w:rsidR="00A76FEE" w:rsidRPr="001A6D2E">
        <w:rPr>
          <w:rStyle w:val="CharAmSchText"/>
        </w:rPr>
        <w:t xml:space="preserve"> [1</w:t>
      </w:r>
      <w:r w:rsidR="008B1044" w:rsidRPr="001A6D2E">
        <w:rPr>
          <w:rStyle w:val="CharAmSchText"/>
        </w:rPr>
        <w:t>.</w:t>
      </w:r>
      <w:r w:rsidR="00A76FEE" w:rsidRPr="001A6D2E">
        <w:rPr>
          <w:rStyle w:val="CharAmSchText"/>
        </w:rPr>
        <w:t>6, 2</w:t>
      </w:r>
      <w:r w:rsidR="008B1044" w:rsidRPr="001A6D2E">
        <w:rPr>
          <w:rStyle w:val="CharAmSchText"/>
        </w:rPr>
        <w:t>.</w:t>
      </w:r>
      <w:r w:rsidR="00A76FEE" w:rsidRPr="001A6D2E">
        <w:rPr>
          <w:rStyle w:val="CharAmSchText"/>
        </w:rPr>
        <w:t>8</w:t>
      </w:r>
      <w:r w:rsidR="00C27E3D" w:rsidRPr="001A6D2E">
        <w:rPr>
          <w:rStyle w:val="CharAmSchText"/>
        </w:rPr>
        <w:t>, 2</w:t>
      </w:r>
      <w:r w:rsidR="008B1044" w:rsidRPr="001A6D2E">
        <w:rPr>
          <w:rStyle w:val="CharAmSchText"/>
        </w:rPr>
        <w:t>.</w:t>
      </w:r>
      <w:r w:rsidR="00C27E3D" w:rsidRPr="001A6D2E">
        <w:rPr>
          <w:rStyle w:val="CharAmSchText"/>
        </w:rPr>
        <w:t>9</w:t>
      </w:r>
      <w:r w:rsidR="00A76FEE" w:rsidRPr="001A6D2E">
        <w:rPr>
          <w:rStyle w:val="CharAmSchText"/>
        </w:rPr>
        <w:t xml:space="preserve"> and 7</w:t>
      </w:r>
      <w:r w:rsidR="008B1044" w:rsidRPr="001A6D2E">
        <w:rPr>
          <w:rStyle w:val="CharAmSchText"/>
        </w:rPr>
        <w:t>.</w:t>
      </w:r>
      <w:r w:rsidR="00A76FEE" w:rsidRPr="001A6D2E">
        <w:rPr>
          <w:rStyle w:val="CharAmSchText"/>
        </w:rPr>
        <w:t>2]</w:t>
      </w:r>
      <w:r w:rsidRPr="001A6D2E">
        <w:rPr>
          <w:rStyle w:val="CharAmSchText"/>
        </w:rPr>
        <w:t xml:space="preserve"> to the Financial Sector Reform (Hayne Royal Commission Response—Protecting Consumers (2020 Measures)) Act 2020</w:t>
      </w:r>
      <w:bookmarkEnd w:id="101"/>
    </w:p>
    <w:bookmarkEnd w:id="102"/>
    <w:p w:rsidR="00662C1C" w:rsidRPr="001A6D2E" w:rsidRDefault="00662C1C" w:rsidP="00EF7182">
      <w:pPr>
        <w:pStyle w:val="Header"/>
      </w:pPr>
      <w:r w:rsidRPr="001A6D2E">
        <w:rPr>
          <w:rStyle w:val="CharAmPartNo"/>
        </w:rPr>
        <w:t xml:space="preserve"> </w:t>
      </w:r>
      <w:r w:rsidRPr="001A6D2E">
        <w:rPr>
          <w:rStyle w:val="CharAmPartText"/>
        </w:rPr>
        <w:t xml:space="preserve"> </w:t>
      </w:r>
    </w:p>
    <w:p w:rsidR="00290803" w:rsidRPr="00EF7182" w:rsidRDefault="00FF1CA5" w:rsidP="00EF7182">
      <w:pPr>
        <w:pStyle w:val="ItemHead"/>
      </w:pPr>
      <w:r w:rsidRPr="00EF7182">
        <w:t>1</w:t>
      </w:r>
      <w:r w:rsidR="00290803" w:rsidRPr="00EF7182">
        <w:t xml:space="preserve">  Definitions</w:t>
      </w:r>
    </w:p>
    <w:p w:rsidR="00290803" w:rsidRPr="00EF7182" w:rsidRDefault="00290803" w:rsidP="00EF7182">
      <w:pPr>
        <w:pStyle w:val="Item"/>
      </w:pPr>
      <w:r w:rsidRPr="00EF7182">
        <w:t xml:space="preserve">In this </w:t>
      </w:r>
      <w:r w:rsidR="00CF7262">
        <w:t>Schedule</w:t>
      </w:r>
      <w:r w:rsidRPr="00EF7182">
        <w:t>:</w:t>
      </w:r>
    </w:p>
    <w:p w:rsidR="00290803" w:rsidRPr="00EF7182" w:rsidRDefault="00290803" w:rsidP="00EF7182">
      <w:pPr>
        <w:pStyle w:val="Item"/>
      </w:pPr>
      <w:r w:rsidRPr="00EF7182">
        <w:rPr>
          <w:b/>
          <w:i/>
        </w:rPr>
        <w:t xml:space="preserve">amending </w:t>
      </w:r>
      <w:r w:rsidR="00D40FF1">
        <w:rPr>
          <w:b/>
          <w:i/>
        </w:rPr>
        <w:t>Schedule</w:t>
      </w:r>
      <w:r w:rsidRPr="00EF7182">
        <w:t xml:space="preserve"> means </w:t>
      </w:r>
      <w:r w:rsidR="00D40FF1">
        <w:t>Schedule [1</w:t>
      </w:r>
      <w:r w:rsidR="008B1044">
        <w:t>.</w:t>
      </w:r>
      <w:r w:rsidR="00D40FF1">
        <w:t>6, 2</w:t>
      </w:r>
      <w:r w:rsidR="008B1044">
        <w:t>.</w:t>
      </w:r>
      <w:r w:rsidR="00D40FF1">
        <w:t>8</w:t>
      </w:r>
      <w:r w:rsidR="00BC7579">
        <w:t>, 2.9</w:t>
      </w:r>
      <w:r w:rsidR="00D40FF1">
        <w:t xml:space="preserve"> and 7</w:t>
      </w:r>
      <w:r w:rsidR="008B1044">
        <w:t>.</w:t>
      </w:r>
      <w:r w:rsidR="00D40FF1">
        <w:t xml:space="preserve">2] to </w:t>
      </w:r>
      <w:r w:rsidRPr="00EF7182">
        <w:t xml:space="preserve">the </w:t>
      </w:r>
      <w:r w:rsidRPr="00EF7182">
        <w:rPr>
          <w:i/>
        </w:rPr>
        <w:t>Financial Sector Reform (Hayne Royal Commission Response—Protecting Consumers (2020 Measures)) Act 2020</w:t>
      </w:r>
      <w:r w:rsidR="008B1044">
        <w:t>.</w:t>
      </w:r>
    </w:p>
    <w:p w:rsidR="00290803" w:rsidRPr="00EF7182" w:rsidRDefault="00FF1CA5" w:rsidP="00EF7182">
      <w:pPr>
        <w:pStyle w:val="ItemHead"/>
      </w:pPr>
      <w:r w:rsidRPr="00EF7182">
        <w:t>2</w:t>
      </w:r>
      <w:r w:rsidR="00290803" w:rsidRPr="00EF7182">
        <w:t xml:space="preserve">  Reportable situations to which </w:t>
      </w:r>
      <w:r w:rsidR="00BE2959" w:rsidRPr="00EF7182">
        <w:t>sections</w:t>
      </w:r>
      <w:r w:rsidR="00EF7182" w:rsidRPr="00EF7182">
        <w:t xml:space="preserve"> </w:t>
      </w:r>
      <w:r w:rsidR="008B1044">
        <w:t>50C</w:t>
      </w:r>
      <w:r w:rsidR="00290803" w:rsidRPr="00EF7182">
        <w:t xml:space="preserve"> and </w:t>
      </w:r>
      <w:r w:rsidR="008B1044">
        <w:t>50D</w:t>
      </w:r>
      <w:r w:rsidR="00290803" w:rsidRPr="00EF7182">
        <w:t xml:space="preserve"> </w:t>
      </w:r>
      <w:r w:rsidR="00CF7262">
        <w:t xml:space="preserve">of the National Credit Act </w:t>
      </w:r>
      <w:r w:rsidR="00290803" w:rsidRPr="00EF7182">
        <w:t>will apply</w:t>
      </w:r>
    </w:p>
    <w:p w:rsidR="00290803" w:rsidRPr="00EF7182" w:rsidRDefault="00BE2959" w:rsidP="00EF7182">
      <w:pPr>
        <w:pStyle w:val="Item"/>
      </w:pPr>
      <w:r w:rsidRPr="00EF7182">
        <w:t>Sections</w:t>
      </w:r>
      <w:r w:rsidR="00EF7182" w:rsidRPr="00EF7182">
        <w:t xml:space="preserve"> </w:t>
      </w:r>
      <w:r w:rsidR="008B1044">
        <w:t>50C</w:t>
      </w:r>
      <w:r w:rsidR="00290803" w:rsidRPr="00EF7182">
        <w:t xml:space="preserve"> and </w:t>
      </w:r>
      <w:r w:rsidR="008B1044">
        <w:t>50D</w:t>
      </w:r>
      <w:r w:rsidR="00290803" w:rsidRPr="00EF7182">
        <w:t xml:space="preserve"> of the National Credit Act, as inserted by item</w:t>
      </w:r>
      <w:r w:rsidR="00EF7182" w:rsidRPr="00EF7182">
        <w:t> </w:t>
      </w:r>
      <w:r w:rsidR="00DE2CF5" w:rsidRPr="00EF7182">
        <w:t>15</w:t>
      </w:r>
      <w:r w:rsidR="00290803" w:rsidRPr="00EF7182">
        <w:t xml:space="preserve"> of </w:t>
      </w:r>
      <w:r w:rsidR="00D40FF1">
        <w:t>the amending Schedule</w:t>
      </w:r>
      <w:r w:rsidR="00290803" w:rsidRPr="00EF7182">
        <w:t>, appl</w:t>
      </w:r>
      <w:r w:rsidR="00D40FF1">
        <w:t xml:space="preserve">y </w:t>
      </w:r>
      <w:r w:rsidR="00290803" w:rsidRPr="00EF7182">
        <w:t xml:space="preserve">in relation to </w:t>
      </w:r>
      <w:r w:rsidR="00D40FF1">
        <w:t>reportable situation</w:t>
      </w:r>
      <w:r w:rsidR="003A7956">
        <w:t>s</w:t>
      </w:r>
      <w:r w:rsidR="00290803" w:rsidRPr="00EF7182">
        <w:t xml:space="preserve"> arising on or after </w:t>
      </w:r>
      <w:r w:rsidRPr="00EF7182">
        <w:t>1</w:t>
      </w:r>
      <w:r w:rsidR="00EF7182" w:rsidRPr="00EF7182">
        <w:t> </w:t>
      </w:r>
      <w:r w:rsidRPr="00EF7182">
        <w:t>April</w:t>
      </w:r>
      <w:r w:rsidR="00290803" w:rsidRPr="00EF7182">
        <w:t xml:space="preserve"> 2021</w:t>
      </w:r>
      <w:r w:rsidR="008B1044">
        <w:t>.</w:t>
      </w:r>
    </w:p>
    <w:p w:rsidR="00290803" w:rsidRPr="00EF7182" w:rsidRDefault="00FF1CA5" w:rsidP="00EF7182">
      <w:pPr>
        <w:pStyle w:val="ItemHead"/>
      </w:pPr>
      <w:r w:rsidRPr="00EF7182">
        <w:t>3</w:t>
      </w:r>
      <w:r w:rsidR="00290803" w:rsidRPr="00EF7182">
        <w:t xml:space="preserve">  Application</w:t>
      </w:r>
      <w:bookmarkStart w:id="111" w:name="BK_S1P22L1C15"/>
      <w:bookmarkStart w:id="112" w:name="BK_S1P21L23C15"/>
      <w:bookmarkEnd w:id="111"/>
      <w:bookmarkEnd w:id="112"/>
      <w:r w:rsidR="00290803" w:rsidRPr="00EF7182">
        <w:t xml:space="preserve"> of ASIC’s reporting obligations under </w:t>
      </w:r>
      <w:r w:rsidR="00BE2959" w:rsidRPr="00EF7182">
        <w:t>section</w:t>
      </w:r>
      <w:r w:rsidR="00662C1C" w:rsidRPr="00EF7182">
        <w:t xml:space="preserve"> </w:t>
      </w:r>
      <w:r w:rsidR="008B1044">
        <w:t>50E</w:t>
      </w:r>
      <w:r w:rsidR="00CF7262">
        <w:t xml:space="preserve"> of the National Credit Act</w:t>
      </w:r>
    </w:p>
    <w:p w:rsidR="00290803" w:rsidRDefault="0010242F" w:rsidP="00EF7182">
      <w:pPr>
        <w:pStyle w:val="Subitem"/>
      </w:pPr>
      <w:r w:rsidRPr="00EF7182">
        <w:tab/>
      </w:r>
      <w:r w:rsidR="00BE2959" w:rsidRPr="00EF7182">
        <w:t>Section</w:t>
      </w:r>
      <w:r w:rsidR="00EF7182" w:rsidRPr="00EF7182">
        <w:t xml:space="preserve"> </w:t>
      </w:r>
      <w:r w:rsidR="008B1044">
        <w:t>50E</w:t>
      </w:r>
      <w:r w:rsidR="00290803" w:rsidRPr="00EF7182">
        <w:t xml:space="preserve"> of the National Credit Act, as inserted by item</w:t>
      </w:r>
      <w:r w:rsidR="00EF7182" w:rsidRPr="00EF7182">
        <w:t> </w:t>
      </w:r>
      <w:r w:rsidR="00FE5128" w:rsidRPr="00EF7182">
        <w:t>15</w:t>
      </w:r>
      <w:r w:rsidR="00290803" w:rsidRPr="00EF7182">
        <w:t xml:space="preserve"> of </w:t>
      </w:r>
      <w:r w:rsidR="00D40FF1">
        <w:t>the amending Schedule</w:t>
      </w:r>
      <w:r w:rsidR="00290803" w:rsidRPr="00EF7182">
        <w:t xml:space="preserve">, applies </w:t>
      </w:r>
      <w:r w:rsidR="00B674D7">
        <w:t xml:space="preserve">in relation </w:t>
      </w:r>
      <w:r w:rsidR="00290803" w:rsidRPr="00EF7182">
        <w:t xml:space="preserve">to financial years ending on or after </w:t>
      </w:r>
      <w:r w:rsidR="00BE2959" w:rsidRPr="00EF7182">
        <w:t>30</w:t>
      </w:r>
      <w:r w:rsidR="00EF7182" w:rsidRPr="00EF7182">
        <w:t> </w:t>
      </w:r>
      <w:r w:rsidR="00BE2959" w:rsidRPr="00EF7182">
        <w:t>June</w:t>
      </w:r>
      <w:r w:rsidR="00290803" w:rsidRPr="00EF7182">
        <w:t xml:space="preserve"> 2021</w:t>
      </w:r>
      <w:r w:rsidR="008B1044">
        <w:t>.</w:t>
      </w:r>
    </w:p>
    <w:p w:rsidR="00B674D7" w:rsidRPr="009D0802" w:rsidRDefault="00B674D7" w:rsidP="00B674D7">
      <w:pPr>
        <w:pStyle w:val="ItemHead"/>
      </w:pPr>
      <w:r w:rsidRPr="008B1044">
        <w:t>4</w:t>
      </w:r>
      <w:r w:rsidRPr="009D0802">
        <w:t xml:space="preserve">  Application</w:t>
      </w:r>
      <w:bookmarkStart w:id="113" w:name="BK_S1P11L18C17"/>
      <w:bookmarkEnd w:id="113"/>
      <w:r w:rsidRPr="009D0802">
        <w:t xml:space="preserve"> of provisions dealing with notifying and compensating a person affected by a reportable situation</w:t>
      </w:r>
    </w:p>
    <w:p w:rsidR="00B674D7" w:rsidRPr="00EF7182" w:rsidRDefault="00B674D7" w:rsidP="00EF7182">
      <w:pPr>
        <w:pStyle w:val="Subitem"/>
      </w:pPr>
      <w:r>
        <w:tab/>
        <w:t>Subdivision C of Division 5 of Part 2</w:t>
      </w:r>
      <w:r w:rsidR="008B1044">
        <w:noBreakHyphen/>
      </w:r>
      <w:r>
        <w:t>2 of the National Credit Act</w:t>
      </w:r>
      <w:r w:rsidR="00A467DC">
        <w:t xml:space="preserve">, as inserted by item </w:t>
      </w:r>
      <w:r w:rsidR="00341757">
        <w:t>16</w:t>
      </w:r>
      <w:r w:rsidR="00A467DC">
        <w:t xml:space="preserve"> of the amending Schedule,</w:t>
      </w:r>
      <w:r w:rsidRPr="009D0802">
        <w:rPr>
          <w:i/>
        </w:rPr>
        <w:t xml:space="preserve"> </w:t>
      </w:r>
      <w:r w:rsidRPr="009D0802">
        <w:t>appl</w:t>
      </w:r>
      <w:r>
        <w:t>ies</w:t>
      </w:r>
      <w:r w:rsidRPr="009D0802">
        <w:t xml:space="preserve"> in relation to reportable situations arising on or after 1 April 2021</w:t>
      </w:r>
      <w:r w:rsidR="008B1044">
        <w:t>.</w:t>
      </w:r>
    </w:p>
    <w:sectPr w:rsidR="00B674D7" w:rsidRPr="00EF7182" w:rsidSect="00EF7182">
      <w:headerReference w:type="even" r:id="rId7"/>
      <w:headerReference w:type="default" r:id="rId8"/>
      <w:footerReference w:type="even" r:id="rId9"/>
      <w:footerReference w:type="default" r:id="rId10"/>
      <w:headerReference w:type="first" r:id="rId11"/>
      <w:footerReference w:type="first" r:id="rId12"/>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F0A" w:rsidRDefault="003E3F0A" w:rsidP="00664C63">
      <w:pPr>
        <w:spacing w:line="240" w:lineRule="auto"/>
      </w:pPr>
      <w:r>
        <w:separator/>
      </w:r>
    </w:p>
  </w:endnote>
  <w:endnote w:type="continuationSeparator" w:id="0">
    <w:p w:rsidR="003E3F0A" w:rsidRDefault="003E3F0A"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F0A" w:rsidRPr="00BB4623" w:rsidRDefault="003E3F0A" w:rsidP="00EF7182">
    <w:pPr>
      <w:pBdr>
        <w:top w:val="single" w:sz="6" w:space="1" w:color="auto"/>
      </w:pBdr>
      <w:spacing w:before="120"/>
      <w:jc w:val="right"/>
      <w:rPr>
        <w:sz w:val="18"/>
      </w:rPr>
    </w:pPr>
  </w:p>
  <w:p w:rsidR="003E3F0A" w:rsidRPr="00BB4623" w:rsidRDefault="003E3F0A"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22</w:t>
    </w:r>
    <w:r w:rsidRPr="00BB4623">
      <w:rPr>
        <w:i/>
        <w:sz w:val="18"/>
      </w:rPr>
      <w:fldChar w:fldCharType="end"/>
    </w:r>
  </w:p>
  <w:p w:rsidR="003E3F0A" w:rsidRPr="00BB4623" w:rsidRDefault="003E3F0A"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F0A" w:rsidRDefault="003E3F0A" w:rsidP="00EF7182">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3E3F0A" w:rsidRPr="00B3608C" w:rsidTr="00406A02">
      <w:trPr>
        <w:trHeight w:val="280"/>
      </w:trPr>
      <w:tc>
        <w:tcPr>
          <w:tcW w:w="7087" w:type="dxa"/>
        </w:tcPr>
        <w:p w:rsidR="003E3F0A" w:rsidRPr="00B3608C" w:rsidRDefault="003E3F0A" w:rsidP="00406A02">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1212EA">
            <w:rPr>
              <w:i/>
              <w:noProof/>
              <w:sz w:val="18"/>
            </w:rPr>
            <w:t>4</w:t>
          </w:r>
          <w:r w:rsidRPr="00BB4623">
            <w:rPr>
              <w:i/>
              <w:sz w:val="18"/>
            </w:rPr>
            <w:fldChar w:fldCharType="end"/>
          </w:r>
        </w:p>
      </w:tc>
    </w:tr>
    <w:tr w:rsidR="003E3F0A" w:rsidRPr="00B3608C" w:rsidTr="00406A02">
      <w:tc>
        <w:tcPr>
          <w:tcW w:w="7087" w:type="dxa"/>
        </w:tcPr>
        <w:p w:rsidR="003E3F0A" w:rsidRPr="00B3608C" w:rsidRDefault="003E3F0A" w:rsidP="00406A02">
          <w:pPr>
            <w:rPr>
              <w:i/>
              <w:sz w:val="18"/>
            </w:rPr>
          </w:pPr>
          <w:r>
            <w:rPr>
              <w:i/>
              <w:noProof/>
              <w:sz w:val="18"/>
              <w:lang w:eastAsia="en-AU"/>
            </w:rPr>
            <mc:AlternateContent>
              <mc:Choice Requires="wps">
                <w:drawing>
                  <wp:anchor distT="0" distB="0" distL="114300" distR="114300" simplePos="0" relativeHeight="251665408" behindDoc="1" locked="0" layoutInCell="1" allowOverlap="1" wp14:anchorId="484FF543" wp14:editId="3E80DFDC">
                    <wp:simplePos x="0" y="0"/>
                    <wp:positionH relativeFrom="column">
                      <wp:align>center</wp:align>
                    </wp:positionH>
                    <wp:positionV relativeFrom="page">
                      <wp:posOffset>10079990</wp:posOffset>
                    </wp:positionV>
                    <wp:extent cx="4410075" cy="400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E3F0A" w:rsidRPr="0033411C" w:rsidRDefault="003E3F0A" w:rsidP="0095602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6D2E">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FF543" id="_x0000_t202" coordsize="21600,21600" o:spt="202" path="m,l,21600r21600,l21600,xe">
                    <v:stroke joinstyle="miter"/>
                    <v:path gradientshapeok="t" o:connecttype="rect"/>
                  </v:shapetype>
                  <v:shape id="Text Box 2" o:spid="_x0000_s1027" type="#_x0000_t202" style="position:absolute;margin-left:0;margin-top:793.7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I6XvMpMAwAAywcAAA4AAAAAAAAAAAAAAAAALgIA&#10;AGRycy9lMm9Eb2MueG1sUEsBAi0AFAAGAAgAAAAhADwCUpLfAAAACgEAAA8AAAAAAAAAAAAAAAAA&#10;pgUAAGRycy9kb3ducmV2LnhtbFBLBQYAAAAABAAEAPMAAACyBgAAAAA=&#10;" stroked="f">
                    <v:stroke joinstyle="round"/>
                    <v:path arrowok="t"/>
                    <v:textbox>
                      <w:txbxContent>
                        <w:p w:rsidR="003E3F0A" w:rsidRPr="0033411C" w:rsidRDefault="003E3F0A" w:rsidP="0095602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6D2E">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r w:rsidRPr="00BB4623">
            <w:rPr>
              <w:i/>
              <w:sz w:val="18"/>
            </w:rPr>
            <w:t xml:space="preserve">  </w:t>
          </w:r>
        </w:p>
      </w:tc>
    </w:tr>
  </w:tbl>
  <w:p w:rsidR="003E3F0A" w:rsidRPr="00BB4623" w:rsidRDefault="003E3F0A" w:rsidP="00B3608C">
    <w:pPr>
      <w:pStyle w:val="Tabletext"/>
      <w:spacing w:before="0"/>
    </w:pPr>
    <w:r>
      <w:rPr>
        <w:i/>
        <w:noProof/>
        <w:sz w:val="18"/>
      </w:rPr>
      <mc:AlternateContent>
        <mc:Choice Requires="wps">
          <w:drawing>
            <wp:anchor distT="0" distB="0" distL="114300" distR="114300" simplePos="0" relativeHeight="251663360" behindDoc="1" locked="0" layoutInCell="1" allowOverlap="1" wp14:anchorId="16C37EC6" wp14:editId="64E336A3">
              <wp:simplePos x="0" y="0"/>
              <wp:positionH relativeFrom="column">
                <wp:posOffset>275590</wp:posOffset>
              </wp:positionH>
              <wp:positionV relativeFrom="page">
                <wp:posOffset>10035540</wp:posOffset>
              </wp:positionV>
              <wp:extent cx="4326255" cy="4343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6255" cy="4343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E3F0A" w:rsidRPr="0033411C" w:rsidRDefault="003E3F0A" w:rsidP="008E05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6D2E">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37EC6" id="Text Box 3" o:spid="_x0000_s1028" type="#_x0000_t202" style="position:absolute;margin-left:21.7pt;margin-top:790.2pt;width:340.65pt;height:3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" stroked="f">
              <v:stroke joinstyle="round"/>
              <v:path arrowok="t"/>
              <v:textbox>
                <w:txbxContent>
                  <w:p w:rsidR="003E3F0A" w:rsidRPr="0033411C" w:rsidRDefault="003E3F0A" w:rsidP="008E05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6D2E">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F0A" w:rsidRPr="00BB4623" w:rsidRDefault="003E3F0A" w:rsidP="00EF7182">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F0A" w:rsidRDefault="003E3F0A" w:rsidP="00664C63">
      <w:pPr>
        <w:spacing w:line="240" w:lineRule="auto"/>
      </w:pPr>
      <w:r>
        <w:separator/>
      </w:r>
    </w:p>
  </w:footnote>
  <w:footnote w:type="continuationSeparator" w:id="0">
    <w:p w:rsidR="003E3F0A" w:rsidRDefault="003E3F0A"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F0A" w:rsidRPr="00BB4623" w:rsidRDefault="003E3F0A" w:rsidP="00664C63">
    <w:pPr>
      <w:rPr>
        <w:sz w:val="24"/>
      </w:rPr>
    </w:pPr>
  </w:p>
  <w:p w:rsidR="003E3F0A" w:rsidRPr="00BB4623" w:rsidRDefault="003E3F0A"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F0A" w:rsidRPr="00BB4623" w:rsidRDefault="003E3F0A" w:rsidP="00664C63">
    <w:pPr>
      <w:jc w:val="right"/>
      <w:rPr>
        <w:sz w:val="24"/>
      </w:rPr>
    </w:pPr>
    <w:r>
      <w:rPr>
        <w:noProof/>
        <w:sz w:val="24"/>
        <w:lang w:eastAsia="en-AU"/>
      </w:rPr>
      <mc:AlternateContent>
        <mc:Choice Requires="wps">
          <w:drawing>
            <wp:anchor distT="0" distB="0" distL="114300" distR="114300" simplePos="0" relativeHeight="251659264" behindDoc="1" locked="0" layoutInCell="1" allowOverlap="1" wp14:anchorId="294EFDC6" wp14:editId="566A59B6">
              <wp:simplePos x="0" y="0"/>
              <wp:positionH relativeFrom="column">
                <wp:align>center</wp:align>
              </wp:positionH>
              <wp:positionV relativeFrom="page">
                <wp:posOffset>143510</wp:posOffset>
              </wp:positionV>
              <wp:extent cx="4410075" cy="4000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E3F0A" w:rsidRPr="0033411C" w:rsidRDefault="003E3F0A" w:rsidP="003341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6D2E">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EFDC6" id="_x0000_t202" coordsize="21600,21600" o:spt="202" path="m,l,21600r21600,l21600,xe">
              <v:stroke joinstyle="miter"/>
              <v:path gradientshapeok="t" o:connecttype="rect"/>
            </v:shapetype>
            <v:shape id="Text Box 1" o:spid="_x0000_s1026" type="#_x0000_t202" style="position:absolute;left:0;text-align:left;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PpSAMAAMQ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" stroked="f">
              <v:stroke joinstyle="round"/>
              <v:path arrowok="t"/>
              <v:textbox>
                <w:txbxContent>
                  <w:p w:rsidR="003E3F0A" w:rsidRPr="0033411C" w:rsidRDefault="003E3F0A" w:rsidP="003341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6D2E">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p>
  <w:p w:rsidR="003E3F0A" w:rsidRPr="00BB4623" w:rsidRDefault="003E3F0A"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F0A" w:rsidRPr="00BB4623" w:rsidRDefault="003E3F0A"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69D43610"/>
    <w:multiLevelType w:val="hybridMultilevel"/>
    <w:tmpl w:val="8FC6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15"/>
    <w:rsid w:val="000136AF"/>
    <w:rsid w:val="00014B9A"/>
    <w:rsid w:val="00015264"/>
    <w:rsid w:val="00032C0A"/>
    <w:rsid w:val="00055D20"/>
    <w:rsid w:val="000614BF"/>
    <w:rsid w:val="00071446"/>
    <w:rsid w:val="00073C5A"/>
    <w:rsid w:val="00087033"/>
    <w:rsid w:val="00095936"/>
    <w:rsid w:val="000A2205"/>
    <w:rsid w:val="000A6F3F"/>
    <w:rsid w:val="000C41C7"/>
    <w:rsid w:val="000C74F9"/>
    <w:rsid w:val="000D05EF"/>
    <w:rsid w:val="000D3899"/>
    <w:rsid w:val="000F21C1"/>
    <w:rsid w:val="000F4126"/>
    <w:rsid w:val="001016D1"/>
    <w:rsid w:val="0010240E"/>
    <w:rsid w:val="0010242F"/>
    <w:rsid w:val="001026C1"/>
    <w:rsid w:val="00105CC1"/>
    <w:rsid w:val="0010745C"/>
    <w:rsid w:val="0011206D"/>
    <w:rsid w:val="001212EA"/>
    <w:rsid w:val="0013456F"/>
    <w:rsid w:val="00166C2F"/>
    <w:rsid w:val="00177FC7"/>
    <w:rsid w:val="00182C9A"/>
    <w:rsid w:val="0018435F"/>
    <w:rsid w:val="001939E1"/>
    <w:rsid w:val="00195382"/>
    <w:rsid w:val="001A526D"/>
    <w:rsid w:val="001A5555"/>
    <w:rsid w:val="001A6D2E"/>
    <w:rsid w:val="001B0F61"/>
    <w:rsid w:val="001C110F"/>
    <w:rsid w:val="001C69C4"/>
    <w:rsid w:val="001E3590"/>
    <w:rsid w:val="001E7407"/>
    <w:rsid w:val="0021250A"/>
    <w:rsid w:val="00222F8E"/>
    <w:rsid w:val="002277A0"/>
    <w:rsid w:val="0023185B"/>
    <w:rsid w:val="00240749"/>
    <w:rsid w:val="00290803"/>
    <w:rsid w:val="002959FE"/>
    <w:rsid w:val="00296415"/>
    <w:rsid w:val="00297ECB"/>
    <w:rsid w:val="002A71EB"/>
    <w:rsid w:val="002C085A"/>
    <w:rsid w:val="002D043A"/>
    <w:rsid w:val="002E4B44"/>
    <w:rsid w:val="002F08B3"/>
    <w:rsid w:val="00300161"/>
    <w:rsid w:val="003042FD"/>
    <w:rsid w:val="00312111"/>
    <w:rsid w:val="00313C6F"/>
    <w:rsid w:val="003301A5"/>
    <w:rsid w:val="0033411C"/>
    <w:rsid w:val="00334771"/>
    <w:rsid w:val="003415D3"/>
    <w:rsid w:val="00341757"/>
    <w:rsid w:val="00352B0F"/>
    <w:rsid w:val="00383871"/>
    <w:rsid w:val="003A66F2"/>
    <w:rsid w:val="003A7956"/>
    <w:rsid w:val="003B0F1E"/>
    <w:rsid w:val="003C1415"/>
    <w:rsid w:val="003D0317"/>
    <w:rsid w:val="003D0BFE"/>
    <w:rsid w:val="003D5700"/>
    <w:rsid w:val="003E13AB"/>
    <w:rsid w:val="003E3F0A"/>
    <w:rsid w:val="003F60D2"/>
    <w:rsid w:val="00402376"/>
    <w:rsid w:val="004043EE"/>
    <w:rsid w:val="0040616D"/>
    <w:rsid w:val="00406A02"/>
    <w:rsid w:val="004116CD"/>
    <w:rsid w:val="004168B4"/>
    <w:rsid w:val="00424CA9"/>
    <w:rsid w:val="00427D10"/>
    <w:rsid w:val="0044291A"/>
    <w:rsid w:val="004473BD"/>
    <w:rsid w:val="00491F31"/>
    <w:rsid w:val="00496F97"/>
    <w:rsid w:val="004E3680"/>
    <w:rsid w:val="005104CE"/>
    <w:rsid w:val="00516B8D"/>
    <w:rsid w:val="0052500B"/>
    <w:rsid w:val="00537FBC"/>
    <w:rsid w:val="00543850"/>
    <w:rsid w:val="00554D11"/>
    <w:rsid w:val="00560C6D"/>
    <w:rsid w:val="005821A5"/>
    <w:rsid w:val="00584052"/>
    <w:rsid w:val="00584811"/>
    <w:rsid w:val="00590B99"/>
    <w:rsid w:val="005913BE"/>
    <w:rsid w:val="00593AA6"/>
    <w:rsid w:val="00594161"/>
    <w:rsid w:val="00594749"/>
    <w:rsid w:val="005A6F34"/>
    <w:rsid w:val="005A7FC0"/>
    <w:rsid w:val="005B4067"/>
    <w:rsid w:val="005C25E1"/>
    <w:rsid w:val="005C3F41"/>
    <w:rsid w:val="005C5800"/>
    <w:rsid w:val="005D4DEA"/>
    <w:rsid w:val="005F1E8E"/>
    <w:rsid w:val="005F7587"/>
    <w:rsid w:val="00600219"/>
    <w:rsid w:val="00611C2E"/>
    <w:rsid w:val="00613366"/>
    <w:rsid w:val="00615C3F"/>
    <w:rsid w:val="00633AAF"/>
    <w:rsid w:val="006444FB"/>
    <w:rsid w:val="0065106B"/>
    <w:rsid w:val="006527A6"/>
    <w:rsid w:val="00662C1C"/>
    <w:rsid w:val="00664C63"/>
    <w:rsid w:val="00677CC2"/>
    <w:rsid w:val="00681A4A"/>
    <w:rsid w:val="0069207B"/>
    <w:rsid w:val="006A3ACE"/>
    <w:rsid w:val="006B51F1"/>
    <w:rsid w:val="006C7F8C"/>
    <w:rsid w:val="006D3764"/>
    <w:rsid w:val="006E0037"/>
    <w:rsid w:val="006E1753"/>
    <w:rsid w:val="006E37E6"/>
    <w:rsid w:val="006E55F7"/>
    <w:rsid w:val="006E7CB9"/>
    <w:rsid w:val="006F288C"/>
    <w:rsid w:val="00700B2C"/>
    <w:rsid w:val="00713084"/>
    <w:rsid w:val="007173B8"/>
    <w:rsid w:val="00717E4D"/>
    <w:rsid w:val="00731E00"/>
    <w:rsid w:val="00732A85"/>
    <w:rsid w:val="007440B7"/>
    <w:rsid w:val="0075226A"/>
    <w:rsid w:val="007627F4"/>
    <w:rsid w:val="007715C9"/>
    <w:rsid w:val="00774EDD"/>
    <w:rsid w:val="007757EC"/>
    <w:rsid w:val="007845BF"/>
    <w:rsid w:val="00784D64"/>
    <w:rsid w:val="00795FCE"/>
    <w:rsid w:val="007A659A"/>
    <w:rsid w:val="007B081F"/>
    <w:rsid w:val="007B12A6"/>
    <w:rsid w:val="007C6832"/>
    <w:rsid w:val="007E4CC8"/>
    <w:rsid w:val="007F3348"/>
    <w:rsid w:val="00830815"/>
    <w:rsid w:val="00855C8B"/>
    <w:rsid w:val="00856A31"/>
    <w:rsid w:val="00864253"/>
    <w:rsid w:val="008754D0"/>
    <w:rsid w:val="00883892"/>
    <w:rsid w:val="00890978"/>
    <w:rsid w:val="00893DDC"/>
    <w:rsid w:val="00895C04"/>
    <w:rsid w:val="008A6470"/>
    <w:rsid w:val="008A7515"/>
    <w:rsid w:val="008B0FD1"/>
    <w:rsid w:val="008B1044"/>
    <w:rsid w:val="008D0EE0"/>
    <w:rsid w:val="008E05CA"/>
    <w:rsid w:val="008F1CE7"/>
    <w:rsid w:val="00915EBC"/>
    <w:rsid w:val="00932377"/>
    <w:rsid w:val="00932FA3"/>
    <w:rsid w:val="00941AE1"/>
    <w:rsid w:val="00947E92"/>
    <w:rsid w:val="0095602D"/>
    <w:rsid w:val="009606C9"/>
    <w:rsid w:val="009620C2"/>
    <w:rsid w:val="00962D94"/>
    <w:rsid w:val="00964CEF"/>
    <w:rsid w:val="00973B6B"/>
    <w:rsid w:val="00982DA6"/>
    <w:rsid w:val="00994010"/>
    <w:rsid w:val="009A3EB3"/>
    <w:rsid w:val="009C60AE"/>
    <w:rsid w:val="009D34D5"/>
    <w:rsid w:val="009D4C5D"/>
    <w:rsid w:val="009F3434"/>
    <w:rsid w:val="009F6C7F"/>
    <w:rsid w:val="00A120DD"/>
    <w:rsid w:val="00A231E2"/>
    <w:rsid w:val="00A25627"/>
    <w:rsid w:val="00A415B9"/>
    <w:rsid w:val="00A430AF"/>
    <w:rsid w:val="00A44AAA"/>
    <w:rsid w:val="00A46216"/>
    <w:rsid w:val="00A467DC"/>
    <w:rsid w:val="00A64912"/>
    <w:rsid w:val="00A70A74"/>
    <w:rsid w:val="00A76FEE"/>
    <w:rsid w:val="00AA04BF"/>
    <w:rsid w:val="00AA5445"/>
    <w:rsid w:val="00AB4066"/>
    <w:rsid w:val="00AB5A90"/>
    <w:rsid w:val="00AD2775"/>
    <w:rsid w:val="00AD27B3"/>
    <w:rsid w:val="00AD5641"/>
    <w:rsid w:val="00AE59F7"/>
    <w:rsid w:val="00AE7BD7"/>
    <w:rsid w:val="00AF7F50"/>
    <w:rsid w:val="00B05DED"/>
    <w:rsid w:val="00B107F2"/>
    <w:rsid w:val="00B26413"/>
    <w:rsid w:val="00B30BBF"/>
    <w:rsid w:val="00B30CDE"/>
    <w:rsid w:val="00B33B3C"/>
    <w:rsid w:val="00B340B6"/>
    <w:rsid w:val="00B3608C"/>
    <w:rsid w:val="00B372A6"/>
    <w:rsid w:val="00B429C2"/>
    <w:rsid w:val="00B61C25"/>
    <w:rsid w:val="00B674D7"/>
    <w:rsid w:val="00B70E56"/>
    <w:rsid w:val="00B93C19"/>
    <w:rsid w:val="00BC30F2"/>
    <w:rsid w:val="00BC4323"/>
    <w:rsid w:val="00BC7579"/>
    <w:rsid w:val="00BD1655"/>
    <w:rsid w:val="00BD5CE8"/>
    <w:rsid w:val="00BE2959"/>
    <w:rsid w:val="00BE719A"/>
    <w:rsid w:val="00BE720A"/>
    <w:rsid w:val="00C02E13"/>
    <w:rsid w:val="00C27E3D"/>
    <w:rsid w:val="00C42BF8"/>
    <w:rsid w:val="00C50043"/>
    <w:rsid w:val="00C50430"/>
    <w:rsid w:val="00C53114"/>
    <w:rsid w:val="00C64DD4"/>
    <w:rsid w:val="00C703D3"/>
    <w:rsid w:val="00C723B9"/>
    <w:rsid w:val="00C7573B"/>
    <w:rsid w:val="00C77D10"/>
    <w:rsid w:val="00C85C2B"/>
    <w:rsid w:val="00CB0EA8"/>
    <w:rsid w:val="00CB39F1"/>
    <w:rsid w:val="00CC7A09"/>
    <w:rsid w:val="00CE243A"/>
    <w:rsid w:val="00CF0BB2"/>
    <w:rsid w:val="00CF4975"/>
    <w:rsid w:val="00CF7262"/>
    <w:rsid w:val="00D13441"/>
    <w:rsid w:val="00D3213F"/>
    <w:rsid w:val="00D374CE"/>
    <w:rsid w:val="00D40252"/>
    <w:rsid w:val="00D40FF1"/>
    <w:rsid w:val="00D70DFB"/>
    <w:rsid w:val="00D766DF"/>
    <w:rsid w:val="00D9284D"/>
    <w:rsid w:val="00DB6FA1"/>
    <w:rsid w:val="00DC6839"/>
    <w:rsid w:val="00DD314D"/>
    <w:rsid w:val="00DE2CF5"/>
    <w:rsid w:val="00DF0282"/>
    <w:rsid w:val="00E05704"/>
    <w:rsid w:val="00E1363F"/>
    <w:rsid w:val="00E5233E"/>
    <w:rsid w:val="00E54CAB"/>
    <w:rsid w:val="00E74DC7"/>
    <w:rsid w:val="00E85CB9"/>
    <w:rsid w:val="00E94998"/>
    <w:rsid w:val="00EB1EDF"/>
    <w:rsid w:val="00ED1A6C"/>
    <w:rsid w:val="00EE6DCC"/>
    <w:rsid w:val="00EF2E3A"/>
    <w:rsid w:val="00EF32E5"/>
    <w:rsid w:val="00EF7182"/>
    <w:rsid w:val="00F0132A"/>
    <w:rsid w:val="00F05CFC"/>
    <w:rsid w:val="00F0675E"/>
    <w:rsid w:val="00F078DC"/>
    <w:rsid w:val="00F5076A"/>
    <w:rsid w:val="00F56E66"/>
    <w:rsid w:val="00F71234"/>
    <w:rsid w:val="00F8103A"/>
    <w:rsid w:val="00F97AD0"/>
    <w:rsid w:val="00FA3991"/>
    <w:rsid w:val="00FC074D"/>
    <w:rsid w:val="00FC7CCB"/>
    <w:rsid w:val="00FE5128"/>
    <w:rsid w:val="00FF0CED"/>
    <w:rsid w:val="00FF1CA5"/>
    <w:rsid w:val="00FF31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22F8E"/>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22F8E"/>
  </w:style>
  <w:style w:type="paragraph" w:customStyle="1" w:styleId="OPCParaBase">
    <w:name w:val="OPCParaBase"/>
    <w:qFormat/>
    <w:rsid w:val="00222F8E"/>
    <w:pPr>
      <w:spacing w:line="260" w:lineRule="atLeast"/>
    </w:pPr>
    <w:rPr>
      <w:rFonts w:eastAsia="Times New Roman" w:cs="Times New Roman"/>
      <w:sz w:val="22"/>
      <w:lang w:eastAsia="en-AU"/>
    </w:rPr>
  </w:style>
  <w:style w:type="paragraph" w:customStyle="1" w:styleId="ShortT">
    <w:name w:val="ShortT"/>
    <w:basedOn w:val="OPCParaBase"/>
    <w:next w:val="Normal"/>
    <w:qFormat/>
    <w:rsid w:val="00222F8E"/>
    <w:pPr>
      <w:spacing w:line="240" w:lineRule="auto"/>
    </w:pPr>
    <w:rPr>
      <w:b/>
      <w:sz w:val="40"/>
    </w:rPr>
  </w:style>
  <w:style w:type="paragraph" w:customStyle="1" w:styleId="ActHead1">
    <w:name w:val="ActHead 1"/>
    <w:aliases w:val="c"/>
    <w:basedOn w:val="OPCParaBase"/>
    <w:next w:val="Normal"/>
    <w:qFormat/>
    <w:rsid w:val="00222F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2F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2F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2F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22F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2F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2F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22F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2F8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22F8E"/>
  </w:style>
  <w:style w:type="paragraph" w:customStyle="1" w:styleId="Blocks">
    <w:name w:val="Blocks"/>
    <w:aliases w:val="bb"/>
    <w:basedOn w:val="OPCParaBase"/>
    <w:qFormat/>
    <w:rsid w:val="00222F8E"/>
    <w:pPr>
      <w:spacing w:line="240" w:lineRule="auto"/>
    </w:pPr>
    <w:rPr>
      <w:sz w:val="24"/>
    </w:rPr>
  </w:style>
  <w:style w:type="paragraph" w:customStyle="1" w:styleId="BoxText">
    <w:name w:val="BoxText"/>
    <w:aliases w:val="bt"/>
    <w:basedOn w:val="OPCParaBase"/>
    <w:qFormat/>
    <w:rsid w:val="00222F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22F8E"/>
    <w:rPr>
      <w:b/>
    </w:rPr>
  </w:style>
  <w:style w:type="paragraph" w:customStyle="1" w:styleId="BoxHeadItalic">
    <w:name w:val="BoxHeadItalic"/>
    <w:aliases w:val="bhi"/>
    <w:basedOn w:val="BoxText"/>
    <w:next w:val="BoxStep"/>
    <w:qFormat/>
    <w:rsid w:val="00222F8E"/>
    <w:rPr>
      <w:i/>
    </w:rPr>
  </w:style>
  <w:style w:type="paragraph" w:customStyle="1" w:styleId="BoxList">
    <w:name w:val="BoxList"/>
    <w:aliases w:val="bl"/>
    <w:basedOn w:val="BoxText"/>
    <w:qFormat/>
    <w:rsid w:val="00222F8E"/>
    <w:pPr>
      <w:ind w:left="1559" w:hanging="425"/>
    </w:pPr>
  </w:style>
  <w:style w:type="paragraph" w:customStyle="1" w:styleId="BoxNote">
    <w:name w:val="BoxNote"/>
    <w:aliases w:val="bn"/>
    <w:basedOn w:val="BoxText"/>
    <w:qFormat/>
    <w:rsid w:val="00222F8E"/>
    <w:pPr>
      <w:tabs>
        <w:tab w:val="left" w:pos="1985"/>
      </w:tabs>
      <w:spacing w:before="122" w:line="198" w:lineRule="exact"/>
      <w:ind w:left="2948" w:hanging="1814"/>
    </w:pPr>
    <w:rPr>
      <w:sz w:val="18"/>
    </w:rPr>
  </w:style>
  <w:style w:type="paragraph" w:customStyle="1" w:styleId="BoxPara">
    <w:name w:val="BoxPara"/>
    <w:aliases w:val="bp"/>
    <w:basedOn w:val="BoxText"/>
    <w:qFormat/>
    <w:rsid w:val="00222F8E"/>
    <w:pPr>
      <w:tabs>
        <w:tab w:val="right" w:pos="2268"/>
      </w:tabs>
      <w:ind w:left="2552" w:hanging="1418"/>
    </w:pPr>
  </w:style>
  <w:style w:type="paragraph" w:customStyle="1" w:styleId="BoxStep">
    <w:name w:val="BoxStep"/>
    <w:aliases w:val="bs"/>
    <w:basedOn w:val="BoxText"/>
    <w:qFormat/>
    <w:rsid w:val="00222F8E"/>
    <w:pPr>
      <w:ind w:left="1985" w:hanging="851"/>
    </w:pPr>
  </w:style>
  <w:style w:type="character" w:customStyle="1" w:styleId="CharAmPartNo">
    <w:name w:val="CharAmPartNo"/>
    <w:basedOn w:val="OPCCharBase"/>
    <w:qFormat/>
    <w:rsid w:val="00222F8E"/>
  </w:style>
  <w:style w:type="character" w:customStyle="1" w:styleId="CharAmPartText">
    <w:name w:val="CharAmPartText"/>
    <w:basedOn w:val="OPCCharBase"/>
    <w:qFormat/>
    <w:rsid w:val="00222F8E"/>
  </w:style>
  <w:style w:type="character" w:customStyle="1" w:styleId="CharAmSchNo">
    <w:name w:val="CharAmSchNo"/>
    <w:basedOn w:val="OPCCharBase"/>
    <w:qFormat/>
    <w:rsid w:val="00222F8E"/>
  </w:style>
  <w:style w:type="character" w:customStyle="1" w:styleId="CharAmSchText">
    <w:name w:val="CharAmSchText"/>
    <w:basedOn w:val="OPCCharBase"/>
    <w:qFormat/>
    <w:rsid w:val="00222F8E"/>
  </w:style>
  <w:style w:type="character" w:customStyle="1" w:styleId="CharBoldItalic">
    <w:name w:val="CharBoldItalic"/>
    <w:basedOn w:val="OPCCharBase"/>
    <w:uiPriority w:val="1"/>
    <w:qFormat/>
    <w:rsid w:val="00222F8E"/>
    <w:rPr>
      <w:b/>
      <w:i/>
    </w:rPr>
  </w:style>
  <w:style w:type="character" w:customStyle="1" w:styleId="CharChapNo">
    <w:name w:val="CharChapNo"/>
    <w:basedOn w:val="OPCCharBase"/>
    <w:uiPriority w:val="1"/>
    <w:qFormat/>
    <w:rsid w:val="00222F8E"/>
  </w:style>
  <w:style w:type="character" w:customStyle="1" w:styleId="CharChapText">
    <w:name w:val="CharChapText"/>
    <w:basedOn w:val="OPCCharBase"/>
    <w:uiPriority w:val="1"/>
    <w:qFormat/>
    <w:rsid w:val="00222F8E"/>
  </w:style>
  <w:style w:type="character" w:customStyle="1" w:styleId="CharDivNo">
    <w:name w:val="CharDivNo"/>
    <w:basedOn w:val="OPCCharBase"/>
    <w:uiPriority w:val="1"/>
    <w:qFormat/>
    <w:rsid w:val="00222F8E"/>
  </w:style>
  <w:style w:type="character" w:customStyle="1" w:styleId="CharDivText">
    <w:name w:val="CharDivText"/>
    <w:basedOn w:val="OPCCharBase"/>
    <w:uiPriority w:val="1"/>
    <w:qFormat/>
    <w:rsid w:val="00222F8E"/>
  </w:style>
  <w:style w:type="character" w:customStyle="1" w:styleId="CharItalic">
    <w:name w:val="CharItalic"/>
    <w:basedOn w:val="OPCCharBase"/>
    <w:uiPriority w:val="1"/>
    <w:qFormat/>
    <w:rsid w:val="00222F8E"/>
    <w:rPr>
      <w:i/>
    </w:rPr>
  </w:style>
  <w:style w:type="character" w:customStyle="1" w:styleId="CharPartNo">
    <w:name w:val="CharPartNo"/>
    <w:basedOn w:val="OPCCharBase"/>
    <w:uiPriority w:val="1"/>
    <w:qFormat/>
    <w:rsid w:val="00222F8E"/>
  </w:style>
  <w:style w:type="character" w:customStyle="1" w:styleId="CharPartText">
    <w:name w:val="CharPartText"/>
    <w:basedOn w:val="OPCCharBase"/>
    <w:uiPriority w:val="1"/>
    <w:qFormat/>
    <w:rsid w:val="00222F8E"/>
  </w:style>
  <w:style w:type="character" w:customStyle="1" w:styleId="CharSectno">
    <w:name w:val="CharSectno"/>
    <w:basedOn w:val="OPCCharBase"/>
    <w:qFormat/>
    <w:rsid w:val="00222F8E"/>
  </w:style>
  <w:style w:type="character" w:customStyle="1" w:styleId="CharSubdNo">
    <w:name w:val="CharSubdNo"/>
    <w:basedOn w:val="OPCCharBase"/>
    <w:uiPriority w:val="1"/>
    <w:qFormat/>
    <w:rsid w:val="00222F8E"/>
  </w:style>
  <w:style w:type="character" w:customStyle="1" w:styleId="CharSubdText">
    <w:name w:val="CharSubdText"/>
    <w:basedOn w:val="OPCCharBase"/>
    <w:uiPriority w:val="1"/>
    <w:qFormat/>
    <w:rsid w:val="00222F8E"/>
  </w:style>
  <w:style w:type="paragraph" w:customStyle="1" w:styleId="CTA--">
    <w:name w:val="CTA --"/>
    <w:basedOn w:val="OPCParaBase"/>
    <w:next w:val="Normal"/>
    <w:rsid w:val="00222F8E"/>
    <w:pPr>
      <w:spacing w:before="60" w:line="240" w:lineRule="atLeast"/>
      <w:ind w:left="142" w:hanging="142"/>
    </w:pPr>
    <w:rPr>
      <w:sz w:val="20"/>
    </w:rPr>
  </w:style>
  <w:style w:type="paragraph" w:customStyle="1" w:styleId="CTA-">
    <w:name w:val="CTA -"/>
    <w:basedOn w:val="OPCParaBase"/>
    <w:rsid w:val="00222F8E"/>
    <w:pPr>
      <w:spacing w:before="60" w:line="240" w:lineRule="atLeast"/>
      <w:ind w:left="85" w:hanging="85"/>
    </w:pPr>
    <w:rPr>
      <w:sz w:val="20"/>
    </w:rPr>
  </w:style>
  <w:style w:type="paragraph" w:customStyle="1" w:styleId="CTA---">
    <w:name w:val="CTA ---"/>
    <w:basedOn w:val="OPCParaBase"/>
    <w:next w:val="Normal"/>
    <w:rsid w:val="00222F8E"/>
    <w:pPr>
      <w:spacing w:before="60" w:line="240" w:lineRule="atLeast"/>
      <w:ind w:left="198" w:hanging="198"/>
    </w:pPr>
    <w:rPr>
      <w:sz w:val="20"/>
    </w:rPr>
  </w:style>
  <w:style w:type="paragraph" w:customStyle="1" w:styleId="CTA----">
    <w:name w:val="CTA ----"/>
    <w:basedOn w:val="OPCParaBase"/>
    <w:next w:val="Normal"/>
    <w:rsid w:val="00222F8E"/>
    <w:pPr>
      <w:spacing w:before="60" w:line="240" w:lineRule="atLeast"/>
      <w:ind w:left="255" w:hanging="255"/>
    </w:pPr>
    <w:rPr>
      <w:sz w:val="20"/>
    </w:rPr>
  </w:style>
  <w:style w:type="paragraph" w:customStyle="1" w:styleId="CTA1a">
    <w:name w:val="CTA 1(a)"/>
    <w:basedOn w:val="OPCParaBase"/>
    <w:rsid w:val="00222F8E"/>
    <w:pPr>
      <w:tabs>
        <w:tab w:val="right" w:pos="414"/>
      </w:tabs>
      <w:spacing w:before="40" w:line="240" w:lineRule="atLeast"/>
      <w:ind w:left="675" w:hanging="675"/>
    </w:pPr>
    <w:rPr>
      <w:sz w:val="20"/>
    </w:rPr>
  </w:style>
  <w:style w:type="paragraph" w:customStyle="1" w:styleId="CTA1ai">
    <w:name w:val="CTA 1(a)(i)"/>
    <w:basedOn w:val="OPCParaBase"/>
    <w:rsid w:val="00222F8E"/>
    <w:pPr>
      <w:tabs>
        <w:tab w:val="right" w:pos="1004"/>
      </w:tabs>
      <w:spacing w:before="40" w:line="240" w:lineRule="atLeast"/>
      <w:ind w:left="1253" w:hanging="1253"/>
    </w:pPr>
    <w:rPr>
      <w:sz w:val="20"/>
    </w:rPr>
  </w:style>
  <w:style w:type="paragraph" w:customStyle="1" w:styleId="CTA2a">
    <w:name w:val="CTA 2(a)"/>
    <w:basedOn w:val="OPCParaBase"/>
    <w:rsid w:val="00222F8E"/>
    <w:pPr>
      <w:tabs>
        <w:tab w:val="right" w:pos="482"/>
      </w:tabs>
      <w:spacing w:before="40" w:line="240" w:lineRule="atLeast"/>
      <w:ind w:left="748" w:hanging="748"/>
    </w:pPr>
    <w:rPr>
      <w:sz w:val="20"/>
    </w:rPr>
  </w:style>
  <w:style w:type="paragraph" w:customStyle="1" w:styleId="CTA2ai">
    <w:name w:val="CTA 2(a)(i)"/>
    <w:basedOn w:val="OPCParaBase"/>
    <w:rsid w:val="00222F8E"/>
    <w:pPr>
      <w:tabs>
        <w:tab w:val="right" w:pos="1089"/>
      </w:tabs>
      <w:spacing w:before="40" w:line="240" w:lineRule="atLeast"/>
      <w:ind w:left="1327" w:hanging="1327"/>
    </w:pPr>
    <w:rPr>
      <w:sz w:val="20"/>
    </w:rPr>
  </w:style>
  <w:style w:type="paragraph" w:customStyle="1" w:styleId="CTA3a">
    <w:name w:val="CTA 3(a)"/>
    <w:basedOn w:val="OPCParaBase"/>
    <w:rsid w:val="00222F8E"/>
    <w:pPr>
      <w:tabs>
        <w:tab w:val="right" w:pos="556"/>
      </w:tabs>
      <w:spacing w:before="40" w:line="240" w:lineRule="atLeast"/>
      <w:ind w:left="805" w:hanging="805"/>
    </w:pPr>
    <w:rPr>
      <w:sz w:val="20"/>
    </w:rPr>
  </w:style>
  <w:style w:type="paragraph" w:customStyle="1" w:styleId="CTA3ai">
    <w:name w:val="CTA 3(a)(i)"/>
    <w:basedOn w:val="OPCParaBase"/>
    <w:rsid w:val="00222F8E"/>
    <w:pPr>
      <w:tabs>
        <w:tab w:val="right" w:pos="1140"/>
      </w:tabs>
      <w:spacing w:before="40" w:line="240" w:lineRule="atLeast"/>
      <w:ind w:left="1361" w:hanging="1361"/>
    </w:pPr>
    <w:rPr>
      <w:sz w:val="20"/>
    </w:rPr>
  </w:style>
  <w:style w:type="paragraph" w:customStyle="1" w:styleId="CTA4a">
    <w:name w:val="CTA 4(a)"/>
    <w:basedOn w:val="OPCParaBase"/>
    <w:rsid w:val="00222F8E"/>
    <w:pPr>
      <w:tabs>
        <w:tab w:val="right" w:pos="624"/>
      </w:tabs>
      <w:spacing w:before="40" w:line="240" w:lineRule="atLeast"/>
      <w:ind w:left="873" w:hanging="873"/>
    </w:pPr>
    <w:rPr>
      <w:sz w:val="20"/>
    </w:rPr>
  </w:style>
  <w:style w:type="paragraph" w:customStyle="1" w:styleId="CTA4ai">
    <w:name w:val="CTA 4(a)(i)"/>
    <w:basedOn w:val="OPCParaBase"/>
    <w:rsid w:val="00222F8E"/>
    <w:pPr>
      <w:tabs>
        <w:tab w:val="right" w:pos="1213"/>
      </w:tabs>
      <w:spacing w:before="40" w:line="240" w:lineRule="atLeast"/>
      <w:ind w:left="1452" w:hanging="1452"/>
    </w:pPr>
    <w:rPr>
      <w:sz w:val="20"/>
    </w:rPr>
  </w:style>
  <w:style w:type="paragraph" w:customStyle="1" w:styleId="CTACAPS">
    <w:name w:val="CTA CAPS"/>
    <w:basedOn w:val="OPCParaBase"/>
    <w:rsid w:val="00222F8E"/>
    <w:pPr>
      <w:spacing w:before="60" w:line="240" w:lineRule="atLeast"/>
    </w:pPr>
    <w:rPr>
      <w:sz w:val="20"/>
    </w:rPr>
  </w:style>
  <w:style w:type="paragraph" w:customStyle="1" w:styleId="CTAright">
    <w:name w:val="CTA right"/>
    <w:basedOn w:val="OPCParaBase"/>
    <w:rsid w:val="00222F8E"/>
    <w:pPr>
      <w:spacing w:before="60" w:line="240" w:lineRule="auto"/>
      <w:jc w:val="right"/>
    </w:pPr>
    <w:rPr>
      <w:sz w:val="20"/>
    </w:rPr>
  </w:style>
  <w:style w:type="paragraph" w:customStyle="1" w:styleId="subsection">
    <w:name w:val="subsection"/>
    <w:aliases w:val="ss"/>
    <w:basedOn w:val="OPCParaBase"/>
    <w:link w:val="subsectionChar"/>
    <w:rsid w:val="00222F8E"/>
    <w:pPr>
      <w:tabs>
        <w:tab w:val="right" w:pos="1021"/>
      </w:tabs>
      <w:spacing w:before="180" w:line="240" w:lineRule="auto"/>
      <w:ind w:left="1134" w:hanging="1134"/>
    </w:pPr>
  </w:style>
  <w:style w:type="paragraph" w:customStyle="1" w:styleId="Definition">
    <w:name w:val="Definition"/>
    <w:aliases w:val="dd"/>
    <w:basedOn w:val="OPCParaBase"/>
    <w:rsid w:val="00222F8E"/>
    <w:pPr>
      <w:spacing w:before="180" w:line="240" w:lineRule="auto"/>
      <w:ind w:left="1134"/>
    </w:pPr>
  </w:style>
  <w:style w:type="paragraph" w:customStyle="1" w:styleId="ETAsubitem">
    <w:name w:val="ETA(subitem)"/>
    <w:basedOn w:val="OPCParaBase"/>
    <w:rsid w:val="00222F8E"/>
    <w:pPr>
      <w:tabs>
        <w:tab w:val="right" w:pos="340"/>
      </w:tabs>
      <w:spacing w:before="60" w:line="240" w:lineRule="auto"/>
      <w:ind w:left="454" w:hanging="454"/>
    </w:pPr>
    <w:rPr>
      <w:sz w:val="20"/>
    </w:rPr>
  </w:style>
  <w:style w:type="paragraph" w:customStyle="1" w:styleId="ETApara">
    <w:name w:val="ETA(para)"/>
    <w:basedOn w:val="OPCParaBase"/>
    <w:rsid w:val="00222F8E"/>
    <w:pPr>
      <w:tabs>
        <w:tab w:val="right" w:pos="754"/>
      </w:tabs>
      <w:spacing w:before="60" w:line="240" w:lineRule="auto"/>
      <w:ind w:left="828" w:hanging="828"/>
    </w:pPr>
    <w:rPr>
      <w:sz w:val="20"/>
    </w:rPr>
  </w:style>
  <w:style w:type="paragraph" w:customStyle="1" w:styleId="ETAsubpara">
    <w:name w:val="ETA(subpara)"/>
    <w:basedOn w:val="OPCParaBase"/>
    <w:rsid w:val="00222F8E"/>
    <w:pPr>
      <w:tabs>
        <w:tab w:val="right" w:pos="1083"/>
      </w:tabs>
      <w:spacing w:before="60" w:line="240" w:lineRule="auto"/>
      <w:ind w:left="1191" w:hanging="1191"/>
    </w:pPr>
    <w:rPr>
      <w:sz w:val="20"/>
    </w:rPr>
  </w:style>
  <w:style w:type="paragraph" w:customStyle="1" w:styleId="ETAsub-subpara">
    <w:name w:val="ETA(sub-subpara)"/>
    <w:basedOn w:val="OPCParaBase"/>
    <w:rsid w:val="00222F8E"/>
    <w:pPr>
      <w:tabs>
        <w:tab w:val="right" w:pos="1412"/>
      </w:tabs>
      <w:spacing w:before="60" w:line="240" w:lineRule="auto"/>
      <w:ind w:left="1525" w:hanging="1525"/>
    </w:pPr>
    <w:rPr>
      <w:sz w:val="20"/>
    </w:rPr>
  </w:style>
  <w:style w:type="paragraph" w:customStyle="1" w:styleId="Formula">
    <w:name w:val="Formula"/>
    <w:basedOn w:val="OPCParaBase"/>
    <w:rsid w:val="00222F8E"/>
    <w:pPr>
      <w:spacing w:line="240" w:lineRule="auto"/>
      <w:ind w:left="1134"/>
    </w:pPr>
    <w:rPr>
      <w:sz w:val="20"/>
    </w:rPr>
  </w:style>
  <w:style w:type="paragraph" w:styleId="Header">
    <w:name w:val="header"/>
    <w:basedOn w:val="OPCParaBase"/>
    <w:link w:val="HeaderChar"/>
    <w:unhideWhenUsed/>
    <w:rsid w:val="00222F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22F8E"/>
    <w:rPr>
      <w:rFonts w:eastAsia="Times New Roman" w:cs="Times New Roman"/>
      <w:sz w:val="16"/>
      <w:lang w:eastAsia="en-AU"/>
    </w:rPr>
  </w:style>
  <w:style w:type="paragraph" w:customStyle="1" w:styleId="House">
    <w:name w:val="House"/>
    <w:basedOn w:val="OPCParaBase"/>
    <w:rsid w:val="00222F8E"/>
    <w:pPr>
      <w:spacing w:line="240" w:lineRule="auto"/>
    </w:pPr>
    <w:rPr>
      <w:sz w:val="28"/>
    </w:rPr>
  </w:style>
  <w:style w:type="paragraph" w:customStyle="1" w:styleId="Item">
    <w:name w:val="Item"/>
    <w:aliases w:val="i"/>
    <w:basedOn w:val="OPCParaBase"/>
    <w:next w:val="ItemHead"/>
    <w:rsid w:val="00222F8E"/>
    <w:pPr>
      <w:keepLines/>
      <w:spacing w:before="80" w:line="240" w:lineRule="auto"/>
      <w:ind w:left="709"/>
    </w:pPr>
  </w:style>
  <w:style w:type="paragraph" w:customStyle="1" w:styleId="ItemHead">
    <w:name w:val="ItemHead"/>
    <w:aliases w:val="ih"/>
    <w:basedOn w:val="OPCParaBase"/>
    <w:next w:val="Item"/>
    <w:rsid w:val="00222F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22F8E"/>
    <w:pPr>
      <w:spacing w:line="240" w:lineRule="auto"/>
    </w:pPr>
    <w:rPr>
      <w:b/>
      <w:sz w:val="32"/>
    </w:rPr>
  </w:style>
  <w:style w:type="paragraph" w:customStyle="1" w:styleId="notedraft">
    <w:name w:val="note(draft)"/>
    <w:aliases w:val="nd"/>
    <w:basedOn w:val="OPCParaBase"/>
    <w:rsid w:val="00222F8E"/>
    <w:pPr>
      <w:spacing w:before="240" w:line="240" w:lineRule="auto"/>
      <w:ind w:left="284" w:hanging="284"/>
    </w:pPr>
    <w:rPr>
      <w:i/>
      <w:sz w:val="24"/>
    </w:rPr>
  </w:style>
  <w:style w:type="paragraph" w:customStyle="1" w:styleId="notemargin">
    <w:name w:val="note(margin)"/>
    <w:aliases w:val="nm"/>
    <w:basedOn w:val="OPCParaBase"/>
    <w:rsid w:val="00222F8E"/>
    <w:pPr>
      <w:tabs>
        <w:tab w:val="left" w:pos="709"/>
      </w:tabs>
      <w:spacing w:before="122" w:line="198" w:lineRule="exact"/>
      <w:ind w:left="709" w:hanging="709"/>
    </w:pPr>
    <w:rPr>
      <w:sz w:val="18"/>
    </w:rPr>
  </w:style>
  <w:style w:type="paragraph" w:customStyle="1" w:styleId="noteToPara">
    <w:name w:val="noteToPara"/>
    <w:aliases w:val="ntp"/>
    <w:basedOn w:val="OPCParaBase"/>
    <w:rsid w:val="00222F8E"/>
    <w:pPr>
      <w:spacing w:before="122" w:line="198" w:lineRule="exact"/>
      <w:ind w:left="2353" w:hanging="709"/>
    </w:pPr>
    <w:rPr>
      <w:sz w:val="18"/>
    </w:rPr>
  </w:style>
  <w:style w:type="paragraph" w:customStyle="1" w:styleId="noteParlAmend">
    <w:name w:val="note(ParlAmend)"/>
    <w:aliases w:val="npp"/>
    <w:basedOn w:val="OPCParaBase"/>
    <w:next w:val="ParlAmend"/>
    <w:rsid w:val="00222F8E"/>
    <w:pPr>
      <w:spacing w:line="240" w:lineRule="auto"/>
      <w:jc w:val="right"/>
    </w:pPr>
    <w:rPr>
      <w:rFonts w:ascii="Arial" w:hAnsi="Arial"/>
      <w:b/>
      <w:i/>
    </w:rPr>
  </w:style>
  <w:style w:type="paragraph" w:customStyle="1" w:styleId="Page1">
    <w:name w:val="Page1"/>
    <w:basedOn w:val="OPCParaBase"/>
    <w:rsid w:val="00222F8E"/>
    <w:pPr>
      <w:spacing w:before="5600" w:line="240" w:lineRule="auto"/>
    </w:pPr>
    <w:rPr>
      <w:b/>
      <w:sz w:val="32"/>
    </w:rPr>
  </w:style>
  <w:style w:type="paragraph" w:customStyle="1" w:styleId="PageBreak">
    <w:name w:val="PageBreak"/>
    <w:aliases w:val="pb"/>
    <w:basedOn w:val="OPCParaBase"/>
    <w:rsid w:val="00222F8E"/>
    <w:pPr>
      <w:spacing w:line="240" w:lineRule="auto"/>
    </w:pPr>
    <w:rPr>
      <w:sz w:val="20"/>
    </w:rPr>
  </w:style>
  <w:style w:type="paragraph" w:customStyle="1" w:styleId="paragraphsub">
    <w:name w:val="paragraph(sub)"/>
    <w:aliases w:val="aa"/>
    <w:basedOn w:val="OPCParaBase"/>
    <w:rsid w:val="00222F8E"/>
    <w:pPr>
      <w:tabs>
        <w:tab w:val="right" w:pos="1985"/>
      </w:tabs>
      <w:spacing w:before="40" w:line="240" w:lineRule="auto"/>
      <w:ind w:left="2098" w:hanging="2098"/>
    </w:pPr>
  </w:style>
  <w:style w:type="paragraph" w:customStyle="1" w:styleId="paragraphsub-sub">
    <w:name w:val="paragraph(sub-sub)"/>
    <w:aliases w:val="aaa"/>
    <w:basedOn w:val="OPCParaBase"/>
    <w:rsid w:val="00222F8E"/>
    <w:pPr>
      <w:tabs>
        <w:tab w:val="right" w:pos="2722"/>
      </w:tabs>
      <w:spacing w:before="40" w:line="240" w:lineRule="auto"/>
      <w:ind w:left="2835" w:hanging="2835"/>
    </w:pPr>
  </w:style>
  <w:style w:type="paragraph" w:customStyle="1" w:styleId="paragraph">
    <w:name w:val="paragraph"/>
    <w:aliases w:val="a"/>
    <w:basedOn w:val="OPCParaBase"/>
    <w:link w:val="paragraphChar"/>
    <w:rsid w:val="00222F8E"/>
    <w:pPr>
      <w:tabs>
        <w:tab w:val="right" w:pos="1531"/>
      </w:tabs>
      <w:spacing w:before="40" w:line="240" w:lineRule="auto"/>
      <w:ind w:left="1644" w:hanging="1644"/>
    </w:pPr>
  </w:style>
  <w:style w:type="paragraph" w:customStyle="1" w:styleId="ParlAmend">
    <w:name w:val="ParlAmend"/>
    <w:aliases w:val="pp"/>
    <w:basedOn w:val="OPCParaBase"/>
    <w:rsid w:val="00222F8E"/>
    <w:pPr>
      <w:spacing w:before="240" w:line="240" w:lineRule="atLeast"/>
      <w:ind w:hanging="567"/>
    </w:pPr>
    <w:rPr>
      <w:sz w:val="24"/>
    </w:rPr>
  </w:style>
  <w:style w:type="paragraph" w:customStyle="1" w:styleId="Penalty">
    <w:name w:val="Penalty"/>
    <w:basedOn w:val="OPCParaBase"/>
    <w:rsid w:val="00222F8E"/>
    <w:pPr>
      <w:tabs>
        <w:tab w:val="left" w:pos="2977"/>
      </w:tabs>
      <w:spacing w:before="180" w:line="240" w:lineRule="auto"/>
      <w:ind w:left="1985" w:hanging="851"/>
    </w:pPr>
  </w:style>
  <w:style w:type="paragraph" w:customStyle="1" w:styleId="Portfolio">
    <w:name w:val="Portfolio"/>
    <w:basedOn w:val="OPCParaBase"/>
    <w:rsid w:val="00222F8E"/>
    <w:pPr>
      <w:spacing w:line="240" w:lineRule="auto"/>
    </w:pPr>
    <w:rPr>
      <w:i/>
      <w:sz w:val="20"/>
    </w:rPr>
  </w:style>
  <w:style w:type="paragraph" w:customStyle="1" w:styleId="Preamble">
    <w:name w:val="Preamble"/>
    <w:basedOn w:val="OPCParaBase"/>
    <w:next w:val="Normal"/>
    <w:rsid w:val="00222F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22F8E"/>
    <w:pPr>
      <w:spacing w:line="240" w:lineRule="auto"/>
    </w:pPr>
    <w:rPr>
      <w:i/>
      <w:sz w:val="20"/>
    </w:rPr>
  </w:style>
  <w:style w:type="paragraph" w:customStyle="1" w:styleId="Session">
    <w:name w:val="Session"/>
    <w:basedOn w:val="OPCParaBase"/>
    <w:rsid w:val="00222F8E"/>
    <w:pPr>
      <w:spacing w:line="240" w:lineRule="auto"/>
    </w:pPr>
    <w:rPr>
      <w:sz w:val="28"/>
    </w:rPr>
  </w:style>
  <w:style w:type="paragraph" w:customStyle="1" w:styleId="Sponsor">
    <w:name w:val="Sponsor"/>
    <w:basedOn w:val="OPCParaBase"/>
    <w:rsid w:val="00222F8E"/>
    <w:pPr>
      <w:spacing w:line="240" w:lineRule="auto"/>
    </w:pPr>
    <w:rPr>
      <w:i/>
    </w:rPr>
  </w:style>
  <w:style w:type="paragraph" w:customStyle="1" w:styleId="Subitem">
    <w:name w:val="Subitem"/>
    <w:aliases w:val="iss"/>
    <w:basedOn w:val="OPCParaBase"/>
    <w:rsid w:val="00222F8E"/>
    <w:pPr>
      <w:spacing w:before="180" w:line="240" w:lineRule="auto"/>
      <w:ind w:left="709" w:hanging="709"/>
    </w:pPr>
  </w:style>
  <w:style w:type="paragraph" w:customStyle="1" w:styleId="SubitemHead">
    <w:name w:val="SubitemHead"/>
    <w:aliases w:val="issh"/>
    <w:basedOn w:val="OPCParaBase"/>
    <w:rsid w:val="00222F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2F8E"/>
    <w:pPr>
      <w:spacing w:before="40" w:line="240" w:lineRule="auto"/>
      <w:ind w:left="1134"/>
    </w:pPr>
  </w:style>
  <w:style w:type="paragraph" w:customStyle="1" w:styleId="SubsectionHead">
    <w:name w:val="SubsectionHead"/>
    <w:aliases w:val="ssh"/>
    <w:basedOn w:val="OPCParaBase"/>
    <w:next w:val="subsection"/>
    <w:rsid w:val="00222F8E"/>
    <w:pPr>
      <w:keepNext/>
      <w:keepLines/>
      <w:spacing w:before="240" w:line="240" w:lineRule="auto"/>
      <w:ind w:left="1134"/>
    </w:pPr>
    <w:rPr>
      <w:i/>
    </w:rPr>
  </w:style>
  <w:style w:type="paragraph" w:customStyle="1" w:styleId="Tablea">
    <w:name w:val="Table(a)"/>
    <w:aliases w:val="ta"/>
    <w:basedOn w:val="OPCParaBase"/>
    <w:rsid w:val="00222F8E"/>
    <w:pPr>
      <w:spacing w:before="60" w:line="240" w:lineRule="auto"/>
      <w:ind w:left="284" w:hanging="284"/>
    </w:pPr>
    <w:rPr>
      <w:sz w:val="20"/>
    </w:rPr>
  </w:style>
  <w:style w:type="paragraph" w:customStyle="1" w:styleId="TableAA">
    <w:name w:val="Table(AA)"/>
    <w:aliases w:val="taaa"/>
    <w:basedOn w:val="OPCParaBase"/>
    <w:rsid w:val="00222F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22F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222F8E"/>
    <w:pPr>
      <w:spacing w:before="60" w:line="240" w:lineRule="atLeast"/>
    </w:pPr>
    <w:rPr>
      <w:sz w:val="20"/>
    </w:rPr>
  </w:style>
  <w:style w:type="paragraph" w:customStyle="1" w:styleId="TLPBoxTextnote">
    <w:name w:val="TLPBoxText(note"/>
    <w:aliases w:val="right)"/>
    <w:basedOn w:val="OPCParaBase"/>
    <w:rsid w:val="00222F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2F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22F8E"/>
    <w:pPr>
      <w:spacing w:before="122" w:line="198" w:lineRule="exact"/>
      <w:ind w:left="1985" w:hanging="851"/>
      <w:jc w:val="right"/>
    </w:pPr>
    <w:rPr>
      <w:sz w:val="18"/>
    </w:rPr>
  </w:style>
  <w:style w:type="paragraph" w:customStyle="1" w:styleId="TLPTableBullet">
    <w:name w:val="TLPTableBullet"/>
    <w:aliases w:val="ttb"/>
    <w:basedOn w:val="OPCParaBase"/>
    <w:rsid w:val="00222F8E"/>
    <w:pPr>
      <w:spacing w:line="240" w:lineRule="exact"/>
      <w:ind w:left="284" w:hanging="284"/>
    </w:pPr>
    <w:rPr>
      <w:sz w:val="20"/>
    </w:rPr>
  </w:style>
  <w:style w:type="paragraph" w:styleId="TOC1">
    <w:name w:val="toc 1"/>
    <w:basedOn w:val="OPCParaBase"/>
    <w:next w:val="Normal"/>
    <w:uiPriority w:val="39"/>
    <w:semiHidden/>
    <w:unhideWhenUsed/>
    <w:rsid w:val="00222F8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22F8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22F8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22F8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22F8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22F8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22F8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22F8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22F8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22F8E"/>
    <w:pPr>
      <w:keepLines/>
      <w:spacing w:before="240" w:after="120" w:line="240" w:lineRule="auto"/>
      <w:ind w:left="794"/>
    </w:pPr>
    <w:rPr>
      <w:b/>
      <w:kern w:val="28"/>
      <w:sz w:val="20"/>
    </w:rPr>
  </w:style>
  <w:style w:type="paragraph" w:customStyle="1" w:styleId="TofSectsHeading">
    <w:name w:val="TofSects(Heading)"/>
    <w:basedOn w:val="OPCParaBase"/>
    <w:rsid w:val="00222F8E"/>
    <w:pPr>
      <w:spacing w:before="240" w:after="120" w:line="240" w:lineRule="auto"/>
    </w:pPr>
    <w:rPr>
      <w:b/>
      <w:sz w:val="24"/>
    </w:rPr>
  </w:style>
  <w:style w:type="paragraph" w:customStyle="1" w:styleId="TofSectsSection">
    <w:name w:val="TofSects(Section)"/>
    <w:basedOn w:val="OPCParaBase"/>
    <w:rsid w:val="00222F8E"/>
    <w:pPr>
      <w:keepLines/>
      <w:spacing w:before="40" w:line="240" w:lineRule="auto"/>
      <w:ind w:left="1588" w:hanging="794"/>
    </w:pPr>
    <w:rPr>
      <w:kern w:val="28"/>
      <w:sz w:val="18"/>
    </w:rPr>
  </w:style>
  <w:style w:type="paragraph" w:customStyle="1" w:styleId="TofSectsSubdiv">
    <w:name w:val="TofSects(Subdiv)"/>
    <w:basedOn w:val="OPCParaBase"/>
    <w:rsid w:val="00222F8E"/>
    <w:pPr>
      <w:keepLines/>
      <w:spacing w:before="80" w:line="240" w:lineRule="auto"/>
      <w:ind w:left="1588" w:hanging="794"/>
    </w:pPr>
    <w:rPr>
      <w:kern w:val="28"/>
    </w:rPr>
  </w:style>
  <w:style w:type="paragraph" w:customStyle="1" w:styleId="WRStyle">
    <w:name w:val="WR Style"/>
    <w:aliases w:val="WR"/>
    <w:basedOn w:val="OPCParaBase"/>
    <w:rsid w:val="00222F8E"/>
    <w:pPr>
      <w:spacing w:before="240" w:line="240" w:lineRule="auto"/>
      <w:ind w:left="284" w:hanging="284"/>
    </w:pPr>
    <w:rPr>
      <w:b/>
      <w:i/>
      <w:kern w:val="28"/>
      <w:sz w:val="24"/>
    </w:rPr>
  </w:style>
  <w:style w:type="paragraph" w:customStyle="1" w:styleId="notepara">
    <w:name w:val="note(para)"/>
    <w:aliases w:val="na"/>
    <w:basedOn w:val="OPCParaBase"/>
    <w:rsid w:val="00222F8E"/>
    <w:pPr>
      <w:spacing w:before="40" w:line="198" w:lineRule="exact"/>
      <w:ind w:left="2354" w:hanging="369"/>
    </w:pPr>
    <w:rPr>
      <w:sz w:val="18"/>
    </w:rPr>
  </w:style>
  <w:style w:type="paragraph" w:styleId="Footer">
    <w:name w:val="footer"/>
    <w:link w:val="FooterChar"/>
    <w:rsid w:val="00222F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22F8E"/>
    <w:rPr>
      <w:rFonts w:eastAsia="Times New Roman" w:cs="Times New Roman"/>
      <w:sz w:val="22"/>
      <w:szCs w:val="24"/>
      <w:lang w:eastAsia="en-AU"/>
    </w:rPr>
  </w:style>
  <w:style w:type="character" w:styleId="LineNumber">
    <w:name w:val="line number"/>
    <w:basedOn w:val="OPCCharBase"/>
    <w:uiPriority w:val="99"/>
    <w:semiHidden/>
    <w:unhideWhenUsed/>
    <w:rsid w:val="00222F8E"/>
    <w:rPr>
      <w:sz w:val="16"/>
    </w:rPr>
  </w:style>
  <w:style w:type="table" w:customStyle="1" w:styleId="CFlag">
    <w:name w:val="CFlag"/>
    <w:basedOn w:val="TableNormal"/>
    <w:uiPriority w:val="99"/>
    <w:rsid w:val="00222F8E"/>
    <w:rPr>
      <w:rFonts w:eastAsia="Times New Roman" w:cs="Times New Roman"/>
      <w:lang w:eastAsia="en-AU"/>
    </w:rPr>
    <w:tblPr/>
  </w:style>
  <w:style w:type="paragraph" w:customStyle="1" w:styleId="CompiledActNo">
    <w:name w:val="CompiledActNo"/>
    <w:basedOn w:val="OPCParaBase"/>
    <w:next w:val="Normal"/>
    <w:rsid w:val="00222F8E"/>
    <w:rPr>
      <w:b/>
      <w:sz w:val="24"/>
      <w:szCs w:val="24"/>
    </w:rPr>
  </w:style>
  <w:style w:type="paragraph" w:customStyle="1" w:styleId="CompiledMadeUnder">
    <w:name w:val="CompiledMadeUnder"/>
    <w:basedOn w:val="OPCParaBase"/>
    <w:next w:val="Normal"/>
    <w:rsid w:val="00222F8E"/>
    <w:rPr>
      <w:i/>
      <w:sz w:val="24"/>
      <w:szCs w:val="24"/>
    </w:rPr>
  </w:style>
  <w:style w:type="paragraph" w:customStyle="1" w:styleId="ENotesText">
    <w:name w:val="ENotesText"/>
    <w:aliases w:val="Ent"/>
    <w:basedOn w:val="OPCParaBase"/>
    <w:next w:val="Normal"/>
    <w:rsid w:val="00222F8E"/>
    <w:pPr>
      <w:spacing w:before="120"/>
    </w:pPr>
  </w:style>
  <w:style w:type="paragraph" w:customStyle="1" w:styleId="Paragraphsub-sub-sub">
    <w:name w:val="Paragraph(sub-sub-sub)"/>
    <w:aliases w:val="aaaa"/>
    <w:basedOn w:val="OPCParaBase"/>
    <w:rsid w:val="00222F8E"/>
    <w:pPr>
      <w:tabs>
        <w:tab w:val="right" w:pos="3402"/>
      </w:tabs>
      <w:spacing w:before="40" w:line="240" w:lineRule="auto"/>
      <w:ind w:left="3402" w:hanging="3402"/>
    </w:pPr>
  </w:style>
  <w:style w:type="paragraph" w:customStyle="1" w:styleId="NoteToSubpara">
    <w:name w:val="NoteToSubpara"/>
    <w:aliases w:val="nts"/>
    <w:basedOn w:val="OPCParaBase"/>
    <w:rsid w:val="00222F8E"/>
    <w:pPr>
      <w:spacing w:before="40" w:line="198" w:lineRule="exact"/>
      <w:ind w:left="2835" w:hanging="709"/>
    </w:pPr>
    <w:rPr>
      <w:sz w:val="18"/>
    </w:rPr>
  </w:style>
  <w:style w:type="paragraph" w:customStyle="1" w:styleId="ENoteTableHeading">
    <w:name w:val="ENoteTableHeading"/>
    <w:aliases w:val="enth"/>
    <w:basedOn w:val="OPCParaBase"/>
    <w:rsid w:val="00222F8E"/>
    <w:pPr>
      <w:keepNext/>
      <w:spacing w:before="60" w:line="240" w:lineRule="atLeast"/>
    </w:pPr>
    <w:rPr>
      <w:rFonts w:ascii="Arial" w:hAnsi="Arial"/>
      <w:b/>
      <w:sz w:val="16"/>
    </w:rPr>
  </w:style>
  <w:style w:type="paragraph" w:customStyle="1" w:styleId="ENoteTTi">
    <w:name w:val="ENoteTTi"/>
    <w:aliases w:val="entti"/>
    <w:basedOn w:val="OPCParaBase"/>
    <w:rsid w:val="00222F8E"/>
    <w:pPr>
      <w:keepNext/>
      <w:spacing w:before="60" w:line="240" w:lineRule="atLeast"/>
      <w:ind w:left="170"/>
    </w:pPr>
    <w:rPr>
      <w:sz w:val="16"/>
    </w:rPr>
  </w:style>
  <w:style w:type="paragraph" w:customStyle="1" w:styleId="ENotesHeading1">
    <w:name w:val="ENotesHeading 1"/>
    <w:aliases w:val="Enh1"/>
    <w:basedOn w:val="OPCParaBase"/>
    <w:next w:val="Normal"/>
    <w:rsid w:val="00222F8E"/>
    <w:pPr>
      <w:spacing w:before="120"/>
      <w:outlineLvl w:val="1"/>
    </w:pPr>
    <w:rPr>
      <w:b/>
      <w:sz w:val="28"/>
      <w:szCs w:val="28"/>
    </w:rPr>
  </w:style>
  <w:style w:type="paragraph" w:customStyle="1" w:styleId="ENotesHeading2">
    <w:name w:val="ENotesHeading 2"/>
    <w:aliases w:val="Enh2"/>
    <w:basedOn w:val="OPCParaBase"/>
    <w:next w:val="Normal"/>
    <w:rsid w:val="00222F8E"/>
    <w:pPr>
      <w:spacing w:before="120" w:after="120"/>
      <w:outlineLvl w:val="2"/>
    </w:pPr>
    <w:rPr>
      <w:b/>
      <w:sz w:val="24"/>
      <w:szCs w:val="28"/>
    </w:rPr>
  </w:style>
  <w:style w:type="paragraph" w:customStyle="1" w:styleId="ENoteTTIndentHeading">
    <w:name w:val="ENoteTTIndentHeading"/>
    <w:aliases w:val="enTTHi"/>
    <w:basedOn w:val="OPCParaBase"/>
    <w:rsid w:val="00222F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2F8E"/>
    <w:pPr>
      <w:spacing w:before="60" w:line="240" w:lineRule="atLeast"/>
    </w:pPr>
    <w:rPr>
      <w:sz w:val="16"/>
    </w:rPr>
  </w:style>
  <w:style w:type="paragraph" w:customStyle="1" w:styleId="MadeunderText">
    <w:name w:val="MadeunderText"/>
    <w:basedOn w:val="OPCParaBase"/>
    <w:next w:val="Normal"/>
    <w:rsid w:val="00222F8E"/>
    <w:pPr>
      <w:spacing w:before="240"/>
    </w:pPr>
    <w:rPr>
      <w:sz w:val="24"/>
      <w:szCs w:val="24"/>
    </w:rPr>
  </w:style>
  <w:style w:type="paragraph" w:customStyle="1" w:styleId="ENotesHeading3">
    <w:name w:val="ENotesHeading 3"/>
    <w:aliases w:val="Enh3"/>
    <w:basedOn w:val="OPCParaBase"/>
    <w:next w:val="Normal"/>
    <w:rsid w:val="00222F8E"/>
    <w:pPr>
      <w:keepNext/>
      <w:spacing w:before="120" w:line="240" w:lineRule="auto"/>
      <w:outlineLvl w:val="4"/>
    </w:pPr>
    <w:rPr>
      <w:b/>
      <w:szCs w:val="24"/>
    </w:rPr>
  </w:style>
  <w:style w:type="character" w:customStyle="1" w:styleId="CharSubPartTextCASA">
    <w:name w:val="CharSubPartText(CASA)"/>
    <w:basedOn w:val="OPCCharBase"/>
    <w:uiPriority w:val="1"/>
    <w:rsid w:val="00222F8E"/>
  </w:style>
  <w:style w:type="character" w:customStyle="1" w:styleId="CharSubPartNoCASA">
    <w:name w:val="CharSubPartNo(CASA)"/>
    <w:basedOn w:val="OPCCharBase"/>
    <w:uiPriority w:val="1"/>
    <w:rsid w:val="00222F8E"/>
  </w:style>
  <w:style w:type="paragraph" w:customStyle="1" w:styleId="ENoteTTIndentHeadingSub">
    <w:name w:val="ENoteTTIndentHeadingSub"/>
    <w:aliases w:val="enTTHis"/>
    <w:basedOn w:val="OPCParaBase"/>
    <w:rsid w:val="00222F8E"/>
    <w:pPr>
      <w:keepNext/>
      <w:spacing w:before="60" w:line="240" w:lineRule="atLeast"/>
      <w:ind w:left="340"/>
    </w:pPr>
    <w:rPr>
      <w:b/>
      <w:sz w:val="16"/>
    </w:rPr>
  </w:style>
  <w:style w:type="paragraph" w:customStyle="1" w:styleId="ENoteTTiSub">
    <w:name w:val="ENoteTTiSub"/>
    <w:aliases w:val="enttis"/>
    <w:basedOn w:val="OPCParaBase"/>
    <w:rsid w:val="00222F8E"/>
    <w:pPr>
      <w:keepNext/>
      <w:spacing w:before="60" w:line="240" w:lineRule="atLeast"/>
      <w:ind w:left="340"/>
    </w:pPr>
    <w:rPr>
      <w:sz w:val="16"/>
    </w:rPr>
  </w:style>
  <w:style w:type="paragraph" w:customStyle="1" w:styleId="SubDivisionMigration">
    <w:name w:val="SubDivisionMigration"/>
    <w:aliases w:val="sdm"/>
    <w:basedOn w:val="OPCParaBase"/>
    <w:rsid w:val="00222F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2F8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22F8E"/>
    <w:pPr>
      <w:spacing w:before="122" w:line="240" w:lineRule="auto"/>
      <w:ind w:left="1985" w:hanging="851"/>
    </w:pPr>
    <w:rPr>
      <w:sz w:val="18"/>
    </w:rPr>
  </w:style>
  <w:style w:type="paragraph" w:customStyle="1" w:styleId="FreeForm">
    <w:name w:val="FreeForm"/>
    <w:rsid w:val="00BE2959"/>
    <w:rPr>
      <w:rFonts w:ascii="Arial" w:hAnsi="Arial"/>
      <w:sz w:val="22"/>
    </w:rPr>
  </w:style>
  <w:style w:type="paragraph" w:customStyle="1" w:styleId="SOText">
    <w:name w:val="SO Text"/>
    <w:aliases w:val="sot"/>
    <w:link w:val="SOTextChar"/>
    <w:rsid w:val="00222F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22F8E"/>
    <w:rPr>
      <w:sz w:val="22"/>
    </w:rPr>
  </w:style>
  <w:style w:type="paragraph" w:customStyle="1" w:styleId="SOTextNote">
    <w:name w:val="SO TextNote"/>
    <w:aliases w:val="sont"/>
    <w:basedOn w:val="SOText"/>
    <w:qFormat/>
    <w:rsid w:val="00222F8E"/>
    <w:pPr>
      <w:spacing w:before="122" w:line="198" w:lineRule="exact"/>
      <w:ind w:left="1843" w:hanging="709"/>
    </w:pPr>
    <w:rPr>
      <w:sz w:val="18"/>
    </w:rPr>
  </w:style>
  <w:style w:type="paragraph" w:customStyle="1" w:styleId="SOPara">
    <w:name w:val="SO Para"/>
    <w:aliases w:val="soa"/>
    <w:basedOn w:val="SOText"/>
    <w:link w:val="SOParaChar"/>
    <w:qFormat/>
    <w:rsid w:val="00222F8E"/>
    <w:pPr>
      <w:tabs>
        <w:tab w:val="right" w:pos="1786"/>
      </w:tabs>
      <w:spacing w:before="40"/>
      <w:ind w:left="2070" w:hanging="936"/>
    </w:pPr>
  </w:style>
  <w:style w:type="character" w:customStyle="1" w:styleId="SOParaChar">
    <w:name w:val="SO Para Char"/>
    <w:aliases w:val="soa Char"/>
    <w:basedOn w:val="DefaultParagraphFont"/>
    <w:link w:val="SOPara"/>
    <w:rsid w:val="00222F8E"/>
    <w:rPr>
      <w:sz w:val="22"/>
    </w:rPr>
  </w:style>
  <w:style w:type="paragraph" w:customStyle="1" w:styleId="FileName">
    <w:name w:val="FileName"/>
    <w:basedOn w:val="Normal"/>
    <w:rsid w:val="00222F8E"/>
  </w:style>
  <w:style w:type="paragraph" w:customStyle="1" w:styleId="TableHeading">
    <w:name w:val="TableHeading"/>
    <w:aliases w:val="th"/>
    <w:basedOn w:val="OPCParaBase"/>
    <w:next w:val="Tabletext"/>
    <w:rsid w:val="00222F8E"/>
    <w:pPr>
      <w:keepNext/>
      <w:spacing w:before="60" w:line="240" w:lineRule="atLeast"/>
    </w:pPr>
    <w:rPr>
      <w:b/>
      <w:sz w:val="20"/>
    </w:rPr>
  </w:style>
  <w:style w:type="paragraph" w:customStyle="1" w:styleId="SOHeadBold">
    <w:name w:val="SO HeadBold"/>
    <w:aliases w:val="sohb"/>
    <w:basedOn w:val="SOText"/>
    <w:next w:val="SOText"/>
    <w:link w:val="SOHeadBoldChar"/>
    <w:qFormat/>
    <w:rsid w:val="00222F8E"/>
    <w:rPr>
      <w:b/>
    </w:rPr>
  </w:style>
  <w:style w:type="character" w:customStyle="1" w:styleId="SOHeadBoldChar">
    <w:name w:val="SO HeadBold Char"/>
    <w:aliases w:val="sohb Char"/>
    <w:basedOn w:val="DefaultParagraphFont"/>
    <w:link w:val="SOHeadBold"/>
    <w:rsid w:val="00222F8E"/>
    <w:rPr>
      <w:b/>
      <w:sz w:val="22"/>
    </w:rPr>
  </w:style>
  <w:style w:type="paragraph" w:customStyle="1" w:styleId="SOHeadItalic">
    <w:name w:val="SO HeadItalic"/>
    <w:aliases w:val="sohi"/>
    <w:basedOn w:val="SOText"/>
    <w:next w:val="SOText"/>
    <w:link w:val="SOHeadItalicChar"/>
    <w:qFormat/>
    <w:rsid w:val="00222F8E"/>
    <w:rPr>
      <w:i/>
    </w:rPr>
  </w:style>
  <w:style w:type="character" w:customStyle="1" w:styleId="SOHeadItalicChar">
    <w:name w:val="SO HeadItalic Char"/>
    <w:aliases w:val="sohi Char"/>
    <w:basedOn w:val="DefaultParagraphFont"/>
    <w:link w:val="SOHeadItalic"/>
    <w:rsid w:val="00222F8E"/>
    <w:rPr>
      <w:i/>
      <w:sz w:val="22"/>
    </w:rPr>
  </w:style>
  <w:style w:type="paragraph" w:customStyle="1" w:styleId="SOBullet">
    <w:name w:val="SO Bullet"/>
    <w:aliases w:val="sotb"/>
    <w:basedOn w:val="SOText"/>
    <w:link w:val="SOBulletChar"/>
    <w:qFormat/>
    <w:rsid w:val="00222F8E"/>
    <w:pPr>
      <w:ind w:left="1559" w:hanging="425"/>
    </w:pPr>
  </w:style>
  <w:style w:type="character" w:customStyle="1" w:styleId="SOBulletChar">
    <w:name w:val="SO Bullet Char"/>
    <w:aliases w:val="sotb Char"/>
    <w:basedOn w:val="DefaultParagraphFont"/>
    <w:link w:val="SOBullet"/>
    <w:rsid w:val="00222F8E"/>
    <w:rPr>
      <w:sz w:val="22"/>
    </w:rPr>
  </w:style>
  <w:style w:type="paragraph" w:customStyle="1" w:styleId="SOBulletNote">
    <w:name w:val="SO BulletNote"/>
    <w:aliases w:val="sonb"/>
    <w:basedOn w:val="SOTextNote"/>
    <w:link w:val="SOBulletNoteChar"/>
    <w:qFormat/>
    <w:rsid w:val="00222F8E"/>
    <w:pPr>
      <w:tabs>
        <w:tab w:val="left" w:pos="1560"/>
      </w:tabs>
      <w:ind w:left="2268" w:hanging="1134"/>
    </w:pPr>
  </w:style>
  <w:style w:type="character" w:customStyle="1" w:styleId="SOBulletNoteChar">
    <w:name w:val="SO BulletNote Char"/>
    <w:aliases w:val="sonb Char"/>
    <w:basedOn w:val="DefaultParagraphFont"/>
    <w:link w:val="SOBulletNote"/>
    <w:rsid w:val="00222F8E"/>
    <w:rPr>
      <w:sz w:val="18"/>
    </w:rPr>
  </w:style>
  <w:style w:type="paragraph" w:customStyle="1" w:styleId="SOText2">
    <w:name w:val="SO Text2"/>
    <w:aliases w:val="sot2"/>
    <w:basedOn w:val="Normal"/>
    <w:next w:val="SOText"/>
    <w:link w:val="SOText2Char"/>
    <w:rsid w:val="00222F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22F8E"/>
    <w:rPr>
      <w:sz w:val="22"/>
    </w:rPr>
  </w:style>
  <w:style w:type="paragraph" w:customStyle="1" w:styleId="SubPartCASA">
    <w:name w:val="SubPart(CASA)"/>
    <w:aliases w:val="csp"/>
    <w:basedOn w:val="OPCParaBase"/>
    <w:next w:val="ActHead3"/>
    <w:rsid w:val="00222F8E"/>
    <w:pPr>
      <w:keepNext/>
      <w:keepLines/>
      <w:spacing w:before="280"/>
      <w:ind w:left="1134" w:hanging="1134"/>
      <w:outlineLvl w:val="1"/>
    </w:pPr>
    <w:rPr>
      <w:b/>
      <w:kern w:val="28"/>
      <w:sz w:val="32"/>
    </w:rPr>
  </w:style>
  <w:style w:type="paragraph" w:customStyle="1" w:styleId="NotesHeading1">
    <w:name w:val="NotesHeading 1"/>
    <w:basedOn w:val="OPCParaBase"/>
    <w:next w:val="Normal"/>
    <w:rsid w:val="00222F8E"/>
    <w:rPr>
      <w:b/>
      <w:sz w:val="28"/>
      <w:szCs w:val="28"/>
    </w:rPr>
  </w:style>
  <w:style w:type="paragraph" w:customStyle="1" w:styleId="NotesHeading2">
    <w:name w:val="NotesHeading 2"/>
    <w:basedOn w:val="OPCParaBase"/>
    <w:next w:val="Normal"/>
    <w:rsid w:val="00222F8E"/>
    <w:rPr>
      <w:b/>
      <w:sz w:val="28"/>
      <w:szCs w:val="28"/>
    </w:rPr>
  </w:style>
  <w:style w:type="paragraph" w:customStyle="1" w:styleId="SignCoverPageEnd">
    <w:name w:val="SignCoverPageEnd"/>
    <w:basedOn w:val="OPCParaBase"/>
    <w:next w:val="Normal"/>
    <w:rsid w:val="00222F8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2F8E"/>
    <w:pPr>
      <w:pBdr>
        <w:top w:val="single" w:sz="4" w:space="1" w:color="auto"/>
      </w:pBdr>
      <w:spacing w:before="360"/>
      <w:ind w:right="397"/>
      <w:jc w:val="both"/>
    </w:pPr>
  </w:style>
  <w:style w:type="paragraph" w:customStyle="1" w:styleId="EndNotespara">
    <w:name w:val="EndNotes(para)"/>
    <w:aliases w:val="eta"/>
    <w:basedOn w:val="OPCParaBase"/>
    <w:next w:val="EndNotessubpara"/>
    <w:rsid w:val="00222F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2F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2F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2F8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22F8E"/>
    <w:pPr>
      <w:spacing w:before="60" w:line="240" w:lineRule="auto"/>
    </w:pPr>
    <w:rPr>
      <w:rFonts w:cs="Arial"/>
      <w:sz w:val="20"/>
      <w:szCs w:val="22"/>
    </w:rPr>
  </w:style>
  <w:style w:type="table" w:styleId="TableGrid">
    <w:name w:val="Table Grid"/>
    <w:basedOn w:val="TableNormal"/>
    <w:uiPriority w:val="59"/>
    <w:rsid w:val="0022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222F8E"/>
  </w:style>
  <w:style w:type="character" w:customStyle="1" w:styleId="subsectionChar">
    <w:name w:val="subsection Char"/>
    <w:aliases w:val="ss Char"/>
    <w:link w:val="subsection"/>
    <w:rsid w:val="00973B6B"/>
    <w:rPr>
      <w:rFonts w:eastAsia="Times New Roman" w:cs="Times New Roman"/>
      <w:sz w:val="22"/>
      <w:lang w:eastAsia="en-AU"/>
    </w:rPr>
  </w:style>
  <w:style w:type="character" w:customStyle="1" w:styleId="paragraphChar">
    <w:name w:val="paragraph Char"/>
    <w:aliases w:val="a Char"/>
    <w:link w:val="paragraph"/>
    <w:rsid w:val="00973B6B"/>
    <w:rPr>
      <w:rFonts w:eastAsia="Times New Roman" w:cs="Times New Roman"/>
      <w:sz w:val="22"/>
      <w:lang w:eastAsia="en-AU"/>
    </w:rPr>
  </w:style>
  <w:style w:type="character" w:customStyle="1" w:styleId="ActHead5Char">
    <w:name w:val="ActHead 5 Char"/>
    <w:aliases w:val="s Char"/>
    <w:link w:val="ActHead5"/>
    <w:rsid w:val="00973B6B"/>
    <w:rPr>
      <w:rFonts w:eastAsia="Times New Roman" w:cs="Times New Roman"/>
      <w:b/>
      <w:kern w:val="28"/>
      <w:sz w:val="24"/>
      <w:lang w:eastAsia="en-AU"/>
    </w:rPr>
  </w:style>
  <w:style w:type="character" w:customStyle="1" w:styleId="notetextChar">
    <w:name w:val="note(text) Char"/>
    <w:aliases w:val="n Char"/>
    <w:link w:val="notetext"/>
    <w:rsid w:val="0052500B"/>
    <w:rPr>
      <w:rFonts w:eastAsia="Times New Roman" w:cs="Times New Roman"/>
      <w:sz w:val="18"/>
      <w:lang w:eastAsia="en-AU"/>
    </w:rPr>
  </w:style>
  <w:style w:type="character" w:customStyle="1" w:styleId="TabletextChar">
    <w:name w:val="Tabletext Char"/>
    <w:aliases w:val="tt Char"/>
    <w:basedOn w:val="DefaultParagraphFont"/>
    <w:link w:val="Tabletext"/>
    <w:rsid w:val="00CE243A"/>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36</Pages>
  <Words>8169</Words>
  <Characters>46567</Characters>
  <Application>Microsoft Office Word</Application>
  <DocSecurity>2</DocSecurity>
  <PresentationFormat/>
  <Lines>388</Lines>
  <Paragraphs>109</Paragraphs>
  <ScaleCrop>false</ScaleCrop>
  <HeadingPairs>
    <vt:vector size="2" baseType="variant">
      <vt:variant>
        <vt:lpstr>Title</vt:lpstr>
      </vt:variant>
      <vt:variant>
        <vt:i4>1</vt:i4>
      </vt:variant>
    </vt:vector>
  </HeadingPairs>
  <TitlesOfParts>
    <vt:vector size="1" baseType="lpstr">
      <vt:lpstr>Exposure Draft - Strengthening Breach Reporting</vt:lpstr>
    </vt:vector>
  </TitlesOfParts>
  <Manager/>
  <Company/>
  <LinksUpToDate>false</LinksUpToDate>
  <CharactersWithSpaces>54627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Strengthening Breach Reporting</dc:title>
  <dc:subject>Consultation paper</dc:subject>
  <dc:creator/>
  <cp:keywords/>
  <dc:description/>
  <cp:lastModifiedBy/>
  <cp:revision>1</cp:revision>
  <cp:lastPrinted>2020-01-21T22:49:00Z</cp:lastPrinted>
  <dcterms:created xsi:type="dcterms:W3CDTF">2020-01-24T03:06:00Z</dcterms:created>
  <dcterms:modified xsi:type="dcterms:W3CDTF">2020-01-24T03:06:00Z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EXPOSURE DRAFT</vt:lpwstr>
  </property>
  <property fmtid="{D5CDD505-2E9C-101B-9397-08002B2CF9AE}" pid="4" name="DocType">
    <vt:lpwstr>INS</vt:lpwstr>
  </property>
  <property fmtid="{D5CDD505-2E9C-101B-9397-08002B2CF9AE}" pid="5" name="ShortT">
    <vt:lpwstr>Financial Sector Reform (Hayne Royal Commission Response—Protecting Consumers (2020 Measures)) Bill 2020: FSRC rec 1.6, 2.7, 2.8, 2.9 and 7.2 (Reference checking and information sharing, breach reporting and remediation)</vt:lpwstr>
  </property>
  <property fmtid="{D5CDD505-2E9C-101B-9397-08002B2CF9AE}" pid="6" name="ID">
    <vt:lpwstr>OPC7273</vt:lpwstr>
  </property>
  <property fmtid="{D5CDD505-2E9C-101B-9397-08002B2CF9AE}" pid="7" name="DoNotAsk">
    <vt:lpwstr>0</vt:lpwstr>
  </property>
  <property fmtid="{D5CDD505-2E9C-101B-9397-08002B2CF9AE}" pid="8" name="ChangedTitle">
    <vt:lpwstr/>
  </property>
  <property fmtid="{D5CDD505-2E9C-101B-9397-08002B2CF9AE}" pid="9" name="Actno">
    <vt:lpwstr/>
  </property>
  <property fmtid="{D5CDD505-2E9C-101B-9397-08002B2CF9AE}" pid="10" name="Class">
    <vt:lpwstr/>
  </property>
  <property fmtid="{D5CDD505-2E9C-101B-9397-08002B2CF9AE}" pid="11" name="Type">
    <vt:lpwstr>BILL</vt:lpwstr>
  </property>
  <property fmtid="{D5CDD505-2E9C-101B-9397-08002B2CF9AE}" pid="12" name="TrimID">
    <vt:lpwstr>PC:D20/609</vt:lpwstr>
  </property>
  <property fmtid="{D5CDD505-2E9C-101B-9397-08002B2CF9AE}" pid="13" name="_AdHocReviewCycleID">
    <vt:i4>2053012630</vt:i4>
  </property>
  <property fmtid="{D5CDD505-2E9C-101B-9397-08002B2CF9AE}" pid="14" name="_NewReviewCycle">
    <vt:lpwstr/>
  </property>
  <property fmtid="{D5CDD505-2E9C-101B-9397-08002B2CF9AE}" pid="15" name="_ReviewingToolsShownOnce">
    <vt:lpwstr/>
  </property>
</Properties>
</file>