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99175" w14:textId="77777777" w:rsidR="006F4933" w:rsidRDefault="00A609B4" w:rsidP="006F4933">
      <w:pPr>
        <w:pStyle w:val="end"/>
      </w:pPr>
      <w:bookmarkStart w:id="0" w:name="_GoBack"/>
      <w:r>
        <w:t>G</w:t>
      </w:r>
      <w:r w:rsidR="006F4933">
        <w:t>lossary</w:t>
      </w:r>
    </w:p>
    <w:tbl>
      <w:tblPr>
        <w:tblW w:w="0" w:type="auto"/>
        <w:tblInd w:w="108" w:type="dxa"/>
        <w:tblLook w:val="01E0" w:firstRow="1" w:lastRow="1" w:firstColumn="1" w:lastColumn="1" w:noHBand="0" w:noVBand="0"/>
      </w:tblPr>
      <w:tblGrid>
        <w:gridCol w:w="2840"/>
        <w:gridCol w:w="4762"/>
        <w:gridCol w:w="216"/>
      </w:tblGrid>
      <w:tr w:rsidR="006F4933" w14:paraId="41899178" w14:textId="77777777" w:rsidTr="00986CB7">
        <w:trPr>
          <w:tblHeader/>
        </w:trPr>
        <w:tc>
          <w:tcPr>
            <w:tcW w:w="2840" w:type="dxa"/>
            <w:hideMark/>
          </w:tcPr>
          <w:bookmarkEnd w:id="0"/>
          <w:p w14:paraId="41899176" w14:textId="77777777" w:rsidR="006F4933" w:rsidRDefault="006F4933">
            <w:pPr>
              <w:pStyle w:val="TableColumnHeadingLeft"/>
              <w:spacing w:line="256" w:lineRule="auto"/>
              <w:rPr>
                <w:lang w:eastAsia="en-US"/>
              </w:rPr>
            </w:pPr>
            <w:r>
              <w:rPr>
                <w:lang w:eastAsia="en-US"/>
              </w:rPr>
              <w:t>Term</w:t>
            </w:r>
          </w:p>
        </w:tc>
        <w:tc>
          <w:tcPr>
            <w:tcW w:w="4978" w:type="dxa"/>
            <w:gridSpan w:val="2"/>
            <w:hideMark/>
          </w:tcPr>
          <w:p w14:paraId="41899177" w14:textId="77777777" w:rsidR="006F4933" w:rsidRDefault="006F4933">
            <w:pPr>
              <w:pStyle w:val="TableColumnHeadingLeft"/>
              <w:spacing w:line="256" w:lineRule="auto"/>
              <w:rPr>
                <w:lang w:eastAsia="en-US"/>
              </w:rPr>
            </w:pPr>
            <w:r>
              <w:rPr>
                <w:lang w:eastAsia="en-US"/>
              </w:rPr>
              <w:t>Meaning</w:t>
            </w:r>
          </w:p>
        </w:tc>
      </w:tr>
      <w:tr w:rsidR="006F4933" w14:paraId="4189917B" w14:textId="77777777" w:rsidTr="00986CB7">
        <w:tc>
          <w:tcPr>
            <w:tcW w:w="2840" w:type="dxa"/>
            <w:hideMark/>
          </w:tcPr>
          <w:p w14:paraId="41899179"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Accumulated depreciation</w:t>
            </w:r>
          </w:p>
        </w:tc>
        <w:tc>
          <w:tcPr>
            <w:tcW w:w="4978" w:type="dxa"/>
            <w:gridSpan w:val="2"/>
            <w:hideMark/>
          </w:tcPr>
          <w:p w14:paraId="4189917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aggregate depreciation recorded for a particular depreciating asset.</w:t>
            </w:r>
          </w:p>
        </w:tc>
      </w:tr>
      <w:tr w:rsidR="00EE5210" w14:paraId="4189917E" w14:textId="77777777" w:rsidTr="00986CB7">
        <w:tc>
          <w:tcPr>
            <w:tcW w:w="2840" w:type="dxa"/>
            <w:hideMark/>
          </w:tcPr>
          <w:p w14:paraId="4189917C"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Administered item</w:t>
            </w:r>
          </w:p>
        </w:tc>
        <w:tc>
          <w:tcPr>
            <w:tcW w:w="4978" w:type="dxa"/>
            <w:gridSpan w:val="2"/>
            <w:hideMark/>
          </w:tcPr>
          <w:p w14:paraId="4189917D"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Appropriation that consists of funding managed on behalf of the Commonwealth. This funding is not at the discretion of the entity and any unspent appropriation is returned to the Consolidated Revenue Fund (CRF) at the end of the financial year. An administered item is a component of an administered program. It may be a measure but will not constitute a program in its own right.</w:t>
            </w:r>
          </w:p>
        </w:tc>
      </w:tr>
      <w:tr w:rsidR="00EE5210" w14:paraId="41899181" w14:textId="77777777" w:rsidTr="00986CB7">
        <w:tc>
          <w:tcPr>
            <w:tcW w:w="2840" w:type="dxa"/>
            <w:hideMark/>
          </w:tcPr>
          <w:p w14:paraId="4189917F"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Appropriation</w:t>
            </w:r>
          </w:p>
        </w:tc>
        <w:tc>
          <w:tcPr>
            <w:tcW w:w="4978" w:type="dxa"/>
            <w:gridSpan w:val="2"/>
            <w:hideMark/>
          </w:tcPr>
          <w:p w14:paraId="41899180" w14:textId="0C646E4E" w:rsidR="00C12B75" w:rsidRDefault="00C12B75" w:rsidP="00C12B75">
            <w:pPr>
              <w:pStyle w:val="TableTextLeft"/>
              <w:spacing w:line="256" w:lineRule="auto"/>
              <w:rPr>
                <w:rFonts w:ascii="Book Antiqua" w:hAnsi="Book Antiqua"/>
                <w:sz w:val="20"/>
                <w:lang w:eastAsia="en-US"/>
              </w:rPr>
            </w:pPr>
            <w:r w:rsidRPr="00C12B75">
              <w:rPr>
                <w:rFonts w:ascii="Book Antiqua" w:hAnsi="Book Antiqua"/>
                <w:sz w:val="20"/>
                <w:lang w:eastAsia="en-US"/>
              </w:rPr>
              <w:t>A law of the Australian Parliament that provides authority for Commonwealth entities to spend money from the CRF for a particular purpose. Entities may not spend money without an appropriation authorising that expenditure and, where necessary, other legislation authorising the specified purpose.</w:t>
            </w:r>
          </w:p>
        </w:tc>
      </w:tr>
      <w:tr w:rsidR="00EE5210" w14:paraId="41899184" w14:textId="77777777" w:rsidTr="00986CB7">
        <w:tc>
          <w:tcPr>
            <w:tcW w:w="2840" w:type="dxa"/>
            <w:hideMark/>
          </w:tcPr>
          <w:p w14:paraId="41899182"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Appropriation Bill </w:t>
            </w:r>
            <w:r>
              <w:rPr>
                <w:rFonts w:ascii="Book Antiqua" w:hAnsi="Book Antiqua"/>
                <w:sz w:val="20"/>
                <w:lang w:eastAsia="en-US"/>
              </w:rPr>
              <w:br/>
              <w:t>(No. 1)</w:t>
            </w:r>
          </w:p>
        </w:tc>
        <w:tc>
          <w:tcPr>
            <w:tcW w:w="4978" w:type="dxa"/>
            <w:gridSpan w:val="2"/>
            <w:hideMark/>
          </w:tcPr>
          <w:p w14:paraId="41899183"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This Bill proposes spending from the CRF for the ordinary annual services of government. Bills proposing appropriations for ordinary annual services cannot be amended by the Senate under Section 53 of the Australian Constitution. Once the Bill is passed by Parliament and given Royal Assent, it becomes Appropriation Act (No. 1).</w:t>
            </w:r>
          </w:p>
        </w:tc>
      </w:tr>
      <w:tr w:rsidR="00EE5210" w14:paraId="41899187" w14:textId="77777777" w:rsidTr="00986CB7">
        <w:tc>
          <w:tcPr>
            <w:tcW w:w="2840" w:type="dxa"/>
            <w:hideMark/>
          </w:tcPr>
          <w:p w14:paraId="41899185"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Appropriation Bill </w:t>
            </w:r>
            <w:r>
              <w:rPr>
                <w:rFonts w:ascii="Book Antiqua" w:hAnsi="Book Antiqua"/>
                <w:sz w:val="20"/>
                <w:lang w:eastAsia="en-US"/>
              </w:rPr>
              <w:br/>
              <w:t>(No. 2)</w:t>
            </w:r>
          </w:p>
        </w:tc>
        <w:tc>
          <w:tcPr>
            <w:tcW w:w="4978" w:type="dxa"/>
            <w:gridSpan w:val="2"/>
            <w:hideMark/>
          </w:tcPr>
          <w:p w14:paraId="41899186"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This Bill proposes spending from the CRF for purposes other than the ordinary annual services of government. Under existing arrangements between the two Houses of Parliament, this Bill includes appropriation funding of administered expenses for new outcomes, for payments to the states and territories, and for departmental or administered capital. Funding for extensions to existing programs can be included in Appropriation Bill (No. 1). Once the Bill is passed by Parliament and given Royal Assent, it becomes Appropriation Act (No. 2).</w:t>
            </w:r>
          </w:p>
        </w:tc>
      </w:tr>
      <w:tr w:rsidR="00EE5210" w14:paraId="4189918A" w14:textId="77777777" w:rsidTr="00986CB7">
        <w:tc>
          <w:tcPr>
            <w:tcW w:w="2840" w:type="dxa"/>
            <w:hideMark/>
          </w:tcPr>
          <w:p w14:paraId="41899188" w14:textId="77777777"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lastRenderedPageBreak/>
              <w:t>Appropriation Bills (Nos. 3 and 4)</w:t>
            </w:r>
          </w:p>
        </w:tc>
        <w:tc>
          <w:tcPr>
            <w:tcW w:w="4978" w:type="dxa"/>
            <w:gridSpan w:val="2"/>
            <w:hideMark/>
          </w:tcPr>
          <w:p w14:paraId="41899189" w14:textId="77777777"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If an amount provided in Appropriation Acts (Nos. 1 or 2) is not enough to meet approved expenditure in a financial year, supplementary appropriation may be sought in Appropriation Bills (Nos. 3 or 4). Once these Bills are passed by Parliament and given royal assent, they become the Appropriation Acts (Nos. 3 and 4). They are also commonly referred to as the Additional Estimates Bills.</w:t>
            </w:r>
          </w:p>
        </w:tc>
      </w:tr>
      <w:tr w:rsidR="00EE5210" w14:paraId="4189918D" w14:textId="77777777" w:rsidTr="00986CB7">
        <w:tc>
          <w:tcPr>
            <w:tcW w:w="2840" w:type="dxa"/>
            <w:hideMark/>
          </w:tcPr>
          <w:p w14:paraId="4189918B"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Assets</w:t>
            </w:r>
          </w:p>
        </w:tc>
        <w:tc>
          <w:tcPr>
            <w:tcW w:w="4978" w:type="dxa"/>
            <w:gridSpan w:val="2"/>
            <w:hideMark/>
          </w:tcPr>
          <w:p w14:paraId="4189918C"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Future economic benefits controlled by an entity as a result of past transactions or other past events.</w:t>
            </w:r>
          </w:p>
        </w:tc>
      </w:tr>
      <w:tr w:rsidR="00EE5210" w14:paraId="41899190" w14:textId="77777777" w:rsidTr="00986CB7">
        <w:tc>
          <w:tcPr>
            <w:tcW w:w="2840" w:type="dxa"/>
            <w:hideMark/>
          </w:tcPr>
          <w:p w14:paraId="4189918E"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Average staffing level</w:t>
            </w:r>
          </w:p>
        </w:tc>
        <w:tc>
          <w:tcPr>
            <w:tcW w:w="4978" w:type="dxa"/>
            <w:gridSpan w:val="2"/>
            <w:hideMark/>
          </w:tcPr>
          <w:p w14:paraId="4189918F"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The average number of employees receiving salary/wages (or compensation in lieu of salary/wages) over a financial year, with adjustments for casual and part-</w:t>
            </w:r>
            <w:r w:rsidR="006844A0">
              <w:rPr>
                <w:rFonts w:ascii="Book Antiqua" w:hAnsi="Book Antiqua"/>
                <w:sz w:val="20"/>
                <w:lang w:eastAsia="en-US"/>
              </w:rPr>
              <w:t>time employees to show the full</w:t>
            </w:r>
            <w:r w:rsidR="006844A0">
              <w:rPr>
                <w:rFonts w:ascii="Book Antiqua" w:hAnsi="Book Antiqua"/>
                <w:sz w:val="20"/>
                <w:lang w:eastAsia="en-US"/>
              </w:rPr>
              <w:noBreakHyphen/>
            </w:r>
            <w:r>
              <w:rPr>
                <w:rFonts w:ascii="Book Antiqua" w:hAnsi="Book Antiqua"/>
                <w:sz w:val="20"/>
                <w:lang w:eastAsia="en-US"/>
              </w:rPr>
              <w:t>time equivalent.</w:t>
            </w:r>
          </w:p>
        </w:tc>
      </w:tr>
      <w:tr w:rsidR="00EE5210" w14:paraId="41899193" w14:textId="77777777" w:rsidTr="00986CB7">
        <w:tc>
          <w:tcPr>
            <w:tcW w:w="2840" w:type="dxa"/>
            <w:hideMark/>
          </w:tcPr>
          <w:p w14:paraId="41899191"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1 (BP1)</w:t>
            </w:r>
          </w:p>
        </w:tc>
        <w:tc>
          <w:tcPr>
            <w:tcW w:w="4978" w:type="dxa"/>
            <w:gridSpan w:val="2"/>
            <w:hideMark/>
          </w:tcPr>
          <w:p w14:paraId="41899192"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Strategy and Outlook. Provides information and analysis on whole-of-government expenditure and revenue.</w:t>
            </w:r>
          </w:p>
        </w:tc>
      </w:tr>
      <w:tr w:rsidR="00EE5210" w14:paraId="41899196" w14:textId="77777777" w:rsidTr="00986CB7">
        <w:tc>
          <w:tcPr>
            <w:tcW w:w="2840" w:type="dxa"/>
            <w:hideMark/>
          </w:tcPr>
          <w:p w14:paraId="41899194"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2 (BP2)</w:t>
            </w:r>
          </w:p>
        </w:tc>
        <w:tc>
          <w:tcPr>
            <w:tcW w:w="4978" w:type="dxa"/>
            <w:gridSpan w:val="2"/>
            <w:hideMark/>
          </w:tcPr>
          <w:p w14:paraId="41899195"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Measures. Provides a description of each budget measure by portfolio.</w:t>
            </w:r>
          </w:p>
        </w:tc>
      </w:tr>
      <w:tr w:rsidR="00EE5210" w14:paraId="41899199" w14:textId="77777777" w:rsidTr="00986CB7">
        <w:tc>
          <w:tcPr>
            <w:tcW w:w="2840" w:type="dxa"/>
            <w:hideMark/>
          </w:tcPr>
          <w:p w14:paraId="41899197"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3 (BP3)</w:t>
            </w:r>
          </w:p>
        </w:tc>
        <w:tc>
          <w:tcPr>
            <w:tcW w:w="4978" w:type="dxa"/>
            <w:gridSpan w:val="2"/>
            <w:hideMark/>
          </w:tcPr>
          <w:p w14:paraId="41899198"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Australia’s Federal Relations. Provides information and analysis on federal funding provided to the states and territories.</w:t>
            </w:r>
          </w:p>
        </w:tc>
      </w:tr>
      <w:tr w:rsidR="00EE5210" w14:paraId="4189919C" w14:textId="77777777" w:rsidTr="00986CB7">
        <w:tc>
          <w:tcPr>
            <w:tcW w:w="2840" w:type="dxa"/>
            <w:hideMark/>
          </w:tcPr>
          <w:p w14:paraId="4189919A"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4 (BP4)</w:t>
            </w:r>
          </w:p>
        </w:tc>
        <w:tc>
          <w:tcPr>
            <w:tcW w:w="4978" w:type="dxa"/>
            <w:gridSpan w:val="2"/>
            <w:hideMark/>
          </w:tcPr>
          <w:p w14:paraId="4189919B"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Entity Resourcing. Details total resourcing available to agencies.</w:t>
            </w:r>
          </w:p>
        </w:tc>
      </w:tr>
      <w:tr w:rsidR="00EE5210" w14:paraId="4189919F" w14:textId="77777777" w:rsidTr="00986CB7">
        <w:tc>
          <w:tcPr>
            <w:tcW w:w="2840" w:type="dxa"/>
            <w:hideMark/>
          </w:tcPr>
          <w:p w14:paraId="4189919D" w14:textId="693BE15C" w:rsidR="00EE5210" w:rsidRDefault="00C12B75" w:rsidP="00986CB7">
            <w:pPr>
              <w:pStyle w:val="TableTextLeft"/>
              <w:spacing w:line="256" w:lineRule="auto"/>
              <w:rPr>
                <w:rFonts w:ascii="Book Antiqua" w:hAnsi="Book Antiqua"/>
                <w:sz w:val="20"/>
                <w:lang w:eastAsia="en-US"/>
              </w:rPr>
            </w:pPr>
            <w:r>
              <w:rPr>
                <w:rFonts w:ascii="Book Antiqua" w:hAnsi="Book Antiqua"/>
                <w:sz w:val="20"/>
                <w:lang w:eastAsia="en-US"/>
              </w:rPr>
              <w:t>Capital e</w:t>
            </w:r>
            <w:r w:rsidR="00EE5210">
              <w:rPr>
                <w:rFonts w:ascii="Book Antiqua" w:hAnsi="Book Antiqua"/>
                <w:sz w:val="20"/>
                <w:lang w:eastAsia="en-US"/>
              </w:rPr>
              <w:t>xpenditure</w:t>
            </w:r>
          </w:p>
        </w:tc>
        <w:tc>
          <w:tcPr>
            <w:tcW w:w="4978" w:type="dxa"/>
            <w:gridSpan w:val="2"/>
            <w:hideMark/>
          </w:tcPr>
          <w:p w14:paraId="4189919E"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Expenditure by an entity on capital projects; for example, purchasing a building.</w:t>
            </w:r>
          </w:p>
        </w:tc>
      </w:tr>
      <w:tr w:rsidR="00EE5210" w14:paraId="418991A2" w14:textId="77777777" w:rsidTr="00986CB7">
        <w:tc>
          <w:tcPr>
            <w:tcW w:w="2840" w:type="dxa"/>
            <w:hideMark/>
          </w:tcPr>
          <w:p w14:paraId="418991A0" w14:textId="4753D403" w:rsidR="00EE5210" w:rsidRDefault="00EE5210" w:rsidP="00C12B75">
            <w:pPr>
              <w:pStyle w:val="TableTextLeft"/>
              <w:keepNext/>
              <w:keepLines/>
              <w:spacing w:line="257" w:lineRule="auto"/>
              <w:rPr>
                <w:rFonts w:ascii="Book Antiqua" w:hAnsi="Book Antiqua"/>
                <w:sz w:val="20"/>
                <w:lang w:eastAsia="en-US"/>
              </w:rPr>
            </w:pPr>
            <w:r>
              <w:rPr>
                <w:rFonts w:ascii="Book Antiqua" w:hAnsi="Book Antiqua"/>
                <w:sz w:val="20"/>
                <w:lang w:eastAsia="en-US"/>
              </w:rPr>
              <w:lastRenderedPageBreak/>
              <w:t xml:space="preserve">Consolidated Revenue Fund </w:t>
            </w:r>
          </w:p>
        </w:tc>
        <w:tc>
          <w:tcPr>
            <w:tcW w:w="4978" w:type="dxa"/>
            <w:gridSpan w:val="2"/>
            <w:hideMark/>
          </w:tcPr>
          <w:p w14:paraId="418991A1" w14:textId="77777777"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The principal operating fund from which money is drawn to pay for the activities of the Government. Section 81 of the Australian Constitution provides that all revenue raised or monies received by the Executive Government forms one consolidated revenue fund from which appropriations are made for the purposes of the Australian Government.</w:t>
            </w:r>
          </w:p>
        </w:tc>
      </w:tr>
      <w:tr w:rsidR="006F4933" w14:paraId="418991A5" w14:textId="77777777" w:rsidTr="00986CB7">
        <w:trPr>
          <w:gridAfter w:val="1"/>
          <w:wAfter w:w="216" w:type="dxa"/>
        </w:trPr>
        <w:tc>
          <w:tcPr>
            <w:tcW w:w="2840" w:type="dxa"/>
            <w:hideMark/>
          </w:tcPr>
          <w:p w14:paraId="418991A3"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Departmental Capital Budget (DCB)</w:t>
            </w:r>
          </w:p>
        </w:tc>
        <w:tc>
          <w:tcPr>
            <w:tcW w:w="4762" w:type="dxa"/>
            <w:hideMark/>
          </w:tcPr>
          <w:p w14:paraId="418991A4"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Net cash appropriation arrangements involve the cessation of funding for depreciation, amortisation and make good expenses. Funding for these expenses has been replaced with a collection development and acquisition budget (CDAB) for designated collection institutions (DCIs), and departmental capital budgets (DCBs).</w:t>
            </w:r>
          </w:p>
        </w:tc>
      </w:tr>
      <w:tr w:rsidR="006F4933" w14:paraId="418991A8" w14:textId="77777777" w:rsidTr="00986CB7">
        <w:trPr>
          <w:gridAfter w:val="1"/>
          <w:wAfter w:w="216" w:type="dxa"/>
        </w:trPr>
        <w:tc>
          <w:tcPr>
            <w:tcW w:w="2840" w:type="dxa"/>
            <w:hideMark/>
          </w:tcPr>
          <w:p w14:paraId="418991A6"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Departmental item</w:t>
            </w:r>
          </w:p>
        </w:tc>
        <w:tc>
          <w:tcPr>
            <w:tcW w:w="4762" w:type="dxa"/>
            <w:hideMark/>
          </w:tcPr>
          <w:p w14:paraId="418991A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Resources (assets, liabilities, revenues and expenses) that entity chief executive officers control directly. This includes outsourced activities funded and controlled by the entity. Examples of departmental items include entity running costs, accrued employee entitlements and net appropriations. A departmental item is a component of a departmental program.</w:t>
            </w:r>
          </w:p>
        </w:tc>
      </w:tr>
      <w:tr w:rsidR="006F4933" w14:paraId="418991AB" w14:textId="77777777" w:rsidTr="00986CB7">
        <w:trPr>
          <w:gridAfter w:val="1"/>
          <w:wAfter w:w="216" w:type="dxa"/>
        </w:trPr>
        <w:tc>
          <w:tcPr>
            <w:tcW w:w="2840" w:type="dxa"/>
            <w:hideMark/>
          </w:tcPr>
          <w:p w14:paraId="418991A9"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Depreciation</w:t>
            </w:r>
          </w:p>
        </w:tc>
        <w:tc>
          <w:tcPr>
            <w:tcW w:w="4762" w:type="dxa"/>
            <w:hideMark/>
          </w:tcPr>
          <w:p w14:paraId="418991A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Apportionment of an asset’s capital value as an expense over its estimated useful life to take account of normal usage, obsolescence, or the passage of time.</w:t>
            </w:r>
          </w:p>
        </w:tc>
      </w:tr>
      <w:tr w:rsidR="006F4933" w14:paraId="418991AE" w14:textId="77777777" w:rsidTr="00986CB7">
        <w:trPr>
          <w:gridAfter w:val="1"/>
          <w:wAfter w:w="216" w:type="dxa"/>
        </w:trPr>
        <w:tc>
          <w:tcPr>
            <w:tcW w:w="2840" w:type="dxa"/>
            <w:hideMark/>
          </w:tcPr>
          <w:p w14:paraId="418991AC"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Equity or net assets</w:t>
            </w:r>
          </w:p>
        </w:tc>
        <w:tc>
          <w:tcPr>
            <w:tcW w:w="4762" w:type="dxa"/>
            <w:hideMark/>
          </w:tcPr>
          <w:p w14:paraId="418991A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Residual interest in the assets of an entity after deduction of its liabilities.</w:t>
            </w:r>
          </w:p>
        </w:tc>
      </w:tr>
      <w:tr w:rsidR="006F4933" w14:paraId="418991B1" w14:textId="77777777" w:rsidTr="00986CB7">
        <w:trPr>
          <w:gridAfter w:val="1"/>
          <w:wAfter w:w="216" w:type="dxa"/>
        </w:trPr>
        <w:tc>
          <w:tcPr>
            <w:tcW w:w="2840" w:type="dxa"/>
            <w:hideMark/>
          </w:tcPr>
          <w:p w14:paraId="418991AF"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Entity</w:t>
            </w:r>
          </w:p>
        </w:tc>
        <w:tc>
          <w:tcPr>
            <w:tcW w:w="4762" w:type="dxa"/>
            <w:hideMark/>
          </w:tcPr>
          <w:p w14:paraId="418991B0"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 department, agency, company or authority under the </w:t>
            </w:r>
            <w:r>
              <w:rPr>
                <w:rFonts w:ascii="Book Antiqua" w:hAnsi="Book Antiqua"/>
                <w:i/>
                <w:sz w:val="20"/>
                <w:lang w:eastAsia="en-US"/>
              </w:rPr>
              <w:t>Public Governance, Performance and Accountability Act 2013</w:t>
            </w:r>
            <w:r>
              <w:rPr>
                <w:rFonts w:ascii="Book Antiqua" w:hAnsi="Book Antiqua"/>
                <w:sz w:val="20"/>
                <w:lang w:eastAsia="en-US"/>
              </w:rPr>
              <w:t xml:space="preserve"> (PGPA Act) or any other Commonwealth statutory authority.</w:t>
            </w:r>
          </w:p>
        </w:tc>
      </w:tr>
      <w:tr w:rsidR="006F4933" w14:paraId="418991B4" w14:textId="77777777" w:rsidTr="00986CB7">
        <w:trPr>
          <w:gridAfter w:val="1"/>
          <w:wAfter w:w="216" w:type="dxa"/>
        </w:trPr>
        <w:tc>
          <w:tcPr>
            <w:tcW w:w="2840" w:type="dxa"/>
            <w:hideMark/>
          </w:tcPr>
          <w:p w14:paraId="418991B2"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Estimated actual expenses</w:t>
            </w:r>
          </w:p>
        </w:tc>
        <w:tc>
          <w:tcPr>
            <w:tcW w:w="4762" w:type="dxa"/>
            <w:hideMark/>
          </w:tcPr>
          <w:p w14:paraId="418991B3"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Details of the current year’s estimated final figures as included in the Budget documentation. As the Budget is released in May each year, but the financial year does not close off until 30 June, the current year numbers that are used for comparison with Budget amounts can only be estimates.</w:t>
            </w:r>
          </w:p>
        </w:tc>
      </w:tr>
      <w:tr w:rsidR="006F4933" w14:paraId="418991B7" w14:textId="77777777" w:rsidTr="00986CB7">
        <w:trPr>
          <w:gridAfter w:val="1"/>
          <w:wAfter w:w="216" w:type="dxa"/>
        </w:trPr>
        <w:tc>
          <w:tcPr>
            <w:tcW w:w="2840" w:type="dxa"/>
            <w:hideMark/>
          </w:tcPr>
          <w:p w14:paraId="418991B5"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lastRenderedPageBreak/>
              <w:t>Expenditure</w:t>
            </w:r>
          </w:p>
        </w:tc>
        <w:tc>
          <w:tcPr>
            <w:tcW w:w="4762" w:type="dxa"/>
            <w:hideMark/>
          </w:tcPr>
          <w:p w14:paraId="418991B6"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Spending money from the Consolidated Revenue Fund or a notional payment to a PGPA entity.</w:t>
            </w:r>
          </w:p>
        </w:tc>
      </w:tr>
      <w:tr w:rsidR="006F4933" w14:paraId="418991BA" w14:textId="77777777" w:rsidTr="00986CB7">
        <w:trPr>
          <w:gridAfter w:val="1"/>
          <w:wAfter w:w="216" w:type="dxa"/>
        </w:trPr>
        <w:tc>
          <w:tcPr>
            <w:tcW w:w="2840" w:type="dxa"/>
            <w:hideMark/>
          </w:tcPr>
          <w:p w14:paraId="418991B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w:t>
            </w:r>
          </w:p>
        </w:tc>
        <w:tc>
          <w:tcPr>
            <w:tcW w:w="4762" w:type="dxa"/>
            <w:hideMark/>
          </w:tcPr>
          <w:p w14:paraId="418991B9"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Decreases in economic benefits in the form of outflows or depletions of assets or incurrence of liabilities that result in decreases in equity, other than those relating to distributions to equity participants.</w:t>
            </w:r>
          </w:p>
        </w:tc>
      </w:tr>
      <w:tr w:rsidR="006F4933" w14:paraId="418991BD" w14:textId="77777777" w:rsidTr="006F4933">
        <w:trPr>
          <w:gridAfter w:val="1"/>
          <w:wAfter w:w="216" w:type="dxa"/>
        </w:trPr>
        <w:tc>
          <w:tcPr>
            <w:tcW w:w="2840" w:type="dxa"/>
            <w:hideMark/>
          </w:tcPr>
          <w:p w14:paraId="418991BB"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Expenses not requiring appropriation in the Budget year</w:t>
            </w:r>
          </w:p>
        </w:tc>
        <w:tc>
          <w:tcPr>
            <w:tcW w:w="4762" w:type="dxa"/>
            <w:hideMark/>
          </w:tcPr>
          <w:p w14:paraId="418991BC"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Expenses not involving a cash flow impact are not included within the calculation of an appropriation. An example of such an event is goods or services received free of charge that are then expensed; for example, ANAO audit services. The ANAO does not charge for audit services; however, the expense must be recognised. Similarly, bad debts are recognised as an expense but are not recognised for the purpose of calculating appropriation amounts to be sought from Parliament.</w:t>
            </w:r>
          </w:p>
        </w:tc>
      </w:tr>
      <w:tr w:rsidR="006F4933" w14:paraId="418991C0" w14:textId="77777777" w:rsidTr="006F4933">
        <w:trPr>
          <w:gridAfter w:val="1"/>
          <w:wAfter w:w="216" w:type="dxa"/>
        </w:trPr>
        <w:tc>
          <w:tcPr>
            <w:tcW w:w="2840" w:type="dxa"/>
            <w:hideMark/>
          </w:tcPr>
          <w:p w14:paraId="418991BE"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Forward estimates period</w:t>
            </w:r>
          </w:p>
        </w:tc>
        <w:tc>
          <w:tcPr>
            <w:tcW w:w="4762" w:type="dxa"/>
            <w:hideMark/>
          </w:tcPr>
          <w:p w14:paraId="418991BF" w14:textId="6AEDDDBC" w:rsidR="006F4933" w:rsidRDefault="006F4933" w:rsidP="00C12B75">
            <w:pPr>
              <w:pStyle w:val="TableTextLeft"/>
              <w:spacing w:line="256" w:lineRule="auto"/>
              <w:rPr>
                <w:rFonts w:ascii="Book Antiqua" w:hAnsi="Book Antiqua"/>
                <w:sz w:val="20"/>
                <w:lang w:eastAsia="en-US"/>
              </w:rPr>
            </w:pPr>
            <w:r>
              <w:rPr>
                <w:rFonts w:ascii="Book Antiqua" w:hAnsi="Book Antiqua"/>
                <w:sz w:val="20"/>
                <w:lang w:eastAsia="en-US"/>
              </w:rPr>
              <w:t xml:space="preserve">The three years following the </w:t>
            </w:r>
            <w:r w:rsidR="00C12B75">
              <w:rPr>
                <w:rFonts w:ascii="Book Antiqua" w:hAnsi="Book Antiqua"/>
                <w:sz w:val="20"/>
                <w:lang w:eastAsia="en-US"/>
              </w:rPr>
              <w:t>Budget year. For example if 2020-21</w:t>
            </w:r>
            <w:r>
              <w:rPr>
                <w:rFonts w:ascii="Book Antiqua" w:hAnsi="Book Antiqua"/>
                <w:sz w:val="20"/>
                <w:lang w:eastAsia="en-US"/>
              </w:rPr>
              <w:t xml:space="preserve"> is the Budget ye</w:t>
            </w:r>
            <w:r w:rsidR="00C12B75">
              <w:rPr>
                <w:rFonts w:ascii="Book Antiqua" w:hAnsi="Book Antiqua"/>
                <w:sz w:val="20"/>
                <w:lang w:eastAsia="en-US"/>
              </w:rPr>
              <w:t>ar, 2021-22</w:t>
            </w:r>
            <w:r w:rsidR="006844A0">
              <w:rPr>
                <w:rFonts w:ascii="Book Antiqua" w:hAnsi="Book Antiqua"/>
                <w:sz w:val="20"/>
                <w:lang w:eastAsia="en-US"/>
              </w:rPr>
              <w:t xml:space="preserve"> is forward year 1, </w:t>
            </w:r>
            <w:r w:rsidR="00C12B75">
              <w:rPr>
                <w:rFonts w:ascii="Book Antiqua" w:hAnsi="Book Antiqua"/>
                <w:sz w:val="20"/>
                <w:lang w:eastAsia="en-US"/>
              </w:rPr>
              <w:t>2022-23 is forward year 2 and 2023</w:t>
            </w:r>
            <w:r w:rsidR="006844A0">
              <w:rPr>
                <w:rFonts w:ascii="Book Antiqua" w:hAnsi="Book Antiqua"/>
                <w:sz w:val="20"/>
                <w:lang w:eastAsia="en-US"/>
              </w:rPr>
              <w:noBreakHyphen/>
            </w:r>
            <w:r w:rsidR="00C12B75">
              <w:rPr>
                <w:rFonts w:ascii="Book Antiqua" w:hAnsi="Book Antiqua"/>
                <w:sz w:val="20"/>
                <w:lang w:eastAsia="en-US"/>
              </w:rPr>
              <w:t>24</w:t>
            </w:r>
            <w:r>
              <w:rPr>
                <w:rFonts w:ascii="Book Antiqua" w:hAnsi="Book Antiqua"/>
                <w:sz w:val="20"/>
                <w:lang w:eastAsia="en-US"/>
              </w:rPr>
              <w:t xml:space="preserve"> is forward year 3. </w:t>
            </w:r>
          </w:p>
        </w:tc>
      </w:tr>
      <w:tr w:rsidR="006F4933" w14:paraId="418991C3" w14:textId="77777777" w:rsidTr="006F4933">
        <w:trPr>
          <w:gridAfter w:val="1"/>
          <w:wAfter w:w="216" w:type="dxa"/>
        </w:trPr>
        <w:tc>
          <w:tcPr>
            <w:tcW w:w="2840" w:type="dxa"/>
            <w:hideMark/>
          </w:tcPr>
          <w:p w14:paraId="418991C1"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Funds</w:t>
            </w:r>
          </w:p>
        </w:tc>
        <w:tc>
          <w:tcPr>
            <w:tcW w:w="4762" w:type="dxa"/>
            <w:hideMark/>
          </w:tcPr>
          <w:p w14:paraId="418991C2"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Money that has been appropriated but not drawn from the Consolidated Revenue Fund.</w:t>
            </w:r>
          </w:p>
        </w:tc>
      </w:tr>
      <w:tr w:rsidR="006F4933" w14:paraId="418991C6" w14:textId="77777777" w:rsidTr="006F4933">
        <w:trPr>
          <w:gridAfter w:val="1"/>
          <w:wAfter w:w="216" w:type="dxa"/>
        </w:trPr>
        <w:tc>
          <w:tcPr>
            <w:tcW w:w="2840" w:type="dxa"/>
            <w:hideMark/>
          </w:tcPr>
          <w:p w14:paraId="418991C4"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Income</w:t>
            </w:r>
          </w:p>
        </w:tc>
        <w:tc>
          <w:tcPr>
            <w:tcW w:w="4762" w:type="dxa"/>
            <w:hideMark/>
          </w:tcPr>
          <w:p w14:paraId="418991C5"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Total value of resources earned or received to cover the production of goods and services.</w:t>
            </w:r>
          </w:p>
        </w:tc>
      </w:tr>
      <w:tr w:rsidR="006F4933" w14:paraId="418991C9" w14:textId="77777777" w:rsidTr="006F4933">
        <w:trPr>
          <w:gridAfter w:val="1"/>
          <w:wAfter w:w="216" w:type="dxa"/>
        </w:trPr>
        <w:tc>
          <w:tcPr>
            <w:tcW w:w="2840" w:type="dxa"/>
            <w:hideMark/>
          </w:tcPr>
          <w:p w14:paraId="418991C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Make good</w:t>
            </w:r>
          </w:p>
        </w:tc>
        <w:tc>
          <w:tcPr>
            <w:tcW w:w="4762" w:type="dxa"/>
            <w:hideMark/>
          </w:tcPr>
          <w:p w14:paraId="418991C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Make good is the cost of dismantling and removing an item and restoring the site on which it is located, the obligation for which an entity incurs either when the item is acquired or as a consequence of having used the item during a particular period for purposes other than to produce inventories during that period. A common example of make good in the public sector is the restoration of office premises at the end of a lease period.</w:t>
            </w:r>
          </w:p>
        </w:tc>
      </w:tr>
      <w:tr w:rsidR="006F4933" w14:paraId="418991CC" w14:textId="77777777" w:rsidTr="00986CB7">
        <w:trPr>
          <w:gridAfter w:val="1"/>
          <w:wAfter w:w="216" w:type="dxa"/>
        </w:trPr>
        <w:tc>
          <w:tcPr>
            <w:tcW w:w="2840" w:type="dxa"/>
            <w:hideMark/>
          </w:tcPr>
          <w:p w14:paraId="418991CA"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lastRenderedPageBreak/>
              <w:t>Mid-Year Economic and Fiscal Outlook (MYEFO)</w:t>
            </w:r>
          </w:p>
        </w:tc>
        <w:tc>
          <w:tcPr>
            <w:tcW w:w="4762" w:type="dxa"/>
            <w:hideMark/>
          </w:tcPr>
          <w:p w14:paraId="418991CB"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The MYEFO provides an update of the government’s budget estimates by examining expenses and revenues in the year to date, as well as provisions for new decisions that have been taken since the Budget. The report provides updated information to allow the assessment of the government’s fiscal performance against the fiscal strategy set out in its current fiscal strategy statement.</w:t>
            </w:r>
          </w:p>
        </w:tc>
      </w:tr>
      <w:tr w:rsidR="006F4933" w14:paraId="418991CF" w14:textId="77777777" w:rsidTr="00986CB7">
        <w:trPr>
          <w:gridAfter w:val="1"/>
          <w:wAfter w:w="216" w:type="dxa"/>
        </w:trPr>
        <w:tc>
          <w:tcPr>
            <w:tcW w:w="2840" w:type="dxa"/>
            <w:hideMark/>
          </w:tcPr>
          <w:p w14:paraId="418991C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‘Movement of Funds’ between years</w:t>
            </w:r>
          </w:p>
        </w:tc>
        <w:tc>
          <w:tcPr>
            <w:tcW w:w="4762" w:type="dxa"/>
            <w:hideMark/>
          </w:tcPr>
          <w:p w14:paraId="418991CE"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 ‘movement of funds’ process is carried out twice each year in relation to un-expensed administered operating appropriations. This involves portfolio ministers submitting requests to the Finance Minister advising of timing changes to funding requirements. If agreed by the Finance Minister, there will be an increase in the amount appropriated in later year(s).</w:t>
            </w:r>
          </w:p>
        </w:tc>
      </w:tr>
      <w:tr w:rsidR="006F4933" w14:paraId="418991D3" w14:textId="77777777" w:rsidTr="00986CB7">
        <w:trPr>
          <w:gridAfter w:val="1"/>
          <w:wAfter w:w="216" w:type="dxa"/>
        </w:trPr>
        <w:tc>
          <w:tcPr>
            <w:tcW w:w="2840" w:type="dxa"/>
            <w:hideMark/>
          </w:tcPr>
          <w:p w14:paraId="418991D0" w14:textId="77777777" w:rsidR="006F4933" w:rsidRDefault="006F4933" w:rsidP="00986CB7">
            <w:pPr>
              <w:pStyle w:val="TableTextLeft"/>
              <w:spacing w:line="256" w:lineRule="auto"/>
              <w:rPr>
                <w:rFonts w:ascii="Book Antiqua" w:hAnsi="Book Antiqua"/>
                <w:sz w:val="20"/>
                <w:lang w:eastAsia="en-US"/>
              </w:rPr>
            </w:pPr>
            <w:r w:rsidRPr="00EE5210">
              <w:rPr>
                <w:rFonts w:ascii="Book Antiqua" w:hAnsi="Book Antiqua"/>
                <w:sz w:val="20"/>
                <w:lang w:eastAsia="en-US"/>
              </w:rPr>
              <w:t xml:space="preserve">Net cash </w:t>
            </w:r>
            <w:r w:rsidR="00EE5210" w:rsidRPr="00EE5210">
              <w:rPr>
                <w:rFonts w:ascii="Book Antiqua" w:hAnsi="Book Antiqua"/>
                <w:sz w:val="20"/>
                <w:lang w:eastAsia="en-US"/>
              </w:rPr>
              <w:t>appropriation arrangements</w:t>
            </w:r>
          </w:p>
        </w:tc>
        <w:tc>
          <w:tcPr>
            <w:tcW w:w="4762" w:type="dxa"/>
            <w:hideMark/>
          </w:tcPr>
          <w:p w14:paraId="418991D1"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net cash framework, implemented from the 2010-11 Budget, replaces funding for depreciation and amortisation expenses with a departmental capital budget (DCB) and the funding of make good expenses will cease to be paid in advance.</w:t>
            </w:r>
          </w:p>
          <w:p w14:paraId="418991D2"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net cash framework applies to general government sector entities that receive funding from annual appropriations directly or via a special account, with the exception of the Department of Defence.</w:t>
            </w:r>
          </w:p>
        </w:tc>
      </w:tr>
      <w:tr w:rsidR="006F4933" w14:paraId="418991D6" w14:textId="77777777" w:rsidTr="00986CB7">
        <w:trPr>
          <w:gridAfter w:val="1"/>
          <w:wAfter w:w="216" w:type="dxa"/>
        </w:trPr>
        <w:tc>
          <w:tcPr>
            <w:tcW w:w="2840" w:type="dxa"/>
            <w:hideMark/>
          </w:tcPr>
          <w:p w14:paraId="418991D4"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Non-operating</w:t>
            </w:r>
          </w:p>
        </w:tc>
        <w:tc>
          <w:tcPr>
            <w:tcW w:w="4762" w:type="dxa"/>
            <w:hideMark/>
          </w:tcPr>
          <w:p w14:paraId="418991D5"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Sometimes called ‘capital’ costs.</w:t>
            </w:r>
          </w:p>
        </w:tc>
      </w:tr>
      <w:tr w:rsidR="006F4933" w14:paraId="418991D9" w14:textId="77777777" w:rsidTr="00986CB7">
        <w:trPr>
          <w:gridAfter w:val="1"/>
          <w:wAfter w:w="216" w:type="dxa"/>
        </w:trPr>
        <w:tc>
          <w:tcPr>
            <w:tcW w:w="2840" w:type="dxa"/>
            <w:hideMark/>
          </w:tcPr>
          <w:p w14:paraId="418991D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Official Public Account (OPA)</w:t>
            </w:r>
          </w:p>
        </w:tc>
        <w:tc>
          <w:tcPr>
            <w:tcW w:w="4762" w:type="dxa"/>
            <w:hideMark/>
          </w:tcPr>
          <w:p w14:paraId="418991D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OPA is the Australian Government’s central bank account held within the Reserve Bank of Australia. The OPA reflects the operations of the Consolidated Revenue Fund.</w:t>
            </w:r>
          </w:p>
        </w:tc>
      </w:tr>
      <w:tr w:rsidR="006F4933" w14:paraId="418991DC" w14:textId="77777777" w:rsidTr="00986CB7">
        <w:trPr>
          <w:gridAfter w:val="1"/>
          <w:wAfter w:w="216" w:type="dxa"/>
        </w:trPr>
        <w:tc>
          <w:tcPr>
            <w:tcW w:w="2840" w:type="dxa"/>
            <w:hideMark/>
          </w:tcPr>
          <w:p w14:paraId="418991D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Operating</w:t>
            </w:r>
          </w:p>
        </w:tc>
        <w:tc>
          <w:tcPr>
            <w:tcW w:w="4762" w:type="dxa"/>
            <w:hideMark/>
          </w:tcPr>
          <w:p w14:paraId="418991DB"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Normally related to ongoing, or recurring expenses, such as paying salaries or making program payments.</w:t>
            </w:r>
          </w:p>
        </w:tc>
      </w:tr>
      <w:tr w:rsidR="006F4933" w14:paraId="418991DF" w14:textId="77777777" w:rsidTr="00986CB7">
        <w:trPr>
          <w:gridAfter w:val="1"/>
          <w:wAfter w:w="216" w:type="dxa"/>
        </w:trPr>
        <w:tc>
          <w:tcPr>
            <w:tcW w:w="2840" w:type="dxa"/>
            <w:hideMark/>
          </w:tcPr>
          <w:p w14:paraId="418991D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Operating result</w:t>
            </w:r>
          </w:p>
        </w:tc>
        <w:tc>
          <w:tcPr>
            <w:tcW w:w="4762" w:type="dxa"/>
            <w:hideMark/>
          </w:tcPr>
          <w:p w14:paraId="418991DE"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Equals income less expenses.</w:t>
            </w:r>
          </w:p>
        </w:tc>
      </w:tr>
      <w:tr w:rsidR="006F4933" w14:paraId="418991E2" w14:textId="77777777" w:rsidTr="00986CB7">
        <w:trPr>
          <w:gridAfter w:val="1"/>
          <w:wAfter w:w="216" w:type="dxa"/>
        </w:trPr>
        <w:tc>
          <w:tcPr>
            <w:tcW w:w="2840" w:type="dxa"/>
            <w:hideMark/>
          </w:tcPr>
          <w:p w14:paraId="418991E0"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lastRenderedPageBreak/>
              <w:t>Outcome</w:t>
            </w:r>
          </w:p>
        </w:tc>
        <w:tc>
          <w:tcPr>
            <w:tcW w:w="4762" w:type="dxa"/>
            <w:hideMark/>
          </w:tcPr>
          <w:p w14:paraId="418991E1"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An outcome is the intended result, consequence or impact of government actions on the Australian community.</w:t>
            </w:r>
          </w:p>
        </w:tc>
      </w:tr>
      <w:tr w:rsidR="006F4933" w14:paraId="418991E6" w14:textId="77777777" w:rsidTr="00986CB7">
        <w:trPr>
          <w:gridAfter w:val="1"/>
          <w:wAfter w:w="216" w:type="dxa"/>
        </w:trPr>
        <w:tc>
          <w:tcPr>
            <w:tcW w:w="2840" w:type="dxa"/>
            <w:hideMark/>
          </w:tcPr>
          <w:p w14:paraId="418991E4" w14:textId="143B8946" w:rsidR="006F4933" w:rsidRPr="00C12B75" w:rsidRDefault="006F4933" w:rsidP="00C12B75">
            <w:pPr>
              <w:pStyle w:val="TableTextLeft"/>
              <w:spacing w:line="256" w:lineRule="auto"/>
              <w:rPr>
                <w:rFonts w:ascii="Book Antiqua" w:hAnsi="Book Antiqua"/>
                <w:i/>
                <w:sz w:val="20"/>
                <w:lang w:eastAsia="en-US"/>
              </w:rPr>
            </w:pPr>
            <w:r w:rsidRPr="00C12B75">
              <w:rPr>
                <w:rFonts w:ascii="Book Antiqua" w:hAnsi="Book Antiqua"/>
                <w:i/>
                <w:sz w:val="20"/>
                <w:lang w:eastAsia="en-US"/>
              </w:rPr>
              <w:t>Public Governance, Performance and Accountability Act 2013</w:t>
            </w:r>
            <w:r>
              <w:rPr>
                <w:rFonts w:ascii="Book Antiqua" w:hAnsi="Book Antiqua"/>
                <w:sz w:val="20"/>
                <w:lang w:eastAsia="en-US"/>
              </w:rPr>
              <w:t xml:space="preserve"> </w:t>
            </w:r>
          </w:p>
        </w:tc>
        <w:tc>
          <w:tcPr>
            <w:tcW w:w="4762" w:type="dxa"/>
            <w:hideMark/>
          </w:tcPr>
          <w:p w14:paraId="418991E5"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PGPA Act is the principal legislation concerning the governance, performance and accountability of, and the use and management of public resources by the Commonwealth.</w:t>
            </w:r>
          </w:p>
        </w:tc>
      </w:tr>
      <w:tr w:rsidR="006F4933" w14:paraId="418991E9" w14:textId="77777777" w:rsidTr="00986CB7">
        <w:trPr>
          <w:gridAfter w:val="1"/>
          <w:wAfter w:w="216" w:type="dxa"/>
        </w:trPr>
        <w:tc>
          <w:tcPr>
            <w:tcW w:w="2840" w:type="dxa"/>
            <w:hideMark/>
          </w:tcPr>
          <w:p w14:paraId="418991E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Portfolio Budget Statements</w:t>
            </w:r>
          </w:p>
        </w:tc>
        <w:tc>
          <w:tcPr>
            <w:tcW w:w="4762" w:type="dxa"/>
            <w:hideMark/>
          </w:tcPr>
          <w:p w14:paraId="418991E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Budget related paper detailing budget initiatives and explanations of appropriations specified by outcome and program by each entity within a portfolio.</w:t>
            </w:r>
          </w:p>
        </w:tc>
      </w:tr>
      <w:tr w:rsidR="006F4933" w14:paraId="418991EC" w14:textId="77777777" w:rsidTr="00986CB7">
        <w:trPr>
          <w:gridAfter w:val="1"/>
          <w:wAfter w:w="216" w:type="dxa"/>
        </w:trPr>
        <w:tc>
          <w:tcPr>
            <w:tcW w:w="2840" w:type="dxa"/>
            <w:hideMark/>
          </w:tcPr>
          <w:p w14:paraId="418991E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Program</w:t>
            </w:r>
          </w:p>
        </w:tc>
        <w:tc>
          <w:tcPr>
            <w:tcW w:w="4762" w:type="dxa"/>
            <w:hideMark/>
          </w:tcPr>
          <w:p w14:paraId="418991EB"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Activity that delivers benefits, services or transfer payments to individuals, industry and/or the community as a whole, with the aim of achieving the intended result specified in an outcome statement.</w:t>
            </w:r>
          </w:p>
        </w:tc>
      </w:tr>
      <w:tr w:rsidR="006F4933" w14:paraId="418991EF" w14:textId="77777777" w:rsidTr="00986CB7">
        <w:trPr>
          <w:gridAfter w:val="1"/>
          <w:wAfter w:w="216" w:type="dxa"/>
        </w:trPr>
        <w:tc>
          <w:tcPr>
            <w:tcW w:w="2840" w:type="dxa"/>
            <w:hideMark/>
          </w:tcPr>
          <w:p w14:paraId="418991E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Program support</w:t>
            </w:r>
          </w:p>
        </w:tc>
        <w:tc>
          <w:tcPr>
            <w:tcW w:w="4762" w:type="dxa"/>
            <w:hideMark/>
          </w:tcPr>
          <w:p w14:paraId="418991EE"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entity running costs allocated to a program. This is funded as part of the entity’s departmental appropriations.</w:t>
            </w:r>
          </w:p>
        </w:tc>
      </w:tr>
      <w:tr w:rsidR="006F4933" w14:paraId="418991F2" w14:textId="77777777" w:rsidTr="00986CB7">
        <w:trPr>
          <w:gridAfter w:val="1"/>
          <w:wAfter w:w="216" w:type="dxa"/>
        </w:trPr>
        <w:tc>
          <w:tcPr>
            <w:tcW w:w="2840" w:type="dxa"/>
            <w:hideMark/>
          </w:tcPr>
          <w:p w14:paraId="418991F0"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Special account</w:t>
            </w:r>
          </w:p>
        </w:tc>
        <w:tc>
          <w:tcPr>
            <w:tcW w:w="4762" w:type="dxa"/>
            <w:hideMark/>
          </w:tcPr>
          <w:p w14:paraId="418991F1"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Balances existing within the CRF that are supported by standing appropriations, PGPA Act s.78, s.79 and s.80). Special accounts allow money in the CRF to be acknowledged as set-aside (hypothecated) for a particular purpose. Amounts credited to a special account can only be spent for the purposes of the special account. Special accounts can only be established by a written determination of the Finance Minister (s. 78 of the PGPA Act) or through an Act of Parliament (referred to in s. 80 of the PGPA Act).</w:t>
            </w:r>
          </w:p>
        </w:tc>
      </w:tr>
      <w:tr w:rsidR="006F4933" w14:paraId="418991F6" w14:textId="77777777" w:rsidTr="00986CB7">
        <w:trPr>
          <w:gridAfter w:val="1"/>
          <w:wAfter w:w="216" w:type="dxa"/>
        </w:trPr>
        <w:tc>
          <w:tcPr>
            <w:tcW w:w="2840" w:type="dxa"/>
            <w:hideMark/>
          </w:tcPr>
          <w:p w14:paraId="418991F3"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Special appropriations (including standing appropriations)</w:t>
            </w:r>
          </w:p>
        </w:tc>
        <w:tc>
          <w:tcPr>
            <w:tcW w:w="4762" w:type="dxa"/>
            <w:hideMark/>
          </w:tcPr>
          <w:p w14:paraId="418991F4"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An amount of money appropriated by a particular Act of Parliament for a specific purpose and number of years. For special appropriations, the authority to withdraw funds from the CRF does not generally cease at the end of the financial year.</w:t>
            </w:r>
          </w:p>
          <w:p w14:paraId="418991F5" w14:textId="77777777" w:rsidR="006F4933" w:rsidRDefault="006F4933" w:rsidP="00C33C8B">
            <w:pPr>
              <w:pStyle w:val="TableTextLeft"/>
              <w:keepNext/>
              <w:keepLines/>
              <w:spacing w:line="257" w:lineRule="auto"/>
              <w:rPr>
                <w:rFonts w:ascii="Book Antiqua" w:hAnsi="Book Antiqua"/>
                <w:sz w:val="20"/>
                <w:lang w:eastAsia="en-US"/>
              </w:rPr>
            </w:pPr>
            <w:r>
              <w:rPr>
                <w:rFonts w:ascii="Book Antiqua" w:hAnsi="Book Antiqua"/>
                <w:sz w:val="20"/>
                <w:lang w:eastAsia="en-US"/>
              </w:rPr>
              <w:t>Standing appropriations are a subcategory consisting of ongoing special appropriations – the amount appropriated will depend on circumstances specified in the legislation</w:t>
            </w:r>
            <w:r w:rsidR="00C33C8B">
              <w:rPr>
                <w:rFonts w:ascii="Book Antiqua" w:hAnsi="Book Antiqua"/>
                <w:sz w:val="20"/>
                <w:lang w:eastAsia="en-US"/>
              </w:rPr>
              <w:t>.</w:t>
            </w:r>
          </w:p>
        </w:tc>
      </w:tr>
    </w:tbl>
    <w:p w14:paraId="40CFB993" w14:textId="77777777" w:rsidR="00FA7C34" w:rsidRDefault="00FA7C34" w:rsidP="00C33C8B">
      <w:pPr>
        <w:sectPr w:rsidR="00FA7C34" w:rsidSect="00355807">
          <w:headerReference w:type="even" r:id="rId10"/>
          <w:headerReference w:type="default" r:id="rId11"/>
          <w:footerReference w:type="even" r:id="rId12"/>
          <w:footerReference w:type="default" r:id="rId13"/>
          <w:headerReference w:type="first" r:id="rId14"/>
          <w:footerReference w:type="first" r:id="rId15"/>
          <w:pgSz w:w="11906" w:h="16838" w:code="9"/>
          <w:pgMar w:top="2466" w:right="2098" w:bottom="2515" w:left="2098" w:header="1899" w:footer="1899" w:gutter="0"/>
          <w:pgNumType w:start="375"/>
          <w:cols w:space="708"/>
          <w:titlePg/>
          <w:docGrid w:linePitch="360"/>
        </w:sectPr>
      </w:pPr>
    </w:p>
    <w:p w14:paraId="035E5F44" w14:textId="30762E01" w:rsidR="00A71F94" w:rsidRPr="00C33C8B" w:rsidRDefault="00C70284" w:rsidP="00C33C8B"/>
    <w:sectPr w:rsidR="00A71F94" w:rsidRPr="00C33C8B" w:rsidSect="00FA7C34">
      <w:footerReference w:type="first" r:id="rId16"/>
      <w:type w:val="oddPage"/>
      <w:pgSz w:w="11906" w:h="16838" w:code="9"/>
      <w:pgMar w:top="2466" w:right="2098" w:bottom="2515" w:left="2098" w:header="1899" w:footer="1899" w:gutter="0"/>
      <w:pgNumType w:start="3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991FA" w14:textId="77777777" w:rsidR="002852DC" w:rsidRDefault="002852DC" w:rsidP="002852DC">
      <w:pPr>
        <w:spacing w:after="0" w:line="240" w:lineRule="auto"/>
      </w:pPr>
      <w:r>
        <w:separator/>
      </w:r>
    </w:p>
  </w:endnote>
  <w:endnote w:type="continuationSeparator" w:id="0">
    <w:p w14:paraId="418991FB" w14:textId="77777777" w:rsidR="002852DC" w:rsidRDefault="002852DC" w:rsidP="0028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703187"/>
      <w:docPartObj>
        <w:docPartGallery w:val="Page Numbers (Bottom of Page)"/>
        <w:docPartUnique/>
      </w:docPartObj>
    </w:sdtPr>
    <w:sdtEndPr>
      <w:rPr>
        <w:rFonts w:ascii="Arial" w:hAnsi="Arial" w:cs="Arial"/>
        <w:noProof/>
      </w:rPr>
    </w:sdtEndPr>
    <w:sdtContent>
      <w:p w14:paraId="418991FE" w14:textId="6750FAD7" w:rsidR="006C633E" w:rsidRPr="006C633E" w:rsidRDefault="006C633E" w:rsidP="006C633E">
        <w:pPr>
          <w:pStyle w:val="Footer"/>
          <w:jc w:val="center"/>
          <w:rPr>
            <w:rFonts w:ascii="Arial" w:hAnsi="Arial" w:cs="Arial"/>
          </w:rPr>
        </w:pPr>
        <w:r w:rsidRPr="006C633E">
          <w:rPr>
            <w:rFonts w:ascii="Arial" w:hAnsi="Arial" w:cs="Arial"/>
          </w:rPr>
          <w:fldChar w:fldCharType="begin"/>
        </w:r>
        <w:r w:rsidRPr="006C633E">
          <w:rPr>
            <w:rFonts w:ascii="Arial" w:hAnsi="Arial" w:cs="Arial"/>
          </w:rPr>
          <w:instrText xml:space="preserve"> PAGE   \* MERGEFORMAT </w:instrText>
        </w:r>
        <w:r w:rsidRPr="006C633E">
          <w:rPr>
            <w:rFonts w:ascii="Arial" w:hAnsi="Arial" w:cs="Arial"/>
          </w:rPr>
          <w:fldChar w:fldCharType="separate"/>
        </w:r>
        <w:r w:rsidR="00C70284">
          <w:rPr>
            <w:rFonts w:ascii="Arial" w:hAnsi="Arial" w:cs="Arial"/>
            <w:noProof/>
          </w:rPr>
          <w:t>376</w:t>
        </w:r>
        <w:r w:rsidRPr="006C633E">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77935"/>
      <w:docPartObj>
        <w:docPartGallery w:val="Page Numbers (Bottom of Page)"/>
        <w:docPartUnique/>
      </w:docPartObj>
    </w:sdtPr>
    <w:sdtEndPr>
      <w:rPr>
        <w:rFonts w:ascii="Arial" w:hAnsi="Arial" w:cs="Arial"/>
        <w:noProof/>
      </w:rPr>
    </w:sdtEndPr>
    <w:sdtContent>
      <w:p w14:paraId="418991FF" w14:textId="3F4FEE2A" w:rsidR="006C633E" w:rsidRPr="006C633E" w:rsidRDefault="006C633E" w:rsidP="006C633E">
        <w:pPr>
          <w:pStyle w:val="Footer"/>
          <w:jc w:val="center"/>
          <w:rPr>
            <w:rFonts w:ascii="Arial" w:hAnsi="Arial" w:cs="Arial"/>
          </w:rPr>
        </w:pPr>
        <w:r w:rsidRPr="006C633E">
          <w:rPr>
            <w:rFonts w:ascii="Arial" w:hAnsi="Arial" w:cs="Arial"/>
          </w:rPr>
          <w:fldChar w:fldCharType="begin"/>
        </w:r>
        <w:r w:rsidRPr="006C633E">
          <w:rPr>
            <w:rFonts w:ascii="Arial" w:hAnsi="Arial" w:cs="Arial"/>
          </w:rPr>
          <w:instrText xml:space="preserve"> PAGE   \* MERGEFORMAT </w:instrText>
        </w:r>
        <w:r w:rsidRPr="006C633E">
          <w:rPr>
            <w:rFonts w:ascii="Arial" w:hAnsi="Arial" w:cs="Arial"/>
          </w:rPr>
          <w:fldChar w:fldCharType="separate"/>
        </w:r>
        <w:r w:rsidR="00C70284">
          <w:rPr>
            <w:rFonts w:ascii="Arial" w:hAnsi="Arial" w:cs="Arial"/>
            <w:noProof/>
          </w:rPr>
          <w:t>379</w:t>
        </w:r>
        <w:r w:rsidRPr="006C633E">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525947"/>
      <w:docPartObj>
        <w:docPartGallery w:val="Page Numbers (Bottom of Page)"/>
        <w:docPartUnique/>
      </w:docPartObj>
    </w:sdtPr>
    <w:sdtEndPr>
      <w:rPr>
        <w:rFonts w:ascii="Arial" w:hAnsi="Arial" w:cs="Arial"/>
        <w:noProof/>
      </w:rPr>
    </w:sdtEndPr>
    <w:sdtContent>
      <w:p w14:paraId="41899200" w14:textId="050BA8B2" w:rsidR="006C633E" w:rsidRPr="006C633E" w:rsidRDefault="006C633E" w:rsidP="006C633E">
        <w:pPr>
          <w:pStyle w:val="Footer"/>
          <w:jc w:val="center"/>
          <w:rPr>
            <w:rFonts w:ascii="Arial" w:hAnsi="Arial" w:cs="Arial"/>
          </w:rPr>
        </w:pPr>
        <w:r w:rsidRPr="006C633E">
          <w:rPr>
            <w:rFonts w:ascii="Arial" w:hAnsi="Arial" w:cs="Arial"/>
          </w:rPr>
          <w:fldChar w:fldCharType="begin"/>
        </w:r>
        <w:r w:rsidRPr="006C633E">
          <w:rPr>
            <w:rFonts w:ascii="Arial" w:hAnsi="Arial" w:cs="Arial"/>
          </w:rPr>
          <w:instrText xml:space="preserve"> PAGE   \* MERGEFORMAT </w:instrText>
        </w:r>
        <w:r w:rsidRPr="006C633E">
          <w:rPr>
            <w:rFonts w:ascii="Arial" w:hAnsi="Arial" w:cs="Arial"/>
          </w:rPr>
          <w:fldChar w:fldCharType="separate"/>
        </w:r>
        <w:r w:rsidR="00C70284">
          <w:rPr>
            <w:rFonts w:ascii="Arial" w:hAnsi="Arial" w:cs="Arial"/>
            <w:noProof/>
          </w:rPr>
          <w:t>375</w:t>
        </w:r>
        <w:r w:rsidRPr="006C633E">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526269"/>
      <w:docPartObj>
        <w:docPartGallery w:val="Page Numbers (Bottom of Page)"/>
        <w:docPartUnique/>
      </w:docPartObj>
    </w:sdtPr>
    <w:sdtEndPr>
      <w:rPr>
        <w:rFonts w:ascii="Arial" w:hAnsi="Arial" w:cs="Arial"/>
        <w:noProof/>
      </w:rPr>
    </w:sdtEndPr>
    <w:sdtContent>
      <w:p w14:paraId="4F2FF088" w14:textId="21A05F6B" w:rsidR="00FA7C34" w:rsidRPr="006C633E" w:rsidRDefault="00C70284" w:rsidP="006C633E">
        <w:pPr>
          <w:pStyle w:val="Footer"/>
          <w:jc w:val="center"/>
          <w:rPr>
            <w:rFonts w:ascii="Arial" w:hAnsi="Arial" w:cs="Ari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991F8" w14:textId="77777777" w:rsidR="002852DC" w:rsidRDefault="002852DC" w:rsidP="002852DC">
      <w:pPr>
        <w:spacing w:after="0" w:line="240" w:lineRule="auto"/>
      </w:pPr>
      <w:r>
        <w:separator/>
      </w:r>
    </w:p>
  </w:footnote>
  <w:footnote w:type="continuationSeparator" w:id="0">
    <w:p w14:paraId="418991F9" w14:textId="77777777" w:rsidR="002852DC" w:rsidRDefault="002852DC" w:rsidP="00285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991FC" w14:textId="77777777" w:rsidR="006C633E" w:rsidRPr="006C633E" w:rsidRDefault="006C633E">
    <w:pPr>
      <w:pStyle w:val="Header"/>
      <w:rPr>
        <w:i/>
      </w:rPr>
    </w:pPr>
    <w:r w:rsidRPr="006C633E">
      <w:rPr>
        <w:i/>
      </w:rPr>
      <w:t>Glossary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991FD" w14:textId="77777777" w:rsidR="006C633E" w:rsidRPr="006C633E" w:rsidRDefault="006C633E" w:rsidP="006C633E">
    <w:pPr>
      <w:pStyle w:val="Header"/>
      <w:jc w:val="right"/>
      <w:rPr>
        <w:i/>
      </w:rPr>
    </w:pPr>
    <w:r w:rsidRPr="006C633E">
      <w:rPr>
        <w:i/>
      </w:rPr>
      <w:t>Glossary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7870A" w14:textId="77777777" w:rsidR="00FA7C34" w:rsidRDefault="00FA7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BA"/>
    <w:rsid w:val="00096BBA"/>
    <w:rsid w:val="00097F91"/>
    <w:rsid w:val="002852DC"/>
    <w:rsid w:val="00300DEE"/>
    <w:rsid w:val="00317CDB"/>
    <w:rsid w:val="00355807"/>
    <w:rsid w:val="00584CCC"/>
    <w:rsid w:val="006844A0"/>
    <w:rsid w:val="006C633E"/>
    <w:rsid w:val="006F4727"/>
    <w:rsid w:val="006F4933"/>
    <w:rsid w:val="007D0EE0"/>
    <w:rsid w:val="00986CB7"/>
    <w:rsid w:val="009C41D1"/>
    <w:rsid w:val="00A609B4"/>
    <w:rsid w:val="00A81EDD"/>
    <w:rsid w:val="00B4265C"/>
    <w:rsid w:val="00C12B75"/>
    <w:rsid w:val="00C33C8B"/>
    <w:rsid w:val="00C70284"/>
    <w:rsid w:val="00CE2091"/>
    <w:rsid w:val="00EE5210"/>
    <w:rsid w:val="00FA615C"/>
    <w:rsid w:val="00FA7C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899175"/>
  <w15:docId w15:val="{FE2E985E-BAE2-4F79-9C8B-CCD93818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933"/>
    <w:pPr>
      <w:spacing w:after="240" w:line="260" w:lineRule="exact"/>
      <w:jc w:val="both"/>
    </w:pPr>
    <w:rPr>
      <w:rFonts w:ascii="Book Antiqua" w:eastAsia="Times New Roman" w:hAnsi="Book Antiqua" w:cs="Times New Roman"/>
      <w:sz w:val="20"/>
      <w:szCs w:val="20"/>
      <w:lang w:eastAsia="en-AU"/>
    </w:rPr>
  </w:style>
  <w:style w:type="paragraph" w:styleId="Heading1">
    <w:name w:val="heading 1"/>
    <w:basedOn w:val="Normal"/>
    <w:next w:val="Normal"/>
    <w:link w:val="Heading1Char"/>
    <w:qFormat/>
    <w:rsid w:val="006F4933"/>
    <w:pPr>
      <w:keepNext/>
      <w:spacing w:after="360" w:line="240" w:lineRule="auto"/>
      <w:jc w:val="center"/>
      <w:outlineLvl w:val="0"/>
    </w:pPr>
    <w:rPr>
      <w:rFonts w:ascii="Arial" w:hAnsi="Arial"/>
      <w:b/>
      <w:smallCaps/>
      <w:kern w:val="28"/>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933"/>
    <w:rPr>
      <w:rFonts w:ascii="Arial" w:eastAsia="Times New Roman" w:hAnsi="Arial" w:cs="Times New Roman"/>
      <w:b/>
      <w:smallCaps/>
      <w:kern w:val="28"/>
      <w:sz w:val="34"/>
      <w:szCs w:val="20"/>
      <w:lang w:eastAsia="en-AU"/>
    </w:rPr>
  </w:style>
  <w:style w:type="character" w:customStyle="1" w:styleId="TableTextLeftChar">
    <w:name w:val="Table Text Left Char"/>
    <w:link w:val="TableTextLeft"/>
    <w:locked/>
    <w:rsid w:val="006F4933"/>
    <w:rPr>
      <w:rFonts w:ascii="Arial" w:eastAsia="Times New Roman" w:hAnsi="Arial" w:cs="Times New Roman"/>
      <w:sz w:val="18"/>
      <w:szCs w:val="20"/>
      <w:lang w:eastAsia="en-AU"/>
    </w:rPr>
  </w:style>
  <w:style w:type="paragraph" w:customStyle="1" w:styleId="TableTextLeft">
    <w:name w:val="Table Text Left"/>
    <w:basedOn w:val="Normal"/>
    <w:link w:val="TableTextLeftChar"/>
    <w:rsid w:val="006F4933"/>
    <w:pPr>
      <w:spacing w:before="60" w:after="60" w:line="240" w:lineRule="auto"/>
      <w:jc w:val="left"/>
    </w:pPr>
    <w:rPr>
      <w:rFonts w:ascii="Arial" w:hAnsi="Arial"/>
      <w:sz w:val="18"/>
    </w:rPr>
  </w:style>
  <w:style w:type="paragraph" w:customStyle="1" w:styleId="TableColumnHeadingLeft">
    <w:name w:val="Table Column Heading Left"/>
    <w:basedOn w:val="Normal"/>
    <w:next w:val="TableTextLeft"/>
    <w:rsid w:val="006F4933"/>
    <w:pPr>
      <w:spacing w:before="60" w:after="60" w:line="240" w:lineRule="auto"/>
      <w:jc w:val="left"/>
    </w:pPr>
    <w:rPr>
      <w:rFonts w:ascii="Arial" w:hAnsi="Arial"/>
      <w:b/>
    </w:rPr>
  </w:style>
  <w:style w:type="character" w:customStyle="1" w:styleId="endChar">
    <w:name w:val="end Char"/>
    <w:basedOn w:val="Heading1Char"/>
    <w:link w:val="end"/>
    <w:locked/>
    <w:rsid w:val="006F4933"/>
    <w:rPr>
      <w:rFonts w:ascii="Arial" w:eastAsia="Times New Roman" w:hAnsi="Arial" w:cs="Times New Roman"/>
      <w:b/>
      <w:smallCaps/>
      <w:kern w:val="28"/>
      <w:sz w:val="34"/>
      <w:szCs w:val="20"/>
      <w:lang w:eastAsia="en-AU"/>
    </w:rPr>
  </w:style>
  <w:style w:type="paragraph" w:customStyle="1" w:styleId="end">
    <w:name w:val="end"/>
    <w:basedOn w:val="Heading1"/>
    <w:link w:val="endChar"/>
    <w:qFormat/>
    <w:rsid w:val="006F4933"/>
    <w:pPr>
      <w:outlineLvl w:val="1"/>
    </w:pPr>
  </w:style>
  <w:style w:type="paragraph" w:styleId="Header">
    <w:name w:val="header"/>
    <w:basedOn w:val="Normal"/>
    <w:link w:val="HeaderChar"/>
    <w:uiPriority w:val="99"/>
    <w:unhideWhenUsed/>
    <w:rsid w:val="00285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2DC"/>
    <w:rPr>
      <w:rFonts w:ascii="Book Antiqua" w:eastAsia="Times New Roman" w:hAnsi="Book Antiqua" w:cs="Times New Roman"/>
      <w:sz w:val="20"/>
      <w:szCs w:val="20"/>
      <w:lang w:eastAsia="en-AU"/>
    </w:rPr>
  </w:style>
  <w:style w:type="paragraph" w:styleId="Footer">
    <w:name w:val="footer"/>
    <w:basedOn w:val="Normal"/>
    <w:link w:val="FooterChar"/>
    <w:uiPriority w:val="99"/>
    <w:unhideWhenUsed/>
    <w:rsid w:val="00285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2DC"/>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9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_dlc_DocId xmlns="0f563589-9cf9-4143-b1eb-fb0534803d38">2020CSSG-1276-19079</_dlc_DocId>
    <TaxCatchAll xmlns="0f563589-9cf9-4143-b1eb-fb0534803d38">
      <Value>78</Value>
    </TaxCatchAll>
    <_dlc_DocIdUrl xmlns="0f563589-9cf9-4143-b1eb-fb0534803d38">
      <Url>http://tweb/sites/cssg/ffmd/frbu/_layouts/15/DocIdRedir.aspx?ID=2020CSSG-1276-19079</Url>
      <Description>2020CSSG-1276-19079</Description>
    </_dlc_DocIdUrl>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208AC-549D-4801-972D-ED9054DED97C}">
  <ds:schemaRefs>
    <ds:schemaRef ds:uri="http://schemas.microsoft.com/sharepoint/events"/>
  </ds:schemaRefs>
</ds:datastoreItem>
</file>

<file path=customXml/itemProps2.xml><?xml version="1.0" encoding="utf-8"?>
<ds:datastoreItem xmlns:ds="http://schemas.openxmlformats.org/officeDocument/2006/customXml" ds:itemID="{6339C365-2B93-449F-9CE3-0ACD7A608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5C74B-3BE1-4027-86A5-24A65E612394}">
  <ds:schemaRefs>
    <ds:schemaRef ds:uri="http://purl.org/dc/dcmitype/"/>
    <ds:schemaRef ds:uri="http://schemas.microsoft.com/office/infopath/2007/PartnerControls"/>
    <ds:schemaRef ds:uri="0f563589-9cf9-4143-b1eb-fb0534803d38"/>
    <ds:schemaRef ds:uri="http://purl.org/dc/elements/1.1/"/>
    <ds:schemaRef ds:uri="http://schemas.microsoft.com/office/2006/documentManagement/types"/>
    <ds:schemaRef ds:uri="http://schemas.microsoft.com/sharepoint/v4"/>
    <ds:schemaRef ds:uri="http://purl.org/dc/terms/"/>
    <ds:schemaRef ds:uri="http://schemas.openxmlformats.org/package/2006/metadata/core-properties"/>
    <ds:schemaRef ds:uri="eb47d8b7-fefc-4923-b53c-9685ba6b721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D061D09-CEEB-415D-873A-CC35E1AC2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Australian Government - The Treasury</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Glossary</dc:subject>
  <dc:creator>Treasury</dc:creator>
  <cp:keywords/>
  <dc:description/>
  <cp:lastModifiedBy>Hill, Christine</cp:lastModifiedBy>
  <cp:revision>16</cp:revision>
  <dcterms:created xsi:type="dcterms:W3CDTF">2019-02-14T04:08:00Z</dcterms:created>
  <dcterms:modified xsi:type="dcterms:W3CDTF">2020-10-06T01:22:00Z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0x010100605AAC981168BE40A9BD548B81A50DF600E709DDE67615F4408F65E920E886D157</vt:lpwstr>
  </property>
  <property fmtid="{D5CDD505-2E9C-101B-9397-08002B2CF9AE}" pid="3" name="TSYRecordClass">
    <vt:lpwstr>78;#AE-20341-Destroy 10 years after action completed|a29f8278-9b5d-472b-8440-da85e58ca657</vt:lpwstr>
  </property>
  <property fmtid="{D5CDD505-2E9C-101B-9397-08002B2CF9AE}" pid="4" name="_dlc_DocIdItemGuid">
    <vt:lpwstr>c0ea1ce6-ea13-4d29-a683-f3423abb8450</vt:lpwstr>
  </property>
  <property fmtid="{D5CDD505-2E9C-101B-9397-08002B2CF9AE}" pid="5" name="RecordPoint_WorkflowType">
    <vt:lpwstr>ActiveSubmitStub</vt:lpwstr>
  </property>
  <property fmtid="{D5CDD505-2E9C-101B-9397-08002B2CF9AE}" pid="6" name="RecordPoint_ActiveItemSiteId">
    <vt:lpwstr>{de902461-0703-410e-906b-a2e3a4f5dd57}</vt:lpwstr>
  </property>
  <property fmtid="{D5CDD505-2E9C-101B-9397-08002B2CF9AE}" pid="7" name="RecordPoint_ActiveItemListId">
    <vt:lpwstr>{a287b756-a3c5-4605-9b13-459b0a9a526d}</vt:lpwstr>
  </property>
  <property fmtid="{D5CDD505-2E9C-101B-9397-08002B2CF9AE}" pid="8" name="RecordPoint_ActiveItemUniqueId">
    <vt:lpwstr>{6dfcbd2e-d4f1-404c-85e9-43aba2845280}</vt:lpwstr>
  </property>
  <property fmtid="{D5CDD505-2E9C-101B-9397-08002B2CF9AE}" pid="9" name="RecordPoint_ActiveItemWebId">
    <vt:lpwstr>{38b90453-4255-418b-a5ac-03e33cfed1f3}</vt:lpwstr>
  </property>
  <property fmtid="{D5CDD505-2E9C-101B-9397-08002B2CF9AE}" pid="10" name="RecordPoint_RecordNumberSubmitted">
    <vt:lpwstr>R0002040509</vt:lpwstr>
  </property>
  <property fmtid="{D5CDD505-2E9C-101B-9397-08002B2CF9AE}" pid="11" name="RecordPoint_SubmissionCompleted">
    <vt:lpwstr>2019-04-12T04:03:14.0779568+10:00</vt:lpwstr>
  </property>
  <property fmtid="{D5CDD505-2E9C-101B-9397-08002B2CF9AE}" pid="12" name="TSY Topic">
    <vt:lpwstr/>
  </property>
</Properties>
</file>