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772" w:rsidRPr="0010094C" w:rsidRDefault="00F36556">
      <w:pPr>
        <w:framePr w:h="1099" w:wrap="notBeside" w:vAnchor="text" w:hAnchor="text" w:xAlign="center" w:y="1"/>
        <w:jc w:val="center"/>
        <w:rPr>
          <w:rFonts w:ascii="Arial" w:hAnsi="Arial" w:cs="Arial"/>
          <w:sz w:val="2"/>
          <w:szCs w:val="2"/>
        </w:rPr>
      </w:pPr>
      <w:bookmarkStart w:id="0" w:name="_GoBack"/>
      <w:bookmarkEnd w:id="0"/>
      <w:r>
        <w:rPr>
          <w:rFonts w:ascii="Arial" w:hAnsi="Arial" w:cs="Arial"/>
          <w:noProof/>
          <w:sz w:val="2"/>
          <w:szCs w:val="2"/>
          <w:lang w:val="en-AU" w:eastAsia="en-AU" w:bidi="ar-SA"/>
        </w:rPr>
        <w:drawing>
          <wp:inline distT="0" distB="0" distL="0" distR="0" wp14:anchorId="7081D314">
            <wp:extent cx="130492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pic:spPr>
                </pic:pic>
              </a:graphicData>
            </a:graphic>
          </wp:inline>
        </w:drawing>
      </w:r>
    </w:p>
    <w:p w:rsidR="003F0772" w:rsidRPr="0010094C" w:rsidRDefault="003F0772">
      <w:pPr>
        <w:rPr>
          <w:rFonts w:ascii="Arial" w:hAnsi="Arial" w:cs="Arial"/>
          <w:sz w:val="2"/>
          <w:szCs w:val="2"/>
        </w:rPr>
      </w:pPr>
    </w:p>
    <w:p w:rsidR="00F36556" w:rsidRPr="0063644B" w:rsidRDefault="00F36556" w:rsidP="00F36556">
      <w:pPr>
        <w:jc w:val="center"/>
        <w:rPr>
          <w:rFonts w:ascii="Arial" w:hAnsi="Arial" w:cs="Arial"/>
        </w:rPr>
      </w:pPr>
      <w:r w:rsidRPr="0063644B">
        <w:rPr>
          <w:rFonts w:ascii="Arial" w:hAnsi="Arial" w:cs="Arial"/>
        </w:rPr>
        <w:t>(Australian Branch)</w:t>
      </w:r>
    </w:p>
    <w:p w:rsidR="00F36556" w:rsidRDefault="00F36556" w:rsidP="0010094C">
      <w:pPr>
        <w:pStyle w:val="Bodytext20"/>
        <w:shd w:val="clear" w:color="auto" w:fill="auto"/>
        <w:spacing w:before="0" w:after="81"/>
        <w:ind w:firstLine="0"/>
        <w:jc w:val="left"/>
      </w:pPr>
    </w:p>
    <w:p w:rsidR="003F0772" w:rsidRDefault="0010094C" w:rsidP="0010094C">
      <w:pPr>
        <w:pStyle w:val="Bodytext20"/>
        <w:shd w:val="clear" w:color="auto" w:fill="auto"/>
        <w:spacing w:before="0" w:after="81"/>
        <w:ind w:firstLine="0"/>
        <w:jc w:val="left"/>
        <w:rPr>
          <w:noProof/>
        </w:rPr>
      </w:pPr>
      <w:r>
        <w:fldChar w:fldCharType="begin"/>
      </w:r>
      <w:r>
        <w:instrText xml:space="preserve"> SAVEDATE \@ "d MMMM yyyy" \* MERGEFORMAT </w:instrText>
      </w:r>
      <w:r>
        <w:fldChar w:fldCharType="separate"/>
      </w:r>
      <w:r w:rsidR="008055A2">
        <w:rPr>
          <w:noProof/>
        </w:rPr>
        <w:t>2 November 2020</w:t>
      </w:r>
      <w:r>
        <w:fldChar w:fldCharType="end"/>
      </w:r>
      <w:r>
        <w:fldChar w:fldCharType="begin"/>
      </w:r>
      <w:r>
        <w:instrText xml:space="preserve"> ADVANCE \d 14 </w:instrText>
      </w:r>
      <w:r>
        <w:fldChar w:fldCharType="end"/>
      </w:r>
    </w:p>
    <w:p w:rsidR="0010094C" w:rsidRPr="0010094C" w:rsidRDefault="0010094C" w:rsidP="0010094C">
      <w:pPr>
        <w:pStyle w:val="Bodytext20"/>
        <w:shd w:val="clear" w:color="auto" w:fill="auto"/>
        <w:spacing w:before="0" w:after="81"/>
        <w:ind w:firstLine="0"/>
        <w:jc w:val="left"/>
      </w:pPr>
    </w:p>
    <w:tbl>
      <w:tblPr>
        <w:tblW w:w="9611" w:type="dxa"/>
        <w:tblInd w:w="28" w:type="dxa"/>
        <w:tblLayout w:type="fixed"/>
        <w:tblCellMar>
          <w:left w:w="170" w:type="dxa"/>
          <w:right w:w="170" w:type="dxa"/>
        </w:tblCellMar>
        <w:tblLook w:val="0000" w:firstRow="0" w:lastRow="0" w:firstColumn="0" w:lastColumn="0" w:noHBand="0" w:noVBand="0"/>
      </w:tblPr>
      <w:tblGrid>
        <w:gridCol w:w="5075"/>
        <w:gridCol w:w="4536"/>
      </w:tblGrid>
      <w:tr w:rsidR="0010094C" w:rsidTr="007A0E45">
        <w:tc>
          <w:tcPr>
            <w:tcW w:w="5075" w:type="dxa"/>
          </w:tcPr>
          <w:p w:rsidR="0063644B" w:rsidRDefault="00424B63" w:rsidP="007A0E45">
            <w:pPr>
              <w:widowControl/>
              <w:rPr>
                <w:rFonts w:ascii="Arial" w:eastAsia="MS Mincho" w:hAnsi="Arial" w:cs="Arial"/>
                <w:color w:val="auto"/>
                <w:sz w:val="18"/>
                <w:szCs w:val="18"/>
                <w:shd w:val="clear" w:color="auto" w:fill="FFFFFF"/>
                <w:lang w:val="en-AU" w:eastAsia="ja-JP" w:bidi="ar-SA"/>
              </w:rPr>
            </w:pPr>
            <w:r w:rsidRPr="0063644B">
              <w:rPr>
                <w:rFonts w:ascii="Arial" w:eastAsia="MS Mincho" w:hAnsi="Arial" w:cs="Arial"/>
                <w:color w:val="auto"/>
                <w:sz w:val="18"/>
                <w:szCs w:val="18"/>
                <w:shd w:val="clear" w:color="auto" w:fill="FFFFFF"/>
                <w:lang w:val="en-AU" w:eastAsia="ja-JP" w:bidi="ar-SA"/>
              </w:rPr>
              <w:t>The Manager</w:t>
            </w:r>
          </w:p>
          <w:p w:rsidR="0063644B" w:rsidRDefault="00424B63" w:rsidP="007A0E45">
            <w:pPr>
              <w:widowControl/>
              <w:rPr>
                <w:rFonts w:ascii="Arial" w:eastAsia="MS Mincho" w:hAnsi="Arial" w:cs="Arial"/>
                <w:color w:val="auto"/>
                <w:sz w:val="18"/>
                <w:szCs w:val="18"/>
                <w:shd w:val="clear" w:color="auto" w:fill="FFFFFF"/>
                <w:lang w:val="en-AU" w:eastAsia="ja-JP" w:bidi="ar-SA"/>
              </w:rPr>
            </w:pPr>
            <w:r w:rsidRPr="0063644B">
              <w:rPr>
                <w:rFonts w:ascii="Arial" w:eastAsia="MS Mincho" w:hAnsi="Arial" w:cs="Arial"/>
                <w:color w:val="auto"/>
                <w:sz w:val="18"/>
                <w:szCs w:val="18"/>
                <w:shd w:val="clear" w:color="auto" w:fill="FFFFFF"/>
                <w:lang w:val="en-AU" w:eastAsia="ja-JP" w:bidi="ar-SA"/>
              </w:rPr>
              <w:t>Policy Framework Unit</w:t>
            </w:r>
          </w:p>
          <w:p w:rsidR="00424B63" w:rsidRPr="0063644B" w:rsidRDefault="00424B63" w:rsidP="007A0E45">
            <w:pPr>
              <w:widowControl/>
              <w:rPr>
                <w:rFonts w:ascii="Arial" w:eastAsia="MS Mincho" w:hAnsi="Arial" w:cs="Arial"/>
                <w:color w:val="auto"/>
                <w:sz w:val="18"/>
                <w:szCs w:val="18"/>
                <w:shd w:val="clear" w:color="auto" w:fill="FFFFFF"/>
                <w:lang w:val="en-AU" w:eastAsia="ja-JP" w:bidi="ar-SA"/>
              </w:rPr>
            </w:pPr>
            <w:r w:rsidRPr="0063644B">
              <w:rPr>
                <w:rFonts w:ascii="Arial" w:eastAsia="MS Mincho" w:hAnsi="Arial" w:cs="Arial"/>
                <w:color w:val="auto"/>
                <w:sz w:val="18"/>
                <w:szCs w:val="18"/>
                <w:shd w:val="clear" w:color="auto" w:fill="FFFFFF"/>
                <w:lang w:val="en-AU" w:eastAsia="ja-JP" w:bidi="ar-SA"/>
              </w:rPr>
              <w:t>Treasury</w:t>
            </w:r>
            <w:r w:rsidRPr="0063644B">
              <w:rPr>
                <w:rFonts w:ascii="Arial" w:eastAsia="MS Mincho" w:hAnsi="Arial" w:cs="Arial"/>
                <w:color w:val="auto"/>
                <w:sz w:val="18"/>
                <w:szCs w:val="18"/>
                <w:lang w:val="en-AU" w:eastAsia="ja-JP" w:bidi="ar-SA"/>
              </w:rPr>
              <w:br/>
            </w:r>
            <w:r w:rsidRPr="0063644B">
              <w:rPr>
                <w:rFonts w:ascii="Arial" w:eastAsia="MS Mincho" w:hAnsi="Arial" w:cs="Arial"/>
                <w:color w:val="auto"/>
                <w:sz w:val="18"/>
                <w:szCs w:val="18"/>
                <w:shd w:val="clear" w:color="auto" w:fill="FFFFFF"/>
                <w:lang w:val="en-AU" w:eastAsia="ja-JP" w:bidi="ar-SA"/>
              </w:rPr>
              <w:t>Langton Cres</w:t>
            </w:r>
            <w:r w:rsidRPr="0063644B">
              <w:rPr>
                <w:rFonts w:ascii="Arial" w:eastAsia="MS Mincho" w:hAnsi="Arial" w:cs="Arial"/>
                <w:color w:val="auto"/>
                <w:sz w:val="18"/>
                <w:szCs w:val="18"/>
                <w:lang w:val="en-AU" w:eastAsia="ja-JP" w:bidi="ar-SA"/>
              </w:rPr>
              <w:br/>
            </w:r>
            <w:r w:rsidRPr="0063644B">
              <w:rPr>
                <w:rFonts w:ascii="Arial" w:eastAsia="MS Mincho" w:hAnsi="Arial" w:cs="Arial"/>
                <w:color w:val="auto"/>
                <w:sz w:val="18"/>
                <w:szCs w:val="18"/>
                <w:shd w:val="clear" w:color="auto" w:fill="FFFFFF"/>
                <w:lang w:val="en-AU" w:eastAsia="ja-JP" w:bidi="ar-SA"/>
              </w:rPr>
              <w:t>Parkes ACT 2600</w:t>
            </w:r>
          </w:p>
          <w:p w:rsidR="0010094C" w:rsidRDefault="0010094C" w:rsidP="00464FB7">
            <w:pPr>
              <w:pStyle w:val="BodyText"/>
            </w:pPr>
            <w:r w:rsidRPr="0010094C">
              <w:t xml:space="preserve"> </w:t>
            </w:r>
          </w:p>
          <w:p w:rsidR="0010094C" w:rsidRPr="00741BB4" w:rsidRDefault="00424B63" w:rsidP="00464FB7">
            <w:pPr>
              <w:pStyle w:val="BodyText"/>
            </w:pPr>
            <w:r w:rsidRPr="0063644B">
              <w:rPr>
                <w:sz w:val="18"/>
                <w:szCs w:val="18"/>
                <w:lang w:bidi="en-US"/>
              </w:rPr>
              <w:t xml:space="preserve">By email: </w:t>
            </w:r>
            <w:hyperlink r:id="rId8" w:history="1">
              <w:r w:rsidRPr="0063644B">
                <w:rPr>
                  <w:rStyle w:val="Hyperlink"/>
                  <w:sz w:val="18"/>
                  <w:szCs w:val="18"/>
                  <w:lang w:bidi="en-US"/>
                </w:rPr>
                <w:t>FIRBStakeholders@treasury.gov.au</w:t>
              </w:r>
            </w:hyperlink>
          </w:p>
        </w:tc>
        <w:tc>
          <w:tcPr>
            <w:tcW w:w="4536" w:type="dxa"/>
          </w:tcPr>
          <w:p w:rsidR="0010094C" w:rsidRDefault="0010094C" w:rsidP="00464FB7">
            <w:pPr>
              <w:ind w:right="-168"/>
            </w:pPr>
          </w:p>
        </w:tc>
      </w:tr>
      <w:tr w:rsidR="0010094C" w:rsidTr="007A0E45">
        <w:tc>
          <w:tcPr>
            <w:tcW w:w="5075" w:type="dxa"/>
          </w:tcPr>
          <w:p w:rsidR="0010094C" w:rsidRDefault="0010094C" w:rsidP="00464FB7">
            <w:pPr>
              <w:pStyle w:val="Restriction"/>
              <w:spacing w:after="120"/>
            </w:pPr>
          </w:p>
        </w:tc>
        <w:tc>
          <w:tcPr>
            <w:tcW w:w="4536" w:type="dxa"/>
          </w:tcPr>
          <w:p w:rsidR="0010094C" w:rsidRDefault="0010094C" w:rsidP="00464FB7">
            <w:pPr>
              <w:pStyle w:val="Restriction"/>
              <w:spacing w:after="120"/>
              <w:ind w:right="-168"/>
            </w:pPr>
          </w:p>
        </w:tc>
      </w:tr>
    </w:tbl>
    <w:p w:rsidR="0063644B" w:rsidRDefault="0063644B">
      <w:pPr>
        <w:pStyle w:val="Bodytext20"/>
        <w:shd w:val="clear" w:color="auto" w:fill="auto"/>
        <w:spacing w:before="0" w:after="121"/>
        <w:ind w:firstLine="0"/>
        <w:jc w:val="left"/>
        <w:rPr>
          <w:rStyle w:val="Bodytext21"/>
        </w:rPr>
      </w:pPr>
    </w:p>
    <w:p w:rsidR="003F0772" w:rsidRPr="0010094C" w:rsidRDefault="00A305DA">
      <w:pPr>
        <w:pStyle w:val="Bodytext20"/>
        <w:shd w:val="clear" w:color="auto" w:fill="auto"/>
        <w:spacing w:before="0" w:after="121"/>
        <w:ind w:firstLine="0"/>
        <w:jc w:val="left"/>
      </w:pPr>
      <w:r w:rsidRPr="0010094C">
        <w:rPr>
          <w:rStyle w:val="Bodytext21"/>
        </w:rPr>
        <w:t xml:space="preserve">Dear </w:t>
      </w:r>
      <w:r w:rsidR="00424B63">
        <w:rPr>
          <w:rStyle w:val="Bodytext21"/>
        </w:rPr>
        <w:t>Sir or Madam</w:t>
      </w:r>
    </w:p>
    <w:p w:rsidR="003F0772" w:rsidRPr="0010094C" w:rsidRDefault="00424B63">
      <w:pPr>
        <w:pStyle w:val="Bodytext30"/>
        <w:shd w:val="clear" w:color="auto" w:fill="auto"/>
        <w:spacing w:before="0" w:after="100"/>
      </w:pPr>
      <w:r>
        <w:rPr>
          <w:color w:val="202020"/>
        </w:rPr>
        <w:t>Submission</w:t>
      </w:r>
      <w:r w:rsidRPr="00424B63">
        <w:rPr>
          <w:color w:val="202020"/>
        </w:rPr>
        <w:t xml:space="preserve"> on the exposure draft</w:t>
      </w:r>
      <w:r w:rsidR="00400689">
        <w:rPr>
          <w:color w:val="202020"/>
        </w:rPr>
        <w:t>s</w:t>
      </w:r>
      <w:r w:rsidRPr="00424B63">
        <w:rPr>
          <w:color w:val="202020"/>
        </w:rPr>
        <w:t xml:space="preserve"> of the </w:t>
      </w:r>
      <w:r w:rsidRPr="00424B63">
        <w:rPr>
          <w:i/>
          <w:iCs/>
          <w:color w:val="202020"/>
        </w:rPr>
        <w:t xml:space="preserve">Foreign Investment Reform (Protecting Australia’s National Security) </w:t>
      </w:r>
      <w:r w:rsidR="00400689">
        <w:rPr>
          <w:i/>
          <w:iCs/>
          <w:color w:val="202020"/>
        </w:rPr>
        <w:t>Regulations</w:t>
      </w:r>
      <w:r w:rsidRPr="00424B63">
        <w:rPr>
          <w:i/>
          <w:iCs/>
          <w:color w:val="202020"/>
        </w:rPr>
        <w:t xml:space="preserve"> 2020</w:t>
      </w:r>
      <w:r>
        <w:rPr>
          <w:rStyle w:val="Bodytext31"/>
          <w:b/>
          <w:bCs/>
        </w:rPr>
        <w:t xml:space="preserve"> </w:t>
      </w:r>
      <w:r w:rsidR="00400689">
        <w:rPr>
          <w:rStyle w:val="Bodytext31"/>
          <w:b/>
          <w:bCs/>
        </w:rPr>
        <w:t xml:space="preserve">and the </w:t>
      </w:r>
      <w:r w:rsidR="00400689" w:rsidRPr="00400689">
        <w:rPr>
          <w:rStyle w:val="Bodytext31"/>
          <w:b/>
          <w:bCs/>
          <w:i/>
          <w:iCs/>
        </w:rPr>
        <w:t xml:space="preserve">Takeovers Fees Imposition Regulations </w:t>
      </w:r>
      <w:r w:rsidR="00400689" w:rsidRPr="00400689">
        <w:rPr>
          <w:rStyle w:val="Bodytext31"/>
          <w:b/>
          <w:bCs/>
        </w:rPr>
        <w:t xml:space="preserve">2020 </w:t>
      </w:r>
      <w:r>
        <w:rPr>
          <w:rStyle w:val="Bodytext31"/>
          <w:b/>
          <w:bCs/>
        </w:rPr>
        <w:t xml:space="preserve">(the </w:t>
      </w:r>
      <w:r w:rsidR="00400689" w:rsidRPr="00400689">
        <w:rPr>
          <w:rStyle w:val="Bodytext31"/>
          <w:b/>
          <w:bCs/>
          <w:i/>
          <w:iCs/>
        </w:rPr>
        <w:t>Draft</w:t>
      </w:r>
      <w:r w:rsidR="00400689">
        <w:rPr>
          <w:rStyle w:val="Bodytext31"/>
          <w:b/>
          <w:bCs/>
        </w:rPr>
        <w:t xml:space="preserve"> </w:t>
      </w:r>
      <w:r w:rsidR="00400689" w:rsidRPr="00400689">
        <w:rPr>
          <w:rStyle w:val="Bodytext31"/>
          <w:b/>
          <w:bCs/>
          <w:i/>
          <w:iCs/>
        </w:rPr>
        <w:t>Regulations</w:t>
      </w:r>
      <w:r>
        <w:rPr>
          <w:rStyle w:val="Bodytext31"/>
          <w:b/>
          <w:bCs/>
        </w:rPr>
        <w:t>)</w:t>
      </w:r>
    </w:p>
    <w:p w:rsidR="006D3B1A" w:rsidRPr="0063644B" w:rsidRDefault="00A305DA">
      <w:pPr>
        <w:pStyle w:val="Bodytext20"/>
        <w:shd w:val="clear" w:color="auto" w:fill="auto"/>
        <w:spacing w:before="0" w:line="274" w:lineRule="exact"/>
        <w:ind w:firstLine="0"/>
        <w:jc w:val="left"/>
        <w:rPr>
          <w:rFonts w:eastAsia="MS Mincho"/>
          <w:color w:val="auto"/>
          <w:lang w:val="en-AU" w:eastAsia="ja-JP" w:bidi="ar-SA"/>
        </w:rPr>
      </w:pPr>
      <w:r w:rsidRPr="0063644B">
        <w:rPr>
          <w:rStyle w:val="Bodytext21"/>
        </w:rPr>
        <w:t>The Asia Pacific Loan Market Association</w:t>
      </w:r>
      <w:r w:rsidR="00F63C0E" w:rsidRPr="0063644B">
        <w:rPr>
          <w:rStyle w:val="Bodytext21"/>
        </w:rPr>
        <w:t xml:space="preserve"> (the </w:t>
      </w:r>
      <w:r w:rsidR="00F63C0E" w:rsidRPr="0063644B">
        <w:rPr>
          <w:rStyle w:val="Bodytext21"/>
          <w:b/>
          <w:bCs/>
          <w:i/>
          <w:iCs/>
        </w:rPr>
        <w:t>APLMA</w:t>
      </w:r>
      <w:r w:rsidR="00F63C0E" w:rsidRPr="0063644B">
        <w:rPr>
          <w:rStyle w:val="Bodytext21"/>
        </w:rPr>
        <w:t>)</w:t>
      </w:r>
      <w:r w:rsidRPr="0063644B">
        <w:rPr>
          <w:rStyle w:val="Bodytext21"/>
        </w:rPr>
        <w:t xml:space="preserve"> </w:t>
      </w:r>
      <w:r w:rsidR="00F81B5F" w:rsidRPr="0063644B">
        <w:rPr>
          <w:rStyle w:val="Bodytext21"/>
        </w:rPr>
        <w:t xml:space="preserve">is grateful for the opportunity to comment on the Draft Regulations. </w:t>
      </w:r>
      <w:r w:rsidR="00F81B5F" w:rsidRPr="0063644B">
        <w:rPr>
          <w:rFonts w:eastAsia="MS Mincho"/>
          <w:color w:val="auto"/>
          <w:lang w:val="en-AU" w:eastAsia="ja-JP" w:bidi="ar-SA"/>
        </w:rPr>
        <w:t>The following comments are solely focussed on the workability of the detail of the reforms; the APLMA does not take issue with the underlying policy issues which the Government seeks to address.</w:t>
      </w:r>
    </w:p>
    <w:p w:rsidR="006D3B1A" w:rsidRPr="0063644B" w:rsidRDefault="006D3B1A">
      <w:pPr>
        <w:pStyle w:val="Bodytext20"/>
        <w:shd w:val="clear" w:color="auto" w:fill="auto"/>
        <w:spacing w:before="0" w:line="274" w:lineRule="exact"/>
        <w:ind w:firstLine="0"/>
        <w:jc w:val="left"/>
        <w:rPr>
          <w:rFonts w:eastAsia="MS Mincho"/>
          <w:color w:val="auto"/>
          <w:lang w:val="en-AU" w:eastAsia="ja-JP" w:bidi="ar-SA"/>
        </w:rPr>
      </w:pPr>
      <w:r w:rsidRPr="0063644B">
        <w:rPr>
          <w:rFonts w:eastAsia="MS Mincho"/>
          <w:color w:val="auto"/>
          <w:lang w:val="en-AU" w:eastAsia="ja-JP" w:bidi="ar-SA"/>
        </w:rPr>
        <w:t xml:space="preserve">The APLMA is </w:t>
      </w:r>
      <w:r w:rsidR="006E45A9" w:rsidRPr="0063644B">
        <w:rPr>
          <w:rFonts w:eastAsia="MS Mincho"/>
          <w:color w:val="auto"/>
          <w:lang w:val="en-AU" w:eastAsia="ja-JP" w:bidi="ar-SA"/>
        </w:rPr>
        <w:t>making this submission because of a very serious concern</w:t>
      </w:r>
      <w:r w:rsidRPr="0063644B">
        <w:rPr>
          <w:rFonts w:eastAsia="MS Mincho"/>
          <w:color w:val="auto"/>
          <w:lang w:val="en-AU" w:eastAsia="ja-JP" w:bidi="ar-SA"/>
        </w:rPr>
        <w:t xml:space="preserve"> that the proposed revocation of the moneylending exemption for financings secured over</w:t>
      </w:r>
      <w:r w:rsidR="006E45A9" w:rsidRPr="0063644B">
        <w:rPr>
          <w:rFonts w:eastAsia="MS Mincho"/>
          <w:color w:val="auto"/>
          <w:lang w:val="en-AU" w:eastAsia="ja-JP" w:bidi="ar-SA"/>
        </w:rPr>
        <w:t>, for example, energy infrastructure, could have a devastating effect on Australian loan syndication markets</w:t>
      </w:r>
      <w:r w:rsidR="005043DD" w:rsidRPr="0063644B">
        <w:rPr>
          <w:rFonts w:eastAsia="MS Mincho"/>
          <w:color w:val="auto"/>
          <w:lang w:val="en-AU" w:eastAsia="ja-JP" w:bidi="ar-SA"/>
        </w:rPr>
        <w:t>. Those markets generate over A$100 billion in loan financings every year, and they are heavily dependent on the involvement of literally hundreds of foreign financiers, who between them provide the overwhelming majority of that funding. Regardless of what practical measures Treasury has in mind to ease the impact of this change, the change risks driving many of those financiers away from this market, thus resulting in unwarranted restrictions on the availability of credit for key nation building projects.</w:t>
      </w:r>
    </w:p>
    <w:p w:rsidR="006D3B1A" w:rsidRPr="007A0E45" w:rsidRDefault="006D3B1A">
      <w:pPr>
        <w:pStyle w:val="Bodytext20"/>
        <w:shd w:val="clear" w:color="auto" w:fill="auto"/>
        <w:spacing w:before="0" w:line="274" w:lineRule="exact"/>
        <w:ind w:firstLine="0"/>
        <w:jc w:val="left"/>
        <w:rPr>
          <w:rFonts w:eastAsia="MS Mincho"/>
          <w:b/>
          <w:bCs/>
          <w:color w:val="auto"/>
          <w:sz w:val="20"/>
          <w:szCs w:val="20"/>
          <w:lang w:val="en-AU" w:eastAsia="ja-JP" w:bidi="ar-SA"/>
        </w:rPr>
      </w:pPr>
      <w:r w:rsidRPr="007A0E45">
        <w:rPr>
          <w:rFonts w:eastAsia="MS Mincho"/>
          <w:b/>
          <w:bCs/>
          <w:color w:val="auto"/>
          <w:sz w:val="20"/>
          <w:szCs w:val="20"/>
          <w:lang w:val="en-AU" w:eastAsia="ja-JP" w:bidi="ar-SA"/>
        </w:rPr>
        <w:t>Background</w:t>
      </w:r>
    </w:p>
    <w:p w:rsidR="003F0772" w:rsidRPr="0063644B" w:rsidRDefault="00F81B5F">
      <w:pPr>
        <w:pStyle w:val="Bodytext20"/>
        <w:shd w:val="clear" w:color="auto" w:fill="auto"/>
        <w:spacing w:before="0" w:line="274" w:lineRule="exact"/>
        <w:ind w:firstLine="0"/>
        <w:jc w:val="left"/>
      </w:pPr>
      <w:r w:rsidRPr="0063644B">
        <w:rPr>
          <w:rFonts w:eastAsia="MS Mincho"/>
          <w:color w:val="auto"/>
          <w:lang w:val="en-AU" w:eastAsia="ja-JP" w:bidi="ar-SA"/>
        </w:rPr>
        <w:t xml:space="preserve">The APLMA </w:t>
      </w:r>
      <w:r w:rsidR="00A305DA" w:rsidRPr="0063644B">
        <w:rPr>
          <w:rStyle w:val="Bodytext21"/>
        </w:rPr>
        <w:t xml:space="preserve">is a body formed in 1998 to promote the use of the syndicated loan market in the Asia Pacific. The APLMA's mission is to increase liquidity, efficiency and transparency in the primary and secondary syndicated loan markets in the Asia Pacific region. The APLMA advocates best practices in the syndicated loan market, promulgates standard loan documentation and seeks to promote the syndicated loan as one of the key debt products available to borrowers across the region. </w:t>
      </w:r>
      <w:r w:rsidR="00400689" w:rsidRPr="0063644B">
        <w:rPr>
          <w:rStyle w:val="Bodytext21"/>
        </w:rPr>
        <w:t xml:space="preserve">The syndicated loan markets are the primary source of funding for privately financed infrastructure and other major projects. Foreign financiers invariably account for the majority (usually around two-thirds) of the syndicated loan market in Australia. </w:t>
      </w:r>
      <w:r w:rsidR="001A7B13" w:rsidRPr="0063644B">
        <w:rPr>
          <w:rStyle w:val="Bodytext21"/>
        </w:rPr>
        <w:t>Needless to say a deep, vibrant and competitive syndicated loan market will be vital in supporting the recovery of the Australian economy from the COVID-19 induced recession.</w:t>
      </w:r>
    </w:p>
    <w:p w:rsidR="003F0772" w:rsidRPr="0010094C" w:rsidRDefault="00F63C0E">
      <w:pPr>
        <w:pStyle w:val="Bodytext20"/>
        <w:shd w:val="clear" w:color="auto" w:fill="auto"/>
        <w:spacing w:before="0" w:after="162" w:line="274" w:lineRule="exact"/>
        <w:ind w:firstLine="0"/>
        <w:jc w:val="left"/>
      </w:pPr>
      <w:r>
        <w:rPr>
          <w:rStyle w:val="Bodytext21"/>
        </w:rPr>
        <w:t>The APLMA</w:t>
      </w:r>
      <w:r w:rsidR="00A305DA" w:rsidRPr="0010094C">
        <w:rPr>
          <w:rStyle w:val="Bodytext21"/>
        </w:rPr>
        <w:t xml:space="preserve"> has a flourishing Australian Branch. The organisation has </w:t>
      </w:r>
      <w:r w:rsidR="007D2B06">
        <w:rPr>
          <w:rStyle w:val="Bodytext21"/>
        </w:rPr>
        <w:t xml:space="preserve">over </w:t>
      </w:r>
      <w:r w:rsidR="00A305DA" w:rsidRPr="007D2B06">
        <w:rPr>
          <w:rStyle w:val="Bodytext21"/>
        </w:rPr>
        <w:t>3</w:t>
      </w:r>
      <w:r w:rsidR="007D2B06">
        <w:rPr>
          <w:rStyle w:val="Bodytext21"/>
        </w:rPr>
        <w:t>00</w:t>
      </w:r>
      <w:r w:rsidR="00A305DA" w:rsidRPr="0010094C">
        <w:rPr>
          <w:rStyle w:val="Bodytext21"/>
        </w:rPr>
        <w:t xml:space="preserve"> members across the region, the majority of which are active in the Australian market. The Australian Branch participation includes virtually all major banks that operate in the market, and major law firms.</w:t>
      </w:r>
    </w:p>
    <w:p w:rsidR="00F63C0E" w:rsidRPr="007A0E45" w:rsidRDefault="004E4B9A" w:rsidP="007A0E45">
      <w:pPr>
        <w:pStyle w:val="Bodytext20"/>
        <w:shd w:val="clear" w:color="auto" w:fill="auto"/>
        <w:spacing w:before="0" w:line="274" w:lineRule="exact"/>
        <w:ind w:firstLine="0"/>
        <w:jc w:val="left"/>
        <w:rPr>
          <w:rFonts w:eastAsia="MS Mincho"/>
          <w:b/>
          <w:bCs/>
          <w:color w:val="auto"/>
          <w:sz w:val="20"/>
          <w:szCs w:val="20"/>
          <w:lang w:val="en-AU" w:eastAsia="ja-JP" w:bidi="ar-SA"/>
        </w:rPr>
      </w:pPr>
      <w:bookmarkStart w:id="1" w:name="bookmark1"/>
      <w:r w:rsidRPr="007A0E45">
        <w:rPr>
          <w:rFonts w:eastAsia="MS Mincho"/>
          <w:b/>
          <w:bCs/>
          <w:color w:val="auto"/>
          <w:sz w:val="20"/>
          <w:szCs w:val="20"/>
          <w:lang w:val="en-AU" w:eastAsia="ja-JP" w:bidi="ar-SA"/>
        </w:rPr>
        <w:t>T</w:t>
      </w:r>
      <w:bookmarkEnd w:id="1"/>
      <w:r w:rsidR="00F63C0E" w:rsidRPr="007A0E45">
        <w:rPr>
          <w:rFonts w:eastAsia="MS Mincho"/>
          <w:b/>
          <w:bCs/>
          <w:color w:val="auto"/>
          <w:sz w:val="20"/>
          <w:szCs w:val="20"/>
          <w:lang w:val="en-AU" w:eastAsia="ja-JP" w:bidi="ar-SA"/>
        </w:rPr>
        <w:t>ypical secured financing structure</w:t>
      </w:r>
    </w:p>
    <w:p w:rsidR="00F63C0E" w:rsidRPr="00F63C0E" w:rsidRDefault="00F63C0E" w:rsidP="00FF270A">
      <w:pPr>
        <w:spacing w:after="162" w:line="274" w:lineRule="exact"/>
        <w:rPr>
          <w:rStyle w:val="Bodytext21"/>
          <w:lang w:val="en-AU" w:bidi="ar-SA"/>
        </w:rPr>
      </w:pPr>
      <w:r w:rsidRPr="00F63C0E">
        <w:rPr>
          <w:rStyle w:val="Bodytext21"/>
          <w:lang w:val="en-AU" w:bidi="ar-SA"/>
        </w:rPr>
        <w:t xml:space="preserve">It is very common for substantial </w:t>
      </w:r>
      <w:r w:rsidRPr="00FF270A">
        <w:rPr>
          <w:rStyle w:val="Bodytext21"/>
        </w:rPr>
        <w:t>businesses (including infrastructure projects)</w:t>
      </w:r>
      <w:r w:rsidRPr="00F63C0E">
        <w:rPr>
          <w:rStyle w:val="Bodytext21"/>
          <w:lang w:val="en-AU" w:bidi="ar-SA"/>
        </w:rPr>
        <w:t xml:space="preserve"> to be developed or acquired (eg on </w:t>
      </w:r>
      <w:r w:rsidRPr="00F63C0E">
        <w:rPr>
          <w:rStyle w:val="Bodytext21"/>
          <w:lang w:val="en-AU" w:bidi="ar-SA"/>
        </w:rPr>
        <w:lastRenderedPageBreak/>
        <w:t xml:space="preserve">privatisation) by private sector </w:t>
      </w:r>
      <w:r w:rsidRPr="00FF270A">
        <w:rPr>
          <w:rStyle w:val="Bodytext21"/>
        </w:rPr>
        <w:t>invest</w:t>
      </w:r>
      <w:r w:rsidRPr="00F63C0E">
        <w:rPr>
          <w:rStyle w:val="Bodytext21"/>
          <w:lang w:val="en-AU" w:bidi="ar-SA"/>
        </w:rPr>
        <w:t xml:space="preserve">ors using syndicated debt finance which is secured over the </w:t>
      </w:r>
      <w:r w:rsidRPr="00FF270A">
        <w:rPr>
          <w:rStyle w:val="Bodytext21"/>
        </w:rPr>
        <w:t xml:space="preserve">business or </w:t>
      </w:r>
      <w:r w:rsidRPr="00F63C0E">
        <w:rPr>
          <w:rStyle w:val="Bodytext21"/>
          <w:lang w:val="en-AU" w:bidi="ar-SA"/>
        </w:rPr>
        <w:t xml:space="preserve">infrastructure asset. The syndicate of </w:t>
      </w:r>
      <w:r w:rsidRPr="00FF270A">
        <w:rPr>
          <w:rStyle w:val="Bodytext21"/>
        </w:rPr>
        <w:t>financier</w:t>
      </w:r>
      <w:r w:rsidRPr="00F63C0E">
        <w:rPr>
          <w:rStyle w:val="Bodytext21"/>
          <w:lang w:val="en-AU" w:bidi="ar-SA"/>
        </w:rPr>
        <w:t xml:space="preserve">s may range in number from just a few to up to 50 or 60 </w:t>
      </w:r>
      <w:r w:rsidRPr="00FF270A">
        <w:rPr>
          <w:rStyle w:val="Bodytext21"/>
        </w:rPr>
        <w:t>financier</w:t>
      </w:r>
      <w:r w:rsidRPr="00F63C0E">
        <w:rPr>
          <w:rStyle w:val="Bodytext21"/>
          <w:lang w:val="en-AU" w:bidi="ar-SA"/>
        </w:rPr>
        <w:t xml:space="preserve">s, </w:t>
      </w:r>
      <w:r w:rsidRPr="00FF270A">
        <w:rPr>
          <w:rStyle w:val="Bodytext21"/>
        </w:rPr>
        <w:t>both domestic and overseas based</w:t>
      </w:r>
      <w:r w:rsidRPr="00F63C0E">
        <w:rPr>
          <w:rStyle w:val="Bodytext21"/>
          <w:lang w:val="en-AU" w:bidi="ar-SA"/>
        </w:rPr>
        <w:t>. This depends largely on the size of the financing</w:t>
      </w:r>
      <w:r w:rsidR="00FD6A8E" w:rsidRPr="00FF270A">
        <w:rPr>
          <w:rStyle w:val="Bodytext21"/>
        </w:rPr>
        <w:t xml:space="preserve"> – prudential limits preclude individual financiers from holding large exposures to a single business</w:t>
      </w:r>
      <w:r w:rsidRPr="00F63C0E">
        <w:rPr>
          <w:rStyle w:val="Bodytext21"/>
          <w:lang w:val="en-AU" w:bidi="ar-SA"/>
        </w:rPr>
        <w:t xml:space="preserve">. These financiers would </w:t>
      </w:r>
      <w:r w:rsidR="00BA0D46" w:rsidRPr="00FF270A">
        <w:rPr>
          <w:rStyle w:val="Bodytext21"/>
        </w:rPr>
        <w:t xml:space="preserve">normally </w:t>
      </w:r>
      <w:r w:rsidRPr="00F63C0E">
        <w:rPr>
          <w:rStyle w:val="Bodytext21"/>
          <w:lang w:val="en-AU" w:bidi="ar-SA"/>
        </w:rPr>
        <w:t xml:space="preserve">be participating in the ordinary course of a moneylending business </w:t>
      </w:r>
      <w:r w:rsidR="008030CD">
        <w:rPr>
          <w:rStyle w:val="Bodytext21"/>
          <w:lang w:val="en-AU" w:bidi="ar-SA"/>
        </w:rPr>
        <w:t>in compliance with the exemption in s27 o</w:t>
      </w:r>
      <w:r w:rsidRPr="00F63C0E">
        <w:rPr>
          <w:rStyle w:val="Bodytext21"/>
          <w:lang w:val="en-AU" w:bidi="ar-SA"/>
        </w:rPr>
        <w:t xml:space="preserve">f the </w:t>
      </w:r>
      <w:r w:rsidR="008030CD">
        <w:rPr>
          <w:rStyle w:val="Bodytext21"/>
          <w:lang w:val="en-AU" w:bidi="ar-SA"/>
        </w:rPr>
        <w:t xml:space="preserve">(existing) </w:t>
      </w:r>
      <w:r w:rsidR="00FD6A8E" w:rsidRPr="00FF270A">
        <w:rPr>
          <w:rStyle w:val="Bodytext21"/>
        </w:rPr>
        <w:t>Foreign Acquisitions and Takeovers Regulation</w:t>
      </w:r>
      <w:r w:rsidRPr="00F63C0E">
        <w:rPr>
          <w:rStyle w:val="Bodytext21"/>
          <w:lang w:val="en-AU" w:bidi="ar-SA"/>
        </w:rPr>
        <w:t xml:space="preserve"> </w:t>
      </w:r>
      <w:r w:rsidR="00B234C1" w:rsidRPr="00B234C1">
        <w:rPr>
          <w:rStyle w:val="Bodytext21"/>
          <w:lang w:val="en-AU" w:bidi="ar-SA"/>
        </w:rPr>
        <w:t>2015 (</w:t>
      </w:r>
      <w:r w:rsidR="00B234C1" w:rsidRPr="006D3B1A">
        <w:rPr>
          <w:rStyle w:val="Bodytext21"/>
          <w:b/>
          <w:bCs/>
          <w:i/>
          <w:iCs/>
          <w:lang w:val="en-AU" w:bidi="ar-SA"/>
        </w:rPr>
        <w:t>FATR</w:t>
      </w:r>
      <w:r w:rsidR="00B234C1" w:rsidRPr="00B234C1">
        <w:rPr>
          <w:rStyle w:val="Bodytext21"/>
          <w:lang w:val="en-AU" w:bidi="ar-SA"/>
        </w:rPr>
        <w:t>) from the operation of the Foreign Acquisitions and Takeovers Act 1975 (</w:t>
      </w:r>
      <w:r w:rsidR="00B234C1" w:rsidRPr="006D3B1A">
        <w:rPr>
          <w:rStyle w:val="Bodytext21"/>
          <w:b/>
          <w:bCs/>
          <w:i/>
          <w:iCs/>
          <w:lang w:val="en-AU" w:bidi="ar-SA"/>
        </w:rPr>
        <w:t>FATA</w:t>
      </w:r>
      <w:r w:rsidR="00B234C1" w:rsidRPr="00B234C1">
        <w:rPr>
          <w:rStyle w:val="Bodytext21"/>
          <w:lang w:val="en-AU" w:bidi="ar-SA"/>
        </w:rPr>
        <w:t>).</w:t>
      </w:r>
      <w:r w:rsidRPr="00F63C0E">
        <w:rPr>
          <w:rStyle w:val="Bodytext21"/>
          <w:lang w:val="en-AU" w:bidi="ar-SA"/>
        </w:rPr>
        <w:t>.</w:t>
      </w:r>
    </w:p>
    <w:p w:rsidR="00BA0D46" w:rsidRPr="00FF270A" w:rsidRDefault="00F63C0E" w:rsidP="00FF270A">
      <w:pPr>
        <w:spacing w:after="162" w:line="274" w:lineRule="exact"/>
        <w:rPr>
          <w:rStyle w:val="Bodytext21"/>
        </w:rPr>
      </w:pPr>
      <w:r w:rsidRPr="00F63C0E">
        <w:rPr>
          <w:rStyle w:val="Bodytext21"/>
          <w:lang w:val="en-AU" w:bidi="ar-SA"/>
        </w:rPr>
        <w:t xml:space="preserve">The security over the </w:t>
      </w:r>
      <w:r w:rsidR="00BA0D46" w:rsidRPr="00FF270A">
        <w:rPr>
          <w:rStyle w:val="Bodytext21"/>
        </w:rPr>
        <w:t xml:space="preserve">business or </w:t>
      </w:r>
      <w:r w:rsidRPr="00F63C0E">
        <w:rPr>
          <w:rStyle w:val="Bodytext21"/>
          <w:lang w:val="en-AU" w:bidi="ar-SA"/>
        </w:rPr>
        <w:t xml:space="preserve">infrastructure asset is usually held by a bank or bank subsidiary (or occasionally by a specialist trustee company) (a </w:t>
      </w:r>
      <w:r w:rsidRPr="008030CD">
        <w:rPr>
          <w:rStyle w:val="Bodytext21"/>
          <w:b/>
          <w:bCs/>
          <w:i/>
          <w:iCs/>
          <w:lang w:val="en-AU" w:bidi="ar-SA"/>
        </w:rPr>
        <w:t>Security Trustee</w:t>
      </w:r>
      <w:r w:rsidRPr="00F63C0E">
        <w:rPr>
          <w:rStyle w:val="Bodytext21"/>
          <w:lang w:val="en-AU" w:bidi="ar-SA"/>
        </w:rPr>
        <w:t xml:space="preserve">) on trust for the benefit of the financiers. </w:t>
      </w:r>
      <w:r w:rsidR="00BA0D46" w:rsidRPr="00FF270A">
        <w:rPr>
          <w:rStyle w:val="Bodytext21"/>
        </w:rPr>
        <w:t>By virtue of the security interest, absent the moneylending exemption under s27 of FATR</w:t>
      </w:r>
      <w:r w:rsidR="008030CD">
        <w:rPr>
          <w:rStyle w:val="Bodytext21"/>
        </w:rPr>
        <w:t xml:space="preserve"> (the </w:t>
      </w:r>
      <w:r w:rsidR="00960B66">
        <w:rPr>
          <w:rStyle w:val="Bodytext21"/>
          <w:b/>
          <w:bCs/>
          <w:i/>
          <w:iCs/>
        </w:rPr>
        <w:t>m</w:t>
      </w:r>
      <w:r w:rsidR="008030CD" w:rsidRPr="008030CD">
        <w:rPr>
          <w:rStyle w:val="Bodytext21"/>
          <w:b/>
          <w:bCs/>
          <w:i/>
          <w:iCs/>
        </w:rPr>
        <w:t xml:space="preserve">oneylending </w:t>
      </w:r>
      <w:r w:rsidR="00960B66">
        <w:rPr>
          <w:rStyle w:val="Bodytext21"/>
          <w:b/>
          <w:bCs/>
          <w:i/>
          <w:iCs/>
        </w:rPr>
        <w:t>e</w:t>
      </w:r>
      <w:r w:rsidR="008030CD" w:rsidRPr="008030CD">
        <w:rPr>
          <w:rStyle w:val="Bodytext21"/>
          <w:b/>
          <w:bCs/>
          <w:i/>
          <w:iCs/>
        </w:rPr>
        <w:t>xemption</w:t>
      </w:r>
      <w:r w:rsidR="008030CD">
        <w:rPr>
          <w:rStyle w:val="Bodytext21"/>
        </w:rPr>
        <w:t>)</w:t>
      </w:r>
      <w:r w:rsidR="00BA0D46" w:rsidRPr="00FF270A">
        <w:rPr>
          <w:rStyle w:val="Bodytext21"/>
        </w:rPr>
        <w:t>, the Security Trustee would hold a legal or equitable interest, and each financier, as a beneficiary of the security trust, would hold an equitable interest, in the relevant business or assets</w:t>
      </w:r>
      <w:r w:rsidR="00B234C1">
        <w:rPr>
          <w:rStyle w:val="Bodytext21"/>
        </w:rPr>
        <w:t xml:space="preserve"> </w:t>
      </w:r>
      <w:r w:rsidR="00B234C1" w:rsidRPr="00B234C1">
        <w:rPr>
          <w:rFonts w:ascii="Arial" w:eastAsia="Arial" w:hAnsi="Arial" w:cs="Arial"/>
          <w:color w:val="202020"/>
          <w:sz w:val="18"/>
          <w:szCs w:val="18"/>
        </w:rPr>
        <w:t>for the purposes of the FATA</w:t>
      </w:r>
      <w:r w:rsidR="00BA0D46" w:rsidRPr="00FF270A">
        <w:rPr>
          <w:rStyle w:val="Bodytext21"/>
        </w:rPr>
        <w:t xml:space="preserve">. </w:t>
      </w:r>
    </w:p>
    <w:p w:rsidR="00F63C0E" w:rsidRPr="00F63C0E" w:rsidRDefault="00BA0D46" w:rsidP="00FF270A">
      <w:pPr>
        <w:spacing w:after="162" w:line="274" w:lineRule="exact"/>
        <w:rPr>
          <w:rStyle w:val="Bodytext21"/>
          <w:lang w:val="en-AU" w:bidi="ar-SA"/>
        </w:rPr>
      </w:pPr>
      <w:r w:rsidRPr="00FF270A">
        <w:rPr>
          <w:rStyle w:val="Bodytext21"/>
        </w:rPr>
        <w:t xml:space="preserve">The Security Trustee acts on the instructions of the financiers. </w:t>
      </w:r>
      <w:r w:rsidR="00F63C0E" w:rsidRPr="00F63C0E">
        <w:rPr>
          <w:rStyle w:val="Bodytext21"/>
          <w:lang w:val="en-AU" w:bidi="ar-SA"/>
        </w:rPr>
        <w:t xml:space="preserve">Decisions on </w:t>
      </w:r>
      <w:r w:rsidR="00FE6E4C">
        <w:rPr>
          <w:rStyle w:val="Bodytext21"/>
          <w:lang w:val="en-AU" w:bidi="ar-SA"/>
        </w:rPr>
        <w:t xml:space="preserve">consents, waivers and </w:t>
      </w:r>
      <w:r w:rsidR="00F63C0E" w:rsidRPr="00F63C0E">
        <w:rPr>
          <w:rStyle w:val="Bodytext21"/>
          <w:lang w:val="en-AU" w:bidi="ar-SA"/>
        </w:rPr>
        <w:t xml:space="preserve">enforcement are normally made by a defined majority of the financiers (by share of the total secured debt), usually around two-thirds. </w:t>
      </w:r>
      <w:r w:rsidRPr="00FF270A">
        <w:rPr>
          <w:rStyle w:val="Bodytext21"/>
        </w:rPr>
        <w:t>F</w:t>
      </w:r>
      <w:r w:rsidR="00F63C0E" w:rsidRPr="00F63C0E">
        <w:rPr>
          <w:rStyle w:val="Bodytext21"/>
          <w:lang w:val="en-AU" w:bidi="ar-SA"/>
        </w:rPr>
        <w:t xml:space="preserve">or major </w:t>
      </w:r>
      <w:r w:rsidRPr="00FF270A">
        <w:rPr>
          <w:rStyle w:val="Bodytext21"/>
        </w:rPr>
        <w:t xml:space="preserve">businesses and </w:t>
      </w:r>
      <w:r w:rsidR="00F63C0E" w:rsidRPr="00F63C0E">
        <w:rPr>
          <w:rStyle w:val="Bodytext21"/>
          <w:lang w:val="en-AU" w:bidi="ar-SA"/>
        </w:rPr>
        <w:t>infrastructure assets with a large syndicate of financiers no single</w:t>
      </w:r>
      <w:r w:rsidR="00F63C0E" w:rsidRPr="00F63C0E">
        <w:rPr>
          <w:rFonts w:ascii="Arial" w:eastAsia="Calibri" w:hAnsi="Arial" w:cs="Arial"/>
          <w:color w:val="auto"/>
          <w:sz w:val="20"/>
          <w:szCs w:val="20"/>
          <w:lang w:val="en-AU" w:bidi="ar-SA"/>
        </w:rPr>
        <w:t xml:space="preserve"> </w:t>
      </w:r>
      <w:r w:rsidR="00F63C0E" w:rsidRPr="00F63C0E">
        <w:rPr>
          <w:rStyle w:val="Bodytext21"/>
          <w:lang w:val="en-AU" w:bidi="ar-SA"/>
        </w:rPr>
        <w:t xml:space="preserve">financier would ordinarily be in a position to control or influence the </w:t>
      </w:r>
      <w:r w:rsidR="008030CD">
        <w:rPr>
          <w:rStyle w:val="Bodytext21"/>
          <w:lang w:val="en-AU" w:bidi="ar-SA"/>
        </w:rPr>
        <w:t xml:space="preserve">business or </w:t>
      </w:r>
      <w:r w:rsidR="00F63C0E" w:rsidRPr="00F63C0E">
        <w:rPr>
          <w:rStyle w:val="Bodytext21"/>
          <w:lang w:val="en-AU" w:bidi="ar-SA"/>
        </w:rPr>
        <w:t>asset, even on enforcement</w:t>
      </w:r>
      <w:r w:rsidRPr="00FF270A">
        <w:rPr>
          <w:rStyle w:val="Bodytext21"/>
          <w:lang w:val="en-AU" w:bidi="ar-SA"/>
        </w:rPr>
        <w:t xml:space="preserve"> of the security</w:t>
      </w:r>
      <w:r w:rsidR="00F63C0E" w:rsidRPr="00F63C0E">
        <w:rPr>
          <w:rStyle w:val="Bodytext21"/>
          <w:lang w:val="en-AU" w:bidi="ar-SA"/>
        </w:rPr>
        <w:t xml:space="preserve">. </w:t>
      </w:r>
      <w:r w:rsidR="005B052E">
        <w:rPr>
          <w:rStyle w:val="Bodytext21"/>
          <w:lang w:val="en-AU" w:bidi="ar-SA"/>
        </w:rPr>
        <w:t>Enforcement of the security is normally effected by the Security Trustee, on instructions from the majority financiers (typically a two-thirds majority vote is needed). Enforcement of security entails the Security Trustee appointing specialist insolvency practitioners to act as receivers and managers, or sometimes as administrators, in either case with a view to selling the business or asset to a third party (with a statutory obligation to sell at the best price reasonably obtainable).</w:t>
      </w:r>
    </w:p>
    <w:p w:rsidR="00F63C0E" w:rsidRDefault="00F63C0E" w:rsidP="00FF270A">
      <w:pPr>
        <w:spacing w:after="162" w:line="274" w:lineRule="exact"/>
        <w:rPr>
          <w:rStyle w:val="Bodytext21"/>
          <w:lang w:val="en-AU" w:bidi="ar-SA"/>
        </w:rPr>
      </w:pPr>
      <w:r w:rsidRPr="00F63C0E">
        <w:rPr>
          <w:rStyle w:val="Bodytext21"/>
          <w:lang w:val="en-AU" w:bidi="ar-SA"/>
        </w:rPr>
        <w:t>The financiers usually have the right to buy and sell their participations under the syndicated loan; and in a</w:t>
      </w:r>
      <w:r w:rsidR="00BA0D46" w:rsidRPr="00FF270A">
        <w:rPr>
          <w:rStyle w:val="Bodytext21"/>
          <w:lang w:val="en-AU" w:bidi="ar-SA"/>
        </w:rPr>
        <w:t xml:space="preserve"> 'work out' or</w:t>
      </w:r>
      <w:r w:rsidRPr="00F63C0E">
        <w:rPr>
          <w:rStyle w:val="Bodytext21"/>
          <w:lang w:val="en-AU" w:bidi="ar-SA"/>
        </w:rPr>
        <w:t xml:space="preserve"> enforcement situation that right is frequently exercised, and the identity of the financiers, and hence of those with an 'interest' in the </w:t>
      </w:r>
      <w:r w:rsidR="00BA0D46" w:rsidRPr="00FF270A">
        <w:rPr>
          <w:rStyle w:val="Bodytext21"/>
          <w:lang w:val="en-AU" w:bidi="ar-SA"/>
        </w:rPr>
        <w:t>business or</w:t>
      </w:r>
      <w:r w:rsidRPr="00F63C0E">
        <w:rPr>
          <w:rStyle w:val="Bodytext21"/>
          <w:lang w:val="en-AU" w:bidi="ar-SA"/>
        </w:rPr>
        <w:t xml:space="preserve"> asset through the security trust, can change rapidly</w:t>
      </w:r>
      <w:r w:rsidR="00C9261A">
        <w:rPr>
          <w:rStyle w:val="Bodytext21"/>
          <w:lang w:val="en-AU" w:bidi="ar-SA"/>
        </w:rPr>
        <w:t xml:space="preserve"> (sometimes as much as daily)</w:t>
      </w:r>
      <w:r w:rsidRPr="00F63C0E">
        <w:rPr>
          <w:rStyle w:val="Bodytext21"/>
          <w:lang w:val="en-AU" w:bidi="ar-SA"/>
        </w:rPr>
        <w:t>. This debt trading is often undertaken by specialist 'distressed debt' funds.</w:t>
      </w:r>
    </w:p>
    <w:p w:rsidR="00C333A3" w:rsidRPr="00F63C0E" w:rsidRDefault="00C333A3" w:rsidP="00FF270A">
      <w:pPr>
        <w:spacing w:after="162" w:line="274" w:lineRule="exact"/>
        <w:rPr>
          <w:rStyle w:val="Bodytext21"/>
          <w:lang w:val="en-AU" w:bidi="ar-SA"/>
        </w:rPr>
      </w:pPr>
      <w:r>
        <w:rPr>
          <w:rStyle w:val="Bodytext21"/>
          <w:lang w:val="en-AU" w:bidi="ar-SA"/>
        </w:rPr>
        <w:t xml:space="preserve">We should add that although the APLMA's focus is on syndicated loans, many of the issues canvassed below will also be relevant to </w:t>
      </w:r>
      <w:r w:rsidR="00FA644E">
        <w:rPr>
          <w:rStyle w:val="Bodytext21"/>
          <w:lang w:val="en-AU" w:bidi="ar-SA"/>
        </w:rPr>
        <w:t>capital markets refinancings (eg in the form of secured bond issues) of major projects. It is common for, eg, infrastructure development projects to be initially financed by syndicated loans on the basis that once the construction phase is completed</w:t>
      </w:r>
      <w:r w:rsidR="004E4B9A">
        <w:rPr>
          <w:rStyle w:val="Bodytext21"/>
          <w:lang w:val="en-AU" w:bidi="ar-SA"/>
        </w:rPr>
        <w:t xml:space="preserve"> they can be refinanced by a bond issue. Given this 'take-out' function on which syndicated </w:t>
      </w:r>
      <w:r w:rsidR="00A7060C">
        <w:rPr>
          <w:rStyle w:val="Bodytext21"/>
          <w:lang w:val="en-AU" w:bidi="ar-SA"/>
        </w:rPr>
        <w:t>l</w:t>
      </w:r>
      <w:r w:rsidR="004E4B9A">
        <w:rPr>
          <w:rStyle w:val="Bodytext21"/>
          <w:lang w:val="en-AU" w:bidi="ar-SA"/>
        </w:rPr>
        <w:t>enders rely, an adverse impact on the appetite in bond markets for Australian projects would also have an adverse impact on loan markets as a result.</w:t>
      </w:r>
      <w:r>
        <w:rPr>
          <w:rStyle w:val="Bodytext21"/>
          <w:lang w:val="en-AU" w:bidi="ar-SA"/>
        </w:rPr>
        <w:t>.</w:t>
      </w:r>
    </w:p>
    <w:p w:rsidR="00F63C0E" w:rsidRPr="007A0E45" w:rsidRDefault="0002613E" w:rsidP="007A0E45">
      <w:pPr>
        <w:pStyle w:val="Bodytext20"/>
        <w:shd w:val="clear" w:color="auto" w:fill="auto"/>
        <w:spacing w:before="0" w:line="274" w:lineRule="exact"/>
        <w:ind w:firstLine="0"/>
        <w:jc w:val="left"/>
        <w:rPr>
          <w:rFonts w:eastAsia="MS Mincho"/>
          <w:b/>
          <w:bCs/>
          <w:color w:val="auto"/>
          <w:sz w:val="20"/>
          <w:szCs w:val="20"/>
          <w:lang w:val="en-AU" w:eastAsia="ja-JP" w:bidi="ar-SA"/>
        </w:rPr>
      </w:pPr>
      <w:r w:rsidRPr="007A0E45">
        <w:rPr>
          <w:rFonts w:eastAsia="MS Mincho"/>
          <w:b/>
          <w:bCs/>
          <w:color w:val="auto"/>
          <w:sz w:val="20"/>
          <w:szCs w:val="20"/>
          <w:lang w:val="en-AU" w:eastAsia="ja-JP" w:bidi="ar-SA"/>
        </w:rPr>
        <w:t xml:space="preserve">Issues with the </w:t>
      </w:r>
      <w:r w:rsidR="001A7B13" w:rsidRPr="007A0E45">
        <w:rPr>
          <w:rFonts w:eastAsia="MS Mincho"/>
          <w:b/>
          <w:bCs/>
          <w:color w:val="auto"/>
          <w:sz w:val="20"/>
          <w:szCs w:val="20"/>
          <w:lang w:val="en-AU" w:eastAsia="ja-JP" w:bidi="ar-SA"/>
        </w:rPr>
        <w:t>Draft Regulations</w:t>
      </w:r>
    </w:p>
    <w:p w:rsidR="0002613E" w:rsidRDefault="0002613E">
      <w:pPr>
        <w:pStyle w:val="Bodytext20"/>
        <w:shd w:val="clear" w:color="auto" w:fill="auto"/>
        <w:spacing w:before="0" w:line="274" w:lineRule="exact"/>
        <w:ind w:firstLine="0"/>
        <w:jc w:val="left"/>
        <w:rPr>
          <w:rStyle w:val="Bodytext21"/>
        </w:rPr>
      </w:pPr>
      <w:r>
        <w:rPr>
          <w:rStyle w:val="Bodytext21"/>
        </w:rPr>
        <w:t xml:space="preserve">The </w:t>
      </w:r>
      <w:r w:rsidR="001A7B13">
        <w:rPr>
          <w:rStyle w:val="Bodytext21"/>
        </w:rPr>
        <w:t xml:space="preserve">Draft Regulations </w:t>
      </w:r>
      <w:r>
        <w:rPr>
          <w:rStyle w:val="Bodytext21"/>
        </w:rPr>
        <w:t xml:space="preserve">raise </w:t>
      </w:r>
      <w:r w:rsidR="001A7B13">
        <w:rPr>
          <w:rStyle w:val="Bodytext21"/>
        </w:rPr>
        <w:t>one major issue</w:t>
      </w:r>
      <w:r w:rsidR="00FE6E4C">
        <w:rPr>
          <w:rStyle w:val="Bodytext21"/>
        </w:rPr>
        <w:t xml:space="preserve"> for the syndicated loan markets</w:t>
      </w:r>
      <w:r w:rsidR="001A7B13">
        <w:rPr>
          <w:rStyle w:val="Bodytext21"/>
        </w:rPr>
        <w:t>, and if that is not resolved, a host of other issues</w:t>
      </w:r>
      <w:r>
        <w:rPr>
          <w:rStyle w:val="Bodytext21"/>
        </w:rPr>
        <w:t>.</w:t>
      </w:r>
    </w:p>
    <w:p w:rsidR="0002613E" w:rsidRPr="0063644B" w:rsidRDefault="0002613E" w:rsidP="0002613E">
      <w:pPr>
        <w:keepNext/>
        <w:keepLines/>
        <w:spacing w:after="118" w:line="246" w:lineRule="exact"/>
        <w:outlineLvl w:val="2"/>
        <w:rPr>
          <w:rFonts w:ascii="Arial" w:eastAsia="Calibri" w:hAnsi="Arial" w:cs="Arial"/>
          <w:b/>
          <w:bCs/>
          <w:color w:val="auto"/>
          <w:sz w:val="20"/>
          <w:szCs w:val="20"/>
          <w:lang w:val="en-AU" w:bidi="ar-SA"/>
        </w:rPr>
      </w:pPr>
      <w:r w:rsidRPr="0063644B">
        <w:rPr>
          <w:rFonts w:ascii="Arial" w:eastAsia="Calibri" w:hAnsi="Arial" w:cs="Arial"/>
          <w:b/>
          <w:bCs/>
          <w:color w:val="auto"/>
          <w:sz w:val="20"/>
          <w:szCs w:val="20"/>
          <w:lang w:val="en-AU" w:bidi="ar-SA"/>
        </w:rPr>
        <w:t>1. Propos</w:t>
      </w:r>
      <w:r w:rsidR="003862CC" w:rsidRPr="0063644B">
        <w:rPr>
          <w:rFonts w:ascii="Arial" w:eastAsia="Calibri" w:hAnsi="Arial" w:cs="Arial"/>
          <w:b/>
          <w:bCs/>
          <w:color w:val="auto"/>
          <w:sz w:val="20"/>
          <w:szCs w:val="20"/>
          <w:lang w:val="en-AU" w:bidi="ar-SA"/>
        </w:rPr>
        <w:t xml:space="preserve">al to revoke </w:t>
      </w:r>
      <w:r w:rsidR="00960B66" w:rsidRPr="0063644B">
        <w:rPr>
          <w:rFonts w:ascii="Arial" w:eastAsia="Calibri" w:hAnsi="Arial" w:cs="Arial"/>
          <w:b/>
          <w:bCs/>
          <w:color w:val="auto"/>
          <w:sz w:val="20"/>
          <w:szCs w:val="20"/>
          <w:lang w:val="en-AU" w:bidi="ar-SA"/>
        </w:rPr>
        <w:t>m</w:t>
      </w:r>
      <w:r w:rsidR="003862CC" w:rsidRPr="0063644B">
        <w:rPr>
          <w:rFonts w:ascii="Arial" w:eastAsia="Calibri" w:hAnsi="Arial" w:cs="Arial"/>
          <w:b/>
          <w:bCs/>
          <w:color w:val="auto"/>
          <w:sz w:val="20"/>
          <w:szCs w:val="20"/>
          <w:lang w:val="en-AU" w:bidi="ar-SA"/>
        </w:rPr>
        <w:t xml:space="preserve">oneylending </w:t>
      </w:r>
      <w:r w:rsidR="00960B66" w:rsidRPr="0063644B">
        <w:rPr>
          <w:rFonts w:ascii="Arial" w:eastAsia="Calibri" w:hAnsi="Arial" w:cs="Arial"/>
          <w:b/>
          <w:bCs/>
          <w:color w:val="auto"/>
          <w:sz w:val="20"/>
          <w:szCs w:val="20"/>
          <w:lang w:val="en-AU" w:bidi="ar-SA"/>
        </w:rPr>
        <w:t>e</w:t>
      </w:r>
      <w:r w:rsidR="003862CC" w:rsidRPr="0063644B">
        <w:rPr>
          <w:rFonts w:ascii="Arial" w:eastAsia="Calibri" w:hAnsi="Arial" w:cs="Arial"/>
          <w:b/>
          <w:bCs/>
          <w:color w:val="auto"/>
          <w:sz w:val="20"/>
          <w:szCs w:val="20"/>
          <w:lang w:val="en-AU" w:bidi="ar-SA"/>
        </w:rPr>
        <w:t xml:space="preserve">xemption for </w:t>
      </w:r>
      <w:r w:rsidR="00960B66" w:rsidRPr="0063644B">
        <w:rPr>
          <w:rFonts w:ascii="Arial" w:eastAsia="Calibri" w:hAnsi="Arial" w:cs="Arial"/>
          <w:b/>
          <w:bCs/>
          <w:color w:val="auto"/>
          <w:sz w:val="20"/>
          <w:szCs w:val="20"/>
          <w:lang w:val="en-AU" w:bidi="ar-SA"/>
        </w:rPr>
        <w:t>s</w:t>
      </w:r>
      <w:r w:rsidR="003862CC" w:rsidRPr="0063644B">
        <w:rPr>
          <w:rFonts w:ascii="Arial" w:eastAsia="Calibri" w:hAnsi="Arial" w:cs="Arial"/>
          <w:b/>
          <w:bCs/>
          <w:color w:val="auto"/>
          <w:sz w:val="20"/>
          <w:szCs w:val="20"/>
          <w:lang w:val="en-AU" w:bidi="ar-SA"/>
        </w:rPr>
        <w:t xml:space="preserve">ecurity over </w:t>
      </w:r>
      <w:r w:rsidR="00960B66" w:rsidRPr="0063644B">
        <w:rPr>
          <w:rFonts w:ascii="Arial" w:eastAsia="Calibri" w:hAnsi="Arial" w:cs="Arial"/>
          <w:b/>
          <w:bCs/>
          <w:color w:val="auto"/>
          <w:sz w:val="20"/>
          <w:szCs w:val="20"/>
          <w:lang w:val="en-AU" w:bidi="ar-SA"/>
        </w:rPr>
        <w:t>n</w:t>
      </w:r>
      <w:r w:rsidR="003862CC" w:rsidRPr="0063644B">
        <w:rPr>
          <w:rFonts w:ascii="Arial" w:eastAsia="Calibri" w:hAnsi="Arial" w:cs="Arial"/>
          <w:b/>
          <w:bCs/>
          <w:color w:val="auto"/>
          <w:sz w:val="20"/>
          <w:szCs w:val="20"/>
          <w:lang w:val="en-AU" w:bidi="ar-SA"/>
        </w:rPr>
        <w:t xml:space="preserve">ational </w:t>
      </w:r>
      <w:r w:rsidR="00960B66" w:rsidRPr="0063644B">
        <w:rPr>
          <w:rFonts w:ascii="Arial" w:eastAsia="Calibri" w:hAnsi="Arial" w:cs="Arial"/>
          <w:b/>
          <w:bCs/>
          <w:color w:val="auto"/>
          <w:sz w:val="20"/>
          <w:szCs w:val="20"/>
          <w:lang w:val="en-AU" w:bidi="ar-SA"/>
        </w:rPr>
        <w:t>s</w:t>
      </w:r>
      <w:r w:rsidR="003862CC" w:rsidRPr="0063644B">
        <w:rPr>
          <w:rFonts w:ascii="Arial" w:eastAsia="Calibri" w:hAnsi="Arial" w:cs="Arial"/>
          <w:b/>
          <w:bCs/>
          <w:color w:val="auto"/>
          <w:sz w:val="20"/>
          <w:szCs w:val="20"/>
          <w:lang w:val="en-AU" w:bidi="ar-SA"/>
        </w:rPr>
        <w:t xml:space="preserve">ecurity </w:t>
      </w:r>
      <w:r w:rsidR="00960B66" w:rsidRPr="0063644B">
        <w:rPr>
          <w:rFonts w:ascii="Arial" w:eastAsia="Calibri" w:hAnsi="Arial" w:cs="Arial"/>
          <w:b/>
          <w:bCs/>
          <w:color w:val="auto"/>
          <w:sz w:val="20"/>
          <w:szCs w:val="20"/>
          <w:lang w:val="en-AU" w:bidi="ar-SA"/>
        </w:rPr>
        <w:t>b</w:t>
      </w:r>
      <w:r w:rsidR="003862CC" w:rsidRPr="0063644B">
        <w:rPr>
          <w:rFonts w:ascii="Arial" w:eastAsia="Calibri" w:hAnsi="Arial" w:cs="Arial"/>
          <w:b/>
          <w:bCs/>
          <w:color w:val="auto"/>
          <w:sz w:val="20"/>
          <w:szCs w:val="20"/>
          <w:lang w:val="en-AU" w:bidi="ar-SA"/>
        </w:rPr>
        <w:t>usiness</w:t>
      </w:r>
    </w:p>
    <w:p w:rsidR="00960B66" w:rsidRDefault="003862CC">
      <w:pPr>
        <w:pStyle w:val="Bodytext20"/>
        <w:shd w:val="clear" w:color="auto" w:fill="auto"/>
        <w:spacing w:before="0" w:line="274" w:lineRule="exact"/>
        <w:ind w:firstLine="0"/>
        <w:jc w:val="left"/>
        <w:rPr>
          <w:rStyle w:val="Bodytext21"/>
        </w:rPr>
      </w:pPr>
      <w:r>
        <w:rPr>
          <w:rStyle w:val="Bodytext21"/>
        </w:rPr>
        <w:t>The proposed introduction of sub-</w:t>
      </w:r>
      <w:r w:rsidR="007A34F3">
        <w:rPr>
          <w:rStyle w:val="Bodytext21"/>
        </w:rPr>
        <w:t>para</w:t>
      </w:r>
      <w:r>
        <w:rPr>
          <w:rStyle w:val="Bodytext21"/>
        </w:rPr>
        <w:t xml:space="preserve"> (</w:t>
      </w:r>
      <w:r w:rsidR="007A34F3">
        <w:rPr>
          <w:rStyle w:val="Bodytext21"/>
        </w:rPr>
        <w:t>c</w:t>
      </w:r>
      <w:r>
        <w:rPr>
          <w:rStyle w:val="Bodytext21"/>
        </w:rPr>
        <w:t>) to section 27</w:t>
      </w:r>
      <w:r w:rsidR="007A34F3">
        <w:rPr>
          <w:rStyle w:val="Bodytext21"/>
        </w:rPr>
        <w:t>(1)</w:t>
      </w:r>
      <w:r>
        <w:rPr>
          <w:rStyle w:val="Bodytext21"/>
        </w:rPr>
        <w:t xml:space="preserve"> of FATR would seriously disrupt Australian syndicated loan markets.</w:t>
      </w:r>
      <w:r w:rsidR="007A34F3">
        <w:rPr>
          <w:rStyle w:val="Bodytext21"/>
        </w:rPr>
        <w:t xml:space="preserve"> Foreign lenders play a key role in financing </w:t>
      </w:r>
      <w:r w:rsidR="00B20380">
        <w:rPr>
          <w:rStyle w:val="Bodytext21"/>
        </w:rPr>
        <w:t xml:space="preserve">the infrastructure comprised in </w:t>
      </w:r>
      <w:r w:rsidR="007A34F3">
        <w:rPr>
          <w:rStyle w:val="Bodytext21"/>
        </w:rPr>
        <w:t xml:space="preserve">national security businesses, and those financings are often secured over the assets of the business, especially construction or development financings. The removal of the </w:t>
      </w:r>
      <w:r w:rsidR="00960B66">
        <w:rPr>
          <w:rStyle w:val="Bodytext21"/>
        </w:rPr>
        <w:t>m</w:t>
      </w:r>
      <w:r w:rsidR="007A34F3">
        <w:rPr>
          <w:rStyle w:val="Bodytext21"/>
        </w:rPr>
        <w:t xml:space="preserve">oneylending </w:t>
      </w:r>
      <w:r w:rsidR="00960B66">
        <w:rPr>
          <w:rStyle w:val="Bodytext21"/>
        </w:rPr>
        <w:t>e</w:t>
      </w:r>
      <w:r w:rsidR="007A34F3">
        <w:rPr>
          <w:rStyle w:val="Bodytext21"/>
        </w:rPr>
        <w:t>xemption will deter foreign financiers from participating in such financings, and even where they are willing to go through FIRB notification or exemption processes this will generate delay, uncertainty and expense</w:t>
      </w:r>
      <w:r w:rsidR="00CD2943">
        <w:rPr>
          <w:rStyle w:val="Bodytext21"/>
        </w:rPr>
        <w:t>; factors which are anathema to the competitive bidding arrangements common to major new projects</w:t>
      </w:r>
      <w:r w:rsidR="007A34F3">
        <w:rPr>
          <w:rStyle w:val="Bodytext21"/>
        </w:rPr>
        <w:t>.</w:t>
      </w:r>
      <w:r w:rsidR="00C9261A">
        <w:rPr>
          <w:rStyle w:val="Bodytext21"/>
        </w:rPr>
        <w:t xml:space="preserve"> Because of concentration limits and prudential risk management practices, Australian banks may also be deterred if they cannot be confident of selling down their risk to foreign financiers</w:t>
      </w:r>
      <w:r w:rsidR="004E4B9A">
        <w:rPr>
          <w:rStyle w:val="Bodytext21"/>
        </w:rPr>
        <w:t xml:space="preserve"> or, as noted earlier, being repaid out of a capital markets refinancing.</w:t>
      </w:r>
    </w:p>
    <w:p w:rsidR="00D90F6E" w:rsidRDefault="007A34F3">
      <w:pPr>
        <w:pStyle w:val="Bodytext20"/>
        <w:shd w:val="clear" w:color="auto" w:fill="auto"/>
        <w:spacing w:before="0" w:line="274" w:lineRule="exact"/>
        <w:ind w:firstLine="0"/>
        <w:jc w:val="left"/>
        <w:rPr>
          <w:rStyle w:val="Bodytext21"/>
        </w:rPr>
      </w:pPr>
      <w:r>
        <w:rPr>
          <w:rStyle w:val="Bodytext21"/>
        </w:rPr>
        <w:lastRenderedPageBreak/>
        <w:t>It is respectfully submitted that this change will</w:t>
      </w:r>
      <w:r w:rsidR="00CD2943">
        <w:rPr>
          <w:rStyle w:val="Bodytext21"/>
        </w:rPr>
        <w:t>, at best,</w:t>
      </w:r>
      <w:r>
        <w:rPr>
          <w:rStyle w:val="Bodytext21"/>
        </w:rPr>
        <w:t xml:space="preserve"> burden </w:t>
      </w:r>
      <w:r w:rsidR="00CD2943">
        <w:rPr>
          <w:rStyle w:val="Bodytext21"/>
        </w:rPr>
        <w:t>the loan syndication markets</w:t>
      </w:r>
      <w:r>
        <w:rPr>
          <w:rStyle w:val="Bodytext21"/>
        </w:rPr>
        <w:t xml:space="preserve"> </w:t>
      </w:r>
      <w:r w:rsidR="00CD2943">
        <w:rPr>
          <w:rStyle w:val="Bodytext21"/>
        </w:rPr>
        <w:t xml:space="preserve">with </w:t>
      </w:r>
      <w:r>
        <w:rPr>
          <w:rStyle w:val="Bodytext21"/>
        </w:rPr>
        <w:t>bureaucratic red tape</w:t>
      </w:r>
      <w:r w:rsidR="00CD2943">
        <w:rPr>
          <w:rStyle w:val="Bodytext21"/>
        </w:rPr>
        <w:t>, and there is a rea</w:t>
      </w:r>
      <w:r w:rsidR="00B20380">
        <w:rPr>
          <w:rStyle w:val="Bodytext21"/>
        </w:rPr>
        <w:t>l</w:t>
      </w:r>
      <w:r w:rsidR="00CD2943">
        <w:rPr>
          <w:rStyle w:val="Bodytext21"/>
        </w:rPr>
        <w:t xml:space="preserve"> risk that it will constrict the availability of credit for vital infrastructure projects</w:t>
      </w:r>
      <w:r w:rsidR="00FE6E4C">
        <w:rPr>
          <w:rStyle w:val="Bodytext21"/>
        </w:rPr>
        <w:t xml:space="preserve"> and other businesses</w:t>
      </w:r>
      <w:r w:rsidR="00CD2943">
        <w:rPr>
          <w:rStyle w:val="Bodytext21"/>
        </w:rPr>
        <w:t>.</w:t>
      </w:r>
    </w:p>
    <w:p w:rsidR="00AF4D5E" w:rsidRDefault="00CD2943" w:rsidP="00AF4D5E">
      <w:pPr>
        <w:pStyle w:val="Bodytext20"/>
        <w:shd w:val="clear" w:color="auto" w:fill="auto"/>
        <w:spacing w:before="0" w:line="274" w:lineRule="exact"/>
        <w:ind w:firstLine="0"/>
        <w:jc w:val="left"/>
      </w:pPr>
      <w:r>
        <w:rPr>
          <w:rStyle w:val="Bodytext21"/>
        </w:rPr>
        <w:t>Removal of the exemption will also exacerbate</w:t>
      </w:r>
      <w:r w:rsidR="00AF4D5E">
        <w:rPr>
          <w:rStyle w:val="Bodytext21"/>
        </w:rPr>
        <w:t xml:space="preserve"> the </w:t>
      </w:r>
      <w:r>
        <w:rPr>
          <w:rStyle w:val="Bodytext21"/>
        </w:rPr>
        <w:t xml:space="preserve">difficulty raised in our submission on Tranche 1 of the FIRB changes concerning the imprecision and broad reach of the </w:t>
      </w:r>
      <w:r w:rsidR="00AF4D5E">
        <w:rPr>
          <w:rStyle w:val="Bodytext21"/>
        </w:rPr>
        <w:t xml:space="preserve">definition of </w:t>
      </w:r>
      <w:r w:rsidR="00AF4D5E" w:rsidRPr="00960B66">
        <w:rPr>
          <w:rStyle w:val="Bodytext21"/>
          <w:i/>
          <w:iCs/>
        </w:rPr>
        <w:t>nat</w:t>
      </w:r>
      <w:r w:rsidRPr="00960B66">
        <w:rPr>
          <w:rStyle w:val="Bodytext21"/>
          <w:i/>
          <w:iCs/>
        </w:rPr>
        <w:t>ional</w:t>
      </w:r>
      <w:r w:rsidR="00AF4D5E" w:rsidRPr="00960B66">
        <w:rPr>
          <w:rStyle w:val="Bodytext21"/>
          <w:i/>
          <w:iCs/>
        </w:rPr>
        <w:t xml:space="preserve"> sec</w:t>
      </w:r>
      <w:r w:rsidRPr="00960B66">
        <w:rPr>
          <w:rStyle w:val="Bodytext21"/>
          <w:i/>
          <w:iCs/>
        </w:rPr>
        <w:t>urity</w:t>
      </w:r>
      <w:r w:rsidR="00AF4D5E" w:rsidRPr="00960B66">
        <w:rPr>
          <w:rStyle w:val="Bodytext21"/>
          <w:i/>
          <w:iCs/>
        </w:rPr>
        <w:t xml:space="preserve"> bus</w:t>
      </w:r>
      <w:r w:rsidRPr="00960B66">
        <w:rPr>
          <w:rStyle w:val="Bodytext21"/>
          <w:i/>
          <w:iCs/>
        </w:rPr>
        <w:t>iness</w:t>
      </w:r>
      <w:r w:rsidR="00180A37">
        <w:rPr>
          <w:rStyle w:val="Bodytext21"/>
        </w:rPr>
        <w:t>, as a result of which</w:t>
      </w:r>
      <w:r w:rsidR="00960B66">
        <w:rPr>
          <w:rStyle w:val="Bodytext21"/>
        </w:rPr>
        <w:t xml:space="preserve"> </w:t>
      </w:r>
      <w:r w:rsidR="00180A37">
        <w:rPr>
          <w:rStyle w:val="Bodytext21"/>
        </w:rPr>
        <w:t>f</w:t>
      </w:r>
      <w:r w:rsidR="00960B66">
        <w:rPr>
          <w:rStyle w:val="Bodytext21"/>
        </w:rPr>
        <w:t>oreign lenders will have a major concern that removal of the exemption could lead to unwitting contraventions of FATA. Further, t</w:t>
      </w:r>
      <w:r w:rsidR="00AF4D5E" w:rsidRPr="00A903BE">
        <w:t>he way security is typically granted in secured money</w:t>
      </w:r>
      <w:r w:rsidR="00960B66">
        <w:t>l</w:t>
      </w:r>
      <w:r w:rsidR="00AF4D5E" w:rsidRPr="00A903BE">
        <w:t>ending transactions is under a general security deed (which grant</w:t>
      </w:r>
      <w:r w:rsidR="00D353EA">
        <w:t>s</w:t>
      </w:r>
      <w:r w:rsidR="00AF4D5E" w:rsidRPr="00A903BE">
        <w:t xml:space="preserve"> a security interest over all present and after-acquired property). This means that any asset which is acquired by the grantor under such general security deed will automatically become subject to </w:t>
      </w:r>
      <w:r w:rsidR="00D353EA">
        <w:t>the</w:t>
      </w:r>
      <w:r w:rsidR="00AF4D5E" w:rsidRPr="00A903BE">
        <w:t xml:space="preserve"> security interest. </w:t>
      </w:r>
      <w:r w:rsidR="00D353EA">
        <w:t>So in a secured corporate financing, after the financing has been put in place,</w:t>
      </w:r>
      <w:r w:rsidR="00AF4D5E" w:rsidRPr="00A903BE">
        <w:t xml:space="preserve"> </w:t>
      </w:r>
      <w:r w:rsidR="00FE6E4C">
        <w:t xml:space="preserve">a borrower might </w:t>
      </w:r>
      <w:r w:rsidR="00AF4D5E" w:rsidRPr="00A903BE">
        <w:t xml:space="preserve">acquire an asset </w:t>
      </w:r>
      <w:r w:rsidR="00AB79BF">
        <w:t xml:space="preserve">which falls within the definition of national security business </w:t>
      </w:r>
      <w:r w:rsidR="00AF4D5E" w:rsidRPr="00A903BE">
        <w:t>without the consent</w:t>
      </w:r>
      <w:r w:rsidR="00AB79BF">
        <w:t>, knowledge</w:t>
      </w:r>
      <w:r w:rsidR="00AF4D5E" w:rsidRPr="00A903BE">
        <w:t xml:space="preserve"> or approval of</w:t>
      </w:r>
      <w:r w:rsidR="00AB79BF">
        <w:t xml:space="preserve"> the</w:t>
      </w:r>
      <w:r w:rsidR="00AF4D5E" w:rsidRPr="00A903BE">
        <w:t xml:space="preserve"> lender</w:t>
      </w:r>
      <w:r w:rsidR="00AB79BF">
        <w:t>s</w:t>
      </w:r>
      <w:r w:rsidR="00AF4D5E" w:rsidRPr="00A903BE">
        <w:t xml:space="preserve"> or security trustee</w:t>
      </w:r>
      <w:r w:rsidR="00AB79BF">
        <w:t xml:space="preserve"> -</w:t>
      </w:r>
      <w:r w:rsidR="00AF4D5E" w:rsidRPr="00A903BE">
        <w:t xml:space="preserve"> in those cases, </w:t>
      </w:r>
      <w:r w:rsidR="00AB79BF">
        <w:t>a foreign</w:t>
      </w:r>
      <w:r w:rsidR="00AF4D5E" w:rsidRPr="00A903BE">
        <w:t xml:space="preserve"> lender or security trustee could be </w:t>
      </w:r>
      <w:r w:rsidR="00180A37">
        <w:t>involved in a contravention of</w:t>
      </w:r>
      <w:r w:rsidR="00AF4D5E" w:rsidRPr="00A903BE">
        <w:t xml:space="preserve"> FATA without knowing. </w:t>
      </w:r>
    </w:p>
    <w:p w:rsidR="00AF4D5E" w:rsidRDefault="00AF4D5E" w:rsidP="00AF4D5E">
      <w:pPr>
        <w:pStyle w:val="Bodytext20"/>
        <w:shd w:val="clear" w:color="auto" w:fill="auto"/>
        <w:spacing w:before="0" w:line="274" w:lineRule="exact"/>
        <w:ind w:firstLine="0"/>
        <w:jc w:val="left"/>
      </w:pPr>
      <w:r>
        <w:t>T</w:t>
      </w:r>
      <w:r w:rsidRPr="00A903BE">
        <w:t xml:space="preserve">his would affect </w:t>
      </w:r>
      <w:r w:rsidR="00180A37">
        <w:t>financiers</w:t>
      </w:r>
      <w:r w:rsidRPr="00A903BE">
        <w:t xml:space="preserve"> in both new</w:t>
      </w:r>
      <w:r w:rsidR="00180A37">
        <w:t xml:space="preserve"> </w:t>
      </w:r>
      <w:r w:rsidRPr="00A903BE">
        <w:t>secured moneylending transactions (i</w:t>
      </w:r>
      <w:r>
        <w:t>.</w:t>
      </w:r>
      <w:r w:rsidRPr="00A903BE">
        <w:t>e</w:t>
      </w:r>
      <w:r>
        <w:t>.</w:t>
      </w:r>
      <w:r w:rsidRPr="00A903BE">
        <w:t xml:space="preserve">, after the </w:t>
      </w:r>
      <w:r w:rsidR="00B234C1">
        <w:t>Draft Regulations</w:t>
      </w:r>
      <w:r w:rsidRPr="00A903BE">
        <w:t xml:space="preserve"> take effect), </w:t>
      </w:r>
      <w:r w:rsidR="00180A37">
        <w:t>and a</w:t>
      </w:r>
      <w:r w:rsidRPr="00A903BE">
        <w:t xml:space="preserve">lso in existing secured money lending transactions entered into before the </w:t>
      </w:r>
      <w:r w:rsidR="00B234C1">
        <w:t>Draft Regulations</w:t>
      </w:r>
      <w:r w:rsidRPr="00A903BE">
        <w:t xml:space="preserve"> take effect</w:t>
      </w:r>
      <w:r w:rsidR="00180A37">
        <w:t xml:space="preserve"> where, as is common,</w:t>
      </w:r>
      <w:r w:rsidRPr="00A903BE">
        <w:t xml:space="preserve"> the general security </w:t>
      </w:r>
      <w:r w:rsidR="00180A37">
        <w:t>deed</w:t>
      </w:r>
      <w:r w:rsidRPr="00A903BE">
        <w:t xml:space="preserve"> cover</w:t>
      </w:r>
      <w:r w:rsidR="00180A37">
        <w:t>s</w:t>
      </w:r>
      <w:r w:rsidRPr="00A903BE">
        <w:t xml:space="preserve"> all present and after acquired property of the grantor</w:t>
      </w:r>
      <w:r w:rsidR="00180A37">
        <w:t>.</w:t>
      </w:r>
    </w:p>
    <w:p w:rsidR="004E18D8" w:rsidRPr="007A0E45" w:rsidRDefault="004E18D8" w:rsidP="00AF4D5E">
      <w:pPr>
        <w:pStyle w:val="Bodytext20"/>
        <w:shd w:val="clear" w:color="auto" w:fill="auto"/>
        <w:spacing w:before="0" w:line="274" w:lineRule="exact"/>
        <w:ind w:firstLine="0"/>
        <w:jc w:val="left"/>
        <w:rPr>
          <w:rStyle w:val="Bodytext21"/>
          <w:b/>
          <w:bCs/>
          <w:sz w:val="20"/>
          <w:szCs w:val="20"/>
        </w:rPr>
      </w:pPr>
      <w:r w:rsidRPr="007A0E45">
        <w:rPr>
          <w:b/>
          <w:bCs/>
          <w:sz w:val="20"/>
          <w:szCs w:val="20"/>
        </w:rPr>
        <w:t>A policy focused solution</w:t>
      </w:r>
    </w:p>
    <w:p w:rsidR="00862FDE" w:rsidRDefault="00862FDE">
      <w:pPr>
        <w:pStyle w:val="Bodytext20"/>
        <w:shd w:val="clear" w:color="auto" w:fill="auto"/>
        <w:spacing w:before="0" w:line="274" w:lineRule="exact"/>
        <w:ind w:firstLine="0"/>
        <w:jc w:val="left"/>
        <w:rPr>
          <w:rStyle w:val="Bodytext21"/>
        </w:rPr>
      </w:pPr>
      <w:r>
        <w:rPr>
          <w:rStyle w:val="Bodytext21"/>
        </w:rPr>
        <w:t>Th</w:t>
      </w:r>
      <w:r w:rsidR="004E18D8">
        <w:rPr>
          <w:rStyle w:val="Bodytext21"/>
        </w:rPr>
        <w:t>e</w:t>
      </w:r>
      <w:r>
        <w:rPr>
          <w:rStyle w:val="Bodytext21"/>
        </w:rPr>
        <w:t xml:space="preserve"> proposal </w:t>
      </w:r>
      <w:r w:rsidR="004E18D8">
        <w:rPr>
          <w:rStyle w:val="Bodytext21"/>
        </w:rPr>
        <w:t xml:space="preserve">to introduce s27(1)(c) </w:t>
      </w:r>
      <w:r>
        <w:rPr>
          <w:rStyle w:val="Bodytext21"/>
        </w:rPr>
        <w:t xml:space="preserve">is described as an 'integrity measure' yet in our view </w:t>
      </w:r>
      <w:r w:rsidRPr="00862FDE">
        <w:rPr>
          <w:rStyle w:val="Bodytext21"/>
        </w:rPr>
        <w:t>the moneylending exemption should continue to operate as there is no conflict between the Government’s interests in protecting national security, and the routine and low risk nature of moneylending transactions. We understand that Treasury is concerned that the exemption could be abused</w:t>
      </w:r>
      <w:r w:rsidR="00B20380">
        <w:rPr>
          <w:rStyle w:val="Bodytext21"/>
        </w:rPr>
        <w:t>,</w:t>
      </w:r>
      <w:r w:rsidRPr="00862FDE">
        <w:rPr>
          <w:rStyle w:val="Bodytext21"/>
        </w:rPr>
        <w:t xml:space="preserve"> as a back-door method of gaining control of a national security business. However,</w:t>
      </w:r>
      <w:r>
        <w:rPr>
          <w:rStyle w:val="Bodytext21"/>
        </w:rPr>
        <w:t xml:space="preserve"> under the terms of the definition of moneylending agreement,</w:t>
      </w:r>
      <w:r w:rsidRPr="00862FDE">
        <w:rPr>
          <w:rStyle w:val="Bodytext21"/>
        </w:rPr>
        <w:t xml:space="preserve"> to be eligible for the exemption the security interest</w:t>
      </w:r>
      <w:r>
        <w:rPr>
          <w:rStyle w:val="Bodytext21"/>
        </w:rPr>
        <w:t>:</w:t>
      </w:r>
    </w:p>
    <w:p w:rsidR="00862FDE" w:rsidRDefault="00862FDE" w:rsidP="0063644B">
      <w:pPr>
        <w:pStyle w:val="Bodytext20"/>
        <w:numPr>
          <w:ilvl w:val="0"/>
          <w:numId w:val="12"/>
        </w:numPr>
        <w:shd w:val="clear" w:color="auto" w:fill="auto"/>
        <w:spacing w:before="0" w:line="274" w:lineRule="exact"/>
        <w:jc w:val="left"/>
        <w:rPr>
          <w:rStyle w:val="Bodytext21"/>
        </w:rPr>
      </w:pPr>
      <w:r w:rsidRPr="0063644B">
        <w:t>must</w:t>
      </w:r>
      <w:r w:rsidRPr="00862FDE">
        <w:rPr>
          <w:rStyle w:val="Bodytext21"/>
        </w:rPr>
        <w:t xml:space="preserve"> be granted</w:t>
      </w:r>
      <w:r>
        <w:rPr>
          <w:rStyle w:val="Bodytext21"/>
        </w:rPr>
        <w:t xml:space="preserve"> </w:t>
      </w:r>
      <w:r w:rsidRPr="00862FDE">
        <w:rPr>
          <w:rStyle w:val="Bodytext21"/>
        </w:rPr>
        <w:t>"in good faith, on ordinary commercial terms and in the ordinary course of carrying on a business (a moneylending business) of lending money"</w:t>
      </w:r>
      <w:r>
        <w:rPr>
          <w:rStyle w:val="Bodytext21"/>
        </w:rPr>
        <w:t>;</w:t>
      </w:r>
      <w:r w:rsidRPr="00862FDE">
        <w:rPr>
          <w:rStyle w:val="Bodytext21"/>
        </w:rPr>
        <w:t xml:space="preserve"> </w:t>
      </w:r>
    </w:p>
    <w:p w:rsidR="00862FDE" w:rsidRDefault="00862FDE" w:rsidP="0063644B">
      <w:pPr>
        <w:pStyle w:val="Bodytext20"/>
        <w:numPr>
          <w:ilvl w:val="0"/>
          <w:numId w:val="12"/>
        </w:numPr>
        <w:shd w:val="clear" w:color="auto" w:fill="auto"/>
        <w:spacing w:before="0" w:line="274" w:lineRule="exact"/>
        <w:jc w:val="left"/>
        <w:rPr>
          <w:rStyle w:val="Bodytext21"/>
        </w:rPr>
      </w:pPr>
      <w:r w:rsidRPr="00862FDE">
        <w:rPr>
          <w:rStyle w:val="Bodytext21"/>
        </w:rPr>
        <w:t>must be held solely by way of security for a moneylending agreement (s27(1)(a)(i))</w:t>
      </w:r>
      <w:r>
        <w:rPr>
          <w:rStyle w:val="Bodytext21"/>
        </w:rPr>
        <w:t xml:space="preserve"> (leaving aside enforcement);</w:t>
      </w:r>
      <w:r w:rsidRPr="00862FDE">
        <w:rPr>
          <w:rStyle w:val="Bodytext21"/>
        </w:rPr>
        <w:t xml:space="preserve"> and </w:t>
      </w:r>
    </w:p>
    <w:p w:rsidR="00862FDE" w:rsidRDefault="00862FDE" w:rsidP="0063644B">
      <w:pPr>
        <w:pStyle w:val="Bodytext20"/>
        <w:numPr>
          <w:ilvl w:val="0"/>
          <w:numId w:val="12"/>
        </w:numPr>
        <w:shd w:val="clear" w:color="auto" w:fill="auto"/>
        <w:spacing w:before="0" w:line="274" w:lineRule="exact"/>
        <w:jc w:val="left"/>
        <w:rPr>
          <w:rStyle w:val="Bodytext21"/>
        </w:rPr>
      </w:pPr>
      <w:r w:rsidRPr="0063644B">
        <w:t>must</w:t>
      </w:r>
      <w:r w:rsidRPr="00862FDE">
        <w:rPr>
          <w:rStyle w:val="Bodytext21"/>
        </w:rPr>
        <w:t xml:space="preserve"> not deal with "any matter unrelated to the carrying on of that business". </w:t>
      </w:r>
    </w:p>
    <w:p w:rsidR="00862FDE" w:rsidRDefault="00862FDE" w:rsidP="00862FDE">
      <w:pPr>
        <w:pStyle w:val="Bodytext20"/>
        <w:shd w:val="clear" w:color="auto" w:fill="auto"/>
        <w:spacing w:before="0" w:line="274" w:lineRule="exact"/>
        <w:ind w:firstLine="0"/>
        <w:jc w:val="left"/>
        <w:rPr>
          <w:rStyle w:val="Bodytext21"/>
        </w:rPr>
      </w:pPr>
      <w:r w:rsidRPr="00862FDE">
        <w:rPr>
          <w:rStyle w:val="Bodytext21"/>
        </w:rPr>
        <w:t>So the exemption is tightly constrained and protected by its own anti-avoidance provisions</w:t>
      </w:r>
      <w:r w:rsidR="00F97E33">
        <w:rPr>
          <w:rStyle w:val="Bodytext21"/>
        </w:rPr>
        <w:t>.</w:t>
      </w:r>
    </w:p>
    <w:p w:rsidR="00F97E33" w:rsidRDefault="00F97E33" w:rsidP="00862FDE">
      <w:pPr>
        <w:pStyle w:val="Bodytext20"/>
        <w:shd w:val="clear" w:color="auto" w:fill="auto"/>
        <w:spacing w:before="0" w:line="274" w:lineRule="exact"/>
        <w:ind w:firstLine="0"/>
        <w:jc w:val="left"/>
        <w:rPr>
          <w:rStyle w:val="Bodytext21"/>
        </w:rPr>
      </w:pPr>
      <w:r w:rsidRPr="00F97E33">
        <w:rPr>
          <w:rStyle w:val="Bodytext21"/>
        </w:rPr>
        <w:t>It may be that Treasury's concern derives from the second limb of the moneylending exemption, s27(1)(a)(ii)</w:t>
      </w:r>
      <w:r>
        <w:rPr>
          <w:rStyle w:val="Bodytext21"/>
        </w:rPr>
        <w:t xml:space="preserve"> of FATR</w:t>
      </w:r>
      <w:r w:rsidRPr="00F97E33">
        <w:rPr>
          <w:rStyle w:val="Bodytext21"/>
        </w:rPr>
        <w:t xml:space="preserve">, </w:t>
      </w:r>
      <w:r w:rsidR="004E4B9A">
        <w:rPr>
          <w:rStyle w:val="Bodytext21"/>
        </w:rPr>
        <w:t>which exempts</w:t>
      </w:r>
      <w:r w:rsidR="004E4B9A" w:rsidRPr="00F97E33">
        <w:rPr>
          <w:rStyle w:val="Bodytext21"/>
        </w:rPr>
        <w:t xml:space="preserve"> </w:t>
      </w:r>
      <w:r w:rsidRPr="00F97E33">
        <w:rPr>
          <w:rStyle w:val="Bodytext21"/>
        </w:rPr>
        <w:t xml:space="preserve">an interest "acquired by way of enforcement of a security held solely for the purposes of a moneylending agreement". In fact this limb is little </w:t>
      </w:r>
      <w:r w:rsidR="00885012">
        <w:rPr>
          <w:rStyle w:val="Bodytext21"/>
        </w:rPr>
        <w:t xml:space="preserve">if ever </w:t>
      </w:r>
      <w:r w:rsidRPr="00F97E33">
        <w:rPr>
          <w:rStyle w:val="Bodytext21"/>
        </w:rPr>
        <w:t xml:space="preserve">used </w:t>
      </w:r>
      <w:r w:rsidR="00180A37">
        <w:rPr>
          <w:rStyle w:val="Bodytext21"/>
        </w:rPr>
        <w:t>because</w:t>
      </w:r>
      <w:r w:rsidRPr="00F97E33">
        <w:rPr>
          <w:rStyle w:val="Bodytext21"/>
        </w:rPr>
        <w:t xml:space="preserve"> on enforcement a receiver or administrator is appointed by a security trustee on instructions from the financiers with a view to sale to a third party. </w:t>
      </w:r>
      <w:r>
        <w:rPr>
          <w:rStyle w:val="Bodytext21"/>
        </w:rPr>
        <w:t xml:space="preserve">The financiers </w:t>
      </w:r>
      <w:r w:rsidR="004E4B9A">
        <w:rPr>
          <w:rStyle w:val="Bodytext21"/>
        </w:rPr>
        <w:t>almost never</w:t>
      </w:r>
      <w:r>
        <w:rPr>
          <w:rStyle w:val="Bodytext21"/>
        </w:rPr>
        <w:t xml:space="preserve"> acquire the mortgaged property</w:t>
      </w:r>
      <w:r w:rsidR="00FE6E4C">
        <w:rPr>
          <w:rStyle w:val="Bodytext21"/>
        </w:rPr>
        <w:t xml:space="preserve"> on enforcement</w:t>
      </w:r>
      <w:r>
        <w:rPr>
          <w:rStyle w:val="Bodytext21"/>
        </w:rPr>
        <w:t xml:space="preserve">, </w:t>
      </w:r>
      <w:r w:rsidR="00885012">
        <w:rPr>
          <w:rStyle w:val="Bodytext21"/>
        </w:rPr>
        <w:t xml:space="preserve">as that would be inconsistent with the conduct of a moneylending business </w:t>
      </w:r>
      <w:r>
        <w:rPr>
          <w:rStyle w:val="Bodytext21"/>
        </w:rPr>
        <w:t>and</w:t>
      </w:r>
      <w:r w:rsidR="00261180">
        <w:rPr>
          <w:rStyle w:val="Bodytext21"/>
        </w:rPr>
        <w:t xml:space="preserve"> it would entail a lengthy and complex legal procedure of foreclosure</w:t>
      </w:r>
      <w:r w:rsidR="00885012">
        <w:rPr>
          <w:rStyle w:val="Bodytext21"/>
        </w:rPr>
        <w:t>,</w:t>
      </w:r>
      <w:r w:rsidR="00261180">
        <w:rPr>
          <w:rStyle w:val="Bodytext21"/>
        </w:rPr>
        <w:t xml:space="preserve"> or of 'retention' under the Personal Property Securities Act.</w:t>
      </w:r>
      <w:r w:rsidR="00885012">
        <w:rPr>
          <w:rStyle w:val="Bodytext21"/>
        </w:rPr>
        <w:t xml:space="preserve"> </w:t>
      </w:r>
      <w:r w:rsidR="00B20380">
        <w:rPr>
          <w:rStyle w:val="Bodytext21"/>
        </w:rPr>
        <w:t>The APLMA doubts that there would be an</w:t>
      </w:r>
      <w:r w:rsidR="004E4B9A">
        <w:rPr>
          <w:rStyle w:val="Bodytext21"/>
        </w:rPr>
        <w:t>y</w:t>
      </w:r>
      <w:r w:rsidR="00B20380">
        <w:rPr>
          <w:rStyle w:val="Bodytext21"/>
        </w:rPr>
        <w:t xml:space="preserve"> objection to</w:t>
      </w:r>
      <w:r w:rsidR="00261180">
        <w:rPr>
          <w:rStyle w:val="Bodytext21"/>
        </w:rPr>
        <w:t xml:space="preserve"> foreign financiers</w:t>
      </w:r>
      <w:r w:rsidR="00885012">
        <w:rPr>
          <w:rStyle w:val="Bodytext21"/>
        </w:rPr>
        <w:t xml:space="preserve"> be</w:t>
      </w:r>
      <w:r w:rsidR="00B20380">
        <w:rPr>
          <w:rStyle w:val="Bodytext21"/>
        </w:rPr>
        <w:t>ing</w:t>
      </w:r>
      <w:r w:rsidR="00885012">
        <w:rPr>
          <w:rStyle w:val="Bodytext21"/>
        </w:rPr>
        <w:t xml:space="preserve"> obliged to seek FIRB approval before </w:t>
      </w:r>
      <w:r w:rsidR="00261180">
        <w:rPr>
          <w:rStyle w:val="Bodytext21"/>
        </w:rPr>
        <w:t>exercising foreclosure or retention rights</w:t>
      </w:r>
      <w:r w:rsidR="00885012">
        <w:rPr>
          <w:rStyle w:val="Bodytext21"/>
        </w:rPr>
        <w:t>.</w:t>
      </w:r>
    </w:p>
    <w:p w:rsidR="004E18D8" w:rsidRDefault="00F97E33" w:rsidP="004E18D8">
      <w:pPr>
        <w:pStyle w:val="Bodytext20"/>
        <w:shd w:val="clear" w:color="auto" w:fill="auto"/>
        <w:spacing w:before="0" w:line="274" w:lineRule="exact"/>
        <w:ind w:firstLine="0"/>
        <w:jc w:val="left"/>
        <w:rPr>
          <w:rStyle w:val="Bodytext21"/>
        </w:rPr>
      </w:pPr>
      <w:r w:rsidRPr="00F97E33">
        <w:rPr>
          <w:rStyle w:val="Bodytext21"/>
        </w:rPr>
        <w:t xml:space="preserve">It would greatly alleviate the dire consequences of revoking the moneylending exemption under </w:t>
      </w:r>
      <w:r w:rsidR="00885012">
        <w:rPr>
          <w:rStyle w:val="Bodytext21"/>
        </w:rPr>
        <w:t xml:space="preserve">the proposed </w:t>
      </w:r>
      <w:r w:rsidRPr="00F97E33">
        <w:rPr>
          <w:rStyle w:val="Bodytext21"/>
        </w:rPr>
        <w:t xml:space="preserve">s27(1)(c) if that new provision could be limited in its effect to the second </w:t>
      </w:r>
      <w:r w:rsidR="00B20380">
        <w:rPr>
          <w:rStyle w:val="Bodytext21"/>
        </w:rPr>
        <w:t xml:space="preserve">(enforcement) </w:t>
      </w:r>
      <w:r w:rsidRPr="00F97E33">
        <w:rPr>
          <w:rStyle w:val="Bodytext21"/>
        </w:rPr>
        <w:t xml:space="preserve">limb of the exemption (ie s27(1)(a)(ii)). </w:t>
      </w:r>
      <w:r>
        <w:rPr>
          <w:rStyle w:val="Bodytext21"/>
        </w:rPr>
        <w:t xml:space="preserve">On this approach the opening words of </w:t>
      </w:r>
      <w:r w:rsidR="00885012">
        <w:rPr>
          <w:rStyle w:val="Bodytext21"/>
        </w:rPr>
        <w:t xml:space="preserve">the new </w:t>
      </w:r>
      <w:r w:rsidRPr="00F97E33">
        <w:rPr>
          <w:rStyle w:val="Bodytext21"/>
        </w:rPr>
        <w:t>para</w:t>
      </w:r>
      <w:r w:rsidR="00885012">
        <w:rPr>
          <w:rStyle w:val="Bodytext21"/>
        </w:rPr>
        <w:t>graph</w:t>
      </w:r>
      <w:r w:rsidRPr="00F97E33">
        <w:rPr>
          <w:rStyle w:val="Bodytext21"/>
        </w:rPr>
        <w:t xml:space="preserve"> (c) could read </w:t>
      </w:r>
      <w:bookmarkStart w:id="2" w:name="_Hlk52291806"/>
      <w:r w:rsidRPr="00F97E33">
        <w:rPr>
          <w:rStyle w:val="Bodytext21"/>
        </w:rPr>
        <w:t>"</w:t>
      </w:r>
      <w:r w:rsidRPr="00885012">
        <w:rPr>
          <w:rStyle w:val="Bodytext21"/>
          <w:u w:val="single"/>
        </w:rPr>
        <w:t>in the case of an acquisition of an interest following commencement of enforcement of a security as contemplated in paragraph (a)(ii) above,</w:t>
      </w:r>
      <w:r w:rsidRPr="00F97E33">
        <w:rPr>
          <w:rStyle w:val="Bodytext21"/>
        </w:rPr>
        <w:t xml:space="preserve"> the interest is not…'</w:t>
      </w:r>
      <w:bookmarkEnd w:id="2"/>
      <w:r w:rsidR="00885012">
        <w:rPr>
          <w:rStyle w:val="Bodytext21"/>
        </w:rPr>
        <w:t>.</w:t>
      </w:r>
      <w:r w:rsidRPr="00F97E33">
        <w:rPr>
          <w:rStyle w:val="Bodytext21"/>
        </w:rPr>
        <w:t xml:space="preserve">  </w:t>
      </w:r>
      <w:r w:rsidR="00C94226">
        <w:rPr>
          <w:rStyle w:val="Bodytext21"/>
        </w:rPr>
        <w:t xml:space="preserve"> </w:t>
      </w:r>
    </w:p>
    <w:p w:rsidR="00960C1B" w:rsidRPr="004E18D8" w:rsidRDefault="004E18D8" w:rsidP="00960C1B">
      <w:pPr>
        <w:pStyle w:val="Bodytext20"/>
        <w:shd w:val="clear" w:color="auto" w:fill="auto"/>
        <w:spacing w:before="0" w:line="274" w:lineRule="exact"/>
        <w:ind w:firstLine="0"/>
        <w:jc w:val="left"/>
      </w:pPr>
      <w:r>
        <w:rPr>
          <w:color w:val="202020"/>
        </w:rPr>
        <w:t>T</w:t>
      </w:r>
      <w:r w:rsidR="00960C1B" w:rsidRPr="004E18D8">
        <w:rPr>
          <w:color w:val="202020"/>
        </w:rPr>
        <w:t xml:space="preserve">he Treasurer wrote in </w:t>
      </w:r>
      <w:r w:rsidRPr="00A45D38">
        <w:rPr>
          <w:i/>
          <w:iCs/>
          <w:color w:val="202020"/>
        </w:rPr>
        <w:t>T</w:t>
      </w:r>
      <w:r w:rsidR="00960C1B" w:rsidRPr="00A45D38">
        <w:rPr>
          <w:i/>
          <w:iCs/>
          <w:color w:val="202020"/>
        </w:rPr>
        <w:t>he Australian</w:t>
      </w:r>
      <w:r w:rsidRPr="004E18D8">
        <w:rPr>
          <w:color w:val="202020"/>
        </w:rPr>
        <w:t xml:space="preserve"> newspaper</w:t>
      </w:r>
      <w:r w:rsidR="00960C1B" w:rsidRPr="004E18D8">
        <w:rPr>
          <w:color w:val="202020"/>
        </w:rPr>
        <w:t xml:space="preserve"> last week that “the provision of and access to credit will be critical to rebuilding every sector of our economy"</w:t>
      </w:r>
      <w:r>
        <w:rPr>
          <w:color w:val="202020"/>
        </w:rPr>
        <w:t>. A key such sector is and will be</w:t>
      </w:r>
      <w:r w:rsidR="00960C1B" w:rsidRPr="004E18D8">
        <w:rPr>
          <w:color w:val="202020"/>
        </w:rPr>
        <w:t xml:space="preserve"> privately financed infrastructure and other major projects</w:t>
      </w:r>
      <w:r>
        <w:rPr>
          <w:color w:val="202020"/>
        </w:rPr>
        <w:t>, which</w:t>
      </w:r>
      <w:r w:rsidR="00960C1B" w:rsidRPr="004E18D8">
        <w:rPr>
          <w:color w:val="202020"/>
        </w:rPr>
        <w:t xml:space="preserve"> generally require large amounts of debt typically provided by means of secured syndicated loan facilities</w:t>
      </w:r>
      <w:r>
        <w:rPr>
          <w:color w:val="202020"/>
        </w:rPr>
        <w:t xml:space="preserve"> in which on average around two-thirds of the funding is provided by foreign financiers. </w:t>
      </w:r>
      <w:r w:rsidR="00A45D38">
        <w:t xml:space="preserve">In the first 6 months of 2020, foreign financiers contributed over A$38 billion of the total A$64 billion of funding in the form of syndicated loans in Australia (source: </w:t>
      </w:r>
      <w:r w:rsidR="00A45D38" w:rsidRPr="00080514">
        <w:rPr>
          <w:i/>
        </w:rPr>
        <w:t>Refinitiv</w:t>
      </w:r>
      <w:r w:rsidR="00A45D38">
        <w:t xml:space="preserve">). </w:t>
      </w:r>
      <w:r>
        <w:rPr>
          <w:color w:val="202020"/>
        </w:rPr>
        <w:t>Unless there is a clear and cogent policy concern,</w:t>
      </w:r>
      <w:r w:rsidR="00960C1B" w:rsidRPr="004E18D8">
        <w:rPr>
          <w:color w:val="202020"/>
        </w:rPr>
        <w:t xml:space="preserve"> why </w:t>
      </w:r>
      <w:r w:rsidRPr="004E18D8">
        <w:rPr>
          <w:color w:val="202020"/>
        </w:rPr>
        <w:t>deter foreign financiers</w:t>
      </w:r>
      <w:r>
        <w:rPr>
          <w:color w:val="202020"/>
        </w:rPr>
        <w:t xml:space="preserve"> from participating in Australian syndicated loan markets</w:t>
      </w:r>
      <w:r w:rsidRPr="004E18D8">
        <w:rPr>
          <w:color w:val="202020"/>
        </w:rPr>
        <w:t xml:space="preserve">, or </w:t>
      </w:r>
      <w:r w:rsidR="00960C1B" w:rsidRPr="004E18D8">
        <w:rPr>
          <w:color w:val="202020"/>
        </w:rPr>
        <w:t xml:space="preserve">make it harder and more costly for </w:t>
      </w:r>
      <w:r w:rsidRPr="004E18D8">
        <w:rPr>
          <w:color w:val="202020"/>
        </w:rPr>
        <w:t>them</w:t>
      </w:r>
      <w:r w:rsidR="00960C1B" w:rsidRPr="004E18D8">
        <w:rPr>
          <w:color w:val="202020"/>
        </w:rPr>
        <w:t xml:space="preserve"> to participate</w:t>
      </w:r>
      <w:r w:rsidR="00960C1B" w:rsidRPr="004E18D8">
        <w:t>?</w:t>
      </w:r>
    </w:p>
    <w:p w:rsidR="003862CC" w:rsidRDefault="004E18D8" w:rsidP="00960C1B">
      <w:pPr>
        <w:pStyle w:val="Bodytext20"/>
        <w:shd w:val="clear" w:color="auto" w:fill="auto"/>
        <w:spacing w:before="0" w:line="274" w:lineRule="exact"/>
        <w:ind w:firstLine="0"/>
        <w:jc w:val="left"/>
        <w:rPr>
          <w:rStyle w:val="Bodytext21"/>
        </w:rPr>
      </w:pPr>
      <w:r>
        <w:rPr>
          <w:rStyle w:val="Bodytext21"/>
        </w:rPr>
        <w:t>T</w:t>
      </w:r>
      <w:r w:rsidR="00C94226">
        <w:rPr>
          <w:rStyle w:val="Bodytext21"/>
        </w:rPr>
        <w:t xml:space="preserve">here are </w:t>
      </w:r>
      <w:r w:rsidR="00885012">
        <w:rPr>
          <w:rStyle w:val="Bodytext21"/>
        </w:rPr>
        <w:t>two</w:t>
      </w:r>
      <w:r w:rsidR="00C94226">
        <w:rPr>
          <w:rStyle w:val="Bodytext21"/>
        </w:rPr>
        <w:t xml:space="preserve"> alternative solutions which </w:t>
      </w:r>
      <w:r w:rsidR="00261180">
        <w:rPr>
          <w:rStyle w:val="Bodytext21"/>
        </w:rPr>
        <w:t xml:space="preserve">would avoid a </w:t>
      </w:r>
      <w:r w:rsidR="00BC5AE4">
        <w:rPr>
          <w:rStyle w:val="Bodytext21"/>
        </w:rPr>
        <w:t>seriously adverse</w:t>
      </w:r>
      <w:r w:rsidR="00261180">
        <w:rPr>
          <w:rStyle w:val="Bodytext21"/>
        </w:rPr>
        <w:t xml:space="preserve"> impact on the loan syndication markets while being</w:t>
      </w:r>
      <w:r w:rsidR="00C94226">
        <w:rPr>
          <w:rStyle w:val="Bodytext21"/>
        </w:rPr>
        <w:t xml:space="preserve"> consistent with the Government's stated policy objectives.</w:t>
      </w:r>
    </w:p>
    <w:p w:rsidR="00C94226" w:rsidRDefault="00C94226" w:rsidP="0063644B">
      <w:pPr>
        <w:pStyle w:val="Bodytext20"/>
        <w:numPr>
          <w:ilvl w:val="0"/>
          <w:numId w:val="15"/>
        </w:numPr>
        <w:shd w:val="clear" w:color="auto" w:fill="auto"/>
        <w:spacing w:before="0" w:line="274" w:lineRule="exact"/>
        <w:jc w:val="left"/>
        <w:rPr>
          <w:rStyle w:val="Bodytext21"/>
        </w:rPr>
      </w:pPr>
      <w:r>
        <w:rPr>
          <w:rStyle w:val="Bodytext21"/>
        </w:rPr>
        <w:t xml:space="preserve">Withdraw </w:t>
      </w:r>
      <w:r w:rsidR="00885012">
        <w:rPr>
          <w:rStyle w:val="Bodytext21"/>
        </w:rPr>
        <w:t>proposed s27(1)</w:t>
      </w:r>
      <w:r>
        <w:rPr>
          <w:rStyle w:val="Bodytext21"/>
        </w:rPr>
        <w:t>(</w:t>
      </w:r>
      <w:r w:rsidR="00885012">
        <w:rPr>
          <w:rStyle w:val="Bodytext21"/>
        </w:rPr>
        <w:t>c</w:t>
      </w:r>
      <w:r>
        <w:rPr>
          <w:rStyle w:val="Bodytext21"/>
        </w:rPr>
        <w:t xml:space="preserve">) and rely on the fact that the </w:t>
      </w:r>
      <w:r w:rsidR="00B20380">
        <w:rPr>
          <w:rStyle w:val="Bodytext21"/>
        </w:rPr>
        <w:t>m</w:t>
      </w:r>
      <w:r>
        <w:rPr>
          <w:rStyle w:val="Bodytext21"/>
        </w:rPr>
        <w:t>oneylend</w:t>
      </w:r>
      <w:r w:rsidR="00B20380">
        <w:rPr>
          <w:rStyle w:val="Bodytext21"/>
        </w:rPr>
        <w:t>ing</w:t>
      </w:r>
      <w:r>
        <w:rPr>
          <w:rStyle w:val="Bodytext21"/>
        </w:rPr>
        <w:t xml:space="preserve"> </w:t>
      </w:r>
      <w:r w:rsidR="00B20380">
        <w:rPr>
          <w:rStyle w:val="Bodytext21"/>
        </w:rPr>
        <w:t>e</w:t>
      </w:r>
      <w:r>
        <w:rPr>
          <w:rStyle w:val="Bodytext21"/>
        </w:rPr>
        <w:t>xe</w:t>
      </w:r>
      <w:r w:rsidR="00B20380">
        <w:rPr>
          <w:rStyle w:val="Bodytext21"/>
        </w:rPr>
        <w:t>m</w:t>
      </w:r>
      <w:r>
        <w:rPr>
          <w:rStyle w:val="Bodytext21"/>
        </w:rPr>
        <w:t>ption contains within its terms comprehensive anti-avoidance provisions.</w:t>
      </w:r>
      <w:r w:rsidR="004E3E1A">
        <w:rPr>
          <w:rStyle w:val="Bodytext21"/>
        </w:rPr>
        <w:t xml:space="preserve"> </w:t>
      </w:r>
      <w:r w:rsidR="00885012">
        <w:rPr>
          <w:rStyle w:val="Bodytext21"/>
        </w:rPr>
        <w:t>Or</w:t>
      </w:r>
    </w:p>
    <w:p w:rsidR="00C94226" w:rsidRDefault="00C94226" w:rsidP="0063644B">
      <w:pPr>
        <w:pStyle w:val="Bodytext20"/>
        <w:numPr>
          <w:ilvl w:val="0"/>
          <w:numId w:val="15"/>
        </w:numPr>
        <w:shd w:val="clear" w:color="auto" w:fill="auto"/>
        <w:spacing w:before="0" w:line="274" w:lineRule="exact"/>
        <w:jc w:val="left"/>
        <w:rPr>
          <w:rStyle w:val="Bodytext21"/>
        </w:rPr>
      </w:pPr>
      <w:r>
        <w:rPr>
          <w:rStyle w:val="Bodytext21"/>
        </w:rPr>
        <w:t xml:space="preserve">If the </w:t>
      </w:r>
      <w:r w:rsidRPr="007A0E45">
        <w:t>Government</w:t>
      </w:r>
      <w:r>
        <w:rPr>
          <w:rStyle w:val="Bodytext21"/>
        </w:rPr>
        <w:t xml:space="preserve"> remains concerned that the second limb could be open to abuse</w:t>
      </w:r>
      <w:r w:rsidR="00261180">
        <w:rPr>
          <w:rStyle w:val="Bodytext21"/>
        </w:rPr>
        <w:t xml:space="preserve"> in the case of a national security business</w:t>
      </w:r>
      <w:r>
        <w:rPr>
          <w:rStyle w:val="Bodytext21"/>
        </w:rPr>
        <w:t xml:space="preserve">, </w:t>
      </w:r>
      <w:r w:rsidR="00B20380">
        <w:rPr>
          <w:rStyle w:val="Bodytext21"/>
        </w:rPr>
        <w:t>remove that limb from the exemption</w:t>
      </w:r>
      <w:r>
        <w:rPr>
          <w:rStyle w:val="Bodytext21"/>
        </w:rPr>
        <w:t xml:space="preserve">. Limit </w:t>
      </w:r>
      <w:r w:rsidR="004E3E1A">
        <w:rPr>
          <w:rStyle w:val="Bodytext21"/>
        </w:rPr>
        <w:t xml:space="preserve">the operation of </w:t>
      </w:r>
      <w:r>
        <w:rPr>
          <w:rStyle w:val="Bodytext21"/>
        </w:rPr>
        <w:t>sub-</w:t>
      </w:r>
      <w:r w:rsidR="00885012">
        <w:rPr>
          <w:rStyle w:val="Bodytext21"/>
        </w:rPr>
        <w:t>para</w:t>
      </w:r>
      <w:r>
        <w:rPr>
          <w:rStyle w:val="Bodytext21"/>
        </w:rPr>
        <w:t xml:space="preserve"> (</w:t>
      </w:r>
      <w:r w:rsidR="00885012">
        <w:rPr>
          <w:rStyle w:val="Bodytext21"/>
        </w:rPr>
        <w:t>c</w:t>
      </w:r>
      <w:r>
        <w:rPr>
          <w:rStyle w:val="Bodytext21"/>
        </w:rPr>
        <w:t>) to th</w:t>
      </w:r>
      <w:r w:rsidR="00261180">
        <w:rPr>
          <w:rStyle w:val="Bodytext21"/>
        </w:rPr>
        <w:t>e second</w:t>
      </w:r>
      <w:r>
        <w:rPr>
          <w:rStyle w:val="Bodytext21"/>
        </w:rPr>
        <w:t xml:space="preserve"> limb</w:t>
      </w:r>
      <w:r w:rsidR="00885012">
        <w:rPr>
          <w:rStyle w:val="Bodytext21"/>
        </w:rPr>
        <w:t xml:space="preserve"> by adding to </w:t>
      </w:r>
      <w:r w:rsidR="00261180">
        <w:rPr>
          <w:rStyle w:val="Bodytext21"/>
        </w:rPr>
        <w:t>the</w:t>
      </w:r>
      <w:r w:rsidR="00885012">
        <w:rPr>
          <w:rStyle w:val="Bodytext21"/>
        </w:rPr>
        <w:t xml:space="preserve"> opening words</w:t>
      </w:r>
      <w:r w:rsidR="00261180">
        <w:rPr>
          <w:rStyle w:val="Bodytext21"/>
        </w:rPr>
        <w:t xml:space="preserve"> of proposed s27(1)(c)</w:t>
      </w:r>
      <w:r w:rsidR="00885012">
        <w:rPr>
          <w:rStyle w:val="Bodytext21"/>
        </w:rPr>
        <w:t xml:space="preserve">: </w:t>
      </w:r>
      <w:r w:rsidR="00885012" w:rsidRPr="00885012">
        <w:rPr>
          <w:rStyle w:val="Bodytext21"/>
        </w:rPr>
        <w:t>"</w:t>
      </w:r>
      <w:r w:rsidR="00885012" w:rsidRPr="00885012">
        <w:rPr>
          <w:rStyle w:val="Bodytext21"/>
          <w:u w:val="single"/>
        </w:rPr>
        <w:t>in the case of an acquisition of an interest following commencement of enforcement of a security as contemplated in paragraph (a)(ii) above,</w:t>
      </w:r>
      <w:r w:rsidR="00885012" w:rsidRPr="00885012">
        <w:rPr>
          <w:rStyle w:val="Bodytext21"/>
        </w:rPr>
        <w:t xml:space="preserve"> the interest is not…'</w:t>
      </w:r>
      <w:r>
        <w:rPr>
          <w:rStyle w:val="Bodytext21"/>
        </w:rPr>
        <w:t>.</w:t>
      </w:r>
    </w:p>
    <w:p w:rsidR="004E3E1A" w:rsidRDefault="00C94226">
      <w:pPr>
        <w:pStyle w:val="Bodytext20"/>
        <w:shd w:val="clear" w:color="auto" w:fill="auto"/>
        <w:spacing w:before="0" w:line="274" w:lineRule="exact"/>
        <w:ind w:firstLine="0"/>
        <w:jc w:val="left"/>
        <w:rPr>
          <w:rStyle w:val="Bodytext21"/>
        </w:rPr>
      </w:pPr>
      <w:r>
        <w:rPr>
          <w:rStyle w:val="Bodytext21"/>
        </w:rPr>
        <w:t>Both these options are simple and clear</w:t>
      </w:r>
      <w:r w:rsidR="004E3E1A">
        <w:rPr>
          <w:rStyle w:val="Bodytext21"/>
        </w:rPr>
        <w:t>.</w:t>
      </w:r>
      <w:r>
        <w:rPr>
          <w:rStyle w:val="Bodytext21"/>
        </w:rPr>
        <w:t xml:space="preserve"> Either would suffice. </w:t>
      </w:r>
    </w:p>
    <w:p w:rsidR="004E3E1A" w:rsidRDefault="00C94226">
      <w:pPr>
        <w:pStyle w:val="Bodytext20"/>
        <w:shd w:val="clear" w:color="auto" w:fill="auto"/>
        <w:spacing w:before="0" w:line="274" w:lineRule="exact"/>
        <w:ind w:firstLine="0"/>
        <w:jc w:val="left"/>
        <w:rPr>
          <w:rStyle w:val="Bodytext21"/>
        </w:rPr>
      </w:pPr>
      <w:r>
        <w:rPr>
          <w:rStyle w:val="Bodytext21"/>
        </w:rPr>
        <w:t>Other less satisfactory alternatives includ</w:t>
      </w:r>
      <w:r w:rsidR="004E3E1A">
        <w:rPr>
          <w:rStyle w:val="Bodytext21"/>
        </w:rPr>
        <w:t>e:</w:t>
      </w:r>
    </w:p>
    <w:p w:rsidR="00C94226" w:rsidRDefault="00C94226" w:rsidP="0063644B">
      <w:pPr>
        <w:pStyle w:val="Bodytext20"/>
        <w:numPr>
          <w:ilvl w:val="0"/>
          <w:numId w:val="15"/>
        </w:numPr>
        <w:shd w:val="clear" w:color="auto" w:fill="auto"/>
        <w:spacing w:before="0" w:line="274" w:lineRule="exact"/>
        <w:jc w:val="left"/>
        <w:rPr>
          <w:rStyle w:val="Bodytext21"/>
        </w:rPr>
      </w:pPr>
      <w:r w:rsidRPr="007A0E45">
        <w:t>introduc</w:t>
      </w:r>
      <w:r w:rsidR="004E3E1A" w:rsidRPr="007A0E45">
        <w:t>ing</w:t>
      </w:r>
      <w:r>
        <w:rPr>
          <w:rStyle w:val="Bodytext21"/>
        </w:rPr>
        <w:t xml:space="preserve"> a 'safe harbour', e</w:t>
      </w:r>
      <w:r w:rsidR="004E3E1A">
        <w:rPr>
          <w:rStyle w:val="Bodytext21"/>
        </w:rPr>
        <w:t xml:space="preserve">xempt from the exclusion in sub-section (3), </w:t>
      </w:r>
      <w:r>
        <w:rPr>
          <w:rStyle w:val="Bodytext21"/>
        </w:rPr>
        <w:t xml:space="preserve">defining an acceptable market standard </w:t>
      </w:r>
      <w:r w:rsidR="004E3E1A">
        <w:rPr>
          <w:rStyle w:val="Bodytext21"/>
        </w:rPr>
        <w:t xml:space="preserve">or 'plain vanilla' </w:t>
      </w:r>
      <w:r>
        <w:rPr>
          <w:rStyle w:val="Bodytext21"/>
        </w:rPr>
        <w:t>method of enforcement that would be satisfactory to the Government; and/or</w:t>
      </w:r>
    </w:p>
    <w:p w:rsidR="00C94226" w:rsidRDefault="00C94226" w:rsidP="0063644B">
      <w:pPr>
        <w:pStyle w:val="Bodytext20"/>
        <w:numPr>
          <w:ilvl w:val="0"/>
          <w:numId w:val="15"/>
        </w:numPr>
        <w:shd w:val="clear" w:color="auto" w:fill="auto"/>
        <w:spacing w:before="0" w:line="274" w:lineRule="exact"/>
        <w:jc w:val="left"/>
        <w:rPr>
          <w:rStyle w:val="Bodytext21"/>
        </w:rPr>
      </w:pPr>
      <w:r w:rsidRPr="007A0E45">
        <w:t>confin</w:t>
      </w:r>
      <w:r w:rsidR="004E3E1A" w:rsidRPr="007A0E45">
        <w:t>ing</w:t>
      </w:r>
      <w:r>
        <w:rPr>
          <w:rStyle w:val="Bodytext21"/>
        </w:rPr>
        <w:t xml:space="preserve"> the operation of sub-section </w:t>
      </w:r>
      <w:r w:rsidR="004E3E1A">
        <w:rPr>
          <w:rStyle w:val="Bodytext21"/>
        </w:rPr>
        <w:t>(3) to non-mainstream financiers (eg as per the reforms of 2015/16)</w:t>
      </w:r>
      <w:r w:rsidR="00BC5AE4">
        <w:rPr>
          <w:rStyle w:val="Bodytext21"/>
        </w:rPr>
        <w:t>.</w:t>
      </w:r>
    </w:p>
    <w:p w:rsidR="00BC5AE4" w:rsidRDefault="00BC5AE4">
      <w:pPr>
        <w:pStyle w:val="Bodytext20"/>
        <w:shd w:val="clear" w:color="auto" w:fill="auto"/>
        <w:spacing w:before="0" w:line="274" w:lineRule="exact"/>
        <w:ind w:firstLine="0"/>
        <w:jc w:val="left"/>
        <w:rPr>
          <w:rStyle w:val="Bodytext21"/>
        </w:rPr>
      </w:pPr>
      <w:r>
        <w:rPr>
          <w:rStyle w:val="Bodytext21"/>
        </w:rPr>
        <w:t xml:space="preserve">These two options are </w:t>
      </w:r>
      <w:r w:rsidR="00C4226D">
        <w:rPr>
          <w:rStyle w:val="Bodytext21"/>
        </w:rPr>
        <w:t xml:space="preserve">imperfect and </w:t>
      </w:r>
      <w:r>
        <w:rPr>
          <w:rStyle w:val="Bodytext21"/>
        </w:rPr>
        <w:t>potentially messy</w:t>
      </w:r>
      <w:r w:rsidR="00C4226D">
        <w:rPr>
          <w:rStyle w:val="Bodytext21"/>
        </w:rPr>
        <w:t>, and could take time to formulate and implement. We would be happy to work with interested parties to develop them, but feel that either of the first two alternatives is cleaner and more effective, particularly In the limited time available.</w:t>
      </w:r>
      <w:r>
        <w:rPr>
          <w:rStyle w:val="Bodytext21"/>
        </w:rPr>
        <w:t xml:space="preserve"> </w:t>
      </w:r>
    </w:p>
    <w:p w:rsidR="00905479" w:rsidRPr="007A0E45" w:rsidRDefault="00BC5AE4" w:rsidP="00905479">
      <w:pPr>
        <w:keepNext/>
        <w:keepLines/>
        <w:spacing w:after="118" w:line="246" w:lineRule="exact"/>
        <w:outlineLvl w:val="2"/>
        <w:rPr>
          <w:rFonts w:ascii="Arial" w:eastAsia="Calibri" w:hAnsi="Arial" w:cs="Arial"/>
          <w:b/>
          <w:bCs/>
          <w:color w:val="auto"/>
          <w:sz w:val="20"/>
          <w:szCs w:val="20"/>
          <w:lang w:val="en-AU" w:bidi="ar-SA"/>
        </w:rPr>
      </w:pPr>
      <w:r w:rsidRPr="007A0E45">
        <w:rPr>
          <w:rFonts w:ascii="Arial" w:eastAsia="Calibri" w:hAnsi="Arial" w:cs="Arial"/>
          <w:b/>
          <w:bCs/>
          <w:color w:val="auto"/>
          <w:sz w:val="20"/>
          <w:szCs w:val="20"/>
          <w:lang w:val="en-AU" w:bidi="ar-SA"/>
        </w:rPr>
        <w:t xml:space="preserve"> </w:t>
      </w:r>
      <w:r w:rsidR="00905479" w:rsidRPr="007A0E45">
        <w:rPr>
          <w:rFonts w:ascii="Arial" w:eastAsia="Calibri" w:hAnsi="Arial" w:cs="Arial"/>
          <w:b/>
          <w:bCs/>
          <w:color w:val="auto"/>
          <w:sz w:val="20"/>
          <w:szCs w:val="20"/>
          <w:lang w:val="en-AU" w:bidi="ar-SA"/>
        </w:rPr>
        <w:t xml:space="preserve">2. </w:t>
      </w:r>
      <w:r w:rsidR="004E3E1A" w:rsidRPr="007A0E45">
        <w:rPr>
          <w:rFonts w:ascii="Arial" w:eastAsia="Calibri" w:hAnsi="Arial" w:cs="Arial"/>
          <w:b/>
          <w:bCs/>
          <w:color w:val="auto"/>
          <w:sz w:val="20"/>
          <w:szCs w:val="20"/>
          <w:lang w:val="en-AU" w:bidi="ar-SA"/>
        </w:rPr>
        <w:t xml:space="preserve">Consequential issues if </w:t>
      </w:r>
      <w:r w:rsidRPr="007A0E45">
        <w:rPr>
          <w:rFonts w:ascii="Arial" w:eastAsia="Calibri" w:hAnsi="Arial" w:cs="Arial"/>
          <w:b/>
          <w:bCs/>
          <w:color w:val="auto"/>
          <w:sz w:val="20"/>
          <w:szCs w:val="20"/>
          <w:lang w:val="en-AU" w:bidi="ar-SA"/>
        </w:rPr>
        <w:t>m</w:t>
      </w:r>
      <w:r w:rsidR="004E3E1A" w:rsidRPr="007A0E45">
        <w:rPr>
          <w:rFonts w:ascii="Arial" w:eastAsia="Calibri" w:hAnsi="Arial" w:cs="Arial"/>
          <w:b/>
          <w:bCs/>
          <w:color w:val="auto"/>
          <w:sz w:val="20"/>
          <w:szCs w:val="20"/>
          <w:lang w:val="en-AU" w:bidi="ar-SA"/>
        </w:rPr>
        <w:t>oneylend</w:t>
      </w:r>
      <w:r w:rsidR="00A45D38" w:rsidRPr="007A0E45">
        <w:rPr>
          <w:rFonts w:ascii="Arial" w:eastAsia="Calibri" w:hAnsi="Arial" w:cs="Arial"/>
          <w:b/>
          <w:bCs/>
          <w:color w:val="auto"/>
          <w:sz w:val="20"/>
          <w:szCs w:val="20"/>
          <w:lang w:val="en-AU" w:bidi="ar-SA"/>
        </w:rPr>
        <w:t>ing</w:t>
      </w:r>
      <w:r w:rsidR="004E3E1A" w:rsidRPr="007A0E45">
        <w:rPr>
          <w:rFonts w:ascii="Arial" w:eastAsia="Calibri" w:hAnsi="Arial" w:cs="Arial"/>
          <w:b/>
          <w:bCs/>
          <w:color w:val="auto"/>
          <w:sz w:val="20"/>
          <w:szCs w:val="20"/>
          <w:lang w:val="en-AU" w:bidi="ar-SA"/>
        </w:rPr>
        <w:t xml:space="preserve"> </w:t>
      </w:r>
      <w:r w:rsidRPr="007A0E45">
        <w:rPr>
          <w:rFonts w:ascii="Arial" w:eastAsia="Calibri" w:hAnsi="Arial" w:cs="Arial"/>
          <w:b/>
          <w:bCs/>
          <w:color w:val="auto"/>
          <w:sz w:val="20"/>
          <w:szCs w:val="20"/>
          <w:lang w:val="en-AU" w:bidi="ar-SA"/>
        </w:rPr>
        <w:t>e</w:t>
      </w:r>
      <w:r w:rsidR="004E3E1A" w:rsidRPr="007A0E45">
        <w:rPr>
          <w:rFonts w:ascii="Arial" w:eastAsia="Calibri" w:hAnsi="Arial" w:cs="Arial"/>
          <w:b/>
          <w:bCs/>
          <w:color w:val="auto"/>
          <w:sz w:val="20"/>
          <w:szCs w:val="20"/>
          <w:lang w:val="en-AU" w:bidi="ar-SA"/>
        </w:rPr>
        <w:t>x</w:t>
      </w:r>
      <w:r w:rsidRPr="007A0E45">
        <w:rPr>
          <w:rFonts w:ascii="Arial" w:eastAsia="Calibri" w:hAnsi="Arial" w:cs="Arial"/>
          <w:b/>
          <w:bCs/>
          <w:color w:val="auto"/>
          <w:sz w:val="20"/>
          <w:szCs w:val="20"/>
          <w:lang w:val="en-AU" w:bidi="ar-SA"/>
        </w:rPr>
        <w:t>em</w:t>
      </w:r>
      <w:r w:rsidR="004E3E1A" w:rsidRPr="007A0E45">
        <w:rPr>
          <w:rFonts w:ascii="Arial" w:eastAsia="Calibri" w:hAnsi="Arial" w:cs="Arial"/>
          <w:b/>
          <w:bCs/>
          <w:color w:val="auto"/>
          <w:sz w:val="20"/>
          <w:szCs w:val="20"/>
          <w:lang w:val="en-AU" w:bidi="ar-SA"/>
        </w:rPr>
        <w:t>ption not reinstated</w:t>
      </w:r>
    </w:p>
    <w:p w:rsidR="0040062B" w:rsidRPr="007A0E45" w:rsidRDefault="00795265" w:rsidP="007A0E45">
      <w:pPr>
        <w:pStyle w:val="Bodytext20"/>
        <w:shd w:val="clear" w:color="auto" w:fill="auto"/>
        <w:spacing w:before="0" w:line="274" w:lineRule="exact"/>
        <w:ind w:firstLine="0"/>
        <w:jc w:val="left"/>
        <w:rPr>
          <w:color w:val="auto"/>
          <w:lang w:val="en-AU" w:eastAsia="en-AU" w:bidi="ar-SA"/>
        </w:rPr>
      </w:pPr>
      <w:r w:rsidRPr="007A0E45">
        <w:rPr>
          <w:color w:val="auto"/>
          <w:lang w:val="en-AU" w:eastAsia="en-AU" w:bidi="ar-SA"/>
        </w:rPr>
        <w:t xml:space="preserve">If despite the above concerns the Government proceeds to implement section 27(1)(c) of FATR as proposed in the Draft Regulations, then a number of consequential issues of further concern will arise (in addition to the deterrence of foreign financiers </w:t>
      </w:r>
      <w:r w:rsidRPr="007A0E45">
        <w:rPr>
          <w:color w:val="202020"/>
        </w:rPr>
        <w:t>and</w:t>
      </w:r>
      <w:r w:rsidRPr="007A0E45">
        <w:rPr>
          <w:color w:val="auto"/>
          <w:lang w:val="en-AU" w:eastAsia="en-AU" w:bidi="ar-SA"/>
        </w:rPr>
        <w:t xml:space="preserve"> the disruption of competitive project bid processes).</w:t>
      </w:r>
      <w:r w:rsidR="0040062B" w:rsidRPr="007A0E45">
        <w:rPr>
          <w:color w:val="auto"/>
          <w:lang w:val="en-AU" w:eastAsia="en-AU" w:bidi="ar-SA"/>
        </w:rPr>
        <w:t xml:space="preserve"> </w:t>
      </w:r>
    </w:p>
    <w:p w:rsidR="00905479" w:rsidRPr="007A0E45" w:rsidRDefault="0040062B" w:rsidP="007A0E45">
      <w:pPr>
        <w:pStyle w:val="Bodytext20"/>
        <w:shd w:val="clear" w:color="auto" w:fill="auto"/>
        <w:spacing w:before="0" w:line="274" w:lineRule="exact"/>
        <w:ind w:firstLine="0"/>
        <w:jc w:val="left"/>
        <w:rPr>
          <w:color w:val="auto"/>
          <w:lang w:val="en-AU" w:eastAsia="en-AU" w:bidi="ar-SA"/>
        </w:rPr>
      </w:pPr>
      <w:r w:rsidRPr="007A0E45">
        <w:rPr>
          <w:color w:val="auto"/>
          <w:lang w:val="en-AU" w:eastAsia="en-AU" w:bidi="ar-SA"/>
        </w:rPr>
        <w:t xml:space="preserve">We understand it is intended that foreign financiers will be able to apply for </w:t>
      </w:r>
      <w:r w:rsidR="002027F3" w:rsidRPr="007A0E45">
        <w:rPr>
          <w:color w:val="auto"/>
          <w:lang w:val="en-AU" w:eastAsia="en-AU" w:bidi="ar-SA"/>
        </w:rPr>
        <w:t xml:space="preserve">'loan program' </w:t>
      </w:r>
      <w:r w:rsidRPr="007A0E45">
        <w:rPr>
          <w:color w:val="auto"/>
          <w:lang w:val="en-AU" w:eastAsia="en-AU" w:bidi="ar-SA"/>
        </w:rPr>
        <w:t xml:space="preserve">exemption certificates giving advance cover for a program of secured lending to different </w:t>
      </w:r>
      <w:r w:rsidR="002027F3" w:rsidRPr="007A0E45">
        <w:rPr>
          <w:color w:val="auto"/>
          <w:lang w:val="en-AU" w:eastAsia="en-AU" w:bidi="ar-SA"/>
        </w:rPr>
        <w:t xml:space="preserve">national security business </w:t>
      </w:r>
      <w:r w:rsidRPr="007A0E45">
        <w:rPr>
          <w:color w:val="auto"/>
          <w:lang w:val="en-AU" w:eastAsia="en-AU" w:bidi="ar-SA"/>
        </w:rPr>
        <w:t>projects over a period of time. This would be vital to avoid major delays</w:t>
      </w:r>
      <w:r w:rsidR="002027F3" w:rsidRPr="007A0E45">
        <w:rPr>
          <w:color w:val="auto"/>
          <w:lang w:val="en-AU" w:eastAsia="en-AU" w:bidi="ar-SA"/>
        </w:rPr>
        <w:t xml:space="preserve"> in bids and financing transactions</w:t>
      </w:r>
      <w:r w:rsidRPr="007A0E45">
        <w:rPr>
          <w:color w:val="auto"/>
          <w:lang w:val="en-AU" w:eastAsia="en-AU" w:bidi="ar-SA"/>
        </w:rPr>
        <w:t xml:space="preserve">. There would need to be a streamlined and flexible process. Is there time to set that up </w:t>
      </w:r>
      <w:r w:rsidR="002027F3" w:rsidRPr="007A0E45">
        <w:rPr>
          <w:color w:val="auto"/>
          <w:lang w:val="en-AU" w:eastAsia="en-AU" w:bidi="ar-SA"/>
        </w:rPr>
        <w:t>before</w:t>
      </w:r>
      <w:r w:rsidRPr="007A0E45">
        <w:rPr>
          <w:color w:val="auto"/>
          <w:lang w:val="en-AU" w:eastAsia="en-AU" w:bidi="ar-SA"/>
        </w:rPr>
        <w:t xml:space="preserve"> commencement of the reforms on 1 January 2021? The APLMA counsels against a rushed process, and requests </w:t>
      </w:r>
      <w:r w:rsidR="002027F3" w:rsidRPr="007A0E45">
        <w:rPr>
          <w:color w:val="auto"/>
          <w:lang w:val="en-AU" w:eastAsia="en-AU" w:bidi="ar-SA"/>
        </w:rPr>
        <w:t>an extension</w:t>
      </w:r>
      <w:r w:rsidRPr="007A0E45">
        <w:rPr>
          <w:color w:val="auto"/>
          <w:lang w:val="en-AU" w:eastAsia="en-AU" w:bidi="ar-SA"/>
        </w:rPr>
        <w:t xml:space="preserve"> as a large number of foreign financiers with no operations in Australia would need time to become familiar with the process. It would be difficult to engage them on this </w:t>
      </w:r>
      <w:r w:rsidR="002027F3" w:rsidRPr="007A0E45">
        <w:rPr>
          <w:color w:val="auto"/>
          <w:lang w:val="en-AU" w:eastAsia="en-AU" w:bidi="ar-SA"/>
        </w:rPr>
        <w:t xml:space="preserve">issue </w:t>
      </w:r>
      <w:r w:rsidRPr="007A0E45">
        <w:rPr>
          <w:color w:val="auto"/>
          <w:lang w:val="en-AU" w:eastAsia="en-AU" w:bidi="ar-SA"/>
        </w:rPr>
        <w:t xml:space="preserve">at all, but if there are substantial fees </w:t>
      </w:r>
      <w:r w:rsidR="002155FA" w:rsidRPr="007A0E45">
        <w:rPr>
          <w:color w:val="auto"/>
          <w:lang w:val="en-AU" w:eastAsia="en-AU" w:bidi="ar-SA"/>
        </w:rPr>
        <w:t>(</w:t>
      </w:r>
      <w:r w:rsidR="00B70E71" w:rsidRPr="007A0E45">
        <w:rPr>
          <w:color w:val="auto"/>
          <w:lang w:val="en-AU" w:eastAsia="en-AU" w:bidi="ar-SA"/>
        </w:rPr>
        <w:t>eg</w:t>
      </w:r>
      <w:r w:rsidR="002155FA" w:rsidRPr="007A0E45">
        <w:rPr>
          <w:color w:val="auto"/>
          <w:lang w:val="en-AU" w:eastAsia="en-AU" w:bidi="ar-SA"/>
        </w:rPr>
        <w:t xml:space="preserve"> in the orde</w:t>
      </w:r>
      <w:r w:rsidR="00B70E71" w:rsidRPr="007A0E45">
        <w:rPr>
          <w:color w:val="auto"/>
          <w:lang w:val="en-AU" w:eastAsia="en-AU" w:bidi="ar-SA"/>
        </w:rPr>
        <w:t xml:space="preserve">r </w:t>
      </w:r>
      <w:r w:rsidR="002155FA" w:rsidRPr="007A0E45">
        <w:rPr>
          <w:color w:val="auto"/>
          <w:lang w:val="en-AU" w:eastAsia="en-AU" w:bidi="ar-SA"/>
        </w:rPr>
        <w:t>of A$375</w:t>
      </w:r>
      <w:r w:rsidR="00B70E71" w:rsidRPr="007A0E45">
        <w:rPr>
          <w:color w:val="auto"/>
          <w:lang w:val="en-AU" w:eastAsia="en-AU" w:bidi="ar-SA"/>
        </w:rPr>
        <w:t xml:space="preserve">,000 as prefigured) </w:t>
      </w:r>
      <w:r w:rsidRPr="007A0E45">
        <w:rPr>
          <w:color w:val="auto"/>
          <w:lang w:val="en-AU" w:eastAsia="en-AU" w:bidi="ar-SA"/>
        </w:rPr>
        <w:t>the task will be virtually impossible.</w:t>
      </w:r>
    </w:p>
    <w:p w:rsidR="00795265" w:rsidRDefault="00B90315" w:rsidP="00795265">
      <w:pPr>
        <w:pStyle w:val="Bodytext20"/>
        <w:shd w:val="clear" w:color="auto" w:fill="auto"/>
        <w:spacing w:before="0" w:line="274" w:lineRule="exact"/>
        <w:ind w:firstLine="0"/>
        <w:jc w:val="left"/>
      </w:pPr>
      <w:r>
        <w:t xml:space="preserve">It is unclear how </w:t>
      </w:r>
      <w:r w:rsidRPr="00554EC9">
        <w:t>application fees</w:t>
      </w:r>
      <w:r>
        <w:t xml:space="preserve"> will be assessed, given application fees are normally based on consideration and there is no consideration </w:t>
      </w:r>
      <w:r w:rsidR="00795265">
        <w:t>for the grant of security</w:t>
      </w:r>
      <w:r>
        <w:t xml:space="preserve"> in moneylending transactions</w:t>
      </w:r>
      <w:r w:rsidR="00795265">
        <w:t>, that grant is simply a condition of the loan</w:t>
      </w:r>
      <w:r>
        <w:t xml:space="preserve">. The </w:t>
      </w:r>
      <w:r w:rsidR="00795265">
        <w:t xml:space="preserve">current guidance note, GN 33, with respect, </w:t>
      </w:r>
      <w:r w:rsidR="00FE6E4C">
        <w:t xml:space="preserve">is </w:t>
      </w:r>
      <w:r w:rsidR="00795265">
        <w:t xml:space="preserve">no </w:t>
      </w:r>
      <w:r w:rsidR="00FE6E4C">
        <w:t>help</w:t>
      </w:r>
      <w:r w:rsidR="00795265">
        <w:t>. It reads:</w:t>
      </w:r>
    </w:p>
    <w:p w:rsidR="00795265" w:rsidRPr="007A0E45" w:rsidRDefault="00795265" w:rsidP="00B20380">
      <w:pPr>
        <w:pStyle w:val="Bodytext20"/>
        <w:shd w:val="clear" w:color="auto" w:fill="auto"/>
        <w:spacing w:before="0" w:line="274" w:lineRule="exact"/>
        <w:ind w:firstLine="720"/>
        <w:jc w:val="left"/>
        <w:rPr>
          <w:i/>
          <w:iCs/>
        </w:rPr>
      </w:pPr>
      <w:r>
        <w:t>"</w:t>
      </w:r>
      <w:r w:rsidRPr="007A0E45">
        <w:rPr>
          <w:i/>
          <w:iCs/>
        </w:rPr>
        <w:t xml:space="preserve">Consideration for interests related to security interests (that are not otherwise exempt under the Act): </w:t>
      </w:r>
    </w:p>
    <w:p w:rsidR="00795265" w:rsidRDefault="00795265" w:rsidP="007A0E45">
      <w:pPr>
        <w:pStyle w:val="Bodytext20"/>
        <w:numPr>
          <w:ilvl w:val="0"/>
          <w:numId w:val="14"/>
        </w:numPr>
        <w:shd w:val="clear" w:color="auto" w:fill="auto"/>
        <w:spacing w:before="0" w:line="274" w:lineRule="exact"/>
        <w:ind w:left="1276" w:hanging="425"/>
        <w:jc w:val="left"/>
      </w:pPr>
      <w:r w:rsidRPr="007A0E45">
        <w:rPr>
          <w:i/>
          <w:iCs/>
        </w:rPr>
        <w:t>For grant of a security interest, the sum of up-front initial payments (ongoing interest payments are disregarded if reflecting a market rate of interest).</w:t>
      </w:r>
      <w:r>
        <w:t>"</w:t>
      </w:r>
    </w:p>
    <w:p w:rsidR="00090778" w:rsidRPr="0063644B" w:rsidRDefault="00795265" w:rsidP="00905479">
      <w:pPr>
        <w:pStyle w:val="Bodytext20"/>
        <w:shd w:val="clear" w:color="auto" w:fill="auto"/>
        <w:spacing w:before="0" w:line="274" w:lineRule="exact"/>
        <w:ind w:firstLine="0"/>
        <w:jc w:val="left"/>
      </w:pPr>
      <w:r>
        <w:t xml:space="preserve">The upfront </w:t>
      </w:r>
      <w:r w:rsidRPr="007A0E45">
        <w:rPr>
          <w:color w:val="202020"/>
        </w:rPr>
        <w:t>payments</w:t>
      </w:r>
      <w:r>
        <w:t xml:space="preserve"> are furnished by the Borrower, who also grants the security. Those up-front payments are </w:t>
      </w:r>
      <w:r w:rsidRPr="0063644B">
        <w:t xml:space="preserve">consideration for the loan, not, of course, for the grant of security. </w:t>
      </w:r>
      <w:r w:rsidR="00A45D38" w:rsidRPr="0063644B">
        <w:t xml:space="preserve">Equally it would be </w:t>
      </w:r>
      <w:r w:rsidR="00090778" w:rsidRPr="0063644B">
        <w:t>wrong in principle to calculat</w:t>
      </w:r>
      <w:r w:rsidR="00A45D38" w:rsidRPr="0063644B">
        <w:t>e</w:t>
      </w:r>
      <w:r w:rsidR="00090778" w:rsidRPr="0063644B">
        <w:t xml:space="preserve"> the fee on the value of the loan. The security interests have no consideration attached to them. </w:t>
      </w:r>
      <w:r w:rsidRPr="0063644B">
        <w:t xml:space="preserve">Accordingly </w:t>
      </w:r>
      <w:r w:rsidR="00A45D38" w:rsidRPr="0063644B">
        <w:t>the APLMA</w:t>
      </w:r>
      <w:r w:rsidR="00B90315" w:rsidRPr="0063644B">
        <w:t xml:space="preserve"> suggest</w:t>
      </w:r>
      <w:r w:rsidR="00A45D38" w:rsidRPr="0063644B">
        <w:t>s</w:t>
      </w:r>
      <w:r w:rsidRPr="0063644B">
        <w:t xml:space="preserve"> that application</w:t>
      </w:r>
      <w:r w:rsidR="00A45D38" w:rsidRPr="0063644B">
        <w:t>s</w:t>
      </w:r>
      <w:r w:rsidRPr="0063644B">
        <w:t xml:space="preserve"> for exemption </w:t>
      </w:r>
      <w:r w:rsidR="00B234C1" w:rsidRPr="0063644B">
        <w:t xml:space="preserve">certificates </w:t>
      </w:r>
      <w:r w:rsidRPr="0063644B">
        <w:t>should attract</w:t>
      </w:r>
      <w:r w:rsidR="00B90315" w:rsidRPr="0063644B">
        <w:t xml:space="preserve"> a flat</w:t>
      </w:r>
      <w:r w:rsidRPr="0063644B">
        <w:t>, very low or</w:t>
      </w:r>
      <w:r w:rsidR="00B90315" w:rsidRPr="0063644B">
        <w:t xml:space="preserve"> nominal</w:t>
      </w:r>
      <w:r w:rsidRPr="0063644B">
        <w:t xml:space="preserve">, </w:t>
      </w:r>
      <w:r w:rsidR="00B90315" w:rsidRPr="0063644B">
        <w:t xml:space="preserve">fee, </w:t>
      </w:r>
      <w:r w:rsidR="00090778" w:rsidRPr="0063644B">
        <w:t>not</w:t>
      </w:r>
      <w:r w:rsidR="00B90315" w:rsidRPr="0063644B">
        <w:t xml:space="preserve"> a scaled fee</w:t>
      </w:r>
      <w:r w:rsidR="00090778" w:rsidRPr="0063644B">
        <w:t>.</w:t>
      </w:r>
      <w:r w:rsidR="00B90315" w:rsidRPr="0063644B">
        <w:t xml:space="preserve"> </w:t>
      </w:r>
      <w:r w:rsidR="00090778" w:rsidRPr="0063644B">
        <w:t>G</w:t>
      </w:r>
      <w:r w:rsidR="00B90315" w:rsidRPr="0063644B">
        <w:t>iven the routine nature of these transactions</w:t>
      </w:r>
      <w:r w:rsidR="00090778" w:rsidRPr="0063644B">
        <w:t>, the protections built into the definition of moneylending agreement</w:t>
      </w:r>
      <w:r w:rsidR="00B90315" w:rsidRPr="0063644B">
        <w:t xml:space="preserve"> and the very low possibility that a </w:t>
      </w:r>
      <w:r w:rsidR="00090778" w:rsidRPr="0063644B">
        <w:t>financi</w:t>
      </w:r>
      <w:r w:rsidR="00B90315" w:rsidRPr="0063644B">
        <w:t>er will ever end up actually acquiring the assets in question (as opposed to a receiver or other controller selling them</w:t>
      </w:r>
      <w:r w:rsidR="00090778" w:rsidRPr="0063644B">
        <w:t xml:space="preserve"> to a third party</w:t>
      </w:r>
      <w:r w:rsidR="00B90315" w:rsidRPr="0063644B">
        <w:t xml:space="preserve">), </w:t>
      </w:r>
      <w:r w:rsidR="00090778" w:rsidRPr="0063644B">
        <w:t xml:space="preserve">and </w:t>
      </w:r>
      <w:r w:rsidR="00B90315" w:rsidRPr="0063644B">
        <w:t>given banks are not in the business of operating these kinds of assets</w:t>
      </w:r>
      <w:r w:rsidR="00090778" w:rsidRPr="0063644B">
        <w:t>, the fee should be minimal</w:t>
      </w:r>
      <w:r w:rsidR="00B90315" w:rsidRPr="0063644B">
        <w:t xml:space="preserve">. </w:t>
      </w:r>
    </w:p>
    <w:p w:rsidR="001B2427" w:rsidRPr="0063644B" w:rsidRDefault="00B90315" w:rsidP="00905479">
      <w:pPr>
        <w:pStyle w:val="Bodytext20"/>
        <w:shd w:val="clear" w:color="auto" w:fill="auto"/>
        <w:spacing w:before="0" w:line="274" w:lineRule="exact"/>
        <w:ind w:firstLine="0"/>
        <w:jc w:val="left"/>
      </w:pPr>
      <w:r w:rsidRPr="0063644B">
        <w:t xml:space="preserve">A substantial fee would be </w:t>
      </w:r>
      <w:r w:rsidR="00090778" w:rsidRPr="0063644B">
        <w:t xml:space="preserve">just another step towards </w:t>
      </w:r>
      <w:r w:rsidR="00090778" w:rsidRPr="0063644B">
        <w:rPr>
          <w:rFonts w:eastAsia="MS Mincho"/>
          <w:color w:val="auto"/>
          <w:szCs w:val="24"/>
          <w:lang w:val="en-AU" w:eastAsia="ja-JP" w:bidi="ar-SA"/>
        </w:rPr>
        <w:t xml:space="preserve">making Australia unattractive </w:t>
      </w:r>
      <w:r w:rsidR="0079643B" w:rsidRPr="0063644B">
        <w:rPr>
          <w:rFonts w:eastAsia="MS Mincho"/>
          <w:color w:val="auto"/>
          <w:szCs w:val="24"/>
          <w:lang w:val="en-AU" w:eastAsia="ja-JP" w:bidi="ar-SA"/>
        </w:rPr>
        <w:t xml:space="preserve">for </w:t>
      </w:r>
      <w:r w:rsidR="00090778" w:rsidRPr="0063644B">
        <w:rPr>
          <w:rFonts w:eastAsia="MS Mincho"/>
          <w:color w:val="auto"/>
          <w:szCs w:val="24"/>
          <w:lang w:val="en-AU" w:eastAsia="ja-JP" w:bidi="ar-SA"/>
        </w:rPr>
        <w:t xml:space="preserve">overseas financiers, it would be </w:t>
      </w:r>
      <w:r w:rsidRPr="0063644B">
        <w:t>a major deterrent to the</w:t>
      </w:r>
      <w:r w:rsidR="00090778" w:rsidRPr="0063644B">
        <w:t>ir</w:t>
      </w:r>
      <w:r w:rsidRPr="0063644B">
        <w:t xml:space="preserve"> participation </w:t>
      </w:r>
      <w:r w:rsidR="00090778" w:rsidRPr="0063644B">
        <w:t>in the financing of new infrastructure projects. Further, a</w:t>
      </w:r>
      <w:r w:rsidRPr="0063644B">
        <w:t xml:space="preserve">s soon as the lenders are charged these fees, these fees will be passed on to the borrower. In effect, </w:t>
      </w:r>
      <w:r w:rsidR="00090778" w:rsidRPr="0063644B">
        <w:t>a foreign</w:t>
      </w:r>
      <w:r w:rsidRPr="0063644B">
        <w:t xml:space="preserve"> acquirer will be paying twice.  They will have to pay the fees of the </w:t>
      </w:r>
      <w:r w:rsidR="00090778" w:rsidRPr="0063644B">
        <w:t>financi</w:t>
      </w:r>
      <w:r w:rsidRPr="0063644B">
        <w:t>er</w:t>
      </w:r>
      <w:r w:rsidR="00090778" w:rsidRPr="0063644B">
        <w:t>, and then of course the costs will be passed on to the end consumer. The impact on competitive bids would be even worse</w:t>
      </w:r>
      <w:r w:rsidR="0079643B" w:rsidRPr="0063644B">
        <w:t xml:space="preserve">, as governments and other procurers generally require certainty, so require fully funded bids, and will not accept that the bid </w:t>
      </w:r>
      <w:r w:rsidR="001B2427" w:rsidRPr="0063644B">
        <w:t>o</w:t>
      </w:r>
      <w:r w:rsidR="0079643B" w:rsidRPr="0063644B">
        <w:t>r its financing is subject to conditions such as the obtaining of FIRB approvals. So any fees would have to be paid without even the certainty of a transaction proceeding.</w:t>
      </w:r>
      <w:r w:rsidR="00090778" w:rsidRPr="0063644B">
        <w:t xml:space="preserve"> </w:t>
      </w:r>
    </w:p>
    <w:p w:rsidR="00B90315" w:rsidRPr="0063644B" w:rsidRDefault="001B2427" w:rsidP="00905479">
      <w:pPr>
        <w:pStyle w:val="Bodytext20"/>
        <w:shd w:val="clear" w:color="auto" w:fill="auto"/>
        <w:spacing w:before="0" w:line="274" w:lineRule="exact"/>
        <w:ind w:firstLine="0"/>
        <w:jc w:val="left"/>
      </w:pPr>
      <w:r w:rsidRPr="0063644B">
        <w:t>Timing is also an issue. In competitive bids and, indeed, new projects, the sponsors don't have time</w:t>
      </w:r>
      <w:r w:rsidR="00760FC3" w:rsidRPr="0063644B">
        <w:t xml:space="preserve"> to allow</w:t>
      </w:r>
      <w:r w:rsidRPr="0063644B">
        <w:t xml:space="preserve">  the financiers </w:t>
      </w:r>
      <w:r w:rsidR="00760FC3" w:rsidRPr="0063644B">
        <w:t xml:space="preserve">to </w:t>
      </w:r>
      <w:r w:rsidRPr="0063644B">
        <w:t>wait out the FIRB notice periods, or wait for exemption certificates.</w:t>
      </w:r>
      <w:r w:rsidR="00B90315" w:rsidRPr="0063644B">
        <w:t xml:space="preserve">  </w:t>
      </w:r>
    </w:p>
    <w:p w:rsidR="00B90315" w:rsidRPr="0063644B" w:rsidRDefault="00B90315" w:rsidP="00905479">
      <w:pPr>
        <w:pStyle w:val="Bodytext20"/>
        <w:shd w:val="clear" w:color="auto" w:fill="auto"/>
        <w:spacing w:before="0" w:line="274" w:lineRule="exact"/>
        <w:ind w:firstLine="0"/>
        <w:jc w:val="left"/>
        <w:rPr>
          <w:rFonts w:eastAsia="MS Mincho"/>
          <w:color w:val="auto"/>
          <w:szCs w:val="24"/>
          <w:lang w:val="en-AU" w:eastAsia="ja-JP" w:bidi="ar-SA"/>
        </w:rPr>
      </w:pPr>
      <w:r w:rsidRPr="0063644B">
        <w:rPr>
          <w:rFonts w:eastAsia="MS Mincho"/>
          <w:color w:val="auto"/>
          <w:szCs w:val="24"/>
          <w:lang w:val="en-AU" w:eastAsia="ja-JP" w:bidi="ar-SA"/>
        </w:rPr>
        <w:t xml:space="preserve">If we drive those </w:t>
      </w:r>
      <w:r w:rsidR="0079643B" w:rsidRPr="0063644B">
        <w:rPr>
          <w:rFonts w:eastAsia="MS Mincho"/>
          <w:color w:val="auto"/>
          <w:szCs w:val="24"/>
          <w:lang w:val="en-AU" w:eastAsia="ja-JP" w:bidi="ar-SA"/>
        </w:rPr>
        <w:t>financiers</w:t>
      </w:r>
      <w:r w:rsidRPr="0063644B">
        <w:rPr>
          <w:rFonts w:eastAsia="MS Mincho"/>
          <w:color w:val="auto"/>
          <w:szCs w:val="24"/>
          <w:lang w:val="en-AU" w:eastAsia="ja-JP" w:bidi="ar-SA"/>
        </w:rPr>
        <w:t xml:space="preserve"> away, the Australian market will </w:t>
      </w:r>
      <w:r w:rsidR="0079643B" w:rsidRPr="0063644B">
        <w:rPr>
          <w:rFonts w:eastAsia="MS Mincho"/>
          <w:color w:val="auto"/>
          <w:szCs w:val="24"/>
          <w:lang w:val="en-AU" w:eastAsia="ja-JP" w:bidi="ar-SA"/>
        </w:rPr>
        <w:t xml:space="preserve">necessarily </w:t>
      </w:r>
      <w:r w:rsidRPr="0063644B">
        <w:rPr>
          <w:rFonts w:eastAsia="MS Mincho"/>
          <w:color w:val="auto"/>
          <w:szCs w:val="24"/>
          <w:lang w:val="en-AU" w:eastAsia="ja-JP" w:bidi="ar-SA"/>
        </w:rPr>
        <w:t xml:space="preserve">be narrower and </w:t>
      </w:r>
      <w:r w:rsidR="0079643B" w:rsidRPr="0063644B">
        <w:rPr>
          <w:rFonts w:eastAsia="MS Mincho"/>
          <w:color w:val="auto"/>
          <w:szCs w:val="24"/>
          <w:lang w:val="en-AU" w:eastAsia="ja-JP" w:bidi="ar-SA"/>
        </w:rPr>
        <w:t xml:space="preserve">less competitive, and </w:t>
      </w:r>
      <w:r w:rsidRPr="0063644B">
        <w:rPr>
          <w:rFonts w:eastAsia="MS Mincho"/>
          <w:color w:val="auto"/>
          <w:szCs w:val="24"/>
          <w:lang w:val="en-AU" w:eastAsia="ja-JP" w:bidi="ar-SA"/>
        </w:rPr>
        <w:t xml:space="preserve"> infrastructure borrowing costs </w:t>
      </w:r>
      <w:r w:rsidR="0079643B" w:rsidRPr="0063644B">
        <w:rPr>
          <w:rFonts w:eastAsia="MS Mincho"/>
          <w:color w:val="auto"/>
          <w:szCs w:val="24"/>
          <w:lang w:val="en-AU" w:eastAsia="ja-JP" w:bidi="ar-SA"/>
        </w:rPr>
        <w:t>may well</w:t>
      </w:r>
      <w:r w:rsidRPr="0063644B">
        <w:rPr>
          <w:rFonts w:eastAsia="MS Mincho"/>
          <w:color w:val="auto"/>
          <w:szCs w:val="24"/>
          <w:lang w:val="en-AU" w:eastAsia="ja-JP" w:bidi="ar-SA"/>
        </w:rPr>
        <w:t xml:space="preserve"> increase</w:t>
      </w:r>
      <w:r w:rsidR="0079643B" w:rsidRPr="0063644B">
        <w:rPr>
          <w:rFonts w:eastAsia="MS Mincho"/>
          <w:color w:val="auto"/>
          <w:szCs w:val="24"/>
          <w:lang w:val="en-AU" w:eastAsia="ja-JP" w:bidi="ar-SA"/>
        </w:rPr>
        <w:t>. And at the moment with the worldwide recession some foreign financiers have started to retreat to their home markets, meaning</w:t>
      </w:r>
      <w:r w:rsidRPr="0063644B">
        <w:rPr>
          <w:rFonts w:eastAsia="MS Mincho"/>
          <w:color w:val="auto"/>
          <w:szCs w:val="24"/>
          <w:lang w:val="en-AU" w:eastAsia="ja-JP" w:bidi="ar-SA"/>
        </w:rPr>
        <w:t xml:space="preserve"> the domestic lending market is </w:t>
      </w:r>
      <w:r w:rsidR="0079643B" w:rsidRPr="0063644B">
        <w:rPr>
          <w:rFonts w:eastAsia="MS Mincho"/>
          <w:color w:val="auto"/>
          <w:szCs w:val="24"/>
          <w:lang w:val="en-AU" w:eastAsia="ja-JP" w:bidi="ar-SA"/>
        </w:rPr>
        <w:t xml:space="preserve">already </w:t>
      </w:r>
      <w:r w:rsidRPr="0063644B">
        <w:rPr>
          <w:rFonts w:eastAsia="MS Mincho"/>
          <w:color w:val="auto"/>
          <w:szCs w:val="24"/>
          <w:lang w:val="en-AU" w:eastAsia="ja-JP" w:bidi="ar-SA"/>
        </w:rPr>
        <w:t>somewhat constrained</w:t>
      </w:r>
      <w:r w:rsidR="0079643B" w:rsidRPr="0063644B">
        <w:rPr>
          <w:rFonts w:eastAsia="MS Mincho"/>
          <w:color w:val="auto"/>
          <w:szCs w:val="24"/>
          <w:lang w:val="en-AU" w:eastAsia="ja-JP" w:bidi="ar-SA"/>
        </w:rPr>
        <w:t>. Adding the burden of red tape,</w:t>
      </w:r>
      <w:r w:rsidR="001B2427" w:rsidRPr="0063644B">
        <w:rPr>
          <w:rFonts w:eastAsia="MS Mincho"/>
          <w:color w:val="auto"/>
          <w:szCs w:val="24"/>
          <w:lang w:val="en-AU" w:eastAsia="ja-JP" w:bidi="ar-SA"/>
        </w:rPr>
        <w:t xml:space="preserve"> delays,</w:t>
      </w:r>
      <w:r w:rsidR="0079643B" w:rsidRPr="0063644B">
        <w:rPr>
          <w:rFonts w:eastAsia="MS Mincho"/>
          <w:color w:val="auto"/>
          <w:szCs w:val="24"/>
          <w:lang w:val="en-AU" w:eastAsia="ja-JP" w:bidi="ar-SA"/>
        </w:rPr>
        <w:t xml:space="preserve"> uncertainty and substantial fees risks accelerating this retreat.</w:t>
      </w:r>
    </w:p>
    <w:p w:rsidR="006D37BC" w:rsidRPr="0063644B" w:rsidRDefault="001B2427" w:rsidP="006D37BC">
      <w:pPr>
        <w:pStyle w:val="Bodytext20"/>
        <w:shd w:val="clear" w:color="auto" w:fill="auto"/>
        <w:spacing w:before="0" w:line="274" w:lineRule="exact"/>
        <w:ind w:firstLine="0"/>
        <w:jc w:val="left"/>
        <w:rPr>
          <w:rFonts w:eastAsia="MS Mincho"/>
          <w:color w:val="auto"/>
          <w:szCs w:val="24"/>
          <w:lang w:val="en-AU" w:eastAsia="ja-JP" w:bidi="ar-SA"/>
        </w:rPr>
      </w:pPr>
      <w:r w:rsidRPr="0063644B">
        <w:rPr>
          <w:rFonts w:eastAsia="MS Mincho"/>
          <w:color w:val="auto"/>
          <w:szCs w:val="24"/>
          <w:lang w:val="en-AU" w:eastAsia="ja-JP" w:bidi="ar-SA"/>
        </w:rPr>
        <w:t xml:space="preserve">There are also some unresolved technical issues if the moneylending exemption is withdrawn. </w:t>
      </w:r>
    </w:p>
    <w:p w:rsidR="00E65493" w:rsidRPr="007A0E45" w:rsidRDefault="00760FC3" w:rsidP="00542C89">
      <w:pPr>
        <w:pStyle w:val="Bodytext20"/>
        <w:shd w:val="clear" w:color="auto" w:fill="auto"/>
        <w:spacing w:before="0" w:line="274" w:lineRule="exact"/>
        <w:ind w:firstLine="0"/>
        <w:jc w:val="left"/>
        <w:rPr>
          <w:rFonts w:eastAsia="MS Mincho"/>
          <w:color w:val="auto"/>
          <w:szCs w:val="24"/>
          <w:lang w:val="en-AU" w:eastAsia="ja-JP" w:bidi="ar-SA"/>
        </w:rPr>
      </w:pPr>
      <w:r w:rsidRPr="007A0E45">
        <w:rPr>
          <w:rFonts w:eastAsia="MS Mincho"/>
          <w:color w:val="auto"/>
          <w:szCs w:val="24"/>
          <w:lang w:val="en-AU" w:eastAsia="ja-JP" w:bidi="ar-SA"/>
        </w:rPr>
        <w:t xml:space="preserve">It is not clear </w:t>
      </w:r>
      <w:r w:rsidR="000F1F76" w:rsidRPr="007A0E45">
        <w:rPr>
          <w:rFonts w:eastAsia="MS Mincho"/>
          <w:color w:val="auto"/>
          <w:szCs w:val="24"/>
          <w:lang w:val="en-AU" w:eastAsia="ja-JP" w:bidi="ar-SA"/>
        </w:rPr>
        <w:t>how the new national security provisions apply to</w:t>
      </w:r>
      <w:r w:rsidRPr="007A0E45">
        <w:rPr>
          <w:rFonts w:eastAsia="MS Mincho"/>
          <w:color w:val="auto"/>
          <w:szCs w:val="24"/>
          <w:lang w:val="en-AU" w:eastAsia="ja-JP" w:bidi="ar-SA"/>
        </w:rPr>
        <w:t xml:space="preserve"> small (below 10%) participations </w:t>
      </w:r>
      <w:r w:rsidR="000F1F76" w:rsidRPr="007A0E45">
        <w:rPr>
          <w:rFonts w:eastAsia="MS Mincho"/>
          <w:color w:val="auto"/>
          <w:szCs w:val="24"/>
          <w:lang w:val="en-AU" w:eastAsia="ja-JP" w:bidi="ar-SA"/>
        </w:rPr>
        <w:t>in loan facilities secured over a national security business</w:t>
      </w:r>
      <w:r w:rsidR="00263052" w:rsidRPr="007A0E45">
        <w:rPr>
          <w:rFonts w:eastAsia="MS Mincho"/>
          <w:color w:val="auto"/>
          <w:szCs w:val="24"/>
          <w:lang w:val="en-AU" w:eastAsia="ja-JP" w:bidi="ar-SA"/>
        </w:rPr>
        <w:t xml:space="preserve"> where the security is held by a security trustee for the benefit of a number of financiers, some foreign</w:t>
      </w:r>
      <w:r w:rsidRPr="007A0E45">
        <w:rPr>
          <w:rFonts w:eastAsia="MS Mincho"/>
          <w:color w:val="auto"/>
          <w:szCs w:val="24"/>
          <w:lang w:val="en-AU" w:eastAsia="ja-JP" w:bidi="ar-SA"/>
        </w:rPr>
        <w:t>.</w:t>
      </w:r>
      <w:r w:rsidR="001B2427" w:rsidRPr="007A0E45">
        <w:rPr>
          <w:rFonts w:eastAsia="MS Mincho"/>
          <w:color w:val="auto"/>
          <w:szCs w:val="24"/>
          <w:lang w:val="en-AU" w:eastAsia="ja-JP" w:bidi="ar-SA"/>
        </w:rPr>
        <w:t xml:space="preserve"> </w:t>
      </w:r>
      <w:r w:rsidR="000F1F76" w:rsidRPr="007A0E45">
        <w:rPr>
          <w:rFonts w:eastAsia="MS Mincho"/>
          <w:color w:val="auto"/>
          <w:szCs w:val="24"/>
          <w:lang w:val="en-AU" w:eastAsia="ja-JP" w:bidi="ar-SA"/>
        </w:rPr>
        <w:t>Is any interest</w:t>
      </w:r>
      <w:r w:rsidR="00263052" w:rsidRPr="007A0E45">
        <w:rPr>
          <w:rFonts w:eastAsia="MS Mincho"/>
          <w:color w:val="auto"/>
          <w:szCs w:val="24"/>
          <w:lang w:val="en-AU" w:eastAsia="ja-JP" w:bidi="ar-SA"/>
        </w:rPr>
        <w:t xml:space="preserve"> (held through a security trust)</w:t>
      </w:r>
      <w:r w:rsidR="000F1F76" w:rsidRPr="007A0E45">
        <w:rPr>
          <w:rFonts w:eastAsia="MS Mincho"/>
          <w:color w:val="auto"/>
          <w:szCs w:val="24"/>
          <w:lang w:val="en-AU" w:eastAsia="ja-JP" w:bidi="ar-SA"/>
        </w:rPr>
        <w:t xml:space="preserve"> in a security interest over an interest of 10% or more in a ‘national security business’ a ‘notifiable national security action’? If so, should there not be a de minimis exclusion</w:t>
      </w:r>
      <w:r w:rsidR="00C333A3" w:rsidRPr="007A0E45">
        <w:rPr>
          <w:rFonts w:eastAsia="MS Mincho"/>
          <w:color w:val="auto"/>
          <w:szCs w:val="24"/>
          <w:lang w:val="en-AU" w:eastAsia="ja-JP" w:bidi="ar-SA"/>
        </w:rPr>
        <w:t xml:space="preserve"> for small participations</w:t>
      </w:r>
      <w:r w:rsidR="000F1F76" w:rsidRPr="007A0E45">
        <w:rPr>
          <w:rFonts w:eastAsia="MS Mincho"/>
          <w:color w:val="auto"/>
          <w:szCs w:val="24"/>
          <w:lang w:val="en-AU" w:eastAsia="ja-JP" w:bidi="ar-SA"/>
        </w:rPr>
        <w:t>? If not, and the interest of the foreign person in the security interest must be at least 10% under s16(a) of FATR</w:t>
      </w:r>
      <w:r w:rsidR="00263052" w:rsidRPr="007A0E45">
        <w:rPr>
          <w:rFonts w:eastAsia="MS Mincho"/>
          <w:color w:val="auto"/>
          <w:szCs w:val="24"/>
          <w:lang w:val="en-AU" w:eastAsia="ja-JP" w:bidi="ar-SA"/>
        </w:rPr>
        <w:t>,</w:t>
      </w:r>
      <w:r w:rsidR="000F1F76" w:rsidRPr="007A0E45">
        <w:rPr>
          <w:rFonts w:eastAsia="MS Mincho"/>
          <w:color w:val="auto"/>
          <w:szCs w:val="24"/>
          <w:lang w:val="en-AU" w:eastAsia="ja-JP" w:bidi="ar-SA"/>
        </w:rPr>
        <w:t xml:space="preserve"> how is an interest in a security interest quantified? </w:t>
      </w:r>
      <w:r w:rsidR="00521003" w:rsidRPr="007A0E45">
        <w:rPr>
          <w:rFonts w:eastAsia="MS Mincho"/>
          <w:color w:val="auto"/>
          <w:szCs w:val="24"/>
          <w:lang w:val="en-AU" w:eastAsia="ja-JP" w:bidi="ar-SA"/>
        </w:rPr>
        <w:t>P</w:t>
      </w:r>
      <w:r w:rsidR="001B2427" w:rsidRPr="007A0E45">
        <w:rPr>
          <w:rFonts w:eastAsia="MS Mincho"/>
          <w:color w:val="auto"/>
          <w:szCs w:val="24"/>
          <w:lang w:val="en-AU" w:eastAsia="ja-JP" w:bidi="ar-SA"/>
        </w:rPr>
        <w:t xml:space="preserve">resumably it is the percentage </w:t>
      </w:r>
      <w:r w:rsidR="00542C89" w:rsidRPr="007A0E45">
        <w:rPr>
          <w:rFonts w:eastAsia="MS Mincho"/>
          <w:color w:val="auto"/>
          <w:szCs w:val="24"/>
          <w:lang w:val="en-AU" w:eastAsia="ja-JP" w:bidi="ar-SA"/>
        </w:rPr>
        <w:t>the financier's loan</w:t>
      </w:r>
      <w:r w:rsidR="00E65493" w:rsidRPr="007A0E45">
        <w:rPr>
          <w:rFonts w:eastAsia="MS Mincho"/>
          <w:color w:val="auto"/>
          <w:szCs w:val="24"/>
          <w:lang w:val="en-AU" w:eastAsia="ja-JP" w:bidi="ar-SA"/>
        </w:rPr>
        <w:t xml:space="preserve"> represents </w:t>
      </w:r>
      <w:r w:rsidR="001B2427" w:rsidRPr="007A0E45">
        <w:rPr>
          <w:rFonts w:eastAsia="MS Mincho"/>
          <w:color w:val="auto"/>
          <w:szCs w:val="24"/>
          <w:lang w:val="en-AU" w:eastAsia="ja-JP" w:bidi="ar-SA"/>
        </w:rPr>
        <w:t xml:space="preserve">of the total </w:t>
      </w:r>
      <w:r w:rsidR="001129B8" w:rsidRPr="007A0E45">
        <w:rPr>
          <w:rFonts w:eastAsia="MS Mincho"/>
          <w:color w:val="auto"/>
          <w:szCs w:val="24"/>
          <w:lang w:val="en-AU" w:eastAsia="ja-JP" w:bidi="ar-SA"/>
        </w:rPr>
        <w:t>outstanding</w:t>
      </w:r>
      <w:r w:rsidR="001B2427" w:rsidRPr="007A0E45">
        <w:rPr>
          <w:rFonts w:eastAsia="MS Mincho"/>
          <w:color w:val="auto"/>
          <w:szCs w:val="24"/>
          <w:lang w:val="en-AU" w:eastAsia="ja-JP" w:bidi="ar-SA"/>
        </w:rPr>
        <w:t xml:space="preserve"> </w:t>
      </w:r>
      <w:r w:rsidR="00F81B5F" w:rsidRPr="007A0E45">
        <w:rPr>
          <w:rFonts w:eastAsia="MS Mincho"/>
          <w:color w:val="auto"/>
          <w:szCs w:val="24"/>
          <w:lang w:val="en-AU" w:eastAsia="ja-JP" w:bidi="ar-SA"/>
        </w:rPr>
        <w:t xml:space="preserve">facilities. </w:t>
      </w:r>
      <w:r w:rsidR="001B2427" w:rsidRPr="007A0E45">
        <w:rPr>
          <w:rFonts w:eastAsia="MS Mincho"/>
          <w:color w:val="auto"/>
          <w:szCs w:val="24"/>
          <w:lang w:val="en-AU" w:eastAsia="ja-JP" w:bidi="ar-SA"/>
        </w:rPr>
        <w:t>.</w:t>
      </w:r>
      <w:r w:rsidR="00F81B5F" w:rsidRPr="007A0E45">
        <w:rPr>
          <w:rFonts w:eastAsia="MS Mincho"/>
          <w:color w:val="auto"/>
          <w:szCs w:val="24"/>
          <w:lang w:val="en-AU" w:eastAsia="ja-JP" w:bidi="ar-SA"/>
        </w:rPr>
        <w:t>Some financiers may have contingent exposures, for example they may have undrawn facilities, or may have issued performance bonds. How does that affect this? What is to be done with currency fluctuations?</w:t>
      </w:r>
      <w:r w:rsidR="00E65493" w:rsidRPr="007A0E45">
        <w:rPr>
          <w:rFonts w:eastAsia="MS Mincho"/>
          <w:color w:val="auto"/>
          <w:szCs w:val="24"/>
          <w:lang w:val="en-AU" w:eastAsia="ja-JP" w:bidi="ar-SA"/>
        </w:rPr>
        <w:t xml:space="preserve"> </w:t>
      </w:r>
    </w:p>
    <w:p w:rsidR="001B2427" w:rsidRPr="007A0E45" w:rsidRDefault="00263052" w:rsidP="00542C89">
      <w:pPr>
        <w:pStyle w:val="Bodytext20"/>
        <w:shd w:val="clear" w:color="auto" w:fill="auto"/>
        <w:spacing w:before="0" w:line="274" w:lineRule="exact"/>
        <w:ind w:firstLine="0"/>
        <w:jc w:val="left"/>
        <w:rPr>
          <w:rFonts w:eastAsia="MS Mincho"/>
          <w:color w:val="auto"/>
          <w:szCs w:val="24"/>
          <w:lang w:val="en-AU" w:eastAsia="ja-JP" w:bidi="ar-SA"/>
        </w:rPr>
      </w:pPr>
      <w:r w:rsidRPr="007A0E45">
        <w:rPr>
          <w:rFonts w:eastAsia="MS Mincho"/>
          <w:color w:val="auto"/>
          <w:szCs w:val="24"/>
          <w:lang w:val="en-AU" w:eastAsia="ja-JP" w:bidi="ar-SA"/>
        </w:rPr>
        <w:t>Further, i</w:t>
      </w:r>
      <w:r w:rsidR="001B2427" w:rsidRPr="007A0E45">
        <w:rPr>
          <w:rFonts w:eastAsia="MS Mincho"/>
          <w:color w:val="auto"/>
          <w:szCs w:val="24"/>
          <w:lang w:val="en-AU" w:eastAsia="ja-JP" w:bidi="ar-SA"/>
        </w:rPr>
        <w:t xml:space="preserve">s the threshold </w:t>
      </w:r>
      <w:r w:rsidRPr="007A0E45">
        <w:rPr>
          <w:rFonts w:eastAsia="MS Mincho"/>
          <w:color w:val="auto"/>
          <w:szCs w:val="24"/>
          <w:lang w:val="en-AU" w:eastAsia="ja-JP" w:bidi="ar-SA"/>
        </w:rPr>
        <w:t xml:space="preserve">under s16 of FATR </w:t>
      </w:r>
      <w:r w:rsidR="001B2427" w:rsidRPr="007A0E45">
        <w:rPr>
          <w:rFonts w:eastAsia="MS Mincho"/>
          <w:color w:val="auto"/>
          <w:szCs w:val="24"/>
          <w:lang w:val="en-AU" w:eastAsia="ja-JP" w:bidi="ar-SA"/>
        </w:rPr>
        <w:t xml:space="preserve">10% </w:t>
      </w:r>
      <w:r w:rsidR="00A3710B" w:rsidRPr="007A0E45">
        <w:rPr>
          <w:rFonts w:eastAsia="MS Mincho"/>
          <w:color w:val="auto"/>
          <w:szCs w:val="24"/>
          <w:lang w:val="en-AU" w:eastAsia="ja-JP" w:bidi="ar-SA"/>
        </w:rPr>
        <w:t xml:space="preserve">(under para (a)) </w:t>
      </w:r>
      <w:r w:rsidR="001B2427" w:rsidRPr="007A0E45">
        <w:rPr>
          <w:rFonts w:eastAsia="MS Mincho"/>
          <w:color w:val="auto"/>
          <w:szCs w:val="24"/>
          <w:lang w:val="en-AU" w:eastAsia="ja-JP" w:bidi="ar-SA"/>
        </w:rPr>
        <w:t xml:space="preserve">or is the </w:t>
      </w:r>
      <w:r w:rsidR="00E65493" w:rsidRPr="007A0E45">
        <w:rPr>
          <w:rFonts w:eastAsia="MS Mincho"/>
          <w:color w:val="auto"/>
          <w:szCs w:val="24"/>
          <w:lang w:val="en-AU" w:eastAsia="ja-JP" w:bidi="ar-SA"/>
        </w:rPr>
        <w:t xml:space="preserve">syndicated </w:t>
      </w:r>
      <w:r w:rsidR="001B2427" w:rsidRPr="007A0E45">
        <w:rPr>
          <w:rFonts w:eastAsia="MS Mincho"/>
          <w:color w:val="auto"/>
          <w:szCs w:val="24"/>
          <w:lang w:val="en-AU" w:eastAsia="ja-JP" w:bidi="ar-SA"/>
        </w:rPr>
        <w:t xml:space="preserve">loan agreement considered a </w:t>
      </w:r>
      <w:r w:rsidR="001129B8" w:rsidRPr="007A0E45">
        <w:rPr>
          <w:rFonts w:eastAsia="MS Mincho"/>
          <w:color w:val="auto"/>
          <w:szCs w:val="24"/>
          <w:lang w:val="en-AU" w:eastAsia="ja-JP" w:bidi="ar-SA"/>
        </w:rPr>
        <w:t>'</w:t>
      </w:r>
      <w:r w:rsidR="001B2427" w:rsidRPr="007A0E45">
        <w:rPr>
          <w:rFonts w:eastAsia="MS Mincho"/>
          <w:color w:val="auto"/>
          <w:szCs w:val="24"/>
          <w:lang w:val="en-AU" w:eastAsia="ja-JP" w:bidi="ar-SA"/>
        </w:rPr>
        <w:t>legal arrangement</w:t>
      </w:r>
      <w:r w:rsidR="001129B8" w:rsidRPr="007A0E45">
        <w:rPr>
          <w:rFonts w:eastAsia="MS Mincho"/>
          <w:color w:val="auto"/>
          <w:szCs w:val="24"/>
          <w:lang w:val="en-AU" w:eastAsia="ja-JP" w:bidi="ar-SA"/>
        </w:rPr>
        <w:t xml:space="preserve"> relating to the business</w:t>
      </w:r>
      <w:r w:rsidR="00542C89" w:rsidRPr="007A0E45">
        <w:rPr>
          <w:rFonts w:eastAsia="MS Mincho"/>
          <w:color w:val="auto"/>
          <w:szCs w:val="24"/>
          <w:lang w:val="en-AU" w:eastAsia="ja-JP" w:bidi="ar-SA"/>
        </w:rPr>
        <w:t>es of the person and the entity or business</w:t>
      </w:r>
      <w:r w:rsidR="00E65493" w:rsidRPr="007A0E45">
        <w:rPr>
          <w:rFonts w:eastAsia="MS Mincho"/>
          <w:color w:val="auto"/>
          <w:szCs w:val="24"/>
          <w:lang w:val="en-AU" w:eastAsia="ja-JP" w:bidi="ar-SA"/>
        </w:rPr>
        <w:t xml:space="preserve">' </w:t>
      </w:r>
      <w:r w:rsidR="001129B8" w:rsidRPr="007A0E45">
        <w:rPr>
          <w:rFonts w:eastAsia="MS Mincho"/>
          <w:color w:val="auto"/>
          <w:szCs w:val="24"/>
          <w:lang w:val="en-AU" w:eastAsia="ja-JP" w:bidi="ar-SA"/>
        </w:rPr>
        <w:t>(</w:t>
      </w:r>
      <w:r w:rsidR="00E65493" w:rsidRPr="007A0E45">
        <w:rPr>
          <w:rFonts w:eastAsia="MS Mincho"/>
          <w:color w:val="auto"/>
          <w:szCs w:val="24"/>
          <w:lang w:val="en-AU" w:eastAsia="ja-JP" w:bidi="ar-SA"/>
        </w:rPr>
        <w:t xml:space="preserve">so </w:t>
      </w:r>
      <w:r w:rsidR="001B2427" w:rsidRPr="007A0E45">
        <w:rPr>
          <w:rFonts w:eastAsia="MS Mincho"/>
          <w:color w:val="auto"/>
          <w:szCs w:val="24"/>
          <w:lang w:val="en-AU" w:eastAsia="ja-JP" w:bidi="ar-SA"/>
        </w:rPr>
        <w:t>reducing the percentag</w:t>
      </w:r>
      <w:r w:rsidR="001129B8" w:rsidRPr="007A0E45">
        <w:rPr>
          <w:rFonts w:eastAsia="MS Mincho"/>
          <w:color w:val="auto"/>
          <w:szCs w:val="24"/>
          <w:lang w:val="en-AU" w:eastAsia="ja-JP" w:bidi="ar-SA"/>
        </w:rPr>
        <w:t>e</w:t>
      </w:r>
      <w:r w:rsidR="001B2427" w:rsidRPr="007A0E45">
        <w:rPr>
          <w:rFonts w:eastAsia="MS Mincho"/>
          <w:color w:val="auto"/>
          <w:szCs w:val="24"/>
          <w:lang w:val="en-AU" w:eastAsia="ja-JP" w:bidi="ar-SA"/>
        </w:rPr>
        <w:t xml:space="preserve"> to 5%</w:t>
      </w:r>
      <w:r w:rsidR="00E65493" w:rsidRPr="007A0E45">
        <w:rPr>
          <w:rFonts w:eastAsia="MS Mincho"/>
          <w:color w:val="auto"/>
          <w:szCs w:val="24"/>
          <w:lang w:val="en-AU" w:eastAsia="ja-JP" w:bidi="ar-SA"/>
        </w:rPr>
        <w:t xml:space="preserve"> under s16(b))</w:t>
      </w:r>
      <w:r w:rsidR="001B2427" w:rsidRPr="007A0E45">
        <w:rPr>
          <w:rFonts w:eastAsia="MS Mincho"/>
          <w:color w:val="auto"/>
          <w:szCs w:val="24"/>
          <w:lang w:val="en-AU" w:eastAsia="ja-JP" w:bidi="ar-SA"/>
        </w:rPr>
        <w:t>?</w:t>
      </w:r>
      <w:r w:rsidR="00521003" w:rsidRPr="007A0E45">
        <w:rPr>
          <w:rFonts w:eastAsia="MS Mincho"/>
          <w:color w:val="auto"/>
          <w:szCs w:val="24"/>
          <w:lang w:val="en-AU" w:eastAsia="ja-JP" w:bidi="ar-SA"/>
        </w:rPr>
        <w:t xml:space="preserve"> Also, the direct interest language is only used in certain components of the notifiable national security action definition. Which raises another issue: there is no proportionality in the test, so if any land subject to the security interest is national security land, you would need FIRB approval for the security interest even if that is one very minor asset in a much larger portfolio.</w:t>
      </w:r>
    </w:p>
    <w:p w:rsidR="001B2427" w:rsidRPr="007A0E45" w:rsidRDefault="00521003" w:rsidP="006D37BC">
      <w:pPr>
        <w:pStyle w:val="Bodytext20"/>
        <w:shd w:val="clear" w:color="auto" w:fill="auto"/>
        <w:spacing w:before="0" w:line="274" w:lineRule="exact"/>
        <w:ind w:firstLine="0"/>
        <w:jc w:val="left"/>
        <w:rPr>
          <w:rFonts w:eastAsia="MS Mincho"/>
          <w:color w:val="auto"/>
          <w:szCs w:val="24"/>
          <w:lang w:val="en-AU" w:eastAsia="ja-JP" w:bidi="ar-SA"/>
        </w:rPr>
      </w:pPr>
      <w:r w:rsidRPr="007A0E45">
        <w:rPr>
          <w:rFonts w:eastAsia="MS Mincho"/>
          <w:color w:val="auto"/>
          <w:szCs w:val="24"/>
          <w:lang w:val="en-AU" w:eastAsia="ja-JP" w:bidi="ar-SA"/>
        </w:rPr>
        <w:t>In addition, i</w:t>
      </w:r>
      <w:r w:rsidR="00263052" w:rsidRPr="007A0E45">
        <w:rPr>
          <w:rFonts w:eastAsia="MS Mincho"/>
          <w:color w:val="auto"/>
          <w:szCs w:val="24"/>
          <w:lang w:val="en-AU" w:eastAsia="ja-JP" w:bidi="ar-SA"/>
        </w:rPr>
        <w:t xml:space="preserve">f </w:t>
      </w:r>
      <w:r w:rsidR="001B2427" w:rsidRPr="007A0E45">
        <w:rPr>
          <w:rFonts w:eastAsia="MS Mincho"/>
          <w:color w:val="auto"/>
          <w:szCs w:val="24"/>
          <w:lang w:val="en-AU" w:eastAsia="ja-JP" w:bidi="ar-SA"/>
        </w:rPr>
        <w:t xml:space="preserve">the threshold </w:t>
      </w:r>
      <w:r w:rsidRPr="007A0E45">
        <w:rPr>
          <w:rFonts w:eastAsia="MS Mincho"/>
          <w:color w:val="auto"/>
          <w:szCs w:val="24"/>
          <w:lang w:val="en-AU" w:eastAsia="ja-JP" w:bidi="ar-SA"/>
        </w:rPr>
        <w:t xml:space="preserve">loan facility </w:t>
      </w:r>
      <w:r w:rsidR="00263052" w:rsidRPr="007A0E45">
        <w:rPr>
          <w:rFonts w:eastAsia="MS Mincho"/>
          <w:color w:val="auto"/>
          <w:szCs w:val="24"/>
          <w:lang w:val="en-AU" w:eastAsia="ja-JP" w:bidi="ar-SA"/>
        </w:rPr>
        <w:t xml:space="preserve">participation </w:t>
      </w:r>
      <w:r w:rsidR="001B2427" w:rsidRPr="007A0E45">
        <w:rPr>
          <w:rFonts w:eastAsia="MS Mincho"/>
          <w:color w:val="auto"/>
          <w:szCs w:val="24"/>
          <w:lang w:val="en-AU" w:eastAsia="ja-JP" w:bidi="ar-SA"/>
        </w:rPr>
        <w:t>requiring FIRB approval is 10%</w:t>
      </w:r>
      <w:r w:rsidR="00C333A3" w:rsidRPr="007A0E45">
        <w:rPr>
          <w:rFonts w:eastAsia="MS Mincho"/>
          <w:color w:val="auto"/>
          <w:szCs w:val="24"/>
          <w:lang w:val="en-AU" w:eastAsia="ja-JP" w:bidi="ar-SA"/>
        </w:rPr>
        <w:t xml:space="preserve"> (or 5%)</w:t>
      </w:r>
      <w:r w:rsidR="001B2427" w:rsidRPr="007A0E45">
        <w:rPr>
          <w:rFonts w:eastAsia="MS Mincho"/>
          <w:color w:val="auto"/>
          <w:szCs w:val="24"/>
          <w:lang w:val="en-AU" w:eastAsia="ja-JP" w:bidi="ar-SA"/>
        </w:rPr>
        <w:t>, you run the risk that a bank could have its percentage interest in the debt increase without any action on its part, for example where the borrower repays a different tranche of its debt. What would happen if that results in the threshold being crossed?</w:t>
      </w:r>
    </w:p>
    <w:p w:rsidR="00263052" w:rsidRPr="007A0E45" w:rsidRDefault="00263052" w:rsidP="006D37BC">
      <w:pPr>
        <w:pStyle w:val="Bodytext20"/>
        <w:shd w:val="clear" w:color="auto" w:fill="auto"/>
        <w:spacing w:before="0" w:line="274" w:lineRule="exact"/>
        <w:ind w:firstLine="0"/>
        <w:jc w:val="left"/>
        <w:rPr>
          <w:rFonts w:eastAsia="MS Mincho"/>
          <w:color w:val="auto"/>
          <w:szCs w:val="24"/>
          <w:lang w:val="en-AU" w:eastAsia="ja-JP" w:bidi="ar-SA"/>
        </w:rPr>
      </w:pPr>
      <w:r w:rsidRPr="007A0E45">
        <w:rPr>
          <w:rFonts w:eastAsia="MS Mincho"/>
          <w:color w:val="auto"/>
          <w:szCs w:val="24"/>
          <w:lang w:val="en-AU" w:eastAsia="ja-JP" w:bidi="ar-SA"/>
        </w:rPr>
        <w:t>These questions assume that the security trustee itself would only be caught</w:t>
      </w:r>
      <w:r w:rsidR="00C333A3" w:rsidRPr="007A0E45">
        <w:rPr>
          <w:rFonts w:eastAsia="MS Mincho"/>
          <w:color w:val="auto"/>
          <w:szCs w:val="24"/>
          <w:lang w:val="en-AU" w:eastAsia="ja-JP" w:bidi="ar-SA"/>
        </w:rPr>
        <w:t xml:space="preserve"> by FATA (leaving aside the moneylending exemption)</w:t>
      </w:r>
      <w:r w:rsidRPr="007A0E45">
        <w:rPr>
          <w:rFonts w:eastAsia="MS Mincho"/>
          <w:color w:val="auto"/>
          <w:szCs w:val="24"/>
          <w:lang w:val="en-AU" w:eastAsia="ja-JP" w:bidi="ar-SA"/>
        </w:rPr>
        <w:t xml:space="preserve"> if it is itself a foreign person</w:t>
      </w:r>
      <w:r w:rsidR="00C333A3" w:rsidRPr="007A0E45">
        <w:rPr>
          <w:rFonts w:eastAsia="MS Mincho"/>
          <w:color w:val="auto"/>
          <w:szCs w:val="24"/>
          <w:lang w:val="en-AU" w:eastAsia="ja-JP" w:bidi="ar-SA"/>
        </w:rPr>
        <w:t>. We are aware that other views are held on this issue, which if correct would lead to a further range of complications</w:t>
      </w:r>
      <w:r w:rsidR="009B3AE2" w:rsidRPr="007A0E45">
        <w:rPr>
          <w:rFonts w:eastAsia="MS Mincho"/>
          <w:color w:val="auto"/>
          <w:szCs w:val="24"/>
          <w:lang w:val="en-AU" w:eastAsia="ja-JP" w:bidi="ar-SA"/>
        </w:rPr>
        <w:t xml:space="preserve"> which will make it difficult to find parties willing to undertake that role</w:t>
      </w:r>
      <w:r w:rsidR="00C333A3" w:rsidRPr="007A0E45">
        <w:rPr>
          <w:rFonts w:eastAsia="MS Mincho"/>
          <w:color w:val="auto"/>
          <w:szCs w:val="24"/>
          <w:lang w:val="en-AU" w:eastAsia="ja-JP" w:bidi="ar-SA"/>
        </w:rPr>
        <w:t>.</w:t>
      </w:r>
    </w:p>
    <w:p w:rsidR="009B3AE2" w:rsidRPr="007A0E45" w:rsidRDefault="009B3AE2" w:rsidP="006D37BC">
      <w:pPr>
        <w:pStyle w:val="Bodytext20"/>
        <w:shd w:val="clear" w:color="auto" w:fill="auto"/>
        <w:spacing w:before="0" w:line="274" w:lineRule="exact"/>
        <w:ind w:firstLine="0"/>
        <w:jc w:val="left"/>
        <w:rPr>
          <w:rFonts w:eastAsia="MS Mincho"/>
          <w:color w:val="auto"/>
          <w:szCs w:val="24"/>
          <w:lang w:val="en-AU" w:eastAsia="ja-JP" w:bidi="ar-SA"/>
        </w:rPr>
      </w:pPr>
      <w:r w:rsidRPr="007A0E45">
        <w:rPr>
          <w:rFonts w:eastAsia="MS Mincho"/>
          <w:color w:val="auto"/>
          <w:szCs w:val="24"/>
          <w:lang w:val="en-AU" w:eastAsia="ja-JP" w:bidi="ar-SA"/>
        </w:rPr>
        <w:t>The security trustee is unlikely to have sufficient information about each member of the syndicate to be able to make a FIRB application on behalf of the syndicate. If the security trustee has to make applications on behalf of other entities this will considerably increase the security trustee’s workload, for which they are likely to charge increased fees. It is not clear how any application required to be made by the security trustee would sit with any ‘loan program’ exemption certificates that may have been obtained by individual syndicate banks previously. Currently when presented with documents to process a transfer of a loan interest, the security trustee and facility agent only have a discretion to decline to process the transfer if they have not completed applicable ‘know your customer’ tests. This is likely to have to change to include conditions around  FIRB approval. If the transfer cannot be processed until FIRB approval has been obtained, then the incoming foreign bank is not yet a beneficiary of the security trust. It would be illogical, and untenable, for the security trustee to make an application on behalf of someone for whom they are not yet appointed trustee. If this was the requirement, then we anticipate that other documents would have to be entered into between the security trustee and the prospective financier to authorise the security trustee to make the application, in which the foreign financier makes representations and warranties to the security trustee about the accuracy of information provided, agrees to indemnify the security trustee etc. For all these reasons we submit that it should not be the security trustee who is required to make FIRB applications in relation to syndicated loans</w:t>
      </w:r>
    </w:p>
    <w:p w:rsidR="006D37BC" w:rsidRPr="007A0E45" w:rsidRDefault="001B2427" w:rsidP="007A0E45">
      <w:pPr>
        <w:pStyle w:val="Bodytext20"/>
        <w:shd w:val="clear" w:color="auto" w:fill="auto"/>
        <w:spacing w:before="0" w:line="274" w:lineRule="exact"/>
        <w:ind w:firstLine="0"/>
        <w:jc w:val="left"/>
        <w:rPr>
          <w:rFonts w:eastAsia="MS Mincho"/>
          <w:color w:val="auto"/>
          <w:szCs w:val="24"/>
          <w:lang w:val="en-AU" w:eastAsia="ja-JP" w:bidi="ar-SA"/>
        </w:rPr>
      </w:pPr>
      <w:r w:rsidRPr="007A0E45">
        <w:rPr>
          <w:rFonts w:eastAsia="MS Mincho"/>
          <w:color w:val="auto"/>
          <w:szCs w:val="24"/>
          <w:lang w:val="en-AU" w:eastAsia="ja-JP" w:bidi="ar-SA"/>
        </w:rPr>
        <w:t xml:space="preserve">And what are the potential liabilities of the </w:t>
      </w:r>
      <w:r w:rsidR="009B3AE2" w:rsidRPr="007A0E45">
        <w:rPr>
          <w:rFonts w:eastAsia="MS Mincho"/>
          <w:color w:val="auto"/>
          <w:szCs w:val="24"/>
          <w:lang w:val="en-AU" w:eastAsia="ja-JP" w:bidi="ar-SA"/>
        </w:rPr>
        <w:t>f</w:t>
      </w:r>
      <w:r w:rsidR="006D37BC" w:rsidRPr="007A0E45">
        <w:rPr>
          <w:rFonts w:eastAsia="MS Mincho"/>
          <w:color w:val="auto"/>
          <w:szCs w:val="24"/>
          <w:lang w:val="en-AU" w:eastAsia="ja-JP" w:bidi="ar-SA"/>
        </w:rPr>
        <w:t xml:space="preserve">acility </w:t>
      </w:r>
      <w:r w:rsidR="009B3AE2" w:rsidRPr="007A0E45">
        <w:rPr>
          <w:rFonts w:eastAsia="MS Mincho"/>
          <w:color w:val="auto"/>
          <w:szCs w:val="24"/>
          <w:lang w:val="en-AU" w:eastAsia="ja-JP" w:bidi="ar-SA"/>
        </w:rPr>
        <w:t>a</w:t>
      </w:r>
      <w:r w:rsidR="006D37BC" w:rsidRPr="007A0E45">
        <w:rPr>
          <w:rFonts w:eastAsia="MS Mincho"/>
          <w:color w:val="auto"/>
          <w:szCs w:val="24"/>
          <w:lang w:val="en-AU" w:eastAsia="ja-JP" w:bidi="ar-SA"/>
        </w:rPr>
        <w:t>gent</w:t>
      </w:r>
      <w:r w:rsidR="001129B8" w:rsidRPr="007A0E45">
        <w:rPr>
          <w:rFonts w:eastAsia="MS Mincho"/>
          <w:color w:val="auto"/>
          <w:szCs w:val="24"/>
          <w:lang w:val="en-AU" w:eastAsia="ja-JP" w:bidi="ar-SA"/>
        </w:rPr>
        <w:t xml:space="preserve"> and the </w:t>
      </w:r>
      <w:r w:rsidR="009B3AE2" w:rsidRPr="007A0E45">
        <w:rPr>
          <w:rFonts w:eastAsia="MS Mincho"/>
          <w:color w:val="auto"/>
          <w:szCs w:val="24"/>
          <w:lang w:val="en-AU" w:eastAsia="ja-JP" w:bidi="ar-SA"/>
        </w:rPr>
        <w:t>s</w:t>
      </w:r>
      <w:r w:rsidR="001129B8" w:rsidRPr="007A0E45">
        <w:rPr>
          <w:rFonts w:eastAsia="MS Mincho"/>
          <w:color w:val="auto"/>
          <w:szCs w:val="24"/>
          <w:lang w:val="en-AU" w:eastAsia="ja-JP" w:bidi="ar-SA"/>
        </w:rPr>
        <w:t xml:space="preserve">ecurity </w:t>
      </w:r>
      <w:r w:rsidR="009B3AE2" w:rsidRPr="007A0E45">
        <w:rPr>
          <w:rFonts w:eastAsia="MS Mincho"/>
          <w:color w:val="auto"/>
          <w:szCs w:val="24"/>
          <w:lang w:val="en-AU" w:eastAsia="ja-JP" w:bidi="ar-SA"/>
        </w:rPr>
        <w:t>t</w:t>
      </w:r>
      <w:r w:rsidR="001129B8" w:rsidRPr="007A0E45">
        <w:rPr>
          <w:rFonts w:eastAsia="MS Mincho"/>
          <w:color w:val="auto"/>
          <w:szCs w:val="24"/>
          <w:lang w:val="en-AU" w:eastAsia="ja-JP" w:bidi="ar-SA"/>
        </w:rPr>
        <w:t>rustee</w:t>
      </w:r>
      <w:r w:rsidR="006D37BC" w:rsidRPr="007A0E45">
        <w:rPr>
          <w:rFonts w:eastAsia="MS Mincho"/>
          <w:color w:val="auto"/>
          <w:szCs w:val="24"/>
          <w:lang w:val="en-AU" w:eastAsia="ja-JP" w:bidi="ar-SA"/>
        </w:rPr>
        <w:t xml:space="preserve"> if they </w:t>
      </w:r>
      <w:r w:rsidR="001129B8" w:rsidRPr="007A0E45">
        <w:rPr>
          <w:rFonts w:eastAsia="MS Mincho"/>
          <w:color w:val="auto"/>
          <w:szCs w:val="24"/>
          <w:lang w:val="en-AU" w:eastAsia="ja-JP" w:bidi="ar-SA"/>
        </w:rPr>
        <w:t xml:space="preserve">process a </w:t>
      </w:r>
      <w:r w:rsidR="006D37BC" w:rsidRPr="007A0E45">
        <w:rPr>
          <w:rFonts w:eastAsia="MS Mincho"/>
          <w:color w:val="auto"/>
          <w:szCs w:val="24"/>
          <w:lang w:val="en-AU" w:eastAsia="ja-JP" w:bidi="ar-SA"/>
        </w:rPr>
        <w:t xml:space="preserve">transfer </w:t>
      </w:r>
      <w:r w:rsidR="001129B8" w:rsidRPr="007A0E45">
        <w:rPr>
          <w:rFonts w:eastAsia="MS Mincho"/>
          <w:color w:val="auto"/>
          <w:szCs w:val="24"/>
          <w:lang w:val="en-AU" w:eastAsia="ja-JP" w:bidi="ar-SA"/>
        </w:rPr>
        <w:t xml:space="preserve">of </w:t>
      </w:r>
      <w:r w:rsidR="006D37BC" w:rsidRPr="007A0E45">
        <w:rPr>
          <w:rFonts w:eastAsia="MS Mincho"/>
          <w:color w:val="auto"/>
          <w:szCs w:val="24"/>
          <w:lang w:val="en-AU" w:eastAsia="ja-JP" w:bidi="ar-SA"/>
        </w:rPr>
        <w:t>a</w:t>
      </w:r>
      <w:r w:rsidR="001129B8" w:rsidRPr="007A0E45">
        <w:rPr>
          <w:rFonts w:eastAsia="MS Mincho"/>
          <w:color w:val="auto"/>
          <w:szCs w:val="24"/>
          <w:lang w:val="en-AU" w:eastAsia="ja-JP" w:bidi="ar-SA"/>
        </w:rPr>
        <w:t xml:space="preserve"> loan</w:t>
      </w:r>
      <w:r w:rsidR="006D37BC" w:rsidRPr="007A0E45">
        <w:rPr>
          <w:rFonts w:eastAsia="MS Mincho"/>
          <w:color w:val="auto"/>
          <w:szCs w:val="24"/>
          <w:lang w:val="en-AU" w:eastAsia="ja-JP" w:bidi="ar-SA"/>
        </w:rPr>
        <w:t xml:space="preserve"> interest from one </w:t>
      </w:r>
      <w:r w:rsidR="001129B8" w:rsidRPr="007A0E45">
        <w:rPr>
          <w:rFonts w:eastAsia="MS Mincho"/>
          <w:color w:val="auto"/>
          <w:szCs w:val="24"/>
          <w:lang w:val="en-AU" w:eastAsia="ja-JP" w:bidi="ar-SA"/>
        </w:rPr>
        <w:t>financier</w:t>
      </w:r>
      <w:r w:rsidR="006D37BC" w:rsidRPr="007A0E45">
        <w:rPr>
          <w:rFonts w:eastAsia="MS Mincho"/>
          <w:color w:val="auto"/>
          <w:szCs w:val="24"/>
          <w:lang w:val="en-AU" w:eastAsia="ja-JP" w:bidi="ar-SA"/>
        </w:rPr>
        <w:t xml:space="preserve"> to another </w:t>
      </w:r>
      <w:r w:rsidR="001129B8" w:rsidRPr="007A0E45">
        <w:rPr>
          <w:rFonts w:eastAsia="MS Mincho"/>
          <w:color w:val="auto"/>
          <w:szCs w:val="24"/>
          <w:lang w:val="en-AU" w:eastAsia="ja-JP" w:bidi="ar-SA"/>
        </w:rPr>
        <w:t>where unbeknownst to them the new financier requires (and has not obtained) an exemption from</w:t>
      </w:r>
      <w:r w:rsidR="006D37BC" w:rsidRPr="007A0E45">
        <w:rPr>
          <w:rFonts w:eastAsia="MS Mincho"/>
          <w:color w:val="auto"/>
          <w:szCs w:val="24"/>
          <w:lang w:val="en-AU" w:eastAsia="ja-JP" w:bidi="ar-SA"/>
        </w:rPr>
        <w:t xml:space="preserve"> FIRB? </w:t>
      </w:r>
    </w:p>
    <w:p w:rsidR="00E65493" w:rsidRPr="007A0E45" w:rsidRDefault="00E65493" w:rsidP="007A0E45">
      <w:pPr>
        <w:pStyle w:val="Bodytext20"/>
        <w:shd w:val="clear" w:color="auto" w:fill="auto"/>
        <w:spacing w:before="0" w:line="274" w:lineRule="exact"/>
        <w:ind w:firstLine="0"/>
        <w:jc w:val="left"/>
        <w:rPr>
          <w:rFonts w:eastAsia="MS Mincho"/>
          <w:color w:val="auto"/>
          <w:szCs w:val="24"/>
          <w:lang w:val="en-AU" w:eastAsia="ja-JP" w:bidi="ar-SA"/>
        </w:rPr>
      </w:pPr>
      <w:r w:rsidRPr="007A0E45">
        <w:rPr>
          <w:rFonts w:eastAsia="MS Mincho"/>
          <w:color w:val="auto"/>
          <w:szCs w:val="24"/>
          <w:lang w:val="en-AU" w:eastAsia="ja-JP" w:bidi="ar-SA"/>
        </w:rPr>
        <w:t xml:space="preserve">We suggest </w:t>
      </w:r>
      <w:r w:rsidR="00263052" w:rsidRPr="007A0E45">
        <w:rPr>
          <w:rFonts w:eastAsia="MS Mincho"/>
          <w:color w:val="auto"/>
          <w:szCs w:val="24"/>
          <w:lang w:val="en-AU" w:eastAsia="ja-JP" w:bidi="ar-SA"/>
        </w:rPr>
        <w:t xml:space="preserve">these uncertainties and potential complications demonstrate that </w:t>
      </w:r>
      <w:r w:rsidRPr="007A0E45">
        <w:rPr>
          <w:rFonts w:eastAsia="MS Mincho"/>
          <w:color w:val="auto"/>
          <w:szCs w:val="24"/>
          <w:lang w:val="en-AU" w:eastAsia="ja-JP" w:bidi="ar-SA"/>
        </w:rPr>
        <w:t>the FIRB legislation and regulations are not well suited to dealing with loan securities, another reason to retain the moneylending exemption.</w:t>
      </w:r>
    </w:p>
    <w:p w:rsidR="00B70E71" w:rsidRPr="007A0E45" w:rsidRDefault="00B70E71" w:rsidP="007A0E45">
      <w:pPr>
        <w:widowControl/>
        <w:spacing w:after="90" w:line="260" w:lineRule="atLeast"/>
        <w:rPr>
          <w:rFonts w:ascii="Arial" w:eastAsia="MS Mincho" w:hAnsi="Arial" w:cs="Arial"/>
          <w:b/>
          <w:bCs/>
          <w:color w:val="auto"/>
          <w:sz w:val="20"/>
          <w:szCs w:val="20"/>
          <w:lang w:val="en-AU" w:eastAsia="ja-JP" w:bidi="ar-SA"/>
        </w:rPr>
      </w:pPr>
      <w:r w:rsidRPr="007A0E45">
        <w:rPr>
          <w:rFonts w:ascii="Arial" w:eastAsia="MS Mincho" w:hAnsi="Arial" w:cs="Arial"/>
          <w:b/>
          <w:bCs/>
          <w:color w:val="auto"/>
          <w:sz w:val="20"/>
          <w:szCs w:val="20"/>
          <w:lang w:val="en-AU" w:eastAsia="ja-JP" w:bidi="ar-SA"/>
        </w:rPr>
        <w:t>3. Transitional arrangements</w:t>
      </w:r>
    </w:p>
    <w:p w:rsidR="00464FB7" w:rsidRPr="007A0E45" w:rsidRDefault="00B70E71" w:rsidP="007A0E45">
      <w:pPr>
        <w:pStyle w:val="Bodytext20"/>
        <w:shd w:val="clear" w:color="auto" w:fill="auto"/>
        <w:spacing w:before="0" w:line="274" w:lineRule="exact"/>
        <w:ind w:firstLine="0"/>
        <w:jc w:val="left"/>
        <w:rPr>
          <w:rFonts w:eastAsia="MS Mincho"/>
          <w:color w:val="auto"/>
          <w:szCs w:val="24"/>
          <w:lang w:val="en-AU" w:eastAsia="ja-JP" w:bidi="ar-SA"/>
        </w:rPr>
      </w:pPr>
      <w:r w:rsidRPr="007A0E45">
        <w:rPr>
          <w:rFonts w:eastAsia="MS Mincho"/>
          <w:color w:val="auto"/>
          <w:szCs w:val="24"/>
          <w:lang w:val="en-AU" w:eastAsia="ja-JP" w:bidi="ar-SA"/>
        </w:rPr>
        <w:t>Due to the very short consultation period these comments have been prepared in haste</w:t>
      </w:r>
      <w:r w:rsidR="00464FB7" w:rsidRPr="007A0E45">
        <w:rPr>
          <w:rFonts w:eastAsia="MS Mincho"/>
          <w:color w:val="auto"/>
          <w:szCs w:val="24"/>
          <w:lang w:val="en-AU" w:eastAsia="ja-JP" w:bidi="ar-SA"/>
        </w:rPr>
        <w:t>, without the benefit of sector wide consultations, and we may not have been able to identify all of the implications of this proposed very significant change</w:t>
      </w:r>
      <w:r w:rsidRPr="007A0E45">
        <w:rPr>
          <w:rFonts w:eastAsia="MS Mincho"/>
          <w:color w:val="auto"/>
          <w:szCs w:val="24"/>
          <w:lang w:val="en-AU" w:eastAsia="ja-JP" w:bidi="ar-SA"/>
        </w:rPr>
        <w:t xml:space="preserve">. </w:t>
      </w:r>
    </w:p>
    <w:p w:rsidR="00B70E71" w:rsidRPr="007A0E45" w:rsidRDefault="00464FB7" w:rsidP="007A0E45">
      <w:pPr>
        <w:pStyle w:val="Bodytext20"/>
        <w:shd w:val="clear" w:color="auto" w:fill="auto"/>
        <w:spacing w:before="0" w:line="274" w:lineRule="exact"/>
        <w:ind w:firstLine="0"/>
        <w:jc w:val="left"/>
        <w:rPr>
          <w:rFonts w:eastAsia="MS Mincho"/>
          <w:b/>
          <w:bCs/>
          <w:color w:val="auto"/>
          <w:lang w:val="en-AU" w:eastAsia="ja-JP" w:bidi="ar-SA"/>
        </w:rPr>
      </w:pPr>
      <w:r w:rsidRPr="007A0E45">
        <w:rPr>
          <w:rFonts w:eastAsia="MS Mincho"/>
          <w:color w:val="auto"/>
          <w:szCs w:val="24"/>
          <w:lang w:val="en-AU" w:eastAsia="ja-JP" w:bidi="ar-SA"/>
        </w:rPr>
        <w:t>If the Government does proceed with the</w:t>
      </w:r>
      <w:r w:rsidR="00B70E71" w:rsidRPr="007A0E45">
        <w:rPr>
          <w:rFonts w:eastAsia="MS Mincho"/>
          <w:color w:val="auto"/>
          <w:szCs w:val="24"/>
          <w:lang w:val="en-AU" w:eastAsia="ja-JP" w:bidi="ar-SA"/>
        </w:rPr>
        <w:t xml:space="preserve"> reforms as proposed, financiers will need a </w:t>
      </w:r>
      <w:r w:rsidRPr="007A0E45">
        <w:rPr>
          <w:rFonts w:eastAsia="MS Mincho"/>
          <w:color w:val="auto"/>
          <w:szCs w:val="24"/>
          <w:lang w:val="en-AU" w:eastAsia="ja-JP" w:bidi="ar-SA"/>
        </w:rPr>
        <w:t xml:space="preserve">reasonable period to get on top of the proposed 'lending program' exemption certificates and to </w:t>
      </w:r>
      <w:r w:rsidR="00B70E71" w:rsidRPr="007A0E45">
        <w:rPr>
          <w:rFonts w:eastAsia="MS Mincho"/>
          <w:color w:val="auto"/>
          <w:szCs w:val="24"/>
          <w:lang w:val="en-AU" w:eastAsia="ja-JP" w:bidi="ar-SA"/>
        </w:rPr>
        <w:t xml:space="preserve">familiarise </w:t>
      </w:r>
      <w:r w:rsidRPr="007A0E45">
        <w:rPr>
          <w:rFonts w:eastAsia="MS Mincho"/>
          <w:color w:val="auto"/>
          <w:szCs w:val="24"/>
          <w:lang w:val="en-AU" w:eastAsia="ja-JP" w:bidi="ar-SA"/>
        </w:rPr>
        <w:t xml:space="preserve">offshore participants in the loan syndication markets </w:t>
      </w:r>
      <w:r w:rsidR="00B70E71" w:rsidRPr="007A0E45">
        <w:rPr>
          <w:rFonts w:eastAsia="MS Mincho"/>
          <w:color w:val="auto"/>
          <w:szCs w:val="24"/>
          <w:lang w:val="en-AU" w:eastAsia="ja-JP" w:bidi="ar-SA"/>
        </w:rPr>
        <w:t>with</w:t>
      </w:r>
      <w:r w:rsidR="00B70E71" w:rsidRPr="007A0E45">
        <w:rPr>
          <w:rFonts w:eastAsia="MS Mincho"/>
          <w:color w:val="auto"/>
          <w:lang w:val="en-AU" w:eastAsia="ja-JP" w:bidi="ar-SA"/>
        </w:rPr>
        <w:t xml:space="preserve"> the</w:t>
      </w:r>
      <w:r w:rsidRPr="007A0E45">
        <w:rPr>
          <w:rFonts w:eastAsia="MS Mincho"/>
          <w:color w:val="auto"/>
          <w:lang w:val="en-AU" w:eastAsia="ja-JP" w:bidi="ar-SA"/>
        </w:rPr>
        <w:t xml:space="preserve"> new regime and the</w:t>
      </w:r>
      <w:r w:rsidR="00B70E71" w:rsidRPr="007A0E45">
        <w:rPr>
          <w:rFonts w:eastAsia="MS Mincho"/>
          <w:color w:val="auto"/>
          <w:lang w:val="en-AU" w:eastAsia="ja-JP" w:bidi="ar-SA"/>
        </w:rPr>
        <w:t xml:space="preserve"> FIRB review processes themselves. </w:t>
      </w:r>
      <w:r w:rsidRPr="007A0E45">
        <w:rPr>
          <w:rFonts w:eastAsia="MS Mincho"/>
          <w:color w:val="auto"/>
          <w:lang w:val="en-AU" w:eastAsia="ja-JP" w:bidi="ar-SA"/>
        </w:rPr>
        <w:t>The APLMA anticipates that a substantial delay in the proposed commencement date would be required to avoid major disruptions.</w:t>
      </w:r>
      <w:r w:rsidR="00A7060C" w:rsidRPr="007A0E45">
        <w:rPr>
          <w:rFonts w:eastAsia="MS Mincho"/>
          <w:color w:val="auto"/>
          <w:lang w:val="en-AU" w:eastAsia="ja-JP" w:bidi="ar-SA"/>
        </w:rPr>
        <w:t xml:space="preserve"> Further, given the frequency of trading of participations in loans and bonds, it would be important to grandfather existing security interests, so that interests acquired under them after commencement continue to benefit from the moneylending exemption.</w:t>
      </w:r>
    </w:p>
    <w:p w:rsidR="009E6249" w:rsidRPr="007A0E45" w:rsidRDefault="00B70E71" w:rsidP="007A0E45">
      <w:pPr>
        <w:widowControl/>
        <w:spacing w:after="90" w:line="260" w:lineRule="atLeast"/>
        <w:rPr>
          <w:rFonts w:ascii="Arial" w:eastAsia="MS Mincho" w:hAnsi="Arial" w:cs="Arial"/>
          <w:b/>
          <w:bCs/>
          <w:color w:val="auto"/>
          <w:sz w:val="20"/>
          <w:szCs w:val="20"/>
          <w:lang w:val="en-AU" w:eastAsia="ja-JP" w:bidi="ar-SA"/>
        </w:rPr>
      </w:pPr>
      <w:r w:rsidRPr="007A0E45">
        <w:rPr>
          <w:rFonts w:ascii="Arial" w:eastAsia="MS Mincho" w:hAnsi="Arial" w:cs="Arial"/>
          <w:b/>
          <w:bCs/>
          <w:color w:val="auto"/>
          <w:sz w:val="20"/>
          <w:szCs w:val="20"/>
          <w:lang w:val="en-AU" w:eastAsia="ja-JP" w:bidi="ar-SA"/>
        </w:rPr>
        <w:t xml:space="preserve">4. </w:t>
      </w:r>
      <w:r w:rsidR="001B2427" w:rsidRPr="007A0E45">
        <w:rPr>
          <w:rFonts w:ascii="Arial" w:eastAsia="MS Mincho" w:hAnsi="Arial" w:cs="Arial"/>
          <w:b/>
          <w:bCs/>
          <w:color w:val="auto"/>
          <w:sz w:val="20"/>
          <w:szCs w:val="20"/>
          <w:lang w:val="en-AU" w:eastAsia="ja-JP" w:bidi="ar-SA"/>
        </w:rPr>
        <w:t>Security of Critical Infrastructure Act reminder</w:t>
      </w:r>
    </w:p>
    <w:p w:rsidR="00EC7BD3" w:rsidRPr="007A0E45" w:rsidRDefault="001B2427" w:rsidP="00EC7BD3">
      <w:pPr>
        <w:widowControl/>
        <w:spacing w:line="260" w:lineRule="atLeast"/>
        <w:rPr>
          <w:rFonts w:ascii="Arial" w:eastAsia="MS Mincho" w:hAnsi="Arial" w:cs="Arial"/>
          <w:color w:val="auto"/>
          <w:sz w:val="18"/>
          <w:szCs w:val="18"/>
          <w:lang w:val="en-AU" w:eastAsia="ja-JP" w:bidi="ar-SA"/>
        </w:rPr>
      </w:pPr>
      <w:r w:rsidRPr="007A0E45">
        <w:rPr>
          <w:rFonts w:ascii="Arial" w:eastAsia="MS Mincho" w:hAnsi="Arial" w:cs="Arial"/>
          <w:color w:val="auto"/>
          <w:sz w:val="18"/>
          <w:szCs w:val="18"/>
          <w:lang w:val="en-AU" w:eastAsia="ja-JP" w:bidi="ar-SA"/>
        </w:rPr>
        <w:t>W</w:t>
      </w:r>
      <w:r w:rsidR="00BC5AE4" w:rsidRPr="007A0E45">
        <w:rPr>
          <w:rFonts w:ascii="Arial" w:eastAsia="MS Mincho" w:hAnsi="Arial" w:cs="Arial"/>
          <w:color w:val="auto"/>
          <w:sz w:val="18"/>
          <w:szCs w:val="18"/>
          <w:lang w:val="en-AU" w:eastAsia="ja-JP" w:bidi="ar-SA"/>
        </w:rPr>
        <w:t xml:space="preserve">e take this opportunity to reiterate a particular concern for financiers, that under s10A(2)(b) of FATR (under the draft amendments) the business of the holding (and buying and selling) by a financier of debt secured over critical infrastructure will itself be a 'national security business'. This is the unintended consequence of the drafting of the moneylenders exception in the </w:t>
      </w:r>
      <w:bookmarkStart w:id="3" w:name="_Hlk52373005"/>
      <w:r w:rsidR="00BC5AE4" w:rsidRPr="007A0E45">
        <w:rPr>
          <w:rFonts w:ascii="Arial" w:eastAsia="MS Mincho" w:hAnsi="Arial" w:cs="Arial"/>
          <w:color w:val="auto"/>
          <w:sz w:val="18"/>
          <w:szCs w:val="18"/>
          <w:lang w:val="en-AU" w:eastAsia="ja-JP" w:bidi="ar-SA"/>
        </w:rPr>
        <w:t>Security of Critical Infrastructure Act</w:t>
      </w:r>
      <w:bookmarkEnd w:id="3"/>
      <w:r w:rsidR="00BC5AE4" w:rsidRPr="007A0E45">
        <w:rPr>
          <w:rFonts w:ascii="Arial" w:eastAsia="MS Mincho" w:hAnsi="Arial" w:cs="Arial"/>
          <w:color w:val="auto"/>
          <w:sz w:val="18"/>
          <w:szCs w:val="18"/>
          <w:lang w:val="en-AU" w:eastAsia="ja-JP" w:bidi="ar-SA"/>
        </w:rPr>
        <w:t>, which is explained in the letter from the APLMA to the Minister for Home Affairs dated 20 December 2018. We also provided you with the Minister's response confirming that this was not the intention. That difficulty has not yet been rectified, and it will be exacerbated considerably if the moneylend</w:t>
      </w:r>
      <w:r w:rsidR="00464FB7" w:rsidRPr="007A0E45">
        <w:rPr>
          <w:rFonts w:ascii="Arial" w:eastAsia="MS Mincho" w:hAnsi="Arial" w:cs="Arial"/>
          <w:color w:val="auto"/>
          <w:sz w:val="18"/>
          <w:szCs w:val="18"/>
          <w:lang w:val="en-AU" w:eastAsia="ja-JP" w:bidi="ar-SA"/>
        </w:rPr>
        <w:t>ing</w:t>
      </w:r>
      <w:r w:rsidR="00BC5AE4" w:rsidRPr="007A0E45">
        <w:rPr>
          <w:rFonts w:ascii="Arial" w:eastAsia="MS Mincho" w:hAnsi="Arial" w:cs="Arial"/>
          <w:color w:val="auto"/>
          <w:sz w:val="18"/>
          <w:szCs w:val="18"/>
          <w:lang w:val="en-AU" w:eastAsia="ja-JP" w:bidi="ar-SA"/>
        </w:rPr>
        <w:t xml:space="preserve"> exemption under s27 of FATR is not to apply to security over a national security business.</w:t>
      </w:r>
    </w:p>
    <w:p w:rsidR="001A7B13" w:rsidRDefault="001A7B13" w:rsidP="00EC7BD3">
      <w:pPr>
        <w:widowControl/>
        <w:spacing w:line="260" w:lineRule="atLeast"/>
        <w:rPr>
          <w:rFonts w:ascii="Roboto" w:eastAsia="MS Mincho" w:hAnsi="Roboto"/>
          <w:color w:val="auto"/>
          <w:sz w:val="18"/>
          <w:szCs w:val="18"/>
          <w:lang w:val="en-AU" w:eastAsia="ja-JP" w:bidi="ar-SA"/>
        </w:rPr>
      </w:pPr>
    </w:p>
    <w:p w:rsidR="007A0E45" w:rsidRDefault="007A0E45">
      <w:pPr>
        <w:rPr>
          <w:rFonts w:ascii="Roboto" w:eastAsia="MS Mincho" w:hAnsi="Roboto"/>
          <w:color w:val="auto"/>
          <w:sz w:val="18"/>
          <w:szCs w:val="18"/>
          <w:lang w:val="en-AU" w:eastAsia="ja-JP" w:bidi="ar-SA"/>
        </w:rPr>
      </w:pPr>
      <w:r>
        <w:rPr>
          <w:rFonts w:ascii="Roboto" w:eastAsia="MS Mincho" w:hAnsi="Roboto"/>
          <w:color w:val="auto"/>
          <w:sz w:val="18"/>
          <w:szCs w:val="18"/>
          <w:lang w:val="en-AU" w:eastAsia="ja-JP" w:bidi="ar-SA"/>
        </w:rPr>
        <w:br w:type="page"/>
      </w:r>
    </w:p>
    <w:p w:rsidR="00EC7BD3" w:rsidRPr="0063644B" w:rsidRDefault="00215E75" w:rsidP="00EC7BD3">
      <w:pPr>
        <w:widowControl/>
        <w:spacing w:line="260" w:lineRule="atLeast"/>
        <w:rPr>
          <w:rFonts w:ascii="Arial" w:eastAsia="MS Mincho" w:hAnsi="Arial" w:cs="Arial"/>
          <w:color w:val="auto"/>
          <w:sz w:val="18"/>
          <w:szCs w:val="18"/>
          <w:lang w:val="en-AU" w:eastAsia="ja-JP" w:bidi="ar-SA"/>
        </w:rPr>
      </w:pPr>
      <w:r w:rsidRPr="0063644B">
        <w:rPr>
          <w:rFonts w:ascii="Arial" w:eastAsia="MS Mincho" w:hAnsi="Arial" w:cs="Arial"/>
          <w:color w:val="auto"/>
          <w:sz w:val="18"/>
          <w:szCs w:val="18"/>
          <w:lang w:val="en-AU" w:eastAsia="ja-JP" w:bidi="ar-SA"/>
        </w:rPr>
        <w:t>W</w:t>
      </w:r>
      <w:r w:rsidR="00FF270A" w:rsidRPr="0063644B">
        <w:rPr>
          <w:rFonts w:ascii="Arial" w:eastAsia="MS Mincho" w:hAnsi="Arial" w:cs="Arial"/>
          <w:color w:val="auto"/>
          <w:sz w:val="18"/>
          <w:szCs w:val="18"/>
          <w:lang w:val="en-AU" w:eastAsia="ja-JP" w:bidi="ar-SA"/>
        </w:rPr>
        <w:t>e would be happy t</w:t>
      </w:r>
      <w:r w:rsidR="007D2B06" w:rsidRPr="0063644B">
        <w:rPr>
          <w:rFonts w:ascii="Arial" w:eastAsia="MS Mincho" w:hAnsi="Arial" w:cs="Arial"/>
          <w:color w:val="auto"/>
          <w:sz w:val="18"/>
          <w:szCs w:val="18"/>
          <w:lang w:val="en-AU" w:eastAsia="ja-JP" w:bidi="ar-SA"/>
        </w:rPr>
        <w:t xml:space="preserve">o </w:t>
      </w:r>
      <w:r w:rsidR="00FF270A" w:rsidRPr="0063644B">
        <w:rPr>
          <w:rFonts w:ascii="Arial" w:eastAsia="MS Mincho" w:hAnsi="Arial" w:cs="Arial"/>
          <w:color w:val="auto"/>
          <w:sz w:val="18"/>
          <w:szCs w:val="18"/>
          <w:lang w:val="en-AU" w:eastAsia="ja-JP" w:bidi="ar-SA"/>
        </w:rPr>
        <w:t>discuss any aspect of the above submis</w:t>
      </w:r>
      <w:r w:rsidR="007D2B06" w:rsidRPr="0063644B">
        <w:rPr>
          <w:rFonts w:ascii="Arial" w:eastAsia="MS Mincho" w:hAnsi="Arial" w:cs="Arial"/>
          <w:color w:val="auto"/>
          <w:sz w:val="18"/>
          <w:szCs w:val="18"/>
          <w:lang w:val="en-AU" w:eastAsia="ja-JP" w:bidi="ar-SA"/>
        </w:rPr>
        <w:t>sion</w:t>
      </w:r>
      <w:r w:rsidR="00FF270A" w:rsidRPr="0063644B">
        <w:rPr>
          <w:rFonts w:ascii="Arial" w:eastAsia="MS Mincho" w:hAnsi="Arial" w:cs="Arial"/>
          <w:color w:val="auto"/>
          <w:sz w:val="18"/>
          <w:szCs w:val="18"/>
          <w:lang w:val="en-AU" w:eastAsia="ja-JP" w:bidi="ar-SA"/>
        </w:rPr>
        <w:t>.</w:t>
      </w:r>
    </w:p>
    <w:p w:rsidR="00EC7BD3" w:rsidRPr="0063644B" w:rsidRDefault="00EC7BD3" w:rsidP="00EC7BD3">
      <w:pPr>
        <w:widowControl/>
        <w:spacing w:line="260" w:lineRule="atLeast"/>
        <w:rPr>
          <w:rFonts w:ascii="Arial" w:eastAsia="MS Mincho" w:hAnsi="Arial" w:cs="Arial"/>
          <w:color w:val="auto"/>
          <w:sz w:val="18"/>
          <w:szCs w:val="18"/>
          <w:lang w:val="en-AU" w:eastAsia="ja-JP" w:bidi="ar-SA"/>
        </w:rPr>
      </w:pPr>
    </w:p>
    <w:p w:rsidR="003F0772" w:rsidRDefault="00A305DA">
      <w:pPr>
        <w:pStyle w:val="Bodytext20"/>
        <w:shd w:val="clear" w:color="auto" w:fill="auto"/>
        <w:spacing w:before="0" w:after="388"/>
        <w:ind w:firstLine="0"/>
        <w:jc w:val="left"/>
      </w:pPr>
      <w:r w:rsidRPr="0063644B">
        <w:t xml:space="preserve">Yours </w:t>
      </w:r>
      <w:r w:rsidR="009E6249" w:rsidRPr="0063644B">
        <w:t>faithfully</w:t>
      </w:r>
    </w:p>
    <w:tbl>
      <w:tblPr>
        <w:tblW w:w="9673" w:type="dxa"/>
        <w:tblInd w:w="-34" w:type="dxa"/>
        <w:tblLayout w:type="fixed"/>
        <w:tblLook w:val="0000" w:firstRow="0" w:lastRow="0" w:firstColumn="0" w:lastColumn="0" w:noHBand="0" w:noVBand="0"/>
      </w:tblPr>
      <w:tblGrid>
        <w:gridCol w:w="4678"/>
        <w:gridCol w:w="4995"/>
      </w:tblGrid>
      <w:tr w:rsidR="0010094C" w:rsidRPr="0063644B" w:rsidTr="007A0E45">
        <w:trPr>
          <w:cantSplit/>
        </w:trPr>
        <w:tc>
          <w:tcPr>
            <w:tcW w:w="4678" w:type="dxa"/>
            <w:shd w:val="clear" w:color="auto" w:fill="auto"/>
          </w:tcPr>
          <w:p w:rsidR="0009535A" w:rsidRDefault="0009535A" w:rsidP="0010094C">
            <w:pPr>
              <w:widowControl/>
              <w:rPr>
                <w:rFonts w:ascii="Arial" w:hAnsi="Arial" w:cs="Arial"/>
                <w:color w:val="auto"/>
                <w:sz w:val="20"/>
                <w:szCs w:val="20"/>
                <w:lang w:val="en-AU"/>
              </w:rPr>
            </w:pPr>
            <w:bookmarkStart w:id="4" w:name="LetterAuthorTable"/>
            <w:r>
              <w:rPr>
                <w:noProof/>
                <w:lang w:val="en-AU" w:eastAsia="en-AU" w:bidi="ar-SA"/>
              </w:rPr>
              <w:drawing>
                <wp:inline distT="0" distB="0" distL="0" distR="0" wp14:anchorId="4B638936" wp14:editId="4493C238">
                  <wp:extent cx="1296152" cy="5344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519" cy="577451"/>
                          </a:xfrm>
                          <a:prstGeom prst="rect">
                            <a:avLst/>
                          </a:prstGeom>
                          <a:noFill/>
                        </pic:spPr>
                      </pic:pic>
                    </a:graphicData>
                  </a:graphic>
                </wp:inline>
              </w:drawing>
            </w:r>
          </w:p>
          <w:p w:rsidR="0010094C" w:rsidRPr="0063644B" w:rsidRDefault="007D2B06" w:rsidP="0010094C">
            <w:pPr>
              <w:widowControl/>
              <w:rPr>
                <w:rFonts w:ascii="Arial" w:hAnsi="Arial" w:cs="Arial"/>
                <w:color w:val="auto"/>
                <w:sz w:val="20"/>
                <w:szCs w:val="20"/>
                <w:lang w:val="en-AU"/>
              </w:rPr>
            </w:pPr>
            <w:r w:rsidRPr="0063644B">
              <w:rPr>
                <w:rFonts w:ascii="Arial" w:hAnsi="Arial" w:cs="Arial"/>
                <w:color w:val="auto"/>
                <w:sz w:val="20"/>
                <w:szCs w:val="20"/>
                <w:lang w:val="en-AU"/>
              </w:rPr>
              <w:t>Andrew McDermott</w:t>
            </w:r>
            <w:r w:rsidR="0010094C" w:rsidRPr="0063644B">
              <w:rPr>
                <w:rFonts w:ascii="Arial" w:hAnsi="Arial" w:cs="Arial"/>
                <w:color w:val="auto"/>
                <w:sz w:val="20"/>
                <w:szCs w:val="20"/>
                <w:lang w:val="en-AU"/>
              </w:rPr>
              <w:t xml:space="preserve"> | </w:t>
            </w:r>
            <w:r w:rsidRPr="0063644B">
              <w:rPr>
                <w:rFonts w:ascii="Arial" w:hAnsi="Arial" w:cs="Arial"/>
                <w:color w:val="auto"/>
                <w:sz w:val="20"/>
                <w:szCs w:val="20"/>
                <w:lang w:val="en-AU"/>
              </w:rPr>
              <w:t>Chair</w:t>
            </w:r>
          </w:p>
          <w:p w:rsidR="0010094C" w:rsidRPr="0063644B" w:rsidRDefault="007D2B06" w:rsidP="0010094C">
            <w:pPr>
              <w:widowControl/>
              <w:rPr>
                <w:rFonts w:ascii="Arial" w:hAnsi="Arial" w:cs="Arial"/>
                <w:color w:val="auto"/>
                <w:sz w:val="20"/>
                <w:szCs w:val="20"/>
                <w:lang w:val="en-AU"/>
              </w:rPr>
            </w:pPr>
            <w:r w:rsidRPr="0063644B">
              <w:rPr>
                <w:rFonts w:ascii="Arial" w:hAnsi="Arial" w:cs="Arial"/>
                <w:color w:val="auto"/>
                <w:sz w:val="20"/>
                <w:szCs w:val="20"/>
                <w:lang w:val="en-AU"/>
              </w:rPr>
              <w:t>Australian Management Committee</w:t>
            </w:r>
          </w:p>
          <w:p w:rsidR="0010094C" w:rsidRPr="0063644B" w:rsidRDefault="0010094C" w:rsidP="0010094C">
            <w:pPr>
              <w:widowControl/>
              <w:rPr>
                <w:rFonts w:ascii="Arial" w:hAnsi="Arial" w:cs="Arial"/>
                <w:color w:val="auto"/>
                <w:sz w:val="20"/>
                <w:szCs w:val="20"/>
                <w:lang w:val="en-AU"/>
              </w:rPr>
            </w:pPr>
            <w:r w:rsidRPr="0063644B">
              <w:rPr>
                <w:rFonts w:ascii="Arial" w:hAnsi="Arial" w:cs="Arial"/>
                <w:color w:val="auto"/>
                <w:sz w:val="20"/>
                <w:szCs w:val="20"/>
                <w:lang w:val="en-AU"/>
              </w:rPr>
              <w:t>Asia Pacific Loan Market Association</w:t>
            </w:r>
          </w:p>
          <w:p w:rsidR="0010094C" w:rsidRPr="0063644B" w:rsidRDefault="0010094C" w:rsidP="0010094C">
            <w:pPr>
              <w:widowControl/>
              <w:rPr>
                <w:rFonts w:ascii="Arial" w:hAnsi="Arial" w:cs="Arial"/>
                <w:color w:val="auto"/>
                <w:sz w:val="20"/>
                <w:szCs w:val="20"/>
                <w:lang w:val="en-AU"/>
              </w:rPr>
            </w:pPr>
            <w:r w:rsidRPr="0063644B">
              <w:rPr>
                <w:rFonts w:ascii="Arial" w:hAnsi="Arial" w:cs="Arial"/>
                <w:color w:val="auto"/>
                <w:sz w:val="20"/>
                <w:szCs w:val="20"/>
                <w:lang w:val="en-AU"/>
              </w:rPr>
              <w:t>Australian Branch</w:t>
            </w:r>
          </w:p>
          <w:p w:rsidR="003862CC" w:rsidRPr="0063644B" w:rsidRDefault="003862CC" w:rsidP="0010094C">
            <w:pPr>
              <w:widowControl/>
              <w:rPr>
                <w:rFonts w:ascii="Arial" w:hAnsi="Arial" w:cs="Arial"/>
                <w:color w:val="auto"/>
                <w:sz w:val="20"/>
                <w:szCs w:val="20"/>
                <w:lang w:val="en-AU"/>
              </w:rPr>
            </w:pPr>
          </w:p>
          <w:p w:rsidR="0010094C" w:rsidRPr="0063644B" w:rsidRDefault="0010094C" w:rsidP="0010094C">
            <w:pPr>
              <w:widowControl/>
              <w:rPr>
                <w:rFonts w:ascii="Arial" w:hAnsi="Arial" w:cs="Arial"/>
                <w:color w:val="auto"/>
                <w:sz w:val="20"/>
                <w:szCs w:val="20"/>
                <w:lang w:val="en-AU"/>
              </w:rPr>
            </w:pPr>
            <w:r w:rsidRPr="0063644B">
              <w:rPr>
                <w:rFonts w:ascii="Arial" w:hAnsi="Arial" w:cs="Arial"/>
                <w:color w:val="auto"/>
                <w:sz w:val="20"/>
                <w:szCs w:val="20"/>
                <w:lang w:val="en-AU"/>
              </w:rPr>
              <w:t xml:space="preserve">Phone </w:t>
            </w:r>
            <w:r w:rsidR="00215E75" w:rsidRPr="0063644B">
              <w:rPr>
                <w:rFonts w:ascii="Arial" w:hAnsi="Arial" w:cs="Arial"/>
                <w:color w:val="auto"/>
                <w:sz w:val="20"/>
                <w:szCs w:val="20"/>
                <w:lang w:val="en-AU"/>
              </w:rPr>
              <w:t>+61 421 209 201</w:t>
            </w:r>
          </w:p>
          <w:p w:rsidR="00215E75" w:rsidRPr="0063644B" w:rsidRDefault="00215E75" w:rsidP="00215E75">
            <w:pPr>
              <w:widowControl/>
              <w:spacing w:line="260" w:lineRule="atLeast"/>
              <w:rPr>
                <w:rFonts w:ascii="Arial" w:eastAsia="MS Mincho" w:hAnsi="Arial" w:cs="Arial"/>
                <w:color w:val="auto"/>
                <w:sz w:val="18"/>
                <w:szCs w:val="18"/>
                <w:lang w:val="en-AU" w:eastAsia="ja-JP" w:bidi="ar-SA"/>
              </w:rPr>
            </w:pPr>
            <w:r w:rsidRPr="0063644B">
              <w:rPr>
                <w:rFonts w:ascii="Arial" w:hAnsi="Arial" w:cs="Arial"/>
                <w:color w:val="auto"/>
                <w:sz w:val="20"/>
                <w:szCs w:val="20"/>
                <w:lang w:val="en-AU"/>
              </w:rPr>
              <w:t>E</w:t>
            </w:r>
            <w:r w:rsidR="0010094C" w:rsidRPr="0063644B">
              <w:rPr>
                <w:rFonts w:ascii="Arial" w:hAnsi="Arial" w:cs="Arial"/>
                <w:color w:val="auto"/>
                <w:sz w:val="20"/>
                <w:szCs w:val="20"/>
                <w:lang w:val="en-AU"/>
              </w:rPr>
              <w:t>mail</w:t>
            </w:r>
            <w:r w:rsidRPr="0063644B">
              <w:rPr>
                <w:rFonts w:ascii="Arial" w:hAnsi="Arial" w:cs="Arial"/>
                <w:color w:val="auto"/>
                <w:sz w:val="20"/>
                <w:szCs w:val="20"/>
                <w:lang w:val="en-AU"/>
              </w:rPr>
              <w:t xml:space="preserve">: </w:t>
            </w:r>
            <w:r w:rsidRPr="0063644B">
              <w:rPr>
                <w:rFonts w:ascii="Arial" w:eastAsia="MS Mincho" w:hAnsi="Arial" w:cs="Arial"/>
                <w:color w:val="auto"/>
                <w:sz w:val="18"/>
                <w:szCs w:val="18"/>
                <w:lang w:val="en-AU" w:eastAsia="ja-JP" w:bidi="ar-SA"/>
              </w:rPr>
              <w:t>Andrew.McDermott@mizuho-cb.com</w:t>
            </w:r>
          </w:p>
          <w:p w:rsidR="0010094C" w:rsidRPr="0063644B" w:rsidRDefault="0010094C" w:rsidP="00215E75">
            <w:pPr>
              <w:widowControl/>
              <w:rPr>
                <w:rFonts w:ascii="Arial" w:hAnsi="Arial" w:cs="Arial"/>
                <w:color w:val="auto"/>
                <w:sz w:val="20"/>
                <w:szCs w:val="20"/>
                <w:lang w:val="en-AU" w:bidi="ar-SA"/>
              </w:rPr>
            </w:pPr>
          </w:p>
        </w:tc>
        <w:tc>
          <w:tcPr>
            <w:tcW w:w="4995" w:type="dxa"/>
            <w:shd w:val="clear" w:color="auto" w:fill="auto"/>
          </w:tcPr>
          <w:p w:rsidR="0010094C" w:rsidRPr="0063644B" w:rsidRDefault="0010094C" w:rsidP="0010094C">
            <w:pPr>
              <w:widowControl/>
              <w:ind w:right="-113"/>
              <w:rPr>
                <w:rFonts w:ascii="Arial" w:hAnsi="Arial" w:cs="Arial"/>
                <w:color w:val="auto"/>
                <w:sz w:val="20"/>
                <w:szCs w:val="20"/>
                <w:lang w:val="en-AU" w:bidi="ar-SA"/>
              </w:rPr>
            </w:pPr>
          </w:p>
        </w:tc>
      </w:tr>
      <w:bookmarkEnd w:id="4"/>
    </w:tbl>
    <w:p w:rsidR="00215E75" w:rsidRPr="0063644B" w:rsidRDefault="00215E75">
      <w:pPr>
        <w:widowControl/>
        <w:spacing w:line="260" w:lineRule="atLeast"/>
        <w:rPr>
          <w:rFonts w:ascii="Arial" w:eastAsia="MS Mincho" w:hAnsi="Arial" w:cs="Arial"/>
          <w:color w:val="auto"/>
          <w:sz w:val="18"/>
          <w:szCs w:val="18"/>
          <w:lang w:val="en-AU" w:eastAsia="ja-JP" w:bidi="ar-SA"/>
        </w:rPr>
      </w:pPr>
    </w:p>
    <w:sectPr w:rsidR="00215E75" w:rsidRPr="0063644B" w:rsidSect="00D26E07">
      <w:headerReference w:type="even" r:id="rId10"/>
      <w:headerReference w:type="default" r:id="rId11"/>
      <w:footerReference w:type="even" r:id="rId12"/>
      <w:footerReference w:type="default" r:id="rId13"/>
      <w:headerReference w:type="first" r:id="rId14"/>
      <w:footerReference w:type="first" r:id="rId15"/>
      <w:pgSz w:w="11900" w:h="16840"/>
      <w:pgMar w:top="937" w:right="1184" w:bottom="1410" w:left="1307" w:header="905" w:footer="68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3AB" w:rsidRDefault="001C23AB">
      <w:r>
        <w:separator/>
      </w:r>
    </w:p>
  </w:endnote>
  <w:endnote w:type="continuationSeparator" w:id="0">
    <w:p w:rsidR="001C23AB" w:rsidRDefault="001C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5A" w:rsidRDefault="00095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Borders>
        <w:top w:val="single" w:sz="4" w:space="0" w:color="auto"/>
      </w:tblBorders>
      <w:tblLayout w:type="fixed"/>
      <w:tblCellMar>
        <w:left w:w="0" w:type="dxa"/>
        <w:right w:w="0" w:type="dxa"/>
      </w:tblCellMar>
      <w:tblLook w:val="0000" w:firstRow="0" w:lastRow="0" w:firstColumn="0" w:lastColumn="0" w:noHBand="0" w:noVBand="0"/>
    </w:tblPr>
    <w:tblGrid>
      <w:gridCol w:w="7337"/>
      <w:gridCol w:w="2302"/>
    </w:tblGrid>
    <w:tr w:rsidR="00464FB7" w:rsidRPr="0010094C" w:rsidTr="00464FB7">
      <w:tc>
        <w:tcPr>
          <w:tcW w:w="7230" w:type="dxa"/>
        </w:tcPr>
        <w:p w:rsidR="00464FB7" w:rsidRPr="0010094C" w:rsidRDefault="00464FB7" w:rsidP="0010094C">
          <w:pPr>
            <w:widowControl/>
            <w:spacing w:before="40"/>
            <w:rPr>
              <w:rFonts w:ascii="Arial" w:hAnsi="Arial"/>
              <w:color w:val="auto"/>
              <w:sz w:val="16"/>
              <w:szCs w:val="20"/>
              <w:lang w:val="en-AU" w:bidi="ar-SA"/>
            </w:rPr>
          </w:pPr>
          <w:r w:rsidRPr="0010094C">
            <w:rPr>
              <w:rFonts w:ascii="Arial" w:hAnsi="Arial"/>
              <w:color w:val="auto"/>
              <w:sz w:val="16"/>
              <w:szCs w:val="20"/>
              <w:lang w:val="en-AU" w:bidi="ar-SA"/>
            </w:rPr>
            <w:fldChar w:fldCharType="begin"/>
          </w:r>
          <w:r w:rsidRPr="0010094C">
            <w:rPr>
              <w:rFonts w:ascii="Arial" w:hAnsi="Arial"/>
              <w:color w:val="auto"/>
              <w:sz w:val="16"/>
              <w:szCs w:val="20"/>
              <w:lang w:val="en-AU" w:bidi="ar-SA"/>
            </w:rPr>
            <w:instrText xml:space="preserve"> DOCPROPERTY  iManageDocFooter  \* MERGEFORMAT </w:instrText>
          </w:r>
          <w:r w:rsidRPr="0010094C">
            <w:rPr>
              <w:rFonts w:ascii="Arial" w:hAnsi="Arial"/>
              <w:color w:val="auto"/>
              <w:sz w:val="16"/>
              <w:szCs w:val="20"/>
              <w:lang w:val="en-AU" w:bidi="ar-SA"/>
            </w:rPr>
            <w:fldChar w:fldCharType="separate"/>
          </w:r>
          <w:r w:rsidR="0063644B">
            <w:rPr>
              <w:rFonts w:ascii="Arial" w:hAnsi="Arial"/>
              <w:color w:val="auto"/>
              <w:sz w:val="16"/>
              <w:szCs w:val="20"/>
              <w:lang w:val="en-AU" w:bidi="ar-SA"/>
            </w:rPr>
            <w:t>PJCS 511771716v1 000000</w:t>
          </w:r>
          <w:r w:rsidRPr="0010094C">
            <w:rPr>
              <w:rFonts w:ascii="Arial" w:hAnsi="Arial"/>
              <w:color w:val="auto"/>
              <w:sz w:val="16"/>
              <w:szCs w:val="20"/>
              <w:lang w:val="en-AU" w:bidi="ar-SA"/>
            </w:rPr>
            <w:fldChar w:fldCharType="end"/>
          </w:r>
          <w:r w:rsidRPr="0010094C">
            <w:rPr>
              <w:rFonts w:ascii="Arial" w:hAnsi="Arial"/>
              <w:color w:val="auto"/>
              <w:sz w:val="16"/>
              <w:szCs w:val="20"/>
              <w:lang w:val="en-AU" w:bidi="ar-SA"/>
            </w:rPr>
            <w:t xml:space="preserve">    </w:t>
          </w:r>
          <w:r w:rsidRPr="0010094C">
            <w:rPr>
              <w:rFonts w:ascii="Arial" w:hAnsi="Arial"/>
              <w:color w:val="auto"/>
              <w:sz w:val="16"/>
              <w:szCs w:val="20"/>
              <w:lang w:val="en-AU" w:bidi="ar-SA"/>
            </w:rPr>
            <w:fldChar w:fldCharType="begin"/>
          </w:r>
          <w:r w:rsidRPr="0010094C">
            <w:rPr>
              <w:rFonts w:ascii="Arial" w:hAnsi="Arial"/>
              <w:color w:val="auto"/>
              <w:sz w:val="16"/>
              <w:szCs w:val="20"/>
              <w:lang w:val="en-AU" w:bidi="ar-SA"/>
            </w:rPr>
            <w:instrText xml:space="preserve"> SAVEDATE \@ "d.M.yyyy" \* MERGEFORMAT </w:instrText>
          </w:r>
          <w:r w:rsidRPr="0010094C">
            <w:rPr>
              <w:rFonts w:ascii="Arial" w:hAnsi="Arial"/>
              <w:color w:val="auto"/>
              <w:sz w:val="16"/>
              <w:szCs w:val="20"/>
              <w:lang w:val="en-AU" w:bidi="ar-SA"/>
            </w:rPr>
            <w:fldChar w:fldCharType="separate"/>
          </w:r>
          <w:r w:rsidR="008055A2">
            <w:rPr>
              <w:rFonts w:ascii="Arial" w:hAnsi="Arial"/>
              <w:noProof/>
              <w:color w:val="auto"/>
              <w:sz w:val="16"/>
              <w:szCs w:val="20"/>
              <w:lang w:val="en-AU" w:bidi="ar-SA"/>
            </w:rPr>
            <w:t>2.11.2020</w:t>
          </w:r>
          <w:r w:rsidRPr="0010094C">
            <w:rPr>
              <w:rFonts w:ascii="Arial" w:hAnsi="Arial"/>
              <w:color w:val="auto"/>
              <w:sz w:val="16"/>
              <w:szCs w:val="20"/>
              <w:lang w:val="en-AU" w:bidi="ar-SA"/>
            </w:rPr>
            <w:fldChar w:fldCharType="end"/>
          </w:r>
        </w:p>
      </w:tc>
      <w:tc>
        <w:tcPr>
          <w:tcW w:w="2268" w:type="dxa"/>
        </w:tcPr>
        <w:p w:rsidR="00464FB7" w:rsidRPr="0010094C" w:rsidRDefault="00464FB7" w:rsidP="0010094C">
          <w:pPr>
            <w:widowControl/>
            <w:spacing w:before="40"/>
            <w:jc w:val="right"/>
            <w:rPr>
              <w:rFonts w:ascii="Arial" w:hAnsi="Arial"/>
              <w:color w:val="auto"/>
              <w:sz w:val="16"/>
              <w:szCs w:val="20"/>
              <w:lang w:val="en-AU" w:bidi="ar-SA"/>
            </w:rPr>
          </w:pPr>
          <w:r w:rsidRPr="0010094C">
            <w:rPr>
              <w:rFonts w:ascii="Arial" w:hAnsi="Arial"/>
              <w:snapToGrid w:val="0"/>
              <w:color w:val="auto"/>
              <w:sz w:val="16"/>
              <w:szCs w:val="20"/>
              <w:lang w:val="en-AU" w:bidi="ar-SA"/>
            </w:rPr>
            <w:t xml:space="preserve">page </w:t>
          </w:r>
          <w:r w:rsidRPr="0010094C">
            <w:rPr>
              <w:rFonts w:ascii="Arial" w:hAnsi="Arial"/>
              <w:snapToGrid w:val="0"/>
              <w:color w:val="auto"/>
              <w:sz w:val="16"/>
              <w:szCs w:val="20"/>
              <w:lang w:val="en-AU" w:bidi="ar-SA"/>
            </w:rPr>
            <w:fldChar w:fldCharType="begin"/>
          </w:r>
          <w:r w:rsidRPr="0010094C">
            <w:rPr>
              <w:rFonts w:ascii="Arial" w:hAnsi="Arial"/>
              <w:snapToGrid w:val="0"/>
              <w:color w:val="auto"/>
              <w:sz w:val="16"/>
              <w:szCs w:val="20"/>
              <w:lang w:val="en-AU" w:bidi="ar-SA"/>
            </w:rPr>
            <w:instrText xml:space="preserve"> PAGE </w:instrText>
          </w:r>
          <w:r w:rsidRPr="0010094C">
            <w:rPr>
              <w:rFonts w:ascii="Arial" w:hAnsi="Arial"/>
              <w:snapToGrid w:val="0"/>
              <w:color w:val="auto"/>
              <w:sz w:val="16"/>
              <w:szCs w:val="20"/>
              <w:lang w:val="en-AU" w:bidi="ar-SA"/>
            </w:rPr>
            <w:fldChar w:fldCharType="separate"/>
          </w:r>
          <w:r w:rsidR="008055A2">
            <w:rPr>
              <w:rFonts w:ascii="Arial" w:hAnsi="Arial"/>
              <w:noProof/>
              <w:snapToGrid w:val="0"/>
              <w:color w:val="auto"/>
              <w:sz w:val="16"/>
              <w:szCs w:val="20"/>
              <w:lang w:val="en-AU" w:bidi="ar-SA"/>
            </w:rPr>
            <w:t>2</w:t>
          </w:r>
          <w:r w:rsidRPr="0010094C">
            <w:rPr>
              <w:rFonts w:ascii="Arial" w:hAnsi="Arial"/>
              <w:snapToGrid w:val="0"/>
              <w:color w:val="auto"/>
              <w:sz w:val="16"/>
              <w:szCs w:val="20"/>
              <w:lang w:val="en-AU" w:bidi="ar-SA"/>
            </w:rPr>
            <w:fldChar w:fldCharType="end"/>
          </w:r>
        </w:p>
      </w:tc>
    </w:tr>
  </w:tbl>
  <w:p w:rsidR="00464FB7" w:rsidRDefault="00464F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5A" w:rsidRDefault="00095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3AB" w:rsidRDefault="001C23AB"/>
  </w:footnote>
  <w:footnote w:type="continuationSeparator" w:id="0">
    <w:p w:rsidR="001C23AB" w:rsidRDefault="001C23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5A" w:rsidRDefault="00095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000" w:firstRow="0" w:lastRow="0" w:firstColumn="0" w:lastColumn="0" w:noHBand="0" w:noVBand="0"/>
    </w:tblPr>
    <w:tblGrid>
      <w:gridCol w:w="7152"/>
      <w:gridCol w:w="2487"/>
    </w:tblGrid>
    <w:tr w:rsidR="00464FB7" w:rsidTr="00464FB7">
      <w:trPr>
        <w:trHeight w:hRule="exact" w:val="900"/>
      </w:trPr>
      <w:tc>
        <w:tcPr>
          <w:tcW w:w="6521" w:type="dxa"/>
          <w:vAlign w:val="bottom"/>
        </w:tcPr>
        <w:p w:rsidR="00464FB7" w:rsidRPr="00D26E07" w:rsidRDefault="00464FB7" w:rsidP="00D26E07">
          <w:pPr>
            <w:pStyle w:val="HeaderTitle2"/>
          </w:pPr>
          <w:r>
            <w:t>Submission on FATR changes</w:t>
          </w:r>
        </w:p>
      </w:tc>
      <w:tc>
        <w:tcPr>
          <w:tcW w:w="2268" w:type="dxa"/>
          <w:vAlign w:val="bottom"/>
        </w:tcPr>
        <w:p w:rsidR="00464FB7" w:rsidRDefault="00464FB7" w:rsidP="00D26E07">
          <w:pPr>
            <w:pStyle w:val="HeaderTitle2"/>
          </w:pPr>
        </w:p>
      </w:tc>
    </w:tr>
  </w:tbl>
  <w:p w:rsidR="00464FB7" w:rsidRDefault="00464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5A" w:rsidRDefault="00095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63EC"/>
    <w:multiLevelType w:val="singleLevel"/>
    <w:tmpl w:val="E0C44CC8"/>
    <w:lvl w:ilvl="0">
      <w:start w:val="1"/>
      <w:numFmt w:val="bullet"/>
      <w:lvlText w:val=""/>
      <w:lvlJc w:val="left"/>
      <w:pPr>
        <w:tabs>
          <w:tab w:val="num" w:pos="737"/>
        </w:tabs>
        <w:ind w:left="737" w:hanging="737"/>
      </w:pPr>
      <w:rPr>
        <w:rFonts w:ascii="Symbol" w:hAnsi="Symbol" w:hint="default"/>
      </w:rPr>
    </w:lvl>
  </w:abstractNum>
  <w:abstractNum w:abstractNumId="1" w15:restartNumberingAfterBreak="0">
    <w:nsid w:val="1F7D467B"/>
    <w:multiLevelType w:val="hybridMultilevel"/>
    <w:tmpl w:val="2E2819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32B30A5"/>
    <w:multiLevelType w:val="multilevel"/>
    <w:tmpl w:val="E67265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F10D3B"/>
    <w:multiLevelType w:val="hybridMultilevel"/>
    <w:tmpl w:val="6FF0C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4C242A"/>
    <w:multiLevelType w:val="hybridMultilevel"/>
    <w:tmpl w:val="E8AA57F0"/>
    <w:lvl w:ilvl="0" w:tplc="224077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AD53725"/>
    <w:multiLevelType w:val="hybridMultilevel"/>
    <w:tmpl w:val="D0AE5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E268A2"/>
    <w:multiLevelType w:val="hybridMultilevel"/>
    <w:tmpl w:val="CC5A2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D225CA"/>
    <w:multiLevelType w:val="multilevel"/>
    <w:tmpl w:val="FED01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E43399"/>
    <w:multiLevelType w:val="multilevel"/>
    <w:tmpl w:val="44EEB6A0"/>
    <w:lvl w:ilvl="0">
      <w:start w:val="1"/>
      <w:numFmt w:val="lowerRoman"/>
      <w:lvlText w:val="(%1)"/>
      <w:lvlJc w:val="left"/>
      <w:rPr>
        <w:rFonts w:ascii="Arial" w:eastAsia="Arial" w:hAnsi="Arial" w:cs="Arial"/>
        <w:b w:val="0"/>
        <w:bCs w:val="0"/>
        <w:i w:val="0"/>
        <w:iCs w:val="0"/>
        <w:smallCaps w:val="0"/>
        <w:strike w:val="0"/>
        <w:color w:val="20202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7C28FD"/>
    <w:multiLevelType w:val="multilevel"/>
    <w:tmpl w:val="558A20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836722"/>
    <w:multiLevelType w:val="hybridMultilevel"/>
    <w:tmpl w:val="9E5A7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D51862"/>
    <w:multiLevelType w:val="hybridMultilevel"/>
    <w:tmpl w:val="2E0033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0055062"/>
    <w:multiLevelType w:val="multilevel"/>
    <w:tmpl w:val="31E44A8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E300B3"/>
    <w:multiLevelType w:val="multilevel"/>
    <w:tmpl w:val="23945DEC"/>
    <w:lvl w:ilvl="0">
      <w:start w:val="1"/>
      <w:numFmt w:val="lowerLetter"/>
      <w:lvlText w:val="(%1)"/>
      <w:lvlJc w:val="left"/>
      <w:rPr>
        <w:rFonts w:ascii="Arial" w:eastAsia="Arial" w:hAnsi="Arial" w:cs="Arial"/>
        <w:b w:val="0"/>
        <w:bCs w:val="0"/>
        <w:i w:val="0"/>
        <w:iCs w:val="0"/>
        <w:smallCaps w:val="0"/>
        <w:strike w:val="0"/>
        <w:color w:val="20202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651CC5"/>
    <w:multiLevelType w:val="hybridMultilevel"/>
    <w:tmpl w:val="2E0033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9"/>
  </w:num>
  <w:num w:numId="3">
    <w:abstractNumId w:val="12"/>
  </w:num>
  <w:num w:numId="4">
    <w:abstractNumId w:val="13"/>
  </w:num>
  <w:num w:numId="5">
    <w:abstractNumId w:val="8"/>
  </w:num>
  <w:num w:numId="6">
    <w:abstractNumId w:val="5"/>
  </w:num>
  <w:num w:numId="7">
    <w:abstractNumId w:val="3"/>
  </w:num>
  <w:num w:numId="8">
    <w:abstractNumId w:val="0"/>
  </w:num>
  <w:num w:numId="9">
    <w:abstractNumId w:val="10"/>
  </w:num>
  <w:num w:numId="10">
    <w:abstractNumId w:val="6"/>
  </w:num>
  <w:num w:numId="11">
    <w:abstractNumId w:val="7"/>
  </w:num>
  <w:num w:numId="12">
    <w:abstractNumId w:val="11"/>
  </w:num>
  <w:num w:numId="13">
    <w:abstractNumId w:val="4"/>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drawingGridHorizontalSpacing w:val="181"/>
  <w:drawingGridVerticalSpacing w:val="181"/>
  <w:characterSpacingControl w:val="compressPunctuation"/>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772"/>
    <w:rsid w:val="0002613E"/>
    <w:rsid w:val="00042510"/>
    <w:rsid w:val="00090778"/>
    <w:rsid w:val="0009535A"/>
    <w:rsid w:val="000F1F76"/>
    <w:rsid w:val="0010094C"/>
    <w:rsid w:val="001129B8"/>
    <w:rsid w:val="00180A37"/>
    <w:rsid w:val="001A7B13"/>
    <w:rsid w:val="001B2427"/>
    <w:rsid w:val="001C23AB"/>
    <w:rsid w:val="002027F3"/>
    <w:rsid w:val="002155FA"/>
    <w:rsid w:val="00215E75"/>
    <w:rsid w:val="00261180"/>
    <w:rsid w:val="00263052"/>
    <w:rsid w:val="00270917"/>
    <w:rsid w:val="00366F12"/>
    <w:rsid w:val="003862CC"/>
    <w:rsid w:val="003F0772"/>
    <w:rsid w:val="0040062B"/>
    <w:rsid w:val="00400689"/>
    <w:rsid w:val="00424B63"/>
    <w:rsid w:val="00464FB7"/>
    <w:rsid w:val="004E18D8"/>
    <w:rsid w:val="004E3E1A"/>
    <w:rsid w:val="004E4B9A"/>
    <w:rsid w:val="005043DD"/>
    <w:rsid w:val="00521003"/>
    <w:rsid w:val="00542C89"/>
    <w:rsid w:val="00554EC9"/>
    <w:rsid w:val="005B052E"/>
    <w:rsid w:val="0063644B"/>
    <w:rsid w:val="00665191"/>
    <w:rsid w:val="006D37BC"/>
    <w:rsid w:val="006D3B1A"/>
    <w:rsid w:val="006E45A9"/>
    <w:rsid w:val="00760FC3"/>
    <w:rsid w:val="00773F64"/>
    <w:rsid w:val="00795265"/>
    <w:rsid w:val="0079643B"/>
    <w:rsid w:val="007A0E45"/>
    <w:rsid w:val="007A34F3"/>
    <w:rsid w:val="007C1C83"/>
    <w:rsid w:val="007D2B06"/>
    <w:rsid w:val="008030CD"/>
    <w:rsid w:val="008055A2"/>
    <w:rsid w:val="00862FDE"/>
    <w:rsid w:val="00885012"/>
    <w:rsid w:val="00892967"/>
    <w:rsid w:val="0090477B"/>
    <w:rsid w:val="00905479"/>
    <w:rsid w:val="0093421D"/>
    <w:rsid w:val="00960B66"/>
    <w:rsid w:val="00960C1B"/>
    <w:rsid w:val="009674B3"/>
    <w:rsid w:val="009B3AE2"/>
    <w:rsid w:val="009E6249"/>
    <w:rsid w:val="00A305DA"/>
    <w:rsid w:val="00A3710B"/>
    <w:rsid w:val="00A45D38"/>
    <w:rsid w:val="00A7060C"/>
    <w:rsid w:val="00AB79BF"/>
    <w:rsid w:val="00AF4D5E"/>
    <w:rsid w:val="00B20380"/>
    <w:rsid w:val="00B234C1"/>
    <w:rsid w:val="00B70E71"/>
    <w:rsid w:val="00B90315"/>
    <w:rsid w:val="00BA0D46"/>
    <w:rsid w:val="00BA6333"/>
    <w:rsid w:val="00BC5AE4"/>
    <w:rsid w:val="00C00FB6"/>
    <w:rsid w:val="00C333A3"/>
    <w:rsid w:val="00C4226D"/>
    <w:rsid w:val="00C42952"/>
    <w:rsid w:val="00C9261A"/>
    <w:rsid w:val="00C94226"/>
    <w:rsid w:val="00CD2943"/>
    <w:rsid w:val="00D04F8A"/>
    <w:rsid w:val="00D26E07"/>
    <w:rsid w:val="00D353EA"/>
    <w:rsid w:val="00D90F6E"/>
    <w:rsid w:val="00D966AC"/>
    <w:rsid w:val="00E65493"/>
    <w:rsid w:val="00E76A39"/>
    <w:rsid w:val="00EC7BD3"/>
    <w:rsid w:val="00F36556"/>
    <w:rsid w:val="00F63C0E"/>
    <w:rsid w:val="00F81B5F"/>
    <w:rsid w:val="00F85FA5"/>
    <w:rsid w:val="00F97E33"/>
    <w:rsid w:val="00FA644E"/>
    <w:rsid w:val="00FD6A8E"/>
    <w:rsid w:val="00FE6E4C"/>
    <w:rsid w:val="00FF27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1">
    <w:name w:val="Header or footer|1_"/>
    <w:basedOn w:val="DefaultParagraphFont"/>
    <w:link w:val="Headerorfooter10"/>
    <w:rPr>
      <w:rFonts w:ascii="Arial" w:eastAsia="Arial" w:hAnsi="Arial" w:cs="Arial"/>
      <w:b w:val="0"/>
      <w:bCs w:val="0"/>
      <w:i w:val="0"/>
      <w:iCs w:val="0"/>
      <w:smallCaps w:val="0"/>
      <w:strike w:val="0"/>
      <w:sz w:val="16"/>
      <w:szCs w:val="16"/>
      <w:u w:val="none"/>
    </w:rPr>
  </w:style>
  <w:style w:type="character" w:customStyle="1" w:styleId="Headerorfooter11">
    <w:name w:val="Header or footer|1"/>
    <w:basedOn w:val="Headerorfooter1"/>
    <w:semiHidden/>
    <w:unhideWhenUsed/>
    <w:rPr>
      <w:rFonts w:ascii="Arial" w:eastAsia="Arial" w:hAnsi="Arial" w:cs="Arial"/>
      <w:b w:val="0"/>
      <w:bCs w:val="0"/>
      <w:i w:val="0"/>
      <w:iCs w:val="0"/>
      <w:smallCaps w:val="0"/>
      <w:strike w:val="0"/>
      <w:color w:val="202020"/>
      <w:spacing w:val="0"/>
      <w:w w:val="100"/>
      <w:position w:val="0"/>
      <w:sz w:val="16"/>
      <w:szCs w:val="16"/>
      <w:u w:val="none"/>
      <w:lang w:val="en-US" w:eastAsia="en-US" w:bidi="en-US"/>
    </w:rPr>
  </w:style>
  <w:style w:type="character" w:customStyle="1" w:styleId="Headerorfooter17pt">
    <w:name w:val="Header or footer|1 + 7 pt"/>
    <w:basedOn w:val="Headerorfooter1"/>
    <w:semiHidden/>
    <w:unhideWhenUsed/>
    <w:rPr>
      <w:rFonts w:ascii="Arial" w:eastAsia="Arial" w:hAnsi="Arial" w:cs="Arial"/>
      <w:b w:val="0"/>
      <w:bCs w:val="0"/>
      <w:i w:val="0"/>
      <w:iCs w:val="0"/>
      <w:smallCaps w:val="0"/>
      <w:strike w:val="0"/>
      <w:color w:val="202020"/>
      <w:spacing w:val="0"/>
      <w:w w:val="100"/>
      <w:position w:val="0"/>
      <w:sz w:val="14"/>
      <w:szCs w:val="14"/>
      <w:u w:val="none"/>
      <w:lang w:val="en-US" w:eastAsia="en-US" w:bidi="en-US"/>
    </w:rPr>
  </w:style>
  <w:style w:type="character" w:customStyle="1" w:styleId="Heading11">
    <w:name w:val="Heading #1|1_"/>
    <w:basedOn w:val="DefaultParagraphFont"/>
    <w:link w:val="Heading110"/>
    <w:rPr>
      <w:rFonts w:ascii="Arial" w:eastAsia="Arial" w:hAnsi="Arial" w:cs="Arial"/>
      <w:b/>
      <w:bCs/>
      <w:i w:val="0"/>
      <w:iCs w:val="0"/>
      <w:smallCaps w:val="0"/>
      <w:strike w:val="0"/>
      <w:sz w:val="50"/>
      <w:szCs w:val="50"/>
      <w:u w:val="none"/>
    </w:rPr>
  </w:style>
  <w:style w:type="character" w:customStyle="1" w:styleId="Heading111">
    <w:name w:val="Heading #1|1"/>
    <w:basedOn w:val="Heading11"/>
    <w:semiHidden/>
    <w:unhideWhenUsed/>
    <w:rPr>
      <w:rFonts w:ascii="Arial" w:eastAsia="Arial" w:hAnsi="Arial" w:cs="Arial"/>
      <w:b/>
      <w:bCs/>
      <w:i w:val="0"/>
      <w:iCs w:val="0"/>
      <w:smallCaps w:val="0"/>
      <w:strike w:val="0"/>
      <w:color w:val="202020"/>
      <w:spacing w:val="0"/>
      <w:w w:val="100"/>
      <w:position w:val="0"/>
      <w:sz w:val="50"/>
      <w:szCs w:val="50"/>
      <w:u w:val="none"/>
      <w:lang w:val="en-US" w:eastAsia="en-US" w:bidi="en-US"/>
    </w:rPr>
  </w:style>
  <w:style w:type="character" w:customStyle="1" w:styleId="Bodytext2">
    <w:name w:val="Body text|2_"/>
    <w:basedOn w:val="DefaultParagraphFont"/>
    <w:link w:val="Bodytext20"/>
    <w:rPr>
      <w:rFonts w:ascii="Arial" w:eastAsia="Arial" w:hAnsi="Arial" w:cs="Arial"/>
      <w:b w:val="0"/>
      <w:bCs w:val="0"/>
      <w:i w:val="0"/>
      <w:iCs w:val="0"/>
      <w:smallCaps w:val="0"/>
      <w:strike w:val="0"/>
      <w:sz w:val="18"/>
      <w:szCs w:val="18"/>
      <w:u w:val="none"/>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202020"/>
      <w:spacing w:val="0"/>
      <w:w w:val="100"/>
      <w:position w:val="0"/>
      <w:sz w:val="18"/>
      <w:szCs w:val="18"/>
      <w:u w:val="none"/>
      <w:lang w:val="en-US" w:eastAsia="en-US" w:bidi="en-US"/>
    </w:rPr>
  </w:style>
  <w:style w:type="character" w:customStyle="1" w:styleId="Bodytext3">
    <w:name w:val="Body text|3_"/>
    <w:basedOn w:val="DefaultParagraphFont"/>
    <w:link w:val="Bodytext30"/>
    <w:rPr>
      <w:rFonts w:ascii="Arial" w:eastAsia="Arial" w:hAnsi="Arial" w:cs="Arial"/>
      <w:b/>
      <w:bCs/>
      <w:i w:val="0"/>
      <w:iCs w:val="0"/>
      <w:smallCaps w:val="0"/>
      <w:strike w:val="0"/>
      <w:sz w:val="20"/>
      <w:szCs w:val="20"/>
      <w:u w:val="none"/>
    </w:rPr>
  </w:style>
  <w:style w:type="character" w:customStyle="1" w:styleId="Bodytext31">
    <w:name w:val="Body text|3"/>
    <w:basedOn w:val="Bodytext3"/>
    <w:semiHidden/>
    <w:unhideWhenUsed/>
    <w:rPr>
      <w:rFonts w:ascii="Arial" w:eastAsia="Arial" w:hAnsi="Arial" w:cs="Arial"/>
      <w:b/>
      <w:bCs/>
      <w:i w:val="0"/>
      <w:iCs w:val="0"/>
      <w:smallCaps w:val="0"/>
      <w:strike w:val="0"/>
      <w:color w:val="202020"/>
      <w:spacing w:val="0"/>
      <w:w w:val="100"/>
      <w:position w:val="0"/>
      <w:sz w:val="20"/>
      <w:szCs w:val="20"/>
      <w:u w:val="none"/>
      <w:lang w:val="en-US" w:eastAsia="en-US" w:bidi="en-US"/>
    </w:rPr>
  </w:style>
  <w:style w:type="character" w:customStyle="1" w:styleId="Bodytext2Italic">
    <w:name w:val="Body text|2 + Italic"/>
    <w:basedOn w:val="Bodytext2"/>
    <w:semiHidden/>
    <w:unhideWhenUsed/>
    <w:rPr>
      <w:rFonts w:ascii="Arial" w:eastAsia="Arial" w:hAnsi="Arial" w:cs="Arial"/>
      <w:b w:val="0"/>
      <w:bCs w:val="0"/>
      <w:i/>
      <w:iCs/>
      <w:smallCaps w:val="0"/>
      <w:strike w:val="0"/>
      <w:color w:val="202020"/>
      <w:spacing w:val="0"/>
      <w:w w:val="100"/>
      <w:position w:val="0"/>
      <w:sz w:val="18"/>
      <w:szCs w:val="18"/>
      <w:u w:val="none"/>
      <w:lang w:val="en-US" w:eastAsia="en-US" w:bidi="en-US"/>
    </w:rPr>
  </w:style>
  <w:style w:type="character" w:customStyle="1" w:styleId="Heading31">
    <w:name w:val="Heading #3|1_"/>
    <w:basedOn w:val="DefaultParagraphFont"/>
    <w:link w:val="Heading310"/>
    <w:rPr>
      <w:rFonts w:ascii="Arial" w:eastAsia="Arial" w:hAnsi="Arial" w:cs="Arial"/>
      <w:b/>
      <w:bCs/>
      <w:i w:val="0"/>
      <w:iCs w:val="0"/>
      <w:smallCaps w:val="0"/>
      <w:strike w:val="0"/>
      <w:sz w:val="22"/>
      <w:szCs w:val="22"/>
      <w:u w:val="none"/>
    </w:rPr>
  </w:style>
  <w:style w:type="character" w:customStyle="1" w:styleId="Heading311">
    <w:name w:val="Heading #3|1"/>
    <w:basedOn w:val="Heading31"/>
    <w:semiHidden/>
    <w:unhideWhenUsed/>
    <w:rPr>
      <w:rFonts w:ascii="Arial" w:eastAsia="Arial" w:hAnsi="Arial" w:cs="Arial"/>
      <w:b/>
      <w:bCs/>
      <w:i w:val="0"/>
      <w:iCs w:val="0"/>
      <w:smallCaps w:val="0"/>
      <w:strike w:val="0"/>
      <w:color w:val="202020"/>
      <w:spacing w:val="0"/>
      <w:w w:val="100"/>
      <w:position w:val="0"/>
      <w:sz w:val="22"/>
      <w:szCs w:val="22"/>
      <w:u w:val="none"/>
      <w:lang w:val="en-US" w:eastAsia="en-US" w:bidi="en-US"/>
    </w:rPr>
  </w:style>
  <w:style w:type="character" w:customStyle="1" w:styleId="Bodytext2Italic0">
    <w:name w:val="Body text|2 + Italic"/>
    <w:basedOn w:val="Bodytext2"/>
    <w:semiHidden/>
    <w:unhideWhenUsed/>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Bodytext22">
    <w:name w:val="Body text|2"/>
    <w:basedOn w:val="Bodytext2"/>
    <w:semiHidden/>
    <w:unhideWhenUsed/>
    <w:rPr>
      <w:rFonts w:ascii="Arial" w:eastAsia="Arial" w:hAnsi="Arial" w:cs="Arial"/>
      <w:b w:val="0"/>
      <w:bCs w:val="0"/>
      <w:i w:val="0"/>
      <w:iCs w:val="0"/>
      <w:smallCaps w:val="0"/>
      <w:strike w:val="0"/>
      <w:color w:val="202020"/>
      <w:spacing w:val="0"/>
      <w:w w:val="100"/>
      <w:position w:val="0"/>
      <w:sz w:val="18"/>
      <w:szCs w:val="18"/>
      <w:u w:val="single"/>
      <w:lang w:val="en-US" w:eastAsia="en-US" w:bidi="en-US"/>
    </w:rPr>
  </w:style>
  <w:style w:type="character" w:customStyle="1" w:styleId="Heading21">
    <w:name w:val="Heading #2|1_"/>
    <w:basedOn w:val="DefaultParagraphFont"/>
    <w:link w:val="Heading210"/>
    <w:rPr>
      <w:rFonts w:ascii="Arial" w:eastAsia="Arial" w:hAnsi="Arial" w:cs="Arial"/>
      <w:b w:val="0"/>
      <w:bCs w:val="0"/>
      <w:i w:val="0"/>
      <w:iCs w:val="0"/>
      <w:smallCaps w:val="0"/>
      <w:strike w:val="0"/>
      <w:sz w:val="26"/>
      <w:szCs w:val="26"/>
      <w:u w:val="none"/>
    </w:rPr>
  </w:style>
  <w:style w:type="character" w:customStyle="1" w:styleId="Heading211">
    <w:name w:val="Heading #2|1"/>
    <w:basedOn w:val="Heading21"/>
    <w:semiHidden/>
    <w:unhideWhenUsed/>
    <w:rPr>
      <w:rFonts w:ascii="Arial" w:eastAsia="Arial" w:hAnsi="Arial" w:cs="Arial"/>
      <w:b w:val="0"/>
      <w:bCs w:val="0"/>
      <w:i w:val="0"/>
      <w:iCs w:val="0"/>
      <w:smallCaps w:val="0"/>
      <w:strike w:val="0"/>
      <w:color w:val="31459E"/>
      <w:spacing w:val="0"/>
      <w:w w:val="100"/>
      <w:position w:val="0"/>
      <w:sz w:val="26"/>
      <w:szCs w:val="26"/>
      <w:u w:val="none"/>
      <w:lang w:val="en-US" w:eastAsia="en-US" w:bidi="en-US"/>
    </w:rPr>
  </w:style>
  <w:style w:type="paragraph" w:customStyle="1" w:styleId="Headerorfooter10">
    <w:name w:val="Header or footer|1"/>
    <w:basedOn w:val="Normal"/>
    <w:link w:val="Headerorfooter1"/>
    <w:qFormat/>
    <w:pPr>
      <w:shd w:val="clear" w:color="auto" w:fill="FFFFFF"/>
      <w:spacing w:line="178" w:lineRule="exact"/>
    </w:pPr>
    <w:rPr>
      <w:rFonts w:ascii="Arial" w:eastAsia="Arial" w:hAnsi="Arial" w:cs="Arial"/>
      <w:sz w:val="16"/>
      <w:szCs w:val="16"/>
    </w:rPr>
  </w:style>
  <w:style w:type="paragraph" w:customStyle="1" w:styleId="Heading110">
    <w:name w:val="Heading #1|1"/>
    <w:basedOn w:val="Normal"/>
    <w:link w:val="Heading11"/>
    <w:qFormat/>
    <w:pPr>
      <w:shd w:val="clear" w:color="auto" w:fill="FFFFFF"/>
      <w:spacing w:after="460" w:line="558" w:lineRule="exact"/>
      <w:jc w:val="center"/>
      <w:outlineLvl w:val="0"/>
    </w:pPr>
    <w:rPr>
      <w:rFonts w:ascii="Arial" w:eastAsia="Arial" w:hAnsi="Arial" w:cs="Arial"/>
      <w:b/>
      <w:bCs/>
      <w:sz w:val="50"/>
      <w:szCs w:val="50"/>
    </w:rPr>
  </w:style>
  <w:style w:type="paragraph" w:customStyle="1" w:styleId="Bodytext20">
    <w:name w:val="Body text|2"/>
    <w:basedOn w:val="Normal"/>
    <w:link w:val="Bodytext2"/>
    <w:qFormat/>
    <w:pPr>
      <w:shd w:val="clear" w:color="auto" w:fill="FFFFFF"/>
      <w:spacing w:before="460" w:after="140" w:line="200" w:lineRule="exact"/>
      <w:ind w:hanging="740"/>
      <w:jc w:val="right"/>
    </w:pPr>
    <w:rPr>
      <w:rFonts w:ascii="Arial" w:eastAsia="Arial" w:hAnsi="Arial" w:cs="Arial"/>
      <w:sz w:val="18"/>
      <w:szCs w:val="18"/>
    </w:rPr>
  </w:style>
  <w:style w:type="paragraph" w:customStyle="1" w:styleId="Bodytext30">
    <w:name w:val="Body text|3"/>
    <w:basedOn w:val="Normal"/>
    <w:link w:val="Bodytext3"/>
    <w:pPr>
      <w:shd w:val="clear" w:color="auto" w:fill="FFFFFF"/>
      <w:spacing w:before="140" w:after="140" w:line="224" w:lineRule="exact"/>
    </w:pPr>
    <w:rPr>
      <w:rFonts w:ascii="Arial" w:eastAsia="Arial" w:hAnsi="Arial" w:cs="Arial"/>
      <w:b/>
      <w:bCs/>
      <w:sz w:val="20"/>
      <w:szCs w:val="20"/>
    </w:rPr>
  </w:style>
  <w:style w:type="paragraph" w:customStyle="1" w:styleId="Heading310">
    <w:name w:val="Heading #3|1"/>
    <w:basedOn w:val="Normal"/>
    <w:link w:val="Heading31"/>
    <w:qFormat/>
    <w:pPr>
      <w:shd w:val="clear" w:color="auto" w:fill="FFFFFF"/>
      <w:spacing w:before="140" w:after="140" w:line="246" w:lineRule="exact"/>
      <w:outlineLvl w:val="2"/>
    </w:pPr>
    <w:rPr>
      <w:rFonts w:ascii="Arial" w:eastAsia="Arial" w:hAnsi="Arial" w:cs="Arial"/>
      <w:b/>
      <w:bCs/>
      <w:sz w:val="22"/>
      <w:szCs w:val="22"/>
    </w:rPr>
  </w:style>
  <w:style w:type="paragraph" w:customStyle="1" w:styleId="Heading210">
    <w:name w:val="Heading #2|1"/>
    <w:basedOn w:val="Normal"/>
    <w:link w:val="Heading21"/>
    <w:qFormat/>
    <w:pPr>
      <w:shd w:val="clear" w:color="auto" w:fill="FFFFFF"/>
      <w:spacing w:before="460" w:after="460" w:line="290" w:lineRule="exact"/>
      <w:outlineLvl w:val="1"/>
    </w:pPr>
    <w:rPr>
      <w:rFonts w:ascii="Arial" w:eastAsia="Arial" w:hAnsi="Arial" w:cs="Arial"/>
      <w:sz w:val="26"/>
      <w:szCs w:val="26"/>
    </w:rPr>
  </w:style>
  <w:style w:type="paragraph" w:styleId="Header">
    <w:name w:val="header"/>
    <w:basedOn w:val="Normal"/>
    <w:link w:val="HeaderChar"/>
    <w:uiPriority w:val="99"/>
    <w:unhideWhenUsed/>
    <w:rsid w:val="00A305DA"/>
    <w:pPr>
      <w:tabs>
        <w:tab w:val="center" w:pos="4513"/>
        <w:tab w:val="right" w:pos="9026"/>
      </w:tabs>
    </w:pPr>
  </w:style>
  <w:style w:type="character" w:customStyle="1" w:styleId="HeaderChar">
    <w:name w:val="Header Char"/>
    <w:basedOn w:val="DefaultParagraphFont"/>
    <w:link w:val="Header"/>
    <w:uiPriority w:val="99"/>
    <w:rsid w:val="00A305DA"/>
    <w:rPr>
      <w:color w:val="000000"/>
    </w:rPr>
  </w:style>
  <w:style w:type="paragraph" w:styleId="Footer">
    <w:name w:val="footer"/>
    <w:basedOn w:val="Normal"/>
    <w:link w:val="FooterChar"/>
    <w:uiPriority w:val="99"/>
    <w:unhideWhenUsed/>
    <w:rsid w:val="00A305DA"/>
    <w:pPr>
      <w:tabs>
        <w:tab w:val="center" w:pos="4513"/>
        <w:tab w:val="right" w:pos="9026"/>
      </w:tabs>
    </w:pPr>
  </w:style>
  <w:style w:type="character" w:customStyle="1" w:styleId="FooterChar">
    <w:name w:val="Footer Char"/>
    <w:basedOn w:val="DefaultParagraphFont"/>
    <w:link w:val="Footer"/>
    <w:uiPriority w:val="99"/>
    <w:rsid w:val="00A305DA"/>
    <w:rPr>
      <w:color w:val="000000"/>
    </w:rPr>
  </w:style>
  <w:style w:type="paragraph" w:styleId="BodyText">
    <w:name w:val="Body Text"/>
    <w:basedOn w:val="Normal"/>
    <w:link w:val="BodyTextChar"/>
    <w:qFormat/>
    <w:rsid w:val="0010094C"/>
    <w:pPr>
      <w:widowControl/>
    </w:pPr>
    <w:rPr>
      <w:rFonts w:ascii="Arial" w:hAnsi="Arial"/>
      <w:color w:val="auto"/>
      <w:sz w:val="20"/>
      <w:szCs w:val="20"/>
      <w:lang w:val="en-AU" w:eastAsia="en-AU" w:bidi="ar-SA"/>
    </w:rPr>
  </w:style>
  <w:style w:type="character" w:customStyle="1" w:styleId="BodyTextChar">
    <w:name w:val="Body Text Char"/>
    <w:basedOn w:val="DefaultParagraphFont"/>
    <w:link w:val="BodyText"/>
    <w:rsid w:val="0010094C"/>
    <w:rPr>
      <w:rFonts w:ascii="Arial" w:hAnsi="Arial"/>
      <w:sz w:val="20"/>
      <w:szCs w:val="20"/>
      <w:lang w:val="en-AU" w:eastAsia="en-AU" w:bidi="ar-SA"/>
    </w:rPr>
  </w:style>
  <w:style w:type="paragraph" w:customStyle="1" w:styleId="Restriction">
    <w:name w:val="Restriction"/>
    <w:basedOn w:val="Normal"/>
    <w:qFormat/>
    <w:rsid w:val="0010094C"/>
    <w:pPr>
      <w:widowControl/>
      <w:spacing w:before="100" w:line="288" w:lineRule="auto"/>
    </w:pPr>
    <w:rPr>
      <w:rFonts w:ascii="Arial" w:hAnsi="Arial"/>
      <w:b/>
      <w:color w:val="auto"/>
      <w:sz w:val="20"/>
      <w:szCs w:val="20"/>
      <w:lang w:val="en-AU" w:eastAsia="en-AU" w:bidi="ar-SA"/>
    </w:rPr>
  </w:style>
  <w:style w:type="character" w:styleId="Hyperlink">
    <w:name w:val="Hyperlink"/>
    <w:basedOn w:val="DefaultParagraphFont"/>
    <w:uiPriority w:val="99"/>
    <w:unhideWhenUsed/>
    <w:rsid w:val="0010094C"/>
    <w:rPr>
      <w:color w:val="0563C1" w:themeColor="hyperlink"/>
      <w:u w:val="single"/>
    </w:rPr>
  </w:style>
  <w:style w:type="character" w:customStyle="1" w:styleId="UnresolvedMention1">
    <w:name w:val="Unresolved Mention1"/>
    <w:basedOn w:val="DefaultParagraphFont"/>
    <w:uiPriority w:val="99"/>
    <w:semiHidden/>
    <w:unhideWhenUsed/>
    <w:rsid w:val="0010094C"/>
    <w:rPr>
      <w:color w:val="605E5C"/>
      <w:shd w:val="clear" w:color="auto" w:fill="E1DFDD"/>
    </w:rPr>
  </w:style>
  <w:style w:type="paragraph" w:customStyle="1" w:styleId="HeaderTitle2">
    <w:name w:val="Header Title 2"/>
    <w:basedOn w:val="Normal"/>
    <w:rsid w:val="00D26E07"/>
    <w:pPr>
      <w:widowControl/>
      <w:spacing w:before="60" w:after="40"/>
    </w:pPr>
    <w:rPr>
      <w:rFonts w:ascii="Arial" w:hAnsi="Arial"/>
      <w:noProof/>
      <w:color w:val="auto"/>
      <w:sz w:val="20"/>
      <w:szCs w:val="20"/>
      <w:lang w:val="en-AU" w:bidi="ar-SA"/>
    </w:rPr>
  </w:style>
  <w:style w:type="paragraph" w:styleId="ListParagraph">
    <w:name w:val="List Paragraph"/>
    <w:basedOn w:val="Normal"/>
    <w:uiPriority w:val="34"/>
    <w:qFormat/>
    <w:rsid w:val="00905479"/>
    <w:pPr>
      <w:ind w:left="720"/>
      <w:contextualSpacing/>
    </w:pPr>
  </w:style>
  <w:style w:type="paragraph" w:styleId="BalloonText">
    <w:name w:val="Balloon Text"/>
    <w:basedOn w:val="Normal"/>
    <w:link w:val="BalloonTextChar"/>
    <w:uiPriority w:val="99"/>
    <w:semiHidden/>
    <w:unhideWhenUsed/>
    <w:rsid w:val="00400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689"/>
    <w:rPr>
      <w:rFonts w:ascii="Segoe UI" w:hAnsi="Segoe UI" w:cs="Segoe UI"/>
      <w:color w:val="000000"/>
      <w:sz w:val="18"/>
      <w:szCs w:val="18"/>
    </w:rPr>
  </w:style>
  <w:style w:type="paragraph" w:styleId="FootnoteText">
    <w:name w:val="footnote text"/>
    <w:basedOn w:val="Normal"/>
    <w:link w:val="FootnoteTextChar"/>
    <w:rsid w:val="00AF4D5E"/>
    <w:pPr>
      <w:widowControl/>
      <w:spacing w:after="120"/>
    </w:pPr>
    <w:rPr>
      <w:rFonts w:asciiTheme="minorHAnsi" w:eastAsia="MS Mincho" w:hAnsiTheme="minorHAnsi"/>
      <w:color w:val="auto"/>
      <w:sz w:val="16"/>
      <w:szCs w:val="20"/>
      <w:lang w:val="en-AU" w:eastAsia="ja-JP" w:bidi="ar-SA"/>
    </w:rPr>
  </w:style>
  <w:style w:type="character" w:customStyle="1" w:styleId="FootnoteTextChar">
    <w:name w:val="Footnote Text Char"/>
    <w:basedOn w:val="DefaultParagraphFont"/>
    <w:link w:val="FootnoteText"/>
    <w:rsid w:val="00AF4D5E"/>
    <w:rPr>
      <w:rFonts w:asciiTheme="minorHAnsi" w:eastAsia="MS Mincho" w:hAnsiTheme="minorHAnsi"/>
      <w:sz w:val="16"/>
      <w:szCs w:val="20"/>
      <w:lang w:val="en-AU"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287010">
      <w:bodyDiv w:val="1"/>
      <w:marLeft w:val="0"/>
      <w:marRight w:val="0"/>
      <w:marTop w:val="0"/>
      <w:marBottom w:val="0"/>
      <w:divBdr>
        <w:top w:val="none" w:sz="0" w:space="0" w:color="auto"/>
        <w:left w:val="none" w:sz="0" w:space="0" w:color="auto"/>
        <w:bottom w:val="none" w:sz="0" w:space="0" w:color="auto"/>
        <w:right w:val="none" w:sz="0" w:space="0" w:color="auto"/>
      </w:divBdr>
    </w:div>
    <w:div w:id="367610115">
      <w:bodyDiv w:val="1"/>
      <w:marLeft w:val="0"/>
      <w:marRight w:val="0"/>
      <w:marTop w:val="0"/>
      <w:marBottom w:val="0"/>
      <w:divBdr>
        <w:top w:val="none" w:sz="0" w:space="0" w:color="auto"/>
        <w:left w:val="none" w:sz="0" w:space="0" w:color="auto"/>
        <w:bottom w:val="none" w:sz="0" w:space="0" w:color="auto"/>
        <w:right w:val="none" w:sz="0" w:space="0" w:color="auto"/>
      </w:divBdr>
    </w:div>
    <w:div w:id="750929789">
      <w:bodyDiv w:val="1"/>
      <w:marLeft w:val="0"/>
      <w:marRight w:val="0"/>
      <w:marTop w:val="0"/>
      <w:marBottom w:val="0"/>
      <w:divBdr>
        <w:top w:val="none" w:sz="0" w:space="0" w:color="auto"/>
        <w:left w:val="none" w:sz="0" w:space="0" w:color="auto"/>
        <w:bottom w:val="none" w:sz="0" w:space="0" w:color="auto"/>
        <w:right w:val="none" w:sz="0" w:space="0" w:color="auto"/>
      </w:divBdr>
    </w:div>
    <w:div w:id="1008827284">
      <w:bodyDiv w:val="1"/>
      <w:marLeft w:val="0"/>
      <w:marRight w:val="0"/>
      <w:marTop w:val="0"/>
      <w:marBottom w:val="0"/>
      <w:divBdr>
        <w:top w:val="none" w:sz="0" w:space="0" w:color="auto"/>
        <w:left w:val="none" w:sz="0" w:space="0" w:color="auto"/>
        <w:bottom w:val="none" w:sz="0" w:space="0" w:color="auto"/>
        <w:right w:val="none" w:sz="0" w:space="0" w:color="auto"/>
      </w:divBdr>
    </w:div>
    <w:div w:id="1038428288">
      <w:bodyDiv w:val="1"/>
      <w:marLeft w:val="0"/>
      <w:marRight w:val="0"/>
      <w:marTop w:val="0"/>
      <w:marBottom w:val="0"/>
      <w:divBdr>
        <w:top w:val="none" w:sz="0" w:space="0" w:color="auto"/>
        <w:left w:val="none" w:sz="0" w:space="0" w:color="auto"/>
        <w:bottom w:val="none" w:sz="0" w:space="0" w:color="auto"/>
        <w:right w:val="none" w:sz="0" w:space="0" w:color="auto"/>
      </w:divBdr>
    </w:div>
    <w:div w:id="1162550680">
      <w:bodyDiv w:val="1"/>
      <w:marLeft w:val="0"/>
      <w:marRight w:val="0"/>
      <w:marTop w:val="0"/>
      <w:marBottom w:val="0"/>
      <w:divBdr>
        <w:top w:val="none" w:sz="0" w:space="0" w:color="auto"/>
        <w:left w:val="none" w:sz="0" w:space="0" w:color="auto"/>
        <w:bottom w:val="none" w:sz="0" w:space="0" w:color="auto"/>
        <w:right w:val="none" w:sz="0" w:space="0" w:color="auto"/>
      </w:divBdr>
    </w:div>
    <w:div w:id="1277980593">
      <w:bodyDiv w:val="1"/>
      <w:marLeft w:val="0"/>
      <w:marRight w:val="0"/>
      <w:marTop w:val="0"/>
      <w:marBottom w:val="0"/>
      <w:divBdr>
        <w:top w:val="none" w:sz="0" w:space="0" w:color="auto"/>
        <w:left w:val="none" w:sz="0" w:space="0" w:color="auto"/>
        <w:bottom w:val="none" w:sz="0" w:space="0" w:color="auto"/>
        <w:right w:val="none" w:sz="0" w:space="0" w:color="auto"/>
      </w:divBdr>
    </w:div>
    <w:div w:id="1535657269">
      <w:bodyDiv w:val="1"/>
      <w:marLeft w:val="0"/>
      <w:marRight w:val="0"/>
      <w:marTop w:val="0"/>
      <w:marBottom w:val="0"/>
      <w:divBdr>
        <w:top w:val="none" w:sz="0" w:space="0" w:color="auto"/>
        <w:left w:val="none" w:sz="0" w:space="0" w:color="auto"/>
        <w:bottom w:val="none" w:sz="0" w:space="0" w:color="auto"/>
        <w:right w:val="none" w:sz="0" w:space="0" w:color="auto"/>
      </w:divBdr>
    </w:div>
    <w:div w:id="1581712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IRBStakeholders@treasury.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3870</Words>
  <Characters>20777</Characters>
  <Application>Microsoft Office Word</Application>
  <DocSecurity>0</DocSecurity>
  <Lines>270</Lines>
  <Paragraphs>74</Paragraphs>
  <ScaleCrop>false</ScaleCrop>
  <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 Pacific Loan Market Association - Major reforms to the Foreign Investment Review Framework</dc:title>
  <dc:creator/>
  <cp:lastModifiedBy/>
  <cp:revision>1</cp:revision>
  <dcterms:created xsi:type="dcterms:W3CDTF">2020-11-02T02:22:00Z</dcterms:created>
  <dcterms:modified xsi:type="dcterms:W3CDTF">2020-11-02T02:22:00Z</dcterms:modified>
  <dc:language>English</dc:language>
</cp:coreProperties>
</file>