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057"/>
      </w:tblGrid>
      <w:tr w:rsidR="006D6081" w14:paraId="40F30BDD" w14:textId="77777777" w:rsidTr="006D6081">
        <w:tc>
          <w:tcPr>
            <w:tcW w:w="5000" w:type="pct"/>
            <w:shd w:val="clear" w:color="auto" w:fill="auto"/>
          </w:tcPr>
          <w:p w14:paraId="4AF3AA94" w14:textId="77777777" w:rsidR="006D6081" w:rsidRDefault="006D6081" w:rsidP="006D6081">
            <w:pPr>
              <w:jc w:val="center"/>
              <w:rPr>
                <w:b/>
                <w:sz w:val="26"/>
              </w:rPr>
            </w:pPr>
            <w:bookmarkStart w:id="0" w:name="_GoBack"/>
            <w:bookmarkEnd w:id="0"/>
            <w:r>
              <w:rPr>
                <w:b/>
                <w:sz w:val="26"/>
              </w:rPr>
              <w:t>EXPOSURE DRAFT</w:t>
            </w:r>
          </w:p>
          <w:p w14:paraId="00E3DF1D" w14:textId="77777777" w:rsidR="006D6081" w:rsidRPr="006D6081" w:rsidRDefault="006D6081" w:rsidP="006D6081">
            <w:pPr>
              <w:rPr>
                <w:b/>
                <w:sz w:val="20"/>
              </w:rPr>
            </w:pPr>
          </w:p>
        </w:tc>
      </w:tr>
    </w:tbl>
    <w:p w14:paraId="471AFD32" w14:textId="77777777" w:rsidR="006D6081" w:rsidRDefault="006D6081" w:rsidP="00D37A1B">
      <w:pPr>
        <w:rPr>
          <w:sz w:val="32"/>
          <w:szCs w:val="32"/>
        </w:rPr>
      </w:pPr>
    </w:p>
    <w:p w14:paraId="71703948" w14:textId="77777777" w:rsidR="007239E8" w:rsidRPr="00172AEB" w:rsidRDefault="007239E8" w:rsidP="00D37A1B">
      <w:pPr>
        <w:rPr>
          <w:sz w:val="32"/>
          <w:szCs w:val="32"/>
        </w:rPr>
      </w:pPr>
      <w:r w:rsidRPr="00172AEB">
        <w:rPr>
          <w:sz w:val="32"/>
          <w:szCs w:val="32"/>
        </w:rPr>
        <w:t>Inserts for</w:t>
      </w:r>
    </w:p>
    <w:p w14:paraId="7952825A" w14:textId="77777777" w:rsidR="007239E8" w:rsidRPr="00172AEB" w:rsidRDefault="007239E8" w:rsidP="00D37A1B">
      <w:pPr>
        <w:pStyle w:val="ShortT"/>
      </w:pPr>
      <w:r w:rsidRPr="00172AEB">
        <w:t xml:space="preserve">Treasury Laws Amendment (Measures for a later sitting) Bill 2020: Best Financial Interests </w:t>
      </w:r>
      <w:r w:rsidR="002B4F0E">
        <w:t>Duty</w:t>
      </w:r>
    </w:p>
    <w:p w14:paraId="6D5FB8FE" w14:textId="77777777" w:rsidR="007239E8" w:rsidRPr="00172AEB" w:rsidRDefault="007239E8" w:rsidP="00D37A1B">
      <w:pPr>
        <w:jc w:val="center"/>
      </w:pPr>
    </w:p>
    <w:p w14:paraId="0C48E3AF" w14:textId="77777777" w:rsidR="007239E8" w:rsidRPr="00172AEB" w:rsidRDefault="007239E8" w:rsidP="00D37A1B">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239E8" w:rsidRPr="00172AEB" w14:paraId="12238D89" w14:textId="77777777" w:rsidTr="001615AD">
        <w:trPr>
          <w:tblHeader/>
        </w:trPr>
        <w:tc>
          <w:tcPr>
            <w:tcW w:w="7111" w:type="dxa"/>
            <w:gridSpan w:val="3"/>
            <w:tcBorders>
              <w:top w:val="single" w:sz="12" w:space="0" w:color="auto"/>
              <w:bottom w:val="single" w:sz="6" w:space="0" w:color="auto"/>
            </w:tcBorders>
            <w:shd w:val="clear" w:color="auto" w:fill="auto"/>
          </w:tcPr>
          <w:p w14:paraId="63536A58" w14:textId="77777777" w:rsidR="007239E8" w:rsidRPr="00172AEB" w:rsidRDefault="007239E8" w:rsidP="00D37A1B">
            <w:pPr>
              <w:pStyle w:val="TableHeading"/>
            </w:pPr>
            <w:r w:rsidRPr="00172AEB">
              <w:t>Commencement information</w:t>
            </w:r>
          </w:p>
        </w:tc>
      </w:tr>
      <w:tr w:rsidR="007239E8" w:rsidRPr="00172AEB" w14:paraId="1E6D152F" w14:textId="77777777" w:rsidTr="001615AD">
        <w:trPr>
          <w:tblHeader/>
        </w:trPr>
        <w:tc>
          <w:tcPr>
            <w:tcW w:w="1701" w:type="dxa"/>
            <w:tcBorders>
              <w:top w:val="single" w:sz="6" w:space="0" w:color="auto"/>
              <w:bottom w:val="single" w:sz="6" w:space="0" w:color="auto"/>
            </w:tcBorders>
            <w:shd w:val="clear" w:color="auto" w:fill="auto"/>
          </w:tcPr>
          <w:p w14:paraId="78F972E5" w14:textId="77777777" w:rsidR="007239E8" w:rsidRPr="00172AEB" w:rsidRDefault="007239E8" w:rsidP="00D37A1B">
            <w:pPr>
              <w:pStyle w:val="TableHeading"/>
            </w:pPr>
            <w:r w:rsidRPr="00172AEB">
              <w:t>Column 1</w:t>
            </w:r>
          </w:p>
        </w:tc>
        <w:tc>
          <w:tcPr>
            <w:tcW w:w="3828" w:type="dxa"/>
            <w:tcBorders>
              <w:top w:val="single" w:sz="6" w:space="0" w:color="auto"/>
              <w:bottom w:val="single" w:sz="6" w:space="0" w:color="auto"/>
            </w:tcBorders>
            <w:shd w:val="clear" w:color="auto" w:fill="auto"/>
          </w:tcPr>
          <w:p w14:paraId="14B9A8E4" w14:textId="77777777" w:rsidR="007239E8" w:rsidRPr="00172AEB" w:rsidRDefault="007239E8" w:rsidP="00D37A1B">
            <w:pPr>
              <w:pStyle w:val="TableHeading"/>
            </w:pPr>
            <w:r w:rsidRPr="00172AEB">
              <w:t>Column 2</w:t>
            </w:r>
          </w:p>
        </w:tc>
        <w:tc>
          <w:tcPr>
            <w:tcW w:w="1582" w:type="dxa"/>
            <w:tcBorders>
              <w:top w:val="single" w:sz="6" w:space="0" w:color="auto"/>
              <w:bottom w:val="single" w:sz="6" w:space="0" w:color="auto"/>
            </w:tcBorders>
            <w:shd w:val="clear" w:color="auto" w:fill="auto"/>
          </w:tcPr>
          <w:p w14:paraId="3190E34F" w14:textId="77777777" w:rsidR="007239E8" w:rsidRPr="00172AEB" w:rsidRDefault="007239E8" w:rsidP="00D37A1B">
            <w:pPr>
              <w:pStyle w:val="TableHeading"/>
            </w:pPr>
            <w:r w:rsidRPr="00172AEB">
              <w:t>Column 3</w:t>
            </w:r>
          </w:p>
        </w:tc>
      </w:tr>
      <w:tr w:rsidR="007239E8" w:rsidRPr="00172AEB" w14:paraId="30ABFF09" w14:textId="77777777" w:rsidTr="001615AD">
        <w:trPr>
          <w:tblHeader/>
        </w:trPr>
        <w:tc>
          <w:tcPr>
            <w:tcW w:w="1701" w:type="dxa"/>
            <w:tcBorders>
              <w:top w:val="single" w:sz="6" w:space="0" w:color="auto"/>
              <w:bottom w:val="single" w:sz="12" w:space="0" w:color="auto"/>
            </w:tcBorders>
            <w:shd w:val="clear" w:color="auto" w:fill="auto"/>
          </w:tcPr>
          <w:p w14:paraId="59D26A7D" w14:textId="77777777" w:rsidR="007239E8" w:rsidRPr="00172AEB" w:rsidRDefault="007239E8" w:rsidP="00D37A1B">
            <w:pPr>
              <w:pStyle w:val="TableHeading"/>
            </w:pPr>
            <w:r w:rsidRPr="00172AEB">
              <w:t>Provisions</w:t>
            </w:r>
          </w:p>
        </w:tc>
        <w:tc>
          <w:tcPr>
            <w:tcW w:w="3828" w:type="dxa"/>
            <w:tcBorders>
              <w:top w:val="single" w:sz="6" w:space="0" w:color="auto"/>
              <w:bottom w:val="single" w:sz="12" w:space="0" w:color="auto"/>
            </w:tcBorders>
            <w:shd w:val="clear" w:color="auto" w:fill="auto"/>
          </w:tcPr>
          <w:p w14:paraId="784C2303" w14:textId="77777777" w:rsidR="007239E8" w:rsidRPr="00172AEB" w:rsidRDefault="007239E8" w:rsidP="00D37A1B">
            <w:pPr>
              <w:pStyle w:val="TableHeading"/>
            </w:pPr>
            <w:r w:rsidRPr="00172AEB">
              <w:t>Commencement</w:t>
            </w:r>
          </w:p>
        </w:tc>
        <w:tc>
          <w:tcPr>
            <w:tcW w:w="1582" w:type="dxa"/>
            <w:tcBorders>
              <w:top w:val="single" w:sz="6" w:space="0" w:color="auto"/>
              <w:bottom w:val="single" w:sz="12" w:space="0" w:color="auto"/>
            </w:tcBorders>
            <w:shd w:val="clear" w:color="auto" w:fill="auto"/>
          </w:tcPr>
          <w:p w14:paraId="1BE80F9F" w14:textId="77777777" w:rsidR="007239E8" w:rsidRPr="00172AEB" w:rsidRDefault="007239E8" w:rsidP="00D37A1B">
            <w:pPr>
              <w:pStyle w:val="TableHeading"/>
            </w:pPr>
            <w:r w:rsidRPr="00172AEB">
              <w:t>Date/Details</w:t>
            </w:r>
          </w:p>
        </w:tc>
      </w:tr>
      <w:tr w:rsidR="007239E8" w:rsidRPr="00172AEB" w14:paraId="54BFFD1D" w14:textId="77777777" w:rsidTr="001615AD">
        <w:tc>
          <w:tcPr>
            <w:tcW w:w="1701" w:type="dxa"/>
            <w:tcBorders>
              <w:top w:val="single" w:sz="12" w:space="0" w:color="auto"/>
              <w:bottom w:val="single" w:sz="12" w:space="0" w:color="auto"/>
            </w:tcBorders>
            <w:shd w:val="clear" w:color="auto" w:fill="auto"/>
          </w:tcPr>
          <w:p w14:paraId="5163BF8E" w14:textId="77777777" w:rsidR="007239E8" w:rsidRPr="00172AEB" w:rsidRDefault="007239E8" w:rsidP="00D37A1B">
            <w:pPr>
              <w:pStyle w:val="Tabletext"/>
            </w:pPr>
            <w:r w:rsidRPr="00172AEB">
              <w:t>1.  Schedule 1</w:t>
            </w:r>
          </w:p>
        </w:tc>
        <w:tc>
          <w:tcPr>
            <w:tcW w:w="3828" w:type="dxa"/>
            <w:tcBorders>
              <w:top w:val="single" w:sz="12" w:space="0" w:color="auto"/>
              <w:bottom w:val="single" w:sz="12" w:space="0" w:color="auto"/>
            </w:tcBorders>
            <w:shd w:val="clear" w:color="auto" w:fill="auto"/>
          </w:tcPr>
          <w:p w14:paraId="7AB888C4" w14:textId="77777777" w:rsidR="007239E8" w:rsidRPr="00172AEB" w:rsidRDefault="007239E8" w:rsidP="00D37A1B">
            <w:pPr>
              <w:pStyle w:val="Tabletext"/>
            </w:pPr>
            <w:r w:rsidRPr="00172AEB">
              <w:t>The day after this Act receives the Royal Assent.</w:t>
            </w:r>
          </w:p>
        </w:tc>
        <w:tc>
          <w:tcPr>
            <w:tcW w:w="1582" w:type="dxa"/>
            <w:tcBorders>
              <w:top w:val="single" w:sz="12" w:space="0" w:color="auto"/>
              <w:bottom w:val="single" w:sz="12" w:space="0" w:color="auto"/>
            </w:tcBorders>
            <w:shd w:val="clear" w:color="auto" w:fill="auto"/>
          </w:tcPr>
          <w:p w14:paraId="1463D3C6" w14:textId="77777777" w:rsidR="007239E8" w:rsidRPr="00172AEB" w:rsidRDefault="007239E8" w:rsidP="00D37A1B">
            <w:pPr>
              <w:pStyle w:val="Tabletext"/>
            </w:pPr>
          </w:p>
        </w:tc>
      </w:tr>
    </w:tbl>
    <w:p w14:paraId="645E257D" w14:textId="77777777" w:rsidR="007239E8" w:rsidRPr="00172AEB" w:rsidRDefault="007239E8" w:rsidP="00D37A1B">
      <w:pPr>
        <w:pStyle w:val="ActHead6"/>
      </w:pPr>
      <w:bookmarkStart w:id="1" w:name="_Toc54682813"/>
      <w:bookmarkStart w:id="2" w:name="opcAmSched"/>
      <w:bookmarkStart w:id="3" w:name="opcCurrentFind"/>
      <w:r w:rsidRPr="006D6081">
        <w:rPr>
          <w:rStyle w:val="CharAmSchNo"/>
        </w:rPr>
        <w:t>Schedule 1</w:t>
      </w:r>
      <w:r w:rsidRPr="00172AEB">
        <w:t>—</w:t>
      </w:r>
      <w:r w:rsidR="002B4F0E" w:rsidRPr="006D6081">
        <w:rPr>
          <w:rStyle w:val="CharAmSchText"/>
        </w:rPr>
        <w:t>B</w:t>
      </w:r>
      <w:r w:rsidRPr="006D6081">
        <w:rPr>
          <w:rStyle w:val="CharAmSchText"/>
        </w:rPr>
        <w:t>est</w:t>
      </w:r>
      <w:r w:rsidR="00A32C69" w:rsidRPr="006D6081">
        <w:rPr>
          <w:rStyle w:val="CharAmSchText"/>
        </w:rPr>
        <w:t xml:space="preserve"> financial</w:t>
      </w:r>
      <w:r w:rsidRPr="006D6081">
        <w:rPr>
          <w:rStyle w:val="CharAmSchText"/>
        </w:rPr>
        <w:t xml:space="preserve"> interest </w:t>
      </w:r>
      <w:bookmarkEnd w:id="1"/>
      <w:r w:rsidR="002B4F0E" w:rsidRPr="006D6081">
        <w:rPr>
          <w:rStyle w:val="CharAmSchText"/>
        </w:rPr>
        <w:t>duty</w:t>
      </w:r>
    </w:p>
    <w:p w14:paraId="0AD11217" w14:textId="77777777" w:rsidR="00890F9E" w:rsidRPr="00172AEB" w:rsidRDefault="00B12540" w:rsidP="00D37A1B">
      <w:pPr>
        <w:pStyle w:val="ActHead7"/>
      </w:pPr>
      <w:bookmarkStart w:id="4" w:name="_Toc54682814"/>
      <w:bookmarkEnd w:id="2"/>
      <w:bookmarkEnd w:id="3"/>
      <w:r w:rsidRPr="006D6081">
        <w:rPr>
          <w:rStyle w:val="CharAmPartNo"/>
        </w:rPr>
        <w:t>Part 1</w:t>
      </w:r>
      <w:r w:rsidR="00890F9E" w:rsidRPr="00172AEB">
        <w:t>—</w:t>
      </w:r>
      <w:r w:rsidR="00890F9E" w:rsidRPr="006D6081">
        <w:rPr>
          <w:rStyle w:val="CharAmPartText"/>
        </w:rPr>
        <w:t>Amendments</w:t>
      </w:r>
      <w:bookmarkEnd w:id="4"/>
    </w:p>
    <w:p w14:paraId="11AFC27E" w14:textId="77777777" w:rsidR="007239E8" w:rsidRPr="00172AEB" w:rsidRDefault="007239E8" w:rsidP="00D37A1B">
      <w:pPr>
        <w:pStyle w:val="ActHead9"/>
        <w:rPr>
          <w:i w:val="0"/>
        </w:rPr>
      </w:pPr>
      <w:bookmarkStart w:id="5" w:name="_Toc54682815"/>
      <w:r w:rsidRPr="00172AEB">
        <w:t>Superannuation Industry (Supervision) Act 1993</w:t>
      </w:r>
      <w:bookmarkEnd w:id="5"/>
    </w:p>
    <w:p w14:paraId="1EC50FDA" w14:textId="77777777" w:rsidR="00F37404" w:rsidRPr="00172AEB" w:rsidRDefault="00975E4D" w:rsidP="00D37A1B">
      <w:pPr>
        <w:pStyle w:val="ItemHead"/>
      </w:pPr>
      <w:r w:rsidRPr="00172AEB">
        <w:t>1</w:t>
      </w:r>
      <w:r w:rsidR="00F37404" w:rsidRPr="00172AEB">
        <w:t xml:space="preserve">  </w:t>
      </w:r>
      <w:r w:rsidR="00B12540" w:rsidRPr="00172AEB">
        <w:t>Subsection 1</w:t>
      </w:r>
      <w:r w:rsidR="00F37404" w:rsidRPr="00172AEB">
        <w:t>0(1)</w:t>
      </w:r>
    </w:p>
    <w:p w14:paraId="08FDDAE4" w14:textId="77777777" w:rsidR="00F37404" w:rsidRPr="00172AEB" w:rsidRDefault="00F37404" w:rsidP="00D37A1B">
      <w:pPr>
        <w:pStyle w:val="Item"/>
      </w:pPr>
      <w:r w:rsidRPr="00172AEB">
        <w:t>Insert:</w:t>
      </w:r>
    </w:p>
    <w:p w14:paraId="0DC31541" w14:textId="77777777" w:rsidR="00F37404" w:rsidRPr="00172AEB" w:rsidRDefault="00F37404" w:rsidP="00D37A1B">
      <w:pPr>
        <w:pStyle w:val="Definition"/>
      </w:pPr>
      <w:r w:rsidRPr="00172AEB">
        <w:rPr>
          <w:b/>
          <w:i/>
        </w:rPr>
        <w:t>evidential burden</w:t>
      </w:r>
      <w:r w:rsidRPr="00172AEB">
        <w:t>, in relation to a matter, means the burden of adducing or pointing to evidence that suggests a reasonable possibility that the matter exists or does not exist.</w:t>
      </w:r>
    </w:p>
    <w:p w14:paraId="1013097A" w14:textId="77777777" w:rsidR="00496A5D" w:rsidRPr="00172AEB" w:rsidRDefault="00975E4D" w:rsidP="00D37A1B">
      <w:pPr>
        <w:pStyle w:val="ItemHead"/>
      </w:pPr>
      <w:r w:rsidRPr="00172AEB">
        <w:t>2</w:t>
      </w:r>
      <w:r w:rsidR="00D66829" w:rsidRPr="00172AEB">
        <w:t xml:space="preserve">  After </w:t>
      </w:r>
      <w:r w:rsidR="00B12540" w:rsidRPr="00172AEB">
        <w:t>subsection 3</w:t>
      </w:r>
      <w:r w:rsidR="00D66829" w:rsidRPr="00172AEB">
        <w:t>4(2)</w:t>
      </w:r>
    </w:p>
    <w:p w14:paraId="455F3CE6" w14:textId="77777777" w:rsidR="00D66829" w:rsidRPr="00172AEB" w:rsidRDefault="00D66829" w:rsidP="00D37A1B">
      <w:pPr>
        <w:pStyle w:val="Item"/>
      </w:pPr>
      <w:r w:rsidRPr="00172AEB">
        <w:t>Insert:</w:t>
      </w:r>
    </w:p>
    <w:p w14:paraId="71B02A81" w14:textId="77777777" w:rsidR="00D66829" w:rsidRPr="00172AEB" w:rsidRDefault="00006862" w:rsidP="00D37A1B">
      <w:pPr>
        <w:pStyle w:val="SubsectionHead"/>
      </w:pPr>
      <w:r w:rsidRPr="00172AEB">
        <w:t>Standards relating to record keeping obligations</w:t>
      </w:r>
    </w:p>
    <w:p w14:paraId="0E5B86BC" w14:textId="77777777" w:rsidR="00D66829" w:rsidRPr="00172AEB" w:rsidRDefault="00D66829" w:rsidP="00D37A1B">
      <w:pPr>
        <w:pStyle w:val="subsection"/>
      </w:pPr>
      <w:r w:rsidRPr="00172AEB">
        <w:tab/>
        <w:t>(2A)</w:t>
      </w:r>
      <w:r w:rsidRPr="00172AEB">
        <w:tab/>
        <w:t xml:space="preserve">If standards are prescribed by the regulations for the purposes of </w:t>
      </w:r>
      <w:r w:rsidR="00B12540" w:rsidRPr="00172AEB">
        <w:t>paragraph 3</w:t>
      </w:r>
      <w:r w:rsidRPr="00172AEB">
        <w:t>1(2)(n), 32(2)(g) or 33(2)(e), each trustee of a superannuation entity must ensure that those standards are, when applied to the operation of the entity, complied with at all times.</w:t>
      </w:r>
    </w:p>
    <w:p w14:paraId="684C951D" w14:textId="77777777" w:rsidR="00D66829" w:rsidRPr="00172AEB" w:rsidRDefault="00D66829" w:rsidP="00D37A1B">
      <w:pPr>
        <w:pStyle w:val="Penalty"/>
      </w:pPr>
      <w:r w:rsidRPr="00172AEB">
        <w:lastRenderedPageBreak/>
        <w:t>Penalty:</w:t>
      </w:r>
      <w:r w:rsidRPr="00172AEB">
        <w:tab/>
        <w:t>50 penalty units.</w:t>
      </w:r>
    </w:p>
    <w:p w14:paraId="5D0169ED" w14:textId="77777777" w:rsidR="00D66829" w:rsidRPr="00172AEB" w:rsidRDefault="00D66829" w:rsidP="00D37A1B">
      <w:pPr>
        <w:pStyle w:val="subsection"/>
      </w:pPr>
      <w:r w:rsidRPr="00172AEB">
        <w:tab/>
        <w:t>(2B)</w:t>
      </w:r>
      <w:r w:rsidRPr="00172AEB">
        <w:tab/>
        <w:t>Subsection (2A) is an offence of strict liability.</w:t>
      </w:r>
    </w:p>
    <w:p w14:paraId="1A49949F" w14:textId="77777777" w:rsidR="00853A95" w:rsidRPr="00172AEB" w:rsidRDefault="00975E4D" w:rsidP="00D37A1B">
      <w:pPr>
        <w:pStyle w:val="ItemHead"/>
      </w:pPr>
      <w:r w:rsidRPr="00172AEB">
        <w:t>3</w:t>
      </w:r>
      <w:r w:rsidR="00853A95" w:rsidRPr="00172AEB">
        <w:t xml:space="preserve">  </w:t>
      </w:r>
      <w:r w:rsidR="00B12540" w:rsidRPr="00172AEB">
        <w:t>Subsection 3</w:t>
      </w:r>
      <w:r w:rsidR="00853A95" w:rsidRPr="00172AEB">
        <w:t>4(3)</w:t>
      </w:r>
    </w:p>
    <w:p w14:paraId="13D76457" w14:textId="77777777" w:rsidR="00853A95" w:rsidRPr="00172AEB" w:rsidRDefault="00853A95" w:rsidP="00D37A1B">
      <w:pPr>
        <w:pStyle w:val="Item"/>
      </w:pPr>
      <w:r w:rsidRPr="00172AEB">
        <w:t>Repeal the subsection, substitute:</w:t>
      </w:r>
    </w:p>
    <w:p w14:paraId="49312982" w14:textId="77777777" w:rsidR="00853A95" w:rsidRPr="00172AEB" w:rsidRDefault="00853A95" w:rsidP="00D37A1B">
      <w:pPr>
        <w:pStyle w:val="SubsectionHead"/>
      </w:pPr>
      <w:r w:rsidRPr="00172AEB">
        <w:t>Validity of transaction not affected by contravention</w:t>
      </w:r>
    </w:p>
    <w:p w14:paraId="7E123A23" w14:textId="77777777" w:rsidR="00853A95" w:rsidRPr="00172AEB" w:rsidRDefault="00853A95" w:rsidP="00D37A1B">
      <w:pPr>
        <w:pStyle w:val="subsection"/>
      </w:pPr>
      <w:r w:rsidRPr="00172AEB">
        <w:tab/>
        <w:t>(3)</w:t>
      </w:r>
      <w:r w:rsidRPr="00172AEB">
        <w:tab/>
        <w:t xml:space="preserve">A contravention of </w:t>
      </w:r>
      <w:r w:rsidR="00B12540" w:rsidRPr="00172AEB">
        <w:t>subsection (</w:t>
      </w:r>
      <w:r w:rsidRPr="00172AEB">
        <w:t xml:space="preserve">1) </w:t>
      </w:r>
      <w:r w:rsidR="00D66829" w:rsidRPr="00172AEB">
        <w:t>or (2A</w:t>
      </w:r>
      <w:r w:rsidRPr="00172AEB">
        <w:t>) does not affect the validity of a transaction.</w:t>
      </w:r>
    </w:p>
    <w:p w14:paraId="1C4D4FB9" w14:textId="77777777" w:rsidR="00496A5D" w:rsidRPr="00172AEB" w:rsidRDefault="00975E4D" w:rsidP="00D37A1B">
      <w:pPr>
        <w:pStyle w:val="ItemHead"/>
      </w:pPr>
      <w:r w:rsidRPr="00172AEB">
        <w:t>4</w:t>
      </w:r>
      <w:r w:rsidR="00496A5D" w:rsidRPr="00172AEB">
        <w:t xml:space="preserve">  At the end of </w:t>
      </w:r>
      <w:r w:rsidR="00B12540" w:rsidRPr="00172AEB">
        <w:t>Division 2</w:t>
      </w:r>
      <w:r w:rsidR="00496A5D" w:rsidRPr="00172AEB">
        <w:t xml:space="preserve"> of </w:t>
      </w:r>
      <w:r w:rsidR="00B12540" w:rsidRPr="00172AEB">
        <w:t>Part 3</w:t>
      </w:r>
    </w:p>
    <w:p w14:paraId="5CF81B30" w14:textId="77777777" w:rsidR="00496A5D" w:rsidRPr="00172AEB" w:rsidRDefault="00496A5D" w:rsidP="00D37A1B">
      <w:pPr>
        <w:pStyle w:val="Item"/>
      </w:pPr>
      <w:r w:rsidRPr="00172AEB">
        <w:t>Add:</w:t>
      </w:r>
    </w:p>
    <w:p w14:paraId="3537D602" w14:textId="77777777" w:rsidR="00496A5D" w:rsidRPr="00172AEB" w:rsidRDefault="00496A5D" w:rsidP="00D37A1B">
      <w:pPr>
        <w:pStyle w:val="ActHead5"/>
      </w:pPr>
      <w:bookmarkStart w:id="6" w:name="_Toc54682816"/>
      <w:r w:rsidRPr="006D6081">
        <w:rPr>
          <w:rStyle w:val="CharSectno"/>
        </w:rPr>
        <w:t>34AA</w:t>
      </w:r>
      <w:r w:rsidRPr="00172AEB">
        <w:t xml:space="preserve">  Directors of corporate trustees to ensure that prescribed operating standards are complied with</w:t>
      </w:r>
      <w:bookmarkEnd w:id="6"/>
    </w:p>
    <w:p w14:paraId="3A19CED6" w14:textId="77777777" w:rsidR="00496A5D" w:rsidRPr="00172AEB" w:rsidRDefault="00496A5D" w:rsidP="00D37A1B">
      <w:pPr>
        <w:pStyle w:val="subsection"/>
      </w:pPr>
      <w:r w:rsidRPr="00172AEB">
        <w:tab/>
      </w:r>
      <w:r w:rsidRPr="00172AEB">
        <w:tab/>
        <w:t>A director of a corporate trustee of a superannuation entity commits an offence if:</w:t>
      </w:r>
    </w:p>
    <w:p w14:paraId="0B20C5DB" w14:textId="77777777" w:rsidR="00496A5D" w:rsidRPr="00172AEB" w:rsidRDefault="00496A5D" w:rsidP="00D37A1B">
      <w:pPr>
        <w:pStyle w:val="paragraph"/>
      </w:pPr>
      <w:r w:rsidRPr="00172AEB">
        <w:tab/>
        <w:t>(a)</w:t>
      </w:r>
      <w:r w:rsidRPr="00172AEB">
        <w:tab/>
        <w:t xml:space="preserve">a trustee of the entity commits an offence against </w:t>
      </w:r>
      <w:r w:rsidR="00B12540" w:rsidRPr="00172AEB">
        <w:t>subsection 3</w:t>
      </w:r>
      <w:r w:rsidRPr="00172AEB">
        <w:t>4(2); and</w:t>
      </w:r>
    </w:p>
    <w:p w14:paraId="03531B6F" w14:textId="77777777" w:rsidR="00496A5D" w:rsidRPr="00172AEB" w:rsidRDefault="00496A5D" w:rsidP="00D37A1B">
      <w:pPr>
        <w:pStyle w:val="paragraph"/>
      </w:pPr>
      <w:r w:rsidRPr="00172AEB">
        <w:tab/>
        <w:t>(b)</w:t>
      </w:r>
      <w:r w:rsidRPr="00172AEB">
        <w:tab/>
        <w:t xml:space="preserve">the offence relates to the contravention of a standard prescribed by the regulations for the purposes of </w:t>
      </w:r>
      <w:r w:rsidR="00B12540" w:rsidRPr="00172AEB">
        <w:t>paragraph 3</w:t>
      </w:r>
      <w:r w:rsidRPr="00172AEB">
        <w:t>1(2)(n), 32(2)(g) or 33(2)(e)</w:t>
      </w:r>
      <w:r w:rsidR="00E206DA" w:rsidRPr="00172AEB">
        <w:t>; and</w:t>
      </w:r>
    </w:p>
    <w:p w14:paraId="26501FA2" w14:textId="77777777" w:rsidR="00496A5D" w:rsidRPr="00172AEB" w:rsidRDefault="00496A5D" w:rsidP="00D37A1B">
      <w:pPr>
        <w:pStyle w:val="paragraph"/>
      </w:pPr>
      <w:r w:rsidRPr="00172AEB">
        <w:tab/>
        <w:t>(c)</w:t>
      </w:r>
      <w:r w:rsidRPr="00172AEB">
        <w:tab/>
        <w:t>the director of the corporate trustee of the entity was in a position to influence the conduct of the trustee of the entity in relation to the commission of the offence; and</w:t>
      </w:r>
    </w:p>
    <w:p w14:paraId="6ADA4711" w14:textId="77777777" w:rsidR="00496A5D" w:rsidRPr="00172AEB" w:rsidRDefault="00496A5D" w:rsidP="00D37A1B">
      <w:pPr>
        <w:pStyle w:val="paragraph"/>
      </w:pPr>
      <w:r w:rsidRPr="00172AEB">
        <w:tab/>
        <w:t>(d)</w:t>
      </w:r>
      <w:r w:rsidRPr="00172AEB">
        <w:tab/>
        <w:t>the director failed to take all reasonable steps to prevent the commission of the offence.</w:t>
      </w:r>
    </w:p>
    <w:p w14:paraId="52E55761" w14:textId="77777777" w:rsidR="00496A5D" w:rsidRPr="00172AEB" w:rsidRDefault="00496A5D" w:rsidP="00D37A1B">
      <w:pPr>
        <w:pStyle w:val="Penalty"/>
      </w:pPr>
      <w:r w:rsidRPr="00172AEB">
        <w:t>Penalty:</w:t>
      </w:r>
      <w:r w:rsidRPr="00172AEB">
        <w:tab/>
        <w:t>100 penalty units.</w:t>
      </w:r>
    </w:p>
    <w:p w14:paraId="4355F5FC" w14:textId="77777777" w:rsidR="00275586" w:rsidRPr="00172AEB" w:rsidRDefault="00975E4D" w:rsidP="00D37A1B">
      <w:pPr>
        <w:pStyle w:val="ItemHead"/>
      </w:pPr>
      <w:r w:rsidRPr="00172AEB">
        <w:t>5</w:t>
      </w:r>
      <w:r w:rsidR="00275586" w:rsidRPr="00172AEB">
        <w:t xml:space="preserve">  </w:t>
      </w:r>
      <w:r w:rsidR="00B12540" w:rsidRPr="00172AEB">
        <w:t>Paragraph 5</w:t>
      </w:r>
      <w:r w:rsidR="00275586" w:rsidRPr="00172AEB">
        <w:t>2(2)(c)</w:t>
      </w:r>
    </w:p>
    <w:p w14:paraId="53CAA4E7" w14:textId="77777777" w:rsidR="00275586" w:rsidRPr="00172AEB" w:rsidRDefault="00275586" w:rsidP="00D37A1B">
      <w:pPr>
        <w:pStyle w:val="Item"/>
      </w:pPr>
      <w:r w:rsidRPr="00172AEB">
        <w:t>Omit “best interests”, substitute “best financial interests”.</w:t>
      </w:r>
    </w:p>
    <w:p w14:paraId="20252263" w14:textId="77777777" w:rsidR="00275586" w:rsidRPr="00172AEB" w:rsidRDefault="00975E4D" w:rsidP="00D37A1B">
      <w:pPr>
        <w:pStyle w:val="ItemHead"/>
      </w:pPr>
      <w:r w:rsidRPr="00172AEB">
        <w:t>6</w:t>
      </w:r>
      <w:r w:rsidR="00275586" w:rsidRPr="00172AEB">
        <w:t xml:space="preserve">  After </w:t>
      </w:r>
      <w:r w:rsidR="00B12540" w:rsidRPr="00172AEB">
        <w:t>subsection 5</w:t>
      </w:r>
      <w:r w:rsidR="00275586" w:rsidRPr="00172AEB">
        <w:t>2(3)</w:t>
      </w:r>
    </w:p>
    <w:p w14:paraId="4BA4FC17" w14:textId="77777777" w:rsidR="00275586" w:rsidRPr="00172AEB" w:rsidRDefault="00275586" w:rsidP="00D37A1B">
      <w:pPr>
        <w:pStyle w:val="Item"/>
      </w:pPr>
      <w:r w:rsidRPr="00172AEB">
        <w:t>Insert:</w:t>
      </w:r>
    </w:p>
    <w:p w14:paraId="1367ED2D" w14:textId="77777777" w:rsidR="00114D07" w:rsidRPr="00172AEB" w:rsidRDefault="00114D07" w:rsidP="00D37A1B">
      <w:pPr>
        <w:pStyle w:val="SubsectionHead"/>
      </w:pPr>
      <w:r w:rsidRPr="00172AEB">
        <w:lastRenderedPageBreak/>
        <w:t>Payments to third parties must be in best financial interests of beneficiaries</w:t>
      </w:r>
    </w:p>
    <w:p w14:paraId="1502A3A1" w14:textId="77777777" w:rsidR="00275586" w:rsidRPr="00172AEB" w:rsidRDefault="00275586" w:rsidP="00D37A1B">
      <w:pPr>
        <w:pStyle w:val="subsection"/>
      </w:pPr>
      <w:r w:rsidRPr="00172AEB">
        <w:tab/>
        <w:t>(3A)</w:t>
      </w:r>
      <w:r w:rsidRPr="00172AEB">
        <w:tab/>
        <w:t xml:space="preserve">To avoid doubt, the </w:t>
      </w:r>
      <w:r w:rsidR="00906911" w:rsidRPr="00172AEB">
        <w:t xml:space="preserve">obligations of the </w:t>
      </w:r>
      <w:r w:rsidRPr="00172AEB">
        <w:t>trustee</w:t>
      </w:r>
      <w:r w:rsidR="00906911" w:rsidRPr="00172AEB">
        <w:t xml:space="preserve"> under </w:t>
      </w:r>
      <w:r w:rsidR="00B12540" w:rsidRPr="00172AEB">
        <w:t>paragraph (</w:t>
      </w:r>
      <w:r w:rsidRPr="00172AEB">
        <w:t xml:space="preserve">2)(c) </w:t>
      </w:r>
      <w:r w:rsidR="00906911" w:rsidRPr="00172AEB">
        <w:t xml:space="preserve">apply in respect of </w:t>
      </w:r>
      <w:r w:rsidRPr="00172AEB">
        <w:t>payment</w:t>
      </w:r>
      <w:r w:rsidR="00906911" w:rsidRPr="00172AEB">
        <w:t>s</w:t>
      </w:r>
      <w:r w:rsidRPr="00172AEB">
        <w:t xml:space="preserve"> </w:t>
      </w:r>
      <w:r w:rsidR="00906911" w:rsidRPr="00172AEB">
        <w:t>to a third party by, or on behalf of, the entity.</w:t>
      </w:r>
    </w:p>
    <w:p w14:paraId="214C0785" w14:textId="77777777" w:rsidR="00360511" w:rsidRPr="00172AEB" w:rsidRDefault="00975E4D" w:rsidP="00D37A1B">
      <w:pPr>
        <w:pStyle w:val="ItemHead"/>
      </w:pPr>
      <w:r w:rsidRPr="00172AEB">
        <w:t>7</w:t>
      </w:r>
      <w:r w:rsidR="00360511" w:rsidRPr="00172AEB">
        <w:t xml:space="preserve">  </w:t>
      </w:r>
      <w:r w:rsidR="00B12540" w:rsidRPr="00172AEB">
        <w:t>Paragraph 5</w:t>
      </w:r>
      <w:r w:rsidR="00360511" w:rsidRPr="00172AEB">
        <w:t>2A(2)(c)</w:t>
      </w:r>
    </w:p>
    <w:p w14:paraId="7CC93D59" w14:textId="77777777" w:rsidR="00E556A6" w:rsidRPr="00172AEB" w:rsidRDefault="00E556A6" w:rsidP="00D37A1B">
      <w:pPr>
        <w:pStyle w:val="Item"/>
      </w:pPr>
      <w:r w:rsidRPr="00172AEB">
        <w:t>Omit “best interests”, substitute “best financial interests”.</w:t>
      </w:r>
    </w:p>
    <w:p w14:paraId="4F437CD6" w14:textId="77777777" w:rsidR="00E556A6" w:rsidRPr="00172AEB" w:rsidRDefault="00975E4D" w:rsidP="00D37A1B">
      <w:pPr>
        <w:pStyle w:val="ItemHead"/>
      </w:pPr>
      <w:r w:rsidRPr="00172AEB">
        <w:t>8</w:t>
      </w:r>
      <w:r w:rsidR="00E556A6" w:rsidRPr="00172AEB">
        <w:t xml:space="preserve">  After </w:t>
      </w:r>
      <w:r w:rsidR="00B12540" w:rsidRPr="00172AEB">
        <w:t>subsection 5</w:t>
      </w:r>
      <w:r w:rsidR="00E556A6" w:rsidRPr="00172AEB">
        <w:t>2A(2)</w:t>
      </w:r>
    </w:p>
    <w:p w14:paraId="6B19012B" w14:textId="77777777" w:rsidR="00E556A6" w:rsidRPr="00172AEB" w:rsidRDefault="00E556A6" w:rsidP="00D37A1B">
      <w:pPr>
        <w:pStyle w:val="Item"/>
      </w:pPr>
      <w:r w:rsidRPr="00172AEB">
        <w:t>Insert:</w:t>
      </w:r>
    </w:p>
    <w:p w14:paraId="394ED03F" w14:textId="77777777" w:rsidR="00E556A6" w:rsidRPr="00172AEB" w:rsidRDefault="00E556A6" w:rsidP="00D37A1B">
      <w:pPr>
        <w:pStyle w:val="SubsectionHead"/>
      </w:pPr>
      <w:r w:rsidRPr="00172AEB">
        <w:t>Payments to third parties must be in best financial interests of beneficiaries</w:t>
      </w:r>
    </w:p>
    <w:p w14:paraId="1F97E405" w14:textId="77777777" w:rsidR="00906911" w:rsidRPr="00172AEB" w:rsidRDefault="00E556A6" w:rsidP="00D37A1B">
      <w:pPr>
        <w:pStyle w:val="subsection"/>
      </w:pPr>
      <w:r w:rsidRPr="00172AEB">
        <w:tab/>
        <w:t>(2A)</w:t>
      </w:r>
      <w:r w:rsidRPr="00172AEB">
        <w:tab/>
        <w:t xml:space="preserve">To avoid doubt, the </w:t>
      </w:r>
      <w:r w:rsidR="00906911" w:rsidRPr="00172AEB">
        <w:t xml:space="preserve">obligations of the </w:t>
      </w:r>
      <w:r w:rsidRPr="00172AEB">
        <w:t>director</w:t>
      </w:r>
      <w:r w:rsidR="00906911" w:rsidRPr="00172AEB">
        <w:t xml:space="preserve"> under</w:t>
      </w:r>
      <w:r w:rsidRPr="00172AEB">
        <w:t xml:space="preserve"> </w:t>
      </w:r>
      <w:r w:rsidR="00B12540" w:rsidRPr="00172AEB">
        <w:t>paragraph (</w:t>
      </w:r>
      <w:r w:rsidRPr="00172AEB">
        <w:t xml:space="preserve">2)(c) </w:t>
      </w:r>
      <w:r w:rsidR="00906911" w:rsidRPr="00172AEB">
        <w:t>appl</w:t>
      </w:r>
      <w:r w:rsidRPr="00172AEB">
        <w:t>y</w:t>
      </w:r>
      <w:r w:rsidR="00906911" w:rsidRPr="00172AEB">
        <w:t xml:space="preserve"> in respect of</w:t>
      </w:r>
      <w:r w:rsidRPr="00172AEB">
        <w:t xml:space="preserve"> payment</w:t>
      </w:r>
      <w:r w:rsidR="00906911" w:rsidRPr="00172AEB">
        <w:t>s to a third party by, or on behalf of, the entity.</w:t>
      </w:r>
    </w:p>
    <w:p w14:paraId="21135335" w14:textId="77777777" w:rsidR="00360511" w:rsidRPr="00172AEB" w:rsidRDefault="00975E4D" w:rsidP="00D37A1B">
      <w:pPr>
        <w:pStyle w:val="ItemHead"/>
      </w:pPr>
      <w:r w:rsidRPr="00172AEB">
        <w:t>9</w:t>
      </w:r>
      <w:r w:rsidR="00360511" w:rsidRPr="00172AEB">
        <w:t xml:space="preserve">  </w:t>
      </w:r>
      <w:r w:rsidR="00B12540" w:rsidRPr="00172AEB">
        <w:t>Paragraph 5</w:t>
      </w:r>
      <w:r w:rsidR="00360511" w:rsidRPr="00172AEB">
        <w:t>2B(2)(c)</w:t>
      </w:r>
    </w:p>
    <w:p w14:paraId="7D6BE55A" w14:textId="77777777" w:rsidR="00E556A6" w:rsidRPr="00172AEB" w:rsidRDefault="00E556A6" w:rsidP="00D37A1B">
      <w:pPr>
        <w:pStyle w:val="Item"/>
      </w:pPr>
      <w:r w:rsidRPr="00172AEB">
        <w:t>Omit “best interests”, substitute “best financial interests”.</w:t>
      </w:r>
    </w:p>
    <w:p w14:paraId="2F4AAA61" w14:textId="77777777" w:rsidR="00E556A6" w:rsidRPr="00172AEB" w:rsidRDefault="00975E4D" w:rsidP="00D37A1B">
      <w:pPr>
        <w:pStyle w:val="ItemHead"/>
      </w:pPr>
      <w:r w:rsidRPr="00172AEB">
        <w:t>10</w:t>
      </w:r>
      <w:r w:rsidR="00E556A6" w:rsidRPr="00172AEB">
        <w:t xml:space="preserve">  After </w:t>
      </w:r>
      <w:r w:rsidR="00B12540" w:rsidRPr="00172AEB">
        <w:t>subsection 5</w:t>
      </w:r>
      <w:r w:rsidR="00E556A6" w:rsidRPr="00172AEB">
        <w:t>2B(2)</w:t>
      </w:r>
    </w:p>
    <w:p w14:paraId="5E77084E" w14:textId="77777777" w:rsidR="00E556A6" w:rsidRPr="00172AEB" w:rsidRDefault="00E556A6" w:rsidP="00D37A1B">
      <w:pPr>
        <w:pStyle w:val="Item"/>
      </w:pPr>
      <w:r w:rsidRPr="00172AEB">
        <w:t>Insert:</w:t>
      </w:r>
    </w:p>
    <w:p w14:paraId="1786739A" w14:textId="77777777" w:rsidR="00E556A6" w:rsidRPr="00172AEB" w:rsidRDefault="00E556A6" w:rsidP="00D37A1B">
      <w:pPr>
        <w:pStyle w:val="SubsectionHead"/>
      </w:pPr>
      <w:r w:rsidRPr="00172AEB">
        <w:t>Payments to third parties must be in best financial interests of beneficiaries</w:t>
      </w:r>
    </w:p>
    <w:p w14:paraId="1C0D9791" w14:textId="77777777" w:rsidR="00906911" w:rsidRPr="00172AEB" w:rsidRDefault="00E556A6" w:rsidP="00D37A1B">
      <w:pPr>
        <w:pStyle w:val="subsection"/>
      </w:pPr>
      <w:r w:rsidRPr="00172AEB">
        <w:tab/>
        <w:t>(2A)</w:t>
      </w:r>
      <w:r w:rsidRPr="00172AEB">
        <w:tab/>
        <w:t>To avoid doubt, the</w:t>
      </w:r>
      <w:r w:rsidR="00906911" w:rsidRPr="00172AEB">
        <w:t xml:space="preserve"> obligations of the</w:t>
      </w:r>
      <w:r w:rsidRPr="00172AEB">
        <w:t xml:space="preserve"> trustee</w:t>
      </w:r>
      <w:r w:rsidR="00906911" w:rsidRPr="00172AEB">
        <w:t xml:space="preserve"> under</w:t>
      </w:r>
      <w:r w:rsidRPr="00172AEB">
        <w:t xml:space="preserve"> </w:t>
      </w:r>
      <w:r w:rsidR="00B12540" w:rsidRPr="00172AEB">
        <w:t>paragraph (</w:t>
      </w:r>
      <w:r w:rsidRPr="00172AEB">
        <w:t xml:space="preserve">2)(c) </w:t>
      </w:r>
      <w:r w:rsidR="00906911" w:rsidRPr="00172AEB">
        <w:t xml:space="preserve">apply in respect of </w:t>
      </w:r>
      <w:r w:rsidRPr="00172AEB">
        <w:t>payment</w:t>
      </w:r>
      <w:r w:rsidR="00906911" w:rsidRPr="00172AEB">
        <w:t>s</w:t>
      </w:r>
      <w:r w:rsidRPr="00172AEB">
        <w:t xml:space="preserve"> to a third party </w:t>
      </w:r>
      <w:r w:rsidR="00906911" w:rsidRPr="00172AEB">
        <w:t xml:space="preserve">by, or on behalf of, the </w:t>
      </w:r>
      <w:r w:rsidR="0033660D">
        <w:t>fund</w:t>
      </w:r>
      <w:r w:rsidR="00906911" w:rsidRPr="00172AEB">
        <w:t>.</w:t>
      </w:r>
    </w:p>
    <w:p w14:paraId="507C4721" w14:textId="77777777" w:rsidR="00773B9D" w:rsidRPr="00172AEB" w:rsidRDefault="00975E4D" w:rsidP="00D37A1B">
      <w:pPr>
        <w:pStyle w:val="ItemHead"/>
      </w:pPr>
      <w:r w:rsidRPr="00172AEB">
        <w:t>11</w:t>
      </w:r>
      <w:r w:rsidR="00773B9D" w:rsidRPr="00172AEB">
        <w:t xml:space="preserve">  After </w:t>
      </w:r>
      <w:r w:rsidR="00B12540" w:rsidRPr="00172AEB">
        <w:t>section 1</w:t>
      </w:r>
      <w:r w:rsidR="00773B9D" w:rsidRPr="00172AEB">
        <w:t>17</w:t>
      </w:r>
    </w:p>
    <w:p w14:paraId="4AC19255" w14:textId="77777777" w:rsidR="00773B9D" w:rsidRPr="00172AEB" w:rsidRDefault="00773B9D" w:rsidP="00D37A1B">
      <w:pPr>
        <w:pStyle w:val="Item"/>
      </w:pPr>
      <w:r w:rsidRPr="00172AEB">
        <w:t>Insert:</w:t>
      </w:r>
    </w:p>
    <w:p w14:paraId="7F179C72" w14:textId="77777777" w:rsidR="00773B9D" w:rsidRPr="00172AEB" w:rsidRDefault="00773B9D" w:rsidP="00D37A1B">
      <w:pPr>
        <w:pStyle w:val="ActHead5"/>
      </w:pPr>
      <w:bookmarkStart w:id="7" w:name="_Toc54682817"/>
      <w:r w:rsidRPr="006D6081">
        <w:rPr>
          <w:rStyle w:val="CharSectno"/>
        </w:rPr>
        <w:t>117A</w:t>
      </w:r>
      <w:r w:rsidRPr="00172AEB">
        <w:t xml:space="preserve">  </w:t>
      </w:r>
      <w:r w:rsidR="008F61AC" w:rsidRPr="00172AEB">
        <w:t>Treatment of c</w:t>
      </w:r>
      <w:r w:rsidR="00C23463" w:rsidRPr="00172AEB">
        <w:t>ertain payments</w:t>
      </w:r>
      <w:r w:rsidR="00006862" w:rsidRPr="00172AEB">
        <w:t xml:space="preserve"> and investments</w:t>
      </w:r>
      <w:r w:rsidR="00C23463" w:rsidRPr="00172AEB">
        <w:t xml:space="preserve"> by trustees—registrable superannuation entities</w:t>
      </w:r>
      <w:bookmarkEnd w:id="7"/>
    </w:p>
    <w:p w14:paraId="47D9ABE3" w14:textId="77777777" w:rsidR="008F61AC" w:rsidRPr="00172AEB" w:rsidRDefault="00773B9D" w:rsidP="00D37A1B">
      <w:pPr>
        <w:pStyle w:val="subsection"/>
      </w:pPr>
      <w:r w:rsidRPr="00172AEB">
        <w:tab/>
        <w:t>(1)</w:t>
      </w:r>
      <w:r w:rsidRPr="00172AEB">
        <w:tab/>
      </w:r>
      <w:r w:rsidR="008F61AC" w:rsidRPr="00172AEB">
        <w:t>W</w:t>
      </w:r>
      <w:r w:rsidR="00C23463" w:rsidRPr="00172AEB">
        <w:t xml:space="preserve">hen exercising powers or performing duties and functions as </w:t>
      </w:r>
      <w:r w:rsidR="008F61AC" w:rsidRPr="00172AEB">
        <w:t xml:space="preserve">a </w:t>
      </w:r>
      <w:r w:rsidR="00C23463" w:rsidRPr="00172AEB">
        <w:t xml:space="preserve">trustee of </w:t>
      </w:r>
      <w:r w:rsidR="008F61AC" w:rsidRPr="00172AEB">
        <w:t>a registrable superannuation entity, the trustee of the entity</w:t>
      </w:r>
      <w:r w:rsidR="005566AF" w:rsidRPr="00172AEB">
        <w:t xml:space="preserve"> must not</w:t>
      </w:r>
      <w:r w:rsidR="008F61AC" w:rsidRPr="00172AEB">
        <w:t>:</w:t>
      </w:r>
    </w:p>
    <w:p w14:paraId="04A401A7" w14:textId="77777777" w:rsidR="008F61AC" w:rsidRPr="00172AEB" w:rsidRDefault="008F61AC" w:rsidP="00D37A1B">
      <w:pPr>
        <w:pStyle w:val="paragraph"/>
      </w:pPr>
      <w:r w:rsidRPr="00172AEB">
        <w:lastRenderedPageBreak/>
        <w:tab/>
        <w:t>(a)</w:t>
      </w:r>
      <w:r w:rsidRPr="00172AEB">
        <w:tab/>
        <w:t>make a payment</w:t>
      </w:r>
      <w:r w:rsidR="00831377" w:rsidRPr="00172AEB">
        <w:t xml:space="preserve"> or investment</w:t>
      </w:r>
      <w:r w:rsidRPr="00172AEB">
        <w:t xml:space="preserve"> of a kind prescribed by the regulations; </w:t>
      </w:r>
      <w:r w:rsidR="005566AF" w:rsidRPr="00172AEB">
        <w:t>or</w:t>
      </w:r>
    </w:p>
    <w:p w14:paraId="22E02382" w14:textId="77777777" w:rsidR="008F61AC" w:rsidRPr="00172AEB" w:rsidRDefault="008F61AC" w:rsidP="00D37A1B">
      <w:pPr>
        <w:pStyle w:val="paragraph"/>
      </w:pPr>
      <w:r w:rsidRPr="00172AEB">
        <w:tab/>
        <w:t>(b)</w:t>
      </w:r>
      <w:r w:rsidRPr="00172AEB">
        <w:tab/>
        <w:t>make a payment</w:t>
      </w:r>
      <w:r w:rsidR="00D66829" w:rsidRPr="00172AEB">
        <w:t xml:space="preserve"> or investment</w:t>
      </w:r>
      <w:r w:rsidRPr="00172AEB">
        <w:t xml:space="preserve"> of a kind prescribed by the regulations in the circumstances prescribed by the regulations.</w:t>
      </w:r>
    </w:p>
    <w:p w14:paraId="0BBF02C7" w14:textId="77777777" w:rsidR="00C23463" w:rsidRPr="00172AEB" w:rsidRDefault="00C23463" w:rsidP="00D37A1B">
      <w:pPr>
        <w:pStyle w:val="subsection"/>
      </w:pPr>
      <w:r w:rsidRPr="00172AEB">
        <w:tab/>
        <w:t>(2)</w:t>
      </w:r>
      <w:r w:rsidRPr="00172AEB">
        <w:tab/>
        <w:t xml:space="preserve">Subsection (1) is a civil penalty provision as defined by </w:t>
      </w:r>
      <w:r w:rsidR="00B12540" w:rsidRPr="00172AEB">
        <w:t>section 1</w:t>
      </w:r>
      <w:r w:rsidRPr="00172AEB">
        <w:t xml:space="preserve">93, and </w:t>
      </w:r>
      <w:r w:rsidR="00B12540" w:rsidRPr="00172AEB">
        <w:t>Part 2</w:t>
      </w:r>
      <w:r w:rsidRPr="00172AEB">
        <w:t>1 therefore provides for civil and criminal consequences of contravening, or of being involved in a contravention of, that subsection.</w:t>
      </w:r>
    </w:p>
    <w:p w14:paraId="39DA49E2" w14:textId="77777777" w:rsidR="00D844DD" w:rsidRPr="00172AEB" w:rsidRDefault="00D844DD" w:rsidP="00D37A1B">
      <w:pPr>
        <w:pStyle w:val="ActHead5"/>
      </w:pPr>
      <w:bookmarkStart w:id="8" w:name="_Toc54682818"/>
      <w:r w:rsidRPr="006D6081">
        <w:rPr>
          <w:rStyle w:val="CharSectno"/>
        </w:rPr>
        <w:t>117B</w:t>
      </w:r>
      <w:r w:rsidRPr="00172AEB">
        <w:t xml:space="preserve">  </w:t>
      </w:r>
      <w:r w:rsidR="008F61AC" w:rsidRPr="00172AEB">
        <w:t>Treatment of certain</w:t>
      </w:r>
      <w:r w:rsidRPr="00172AEB">
        <w:t xml:space="preserve"> payments</w:t>
      </w:r>
      <w:r w:rsidR="00006862" w:rsidRPr="00172AEB">
        <w:t xml:space="preserve"> and investments</w:t>
      </w:r>
      <w:r w:rsidRPr="00172AEB">
        <w:t xml:space="preserve"> by directors—registrable superannuation entities</w:t>
      </w:r>
      <w:bookmarkEnd w:id="8"/>
    </w:p>
    <w:p w14:paraId="065148C8" w14:textId="77777777" w:rsidR="008F61AC" w:rsidRPr="00172AEB" w:rsidRDefault="00D844DD" w:rsidP="00D37A1B">
      <w:pPr>
        <w:pStyle w:val="subsection"/>
      </w:pPr>
      <w:r w:rsidRPr="00172AEB">
        <w:tab/>
        <w:t>(1)</w:t>
      </w:r>
      <w:r w:rsidRPr="00172AEB">
        <w:tab/>
      </w:r>
      <w:r w:rsidR="008F61AC" w:rsidRPr="00172AEB">
        <w:t>When exercising powers or performing duties and functions as a director of the corporate trustee of a registrable superannuation entity, the</w:t>
      </w:r>
      <w:r w:rsidRPr="00172AEB">
        <w:t xml:space="preserve"> director of </w:t>
      </w:r>
      <w:r w:rsidR="008F61AC" w:rsidRPr="00172AEB">
        <w:t>the</w:t>
      </w:r>
      <w:r w:rsidRPr="00172AEB">
        <w:t xml:space="preserve"> corporate trustee of </w:t>
      </w:r>
      <w:r w:rsidR="008F61AC" w:rsidRPr="00172AEB">
        <w:t xml:space="preserve">the </w:t>
      </w:r>
      <w:r w:rsidRPr="00172AEB">
        <w:t>entity</w:t>
      </w:r>
      <w:r w:rsidR="00006862" w:rsidRPr="00172AEB">
        <w:t xml:space="preserve"> must ensure that the corporate trustee of the entity</w:t>
      </w:r>
      <w:r w:rsidR="005566AF" w:rsidRPr="00172AEB">
        <w:t xml:space="preserve"> does not</w:t>
      </w:r>
      <w:r w:rsidR="008F61AC" w:rsidRPr="00172AEB">
        <w:t>:</w:t>
      </w:r>
    </w:p>
    <w:p w14:paraId="7761E6C9" w14:textId="77777777" w:rsidR="008F61AC" w:rsidRPr="00172AEB" w:rsidRDefault="008F61AC" w:rsidP="00D37A1B">
      <w:pPr>
        <w:pStyle w:val="paragraph"/>
      </w:pPr>
      <w:r w:rsidRPr="00172AEB">
        <w:tab/>
        <w:t>(a)</w:t>
      </w:r>
      <w:r w:rsidRPr="00172AEB">
        <w:tab/>
      </w:r>
      <w:r w:rsidR="00D844DD" w:rsidRPr="00172AEB">
        <w:t>make a payment</w:t>
      </w:r>
      <w:r w:rsidR="00D66829" w:rsidRPr="00172AEB">
        <w:t xml:space="preserve"> or investment</w:t>
      </w:r>
      <w:r w:rsidR="00D844DD" w:rsidRPr="00172AEB">
        <w:t xml:space="preserve"> of a kind prescribed by the regulations</w:t>
      </w:r>
      <w:r w:rsidRPr="00172AEB">
        <w:t xml:space="preserve">; </w:t>
      </w:r>
      <w:r w:rsidR="005566AF" w:rsidRPr="00172AEB">
        <w:t>or</w:t>
      </w:r>
    </w:p>
    <w:p w14:paraId="01DFADD3" w14:textId="77777777" w:rsidR="00D844DD" w:rsidRPr="00172AEB" w:rsidRDefault="008F61AC" w:rsidP="00D37A1B">
      <w:pPr>
        <w:pStyle w:val="paragraph"/>
      </w:pPr>
      <w:r w:rsidRPr="00172AEB">
        <w:tab/>
        <w:t>(b)</w:t>
      </w:r>
      <w:r w:rsidRPr="00172AEB">
        <w:tab/>
        <w:t>make a payment</w:t>
      </w:r>
      <w:r w:rsidR="00D66829" w:rsidRPr="00172AEB">
        <w:t xml:space="preserve"> or investment</w:t>
      </w:r>
      <w:r w:rsidRPr="00172AEB">
        <w:t xml:space="preserve"> of a kind prescribed by the regulations in the circumstances prescribed by the regulations</w:t>
      </w:r>
      <w:r w:rsidR="00D844DD" w:rsidRPr="00172AEB">
        <w:t>.</w:t>
      </w:r>
    </w:p>
    <w:p w14:paraId="7D1C346A" w14:textId="77777777" w:rsidR="00D844DD" w:rsidRPr="00172AEB" w:rsidRDefault="00D844DD" w:rsidP="00D37A1B">
      <w:pPr>
        <w:pStyle w:val="subsection"/>
      </w:pPr>
      <w:r w:rsidRPr="00172AEB">
        <w:tab/>
        <w:t>(2)</w:t>
      </w:r>
      <w:r w:rsidRPr="00172AEB">
        <w:tab/>
        <w:t xml:space="preserve">Subsection (1) is a civil penalty provision as defined by </w:t>
      </w:r>
      <w:r w:rsidR="00B12540" w:rsidRPr="00172AEB">
        <w:t>section 1</w:t>
      </w:r>
      <w:r w:rsidRPr="00172AEB">
        <w:t xml:space="preserve">93, and </w:t>
      </w:r>
      <w:r w:rsidR="00B12540" w:rsidRPr="00172AEB">
        <w:t>Part 2</w:t>
      </w:r>
      <w:r w:rsidRPr="00172AEB">
        <w:t>1 therefore provides for civil and criminal consequences of contravening, or of being involved in a contravention of, that subsection.</w:t>
      </w:r>
    </w:p>
    <w:p w14:paraId="3E13D2A0" w14:textId="77777777" w:rsidR="002A6541" w:rsidRPr="00172AEB" w:rsidRDefault="002A6541" w:rsidP="00D37A1B">
      <w:pPr>
        <w:pStyle w:val="ActHead5"/>
      </w:pPr>
      <w:bookmarkStart w:id="9" w:name="_Toc54682819"/>
      <w:r w:rsidRPr="006D6081">
        <w:rPr>
          <w:rStyle w:val="CharSectno"/>
        </w:rPr>
        <w:t>117C</w:t>
      </w:r>
      <w:r w:rsidRPr="00172AEB">
        <w:t xml:space="preserve">  Treatment of certain payments and investments—self managed superannuation funds</w:t>
      </w:r>
      <w:bookmarkEnd w:id="9"/>
    </w:p>
    <w:p w14:paraId="1984284F" w14:textId="77777777" w:rsidR="002A6541" w:rsidRPr="00172AEB" w:rsidRDefault="002A6541" w:rsidP="00D37A1B">
      <w:pPr>
        <w:pStyle w:val="subsection"/>
      </w:pPr>
      <w:r w:rsidRPr="00172AEB">
        <w:tab/>
        <w:t>(1)</w:t>
      </w:r>
      <w:r w:rsidRPr="00172AEB">
        <w:tab/>
        <w:t>When exercising powers or performing duties and functions as a trustee of a self managed superannuation fund:</w:t>
      </w:r>
    </w:p>
    <w:p w14:paraId="7E0B0C8D" w14:textId="77777777" w:rsidR="002A6541" w:rsidRPr="00172AEB" w:rsidRDefault="002A6541" w:rsidP="00D37A1B">
      <w:pPr>
        <w:pStyle w:val="paragraph"/>
      </w:pPr>
      <w:r w:rsidRPr="00172AEB">
        <w:tab/>
        <w:t>(a)</w:t>
      </w:r>
      <w:r w:rsidRPr="00172AEB">
        <w:tab/>
        <w:t>the trustee of the fund</w:t>
      </w:r>
      <w:r w:rsidR="005566AF" w:rsidRPr="00172AEB">
        <w:t xml:space="preserve"> must not</w:t>
      </w:r>
      <w:r w:rsidRPr="00172AEB">
        <w:t>:</w:t>
      </w:r>
    </w:p>
    <w:p w14:paraId="08ED83B9" w14:textId="77777777" w:rsidR="002A6541" w:rsidRPr="00172AEB" w:rsidRDefault="002A6541" w:rsidP="00D37A1B">
      <w:pPr>
        <w:pStyle w:val="paragraphsub"/>
      </w:pPr>
      <w:r w:rsidRPr="00172AEB">
        <w:tab/>
        <w:t>(i)</w:t>
      </w:r>
      <w:r w:rsidRPr="00172AEB">
        <w:tab/>
        <w:t>make a payment or investment of a kind prescribed by the regulations; or</w:t>
      </w:r>
    </w:p>
    <w:p w14:paraId="1AE3057C" w14:textId="77777777" w:rsidR="002A6541" w:rsidRPr="00172AEB" w:rsidRDefault="002A6541" w:rsidP="00D37A1B">
      <w:pPr>
        <w:pStyle w:val="paragraphsub"/>
      </w:pPr>
      <w:r w:rsidRPr="00172AEB">
        <w:tab/>
        <w:t>(ii)</w:t>
      </w:r>
      <w:r w:rsidRPr="00172AEB">
        <w:tab/>
        <w:t>make a payment or investment of a kind prescribed by the regulations in the circumstances prescribed by the regulations; and</w:t>
      </w:r>
    </w:p>
    <w:p w14:paraId="12561F25" w14:textId="77777777" w:rsidR="005566AF" w:rsidRPr="00172AEB" w:rsidRDefault="002A6541" w:rsidP="00D37A1B">
      <w:pPr>
        <w:pStyle w:val="paragraph"/>
      </w:pPr>
      <w:r w:rsidRPr="00172AEB">
        <w:tab/>
        <w:t>(b)</w:t>
      </w:r>
      <w:r w:rsidRPr="00172AEB">
        <w:tab/>
        <w:t>if the trustee of the fund is a body corporate</w:t>
      </w:r>
      <w:r w:rsidR="005566AF" w:rsidRPr="00172AEB">
        <w:t>—</w:t>
      </w:r>
      <w:r w:rsidR="00B36126">
        <w:t>w</w:t>
      </w:r>
      <w:r w:rsidR="00B36126" w:rsidRPr="00172AEB">
        <w:t xml:space="preserve">hen exercising powers or performing duties and functions as a </w:t>
      </w:r>
      <w:r w:rsidR="00B36126" w:rsidRPr="00172AEB">
        <w:lastRenderedPageBreak/>
        <w:t xml:space="preserve">director </w:t>
      </w:r>
      <w:r w:rsidR="005566AF" w:rsidRPr="00172AEB">
        <w:t>of the corporate trustee of the fund</w:t>
      </w:r>
      <w:r w:rsidR="00B36126">
        <w:t>, the director</w:t>
      </w:r>
      <w:r w:rsidR="005566AF" w:rsidRPr="00172AEB">
        <w:t xml:space="preserve"> must ensure that the corporate trustee of the fund does not:</w:t>
      </w:r>
    </w:p>
    <w:p w14:paraId="0CF591A8" w14:textId="77777777" w:rsidR="005566AF" w:rsidRPr="00172AEB" w:rsidRDefault="005566AF" w:rsidP="00D37A1B">
      <w:pPr>
        <w:pStyle w:val="paragraphsub"/>
      </w:pPr>
      <w:r w:rsidRPr="00172AEB">
        <w:tab/>
        <w:t>(i)</w:t>
      </w:r>
      <w:r w:rsidRPr="00172AEB">
        <w:tab/>
        <w:t>make a payment or investment of a kind prescribed by the regulations; or</w:t>
      </w:r>
    </w:p>
    <w:p w14:paraId="43E18AE2" w14:textId="77777777" w:rsidR="005566AF" w:rsidRPr="00172AEB" w:rsidRDefault="005566AF" w:rsidP="00D37A1B">
      <w:pPr>
        <w:pStyle w:val="paragraphsub"/>
      </w:pPr>
      <w:r w:rsidRPr="00172AEB">
        <w:tab/>
        <w:t>(ii)</w:t>
      </w:r>
      <w:r w:rsidRPr="00172AEB">
        <w:tab/>
        <w:t>make a payment or investment of a kind prescribed by the regulations in the circumstances prescribed by the regulations.</w:t>
      </w:r>
    </w:p>
    <w:p w14:paraId="3E99EA6D" w14:textId="77777777" w:rsidR="002A6541" w:rsidRPr="00172AEB" w:rsidRDefault="002A6541" w:rsidP="00D37A1B">
      <w:pPr>
        <w:pStyle w:val="subsection"/>
      </w:pPr>
      <w:r w:rsidRPr="00172AEB">
        <w:tab/>
        <w:t>(2)</w:t>
      </w:r>
      <w:r w:rsidRPr="00172AEB">
        <w:tab/>
        <w:t xml:space="preserve">Subsection (1) is a civil penalty provision as defined by </w:t>
      </w:r>
      <w:r w:rsidR="00B12540" w:rsidRPr="00172AEB">
        <w:t>section 1</w:t>
      </w:r>
      <w:r w:rsidRPr="00172AEB">
        <w:t xml:space="preserve">93, and </w:t>
      </w:r>
      <w:r w:rsidR="00B12540" w:rsidRPr="00172AEB">
        <w:t>Part 2</w:t>
      </w:r>
      <w:r w:rsidRPr="00172AEB">
        <w:t>1 therefore provides for civil and criminal consequences of contravening, or of being involved in a contravention of, that subsection.</w:t>
      </w:r>
    </w:p>
    <w:p w14:paraId="31C327C6" w14:textId="77777777" w:rsidR="00773B9D" w:rsidRPr="00172AEB" w:rsidRDefault="00975E4D" w:rsidP="00D37A1B">
      <w:pPr>
        <w:pStyle w:val="ItemHead"/>
      </w:pPr>
      <w:r w:rsidRPr="00172AEB">
        <w:t>12</w:t>
      </w:r>
      <w:r w:rsidR="00773B9D" w:rsidRPr="00172AEB">
        <w:t xml:space="preserve">  After </w:t>
      </w:r>
      <w:r w:rsidR="00B12540" w:rsidRPr="00172AEB">
        <w:t>paragraph 1</w:t>
      </w:r>
      <w:r w:rsidR="00773B9D" w:rsidRPr="00172AEB">
        <w:t>93(k)</w:t>
      </w:r>
    </w:p>
    <w:p w14:paraId="26D9980B" w14:textId="77777777" w:rsidR="00773B9D" w:rsidRPr="00172AEB" w:rsidRDefault="00773B9D" w:rsidP="00D37A1B">
      <w:pPr>
        <w:pStyle w:val="Item"/>
      </w:pPr>
      <w:r w:rsidRPr="00172AEB">
        <w:t>Insert:</w:t>
      </w:r>
    </w:p>
    <w:p w14:paraId="04AAB1EB" w14:textId="77777777" w:rsidR="00773B9D" w:rsidRPr="00172AEB" w:rsidRDefault="00773B9D" w:rsidP="00D37A1B">
      <w:pPr>
        <w:pStyle w:val="paragraph"/>
      </w:pPr>
      <w:r w:rsidRPr="00172AEB">
        <w:tab/>
        <w:t>(ka)</w:t>
      </w:r>
      <w:r w:rsidRPr="00172AEB">
        <w:tab/>
      </w:r>
      <w:r w:rsidR="00B12540" w:rsidRPr="00172AEB">
        <w:t>subsection 1</w:t>
      </w:r>
      <w:r w:rsidRPr="00172AEB">
        <w:t>17A</w:t>
      </w:r>
      <w:r w:rsidR="00C23463" w:rsidRPr="00172AEB">
        <w:t>(1)</w:t>
      </w:r>
      <w:r w:rsidRPr="00172AEB">
        <w:t>;</w:t>
      </w:r>
    </w:p>
    <w:p w14:paraId="237848A2" w14:textId="77777777" w:rsidR="00D844DD" w:rsidRPr="00172AEB" w:rsidRDefault="00D844DD" w:rsidP="00D37A1B">
      <w:pPr>
        <w:pStyle w:val="paragraph"/>
      </w:pPr>
      <w:r w:rsidRPr="00172AEB">
        <w:tab/>
        <w:t>(kb)</w:t>
      </w:r>
      <w:r w:rsidRPr="00172AEB">
        <w:tab/>
      </w:r>
      <w:r w:rsidR="00B12540" w:rsidRPr="00172AEB">
        <w:t>subsection 1</w:t>
      </w:r>
      <w:r w:rsidRPr="00172AEB">
        <w:t>17B(1);</w:t>
      </w:r>
    </w:p>
    <w:p w14:paraId="58873489" w14:textId="77777777" w:rsidR="005566AF" w:rsidRPr="00172AEB" w:rsidRDefault="005566AF" w:rsidP="00D37A1B">
      <w:pPr>
        <w:pStyle w:val="paragraph"/>
      </w:pPr>
      <w:r w:rsidRPr="00172AEB">
        <w:tab/>
        <w:t>(kc)</w:t>
      </w:r>
      <w:r w:rsidRPr="00172AEB">
        <w:tab/>
      </w:r>
      <w:r w:rsidR="00B12540" w:rsidRPr="00172AEB">
        <w:t>subsection 1</w:t>
      </w:r>
      <w:r w:rsidRPr="00172AEB">
        <w:t>17C(1);</w:t>
      </w:r>
    </w:p>
    <w:p w14:paraId="55F742C3" w14:textId="77777777" w:rsidR="00AF66E1" w:rsidRPr="00172AEB" w:rsidRDefault="009C2395" w:rsidP="00D37A1B">
      <w:pPr>
        <w:pStyle w:val="ItemHead"/>
      </w:pPr>
      <w:r>
        <w:t>13</w:t>
      </w:r>
      <w:r w:rsidR="00AF66E1" w:rsidRPr="00172AEB">
        <w:t xml:space="preserve">  Before </w:t>
      </w:r>
      <w:r w:rsidR="00B12540" w:rsidRPr="00172AEB">
        <w:t>section 2</w:t>
      </w:r>
      <w:r w:rsidR="00AF66E1" w:rsidRPr="00172AEB">
        <w:t>21</w:t>
      </w:r>
    </w:p>
    <w:p w14:paraId="09C90843" w14:textId="77777777" w:rsidR="00AF66E1" w:rsidRPr="00172AEB" w:rsidRDefault="00AF66E1" w:rsidP="00D37A1B">
      <w:pPr>
        <w:pStyle w:val="Item"/>
      </w:pPr>
      <w:r w:rsidRPr="00172AEB">
        <w:t>Insert:</w:t>
      </w:r>
    </w:p>
    <w:p w14:paraId="004EA884" w14:textId="77777777" w:rsidR="00AF66E1" w:rsidRPr="00172AEB" w:rsidRDefault="00AF66E1" w:rsidP="00D37A1B">
      <w:pPr>
        <w:pStyle w:val="ActHead5"/>
      </w:pPr>
      <w:bookmarkStart w:id="10" w:name="_Toc54682820"/>
      <w:r w:rsidRPr="006D6081">
        <w:rPr>
          <w:rStyle w:val="CharSectno"/>
        </w:rPr>
        <w:t>220A</w:t>
      </w:r>
      <w:r w:rsidRPr="00172AEB">
        <w:t xml:space="preserve">  </w:t>
      </w:r>
      <w:r w:rsidR="00A3135A" w:rsidRPr="00172AEB">
        <w:t>Burden of proof—civil proceedings relating to duty to act in best financial interests of beneficiaries</w:t>
      </w:r>
      <w:bookmarkEnd w:id="10"/>
    </w:p>
    <w:p w14:paraId="64A38FF1" w14:textId="77777777" w:rsidR="00F37404" w:rsidRPr="00172AEB" w:rsidRDefault="00AF66E1" w:rsidP="00D37A1B">
      <w:pPr>
        <w:pStyle w:val="subsection"/>
      </w:pPr>
      <w:r w:rsidRPr="00172AEB">
        <w:tab/>
        <w:t>(1)</w:t>
      </w:r>
      <w:r w:rsidRPr="00172AEB">
        <w:tab/>
      </w:r>
      <w:r w:rsidR="00F37404" w:rsidRPr="00172AEB">
        <w:t>In</w:t>
      </w:r>
      <w:r w:rsidRPr="00172AEB">
        <w:t xml:space="preserve"> </w:t>
      </w:r>
      <w:r w:rsidR="00F37404" w:rsidRPr="00172AEB">
        <w:t xml:space="preserve">civil proceedings for a contravention of </w:t>
      </w:r>
      <w:r w:rsidR="00B12540" w:rsidRPr="00172AEB">
        <w:t>subsection 5</w:t>
      </w:r>
      <w:r w:rsidR="00F37404" w:rsidRPr="00172AEB">
        <w:t xml:space="preserve">4B(1) </w:t>
      </w:r>
      <w:r w:rsidR="00EE2400" w:rsidRPr="00172AEB">
        <w:t>in relation to a covenant s</w:t>
      </w:r>
      <w:r w:rsidR="00F37404" w:rsidRPr="00172AEB">
        <w:t xml:space="preserve">et out in </w:t>
      </w:r>
      <w:r w:rsidR="00B12540" w:rsidRPr="00172AEB">
        <w:t>paragraph 5</w:t>
      </w:r>
      <w:r w:rsidR="00F37404" w:rsidRPr="00172AEB">
        <w:t>2(2)(c)</w:t>
      </w:r>
      <w:r w:rsidR="00EE2400" w:rsidRPr="00172AEB">
        <w:t>,</w:t>
      </w:r>
      <w:r w:rsidR="00F37404" w:rsidRPr="00172AEB">
        <w:t xml:space="preserve"> it is presumed that a trustee did not perform the trustee’s duties and exercise the trustee’s powers in the best financial interests of beneficiaries, unless the trustee adduces evidence to the contrary.</w:t>
      </w:r>
    </w:p>
    <w:p w14:paraId="71D5EF09" w14:textId="77777777" w:rsidR="00A43883" w:rsidRPr="00172AEB" w:rsidRDefault="00A43883" w:rsidP="00D37A1B">
      <w:pPr>
        <w:pStyle w:val="subsection"/>
      </w:pPr>
      <w:r w:rsidRPr="00172AEB">
        <w:tab/>
        <w:t>(2)</w:t>
      </w:r>
      <w:r w:rsidRPr="00172AEB">
        <w:tab/>
        <w:t xml:space="preserve">In civil proceedings for a contravention of </w:t>
      </w:r>
      <w:r w:rsidR="00B12540" w:rsidRPr="00172AEB">
        <w:t>subsection 5</w:t>
      </w:r>
      <w:r w:rsidRPr="00172AEB">
        <w:t xml:space="preserve">4B(2) in relation to a covenant set out in </w:t>
      </w:r>
      <w:r w:rsidR="00B12540" w:rsidRPr="00172AEB">
        <w:t>paragraph 5</w:t>
      </w:r>
      <w:r w:rsidRPr="00172AEB">
        <w:t>2A(2)(c), it is presumed that a director of a corporate trustee of a registrable superannuation entity did not perform the director’s duties and exercise the director’s powers as director of the corporate trustee in the best financial interests of beneficiaries, unless the director of the corporate trustee adduces evidence to the contrary.</w:t>
      </w:r>
    </w:p>
    <w:p w14:paraId="3740165E" w14:textId="77777777" w:rsidR="00E220B2" w:rsidRPr="00172AEB" w:rsidRDefault="00AF66E1" w:rsidP="00D37A1B">
      <w:pPr>
        <w:pStyle w:val="subsection"/>
      </w:pPr>
      <w:r w:rsidRPr="00172AEB">
        <w:tab/>
        <w:t>(</w:t>
      </w:r>
      <w:r w:rsidR="00A43883" w:rsidRPr="00172AEB">
        <w:t>3</w:t>
      </w:r>
      <w:r w:rsidRPr="00172AEB">
        <w:t>)</w:t>
      </w:r>
      <w:r w:rsidRPr="00172AEB">
        <w:tab/>
      </w:r>
      <w:r w:rsidR="00E220B2" w:rsidRPr="00172AEB">
        <w:t>If, in such proceedings:</w:t>
      </w:r>
    </w:p>
    <w:p w14:paraId="30A6F5C8" w14:textId="77777777" w:rsidR="00E220B2" w:rsidRPr="00172AEB" w:rsidRDefault="00E220B2" w:rsidP="00D37A1B">
      <w:pPr>
        <w:pStyle w:val="paragraph"/>
      </w:pPr>
      <w:r w:rsidRPr="00172AEB">
        <w:tab/>
        <w:t>(a)</w:t>
      </w:r>
      <w:r w:rsidRPr="00172AEB">
        <w:tab/>
        <w:t>a</w:t>
      </w:r>
      <w:r w:rsidR="00AF66E1" w:rsidRPr="00172AEB">
        <w:t xml:space="preserve"> </w:t>
      </w:r>
      <w:r w:rsidR="00F37404" w:rsidRPr="00172AEB">
        <w:t>trustee</w:t>
      </w:r>
      <w:r w:rsidR="00AF66E1" w:rsidRPr="00172AEB">
        <w:t xml:space="preserve"> </w:t>
      </w:r>
      <w:r w:rsidR="00A43883" w:rsidRPr="00172AEB">
        <w:t xml:space="preserve">or director of a corporate trustee </w:t>
      </w:r>
      <w:r w:rsidR="00AF66E1" w:rsidRPr="00172AEB">
        <w:t xml:space="preserve">wishes to </w:t>
      </w:r>
      <w:r w:rsidR="00F37404" w:rsidRPr="00172AEB">
        <w:t>adduce evidence to the contrary</w:t>
      </w:r>
      <w:r w:rsidRPr="00172AEB">
        <w:t xml:space="preserve">—the trustee or director of the </w:t>
      </w:r>
      <w:r w:rsidRPr="00172AEB">
        <w:lastRenderedPageBreak/>
        <w:t>corporate trustee</w:t>
      </w:r>
      <w:r w:rsidR="00F37404" w:rsidRPr="00172AEB">
        <w:t xml:space="preserve"> </w:t>
      </w:r>
      <w:r w:rsidR="00AF66E1" w:rsidRPr="00172AEB">
        <w:t>bears an evidential burden in relation to th</w:t>
      </w:r>
      <w:r w:rsidR="00EE2400" w:rsidRPr="00172AEB">
        <w:t>e</w:t>
      </w:r>
      <w:r w:rsidR="00AF66E1" w:rsidRPr="00172AEB">
        <w:t xml:space="preserve"> matter</w:t>
      </w:r>
      <w:r w:rsidRPr="00172AEB">
        <w:t>; and</w:t>
      </w:r>
    </w:p>
    <w:p w14:paraId="102FC723" w14:textId="77777777" w:rsidR="00E220B2" w:rsidRPr="00172AEB" w:rsidRDefault="00E220B2" w:rsidP="00D37A1B">
      <w:pPr>
        <w:pStyle w:val="paragraph"/>
      </w:pPr>
      <w:r w:rsidRPr="00172AEB">
        <w:tab/>
        <w:t>(b)</w:t>
      </w:r>
      <w:r w:rsidRPr="00172AEB">
        <w:tab/>
        <w:t>in the case that evidence to the contrary is so adduced—the Regulator must prove, on the balance of probabilities, that:</w:t>
      </w:r>
    </w:p>
    <w:p w14:paraId="13F73626" w14:textId="77777777" w:rsidR="00E220B2" w:rsidRPr="00172AEB" w:rsidRDefault="00E220B2" w:rsidP="00D37A1B">
      <w:pPr>
        <w:pStyle w:val="paragraphsub"/>
      </w:pPr>
      <w:r w:rsidRPr="00172AEB">
        <w:tab/>
        <w:t>(i)</w:t>
      </w:r>
      <w:r w:rsidRPr="00172AEB">
        <w:tab/>
        <w:t>the trustee did not perform the trustee’s duties and exercise the trustee’s powers in the best financial interests of beneficiaries; or</w:t>
      </w:r>
    </w:p>
    <w:p w14:paraId="0DE51EA2" w14:textId="77777777" w:rsidR="00AF66E1" w:rsidRPr="00172AEB" w:rsidRDefault="00E220B2" w:rsidP="00D37A1B">
      <w:pPr>
        <w:pStyle w:val="paragraphsub"/>
      </w:pPr>
      <w:r w:rsidRPr="00172AEB">
        <w:tab/>
        <w:t>(ii)</w:t>
      </w:r>
      <w:r w:rsidRPr="00172AEB">
        <w:tab/>
        <w:t>the director did not perform the director’s duties and exercise the director’s powers as director of the corporate trustee in the best financial interests of beneficiaries</w:t>
      </w:r>
      <w:r w:rsidR="00AF66E1" w:rsidRPr="00172AEB">
        <w:t>.</w:t>
      </w:r>
    </w:p>
    <w:p w14:paraId="29D4E3A0" w14:textId="77777777" w:rsidR="00890F9E" w:rsidRPr="00172AEB" w:rsidRDefault="00B12540" w:rsidP="00D37A1B">
      <w:pPr>
        <w:pStyle w:val="ActHead7"/>
        <w:pageBreakBefore/>
      </w:pPr>
      <w:bookmarkStart w:id="11" w:name="_Toc54682821"/>
      <w:r w:rsidRPr="006D6081">
        <w:rPr>
          <w:rStyle w:val="CharAmPartNo"/>
        </w:rPr>
        <w:lastRenderedPageBreak/>
        <w:t>Part 2</w:t>
      </w:r>
      <w:r w:rsidR="00890F9E" w:rsidRPr="00172AEB">
        <w:t>—</w:t>
      </w:r>
      <w:r w:rsidR="00890F9E" w:rsidRPr="006D6081">
        <w:rPr>
          <w:rStyle w:val="CharAmPartText"/>
        </w:rPr>
        <w:t>Application</w:t>
      </w:r>
      <w:r w:rsidR="006E2F00" w:rsidRPr="006D6081">
        <w:rPr>
          <w:rStyle w:val="CharAmPartText"/>
        </w:rPr>
        <w:t xml:space="preserve"> provision</w:t>
      </w:r>
      <w:bookmarkEnd w:id="11"/>
    </w:p>
    <w:p w14:paraId="672D427F" w14:textId="77777777" w:rsidR="00E85D0F" w:rsidRPr="00172AEB" w:rsidRDefault="00975E4D" w:rsidP="00D37A1B">
      <w:pPr>
        <w:pStyle w:val="Transitional"/>
      </w:pPr>
      <w:r w:rsidRPr="00172AEB">
        <w:t>1</w:t>
      </w:r>
      <w:r w:rsidR="00BD15D8">
        <w:t>4</w:t>
      </w:r>
      <w:r w:rsidR="00E85D0F" w:rsidRPr="00172AEB">
        <w:t xml:space="preserve">  Application—</w:t>
      </w:r>
      <w:r w:rsidR="00C91243" w:rsidRPr="00172AEB">
        <w:t>offence for directors of corporate trustees and compliance with record keeping requirements</w:t>
      </w:r>
    </w:p>
    <w:p w14:paraId="4E5CE604" w14:textId="77777777" w:rsidR="00C91243" w:rsidRPr="00172AEB" w:rsidRDefault="00B12540" w:rsidP="00D37A1B">
      <w:pPr>
        <w:pStyle w:val="Item"/>
      </w:pPr>
      <w:r w:rsidRPr="00172AEB">
        <w:t>Section 3</w:t>
      </w:r>
      <w:r w:rsidR="00E85D0F" w:rsidRPr="00172AEB">
        <w:t xml:space="preserve">4AA of the </w:t>
      </w:r>
      <w:r w:rsidR="00E85D0F" w:rsidRPr="00172AEB">
        <w:rPr>
          <w:i/>
        </w:rPr>
        <w:t>Superannuation Industry (Supervision) Act 1993</w:t>
      </w:r>
      <w:r w:rsidR="00E85D0F" w:rsidRPr="00172AEB">
        <w:t xml:space="preserve">, as inserted by </w:t>
      </w:r>
      <w:r w:rsidRPr="00172AEB">
        <w:t>item </w:t>
      </w:r>
      <w:r w:rsidR="00975E4D" w:rsidRPr="00172AEB">
        <w:t>4</w:t>
      </w:r>
      <w:r w:rsidR="00E85D0F" w:rsidRPr="00172AEB">
        <w:t xml:space="preserve"> of this Schedule, applies </w:t>
      </w:r>
      <w:r w:rsidR="00C91243" w:rsidRPr="00172AEB">
        <w:t xml:space="preserve">in relation </w:t>
      </w:r>
      <w:r w:rsidR="00E85D0F" w:rsidRPr="00172AEB">
        <w:t xml:space="preserve">to </w:t>
      </w:r>
      <w:r w:rsidR="00C91243" w:rsidRPr="00172AEB">
        <w:t xml:space="preserve">a </w:t>
      </w:r>
      <w:r w:rsidR="00E85D0F" w:rsidRPr="00172AEB">
        <w:t xml:space="preserve">contravention of </w:t>
      </w:r>
      <w:r w:rsidRPr="00172AEB">
        <w:t>subsection 3</w:t>
      </w:r>
      <w:r w:rsidR="00C91243" w:rsidRPr="00172AEB">
        <w:t xml:space="preserve">4(2) of </w:t>
      </w:r>
      <w:r w:rsidR="00E85D0F" w:rsidRPr="00172AEB">
        <w:t>th</w:t>
      </w:r>
      <w:r w:rsidR="00AD067E" w:rsidRPr="00172AEB">
        <w:t xml:space="preserve">at Act </w:t>
      </w:r>
      <w:r w:rsidR="00E85D0F" w:rsidRPr="00172AEB">
        <w:t>that occur</w:t>
      </w:r>
      <w:r w:rsidR="00C91243" w:rsidRPr="00172AEB">
        <w:t>s</w:t>
      </w:r>
      <w:r w:rsidR="00E85D0F" w:rsidRPr="00172AEB">
        <w:t xml:space="preserve"> on or after </w:t>
      </w:r>
      <w:r w:rsidRPr="00172AEB">
        <w:t>1 July</w:t>
      </w:r>
      <w:r w:rsidR="00E85D0F" w:rsidRPr="00172AEB">
        <w:t xml:space="preserve"> 2021</w:t>
      </w:r>
      <w:r w:rsidR="00C91243" w:rsidRPr="00172AEB">
        <w:t>.</w:t>
      </w:r>
    </w:p>
    <w:p w14:paraId="5CF10629" w14:textId="77777777" w:rsidR="00890F9E" w:rsidRPr="00172AEB" w:rsidRDefault="00BD15D8" w:rsidP="00D37A1B">
      <w:pPr>
        <w:pStyle w:val="Transitional"/>
      </w:pPr>
      <w:r>
        <w:t>15</w:t>
      </w:r>
      <w:r w:rsidR="00890F9E" w:rsidRPr="00172AEB">
        <w:t xml:space="preserve">  Application</w:t>
      </w:r>
      <w:r w:rsidR="006E2F00" w:rsidRPr="00172AEB">
        <w:t>—duty to act in best financial interests of beneficiaries</w:t>
      </w:r>
    </w:p>
    <w:p w14:paraId="25864384" w14:textId="77777777" w:rsidR="00066244" w:rsidRPr="00172AEB" w:rsidRDefault="00066244" w:rsidP="00D37A1B">
      <w:pPr>
        <w:pStyle w:val="SubitemHead"/>
      </w:pPr>
      <w:r w:rsidRPr="00172AEB">
        <w:t>Registrable superannuation entities and self managed superannuation funds</w:t>
      </w:r>
    </w:p>
    <w:p w14:paraId="2AD8D2A8" w14:textId="77777777" w:rsidR="00097C58" w:rsidRPr="00172AEB" w:rsidRDefault="00890F9E" w:rsidP="00D37A1B">
      <w:pPr>
        <w:pStyle w:val="Subitem"/>
      </w:pPr>
      <w:r w:rsidRPr="00172AEB">
        <w:t>(1)</w:t>
      </w:r>
      <w:r w:rsidRPr="00172AEB">
        <w:tab/>
        <w:t xml:space="preserve">The amendments made by </w:t>
      </w:r>
      <w:r w:rsidR="00B12540" w:rsidRPr="00172AEB">
        <w:t>items </w:t>
      </w:r>
      <w:r w:rsidR="00975E4D" w:rsidRPr="00172AEB">
        <w:t>5</w:t>
      </w:r>
      <w:r w:rsidR="008A4DA4" w:rsidRPr="00172AEB">
        <w:t xml:space="preserve">, </w:t>
      </w:r>
      <w:r w:rsidR="00975E4D" w:rsidRPr="00172AEB">
        <w:t>6</w:t>
      </w:r>
      <w:r w:rsidR="008A4DA4" w:rsidRPr="00172AEB">
        <w:t xml:space="preserve">, </w:t>
      </w:r>
      <w:r w:rsidR="00975E4D" w:rsidRPr="00172AEB">
        <w:t>9</w:t>
      </w:r>
      <w:r w:rsidR="008A4DA4" w:rsidRPr="00172AEB">
        <w:t xml:space="preserve"> and </w:t>
      </w:r>
      <w:r w:rsidR="00975E4D" w:rsidRPr="00172AEB">
        <w:t>10</w:t>
      </w:r>
      <w:r w:rsidRPr="00172AEB">
        <w:t xml:space="preserve"> of this Schedule apply in relation to</w:t>
      </w:r>
      <w:r w:rsidR="00097C58" w:rsidRPr="00172AEB">
        <w:t xml:space="preserve"> </w:t>
      </w:r>
      <w:r w:rsidRPr="00172AEB">
        <w:t xml:space="preserve">duties that are performed, or powers that are exercised, by a trustee on or after </w:t>
      </w:r>
      <w:r w:rsidR="00B12540" w:rsidRPr="00172AEB">
        <w:t>1 July</w:t>
      </w:r>
      <w:r w:rsidRPr="00172AEB">
        <w:t xml:space="preserve"> 2021</w:t>
      </w:r>
      <w:r w:rsidR="00097C58" w:rsidRPr="00172AEB">
        <w:t>.</w:t>
      </w:r>
    </w:p>
    <w:p w14:paraId="5B16373E" w14:textId="77777777" w:rsidR="00066244" w:rsidRPr="00172AEB" w:rsidRDefault="00066244" w:rsidP="00D37A1B">
      <w:pPr>
        <w:pStyle w:val="SubitemHead"/>
      </w:pPr>
      <w:r w:rsidRPr="00172AEB">
        <w:t>Directors of corporate trustees of registrable superannuation entities</w:t>
      </w:r>
    </w:p>
    <w:p w14:paraId="7E5238E9" w14:textId="77777777" w:rsidR="00890F9E" w:rsidRPr="00172AEB" w:rsidRDefault="00E220B2" w:rsidP="00D37A1B">
      <w:pPr>
        <w:pStyle w:val="Subitem"/>
      </w:pPr>
      <w:r w:rsidRPr="00172AEB">
        <w:t>(2)</w:t>
      </w:r>
      <w:r w:rsidRPr="00172AEB">
        <w:tab/>
        <w:t xml:space="preserve">The amendments made by </w:t>
      </w:r>
      <w:r w:rsidR="00B12540" w:rsidRPr="00172AEB">
        <w:t>items </w:t>
      </w:r>
      <w:r w:rsidR="00975E4D" w:rsidRPr="00172AEB">
        <w:t>7</w:t>
      </w:r>
      <w:r w:rsidR="00E85D0F" w:rsidRPr="00172AEB">
        <w:t xml:space="preserve"> and </w:t>
      </w:r>
      <w:r w:rsidR="00975E4D" w:rsidRPr="00172AEB">
        <w:t>8</w:t>
      </w:r>
      <w:r w:rsidR="00890F9E" w:rsidRPr="00172AEB">
        <w:t xml:space="preserve"> of this Schedule appl</w:t>
      </w:r>
      <w:r w:rsidR="00E85D0F" w:rsidRPr="00172AEB">
        <w:t>y</w:t>
      </w:r>
      <w:r w:rsidR="00890F9E" w:rsidRPr="00172AEB">
        <w:t xml:space="preserve"> in relation to</w:t>
      </w:r>
      <w:r w:rsidR="00097C58" w:rsidRPr="00172AEB">
        <w:t xml:space="preserve"> d</w:t>
      </w:r>
      <w:r w:rsidR="00890F9E" w:rsidRPr="00172AEB">
        <w:t xml:space="preserve">uties that are performed, or powers that are exercised, by a director of </w:t>
      </w:r>
      <w:r w:rsidR="00097C58" w:rsidRPr="00172AEB">
        <w:t>a corporate</w:t>
      </w:r>
      <w:r w:rsidR="00890F9E" w:rsidRPr="00172AEB">
        <w:t xml:space="preserve"> trustee on or after </w:t>
      </w:r>
      <w:r w:rsidR="00B12540" w:rsidRPr="00172AEB">
        <w:t>1 July</w:t>
      </w:r>
      <w:r w:rsidR="00890F9E" w:rsidRPr="00172AEB">
        <w:t xml:space="preserve"> 2021.</w:t>
      </w:r>
    </w:p>
    <w:p w14:paraId="335E385C" w14:textId="77777777" w:rsidR="00E220B2" w:rsidRPr="00172AEB" w:rsidRDefault="00BD15D8" w:rsidP="00D37A1B">
      <w:pPr>
        <w:pStyle w:val="Transitional"/>
      </w:pPr>
      <w:r>
        <w:t>16</w:t>
      </w:r>
      <w:r w:rsidR="00E220B2" w:rsidRPr="00172AEB">
        <w:t xml:space="preserve">  Application—burden of proof in proceedings relating to duty to act in best financial interests of beneficiaries</w:t>
      </w:r>
    </w:p>
    <w:p w14:paraId="40A4E2AF" w14:textId="77777777" w:rsidR="00E85D0F" w:rsidRPr="00172AEB" w:rsidRDefault="00E220B2" w:rsidP="00D37A1B">
      <w:pPr>
        <w:pStyle w:val="Item"/>
      </w:pPr>
      <w:r w:rsidRPr="00172AEB">
        <w:t>The amendment</w:t>
      </w:r>
      <w:r w:rsidR="00E85D0F" w:rsidRPr="00172AEB">
        <w:t xml:space="preserve"> made by </w:t>
      </w:r>
      <w:r w:rsidR="00B12540" w:rsidRPr="00172AEB">
        <w:t>item 1</w:t>
      </w:r>
      <w:r w:rsidR="009C2395">
        <w:t>3</w:t>
      </w:r>
      <w:r w:rsidRPr="00172AEB">
        <w:t xml:space="preserve"> of this Schedule appl</w:t>
      </w:r>
      <w:r w:rsidR="00E85D0F" w:rsidRPr="00172AEB">
        <w:t>ies</w:t>
      </w:r>
      <w:r w:rsidRPr="00172AEB">
        <w:t xml:space="preserve"> </w:t>
      </w:r>
      <w:r w:rsidR="00E85D0F" w:rsidRPr="00172AEB">
        <w:t xml:space="preserve">to the following contraventions of the </w:t>
      </w:r>
      <w:r w:rsidR="00E85D0F" w:rsidRPr="00172AEB">
        <w:rPr>
          <w:i/>
        </w:rPr>
        <w:t>Superannuation Industry (Supervision) Act 1993</w:t>
      </w:r>
      <w:r w:rsidR="00E85D0F" w:rsidRPr="00172AEB">
        <w:t xml:space="preserve"> that occur on or after </w:t>
      </w:r>
      <w:r w:rsidR="00B12540" w:rsidRPr="00172AEB">
        <w:t>1 July</w:t>
      </w:r>
      <w:r w:rsidR="00E85D0F" w:rsidRPr="00172AEB">
        <w:t xml:space="preserve"> 2021:</w:t>
      </w:r>
    </w:p>
    <w:p w14:paraId="1099356F" w14:textId="77777777" w:rsidR="00E85D0F" w:rsidRPr="00172AEB" w:rsidRDefault="00E85D0F" w:rsidP="00D37A1B">
      <w:pPr>
        <w:pStyle w:val="paragraph"/>
      </w:pPr>
      <w:r w:rsidRPr="00172AEB">
        <w:tab/>
        <w:t>(a)</w:t>
      </w:r>
      <w:r w:rsidRPr="00172AEB">
        <w:tab/>
        <w:t xml:space="preserve">contraventions of </w:t>
      </w:r>
      <w:r w:rsidR="00B12540" w:rsidRPr="00172AEB">
        <w:t>subsection 5</w:t>
      </w:r>
      <w:r w:rsidRPr="00172AEB">
        <w:t xml:space="preserve">4B(1) of that Act in relation to a covenant set out in </w:t>
      </w:r>
      <w:r w:rsidR="00B12540" w:rsidRPr="00172AEB">
        <w:t>paragraph 5</w:t>
      </w:r>
      <w:r w:rsidRPr="00172AEB">
        <w:t>2(2)(c) of that Act;</w:t>
      </w:r>
    </w:p>
    <w:p w14:paraId="60A39F57" w14:textId="77777777" w:rsidR="00E85D0F" w:rsidRPr="00172AEB" w:rsidRDefault="00E85D0F" w:rsidP="00D37A1B">
      <w:pPr>
        <w:pStyle w:val="paragraph"/>
      </w:pPr>
      <w:r w:rsidRPr="00172AEB">
        <w:tab/>
        <w:t>(b)</w:t>
      </w:r>
      <w:r w:rsidRPr="00172AEB">
        <w:tab/>
        <w:t xml:space="preserve">contraventions of </w:t>
      </w:r>
      <w:r w:rsidR="00B12540" w:rsidRPr="00172AEB">
        <w:t>subsection 5</w:t>
      </w:r>
      <w:r w:rsidRPr="00172AEB">
        <w:t xml:space="preserve">4B(2) of that Act  in relation to a covenant set out in </w:t>
      </w:r>
      <w:r w:rsidR="00B12540" w:rsidRPr="00172AEB">
        <w:t>paragraph 5</w:t>
      </w:r>
      <w:r w:rsidRPr="00172AEB">
        <w:t>2A(2)(c) of that Act.</w:t>
      </w:r>
    </w:p>
    <w:sectPr w:rsidR="00E85D0F" w:rsidRPr="00172AEB" w:rsidSect="00D37A1B">
      <w:headerReference w:type="even" r:id="rId12"/>
      <w:headerReference w:type="default" r:id="rId13"/>
      <w:footerReference w:type="even" r:id="rId14"/>
      <w:footerReference w:type="default" r:id="rId15"/>
      <w:headerReference w:type="first" r:id="rId16"/>
      <w:footerReference w:type="first" r:id="rId17"/>
      <w:pgSz w:w="11907" w:h="16839"/>
      <w:pgMar w:top="794" w:right="2410" w:bottom="4395" w:left="2410" w:header="720" w:footer="3165"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14EE2" w14:textId="77777777" w:rsidR="007239E8" w:rsidRDefault="007239E8" w:rsidP="00664C63">
      <w:pPr>
        <w:spacing w:line="240" w:lineRule="auto"/>
      </w:pPr>
      <w:r>
        <w:separator/>
      </w:r>
    </w:p>
  </w:endnote>
  <w:endnote w:type="continuationSeparator" w:id="0">
    <w:p w14:paraId="4E6E6F26" w14:textId="77777777" w:rsidR="007239E8" w:rsidRDefault="007239E8"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A1329" w14:textId="77777777" w:rsidR="00664C63" w:rsidRPr="00BB4623" w:rsidRDefault="00664C63" w:rsidP="00D37A1B">
    <w:pPr>
      <w:pBdr>
        <w:top w:val="single" w:sz="6" w:space="1" w:color="auto"/>
      </w:pBdr>
      <w:spacing w:before="120"/>
      <w:jc w:val="right"/>
      <w:rPr>
        <w:sz w:val="18"/>
      </w:rPr>
    </w:pPr>
  </w:p>
  <w:p w14:paraId="33ADDEFE" w14:textId="77777777" w:rsidR="00664C63" w:rsidRPr="00BB4623" w:rsidRDefault="00F5076A" w:rsidP="00664C63">
    <w:pPr>
      <w:rPr>
        <w:i/>
        <w:sz w:val="18"/>
      </w:rPr>
    </w:pPr>
    <w:r w:rsidRPr="00BB4623">
      <w:rPr>
        <w:i/>
        <w:sz w:val="18"/>
      </w:rPr>
      <w:fldChar w:fldCharType="begin"/>
    </w:r>
    <w:r w:rsidR="00664C63" w:rsidRPr="00BB4623">
      <w:rPr>
        <w:i/>
        <w:sz w:val="18"/>
      </w:rPr>
      <w:instrText xml:space="preserve"> PAGE </w:instrText>
    </w:r>
    <w:r w:rsidRPr="00BB4623">
      <w:rPr>
        <w:i/>
        <w:sz w:val="18"/>
      </w:rPr>
      <w:fldChar w:fldCharType="separate"/>
    </w:r>
    <w:r w:rsidR="00664C63" w:rsidRPr="00BB4623">
      <w:rPr>
        <w:i/>
        <w:noProof/>
        <w:sz w:val="18"/>
      </w:rPr>
      <w:t>1</w:t>
    </w:r>
    <w:r w:rsidRPr="00BB4623">
      <w:rPr>
        <w:i/>
        <w:sz w:val="18"/>
      </w:rPr>
      <w:fldChar w:fldCharType="end"/>
    </w:r>
  </w:p>
  <w:p w14:paraId="30507A9C" w14:textId="77777777" w:rsidR="00664C63" w:rsidRPr="00BB4623" w:rsidRDefault="00664C63"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D6606" w14:textId="77777777" w:rsidR="0095602D" w:rsidRDefault="006D6081" w:rsidP="00D37A1B">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60288" behindDoc="1" locked="0" layoutInCell="1" allowOverlap="1" wp14:anchorId="371928CB" wp14:editId="5B3ED66D">
              <wp:simplePos x="0" y="0"/>
              <wp:positionH relativeFrom="page">
                <wp:align>center</wp:align>
              </wp:positionH>
              <wp:positionV relativeFrom="paragraph">
                <wp:posOffset>2159635</wp:posOffset>
              </wp:positionV>
              <wp:extent cx="5762625" cy="400050"/>
              <wp:effectExtent l="0" t="0" r="9525" b="0"/>
              <wp:wrapNone/>
              <wp:docPr id="2" name="Text Box 2"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D36775" w14:textId="76CCA16C" w:rsidR="006D6081" w:rsidRPr="006D6081" w:rsidRDefault="006D6081" w:rsidP="006D608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74B7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74B7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74B7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74B7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74B7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74B7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52991">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1928CB" id="_x0000_t202" coordsize="21600,21600" o:spt="202" path="m,l,21600r21600,l21600,xe">
              <v:stroke joinstyle="miter"/>
              <v:path gradientshapeok="t" o:connecttype="rect"/>
            </v:shapetype>
            <v:shape id="Text Box 2" o:spid="_x0000_s1027" type="#_x0000_t202" alt="Sec-primary" style="position:absolute;margin-left:0;margin-top:170.05pt;width:453.75pt;height:31.5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" stroked="f" strokeweight=".5pt">
              <v:path arrowok="t"/>
              <v:textbox>
                <w:txbxContent>
                  <w:p w14:paraId="2ED36775" w14:textId="76CCA16C" w:rsidR="006D6081" w:rsidRPr="006D6081" w:rsidRDefault="006D6081" w:rsidP="006D608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74B7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74B7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74B7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74B7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74B7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74B7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52991">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W w:w="0" w:type="auto"/>
      <w:tblLayout w:type="fixed"/>
      <w:tblLook w:val="0000" w:firstRow="0" w:lastRow="0" w:firstColumn="0" w:lastColumn="0" w:noHBand="0" w:noVBand="0"/>
    </w:tblPr>
    <w:tblGrid>
      <w:gridCol w:w="7087"/>
    </w:tblGrid>
    <w:tr w:rsidR="0095602D" w:rsidRPr="00B3608C" w14:paraId="57E42E79" w14:textId="77777777" w:rsidTr="00A91C76">
      <w:trPr>
        <w:trHeight w:val="280"/>
      </w:trPr>
      <w:tc>
        <w:tcPr>
          <w:tcW w:w="7087" w:type="dxa"/>
        </w:tcPr>
        <w:p w14:paraId="29AFC9F9" w14:textId="16B7A3AA" w:rsidR="0095602D" w:rsidRPr="00B3608C" w:rsidRDefault="0095602D" w:rsidP="00A91C76">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00352991">
            <w:rPr>
              <w:i/>
              <w:noProof/>
              <w:sz w:val="18"/>
            </w:rPr>
            <w:t>1</w:t>
          </w:r>
          <w:r w:rsidRPr="00BB4623">
            <w:rPr>
              <w:i/>
              <w:sz w:val="18"/>
            </w:rPr>
            <w:fldChar w:fldCharType="end"/>
          </w:r>
        </w:p>
      </w:tc>
    </w:tr>
    <w:tr w:rsidR="0095602D" w:rsidRPr="00B3608C" w14:paraId="57963EBF" w14:textId="77777777" w:rsidTr="00A91C76">
      <w:tc>
        <w:tcPr>
          <w:tcW w:w="7087" w:type="dxa"/>
        </w:tcPr>
        <w:p w14:paraId="67D7A9B4" w14:textId="77777777" w:rsidR="0095602D" w:rsidRPr="00B3608C" w:rsidRDefault="0095602D" w:rsidP="00A91C76">
          <w:pPr>
            <w:rPr>
              <w:i/>
              <w:sz w:val="18"/>
            </w:rPr>
          </w:pPr>
          <w:r w:rsidRPr="00BB4623">
            <w:rPr>
              <w:i/>
              <w:sz w:val="18"/>
            </w:rPr>
            <w:t xml:space="preserve">  </w:t>
          </w:r>
        </w:p>
      </w:tc>
    </w:tr>
  </w:tbl>
  <w:p w14:paraId="39F215DB" w14:textId="77777777" w:rsidR="00B3608C" w:rsidRPr="00BB4623" w:rsidRDefault="00B3608C" w:rsidP="00B3608C">
    <w:pPr>
      <w:pStyle w:val="Tabletext"/>
      <w:spacing w:befor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4147D" w14:textId="77777777" w:rsidR="00664C63" w:rsidRPr="00BB4623" w:rsidRDefault="00664C63" w:rsidP="00D37A1B">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9745E" w14:textId="77777777" w:rsidR="007239E8" w:rsidRDefault="007239E8" w:rsidP="00664C63">
      <w:pPr>
        <w:spacing w:line="240" w:lineRule="auto"/>
      </w:pPr>
      <w:r>
        <w:separator/>
      </w:r>
    </w:p>
  </w:footnote>
  <w:footnote w:type="continuationSeparator" w:id="0">
    <w:p w14:paraId="434EDD83" w14:textId="77777777" w:rsidR="007239E8" w:rsidRDefault="007239E8"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67C47" w14:textId="77777777" w:rsidR="00664C63" w:rsidRPr="00BB4623" w:rsidRDefault="00664C63" w:rsidP="00664C63">
    <w:pPr>
      <w:rPr>
        <w:sz w:val="24"/>
      </w:rPr>
    </w:pPr>
  </w:p>
  <w:p w14:paraId="10DA6D76" w14:textId="77777777" w:rsidR="00664C63" w:rsidRPr="00BB4623" w:rsidRDefault="00664C63"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9B02E" w14:textId="77777777" w:rsidR="00664C63" w:rsidRPr="00BB4623" w:rsidRDefault="006D6081" w:rsidP="00664C63">
    <w:pPr>
      <w:jc w:val="right"/>
      <w:rPr>
        <w:sz w:val="24"/>
      </w:rPr>
    </w:pPr>
    <w:r>
      <w:rPr>
        <w:noProof/>
        <w:sz w:val="24"/>
        <w:lang w:eastAsia="en-AU"/>
      </w:rPr>
      <mc:AlternateContent>
        <mc:Choice Requires="wps">
          <w:drawing>
            <wp:anchor distT="0" distB="0" distL="114300" distR="114300" simplePos="0" relativeHeight="251659264" behindDoc="1" locked="0" layoutInCell="1" allowOverlap="1" wp14:anchorId="3E323129" wp14:editId="2694D76D">
              <wp:simplePos x="0" y="0"/>
              <wp:positionH relativeFrom="page">
                <wp:align>center</wp:align>
              </wp:positionH>
              <wp:positionV relativeFrom="paragraph">
                <wp:posOffset>-317500</wp:posOffset>
              </wp:positionV>
              <wp:extent cx="5762625" cy="400050"/>
              <wp:effectExtent l="0" t="0" r="9525" b="0"/>
              <wp:wrapNone/>
              <wp:docPr id="1" name="Text Box 1"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4B4F5E8" w14:textId="0096BABE" w:rsidR="006D6081" w:rsidRPr="006D6081" w:rsidRDefault="006D6081" w:rsidP="006D608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74B7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74B7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74B7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74B7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74B7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74B7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52991">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323129" id="_x0000_t202" coordsize="21600,21600" o:spt="202" path="m,l,21600r21600,l21600,xe">
              <v:stroke joinstyle="miter"/>
              <v:path gradientshapeok="t" o:connecttype="rect"/>
            </v:shapetype>
            <v:shape id="Text Box 1" o:spid="_x0000_s1026" type="#_x0000_t202" alt="Sec-primary" style="position:absolute;left:0;text-align:left;margin-left:0;margin-top:-25pt;width:453.75pt;height:31.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" stroked="f" strokeweight=".5pt">
              <v:path arrowok="t"/>
              <v:textbox>
                <w:txbxContent>
                  <w:p w14:paraId="14B4F5E8" w14:textId="0096BABE" w:rsidR="006D6081" w:rsidRPr="006D6081" w:rsidRDefault="006D6081" w:rsidP="006D608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74B7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74B7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74B7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74B7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74B7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74B7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52991">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p w14:paraId="1668AF87" w14:textId="77777777" w:rsidR="00664C63" w:rsidRPr="00BB4623" w:rsidRDefault="00664C63"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AAE65" w14:textId="77777777" w:rsidR="00664C63" w:rsidRPr="00BB4623" w:rsidRDefault="00664C63"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4"/>
  <w:removePersonalInformation/>
  <w:doNotDisplayPageBoundaries/>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9E8"/>
    <w:rsid w:val="00006862"/>
    <w:rsid w:val="000136AF"/>
    <w:rsid w:val="00014B9A"/>
    <w:rsid w:val="00055D20"/>
    <w:rsid w:val="000614BF"/>
    <w:rsid w:val="00066244"/>
    <w:rsid w:val="00073C5A"/>
    <w:rsid w:val="00087033"/>
    <w:rsid w:val="000906D1"/>
    <w:rsid w:val="00097C58"/>
    <w:rsid w:val="000A28DF"/>
    <w:rsid w:val="000B24B1"/>
    <w:rsid w:val="000C74F9"/>
    <w:rsid w:val="000D05EF"/>
    <w:rsid w:val="000D3899"/>
    <w:rsid w:val="000F21C1"/>
    <w:rsid w:val="000F4126"/>
    <w:rsid w:val="001016D1"/>
    <w:rsid w:val="0010240E"/>
    <w:rsid w:val="0010745C"/>
    <w:rsid w:val="0011206D"/>
    <w:rsid w:val="00114D07"/>
    <w:rsid w:val="00166C2F"/>
    <w:rsid w:val="00172AEB"/>
    <w:rsid w:val="00182C9A"/>
    <w:rsid w:val="0018435F"/>
    <w:rsid w:val="001939E1"/>
    <w:rsid w:val="00195382"/>
    <w:rsid w:val="001B0F61"/>
    <w:rsid w:val="001B2468"/>
    <w:rsid w:val="001C69C4"/>
    <w:rsid w:val="001E3590"/>
    <w:rsid w:val="001E7407"/>
    <w:rsid w:val="00211AD0"/>
    <w:rsid w:val="0021250A"/>
    <w:rsid w:val="00213E01"/>
    <w:rsid w:val="002277A0"/>
    <w:rsid w:val="00240749"/>
    <w:rsid w:val="00261DE3"/>
    <w:rsid w:val="00275586"/>
    <w:rsid w:val="00291C85"/>
    <w:rsid w:val="00296415"/>
    <w:rsid w:val="00297ECB"/>
    <w:rsid w:val="002A6541"/>
    <w:rsid w:val="002B4F0E"/>
    <w:rsid w:val="002C085A"/>
    <w:rsid w:val="002D043A"/>
    <w:rsid w:val="002F08B3"/>
    <w:rsid w:val="00313C6F"/>
    <w:rsid w:val="0033411C"/>
    <w:rsid w:val="00334771"/>
    <w:rsid w:val="0033660D"/>
    <w:rsid w:val="003415D3"/>
    <w:rsid w:val="0035207C"/>
    <w:rsid w:val="00352991"/>
    <w:rsid w:val="00352B0F"/>
    <w:rsid w:val="00360511"/>
    <w:rsid w:val="00390906"/>
    <w:rsid w:val="003B0F1E"/>
    <w:rsid w:val="003B115D"/>
    <w:rsid w:val="003D0317"/>
    <w:rsid w:val="003D0BFE"/>
    <w:rsid w:val="003D2D96"/>
    <w:rsid w:val="003D5700"/>
    <w:rsid w:val="003F60D2"/>
    <w:rsid w:val="00402376"/>
    <w:rsid w:val="004031D7"/>
    <w:rsid w:val="004043EE"/>
    <w:rsid w:val="0040616D"/>
    <w:rsid w:val="004116CD"/>
    <w:rsid w:val="004168B4"/>
    <w:rsid w:val="00424CA9"/>
    <w:rsid w:val="00427D10"/>
    <w:rsid w:val="0044291A"/>
    <w:rsid w:val="00496A5D"/>
    <w:rsid w:val="00496F97"/>
    <w:rsid w:val="004A1D3C"/>
    <w:rsid w:val="004C317A"/>
    <w:rsid w:val="004E3680"/>
    <w:rsid w:val="004F40AA"/>
    <w:rsid w:val="00507671"/>
    <w:rsid w:val="005104CE"/>
    <w:rsid w:val="00516B8D"/>
    <w:rsid w:val="00523684"/>
    <w:rsid w:val="00537FBC"/>
    <w:rsid w:val="00543850"/>
    <w:rsid w:val="005566AF"/>
    <w:rsid w:val="00584052"/>
    <w:rsid w:val="00584811"/>
    <w:rsid w:val="00593AA6"/>
    <w:rsid w:val="00594161"/>
    <w:rsid w:val="00594749"/>
    <w:rsid w:val="005A6F34"/>
    <w:rsid w:val="005B4067"/>
    <w:rsid w:val="005C3F41"/>
    <w:rsid w:val="005C46A0"/>
    <w:rsid w:val="005C5800"/>
    <w:rsid w:val="005D4DEA"/>
    <w:rsid w:val="005F6B80"/>
    <w:rsid w:val="00600219"/>
    <w:rsid w:val="0060362F"/>
    <w:rsid w:val="00611C2E"/>
    <w:rsid w:val="0061794D"/>
    <w:rsid w:val="006444FB"/>
    <w:rsid w:val="0065106B"/>
    <w:rsid w:val="006527A6"/>
    <w:rsid w:val="00664C63"/>
    <w:rsid w:val="00677CC2"/>
    <w:rsid w:val="00681A4A"/>
    <w:rsid w:val="00691CE7"/>
    <w:rsid w:val="0069207B"/>
    <w:rsid w:val="006B51F1"/>
    <w:rsid w:val="006C7F8C"/>
    <w:rsid w:val="006D3764"/>
    <w:rsid w:val="006D6081"/>
    <w:rsid w:val="006E2F00"/>
    <w:rsid w:val="00700B2C"/>
    <w:rsid w:val="00713084"/>
    <w:rsid w:val="007173B8"/>
    <w:rsid w:val="007239E8"/>
    <w:rsid w:val="00731E00"/>
    <w:rsid w:val="00732A85"/>
    <w:rsid w:val="007440B7"/>
    <w:rsid w:val="0075226A"/>
    <w:rsid w:val="007627F4"/>
    <w:rsid w:val="007715C9"/>
    <w:rsid w:val="00773B9D"/>
    <w:rsid w:val="00774EDD"/>
    <w:rsid w:val="007757EC"/>
    <w:rsid w:val="007845BF"/>
    <w:rsid w:val="00795FCE"/>
    <w:rsid w:val="007A659A"/>
    <w:rsid w:val="007B081F"/>
    <w:rsid w:val="007E4CC8"/>
    <w:rsid w:val="00800180"/>
    <w:rsid w:val="008064D8"/>
    <w:rsid w:val="00830815"/>
    <w:rsid w:val="00831377"/>
    <w:rsid w:val="00836221"/>
    <w:rsid w:val="00853A95"/>
    <w:rsid w:val="00854C4A"/>
    <w:rsid w:val="00856A31"/>
    <w:rsid w:val="008754D0"/>
    <w:rsid w:val="00883892"/>
    <w:rsid w:val="00890F9E"/>
    <w:rsid w:val="008A009C"/>
    <w:rsid w:val="008A1AE3"/>
    <w:rsid w:val="008A4DA4"/>
    <w:rsid w:val="008A6470"/>
    <w:rsid w:val="008D0EE0"/>
    <w:rsid w:val="008E05CA"/>
    <w:rsid w:val="008F4C45"/>
    <w:rsid w:val="008F61AC"/>
    <w:rsid w:val="00906911"/>
    <w:rsid w:val="00932377"/>
    <w:rsid w:val="00932FA3"/>
    <w:rsid w:val="00954B86"/>
    <w:rsid w:val="0095602D"/>
    <w:rsid w:val="009620C2"/>
    <w:rsid w:val="00975E4D"/>
    <w:rsid w:val="009C2395"/>
    <w:rsid w:val="009D4782"/>
    <w:rsid w:val="00A120DD"/>
    <w:rsid w:val="00A231E2"/>
    <w:rsid w:val="00A25627"/>
    <w:rsid w:val="00A3135A"/>
    <w:rsid w:val="00A32C69"/>
    <w:rsid w:val="00A345D7"/>
    <w:rsid w:val="00A415B9"/>
    <w:rsid w:val="00A43883"/>
    <w:rsid w:val="00A64912"/>
    <w:rsid w:val="00A70A74"/>
    <w:rsid w:val="00A74B75"/>
    <w:rsid w:val="00AA5445"/>
    <w:rsid w:val="00AB5A90"/>
    <w:rsid w:val="00AB6DDC"/>
    <w:rsid w:val="00AD067E"/>
    <w:rsid w:val="00AD27B3"/>
    <w:rsid w:val="00AD5641"/>
    <w:rsid w:val="00AE59F7"/>
    <w:rsid w:val="00AE7BD7"/>
    <w:rsid w:val="00AF66E1"/>
    <w:rsid w:val="00B00DEA"/>
    <w:rsid w:val="00B05DED"/>
    <w:rsid w:val="00B12540"/>
    <w:rsid w:val="00B26413"/>
    <w:rsid w:val="00B30BBF"/>
    <w:rsid w:val="00B33B3C"/>
    <w:rsid w:val="00B340B6"/>
    <w:rsid w:val="00B3608C"/>
    <w:rsid w:val="00B36126"/>
    <w:rsid w:val="00B36473"/>
    <w:rsid w:val="00B372A6"/>
    <w:rsid w:val="00B41A82"/>
    <w:rsid w:val="00B429C2"/>
    <w:rsid w:val="00B45F64"/>
    <w:rsid w:val="00B61C25"/>
    <w:rsid w:val="00B70E56"/>
    <w:rsid w:val="00BA18DF"/>
    <w:rsid w:val="00BC30F2"/>
    <w:rsid w:val="00BD15D8"/>
    <w:rsid w:val="00BD1655"/>
    <w:rsid w:val="00BE719A"/>
    <w:rsid w:val="00BE720A"/>
    <w:rsid w:val="00C0316D"/>
    <w:rsid w:val="00C23463"/>
    <w:rsid w:val="00C42BF8"/>
    <w:rsid w:val="00C50043"/>
    <w:rsid w:val="00C53114"/>
    <w:rsid w:val="00C65CDD"/>
    <w:rsid w:val="00C723B9"/>
    <w:rsid w:val="00C7573B"/>
    <w:rsid w:val="00C77D10"/>
    <w:rsid w:val="00C91243"/>
    <w:rsid w:val="00C969C7"/>
    <w:rsid w:val="00CB0EA8"/>
    <w:rsid w:val="00CC7A09"/>
    <w:rsid w:val="00CF0BB2"/>
    <w:rsid w:val="00CF4975"/>
    <w:rsid w:val="00D13441"/>
    <w:rsid w:val="00D3213F"/>
    <w:rsid w:val="00D374CE"/>
    <w:rsid w:val="00D37A1B"/>
    <w:rsid w:val="00D40252"/>
    <w:rsid w:val="00D467B9"/>
    <w:rsid w:val="00D6288B"/>
    <w:rsid w:val="00D62C7C"/>
    <w:rsid w:val="00D66829"/>
    <w:rsid w:val="00D70DFB"/>
    <w:rsid w:val="00D7186F"/>
    <w:rsid w:val="00D766DF"/>
    <w:rsid w:val="00D844DD"/>
    <w:rsid w:val="00D9284D"/>
    <w:rsid w:val="00DA4C32"/>
    <w:rsid w:val="00DD314D"/>
    <w:rsid w:val="00E05704"/>
    <w:rsid w:val="00E1363F"/>
    <w:rsid w:val="00E206DA"/>
    <w:rsid w:val="00E220B2"/>
    <w:rsid w:val="00E52757"/>
    <w:rsid w:val="00E54CAB"/>
    <w:rsid w:val="00E556A6"/>
    <w:rsid w:val="00E74DC7"/>
    <w:rsid w:val="00E85CB9"/>
    <w:rsid w:val="00E85D0F"/>
    <w:rsid w:val="00E94998"/>
    <w:rsid w:val="00EA743B"/>
    <w:rsid w:val="00EC354D"/>
    <w:rsid w:val="00ED1A6C"/>
    <w:rsid w:val="00EE2400"/>
    <w:rsid w:val="00EE25A8"/>
    <w:rsid w:val="00EE6DCC"/>
    <w:rsid w:val="00EF2E3A"/>
    <w:rsid w:val="00F0132A"/>
    <w:rsid w:val="00F078DC"/>
    <w:rsid w:val="00F37404"/>
    <w:rsid w:val="00F5076A"/>
    <w:rsid w:val="00F50BA8"/>
    <w:rsid w:val="00F6102C"/>
    <w:rsid w:val="00F71234"/>
    <w:rsid w:val="00F8103A"/>
    <w:rsid w:val="00FA3991"/>
    <w:rsid w:val="00FF0C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8606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7A1B"/>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37A1B"/>
  </w:style>
  <w:style w:type="paragraph" w:customStyle="1" w:styleId="OPCParaBase">
    <w:name w:val="OPCParaBase"/>
    <w:qFormat/>
    <w:rsid w:val="00D37A1B"/>
    <w:pPr>
      <w:spacing w:line="260" w:lineRule="atLeast"/>
    </w:pPr>
    <w:rPr>
      <w:rFonts w:eastAsia="Times New Roman" w:cs="Times New Roman"/>
      <w:sz w:val="22"/>
      <w:lang w:eastAsia="en-AU"/>
    </w:rPr>
  </w:style>
  <w:style w:type="paragraph" w:customStyle="1" w:styleId="ShortT">
    <w:name w:val="ShortT"/>
    <w:basedOn w:val="OPCParaBase"/>
    <w:next w:val="Normal"/>
    <w:qFormat/>
    <w:rsid w:val="00D37A1B"/>
    <w:pPr>
      <w:spacing w:line="240" w:lineRule="auto"/>
    </w:pPr>
    <w:rPr>
      <w:b/>
      <w:sz w:val="40"/>
    </w:rPr>
  </w:style>
  <w:style w:type="paragraph" w:customStyle="1" w:styleId="ActHead1">
    <w:name w:val="ActHead 1"/>
    <w:aliases w:val="c"/>
    <w:basedOn w:val="OPCParaBase"/>
    <w:next w:val="Normal"/>
    <w:qFormat/>
    <w:rsid w:val="00D37A1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37A1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37A1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37A1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D37A1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37A1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37A1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37A1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37A1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37A1B"/>
  </w:style>
  <w:style w:type="paragraph" w:customStyle="1" w:styleId="Blocks">
    <w:name w:val="Blocks"/>
    <w:aliases w:val="bb"/>
    <w:basedOn w:val="OPCParaBase"/>
    <w:qFormat/>
    <w:rsid w:val="00D37A1B"/>
    <w:pPr>
      <w:spacing w:line="240" w:lineRule="auto"/>
    </w:pPr>
    <w:rPr>
      <w:sz w:val="24"/>
    </w:rPr>
  </w:style>
  <w:style w:type="paragraph" w:customStyle="1" w:styleId="BoxText">
    <w:name w:val="BoxText"/>
    <w:aliases w:val="bt"/>
    <w:basedOn w:val="OPCParaBase"/>
    <w:qFormat/>
    <w:rsid w:val="00D37A1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37A1B"/>
    <w:rPr>
      <w:b/>
    </w:rPr>
  </w:style>
  <w:style w:type="paragraph" w:customStyle="1" w:styleId="BoxHeadItalic">
    <w:name w:val="BoxHeadItalic"/>
    <w:aliases w:val="bhi"/>
    <w:basedOn w:val="BoxText"/>
    <w:next w:val="BoxStep"/>
    <w:qFormat/>
    <w:rsid w:val="00D37A1B"/>
    <w:rPr>
      <w:i/>
    </w:rPr>
  </w:style>
  <w:style w:type="paragraph" w:customStyle="1" w:styleId="BoxList">
    <w:name w:val="BoxList"/>
    <w:aliases w:val="bl"/>
    <w:basedOn w:val="BoxText"/>
    <w:qFormat/>
    <w:rsid w:val="00D37A1B"/>
    <w:pPr>
      <w:ind w:left="1559" w:hanging="425"/>
    </w:pPr>
  </w:style>
  <w:style w:type="paragraph" w:customStyle="1" w:styleId="BoxNote">
    <w:name w:val="BoxNote"/>
    <w:aliases w:val="bn"/>
    <w:basedOn w:val="BoxText"/>
    <w:qFormat/>
    <w:rsid w:val="00D37A1B"/>
    <w:pPr>
      <w:tabs>
        <w:tab w:val="left" w:pos="1985"/>
      </w:tabs>
      <w:spacing w:before="122" w:line="198" w:lineRule="exact"/>
      <w:ind w:left="2948" w:hanging="1814"/>
    </w:pPr>
    <w:rPr>
      <w:sz w:val="18"/>
    </w:rPr>
  </w:style>
  <w:style w:type="paragraph" w:customStyle="1" w:styleId="BoxPara">
    <w:name w:val="BoxPara"/>
    <w:aliases w:val="bp"/>
    <w:basedOn w:val="BoxText"/>
    <w:qFormat/>
    <w:rsid w:val="00D37A1B"/>
    <w:pPr>
      <w:tabs>
        <w:tab w:val="right" w:pos="2268"/>
      </w:tabs>
      <w:ind w:left="2552" w:hanging="1418"/>
    </w:pPr>
  </w:style>
  <w:style w:type="paragraph" w:customStyle="1" w:styleId="BoxStep">
    <w:name w:val="BoxStep"/>
    <w:aliases w:val="bs"/>
    <w:basedOn w:val="BoxText"/>
    <w:qFormat/>
    <w:rsid w:val="00D37A1B"/>
    <w:pPr>
      <w:ind w:left="1985" w:hanging="851"/>
    </w:pPr>
  </w:style>
  <w:style w:type="character" w:customStyle="1" w:styleId="CharAmPartNo">
    <w:name w:val="CharAmPartNo"/>
    <w:basedOn w:val="OPCCharBase"/>
    <w:qFormat/>
    <w:rsid w:val="00D37A1B"/>
  </w:style>
  <w:style w:type="character" w:customStyle="1" w:styleId="CharAmPartText">
    <w:name w:val="CharAmPartText"/>
    <w:basedOn w:val="OPCCharBase"/>
    <w:qFormat/>
    <w:rsid w:val="00D37A1B"/>
  </w:style>
  <w:style w:type="character" w:customStyle="1" w:styleId="CharAmSchNo">
    <w:name w:val="CharAmSchNo"/>
    <w:basedOn w:val="OPCCharBase"/>
    <w:qFormat/>
    <w:rsid w:val="00D37A1B"/>
  </w:style>
  <w:style w:type="character" w:customStyle="1" w:styleId="CharAmSchText">
    <w:name w:val="CharAmSchText"/>
    <w:basedOn w:val="OPCCharBase"/>
    <w:qFormat/>
    <w:rsid w:val="00D37A1B"/>
  </w:style>
  <w:style w:type="character" w:customStyle="1" w:styleId="CharBoldItalic">
    <w:name w:val="CharBoldItalic"/>
    <w:basedOn w:val="OPCCharBase"/>
    <w:uiPriority w:val="1"/>
    <w:qFormat/>
    <w:rsid w:val="00D37A1B"/>
    <w:rPr>
      <w:b/>
      <w:i/>
    </w:rPr>
  </w:style>
  <w:style w:type="character" w:customStyle="1" w:styleId="CharChapNo">
    <w:name w:val="CharChapNo"/>
    <w:basedOn w:val="OPCCharBase"/>
    <w:uiPriority w:val="1"/>
    <w:qFormat/>
    <w:rsid w:val="00D37A1B"/>
  </w:style>
  <w:style w:type="character" w:customStyle="1" w:styleId="CharChapText">
    <w:name w:val="CharChapText"/>
    <w:basedOn w:val="OPCCharBase"/>
    <w:uiPriority w:val="1"/>
    <w:qFormat/>
    <w:rsid w:val="00D37A1B"/>
  </w:style>
  <w:style w:type="character" w:customStyle="1" w:styleId="CharDivNo">
    <w:name w:val="CharDivNo"/>
    <w:basedOn w:val="OPCCharBase"/>
    <w:uiPriority w:val="1"/>
    <w:qFormat/>
    <w:rsid w:val="00D37A1B"/>
  </w:style>
  <w:style w:type="character" w:customStyle="1" w:styleId="CharDivText">
    <w:name w:val="CharDivText"/>
    <w:basedOn w:val="OPCCharBase"/>
    <w:uiPriority w:val="1"/>
    <w:qFormat/>
    <w:rsid w:val="00D37A1B"/>
  </w:style>
  <w:style w:type="character" w:customStyle="1" w:styleId="CharItalic">
    <w:name w:val="CharItalic"/>
    <w:basedOn w:val="OPCCharBase"/>
    <w:uiPriority w:val="1"/>
    <w:qFormat/>
    <w:rsid w:val="00D37A1B"/>
    <w:rPr>
      <w:i/>
    </w:rPr>
  </w:style>
  <w:style w:type="character" w:customStyle="1" w:styleId="CharPartNo">
    <w:name w:val="CharPartNo"/>
    <w:basedOn w:val="OPCCharBase"/>
    <w:uiPriority w:val="1"/>
    <w:qFormat/>
    <w:rsid w:val="00D37A1B"/>
  </w:style>
  <w:style w:type="character" w:customStyle="1" w:styleId="CharPartText">
    <w:name w:val="CharPartText"/>
    <w:basedOn w:val="OPCCharBase"/>
    <w:uiPriority w:val="1"/>
    <w:qFormat/>
    <w:rsid w:val="00D37A1B"/>
  </w:style>
  <w:style w:type="character" w:customStyle="1" w:styleId="CharSectno">
    <w:name w:val="CharSectno"/>
    <w:basedOn w:val="OPCCharBase"/>
    <w:qFormat/>
    <w:rsid w:val="00D37A1B"/>
  </w:style>
  <w:style w:type="character" w:customStyle="1" w:styleId="CharSubdNo">
    <w:name w:val="CharSubdNo"/>
    <w:basedOn w:val="OPCCharBase"/>
    <w:uiPriority w:val="1"/>
    <w:qFormat/>
    <w:rsid w:val="00D37A1B"/>
  </w:style>
  <w:style w:type="character" w:customStyle="1" w:styleId="CharSubdText">
    <w:name w:val="CharSubdText"/>
    <w:basedOn w:val="OPCCharBase"/>
    <w:uiPriority w:val="1"/>
    <w:qFormat/>
    <w:rsid w:val="00D37A1B"/>
  </w:style>
  <w:style w:type="paragraph" w:customStyle="1" w:styleId="CTA--">
    <w:name w:val="CTA --"/>
    <w:basedOn w:val="OPCParaBase"/>
    <w:next w:val="Normal"/>
    <w:rsid w:val="00D37A1B"/>
    <w:pPr>
      <w:spacing w:before="60" w:line="240" w:lineRule="atLeast"/>
      <w:ind w:left="142" w:hanging="142"/>
    </w:pPr>
    <w:rPr>
      <w:sz w:val="20"/>
    </w:rPr>
  </w:style>
  <w:style w:type="paragraph" w:customStyle="1" w:styleId="CTA-">
    <w:name w:val="CTA -"/>
    <w:basedOn w:val="OPCParaBase"/>
    <w:rsid w:val="00D37A1B"/>
    <w:pPr>
      <w:spacing w:before="60" w:line="240" w:lineRule="atLeast"/>
      <w:ind w:left="85" w:hanging="85"/>
    </w:pPr>
    <w:rPr>
      <w:sz w:val="20"/>
    </w:rPr>
  </w:style>
  <w:style w:type="paragraph" w:customStyle="1" w:styleId="CTA---">
    <w:name w:val="CTA ---"/>
    <w:basedOn w:val="OPCParaBase"/>
    <w:next w:val="Normal"/>
    <w:rsid w:val="00D37A1B"/>
    <w:pPr>
      <w:spacing w:before="60" w:line="240" w:lineRule="atLeast"/>
      <w:ind w:left="198" w:hanging="198"/>
    </w:pPr>
    <w:rPr>
      <w:sz w:val="20"/>
    </w:rPr>
  </w:style>
  <w:style w:type="paragraph" w:customStyle="1" w:styleId="CTA----">
    <w:name w:val="CTA ----"/>
    <w:basedOn w:val="OPCParaBase"/>
    <w:next w:val="Normal"/>
    <w:rsid w:val="00D37A1B"/>
    <w:pPr>
      <w:spacing w:before="60" w:line="240" w:lineRule="atLeast"/>
      <w:ind w:left="255" w:hanging="255"/>
    </w:pPr>
    <w:rPr>
      <w:sz w:val="20"/>
    </w:rPr>
  </w:style>
  <w:style w:type="paragraph" w:customStyle="1" w:styleId="CTA1a">
    <w:name w:val="CTA 1(a)"/>
    <w:basedOn w:val="OPCParaBase"/>
    <w:rsid w:val="00D37A1B"/>
    <w:pPr>
      <w:tabs>
        <w:tab w:val="right" w:pos="414"/>
      </w:tabs>
      <w:spacing w:before="40" w:line="240" w:lineRule="atLeast"/>
      <w:ind w:left="675" w:hanging="675"/>
    </w:pPr>
    <w:rPr>
      <w:sz w:val="20"/>
    </w:rPr>
  </w:style>
  <w:style w:type="paragraph" w:customStyle="1" w:styleId="CTA1ai">
    <w:name w:val="CTA 1(a)(i)"/>
    <w:basedOn w:val="OPCParaBase"/>
    <w:rsid w:val="00D37A1B"/>
    <w:pPr>
      <w:tabs>
        <w:tab w:val="right" w:pos="1004"/>
      </w:tabs>
      <w:spacing w:before="40" w:line="240" w:lineRule="atLeast"/>
      <w:ind w:left="1253" w:hanging="1253"/>
    </w:pPr>
    <w:rPr>
      <w:sz w:val="20"/>
    </w:rPr>
  </w:style>
  <w:style w:type="paragraph" w:customStyle="1" w:styleId="CTA2a">
    <w:name w:val="CTA 2(a)"/>
    <w:basedOn w:val="OPCParaBase"/>
    <w:rsid w:val="00D37A1B"/>
    <w:pPr>
      <w:tabs>
        <w:tab w:val="right" w:pos="482"/>
      </w:tabs>
      <w:spacing w:before="40" w:line="240" w:lineRule="atLeast"/>
      <w:ind w:left="748" w:hanging="748"/>
    </w:pPr>
    <w:rPr>
      <w:sz w:val="20"/>
    </w:rPr>
  </w:style>
  <w:style w:type="paragraph" w:customStyle="1" w:styleId="CTA2ai">
    <w:name w:val="CTA 2(a)(i)"/>
    <w:basedOn w:val="OPCParaBase"/>
    <w:rsid w:val="00D37A1B"/>
    <w:pPr>
      <w:tabs>
        <w:tab w:val="right" w:pos="1089"/>
      </w:tabs>
      <w:spacing w:before="40" w:line="240" w:lineRule="atLeast"/>
      <w:ind w:left="1327" w:hanging="1327"/>
    </w:pPr>
    <w:rPr>
      <w:sz w:val="20"/>
    </w:rPr>
  </w:style>
  <w:style w:type="paragraph" w:customStyle="1" w:styleId="CTA3a">
    <w:name w:val="CTA 3(a)"/>
    <w:basedOn w:val="OPCParaBase"/>
    <w:rsid w:val="00D37A1B"/>
    <w:pPr>
      <w:tabs>
        <w:tab w:val="right" w:pos="556"/>
      </w:tabs>
      <w:spacing w:before="40" w:line="240" w:lineRule="atLeast"/>
      <w:ind w:left="805" w:hanging="805"/>
    </w:pPr>
    <w:rPr>
      <w:sz w:val="20"/>
    </w:rPr>
  </w:style>
  <w:style w:type="paragraph" w:customStyle="1" w:styleId="CTA3ai">
    <w:name w:val="CTA 3(a)(i)"/>
    <w:basedOn w:val="OPCParaBase"/>
    <w:rsid w:val="00D37A1B"/>
    <w:pPr>
      <w:tabs>
        <w:tab w:val="right" w:pos="1140"/>
      </w:tabs>
      <w:spacing w:before="40" w:line="240" w:lineRule="atLeast"/>
      <w:ind w:left="1361" w:hanging="1361"/>
    </w:pPr>
    <w:rPr>
      <w:sz w:val="20"/>
    </w:rPr>
  </w:style>
  <w:style w:type="paragraph" w:customStyle="1" w:styleId="CTA4a">
    <w:name w:val="CTA 4(a)"/>
    <w:basedOn w:val="OPCParaBase"/>
    <w:rsid w:val="00D37A1B"/>
    <w:pPr>
      <w:tabs>
        <w:tab w:val="right" w:pos="624"/>
      </w:tabs>
      <w:spacing w:before="40" w:line="240" w:lineRule="atLeast"/>
      <w:ind w:left="873" w:hanging="873"/>
    </w:pPr>
    <w:rPr>
      <w:sz w:val="20"/>
    </w:rPr>
  </w:style>
  <w:style w:type="paragraph" w:customStyle="1" w:styleId="CTA4ai">
    <w:name w:val="CTA 4(a)(i)"/>
    <w:basedOn w:val="OPCParaBase"/>
    <w:rsid w:val="00D37A1B"/>
    <w:pPr>
      <w:tabs>
        <w:tab w:val="right" w:pos="1213"/>
      </w:tabs>
      <w:spacing w:before="40" w:line="240" w:lineRule="atLeast"/>
      <w:ind w:left="1452" w:hanging="1452"/>
    </w:pPr>
    <w:rPr>
      <w:sz w:val="20"/>
    </w:rPr>
  </w:style>
  <w:style w:type="paragraph" w:customStyle="1" w:styleId="CTACAPS">
    <w:name w:val="CTA CAPS"/>
    <w:basedOn w:val="OPCParaBase"/>
    <w:rsid w:val="00D37A1B"/>
    <w:pPr>
      <w:spacing w:before="60" w:line="240" w:lineRule="atLeast"/>
    </w:pPr>
    <w:rPr>
      <w:sz w:val="20"/>
    </w:rPr>
  </w:style>
  <w:style w:type="paragraph" w:customStyle="1" w:styleId="CTAright">
    <w:name w:val="CTA right"/>
    <w:basedOn w:val="OPCParaBase"/>
    <w:rsid w:val="00D37A1B"/>
    <w:pPr>
      <w:spacing w:before="60" w:line="240" w:lineRule="auto"/>
      <w:jc w:val="right"/>
    </w:pPr>
    <w:rPr>
      <w:sz w:val="20"/>
    </w:rPr>
  </w:style>
  <w:style w:type="paragraph" w:customStyle="1" w:styleId="subsection">
    <w:name w:val="subsection"/>
    <w:aliases w:val="ss"/>
    <w:basedOn w:val="OPCParaBase"/>
    <w:rsid w:val="00D37A1B"/>
    <w:pPr>
      <w:tabs>
        <w:tab w:val="right" w:pos="1021"/>
      </w:tabs>
      <w:spacing w:before="180" w:line="240" w:lineRule="auto"/>
      <w:ind w:left="1134" w:hanging="1134"/>
    </w:pPr>
  </w:style>
  <w:style w:type="paragraph" w:customStyle="1" w:styleId="Definition">
    <w:name w:val="Definition"/>
    <w:aliases w:val="dd"/>
    <w:basedOn w:val="OPCParaBase"/>
    <w:rsid w:val="00D37A1B"/>
    <w:pPr>
      <w:spacing w:before="180" w:line="240" w:lineRule="auto"/>
      <w:ind w:left="1134"/>
    </w:pPr>
  </w:style>
  <w:style w:type="paragraph" w:customStyle="1" w:styleId="ETAsubitem">
    <w:name w:val="ETA(subitem)"/>
    <w:basedOn w:val="OPCParaBase"/>
    <w:rsid w:val="00D37A1B"/>
    <w:pPr>
      <w:tabs>
        <w:tab w:val="right" w:pos="340"/>
      </w:tabs>
      <w:spacing w:before="60" w:line="240" w:lineRule="auto"/>
      <w:ind w:left="454" w:hanging="454"/>
    </w:pPr>
    <w:rPr>
      <w:sz w:val="20"/>
    </w:rPr>
  </w:style>
  <w:style w:type="paragraph" w:customStyle="1" w:styleId="ETApara">
    <w:name w:val="ETA(para)"/>
    <w:basedOn w:val="OPCParaBase"/>
    <w:rsid w:val="00D37A1B"/>
    <w:pPr>
      <w:tabs>
        <w:tab w:val="right" w:pos="754"/>
      </w:tabs>
      <w:spacing w:before="60" w:line="240" w:lineRule="auto"/>
      <w:ind w:left="828" w:hanging="828"/>
    </w:pPr>
    <w:rPr>
      <w:sz w:val="20"/>
    </w:rPr>
  </w:style>
  <w:style w:type="paragraph" w:customStyle="1" w:styleId="ETAsubpara">
    <w:name w:val="ETA(subpara)"/>
    <w:basedOn w:val="OPCParaBase"/>
    <w:rsid w:val="00D37A1B"/>
    <w:pPr>
      <w:tabs>
        <w:tab w:val="right" w:pos="1083"/>
      </w:tabs>
      <w:spacing w:before="60" w:line="240" w:lineRule="auto"/>
      <w:ind w:left="1191" w:hanging="1191"/>
    </w:pPr>
    <w:rPr>
      <w:sz w:val="20"/>
    </w:rPr>
  </w:style>
  <w:style w:type="paragraph" w:customStyle="1" w:styleId="ETAsub-subpara">
    <w:name w:val="ETA(sub-subpara)"/>
    <w:basedOn w:val="OPCParaBase"/>
    <w:rsid w:val="00D37A1B"/>
    <w:pPr>
      <w:tabs>
        <w:tab w:val="right" w:pos="1412"/>
      </w:tabs>
      <w:spacing w:before="60" w:line="240" w:lineRule="auto"/>
      <w:ind w:left="1525" w:hanging="1525"/>
    </w:pPr>
    <w:rPr>
      <w:sz w:val="20"/>
    </w:rPr>
  </w:style>
  <w:style w:type="paragraph" w:customStyle="1" w:styleId="Formula">
    <w:name w:val="Formula"/>
    <w:basedOn w:val="OPCParaBase"/>
    <w:rsid w:val="00D37A1B"/>
    <w:pPr>
      <w:spacing w:line="240" w:lineRule="auto"/>
      <w:ind w:left="1134"/>
    </w:pPr>
    <w:rPr>
      <w:sz w:val="20"/>
    </w:rPr>
  </w:style>
  <w:style w:type="paragraph" w:styleId="Header">
    <w:name w:val="header"/>
    <w:basedOn w:val="OPCParaBase"/>
    <w:link w:val="HeaderChar"/>
    <w:unhideWhenUsed/>
    <w:rsid w:val="00D37A1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37A1B"/>
    <w:rPr>
      <w:rFonts w:eastAsia="Times New Roman" w:cs="Times New Roman"/>
      <w:sz w:val="16"/>
      <w:lang w:eastAsia="en-AU"/>
    </w:rPr>
  </w:style>
  <w:style w:type="paragraph" w:customStyle="1" w:styleId="House">
    <w:name w:val="House"/>
    <w:basedOn w:val="OPCParaBase"/>
    <w:rsid w:val="00D37A1B"/>
    <w:pPr>
      <w:spacing w:line="240" w:lineRule="auto"/>
    </w:pPr>
    <w:rPr>
      <w:sz w:val="28"/>
    </w:rPr>
  </w:style>
  <w:style w:type="paragraph" w:customStyle="1" w:styleId="Item">
    <w:name w:val="Item"/>
    <w:aliases w:val="i"/>
    <w:basedOn w:val="OPCParaBase"/>
    <w:next w:val="ItemHead"/>
    <w:rsid w:val="00D37A1B"/>
    <w:pPr>
      <w:keepLines/>
      <w:spacing w:before="80" w:line="240" w:lineRule="auto"/>
      <w:ind w:left="709"/>
    </w:pPr>
  </w:style>
  <w:style w:type="paragraph" w:customStyle="1" w:styleId="ItemHead">
    <w:name w:val="ItemHead"/>
    <w:aliases w:val="ih"/>
    <w:basedOn w:val="OPCParaBase"/>
    <w:next w:val="Item"/>
    <w:rsid w:val="00D37A1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37A1B"/>
    <w:pPr>
      <w:spacing w:line="240" w:lineRule="auto"/>
    </w:pPr>
    <w:rPr>
      <w:b/>
      <w:sz w:val="32"/>
    </w:rPr>
  </w:style>
  <w:style w:type="paragraph" w:customStyle="1" w:styleId="notedraft">
    <w:name w:val="note(draft)"/>
    <w:aliases w:val="nd"/>
    <w:basedOn w:val="OPCParaBase"/>
    <w:rsid w:val="00D37A1B"/>
    <w:pPr>
      <w:spacing w:before="240" w:line="240" w:lineRule="auto"/>
      <w:ind w:left="284" w:hanging="284"/>
    </w:pPr>
    <w:rPr>
      <w:i/>
      <w:sz w:val="24"/>
    </w:rPr>
  </w:style>
  <w:style w:type="paragraph" w:customStyle="1" w:styleId="notemargin">
    <w:name w:val="note(margin)"/>
    <w:aliases w:val="nm"/>
    <w:basedOn w:val="OPCParaBase"/>
    <w:rsid w:val="00D37A1B"/>
    <w:pPr>
      <w:tabs>
        <w:tab w:val="left" w:pos="709"/>
      </w:tabs>
      <w:spacing w:before="122" w:line="198" w:lineRule="exact"/>
      <w:ind w:left="709" w:hanging="709"/>
    </w:pPr>
    <w:rPr>
      <w:sz w:val="18"/>
    </w:rPr>
  </w:style>
  <w:style w:type="paragraph" w:customStyle="1" w:styleId="noteToPara">
    <w:name w:val="noteToPara"/>
    <w:aliases w:val="ntp"/>
    <w:basedOn w:val="OPCParaBase"/>
    <w:rsid w:val="00D37A1B"/>
    <w:pPr>
      <w:spacing w:before="122" w:line="198" w:lineRule="exact"/>
      <w:ind w:left="2353" w:hanging="709"/>
    </w:pPr>
    <w:rPr>
      <w:sz w:val="18"/>
    </w:rPr>
  </w:style>
  <w:style w:type="paragraph" w:customStyle="1" w:styleId="noteParlAmend">
    <w:name w:val="note(ParlAmend)"/>
    <w:aliases w:val="npp"/>
    <w:basedOn w:val="OPCParaBase"/>
    <w:next w:val="ParlAmend"/>
    <w:rsid w:val="00D37A1B"/>
    <w:pPr>
      <w:spacing w:line="240" w:lineRule="auto"/>
      <w:jc w:val="right"/>
    </w:pPr>
    <w:rPr>
      <w:rFonts w:ascii="Arial" w:hAnsi="Arial"/>
      <w:b/>
      <w:i/>
    </w:rPr>
  </w:style>
  <w:style w:type="paragraph" w:customStyle="1" w:styleId="Page1">
    <w:name w:val="Page1"/>
    <w:basedOn w:val="OPCParaBase"/>
    <w:rsid w:val="00D37A1B"/>
    <w:pPr>
      <w:spacing w:before="5600" w:line="240" w:lineRule="auto"/>
    </w:pPr>
    <w:rPr>
      <w:b/>
      <w:sz w:val="32"/>
    </w:rPr>
  </w:style>
  <w:style w:type="paragraph" w:customStyle="1" w:styleId="PageBreak">
    <w:name w:val="PageBreak"/>
    <w:aliases w:val="pb"/>
    <w:basedOn w:val="OPCParaBase"/>
    <w:rsid w:val="00D37A1B"/>
    <w:pPr>
      <w:spacing w:line="240" w:lineRule="auto"/>
    </w:pPr>
    <w:rPr>
      <w:sz w:val="20"/>
    </w:rPr>
  </w:style>
  <w:style w:type="paragraph" w:customStyle="1" w:styleId="paragraphsub">
    <w:name w:val="paragraph(sub)"/>
    <w:aliases w:val="aa"/>
    <w:basedOn w:val="OPCParaBase"/>
    <w:rsid w:val="00D37A1B"/>
    <w:pPr>
      <w:tabs>
        <w:tab w:val="right" w:pos="1985"/>
      </w:tabs>
      <w:spacing w:before="40" w:line="240" w:lineRule="auto"/>
      <w:ind w:left="2098" w:hanging="2098"/>
    </w:pPr>
  </w:style>
  <w:style w:type="paragraph" w:customStyle="1" w:styleId="paragraphsub-sub">
    <w:name w:val="paragraph(sub-sub)"/>
    <w:aliases w:val="aaa"/>
    <w:basedOn w:val="OPCParaBase"/>
    <w:rsid w:val="00D37A1B"/>
    <w:pPr>
      <w:tabs>
        <w:tab w:val="right" w:pos="2722"/>
      </w:tabs>
      <w:spacing w:before="40" w:line="240" w:lineRule="auto"/>
      <w:ind w:left="2835" w:hanging="2835"/>
    </w:pPr>
  </w:style>
  <w:style w:type="paragraph" w:customStyle="1" w:styleId="paragraph">
    <w:name w:val="paragraph"/>
    <w:aliases w:val="a"/>
    <w:basedOn w:val="OPCParaBase"/>
    <w:rsid w:val="00D37A1B"/>
    <w:pPr>
      <w:tabs>
        <w:tab w:val="right" w:pos="1531"/>
      </w:tabs>
      <w:spacing w:before="40" w:line="240" w:lineRule="auto"/>
      <w:ind w:left="1644" w:hanging="1644"/>
    </w:pPr>
  </w:style>
  <w:style w:type="paragraph" w:customStyle="1" w:styleId="ParlAmend">
    <w:name w:val="ParlAmend"/>
    <w:aliases w:val="pp"/>
    <w:basedOn w:val="OPCParaBase"/>
    <w:rsid w:val="00D37A1B"/>
    <w:pPr>
      <w:spacing w:before="240" w:line="240" w:lineRule="atLeast"/>
      <w:ind w:hanging="567"/>
    </w:pPr>
    <w:rPr>
      <w:sz w:val="24"/>
    </w:rPr>
  </w:style>
  <w:style w:type="paragraph" w:customStyle="1" w:styleId="Penalty">
    <w:name w:val="Penalty"/>
    <w:basedOn w:val="OPCParaBase"/>
    <w:rsid w:val="00D37A1B"/>
    <w:pPr>
      <w:tabs>
        <w:tab w:val="left" w:pos="2977"/>
      </w:tabs>
      <w:spacing w:before="180" w:line="240" w:lineRule="auto"/>
      <w:ind w:left="1985" w:hanging="851"/>
    </w:pPr>
  </w:style>
  <w:style w:type="paragraph" w:customStyle="1" w:styleId="Portfolio">
    <w:name w:val="Portfolio"/>
    <w:basedOn w:val="OPCParaBase"/>
    <w:rsid w:val="00D37A1B"/>
    <w:pPr>
      <w:spacing w:line="240" w:lineRule="auto"/>
    </w:pPr>
    <w:rPr>
      <w:i/>
      <w:sz w:val="20"/>
    </w:rPr>
  </w:style>
  <w:style w:type="paragraph" w:customStyle="1" w:styleId="Preamble">
    <w:name w:val="Preamble"/>
    <w:basedOn w:val="OPCParaBase"/>
    <w:next w:val="Normal"/>
    <w:rsid w:val="00D37A1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37A1B"/>
    <w:pPr>
      <w:spacing w:line="240" w:lineRule="auto"/>
    </w:pPr>
    <w:rPr>
      <w:i/>
      <w:sz w:val="20"/>
    </w:rPr>
  </w:style>
  <w:style w:type="paragraph" w:customStyle="1" w:styleId="Session">
    <w:name w:val="Session"/>
    <w:basedOn w:val="OPCParaBase"/>
    <w:rsid w:val="00D37A1B"/>
    <w:pPr>
      <w:spacing w:line="240" w:lineRule="auto"/>
    </w:pPr>
    <w:rPr>
      <w:sz w:val="28"/>
    </w:rPr>
  </w:style>
  <w:style w:type="paragraph" w:customStyle="1" w:styleId="Sponsor">
    <w:name w:val="Sponsor"/>
    <w:basedOn w:val="OPCParaBase"/>
    <w:rsid w:val="00D37A1B"/>
    <w:pPr>
      <w:spacing w:line="240" w:lineRule="auto"/>
    </w:pPr>
    <w:rPr>
      <w:i/>
    </w:rPr>
  </w:style>
  <w:style w:type="paragraph" w:customStyle="1" w:styleId="Subitem">
    <w:name w:val="Subitem"/>
    <w:aliases w:val="iss"/>
    <w:basedOn w:val="OPCParaBase"/>
    <w:rsid w:val="00D37A1B"/>
    <w:pPr>
      <w:spacing w:before="180" w:line="240" w:lineRule="auto"/>
      <w:ind w:left="709" w:hanging="709"/>
    </w:pPr>
  </w:style>
  <w:style w:type="paragraph" w:customStyle="1" w:styleId="SubitemHead">
    <w:name w:val="SubitemHead"/>
    <w:aliases w:val="issh"/>
    <w:basedOn w:val="OPCParaBase"/>
    <w:rsid w:val="00D37A1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37A1B"/>
    <w:pPr>
      <w:spacing w:before="40" w:line="240" w:lineRule="auto"/>
      <w:ind w:left="1134"/>
    </w:pPr>
  </w:style>
  <w:style w:type="paragraph" w:customStyle="1" w:styleId="SubsectionHead">
    <w:name w:val="SubsectionHead"/>
    <w:aliases w:val="ssh"/>
    <w:basedOn w:val="OPCParaBase"/>
    <w:next w:val="subsection"/>
    <w:rsid w:val="00D37A1B"/>
    <w:pPr>
      <w:keepNext/>
      <w:keepLines/>
      <w:spacing w:before="240" w:line="240" w:lineRule="auto"/>
      <w:ind w:left="1134"/>
    </w:pPr>
    <w:rPr>
      <w:i/>
    </w:rPr>
  </w:style>
  <w:style w:type="paragraph" w:customStyle="1" w:styleId="Tablea">
    <w:name w:val="Table(a)"/>
    <w:aliases w:val="ta"/>
    <w:basedOn w:val="OPCParaBase"/>
    <w:rsid w:val="00D37A1B"/>
    <w:pPr>
      <w:spacing w:before="60" w:line="240" w:lineRule="auto"/>
      <w:ind w:left="284" w:hanging="284"/>
    </w:pPr>
    <w:rPr>
      <w:sz w:val="20"/>
    </w:rPr>
  </w:style>
  <w:style w:type="paragraph" w:customStyle="1" w:styleId="TableAA">
    <w:name w:val="Table(AA)"/>
    <w:aliases w:val="taaa"/>
    <w:basedOn w:val="OPCParaBase"/>
    <w:rsid w:val="00D37A1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37A1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37A1B"/>
    <w:pPr>
      <w:spacing w:before="60" w:line="240" w:lineRule="atLeast"/>
    </w:pPr>
    <w:rPr>
      <w:sz w:val="20"/>
    </w:rPr>
  </w:style>
  <w:style w:type="paragraph" w:customStyle="1" w:styleId="TLPBoxTextnote">
    <w:name w:val="TLPBoxText(note"/>
    <w:aliases w:val="right)"/>
    <w:basedOn w:val="OPCParaBase"/>
    <w:rsid w:val="00D37A1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37A1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37A1B"/>
    <w:pPr>
      <w:spacing w:before="122" w:line="198" w:lineRule="exact"/>
      <w:ind w:left="1985" w:hanging="851"/>
      <w:jc w:val="right"/>
    </w:pPr>
    <w:rPr>
      <w:sz w:val="18"/>
    </w:rPr>
  </w:style>
  <w:style w:type="paragraph" w:customStyle="1" w:styleId="TLPTableBullet">
    <w:name w:val="TLPTableBullet"/>
    <w:aliases w:val="ttb"/>
    <w:basedOn w:val="OPCParaBase"/>
    <w:rsid w:val="00D37A1B"/>
    <w:pPr>
      <w:spacing w:line="240" w:lineRule="exact"/>
      <w:ind w:left="284" w:hanging="284"/>
    </w:pPr>
    <w:rPr>
      <w:sz w:val="20"/>
    </w:rPr>
  </w:style>
  <w:style w:type="paragraph" w:styleId="TOC1">
    <w:name w:val="toc 1"/>
    <w:basedOn w:val="OPCParaBase"/>
    <w:next w:val="Normal"/>
    <w:uiPriority w:val="39"/>
    <w:semiHidden/>
    <w:unhideWhenUsed/>
    <w:rsid w:val="00D37A1B"/>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D37A1B"/>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D37A1B"/>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D37A1B"/>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D37A1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37A1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37A1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37A1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37A1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37A1B"/>
    <w:pPr>
      <w:keepLines/>
      <w:spacing w:before="240" w:after="120" w:line="240" w:lineRule="auto"/>
      <w:ind w:left="794"/>
    </w:pPr>
    <w:rPr>
      <w:b/>
      <w:kern w:val="28"/>
      <w:sz w:val="20"/>
    </w:rPr>
  </w:style>
  <w:style w:type="paragraph" w:customStyle="1" w:styleId="TofSectsHeading">
    <w:name w:val="TofSects(Heading)"/>
    <w:basedOn w:val="OPCParaBase"/>
    <w:rsid w:val="00D37A1B"/>
    <w:pPr>
      <w:spacing w:before="240" w:after="120" w:line="240" w:lineRule="auto"/>
    </w:pPr>
    <w:rPr>
      <w:b/>
      <w:sz w:val="24"/>
    </w:rPr>
  </w:style>
  <w:style w:type="paragraph" w:customStyle="1" w:styleId="TofSectsSection">
    <w:name w:val="TofSects(Section)"/>
    <w:basedOn w:val="OPCParaBase"/>
    <w:rsid w:val="00D37A1B"/>
    <w:pPr>
      <w:keepLines/>
      <w:spacing w:before="40" w:line="240" w:lineRule="auto"/>
      <w:ind w:left="1588" w:hanging="794"/>
    </w:pPr>
    <w:rPr>
      <w:kern w:val="28"/>
      <w:sz w:val="18"/>
    </w:rPr>
  </w:style>
  <w:style w:type="paragraph" w:customStyle="1" w:styleId="TofSectsSubdiv">
    <w:name w:val="TofSects(Subdiv)"/>
    <w:basedOn w:val="OPCParaBase"/>
    <w:rsid w:val="00D37A1B"/>
    <w:pPr>
      <w:keepLines/>
      <w:spacing w:before="80" w:line="240" w:lineRule="auto"/>
      <w:ind w:left="1588" w:hanging="794"/>
    </w:pPr>
    <w:rPr>
      <w:kern w:val="28"/>
    </w:rPr>
  </w:style>
  <w:style w:type="paragraph" w:customStyle="1" w:styleId="WRStyle">
    <w:name w:val="WR Style"/>
    <w:aliases w:val="WR"/>
    <w:basedOn w:val="OPCParaBase"/>
    <w:rsid w:val="00D37A1B"/>
    <w:pPr>
      <w:spacing w:before="240" w:line="240" w:lineRule="auto"/>
      <w:ind w:left="284" w:hanging="284"/>
    </w:pPr>
    <w:rPr>
      <w:b/>
      <w:i/>
      <w:kern w:val="28"/>
      <w:sz w:val="24"/>
    </w:rPr>
  </w:style>
  <w:style w:type="paragraph" w:customStyle="1" w:styleId="notepara">
    <w:name w:val="note(para)"/>
    <w:aliases w:val="na"/>
    <w:basedOn w:val="OPCParaBase"/>
    <w:rsid w:val="00D37A1B"/>
    <w:pPr>
      <w:spacing w:before="40" w:line="198" w:lineRule="exact"/>
      <w:ind w:left="2354" w:hanging="369"/>
    </w:pPr>
    <w:rPr>
      <w:sz w:val="18"/>
    </w:rPr>
  </w:style>
  <w:style w:type="paragraph" w:styleId="Footer">
    <w:name w:val="footer"/>
    <w:link w:val="FooterChar"/>
    <w:rsid w:val="00D37A1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37A1B"/>
    <w:rPr>
      <w:rFonts w:eastAsia="Times New Roman" w:cs="Times New Roman"/>
      <w:sz w:val="22"/>
      <w:szCs w:val="24"/>
      <w:lang w:eastAsia="en-AU"/>
    </w:rPr>
  </w:style>
  <w:style w:type="character" w:styleId="LineNumber">
    <w:name w:val="line number"/>
    <w:basedOn w:val="OPCCharBase"/>
    <w:uiPriority w:val="99"/>
    <w:semiHidden/>
    <w:unhideWhenUsed/>
    <w:rsid w:val="00D37A1B"/>
    <w:rPr>
      <w:sz w:val="16"/>
    </w:rPr>
  </w:style>
  <w:style w:type="table" w:customStyle="1" w:styleId="CFlag">
    <w:name w:val="CFlag"/>
    <w:basedOn w:val="TableNormal"/>
    <w:uiPriority w:val="99"/>
    <w:rsid w:val="00D37A1B"/>
    <w:rPr>
      <w:rFonts w:eastAsia="Times New Roman" w:cs="Times New Roman"/>
      <w:lang w:eastAsia="en-AU"/>
    </w:rPr>
    <w:tblPr/>
  </w:style>
  <w:style w:type="paragraph" w:customStyle="1" w:styleId="CompiledActNo">
    <w:name w:val="CompiledActNo"/>
    <w:basedOn w:val="OPCParaBase"/>
    <w:next w:val="Normal"/>
    <w:rsid w:val="00D37A1B"/>
    <w:rPr>
      <w:b/>
      <w:sz w:val="24"/>
      <w:szCs w:val="24"/>
    </w:rPr>
  </w:style>
  <w:style w:type="paragraph" w:customStyle="1" w:styleId="CompiledMadeUnder">
    <w:name w:val="CompiledMadeUnder"/>
    <w:basedOn w:val="OPCParaBase"/>
    <w:next w:val="Normal"/>
    <w:rsid w:val="00D37A1B"/>
    <w:rPr>
      <w:i/>
      <w:sz w:val="24"/>
      <w:szCs w:val="24"/>
    </w:rPr>
  </w:style>
  <w:style w:type="paragraph" w:customStyle="1" w:styleId="ENotesText">
    <w:name w:val="ENotesText"/>
    <w:aliases w:val="Ent"/>
    <w:basedOn w:val="OPCParaBase"/>
    <w:next w:val="Normal"/>
    <w:rsid w:val="00D37A1B"/>
    <w:pPr>
      <w:spacing w:before="120"/>
    </w:pPr>
  </w:style>
  <w:style w:type="paragraph" w:customStyle="1" w:styleId="Paragraphsub-sub-sub">
    <w:name w:val="Paragraph(sub-sub-sub)"/>
    <w:aliases w:val="aaaa"/>
    <w:basedOn w:val="OPCParaBase"/>
    <w:rsid w:val="00D37A1B"/>
    <w:pPr>
      <w:tabs>
        <w:tab w:val="right" w:pos="3402"/>
      </w:tabs>
      <w:spacing w:before="40" w:line="240" w:lineRule="auto"/>
      <w:ind w:left="3402" w:hanging="3402"/>
    </w:pPr>
  </w:style>
  <w:style w:type="paragraph" w:customStyle="1" w:styleId="NoteToSubpara">
    <w:name w:val="NoteToSubpara"/>
    <w:aliases w:val="nts"/>
    <w:basedOn w:val="OPCParaBase"/>
    <w:rsid w:val="00D37A1B"/>
    <w:pPr>
      <w:spacing w:before="40" w:line="198" w:lineRule="exact"/>
      <w:ind w:left="2835" w:hanging="709"/>
    </w:pPr>
    <w:rPr>
      <w:sz w:val="18"/>
    </w:rPr>
  </w:style>
  <w:style w:type="paragraph" w:customStyle="1" w:styleId="ENoteTableHeading">
    <w:name w:val="ENoteTableHeading"/>
    <w:aliases w:val="enth"/>
    <w:basedOn w:val="OPCParaBase"/>
    <w:rsid w:val="00D37A1B"/>
    <w:pPr>
      <w:keepNext/>
      <w:spacing w:before="60" w:line="240" w:lineRule="atLeast"/>
    </w:pPr>
    <w:rPr>
      <w:rFonts w:ascii="Arial" w:hAnsi="Arial"/>
      <w:b/>
      <w:sz w:val="16"/>
    </w:rPr>
  </w:style>
  <w:style w:type="paragraph" w:customStyle="1" w:styleId="ENoteTTi">
    <w:name w:val="ENoteTTi"/>
    <w:aliases w:val="entti"/>
    <w:basedOn w:val="OPCParaBase"/>
    <w:rsid w:val="00D37A1B"/>
    <w:pPr>
      <w:keepNext/>
      <w:spacing w:before="60" w:line="240" w:lineRule="atLeast"/>
      <w:ind w:left="170"/>
    </w:pPr>
    <w:rPr>
      <w:sz w:val="16"/>
    </w:rPr>
  </w:style>
  <w:style w:type="paragraph" w:customStyle="1" w:styleId="ENotesHeading1">
    <w:name w:val="ENotesHeading 1"/>
    <w:aliases w:val="Enh1"/>
    <w:basedOn w:val="OPCParaBase"/>
    <w:next w:val="Normal"/>
    <w:rsid w:val="00D37A1B"/>
    <w:pPr>
      <w:spacing w:before="120"/>
      <w:outlineLvl w:val="1"/>
    </w:pPr>
    <w:rPr>
      <w:b/>
      <w:sz w:val="28"/>
      <w:szCs w:val="28"/>
    </w:rPr>
  </w:style>
  <w:style w:type="paragraph" w:customStyle="1" w:styleId="ENotesHeading2">
    <w:name w:val="ENotesHeading 2"/>
    <w:aliases w:val="Enh2"/>
    <w:basedOn w:val="OPCParaBase"/>
    <w:next w:val="Normal"/>
    <w:rsid w:val="00D37A1B"/>
    <w:pPr>
      <w:spacing w:before="120" w:after="120"/>
      <w:outlineLvl w:val="2"/>
    </w:pPr>
    <w:rPr>
      <w:b/>
      <w:sz w:val="24"/>
      <w:szCs w:val="28"/>
    </w:rPr>
  </w:style>
  <w:style w:type="paragraph" w:customStyle="1" w:styleId="ENoteTTIndentHeading">
    <w:name w:val="ENoteTTIndentHeading"/>
    <w:aliases w:val="enTTHi"/>
    <w:basedOn w:val="OPCParaBase"/>
    <w:rsid w:val="00D37A1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37A1B"/>
    <w:pPr>
      <w:spacing w:before="60" w:line="240" w:lineRule="atLeast"/>
    </w:pPr>
    <w:rPr>
      <w:sz w:val="16"/>
    </w:rPr>
  </w:style>
  <w:style w:type="paragraph" w:customStyle="1" w:styleId="MadeunderText">
    <w:name w:val="MadeunderText"/>
    <w:basedOn w:val="OPCParaBase"/>
    <w:next w:val="Normal"/>
    <w:rsid w:val="00D37A1B"/>
    <w:pPr>
      <w:spacing w:before="240"/>
    </w:pPr>
    <w:rPr>
      <w:sz w:val="24"/>
      <w:szCs w:val="24"/>
    </w:rPr>
  </w:style>
  <w:style w:type="paragraph" w:customStyle="1" w:styleId="ENotesHeading3">
    <w:name w:val="ENotesHeading 3"/>
    <w:aliases w:val="Enh3"/>
    <w:basedOn w:val="OPCParaBase"/>
    <w:next w:val="Normal"/>
    <w:rsid w:val="00D37A1B"/>
    <w:pPr>
      <w:keepNext/>
      <w:spacing w:before="120" w:line="240" w:lineRule="auto"/>
      <w:outlineLvl w:val="4"/>
    </w:pPr>
    <w:rPr>
      <w:b/>
      <w:szCs w:val="24"/>
    </w:rPr>
  </w:style>
  <w:style w:type="character" w:customStyle="1" w:styleId="CharSubPartTextCASA">
    <w:name w:val="CharSubPartText(CASA)"/>
    <w:basedOn w:val="OPCCharBase"/>
    <w:uiPriority w:val="1"/>
    <w:rsid w:val="00D37A1B"/>
  </w:style>
  <w:style w:type="character" w:customStyle="1" w:styleId="CharSubPartNoCASA">
    <w:name w:val="CharSubPartNo(CASA)"/>
    <w:basedOn w:val="OPCCharBase"/>
    <w:uiPriority w:val="1"/>
    <w:rsid w:val="00D37A1B"/>
  </w:style>
  <w:style w:type="paragraph" w:customStyle="1" w:styleId="ENoteTTIndentHeadingSub">
    <w:name w:val="ENoteTTIndentHeadingSub"/>
    <w:aliases w:val="enTTHis"/>
    <w:basedOn w:val="OPCParaBase"/>
    <w:rsid w:val="00D37A1B"/>
    <w:pPr>
      <w:keepNext/>
      <w:spacing w:before="60" w:line="240" w:lineRule="atLeast"/>
      <w:ind w:left="340"/>
    </w:pPr>
    <w:rPr>
      <w:b/>
      <w:sz w:val="16"/>
    </w:rPr>
  </w:style>
  <w:style w:type="paragraph" w:customStyle="1" w:styleId="ENoteTTiSub">
    <w:name w:val="ENoteTTiSub"/>
    <w:aliases w:val="enttis"/>
    <w:basedOn w:val="OPCParaBase"/>
    <w:rsid w:val="00D37A1B"/>
    <w:pPr>
      <w:keepNext/>
      <w:spacing w:before="60" w:line="240" w:lineRule="atLeast"/>
      <w:ind w:left="340"/>
    </w:pPr>
    <w:rPr>
      <w:sz w:val="16"/>
    </w:rPr>
  </w:style>
  <w:style w:type="paragraph" w:customStyle="1" w:styleId="SubDivisionMigration">
    <w:name w:val="SubDivisionMigration"/>
    <w:aliases w:val="sdm"/>
    <w:basedOn w:val="OPCParaBase"/>
    <w:rsid w:val="00D37A1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37A1B"/>
    <w:pPr>
      <w:keepNext/>
      <w:keepLines/>
      <w:spacing w:before="240" w:line="240" w:lineRule="auto"/>
      <w:ind w:left="1134" w:hanging="1134"/>
    </w:pPr>
    <w:rPr>
      <w:b/>
      <w:sz w:val="28"/>
    </w:rPr>
  </w:style>
  <w:style w:type="paragraph" w:customStyle="1" w:styleId="notetext">
    <w:name w:val="note(text)"/>
    <w:aliases w:val="n"/>
    <w:basedOn w:val="OPCParaBase"/>
    <w:rsid w:val="00D37A1B"/>
    <w:pPr>
      <w:spacing w:before="122" w:line="240" w:lineRule="auto"/>
      <w:ind w:left="1985" w:hanging="851"/>
    </w:pPr>
    <w:rPr>
      <w:sz w:val="18"/>
    </w:rPr>
  </w:style>
  <w:style w:type="paragraph" w:customStyle="1" w:styleId="FreeForm">
    <w:name w:val="FreeForm"/>
    <w:rsid w:val="00D37A1B"/>
    <w:rPr>
      <w:rFonts w:ascii="Arial" w:hAnsi="Arial"/>
      <w:sz w:val="22"/>
    </w:rPr>
  </w:style>
  <w:style w:type="paragraph" w:customStyle="1" w:styleId="SOText">
    <w:name w:val="SO Text"/>
    <w:aliases w:val="sot"/>
    <w:link w:val="SOTextChar"/>
    <w:rsid w:val="00D37A1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37A1B"/>
    <w:rPr>
      <w:sz w:val="22"/>
    </w:rPr>
  </w:style>
  <w:style w:type="paragraph" w:customStyle="1" w:styleId="SOTextNote">
    <w:name w:val="SO TextNote"/>
    <w:aliases w:val="sont"/>
    <w:basedOn w:val="SOText"/>
    <w:qFormat/>
    <w:rsid w:val="00D37A1B"/>
    <w:pPr>
      <w:spacing w:before="122" w:line="198" w:lineRule="exact"/>
      <w:ind w:left="1843" w:hanging="709"/>
    </w:pPr>
    <w:rPr>
      <w:sz w:val="18"/>
    </w:rPr>
  </w:style>
  <w:style w:type="paragraph" w:customStyle="1" w:styleId="SOPara">
    <w:name w:val="SO Para"/>
    <w:aliases w:val="soa"/>
    <w:basedOn w:val="SOText"/>
    <w:link w:val="SOParaChar"/>
    <w:qFormat/>
    <w:rsid w:val="00D37A1B"/>
    <w:pPr>
      <w:tabs>
        <w:tab w:val="right" w:pos="1786"/>
      </w:tabs>
      <w:spacing w:before="40"/>
      <w:ind w:left="2070" w:hanging="936"/>
    </w:pPr>
  </w:style>
  <w:style w:type="character" w:customStyle="1" w:styleId="SOParaChar">
    <w:name w:val="SO Para Char"/>
    <w:aliases w:val="soa Char"/>
    <w:basedOn w:val="DefaultParagraphFont"/>
    <w:link w:val="SOPara"/>
    <w:rsid w:val="00D37A1B"/>
    <w:rPr>
      <w:sz w:val="22"/>
    </w:rPr>
  </w:style>
  <w:style w:type="paragraph" w:customStyle="1" w:styleId="FileName">
    <w:name w:val="FileName"/>
    <w:basedOn w:val="Normal"/>
    <w:rsid w:val="00D37A1B"/>
  </w:style>
  <w:style w:type="paragraph" w:customStyle="1" w:styleId="TableHeading">
    <w:name w:val="TableHeading"/>
    <w:aliases w:val="th"/>
    <w:basedOn w:val="OPCParaBase"/>
    <w:next w:val="Tabletext"/>
    <w:rsid w:val="00D37A1B"/>
    <w:pPr>
      <w:keepNext/>
      <w:spacing w:before="60" w:line="240" w:lineRule="atLeast"/>
    </w:pPr>
    <w:rPr>
      <w:b/>
      <w:sz w:val="20"/>
    </w:rPr>
  </w:style>
  <w:style w:type="paragraph" w:customStyle="1" w:styleId="SOHeadBold">
    <w:name w:val="SO HeadBold"/>
    <w:aliases w:val="sohb"/>
    <w:basedOn w:val="SOText"/>
    <w:next w:val="SOText"/>
    <w:link w:val="SOHeadBoldChar"/>
    <w:qFormat/>
    <w:rsid w:val="00D37A1B"/>
    <w:rPr>
      <w:b/>
    </w:rPr>
  </w:style>
  <w:style w:type="character" w:customStyle="1" w:styleId="SOHeadBoldChar">
    <w:name w:val="SO HeadBold Char"/>
    <w:aliases w:val="sohb Char"/>
    <w:basedOn w:val="DefaultParagraphFont"/>
    <w:link w:val="SOHeadBold"/>
    <w:rsid w:val="00D37A1B"/>
    <w:rPr>
      <w:b/>
      <w:sz w:val="22"/>
    </w:rPr>
  </w:style>
  <w:style w:type="paragraph" w:customStyle="1" w:styleId="SOHeadItalic">
    <w:name w:val="SO HeadItalic"/>
    <w:aliases w:val="sohi"/>
    <w:basedOn w:val="SOText"/>
    <w:next w:val="SOText"/>
    <w:link w:val="SOHeadItalicChar"/>
    <w:qFormat/>
    <w:rsid w:val="00D37A1B"/>
    <w:rPr>
      <w:i/>
    </w:rPr>
  </w:style>
  <w:style w:type="character" w:customStyle="1" w:styleId="SOHeadItalicChar">
    <w:name w:val="SO HeadItalic Char"/>
    <w:aliases w:val="sohi Char"/>
    <w:basedOn w:val="DefaultParagraphFont"/>
    <w:link w:val="SOHeadItalic"/>
    <w:rsid w:val="00D37A1B"/>
    <w:rPr>
      <w:i/>
      <w:sz w:val="22"/>
    </w:rPr>
  </w:style>
  <w:style w:type="paragraph" w:customStyle="1" w:styleId="SOBullet">
    <w:name w:val="SO Bullet"/>
    <w:aliases w:val="sotb"/>
    <w:basedOn w:val="SOText"/>
    <w:link w:val="SOBulletChar"/>
    <w:qFormat/>
    <w:rsid w:val="00D37A1B"/>
    <w:pPr>
      <w:ind w:left="1559" w:hanging="425"/>
    </w:pPr>
  </w:style>
  <w:style w:type="character" w:customStyle="1" w:styleId="SOBulletChar">
    <w:name w:val="SO Bullet Char"/>
    <w:aliases w:val="sotb Char"/>
    <w:basedOn w:val="DefaultParagraphFont"/>
    <w:link w:val="SOBullet"/>
    <w:rsid w:val="00D37A1B"/>
    <w:rPr>
      <w:sz w:val="22"/>
    </w:rPr>
  </w:style>
  <w:style w:type="paragraph" w:customStyle="1" w:styleId="SOBulletNote">
    <w:name w:val="SO BulletNote"/>
    <w:aliases w:val="sonb"/>
    <w:basedOn w:val="SOTextNote"/>
    <w:link w:val="SOBulletNoteChar"/>
    <w:qFormat/>
    <w:rsid w:val="00D37A1B"/>
    <w:pPr>
      <w:tabs>
        <w:tab w:val="left" w:pos="1560"/>
      </w:tabs>
      <w:ind w:left="2268" w:hanging="1134"/>
    </w:pPr>
  </w:style>
  <w:style w:type="character" w:customStyle="1" w:styleId="SOBulletNoteChar">
    <w:name w:val="SO BulletNote Char"/>
    <w:aliases w:val="sonb Char"/>
    <w:basedOn w:val="DefaultParagraphFont"/>
    <w:link w:val="SOBulletNote"/>
    <w:rsid w:val="00D37A1B"/>
    <w:rPr>
      <w:sz w:val="18"/>
    </w:rPr>
  </w:style>
  <w:style w:type="paragraph" w:customStyle="1" w:styleId="SOText2">
    <w:name w:val="SO Text2"/>
    <w:aliases w:val="sot2"/>
    <w:basedOn w:val="Normal"/>
    <w:next w:val="SOText"/>
    <w:link w:val="SOText2Char"/>
    <w:rsid w:val="00D37A1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37A1B"/>
    <w:rPr>
      <w:sz w:val="22"/>
    </w:rPr>
  </w:style>
  <w:style w:type="paragraph" w:customStyle="1" w:styleId="SubPartCASA">
    <w:name w:val="SubPart(CASA)"/>
    <w:aliases w:val="csp"/>
    <w:basedOn w:val="OPCParaBase"/>
    <w:next w:val="ActHead3"/>
    <w:rsid w:val="00D37A1B"/>
    <w:pPr>
      <w:keepNext/>
      <w:keepLines/>
      <w:spacing w:before="280"/>
      <w:ind w:left="1134" w:hanging="1134"/>
      <w:outlineLvl w:val="1"/>
    </w:pPr>
    <w:rPr>
      <w:b/>
      <w:kern w:val="28"/>
      <w:sz w:val="32"/>
    </w:rPr>
  </w:style>
  <w:style w:type="paragraph" w:customStyle="1" w:styleId="NotesHeading1">
    <w:name w:val="NotesHeading 1"/>
    <w:basedOn w:val="OPCParaBase"/>
    <w:next w:val="Normal"/>
    <w:rsid w:val="00D37A1B"/>
    <w:rPr>
      <w:b/>
      <w:sz w:val="28"/>
      <w:szCs w:val="28"/>
    </w:rPr>
  </w:style>
  <w:style w:type="paragraph" w:customStyle="1" w:styleId="NotesHeading2">
    <w:name w:val="NotesHeading 2"/>
    <w:basedOn w:val="OPCParaBase"/>
    <w:next w:val="Normal"/>
    <w:rsid w:val="00D37A1B"/>
    <w:rPr>
      <w:b/>
      <w:sz w:val="28"/>
      <w:szCs w:val="28"/>
    </w:rPr>
  </w:style>
  <w:style w:type="paragraph" w:customStyle="1" w:styleId="SignCoverPageEnd">
    <w:name w:val="SignCoverPageEnd"/>
    <w:basedOn w:val="OPCParaBase"/>
    <w:next w:val="Normal"/>
    <w:rsid w:val="00D37A1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37A1B"/>
    <w:pPr>
      <w:pBdr>
        <w:top w:val="single" w:sz="4" w:space="1" w:color="auto"/>
      </w:pBdr>
      <w:spacing w:before="360"/>
      <w:ind w:right="397"/>
      <w:jc w:val="both"/>
    </w:pPr>
  </w:style>
  <w:style w:type="paragraph" w:customStyle="1" w:styleId="EndNotespara">
    <w:name w:val="EndNotes(para)"/>
    <w:aliases w:val="eta"/>
    <w:basedOn w:val="OPCParaBase"/>
    <w:next w:val="EndNotessubpara"/>
    <w:rsid w:val="00D37A1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37A1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37A1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37A1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37A1B"/>
    <w:pPr>
      <w:spacing w:before="60" w:line="240" w:lineRule="auto"/>
    </w:pPr>
    <w:rPr>
      <w:rFonts w:cs="Arial"/>
      <w:sz w:val="20"/>
      <w:szCs w:val="22"/>
    </w:rPr>
  </w:style>
  <w:style w:type="table" w:styleId="TableGrid">
    <w:name w:val="Table Grid"/>
    <w:basedOn w:val="TableNormal"/>
    <w:uiPriority w:val="59"/>
    <w:rsid w:val="00D37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D37A1B"/>
  </w:style>
  <w:style w:type="paragraph" w:styleId="BalloonText">
    <w:name w:val="Balloon Text"/>
    <w:basedOn w:val="Normal"/>
    <w:link w:val="BalloonTextChar"/>
    <w:uiPriority w:val="99"/>
    <w:semiHidden/>
    <w:unhideWhenUsed/>
    <w:rsid w:val="00AD06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6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27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2020FG-219-492</_dlc_DocId>
    <_dlc_DocIdUrl xmlns="0f563589-9cf9-4143-b1eb-fb0534803d38">
      <Url>http://tweb/sites/fg/ripd/member/_layouts/15/DocIdRedir.aspx?ID=2020FG-219-492</Url>
      <Description>2020FG-219-492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6C412BF0B9014C8D889A6B3F3E3353" ma:contentTypeVersion="33789" ma:contentTypeDescription="" ma:contentTypeScope="" ma:versionID="d86f11c53ad9f29542a7f7aedcbba4ac">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6ef8bd34eff7e892e7f59d37d9dcf488"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7;#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A7DE63A7-4D06-48D8-BBC3-1368A02B231E}">
  <ds:schemaRefs>
    <ds:schemaRef ds:uri="http://schemas.microsoft.com/sharepoint/v3/contenttype/forms"/>
  </ds:schemaRefs>
</ds:datastoreItem>
</file>

<file path=customXml/itemProps2.xml><?xml version="1.0" encoding="utf-8"?>
<ds:datastoreItem xmlns:ds="http://schemas.openxmlformats.org/officeDocument/2006/customXml" ds:itemID="{24DEF592-53E3-4C87-A7DE-BE8555C4A792}">
  <ds:schemaRef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e544e5cc-ab70-42e1-849e-1a0f8bb1f4ef"/>
    <ds:schemaRef ds:uri="0f563589-9cf9-4143-b1eb-fb0534803d38"/>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A40B1B7-6588-4FF5-8947-9E0A43FF2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8F47B-D2BE-44C3-ABEA-2E57C18FBA02}">
  <ds:schemaRefs>
    <ds:schemaRef ds:uri="http://schemas.microsoft.com/sharepoint/events"/>
  </ds:schemaRefs>
</ds:datastoreItem>
</file>

<file path=customXml/itemProps5.xml><?xml version="1.0" encoding="utf-8"?>
<ds:datastoreItem xmlns:ds="http://schemas.openxmlformats.org/officeDocument/2006/customXml" ds:itemID="{A5E3C25C-E91B-4C33-B02E-A5985C30E4B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bill_ins.dotx</Template>
  <TotalTime>0</TotalTime>
  <Pages>7</Pages>
  <Words>1407</Words>
  <Characters>7398</Characters>
  <Application>Microsoft Office Word</Application>
  <DocSecurity>2</DocSecurity>
  <PresentationFormat/>
  <Lines>203</Lines>
  <Paragraphs>103</Paragraphs>
  <ScaleCrop>false</ScaleCrop>
  <HeadingPairs>
    <vt:vector size="2" baseType="variant">
      <vt:variant>
        <vt:lpstr>Title</vt:lpstr>
      </vt:variant>
      <vt:variant>
        <vt:i4>1</vt:i4>
      </vt:variant>
    </vt:vector>
  </HeadingPairs>
  <TitlesOfParts>
    <vt:vector size="1" baseType="lpstr">
      <vt:lpstr>Exposure Draft - Treasury Laws Amendment (Measures for a later sitting) Bill 2020: Best Financial Interests Duty</vt:lpstr>
    </vt:vector>
  </TitlesOfParts>
  <Manager/>
  <Company/>
  <LinksUpToDate>false</LinksUpToDate>
  <CharactersWithSpaces>8752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Treasury Laws Amendment (Measures for a later sitting) Bill 2020: Best Financial Interests Duty</dc:title>
  <dc:subject/>
  <dc:creator/>
  <cp:keywords/>
  <dc:description/>
  <cp:lastModifiedBy/>
  <cp:revision>1</cp:revision>
  <cp:lastPrinted>2020-10-26T00:58:00Z</cp:lastPrinted>
  <dcterms:created xsi:type="dcterms:W3CDTF">2020-11-04T03:49:00Z</dcterms:created>
  <dcterms:modified xsi:type="dcterms:W3CDTF">2020-11-26T03:32:00Z</dcterms:modified>
  <cp:category/>
  <cp:contentStatus/>
  <dc:language/>
  <cp:version/>
</cp:coreProperties>
</file>