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057"/>
      </w:tblGrid>
      <w:tr w:rsidR="00797FDB" w14:paraId="7CED234A" w14:textId="77777777" w:rsidTr="00797FDB">
        <w:tc>
          <w:tcPr>
            <w:tcW w:w="5000" w:type="pct"/>
            <w:shd w:val="clear" w:color="auto" w:fill="auto"/>
          </w:tcPr>
          <w:p w14:paraId="4FD2797D" w14:textId="77777777" w:rsidR="00797FDB" w:rsidRDefault="00797FDB" w:rsidP="00797FDB">
            <w:pPr>
              <w:jc w:val="center"/>
              <w:rPr>
                <w:b/>
                <w:sz w:val="26"/>
              </w:rPr>
            </w:pPr>
            <w:bookmarkStart w:id="0" w:name="_GoBack"/>
            <w:bookmarkEnd w:id="0"/>
            <w:r>
              <w:rPr>
                <w:b/>
                <w:sz w:val="26"/>
              </w:rPr>
              <w:t>EXPOSURE DRAFT</w:t>
            </w:r>
          </w:p>
          <w:p w14:paraId="588B8EAB" w14:textId="77777777" w:rsidR="00797FDB" w:rsidRPr="00797FDB" w:rsidRDefault="00797FDB" w:rsidP="00797FDB">
            <w:pPr>
              <w:rPr>
                <w:b/>
                <w:sz w:val="20"/>
              </w:rPr>
            </w:pPr>
          </w:p>
        </w:tc>
      </w:tr>
    </w:tbl>
    <w:p w14:paraId="306FC0AD" w14:textId="77777777" w:rsidR="00797FDB" w:rsidRDefault="00797FDB" w:rsidP="00B141D0">
      <w:pPr>
        <w:rPr>
          <w:sz w:val="32"/>
          <w:szCs w:val="32"/>
        </w:rPr>
      </w:pPr>
    </w:p>
    <w:p w14:paraId="4A3F6AD0" w14:textId="77777777" w:rsidR="00B141D0" w:rsidRPr="00932FA3" w:rsidRDefault="00B141D0" w:rsidP="00B141D0">
      <w:pPr>
        <w:rPr>
          <w:sz w:val="32"/>
          <w:szCs w:val="32"/>
        </w:rPr>
      </w:pPr>
      <w:r w:rsidRPr="00932FA3">
        <w:rPr>
          <w:sz w:val="32"/>
          <w:szCs w:val="32"/>
        </w:rPr>
        <w:t>Inserts for</w:t>
      </w:r>
    </w:p>
    <w:p w14:paraId="7DF18FB7" w14:textId="77777777" w:rsidR="00B141D0" w:rsidRDefault="00B141D0" w:rsidP="00B141D0">
      <w:pPr>
        <w:pStyle w:val="ShortT"/>
      </w:pPr>
      <w:r w:rsidRPr="00906077">
        <w:t xml:space="preserve">Treasury Laws Amendment (Measures for a later sitting) Bill 2020: </w:t>
      </w:r>
      <w:r>
        <w:t>Addressing underperformance in superannuation</w:t>
      </w:r>
    </w:p>
    <w:p w14:paraId="37235DBC" w14:textId="77777777" w:rsidR="00B141D0" w:rsidRDefault="00B141D0" w:rsidP="00B141D0">
      <w:pPr>
        <w:jc w:val="center"/>
      </w:pPr>
    </w:p>
    <w:p w14:paraId="62CFD1AF" w14:textId="77777777" w:rsidR="003A5445" w:rsidRDefault="003A5445" w:rsidP="003A5445">
      <w:pPr>
        <w:pStyle w:val="ActHead6"/>
        <w:pageBreakBefore/>
      </w:pPr>
      <w:r w:rsidRPr="00797FDB">
        <w:rPr>
          <w:rStyle w:val="CharAmSchNo"/>
        </w:rPr>
        <w:lastRenderedPageBreak/>
        <w:t xml:space="preserve">Schedule </w:t>
      </w:r>
      <w:r w:rsidR="00E54CCF" w:rsidRPr="00797FDB">
        <w:rPr>
          <w:rStyle w:val="CharAmSchNo"/>
        </w:rPr>
        <w:t>1</w:t>
      </w:r>
      <w:r>
        <w:t>—</w:t>
      </w:r>
      <w:r w:rsidRPr="00797FDB">
        <w:rPr>
          <w:rStyle w:val="CharAmSchText"/>
        </w:rPr>
        <w:t>Addressing underperformance in superannuation</w:t>
      </w:r>
    </w:p>
    <w:p w14:paraId="59ABFEFD" w14:textId="77777777" w:rsidR="00624103" w:rsidRPr="00624103" w:rsidRDefault="00624103" w:rsidP="00624103">
      <w:pPr>
        <w:pStyle w:val="ActHead9"/>
      </w:pPr>
      <w:r w:rsidRPr="00624103">
        <w:t>Superannuation Industry (Supervision) Act 1993</w:t>
      </w:r>
    </w:p>
    <w:p w14:paraId="366216A3" w14:textId="77777777" w:rsidR="00477304" w:rsidRDefault="003528DC" w:rsidP="00477304">
      <w:pPr>
        <w:pStyle w:val="ItemHead"/>
      </w:pPr>
      <w:r>
        <w:t>1</w:t>
      </w:r>
      <w:r w:rsidR="00477304">
        <w:t xml:space="preserve">  </w:t>
      </w:r>
      <w:r w:rsidR="002C3FC8">
        <w:t>P</w:t>
      </w:r>
      <w:r w:rsidR="00523F23">
        <w:t>aragraph 6(1)(b</w:t>
      </w:r>
      <w:r w:rsidR="00477304">
        <w:t>)</w:t>
      </w:r>
    </w:p>
    <w:p w14:paraId="6C0B462D" w14:textId="77777777" w:rsidR="00523F23" w:rsidRDefault="002C3FC8" w:rsidP="00523F23">
      <w:pPr>
        <w:pStyle w:val="Item"/>
      </w:pPr>
      <w:r>
        <w:t>Omit “</w:t>
      </w:r>
      <w:r w:rsidRPr="002C3FC8">
        <w:t>Parts 3 and 6 (other than section </w:t>
      </w:r>
      <w:r w:rsidR="00CD3AC1">
        <w:t>60</w:t>
      </w:r>
      <w:r w:rsidRPr="002C3FC8">
        <w:t>A)</w:t>
      </w:r>
      <w:r>
        <w:t xml:space="preserve">”, substitute “Parts 3, </w:t>
      </w:r>
      <w:r w:rsidRPr="002C3FC8">
        <w:t>6 (other than section </w:t>
      </w:r>
      <w:r w:rsidR="00CD3AC1">
        <w:t>60</w:t>
      </w:r>
      <w:r w:rsidRPr="002C3FC8">
        <w:t>A)</w:t>
      </w:r>
      <w:r>
        <w:t xml:space="preserve"> and 6A”</w:t>
      </w:r>
      <w:r w:rsidR="00B575A6">
        <w:t>.</w:t>
      </w:r>
    </w:p>
    <w:p w14:paraId="079019D2" w14:textId="77777777" w:rsidR="002C3FC8" w:rsidRDefault="003528DC" w:rsidP="002C3FC8">
      <w:pPr>
        <w:pStyle w:val="ItemHead"/>
      </w:pPr>
      <w:r>
        <w:t>2</w:t>
      </w:r>
      <w:r w:rsidR="002C3FC8">
        <w:t xml:space="preserve">  Paragraph 6(1)(d)</w:t>
      </w:r>
    </w:p>
    <w:p w14:paraId="3E3B4F4D" w14:textId="77777777" w:rsidR="002C3FC8" w:rsidRDefault="002C3FC8" w:rsidP="002C3FC8">
      <w:pPr>
        <w:pStyle w:val="Item"/>
      </w:pPr>
      <w:r>
        <w:t>Omit “</w:t>
      </w:r>
      <w:r w:rsidRPr="002C3FC8">
        <w:t>Parts 3 and 6 (other than section </w:t>
      </w:r>
      <w:r w:rsidR="00CD3AC1">
        <w:t>60</w:t>
      </w:r>
      <w:r w:rsidRPr="002C3FC8">
        <w:t>A)</w:t>
      </w:r>
      <w:r>
        <w:t xml:space="preserve">”, substitute “Parts 3, </w:t>
      </w:r>
      <w:r w:rsidRPr="002C3FC8">
        <w:t>6 (other than section </w:t>
      </w:r>
      <w:r w:rsidR="00CD3AC1">
        <w:t>60</w:t>
      </w:r>
      <w:r w:rsidRPr="002C3FC8">
        <w:t>A)</w:t>
      </w:r>
      <w:r>
        <w:t xml:space="preserve"> and 6A”</w:t>
      </w:r>
      <w:r w:rsidR="00B575A6">
        <w:t>.</w:t>
      </w:r>
    </w:p>
    <w:p w14:paraId="045E17CA" w14:textId="77777777" w:rsidR="00523F23" w:rsidRDefault="003528DC" w:rsidP="00523F23">
      <w:pPr>
        <w:pStyle w:val="ItemHead"/>
      </w:pPr>
      <w:r>
        <w:t>3</w:t>
      </w:r>
      <w:r w:rsidR="00523F23">
        <w:t xml:space="preserve">  Subsection 10(1)</w:t>
      </w:r>
    </w:p>
    <w:p w14:paraId="28C3598E" w14:textId="77777777" w:rsidR="00477304" w:rsidRDefault="00477304" w:rsidP="00477304">
      <w:pPr>
        <w:pStyle w:val="Item"/>
      </w:pPr>
      <w:r>
        <w:t>Insert:</w:t>
      </w:r>
    </w:p>
    <w:p w14:paraId="694F66C3" w14:textId="77777777" w:rsidR="00477304" w:rsidRPr="00477304" w:rsidRDefault="00477304" w:rsidP="00477304">
      <w:pPr>
        <w:pStyle w:val="Definition"/>
      </w:pPr>
      <w:r w:rsidRPr="00477304">
        <w:rPr>
          <w:b/>
          <w:i/>
        </w:rPr>
        <w:t>resolution</w:t>
      </w:r>
      <w:r w:rsidR="00B404EB">
        <w:t>, of an entity,</w:t>
      </w:r>
      <w:r>
        <w:t xml:space="preserve"> </w:t>
      </w:r>
      <w:r w:rsidRPr="00477304">
        <w:t>means the process by which APRA</w:t>
      </w:r>
      <w:r w:rsidRPr="000B0565">
        <w:t xml:space="preserve"> </w:t>
      </w:r>
      <w:r w:rsidR="000B0565">
        <w:t>or other relevant persons</w:t>
      </w:r>
      <w:r w:rsidRPr="00477304">
        <w:t xml:space="preserve"> manage or respond to </w:t>
      </w:r>
      <w:r w:rsidR="00F15B43">
        <w:t>the</w:t>
      </w:r>
      <w:r w:rsidRPr="00477304">
        <w:t xml:space="preserve"> entity:</w:t>
      </w:r>
    </w:p>
    <w:p w14:paraId="2626404D" w14:textId="77777777" w:rsidR="00477304" w:rsidRPr="00477304" w:rsidRDefault="00477304" w:rsidP="00477304">
      <w:pPr>
        <w:pStyle w:val="paragraph"/>
      </w:pPr>
      <w:r w:rsidRPr="00477304">
        <w:tab/>
        <w:t>(a)</w:t>
      </w:r>
      <w:r w:rsidRPr="00477304">
        <w:tab/>
        <w:t>being unable to meet its obligations; or</w:t>
      </w:r>
    </w:p>
    <w:p w14:paraId="247D8E4F" w14:textId="77777777" w:rsidR="00477304" w:rsidRPr="00477304" w:rsidRDefault="00477304" w:rsidP="00477304">
      <w:pPr>
        <w:pStyle w:val="paragraph"/>
      </w:pPr>
      <w:r w:rsidRPr="00477304">
        <w:tab/>
        <w:t>(b)</w:t>
      </w:r>
      <w:r w:rsidRPr="00477304">
        <w:tab/>
        <w:t>being considered likely to be unable, or being considered likely to become unable, to meet its obligations; or</w:t>
      </w:r>
    </w:p>
    <w:p w14:paraId="7FC93959" w14:textId="77777777" w:rsidR="00477304" w:rsidRPr="00477304" w:rsidRDefault="00477304" w:rsidP="00477304">
      <w:pPr>
        <w:pStyle w:val="paragraph"/>
      </w:pPr>
      <w:r w:rsidRPr="00477304">
        <w:tab/>
        <w:t>(c)</w:t>
      </w:r>
      <w:r w:rsidRPr="00477304">
        <w:tab/>
        <w:t>suspending payment, or being considered likely to suspend payment;</w:t>
      </w:r>
    </w:p>
    <w:p w14:paraId="65AA0490" w14:textId="77777777" w:rsidR="00477304" w:rsidRDefault="00477304" w:rsidP="00DA7B37">
      <w:pPr>
        <w:pStyle w:val="subsection2"/>
      </w:pPr>
      <w:r w:rsidRPr="00477304">
        <w:t>including through the exercise of powers and functions under this Act or another law</w:t>
      </w:r>
      <w:r w:rsidR="00B575A6">
        <w:t>.</w:t>
      </w:r>
    </w:p>
    <w:p w14:paraId="467E049E" w14:textId="77777777" w:rsidR="00477304" w:rsidRDefault="003528DC" w:rsidP="00477304">
      <w:pPr>
        <w:pStyle w:val="ItemHead"/>
      </w:pPr>
      <w:r>
        <w:t>4</w:t>
      </w:r>
      <w:r w:rsidR="00477304">
        <w:t xml:space="preserve">  </w:t>
      </w:r>
      <w:r w:rsidR="00B404EB">
        <w:t>A</w:t>
      </w:r>
      <w:r w:rsidR="00F15B43">
        <w:t>fter paragraph 34C(4)(e</w:t>
      </w:r>
      <w:r w:rsidR="00477304">
        <w:t>)</w:t>
      </w:r>
    </w:p>
    <w:p w14:paraId="6B840859" w14:textId="77777777" w:rsidR="00477304" w:rsidRDefault="00F15B43" w:rsidP="00477304">
      <w:pPr>
        <w:pStyle w:val="Item"/>
      </w:pPr>
      <w:r>
        <w:t>Insert</w:t>
      </w:r>
      <w:r w:rsidR="00477304">
        <w:t>:</w:t>
      </w:r>
    </w:p>
    <w:p w14:paraId="43412E33" w14:textId="77777777" w:rsidR="00B404EB" w:rsidRPr="00F15B43" w:rsidRDefault="00F15B43" w:rsidP="00F15B43">
      <w:pPr>
        <w:pStyle w:val="paragraph"/>
      </w:pPr>
      <w:r w:rsidRPr="00F15B43">
        <w:tab/>
        <w:t>(ea)</w:t>
      </w:r>
      <w:r w:rsidRPr="00F15B43">
        <w:tab/>
        <w:t>the conduct by an RSE licensee of a registrable superannuation entity, or by a connected entity of such an RSE licensee</w:t>
      </w:r>
      <w:r>
        <w:t>,</w:t>
      </w:r>
      <w:r w:rsidRPr="00F15B43">
        <w:t xml:space="preserve"> of the affairs of the licensee, the registrable superannuation entity, or a connected entity of </w:t>
      </w:r>
      <w:r w:rsidR="003528DC">
        <w:t xml:space="preserve">the </w:t>
      </w:r>
      <w:r w:rsidRPr="00F15B43">
        <w:t>licensee, in such a way as to:</w:t>
      </w:r>
    </w:p>
    <w:p w14:paraId="36963BB6" w14:textId="77777777" w:rsidR="00F15B43" w:rsidRDefault="00F15B43" w:rsidP="00F15B43">
      <w:pPr>
        <w:pStyle w:val="paragraphsub"/>
      </w:pPr>
      <w:r w:rsidRPr="00477304">
        <w:tab/>
      </w:r>
      <w:r>
        <w:t>(i</w:t>
      </w:r>
      <w:r w:rsidRPr="00477304">
        <w:t>)</w:t>
      </w:r>
      <w:r w:rsidRPr="00477304">
        <w:tab/>
        <w:t xml:space="preserve">facilitate resolution of the </w:t>
      </w:r>
      <w:r>
        <w:t>RSE licensee</w:t>
      </w:r>
      <w:r w:rsidRPr="00477304">
        <w:t>; or</w:t>
      </w:r>
    </w:p>
    <w:p w14:paraId="3C7D7F26" w14:textId="77777777" w:rsidR="00F15B43" w:rsidRDefault="00F15B43" w:rsidP="00F15B43">
      <w:pPr>
        <w:pStyle w:val="paragraphsub"/>
      </w:pPr>
      <w:r w:rsidRPr="00477304">
        <w:tab/>
      </w:r>
      <w:r>
        <w:t>(ii</w:t>
      </w:r>
      <w:r w:rsidRPr="00477304">
        <w:t>)</w:t>
      </w:r>
      <w:r w:rsidRPr="00477304">
        <w:tab/>
        <w:t xml:space="preserve">facilitate resolution of the </w:t>
      </w:r>
      <w:r w:rsidRPr="00F15B43">
        <w:t>registrable superannuation entity</w:t>
      </w:r>
      <w:r w:rsidRPr="00477304">
        <w:t>; or</w:t>
      </w:r>
    </w:p>
    <w:p w14:paraId="358399F7" w14:textId="77777777" w:rsidR="00F15B43" w:rsidRDefault="00F15B43" w:rsidP="00F15B43">
      <w:pPr>
        <w:pStyle w:val="paragraphsub"/>
      </w:pPr>
      <w:r w:rsidRPr="00477304">
        <w:tab/>
        <w:t>(ii</w:t>
      </w:r>
      <w:r>
        <w:t>i</w:t>
      </w:r>
      <w:r w:rsidRPr="00477304">
        <w:t>)</w:t>
      </w:r>
      <w:r w:rsidRPr="00477304">
        <w:tab/>
        <w:t xml:space="preserve">facilitate resolution of the </w:t>
      </w:r>
      <w:r>
        <w:t>connected entity</w:t>
      </w:r>
      <w:r w:rsidRPr="00477304">
        <w:t>; or</w:t>
      </w:r>
    </w:p>
    <w:p w14:paraId="14B6654F" w14:textId="77777777" w:rsidR="00DA7B37" w:rsidRDefault="003528DC" w:rsidP="00DA7B37">
      <w:pPr>
        <w:pStyle w:val="ItemHead"/>
      </w:pPr>
      <w:r>
        <w:t>5</w:t>
      </w:r>
      <w:r w:rsidR="00DA7B37">
        <w:t xml:space="preserve">  At the end of paragraph 52(9)(a)</w:t>
      </w:r>
    </w:p>
    <w:p w14:paraId="3459539A" w14:textId="77777777" w:rsidR="00DA7B37" w:rsidRDefault="00DA7B37" w:rsidP="00DA7B37">
      <w:pPr>
        <w:pStyle w:val="Item"/>
      </w:pPr>
      <w:r>
        <w:t>Add:</w:t>
      </w:r>
    </w:p>
    <w:p w14:paraId="61E914DC" w14:textId="77777777" w:rsidR="00DA7B37" w:rsidRDefault="00DA7B37" w:rsidP="00DA7B37">
      <w:pPr>
        <w:pStyle w:val="paragraphsub"/>
      </w:pPr>
      <w:r>
        <w:lastRenderedPageBreak/>
        <w:tab/>
        <w:t>; and (iv)</w:t>
      </w:r>
      <w:r>
        <w:tab/>
        <w:t>the latest determination (if any) made by APRA under subsection 60B(2) for the product;</w:t>
      </w:r>
    </w:p>
    <w:p w14:paraId="45D21490" w14:textId="77777777" w:rsidR="00B141D0" w:rsidRDefault="003528DC" w:rsidP="00B141D0">
      <w:pPr>
        <w:pStyle w:val="ItemHead"/>
      </w:pPr>
      <w:r>
        <w:t>6</w:t>
      </w:r>
      <w:r w:rsidR="00B141D0">
        <w:t xml:space="preserve">  </w:t>
      </w:r>
      <w:r w:rsidR="0035584D">
        <w:t xml:space="preserve">At the end of </w:t>
      </w:r>
      <w:r w:rsidR="00B141D0">
        <w:t>section 5</w:t>
      </w:r>
      <w:r w:rsidR="0035584D">
        <w:t>2</w:t>
      </w:r>
    </w:p>
    <w:p w14:paraId="276BAD95" w14:textId="77777777" w:rsidR="00B141D0" w:rsidRDefault="0035584D" w:rsidP="00B141D0">
      <w:pPr>
        <w:pStyle w:val="Item"/>
      </w:pPr>
      <w:r>
        <w:t>Add</w:t>
      </w:r>
      <w:r w:rsidR="00B141D0">
        <w:t>:</w:t>
      </w:r>
    </w:p>
    <w:p w14:paraId="68EEFBBA" w14:textId="77777777" w:rsidR="00B564E7" w:rsidRDefault="00B564E7" w:rsidP="00B564E7">
      <w:pPr>
        <w:pStyle w:val="SubsectionHead"/>
      </w:pPr>
      <w:r>
        <w:t>Covenants relating to regulated superannuation funds—failing annual performance assessments</w:t>
      </w:r>
    </w:p>
    <w:p w14:paraId="333BFD2A" w14:textId="77777777" w:rsidR="00B564E7" w:rsidRPr="00B564E7" w:rsidRDefault="0035584D" w:rsidP="00B564E7">
      <w:pPr>
        <w:pStyle w:val="subsection"/>
      </w:pPr>
      <w:r>
        <w:tab/>
        <w:t>(14</w:t>
      </w:r>
      <w:r w:rsidR="00B564E7" w:rsidRPr="00B564E7">
        <w:t>)</w:t>
      </w:r>
      <w:r w:rsidR="00B564E7" w:rsidRPr="00B564E7">
        <w:tab/>
        <w:t>If the entity is a regulated superannuation fund (other than a regulated superannuation fund with fewer than 5 members), the covenants referred to in subsection (1) include the following covenants by each trustee of the entity:</w:t>
      </w:r>
    </w:p>
    <w:p w14:paraId="1F6C11FF" w14:textId="77777777" w:rsidR="00B564E7" w:rsidRDefault="00B564E7" w:rsidP="00B564E7">
      <w:pPr>
        <w:pStyle w:val="paragraph"/>
      </w:pPr>
      <w:r w:rsidRPr="00B564E7">
        <w:tab/>
        <w:t>(a)</w:t>
      </w:r>
      <w:r w:rsidRPr="00B564E7">
        <w:tab/>
      </w:r>
      <w:r>
        <w:t xml:space="preserve">to comply with </w:t>
      </w:r>
      <w:r w:rsidR="00A96374">
        <w:t>sub</w:t>
      </w:r>
      <w:r>
        <w:t xml:space="preserve">section </w:t>
      </w:r>
      <w:r w:rsidR="00B575A6">
        <w:t>60D</w:t>
      </w:r>
      <w:r w:rsidR="00A96374">
        <w:t>(2)</w:t>
      </w:r>
      <w:r>
        <w:t xml:space="preserve"> (notifying beneficiaries);</w:t>
      </w:r>
    </w:p>
    <w:p w14:paraId="0FFB2008" w14:textId="77777777" w:rsidR="00B564E7" w:rsidRDefault="00B564E7" w:rsidP="00B564E7">
      <w:pPr>
        <w:pStyle w:val="paragraph"/>
      </w:pPr>
      <w:r>
        <w:tab/>
        <w:t>(b)</w:t>
      </w:r>
      <w:r>
        <w:tab/>
        <w:t xml:space="preserve">to comply with section </w:t>
      </w:r>
      <w:r w:rsidR="00B575A6">
        <w:t>60E</w:t>
      </w:r>
      <w:r w:rsidR="00A96374">
        <w:t>(2) (consequences of 2 consecutive fail assessments)</w:t>
      </w:r>
      <w:r w:rsidR="00B575A6">
        <w:t>.</w:t>
      </w:r>
    </w:p>
    <w:p w14:paraId="300895D2" w14:textId="77777777" w:rsidR="003A5445" w:rsidRDefault="003528DC" w:rsidP="003A5445">
      <w:pPr>
        <w:pStyle w:val="ItemHead"/>
      </w:pPr>
      <w:r>
        <w:t>7</w:t>
      </w:r>
      <w:r w:rsidR="003A5445">
        <w:t xml:space="preserve">  A</w:t>
      </w:r>
      <w:r w:rsidR="0035584D">
        <w:t>f</w:t>
      </w:r>
      <w:r w:rsidR="003A5445">
        <w:t>t</w:t>
      </w:r>
      <w:r w:rsidR="0035584D">
        <w:t>er</w:t>
      </w:r>
      <w:r w:rsidR="003A5445">
        <w:t xml:space="preserve"> Part 6</w:t>
      </w:r>
    </w:p>
    <w:p w14:paraId="546854A2" w14:textId="77777777" w:rsidR="003A5445" w:rsidRDefault="0035584D" w:rsidP="003A5445">
      <w:pPr>
        <w:pStyle w:val="Item"/>
      </w:pPr>
      <w:r>
        <w:t>Insert</w:t>
      </w:r>
      <w:r w:rsidR="003A5445">
        <w:t>:</w:t>
      </w:r>
    </w:p>
    <w:p w14:paraId="41839F4C" w14:textId="77777777" w:rsidR="0035584D" w:rsidRPr="0035584D" w:rsidRDefault="0035584D" w:rsidP="00343133">
      <w:pPr>
        <w:pStyle w:val="ActHead2"/>
      </w:pPr>
      <w:r w:rsidRPr="00797FDB">
        <w:rPr>
          <w:rStyle w:val="CharPartNo"/>
        </w:rPr>
        <w:t>Part 6A</w:t>
      </w:r>
      <w:r>
        <w:t>—</w:t>
      </w:r>
      <w:r w:rsidRPr="00797FDB">
        <w:rPr>
          <w:rStyle w:val="CharPartText"/>
        </w:rPr>
        <w:t>Annual performance assessments</w:t>
      </w:r>
    </w:p>
    <w:p w14:paraId="7182F548" w14:textId="77777777" w:rsidR="00B564E7" w:rsidRPr="00B564E7" w:rsidRDefault="00B575A6" w:rsidP="00B564E7">
      <w:pPr>
        <w:pStyle w:val="ActHead5"/>
      </w:pPr>
      <w:r w:rsidRPr="00797FDB">
        <w:rPr>
          <w:rStyle w:val="CharSectno"/>
        </w:rPr>
        <w:t>60B</w:t>
      </w:r>
      <w:r w:rsidR="00B564E7">
        <w:t xml:space="preserve">  </w:t>
      </w:r>
      <w:r w:rsidR="00E54CCF">
        <w:t>Regulator</w:t>
      </w:r>
      <w:r w:rsidR="006B5AA5">
        <w:t xml:space="preserve"> to mak</w:t>
      </w:r>
      <w:r w:rsidR="007545BA">
        <w:t>e annual performance assessments</w:t>
      </w:r>
    </w:p>
    <w:p w14:paraId="4808C0B8" w14:textId="77777777" w:rsidR="006B5AA5" w:rsidRDefault="006B5AA5" w:rsidP="006B5AA5">
      <w:pPr>
        <w:pStyle w:val="subsection"/>
      </w:pPr>
      <w:r>
        <w:tab/>
        <w:t>(1)</w:t>
      </w:r>
      <w:r>
        <w:tab/>
        <w:t xml:space="preserve">This section applies in relation to each </w:t>
      </w:r>
      <w:r w:rsidRPr="00B564E7">
        <w:t xml:space="preserve">entity </w:t>
      </w:r>
      <w:r>
        <w:t xml:space="preserve">that </w:t>
      </w:r>
      <w:r w:rsidRPr="00B564E7">
        <w:t>is a regulated superannuation fund (other than a regulated superannuation fund with fewer than 5 members)</w:t>
      </w:r>
      <w:r w:rsidR="00B575A6">
        <w:t>.</w:t>
      </w:r>
    </w:p>
    <w:p w14:paraId="12D62C89" w14:textId="77777777" w:rsidR="006B5AA5" w:rsidRDefault="006B5AA5" w:rsidP="006B5AA5">
      <w:pPr>
        <w:pStyle w:val="subsection"/>
      </w:pPr>
      <w:r>
        <w:tab/>
        <w:t>(2)</w:t>
      </w:r>
      <w:r>
        <w:tab/>
      </w:r>
      <w:r w:rsidR="003F60ED">
        <w:t>APRA</w:t>
      </w:r>
      <w:r w:rsidR="00E54CCF">
        <w:t xml:space="preserve"> </w:t>
      </w:r>
      <w:r>
        <w:t xml:space="preserve">must </w:t>
      </w:r>
      <w:r w:rsidR="007545BA" w:rsidRPr="00B564E7">
        <w:t xml:space="preserve">determine </w:t>
      </w:r>
      <w:r w:rsidR="00D216ED">
        <w:t>in relation to each financial year</w:t>
      </w:r>
      <w:r w:rsidR="007545BA" w:rsidRPr="00B564E7">
        <w:t xml:space="preserve">, for each product </w:t>
      </w:r>
      <w:r>
        <w:t>covered by subsection (</w:t>
      </w:r>
      <w:r w:rsidR="000310A1">
        <w:t>5</w:t>
      </w:r>
      <w:r>
        <w:t xml:space="preserve">) </w:t>
      </w:r>
      <w:r w:rsidR="007545BA" w:rsidRPr="00B564E7">
        <w:t xml:space="preserve">offered by </w:t>
      </w:r>
      <w:r>
        <w:t xml:space="preserve">the </w:t>
      </w:r>
      <w:r w:rsidR="007545BA" w:rsidRPr="00B564E7">
        <w:t xml:space="preserve">entity, whether </w:t>
      </w:r>
      <w:r w:rsidR="0066395E">
        <w:t>the requirement</w:t>
      </w:r>
      <w:r>
        <w:t xml:space="preserve"> </w:t>
      </w:r>
      <w:r w:rsidR="0066395E">
        <w:t>in</w:t>
      </w:r>
      <w:r>
        <w:t xml:space="preserve"> </w:t>
      </w:r>
      <w:r w:rsidR="00CE261E">
        <w:t>sub</w:t>
      </w:r>
      <w:r>
        <w:t xml:space="preserve">section </w:t>
      </w:r>
      <w:r w:rsidR="00B575A6">
        <w:t>60C</w:t>
      </w:r>
      <w:r w:rsidR="00343133">
        <w:t>(1</w:t>
      </w:r>
      <w:r w:rsidR="00CE261E">
        <w:t>)</w:t>
      </w:r>
      <w:r w:rsidR="0066395E">
        <w:t xml:space="preserve"> has</w:t>
      </w:r>
      <w:r>
        <w:t xml:space="preserve"> been met</w:t>
      </w:r>
      <w:r w:rsidR="00B575A6">
        <w:t>.</w:t>
      </w:r>
    </w:p>
    <w:p w14:paraId="3D774781" w14:textId="77777777" w:rsidR="00DF4A34" w:rsidRDefault="00F977FB" w:rsidP="006B5AA5">
      <w:pPr>
        <w:pStyle w:val="subsection"/>
      </w:pPr>
      <w:r>
        <w:tab/>
        <w:t>(3</w:t>
      </w:r>
      <w:r w:rsidR="00DF4A34">
        <w:t>)</w:t>
      </w:r>
      <w:r w:rsidR="00DF4A34">
        <w:tab/>
      </w:r>
      <w:r w:rsidR="00B64344">
        <w:t>APRA must give the trustee or trustees of the entity a notification of the determination</w:t>
      </w:r>
      <w:r w:rsidR="00B575A6">
        <w:t>.</w:t>
      </w:r>
      <w:r w:rsidR="00B64344">
        <w:t xml:space="preserve"> </w:t>
      </w:r>
      <w:r w:rsidR="00DF4A34">
        <w:t>The notification must include a copy of the determination</w:t>
      </w:r>
      <w:r w:rsidR="00B575A6">
        <w:t>.</w:t>
      </w:r>
    </w:p>
    <w:p w14:paraId="23FF017F" w14:textId="77777777" w:rsidR="00F977FB" w:rsidRDefault="00F977FB" w:rsidP="006B5AA5">
      <w:pPr>
        <w:pStyle w:val="subsection"/>
      </w:pPr>
      <w:r>
        <w:tab/>
        <w:t>(4</w:t>
      </w:r>
      <w:r w:rsidR="00DF4A34">
        <w:t>)</w:t>
      </w:r>
      <w:r w:rsidR="00DF4A34">
        <w:tab/>
      </w:r>
      <w:r w:rsidR="003F60ED">
        <w:t>APRA</w:t>
      </w:r>
      <w:r w:rsidR="00DF4A34">
        <w:t xml:space="preserve"> must</w:t>
      </w:r>
      <w:r>
        <w:t xml:space="preserve"> make the determination and give the notification:</w:t>
      </w:r>
    </w:p>
    <w:p w14:paraId="08E9329E" w14:textId="77777777" w:rsidR="00F977FB" w:rsidRDefault="00F977FB" w:rsidP="00F977FB">
      <w:pPr>
        <w:pStyle w:val="paragraph"/>
      </w:pPr>
      <w:r>
        <w:tab/>
        <w:t>(a)</w:t>
      </w:r>
      <w:r>
        <w:tab/>
        <w:t>in writing; and</w:t>
      </w:r>
    </w:p>
    <w:p w14:paraId="754783D4" w14:textId="77777777" w:rsidR="00DF4A34" w:rsidRDefault="00F977FB" w:rsidP="00F977FB">
      <w:pPr>
        <w:pStyle w:val="paragraph"/>
      </w:pPr>
      <w:r>
        <w:tab/>
        <w:t>(b)</w:t>
      </w:r>
      <w:r>
        <w:tab/>
      </w:r>
      <w:r w:rsidR="00DF4A34">
        <w:t>within a period worked out under regulations made for the purposes of this subsection</w:t>
      </w:r>
      <w:r w:rsidR="00B575A6">
        <w:t>.</w:t>
      </w:r>
    </w:p>
    <w:p w14:paraId="53995134" w14:textId="77777777" w:rsidR="006B5AA5" w:rsidRDefault="006B5AA5" w:rsidP="006B5AA5">
      <w:pPr>
        <w:pStyle w:val="subsection"/>
      </w:pPr>
      <w:r>
        <w:tab/>
        <w:t>(</w:t>
      </w:r>
      <w:r w:rsidR="000310A1">
        <w:t>5</w:t>
      </w:r>
      <w:r>
        <w:t>)</w:t>
      </w:r>
      <w:r>
        <w:tab/>
        <w:t xml:space="preserve">This subsection covers the following </w:t>
      </w:r>
      <w:r w:rsidR="00624103">
        <w:t>product</w:t>
      </w:r>
      <w:r>
        <w:t>s:</w:t>
      </w:r>
    </w:p>
    <w:p w14:paraId="3BCD1507" w14:textId="77777777" w:rsidR="006B5AA5" w:rsidRDefault="006B5AA5" w:rsidP="006B5AA5">
      <w:pPr>
        <w:pStyle w:val="paragraph"/>
      </w:pPr>
      <w:r>
        <w:tab/>
        <w:t>(a)</w:t>
      </w:r>
      <w:r>
        <w:tab/>
      </w:r>
      <w:r w:rsidRPr="006B5AA5">
        <w:t>MySuper product</w:t>
      </w:r>
      <w:r>
        <w:t>s;</w:t>
      </w:r>
    </w:p>
    <w:p w14:paraId="45AC7EEA" w14:textId="77777777" w:rsidR="006B5AA5" w:rsidRDefault="006B5AA5" w:rsidP="006B5AA5">
      <w:pPr>
        <w:pStyle w:val="paragraph"/>
      </w:pPr>
      <w:r>
        <w:tab/>
        <w:t>(b)</w:t>
      </w:r>
      <w:r>
        <w:tab/>
      </w:r>
      <w:r w:rsidR="002C3FC8">
        <w:t>any other</w:t>
      </w:r>
      <w:r w:rsidR="002C3FC8" w:rsidRPr="002C3FC8">
        <w:t xml:space="preserve"> class of beneficial interest in </w:t>
      </w:r>
      <w:r w:rsidR="002C3FC8">
        <w:t>a regulated superannuation fund, if that class is</w:t>
      </w:r>
      <w:r>
        <w:t xml:space="preserve"> identified by regulations made for</w:t>
      </w:r>
      <w:r w:rsidR="0066395E">
        <w:t xml:space="preserve"> the purposes of this paragraph</w:t>
      </w:r>
      <w:r w:rsidR="00B575A6">
        <w:t>.</w:t>
      </w:r>
    </w:p>
    <w:p w14:paraId="058DBAE4" w14:textId="77777777" w:rsidR="00343133" w:rsidRPr="00B564E7" w:rsidRDefault="00B575A6" w:rsidP="00343133">
      <w:pPr>
        <w:pStyle w:val="ActHead5"/>
      </w:pPr>
      <w:r w:rsidRPr="00797FDB">
        <w:rPr>
          <w:rStyle w:val="CharSectno"/>
        </w:rPr>
        <w:t>60C</w:t>
      </w:r>
      <w:r w:rsidR="00343133">
        <w:t xml:space="preserve">  Requirements for assessment</w:t>
      </w:r>
    </w:p>
    <w:p w14:paraId="2947752D" w14:textId="77777777" w:rsidR="0066395E" w:rsidRDefault="0066395E" w:rsidP="0066395E">
      <w:pPr>
        <w:pStyle w:val="subsection"/>
      </w:pPr>
      <w:r>
        <w:tab/>
        <w:t>(</w:t>
      </w:r>
      <w:r w:rsidR="00343133">
        <w:t>1</w:t>
      </w:r>
      <w:r>
        <w:t>)</w:t>
      </w:r>
      <w:r>
        <w:tab/>
        <w:t xml:space="preserve">The requirement in this subsection is met for a </w:t>
      </w:r>
      <w:r w:rsidR="00624103">
        <w:t>product</w:t>
      </w:r>
      <w:r>
        <w:t xml:space="preserve"> </w:t>
      </w:r>
      <w:r w:rsidR="009E57A9">
        <w:t xml:space="preserve">in relation to </w:t>
      </w:r>
      <w:r>
        <w:t xml:space="preserve">a </w:t>
      </w:r>
      <w:r w:rsidR="008908F8">
        <w:t xml:space="preserve">financial </w:t>
      </w:r>
      <w:r>
        <w:t>year if</w:t>
      </w:r>
      <w:r w:rsidR="009E57A9">
        <w:t xml:space="preserve"> the</w:t>
      </w:r>
      <w:r>
        <w:t xml:space="preserve"> requirements set out in regulations made for the purposes of this subsection are met for the </w:t>
      </w:r>
      <w:r w:rsidR="00624103">
        <w:t>product</w:t>
      </w:r>
      <w:r>
        <w:t xml:space="preserve"> in relation to the </w:t>
      </w:r>
      <w:r w:rsidR="00D216ED">
        <w:t xml:space="preserve">financial </w:t>
      </w:r>
      <w:r>
        <w:t>year</w:t>
      </w:r>
      <w:r w:rsidR="00B575A6">
        <w:t>.</w:t>
      </w:r>
    </w:p>
    <w:p w14:paraId="3567099A" w14:textId="77777777" w:rsidR="004800C1" w:rsidRDefault="009E57A9" w:rsidP="009E57A9">
      <w:pPr>
        <w:pStyle w:val="subsection"/>
      </w:pPr>
      <w:r>
        <w:tab/>
        <w:t>(</w:t>
      </w:r>
      <w:r w:rsidR="00343133">
        <w:t>2</w:t>
      </w:r>
      <w:r>
        <w:t>)</w:t>
      </w:r>
      <w:r>
        <w:tab/>
        <w:t>Regulations made for the purposes of subsection (</w:t>
      </w:r>
      <w:r w:rsidR="00343133">
        <w:t>1</w:t>
      </w:r>
      <w:r>
        <w:t>) may</w:t>
      </w:r>
      <w:r w:rsidR="004800C1">
        <w:t>:</w:t>
      </w:r>
    </w:p>
    <w:p w14:paraId="4CE83302" w14:textId="77777777" w:rsidR="009E57A9" w:rsidRDefault="004800C1" w:rsidP="004800C1">
      <w:pPr>
        <w:pStyle w:val="paragraph"/>
      </w:pPr>
      <w:r>
        <w:tab/>
        <w:t>(a)</w:t>
      </w:r>
      <w:r>
        <w:tab/>
      </w:r>
      <w:r w:rsidR="009E57A9">
        <w:t xml:space="preserve"> specify requirements in respect of:</w:t>
      </w:r>
    </w:p>
    <w:p w14:paraId="02F9BA4F" w14:textId="77777777" w:rsidR="009E57A9" w:rsidRPr="004800C1" w:rsidRDefault="004800C1" w:rsidP="004800C1">
      <w:pPr>
        <w:pStyle w:val="paragraphsub"/>
      </w:pPr>
      <w:r>
        <w:tab/>
        <w:t>(i</w:t>
      </w:r>
      <w:r w:rsidR="009E57A9" w:rsidRPr="004800C1">
        <w:t>)</w:t>
      </w:r>
      <w:r w:rsidR="009E57A9" w:rsidRPr="004800C1">
        <w:tab/>
        <w:t>investment returns (net of fees); and</w:t>
      </w:r>
    </w:p>
    <w:p w14:paraId="416D0F5D" w14:textId="77777777" w:rsidR="009E57A9" w:rsidRDefault="004800C1" w:rsidP="004800C1">
      <w:pPr>
        <w:pStyle w:val="paragraphsub"/>
      </w:pPr>
      <w:r>
        <w:tab/>
        <w:t>(ii)</w:t>
      </w:r>
      <w:r>
        <w:tab/>
        <w:t>any other related matter; and</w:t>
      </w:r>
    </w:p>
    <w:p w14:paraId="0FF33224" w14:textId="77777777" w:rsidR="004800C1" w:rsidRPr="004800C1" w:rsidRDefault="004800C1" w:rsidP="004800C1">
      <w:pPr>
        <w:pStyle w:val="paragraph"/>
      </w:pPr>
      <w:r>
        <w:tab/>
        <w:t>(b)</w:t>
      </w:r>
      <w:r>
        <w:tab/>
        <w:t xml:space="preserve">specify requirements that depend on the exercise of a discretion by </w:t>
      </w:r>
      <w:r w:rsidR="003F60ED">
        <w:t>APRA</w:t>
      </w:r>
      <w:r>
        <w:t>; and</w:t>
      </w:r>
    </w:p>
    <w:p w14:paraId="7FD740E7" w14:textId="77777777" w:rsidR="004800C1" w:rsidRPr="004800C1" w:rsidRDefault="004800C1" w:rsidP="004800C1">
      <w:pPr>
        <w:pStyle w:val="paragraph"/>
      </w:pPr>
      <w:r>
        <w:tab/>
        <w:t>(c)</w:t>
      </w:r>
      <w:r>
        <w:tab/>
        <w:t xml:space="preserve">specify matters that </w:t>
      </w:r>
      <w:r w:rsidR="003F60ED">
        <w:t>APRA</w:t>
      </w:r>
      <w:r>
        <w:t xml:space="preserve"> may</w:t>
      </w:r>
      <w:r w:rsidR="00DF4A34">
        <w:t xml:space="preserve"> </w:t>
      </w:r>
      <w:r>
        <w:t>take into account in exercising such a discretion; and</w:t>
      </w:r>
    </w:p>
    <w:p w14:paraId="7FE1D619" w14:textId="77777777" w:rsidR="004800C1" w:rsidRDefault="004800C1" w:rsidP="004800C1">
      <w:pPr>
        <w:pStyle w:val="paragraph"/>
      </w:pPr>
      <w:r>
        <w:tab/>
        <w:t>(</w:t>
      </w:r>
      <w:r w:rsidR="00702278">
        <w:t>d</w:t>
      </w:r>
      <w:r>
        <w:t>)</w:t>
      </w:r>
      <w:r>
        <w:tab/>
        <w:t xml:space="preserve">allow </w:t>
      </w:r>
      <w:r w:rsidR="003F60ED">
        <w:t>APRA</w:t>
      </w:r>
      <w:r>
        <w:t xml:space="preserve"> to make specified assumptions in exercising such a discretion</w:t>
      </w:r>
      <w:r w:rsidR="00B575A6">
        <w:t>.</w:t>
      </w:r>
    </w:p>
    <w:p w14:paraId="15DF8AC6" w14:textId="77777777" w:rsidR="004800C1" w:rsidRPr="004800C1" w:rsidRDefault="00702278" w:rsidP="004800C1">
      <w:pPr>
        <w:pStyle w:val="subsection"/>
      </w:pPr>
      <w:r>
        <w:tab/>
        <w:t>(</w:t>
      </w:r>
      <w:r w:rsidR="00343133">
        <w:t>3</w:t>
      </w:r>
      <w:r w:rsidR="004800C1">
        <w:t>)</w:t>
      </w:r>
      <w:r w:rsidR="004800C1">
        <w:tab/>
        <w:t>Subsection (</w:t>
      </w:r>
      <w:r w:rsidR="00343133">
        <w:t>2</w:t>
      </w:r>
      <w:r w:rsidR="004800C1">
        <w:t>)</w:t>
      </w:r>
      <w:r>
        <w:t xml:space="preserve"> </w:t>
      </w:r>
      <w:r w:rsidR="004800C1">
        <w:t>does not limit the scope of regulations made f</w:t>
      </w:r>
      <w:r w:rsidR="00343133">
        <w:t>or the purposes of subsection (1</w:t>
      </w:r>
      <w:r w:rsidR="004800C1">
        <w:t>)</w:t>
      </w:r>
      <w:r w:rsidR="00B575A6">
        <w:t>.</w:t>
      </w:r>
    </w:p>
    <w:p w14:paraId="3BDB93FD" w14:textId="77777777" w:rsidR="00277A87" w:rsidRPr="00B564E7" w:rsidRDefault="00B575A6" w:rsidP="00277A87">
      <w:pPr>
        <w:pStyle w:val="ActHead5"/>
      </w:pPr>
      <w:r w:rsidRPr="00797FDB">
        <w:rPr>
          <w:rStyle w:val="CharSectno"/>
        </w:rPr>
        <w:t>60D</w:t>
      </w:r>
      <w:r w:rsidR="00277A87">
        <w:t xml:space="preserve">  </w:t>
      </w:r>
      <w:r w:rsidR="00343133">
        <w:t>T</w:t>
      </w:r>
      <w:r w:rsidR="00277A87">
        <w:t>rustee to notify beneficiaries of fail assessment</w:t>
      </w:r>
    </w:p>
    <w:p w14:paraId="71C92461" w14:textId="77777777" w:rsidR="00277A87" w:rsidRDefault="00277A87" w:rsidP="00277A87">
      <w:pPr>
        <w:pStyle w:val="subsection"/>
      </w:pPr>
      <w:r>
        <w:tab/>
        <w:t>(1)</w:t>
      </w:r>
      <w:r>
        <w:tab/>
        <w:t>This section applies if:</w:t>
      </w:r>
    </w:p>
    <w:p w14:paraId="4C85846A" w14:textId="77777777" w:rsidR="00277A87" w:rsidRDefault="00277A87" w:rsidP="00277A87">
      <w:pPr>
        <w:pStyle w:val="paragraph"/>
      </w:pPr>
      <w:r>
        <w:tab/>
        <w:t>(a)</w:t>
      </w:r>
      <w:r>
        <w:tab/>
      </w:r>
      <w:r w:rsidR="003F60ED">
        <w:t>APRA</w:t>
      </w:r>
      <w:r w:rsidR="00E54CCF">
        <w:t xml:space="preserve"> </w:t>
      </w:r>
      <w:r>
        <w:t xml:space="preserve">gives the trustee or trustees of an </w:t>
      </w:r>
      <w:r w:rsidRPr="00B564E7">
        <w:t xml:space="preserve">entity </w:t>
      </w:r>
      <w:r>
        <w:t xml:space="preserve">a notification of a determination under subsection </w:t>
      </w:r>
      <w:r w:rsidR="00B575A6">
        <w:t>60B</w:t>
      </w:r>
      <w:r>
        <w:t>(2); and</w:t>
      </w:r>
    </w:p>
    <w:p w14:paraId="3935B4FE" w14:textId="77777777" w:rsidR="006B5AA5" w:rsidRDefault="00277A87" w:rsidP="00277A87">
      <w:pPr>
        <w:pStyle w:val="paragraph"/>
      </w:pPr>
      <w:r>
        <w:tab/>
        <w:t>(b)</w:t>
      </w:r>
      <w:r>
        <w:tab/>
        <w:t>the determination is that the requirement</w:t>
      </w:r>
      <w:r w:rsidR="00B910FA">
        <w:t xml:space="preserve"> in </w:t>
      </w:r>
      <w:r w:rsidR="00CE261E">
        <w:t>sub</w:t>
      </w:r>
      <w:r>
        <w:t>section</w:t>
      </w:r>
      <w:r w:rsidR="00690911">
        <w:t> </w:t>
      </w:r>
      <w:r w:rsidR="00B575A6">
        <w:t>60C</w:t>
      </w:r>
      <w:r w:rsidR="00690911">
        <w:t>(1</w:t>
      </w:r>
      <w:r w:rsidR="00CE261E">
        <w:t>)</w:t>
      </w:r>
      <w:r w:rsidR="00B910FA">
        <w:t xml:space="preserve"> has</w:t>
      </w:r>
      <w:r>
        <w:t xml:space="preserve"> not been met for a </w:t>
      </w:r>
      <w:r w:rsidRPr="00B564E7">
        <w:t xml:space="preserve">product </w:t>
      </w:r>
      <w:r>
        <w:t>covered by subsection</w:t>
      </w:r>
      <w:r w:rsidR="00690911">
        <w:t> </w:t>
      </w:r>
      <w:r w:rsidR="00B575A6">
        <w:t>60B</w:t>
      </w:r>
      <w:r>
        <w:t>(</w:t>
      </w:r>
      <w:r w:rsidR="00B50C2B">
        <w:t>5</w:t>
      </w:r>
      <w:r>
        <w:t xml:space="preserve">) </w:t>
      </w:r>
      <w:r w:rsidRPr="00B564E7">
        <w:t xml:space="preserve">offered by </w:t>
      </w:r>
      <w:r>
        <w:t xml:space="preserve">the </w:t>
      </w:r>
      <w:r w:rsidRPr="00B564E7">
        <w:t>entity</w:t>
      </w:r>
      <w:r w:rsidR="00B50C2B">
        <w:t xml:space="preserve">, in relation to a </w:t>
      </w:r>
      <w:r w:rsidR="00D216ED">
        <w:t xml:space="preserve">financial </w:t>
      </w:r>
      <w:r w:rsidR="00B50C2B">
        <w:t>year</w:t>
      </w:r>
      <w:r w:rsidR="00B575A6">
        <w:t>.</w:t>
      </w:r>
    </w:p>
    <w:p w14:paraId="5C6D4FFC" w14:textId="77777777" w:rsidR="006B5AA5" w:rsidRDefault="00277A87" w:rsidP="00277A87">
      <w:pPr>
        <w:pStyle w:val="subsection"/>
      </w:pPr>
      <w:r>
        <w:tab/>
        <w:t>(2)</w:t>
      </w:r>
      <w:r>
        <w:tab/>
      </w:r>
      <w:r w:rsidRPr="00B564E7">
        <w:t>Each trustee of the entity</w:t>
      </w:r>
      <w:r>
        <w:t xml:space="preserve"> must</w:t>
      </w:r>
      <w:r w:rsidR="00810485">
        <w:t xml:space="preserve"> ensure that</w:t>
      </w:r>
      <w:r>
        <w:t xml:space="preserve">, no later than 28 days after </w:t>
      </w:r>
      <w:r w:rsidR="003F60ED">
        <w:t>APRA</w:t>
      </w:r>
      <w:r w:rsidR="00E54CCF">
        <w:t xml:space="preserve"> </w:t>
      </w:r>
      <w:r>
        <w:t>gave the notification, each beneficiary</w:t>
      </w:r>
      <w:r w:rsidR="006B5AA5" w:rsidRPr="00B564E7">
        <w:t xml:space="preserve"> of the entity </w:t>
      </w:r>
      <w:r w:rsidR="006B5AA5" w:rsidRPr="00DF4A34">
        <w:t>who hold</w:t>
      </w:r>
      <w:r w:rsidRPr="00DF4A34">
        <w:t>s</w:t>
      </w:r>
      <w:r w:rsidR="006B5AA5" w:rsidRPr="00DF4A34">
        <w:t xml:space="preserve"> the product</w:t>
      </w:r>
      <w:r w:rsidR="006B5AA5" w:rsidRPr="00B564E7">
        <w:t xml:space="preserve"> </w:t>
      </w:r>
      <w:r w:rsidR="00810485">
        <w:t xml:space="preserve">is notified </w:t>
      </w:r>
      <w:r>
        <w:t>of the determination</w:t>
      </w:r>
      <w:r w:rsidR="00B575A6">
        <w:t>.</w:t>
      </w:r>
    </w:p>
    <w:p w14:paraId="68A25CF9" w14:textId="77777777" w:rsidR="00277A87" w:rsidRDefault="00277A87" w:rsidP="00277A87">
      <w:pPr>
        <w:pStyle w:val="subsection"/>
      </w:pPr>
      <w:r>
        <w:tab/>
        <w:t>(3)</w:t>
      </w:r>
      <w:r>
        <w:tab/>
        <w:t>The notification must:</w:t>
      </w:r>
    </w:p>
    <w:p w14:paraId="37D5A1E9" w14:textId="77777777" w:rsidR="00277A87" w:rsidRPr="00277A87" w:rsidRDefault="00277A87" w:rsidP="00277A87">
      <w:pPr>
        <w:pStyle w:val="paragraph"/>
      </w:pPr>
      <w:r>
        <w:tab/>
        <w:t>(a)</w:t>
      </w:r>
      <w:r>
        <w:tab/>
        <w:t>be in the form specified in regulations made for the purposes of this paragraph; and</w:t>
      </w:r>
    </w:p>
    <w:p w14:paraId="19B13F3D" w14:textId="77777777" w:rsidR="008D4254" w:rsidRDefault="00277A87" w:rsidP="00277A87">
      <w:pPr>
        <w:pStyle w:val="paragraph"/>
      </w:pPr>
      <w:r>
        <w:tab/>
        <w:t>(b)</w:t>
      </w:r>
      <w:r>
        <w:tab/>
        <w:t xml:space="preserve">contain information </w:t>
      </w:r>
      <w:r w:rsidR="008D4254">
        <w:t>that:</w:t>
      </w:r>
    </w:p>
    <w:p w14:paraId="3FD3C799" w14:textId="77777777" w:rsidR="008D4254" w:rsidRDefault="008D4254" w:rsidP="008D4254">
      <w:pPr>
        <w:pStyle w:val="paragraphsub"/>
      </w:pPr>
      <w:r>
        <w:tab/>
        <w:t>(i)</w:t>
      </w:r>
      <w:r>
        <w:tab/>
        <w:t>relates to the ranking of products a</w:t>
      </w:r>
      <w:r w:rsidR="004E3859">
        <w:t xml:space="preserve">ccording to relative fee levels, </w:t>
      </w:r>
      <w:r>
        <w:t>investment returns</w:t>
      </w:r>
      <w:r w:rsidR="004E3859">
        <w:t xml:space="preserve"> or any other criterion</w:t>
      </w:r>
      <w:r>
        <w:t>; and</w:t>
      </w:r>
    </w:p>
    <w:p w14:paraId="3A9D1A84" w14:textId="77777777" w:rsidR="00277A87" w:rsidRDefault="008D4254" w:rsidP="008D4254">
      <w:pPr>
        <w:pStyle w:val="paragraphsub"/>
      </w:pPr>
      <w:r>
        <w:tab/>
        <w:t>(ii)</w:t>
      </w:r>
      <w:r>
        <w:tab/>
        <w:t xml:space="preserve">is </w:t>
      </w:r>
      <w:r w:rsidR="00277A87">
        <w:t>specified in regulations made for the purposes of this paragraph</w:t>
      </w:r>
      <w:r w:rsidR="00B575A6">
        <w:t>.</w:t>
      </w:r>
    </w:p>
    <w:p w14:paraId="380EFCF1" w14:textId="77777777" w:rsidR="00FF4C12" w:rsidRPr="00FF4C12" w:rsidRDefault="00FF4C12" w:rsidP="00FF4C12">
      <w:pPr>
        <w:pStyle w:val="noteToPara"/>
      </w:pPr>
      <w:r>
        <w:t>Note:</w:t>
      </w:r>
      <w:r>
        <w:tab/>
        <w:t>Regulations made for the purposes of this paragraph may refer to regulations made for the purposes of section 348B, which may specify formulas as a basis for APRA ranking such products.</w:t>
      </w:r>
    </w:p>
    <w:p w14:paraId="320A6BDD" w14:textId="77777777" w:rsidR="00277A87" w:rsidRDefault="00277A87" w:rsidP="008D4254">
      <w:pPr>
        <w:pStyle w:val="subsection"/>
      </w:pPr>
      <w:r>
        <w:tab/>
        <w:t>(4)</w:t>
      </w:r>
      <w:r>
        <w:tab/>
        <w:t>Regulations made for the p</w:t>
      </w:r>
      <w:r w:rsidR="008D4254">
        <w:t xml:space="preserve">urposes of paragraph (3)(b) may specify kinds of </w:t>
      </w:r>
      <w:r>
        <w:t xml:space="preserve">information </w:t>
      </w:r>
      <w:r w:rsidR="008D4254" w:rsidRPr="008D4254">
        <w:t xml:space="preserve">by applying, adopting or incorporating any matter contained in an instrument or other writing, as in force or existing from time to time, if the instrument or other writing is published on </w:t>
      </w:r>
      <w:r w:rsidR="008D4254">
        <w:t xml:space="preserve">a website maintained by the </w:t>
      </w:r>
      <w:r w:rsidR="008D4254" w:rsidRPr="008D4254">
        <w:t>Australian Taxation Office</w:t>
      </w:r>
      <w:r w:rsidR="00B575A6">
        <w:t>.</w:t>
      </w:r>
    </w:p>
    <w:p w14:paraId="54D8CD9B" w14:textId="77777777" w:rsidR="00AF2AB0" w:rsidRPr="00B564E7" w:rsidRDefault="00B575A6" w:rsidP="00AF2AB0">
      <w:pPr>
        <w:pStyle w:val="ActHead5"/>
      </w:pPr>
      <w:r w:rsidRPr="00797FDB">
        <w:rPr>
          <w:rStyle w:val="CharSectno"/>
        </w:rPr>
        <w:t>60E</w:t>
      </w:r>
      <w:r w:rsidR="00AF2AB0">
        <w:t xml:space="preserve">  </w:t>
      </w:r>
      <w:r w:rsidR="00343133">
        <w:t>C</w:t>
      </w:r>
      <w:r w:rsidR="00AF2AB0">
        <w:t>onsequences of 2 consecutive fail assessments</w:t>
      </w:r>
    </w:p>
    <w:p w14:paraId="1C54A8B9" w14:textId="77777777" w:rsidR="00AF2AB0" w:rsidRDefault="00AF2AB0" w:rsidP="00AF2AB0">
      <w:pPr>
        <w:pStyle w:val="subsection"/>
      </w:pPr>
      <w:r>
        <w:tab/>
        <w:t>(1)</w:t>
      </w:r>
      <w:r>
        <w:tab/>
        <w:t>This section applies if:</w:t>
      </w:r>
    </w:p>
    <w:p w14:paraId="76D98CE2" w14:textId="77777777" w:rsidR="00AF2AB0" w:rsidRDefault="00AF2AB0" w:rsidP="00AF2AB0">
      <w:pPr>
        <w:pStyle w:val="paragraph"/>
      </w:pPr>
      <w:r>
        <w:tab/>
        <w:t>(a)</w:t>
      </w:r>
      <w:r>
        <w:tab/>
      </w:r>
      <w:r w:rsidR="003F60ED">
        <w:t>APRA</w:t>
      </w:r>
      <w:r w:rsidR="00E54CCF">
        <w:t xml:space="preserve"> </w:t>
      </w:r>
      <w:r>
        <w:t xml:space="preserve">gives the trustee or trustees of an </w:t>
      </w:r>
      <w:r w:rsidRPr="00B564E7">
        <w:t xml:space="preserve">entity </w:t>
      </w:r>
      <w:r>
        <w:t xml:space="preserve">a notification of a determination under subsection </w:t>
      </w:r>
      <w:r w:rsidR="00B575A6">
        <w:t>60B</w:t>
      </w:r>
      <w:r>
        <w:t>(2)</w:t>
      </w:r>
      <w:r w:rsidR="0066395E">
        <w:t xml:space="preserve"> that the requirement in sub</w:t>
      </w:r>
      <w:r>
        <w:t xml:space="preserve">section </w:t>
      </w:r>
      <w:r w:rsidR="00B575A6">
        <w:t>60C</w:t>
      </w:r>
      <w:r w:rsidR="00E36C1F">
        <w:t>(1</w:t>
      </w:r>
      <w:r w:rsidR="0066395E">
        <w:t>)</w:t>
      </w:r>
      <w:r>
        <w:t xml:space="preserve"> </w:t>
      </w:r>
      <w:r w:rsidR="0066395E">
        <w:t xml:space="preserve">has </w:t>
      </w:r>
      <w:r>
        <w:t xml:space="preserve">not been met for a </w:t>
      </w:r>
      <w:r w:rsidRPr="00B564E7">
        <w:t xml:space="preserve">product </w:t>
      </w:r>
      <w:r>
        <w:t xml:space="preserve">covered by subsection </w:t>
      </w:r>
      <w:r w:rsidR="00B575A6">
        <w:t>60B</w:t>
      </w:r>
      <w:r>
        <w:t>(</w:t>
      </w:r>
      <w:r w:rsidR="0066395E">
        <w:t>5</w:t>
      </w:r>
      <w:r>
        <w:t xml:space="preserve">) </w:t>
      </w:r>
      <w:r w:rsidRPr="00B564E7">
        <w:t xml:space="preserve">offered by </w:t>
      </w:r>
      <w:r>
        <w:t xml:space="preserve">the </w:t>
      </w:r>
      <w:r w:rsidRPr="00B564E7">
        <w:t>entity</w:t>
      </w:r>
      <w:r w:rsidR="00B50C2B">
        <w:t xml:space="preserve">, in relation to a </w:t>
      </w:r>
      <w:r w:rsidR="00D216ED">
        <w:t xml:space="preserve">financial </w:t>
      </w:r>
      <w:r>
        <w:t>year; and</w:t>
      </w:r>
    </w:p>
    <w:p w14:paraId="12FEA57A" w14:textId="77777777" w:rsidR="00AF2AB0" w:rsidRDefault="00AF2AB0" w:rsidP="00AF2AB0">
      <w:pPr>
        <w:pStyle w:val="paragraph"/>
      </w:pPr>
      <w:r>
        <w:tab/>
        <w:t>(</w:t>
      </w:r>
      <w:r w:rsidR="0066395E">
        <w:t>b</w:t>
      </w:r>
      <w:r>
        <w:t>)</w:t>
      </w:r>
      <w:r>
        <w:tab/>
      </w:r>
      <w:r w:rsidR="003F60ED">
        <w:t>APRA</w:t>
      </w:r>
      <w:r w:rsidR="00E54CCF">
        <w:t xml:space="preserve"> </w:t>
      </w:r>
      <w:r>
        <w:t xml:space="preserve">gives the trustee or trustees of the </w:t>
      </w:r>
      <w:r w:rsidRPr="00B564E7">
        <w:t xml:space="preserve">entity </w:t>
      </w:r>
      <w:r>
        <w:t xml:space="preserve">a notification </w:t>
      </w:r>
      <w:r w:rsidR="00046225">
        <w:t xml:space="preserve">(the </w:t>
      </w:r>
      <w:r w:rsidR="00046225" w:rsidRPr="00046225">
        <w:rPr>
          <w:b/>
          <w:i/>
        </w:rPr>
        <w:t>second notification</w:t>
      </w:r>
      <w:r w:rsidR="00046225">
        <w:t xml:space="preserve">) </w:t>
      </w:r>
      <w:r>
        <w:t xml:space="preserve">of another determination under subsection </w:t>
      </w:r>
      <w:r w:rsidR="00B575A6">
        <w:t>60B</w:t>
      </w:r>
      <w:r>
        <w:t>(2)</w:t>
      </w:r>
      <w:r w:rsidR="0066395E">
        <w:t xml:space="preserve"> </w:t>
      </w:r>
      <w:r>
        <w:t xml:space="preserve">that </w:t>
      </w:r>
      <w:r w:rsidR="0066395E">
        <w:t xml:space="preserve">the requirement in subsection </w:t>
      </w:r>
      <w:r w:rsidR="00B575A6">
        <w:t>60C</w:t>
      </w:r>
      <w:r w:rsidR="00EB47EC">
        <w:t>(1</w:t>
      </w:r>
      <w:r w:rsidR="0066395E">
        <w:t xml:space="preserve">) has </w:t>
      </w:r>
      <w:r>
        <w:t>not been met for tha</w:t>
      </w:r>
      <w:r w:rsidR="00E36C1F">
        <w:t>t product</w:t>
      </w:r>
      <w:r>
        <w:t>, in relation to the next</w:t>
      </w:r>
      <w:r w:rsidR="0066395E">
        <w:t xml:space="preserve"> </w:t>
      </w:r>
      <w:r w:rsidR="00D216ED">
        <w:t xml:space="preserve">financial </w:t>
      </w:r>
      <w:r w:rsidR="00B50C2B">
        <w:t>year</w:t>
      </w:r>
      <w:r w:rsidR="00B575A6">
        <w:t>.</w:t>
      </w:r>
    </w:p>
    <w:p w14:paraId="4E1EF809" w14:textId="77777777" w:rsidR="00B732B8" w:rsidRDefault="00046225" w:rsidP="00046225">
      <w:pPr>
        <w:pStyle w:val="subsection"/>
      </w:pPr>
      <w:r>
        <w:tab/>
        <w:t>(2)</w:t>
      </w:r>
      <w:r>
        <w:tab/>
      </w:r>
      <w:r w:rsidRPr="00B564E7">
        <w:t>Each trustee of the entity</w:t>
      </w:r>
      <w:r>
        <w:t xml:space="preserve"> must ensure that</w:t>
      </w:r>
      <w:r w:rsidR="00B732B8">
        <w:t>:</w:t>
      </w:r>
    </w:p>
    <w:p w14:paraId="151E4C63" w14:textId="77777777" w:rsidR="00B732B8" w:rsidRPr="00B50C2B" w:rsidRDefault="00B732B8" w:rsidP="00B732B8">
      <w:pPr>
        <w:pStyle w:val="paragraph"/>
      </w:pPr>
      <w:r>
        <w:tab/>
        <w:t>(a)</w:t>
      </w:r>
      <w:r>
        <w:tab/>
        <w:t>a person who, on the day when the second notification is given, is not a beneficiary</w:t>
      </w:r>
      <w:r w:rsidRPr="00B564E7">
        <w:t xml:space="preserve"> of the entity</w:t>
      </w:r>
      <w:r w:rsidRPr="00B50C2B">
        <w:t xml:space="preserve"> </w:t>
      </w:r>
      <w:r>
        <w:t>does not become a</w:t>
      </w:r>
      <w:r w:rsidRPr="00B50C2B">
        <w:t xml:space="preserve"> beneficiary of the entity </w:t>
      </w:r>
      <w:r>
        <w:t>who holds the product; and</w:t>
      </w:r>
    </w:p>
    <w:p w14:paraId="466520A5" w14:textId="77777777" w:rsidR="00B732B8" w:rsidRPr="00B50C2B" w:rsidRDefault="008F25D7" w:rsidP="00B732B8">
      <w:pPr>
        <w:pStyle w:val="paragraph"/>
      </w:pPr>
      <w:r>
        <w:tab/>
        <w:t>(b</w:t>
      </w:r>
      <w:r w:rsidR="00B732B8">
        <w:t>)</w:t>
      </w:r>
      <w:r w:rsidR="00B732B8">
        <w:tab/>
        <w:t>a person who, on that day, is a beneficiary</w:t>
      </w:r>
      <w:r w:rsidR="00B732B8" w:rsidRPr="00B564E7">
        <w:t xml:space="preserve"> of the entity</w:t>
      </w:r>
      <w:r w:rsidR="00B732B8" w:rsidRPr="00B50C2B">
        <w:t xml:space="preserve"> </w:t>
      </w:r>
      <w:r w:rsidR="00B732B8">
        <w:t>who does not hold the product does not start to hold the product</w:t>
      </w:r>
      <w:r w:rsidR="00B575A6">
        <w:t>.</w:t>
      </w:r>
    </w:p>
    <w:p w14:paraId="30A23A00" w14:textId="77777777" w:rsidR="001941C5" w:rsidRPr="00046225" w:rsidRDefault="001941C5" w:rsidP="00046225">
      <w:pPr>
        <w:pStyle w:val="subsection"/>
      </w:pPr>
      <w:r>
        <w:tab/>
        <w:t>(3)</w:t>
      </w:r>
      <w:r>
        <w:tab/>
        <w:t xml:space="preserve">Subsection (2) does not apply </w:t>
      </w:r>
      <w:r w:rsidR="00CD29C2">
        <w:t xml:space="preserve">in relation to a product </w:t>
      </w:r>
      <w:r>
        <w:t xml:space="preserve">if </w:t>
      </w:r>
      <w:r w:rsidR="00CD29C2">
        <w:t xml:space="preserve">a determination made by </w:t>
      </w:r>
      <w:r w:rsidR="003F60ED">
        <w:t>APRA</w:t>
      </w:r>
      <w:r>
        <w:t xml:space="preserve"> </w:t>
      </w:r>
      <w:r w:rsidR="00CD29C2">
        <w:t>under subsection (4) is in force</w:t>
      </w:r>
      <w:r w:rsidR="00B575A6">
        <w:t>.</w:t>
      </w:r>
    </w:p>
    <w:p w14:paraId="5A97E698" w14:textId="77777777" w:rsidR="00046225" w:rsidRDefault="00046225" w:rsidP="00CD29C2">
      <w:pPr>
        <w:pStyle w:val="subsection"/>
      </w:pPr>
      <w:r>
        <w:tab/>
        <w:t>(</w:t>
      </w:r>
      <w:r w:rsidR="00CD29C2">
        <w:t>4</w:t>
      </w:r>
      <w:r>
        <w:t>)</w:t>
      </w:r>
      <w:r>
        <w:tab/>
      </w:r>
      <w:r w:rsidR="003F60ED">
        <w:t>APRA</w:t>
      </w:r>
      <w:r w:rsidR="00E54CCF">
        <w:t xml:space="preserve"> </w:t>
      </w:r>
      <w:r>
        <w:t xml:space="preserve">may make a determination, in writing, that subsection (2) </w:t>
      </w:r>
      <w:r w:rsidR="00CD29C2">
        <w:t xml:space="preserve">should </w:t>
      </w:r>
      <w:r>
        <w:t xml:space="preserve">not apply in relation to </w:t>
      </w:r>
      <w:r w:rsidR="00CD29C2">
        <w:t xml:space="preserve">a specified product </w:t>
      </w:r>
      <w:r w:rsidR="00CD29C2" w:rsidRPr="00B564E7">
        <w:t xml:space="preserve">offered by </w:t>
      </w:r>
      <w:r w:rsidR="00CD29C2">
        <w:t xml:space="preserve">a specified </w:t>
      </w:r>
      <w:r w:rsidR="00CD29C2" w:rsidRPr="00B564E7">
        <w:t>entity</w:t>
      </w:r>
      <w:r w:rsidR="00CD29C2">
        <w:t>,</w:t>
      </w:r>
      <w:r w:rsidR="006576E5">
        <w:t xml:space="preserve"> if </w:t>
      </w:r>
      <w:r w:rsidR="003F60ED">
        <w:t>APRA</w:t>
      </w:r>
      <w:r w:rsidR="00E54CCF">
        <w:t xml:space="preserve"> </w:t>
      </w:r>
      <w:r w:rsidR="006576E5">
        <w:t xml:space="preserve">considers that requirements specified in regulations made for the purposes of this subsection have been met in relation to the </w:t>
      </w:r>
      <w:r w:rsidR="00CD29C2">
        <w:t xml:space="preserve">entity and </w:t>
      </w:r>
      <w:r w:rsidR="006576E5">
        <w:t>product</w:t>
      </w:r>
      <w:r w:rsidR="00B575A6">
        <w:t>.</w:t>
      </w:r>
    </w:p>
    <w:p w14:paraId="107631D5" w14:textId="77777777" w:rsidR="00CD29C2" w:rsidRDefault="00CD29C2" w:rsidP="00CD29C2">
      <w:pPr>
        <w:pStyle w:val="subsection"/>
      </w:pPr>
      <w:r>
        <w:tab/>
        <w:t>(5)</w:t>
      </w:r>
      <w:r>
        <w:tab/>
        <w:t>The determination comes into force on:</w:t>
      </w:r>
    </w:p>
    <w:p w14:paraId="21627F57" w14:textId="77777777" w:rsidR="00CD29C2" w:rsidRDefault="00CD29C2" w:rsidP="00046225">
      <w:pPr>
        <w:pStyle w:val="paragraph"/>
      </w:pPr>
      <w:r>
        <w:tab/>
        <w:t>(a)</w:t>
      </w:r>
      <w:r>
        <w:tab/>
        <w:t>the day on which the determination is made; or</w:t>
      </w:r>
    </w:p>
    <w:p w14:paraId="5ABBE09B" w14:textId="77777777" w:rsidR="00CD29C2" w:rsidRDefault="00CD29C2" w:rsidP="00046225">
      <w:pPr>
        <w:pStyle w:val="paragraph"/>
      </w:pPr>
      <w:r>
        <w:tab/>
        <w:t>(b)</w:t>
      </w:r>
      <w:r>
        <w:tab/>
        <w:t>a later day specified in the determination</w:t>
      </w:r>
      <w:r w:rsidR="00B575A6">
        <w:t>.</w:t>
      </w:r>
    </w:p>
    <w:p w14:paraId="74A47664" w14:textId="77777777" w:rsidR="006576E5" w:rsidRDefault="006576E5" w:rsidP="00046225">
      <w:pPr>
        <w:pStyle w:val="subsection"/>
      </w:pPr>
      <w:r>
        <w:tab/>
        <w:t>(</w:t>
      </w:r>
      <w:r w:rsidR="00CD29C2">
        <w:t>6</w:t>
      </w:r>
      <w:r>
        <w:t>)</w:t>
      </w:r>
      <w:r>
        <w:tab/>
      </w:r>
      <w:r w:rsidR="003F60ED">
        <w:t>APRA</w:t>
      </w:r>
      <w:r w:rsidR="00E54CCF">
        <w:t xml:space="preserve"> </w:t>
      </w:r>
      <w:r>
        <w:t>must give a copy of the determination to the entity as soon as practicable after making it</w:t>
      </w:r>
      <w:r w:rsidR="00B575A6">
        <w:t>.</w:t>
      </w:r>
    </w:p>
    <w:p w14:paraId="645EE398" w14:textId="77777777" w:rsidR="00BD1751" w:rsidRDefault="006576E5">
      <w:pPr>
        <w:pStyle w:val="subsection"/>
      </w:pPr>
      <w:r w:rsidRPr="00B50C2B">
        <w:tab/>
        <w:t>(</w:t>
      </w:r>
      <w:r w:rsidR="00CD29C2" w:rsidRPr="00B50C2B">
        <w:t>7</w:t>
      </w:r>
      <w:r w:rsidRPr="00B50C2B">
        <w:t>)</w:t>
      </w:r>
      <w:r w:rsidRPr="00B50C2B">
        <w:tab/>
      </w:r>
      <w:r w:rsidR="00BD1751" w:rsidRPr="00B50C2B">
        <w:t>A determination under subsectio</w:t>
      </w:r>
      <w:r w:rsidR="00BD1751">
        <w:t>n (</w:t>
      </w:r>
      <w:r w:rsidR="00CD29C2">
        <w:t>4</w:t>
      </w:r>
      <w:r w:rsidR="00BD1751">
        <w:t>) is not a legislative instrument</w:t>
      </w:r>
      <w:r w:rsidR="00B575A6">
        <w:t>.</w:t>
      </w:r>
    </w:p>
    <w:p w14:paraId="274E356E" w14:textId="77777777" w:rsidR="00E36C1F" w:rsidRPr="00B564E7" w:rsidRDefault="00B575A6" w:rsidP="00E36C1F">
      <w:pPr>
        <w:pStyle w:val="ActHead5"/>
      </w:pPr>
      <w:r w:rsidRPr="00797FDB">
        <w:rPr>
          <w:rStyle w:val="CharSectno"/>
        </w:rPr>
        <w:t>60F</w:t>
      </w:r>
      <w:r w:rsidR="00E36C1F">
        <w:t xml:space="preserve">  Multiple products treated as one product in certain circumstances</w:t>
      </w:r>
    </w:p>
    <w:p w14:paraId="7E64966C" w14:textId="77777777" w:rsidR="00E36C1F" w:rsidRDefault="00E36C1F" w:rsidP="00E36C1F">
      <w:pPr>
        <w:pStyle w:val="subsection"/>
      </w:pPr>
      <w:r>
        <w:tab/>
        <w:t>(1)</w:t>
      </w:r>
      <w:r>
        <w:tab/>
        <w:t xml:space="preserve">For the purposes of </w:t>
      </w:r>
      <w:r w:rsidR="00EB47EC">
        <w:t>this Part</w:t>
      </w:r>
      <w:r>
        <w:t>, in circumstances specified in regulations made for the purpose of this subsection:</w:t>
      </w:r>
    </w:p>
    <w:p w14:paraId="73EBA8CA" w14:textId="77777777" w:rsidR="00E36C1F" w:rsidRDefault="00E36C1F" w:rsidP="00E36C1F">
      <w:pPr>
        <w:pStyle w:val="paragraph"/>
      </w:pPr>
      <w:r>
        <w:tab/>
        <w:t>(a)</w:t>
      </w:r>
      <w:r>
        <w:tab/>
        <w:t xml:space="preserve">treat 2 or more </w:t>
      </w:r>
      <w:r w:rsidR="00624103">
        <w:t>product</w:t>
      </w:r>
      <w:r>
        <w:t>s covered by subsection </w:t>
      </w:r>
      <w:r w:rsidR="00B575A6">
        <w:t>60B</w:t>
      </w:r>
      <w:r>
        <w:t xml:space="preserve">(5) (including a </w:t>
      </w:r>
      <w:r w:rsidR="00624103">
        <w:t>product</w:t>
      </w:r>
      <w:r>
        <w:t xml:space="preserve"> that has ceased to exist) as being one </w:t>
      </w:r>
      <w:r w:rsidR="00624103">
        <w:t>product</w:t>
      </w:r>
      <w:r>
        <w:t xml:space="preserve"> (the </w:t>
      </w:r>
      <w:r w:rsidRPr="00505554">
        <w:rPr>
          <w:b/>
          <w:i/>
        </w:rPr>
        <w:t>combined product</w:t>
      </w:r>
      <w:r>
        <w:t>) covered by that subsection; and</w:t>
      </w:r>
    </w:p>
    <w:p w14:paraId="32B73B74" w14:textId="77777777" w:rsidR="00EB47EC" w:rsidRDefault="00E36C1F" w:rsidP="00E36C1F">
      <w:pPr>
        <w:pStyle w:val="paragraph"/>
      </w:pPr>
      <w:r>
        <w:tab/>
        <w:t>(b)</w:t>
      </w:r>
      <w:r>
        <w:tab/>
        <w:t>treat anything that happened in relation to any of those products as having happened in relation to the combined product</w:t>
      </w:r>
      <w:r w:rsidR="00EB47EC">
        <w:t>; and</w:t>
      </w:r>
    </w:p>
    <w:p w14:paraId="3A70A489" w14:textId="77777777" w:rsidR="00E36C1F" w:rsidRDefault="00EB47EC" w:rsidP="00E36C1F">
      <w:pPr>
        <w:pStyle w:val="paragraph"/>
      </w:pPr>
      <w:r>
        <w:tab/>
        <w:t>(c)</w:t>
      </w:r>
      <w:r>
        <w:tab/>
      </w:r>
      <w:r w:rsidR="00744B44">
        <w:t>treat a person who holds any of those products as holding the combined product</w:t>
      </w:r>
      <w:r w:rsidR="00B575A6">
        <w:t>.</w:t>
      </w:r>
    </w:p>
    <w:p w14:paraId="0E64FBFB" w14:textId="77777777" w:rsidR="00E36C1F" w:rsidRDefault="00E36C1F" w:rsidP="00E36C1F">
      <w:pPr>
        <w:pStyle w:val="subsection"/>
      </w:pPr>
      <w:r>
        <w:tab/>
        <w:t>(2)</w:t>
      </w:r>
      <w:r>
        <w:tab/>
        <w:t>Regulations made for the purposes of subsection (1) may:</w:t>
      </w:r>
    </w:p>
    <w:p w14:paraId="5323885A" w14:textId="77777777" w:rsidR="00E36C1F" w:rsidRPr="004800C1" w:rsidRDefault="00E36C1F" w:rsidP="00E36C1F">
      <w:pPr>
        <w:pStyle w:val="paragraph"/>
      </w:pPr>
      <w:r>
        <w:tab/>
        <w:t>(a)</w:t>
      </w:r>
      <w:r>
        <w:tab/>
        <w:t>specify requirements that depend on the exercise of a discretion by APRA; and</w:t>
      </w:r>
    </w:p>
    <w:p w14:paraId="1532B911" w14:textId="77777777" w:rsidR="00E36C1F" w:rsidRPr="004800C1" w:rsidRDefault="00E36C1F" w:rsidP="00E36C1F">
      <w:pPr>
        <w:pStyle w:val="paragraph"/>
      </w:pPr>
      <w:r>
        <w:tab/>
        <w:t>(b)</w:t>
      </w:r>
      <w:r>
        <w:tab/>
        <w:t>specify matters that APRA may take into account in exercising such a discretion; and</w:t>
      </w:r>
    </w:p>
    <w:p w14:paraId="55F288E2" w14:textId="77777777" w:rsidR="00E36C1F" w:rsidRDefault="00E36C1F" w:rsidP="00E36C1F">
      <w:pPr>
        <w:pStyle w:val="paragraph"/>
      </w:pPr>
      <w:r>
        <w:tab/>
        <w:t>(c)</w:t>
      </w:r>
      <w:r>
        <w:tab/>
        <w:t>allow APRA to make specified assumptions in exercising such a discretion</w:t>
      </w:r>
      <w:r w:rsidR="00B575A6">
        <w:t>.</w:t>
      </w:r>
    </w:p>
    <w:p w14:paraId="547A196C" w14:textId="77777777" w:rsidR="00E36C1F" w:rsidRDefault="00E36C1F">
      <w:pPr>
        <w:pStyle w:val="subsection"/>
      </w:pPr>
      <w:r>
        <w:tab/>
        <w:t>(3)</w:t>
      </w:r>
      <w:r>
        <w:tab/>
        <w:t>Subsection (2) does not limit the scope of regulations made for the purposes of subsection (1)</w:t>
      </w:r>
      <w:r w:rsidR="00B575A6">
        <w:t>.</w:t>
      </w:r>
    </w:p>
    <w:p w14:paraId="6B2E1D79" w14:textId="77777777" w:rsidR="00A96374" w:rsidRDefault="003528DC" w:rsidP="00A96374">
      <w:pPr>
        <w:pStyle w:val="ItemHead"/>
      </w:pPr>
      <w:r>
        <w:t>8</w:t>
      </w:r>
      <w:r w:rsidR="00A96374">
        <w:t xml:space="preserve">  After section 348A</w:t>
      </w:r>
    </w:p>
    <w:p w14:paraId="632D919B" w14:textId="77777777" w:rsidR="00A96374" w:rsidRDefault="00A96374" w:rsidP="00A96374">
      <w:pPr>
        <w:pStyle w:val="Item"/>
      </w:pPr>
      <w:r>
        <w:t>Insert:</w:t>
      </w:r>
    </w:p>
    <w:p w14:paraId="6637E1D0" w14:textId="77777777" w:rsidR="000310A1" w:rsidRDefault="00A96374" w:rsidP="000310A1">
      <w:pPr>
        <w:pStyle w:val="ActHead5"/>
      </w:pPr>
      <w:r w:rsidRPr="00797FDB">
        <w:rPr>
          <w:rStyle w:val="CharSectno"/>
        </w:rPr>
        <w:t>348B</w:t>
      </w:r>
      <w:r>
        <w:t xml:space="preserve">  </w:t>
      </w:r>
      <w:r w:rsidR="000310A1">
        <w:t>Formulas for ranking products</w:t>
      </w:r>
    </w:p>
    <w:p w14:paraId="08DEE818" w14:textId="77777777" w:rsidR="000310A1" w:rsidRDefault="000310A1" w:rsidP="000310A1">
      <w:pPr>
        <w:pStyle w:val="subsection"/>
      </w:pPr>
      <w:r w:rsidRPr="000310A1">
        <w:tab/>
        <w:t>(1)</w:t>
      </w:r>
      <w:r w:rsidRPr="000310A1">
        <w:tab/>
      </w:r>
      <w:r>
        <w:t xml:space="preserve">Regulations made for the purposes of this section may specify one or more formulas </w:t>
      </w:r>
      <w:r w:rsidR="0035584D">
        <w:t>as a basis for</w:t>
      </w:r>
      <w:r>
        <w:t xml:space="preserve"> </w:t>
      </w:r>
      <w:r w:rsidR="003F60ED">
        <w:t>APRA</w:t>
      </w:r>
      <w:r>
        <w:t xml:space="preserve"> to rank any of the following products, or classes of the following products, a</w:t>
      </w:r>
      <w:r w:rsidR="004961B1">
        <w:t xml:space="preserve">ccording to relative fee levels, </w:t>
      </w:r>
      <w:r>
        <w:t>investment returns</w:t>
      </w:r>
      <w:r w:rsidR="004961B1">
        <w:t xml:space="preserve"> or any other criterion</w:t>
      </w:r>
      <w:r>
        <w:t>:</w:t>
      </w:r>
    </w:p>
    <w:p w14:paraId="6A7A9A09" w14:textId="77777777" w:rsidR="000310A1" w:rsidRDefault="000310A1" w:rsidP="000310A1">
      <w:pPr>
        <w:pStyle w:val="paragraph"/>
      </w:pPr>
      <w:r>
        <w:tab/>
        <w:t>(a)</w:t>
      </w:r>
      <w:r>
        <w:tab/>
      </w:r>
      <w:r w:rsidRPr="006B5AA5">
        <w:t>MySuper product</w:t>
      </w:r>
      <w:r>
        <w:t>s;</w:t>
      </w:r>
    </w:p>
    <w:p w14:paraId="7C7449BF" w14:textId="77777777" w:rsidR="000310A1" w:rsidRDefault="000310A1" w:rsidP="000310A1">
      <w:pPr>
        <w:pStyle w:val="paragraph"/>
      </w:pPr>
      <w:r>
        <w:tab/>
        <w:t>(b)</w:t>
      </w:r>
      <w:r>
        <w:tab/>
      </w:r>
      <w:r w:rsidR="00624103">
        <w:t>any other</w:t>
      </w:r>
      <w:r w:rsidR="00624103" w:rsidRPr="002C3FC8">
        <w:t xml:space="preserve"> class of beneficial interest in </w:t>
      </w:r>
      <w:r w:rsidR="00624103">
        <w:t>a regulated superannuation fund</w:t>
      </w:r>
      <w:r>
        <w:t xml:space="preserve"> identified by regulations made for the purposes of paragraph </w:t>
      </w:r>
      <w:r w:rsidR="00B575A6">
        <w:t>60B</w:t>
      </w:r>
      <w:r>
        <w:t>(5)(b)</w:t>
      </w:r>
      <w:r w:rsidR="00B575A6">
        <w:t>.</w:t>
      </w:r>
    </w:p>
    <w:p w14:paraId="143E159B" w14:textId="77777777" w:rsidR="00047E01" w:rsidRDefault="000310A1" w:rsidP="00047E01">
      <w:pPr>
        <w:pStyle w:val="subsection"/>
      </w:pPr>
      <w:r w:rsidRPr="000310A1">
        <w:tab/>
        <w:t>(2)</w:t>
      </w:r>
      <w:r w:rsidRPr="000310A1">
        <w:tab/>
      </w:r>
      <w:r>
        <w:t xml:space="preserve">Without limiting the generality of subsection (1), those regulations may </w:t>
      </w:r>
      <w:r w:rsidR="00047E01">
        <w:t xml:space="preserve">allow </w:t>
      </w:r>
      <w:r w:rsidR="003F60ED">
        <w:t>APRA</w:t>
      </w:r>
      <w:r w:rsidR="00047E01">
        <w:t xml:space="preserve"> to choose between 2 or more alternative formulas that relate to the same class of product</w:t>
      </w:r>
      <w:r w:rsidR="00B575A6">
        <w:t>.</w:t>
      </w:r>
    </w:p>
    <w:p w14:paraId="2CCFA078" w14:textId="77777777" w:rsidR="001C58D4" w:rsidRDefault="003528DC" w:rsidP="001C58D4">
      <w:pPr>
        <w:pStyle w:val="ItemHead"/>
      </w:pPr>
      <w:r>
        <w:t>9</w:t>
      </w:r>
      <w:r w:rsidR="001C58D4">
        <w:t xml:space="preserve">  Application</w:t>
      </w:r>
    </w:p>
    <w:p w14:paraId="344BE82C" w14:textId="77777777" w:rsidR="001C58D4" w:rsidRDefault="001C58D4" w:rsidP="001C58D4">
      <w:pPr>
        <w:pStyle w:val="Subitem"/>
      </w:pPr>
      <w:r>
        <w:t>(1)</w:t>
      </w:r>
      <w:r>
        <w:tab/>
        <w:t>Subject to subitem (2), the amendments made by this Schedule apply:</w:t>
      </w:r>
    </w:p>
    <w:p w14:paraId="5F16ABE3" w14:textId="77777777" w:rsidR="001C58D4" w:rsidRDefault="001C58D4" w:rsidP="001C58D4">
      <w:pPr>
        <w:pStyle w:val="paragraph"/>
      </w:pPr>
      <w:r>
        <w:tab/>
        <w:t>(a)</w:t>
      </w:r>
      <w:r>
        <w:tab/>
        <w:t>in relation to MySuper products—on and after 1 July 2021; and</w:t>
      </w:r>
    </w:p>
    <w:p w14:paraId="03CCFD62" w14:textId="77777777" w:rsidR="001C58D4" w:rsidRDefault="001C58D4" w:rsidP="001C58D4">
      <w:pPr>
        <w:pStyle w:val="paragraph"/>
      </w:pPr>
      <w:r>
        <w:tab/>
        <w:t>(b)</w:t>
      </w:r>
      <w:r>
        <w:tab/>
        <w:t xml:space="preserve">in relation to other </w:t>
      </w:r>
      <w:r w:rsidR="00624103">
        <w:t>product</w:t>
      </w:r>
      <w:r>
        <w:t>s</w:t>
      </w:r>
      <w:r w:rsidR="00624103">
        <w:t xml:space="preserve"> identified by regulations made for the purposes of paragraph </w:t>
      </w:r>
      <w:r w:rsidR="00B575A6">
        <w:t>60B</w:t>
      </w:r>
      <w:r w:rsidR="00624103">
        <w:t xml:space="preserve">(5)(b) of the </w:t>
      </w:r>
      <w:r w:rsidR="00624103" w:rsidRPr="00624103">
        <w:rPr>
          <w:i/>
        </w:rPr>
        <w:t>Superannuation Industry (Supervision) Act 1993</w:t>
      </w:r>
      <w:r>
        <w:t>—on and after 1 July 2022</w:t>
      </w:r>
      <w:r w:rsidR="00B575A6">
        <w:t>.</w:t>
      </w:r>
    </w:p>
    <w:p w14:paraId="6A214AE0" w14:textId="77777777" w:rsidR="001C58D4" w:rsidRDefault="001C58D4" w:rsidP="001C58D4">
      <w:pPr>
        <w:pStyle w:val="Subitem"/>
      </w:pPr>
      <w:r>
        <w:t>(2</w:t>
      </w:r>
      <w:r w:rsidR="004E3859">
        <w:t>)</w:t>
      </w:r>
      <w:r w:rsidR="004E3859">
        <w:tab/>
        <w:t xml:space="preserve">The amendments made by items </w:t>
      </w:r>
      <w:r w:rsidR="00343133">
        <w:t>1</w:t>
      </w:r>
      <w:r w:rsidR="003528DC">
        <w:t xml:space="preserve">, 2, 3 </w:t>
      </w:r>
      <w:r>
        <w:t xml:space="preserve">and </w:t>
      </w:r>
      <w:r w:rsidR="003528DC">
        <w:t>4</w:t>
      </w:r>
      <w:r>
        <w:t xml:space="preserve"> of this Schedule apply on and after the commencement of this item</w:t>
      </w:r>
      <w:r w:rsidR="00B575A6">
        <w:t>.</w:t>
      </w:r>
    </w:p>
    <w:p w14:paraId="1A426F02" w14:textId="77777777" w:rsidR="00DA7B37" w:rsidRPr="001C58D4" w:rsidRDefault="00DA7B37" w:rsidP="00DA7B37">
      <w:pPr>
        <w:pStyle w:val="notedraft"/>
      </w:pPr>
    </w:p>
    <w:sectPr w:rsidR="00DA7B37" w:rsidRPr="001C58D4" w:rsidSect="00BD165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0118C" w14:textId="77777777" w:rsidR="00B141D0" w:rsidRDefault="00B141D0" w:rsidP="00664C63">
      <w:pPr>
        <w:spacing w:line="240" w:lineRule="auto"/>
      </w:pPr>
      <w:r>
        <w:separator/>
      </w:r>
    </w:p>
  </w:endnote>
  <w:endnote w:type="continuationSeparator" w:id="0">
    <w:p w14:paraId="45CC4A4B" w14:textId="77777777" w:rsidR="00B141D0" w:rsidRDefault="00B141D0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00321" w14:textId="77777777" w:rsidR="00664C63" w:rsidRPr="00BB4623" w:rsidRDefault="00664C63" w:rsidP="00FA3991">
    <w:pPr>
      <w:pBdr>
        <w:top w:val="single" w:sz="6" w:space="1" w:color="auto"/>
      </w:pBdr>
      <w:spacing w:before="120"/>
      <w:jc w:val="right"/>
      <w:rPr>
        <w:sz w:val="18"/>
      </w:rPr>
    </w:pPr>
  </w:p>
  <w:p w14:paraId="5E74D45D" w14:textId="77777777"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664C63"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4303E9A6" w14:textId="77777777"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ED29B" w14:textId="77777777" w:rsidR="0095602D" w:rsidRDefault="00797FDB" w:rsidP="0095602D">
    <w:pPr>
      <w:pBdr>
        <w:top w:val="single" w:sz="6" w:space="1" w:color="auto"/>
      </w:pBdr>
      <w:spacing w:before="120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3863246" wp14:editId="4E4349F9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1980" cy="396240"/>
              <wp:effectExtent l="0" t="0" r="7620" b="381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AD91D0" w14:textId="77777777" w:rsidR="00797FDB" w:rsidRPr="00797FDB" w:rsidRDefault="00797FDB" w:rsidP="00797FD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863246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0;margin-top:766.75pt;width:347.4pt;height:31.2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" stroked="f" strokeweight=".5pt">
              <v:path arrowok="t"/>
              <v:textbox>
                <w:txbxContent>
                  <w:p w14:paraId="66AD91D0" w14:textId="77777777" w:rsidR="00797FDB" w:rsidRPr="00797FDB" w:rsidRDefault="00797FDB" w:rsidP="00797FD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679A52F" wp14:editId="03C2B9BF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980" cy="396240"/>
              <wp:effectExtent l="0" t="0" r="7620" b="381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EEB441" w14:textId="77777777" w:rsidR="00797FDB" w:rsidRPr="00797FDB" w:rsidRDefault="00797FDB" w:rsidP="00797FD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828A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79A52F" id="Text Box 11" o:spid="_x0000_s1029" type="#_x0000_t202" style="position:absolute;margin-left:0;margin-top:793.7pt;width:347.4pt;height:31.2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" stroked="f" strokeweight=".5pt">
              <v:path arrowok="t"/>
              <v:textbox>
                <w:txbxContent>
                  <w:p w14:paraId="78EEB441" w14:textId="77777777" w:rsidR="00797FDB" w:rsidRPr="00797FDB" w:rsidRDefault="00797FDB" w:rsidP="00797FD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828A6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95602D" w:rsidRPr="00B3608C" w14:paraId="11253255" w14:textId="77777777" w:rsidTr="00A91C76">
      <w:trPr>
        <w:trHeight w:val="280"/>
      </w:trPr>
      <w:tc>
        <w:tcPr>
          <w:tcW w:w="7087" w:type="dxa"/>
        </w:tcPr>
        <w:p w14:paraId="6A426B8F" w14:textId="3E75C684" w:rsidR="0095602D" w:rsidRPr="00B3608C" w:rsidRDefault="0095602D" w:rsidP="00A91C76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325396"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95602D" w:rsidRPr="00B3608C" w14:paraId="72B4D6A2" w14:textId="77777777" w:rsidTr="00A91C76">
      <w:tc>
        <w:tcPr>
          <w:tcW w:w="7087" w:type="dxa"/>
        </w:tcPr>
        <w:p w14:paraId="5B089123" w14:textId="77777777" w:rsidR="0095602D" w:rsidRPr="00B3608C" w:rsidRDefault="0095602D" w:rsidP="00A91C76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1E9B0CC6" w14:textId="77777777" w:rsidR="00B3608C" w:rsidRPr="00BB4623" w:rsidRDefault="00B3608C" w:rsidP="00B3608C">
    <w:pPr>
      <w:pStyle w:val="Tabletext"/>
      <w:spacing w:befor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B588B" w14:textId="77777777" w:rsidR="00664C63" w:rsidRPr="00BB4623" w:rsidRDefault="00664C63" w:rsidP="00FA399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A54BF" w14:textId="77777777" w:rsidR="00B141D0" w:rsidRDefault="00B141D0" w:rsidP="00664C63">
      <w:pPr>
        <w:spacing w:line="240" w:lineRule="auto"/>
      </w:pPr>
      <w:r>
        <w:separator/>
      </w:r>
    </w:p>
  </w:footnote>
  <w:footnote w:type="continuationSeparator" w:id="0">
    <w:p w14:paraId="5541F07B" w14:textId="77777777" w:rsidR="00B141D0" w:rsidRDefault="00B141D0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4D0CC" w14:textId="77777777" w:rsidR="00664C63" w:rsidRPr="00BB4623" w:rsidRDefault="00664C63" w:rsidP="00664C63">
    <w:pPr>
      <w:rPr>
        <w:sz w:val="24"/>
      </w:rPr>
    </w:pPr>
  </w:p>
  <w:p w14:paraId="22EAFCA0" w14:textId="77777777"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D7EAF" w14:textId="77777777" w:rsidR="00664C63" w:rsidRPr="00BB4623" w:rsidRDefault="00797FDB" w:rsidP="00664C63">
    <w:pPr>
      <w:jc w:val="right"/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1AEFCF2" wp14:editId="512A9153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1980" cy="396240"/>
              <wp:effectExtent l="0" t="0" r="7620" b="381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5C744E" w14:textId="77777777" w:rsidR="00797FDB" w:rsidRPr="00797FDB" w:rsidRDefault="00797FDB" w:rsidP="00797FD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AEFCF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0;margin-top:34.9pt;width:347.4pt;height:31.2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" stroked="f" strokeweight=".5pt">
              <v:path arrowok="t"/>
              <v:textbox>
                <w:txbxContent>
                  <w:p w14:paraId="605C744E" w14:textId="77777777" w:rsidR="00797FDB" w:rsidRPr="00797FDB" w:rsidRDefault="00797FDB" w:rsidP="00797FD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9160CF1" wp14:editId="0DFB7A0E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980" cy="396240"/>
              <wp:effectExtent l="0" t="0" r="7620" b="381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E26CEF" w14:textId="77777777" w:rsidR="00797FDB" w:rsidRPr="00797FDB" w:rsidRDefault="00797FDB" w:rsidP="00797FD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828A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160CF1" id="Text Box 9" o:spid="_x0000_s1027" type="#_x0000_t202" style="position:absolute;left:0;text-align:left;margin-left:0;margin-top:11.3pt;width:347.4pt;height:31.2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" stroked="f" strokeweight=".5pt">
              <v:path arrowok="t"/>
              <v:textbox>
                <w:txbxContent>
                  <w:p w14:paraId="0FE26CEF" w14:textId="77777777" w:rsidR="00797FDB" w:rsidRPr="00797FDB" w:rsidRDefault="00797FDB" w:rsidP="00797FD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828A6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4491D12C" w14:textId="77777777"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33559" w14:textId="77777777" w:rsidR="00664C63" w:rsidRPr="00BB4623" w:rsidRDefault="00664C6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4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1D0"/>
    <w:rsid w:val="000136AF"/>
    <w:rsid w:val="00014B9A"/>
    <w:rsid w:val="000206BE"/>
    <w:rsid w:val="000310A1"/>
    <w:rsid w:val="000458BD"/>
    <w:rsid w:val="00046225"/>
    <w:rsid w:val="00047E01"/>
    <w:rsid w:val="00055D20"/>
    <w:rsid w:val="000614BF"/>
    <w:rsid w:val="00073C5A"/>
    <w:rsid w:val="00087033"/>
    <w:rsid w:val="000B0565"/>
    <w:rsid w:val="000C74F9"/>
    <w:rsid w:val="000D05EF"/>
    <w:rsid w:val="000D3899"/>
    <w:rsid w:val="000F21C1"/>
    <w:rsid w:val="000F4126"/>
    <w:rsid w:val="001016D1"/>
    <w:rsid w:val="0010240E"/>
    <w:rsid w:val="0010745C"/>
    <w:rsid w:val="0011206D"/>
    <w:rsid w:val="0011775C"/>
    <w:rsid w:val="00166C2F"/>
    <w:rsid w:val="00182C9A"/>
    <w:rsid w:val="0018435F"/>
    <w:rsid w:val="001939E1"/>
    <w:rsid w:val="001941C5"/>
    <w:rsid w:val="00195382"/>
    <w:rsid w:val="001B0F61"/>
    <w:rsid w:val="001B3EE9"/>
    <w:rsid w:val="001C58D4"/>
    <w:rsid w:val="001C69C4"/>
    <w:rsid w:val="001D679C"/>
    <w:rsid w:val="001E3590"/>
    <w:rsid w:val="001E7407"/>
    <w:rsid w:val="0021250A"/>
    <w:rsid w:val="00223F4A"/>
    <w:rsid w:val="00225B39"/>
    <w:rsid w:val="002277A0"/>
    <w:rsid w:val="00240749"/>
    <w:rsid w:val="00241F14"/>
    <w:rsid w:val="00247F39"/>
    <w:rsid w:val="002501A5"/>
    <w:rsid w:val="00277A87"/>
    <w:rsid w:val="00281934"/>
    <w:rsid w:val="00296415"/>
    <w:rsid w:val="00297ECB"/>
    <w:rsid w:val="002C085A"/>
    <w:rsid w:val="002C3FC8"/>
    <w:rsid w:val="002D043A"/>
    <w:rsid w:val="002F08B3"/>
    <w:rsid w:val="00313C6F"/>
    <w:rsid w:val="00325396"/>
    <w:rsid w:val="0033411C"/>
    <w:rsid w:val="00334771"/>
    <w:rsid w:val="003415D3"/>
    <w:rsid w:val="00343133"/>
    <w:rsid w:val="003528DC"/>
    <w:rsid w:val="00352B0F"/>
    <w:rsid w:val="0035584D"/>
    <w:rsid w:val="003A5445"/>
    <w:rsid w:val="003B0F1E"/>
    <w:rsid w:val="003D0317"/>
    <w:rsid w:val="003D0BFE"/>
    <w:rsid w:val="003D2D96"/>
    <w:rsid w:val="003D5700"/>
    <w:rsid w:val="003F60D2"/>
    <w:rsid w:val="003F60ED"/>
    <w:rsid w:val="00402376"/>
    <w:rsid w:val="004043EE"/>
    <w:rsid w:val="0040616D"/>
    <w:rsid w:val="004116CD"/>
    <w:rsid w:val="004168B4"/>
    <w:rsid w:val="00424CA9"/>
    <w:rsid w:val="00427D10"/>
    <w:rsid w:val="00436980"/>
    <w:rsid w:val="00442681"/>
    <w:rsid w:val="0044291A"/>
    <w:rsid w:val="00477304"/>
    <w:rsid w:val="004800C1"/>
    <w:rsid w:val="004961B1"/>
    <w:rsid w:val="00496F97"/>
    <w:rsid w:val="004E3680"/>
    <w:rsid w:val="004E3859"/>
    <w:rsid w:val="00505554"/>
    <w:rsid w:val="005104CE"/>
    <w:rsid w:val="00516B8D"/>
    <w:rsid w:val="00523F23"/>
    <w:rsid w:val="00532676"/>
    <w:rsid w:val="00537FBC"/>
    <w:rsid w:val="00543850"/>
    <w:rsid w:val="00584052"/>
    <w:rsid w:val="00584811"/>
    <w:rsid w:val="00592D11"/>
    <w:rsid w:val="00593AA6"/>
    <w:rsid w:val="00594161"/>
    <w:rsid w:val="00594749"/>
    <w:rsid w:val="005A6F34"/>
    <w:rsid w:val="005B4067"/>
    <w:rsid w:val="005C3F41"/>
    <w:rsid w:val="005C5800"/>
    <w:rsid w:val="005D4DEA"/>
    <w:rsid w:val="00600219"/>
    <w:rsid w:val="00611C2E"/>
    <w:rsid w:val="00624103"/>
    <w:rsid w:val="006444FB"/>
    <w:rsid w:val="0065106B"/>
    <w:rsid w:val="006527A6"/>
    <w:rsid w:val="006576E5"/>
    <w:rsid w:val="0066395E"/>
    <w:rsid w:val="00664C63"/>
    <w:rsid w:val="00677CC2"/>
    <w:rsid w:val="00681A4A"/>
    <w:rsid w:val="00690911"/>
    <w:rsid w:val="0069207B"/>
    <w:rsid w:val="00693854"/>
    <w:rsid w:val="006A024C"/>
    <w:rsid w:val="006B51F1"/>
    <w:rsid w:val="006B5AA5"/>
    <w:rsid w:val="006C7F8C"/>
    <w:rsid w:val="006D3764"/>
    <w:rsid w:val="00700B2C"/>
    <w:rsid w:val="00702278"/>
    <w:rsid w:val="00703BFB"/>
    <w:rsid w:val="00713084"/>
    <w:rsid w:val="007173B8"/>
    <w:rsid w:val="00731E00"/>
    <w:rsid w:val="00732A85"/>
    <w:rsid w:val="007440B7"/>
    <w:rsid w:val="00744B44"/>
    <w:rsid w:val="0075226A"/>
    <w:rsid w:val="007545BA"/>
    <w:rsid w:val="007627F4"/>
    <w:rsid w:val="007715C9"/>
    <w:rsid w:val="00774EDD"/>
    <w:rsid w:val="007757EC"/>
    <w:rsid w:val="007845BF"/>
    <w:rsid w:val="00795FCE"/>
    <w:rsid w:val="00797FDB"/>
    <w:rsid w:val="007A659A"/>
    <w:rsid w:val="007B081F"/>
    <w:rsid w:val="007D474F"/>
    <w:rsid w:val="007E4CC8"/>
    <w:rsid w:val="00810485"/>
    <w:rsid w:val="00830815"/>
    <w:rsid w:val="00856A31"/>
    <w:rsid w:val="0086272A"/>
    <w:rsid w:val="008754D0"/>
    <w:rsid w:val="00883892"/>
    <w:rsid w:val="00887565"/>
    <w:rsid w:val="008908F8"/>
    <w:rsid w:val="008A6470"/>
    <w:rsid w:val="008C3505"/>
    <w:rsid w:val="008D0EE0"/>
    <w:rsid w:val="008D4254"/>
    <w:rsid w:val="008E05CA"/>
    <w:rsid w:val="008F25D7"/>
    <w:rsid w:val="00932377"/>
    <w:rsid w:val="00932FA3"/>
    <w:rsid w:val="0095602D"/>
    <w:rsid w:val="009620C2"/>
    <w:rsid w:val="00985A4F"/>
    <w:rsid w:val="009E212C"/>
    <w:rsid w:val="009E57A9"/>
    <w:rsid w:val="009E7C16"/>
    <w:rsid w:val="00A120DD"/>
    <w:rsid w:val="00A231E2"/>
    <w:rsid w:val="00A25627"/>
    <w:rsid w:val="00A415B9"/>
    <w:rsid w:val="00A64912"/>
    <w:rsid w:val="00A70A74"/>
    <w:rsid w:val="00A96374"/>
    <w:rsid w:val="00A9664D"/>
    <w:rsid w:val="00AA5445"/>
    <w:rsid w:val="00AB5A90"/>
    <w:rsid w:val="00AD27B3"/>
    <w:rsid w:val="00AD5641"/>
    <w:rsid w:val="00AE59F7"/>
    <w:rsid w:val="00AE7BD7"/>
    <w:rsid w:val="00AF2AB0"/>
    <w:rsid w:val="00B05DED"/>
    <w:rsid w:val="00B141D0"/>
    <w:rsid w:val="00B26413"/>
    <w:rsid w:val="00B30BBF"/>
    <w:rsid w:val="00B33B3C"/>
    <w:rsid w:val="00B340B6"/>
    <w:rsid w:val="00B3608C"/>
    <w:rsid w:val="00B372A6"/>
    <w:rsid w:val="00B404EB"/>
    <w:rsid w:val="00B412C3"/>
    <w:rsid w:val="00B429C2"/>
    <w:rsid w:val="00B50C2B"/>
    <w:rsid w:val="00B55B18"/>
    <w:rsid w:val="00B564E7"/>
    <w:rsid w:val="00B575A6"/>
    <w:rsid w:val="00B61C25"/>
    <w:rsid w:val="00B64344"/>
    <w:rsid w:val="00B70E56"/>
    <w:rsid w:val="00B732B8"/>
    <w:rsid w:val="00B85DA0"/>
    <w:rsid w:val="00B910FA"/>
    <w:rsid w:val="00BC30F2"/>
    <w:rsid w:val="00BD1655"/>
    <w:rsid w:val="00BD1751"/>
    <w:rsid w:val="00BE719A"/>
    <w:rsid w:val="00BE720A"/>
    <w:rsid w:val="00C10DDF"/>
    <w:rsid w:val="00C42BF8"/>
    <w:rsid w:val="00C44B6F"/>
    <w:rsid w:val="00C50043"/>
    <w:rsid w:val="00C53114"/>
    <w:rsid w:val="00C723B9"/>
    <w:rsid w:val="00C7573B"/>
    <w:rsid w:val="00C77D10"/>
    <w:rsid w:val="00C95C36"/>
    <w:rsid w:val="00CB0EA8"/>
    <w:rsid w:val="00CC7A09"/>
    <w:rsid w:val="00CD29C2"/>
    <w:rsid w:val="00CD3AC1"/>
    <w:rsid w:val="00CE261E"/>
    <w:rsid w:val="00CF0BB2"/>
    <w:rsid w:val="00CF4975"/>
    <w:rsid w:val="00D13441"/>
    <w:rsid w:val="00D216ED"/>
    <w:rsid w:val="00D3213F"/>
    <w:rsid w:val="00D374CE"/>
    <w:rsid w:val="00D40252"/>
    <w:rsid w:val="00D467B9"/>
    <w:rsid w:val="00D670D5"/>
    <w:rsid w:val="00D70DFB"/>
    <w:rsid w:val="00D7186F"/>
    <w:rsid w:val="00D766DF"/>
    <w:rsid w:val="00D9284D"/>
    <w:rsid w:val="00DA7B37"/>
    <w:rsid w:val="00DD2370"/>
    <w:rsid w:val="00DD314D"/>
    <w:rsid w:val="00DE081A"/>
    <w:rsid w:val="00DF4A34"/>
    <w:rsid w:val="00E05704"/>
    <w:rsid w:val="00E1363F"/>
    <w:rsid w:val="00E36C1F"/>
    <w:rsid w:val="00E54CAB"/>
    <w:rsid w:val="00E54CCF"/>
    <w:rsid w:val="00E651AE"/>
    <w:rsid w:val="00E74DC7"/>
    <w:rsid w:val="00E828A6"/>
    <w:rsid w:val="00E85CB9"/>
    <w:rsid w:val="00E94998"/>
    <w:rsid w:val="00EB47EC"/>
    <w:rsid w:val="00ED1A6C"/>
    <w:rsid w:val="00EE25A8"/>
    <w:rsid w:val="00EE6DCC"/>
    <w:rsid w:val="00EF2E3A"/>
    <w:rsid w:val="00F0132A"/>
    <w:rsid w:val="00F01858"/>
    <w:rsid w:val="00F078DC"/>
    <w:rsid w:val="00F15B43"/>
    <w:rsid w:val="00F5076A"/>
    <w:rsid w:val="00F71234"/>
    <w:rsid w:val="00F8103A"/>
    <w:rsid w:val="00F977FB"/>
    <w:rsid w:val="00FA3991"/>
    <w:rsid w:val="00FB525F"/>
    <w:rsid w:val="00FF0CED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581D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85CB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17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7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7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7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75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75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75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75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75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85CB9"/>
  </w:style>
  <w:style w:type="paragraph" w:customStyle="1" w:styleId="OPCParaBase">
    <w:name w:val="OPCParaBase"/>
    <w:qFormat/>
    <w:rsid w:val="00E85CB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85CB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85CB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85CB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85CB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85CB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85CB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85CB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85CB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85CB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85CB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85CB9"/>
  </w:style>
  <w:style w:type="paragraph" w:customStyle="1" w:styleId="Blocks">
    <w:name w:val="Blocks"/>
    <w:aliases w:val="bb"/>
    <w:basedOn w:val="OPCParaBase"/>
    <w:qFormat/>
    <w:rsid w:val="00E85CB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85C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85CB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85CB9"/>
    <w:rPr>
      <w:i/>
    </w:rPr>
  </w:style>
  <w:style w:type="paragraph" w:customStyle="1" w:styleId="BoxList">
    <w:name w:val="BoxList"/>
    <w:aliases w:val="bl"/>
    <w:basedOn w:val="BoxText"/>
    <w:qFormat/>
    <w:rsid w:val="00E85CB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85CB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85CB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85CB9"/>
    <w:pPr>
      <w:ind w:left="1985" w:hanging="851"/>
    </w:pPr>
  </w:style>
  <w:style w:type="character" w:customStyle="1" w:styleId="CharAmPartNo">
    <w:name w:val="CharAmPartNo"/>
    <w:basedOn w:val="OPCCharBase"/>
    <w:qFormat/>
    <w:rsid w:val="00E85CB9"/>
  </w:style>
  <w:style w:type="character" w:customStyle="1" w:styleId="CharAmPartText">
    <w:name w:val="CharAmPartText"/>
    <w:basedOn w:val="OPCCharBase"/>
    <w:qFormat/>
    <w:rsid w:val="00E85CB9"/>
  </w:style>
  <w:style w:type="character" w:customStyle="1" w:styleId="CharAmSchNo">
    <w:name w:val="CharAmSchNo"/>
    <w:basedOn w:val="OPCCharBase"/>
    <w:qFormat/>
    <w:rsid w:val="00E85CB9"/>
  </w:style>
  <w:style w:type="character" w:customStyle="1" w:styleId="CharAmSchText">
    <w:name w:val="CharAmSchText"/>
    <w:basedOn w:val="OPCCharBase"/>
    <w:qFormat/>
    <w:rsid w:val="00E85CB9"/>
  </w:style>
  <w:style w:type="character" w:customStyle="1" w:styleId="CharBoldItalic">
    <w:name w:val="CharBoldItalic"/>
    <w:basedOn w:val="OPCCharBase"/>
    <w:uiPriority w:val="1"/>
    <w:qFormat/>
    <w:rsid w:val="00E85CB9"/>
    <w:rPr>
      <w:b/>
      <w:i/>
    </w:rPr>
  </w:style>
  <w:style w:type="character" w:customStyle="1" w:styleId="CharChapNo">
    <w:name w:val="CharChapNo"/>
    <w:basedOn w:val="OPCCharBase"/>
    <w:uiPriority w:val="1"/>
    <w:qFormat/>
    <w:rsid w:val="00E85CB9"/>
  </w:style>
  <w:style w:type="character" w:customStyle="1" w:styleId="CharChapText">
    <w:name w:val="CharChapText"/>
    <w:basedOn w:val="OPCCharBase"/>
    <w:uiPriority w:val="1"/>
    <w:qFormat/>
    <w:rsid w:val="00E85CB9"/>
  </w:style>
  <w:style w:type="character" w:customStyle="1" w:styleId="CharDivNo">
    <w:name w:val="CharDivNo"/>
    <w:basedOn w:val="OPCCharBase"/>
    <w:uiPriority w:val="1"/>
    <w:qFormat/>
    <w:rsid w:val="00E85CB9"/>
  </w:style>
  <w:style w:type="character" w:customStyle="1" w:styleId="CharDivText">
    <w:name w:val="CharDivText"/>
    <w:basedOn w:val="OPCCharBase"/>
    <w:uiPriority w:val="1"/>
    <w:qFormat/>
    <w:rsid w:val="00E85CB9"/>
  </w:style>
  <w:style w:type="character" w:customStyle="1" w:styleId="CharItalic">
    <w:name w:val="CharItalic"/>
    <w:basedOn w:val="OPCCharBase"/>
    <w:uiPriority w:val="1"/>
    <w:qFormat/>
    <w:rsid w:val="00E85CB9"/>
    <w:rPr>
      <w:i/>
    </w:rPr>
  </w:style>
  <w:style w:type="character" w:customStyle="1" w:styleId="CharPartNo">
    <w:name w:val="CharPartNo"/>
    <w:basedOn w:val="OPCCharBase"/>
    <w:uiPriority w:val="1"/>
    <w:qFormat/>
    <w:rsid w:val="00E85CB9"/>
  </w:style>
  <w:style w:type="character" w:customStyle="1" w:styleId="CharPartText">
    <w:name w:val="CharPartText"/>
    <w:basedOn w:val="OPCCharBase"/>
    <w:uiPriority w:val="1"/>
    <w:qFormat/>
    <w:rsid w:val="00E85CB9"/>
  </w:style>
  <w:style w:type="character" w:customStyle="1" w:styleId="CharSectno">
    <w:name w:val="CharSectno"/>
    <w:basedOn w:val="OPCCharBase"/>
    <w:qFormat/>
    <w:rsid w:val="00E85CB9"/>
  </w:style>
  <w:style w:type="character" w:customStyle="1" w:styleId="CharSubdNo">
    <w:name w:val="CharSubdNo"/>
    <w:basedOn w:val="OPCCharBase"/>
    <w:uiPriority w:val="1"/>
    <w:qFormat/>
    <w:rsid w:val="00E85CB9"/>
  </w:style>
  <w:style w:type="character" w:customStyle="1" w:styleId="CharSubdText">
    <w:name w:val="CharSubdText"/>
    <w:basedOn w:val="OPCCharBase"/>
    <w:uiPriority w:val="1"/>
    <w:qFormat/>
    <w:rsid w:val="00E85CB9"/>
  </w:style>
  <w:style w:type="paragraph" w:customStyle="1" w:styleId="CTA--">
    <w:name w:val="CTA --"/>
    <w:basedOn w:val="OPCParaBase"/>
    <w:next w:val="Normal"/>
    <w:rsid w:val="00E85CB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85CB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85CB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85CB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85CB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85CB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85CB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85CB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85CB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85CB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85CB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85CB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85CB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85CB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E85CB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85CB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85CB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85CB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85CB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85CB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85CB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85CB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85CB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85CB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85CB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85CB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85CB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85CB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85CB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85CB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85CB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85CB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85CB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85CB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85CB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85CB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85CB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85CB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85CB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85CB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85CB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85CB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85CB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85CB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85CB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85CB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85CB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85CB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85CB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85CB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85CB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85C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85CB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85CB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85CB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E85CB9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85CB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85CB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85CB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85CB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85CB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85CB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85CB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85CB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85CB9"/>
    <w:rPr>
      <w:sz w:val="16"/>
    </w:rPr>
  </w:style>
  <w:style w:type="table" w:customStyle="1" w:styleId="CFlag">
    <w:name w:val="CFlag"/>
    <w:basedOn w:val="TableNormal"/>
    <w:uiPriority w:val="99"/>
    <w:rsid w:val="00E85CB9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29641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96415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E85CB9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E85CB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E85CB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85CB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85CB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85CB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85CB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85CB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85CB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85CB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85CB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85CB9"/>
  </w:style>
  <w:style w:type="character" w:customStyle="1" w:styleId="CharSubPartNoCASA">
    <w:name w:val="CharSubPartNo(CASA)"/>
    <w:basedOn w:val="OPCCharBase"/>
    <w:uiPriority w:val="1"/>
    <w:rsid w:val="00E85CB9"/>
  </w:style>
  <w:style w:type="paragraph" w:customStyle="1" w:styleId="ENoteTTIndentHeadingSub">
    <w:name w:val="ENoteTTIndentHeadingSub"/>
    <w:aliases w:val="enTTHis"/>
    <w:basedOn w:val="OPCParaBase"/>
    <w:rsid w:val="00E85CB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85CB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85CB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85CB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E85CB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85CB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85C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85CB9"/>
    <w:rPr>
      <w:sz w:val="22"/>
    </w:rPr>
  </w:style>
  <w:style w:type="paragraph" w:customStyle="1" w:styleId="SOTextNote">
    <w:name w:val="SO TextNote"/>
    <w:aliases w:val="sont"/>
    <w:basedOn w:val="SOText"/>
    <w:qFormat/>
    <w:rsid w:val="00E85CB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85CB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85CB9"/>
    <w:rPr>
      <w:sz w:val="22"/>
    </w:rPr>
  </w:style>
  <w:style w:type="paragraph" w:customStyle="1" w:styleId="FileName">
    <w:name w:val="FileName"/>
    <w:basedOn w:val="Normal"/>
    <w:rsid w:val="00E85CB9"/>
  </w:style>
  <w:style w:type="paragraph" w:customStyle="1" w:styleId="TableHeading">
    <w:name w:val="TableHeading"/>
    <w:aliases w:val="th"/>
    <w:basedOn w:val="OPCParaBase"/>
    <w:next w:val="Tabletext"/>
    <w:rsid w:val="00E85CB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85CB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85CB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85CB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85CB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85CB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85CB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85CB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85CB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85C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85CB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85CB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E85CB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85CB9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E85CB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85CB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E85CB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85CB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85CB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85CB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85CB9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E85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E85CB9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BD1751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D17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7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75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75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75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75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75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75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751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48D01E61E107C4DA4B97E380EA20D47|1757814118" UniqueId="2079b4ee-6208-4500-a6e7-1bf5637d01b9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48D01E61E107C4DA4B97E380EA20D4700586C412BF0B9014C8D889A6B3F3E3353" ma:contentTypeVersion="33789" ma:contentTypeDescription="" ma:contentTypeScope="" ma:versionID="d86f11c53ad9f29542a7f7aedcbba4ac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e544e5cc-ab70-42e1-849e-1a0f8bb1f4ef" xmlns:ns5="http://schemas.microsoft.com/sharepoint/v4" targetNamespace="http://schemas.microsoft.com/office/2006/metadata/properties" ma:root="true" ma:fieldsID="6ef8bd34eff7e892e7f59d37d9dcf488" ns1:_="" ns2:_="" ns3:_="" ns5:_="">
    <xsd:import namespace="http://schemas.microsoft.com/sharepoint/v3"/>
    <xsd:import namespace="0f563589-9cf9-4143-b1eb-fb0534803d38"/>
    <xsd:import namespace="e544e5cc-ab70-42e1-849e-1a0f8bb1f4e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9ae0e000-2bfe-436e-bf3a-a243a28c1c18}" ma:internalName="TaxCatchAll" ma:showField="CatchAllData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ae0e000-2bfe-436e-bf3a-a243a28c1c18}" ma:internalName="TaxCatchAllLabel" ma:readOnly="true" ma:showField="CatchAllDataLabel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4e5cc-ab70-42e1-849e-1a0f8bb1f4ef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27;#TSY RA-9081 - Retain as national archives|bbf0bcde-1687-4ff2-bc57-f31b5d545d4b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0f563589-9cf9-4143-b1eb-fb0534803d38">
      <Value>27</Value>
    </TaxCatchAll>
    <lb508a4dc5e84436a0fe496b536466aa xmlns="e544e5cc-ab70-42e1-849e-1a0f8bb1f4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RA-9081 - Retain as national archives</TermName>
          <TermId xmlns="http://schemas.microsoft.com/office/infopath/2007/PartnerControls">bbf0bcde-1687-4ff2-bc57-f31b5d545d4b</TermId>
        </TermInfo>
      </Terms>
    </lb508a4dc5e84436a0fe496b536466aa>
    <_dlc_DocId xmlns="0f563589-9cf9-4143-b1eb-fb0534803d38">2020FG-219-493</_dlc_DocId>
    <_dlc_DocIdUrl xmlns="0f563589-9cf9-4143-b1eb-fb0534803d38">
      <Url>http://tweb/sites/fg/ripd/member/_layouts/15/DocIdRedir.aspx?ID=2020FG-219-493</Url>
      <Description>2020FG-219-493</Description>
    </_dlc_DocIdUrl>
  </documentManagement>
</p:properties>
</file>

<file path=customXml/itemProps1.xml><?xml version="1.0" encoding="utf-8"?>
<ds:datastoreItem xmlns:ds="http://schemas.openxmlformats.org/officeDocument/2006/customXml" ds:itemID="{D4EAEAE9-77B0-46F3-9584-00106D11D2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AFF7A0-A697-4869-9AA2-2AA75EB67858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4920236B-C83B-491E-992A-56943FA0568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BFB6CCA-C27A-4210-9502-2EC846B35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e544e5cc-ab70-42e1-849e-1a0f8bb1f4e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0B2984A-B605-483C-ADFB-C471085E42B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544e5cc-ab70-42e1-849e-1a0f8bb1f4ef"/>
    <ds:schemaRef ds:uri="0f563589-9cf9-4143-b1eb-fb0534803d38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sharepoint/v4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7</Pages>
  <Words>1502</Words>
  <Characters>7664</Characters>
  <Application>Microsoft Office Word</Application>
  <DocSecurity>2</DocSecurity>
  <PresentationFormat/>
  <Lines>199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- Treasury Laws Amendment (Measures for a later sitting) Bill 2020: Addressing underperformance in superannuation</vt:lpstr>
    </vt:vector>
  </TitlesOfParts>
  <Manager/>
  <Company/>
  <LinksUpToDate>false</LinksUpToDate>
  <CharactersWithSpaces>9142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- Treasury Laws Amendment (Measures for a later sitting) Bill 2020: Addressing underperformance in superannuation</dc:title>
  <dc:subject/>
  <dc:creator/>
  <cp:keywords/>
  <dc:description/>
  <cp:lastModifiedBy/>
  <cp:revision>1</cp:revision>
  <cp:lastPrinted>2020-10-20T03:06:00Z</cp:lastPrinted>
  <dcterms:created xsi:type="dcterms:W3CDTF">2020-11-03T23:11:00Z</dcterms:created>
  <dcterms:modified xsi:type="dcterms:W3CDTF">2020-11-26T03:22:00Z</dcterms:modified>
  <cp:category/>
  <cp:contentStatus/>
  <dc:language/>
  <cp:version/>
</cp:coreProperties>
</file>