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23163" w14:textId="77777777" w:rsidR="00F109D4" w:rsidRPr="00731FEA" w:rsidRDefault="00F109D4" w:rsidP="00647BB7">
      <w:pPr>
        <w:pStyle w:val="Heading1"/>
        <w:spacing w:after="360"/>
        <w:rPr>
          <w:rFonts w:ascii="Times New Roman" w:hAnsi="Times New Roman"/>
          <w:sz w:val="24"/>
          <w:szCs w:val="24"/>
        </w:rPr>
      </w:pPr>
      <w:bookmarkStart w:id="0" w:name="_GoBack"/>
      <w:bookmarkEnd w:id="0"/>
      <w:r w:rsidRPr="00731FEA">
        <w:rPr>
          <w:rFonts w:ascii="Times New Roman" w:hAnsi="Times New Roman"/>
          <w:sz w:val="24"/>
          <w:szCs w:val="24"/>
        </w:rPr>
        <w:t>EXPLANATORY STATEMENT</w:t>
      </w:r>
    </w:p>
    <w:p w14:paraId="352DA019"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912BC38C4FFC4E05AF8451A7F460C84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327AAE">
            <w:rPr>
              <w:sz w:val="24"/>
              <w:szCs w:val="24"/>
            </w:rPr>
            <w:t>Treasurer</w:t>
          </w:r>
        </w:sdtContent>
      </w:sdt>
    </w:p>
    <w:p w14:paraId="3263B6AD" w14:textId="77777777" w:rsidR="00F109D4" w:rsidRDefault="00327AAE" w:rsidP="003C7907">
      <w:pPr>
        <w:spacing w:before="240" w:after="240"/>
        <w:jc w:val="center"/>
        <w:rPr>
          <w:i/>
        </w:rPr>
      </w:pPr>
      <w:r>
        <w:rPr>
          <w:i/>
        </w:rPr>
        <w:t>National Consumer Credit Protection Act 2009</w:t>
      </w:r>
    </w:p>
    <w:p w14:paraId="3663CB49" w14:textId="77777777" w:rsidR="00461CB6" w:rsidRPr="00503E44" w:rsidRDefault="00461CB6" w:rsidP="00461CB6">
      <w:pPr>
        <w:tabs>
          <w:tab w:val="left" w:pos="1418"/>
        </w:tabs>
        <w:spacing w:before="0" w:after="240"/>
        <w:jc w:val="center"/>
        <w:rPr>
          <w:i/>
        </w:rPr>
      </w:pPr>
      <w:r w:rsidRPr="00461CB6">
        <w:rPr>
          <w:i/>
        </w:rPr>
        <w:t>National Consumer Credit Protection Amendment (Debt Management Services) Regulations 202</w:t>
      </w:r>
      <w:r w:rsidR="00CB2770">
        <w:rPr>
          <w:i/>
        </w:rPr>
        <w:t>1</w:t>
      </w:r>
    </w:p>
    <w:p w14:paraId="2D7A9174" w14:textId="2D767282" w:rsidR="008F7DF9" w:rsidRDefault="008F7DF9" w:rsidP="00647BB7">
      <w:pPr>
        <w:spacing w:before="240"/>
      </w:pPr>
      <w:r>
        <w:t xml:space="preserve">The </w:t>
      </w:r>
      <w:r>
        <w:rPr>
          <w:i/>
        </w:rPr>
        <w:t>National Consumer Credit Protection Act 2009</w:t>
      </w:r>
      <w:r w:rsidRPr="00503E44">
        <w:t xml:space="preserve"> (the Act)</w:t>
      </w:r>
      <w:r>
        <w:t xml:space="preserve"> applies to the provision of credit for personal use and establishes a licensing regime for persons engaging in prescribed types of credit activities. This regime prohibits a person from engaging in credit activities</w:t>
      </w:r>
      <w:r w:rsidR="00334640">
        <w:t xml:space="preserve"> without holding an Australian credit </w:t>
      </w:r>
      <w:r w:rsidR="00514D12">
        <w:t xml:space="preserve">licence </w:t>
      </w:r>
      <w:r>
        <w:t>(ACL).</w:t>
      </w:r>
    </w:p>
    <w:p w14:paraId="522AD220" w14:textId="77777777" w:rsidR="00F109D4" w:rsidRDefault="00D06FB6" w:rsidP="00647BB7">
      <w:pPr>
        <w:spacing w:before="240"/>
      </w:pPr>
      <w:r>
        <w:t>S</w:t>
      </w:r>
      <w:r w:rsidR="00EB6200">
        <w:t>ection 329</w:t>
      </w:r>
      <w:r w:rsidR="005E4BAC">
        <w:t xml:space="preserve"> </w:t>
      </w:r>
      <w:r w:rsidR="00F109D4" w:rsidRPr="00503E44">
        <w:t>of the</w:t>
      </w:r>
      <w:r w:rsidR="008F7DF9">
        <w:t xml:space="preserve"> Act</w:t>
      </w:r>
      <w:r w:rsidR="00F109D4" w:rsidRPr="00503E44">
        <w:t xml:space="preserve"> provides that the Governor-General may make regulations prescribing matters required or permitted by the Act to be prescribed, or necessary or convenient to be prescribed for carrying out or giving effect to the Act.</w:t>
      </w:r>
      <w:r w:rsidR="00283138">
        <w:t xml:space="preserve"> </w:t>
      </w:r>
    </w:p>
    <w:p w14:paraId="4FCBFE4D" w14:textId="00ECE916" w:rsidR="00900CC9" w:rsidRDefault="008C4A83" w:rsidP="00111498">
      <w:pPr>
        <w:spacing w:before="240"/>
      </w:pPr>
      <w:r>
        <w:t>On 25 September</w:t>
      </w:r>
      <w:r w:rsidR="005C4CCC">
        <w:t xml:space="preserve"> 2020</w:t>
      </w:r>
      <w:r w:rsidR="00ED14AC">
        <w:t>, the Government announced that it would undertake consumer credit reforms aimed at reducing the cost and time that it takes consumers and businesses to access credit so that consumers can continue to spend</w:t>
      </w:r>
      <w:r w:rsidR="009326FC">
        <w:t>,</w:t>
      </w:r>
      <w:r w:rsidR="00ED14AC">
        <w:t xml:space="preserve"> and business can invest and create jobs.</w:t>
      </w:r>
      <w:r w:rsidR="007334C8">
        <w:t xml:space="preserve"> </w:t>
      </w:r>
      <w:r w:rsidR="00952F17">
        <w:t>As part of these reforms</w:t>
      </w:r>
      <w:r w:rsidR="009326FC">
        <w:t>,</w:t>
      </w:r>
      <w:r w:rsidR="00952F17">
        <w:t xml:space="preserve"> the</w:t>
      </w:r>
      <w:r w:rsidR="007807F9">
        <w:t xml:space="preserve"> Govern</w:t>
      </w:r>
      <w:r w:rsidR="0051033D">
        <w:t>ment announced it would</w:t>
      </w:r>
      <w:r w:rsidR="007334C8">
        <w:t xml:space="preserve"> support consumers engaged in financial disputes </w:t>
      </w:r>
      <w:r w:rsidR="009326FC">
        <w:t xml:space="preserve">with credit providers </w:t>
      </w:r>
      <w:r w:rsidR="007334C8">
        <w:t>by introducing licensing obligations for debt management firms</w:t>
      </w:r>
      <w:r w:rsidR="00F91D08">
        <w:t xml:space="preserve"> representing consumers in </w:t>
      </w:r>
      <w:r w:rsidR="009326FC">
        <w:t>those</w:t>
      </w:r>
      <w:r w:rsidR="00F91D08">
        <w:t xml:space="preserve"> disputes. </w:t>
      </w:r>
    </w:p>
    <w:p w14:paraId="5FE7A04B" w14:textId="275D4689" w:rsidR="00062633" w:rsidRDefault="0051033D" w:rsidP="00647BB7">
      <w:pPr>
        <w:spacing w:before="240"/>
      </w:pPr>
      <w:r>
        <w:t xml:space="preserve">The </w:t>
      </w:r>
      <w:r>
        <w:rPr>
          <w:i/>
        </w:rPr>
        <w:t>National Consumer Credit Protection Amendment (Debt Management Services) Regulations 202</w:t>
      </w:r>
      <w:r w:rsidR="00CB2770">
        <w:rPr>
          <w:i/>
        </w:rPr>
        <w:t>1</w:t>
      </w:r>
      <w:r>
        <w:rPr>
          <w:i/>
        </w:rPr>
        <w:t xml:space="preserve"> </w:t>
      </w:r>
      <w:r w:rsidRPr="00A53093">
        <w:t>(the Regulations)</w:t>
      </w:r>
      <w:r>
        <w:rPr>
          <w:i/>
        </w:rPr>
        <w:t xml:space="preserve"> </w:t>
      </w:r>
      <w:r w:rsidR="00FC7E0E">
        <w:t>prescribe a new type of ‘</w:t>
      </w:r>
      <w:r>
        <w:t>credit activity’ for the purposes of section 6 of the Act, which will require providers of debt management services to hold an ACL</w:t>
      </w:r>
      <w:r w:rsidR="00823CF3">
        <w:t xml:space="preserve"> </w:t>
      </w:r>
      <w:r w:rsidR="00823CF3" w:rsidRPr="00823CF3">
        <w:t>(providers of debt management services will need to apply for an ACL or seek a variation to the conditions of their existing ACL)</w:t>
      </w:r>
      <w:r>
        <w:t xml:space="preserve"> and meet the ongoing obligations imposed on credit licensees. These obligations include a</w:t>
      </w:r>
      <w:r w:rsidR="00BF3C7A">
        <w:t>mongst other things, a</w:t>
      </w:r>
      <w:r>
        <w:t xml:space="preserve"> requirement to meet the ‘fit and proper person’ test, and to undertake their activities ‘efficiently, honestly and fairly’.</w:t>
      </w:r>
      <w:r w:rsidR="00952F17">
        <w:t xml:space="preserve"> Licensees are subject to general conduct obligations and are required to be members of </w:t>
      </w:r>
      <w:r w:rsidR="0005793E">
        <w:t xml:space="preserve">the </w:t>
      </w:r>
      <w:r w:rsidR="00952F17">
        <w:t>Australian</w:t>
      </w:r>
      <w:r w:rsidR="00C466F1">
        <w:t> </w:t>
      </w:r>
      <w:r w:rsidR="00952F17">
        <w:t>Financial</w:t>
      </w:r>
      <w:r w:rsidR="0005793E">
        <w:t> </w:t>
      </w:r>
      <w:r w:rsidR="00952F17">
        <w:t>Complaints Authority (AFCA).</w:t>
      </w:r>
      <w:r w:rsidR="00FA7F9E">
        <w:t xml:space="preserve"> </w:t>
      </w:r>
    </w:p>
    <w:p w14:paraId="53FD52A8" w14:textId="77777777" w:rsidR="00334640" w:rsidRDefault="00461CB6" w:rsidP="00647BB7">
      <w:pPr>
        <w:spacing w:before="240"/>
      </w:pPr>
      <w:r>
        <w:t xml:space="preserve">The Act does not specify any conditions that need to be met before the power to make </w:t>
      </w:r>
      <w:proofErr w:type="gramStart"/>
      <w:r>
        <w:t>the</w:t>
      </w:r>
      <w:proofErr w:type="gramEnd"/>
      <w:r>
        <w:t xml:space="preserve"> Regulations is exercised. Details of the Regulations are set out in </w:t>
      </w:r>
      <w:r w:rsidRPr="00317816">
        <w:rPr>
          <w:u w:val="single"/>
        </w:rPr>
        <w:t>Attachment</w:t>
      </w:r>
      <w:r>
        <w:rPr>
          <w:u w:val="single"/>
        </w:rPr>
        <w:t xml:space="preserve"> </w:t>
      </w:r>
      <w:r w:rsidR="009326FC">
        <w:rPr>
          <w:u w:val="single"/>
        </w:rPr>
        <w:t>A</w:t>
      </w:r>
      <w:r>
        <w:t xml:space="preserve">. </w:t>
      </w:r>
    </w:p>
    <w:p w14:paraId="3858E913"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w:t>
      </w:r>
      <w:r w:rsidR="00334640">
        <w:rPr>
          <w:i/>
        </w:rPr>
        <w:t> </w:t>
      </w:r>
      <w:r w:rsidRPr="00D3322F">
        <w:rPr>
          <w:i/>
        </w:rPr>
        <w:t>Act</w:t>
      </w:r>
      <w:r w:rsidR="00334640">
        <w:rPr>
          <w:i/>
        </w:rPr>
        <w:t> </w:t>
      </w:r>
      <w:r w:rsidRPr="00D3322F">
        <w:rPr>
          <w:i/>
        </w:rPr>
        <w:t>2003</w:t>
      </w:r>
      <w:r w:rsidRPr="00D3322F">
        <w:t>.</w:t>
      </w:r>
    </w:p>
    <w:p w14:paraId="45F242E9" w14:textId="77777777" w:rsidR="009143A0" w:rsidRDefault="00AE7DAF" w:rsidP="00647BB7">
      <w:pPr>
        <w:spacing w:before="240"/>
      </w:pPr>
      <w:r>
        <w:t>The Regulations commence</w:t>
      </w:r>
      <w:r w:rsidR="00F109D4" w:rsidRPr="00503E44">
        <w:t xml:space="preserve"> </w:t>
      </w:r>
      <w:r w:rsidR="00310BED" w:rsidRPr="00310BED">
        <w:t xml:space="preserve">the day after they are registered on the </w:t>
      </w:r>
      <w:r w:rsidR="00310BED">
        <w:t>Federal</w:t>
      </w:r>
      <w:r w:rsidR="00334640">
        <w:t> </w:t>
      </w:r>
      <w:r w:rsidR="00310BED">
        <w:t>Register</w:t>
      </w:r>
      <w:r w:rsidR="00334640">
        <w:t> </w:t>
      </w:r>
      <w:r w:rsidR="00310BED">
        <w:t>of Legislation</w:t>
      </w:r>
      <w:r w:rsidR="00A74612">
        <w:t xml:space="preserve">. </w:t>
      </w:r>
    </w:p>
    <w:p w14:paraId="79FDC9A5" w14:textId="77777777" w:rsidR="00062633" w:rsidRPr="00647BB7" w:rsidRDefault="00062633" w:rsidP="00647BB7">
      <w:pPr>
        <w:spacing w:before="240"/>
        <w:rPr>
          <w:i/>
        </w:rPr>
      </w:pPr>
    </w:p>
    <w:p w14:paraId="182DB974" w14:textId="77777777" w:rsidR="00EA4DD8" w:rsidRDefault="00EA4DD8" w:rsidP="00EA4DD8">
      <w:pPr>
        <w:pageBreakBefore/>
        <w:spacing w:before="240"/>
        <w:jc w:val="right"/>
        <w:rPr>
          <w:b/>
          <w:u w:val="single"/>
        </w:rPr>
      </w:pPr>
      <w:r w:rsidRPr="007B335E">
        <w:rPr>
          <w:b/>
          <w:u w:val="single"/>
        </w:rPr>
        <w:lastRenderedPageBreak/>
        <w:t xml:space="preserve">ATTACHMENT </w:t>
      </w:r>
      <w:r w:rsidR="008C4A83">
        <w:rPr>
          <w:b/>
          <w:u w:val="single"/>
        </w:rPr>
        <w:t>A</w:t>
      </w:r>
    </w:p>
    <w:p w14:paraId="2D304A05" w14:textId="77777777" w:rsidR="00EA4DD8" w:rsidRDefault="00EA4DD8" w:rsidP="00EA4DD8">
      <w:pPr>
        <w:spacing w:before="240"/>
        <w:ind w:right="91"/>
        <w:rPr>
          <w:b/>
          <w:bCs/>
          <w:szCs w:val="24"/>
          <w:u w:val="single"/>
        </w:rPr>
      </w:pPr>
      <w:r>
        <w:rPr>
          <w:b/>
          <w:bCs/>
          <w:u w:val="single"/>
        </w:rPr>
        <w:t xml:space="preserve">Details of the </w:t>
      </w:r>
      <w:r w:rsidR="00310BED" w:rsidRPr="00310BED">
        <w:rPr>
          <w:b/>
          <w:i/>
          <w:u w:val="single"/>
        </w:rPr>
        <w:t>National Consumer Credit Protection Amendment (Debt Management Services) Regulations 202</w:t>
      </w:r>
      <w:r w:rsidR="00CB2770">
        <w:rPr>
          <w:b/>
          <w:i/>
          <w:u w:val="single"/>
        </w:rPr>
        <w:t>1</w:t>
      </w:r>
    </w:p>
    <w:p w14:paraId="3094621B" w14:textId="77777777" w:rsidR="003828A2" w:rsidRDefault="00EA4DD8" w:rsidP="00EA4DD8">
      <w:pPr>
        <w:spacing w:before="240"/>
        <w:rPr>
          <w:i/>
        </w:rPr>
      </w:pPr>
      <w:r>
        <w:rPr>
          <w:u w:val="single"/>
        </w:rPr>
        <w:t xml:space="preserve">Section 1 </w:t>
      </w:r>
      <w:r w:rsidRPr="00F418F5">
        <w:rPr>
          <w:u w:val="single"/>
        </w:rPr>
        <w:t xml:space="preserve">– </w:t>
      </w:r>
      <w:r w:rsidR="00310BED" w:rsidRPr="00F418F5">
        <w:rPr>
          <w:u w:val="single"/>
        </w:rPr>
        <w:t>Name</w:t>
      </w:r>
    </w:p>
    <w:p w14:paraId="478479CE" w14:textId="77777777" w:rsidR="00EA4DD8" w:rsidRDefault="00EA4DD8" w:rsidP="00EA4DD8">
      <w:pPr>
        <w:spacing w:before="240"/>
      </w:pPr>
      <w:r>
        <w:t xml:space="preserve">This section provides that the name of the Regulations is the </w:t>
      </w:r>
      <w:r w:rsidR="00310BED">
        <w:rPr>
          <w:i/>
        </w:rPr>
        <w:t>National Consumer Credit Protection Amendment (Debt Management Services) Regulations 202</w:t>
      </w:r>
      <w:r w:rsidR="00CB2770">
        <w:rPr>
          <w:i/>
        </w:rPr>
        <w:t>1</w:t>
      </w:r>
      <w:r w:rsidR="00310BED">
        <w:rPr>
          <w:i/>
        </w:rPr>
        <w:t xml:space="preserve"> </w:t>
      </w:r>
      <w:r>
        <w:t>(the Regulations).</w:t>
      </w:r>
    </w:p>
    <w:p w14:paraId="40419F10" w14:textId="77777777" w:rsidR="00EA4DD8" w:rsidRDefault="00EA4DD8" w:rsidP="00EA4DD8">
      <w:pPr>
        <w:spacing w:before="240"/>
        <w:ind w:right="91"/>
        <w:rPr>
          <w:u w:val="single"/>
        </w:rPr>
      </w:pPr>
      <w:r>
        <w:rPr>
          <w:u w:val="single"/>
        </w:rPr>
        <w:t>Section 2 – Commencement</w:t>
      </w:r>
    </w:p>
    <w:p w14:paraId="308010BD" w14:textId="77777777" w:rsidR="00EA4DD8" w:rsidRDefault="00CB2770" w:rsidP="00EA4DD8">
      <w:pPr>
        <w:spacing w:before="240"/>
        <w:ind w:right="91"/>
      </w:pPr>
      <w:r>
        <w:t>T</w:t>
      </w:r>
      <w:r w:rsidR="00EA4DD8">
        <w:t xml:space="preserve">he Regulations commence on </w:t>
      </w:r>
      <w:r w:rsidR="00310BED">
        <w:t>the day after they are registered</w:t>
      </w:r>
      <w:r w:rsidR="00462EF6">
        <w:t xml:space="preserve"> on the Federal</w:t>
      </w:r>
      <w:r w:rsidR="00EF1C29">
        <w:t> </w:t>
      </w:r>
      <w:r w:rsidR="00462EF6">
        <w:t>Register of Legislation.</w:t>
      </w:r>
    </w:p>
    <w:p w14:paraId="3C0EFA07" w14:textId="77777777" w:rsidR="00EA4DD8" w:rsidRDefault="00EA4DD8" w:rsidP="00EA4DD8">
      <w:pPr>
        <w:spacing w:before="240"/>
        <w:ind w:right="91"/>
        <w:rPr>
          <w:u w:val="single"/>
        </w:rPr>
      </w:pPr>
      <w:r>
        <w:rPr>
          <w:u w:val="single"/>
        </w:rPr>
        <w:t>Section 3 – Authority</w:t>
      </w:r>
    </w:p>
    <w:p w14:paraId="259AB071" w14:textId="77777777" w:rsidR="00EA4DD8" w:rsidRDefault="00EA4DD8" w:rsidP="00EA4DD8">
      <w:pPr>
        <w:spacing w:before="240"/>
        <w:ind w:right="91"/>
      </w:pPr>
      <w:r>
        <w:t xml:space="preserve">The Regulations are made under the </w:t>
      </w:r>
      <w:r w:rsidR="00122A57">
        <w:rPr>
          <w:i/>
        </w:rPr>
        <w:t>National Consumer Credit Protection Act 2009</w:t>
      </w:r>
      <w:r>
        <w:t xml:space="preserve"> (the Act).</w:t>
      </w:r>
    </w:p>
    <w:p w14:paraId="3A6FA6FC" w14:textId="77777777" w:rsidR="00EA4DD8" w:rsidRDefault="00EA4DD8" w:rsidP="00EA4DD8">
      <w:pPr>
        <w:spacing w:before="240"/>
        <w:ind w:right="91"/>
        <w:rPr>
          <w:u w:val="single"/>
        </w:rPr>
      </w:pPr>
      <w:r>
        <w:rPr>
          <w:u w:val="single"/>
        </w:rPr>
        <w:t>Section 4 – Schedule</w:t>
      </w:r>
      <w:r w:rsidR="00CB2770">
        <w:rPr>
          <w:u w:val="single"/>
        </w:rPr>
        <w:t>s</w:t>
      </w:r>
    </w:p>
    <w:p w14:paraId="6865D368"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256C3006" w14:textId="77777777" w:rsidR="0018387D" w:rsidRPr="00F9289D" w:rsidRDefault="0090356A" w:rsidP="00F9289D">
      <w:pPr>
        <w:spacing w:before="240"/>
        <w:ind w:right="91"/>
        <w:rPr>
          <w:u w:val="single"/>
        </w:rPr>
      </w:pPr>
      <w:r>
        <w:rPr>
          <w:u w:val="single"/>
        </w:rPr>
        <w:t>Schedule 1 – Amendments</w:t>
      </w:r>
    </w:p>
    <w:p w14:paraId="427B1798" w14:textId="77777777" w:rsidR="0018387D" w:rsidRDefault="001C2702" w:rsidP="00F9289D">
      <w:pPr>
        <w:spacing w:before="240"/>
        <w:ind w:right="91"/>
        <w:rPr>
          <w:i/>
        </w:rPr>
      </w:pPr>
      <w:r w:rsidRPr="0018387D">
        <w:rPr>
          <w:i/>
        </w:rPr>
        <w:t xml:space="preserve">Licencing </w:t>
      </w:r>
    </w:p>
    <w:p w14:paraId="0744EBA7" w14:textId="0707E933" w:rsidR="00FC7E0E" w:rsidRDefault="00A217E1" w:rsidP="00577AEC">
      <w:pPr>
        <w:spacing w:before="240"/>
      </w:pPr>
      <w:r>
        <w:t>Generally,</w:t>
      </w:r>
      <w:r w:rsidR="00380F11">
        <w:t xml:space="preserve"> </w:t>
      </w:r>
      <w:r w:rsidR="00AE0FAA">
        <w:t xml:space="preserve">a person cannot </w:t>
      </w:r>
      <w:r w:rsidR="009326FC">
        <w:t>engage</w:t>
      </w:r>
      <w:r w:rsidR="00AE0FAA">
        <w:t xml:space="preserve"> in a credit activity if the person does not hold an Australian credit </w:t>
      </w:r>
      <w:r w:rsidR="009B3BDF">
        <w:t>licen</w:t>
      </w:r>
      <w:r w:rsidR="005C4CCC">
        <w:t>c</w:t>
      </w:r>
      <w:r w:rsidR="009B3BDF">
        <w:t xml:space="preserve">e </w:t>
      </w:r>
      <w:r w:rsidR="00AE0FAA">
        <w:t>(ACL)</w:t>
      </w:r>
      <w:r w:rsidR="00380F11">
        <w:t xml:space="preserve"> (</w:t>
      </w:r>
      <w:r>
        <w:t xml:space="preserve">see </w:t>
      </w:r>
      <w:r w:rsidR="00380F11">
        <w:t xml:space="preserve">Chapter 2 </w:t>
      </w:r>
      <w:r w:rsidR="009326FC">
        <w:t>of the Act)</w:t>
      </w:r>
      <w:r w:rsidR="00AE0FAA">
        <w:t>.</w:t>
      </w:r>
      <w:r w:rsidR="00380F11">
        <w:t xml:space="preserve"> </w:t>
      </w:r>
      <w:r w:rsidR="00577AEC">
        <w:t>S</w:t>
      </w:r>
      <w:r w:rsidR="00FC7E0E">
        <w:t>pecifically, s</w:t>
      </w:r>
      <w:r w:rsidR="00577AEC">
        <w:t xml:space="preserve">ection 29 of the Act prohibits a person from engaging in credit activities without </w:t>
      </w:r>
      <w:r w:rsidR="009326FC">
        <w:t>holding an ACL</w:t>
      </w:r>
      <w:r w:rsidR="00577AEC">
        <w:t xml:space="preserve">. </w:t>
      </w:r>
      <w:r w:rsidR="009326FC">
        <w:t>Criminal and civil penalties can apply for a contravention of section 29</w:t>
      </w:r>
      <w:r w:rsidR="00577AEC">
        <w:t xml:space="preserve">. </w:t>
      </w:r>
    </w:p>
    <w:p w14:paraId="7A111971" w14:textId="77777777" w:rsidR="00AE0FAA" w:rsidRDefault="00740CFD" w:rsidP="00380F11">
      <w:pPr>
        <w:spacing w:before="240"/>
        <w:ind w:right="91"/>
      </w:pPr>
      <w:r>
        <w:t xml:space="preserve">The table </w:t>
      </w:r>
      <w:r w:rsidR="00D537A3">
        <w:t xml:space="preserve">in </w:t>
      </w:r>
      <w:r>
        <w:t>section 6(1) of the Act sets out when a person engages in a credit activity</w:t>
      </w:r>
      <w:r w:rsidR="00D537A3">
        <w:t>,</w:t>
      </w:r>
      <w:r w:rsidR="00F86134">
        <w:t xml:space="preserve"> and</w:t>
      </w:r>
      <w:r w:rsidR="00A217E1">
        <w:t xml:space="preserve"> includes</w:t>
      </w:r>
      <w:r>
        <w:t xml:space="preserve"> </w:t>
      </w:r>
      <w:r w:rsidR="00A217E1">
        <w:t xml:space="preserve">where </w:t>
      </w:r>
      <w:r>
        <w:t>a person engages in an activity prescribed by the regulations in relation to credit, being the provision of which the National</w:t>
      </w:r>
      <w:r w:rsidR="00C466F1">
        <w:t> </w:t>
      </w:r>
      <w:r>
        <w:t>Credit</w:t>
      </w:r>
      <w:r w:rsidR="00C466F1">
        <w:t> </w:t>
      </w:r>
      <w:r>
        <w:t>Cod</w:t>
      </w:r>
      <w:r w:rsidR="00A217E1">
        <w:t>e</w:t>
      </w:r>
      <w:r>
        <w:t xml:space="preserve"> applies to</w:t>
      </w:r>
      <w:r w:rsidR="00D537A3">
        <w:t>,</w:t>
      </w:r>
      <w:r>
        <w:t xml:space="preserve"> or would apply to</w:t>
      </w:r>
      <w:r w:rsidR="00D537A3">
        <w:t>,</w:t>
      </w:r>
      <w:r>
        <w:t xml:space="preserve"> if the credit were provided</w:t>
      </w:r>
      <w:r w:rsidR="00A217E1">
        <w:t xml:space="preserve"> (item 6 of the table at section 6(1) of the Act)</w:t>
      </w:r>
      <w:r>
        <w:t>.</w:t>
      </w:r>
    </w:p>
    <w:p w14:paraId="52D77690" w14:textId="15DFD9D9" w:rsidR="00823CF3" w:rsidRDefault="00FC7E0E" w:rsidP="00823CF3">
      <w:pPr>
        <w:spacing w:before="240"/>
      </w:pPr>
      <w:r>
        <w:t xml:space="preserve">Licensees are required to meet the general licensing obligations under the Act, </w:t>
      </w:r>
      <w:r w:rsidR="00823CF3">
        <w:t xml:space="preserve">including: </w:t>
      </w:r>
    </w:p>
    <w:p w14:paraId="2EEC4975" w14:textId="4D237798" w:rsidR="00823CF3" w:rsidRDefault="00823CF3" w:rsidP="00582F1F">
      <w:pPr>
        <w:pStyle w:val="Dotpoint"/>
      </w:pPr>
      <w:r>
        <w:t>do all things necessary to ensure that the credit activities covered by the credit licence are provided efficiently, honestly and fairly;</w:t>
      </w:r>
    </w:p>
    <w:p w14:paraId="39CACA7F" w14:textId="64AFDEC1" w:rsidR="00823CF3" w:rsidRDefault="00823CF3" w:rsidP="00582F1F">
      <w:pPr>
        <w:pStyle w:val="Dotpoint"/>
      </w:pPr>
      <w:r>
        <w:t>have adequate arrangements in place to manage conflicts of interest;</w:t>
      </w:r>
    </w:p>
    <w:p w14:paraId="33C73E6F" w14:textId="4A017877" w:rsidR="00823CF3" w:rsidRDefault="00823CF3" w:rsidP="00582F1F">
      <w:pPr>
        <w:pStyle w:val="Dotpoint"/>
      </w:pPr>
      <w:r>
        <w:t>comply with their credit licence conditions;</w:t>
      </w:r>
    </w:p>
    <w:p w14:paraId="7DB2E90F" w14:textId="35774BB7" w:rsidR="00823CF3" w:rsidRDefault="00823CF3" w:rsidP="00582F1F">
      <w:pPr>
        <w:pStyle w:val="Dotpoint"/>
      </w:pPr>
      <w:r>
        <w:t>comply with the credit legislation;</w:t>
      </w:r>
    </w:p>
    <w:p w14:paraId="53A3E241" w14:textId="3CA08731" w:rsidR="00823CF3" w:rsidRDefault="00823CF3" w:rsidP="00582F1F">
      <w:pPr>
        <w:pStyle w:val="Dotpoint"/>
      </w:pPr>
      <w:r>
        <w:lastRenderedPageBreak/>
        <w:t>take reasonable steps to ensure representatives comply with the credit legislation;</w:t>
      </w:r>
    </w:p>
    <w:p w14:paraId="512BB08D" w14:textId="5DFFEC9C" w:rsidR="00823CF3" w:rsidRDefault="00823CF3" w:rsidP="00582F1F">
      <w:pPr>
        <w:pStyle w:val="Dotpoint"/>
      </w:pPr>
      <w:r>
        <w:t>have adequate resources (including financial, human and technological);</w:t>
      </w:r>
    </w:p>
    <w:p w14:paraId="1421025E" w14:textId="3E24F683" w:rsidR="00823CF3" w:rsidRDefault="00823CF3" w:rsidP="00582F1F">
      <w:pPr>
        <w:pStyle w:val="Dotpoint"/>
      </w:pPr>
      <w:r>
        <w:t>maintain competence to provide the credit activities authorised by the licence;</w:t>
      </w:r>
    </w:p>
    <w:p w14:paraId="51648E43" w14:textId="2B11D143" w:rsidR="00823CF3" w:rsidRDefault="00823CF3" w:rsidP="00582F1F">
      <w:pPr>
        <w:pStyle w:val="Dotpoint"/>
      </w:pPr>
      <w:r>
        <w:t>adequately train representatives and ensure they are competent to provide the credit activities;</w:t>
      </w:r>
    </w:p>
    <w:p w14:paraId="19B2906F" w14:textId="6595D0BA" w:rsidR="00823CF3" w:rsidRDefault="00823CF3" w:rsidP="00582F1F">
      <w:pPr>
        <w:pStyle w:val="Dotpoint"/>
      </w:pPr>
      <w:r>
        <w:t>be a member of the Australian Financial Complaints Authority (AFCA);</w:t>
      </w:r>
    </w:p>
    <w:p w14:paraId="725BC1F8" w14:textId="159044A6" w:rsidR="00823CF3" w:rsidRDefault="00823CF3" w:rsidP="00582F1F">
      <w:pPr>
        <w:pStyle w:val="Dotpoint"/>
      </w:pPr>
      <w:r>
        <w:t xml:space="preserve">have adequate risk management systems and internal dispute resolution procedures; and </w:t>
      </w:r>
    </w:p>
    <w:p w14:paraId="560132A0" w14:textId="73E4559F" w:rsidR="00823CF3" w:rsidRDefault="00823CF3" w:rsidP="00582F1F">
      <w:pPr>
        <w:pStyle w:val="Dotpoint"/>
      </w:pPr>
      <w:proofErr w:type="gramStart"/>
      <w:r>
        <w:t>have</w:t>
      </w:r>
      <w:proofErr w:type="gramEnd"/>
      <w:r>
        <w:t xml:space="preserve"> compensation arrangements for losses suffered by customers (professional indemnity insurance).</w:t>
      </w:r>
    </w:p>
    <w:p w14:paraId="1C423B30" w14:textId="5C7565EB" w:rsidR="00823CF3" w:rsidRDefault="00823CF3" w:rsidP="009B3BDF">
      <w:pPr>
        <w:spacing w:before="240"/>
        <w:ind w:right="91"/>
      </w:pPr>
      <w:r w:rsidRPr="00823CF3">
        <w:t>Licence applicants will also be required to meet the ‘fit and proper person’ test under s</w:t>
      </w:r>
      <w:r w:rsidR="00FC4F2B">
        <w:t xml:space="preserve">ection </w:t>
      </w:r>
      <w:r w:rsidRPr="00823CF3">
        <w:t>37A of the Act.</w:t>
      </w:r>
    </w:p>
    <w:p w14:paraId="018643A4" w14:textId="5319B504" w:rsidR="00410B28" w:rsidRDefault="00740CFD" w:rsidP="009B3BDF">
      <w:pPr>
        <w:spacing w:before="240"/>
        <w:ind w:right="91"/>
      </w:pPr>
      <w:r>
        <w:t xml:space="preserve">Items 1 and 2 </w:t>
      </w:r>
      <w:r w:rsidR="009B3BDF">
        <w:t>together prescribe</w:t>
      </w:r>
      <w:r w:rsidR="00FE3066">
        <w:t xml:space="preserve"> and define</w:t>
      </w:r>
      <w:r w:rsidR="009B3BDF">
        <w:t xml:space="preserve"> a new </w:t>
      </w:r>
      <w:r w:rsidR="00A606AF">
        <w:t>credit activity for the purpose</w:t>
      </w:r>
      <w:r w:rsidR="00691A12">
        <w:t>s</w:t>
      </w:r>
      <w:r w:rsidR="00A606AF">
        <w:t xml:space="preserve"> of </w:t>
      </w:r>
      <w:r w:rsidR="00EF1C29">
        <w:t>sub</w:t>
      </w:r>
      <w:r w:rsidR="006862A5">
        <w:t xml:space="preserve">section </w:t>
      </w:r>
      <w:r w:rsidR="00A606AF">
        <w:t>6(1) of the Act</w:t>
      </w:r>
      <w:r w:rsidR="00F86134">
        <w:t>.</w:t>
      </w:r>
    </w:p>
    <w:p w14:paraId="16DDA1F4" w14:textId="4242C903" w:rsidR="002877EE" w:rsidRDefault="00410B28" w:rsidP="00C034BF">
      <w:pPr>
        <w:pStyle w:val="Bullet"/>
        <w:numPr>
          <w:ilvl w:val="0"/>
          <w:numId w:val="0"/>
        </w:numPr>
      </w:pPr>
      <w:r>
        <w:t>Item 2</w:t>
      </w:r>
      <w:r w:rsidR="00F761EC">
        <w:t xml:space="preserve"> </w:t>
      </w:r>
      <w:r>
        <w:t xml:space="preserve">inserts </w:t>
      </w:r>
      <w:proofErr w:type="spellStart"/>
      <w:r w:rsidR="00B343D1">
        <w:t>sub</w:t>
      </w:r>
      <w:r>
        <w:t>regulation</w:t>
      </w:r>
      <w:proofErr w:type="spellEnd"/>
      <w:r>
        <w:t xml:space="preserve"> </w:t>
      </w:r>
      <w:proofErr w:type="gramStart"/>
      <w:r>
        <w:t>4A</w:t>
      </w:r>
      <w:r w:rsidR="009E17B9">
        <w:t>(</w:t>
      </w:r>
      <w:proofErr w:type="gramEnd"/>
      <w:r w:rsidR="009E17B9">
        <w:t>1)</w:t>
      </w:r>
      <w:r w:rsidR="004C0C1B">
        <w:t>, which provides that</w:t>
      </w:r>
      <w:r w:rsidR="00740CFD">
        <w:t xml:space="preserve"> </w:t>
      </w:r>
      <w:r w:rsidRPr="00410B28">
        <w:t xml:space="preserve">the provision of a </w:t>
      </w:r>
      <w:r w:rsidRPr="00BC5120">
        <w:rPr>
          <w:b/>
          <w:i/>
        </w:rPr>
        <w:t>debt</w:t>
      </w:r>
      <w:r w:rsidR="00423C63">
        <w:rPr>
          <w:b/>
          <w:i/>
        </w:rPr>
        <w:t> </w:t>
      </w:r>
      <w:r w:rsidRPr="00BC5120">
        <w:rPr>
          <w:b/>
          <w:i/>
        </w:rPr>
        <w:t>management service</w:t>
      </w:r>
      <w:r w:rsidRPr="00410B28">
        <w:t xml:space="preserve"> is a prescribed activity.</w:t>
      </w:r>
      <w:r>
        <w:t xml:space="preserve"> </w:t>
      </w:r>
    </w:p>
    <w:p w14:paraId="4F9ACA09" w14:textId="77777777" w:rsidR="009B3BDF" w:rsidRDefault="00B343D1" w:rsidP="00C034BF">
      <w:pPr>
        <w:pStyle w:val="Bullet"/>
        <w:numPr>
          <w:ilvl w:val="0"/>
          <w:numId w:val="0"/>
        </w:numPr>
      </w:pPr>
      <w:proofErr w:type="spellStart"/>
      <w:r>
        <w:t>Subr</w:t>
      </w:r>
      <w:r w:rsidR="00410B28">
        <w:t>egulation</w:t>
      </w:r>
      <w:proofErr w:type="spellEnd"/>
      <w:r w:rsidR="00B96DDC">
        <w:t xml:space="preserve"> 4A(2)</w:t>
      </w:r>
      <w:r w:rsidR="00C2694C">
        <w:t>, which is also inserted by item 2,</w:t>
      </w:r>
      <w:r w:rsidR="00410B28">
        <w:t xml:space="preserve"> provides </w:t>
      </w:r>
      <w:r w:rsidR="00B01ACC">
        <w:t xml:space="preserve">that a </w:t>
      </w:r>
      <w:r w:rsidR="00BC5120">
        <w:t xml:space="preserve">person carries out a </w:t>
      </w:r>
      <w:r w:rsidR="00F07ED7" w:rsidRPr="00BC5120">
        <w:rPr>
          <w:b/>
          <w:i/>
        </w:rPr>
        <w:t>debt management service</w:t>
      </w:r>
      <w:r w:rsidR="00B01ACC">
        <w:t xml:space="preserve"> </w:t>
      </w:r>
      <w:r w:rsidR="00BC5120">
        <w:t xml:space="preserve">if the person provides </w:t>
      </w:r>
      <w:r w:rsidR="00C97E3F">
        <w:t>‘</w:t>
      </w:r>
      <w:r w:rsidR="00BC5120">
        <w:t>debt</w:t>
      </w:r>
      <w:r w:rsidR="00DD3F1B">
        <w:t> </w:t>
      </w:r>
      <w:r w:rsidR="00BC5120">
        <w:t>management assistance</w:t>
      </w:r>
      <w:r w:rsidR="00C97E3F">
        <w:t>’</w:t>
      </w:r>
      <w:r w:rsidR="00BC5120">
        <w:t xml:space="preserve"> to a consumer or provides </w:t>
      </w:r>
      <w:r w:rsidR="00C97E3F">
        <w:t>‘</w:t>
      </w:r>
      <w:r w:rsidR="00BC5120">
        <w:t>credit reporting assistance</w:t>
      </w:r>
      <w:r w:rsidR="00C97E3F">
        <w:t>’</w:t>
      </w:r>
      <w:r w:rsidR="00BC5120">
        <w:t xml:space="preserve"> to a consumer.</w:t>
      </w:r>
      <w:r w:rsidR="00AE0FAA">
        <w:t xml:space="preserve"> </w:t>
      </w:r>
    </w:p>
    <w:p w14:paraId="004589B0" w14:textId="77777777" w:rsidR="00F86134" w:rsidRDefault="00F86134" w:rsidP="00C034BF">
      <w:pPr>
        <w:pStyle w:val="Bullet"/>
        <w:numPr>
          <w:ilvl w:val="0"/>
          <w:numId w:val="0"/>
        </w:numPr>
      </w:pPr>
      <w:r w:rsidRPr="00B05314">
        <w:t>Item 1 inserts definition</w:t>
      </w:r>
      <w:r w:rsidR="002F57FA">
        <w:t>s</w:t>
      </w:r>
      <w:r w:rsidRPr="00B05314">
        <w:t xml:space="preserve"> of </w:t>
      </w:r>
      <w:r w:rsidRPr="00B05314">
        <w:rPr>
          <w:b/>
          <w:i/>
        </w:rPr>
        <w:t>debt management assistance</w:t>
      </w:r>
      <w:r w:rsidRPr="00B05314">
        <w:t xml:space="preserve"> </w:t>
      </w:r>
      <w:r w:rsidR="003F59C7">
        <w:t>and</w:t>
      </w:r>
      <w:r>
        <w:t xml:space="preserve"> </w:t>
      </w:r>
      <w:r w:rsidRPr="00B05314">
        <w:rPr>
          <w:b/>
          <w:i/>
        </w:rPr>
        <w:t>credit reporting assistance</w:t>
      </w:r>
      <w:r w:rsidRPr="00B05314">
        <w:t>.</w:t>
      </w:r>
    </w:p>
    <w:p w14:paraId="06BFC89B" w14:textId="77777777" w:rsidR="00982854" w:rsidRDefault="00982854" w:rsidP="00982854">
      <w:pPr>
        <w:spacing w:after="0"/>
        <w:ind w:right="91"/>
      </w:pPr>
      <w:r>
        <w:t xml:space="preserve">Regulation 4B </w:t>
      </w:r>
      <w:r w:rsidR="003F59C7">
        <w:t>defines</w:t>
      </w:r>
      <w:r>
        <w:t xml:space="preserve"> </w:t>
      </w:r>
      <w:r w:rsidRPr="00042142">
        <w:rPr>
          <w:b/>
          <w:i/>
        </w:rPr>
        <w:t>debt management assistance</w:t>
      </w:r>
      <w:r w:rsidR="00042142">
        <w:rPr>
          <w:b/>
          <w:i/>
        </w:rPr>
        <w:t xml:space="preserve"> </w:t>
      </w:r>
      <w:r w:rsidR="003F59C7">
        <w:rPr>
          <w:sz w:val="22"/>
          <w:szCs w:val="22"/>
        </w:rPr>
        <w:t>as being where a person, by dealing directly with the consumer or the consumer’s agent in the course of, as part of, or incidentally to, a business carried on in this jurisdiction by the person or another person, the person</w:t>
      </w:r>
      <w:r>
        <w:t xml:space="preserve">: </w:t>
      </w:r>
    </w:p>
    <w:p w14:paraId="067FA779" w14:textId="77777777" w:rsidR="003F59C7" w:rsidRDefault="003F59C7" w:rsidP="00E11705">
      <w:pPr>
        <w:pStyle w:val="Dotpoint"/>
      </w:pPr>
      <w:r>
        <w:t>suggests that the consumer apply, or</w:t>
      </w:r>
      <w:r w:rsidR="00383511">
        <w:t>,</w:t>
      </w:r>
      <w:r>
        <w:t xml:space="preserve"> assists the consumer to apply for:</w:t>
      </w:r>
    </w:p>
    <w:p w14:paraId="6A48818C" w14:textId="77777777" w:rsidR="003F59C7" w:rsidRPr="00E11705" w:rsidRDefault="003F59C7" w:rsidP="00E11705">
      <w:pPr>
        <w:pStyle w:val="Dotpoint"/>
        <w:tabs>
          <w:tab w:val="clear" w:pos="360"/>
          <w:tab w:val="num" w:pos="720"/>
        </w:tabs>
        <w:ind w:left="720"/>
      </w:pPr>
      <w:r w:rsidRPr="00E11705">
        <w:t>a change to the credit contract for which the consumer is the debtor; or</w:t>
      </w:r>
    </w:p>
    <w:p w14:paraId="7A9EB612" w14:textId="77777777" w:rsidR="003F59C7" w:rsidRPr="00E11705" w:rsidRDefault="003F59C7" w:rsidP="00E11705">
      <w:pPr>
        <w:pStyle w:val="Dotpoint"/>
        <w:tabs>
          <w:tab w:val="clear" w:pos="360"/>
          <w:tab w:val="num" w:pos="720"/>
        </w:tabs>
        <w:ind w:left="720"/>
      </w:pPr>
      <w:r w:rsidRPr="00E11705">
        <w:t>a deferral or waiver of an amount under a credit contract for which the consumer is the debtor;</w:t>
      </w:r>
      <w:r w:rsidR="000431BA">
        <w:t xml:space="preserve"> or</w:t>
      </w:r>
    </w:p>
    <w:p w14:paraId="35BBBE29" w14:textId="77777777" w:rsidR="00E11705" w:rsidRPr="00E11705" w:rsidRDefault="003F59C7" w:rsidP="00E11705">
      <w:pPr>
        <w:pStyle w:val="Dotpoint"/>
        <w:tabs>
          <w:tab w:val="clear" w:pos="360"/>
          <w:tab w:val="num" w:pos="720"/>
        </w:tabs>
        <w:ind w:left="720"/>
      </w:pPr>
      <w:r w:rsidRPr="00E11705">
        <w:t>a postponement relating to a credit contract for which the consumer is the debtor</w:t>
      </w:r>
      <w:r w:rsidR="00E11705">
        <w:t>; or</w:t>
      </w:r>
    </w:p>
    <w:p w14:paraId="7E7AFAD7" w14:textId="77777777" w:rsidR="00E11705" w:rsidRDefault="00355031" w:rsidP="00982854">
      <w:pPr>
        <w:pStyle w:val="Dotpoint"/>
      </w:pPr>
      <w:r>
        <w:t>s</w:t>
      </w:r>
      <w:r w:rsidR="00E11705">
        <w:t>uggest</w:t>
      </w:r>
      <w:r w:rsidR="00383511">
        <w:t>s</w:t>
      </w:r>
      <w:r w:rsidR="00E11705">
        <w:t xml:space="preserve"> that the consumer, or</w:t>
      </w:r>
      <w:r w:rsidR="00383511">
        <w:t>,</w:t>
      </w:r>
      <w:r w:rsidR="00E11705">
        <w:t xml:space="preserve"> assists the consumer:</w:t>
      </w:r>
    </w:p>
    <w:p w14:paraId="4EF6030A" w14:textId="77777777" w:rsidR="00E11705" w:rsidRPr="00E11705" w:rsidRDefault="00E11705" w:rsidP="00E11705">
      <w:pPr>
        <w:pStyle w:val="Dotpoint"/>
        <w:tabs>
          <w:tab w:val="clear" w:pos="360"/>
          <w:tab w:val="num" w:pos="720"/>
        </w:tabs>
        <w:ind w:left="720"/>
      </w:pPr>
      <w:r w:rsidRPr="00E11705">
        <w:t>make a complaint or claim to the credit provider, AFCA, ASIC or the Information Commissioner, in relation to a credit contract for which the consumer is the debtor; or</w:t>
      </w:r>
    </w:p>
    <w:p w14:paraId="4EDF7711" w14:textId="77777777" w:rsidR="00E11705" w:rsidRDefault="00E11705" w:rsidP="00E11705">
      <w:pPr>
        <w:pStyle w:val="Dotpoint"/>
        <w:tabs>
          <w:tab w:val="clear" w:pos="360"/>
          <w:tab w:val="num" w:pos="720"/>
        </w:tabs>
        <w:ind w:left="720"/>
      </w:pPr>
      <w:r w:rsidRPr="00E11705">
        <w:t>give a hardship notice (within the meaning of the Code) to the credit provider under a credit contract for which the consumer is the debtor;</w:t>
      </w:r>
      <w:r>
        <w:t xml:space="preserve"> or</w:t>
      </w:r>
    </w:p>
    <w:p w14:paraId="6DE7983F" w14:textId="77777777" w:rsidR="00E11705" w:rsidRDefault="00E11705" w:rsidP="00E11705">
      <w:pPr>
        <w:pStyle w:val="Dotpoint"/>
        <w:tabs>
          <w:tab w:val="clear" w:pos="360"/>
          <w:tab w:val="num" w:pos="720"/>
        </w:tabs>
        <w:ind w:left="720"/>
      </w:pPr>
      <w:proofErr w:type="gramStart"/>
      <w:r w:rsidRPr="00E11705">
        <w:lastRenderedPageBreak/>
        <w:t>institute</w:t>
      </w:r>
      <w:proofErr w:type="gramEnd"/>
      <w:r w:rsidRPr="00E11705">
        <w:t xml:space="preserve"> proceedings or take any other action in relation to a credit contract for w</w:t>
      </w:r>
      <w:r>
        <w:t>hich the consumer is the debtor.</w:t>
      </w:r>
    </w:p>
    <w:p w14:paraId="68C89741" w14:textId="77777777" w:rsidR="00563157" w:rsidRDefault="00383511" w:rsidP="00982854">
      <w:pPr>
        <w:pStyle w:val="Bullet"/>
        <w:numPr>
          <w:ilvl w:val="0"/>
          <w:numId w:val="0"/>
        </w:numPr>
      </w:pPr>
      <w:r w:rsidRPr="00383511">
        <w:t>It does not matter whether the person does so on the person’s own behalf or on behalf of another person.</w:t>
      </w:r>
      <w:r>
        <w:t xml:space="preserve"> </w:t>
      </w:r>
      <w:r w:rsidR="009D38A2">
        <w:t xml:space="preserve">People will not be able to avoid the obligation through the use of </w:t>
      </w:r>
      <w:r w:rsidR="009D38A2" w:rsidRPr="009D38A2">
        <w:t>disclaimers noting that they are not ‘suggesting’ a particular course of action</w:t>
      </w:r>
      <w:r w:rsidR="009D38A2">
        <w:t>.</w:t>
      </w:r>
    </w:p>
    <w:p w14:paraId="725F87E1" w14:textId="77777777" w:rsidR="00383511" w:rsidRDefault="008D7757" w:rsidP="00982854">
      <w:pPr>
        <w:pStyle w:val="Bullet"/>
        <w:numPr>
          <w:ilvl w:val="0"/>
          <w:numId w:val="0"/>
        </w:numPr>
      </w:pPr>
      <w:proofErr w:type="spellStart"/>
      <w:r>
        <w:t>Subregulation</w:t>
      </w:r>
      <w:proofErr w:type="spellEnd"/>
      <w:r>
        <w:t xml:space="preserve"> 4B(2) provides that</w:t>
      </w:r>
      <w:r w:rsidR="00383511">
        <w:t xml:space="preserve"> </w:t>
      </w:r>
      <w:r w:rsidR="00383511" w:rsidRPr="00383511">
        <w:t xml:space="preserve">a person does not provide </w:t>
      </w:r>
      <w:r w:rsidR="00B91981">
        <w:t>‘</w:t>
      </w:r>
      <w:r w:rsidR="00383511" w:rsidRPr="00383511">
        <w:t>debt management assistance</w:t>
      </w:r>
      <w:r w:rsidR="00B91981">
        <w:t>’</w:t>
      </w:r>
      <w:r w:rsidR="00383511" w:rsidRPr="00383511">
        <w:t xml:space="preserve"> unless a fee, charge or other amount is paid or payable by or on behalf of the consumer in relation to the assistance.</w:t>
      </w:r>
      <w:r w:rsidR="00563157">
        <w:t xml:space="preserve"> For </w:t>
      </w:r>
      <w:r w:rsidR="00563157" w:rsidRPr="00563157">
        <w:t xml:space="preserve">the purposes of </w:t>
      </w:r>
      <w:proofErr w:type="spellStart"/>
      <w:r w:rsidR="00563157" w:rsidRPr="00563157">
        <w:t>subregulation</w:t>
      </w:r>
      <w:proofErr w:type="spellEnd"/>
      <w:r w:rsidR="00563157" w:rsidRPr="00563157">
        <w:t xml:space="preserve"> </w:t>
      </w:r>
      <w:proofErr w:type="gramStart"/>
      <w:r w:rsidR="00870055">
        <w:t>4B</w:t>
      </w:r>
      <w:r w:rsidR="00563157" w:rsidRPr="00563157">
        <w:t>(</w:t>
      </w:r>
      <w:proofErr w:type="gramEnd"/>
      <w:r w:rsidR="00563157" w:rsidRPr="00563157">
        <w:t>2), it is immaterial if the fee, charge or other amount is paid or payable to the provider of the assistance or to any other person</w:t>
      </w:r>
      <w:r w:rsidR="00105CA8">
        <w:t xml:space="preserve"> (</w:t>
      </w:r>
      <w:proofErr w:type="spellStart"/>
      <w:r w:rsidR="00105CA8">
        <w:t>subregulation</w:t>
      </w:r>
      <w:proofErr w:type="spellEnd"/>
      <w:r w:rsidR="00105CA8">
        <w:t xml:space="preserve"> 4B(3))</w:t>
      </w:r>
      <w:r w:rsidR="00105CA8" w:rsidRPr="00383511">
        <w:t>.</w:t>
      </w:r>
    </w:p>
    <w:p w14:paraId="55ECB8D3" w14:textId="77777777" w:rsidR="007677A1" w:rsidRDefault="00982854" w:rsidP="007677A1">
      <w:pPr>
        <w:pStyle w:val="Bullet"/>
        <w:numPr>
          <w:ilvl w:val="0"/>
          <w:numId w:val="0"/>
        </w:numPr>
      </w:pPr>
      <w:r>
        <w:t xml:space="preserve">Section </w:t>
      </w:r>
      <w:r w:rsidR="00383511">
        <w:t>4C</w:t>
      </w:r>
      <w:r>
        <w:t xml:space="preserve"> defines </w:t>
      </w:r>
      <w:r w:rsidRPr="003F7FD6">
        <w:rPr>
          <w:b/>
          <w:i/>
        </w:rPr>
        <w:t>credit reporting assistance</w:t>
      </w:r>
      <w:r>
        <w:t xml:space="preserve"> as</w:t>
      </w:r>
      <w:r w:rsidR="007677A1">
        <w:t xml:space="preserve"> where </w:t>
      </w:r>
      <w:r w:rsidR="007677A1" w:rsidRPr="00D21FEF">
        <w:t>dealing directly with the consumer or the consumer’s agent in the course of, as part of, or incidentally to, a business carried on in this jurisdiction by the person or another person, the person</w:t>
      </w:r>
      <w:r w:rsidR="007677A1">
        <w:t xml:space="preserve">: </w:t>
      </w:r>
    </w:p>
    <w:p w14:paraId="757B5AAE" w14:textId="5D21842F" w:rsidR="007677A1" w:rsidRPr="007677A1" w:rsidRDefault="007677A1" w:rsidP="007677A1">
      <w:pPr>
        <w:pStyle w:val="Dotpoint"/>
      </w:pPr>
      <w:r w:rsidRPr="00A612A9">
        <w:t>suggests that the consumer apply, or</w:t>
      </w:r>
      <w:r w:rsidR="002E0F43">
        <w:t>,</w:t>
      </w:r>
      <w:r w:rsidRPr="00A612A9">
        <w:t xml:space="preserve"> assists the consumer to apply, for a change to information collected or held by a credit reporting body (within the meaning of the </w:t>
      </w:r>
      <w:r w:rsidRPr="00A612A9">
        <w:rPr>
          <w:i/>
        </w:rPr>
        <w:t>Privacy Act 1988</w:t>
      </w:r>
      <w:r w:rsidRPr="00A612A9">
        <w:t>) in relation to a credit contract for which the consumer is the debtor; or</w:t>
      </w:r>
    </w:p>
    <w:p w14:paraId="1852B1DC" w14:textId="4A60EA22" w:rsidR="007677A1" w:rsidRPr="007677A1" w:rsidRDefault="007677A1" w:rsidP="007677A1">
      <w:pPr>
        <w:pStyle w:val="Dotpoint"/>
      </w:pPr>
      <w:r w:rsidRPr="00A612A9">
        <w:t>suggests that the consumer</w:t>
      </w:r>
      <w:r w:rsidR="00377CB8" w:rsidRPr="00A612A9">
        <w:t>, or</w:t>
      </w:r>
      <w:r w:rsidR="008301C6">
        <w:t>,</w:t>
      </w:r>
      <w:r w:rsidR="00377CB8" w:rsidRPr="00A612A9">
        <w:t xml:space="preserve"> assists the consumer</w:t>
      </w:r>
      <w:r w:rsidR="002F5A9C">
        <w:t xml:space="preserve"> to</w:t>
      </w:r>
      <w:r w:rsidRPr="00A612A9">
        <w:t>:</w:t>
      </w:r>
    </w:p>
    <w:p w14:paraId="377E0716" w14:textId="77777777" w:rsidR="007677A1" w:rsidRDefault="007677A1" w:rsidP="00A612A9">
      <w:pPr>
        <w:pStyle w:val="Dotpoint"/>
        <w:tabs>
          <w:tab w:val="clear" w:pos="360"/>
          <w:tab w:val="num" w:pos="720"/>
        </w:tabs>
        <w:ind w:left="720"/>
      </w:pPr>
      <w:r>
        <w:t xml:space="preserve">make a complaint or claim to the credit provider, AFCA or ASIC, regarding information collected or held by a credit reporting body in relation to a credit contract for which the consumer is the debtor; or </w:t>
      </w:r>
    </w:p>
    <w:p w14:paraId="78E29960" w14:textId="77777777" w:rsidR="00982854" w:rsidRPr="004A2B5E" w:rsidRDefault="007677A1" w:rsidP="00A612A9">
      <w:pPr>
        <w:pStyle w:val="Dotpoint"/>
        <w:tabs>
          <w:tab w:val="clear" w:pos="360"/>
          <w:tab w:val="num" w:pos="720"/>
        </w:tabs>
        <w:ind w:left="720"/>
      </w:pPr>
      <w:proofErr w:type="gramStart"/>
      <w:r w:rsidRPr="00A612A9">
        <w:t>institute</w:t>
      </w:r>
      <w:proofErr w:type="gramEnd"/>
      <w:r w:rsidRPr="00A612A9">
        <w:t xml:space="preserve"> proceedings or take any other action regarding information collected or held by a credit reporting body in relation to a credit contract for whic</w:t>
      </w:r>
      <w:r w:rsidR="00377CB8" w:rsidRPr="00A612A9">
        <w:t>h the consumer is the debtor.</w:t>
      </w:r>
    </w:p>
    <w:p w14:paraId="2822F588" w14:textId="77777777" w:rsidR="006F1E7D" w:rsidRDefault="004A2B5E" w:rsidP="004A2B5E">
      <w:pPr>
        <w:pStyle w:val="Dotpoint"/>
        <w:numPr>
          <w:ilvl w:val="0"/>
          <w:numId w:val="0"/>
        </w:numPr>
      </w:pPr>
      <w:r w:rsidRPr="004A2B5E">
        <w:t>It does not matter whether the person does so on the person’s own behalf or on behalf of another person.</w:t>
      </w:r>
      <w:r w:rsidR="009D38A2">
        <w:t xml:space="preserve"> People will not be able to avoid the obligation through the use of </w:t>
      </w:r>
      <w:r w:rsidR="009D38A2" w:rsidRPr="009D38A2">
        <w:t>disclaimers noting that they are not ‘suggesting’ a particular course of action</w:t>
      </w:r>
      <w:r w:rsidR="009D38A2">
        <w:t>.</w:t>
      </w:r>
    </w:p>
    <w:p w14:paraId="1FD713F1" w14:textId="77777777" w:rsidR="008301C6" w:rsidRDefault="00A612A9" w:rsidP="00C034BF">
      <w:pPr>
        <w:pStyle w:val="Bullet"/>
        <w:numPr>
          <w:ilvl w:val="0"/>
          <w:numId w:val="0"/>
        </w:numPr>
      </w:pPr>
      <w:proofErr w:type="spellStart"/>
      <w:r>
        <w:t>S</w:t>
      </w:r>
      <w:r w:rsidRPr="006F1E7D">
        <w:t>ubregulation</w:t>
      </w:r>
      <w:proofErr w:type="spellEnd"/>
      <w:r w:rsidRPr="006F1E7D">
        <w:t xml:space="preserve"> 4C(2</w:t>
      </w:r>
      <w:r>
        <w:t xml:space="preserve">) provides that a </w:t>
      </w:r>
      <w:r w:rsidR="006F1E7D" w:rsidRPr="006F1E7D">
        <w:t xml:space="preserve">person does not provide </w:t>
      </w:r>
      <w:r w:rsidR="006F1E7D" w:rsidRPr="006F1E7D">
        <w:rPr>
          <w:b/>
          <w:i/>
        </w:rPr>
        <w:t>credit reporting assistance</w:t>
      </w:r>
      <w:r w:rsidR="006F1E7D" w:rsidRPr="006F1E7D">
        <w:t xml:space="preserve"> unless a fee, charge or other amount is paid or payable by or on behalf of the consumer in relation to the assistance.</w:t>
      </w:r>
      <w:r w:rsidR="00197A2E">
        <w:t xml:space="preserve"> For </w:t>
      </w:r>
      <w:r w:rsidR="00197A2E" w:rsidRPr="00197A2E">
        <w:t xml:space="preserve">the purposes of </w:t>
      </w:r>
      <w:proofErr w:type="spellStart"/>
      <w:r w:rsidR="00197A2E" w:rsidRPr="00197A2E">
        <w:t>subregulation</w:t>
      </w:r>
      <w:proofErr w:type="spellEnd"/>
      <w:r w:rsidR="00197A2E" w:rsidRPr="00197A2E">
        <w:t xml:space="preserve"> </w:t>
      </w:r>
      <w:proofErr w:type="gramStart"/>
      <w:r w:rsidR="005B4BFE">
        <w:t>4C</w:t>
      </w:r>
      <w:r w:rsidR="00197A2E" w:rsidRPr="00197A2E">
        <w:t>(</w:t>
      </w:r>
      <w:proofErr w:type="gramEnd"/>
      <w:r w:rsidR="00197A2E" w:rsidRPr="00197A2E">
        <w:t>2), it is immaterial if the fee, charge or other amount is paid or payable to the provider of the assistance or to any other person</w:t>
      </w:r>
      <w:r w:rsidR="00197A2E">
        <w:t xml:space="preserve"> </w:t>
      </w:r>
      <w:r w:rsidR="00197A2E" w:rsidRPr="006F1E7D">
        <w:t>(</w:t>
      </w:r>
      <w:proofErr w:type="spellStart"/>
      <w:r w:rsidR="00197A2E" w:rsidRPr="006F1E7D">
        <w:t>subregulation</w:t>
      </w:r>
      <w:proofErr w:type="spellEnd"/>
      <w:r w:rsidR="00197A2E">
        <w:t xml:space="preserve"> 4C(3</w:t>
      </w:r>
      <w:r w:rsidR="00197A2E" w:rsidRPr="006F1E7D">
        <w:t>)).</w:t>
      </w:r>
    </w:p>
    <w:p w14:paraId="0004E82B" w14:textId="6847A6CE" w:rsidR="001C2702" w:rsidRPr="001C2702" w:rsidRDefault="001C2702" w:rsidP="00C034BF">
      <w:pPr>
        <w:pStyle w:val="Bullet"/>
        <w:numPr>
          <w:ilvl w:val="0"/>
          <w:numId w:val="0"/>
        </w:numPr>
        <w:rPr>
          <w:i/>
        </w:rPr>
      </w:pPr>
      <w:r w:rsidRPr="004B79E7">
        <w:rPr>
          <w:i/>
        </w:rPr>
        <w:t>Exemption for lawyers</w:t>
      </w:r>
    </w:p>
    <w:p w14:paraId="574B76FC" w14:textId="77777777" w:rsidR="004A2B5E" w:rsidRPr="00E03C5A" w:rsidRDefault="001C2702" w:rsidP="000074F9">
      <w:pPr>
        <w:pStyle w:val="Bullet"/>
        <w:numPr>
          <w:ilvl w:val="0"/>
          <w:numId w:val="0"/>
        </w:numPr>
      </w:pPr>
      <w:r w:rsidRPr="00E03C5A">
        <w:t>Item</w:t>
      </w:r>
      <w:r w:rsidR="003E0340" w:rsidRPr="00E03C5A">
        <w:t xml:space="preserve">s 5 </w:t>
      </w:r>
      <w:r w:rsidR="00CE6DDD">
        <w:t>and</w:t>
      </w:r>
      <w:r w:rsidR="00CE6DDD" w:rsidRPr="00E03C5A">
        <w:t xml:space="preserve"> </w:t>
      </w:r>
      <w:r w:rsidR="003E0340" w:rsidRPr="00E03C5A">
        <w:t>6</w:t>
      </w:r>
      <w:r w:rsidRPr="00E03C5A">
        <w:t xml:space="preserve"> </w:t>
      </w:r>
      <w:r w:rsidR="00CE6DDD">
        <w:t>amend</w:t>
      </w:r>
      <w:r w:rsidR="00CE6DDD" w:rsidRPr="00E03C5A">
        <w:t xml:space="preserve"> </w:t>
      </w:r>
      <w:r w:rsidR="003E0340" w:rsidRPr="00E03C5A">
        <w:t>regulation 24</w:t>
      </w:r>
      <w:r w:rsidR="00CE6DDD">
        <w:t>,</w:t>
      </w:r>
      <w:r w:rsidR="003E0340" w:rsidRPr="00E03C5A">
        <w:t xml:space="preserve"> </w:t>
      </w:r>
      <w:r w:rsidR="006B32B4">
        <w:t xml:space="preserve">which prescribes </w:t>
      </w:r>
      <w:r w:rsidR="00DD2A34">
        <w:t>a</w:t>
      </w:r>
      <w:r w:rsidR="006B32B4">
        <w:t>ctivities exempt from being credit activities under the Act</w:t>
      </w:r>
      <w:r w:rsidR="00CE6DDD">
        <w:t>,</w:t>
      </w:r>
      <w:r w:rsidR="006B32B4">
        <w:t xml:space="preserve"> </w:t>
      </w:r>
      <w:r w:rsidR="003E0340" w:rsidRPr="00E03C5A">
        <w:t xml:space="preserve">to </w:t>
      </w:r>
      <w:r w:rsidR="00E03C5A" w:rsidRPr="00E03C5A">
        <w:t xml:space="preserve">clarify </w:t>
      </w:r>
      <w:r w:rsidR="008A421A" w:rsidRPr="00E03C5A">
        <w:t xml:space="preserve">that </w:t>
      </w:r>
      <w:r w:rsidR="004C7175" w:rsidRPr="00E03C5A">
        <w:t>the exemption</w:t>
      </w:r>
      <w:r w:rsidR="00BF625E" w:rsidRPr="00E03C5A">
        <w:t xml:space="preserve"> available to lawyers </w:t>
      </w:r>
      <w:r w:rsidR="009D616E" w:rsidRPr="00E03C5A">
        <w:t>in</w:t>
      </w:r>
      <w:r w:rsidR="00BF625E" w:rsidRPr="00E03C5A">
        <w:t xml:space="preserve"> </w:t>
      </w:r>
      <w:proofErr w:type="spellStart"/>
      <w:r w:rsidR="00BF625E" w:rsidRPr="00E03C5A">
        <w:t>s</w:t>
      </w:r>
      <w:r w:rsidR="009B3517">
        <w:t>ubregulation</w:t>
      </w:r>
      <w:proofErr w:type="spellEnd"/>
      <w:r w:rsidR="00BF625E" w:rsidRPr="00E03C5A">
        <w:t xml:space="preserve"> 24(4)</w:t>
      </w:r>
      <w:r w:rsidR="004C7175" w:rsidRPr="00E03C5A">
        <w:t xml:space="preserve"> from holding an ACL</w:t>
      </w:r>
      <w:r w:rsidR="009D616E" w:rsidRPr="00E03C5A">
        <w:t xml:space="preserve"> for the provision of a credit activity,</w:t>
      </w:r>
      <w:r w:rsidR="004C7175" w:rsidRPr="00E03C5A">
        <w:t xml:space="preserve"> also </w:t>
      </w:r>
      <w:r w:rsidR="009D616E" w:rsidRPr="00E03C5A">
        <w:t>applies</w:t>
      </w:r>
      <w:r w:rsidR="004C7175" w:rsidRPr="00E03C5A">
        <w:t xml:space="preserve"> to </w:t>
      </w:r>
      <w:r w:rsidR="00CE6DDD">
        <w:t xml:space="preserve">provision of a </w:t>
      </w:r>
      <w:r w:rsidR="008E6CEF" w:rsidRPr="006B32B4">
        <w:t>debt</w:t>
      </w:r>
      <w:r w:rsidR="00BA589F">
        <w:t> </w:t>
      </w:r>
      <w:r w:rsidR="008E6CEF" w:rsidRPr="006B32B4">
        <w:t>management</w:t>
      </w:r>
      <w:r w:rsidR="00BA589F">
        <w:t> </w:t>
      </w:r>
      <w:r w:rsidR="008E6CEF" w:rsidRPr="006B32B4">
        <w:t>service</w:t>
      </w:r>
      <w:r w:rsidR="00F5511E" w:rsidRPr="00E03C5A">
        <w:t>, w</w:t>
      </w:r>
      <w:r w:rsidR="00BF625E" w:rsidRPr="00E03C5A">
        <w:t xml:space="preserve">here lawyers meet the conditions in </w:t>
      </w:r>
      <w:proofErr w:type="spellStart"/>
      <w:r w:rsidR="00BF625E" w:rsidRPr="00E03C5A">
        <w:t>s</w:t>
      </w:r>
      <w:r w:rsidR="009B3517">
        <w:t>ubregulation</w:t>
      </w:r>
      <w:proofErr w:type="spellEnd"/>
      <w:r w:rsidR="00BF625E" w:rsidRPr="00E03C5A">
        <w:t xml:space="preserve"> 24(4)</w:t>
      </w:r>
      <w:r w:rsidR="003E0340" w:rsidRPr="00E03C5A">
        <w:t>.</w:t>
      </w:r>
      <w:r w:rsidR="004724AF" w:rsidRPr="00E03C5A">
        <w:t xml:space="preserve"> </w:t>
      </w:r>
    </w:p>
    <w:p w14:paraId="052098B0" w14:textId="77777777" w:rsidR="00F86134" w:rsidRPr="00471FB5" w:rsidRDefault="003041E1" w:rsidP="00471FB5">
      <w:pPr>
        <w:pStyle w:val="Bullet"/>
        <w:numPr>
          <w:ilvl w:val="0"/>
          <w:numId w:val="0"/>
        </w:numPr>
      </w:pPr>
      <w:r w:rsidRPr="00E03C5A">
        <w:t xml:space="preserve">Item </w:t>
      </w:r>
      <w:r w:rsidR="00D83537" w:rsidRPr="00E03C5A">
        <w:t>7</w:t>
      </w:r>
      <w:r w:rsidRPr="00E03C5A">
        <w:t xml:space="preserve"> </w:t>
      </w:r>
      <w:r w:rsidR="00D83537" w:rsidRPr="00E03C5A">
        <w:t xml:space="preserve">inserts new </w:t>
      </w:r>
      <w:proofErr w:type="spellStart"/>
      <w:r w:rsidR="00626D3C">
        <w:t>sub</w:t>
      </w:r>
      <w:r w:rsidR="00D83537" w:rsidRPr="00E03C5A">
        <w:t>regulation</w:t>
      </w:r>
      <w:proofErr w:type="spellEnd"/>
      <w:r w:rsidR="00D83537" w:rsidRPr="00E03C5A">
        <w:t xml:space="preserve"> 24(4A) to </w:t>
      </w:r>
      <w:r w:rsidR="00BF625E" w:rsidRPr="00E03C5A">
        <w:t xml:space="preserve">limit </w:t>
      </w:r>
      <w:r w:rsidR="00FB61F8">
        <w:t>when</w:t>
      </w:r>
      <w:r w:rsidR="00FB61F8" w:rsidRPr="00E03C5A">
        <w:t xml:space="preserve"> </w:t>
      </w:r>
      <w:r w:rsidR="00BF625E" w:rsidRPr="00E03C5A">
        <w:t>a l</w:t>
      </w:r>
      <w:r w:rsidR="00A90EA3" w:rsidRPr="00E03C5A">
        <w:t xml:space="preserve">awyer can rely on the exemption in </w:t>
      </w:r>
      <w:proofErr w:type="spellStart"/>
      <w:r w:rsidR="00A90EA3" w:rsidRPr="00E03C5A">
        <w:t>s</w:t>
      </w:r>
      <w:r w:rsidR="00626D3C">
        <w:t>ubregulation</w:t>
      </w:r>
      <w:proofErr w:type="spellEnd"/>
      <w:r w:rsidR="00A90EA3" w:rsidRPr="00E03C5A">
        <w:t xml:space="preserve"> 24(4) when providing a </w:t>
      </w:r>
      <w:r w:rsidR="00C97E3F">
        <w:t>‘</w:t>
      </w:r>
      <w:r w:rsidR="00A90EA3" w:rsidRPr="00E03C5A">
        <w:t>debt</w:t>
      </w:r>
      <w:r w:rsidR="00DD3F1B">
        <w:t> </w:t>
      </w:r>
      <w:r w:rsidR="00D83537" w:rsidRPr="00E03C5A">
        <w:t>management</w:t>
      </w:r>
      <w:r w:rsidR="00DD3F1B">
        <w:t> </w:t>
      </w:r>
      <w:r w:rsidR="00D83537" w:rsidRPr="00E03C5A">
        <w:t>service</w:t>
      </w:r>
      <w:r w:rsidR="00C97E3F">
        <w:t>’</w:t>
      </w:r>
      <w:r w:rsidR="00FB61F8">
        <w:t>. The exemption</w:t>
      </w:r>
      <w:r w:rsidR="00A90EA3" w:rsidRPr="00E03C5A">
        <w:t xml:space="preserve"> cannot be relied on where a third party holds out or advertises to consumers</w:t>
      </w:r>
      <w:r w:rsidR="00D83537" w:rsidRPr="00E03C5A">
        <w:t xml:space="preserve"> that the lawyer is able to provide a </w:t>
      </w:r>
      <w:r w:rsidR="00C97E3F">
        <w:t>‘</w:t>
      </w:r>
      <w:r w:rsidR="00D83537" w:rsidRPr="00E03C5A">
        <w:t>debt management service</w:t>
      </w:r>
      <w:r w:rsidR="00C97E3F">
        <w:t>’</w:t>
      </w:r>
      <w:r w:rsidR="00427134">
        <w:t>;</w:t>
      </w:r>
      <w:r w:rsidR="00496A29" w:rsidRPr="00E03C5A">
        <w:t xml:space="preserve"> and there</w:t>
      </w:r>
      <w:r w:rsidR="00A90EA3" w:rsidRPr="00E03C5A">
        <w:t xml:space="preserve"> </w:t>
      </w:r>
      <w:r w:rsidR="00496A29" w:rsidRPr="00E03C5A">
        <w:t xml:space="preserve">is </w:t>
      </w:r>
      <w:r w:rsidR="00496A29" w:rsidRPr="00E03C5A">
        <w:lastRenderedPageBreak/>
        <w:t xml:space="preserve">an arrangement between the third party and the lawyer by which the third party regularly refers persons for the purpose of being provided a </w:t>
      </w:r>
      <w:r w:rsidR="00DD3F1B">
        <w:t>‘</w:t>
      </w:r>
      <w:r w:rsidR="00496A29" w:rsidRPr="00E03C5A">
        <w:t>debt management service</w:t>
      </w:r>
      <w:r w:rsidR="00DD3F1B">
        <w:t>’</w:t>
      </w:r>
      <w:r w:rsidR="00496A29" w:rsidRPr="00E03C5A">
        <w:t>.</w:t>
      </w:r>
      <w:r w:rsidR="00A90EA3" w:rsidRPr="00E03C5A">
        <w:t xml:space="preserve"> This is intended to mitigate the risk that a third party referral structure coul</w:t>
      </w:r>
      <w:r w:rsidR="004C6AE8" w:rsidRPr="00E03C5A">
        <w:t>d be utilised to c</w:t>
      </w:r>
      <w:r w:rsidR="00DD3F1B">
        <w:t xml:space="preserve">ircumvent the operation of </w:t>
      </w:r>
      <w:proofErr w:type="spellStart"/>
      <w:r w:rsidR="00DD3F1B">
        <w:t>subregulation</w:t>
      </w:r>
      <w:proofErr w:type="spellEnd"/>
      <w:r w:rsidR="004C6AE8" w:rsidRPr="00E03C5A">
        <w:t xml:space="preserve"> 24(4). </w:t>
      </w:r>
    </w:p>
    <w:p w14:paraId="4E8E51EE" w14:textId="77777777" w:rsidR="0096267A" w:rsidRPr="00471FB5" w:rsidRDefault="0096267A" w:rsidP="00471FB5">
      <w:pPr>
        <w:pStyle w:val="Bullet"/>
        <w:numPr>
          <w:ilvl w:val="0"/>
          <w:numId w:val="0"/>
        </w:numPr>
        <w:rPr>
          <w:i/>
        </w:rPr>
      </w:pPr>
      <w:r w:rsidRPr="00471FB5">
        <w:rPr>
          <w:i/>
        </w:rPr>
        <w:t>Application</w:t>
      </w:r>
      <w:r w:rsidR="00496A29" w:rsidRPr="00471FB5">
        <w:rPr>
          <w:i/>
        </w:rPr>
        <w:t xml:space="preserve"> </w:t>
      </w:r>
    </w:p>
    <w:p w14:paraId="44EA07EE" w14:textId="77777777" w:rsidR="00123DAA" w:rsidRDefault="00952199" w:rsidP="00471FB5">
      <w:pPr>
        <w:pStyle w:val="Bullet"/>
        <w:numPr>
          <w:ilvl w:val="0"/>
          <w:numId w:val="0"/>
        </w:numPr>
      </w:pPr>
      <w:r w:rsidRPr="00EB2DF0">
        <w:t xml:space="preserve">Item </w:t>
      </w:r>
      <w:r w:rsidR="00496A29" w:rsidRPr="00EB2DF0">
        <w:t>8</w:t>
      </w:r>
      <w:r w:rsidR="00626D3C">
        <w:t xml:space="preserve"> </w:t>
      </w:r>
      <w:r w:rsidR="007F5E2A" w:rsidRPr="00EB2DF0">
        <w:t>inserts</w:t>
      </w:r>
      <w:r w:rsidR="007F5E2A" w:rsidRPr="007F5E2A">
        <w:t xml:space="preserve"> </w:t>
      </w:r>
      <w:r w:rsidR="00471FB5">
        <w:t>new regulation 4</w:t>
      </w:r>
      <w:r w:rsidR="00123DAA">
        <w:t>9J to provide an application and</w:t>
      </w:r>
      <w:r w:rsidR="007F5E2A">
        <w:t xml:space="preserve"> transitional provision</w:t>
      </w:r>
      <w:r w:rsidR="00123DAA">
        <w:t xml:space="preserve"> for </w:t>
      </w:r>
      <w:r w:rsidR="00E210BC">
        <w:t xml:space="preserve">the amendments made by </w:t>
      </w:r>
      <w:r w:rsidR="00123DAA">
        <w:t>the Regulations.</w:t>
      </w:r>
    </w:p>
    <w:p w14:paraId="613F0196" w14:textId="77777777" w:rsidR="00C65F24" w:rsidRDefault="000B1E7C" w:rsidP="000751B5">
      <w:pPr>
        <w:spacing w:before="240"/>
      </w:pPr>
      <w:proofErr w:type="spellStart"/>
      <w:r>
        <w:t>Subregulation</w:t>
      </w:r>
      <w:proofErr w:type="spellEnd"/>
      <w:r>
        <w:t xml:space="preserve"> </w:t>
      </w:r>
      <w:proofErr w:type="gramStart"/>
      <w:r w:rsidR="00123DAA">
        <w:t>49J(</w:t>
      </w:r>
      <w:proofErr w:type="gramEnd"/>
      <w:r w:rsidR="00123DAA">
        <w:t xml:space="preserve">1) </w:t>
      </w:r>
      <w:r w:rsidR="007F5E2A">
        <w:t>provide</w:t>
      </w:r>
      <w:r w:rsidR="00123DAA">
        <w:t>s</w:t>
      </w:r>
      <w:r w:rsidR="007F5E2A">
        <w:t xml:space="preserve"> that</w:t>
      </w:r>
      <w:r w:rsidR="00123DAA">
        <w:t xml:space="preserve"> </w:t>
      </w:r>
      <w:r w:rsidR="007F5E2A">
        <w:t xml:space="preserve">the amendments made by the </w:t>
      </w:r>
      <w:r w:rsidR="00123DAA">
        <w:t>R</w:t>
      </w:r>
      <w:r w:rsidR="007F5E2A">
        <w:t xml:space="preserve">egulations apply to </w:t>
      </w:r>
      <w:r w:rsidR="00DE5892">
        <w:t>debt management services provided</w:t>
      </w:r>
      <w:r w:rsidR="007F5E2A">
        <w:t xml:space="preserve"> on or after 1 July 2021</w:t>
      </w:r>
      <w:r w:rsidR="00DE5892">
        <w:t>. P</w:t>
      </w:r>
      <w:r w:rsidR="007F5E2A">
        <w:t xml:space="preserve">eople will need to </w:t>
      </w:r>
      <w:r w:rsidR="007F5E2A" w:rsidRPr="00835404">
        <w:rPr>
          <w:color w:val="000000" w:themeColor="text1"/>
        </w:rPr>
        <w:t xml:space="preserve">have applied for an ACL and become </w:t>
      </w:r>
      <w:r w:rsidR="00FC7E0E">
        <w:t>a member of AFCA</w:t>
      </w:r>
      <w:r w:rsidR="007F5E2A">
        <w:t xml:space="preserve"> by 1 July 2021, in order to </w:t>
      </w:r>
      <w:r w:rsidR="00DE5892">
        <w:t>provide debt management services</w:t>
      </w:r>
      <w:r w:rsidR="007F5E2A">
        <w:t xml:space="preserve"> from that date. </w:t>
      </w:r>
    </w:p>
    <w:p w14:paraId="492CC650" w14:textId="77777777" w:rsidR="00FF4AE9" w:rsidRDefault="00FF4AE9" w:rsidP="00C65F24">
      <w:pPr>
        <w:spacing w:before="240"/>
      </w:pPr>
      <w:r>
        <w:t xml:space="preserve">This </w:t>
      </w:r>
      <w:r w:rsidR="00DE5892">
        <w:t>provision</w:t>
      </w:r>
      <w:r>
        <w:t xml:space="preserve"> remove</w:t>
      </w:r>
      <w:r w:rsidR="00DE5892">
        <w:t>s</w:t>
      </w:r>
      <w:r>
        <w:t xml:space="preserve"> the disincentive for people engaged in </w:t>
      </w:r>
      <w:r w:rsidR="00626D3C">
        <w:t xml:space="preserve">the provision of </w:t>
      </w:r>
      <w:r w:rsidRPr="006B32B4">
        <w:t>debt management service</w:t>
      </w:r>
      <w:r w:rsidR="00DE5892">
        <w:t>s</w:t>
      </w:r>
      <w:r w:rsidDel="00C65F24">
        <w:t xml:space="preserve"> </w:t>
      </w:r>
      <w:r>
        <w:t>to not apply for an ACL before 1 July 2021 to avoid being subject to the obligations imposed on a</w:t>
      </w:r>
      <w:r w:rsidR="00DE5892">
        <w:t>n ACL holder</w:t>
      </w:r>
      <w:r>
        <w:t xml:space="preserve">. </w:t>
      </w:r>
    </w:p>
    <w:p w14:paraId="55C0B757" w14:textId="10AC0AFF" w:rsidR="006862A5" w:rsidRDefault="00E3556A" w:rsidP="00C65F24">
      <w:pPr>
        <w:spacing w:before="240"/>
      </w:pPr>
      <w:r>
        <w:t>F</w:t>
      </w:r>
      <w:r w:rsidR="006862A5">
        <w:t xml:space="preserve">rom 1 July 2021, anyone who </w:t>
      </w:r>
      <w:r>
        <w:t xml:space="preserve">has not </w:t>
      </w:r>
      <w:r w:rsidR="006862A5">
        <w:t xml:space="preserve">applied for an ACL </w:t>
      </w:r>
      <w:r>
        <w:t>to provide</w:t>
      </w:r>
      <w:r w:rsidR="006862A5">
        <w:t xml:space="preserve"> debt management service</w:t>
      </w:r>
      <w:r>
        <w:t>s</w:t>
      </w:r>
      <w:r w:rsidR="006862A5">
        <w:t xml:space="preserve">, will be subject </w:t>
      </w:r>
      <w:r w:rsidR="009314A7">
        <w:t xml:space="preserve">to </w:t>
      </w:r>
      <w:r w:rsidR="006862A5">
        <w:t xml:space="preserve">the </w:t>
      </w:r>
      <w:r>
        <w:t>new</w:t>
      </w:r>
      <w:r w:rsidR="006862A5">
        <w:t xml:space="preserve"> the obligations imposed by </w:t>
      </w:r>
      <w:r>
        <w:t xml:space="preserve">these </w:t>
      </w:r>
      <w:r w:rsidR="006862A5">
        <w:t xml:space="preserve">Regulations. </w:t>
      </w:r>
    </w:p>
    <w:p w14:paraId="5D465AFF" w14:textId="1762D938" w:rsidR="00D44DBB" w:rsidRDefault="000B1E7C" w:rsidP="00420A68">
      <w:pPr>
        <w:spacing w:before="240"/>
      </w:pPr>
      <w:proofErr w:type="spellStart"/>
      <w:r>
        <w:t>Subregulation</w:t>
      </w:r>
      <w:proofErr w:type="spellEnd"/>
      <w:r w:rsidR="00420A68">
        <w:t xml:space="preserve"> 49J(2) </w:t>
      </w:r>
      <w:r w:rsidR="0064185C">
        <w:t xml:space="preserve">provides that </w:t>
      </w:r>
      <w:r w:rsidR="0064185C" w:rsidRPr="0064185C">
        <w:t xml:space="preserve">the debt management service amendments apply </w:t>
      </w:r>
      <w:r w:rsidR="00E3556A">
        <w:t>from</w:t>
      </w:r>
      <w:r w:rsidR="0064185C" w:rsidRPr="0064185C">
        <w:t xml:space="preserve"> the commencem</w:t>
      </w:r>
      <w:r w:rsidR="0064185C">
        <w:t>ent of Schedule 1 to the Regulations</w:t>
      </w:r>
      <w:r w:rsidR="00D44DBB">
        <w:t xml:space="preserve"> for the purposes of</w:t>
      </w:r>
      <w:r w:rsidR="00E3556A">
        <w:t xml:space="preserve"> licensing of persons who engage in credit activities and in relation to credit representatives. This will allow ASIC to licen</w:t>
      </w:r>
      <w:r w:rsidR="005C4CCC">
        <w:t>s</w:t>
      </w:r>
      <w:r w:rsidR="00E3556A">
        <w:t>e people from the time that the Regulations commence.</w:t>
      </w:r>
    </w:p>
    <w:p w14:paraId="6F1DD308" w14:textId="77777777" w:rsidR="000C03B7" w:rsidRDefault="000B1E7C" w:rsidP="009A7E7F">
      <w:pPr>
        <w:pStyle w:val="Bullet"/>
        <w:numPr>
          <w:ilvl w:val="0"/>
          <w:numId w:val="0"/>
        </w:numPr>
      </w:pPr>
      <w:proofErr w:type="spellStart"/>
      <w:r>
        <w:t>Subregulation</w:t>
      </w:r>
      <w:proofErr w:type="spellEnd"/>
      <w:r>
        <w:t xml:space="preserve"> </w:t>
      </w:r>
      <w:r w:rsidR="000C03B7">
        <w:t>49J(5) pr</w:t>
      </w:r>
      <w:r w:rsidR="00DD3F1B">
        <w:t>ovides that for the purpose of r</w:t>
      </w:r>
      <w:r w:rsidR="000C03B7">
        <w:t xml:space="preserve">egulation 49J </w:t>
      </w:r>
      <w:r w:rsidR="000C03B7" w:rsidRPr="000C03B7">
        <w:rPr>
          <w:b/>
          <w:i/>
        </w:rPr>
        <w:t>debt</w:t>
      </w:r>
      <w:r w:rsidR="00471FB5">
        <w:rPr>
          <w:b/>
          <w:i/>
        </w:rPr>
        <w:t> </w:t>
      </w:r>
      <w:r w:rsidR="000C03B7" w:rsidRPr="000C03B7">
        <w:rPr>
          <w:b/>
          <w:i/>
        </w:rPr>
        <w:t>management service amendments</w:t>
      </w:r>
      <w:r w:rsidR="000C03B7" w:rsidRPr="000C03B7">
        <w:t xml:space="preserve"> means the amendments made by items 1, 2, </w:t>
      </w:r>
      <w:r w:rsidR="009A7E7F">
        <w:t xml:space="preserve">5, </w:t>
      </w:r>
      <w:r w:rsidR="000C03B7" w:rsidRPr="000C03B7">
        <w:t>6</w:t>
      </w:r>
      <w:r w:rsidR="000C03B7">
        <w:t xml:space="preserve"> and</w:t>
      </w:r>
      <w:r w:rsidR="000C03B7" w:rsidRPr="000C03B7">
        <w:t xml:space="preserve"> 7 of Schedule 1 to th</w:t>
      </w:r>
      <w:r w:rsidR="000C03B7">
        <w:t>e Regulations.</w:t>
      </w:r>
    </w:p>
    <w:p w14:paraId="6635D769" w14:textId="77777777" w:rsidR="00FF4AE9" w:rsidRPr="009A7E7F" w:rsidRDefault="00FF4AE9" w:rsidP="009A7E7F">
      <w:pPr>
        <w:pStyle w:val="Bullet"/>
        <w:numPr>
          <w:ilvl w:val="0"/>
          <w:numId w:val="0"/>
        </w:numPr>
        <w:rPr>
          <w:i/>
        </w:rPr>
      </w:pPr>
      <w:r w:rsidRPr="009A7E7F">
        <w:rPr>
          <w:i/>
        </w:rPr>
        <w:t>Transitional arrangements</w:t>
      </w:r>
    </w:p>
    <w:p w14:paraId="3A95BA93" w14:textId="77777777" w:rsidR="00BC4957" w:rsidRDefault="00420A68" w:rsidP="00AB63B4">
      <w:pPr>
        <w:pStyle w:val="Bullet"/>
        <w:numPr>
          <w:ilvl w:val="0"/>
          <w:numId w:val="0"/>
        </w:numPr>
      </w:pPr>
      <w:r>
        <w:t>Regulation 49J(3)</w:t>
      </w:r>
      <w:r w:rsidR="00FC7E0E">
        <w:t xml:space="preserve"> </w:t>
      </w:r>
      <w:r w:rsidR="00430404">
        <w:t xml:space="preserve">provides </w:t>
      </w:r>
      <w:r w:rsidR="00AB63B4">
        <w:t>that f</w:t>
      </w:r>
      <w:r w:rsidR="00430404">
        <w:t>rom 1 July 2021</w:t>
      </w:r>
      <w:r w:rsidR="00430404" w:rsidRPr="00BC4957">
        <w:t>,</w:t>
      </w:r>
      <w:r w:rsidR="00430404">
        <w:t xml:space="preserve"> an AFCA member</w:t>
      </w:r>
      <w:r w:rsidR="00430404" w:rsidRPr="00BC4957">
        <w:t xml:space="preserve"> will get an exception from the obligations imposed by the Regulations </w:t>
      </w:r>
      <w:r w:rsidR="00006386">
        <w:t xml:space="preserve">and will be able to provide </w:t>
      </w:r>
      <w:r w:rsidR="00430404" w:rsidRPr="00BC4957">
        <w:t>debt management service</w:t>
      </w:r>
      <w:r w:rsidR="00006386">
        <w:t>s</w:t>
      </w:r>
      <w:r w:rsidR="00430404" w:rsidRPr="00BC4957">
        <w:t xml:space="preserve"> until such time as ASIC deals with the application (for example, </w:t>
      </w:r>
      <w:r w:rsidR="00430404" w:rsidRPr="009D2A03">
        <w:t xml:space="preserve">ASIC </w:t>
      </w:r>
      <w:r w:rsidR="00430404" w:rsidRPr="00BC4957">
        <w:t>grants or refuses to grant the ACL).</w:t>
      </w:r>
      <w:r w:rsidR="00AB63B4">
        <w:t xml:space="preserve"> </w:t>
      </w:r>
      <w:r w:rsidR="00430404">
        <w:t>The exception will apply where:</w:t>
      </w:r>
    </w:p>
    <w:p w14:paraId="1D2374AB" w14:textId="77777777" w:rsidR="001C212A" w:rsidRDefault="00DD3F1B" w:rsidP="00BC4957">
      <w:pPr>
        <w:pStyle w:val="Dotpoint"/>
      </w:pPr>
      <w:r>
        <w:t xml:space="preserve">a </w:t>
      </w:r>
      <w:r w:rsidR="009D2A03">
        <w:t>p</w:t>
      </w:r>
      <w:r w:rsidR="00BC4957">
        <w:t>erson</w:t>
      </w:r>
      <w:r w:rsidR="00A163EE">
        <w:t xml:space="preserve"> ha</w:t>
      </w:r>
      <w:r w:rsidR="00430404">
        <w:t>s</w:t>
      </w:r>
      <w:r w:rsidR="00DD3687">
        <w:t>, on or before 1 July</w:t>
      </w:r>
      <w:r w:rsidR="001C212A">
        <w:t xml:space="preserve"> 2021, lodged an application for</w:t>
      </w:r>
      <w:r w:rsidR="00BC4957">
        <w:t xml:space="preserve"> </w:t>
      </w:r>
      <w:r w:rsidR="00A163EE">
        <w:t>a</w:t>
      </w:r>
      <w:r w:rsidR="00817DB6">
        <w:t>n</w:t>
      </w:r>
      <w:r w:rsidR="00A163EE">
        <w:t xml:space="preserve"> ACL</w:t>
      </w:r>
      <w:r w:rsidR="001C212A">
        <w:t xml:space="preserve"> to provide a </w:t>
      </w:r>
      <w:r w:rsidR="00C97E3F">
        <w:t>‘</w:t>
      </w:r>
      <w:r w:rsidR="001C212A">
        <w:t>debt management service</w:t>
      </w:r>
      <w:r w:rsidR="00C97E3F">
        <w:t>’</w:t>
      </w:r>
      <w:r w:rsidR="00817DB6">
        <w:t>,</w:t>
      </w:r>
      <w:r w:rsidR="001C212A">
        <w:t xml:space="preserve"> or</w:t>
      </w:r>
      <w:r w:rsidR="000B1E7C">
        <w:t xml:space="preserve"> for</w:t>
      </w:r>
      <w:r w:rsidR="001D4022">
        <w:t xml:space="preserve"> </w:t>
      </w:r>
      <w:r w:rsidR="001C212A" w:rsidRPr="00002CC6">
        <w:t xml:space="preserve">ASIC to vary the conditions on the person’s licence by authorising the person to provide a </w:t>
      </w:r>
      <w:r>
        <w:t>‘</w:t>
      </w:r>
      <w:r w:rsidR="001C212A" w:rsidRPr="00002CC6">
        <w:t>debt management service</w:t>
      </w:r>
      <w:r>
        <w:t>’</w:t>
      </w:r>
      <w:r w:rsidR="001C212A">
        <w:t>; and</w:t>
      </w:r>
    </w:p>
    <w:p w14:paraId="743F80BC" w14:textId="77777777" w:rsidR="00BC4957" w:rsidRDefault="009D2A03" w:rsidP="001C212A">
      <w:pPr>
        <w:pStyle w:val="Dotpoint"/>
      </w:pPr>
      <w:r>
        <w:t>a</w:t>
      </w:r>
      <w:r w:rsidR="00BC4957">
        <w:t xml:space="preserve">t the start of </w:t>
      </w:r>
      <w:r w:rsidR="00BC4957" w:rsidRPr="00002CC6">
        <w:t xml:space="preserve">1 July 2021, the application has not been withdrawn by the applicant, or dealt with by ASIC; </w:t>
      </w:r>
      <w:r w:rsidR="00BC4957">
        <w:t>and</w:t>
      </w:r>
    </w:p>
    <w:p w14:paraId="433AAA7A" w14:textId="77777777" w:rsidR="0077057B" w:rsidRDefault="009D2A03" w:rsidP="0077057B">
      <w:pPr>
        <w:pStyle w:val="Dotpoint"/>
      </w:pPr>
      <w:proofErr w:type="gramStart"/>
      <w:r>
        <w:t>t</w:t>
      </w:r>
      <w:r w:rsidR="00BC4957" w:rsidRPr="00BC4957">
        <w:t>he</w:t>
      </w:r>
      <w:proofErr w:type="gramEnd"/>
      <w:r w:rsidR="00BC4957" w:rsidRPr="00BC4957">
        <w:t xml:space="preserve"> person is a member of the AFCA scheme at all times in the period (the </w:t>
      </w:r>
      <w:r w:rsidR="00BC4957" w:rsidRPr="00BC4957">
        <w:rPr>
          <w:b/>
          <w:i/>
        </w:rPr>
        <w:t>transition period</w:t>
      </w:r>
      <w:r w:rsidR="00BC4957" w:rsidRPr="00BC4957">
        <w:t>)</w:t>
      </w:r>
      <w:r w:rsidR="0077057B">
        <w:t>.</w:t>
      </w:r>
    </w:p>
    <w:p w14:paraId="3CAADFAA" w14:textId="44793327" w:rsidR="0009384B" w:rsidRPr="00E00C32" w:rsidRDefault="0077057B" w:rsidP="009A7E7F">
      <w:pPr>
        <w:pStyle w:val="Bullet"/>
        <w:numPr>
          <w:ilvl w:val="0"/>
          <w:numId w:val="0"/>
        </w:numPr>
      </w:pPr>
      <w:r>
        <w:t xml:space="preserve">The </w:t>
      </w:r>
      <w:r w:rsidRPr="0077057B">
        <w:rPr>
          <w:b/>
          <w:i/>
        </w:rPr>
        <w:t>transition period</w:t>
      </w:r>
      <w:r>
        <w:rPr>
          <w:b/>
          <w:i/>
        </w:rPr>
        <w:t xml:space="preserve"> </w:t>
      </w:r>
      <w:r w:rsidRPr="00002CC6">
        <w:t xml:space="preserve">starts </w:t>
      </w:r>
      <w:r w:rsidR="00817DB6">
        <w:t>on</w:t>
      </w:r>
      <w:r>
        <w:t xml:space="preserve"> </w:t>
      </w:r>
      <w:r w:rsidRPr="00002CC6">
        <w:t>1 July 2021</w:t>
      </w:r>
      <w:r w:rsidR="00817DB6">
        <w:t>,</w:t>
      </w:r>
      <w:r w:rsidRPr="00002CC6">
        <w:t xml:space="preserve"> and</w:t>
      </w:r>
      <w:r>
        <w:t xml:space="preserve"> </w:t>
      </w:r>
      <w:r w:rsidRPr="00002CC6">
        <w:t>ends when the application is withdrawn by the applicant, or dealt with by ASIC, whichever happens first.</w:t>
      </w:r>
      <w:r w:rsidR="00E00C32">
        <w:t xml:space="preserve"> </w:t>
      </w:r>
      <w:r w:rsidR="00E00C32">
        <w:lastRenderedPageBreak/>
        <w:t xml:space="preserve">Therefore, </w:t>
      </w:r>
      <w:proofErr w:type="spellStart"/>
      <w:r w:rsidR="00E00C32">
        <w:t>s</w:t>
      </w:r>
      <w:r w:rsidR="000B1E7C">
        <w:t>ubregulation</w:t>
      </w:r>
      <w:proofErr w:type="spellEnd"/>
      <w:r w:rsidR="009D2A03">
        <w:t xml:space="preserve"> 49J</w:t>
      </w:r>
      <w:r w:rsidR="000B1E7C">
        <w:t>(3)</w:t>
      </w:r>
      <w:r w:rsidR="00BB29B5">
        <w:t xml:space="preserve"> provides that where a person has applied for an ACL by 1</w:t>
      </w:r>
      <w:r w:rsidR="000B1E7C">
        <w:t> </w:t>
      </w:r>
      <w:r w:rsidR="00BB29B5">
        <w:t>July</w:t>
      </w:r>
      <w:r w:rsidR="000B1E7C">
        <w:t> </w:t>
      </w:r>
      <w:r w:rsidR="00BB29B5">
        <w:t>2021, but ASIC has refused a licen</w:t>
      </w:r>
      <w:r w:rsidR="00FF43D7">
        <w:t>c</w:t>
      </w:r>
      <w:r w:rsidR="00BB29B5">
        <w:t>e application</w:t>
      </w:r>
      <w:r w:rsidR="00393D39">
        <w:t>,</w:t>
      </w:r>
      <w:r w:rsidR="00BB29B5">
        <w:t xml:space="preserve"> including where that decision is being appealed</w:t>
      </w:r>
      <w:r w:rsidR="00817DB6">
        <w:t>,</w:t>
      </w:r>
      <w:r w:rsidR="00BB29B5">
        <w:t xml:space="preserve"> this transitional arrangement ceases to be satisfied. That is, where a licen</w:t>
      </w:r>
      <w:r w:rsidR="00FF43D7">
        <w:t>c</w:t>
      </w:r>
      <w:r w:rsidR="00BB29B5">
        <w:t xml:space="preserve">e has been refused, even if that is being disputed, the person </w:t>
      </w:r>
      <w:r w:rsidR="00817DB6">
        <w:t>will no longer</w:t>
      </w:r>
      <w:r w:rsidR="00BB29B5">
        <w:t xml:space="preserve"> be permitted to </w:t>
      </w:r>
      <w:r w:rsidR="00817DB6">
        <w:t>provide debt management services</w:t>
      </w:r>
      <w:r w:rsidR="00BB29B5">
        <w:t xml:space="preserve">. </w:t>
      </w:r>
    </w:p>
    <w:p w14:paraId="02535254" w14:textId="77777777" w:rsidR="00BB29B5" w:rsidRPr="009A7E7F" w:rsidRDefault="0096267A" w:rsidP="009A7E7F">
      <w:pPr>
        <w:pStyle w:val="Bullet"/>
        <w:numPr>
          <w:ilvl w:val="0"/>
          <w:numId w:val="0"/>
        </w:numPr>
        <w:rPr>
          <w:i/>
        </w:rPr>
      </w:pPr>
      <w:r w:rsidRPr="009A7E7F">
        <w:rPr>
          <w:i/>
        </w:rPr>
        <w:t>Other amendment</w:t>
      </w:r>
      <w:r w:rsidR="00817DB6">
        <w:rPr>
          <w:i/>
        </w:rPr>
        <w:t>s</w:t>
      </w:r>
    </w:p>
    <w:p w14:paraId="518A24A0" w14:textId="77777777" w:rsidR="00CF0833" w:rsidRDefault="00CF0833" w:rsidP="00CF0833">
      <w:pPr>
        <w:pStyle w:val="Bullet"/>
        <w:numPr>
          <w:ilvl w:val="0"/>
          <w:numId w:val="0"/>
        </w:numPr>
      </w:pPr>
      <w:r>
        <w:t xml:space="preserve">Items 3 and 4 </w:t>
      </w:r>
      <w:r w:rsidR="00794DB1">
        <w:t xml:space="preserve">is a minor </w:t>
      </w:r>
      <w:r>
        <w:t>amend</w:t>
      </w:r>
      <w:r w:rsidR="00794DB1">
        <w:t>ment to</w:t>
      </w:r>
      <w:r>
        <w:t xml:space="preserve"> paragraphs 20(5</w:t>
      </w:r>
      <w:proofErr w:type="gramStart"/>
      <w:r>
        <w:t>)(</w:t>
      </w:r>
      <w:proofErr w:type="gramEnd"/>
      <w:r>
        <w:t>b), (c),</w:t>
      </w:r>
      <w:r w:rsidRPr="00002CC6">
        <w:t xml:space="preserve"> (d)</w:t>
      </w:r>
      <w:r>
        <w:t xml:space="preserve"> and </w:t>
      </w:r>
      <w:r w:rsidRPr="00002CC6">
        <w:t>20(12)(c)</w:t>
      </w:r>
      <w:r>
        <w:t xml:space="preserve"> to</w:t>
      </w:r>
      <w:r w:rsidR="00794DB1">
        <w:t xml:space="preserve"> correct</w:t>
      </w:r>
      <w:r>
        <w:t xml:space="preserve"> </w:t>
      </w:r>
      <w:r w:rsidR="00794DB1">
        <w:t xml:space="preserve">an error by </w:t>
      </w:r>
      <w:r>
        <w:t>omit</w:t>
      </w:r>
      <w:r w:rsidR="00794DB1">
        <w:t>ting</w:t>
      </w:r>
      <w:r>
        <w:t xml:space="preserve"> references to </w:t>
      </w:r>
      <w:r w:rsidR="00C97E3F">
        <w:t>‘</w:t>
      </w:r>
      <w:r>
        <w:t>indirection</w:t>
      </w:r>
      <w:r w:rsidR="00C97E3F">
        <w:t>’</w:t>
      </w:r>
      <w:r>
        <w:t xml:space="preserve"> and to substitute </w:t>
      </w:r>
      <w:r w:rsidR="00C97E3F">
        <w:t>‘</w:t>
      </w:r>
      <w:r>
        <w:t>indirect</w:t>
      </w:r>
      <w:r w:rsidR="00C97E3F">
        <w:t>’</w:t>
      </w:r>
      <w:r>
        <w:t>.</w:t>
      </w:r>
      <w:r w:rsidR="00817DB6">
        <w:t xml:space="preserve"> </w:t>
      </w:r>
    </w:p>
    <w:p w14:paraId="3BABEC3D" w14:textId="77777777" w:rsidR="000A33E5" w:rsidRDefault="000A33E5" w:rsidP="00C9647A">
      <w:pPr>
        <w:pStyle w:val="base-text-paragraph"/>
        <w:ind w:left="0"/>
        <w:rPr>
          <w:sz w:val="22"/>
        </w:rPr>
      </w:pPr>
    </w:p>
    <w:p w14:paraId="4D92B009" w14:textId="77777777" w:rsidR="00482B81" w:rsidRPr="00EA4DD8" w:rsidRDefault="00482B81" w:rsidP="00EA4DD8">
      <w:pPr>
        <w:spacing w:before="0" w:after="0"/>
      </w:pPr>
    </w:p>
    <w:sectPr w:rsidR="00482B81" w:rsidRPr="00EA4DD8" w:rsidSect="00392BB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FDAAD0" w16cid:durableId="23A6DFE4"/>
  <w16cid:commentId w16cid:paraId="42F95F65" w16cid:durableId="23A6E345"/>
  <w16cid:commentId w16cid:paraId="70AAB202" w16cid:durableId="23A6E0AA"/>
  <w16cid:commentId w16cid:paraId="4C64449F" w16cid:durableId="23A058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BF2BB" w14:textId="77777777" w:rsidR="00F71406" w:rsidRDefault="00F71406" w:rsidP="00954679">
      <w:pPr>
        <w:spacing w:before="0" w:after="0"/>
      </w:pPr>
      <w:r>
        <w:separator/>
      </w:r>
    </w:p>
  </w:endnote>
  <w:endnote w:type="continuationSeparator" w:id="0">
    <w:p w14:paraId="38A888C1" w14:textId="77777777" w:rsidR="00F71406" w:rsidRDefault="00F71406" w:rsidP="00954679">
      <w:pPr>
        <w:spacing w:before="0" w:after="0"/>
      </w:pPr>
      <w:r>
        <w:continuationSeparator/>
      </w:r>
    </w:p>
  </w:endnote>
  <w:endnote w:type="continuationNotice" w:id="1">
    <w:p w14:paraId="0B7C70A8" w14:textId="77777777" w:rsidR="00F71406" w:rsidRDefault="00F714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6470" w14:textId="77777777" w:rsidR="00BA3904" w:rsidRDefault="00BA3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240DC7F" w14:textId="28FF7E88" w:rsidR="00BF3C7A" w:rsidRDefault="00BF3C7A"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A3904">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A3904">
              <w:rPr>
                <w:bCs/>
                <w:noProof/>
              </w:rPr>
              <w:t>6</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ACC1" w14:textId="77777777" w:rsidR="00BA3904" w:rsidRDefault="00BA3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36F9A" w14:textId="77777777" w:rsidR="00F71406" w:rsidRDefault="00F71406" w:rsidP="00954679">
      <w:pPr>
        <w:spacing w:before="0" w:after="0"/>
      </w:pPr>
      <w:r>
        <w:separator/>
      </w:r>
    </w:p>
  </w:footnote>
  <w:footnote w:type="continuationSeparator" w:id="0">
    <w:p w14:paraId="2B3D3717" w14:textId="77777777" w:rsidR="00F71406" w:rsidRDefault="00F71406" w:rsidP="00954679">
      <w:pPr>
        <w:spacing w:before="0" w:after="0"/>
      </w:pPr>
      <w:r>
        <w:continuationSeparator/>
      </w:r>
    </w:p>
  </w:footnote>
  <w:footnote w:type="continuationNotice" w:id="1">
    <w:p w14:paraId="04B1ABDB" w14:textId="77777777" w:rsidR="00F71406" w:rsidRDefault="00F7140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EEAD" w14:textId="77777777" w:rsidR="00BA3904" w:rsidRDefault="00BA3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0D" w14:textId="77777777" w:rsidR="00BA3904" w:rsidRDefault="00BA3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2548" w14:textId="77777777" w:rsidR="00BA3904" w:rsidRDefault="00BA3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43"/>
    <w:multiLevelType w:val="singleLevel"/>
    <w:tmpl w:val="FFFCF7D0"/>
    <w:lvl w:ilvl="0">
      <w:start w:val="1"/>
      <w:numFmt w:val="decimal"/>
      <w:lvlText w:val="%1."/>
      <w:lvlJc w:val="left"/>
      <w:pPr>
        <w:tabs>
          <w:tab w:val="num" w:pos="1984"/>
        </w:tabs>
        <w:ind w:left="1140" w:firstLine="0"/>
      </w:pPr>
      <w:rPr>
        <w:b w:val="0"/>
        <w:i w:val="0"/>
        <w:color w:val="000000"/>
      </w:rPr>
    </w:lvl>
  </w:abstractNum>
  <w:abstractNum w:abstractNumId="1" w15:restartNumberingAfterBreak="0">
    <w:nsid w:val="00FB4A59"/>
    <w:multiLevelType w:val="hybridMultilevel"/>
    <w:tmpl w:val="F2124ACE"/>
    <w:lvl w:ilvl="0" w:tplc="FFF27E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37A2A"/>
    <w:multiLevelType w:val="hybridMultilevel"/>
    <w:tmpl w:val="B81C7C24"/>
    <w:lvl w:ilvl="0" w:tplc="7F3A428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4D481BAD"/>
    <w:multiLevelType w:val="multilevel"/>
    <w:tmpl w:val="7C7039B4"/>
    <w:name w:val="TableDotPointList"/>
    <w:lvl w:ilvl="0">
      <w:start w:val="1"/>
      <w:numFmt w:val="bullet"/>
      <w:lvlRestart w:val="0"/>
      <w:pStyle w:val="tabledotpoint"/>
      <w:lvlText w:val="•"/>
      <w:lvlJc w:val="left"/>
      <w:pPr>
        <w:tabs>
          <w:tab w:val="num" w:pos="2267"/>
        </w:tabs>
        <w:ind w:left="2267" w:hanging="283"/>
      </w:pPr>
      <w:rPr>
        <w:b w:val="0"/>
        <w:i w:val="0"/>
        <w:color w:val="000000"/>
      </w:rPr>
    </w:lvl>
    <w:lvl w:ilvl="1">
      <w:start w:val="1"/>
      <w:numFmt w:val="bullet"/>
      <w:pStyle w:val="Tabledotpoint2"/>
      <w:lvlText w:val="–"/>
      <w:lvlJc w:val="left"/>
      <w:pPr>
        <w:tabs>
          <w:tab w:val="num" w:pos="2551"/>
        </w:tabs>
        <w:ind w:left="2551" w:hanging="284"/>
      </w:pPr>
      <w:rPr>
        <w:b w:val="0"/>
        <w:i w:val="0"/>
        <w:color w:val="000000"/>
      </w:rPr>
    </w:lvl>
    <w:lvl w:ilvl="2">
      <w:start w:val="1"/>
      <w:numFmt w:val="decimal"/>
      <w:lvlText w:val="%3"/>
      <w:lvlJc w:val="left"/>
      <w:pPr>
        <w:tabs>
          <w:tab w:val="num" w:pos="3509"/>
        </w:tabs>
        <w:ind w:left="3509" w:hanging="567"/>
      </w:pPr>
      <w:rPr>
        <w:b w:val="0"/>
        <w:i w:val="0"/>
        <w:color w:val="000000"/>
      </w:rPr>
    </w:lvl>
    <w:lvl w:ilvl="3">
      <w:start w:val="1"/>
      <w:numFmt w:val="decimal"/>
      <w:lvlText w:val="%4"/>
      <w:lvlJc w:val="left"/>
      <w:pPr>
        <w:tabs>
          <w:tab w:val="num" w:pos="4076"/>
        </w:tabs>
        <w:ind w:left="4076" w:hanging="567"/>
      </w:pPr>
      <w:rPr>
        <w:b w:val="0"/>
        <w:i w:val="0"/>
        <w:color w:val="000000"/>
      </w:rPr>
    </w:lvl>
    <w:lvl w:ilvl="4">
      <w:start w:val="1"/>
      <w:numFmt w:val="decimal"/>
      <w:lvlText w:val="%5"/>
      <w:lvlJc w:val="left"/>
      <w:pPr>
        <w:tabs>
          <w:tab w:val="num" w:pos="4643"/>
        </w:tabs>
        <w:ind w:left="4643" w:hanging="567"/>
      </w:pPr>
      <w:rPr>
        <w:b w:val="0"/>
        <w:i w:val="0"/>
        <w:color w:val="000000"/>
      </w:rPr>
    </w:lvl>
    <w:lvl w:ilvl="5">
      <w:start w:val="1"/>
      <w:numFmt w:val="decimal"/>
      <w:lvlText w:val="%6"/>
      <w:lvlJc w:val="left"/>
      <w:pPr>
        <w:tabs>
          <w:tab w:val="num" w:pos="5210"/>
        </w:tabs>
        <w:ind w:left="5210" w:hanging="567"/>
      </w:pPr>
      <w:rPr>
        <w:b w:val="0"/>
        <w:i w:val="0"/>
        <w:color w:val="000000"/>
      </w:rPr>
    </w:lvl>
    <w:lvl w:ilvl="6">
      <w:start w:val="1"/>
      <w:numFmt w:val="decimal"/>
      <w:lvlText w:val="%7"/>
      <w:lvlJc w:val="left"/>
      <w:pPr>
        <w:tabs>
          <w:tab w:val="num" w:pos="5777"/>
        </w:tabs>
        <w:ind w:left="5777" w:hanging="567"/>
      </w:pPr>
      <w:rPr>
        <w:b w:val="0"/>
        <w:i w:val="0"/>
        <w:color w:val="000000"/>
      </w:rPr>
    </w:lvl>
    <w:lvl w:ilvl="7">
      <w:start w:val="1"/>
      <w:numFmt w:val="decimal"/>
      <w:lvlText w:val="%8"/>
      <w:lvlJc w:val="left"/>
      <w:pPr>
        <w:tabs>
          <w:tab w:val="num" w:pos="6344"/>
        </w:tabs>
        <w:ind w:left="6344" w:hanging="567"/>
      </w:pPr>
      <w:rPr>
        <w:b w:val="0"/>
        <w:i w:val="0"/>
        <w:color w:val="000000"/>
      </w:rPr>
    </w:lvl>
    <w:lvl w:ilvl="8">
      <w:start w:val="1"/>
      <w:numFmt w:val="decimal"/>
      <w:lvlText w:val="%9"/>
      <w:lvlJc w:val="left"/>
      <w:pPr>
        <w:tabs>
          <w:tab w:val="num" w:pos="6911"/>
        </w:tabs>
        <w:ind w:left="6911" w:hanging="567"/>
      </w:pPr>
      <w:rPr>
        <w:b w:val="0"/>
        <w:i w:val="0"/>
        <w:color w:val="000000"/>
      </w:rPr>
    </w:lvl>
  </w:abstractNum>
  <w:abstractNum w:abstractNumId="6" w15:restartNumberingAfterBreak="0">
    <w:nsid w:val="50A806AE"/>
    <w:multiLevelType w:val="hybridMultilevel"/>
    <w:tmpl w:val="D2F21D78"/>
    <w:lvl w:ilvl="0" w:tplc="3828AA6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25718B"/>
    <w:multiLevelType w:val="hybridMultilevel"/>
    <w:tmpl w:val="DB46C32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BC7E8D"/>
    <w:multiLevelType w:val="singleLevel"/>
    <w:tmpl w:val="FFFCF7D0"/>
    <w:name w:val="BaseTextParagraphList"/>
    <w:lvl w:ilvl="0">
      <w:start w:val="1"/>
      <w:numFmt w:val="decimal"/>
      <w:lvlText w:val="%1."/>
      <w:lvlJc w:val="left"/>
      <w:pPr>
        <w:tabs>
          <w:tab w:val="num" w:pos="1984"/>
        </w:tabs>
        <w:ind w:left="1140" w:firstLine="0"/>
      </w:pPr>
      <w:rPr>
        <w:b w:val="0"/>
        <w:i w:val="0"/>
        <w:color w:val="000000"/>
      </w:rPr>
    </w:lvl>
  </w:abstractNum>
  <w:abstractNum w:abstractNumId="9" w15:restartNumberingAfterBreak="0">
    <w:nsid w:val="67A43C0B"/>
    <w:multiLevelType w:val="multilevel"/>
    <w:tmpl w:val="DD46748C"/>
    <w:name w:val="StandardBulletedList"/>
    <w:lvl w:ilvl="0">
      <w:start w:val="1"/>
      <w:numFmt w:val="lowerLetter"/>
      <w:pStyle w:val="Bullet"/>
      <w:lvlText w:val="%1)"/>
      <w:lvlJc w:val="left"/>
      <w:pPr>
        <w:tabs>
          <w:tab w:val="num" w:pos="567"/>
        </w:tabs>
        <w:ind w:left="567" w:hanging="567"/>
      </w:pPr>
      <w:rPr>
        <w:rFonts w:ascii="Times New Roman" w:eastAsia="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9"/>
  </w:num>
  <w:num w:numId="3">
    <w:abstractNumId w:val="3"/>
  </w:num>
  <w:num w:numId="4">
    <w:abstractNumId w:val="8"/>
    <w:lvlOverride w:ilvl="0">
      <w:startOverride w:val="1"/>
    </w:lvlOverride>
  </w:num>
  <w:num w:numId="5">
    <w:abstractNumId w:val="2"/>
  </w:num>
  <w:num w:numId="6">
    <w:abstractNumId w:val="6"/>
  </w:num>
  <w:num w:numId="7">
    <w:abstractNumId w:val="5"/>
  </w:num>
  <w:num w:numId="8">
    <w:abstractNumId w:val="8"/>
  </w:num>
  <w:num w:numId="9">
    <w:abstractNumId w:val="0"/>
  </w:num>
  <w:num w:numId="10">
    <w:abstractNumId w:val="4"/>
  </w:num>
  <w:num w:numId="11">
    <w:abstractNumId w:val="4"/>
  </w:num>
  <w:num w:numId="12">
    <w:abstractNumId w:val="4"/>
  </w:num>
  <w:num w:numId="13">
    <w:abstractNumId w:val="4"/>
  </w:num>
  <w:num w:numId="14">
    <w:abstractNumId w:val="1"/>
  </w:num>
  <w:num w:numId="15">
    <w:abstractNumId w:val="9"/>
  </w:num>
  <w:num w:numId="16">
    <w:abstractNumId w:val="7"/>
  </w:num>
  <w:num w:numId="17">
    <w:abstractNumId w:val="9"/>
  </w:num>
  <w:num w:numId="18">
    <w:abstractNumId w:val="9"/>
  </w:num>
  <w:num w:numId="19">
    <w:abstractNumId w:val="9"/>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FE"/>
    <w:rsid w:val="00001AF7"/>
    <w:rsid w:val="000051D1"/>
    <w:rsid w:val="00006386"/>
    <w:rsid w:val="000063CA"/>
    <w:rsid w:val="000074F9"/>
    <w:rsid w:val="00013390"/>
    <w:rsid w:val="00016EA2"/>
    <w:rsid w:val="00033B2C"/>
    <w:rsid w:val="000342C4"/>
    <w:rsid w:val="000366DD"/>
    <w:rsid w:val="0004187C"/>
    <w:rsid w:val="00042142"/>
    <w:rsid w:val="000431BA"/>
    <w:rsid w:val="00051D9A"/>
    <w:rsid w:val="00053CA3"/>
    <w:rsid w:val="0005793E"/>
    <w:rsid w:val="00057B56"/>
    <w:rsid w:val="000610F8"/>
    <w:rsid w:val="00062633"/>
    <w:rsid w:val="000653E5"/>
    <w:rsid w:val="000746D8"/>
    <w:rsid w:val="000751B5"/>
    <w:rsid w:val="00076178"/>
    <w:rsid w:val="00076453"/>
    <w:rsid w:val="00083140"/>
    <w:rsid w:val="000850AA"/>
    <w:rsid w:val="00085E7D"/>
    <w:rsid w:val="00086E95"/>
    <w:rsid w:val="00091841"/>
    <w:rsid w:val="0009384B"/>
    <w:rsid w:val="00095211"/>
    <w:rsid w:val="000A0037"/>
    <w:rsid w:val="000A33E5"/>
    <w:rsid w:val="000B1E7C"/>
    <w:rsid w:val="000B39A1"/>
    <w:rsid w:val="000C03B7"/>
    <w:rsid w:val="000C0E9B"/>
    <w:rsid w:val="000C10DF"/>
    <w:rsid w:val="000C1420"/>
    <w:rsid w:val="000C6935"/>
    <w:rsid w:val="000D6F56"/>
    <w:rsid w:val="000E3A30"/>
    <w:rsid w:val="000E77E2"/>
    <w:rsid w:val="000F36EF"/>
    <w:rsid w:val="000F5E2D"/>
    <w:rsid w:val="001044EA"/>
    <w:rsid w:val="00105CA8"/>
    <w:rsid w:val="00107DC0"/>
    <w:rsid w:val="00111498"/>
    <w:rsid w:val="00113B45"/>
    <w:rsid w:val="00122A57"/>
    <w:rsid w:val="00123DAA"/>
    <w:rsid w:val="0013318C"/>
    <w:rsid w:val="00135F15"/>
    <w:rsid w:val="00137EBC"/>
    <w:rsid w:val="001407A8"/>
    <w:rsid w:val="00144F97"/>
    <w:rsid w:val="001477D4"/>
    <w:rsid w:val="001554E3"/>
    <w:rsid w:val="00162AEC"/>
    <w:rsid w:val="00165C29"/>
    <w:rsid w:val="001661B3"/>
    <w:rsid w:val="00167AAA"/>
    <w:rsid w:val="00173A99"/>
    <w:rsid w:val="00181424"/>
    <w:rsid w:val="0018387D"/>
    <w:rsid w:val="00186829"/>
    <w:rsid w:val="00194C3E"/>
    <w:rsid w:val="00197A2E"/>
    <w:rsid w:val="00197D55"/>
    <w:rsid w:val="001A656B"/>
    <w:rsid w:val="001B4682"/>
    <w:rsid w:val="001B7535"/>
    <w:rsid w:val="001C212A"/>
    <w:rsid w:val="001C218A"/>
    <w:rsid w:val="001C2702"/>
    <w:rsid w:val="001D4022"/>
    <w:rsid w:val="001D4A35"/>
    <w:rsid w:val="001E4AB1"/>
    <w:rsid w:val="001E4F1D"/>
    <w:rsid w:val="001E6A74"/>
    <w:rsid w:val="001F346B"/>
    <w:rsid w:val="001F41D0"/>
    <w:rsid w:val="00202825"/>
    <w:rsid w:val="00203B33"/>
    <w:rsid w:val="00213622"/>
    <w:rsid w:val="00217404"/>
    <w:rsid w:val="00220F16"/>
    <w:rsid w:val="00223DED"/>
    <w:rsid w:val="00227581"/>
    <w:rsid w:val="00234A41"/>
    <w:rsid w:val="002356AF"/>
    <w:rsid w:val="00254C5B"/>
    <w:rsid w:val="00263636"/>
    <w:rsid w:val="002732DB"/>
    <w:rsid w:val="00275CF4"/>
    <w:rsid w:val="00277730"/>
    <w:rsid w:val="00283138"/>
    <w:rsid w:val="00283292"/>
    <w:rsid w:val="0028709E"/>
    <w:rsid w:val="002877EE"/>
    <w:rsid w:val="00293612"/>
    <w:rsid w:val="002A0CBB"/>
    <w:rsid w:val="002A7E1F"/>
    <w:rsid w:val="002C226C"/>
    <w:rsid w:val="002C5731"/>
    <w:rsid w:val="002E0F43"/>
    <w:rsid w:val="002E6A06"/>
    <w:rsid w:val="002F493B"/>
    <w:rsid w:val="002F57FA"/>
    <w:rsid w:val="002F5A9C"/>
    <w:rsid w:val="003041E1"/>
    <w:rsid w:val="003041FA"/>
    <w:rsid w:val="00305C7C"/>
    <w:rsid w:val="00310BED"/>
    <w:rsid w:val="00313B25"/>
    <w:rsid w:val="00321117"/>
    <w:rsid w:val="00327AAE"/>
    <w:rsid w:val="003342CD"/>
    <w:rsid w:val="00334640"/>
    <w:rsid w:val="00335042"/>
    <w:rsid w:val="00336A2F"/>
    <w:rsid w:val="0034083A"/>
    <w:rsid w:val="003506A1"/>
    <w:rsid w:val="0035451A"/>
    <w:rsid w:val="00355031"/>
    <w:rsid w:val="00362B70"/>
    <w:rsid w:val="0037015F"/>
    <w:rsid w:val="00372D25"/>
    <w:rsid w:val="00376E15"/>
    <w:rsid w:val="00377CB8"/>
    <w:rsid w:val="00380F11"/>
    <w:rsid w:val="003828A2"/>
    <w:rsid w:val="00383511"/>
    <w:rsid w:val="00392A6D"/>
    <w:rsid w:val="00392BBA"/>
    <w:rsid w:val="00393D39"/>
    <w:rsid w:val="003954FD"/>
    <w:rsid w:val="00396A6C"/>
    <w:rsid w:val="003B3013"/>
    <w:rsid w:val="003C2B47"/>
    <w:rsid w:val="003C7907"/>
    <w:rsid w:val="003C79DF"/>
    <w:rsid w:val="003D127E"/>
    <w:rsid w:val="003D3703"/>
    <w:rsid w:val="003D60D7"/>
    <w:rsid w:val="003E0340"/>
    <w:rsid w:val="003E1CE3"/>
    <w:rsid w:val="003E7D45"/>
    <w:rsid w:val="003F4016"/>
    <w:rsid w:val="003F4B2F"/>
    <w:rsid w:val="003F53E7"/>
    <w:rsid w:val="003F548E"/>
    <w:rsid w:val="003F59C7"/>
    <w:rsid w:val="003F7FD6"/>
    <w:rsid w:val="00401640"/>
    <w:rsid w:val="00402679"/>
    <w:rsid w:val="00410B28"/>
    <w:rsid w:val="00420A68"/>
    <w:rsid w:val="004219CF"/>
    <w:rsid w:val="00423C63"/>
    <w:rsid w:val="00427134"/>
    <w:rsid w:val="00430404"/>
    <w:rsid w:val="004368DA"/>
    <w:rsid w:val="00443B68"/>
    <w:rsid w:val="00444BE7"/>
    <w:rsid w:val="00461CB6"/>
    <w:rsid w:val="00462095"/>
    <w:rsid w:val="00462EF6"/>
    <w:rsid w:val="004711C2"/>
    <w:rsid w:val="00471FB5"/>
    <w:rsid w:val="004724AF"/>
    <w:rsid w:val="00477EA9"/>
    <w:rsid w:val="00480840"/>
    <w:rsid w:val="00482B81"/>
    <w:rsid w:val="00482D4C"/>
    <w:rsid w:val="004833F6"/>
    <w:rsid w:val="0048503F"/>
    <w:rsid w:val="00485E71"/>
    <w:rsid w:val="00486113"/>
    <w:rsid w:val="0048745A"/>
    <w:rsid w:val="00491F4D"/>
    <w:rsid w:val="004930A2"/>
    <w:rsid w:val="00496A29"/>
    <w:rsid w:val="004A0A2D"/>
    <w:rsid w:val="004A1984"/>
    <w:rsid w:val="004A2B5E"/>
    <w:rsid w:val="004A31AD"/>
    <w:rsid w:val="004A402E"/>
    <w:rsid w:val="004B3C0F"/>
    <w:rsid w:val="004B79E7"/>
    <w:rsid w:val="004C05E4"/>
    <w:rsid w:val="004C0C1B"/>
    <w:rsid w:val="004C0CA4"/>
    <w:rsid w:val="004C1E84"/>
    <w:rsid w:val="004C6741"/>
    <w:rsid w:val="004C6AE8"/>
    <w:rsid w:val="004C7175"/>
    <w:rsid w:val="004D10A8"/>
    <w:rsid w:val="004D42E1"/>
    <w:rsid w:val="004E39E1"/>
    <w:rsid w:val="004F56D0"/>
    <w:rsid w:val="00503E44"/>
    <w:rsid w:val="00504DC0"/>
    <w:rsid w:val="00506C3D"/>
    <w:rsid w:val="0051033D"/>
    <w:rsid w:val="00510A5E"/>
    <w:rsid w:val="00514D12"/>
    <w:rsid w:val="00515283"/>
    <w:rsid w:val="00520BB9"/>
    <w:rsid w:val="00522FFF"/>
    <w:rsid w:val="005305EC"/>
    <w:rsid w:val="00532C70"/>
    <w:rsid w:val="00533926"/>
    <w:rsid w:val="005339B5"/>
    <w:rsid w:val="00535268"/>
    <w:rsid w:val="005424E3"/>
    <w:rsid w:val="0054382D"/>
    <w:rsid w:val="00551921"/>
    <w:rsid w:val="00552643"/>
    <w:rsid w:val="005550C0"/>
    <w:rsid w:val="0055675D"/>
    <w:rsid w:val="005579AB"/>
    <w:rsid w:val="00561E4E"/>
    <w:rsid w:val="00563157"/>
    <w:rsid w:val="00563333"/>
    <w:rsid w:val="00566E8F"/>
    <w:rsid w:val="00570FB9"/>
    <w:rsid w:val="00571845"/>
    <w:rsid w:val="0057422E"/>
    <w:rsid w:val="00577AEC"/>
    <w:rsid w:val="00582F1F"/>
    <w:rsid w:val="005833BE"/>
    <w:rsid w:val="0058766B"/>
    <w:rsid w:val="00590D0F"/>
    <w:rsid w:val="005939CF"/>
    <w:rsid w:val="005B1DAE"/>
    <w:rsid w:val="005B4BFE"/>
    <w:rsid w:val="005C4CCC"/>
    <w:rsid w:val="005D0358"/>
    <w:rsid w:val="005D7D5A"/>
    <w:rsid w:val="005E4BAC"/>
    <w:rsid w:val="0060130D"/>
    <w:rsid w:val="00603CDB"/>
    <w:rsid w:val="00604E7C"/>
    <w:rsid w:val="00614918"/>
    <w:rsid w:val="00617BD7"/>
    <w:rsid w:val="0062298B"/>
    <w:rsid w:val="00622EEE"/>
    <w:rsid w:val="00626D3C"/>
    <w:rsid w:val="00630564"/>
    <w:rsid w:val="00633943"/>
    <w:rsid w:val="0064129F"/>
    <w:rsid w:val="0064185C"/>
    <w:rsid w:val="00641DAB"/>
    <w:rsid w:val="006455E9"/>
    <w:rsid w:val="00647BB7"/>
    <w:rsid w:val="00660B39"/>
    <w:rsid w:val="00664B04"/>
    <w:rsid w:val="00664D63"/>
    <w:rsid w:val="0066544B"/>
    <w:rsid w:val="00665BCB"/>
    <w:rsid w:val="00670D4D"/>
    <w:rsid w:val="00674A0C"/>
    <w:rsid w:val="00680297"/>
    <w:rsid w:val="006816FE"/>
    <w:rsid w:val="006862A5"/>
    <w:rsid w:val="006873CE"/>
    <w:rsid w:val="00691A12"/>
    <w:rsid w:val="00691A27"/>
    <w:rsid w:val="00695C95"/>
    <w:rsid w:val="006A0786"/>
    <w:rsid w:val="006A49FD"/>
    <w:rsid w:val="006B32B4"/>
    <w:rsid w:val="006B4135"/>
    <w:rsid w:val="006D04A3"/>
    <w:rsid w:val="006D1EB1"/>
    <w:rsid w:val="006E77F0"/>
    <w:rsid w:val="006F163C"/>
    <w:rsid w:val="006F1E7D"/>
    <w:rsid w:val="006F29DD"/>
    <w:rsid w:val="006F49A6"/>
    <w:rsid w:val="00707CAA"/>
    <w:rsid w:val="00710E94"/>
    <w:rsid w:val="007125E7"/>
    <w:rsid w:val="0072237D"/>
    <w:rsid w:val="00724F3A"/>
    <w:rsid w:val="00725AF2"/>
    <w:rsid w:val="00727D8A"/>
    <w:rsid w:val="00731FEA"/>
    <w:rsid w:val="00732F3A"/>
    <w:rsid w:val="007334C8"/>
    <w:rsid w:val="007359C2"/>
    <w:rsid w:val="00736F61"/>
    <w:rsid w:val="007376B7"/>
    <w:rsid w:val="00740CFD"/>
    <w:rsid w:val="00742253"/>
    <w:rsid w:val="007452C3"/>
    <w:rsid w:val="007522D7"/>
    <w:rsid w:val="00752DA8"/>
    <w:rsid w:val="007662C7"/>
    <w:rsid w:val="007677A1"/>
    <w:rsid w:val="0077057B"/>
    <w:rsid w:val="00776306"/>
    <w:rsid w:val="00780200"/>
    <w:rsid w:val="007807F9"/>
    <w:rsid w:val="00782292"/>
    <w:rsid w:val="00785D24"/>
    <w:rsid w:val="00786C88"/>
    <w:rsid w:val="00794DB1"/>
    <w:rsid w:val="007A55A7"/>
    <w:rsid w:val="007B0D83"/>
    <w:rsid w:val="007B1F10"/>
    <w:rsid w:val="007B335E"/>
    <w:rsid w:val="007E018D"/>
    <w:rsid w:val="007F0309"/>
    <w:rsid w:val="007F1B71"/>
    <w:rsid w:val="007F5E2A"/>
    <w:rsid w:val="007F63B4"/>
    <w:rsid w:val="008013E6"/>
    <w:rsid w:val="00801AC6"/>
    <w:rsid w:val="00802E13"/>
    <w:rsid w:val="00807E7D"/>
    <w:rsid w:val="008110F7"/>
    <w:rsid w:val="00817DB6"/>
    <w:rsid w:val="00822999"/>
    <w:rsid w:val="00823CF3"/>
    <w:rsid w:val="008301C6"/>
    <w:rsid w:val="00831675"/>
    <w:rsid w:val="00835404"/>
    <w:rsid w:val="0084140A"/>
    <w:rsid w:val="00843699"/>
    <w:rsid w:val="00843C02"/>
    <w:rsid w:val="00850BDD"/>
    <w:rsid w:val="00854886"/>
    <w:rsid w:val="00870055"/>
    <w:rsid w:val="008769D9"/>
    <w:rsid w:val="008805FD"/>
    <w:rsid w:val="0088467C"/>
    <w:rsid w:val="008933C7"/>
    <w:rsid w:val="00894579"/>
    <w:rsid w:val="00894FD1"/>
    <w:rsid w:val="008A0EFB"/>
    <w:rsid w:val="008A421A"/>
    <w:rsid w:val="008A5B67"/>
    <w:rsid w:val="008A7BB4"/>
    <w:rsid w:val="008B167B"/>
    <w:rsid w:val="008C4A83"/>
    <w:rsid w:val="008D010B"/>
    <w:rsid w:val="008D16F7"/>
    <w:rsid w:val="008D7757"/>
    <w:rsid w:val="008E1427"/>
    <w:rsid w:val="008E6CEF"/>
    <w:rsid w:val="008F123B"/>
    <w:rsid w:val="008F629A"/>
    <w:rsid w:val="008F7DF9"/>
    <w:rsid w:val="00900CC9"/>
    <w:rsid w:val="0090356A"/>
    <w:rsid w:val="0090527B"/>
    <w:rsid w:val="009056F6"/>
    <w:rsid w:val="009143A0"/>
    <w:rsid w:val="00914E52"/>
    <w:rsid w:val="00920631"/>
    <w:rsid w:val="00924BCD"/>
    <w:rsid w:val="00925548"/>
    <w:rsid w:val="00926858"/>
    <w:rsid w:val="0092696C"/>
    <w:rsid w:val="00926F58"/>
    <w:rsid w:val="009314A7"/>
    <w:rsid w:val="009326FC"/>
    <w:rsid w:val="00936902"/>
    <w:rsid w:val="00943419"/>
    <w:rsid w:val="00947539"/>
    <w:rsid w:val="00952199"/>
    <w:rsid w:val="00952B76"/>
    <w:rsid w:val="00952F17"/>
    <w:rsid w:val="00954679"/>
    <w:rsid w:val="00961DB3"/>
    <w:rsid w:val="0096267A"/>
    <w:rsid w:val="00975C3E"/>
    <w:rsid w:val="00982854"/>
    <w:rsid w:val="009932E2"/>
    <w:rsid w:val="009A42A5"/>
    <w:rsid w:val="009A53CD"/>
    <w:rsid w:val="009A7E7F"/>
    <w:rsid w:val="009B3517"/>
    <w:rsid w:val="009B3BDF"/>
    <w:rsid w:val="009B6FDD"/>
    <w:rsid w:val="009C1661"/>
    <w:rsid w:val="009C26CF"/>
    <w:rsid w:val="009C6A1E"/>
    <w:rsid w:val="009D2A03"/>
    <w:rsid w:val="009D38A2"/>
    <w:rsid w:val="009D616E"/>
    <w:rsid w:val="009E12EB"/>
    <w:rsid w:val="009E17B9"/>
    <w:rsid w:val="009E2F86"/>
    <w:rsid w:val="009E518A"/>
    <w:rsid w:val="009F20AE"/>
    <w:rsid w:val="009F2F13"/>
    <w:rsid w:val="009F3413"/>
    <w:rsid w:val="009F36AC"/>
    <w:rsid w:val="009F7631"/>
    <w:rsid w:val="00A12209"/>
    <w:rsid w:val="00A161E8"/>
    <w:rsid w:val="00A163EE"/>
    <w:rsid w:val="00A20244"/>
    <w:rsid w:val="00A217E1"/>
    <w:rsid w:val="00A2325B"/>
    <w:rsid w:val="00A305D4"/>
    <w:rsid w:val="00A36DF3"/>
    <w:rsid w:val="00A41FEB"/>
    <w:rsid w:val="00A5040B"/>
    <w:rsid w:val="00A53093"/>
    <w:rsid w:val="00A532DD"/>
    <w:rsid w:val="00A606AF"/>
    <w:rsid w:val="00A612A9"/>
    <w:rsid w:val="00A74612"/>
    <w:rsid w:val="00A76FBF"/>
    <w:rsid w:val="00A77732"/>
    <w:rsid w:val="00A80BCF"/>
    <w:rsid w:val="00A8369C"/>
    <w:rsid w:val="00A90EA3"/>
    <w:rsid w:val="00A91A11"/>
    <w:rsid w:val="00A94F4F"/>
    <w:rsid w:val="00AA1689"/>
    <w:rsid w:val="00AA5770"/>
    <w:rsid w:val="00AB48FE"/>
    <w:rsid w:val="00AB63B4"/>
    <w:rsid w:val="00AC1D15"/>
    <w:rsid w:val="00AC46E6"/>
    <w:rsid w:val="00AE0FAA"/>
    <w:rsid w:val="00AE7DAF"/>
    <w:rsid w:val="00AF593A"/>
    <w:rsid w:val="00AF5A74"/>
    <w:rsid w:val="00B01ACC"/>
    <w:rsid w:val="00B0296B"/>
    <w:rsid w:val="00B05314"/>
    <w:rsid w:val="00B07B0C"/>
    <w:rsid w:val="00B10373"/>
    <w:rsid w:val="00B121CF"/>
    <w:rsid w:val="00B15D44"/>
    <w:rsid w:val="00B2229F"/>
    <w:rsid w:val="00B22854"/>
    <w:rsid w:val="00B25563"/>
    <w:rsid w:val="00B26D48"/>
    <w:rsid w:val="00B31EC3"/>
    <w:rsid w:val="00B343D1"/>
    <w:rsid w:val="00B37620"/>
    <w:rsid w:val="00B42EE1"/>
    <w:rsid w:val="00B44E2D"/>
    <w:rsid w:val="00B703C1"/>
    <w:rsid w:val="00B73D6B"/>
    <w:rsid w:val="00B76294"/>
    <w:rsid w:val="00B81B0B"/>
    <w:rsid w:val="00B8293D"/>
    <w:rsid w:val="00B858EA"/>
    <w:rsid w:val="00B91981"/>
    <w:rsid w:val="00B92478"/>
    <w:rsid w:val="00B96AB1"/>
    <w:rsid w:val="00B96DDC"/>
    <w:rsid w:val="00BA3904"/>
    <w:rsid w:val="00BA589F"/>
    <w:rsid w:val="00BA6188"/>
    <w:rsid w:val="00BA7EB5"/>
    <w:rsid w:val="00BB29B5"/>
    <w:rsid w:val="00BB33E9"/>
    <w:rsid w:val="00BB5E4F"/>
    <w:rsid w:val="00BC2EFE"/>
    <w:rsid w:val="00BC2FF9"/>
    <w:rsid w:val="00BC4957"/>
    <w:rsid w:val="00BC5120"/>
    <w:rsid w:val="00BC5F34"/>
    <w:rsid w:val="00BD3608"/>
    <w:rsid w:val="00BD61A2"/>
    <w:rsid w:val="00BD626E"/>
    <w:rsid w:val="00BD6D50"/>
    <w:rsid w:val="00BE484D"/>
    <w:rsid w:val="00BF20B3"/>
    <w:rsid w:val="00BF2BBC"/>
    <w:rsid w:val="00BF3C7A"/>
    <w:rsid w:val="00BF470C"/>
    <w:rsid w:val="00BF625E"/>
    <w:rsid w:val="00C02730"/>
    <w:rsid w:val="00C034BF"/>
    <w:rsid w:val="00C076C9"/>
    <w:rsid w:val="00C20B3F"/>
    <w:rsid w:val="00C2694C"/>
    <w:rsid w:val="00C3187E"/>
    <w:rsid w:val="00C3333D"/>
    <w:rsid w:val="00C35F5B"/>
    <w:rsid w:val="00C37E05"/>
    <w:rsid w:val="00C40078"/>
    <w:rsid w:val="00C41905"/>
    <w:rsid w:val="00C44439"/>
    <w:rsid w:val="00C449DB"/>
    <w:rsid w:val="00C45793"/>
    <w:rsid w:val="00C466F1"/>
    <w:rsid w:val="00C54564"/>
    <w:rsid w:val="00C5533E"/>
    <w:rsid w:val="00C55D29"/>
    <w:rsid w:val="00C62EFE"/>
    <w:rsid w:val="00C65F24"/>
    <w:rsid w:val="00C90055"/>
    <w:rsid w:val="00C94713"/>
    <w:rsid w:val="00C95387"/>
    <w:rsid w:val="00C9647A"/>
    <w:rsid w:val="00C96690"/>
    <w:rsid w:val="00C97223"/>
    <w:rsid w:val="00C97E3F"/>
    <w:rsid w:val="00CA0BE9"/>
    <w:rsid w:val="00CA138D"/>
    <w:rsid w:val="00CA1E64"/>
    <w:rsid w:val="00CA32D9"/>
    <w:rsid w:val="00CB2770"/>
    <w:rsid w:val="00CB6B7F"/>
    <w:rsid w:val="00CC14D0"/>
    <w:rsid w:val="00CC7641"/>
    <w:rsid w:val="00CD1737"/>
    <w:rsid w:val="00CD28EA"/>
    <w:rsid w:val="00CD4120"/>
    <w:rsid w:val="00CD4E12"/>
    <w:rsid w:val="00CD61F2"/>
    <w:rsid w:val="00CE6DDD"/>
    <w:rsid w:val="00CF0833"/>
    <w:rsid w:val="00CF37E1"/>
    <w:rsid w:val="00D01C29"/>
    <w:rsid w:val="00D05DED"/>
    <w:rsid w:val="00D06FB6"/>
    <w:rsid w:val="00D07605"/>
    <w:rsid w:val="00D11278"/>
    <w:rsid w:val="00D13794"/>
    <w:rsid w:val="00D175F3"/>
    <w:rsid w:val="00D21FEF"/>
    <w:rsid w:val="00D221EA"/>
    <w:rsid w:val="00D24052"/>
    <w:rsid w:val="00D24386"/>
    <w:rsid w:val="00D25371"/>
    <w:rsid w:val="00D31575"/>
    <w:rsid w:val="00D34626"/>
    <w:rsid w:val="00D34FB4"/>
    <w:rsid w:val="00D409EE"/>
    <w:rsid w:val="00D412BB"/>
    <w:rsid w:val="00D4257A"/>
    <w:rsid w:val="00D44DBB"/>
    <w:rsid w:val="00D52671"/>
    <w:rsid w:val="00D53656"/>
    <w:rsid w:val="00D537A3"/>
    <w:rsid w:val="00D62665"/>
    <w:rsid w:val="00D80FEC"/>
    <w:rsid w:val="00D82E47"/>
    <w:rsid w:val="00D83537"/>
    <w:rsid w:val="00D8522A"/>
    <w:rsid w:val="00DA447F"/>
    <w:rsid w:val="00DA7AE9"/>
    <w:rsid w:val="00DC0CDE"/>
    <w:rsid w:val="00DC3CE1"/>
    <w:rsid w:val="00DC4D72"/>
    <w:rsid w:val="00DD26E8"/>
    <w:rsid w:val="00DD2A34"/>
    <w:rsid w:val="00DD3687"/>
    <w:rsid w:val="00DD3F1B"/>
    <w:rsid w:val="00DD73B5"/>
    <w:rsid w:val="00DE2668"/>
    <w:rsid w:val="00DE5892"/>
    <w:rsid w:val="00DE6DDB"/>
    <w:rsid w:val="00E00C32"/>
    <w:rsid w:val="00E024F0"/>
    <w:rsid w:val="00E02AB4"/>
    <w:rsid w:val="00E03C5A"/>
    <w:rsid w:val="00E05CD8"/>
    <w:rsid w:val="00E0624D"/>
    <w:rsid w:val="00E07979"/>
    <w:rsid w:val="00E11705"/>
    <w:rsid w:val="00E210BC"/>
    <w:rsid w:val="00E240F1"/>
    <w:rsid w:val="00E263E2"/>
    <w:rsid w:val="00E3556A"/>
    <w:rsid w:val="00E35ED6"/>
    <w:rsid w:val="00E367E1"/>
    <w:rsid w:val="00E36A6B"/>
    <w:rsid w:val="00E37FAA"/>
    <w:rsid w:val="00E4438C"/>
    <w:rsid w:val="00E457F3"/>
    <w:rsid w:val="00E47D5F"/>
    <w:rsid w:val="00E62FE3"/>
    <w:rsid w:val="00E656D7"/>
    <w:rsid w:val="00E732E9"/>
    <w:rsid w:val="00E92193"/>
    <w:rsid w:val="00EA4DD8"/>
    <w:rsid w:val="00EB0247"/>
    <w:rsid w:val="00EB2AEF"/>
    <w:rsid w:val="00EB2DF0"/>
    <w:rsid w:val="00EB6200"/>
    <w:rsid w:val="00EB7890"/>
    <w:rsid w:val="00EB7BEF"/>
    <w:rsid w:val="00EB7E71"/>
    <w:rsid w:val="00EC1C48"/>
    <w:rsid w:val="00EC29F2"/>
    <w:rsid w:val="00EC7C39"/>
    <w:rsid w:val="00ED14AC"/>
    <w:rsid w:val="00ED6942"/>
    <w:rsid w:val="00EE7F39"/>
    <w:rsid w:val="00EF1C29"/>
    <w:rsid w:val="00F03EA9"/>
    <w:rsid w:val="00F07BB8"/>
    <w:rsid w:val="00F07ED7"/>
    <w:rsid w:val="00F109D4"/>
    <w:rsid w:val="00F15EE9"/>
    <w:rsid w:val="00F368CA"/>
    <w:rsid w:val="00F418F5"/>
    <w:rsid w:val="00F44013"/>
    <w:rsid w:val="00F47585"/>
    <w:rsid w:val="00F5511E"/>
    <w:rsid w:val="00F71406"/>
    <w:rsid w:val="00F761EC"/>
    <w:rsid w:val="00F76CC2"/>
    <w:rsid w:val="00F7765D"/>
    <w:rsid w:val="00F85E6F"/>
    <w:rsid w:val="00F86134"/>
    <w:rsid w:val="00F91D08"/>
    <w:rsid w:val="00F9289D"/>
    <w:rsid w:val="00FA1144"/>
    <w:rsid w:val="00FA70D1"/>
    <w:rsid w:val="00FA7F9E"/>
    <w:rsid w:val="00FB61F8"/>
    <w:rsid w:val="00FC3FDB"/>
    <w:rsid w:val="00FC4F2B"/>
    <w:rsid w:val="00FC7712"/>
    <w:rsid w:val="00FC7E0E"/>
    <w:rsid w:val="00FD0344"/>
    <w:rsid w:val="00FD268F"/>
    <w:rsid w:val="00FD39DC"/>
    <w:rsid w:val="00FD7BB5"/>
    <w:rsid w:val="00FE04E4"/>
    <w:rsid w:val="00FE2C99"/>
    <w:rsid w:val="00FE3066"/>
    <w:rsid w:val="00FE488B"/>
    <w:rsid w:val="00FE6EC2"/>
    <w:rsid w:val="00FE73F9"/>
    <w:rsid w:val="00FE7688"/>
    <w:rsid w:val="00FF1057"/>
    <w:rsid w:val="00FF1E4E"/>
    <w:rsid w:val="00FF3E25"/>
    <w:rsid w:val="00FF43D7"/>
    <w:rsid w:val="00FF4913"/>
    <w:rsid w:val="00FF4AE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F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locked/>
    <w:rsid w:val="00FF1E4E"/>
    <w:rPr>
      <w:sz w:val="24"/>
    </w:rPr>
  </w:style>
  <w:style w:type="paragraph" w:styleId="ListParagraph">
    <w:name w:val="List Paragraph"/>
    <w:basedOn w:val="Normal"/>
    <w:uiPriority w:val="34"/>
    <w:qFormat/>
    <w:rsid w:val="00402679"/>
    <w:pPr>
      <w:ind w:left="720"/>
      <w:contextualSpacing/>
    </w:pPr>
  </w:style>
  <w:style w:type="paragraph" w:customStyle="1" w:styleId="tabledotpoint">
    <w:name w:val="table dot point"/>
    <w:basedOn w:val="Normal"/>
    <w:rsid w:val="00AF5A74"/>
    <w:pPr>
      <w:numPr>
        <w:numId w:val="7"/>
      </w:numPr>
      <w:spacing w:before="40" w:after="40"/>
    </w:pPr>
    <w:rPr>
      <w:sz w:val="20"/>
    </w:rPr>
  </w:style>
  <w:style w:type="paragraph" w:customStyle="1" w:styleId="Tabledotpoint2">
    <w:name w:val="Table dot point 2"/>
    <w:basedOn w:val="Normal"/>
    <w:next w:val="Normal"/>
    <w:rsid w:val="00AF5A74"/>
    <w:pPr>
      <w:numPr>
        <w:ilvl w:val="1"/>
        <w:numId w:val="7"/>
      </w:numPr>
      <w:spacing w:before="40" w:after="40"/>
    </w:pPr>
    <w:rPr>
      <w:sz w:val="20"/>
    </w:rPr>
  </w:style>
  <w:style w:type="paragraph" w:customStyle="1" w:styleId="paragraphsub">
    <w:name w:val="paragraph(sub)"/>
    <w:aliases w:val="aa"/>
    <w:basedOn w:val="Normal"/>
    <w:rsid w:val="0077057B"/>
    <w:pPr>
      <w:tabs>
        <w:tab w:val="right" w:pos="1985"/>
      </w:tabs>
      <w:spacing w:before="40" w:after="0"/>
      <w:ind w:left="2098" w:hanging="2098"/>
    </w:pPr>
    <w:rPr>
      <w:sz w:val="22"/>
    </w:rPr>
  </w:style>
  <w:style w:type="paragraph" w:customStyle="1" w:styleId="paragraph">
    <w:name w:val="paragraph"/>
    <w:aliases w:val="a"/>
    <w:basedOn w:val="Normal"/>
    <w:link w:val="paragraphChar"/>
    <w:rsid w:val="0077057B"/>
    <w:pPr>
      <w:tabs>
        <w:tab w:val="right" w:pos="1531"/>
      </w:tabs>
      <w:spacing w:before="40" w:after="0"/>
      <w:ind w:left="1644" w:hanging="1644"/>
    </w:pPr>
    <w:rPr>
      <w:sz w:val="22"/>
    </w:rPr>
  </w:style>
  <w:style w:type="character" w:customStyle="1" w:styleId="paragraphChar">
    <w:name w:val="paragraph Char"/>
    <w:aliases w:val="a Char"/>
    <w:link w:val="paragraph"/>
    <w:rsid w:val="0077057B"/>
    <w:rPr>
      <w:sz w:val="22"/>
    </w:rPr>
  </w:style>
  <w:style w:type="character" w:customStyle="1" w:styleId="UnresolvedMention">
    <w:name w:val="Unresolved Mention"/>
    <w:basedOn w:val="DefaultParagraphFont"/>
    <w:uiPriority w:val="99"/>
    <w:semiHidden/>
    <w:unhideWhenUsed/>
    <w:rsid w:val="00823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7971">
      <w:bodyDiv w:val="1"/>
      <w:marLeft w:val="0"/>
      <w:marRight w:val="0"/>
      <w:marTop w:val="0"/>
      <w:marBottom w:val="0"/>
      <w:divBdr>
        <w:top w:val="none" w:sz="0" w:space="0" w:color="auto"/>
        <w:left w:val="none" w:sz="0" w:space="0" w:color="auto"/>
        <w:bottom w:val="none" w:sz="0" w:space="0" w:color="auto"/>
        <w:right w:val="none" w:sz="0" w:space="0" w:color="auto"/>
      </w:divBdr>
    </w:div>
    <w:div w:id="311104988">
      <w:bodyDiv w:val="1"/>
      <w:marLeft w:val="0"/>
      <w:marRight w:val="0"/>
      <w:marTop w:val="0"/>
      <w:marBottom w:val="0"/>
      <w:divBdr>
        <w:top w:val="none" w:sz="0" w:space="0" w:color="auto"/>
        <w:left w:val="none" w:sz="0" w:space="0" w:color="auto"/>
        <w:bottom w:val="none" w:sz="0" w:space="0" w:color="auto"/>
        <w:right w:val="none" w:sz="0" w:space="0" w:color="auto"/>
      </w:divBdr>
    </w:div>
    <w:div w:id="573079158">
      <w:bodyDiv w:val="1"/>
      <w:marLeft w:val="0"/>
      <w:marRight w:val="0"/>
      <w:marTop w:val="0"/>
      <w:marBottom w:val="0"/>
      <w:divBdr>
        <w:top w:val="none" w:sz="0" w:space="0" w:color="auto"/>
        <w:left w:val="none" w:sz="0" w:space="0" w:color="auto"/>
        <w:bottom w:val="none" w:sz="0" w:space="0" w:color="auto"/>
        <w:right w:val="none" w:sz="0" w:space="0" w:color="auto"/>
      </w:divBdr>
    </w:div>
    <w:div w:id="999117519">
      <w:bodyDiv w:val="1"/>
      <w:marLeft w:val="0"/>
      <w:marRight w:val="0"/>
      <w:marTop w:val="0"/>
      <w:marBottom w:val="0"/>
      <w:divBdr>
        <w:top w:val="none" w:sz="0" w:space="0" w:color="auto"/>
        <w:left w:val="none" w:sz="0" w:space="0" w:color="auto"/>
        <w:bottom w:val="none" w:sz="0" w:space="0" w:color="auto"/>
        <w:right w:val="none" w:sz="0" w:space="0" w:color="auto"/>
      </w:divBdr>
    </w:div>
    <w:div w:id="1534031535">
      <w:bodyDiv w:val="1"/>
      <w:marLeft w:val="0"/>
      <w:marRight w:val="0"/>
      <w:marTop w:val="0"/>
      <w:marBottom w:val="0"/>
      <w:divBdr>
        <w:top w:val="none" w:sz="0" w:space="0" w:color="auto"/>
        <w:left w:val="none" w:sz="0" w:space="0" w:color="auto"/>
        <w:bottom w:val="none" w:sz="0" w:space="0" w:color="auto"/>
        <w:right w:val="none" w:sz="0" w:space="0" w:color="auto"/>
      </w:divBdr>
    </w:div>
    <w:div w:id="185101960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409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2BC38C4FFC4E05AF8451A7F460C841"/>
        <w:category>
          <w:name w:val="General"/>
          <w:gallery w:val="placeholder"/>
        </w:category>
        <w:types>
          <w:type w:val="bbPlcHdr"/>
        </w:types>
        <w:behaviors>
          <w:behavior w:val="content"/>
        </w:behaviors>
        <w:guid w:val="{D167FD76-5AC3-4B00-8114-598839735765}"/>
      </w:docPartPr>
      <w:docPartBody>
        <w:p w:rsidR="00611AEE" w:rsidRDefault="00611AEE">
          <w:pPr>
            <w:pStyle w:val="912BC38C4FFC4E05AF8451A7F460C84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EE"/>
    <w:rsid w:val="0012171D"/>
    <w:rsid w:val="00185240"/>
    <w:rsid w:val="001A53DA"/>
    <w:rsid w:val="002B372F"/>
    <w:rsid w:val="00611AEE"/>
    <w:rsid w:val="007E728D"/>
    <w:rsid w:val="00AE1B4B"/>
    <w:rsid w:val="00BB297E"/>
    <w:rsid w:val="00FA08D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2BC38C4FFC4E05AF8451A7F460C841">
    <w:name w:val="912BC38C4FFC4E05AF8451A7F460C841"/>
  </w:style>
  <w:style w:type="paragraph" w:customStyle="1" w:styleId="B7926F52456649A083A3DD59FE1413EA">
    <w:name w:val="B7926F52456649A083A3DD59FE1413EA"/>
  </w:style>
  <w:style w:type="paragraph" w:customStyle="1" w:styleId="E947953D86FA4464B78D2F8C1DEE5F1A">
    <w:name w:val="E947953D86FA4464B78D2F8C1DEE5F1A"/>
  </w:style>
  <w:style w:type="paragraph" w:customStyle="1" w:styleId="8AA6773BA9C64E869FEB5101C390FE5B">
    <w:name w:val="8AA6773BA9C64E869FEB5101C390F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ABAD9-46D8-4B67-848F-44799418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2083</Words>
  <Characters>10812</Characters>
  <Application>Microsoft Office Word</Application>
  <DocSecurity>0</DocSecurity>
  <Lines>308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Consumer Credit Protection Amendment (Debt Management Services) Regulations 2021 - Explanatory Statement</dc:title>
  <dc:subject/>
  <dc:creator/>
  <cp:keywords/>
  <cp:lastModifiedBy/>
  <cp:revision>1</cp:revision>
  <dcterms:created xsi:type="dcterms:W3CDTF">2021-01-14T22:38:00Z</dcterms:created>
  <dcterms:modified xsi:type="dcterms:W3CDTF">2021-01-14T22:38:00Z</dcterms:modified>
</cp:coreProperties>
</file>