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15A78" w14:textId="240800BE" w:rsidR="00644B02" w:rsidRPr="00766AA3" w:rsidRDefault="00644B02" w:rsidP="00474172">
      <w:pPr>
        <w:pStyle w:val="NormalWeb"/>
        <w:spacing w:before="0" w:beforeAutospacing="0" w:after="0" w:afterAutospacing="0"/>
        <w:rPr>
          <w:rFonts w:ascii="Arial" w:hAnsi="Arial" w:cs="Arial"/>
          <w:b/>
          <w:bCs/>
          <w:color w:val="E18409" w:themeColor="text2"/>
          <w:sz w:val="24"/>
          <w:szCs w:val="24"/>
        </w:rPr>
      </w:pPr>
      <w:bookmarkStart w:id="0" w:name="_GoBack"/>
      <w:bookmarkEnd w:id="0"/>
      <w:r w:rsidRPr="00766AA3">
        <w:rPr>
          <w:rFonts w:ascii="Arial" w:hAnsi="Arial" w:cs="Arial"/>
          <w:b/>
          <w:bCs/>
          <w:color w:val="E18409" w:themeColor="text2"/>
          <w:sz w:val="24"/>
          <w:szCs w:val="24"/>
        </w:rPr>
        <w:t>Executive Summary</w:t>
      </w:r>
    </w:p>
    <w:p w14:paraId="0939A7B5" w14:textId="499C6D09" w:rsidR="00275DE6" w:rsidRDefault="00275DE6" w:rsidP="00275DE6">
      <w:pPr>
        <w:pStyle w:val="NormalWeb"/>
        <w:spacing w:before="0" w:beforeAutospacing="0" w:after="0" w:afterAutospacing="0"/>
        <w:rPr>
          <w:rFonts w:ascii="Arial" w:hAnsi="Arial" w:cs="Arial"/>
          <w:color w:val="000000"/>
          <w:sz w:val="18"/>
          <w:szCs w:val="18"/>
        </w:rPr>
      </w:pPr>
      <w:r>
        <w:rPr>
          <w:rFonts w:ascii="Arial" w:hAnsi="Arial" w:cs="Arial"/>
          <w:color w:val="000000"/>
        </w:rPr>
        <w:t>This submission provides Chant West’s feedback on the proposed ‘Your Future Your Super’ reforms as outlined in the Budget proposals and recently released Exposure Drafts. </w:t>
      </w:r>
    </w:p>
    <w:p w14:paraId="110FD674" w14:textId="77777777" w:rsidR="00275DE6" w:rsidRDefault="00275DE6" w:rsidP="00275DE6">
      <w:pPr>
        <w:pStyle w:val="NormalWeb"/>
        <w:spacing w:before="0" w:beforeAutospacing="0" w:after="0" w:afterAutospacing="0"/>
        <w:rPr>
          <w:rFonts w:ascii="Arial" w:hAnsi="Arial" w:cs="Arial"/>
          <w:color w:val="000000"/>
          <w:sz w:val="18"/>
          <w:szCs w:val="18"/>
        </w:rPr>
      </w:pPr>
    </w:p>
    <w:p w14:paraId="6A59CD4A" w14:textId="4C3CAFB6" w:rsidR="00644B02" w:rsidRDefault="00644B02" w:rsidP="00474172">
      <w:pPr>
        <w:pStyle w:val="NormalWeb"/>
        <w:spacing w:before="0" w:beforeAutospacing="0" w:after="0" w:afterAutospacing="0"/>
        <w:rPr>
          <w:rFonts w:ascii="Arial" w:hAnsi="Arial" w:cs="Arial"/>
          <w:color w:val="000000"/>
          <w:sz w:val="18"/>
          <w:szCs w:val="18"/>
        </w:rPr>
      </w:pPr>
      <w:r>
        <w:rPr>
          <w:rFonts w:ascii="Arial" w:hAnsi="Arial" w:cs="Arial"/>
          <w:color w:val="000000"/>
        </w:rPr>
        <w:t xml:space="preserve">We support the </w:t>
      </w:r>
      <w:r w:rsidR="00474172">
        <w:rPr>
          <w:rFonts w:ascii="Arial" w:hAnsi="Arial" w:cs="Arial"/>
          <w:color w:val="000000"/>
        </w:rPr>
        <w:t xml:space="preserve">policy intent to address </w:t>
      </w:r>
      <w:r>
        <w:rPr>
          <w:rFonts w:ascii="Arial" w:hAnsi="Arial" w:cs="Arial"/>
          <w:color w:val="000000"/>
        </w:rPr>
        <w:t>unintended multiple accounts and underperforming funds</w:t>
      </w:r>
      <w:r w:rsidR="000434ED">
        <w:rPr>
          <w:rFonts w:ascii="Arial" w:hAnsi="Arial" w:cs="Arial"/>
          <w:color w:val="000000"/>
        </w:rPr>
        <w:t>.</w:t>
      </w:r>
      <w:r w:rsidR="00474172">
        <w:rPr>
          <w:rFonts w:ascii="Arial" w:hAnsi="Arial" w:cs="Arial"/>
          <w:color w:val="000000"/>
        </w:rPr>
        <w:t xml:space="preserve"> </w:t>
      </w:r>
      <w:r w:rsidR="000434ED">
        <w:rPr>
          <w:rFonts w:ascii="Arial" w:hAnsi="Arial" w:cs="Arial"/>
          <w:color w:val="000000"/>
        </w:rPr>
        <w:t xml:space="preserve">But </w:t>
      </w:r>
      <w:r w:rsidR="00474172">
        <w:rPr>
          <w:rFonts w:ascii="Arial" w:hAnsi="Arial" w:cs="Arial"/>
          <w:color w:val="000000"/>
        </w:rPr>
        <w:t xml:space="preserve">we believe that </w:t>
      </w:r>
      <w:r>
        <w:rPr>
          <w:rFonts w:ascii="Arial" w:hAnsi="Arial" w:cs="Arial"/>
          <w:color w:val="000000"/>
        </w:rPr>
        <w:t>the proposed initiatives need further modifications to ensure they lead to better outcomes for members rather than creating new problems to fix. </w:t>
      </w:r>
    </w:p>
    <w:p w14:paraId="122572A4" w14:textId="77777777" w:rsidR="00644B02" w:rsidRDefault="00644B02" w:rsidP="00474172">
      <w:pPr>
        <w:pStyle w:val="NormalWeb"/>
        <w:spacing w:before="0" w:beforeAutospacing="0" w:after="0" w:afterAutospacing="0"/>
        <w:rPr>
          <w:rFonts w:ascii="Arial" w:hAnsi="Arial" w:cs="Arial"/>
          <w:color w:val="000000"/>
          <w:sz w:val="18"/>
          <w:szCs w:val="18"/>
        </w:rPr>
      </w:pPr>
    </w:p>
    <w:p w14:paraId="41ABC07D" w14:textId="05431CD2" w:rsidR="00644B02" w:rsidRDefault="00644B02" w:rsidP="00474172">
      <w:pPr>
        <w:pStyle w:val="NormalWeb"/>
        <w:spacing w:before="0" w:beforeAutospacing="0" w:after="0" w:afterAutospacing="0"/>
        <w:rPr>
          <w:rFonts w:ascii="Arial" w:hAnsi="Arial" w:cs="Arial"/>
          <w:color w:val="000000"/>
          <w:sz w:val="18"/>
          <w:szCs w:val="18"/>
        </w:rPr>
      </w:pPr>
      <w:r>
        <w:rPr>
          <w:rFonts w:ascii="Arial" w:hAnsi="Arial" w:cs="Arial"/>
          <w:color w:val="000000"/>
        </w:rPr>
        <w:t xml:space="preserve">We believe the </w:t>
      </w:r>
      <w:r w:rsidR="00766AA3">
        <w:rPr>
          <w:rFonts w:ascii="Arial" w:hAnsi="Arial" w:cs="Arial"/>
          <w:color w:val="000000"/>
        </w:rPr>
        <w:t xml:space="preserve">proposed </w:t>
      </w:r>
      <w:r>
        <w:rPr>
          <w:rFonts w:ascii="Arial" w:hAnsi="Arial" w:cs="Arial"/>
          <w:color w:val="000000"/>
        </w:rPr>
        <w:t>performance test, with the huge asymmetry between not meeting the benchmark and doing much better than it, will inevitably lead to poorer investment outcomes for members in many funds. </w:t>
      </w:r>
      <w:r w:rsidR="00474172">
        <w:rPr>
          <w:rFonts w:ascii="Arial" w:hAnsi="Arial" w:cs="Arial"/>
          <w:color w:val="000000"/>
        </w:rPr>
        <w:t xml:space="preserve">Further, there is the risk that the operation of the performance test, in its current form, may </w:t>
      </w:r>
      <w:r w:rsidR="00474172" w:rsidRPr="00474172">
        <w:rPr>
          <w:rFonts w:ascii="Arial" w:hAnsi="Arial" w:cs="Arial"/>
          <w:color w:val="000000"/>
        </w:rPr>
        <w:t>trigger a disorderly stampede to the exits of some funds and further undermine public confidence in the system as a whole.</w:t>
      </w:r>
      <w:r w:rsidR="001270A6">
        <w:rPr>
          <w:rFonts w:ascii="Arial" w:hAnsi="Arial" w:cs="Arial"/>
          <w:color w:val="000000"/>
        </w:rPr>
        <w:t xml:space="preserve"> We support the Exposure Draft’s insertion of APRA’s role in determining the formulas to use for the performance test and its discretion in determining whether a fund has passed the performance test, but </w:t>
      </w:r>
      <w:r w:rsidR="005B40F5">
        <w:rPr>
          <w:rFonts w:ascii="Arial" w:hAnsi="Arial" w:cs="Arial"/>
          <w:color w:val="000000"/>
        </w:rPr>
        <w:t xml:space="preserve">the final wording of </w:t>
      </w:r>
      <w:r w:rsidR="001270A6">
        <w:rPr>
          <w:rFonts w:ascii="Arial" w:hAnsi="Arial" w:cs="Arial"/>
          <w:color w:val="000000"/>
        </w:rPr>
        <w:t xml:space="preserve">the </w:t>
      </w:r>
      <w:r w:rsidR="00766AA3">
        <w:rPr>
          <w:rFonts w:ascii="Arial" w:hAnsi="Arial" w:cs="Arial"/>
          <w:color w:val="000000"/>
        </w:rPr>
        <w:t xml:space="preserve">Regulations </w:t>
      </w:r>
      <w:r w:rsidR="005B40F5">
        <w:rPr>
          <w:rFonts w:ascii="Arial" w:hAnsi="Arial" w:cs="Arial"/>
          <w:color w:val="000000"/>
        </w:rPr>
        <w:t xml:space="preserve">will be important </w:t>
      </w:r>
      <w:r w:rsidR="001270A6">
        <w:rPr>
          <w:rFonts w:ascii="Arial" w:hAnsi="Arial" w:cs="Arial"/>
          <w:color w:val="000000"/>
        </w:rPr>
        <w:t xml:space="preserve">to ensure an appropriate level </w:t>
      </w:r>
      <w:r w:rsidR="009B101B">
        <w:rPr>
          <w:rFonts w:ascii="Arial" w:hAnsi="Arial" w:cs="Arial"/>
          <w:color w:val="000000"/>
        </w:rPr>
        <w:t>of discretion is provided</w:t>
      </w:r>
      <w:r w:rsidR="001270A6">
        <w:rPr>
          <w:rFonts w:ascii="Arial" w:hAnsi="Arial" w:cs="Arial"/>
          <w:color w:val="000000"/>
        </w:rPr>
        <w:t>.</w:t>
      </w:r>
    </w:p>
    <w:p w14:paraId="75045D1D" w14:textId="77777777" w:rsidR="00644B02" w:rsidRDefault="00644B02" w:rsidP="00474172">
      <w:pPr>
        <w:pStyle w:val="NormalWeb"/>
        <w:spacing w:before="0" w:beforeAutospacing="0" w:after="0" w:afterAutospacing="0"/>
        <w:rPr>
          <w:rFonts w:ascii="Arial" w:hAnsi="Arial" w:cs="Arial"/>
          <w:color w:val="000000"/>
          <w:sz w:val="18"/>
          <w:szCs w:val="18"/>
        </w:rPr>
      </w:pPr>
    </w:p>
    <w:p w14:paraId="43751C58" w14:textId="27F20A45" w:rsidR="00644B02" w:rsidRDefault="00644B02" w:rsidP="00474172">
      <w:pPr>
        <w:pStyle w:val="NormalWeb"/>
        <w:spacing w:before="0" w:beforeAutospacing="0" w:after="0" w:afterAutospacing="0"/>
        <w:rPr>
          <w:rFonts w:ascii="Arial" w:hAnsi="Arial" w:cs="Arial"/>
          <w:color w:val="000000"/>
          <w:sz w:val="18"/>
          <w:szCs w:val="18"/>
        </w:rPr>
      </w:pPr>
      <w:r>
        <w:rPr>
          <w:rFonts w:ascii="Arial" w:hAnsi="Arial" w:cs="Arial"/>
          <w:color w:val="000000"/>
        </w:rPr>
        <w:t>We support the principle of account stapling but it needs to be accompanied by regular and effective engagement with members at key milestones, like starting a new job, otherwise it may lead to less engagement and many Australians remaining in ill-suited funds. </w:t>
      </w:r>
      <w:r w:rsidR="001270A6">
        <w:rPr>
          <w:rFonts w:ascii="Arial" w:hAnsi="Arial" w:cs="Arial"/>
          <w:color w:val="000000"/>
        </w:rPr>
        <w:t>And for account stapling to work, there must be an online service available through which employers can be instantly informed of an employee’s stapled fund. If this service is not available at 1 July 2021, the introduction of account stapling should be delayed.</w:t>
      </w:r>
    </w:p>
    <w:p w14:paraId="4A1C7689" w14:textId="77777777" w:rsidR="00474172" w:rsidRDefault="00474172" w:rsidP="00474172">
      <w:pPr>
        <w:spacing w:after="0"/>
        <w:rPr>
          <w:rFonts w:ascii="Arial" w:hAnsi="Arial" w:cs="Arial"/>
          <w:b/>
          <w:bCs/>
          <w:color w:val="E18409"/>
          <w:sz w:val="24"/>
          <w:szCs w:val="24"/>
        </w:rPr>
      </w:pPr>
    </w:p>
    <w:p w14:paraId="50E1C97A" w14:textId="58967424" w:rsidR="0019702B" w:rsidRPr="00B73720" w:rsidRDefault="00766AA3" w:rsidP="00474172">
      <w:pPr>
        <w:spacing w:after="0"/>
        <w:rPr>
          <w:rFonts w:ascii="Arial" w:hAnsi="Arial" w:cs="Arial"/>
          <w:b/>
          <w:bCs/>
          <w:color w:val="E18409"/>
          <w:sz w:val="24"/>
          <w:szCs w:val="24"/>
        </w:rPr>
      </w:pPr>
      <w:r>
        <w:rPr>
          <w:rFonts w:ascii="Arial" w:hAnsi="Arial" w:cs="Arial"/>
          <w:b/>
          <w:bCs/>
          <w:color w:val="E18409"/>
          <w:sz w:val="24"/>
          <w:szCs w:val="24"/>
        </w:rPr>
        <w:t>The p</w:t>
      </w:r>
      <w:r w:rsidR="0019702B" w:rsidRPr="00B73720">
        <w:rPr>
          <w:rFonts w:ascii="Arial" w:hAnsi="Arial" w:cs="Arial"/>
          <w:b/>
          <w:bCs/>
          <w:color w:val="E18409"/>
          <w:sz w:val="24"/>
          <w:szCs w:val="24"/>
        </w:rPr>
        <w:t>erformance test</w:t>
      </w:r>
    </w:p>
    <w:p w14:paraId="00FB3061" w14:textId="4B045BA3" w:rsidR="0019702B" w:rsidRDefault="0019702B" w:rsidP="00474172">
      <w:pPr>
        <w:spacing w:after="0" w:line="240" w:lineRule="auto"/>
      </w:pPr>
      <w:r>
        <w:t xml:space="preserve">It is important for the integrity of the system – and for the protection of members – that </w:t>
      </w:r>
      <w:r w:rsidR="00766AA3">
        <w:t xml:space="preserve">chronically </w:t>
      </w:r>
      <w:r>
        <w:t xml:space="preserve">underperforming funds are identified and </w:t>
      </w:r>
      <w:r w:rsidR="00766AA3">
        <w:t>removed from the system</w:t>
      </w:r>
      <w:r>
        <w:t>. We support this objective. Our concern is not with the concept of an annual performance test but with how this single test will be used.</w:t>
      </w:r>
    </w:p>
    <w:p w14:paraId="26BE1A3E" w14:textId="77777777" w:rsidR="00474172" w:rsidRDefault="00474172" w:rsidP="00474172">
      <w:pPr>
        <w:spacing w:after="0" w:line="240" w:lineRule="auto"/>
      </w:pPr>
    </w:p>
    <w:p w14:paraId="5A229BCE" w14:textId="19468DB1" w:rsidR="0019702B" w:rsidRDefault="0019702B" w:rsidP="00474172">
      <w:pPr>
        <w:spacing w:after="0" w:line="240" w:lineRule="auto"/>
      </w:pPr>
      <w:r>
        <w:t xml:space="preserve">In the first year of failing the test, </w:t>
      </w:r>
      <w:r w:rsidR="001270A6">
        <w:t>a</w:t>
      </w:r>
      <w:r>
        <w:t xml:space="preserve"> fund will need to inform its members that it is an underperforming fund and refer them to the </w:t>
      </w:r>
      <w:proofErr w:type="spellStart"/>
      <w:r w:rsidRPr="003F6CE9">
        <w:rPr>
          <w:i/>
          <w:iCs/>
        </w:rPr>
        <w:t>YourSuper</w:t>
      </w:r>
      <w:proofErr w:type="spellEnd"/>
      <w:r>
        <w:t xml:space="preserve"> comparison tool, where its underperformance will be highlighted. If it then underperforms for a second year, it will be barred from accepting any new members – and again, it will have to report that to its remaining members. </w:t>
      </w:r>
    </w:p>
    <w:p w14:paraId="7CC00CC4" w14:textId="77777777" w:rsidR="0019702B" w:rsidRDefault="0019702B" w:rsidP="00474172">
      <w:pPr>
        <w:spacing w:after="0" w:line="240" w:lineRule="auto"/>
      </w:pPr>
    </w:p>
    <w:p w14:paraId="6EB6C0B9" w14:textId="77777777" w:rsidR="0019702B" w:rsidRDefault="0019702B" w:rsidP="00474172">
      <w:pPr>
        <w:spacing w:after="0" w:line="240" w:lineRule="auto"/>
      </w:pPr>
      <w:r>
        <w:t xml:space="preserve">Failure in the first year alone will probably lead to a flight from the fund. Failure for a second year would most certainly do so. A sudden outflow of members and assets would be to the detriment of those members who remain, as investment strategy would need to change to focus on short-term liquidity rather than long-term performance. </w:t>
      </w:r>
    </w:p>
    <w:p w14:paraId="740C6D6B" w14:textId="77777777" w:rsidR="0019702B" w:rsidRDefault="0019702B" w:rsidP="00474172">
      <w:pPr>
        <w:spacing w:after="0" w:line="240" w:lineRule="auto"/>
      </w:pPr>
    </w:p>
    <w:p w14:paraId="1BCE9796" w14:textId="77777777" w:rsidR="0019702B" w:rsidRPr="00474172" w:rsidRDefault="0019702B" w:rsidP="00474172">
      <w:pPr>
        <w:spacing w:after="0" w:line="240" w:lineRule="auto"/>
        <w:rPr>
          <w:i/>
          <w:iCs/>
          <w:color w:val="E18409" w:themeColor="text2"/>
        </w:rPr>
      </w:pPr>
      <w:r w:rsidRPr="00474172">
        <w:rPr>
          <w:i/>
          <w:iCs/>
          <w:color w:val="E18409" w:themeColor="text2"/>
        </w:rPr>
        <w:t>How will funds respond to this test?</w:t>
      </w:r>
    </w:p>
    <w:p w14:paraId="5F9A16C1" w14:textId="279AAAB4" w:rsidR="0019702B" w:rsidRDefault="0019702B" w:rsidP="00474172">
      <w:pPr>
        <w:spacing w:after="0" w:line="240" w:lineRule="auto"/>
      </w:pPr>
      <w:r>
        <w:t>We need to consider how these proposals are likely to influence funds’ behaviour. If a fund fears that it</w:t>
      </w:r>
      <w:r w:rsidR="000434ED">
        <w:t xml:space="preserve"> i</w:t>
      </w:r>
      <w:r>
        <w:t>s heading towards underperformance it may be tempted to take additional risks in a last-ditch attempt to avert it. This plan may not work and members will pay for it. Funds whose existing performance record is close to the benchmark may become totally risk-averse and adopt a ‘survival at all costs’ strategy, dumbing down their portfolios to ensure they can’t stray far from benchmark performance. By contrast, funds that already have a strong performance record are likely to use that buffer to continue with their successful investment approach. The gap between the best and the rest is likely to widen but we expect there will be investment strategy implications even for better-performing funds.</w:t>
      </w:r>
    </w:p>
    <w:p w14:paraId="3567CBF8" w14:textId="77777777" w:rsidR="0019702B" w:rsidRDefault="0019702B" w:rsidP="00474172">
      <w:pPr>
        <w:spacing w:after="0" w:line="240" w:lineRule="auto"/>
      </w:pPr>
    </w:p>
    <w:p w14:paraId="454C3510" w14:textId="77777777" w:rsidR="0019702B" w:rsidRPr="00474172" w:rsidRDefault="0019702B" w:rsidP="00474172">
      <w:pPr>
        <w:spacing w:after="0" w:line="240" w:lineRule="auto"/>
        <w:rPr>
          <w:i/>
          <w:iCs/>
          <w:color w:val="E18409" w:themeColor="text2"/>
        </w:rPr>
      </w:pPr>
      <w:r w:rsidRPr="00474172">
        <w:rPr>
          <w:i/>
          <w:iCs/>
          <w:color w:val="E18409" w:themeColor="text2"/>
        </w:rPr>
        <w:t>Is this a good test?</w:t>
      </w:r>
    </w:p>
    <w:p w14:paraId="179C7976" w14:textId="77777777" w:rsidR="0019702B" w:rsidRDefault="0019702B" w:rsidP="00474172">
      <w:pPr>
        <w:spacing w:after="0" w:line="240" w:lineRule="auto"/>
      </w:pPr>
      <w:r>
        <w:t xml:space="preserve">In our view, the performance test as proposed is far too blunt as the sole instrument used to weed out underperforming funds. The test is based on one performance metric over one time period. Further, the metric is based on performance compared with a benchmark portfolio that matches the fund’s strategic asset allocation at the asset class level. This approach removes any recognition of value that has been added through asset allocation, the key driver of value for members, and simply measures how well a fund </w:t>
      </w:r>
      <w:r>
        <w:lastRenderedPageBreak/>
        <w:t xml:space="preserve">has implemented its strategic asset allocation. All investment professionals know that implementation represents only a small portion of value generated from investments and most value is generated by asset allocation, which is not measured in the Treasury approach. </w:t>
      </w:r>
    </w:p>
    <w:p w14:paraId="68EC64C1" w14:textId="77777777" w:rsidR="0019702B" w:rsidRDefault="0019702B" w:rsidP="00474172">
      <w:pPr>
        <w:spacing w:after="0" w:line="240" w:lineRule="auto"/>
      </w:pPr>
    </w:p>
    <w:p w14:paraId="4FE2257E" w14:textId="58DCAE3B" w:rsidR="0019702B" w:rsidRDefault="000434ED" w:rsidP="00474172">
      <w:pPr>
        <w:spacing w:after="0" w:line="240" w:lineRule="auto"/>
      </w:pPr>
      <w:r>
        <w:t>Indeed</w:t>
      </w:r>
      <w:r w:rsidR="0019702B">
        <w:t>, it</w:t>
      </w:r>
      <w:r>
        <w:t xml:space="preserve"> i</w:t>
      </w:r>
      <w:r w:rsidR="0019702B">
        <w:t xml:space="preserve">s difficult to come up with a better model if the goal is to have a single metric. The current APRA Heatmap uses a benchmark portfolio with the same level of growth assets (the Simple Reference Portfolio) that recognises some of the value added through asset allocation but it too has some comparison issues, such as the definition of growth assets. </w:t>
      </w:r>
      <w:r>
        <w:t>It also measures performance over different periods</w:t>
      </w:r>
      <w:r w:rsidR="005B40F5">
        <w:t xml:space="preserve"> rather than over one single period</w:t>
      </w:r>
      <w:r>
        <w:t xml:space="preserve">. </w:t>
      </w:r>
    </w:p>
    <w:p w14:paraId="31C52366" w14:textId="77777777" w:rsidR="0019702B" w:rsidRDefault="0019702B" w:rsidP="00474172">
      <w:pPr>
        <w:spacing w:after="0" w:line="240" w:lineRule="auto"/>
      </w:pPr>
    </w:p>
    <w:p w14:paraId="72EBC49C" w14:textId="77777777" w:rsidR="0019702B" w:rsidRPr="00474172" w:rsidRDefault="0019702B" w:rsidP="00474172">
      <w:pPr>
        <w:spacing w:after="0" w:line="240" w:lineRule="auto"/>
        <w:rPr>
          <w:i/>
          <w:iCs/>
          <w:color w:val="E18409" w:themeColor="text2"/>
        </w:rPr>
      </w:pPr>
      <w:r w:rsidRPr="00474172">
        <w:rPr>
          <w:i/>
          <w:iCs/>
          <w:color w:val="E18409" w:themeColor="text2"/>
        </w:rPr>
        <w:t>The core problem – asymmetric consequences</w:t>
      </w:r>
    </w:p>
    <w:p w14:paraId="59E29C97" w14:textId="77777777" w:rsidR="0019702B" w:rsidRDefault="0019702B" w:rsidP="00474172">
      <w:pPr>
        <w:spacing w:after="0" w:line="240" w:lineRule="auto"/>
      </w:pPr>
      <w:r>
        <w:t xml:space="preserve">Perhaps the biggest problem with this use of the performance test is that the consequences of bettering or failing the benchmark are so asymmetric. The penalties for failure (likely termination of the fund) far outweigh the benefits for success (possibly gaining some more members), so this regime will inevitably lead funds towards risk-averse behaviour that’s likely to reduce longer-term returns. It would discourage the diversification that has characterised the best MySuper products and their precursors for decades. And it would discourage innovation in seeking out new sources of return, because the risks of new ideas not paying off would far outweigh the rewards. New sources of return will be particularly important given the challenges that some traditional asset classes face in coming years (especially defensive assets). For all these reasons, we believe the proposed use of the performance test would be detrimental to the super system, and not in the best interests of members. </w:t>
      </w:r>
    </w:p>
    <w:p w14:paraId="659E39E0" w14:textId="77777777" w:rsidR="0019702B" w:rsidRDefault="0019702B" w:rsidP="00474172">
      <w:pPr>
        <w:spacing w:after="0" w:line="240" w:lineRule="auto"/>
      </w:pPr>
    </w:p>
    <w:p w14:paraId="11A684AF" w14:textId="06D7B2BE" w:rsidR="0019702B" w:rsidRDefault="0019702B" w:rsidP="009B101B">
      <w:pPr>
        <w:spacing w:after="0" w:line="240" w:lineRule="auto"/>
      </w:pPr>
      <w:r>
        <w:t>Further, the performance test doesn’t capture the success</w:t>
      </w:r>
      <w:r w:rsidR="000434ED">
        <w:t xml:space="preserve"> (or otherwise)</w:t>
      </w:r>
      <w:r>
        <w:t xml:space="preserve"> of super funds in delivering actual outcomes for members, in terms of dollars in accounts, which is impacted by more than just performance. APRA’s recently introduced outcomes test, which was endorsed in the Productivity Commission report, is a very important development that tries to address this issue. The annual outcomes assessment, as it</w:t>
      </w:r>
      <w:r w:rsidR="00BB7CC1">
        <w:t xml:space="preserve"> i</w:t>
      </w:r>
      <w:r>
        <w:t>s now called, includes a range of evaluations as part of the benchmarking, not simply one metric upon which the whole assessment is based. We believe this multi-factor approach is a much more appropriate way to assess super funds. And we</w:t>
      </w:r>
      <w:r w:rsidR="000434ED">
        <w:t xml:space="preserve"> a</w:t>
      </w:r>
      <w:r>
        <w:t>re already seeing some positive outcomes of funds improving or seeking to wind up or partner with another fund.</w:t>
      </w:r>
    </w:p>
    <w:p w14:paraId="1A19F09E" w14:textId="70308EC6" w:rsidR="0019702B" w:rsidRDefault="0019702B" w:rsidP="00474172">
      <w:pPr>
        <w:spacing w:after="0"/>
      </w:pPr>
    </w:p>
    <w:p w14:paraId="2E5817F6" w14:textId="77777777" w:rsidR="0019702B" w:rsidRPr="009B101B" w:rsidRDefault="0019702B" w:rsidP="00474172">
      <w:pPr>
        <w:spacing w:after="0" w:line="240" w:lineRule="auto"/>
        <w:rPr>
          <w:i/>
          <w:iCs/>
          <w:color w:val="E18409" w:themeColor="text2"/>
        </w:rPr>
      </w:pPr>
      <w:r w:rsidRPr="009B101B">
        <w:rPr>
          <w:i/>
          <w:iCs/>
          <w:color w:val="E18409" w:themeColor="text2"/>
        </w:rPr>
        <w:t xml:space="preserve">A better process </w:t>
      </w:r>
    </w:p>
    <w:p w14:paraId="3794CE54" w14:textId="53C79573" w:rsidR="0019702B" w:rsidRDefault="0019702B" w:rsidP="009B101B">
      <w:pPr>
        <w:spacing w:after="0" w:line="240" w:lineRule="auto"/>
      </w:pPr>
      <w:r>
        <w:t xml:space="preserve">Rather than a super fund </w:t>
      </w:r>
      <w:r w:rsidR="005B40F5">
        <w:t xml:space="preserve">not meeting the singular performance metric </w:t>
      </w:r>
      <w:r>
        <w:t>once and having to nudge members to consider other funds, we believe that such funds should be required to engage in a rigorous review process with APRA to determine their future. Funds would be required to demonstrate to APRA why they</w:t>
      </w:r>
      <w:r w:rsidR="00BB7CC1">
        <w:t xml:space="preserve"> a</w:t>
      </w:r>
      <w:r>
        <w:t>re able to provide improved member outcomes in the future. Part of this would be explaining reasons for their underperformance over the statutory period which may include</w:t>
      </w:r>
      <w:r w:rsidR="009B101B">
        <w:t xml:space="preserve"> i</w:t>
      </w:r>
      <w:r>
        <w:t>mproved performance in the months following the assessment</w:t>
      </w:r>
      <w:r w:rsidR="009B101B">
        <w:t xml:space="preserve"> (</w:t>
      </w:r>
      <w:r>
        <w:t>illustrating the end-point dependency of the assessment date</w:t>
      </w:r>
      <w:r w:rsidR="009B101B">
        <w:t>), m</w:t>
      </w:r>
      <w:r>
        <w:t>aterial changes to team structure or to the investment strategy/asset allocation during the assessment period</w:t>
      </w:r>
      <w:r w:rsidR="009B101B">
        <w:t xml:space="preserve">, </w:t>
      </w:r>
      <w:r w:rsidR="00BB7CC1">
        <w:t xml:space="preserve">and </w:t>
      </w:r>
      <w:r w:rsidR="009B101B">
        <w:t>s</w:t>
      </w:r>
      <w:r>
        <w:t>ignificant market corrections or shocks that particularly impacted on their investment portfolio and are likely to turn around.</w:t>
      </w:r>
    </w:p>
    <w:p w14:paraId="62BC39EA" w14:textId="77777777" w:rsidR="0019702B" w:rsidRDefault="0019702B" w:rsidP="000434ED">
      <w:pPr>
        <w:spacing w:after="0" w:line="240" w:lineRule="auto"/>
      </w:pPr>
    </w:p>
    <w:p w14:paraId="6A06B832" w14:textId="6DA24638" w:rsidR="0019702B" w:rsidRDefault="0019702B" w:rsidP="000434ED">
      <w:pPr>
        <w:spacing w:after="0" w:line="240" w:lineRule="auto"/>
      </w:pPr>
      <w:r>
        <w:t xml:space="preserve">In </w:t>
      </w:r>
      <w:r w:rsidR="00766AA3">
        <w:t>its</w:t>
      </w:r>
      <w:r>
        <w:t xml:space="preserve"> assessment, APRA should have the flexibility to consider other matters beyond the statutory performance metric including performance over other periods, the quality and value of insurance and the provision of member services and advice, and the success of these initiatives in driving better outcomes for members.</w:t>
      </w:r>
    </w:p>
    <w:p w14:paraId="056CC55D" w14:textId="77777777" w:rsidR="000434ED" w:rsidRDefault="000434ED" w:rsidP="000434ED">
      <w:pPr>
        <w:spacing w:after="0" w:line="240" w:lineRule="auto"/>
      </w:pPr>
    </w:p>
    <w:p w14:paraId="7856B1B7" w14:textId="45788044" w:rsidR="0019702B" w:rsidRDefault="0019702B" w:rsidP="0019702B">
      <w:pPr>
        <w:spacing w:line="240" w:lineRule="auto"/>
      </w:pPr>
      <w:r>
        <w:t xml:space="preserve">We believe that such a detailed assessment should be conducted before the regulator ‘pulls the trigger’ and a fund is obligated to nudge members to look elsewhere. If APRA can engage constructively with funds that are struggling it will be better placed to make an informed judgement on whether they should be closed to new members – or, indeed, closed completely. If that’s the case, APRA could help facilitate a Successor Fund Transfer to ensure a more orderly exit of members. This would be preferable to funds being publicly </w:t>
      </w:r>
      <w:r>
        <w:lastRenderedPageBreak/>
        <w:t>discredited, followed by an abrupt exodus of members that would only serve to erode confidence in the system.</w:t>
      </w:r>
    </w:p>
    <w:p w14:paraId="3ADD902A" w14:textId="7164DB31" w:rsidR="00766AA3" w:rsidRDefault="00766AA3" w:rsidP="0019702B">
      <w:pPr>
        <w:spacing w:line="240" w:lineRule="auto"/>
      </w:pPr>
      <w:r>
        <w:rPr>
          <w:rFonts w:ascii="Arial" w:hAnsi="Arial" w:cs="Arial"/>
          <w:color w:val="000000"/>
        </w:rPr>
        <w:t xml:space="preserve">We support the Exposure Draft’s insertion of APRA’s role in determining the formulas to use for the performance test and its discretion in determining whether a fund has passed the performance test, but </w:t>
      </w:r>
      <w:r w:rsidR="005B40F5">
        <w:rPr>
          <w:rFonts w:ascii="Arial" w:hAnsi="Arial" w:cs="Arial"/>
          <w:color w:val="000000"/>
        </w:rPr>
        <w:t xml:space="preserve">the final wording of the Regulations </w:t>
      </w:r>
      <w:r>
        <w:rPr>
          <w:rFonts w:ascii="Arial" w:hAnsi="Arial" w:cs="Arial"/>
          <w:color w:val="000000"/>
        </w:rPr>
        <w:t>will be important to ensure an appropriate level of discretion is provided.</w:t>
      </w:r>
    </w:p>
    <w:p w14:paraId="03DE88DC" w14:textId="77777777" w:rsidR="0019702B" w:rsidRPr="00474172" w:rsidRDefault="0019702B" w:rsidP="0019702B">
      <w:pPr>
        <w:rPr>
          <w:rFonts w:ascii="Arial" w:hAnsi="Arial" w:cs="Arial"/>
          <w:i/>
          <w:iCs/>
          <w:color w:val="E18409"/>
          <w:sz w:val="24"/>
          <w:szCs w:val="24"/>
        </w:rPr>
      </w:pPr>
      <w:r w:rsidRPr="00474172">
        <w:rPr>
          <w:rFonts w:ascii="Arial" w:hAnsi="Arial" w:cs="Arial"/>
          <w:i/>
          <w:iCs/>
          <w:color w:val="E18409"/>
          <w:sz w:val="24"/>
          <w:szCs w:val="24"/>
        </w:rPr>
        <w:t>Technical issues to be addressed with the proposed performance test</w:t>
      </w:r>
    </w:p>
    <w:p w14:paraId="0B351D5E" w14:textId="77777777" w:rsidR="0019702B" w:rsidRDefault="0019702B" w:rsidP="0019702B">
      <w:pPr>
        <w:spacing w:line="240" w:lineRule="auto"/>
      </w:pPr>
      <w:r>
        <w:t>Any reform proposals inevitably give rise to complications in their application, and this time is no different. Just briefly, here are some more obvious issues that would need to be resolved in how the performance test would operate:</w:t>
      </w:r>
    </w:p>
    <w:p w14:paraId="1382196C" w14:textId="77777777" w:rsidR="0019702B" w:rsidRDefault="0019702B" w:rsidP="000434ED">
      <w:pPr>
        <w:pStyle w:val="ListParagraph"/>
        <w:numPr>
          <w:ilvl w:val="0"/>
          <w:numId w:val="16"/>
        </w:numPr>
        <w:spacing w:after="120" w:line="240" w:lineRule="auto"/>
        <w:ind w:left="406"/>
      </w:pPr>
      <w:r>
        <w:t>How the test would be applied to lifecycle products where some cohorts might clear the hurdle, but others fall short.  The fund as a whole would need to pass or fail the test, so the variances from benchmark for different cohorts would have to be asset-weighted, member-weighted or some other method. We expect a member-weighted assessment would be more appropriate so that the outcomes of higher balance older members do not dominate the assessment.</w:t>
      </w:r>
    </w:p>
    <w:p w14:paraId="42C7130C" w14:textId="77777777" w:rsidR="0019702B" w:rsidRDefault="0019702B" w:rsidP="000434ED">
      <w:pPr>
        <w:pStyle w:val="ListParagraph"/>
        <w:numPr>
          <w:ilvl w:val="0"/>
          <w:numId w:val="16"/>
        </w:numPr>
        <w:spacing w:after="120" w:line="240" w:lineRule="auto"/>
        <w:ind w:left="406"/>
      </w:pPr>
      <w:r>
        <w:t xml:space="preserve">Fund performance will be assessed against reference portfolios based on each fund’s strategic asset allocation (SAA). The problem is that the SAAs published by funds are quite different in nature. Some funds have long-term SAAs that rarely if ever change, while others have more fluid SAAs that are adjusted according to their outlook for asset sectors over the next year or two. So the asset allocation that determines the reference portfolio, the key measure of success, represents different things to different funds. This will mean some funds will be advantaged and others disadvantaged by the way they disclose their SAAs. </w:t>
      </w:r>
    </w:p>
    <w:p w14:paraId="318AAD37" w14:textId="77777777" w:rsidR="0019702B" w:rsidRDefault="0019702B" w:rsidP="000434ED">
      <w:pPr>
        <w:pStyle w:val="ListParagraph"/>
        <w:numPr>
          <w:ilvl w:val="0"/>
          <w:numId w:val="16"/>
        </w:numPr>
        <w:spacing w:after="120" w:line="240" w:lineRule="auto"/>
        <w:ind w:left="406"/>
      </w:pPr>
      <w:r>
        <w:t>The proposed performance test is measured after investment fees and tax, but should it be after administration fees as well? While it may seem natural to measure performance net of all fees, there are some problems with this approach. One is that administration fees generally include a dollar-based element so any comparison will depend on the account balance assumed. While a common account balance could be used (e.g. $50,000) which could work for MySuper products, this balance may not be appropriate for some retail choice products that target higher balances (which will be included in 2022).</w:t>
      </w:r>
    </w:p>
    <w:p w14:paraId="6B98B3F4" w14:textId="77777777" w:rsidR="0019702B" w:rsidRDefault="0019702B" w:rsidP="000434ED">
      <w:pPr>
        <w:pStyle w:val="ListParagraph"/>
        <w:spacing w:after="120" w:line="240" w:lineRule="auto"/>
        <w:ind w:left="406"/>
      </w:pPr>
      <w:r>
        <w:t>Including administration fees would introduce another complication in that the benchmark portfolio performance would need to be adjusted for some assumed level of administration fees and the impact of related tax deductions. Further, the most relevant administration fee to include in the analysis would be the current fee, rather than the fees charged historically which will be reflected in ‘net of all fees’ returns. For this reason, we believe it is best to consider performance net of investment fees and tax only, and to consider administration fees separately. This has the added advantage of clarifying whether a fund’s underperformance net of all fees is due to investment or fee issues.</w:t>
      </w:r>
    </w:p>
    <w:p w14:paraId="392AC205" w14:textId="77777777" w:rsidR="00766AA3" w:rsidRPr="00766AA3" w:rsidRDefault="0019702B" w:rsidP="000434ED">
      <w:pPr>
        <w:pStyle w:val="ListParagraph"/>
        <w:numPr>
          <w:ilvl w:val="0"/>
          <w:numId w:val="16"/>
        </w:numPr>
        <w:spacing w:after="120"/>
        <w:ind w:left="426" w:hanging="426"/>
        <w:rPr>
          <w:szCs w:val="19"/>
        </w:rPr>
      </w:pPr>
      <w:r>
        <w:t>The proposed 8-year measurement period seems to be fairly arbitrary. We’ve never come across any funds that use this time period for measurement. The choice of this period by the Productivity Commission may have something to do with its view that fund-level data improved from 2011, allowing the full range of funds to be included in the analysis. As more data becomes available, we believe a 10-year period (the same period that most funds now use for their performance measurement) would a more appropriate timeframe to represent the long term.</w:t>
      </w:r>
    </w:p>
    <w:p w14:paraId="2BC58FC5" w14:textId="77777777" w:rsidR="00275DE6" w:rsidRDefault="00275DE6" w:rsidP="000434ED">
      <w:pPr>
        <w:spacing w:after="0" w:line="240" w:lineRule="auto"/>
        <w:rPr>
          <w:rFonts w:ascii="Arial" w:hAnsi="Arial" w:cs="Arial"/>
          <w:i/>
          <w:iCs/>
          <w:color w:val="E18409"/>
          <w:sz w:val="24"/>
          <w:szCs w:val="24"/>
        </w:rPr>
      </w:pPr>
      <w:r>
        <w:rPr>
          <w:rFonts w:ascii="Arial" w:hAnsi="Arial" w:cs="Arial"/>
          <w:i/>
          <w:iCs/>
          <w:color w:val="E18409"/>
          <w:sz w:val="24"/>
          <w:szCs w:val="24"/>
        </w:rPr>
        <w:br w:type="page"/>
      </w:r>
    </w:p>
    <w:p w14:paraId="3862117C" w14:textId="27A2CE00" w:rsidR="00766AA3" w:rsidRPr="00275DE6" w:rsidRDefault="00766AA3" w:rsidP="000434ED">
      <w:pPr>
        <w:spacing w:after="0"/>
        <w:rPr>
          <w:rFonts w:ascii="Arial" w:hAnsi="Arial" w:cs="Arial"/>
          <w:i/>
          <w:iCs/>
          <w:color w:val="E18409"/>
          <w:sz w:val="24"/>
          <w:szCs w:val="24"/>
        </w:rPr>
      </w:pPr>
      <w:r w:rsidRPr="00275DE6">
        <w:rPr>
          <w:rFonts w:ascii="Arial" w:hAnsi="Arial" w:cs="Arial"/>
          <w:i/>
          <w:iCs/>
          <w:color w:val="E18409"/>
          <w:sz w:val="24"/>
          <w:szCs w:val="24"/>
        </w:rPr>
        <w:lastRenderedPageBreak/>
        <w:t>What about a test on fees?</w:t>
      </w:r>
    </w:p>
    <w:p w14:paraId="25458975" w14:textId="3242B62F" w:rsidR="00766AA3" w:rsidRDefault="00766AA3" w:rsidP="000434ED">
      <w:pPr>
        <w:spacing w:after="0" w:line="240" w:lineRule="auto"/>
      </w:pPr>
      <w:r>
        <w:t>ASFA’s proposal suggested that fees should come into consideration as well as performance. This is something we would support, although we believe ASFA’s proposed fee threshold is too generous and that passing the fees test should not provide exemption from the investment performance test. We believe there should be a separate test on fees that funds must also meet.</w:t>
      </w:r>
    </w:p>
    <w:p w14:paraId="445409BB" w14:textId="77777777" w:rsidR="000434ED" w:rsidRDefault="000434ED" w:rsidP="000434ED">
      <w:pPr>
        <w:spacing w:after="0" w:line="240" w:lineRule="auto"/>
      </w:pPr>
    </w:p>
    <w:p w14:paraId="77B704F3" w14:textId="300ED688" w:rsidR="00766AA3" w:rsidRDefault="00766AA3" w:rsidP="000434ED">
      <w:pPr>
        <w:spacing w:after="0" w:line="240" w:lineRule="auto"/>
      </w:pPr>
      <w:r>
        <w:t xml:space="preserve">There is a case for having the fees test relate to administration fees only, because investment fees are captured anyway in the net performance data. It would seem wrong to penalise funds that have high investment fees if – as is often the case in MySuper products – those higher investment fees relate to unlisted and alternative assets that help to drive higher net returns. If only administration fees are tested then of course there is the possibility of fee-shifting to ‘game’ the system, which would need to be monitored. The administration fee benchmark for MySuper could be set at say </w:t>
      </w:r>
      <w:r w:rsidRPr="00C42078">
        <w:t>0.50 or 60%</w:t>
      </w:r>
      <w:r>
        <w:t xml:space="preserve"> for a $50,000 balance as APRA has done in its MySuper Heatmap (APRA starts to highlight administration fees as high from about 0.50%). </w:t>
      </w:r>
    </w:p>
    <w:p w14:paraId="2D8D4E7B" w14:textId="77777777" w:rsidR="00275DE6" w:rsidRDefault="00275DE6" w:rsidP="00BB7CC1">
      <w:pPr>
        <w:rPr>
          <w:rFonts w:ascii="Arial" w:hAnsi="Arial" w:cs="Arial"/>
          <w:b/>
          <w:bCs/>
          <w:color w:val="E18409"/>
          <w:sz w:val="24"/>
          <w:szCs w:val="24"/>
        </w:rPr>
      </w:pPr>
    </w:p>
    <w:p w14:paraId="3CE54AB3" w14:textId="55295421" w:rsidR="00BB7CC1" w:rsidRPr="00F47B86" w:rsidRDefault="00BB7CC1" w:rsidP="00BB7CC1">
      <w:pPr>
        <w:rPr>
          <w:rFonts w:ascii="Arial" w:hAnsi="Arial" w:cs="Arial"/>
          <w:b/>
          <w:bCs/>
          <w:color w:val="E18409"/>
          <w:sz w:val="24"/>
          <w:szCs w:val="24"/>
        </w:rPr>
      </w:pPr>
      <w:r w:rsidRPr="00F47B86">
        <w:rPr>
          <w:rFonts w:ascii="Arial" w:hAnsi="Arial" w:cs="Arial"/>
          <w:b/>
          <w:bCs/>
          <w:color w:val="E18409"/>
          <w:sz w:val="24"/>
          <w:szCs w:val="24"/>
        </w:rPr>
        <w:t xml:space="preserve">Multiple accounts – a consequence of the current default system </w:t>
      </w:r>
    </w:p>
    <w:p w14:paraId="436F8A85" w14:textId="77777777" w:rsidR="00BB7CC1" w:rsidRDefault="00BB7CC1" w:rsidP="00BB7CC1">
      <w:pPr>
        <w:spacing w:line="240" w:lineRule="auto"/>
      </w:pPr>
      <w:r>
        <w:t xml:space="preserve">The current system where members are allocated to funds by default when they start a new job – unless they exercise choice of fund – has resulted in millions of unintended multiple accounts. </w:t>
      </w:r>
    </w:p>
    <w:p w14:paraId="2921F3D3" w14:textId="77777777" w:rsidR="00BB7CC1" w:rsidRDefault="00BB7CC1" w:rsidP="00BB7CC1">
      <w:pPr>
        <w:spacing w:line="240" w:lineRule="auto"/>
      </w:pPr>
      <w:r>
        <w:t>Even after a concerted effort to encourage members to consolidate accounts, 36% – or about 6 million people – still have more than one account and 5% have four or more. We expect these numbers will have improved somewhat with the introduction of Protecting Your Super (PYS) and the account consolidation efforts of funds themselves, but the problem remains. While some of those multiple accounts may be justified, perhaps to preserve insurance cover, the vast majority are not. They represent one of the greatest inefficiencies of the system and account for a huge amount in wasted fees.</w:t>
      </w:r>
    </w:p>
    <w:p w14:paraId="1693A186" w14:textId="77777777" w:rsidR="00BB7CC1" w:rsidRDefault="00BB7CC1" w:rsidP="00BB7CC1">
      <w:pPr>
        <w:spacing w:line="240" w:lineRule="auto"/>
      </w:pPr>
      <w:r>
        <w:t xml:space="preserve">The stapling approach, described in the ‘Your super follows you’ Budget initiative, presents an opportunity to address this issue by stopping the ongoing creation of even more multiple accounts. This approach was a key recommendation of the Productivity Commission report and it seems to be the most practical solution to the problem. Conceptually it makes sense for a member’s existing fund account to follow them from job to job, but that assumes (a) that the fund was suitable for them in their old job and (b) that it will continue to be suitable for them in their new job. We need to make sure, once again, that this initiative is implemented in a way that addresses the current problems and doesn’t create new problems.  </w:t>
      </w:r>
    </w:p>
    <w:p w14:paraId="38A84A2D" w14:textId="77777777" w:rsidR="00BB7CC1" w:rsidRDefault="00BB7CC1" w:rsidP="00BB7CC1">
      <w:pPr>
        <w:spacing w:line="240" w:lineRule="auto"/>
      </w:pPr>
      <w:r>
        <w:t xml:space="preserve">Under account stapling, the only time that a default fund is relevant is when someone starts their first job. When they start subsequent jobs, their current fund will become the default. Staying put in an existing fund will be easy for employees, and the proposals outline how the ATO will make that a simple option for employers too. </w:t>
      </w:r>
    </w:p>
    <w:p w14:paraId="2B32788A" w14:textId="77777777" w:rsidR="00BB7CC1" w:rsidRDefault="00BB7CC1" w:rsidP="00BB7CC1">
      <w:pPr>
        <w:spacing w:line="240" w:lineRule="auto"/>
      </w:pPr>
      <w:r>
        <w:t xml:space="preserve">Throughout its proposals Treasury emphasises the need to stimulate competition, but there’s a danger that the implementation of stapling will work in the opposite direction. Many young people will start out in, say, retail or hospitality on a part-time or casual basis, and be enrolled in the default funds for those occupations – typically Rest and Hostplus. When those young people then move into longer-term careers in other occupations, the stapling model would have them stay in those original funds for the rest of their working lives unless they choose otherwise. </w:t>
      </w:r>
    </w:p>
    <w:p w14:paraId="4A4717F4" w14:textId="77777777" w:rsidR="00BB7CC1" w:rsidRDefault="00BB7CC1" w:rsidP="00BB7CC1">
      <w:pPr>
        <w:spacing w:line="240" w:lineRule="auto"/>
      </w:pPr>
      <w:r>
        <w:t xml:space="preserve">However, the insurance available in these funds may not be appropriate for someone moving into higher risk occupations such as construction or lower risk occupations like teaching or office work. Those members may be better in a fund that’s focused on those occupations, with appropriate insurance for that group, or in a corporate plan that has secured tailored insurance arrangements that provides appropriate levels of default cover for the occupation, at relatively low cost. This arrangement of defaulting once for new entrants to the system is not ideal, but neither is a ‘Best in Show’ model where new members joining the system are allocated randomly between top-performing funds if they do not choose. </w:t>
      </w:r>
    </w:p>
    <w:p w14:paraId="246ED2F8" w14:textId="77777777" w:rsidR="00BB7CC1" w:rsidRDefault="00BB7CC1" w:rsidP="00BB7CC1">
      <w:pPr>
        <w:spacing w:line="240" w:lineRule="auto"/>
      </w:pPr>
      <w:r>
        <w:lastRenderedPageBreak/>
        <w:t>Another problem scenario is for a current member of a corporate plan whose employer may have negotiated significant discounts on fees and/or insurance and for whom their plan represents excellent value. On leaving that employer the member will remain in the same overall fund, but they will transition from the employer plan to the generic MySuper product where they will generally pay higher fees and premiums. Again, unless the member makes an active choice when they start their new job, they may be left in an inappropriate product by default. It’s also hard to see how new members would access these corporate plans in the future as they would need to actively choose. This may lead to the phasing out of corporate plans that often represent very good value to members.</w:t>
      </w:r>
    </w:p>
    <w:p w14:paraId="4AA03A14" w14:textId="77777777" w:rsidR="00BB7CC1" w:rsidRPr="00766AA3" w:rsidRDefault="00BB7CC1" w:rsidP="00BB7CC1">
      <w:pPr>
        <w:rPr>
          <w:rFonts w:ascii="Arial" w:hAnsi="Arial" w:cs="Arial"/>
          <w:i/>
          <w:iCs/>
          <w:color w:val="E18409"/>
          <w:sz w:val="24"/>
          <w:szCs w:val="24"/>
        </w:rPr>
      </w:pPr>
      <w:r w:rsidRPr="00766AA3">
        <w:rPr>
          <w:rFonts w:ascii="Arial" w:hAnsi="Arial" w:cs="Arial"/>
          <w:i/>
          <w:iCs/>
          <w:color w:val="E18409"/>
          <w:sz w:val="24"/>
          <w:szCs w:val="24"/>
        </w:rPr>
        <w:t>Can we make choice work?</w:t>
      </w:r>
    </w:p>
    <w:p w14:paraId="7FE0DDC4" w14:textId="6ED68936" w:rsidR="00BB7CC1" w:rsidRDefault="00BB7CC1" w:rsidP="00BB7CC1">
      <w:pPr>
        <w:spacing w:line="240" w:lineRule="auto"/>
      </w:pPr>
      <w:r>
        <w:t xml:space="preserve">Treasury’s model is aimed at empowering members by providing easy access to comparative data about funds through the </w:t>
      </w:r>
      <w:proofErr w:type="spellStart"/>
      <w:r w:rsidRPr="00493FB8">
        <w:rPr>
          <w:i/>
          <w:iCs/>
        </w:rPr>
        <w:t>YourSuper</w:t>
      </w:r>
      <w:proofErr w:type="spellEnd"/>
      <w:r>
        <w:t xml:space="preserve"> tool and so shifting the system towards individual choice, which is a reasonable goal. The success of the stapling model relies on members, at key times over their career, considering whether their current fund is appropriate for their circumstances. But is this achievable? Is it realistic to think a meaningful number of members will be engaged enough to choose their super fund? And if so, are they likely to make good choices? Indeed, stapling has the potential to actually reduce engagement as nothing needs to be done in relation to super when someone changes jobs.</w:t>
      </w:r>
    </w:p>
    <w:p w14:paraId="2F5B4990" w14:textId="3EE3891B" w:rsidR="00275DE6" w:rsidRDefault="005B40F5" w:rsidP="00275DE6">
      <w:pPr>
        <w:pStyle w:val="NormalWeb"/>
        <w:spacing w:before="0" w:beforeAutospacing="0" w:after="0" w:afterAutospacing="0"/>
        <w:rPr>
          <w:rFonts w:ascii="Arial" w:hAnsi="Arial" w:cs="Arial"/>
          <w:color w:val="000000"/>
          <w:sz w:val="18"/>
          <w:szCs w:val="18"/>
        </w:rPr>
      </w:pPr>
      <w:r>
        <w:rPr>
          <w:rFonts w:ascii="Arial" w:hAnsi="Arial" w:cs="Arial"/>
          <w:color w:val="000000"/>
        </w:rPr>
        <w:t>F</w:t>
      </w:r>
      <w:r w:rsidR="00275DE6">
        <w:rPr>
          <w:rFonts w:ascii="Arial" w:hAnsi="Arial" w:cs="Arial"/>
          <w:color w:val="000000"/>
        </w:rPr>
        <w:t xml:space="preserve">or account stapling to work, there must be an online service available through which employers can be instantly informed of an employee’s stapled fund. This seemed to be the intent from the Treasury proposal at the time of the budget but the Exposure Draft and Explanatory Materials </w:t>
      </w:r>
      <w:r>
        <w:rPr>
          <w:rFonts w:ascii="Arial" w:hAnsi="Arial" w:cs="Arial"/>
          <w:color w:val="000000"/>
        </w:rPr>
        <w:t xml:space="preserve">seem to describe a manual process </w:t>
      </w:r>
      <w:r w:rsidR="00275DE6">
        <w:rPr>
          <w:rFonts w:ascii="Arial" w:hAnsi="Arial" w:cs="Arial"/>
          <w:color w:val="000000"/>
        </w:rPr>
        <w:t xml:space="preserve">whereby the employer requests and the Commissioner provides notification of the employee’s stapled account. It will be imperative to have this notification occur online </w:t>
      </w:r>
      <w:r>
        <w:rPr>
          <w:rFonts w:ascii="Arial" w:hAnsi="Arial" w:cs="Arial"/>
          <w:color w:val="000000"/>
        </w:rPr>
        <w:t xml:space="preserve">and instantly </w:t>
      </w:r>
      <w:r w:rsidR="00275DE6">
        <w:rPr>
          <w:rFonts w:ascii="Arial" w:hAnsi="Arial" w:cs="Arial"/>
          <w:color w:val="000000"/>
        </w:rPr>
        <w:t xml:space="preserve">from the commencement of </w:t>
      </w:r>
      <w:r>
        <w:rPr>
          <w:rFonts w:ascii="Arial" w:hAnsi="Arial" w:cs="Arial"/>
          <w:color w:val="000000"/>
        </w:rPr>
        <w:t xml:space="preserve">the </w:t>
      </w:r>
      <w:r w:rsidR="00275DE6">
        <w:rPr>
          <w:rFonts w:ascii="Arial" w:hAnsi="Arial" w:cs="Arial"/>
          <w:color w:val="000000"/>
        </w:rPr>
        <w:t xml:space="preserve">account stapling </w:t>
      </w:r>
      <w:r>
        <w:rPr>
          <w:rFonts w:ascii="Arial" w:hAnsi="Arial" w:cs="Arial"/>
          <w:color w:val="000000"/>
        </w:rPr>
        <w:t>regime at 1 July 2021. I</w:t>
      </w:r>
      <w:r w:rsidR="00275DE6">
        <w:rPr>
          <w:rFonts w:ascii="Arial" w:hAnsi="Arial" w:cs="Arial"/>
          <w:color w:val="000000"/>
        </w:rPr>
        <w:t>f an online service is not available at 1 July 2021, the introduction of account stapling should be delayed.</w:t>
      </w:r>
    </w:p>
    <w:p w14:paraId="110018A8" w14:textId="77777777" w:rsidR="00275DE6" w:rsidRDefault="00275DE6" w:rsidP="00275DE6">
      <w:pPr>
        <w:spacing w:after="0" w:line="240" w:lineRule="auto"/>
      </w:pPr>
    </w:p>
    <w:p w14:paraId="70A8937F" w14:textId="11011234" w:rsidR="00BB7CC1" w:rsidRDefault="00275DE6" w:rsidP="00BB7CC1">
      <w:pPr>
        <w:spacing w:line="240" w:lineRule="auto"/>
      </w:pPr>
      <w:r>
        <w:t xml:space="preserve">Once this online notification system is introduced for employers, it is also important for employees to be </w:t>
      </w:r>
      <w:r w:rsidR="00BB7CC1">
        <w:t xml:space="preserve">provided with the opportunity to review their superannuation arrangements regularly and at appropriate times, especially when they are changing jobs. Indeed, Recommendation 1 from the Productivity Commission’s final report was: </w:t>
      </w:r>
    </w:p>
    <w:p w14:paraId="0E2F738A" w14:textId="77777777" w:rsidR="00BB7CC1" w:rsidRDefault="00BB7CC1" w:rsidP="00BB7CC1">
      <w:pPr>
        <w:spacing w:line="240" w:lineRule="auto"/>
      </w:pPr>
      <w:r>
        <w:t xml:space="preserve">‘The Australian Government and the ATO should continue work towards establishing a centralised online service for members, employers and the Government that builds on the existing functionality of </w:t>
      </w:r>
      <w:proofErr w:type="spellStart"/>
      <w:r>
        <w:t>myGov</w:t>
      </w:r>
      <w:proofErr w:type="spellEnd"/>
      <w:r>
        <w:t xml:space="preserve"> and Single Touch Payroll. The service should:</w:t>
      </w:r>
    </w:p>
    <w:p w14:paraId="4D70271C" w14:textId="77777777" w:rsidR="00BB7CC1" w:rsidRDefault="00BB7CC1" w:rsidP="00BB7CC1">
      <w:pPr>
        <w:pStyle w:val="ListParagraph"/>
        <w:numPr>
          <w:ilvl w:val="0"/>
          <w:numId w:val="15"/>
        </w:numPr>
        <w:spacing w:line="240" w:lineRule="auto"/>
        <w:ind w:left="392"/>
      </w:pPr>
      <w:r>
        <w:t>allow members to register online their choice to open, close or consolidate accounts when they’re submitting their Tax File Number on starting a new job</w:t>
      </w:r>
    </w:p>
    <w:p w14:paraId="62993CEE" w14:textId="77777777" w:rsidR="00BB7CC1" w:rsidRDefault="00BB7CC1" w:rsidP="00BB7CC1">
      <w:pPr>
        <w:pStyle w:val="ListParagraph"/>
        <w:numPr>
          <w:ilvl w:val="0"/>
          <w:numId w:val="15"/>
        </w:numPr>
        <w:spacing w:line="240" w:lineRule="auto"/>
        <w:ind w:left="392"/>
      </w:pPr>
      <w:r>
        <w:t xml:space="preserve">facilitate the carryover of existing member accounts when members change jobs </w:t>
      </w:r>
    </w:p>
    <w:p w14:paraId="2BC3558C" w14:textId="77777777" w:rsidR="00BB7CC1" w:rsidRDefault="00BB7CC1" w:rsidP="00BB7CC1">
      <w:pPr>
        <w:pStyle w:val="ListParagraph"/>
        <w:numPr>
          <w:ilvl w:val="0"/>
          <w:numId w:val="15"/>
        </w:numPr>
        <w:spacing w:line="240" w:lineRule="auto"/>
        <w:ind w:left="392"/>
      </w:pPr>
      <w:r>
        <w:t>collect information about member choices (including on whether they are electing to open a MySuper account) for the Government’</w:t>
      </w:r>
    </w:p>
    <w:p w14:paraId="7FB5A297" w14:textId="77777777" w:rsidR="00BB7CC1" w:rsidRDefault="00BB7CC1" w:rsidP="00BB7CC1">
      <w:pPr>
        <w:spacing w:line="240" w:lineRule="auto"/>
      </w:pPr>
      <w:r>
        <w:t xml:space="preserve">This solution would ensure that whenever any employee started a new job, they would interact with the centralised online service and would be presented with their current fund and asked whether they wanted to retain that fund or choose a different fund. While the concept of a default fund would no longer exist, new employees could be presented with their employer’s ‘preferred’ fund as an option. This ‘preferred’ fund could be an industry fund, corporate fund, public sector fund or a corporate plan that has been negotiated for that particular employer. Product information could be provided for the member’s current fund and the ‘preferred’ fund as part of the centralised online service or as part of the </w:t>
      </w:r>
      <w:proofErr w:type="spellStart"/>
      <w:r w:rsidRPr="00176E94">
        <w:rPr>
          <w:i/>
          <w:iCs/>
        </w:rPr>
        <w:t>YourSuper</w:t>
      </w:r>
      <w:proofErr w:type="spellEnd"/>
      <w:r>
        <w:t xml:space="preserve"> comparison tool.</w:t>
      </w:r>
    </w:p>
    <w:p w14:paraId="762B66AD" w14:textId="77777777" w:rsidR="00BB7CC1" w:rsidRDefault="00BB7CC1" w:rsidP="00BB7CC1">
      <w:pPr>
        <w:spacing w:line="240" w:lineRule="auto"/>
      </w:pPr>
      <w:r>
        <w:t xml:space="preserve">For this approach to succeed there would need to be universal participation in the online service from all employees and employers. This should be possible, given the need for employee, employer and ATO to interact at the commencement of employment to provide the employee’s Tax File Number. </w:t>
      </w:r>
    </w:p>
    <w:p w14:paraId="7A0EE35F" w14:textId="77777777" w:rsidR="00BB7CC1" w:rsidRDefault="00BB7CC1" w:rsidP="00BB7CC1">
      <w:pPr>
        <w:spacing w:line="240" w:lineRule="auto"/>
      </w:pPr>
      <w:r>
        <w:lastRenderedPageBreak/>
        <w:t xml:space="preserve">While the Treasury paper discusses the </w:t>
      </w:r>
      <w:proofErr w:type="spellStart"/>
      <w:r w:rsidRPr="00176E94">
        <w:rPr>
          <w:i/>
          <w:iCs/>
        </w:rPr>
        <w:t>YourSuper</w:t>
      </w:r>
      <w:proofErr w:type="spellEnd"/>
      <w:r>
        <w:t xml:space="preserve"> comparison tool and the employer portal that allows them to identify an employee’s current default fund, it has ignored the Productivity Commission’s recommended use of such a service as part of onboarding employees alongside the TFN declaration, which in our view is critical for this model to succeed. </w:t>
      </w:r>
    </w:p>
    <w:p w14:paraId="4448EE28" w14:textId="4E80BAF1" w:rsidR="00BB7CC1" w:rsidRDefault="00BB7CC1" w:rsidP="00BB7CC1">
      <w:pPr>
        <w:spacing w:line="240" w:lineRule="auto"/>
      </w:pPr>
      <w:r>
        <w:t xml:space="preserve">This centralised online service could also be incorporated into the tax return submission process on the </w:t>
      </w:r>
      <w:proofErr w:type="spellStart"/>
      <w:r>
        <w:t>myGov</w:t>
      </w:r>
      <w:proofErr w:type="spellEnd"/>
      <w:r>
        <w:t xml:space="preserve"> website to ensure that every person is presented with their current fund at least once a year. It may also be helpful to nudge employees to review their super fund at some key milestones, especially if they have retained their original default fund from their teenage years. A key milestone may be their 25th birthday, by which time they are more likely to have finished training and settled on a particular industry for their future career (at least for a time) and it is also when members are eligible for default insurance.</w:t>
      </w:r>
    </w:p>
    <w:p w14:paraId="3B909454" w14:textId="77777777" w:rsidR="00275DE6" w:rsidRDefault="00275DE6" w:rsidP="00BB7CC1">
      <w:pPr>
        <w:spacing w:line="240" w:lineRule="auto"/>
      </w:pPr>
    </w:p>
    <w:p w14:paraId="587F965B" w14:textId="080436F0" w:rsidR="00BB7CC1" w:rsidRPr="00EF35F5" w:rsidRDefault="00BB7CC1" w:rsidP="005B40F5">
      <w:pPr>
        <w:ind w:right="199"/>
        <w:rPr>
          <w:rFonts w:cs="Arial"/>
          <w:i/>
          <w:iCs/>
          <w:sz w:val="16"/>
          <w:szCs w:val="16"/>
          <w:lang w:val="en-US"/>
        </w:rPr>
      </w:pPr>
      <w:r w:rsidRPr="00DF6BDA">
        <w:rPr>
          <w:rFonts w:ascii="Arial" w:hAnsi="Arial" w:cs="Arial"/>
          <w:color w:val="333333"/>
          <w:sz w:val="18"/>
          <w:szCs w:val="18"/>
        </w:rPr>
        <w:t xml:space="preserve">Disclaimer: </w:t>
      </w:r>
      <w:r w:rsidR="00DF6BDA">
        <w:rPr>
          <w:rFonts w:ascii="Arial" w:hAnsi="Arial" w:cs="Arial"/>
          <w:color w:val="333333"/>
          <w:sz w:val="18"/>
          <w:szCs w:val="18"/>
        </w:rPr>
        <w:t>©Zenith CW Pty Ltd ABN 20 639 121 403 (Chant West), Authorised Representative of Zenith Investment Partners Pty Ltd ABN 27 103 132 672, AFSL 226872 under AFS Representative Number 1280401 is the provider of General Advice (s766B Corporations Act 2001).  To the extent that any content of this document constitutes advice, it is General Advice for Wholesale clients only and prepared exclusively for Chant West clients, without taking into consideration the objectives, financial situation or needs of any specific person.  It is not a specific recommendation to purchase, sell or hold any financial product(s) and the contents of this document is subject to change or withdrawal without prior notice. Investors should seek their own independent financial advice before making any investment decision and should consider the appropriateness of any advice in light of their own objectives, financial situation or needs.  Investors should obtain a copy of, and consider, any relevant product PDS or offer document before making any investment decision. This document and its contents is subject to copyright and may not be reproduced or distributed without the consent of the copyright owner. This document and its contents has been prepared in good faith and is believed to be reliable, but its completeness and accuracy is not guaranteed. Chant West accepts no liability for any errors or omissions, whether direct or indirect, arising from the use of information contained on this document. Past performance is not an indication of future performance.</w:t>
      </w:r>
    </w:p>
    <w:p w14:paraId="4D7E9C05" w14:textId="57B77B62" w:rsidR="0019702B" w:rsidRPr="00275DE6" w:rsidRDefault="0019702B" w:rsidP="00275DE6">
      <w:pPr>
        <w:rPr>
          <w:szCs w:val="19"/>
        </w:rPr>
        <w:sectPr w:rsidR="0019702B" w:rsidRPr="00275DE6" w:rsidSect="009B101B">
          <w:headerReference w:type="even" r:id="rId8"/>
          <w:headerReference w:type="default" r:id="rId9"/>
          <w:footerReference w:type="even" r:id="rId10"/>
          <w:footerReference w:type="default" r:id="rId11"/>
          <w:headerReference w:type="first" r:id="rId12"/>
          <w:footerReference w:type="first" r:id="rId13"/>
          <w:pgSz w:w="11907" w:h="16840" w:code="9"/>
          <w:pgMar w:top="2552" w:right="680" w:bottom="709" w:left="680" w:header="340" w:footer="191" w:gutter="0"/>
          <w:pgNumType w:start="1"/>
          <w:cols w:space="720"/>
          <w:titlePg/>
          <w:docGrid w:linePitch="299"/>
        </w:sectPr>
      </w:pPr>
      <w:r>
        <w:t xml:space="preserve">  </w:t>
      </w:r>
    </w:p>
    <w:p w14:paraId="67BAC8A7" w14:textId="4E286706" w:rsidR="00F40DDD" w:rsidRPr="00EF35F5" w:rsidRDefault="00F40DDD" w:rsidP="00BB7CC1">
      <w:pPr>
        <w:ind w:right="1305"/>
        <w:rPr>
          <w:rFonts w:cs="Arial"/>
          <w:i/>
          <w:iCs/>
          <w:sz w:val="16"/>
          <w:szCs w:val="16"/>
          <w:lang w:val="en-US"/>
        </w:rPr>
      </w:pPr>
    </w:p>
    <w:sectPr w:rsidR="00F40DDD" w:rsidRPr="00EF35F5" w:rsidSect="00CE60F9">
      <w:headerReference w:type="default" r:id="rId14"/>
      <w:type w:val="continuous"/>
      <w:pgSz w:w="11907" w:h="16840" w:code="9"/>
      <w:pgMar w:top="1928" w:right="680" w:bottom="680" w:left="680" w:header="720" w:footer="720" w:gutter="0"/>
      <w:pgNumType w:start="1"/>
      <w:cols w:space="567"/>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A5D5BC" w14:textId="77777777" w:rsidR="00DC7E8C" w:rsidRDefault="00DC7E8C">
      <w:r>
        <w:separator/>
      </w:r>
    </w:p>
    <w:p w14:paraId="13054C8A" w14:textId="77777777" w:rsidR="00DC7E8C" w:rsidRDefault="00DC7E8C"/>
    <w:p w14:paraId="4D56094C" w14:textId="77777777" w:rsidR="00DC7E8C" w:rsidRDefault="00DC7E8C"/>
  </w:endnote>
  <w:endnote w:type="continuationSeparator" w:id="0">
    <w:p w14:paraId="00E15F4E" w14:textId="77777777" w:rsidR="00DC7E8C" w:rsidRDefault="00DC7E8C">
      <w:r>
        <w:continuationSeparator/>
      </w:r>
    </w:p>
    <w:p w14:paraId="6111EF5A" w14:textId="77777777" w:rsidR="00DC7E8C" w:rsidRDefault="00DC7E8C"/>
    <w:p w14:paraId="08183C7F" w14:textId="77777777" w:rsidR="00DC7E8C" w:rsidRDefault="00DC7E8C"/>
  </w:endnote>
  <w:endnote w:type="continuationNotice" w:id="1">
    <w:p w14:paraId="2EFCC0FE" w14:textId="77777777" w:rsidR="00DC7E8C" w:rsidRDefault="00DC7E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TPRLB P+ Helvetica Neue">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eueLT Pro 55 Roman">
    <w:altName w:val="Arial"/>
    <w:panose1 w:val="00000000000000000000"/>
    <w:charset w:val="00"/>
    <w:family w:val="swiss"/>
    <w:notTrueType/>
    <w:pitch w:val="variable"/>
    <w:sig w:usb0="800000AF" w:usb1="5000204A"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E355D" w14:textId="2130D5B5" w:rsidR="00EB5321" w:rsidRPr="001B4E28" w:rsidRDefault="00EB5321" w:rsidP="00EB5321">
    <w:pPr>
      <w:pStyle w:val="Footer"/>
      <w:ind w:right="-226"/>
      <w:jc w:val="right"/>
      <w:rPr>
        <w:color w:val="706F6F"/>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85192" w14:textId="77736684" w:rsidR="00EB5321" w:rsidRPr="001B4E28" w:rsidRDefault="00EB5321" w:rsidP="00EB5321">
    <w:pPr>
      <w:pStyle w:val="Footer"/>
      <w:ind w:right="-226"/>
      <w:jc w:val="right"/>
      <w:rPr>
        <w:color w:val="706F6F"/>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4D564" w14:textId="61899E07" w:rsidR="001B4E28" w:rsidRPr="001B4E28" w:rsidRDefault="001B4E28" w:rsidP="00EB5321">
    <w:pPr>
      <w:pStyle w:val="Footer"/>
      <w:ind w:right="-226"/>
      <w:jc w:val="right"/>
      <w:rPr>
        <w:color w:val="706F6F"/>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9A89CF" w14:textId="77777777" w:rsidR="00DC7E8C" w:rsidRDefault="00DC7E8C">
      <w:r>
        <w:separator/>
      </w:r>
    </w:p>
    <w:p w14:paraId="34A58851" w14:textId="77777777" w:rsidR="00DC7E8C" w:rsidRDefault="00DC7E8C"/>
    <w:p w14:paraId="4D6B5528" w14:textId="77777777" w:rsidR="00DC7E8C" w:rsidRDefault="00DC7E8C"/>
  </w:footnote>
  <w:footnote w:type="continuationSeparator" w:id="0">
    <w:p w14:paraId="2D8354C6" w14:textId="77777777" w:rsidR="00DC7E8C" w:rsidRDefault="00DC7E8C">
      <w:r>
        <w:continuationSeparator/>
      </w:r>
    </w:p>
    <w:p w14:paraId="2257FA56" w14:textId="77777777" w:rsidR="00DC7E8C" w:rsidRDefault="00DC7E8C"/>
    <w:p w14:paraId="242B76E2" w14:textId="77777777" w:rsidR="00DC7E8C" w:rsidRDefault="00DC7E8C"/>
  </w:footnote>
  <w:footnote w:type="continuationNotice" w:id="1">
    <w:p w14:paraId="6B7DCAAD" w14:textId="77777777" w:rsidR="00DC7E8C" w:rsidRDefault="00DC7E8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2F236" w14:textId="0045E0CA" w:rsidR="009640AC" w:rsidRPr="000B1104" w:rsidRDefault="000B1104" w:rsidP="000B1104">
    <w:pPr>
      <w:pStyle w:val="Header"/>
      <w:ind w:left="851"/>
    </w:pPr>
    <w:r>
      <w:rPr>
        <w:noProof/>
        <w:lang w:eastAsia="en-AU"/>
      </w:rPr>
      <mc:AlternateContent>
        <mc:Choice Requires="wps">
          <w:drawing>
            <wp:anchor distT="45720" distB="45720" distL="114300" distR="114300" simplePos="0" relativeHeight="251658251" behindDoc="0" locked="0" layoutInCell="1" allowOverlap="1" wp14:anchorId="706D6663" wp14:editId="2FFDCB98">
              <wp:simplePos x="0" y="0"/>
              <wp:positionH relativeFrom="column">
                <wp:posOffset>666115</wp:posOffset>
              </wp:positionH>
              <wp:positionV relativeFrom="paragraph">
                <wp:posOffset>-7620</wp:posOffset>
              </wp:positionV>
              <wp:extent cx="2360930"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2E5E67D" w14:textId="77777777" w:rsidR="000B1104" w:rsidRPr="000B1104" w:rsidRDefault="000B1104" w:rsidP="000B1104">
                          <w:pPr>
                            <w:shd w:val="clear" w:color="auto" w:fill="FFFFFF" w:themeFill="background1"/>
                            <w:rPr>
                              <w:rFonts w:ascii="HelveticaNeueLT Pro 55 Roman" w:hAnsi="HelveticaNeueLT Pro 55 Roman"/>
                              <w:b/>
                              <w:bCs/>
                              <w:color w:val="706F6F"/>
                              <w:sz w:val="30"/>
                              <w:szCs w:val="30"/>
                            </w:rPr>
                          </w:pPr>
                          <w:r w:rsidRPr="000B1104">
                            <w:rPr>
                              <w:rFonts w:ascii="HelveticaNeueLT Pro 55 Roman" w:hAnsi="HelveticaNeueLT Pro 55 Roman"/>
                              <w:b/>
                              <w:bCs/>
                              <w:color w:val="706F6F"/>
                              <w:sz w:val="30"/>
                              <w:szCs w:val="30"/>
                            </w:rPr>
                            <w:t>Research Paper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06D6663" id="_x0000_t202" coordsize="21600,21600" o:spt="202" path="m,l,21600r21600,l21600,xe">
              <v:stroke joinstyle="miter"/>
              <v:path gradientshapeok="t" o:connecttype="rect"/>
            </v:shapetype>
            <v:shape id="Text Box 2" o:spid="_x0000_s1026" type="#_x0000_t202" style="position:absolute;left:0;text-align:left;margin-left:52.45pt;margin-top:-.6pt;width:185.9pt;height:110.6pt;z-index:25165825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" filled="f" stroked="f">
              <v:textbox style="mso-fit-shape-to-text:t">
                <w:txbxContent>
                  <w:p w14:paraId="32E5E67D" w14:textId="77777777" w:rsidR="000B1104" w:rsidRPr="000B1104" w:rsidRDefault="000B1104" w:rsidP="000B1104">
                    <w:pPr>
                      <w:shd w:val="clear" w:color="auto" w:fill="FFFFFF" w:themeFill="background1"/>
                      <w:rPr>
                        <w:rFonts w:ascii="HelveticaNeueLT Pro 55 Roman" w:hAnsi="HelveticaNeueLT Pro 55 Roman"/>
                        <w:b/>
                        <w:bCs/>
                        <w:color w:val="706F6F"/>
                        <w:sz w:val="30"/>
                        <w:szCs w:val="30"/>
                      </w:rPr>
                    </w:pPr>
                    <w:r w:rsidRPr="000B1104">
                      <w:rPr>
                        <w:rFonts w:ascii="HelveticaNeueLT Pro 55 Roman" w:hAnsi="HelveticaNeueLT Pro 55 Roman"/>
                        <w:b/>
                        <w:bCs/>
                        <w:color w:val="706F6F"/>
                        <w:sz w:val="30"/>
                        <w:szCs w:val="30"/>
                      </w:rPr>
                      <w:t>Research Paper</w:t>
                    </w:r>
                  </w:p>
                </w:txbxContent>
              </v:textbox>
              <w10:wrap type="square"/>
            </v:shape>
          </w:pict>
        </mc:Fallback>
      </mc:AlternateContent>
    </w:r>
    <w:r>
      <w:rPr>
        <w:noProof/>
        <w:lang w:eastAsia="en-AU"/>
      </w:rPr>
      <w:drawing>
        <wp:anchor distT="0" distB="0" distL="114300" distR="114300" simplePos="0" relativeHeight="251658250" behindDoc="0" locked="0" layoutInCell="1" allowOverlap="1" wp14:anchorId="367841CA" wp14:editId="3E80A55E">
          <wp:simplePos x="0" y="0"/>
          <wp:positionH relativeFrom="column">
            <wp:posOffset>-3810</wp:posOffset>
          </wp:positionH>
          <wp:positionV relativeFrom="paragraph">
            <wp:posOffset>-151130</wp:posOffset>
          </wp:positionV>
          <wp:extent cx="2034000" cy="594000"/>
          <wp:effectExtent l="0" t="0" r="444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4000" cy="59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085B1" w14:textId="6176F251" w:rsidR="009B101B" w:rsidRDefault="009B101B" w:rsidP="009B101B">
    <w:pPr>
      <w:shd w:val="clear" w:color="auto" w:fill="FFFFFF" w:themeFill="background1"/>
      <w:spacing w:after="0"/>
      <w:rPr>
        <w:rFonts w:ascii="HelveticaNeueLT Pro 55 Roman" w:hAnsi="HelveticaNeueLT Pro 55 Roman"/>
        <w:b/>
        <w:bCs/>
        <w:color w:val="706F6F"/>
        <w:sz w:val="30"/>
        <w:szCs w:val="30"/>
      </w:rPr>
    </w:pPr>
    <w:r>
      <w:rPr>
        <w:noProof/>
        <w:lang w:eastAsia="en-AU"/>
      </w:rPr>
      <w:drawing>
        <wp:inline distT="0" distB="0" distL="0" distR="0" wp14:anchorId="68C25651" wp14:editId="09000971">
          <wp:extent cx="933288" cy="745588"/>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49856" cy="758824"/>
                  </a:xfrm>
                  <a:prstGeom prst="rect">
                    <a:avLst/>
                  </a:prstGeom>
                </pic:spPr>
              </pic:pic>
            </a:graphicData>
          </a:graphic>
        </wp:inline>
      </w:drawing>
    </w:r>
    <w:r w:rsidR="00644B02">
      <w:rPr>
        <w:rFonts w:ascii="HelveticaNeueLT Pro 55 Roman" w:hAnsi="HelveticaNeueLT Pro 55 Roman"/>
        <w:b/>
        <w:bCs/>
        <w:color w:val="706F6F"/>
        <w:sz w:val="30"/>
        <w:szCs w:val="30"/>
      </w:rPr>
      <w:t>Submission</w:t>
    </w:r>
    <w:r>
      <w:rPr>
        <w:rFonts w:ascii="HelveticaNeueLT Pro 55 Roman" w:hAnsi="HelveticaNeueLT Pro 55 Roman"/>
        <w:b/>
        <w:bCs/>
        <w:color w:val="706F6F"/>
        <w:sz w:val="30"/>
        <w:szCs w:val="30"/>
      </w:rPr>
      <w:t xml:space="preserve"> to Treasury Consultation</w:t>
    </w:r>
  </w:p>
  <w:p w14:paraId="7C31FB83" w14:textId="4BEBF935" w:rsidR="00644B02" w:rsidRPr="000B1104" w:rsidRDefault="00644B02" w:rsidP="00644B02">
    <w:pPr>
      <w:shd w:val="clear" w:color="auto" w:fill="FFFFFF" w:themeFill="background1"/>
      <w:rPr>
        <w:rFonts w:ascii="HelveticaNeueLT Pro 55 Roman" w:hAnsi="HelveticaNeueLT Pro 55 Roman"/>
        <w:b/>
        <w:bCs/>
        <w:color w:val="706F6F"/>
        <w:sz w:val="30"/>
        <w:szCs w:val="3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A14D6" w14:textId="679301DA" w:rsidR="00583377" w:rsidRDefault="005C2E39" w:rsidP="003F4DC7">
    <w:pPr>
      <w:pStyle w:val="Header"/>
    </w:pPr>
    <w:r>
      <w:rPr>
        <w:noProof/>
        <w:lang w:eastAsia="en-AU"/>
      </w:rPr>
      <mc:AlternateContent>
        <mc:Choice Requires="wps">
          <w:drawing>
            <wp:anchor distT="45720" distB="45720" distL="114300" distR="114300" simplePos="0" relativeHeight="251658248" behindDoc="0" locked="0" layoutInCell="1" allowOverlap="1" wp14:anchorId="31D1A312" wp14:editId="027C211B">
              <wp:simplePos x="0" y="0"/>
              <wp:positionH relativeFrom="column">
                <wp:posOffset>1604645</wp:posOffset>
              </wp:positionH>
              <wp:positionV relativeFrom="paragraph">
                <wp:posOffset>0</wp:posOffset>
              </wp:positionV>
              <wp:extent cx="5305425" cy="599440"/>
              <wp:effectExtent l="0" t="0" r="28575" b="1016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599440"/>
                      </a:xfrm>
                      <a:prstGeom prst="rect">
                        <a:avLst/>
                      </a:prstGeom>
                      <a:solidFill>
                        <a:srgbClr val="E18409"/>
                      </a:solidFill>
                      <a:ln w="9525">
                        <a:solidFill>
                          <a:srgbClr val="E18409"/>
                        </a:solidFill>
                        <a:miter lim="800000"/>
                        <a:headEnd/>
                        <a:tailEnd/>
                      </a:ln>
                    </wps:spPr>
                    <wps:txbx>
                      <w:txbxContent>
                        <w:p w14:paraId="6DB65D06" w14:textId="50F21291" w:rsidR="005C2E39" w:rsidRPr="00644B02" w:rsidRDefault="0019702B">
                          <w:pPr>
                            <w:rPr>
                              <w:rFonts w:ascii="HelveticaNeueLT Pro 55 Roman" w:hAnsi="HelveticaNeueLT Pro 55 Roman"/>
                              <w:b/>
                              <w:bCs/>
                              <w:color w:val="FFFFFF" w:themeColor="background1"/>
                              <w:sz w:val="52"/>
                              <w:szCs w:val="52"/>
                            </w:rPr>
                          </w:pPr>
                          <w:r w:rsidRPr="00644B02">
                            <w:rPr>
                              <w:rFonts w:ascii="HelveticaNeueLT Pro 55 Roman" w:hAnsi="HelveticaNeueLT Pro 55 Roman"/>
                              <w:b/>
                              <w:bCs/>
                              <w:color w:val="FFFFFF" w:themeColor="background1"/>
                              <w:sz w:val="52"/>
                              <w:szCs w:val="52"/>
                            </w:rPr>
                            <w:t xml:space="preserve">Submission </w:t>
                          </w:r>
                          <w:r w:rsidR="00644B02" w:rsidRPr="00644B02">
                            <w:rPr>
                              <w:rFonts w:ascii="HelveticaNeueLT Pro 55 Roman" w:hAnsi="HelveticaNeueLT Pro 55 Roman"/>
                              <w:b/>
                              <w:bCs/>
                              <w:color w:val="FFFFFF" w:themeColor="background1"/>
                              <w:sz w:val="52"/>
                              <w:szCs w:val="52"/>
                            </w:rPr>
                            <w:t>to Consultation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D1A312" id="_x0000_t202" coordsize="21600,21600" o:spt="202" path="m,l,21600r21600,l21600,xe">
              <v:stroke joinstyle="miter"/>
              <v:path gradientshapeok="t" o:connecttype="rect"/>
            </v:shapetype>
            <v:shape id="_x0000_s1027" type="#_x0000_t202" style="position:absolute;margin-left:126.35pt;margin-top:0;width:417.75pt;height:47.2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" fillcolor="#e18409" strokecolor="#e18409">
              <v:textbox>
                <w:txbxContent>
                  <w:p w14:paraId="6DB65D06" w14:textId="50F21291" w:rsidR="005C2E39" w:rsidRPr="00644B02" w:rsidRDefault="0019702B">
                    <w:pPr>
                      <w:rPr>
                        <w:rFonts w:ascii="HelveticaNeueLT Pro 55 Roman" w:hAnsi="HelveticaNeueLT Pro 55 Roman"/>
                        <w:b/>
                        <w:bCs/>
                        <w:color w:val="FFFFFF" w:themeColor="background1"/>
                        <w:sz w:val="52"/>
                        <w:szCs w:val="52"/>
                      </w:rPr>
                    </w:pPr>
                    <w:r w:rsidRPr="00644B02">
                      <w:rPr>
                        <w:rFonts w:ascii="HelveticaNeueLT Pro 55 Roman" w:hAnsi="HelveticaNeueLT Pro 55 Roman"/>
                        <w:b/>
                        <w:bCs/>
                        <w:color w:val="FFFFFF" w:themeColor="background1"/>
                        <w:sz w:val="52"/>
                        <w:szCs w:val="52"/>
                      </w:rPr>
                      <w:t xml:space="preserve">Submission </w:t>
                    </w:r>
                    <w:r w:rsidR="00644B02" w:rsidRPr="00644B02">
                      <w:rPr>
                        <w:rFonts w:ascii="HelveticaNeueLT Pro 55 Roman" w:hAnsi="HelveticaNeueLT Pro 55 Roman"/>
                        <w:b/>
                        <w:bCs/>
                        <w:color w:val="FFFFFF" w:themeColor="background1"/>
                        <w:sz w:val="52"/>
                        <w:szCs w:val="52"/>
                      </w:rPr>
                      <w:t>to Consultation</w:t>
                    </w:r>
                  </w:p>
                </w:txbxContent>
              </v:textbox>
              <w10:wrap type="square"/>
            </v:shape>
          </w:pict>
        </mc:Fallback>
      </mc:AlternateContent>
    </w:r>
    <w:r w:rsidR="00583377">
      <w:rPr>
        <w:noProof/>
        <w:lang w:eastAsia="en-AU"/>
      </w:rPr>
      <w:drawing>
        <wp:anchor distT="0" distB="0" distL="114300" distR="114300" simplePos="0" relativeHeight="251658244" behindDoc="0" locked="0" layoutInCell="1" allowOverlap="1" wp14:anchorId="0A84A8D6" wp14:editId="1E4DD370">
          <wp:simplePos x="0" y="0"/>
          <wp:positionH relativeFrom="column">
            <wp:posOffset>-4457</wp:posOffset>
          </wp:positionH>
          <wp:positionV relativeFrom="paragraph">
            <wp:posOffset>-150495</wp:posOffset>
          </wp:positionV>
          <wp:extent cx="1223645" cy="1122045"/>
          <wp:effectExtent l="0" t="0" r="0" b="1905"/>
          <wp:wrapSquare wrapText="bothSides"/>
          <wp:docPr id="28" name="Picture 28"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nt_West_Master_Colour_RGB.jpg"/>
                  <pic:cNvPicPr/>
                </pic:nvPicPr>
                <pic:blipFill>
                  <a:blip r:embed="rId1">
                    <a:extLst>
                      <a:ext uri="{28A0092B-C50C-407E-A947-70E740481C1C}">
                        <a14:useLocalDpi xmlns:a14="http://schemas.microsoft.com/office/drawing/2010/main" val="0"/>
                      </a:ext>
                    </a:extLst>
                  </a:blip>
                  <a:stretch>
                    <a:fillRect/>
                  </a:stretch>
                </pic:blipFill>
                <pic:spPr>
                  <a:xfrm>
                    <a:off x="0" y="0"/>
                    <a:ext cx="1223645" cy="1122045"/>
                  </a:xfrm>
                  <a:prstGeom prst="rect">
                    <a:avLst/>
                  </a:prstGeom>
                </pic:spPr>
              </pic:pic>
            </a:graphicData>
          </a:graphic>
          <wp14:sizeRelH relativeFrom="page">
            <wp14:pctWidth>0</wp14:pctWidth>
          </wp14:sizeRelH>
          <wp14:sizeRelV relativeFrom="page">
            <wp14:pctHeight>0</wp14:pctHeight>
          </wp14:sizeRelV>
        </wp:anchor>
      </w:drawing>
    </w:r>
    <w:r w:rsidR="00583377">
      <w:rPr>
        <w:noProof/>
        <w:lang w:eastAsia="en-AU"/>
      </w:rPr>
      <mc:AlternateContent>
        <mc:Choice Requires="wps">
          <w:drawing>
            <wp:anchor distT="45720" distB="45720" distL="114300" distR="114300" simplePos="0" relativeHeight="251658245" behindDoc="0" locked="0" layoutInCell="1" allowOverlap="1" wp14:anchorId="2AB54448" wp14:editId="46AA2DDE">
              <wp:simplePos x="0" y="0"/>
              <wp:positionH relativeFrom="column">
                <wp:posOffset>1599577</wp:posOffset>
              </wp:positionH>
              <wp:positionV relativeFrom="paragraph">
                <wp:posOffset>616585</wp:posOffset>
              </wp:positionV>
              <wp:extent cx="4633595" cy="346075"/>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3595" cy="346075"/>
                      </a:xfrm>
                      <a:prstGeom prst="rect">
                        <a:avLst/>
                      </a:prstGeom>
                      <a:noFill/>
                      <a:ln w="9525">
                        <a:noFill/>
                        <a:miter lim="800000"/>
                        <a:headEnd/>
                        <a:tailEnd/>
                      </a:ln>
                    </wps:spPr>
                    <wps:txbx>
                      <w:txbxContent>
                        <w:p w14:paraId="5D9D19C1" w14:textId="1C3FECFD" w:rsidR="00583377" w:rsidRPr="00CE5FC4" w:rsidRDefault="0019702B" w:rsidP="00583377">
                          <w:pPr>
                            <w:rPr>
                              <w:rFonts w:ascii="HelveticaNeueLT Pro 55 Roman" w:hAnsi="HelveticaNeueLT Pro 55 Roman"/>
                              <w:color w:val="FFFFFF" w:themeColor="background1"/>
                              <w:sz w:val="32"/>
                              <w:szCs w:val="36"/>
                            </w:rPr>
                          </w:pPr>
                          <w:r>
                            <w:rPr>
                              <w:rFonts w:ascii="HelveticaNeueLT Pro 55 Roman" w:hAnsi="HelveticaNeueLT Pro 55 Roman"/>
                              <w:color w:val="FFFFFF" w:themeColor="background1"/>
                              <w:sz w:val="32"/>
                              <w:szCs w:val="36"/>
                            </w:rPr>
                            <w:t>Dec</w:t>
                          </w:r>
                          <w:r w:rsidR="00217970">
                            <w:rPr>
                              <w:rFonts w:ascii="HelveticaNeueLT Pro 55 Roman" w:hAnsi="HelveticaNeueLT Pro 55 Roman"/>
                              <w:color w:val="FFFFFF" w:themeColor="background1"/>
                              <w:sz w:val="32"/>
                              <w:szCs w:val="36"/>
                            </w:rPr>
                            <w:t>ember</w:t>
                          </w:r>
                          <w:r w:rsidR="00583377" w:rsidRPr="00CE5FC4">
                            <w:rPr>
                              <w:rFonts w:ascii="HelveticaNeueLT Pro 55 Roman" w:hAnsi="HelveticaNeueLT Pro 55 Roman"/>
                              <w:color w:val="FFFFFF" w:themeColor="background1"/>
                              <w:sz w:val="32"/>
                              <w:szCs w:val="36"/>
                            </w:rPr>
                            <w:t xml:space="preserve"> 20</w:t>
                          </w:r>
                          <w:r w:rsidR="009B55C9">
                            <w:rPr>
                              <w:rFonts w:ascii="HelveticaNeueLT Pro 55 Roman" w:hAnsi="HelveticaNeueLT Pro 55 Roman"/>
                              <w:color w:val="FFFFFF" w:themeColor="background1"/>
                              <w:sz w:val="32"/>
                              <w:szCs w:val="36"/>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54448" id="_x0000_s1028" type="#_x0000_t202" style="position:absolute;margin-left:125.95pt;margin-top:48.55pt;width:364.85pt;height:27.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" filled="f" stroked="f">
              <v:textbox>
                <w:txbxContent>
                  <w:p w14:paraId="5D9D19C1" w14:textId="1C3FECFD" w:rsidR="00583377" w:rsidRPr="00CE5FC4" w:rsidRDefault="0019702B" w:rsidP="00583377">
                    <w:pPr>
                      <w:rPr>
                        <w:rFonts w:ascii="HelveticaNeueLT Pro 55 Roman" w:hAnsi="HelveticaNeueLT Pro 55 Roman"/>
                        <w:color w:val="FFFFFF" w:themeColor="background1"/>
                        <w:sz w:val="32"/>
                        <w:szCs w:val="36"/>
                      </w:rPr>
                    </w:pPr>
                    <w:r>
                      <w:rPr>
                        <w:rFonts w:ascii="HelveticaNeueLT Pro 55 Roman" w:hAnsi="HelveticaNeueLT Pro 55 Roman"/>
                        <w:color w:val="FFFFFF" w:themeColor="background1"/>
                        <w:sz w:val="32"/>
                        <w:szCs w:val="36"/>
                      </w:rPr>
                      <w:t>Dec</w:t>
                    </w:r>
                    <w:r w:rsidR="00217970">
                      <w:rPr>
                        <w:rFonts w:ascii="HelveticaNeueLT Pro 55 Roman" w:hAnsi="HelveticaNeueLT Pro 55 Roman"/>
                        <w:color w:val="FFFFFF" w:themeColor="background1"/>
                        <w:sz w:val="32"/>
                        <w:szCs w:val="36"/>
                      </w:rPr>
                      <w:t>ember</w:t>
                    </w:r>
                    <w:r w:rsidR="00583377" w:rsidRPr="00CE5FC4">
                      <w:rPr>
                        <w:rFonts w:ascii="HelveticaNeueLT Pro 55 Roman" w:hAnsi="HelveticaNeueLT Pro 55 Roman"/>
                        <w:color w:val="FFFFFF" w:themeColor="background1"/>
                        <w:sz w:val="32"/>
                        <w:szCs w:val="36"/>
                      </w:rPr>
                      <w:t xml:space="preserve"> 20</w:t>
                    </w:r>
                    <w:r w:rsidR="009B55C9">
                      <w:rPr>
                        <w:rFonts w:ascii="HelveticaNeueLT Pro 55 Roman" w:hAnsi="HelveticaNeueLT Pro 55 Roman"/>
                        <w:color w:val="FFFFFF" w:themeColor="background1"/>
                        <w:sz w:val="32"/>
                        <w:szCs w:val="36"/>
                      </w:rPr>
                      <w:t>20</w:t>
                    </w:r>
                  </w:p>
                </w:txbxContent>
              </v:textbox>
              <w10:wrap type="square"/>
            </v:shape>
          </w:pict>
        </mc:Fallback>
      </mc:AlternateContent>
    </w:r>
    <w:r w:rsidR="00583377">
      <w:rPr>
        <w:noProof/>
        <w:lang w:eastAsia="en-AU"/>
      </w:rPr>
      <w:drawing>
        <wp:anchor distT="0" distB="0" distL="114300" distR="114300" simplePos="0" relativeHeight="251658243" behindDoc="0" locked="0" layoutInCell="1" allowOverlap="1" wp14:anchorId="0CEBFE87" wp14:editId="5490350B">
          <wp:simplePos x="0" y="0"/>
          <wp:positionH relativeFrom="column">
            <wp:posOffset>1558290</wp:posOffset>
          </wp:positionH>
          <wp:positionV relativeFrom="paragraph">
            <wp:posOffset>-7608</wp:posOffset>
          </wp:positionV>
          <wp:extent cx="5547360" cy="97536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_Release_Main_Banner.jpg"/>
                  <pic:cNvPicPr/>
                </pic:nvPicPr>
                <pic:blipFill>
                  <a:blip r:embed="rId2">
                    <a:extLst>
                      <a:ext uri="{28A0092B-C50C-407E-A947-70E740481C1C}">
                        <a14:useLocalDpi xmlns:a14="http://schemas.microsoft.com/office/drawing/2010/main" val="0"/>
                      </a:ext>
                    </a:extLst>
                  </a:blip>
                  <a:stretch>
                    <a:fillRect/>
                  </a:stretch>
                </pic:blipFill>
                <pic:spPr>
                  <a:xfrm>
                    <a:off x="0" y="0"/>
                    <a:ext cx="5547360" cy="9753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40369" w14:textId="77777777" w:rsidR="00B04FB4" w:rsidRDefault="00B04FB4" w:rsidP="00B04FB4">
    <w:pPr>
      <w:pStyle w:val="Header"/>
    </w:pPr>
    <w:r>
      <w:rPr>
        <w:noProof/>
        <w:lang w:eastAsia="en-AU"/>
      </w:rPr>
      <w:drawing>
        <wp:anchor distT="0" distB="0" distL="114300" distR="114300" simplePos="0" relativeHeight="251658247" behindDoc="0" locked="0" layoutInCell="1" allowOverlap="1" wp14:anchorId="7FA2F459" wp14:editId="2984E435">
          <wp:simplePos x="0" y="0"/>
          <wp:positionH relativeFrom="column">
            <wp:posOffset>-3810</wp:posOffset>
          </wp:positionH>
          <wp:positionV relativeFrom="paragraph">
            <wp:posOffset>-151130</wp:posOffset>
          </wp:positionV>
          <wp:extent cx="2034000" cy="594000"/>
          <wp:effectExtent l="0" t="0" r="444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4000" cy="59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3BAB2" w14:textId="77777777" w:rsidR="00B04FB4" w:rsidRPr="00B04FB4" w:rsidRDefault="00B04FB4" w:rsidP="00B04F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11C6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ABA4A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64615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3788E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4CB0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74B6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3C6D4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06033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142D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8AE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7276C"/>
    <w:multiLevelType w:val="multilevel"/>
    <w:tmpl w:val="E4203ED0"/>
    <w:lvl w:ilvl="0">
      <w:start w:val="1"/>
      <w:numFmt w:val="lowerLetter"/>
      <w:lvlText w:val="(%1)"/>
      <w:lvlJc w:val="left"/>
      <w:pPr>
        <w:ind w:left="397" w:hanging="397"/>
      </w:pPr>
      <w:rPr>
        <w:rFonts w:ascii="Arial" w:hAnsi="Arial" w:hint="default"/>
        <w:b w:val="0"/>
        <w:i w:val="0"/>
        <w:color w:val="auto"/>
        <w:sz w:val="19"/>
      </w:rPr>
    </w:lvl>
    <w:lvl w:ilvl="1">
      <w:start w:val="1"/>
      <w:numFmt w:val="lowerRoman"/>
      <w:lvlText w:val="(%2)"/>
      <w:lvlJc w:val="left"/>
      <w:pPr>
        <w:ind w:left="794" w:hanging="397"/>
      </w:pPr>
      <w:rPr>
        <w:rFonts w:ascii="Arial" w:hAnsi="Arial" w:hint="default"/>
        <w:b w:val="0"/>
        <w:i w:val="0"/>
        <w:color w:val="auto"/>
        <w:sz w:val="22"/>
      </w:rPr>
    </w:lvl>
    <w:lvl w:ilvl="2">
      <w:start w:val="1"/>
      <w:numFmt w:val="bullet"/>
      <w:lvlText w:val=""/>
      <w:lvlJc w:val="left"/>
      <w:pPr>
        <w:ind w:left="964" w:hanging="170"/>
      </w:pPr>
      <w:rPr>
        <w:rFonts w:ascii="Symbol" w:hAnsi="Symbol" w:hint="default"/>
        <w:color w:val="auto"/>
      </w:rPr>
    </w:lvl>
    <w:lvl w:ilvl="3">
      <w:start w:val="1"/>
      <w:numFmt w:val="bullet"/>
      <w:lvlText w:val="–"/>
      <w:lvlJc w:val="left"/>
      <w:pPr>
        <w:ind w:left="1134" w:hanging="170"/>
      </w:pPr>
      <w:rPr>
        <w:rFonts w:ascii="Arial" w:hAnsi="Aria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641257F"/>
    <w:multiLevelType w:val="multilevel"/>
    <w:tmpl w:val="9AB47E60"/>
    <w:lvl w:ilvl="0">
      <w:start w:val="1"/>
      <w:numFmt w:val="bullet"/>
      <w:pStyle w:val="Bullet1Square"/>
      <w:lvlText w:val=""/>
      <w:lvlJc w:val="left"/>
      <w:pPr>
        <w:ind w:left="357" w:hanging="357"/>
      </w:pPr>
      <w:rPr>
        <w:rFonts w:ascii="Wingdings" w:hAnsi="Wingdings" w:hint="default"/>
        <w:color w:val="8DC73F"/>
        <w:sz w:val="16"/>
      </w:rPr>
    </w:lvl>
    <w:lvl w:ilvl="1">
      <w:start w:val="1"/>
      <w:numFmt w:val="bullet"/>
      <w:pStyle w:val="BulletGreenDash"/>
      <w:lvlText w:val="–"/>
      <w:lvlJc w:val="left"/>
      <w:pPr>
        <w:ind w:left="720" w:hanging="363"/>
      </w:pPr>
      <w:rPr>
        <w:rFonts w:ascii="Arial" w:hAnsi="Arial" w:hint="default"/>
        <w:color w:val="40AB35" w:themeColor="accent1"/>
        <w:spacing w:val="0"/>
        <w:w w:val="100"/>
        <w:kern w:val="28"/>
        <w:position w:val="0"/>
        <w:sz w:val="19"/>
        <w14:ligatures w14:val="none"/>
        <w14:numForm w14:val="default"/>
        <w14:numSpacing w14:val="default"/>
        <w14:stylisticSets/>
        <w14:cntxtAlts w14:val="0"/>
      </w:rPr>
    </w:lvl>
    <w:lvl w:ilvl="2">
      <w:start w:val="1"/>
      <w:numFmt w:val="bullet"/>
      <w:pStyle w:val="BulletIndent1Square"/>
      <w:lvlText w:val=""/>
      <w:lvlJc w:val="left"/>
      <w:pPr>
        <w:ind w:left="1077" w:hanging="357"/>
      </w:pPr>
      <w:rPr>
        <w:rFonts w:ascii="Wingdings" w:hAnsi="Wingdings" w:hint="default"/>
        <w:color w:val="8DC73F"/>
        <w:sz w:val="16"/>
      </w:rPr>
    </w:lvl>
    <w:lvl w:ilvl="3">
      <w:start w:val="1"/>
      <w:numFmt w:val="bullet"/>
      <w:pStyle w:val="BulletIndent2Dash"/>
      <w:lvlText w:val="–"/>
      <w:lvlJc w:val="left"/>
      <w:pPr>
        <w:ind w:left="1435" w:hanging="358"/>
      </w:pPr>
      <w:rPr>
        <w:rFonts w:ascii="Arial" w:hAnsi="Arial" w:hint="default"/>
        <w:color w:val="40AB35" w:themeColor="accent1"/>
        <w:spacing w:val="0"/>
        <w:w w:val="100"/>
        <w:kern w:val="28"/>
        <w:position w:val="0"/>
        <w:sz w:val="19"/>
        <w14:ligatures w14:val="none"/>
        <w14:numForm w14:val="default"/>
        <w14:numSpacing w14:val="default"/>
        <w14:stylisticSets/>
        <w14:cntxtAlts w14:val="0"/>
      </w:rPr>
    </w:lvl>
    <w:lvl w:ilvl="4">
      <w:start w:val="1"/>
      <w:numFmt w:val="none"/>
      <w:lvlRestart w:val="0"/>
      <w:lvlText w:val=""/>
      <w:lvlJc w:val="left"/>
      <w:pPr>
        <w:ind w:left="3600" w:hanging="360"/>
      </w:pPr>
      <w:rPr>
        <w:rFonts w:hint="default"/>
      </w:rPr>
    </w:lvl>
    <w:lvl w:ilvl="5">
      <w:start w:val="1"/>
      <w:numFmt w:val="none"/>
      <w:lvlRestart w:val="0"/>
      <w:lvlText w:val=""/>
      <w:lvlJc w:val="left"/>
      <w:pPr>
        <w:ind w:left="4320" w:hanging="360"/>
      </w:pPr>
      <w:rPr>
        <w:rFonts w:hint="default"/>
      </w:rPr>
    </w:lvl>
    <w:lvl w:ilvl="6">
      <w:start w:val="1"/>
      <w:numFmt w:val="none"/>
      <w:lvlRestart w:val="0"/>
      <w:lvlText w:val=""/>
      <w:lvlJc w:val="left"/>
      <w:pPr>
        <w:ind w:left="5040" w:hanging="360"/>
      </w:pPr>
      <w:rPr>
        <w:rFonts w:hint="default"/>
      </w:rPr>
    </w:lvl>
    <w:lvl w:ilvl="7">
      <w:start w:val="1"/>
      <w:numFmt w:val="none"/>
      <w:lvlRestart w:val="0"/>
      <w:lvlText w:val=""/>
      <w:lvlJc w:val="left"/>
      <w:pPr>
        <w:ind w:left="5760" w:hanging="360"/>
      </w:pPr>
      <w:rPr>
        <w:rFonts w:hint="default"/>
      </w:rPr>
    </w:lvl>
    <w:lvl w:ilvl="8">
      <w:start w:val="1"/>
      <w:numFmt w:val="none"/>
      <w:lvlRestart w:val="0"/>
      <w:lvlText w:val=""/>
      <w:lvlJc w:val="left"/>
      <w:pPr>
        <w:ind w:left="6480" w:hanging="360"/>
      </w:pPr>
      <w:rPr>
        <w:rFonts w:hint="default"/>
      </w:rPr>
    </w:lvl>
  </w:abstractNum>
  <w:abstractNum w:abstractNumId="12" w15:restartNumberingAfterBreak="0">
    <w:nsid w:val="0666288E"/>
    <w:multiLevelType w:val="multilevel"/>
    <w:tmpl w:val="B136E288"/>
    <w:lvl w:ilvl="0">
      <w:start w:val="1"/>
      <w:numFmt w:val="bullet"/>
      <w:lvlText w:val=""/>
      <w:lvlJc w:val="left"/>
      <w:pPr>
        <w:ind w:left="170" w:hanging="170"/>
      </w:pPr>
      <w:rPr>
        <w:rFonts w:ascii="Symbol" w:hAnsi="Symbol" w:hint="default"/>
        <w:color w:val="E18409" w:themeColor="text2"/>
      </w:rPr>
    </w:lvl>
    <w:lvl w:ilvl="1">
      <w:start w:val="1"/>
      <w:numFmt w:val="bullet"/>
      <w:lvlText w:val="–"/>
      <w:lvlJc w:val="left"/>
      <w:pPr>
        <w:ind w:left="340" w:hanging="170"/>
      </w:pPr>
      <w:rPr>
        <w:rFonts w:ascii="Arial" w:hAnsi="Arial" w:hint="default"/>
      </w:rPr>
    </w:lvl>
    <w:lvl w:ilvl="2">
      <w:start w:val="1"/>
      <w:numFmt w:val="bullet"/>
      <w:lvlText w:val=""/>
      <w:lvlJc w:val="left"/>
      <w:pPr>
        <w:tabs>
          <w:tab w:val="num" w:pos="720"/>
        </w:tabs>
        <w:ind w:left="510" w:hanging="170"/>
      </w:pPr>
      <w:rPr>
        <w:rFonts w:ascii="Symbol" w:hAnsi="Symbol" w:hint="default"/>
        <w:color w:val="E18409"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C0D6F93"/>
    <w:multiLevelType w:val="multilevel"/>
    <w:tmpl w:val="F566D536"/>
    <w:styleLink w:val="NoteNumbered"/>
    <w:lvl w:ilvl="0">
      <w:start w:val="1"/>
      <w:numFmt w:val="decimal"/>
      <w:lvlText w:val="%1."/>
      <w:lvlJc w:val="left"/>
      <w:pPr>
        <w:ind w:left="360" w:hanging="360"/>
      </w:pPr>
      <w:rPr>
        <w:rFonts w:ascii="Arial Narrow" w:hAnsi="Arial Narrow" w:hint="default"/>
        <w:b w:val="0"/>
        <w:i w:val="0"/>
        <w:color w:val="808080" w:themeColor="background1" w:themeShade="80"/>
        <w:spacing w:val="0"/>
        <w:position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46F2836"/>
    <w:multiLevelType w:val="hybridMultilevel"/>
    <w:tmpl w:val="AC7C972C"/>
    <w:lvl w:ilvl="0" w:tplc="261A2344">
      <w:start w:val="1"/>
      <w:numFmt w:val="bullet"/>
      <w:lvlText w:val=""/>
      <w:lvlJc w:val="left"/>
      <w:pPr>
        <w:ind w:left="720" w:hanging="360"/>
      </w:pPr>
      <w:rPr>
        <w:rFonts w:ascii="Symbol" w:hAnsi="Symbol" w:hint="default"/>
        <w:color w:val="E1840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E9573E"/>
    <w:multiLevelType w:val="multilevel"/>
    <w:tmpl w:val="EEE8F226"/>
    <w:lvl w:ilvl="0">
      <w:start w:val="1"/>
      <w:numFmt w:val="bullet"/>
      <w:lvlText w:val=""/>
      <w:lvlJc w:val="left"/>
      <w:pPr>
        <w:ind w:left="170" w:hanging="170"/>
      </w:pPr>
      <w:rPr>
        <w:rFonts w:ascii="Symbol" w:hAnsi="Symbol" w:hint="default"/>
        <w:color w:val="E18409" w:themeColor="text2"/>
      </w:rPr>
    </w:lvl>
    <w:lvl w:ilvl="1">
      <w:start w:val="1"/>
      <w:numFmt w:val="bullet"/>
      <w:lvlText w:val="–"/>
      <w:lvlJc w:val="left"/>
      <w:pPr>
        <w:ind w:left="340" w:hanging="170"/>
      </w:pPr>
      <w:rPr>
        <w:rFonts w:ascii="Arial" w:hAnsi="Arial" w:hint="default"/>
      </w:rPr>
    </w:lvl>
    <w:lvl w:ilvl="2">
      <w:start w:val="1"/>
      <w:numFmt w:val="bullet"/>
      <w:lvlText w:val=""/>
      <w:lvlJc w:val="left"/>
      <w:pPr>
        <w:tabs>
          <w:tab w:val="num" w:pos="720"/>
        </w:tabs>
        <w:ind w:left="510" w:hanging="170"/>
      </w:pPr>
      <w:rPr>
        <w:rFonts w:ascii="Symbol" w:hAnsi="Symbol" w:hint="default"/>
        <w:color w:val="A1CC82" w:themeColor="accen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A356F7A"/>
    <w:multiLevelType w:val="multilevel"/>
    <w:tmpl w:val="936E52F6"/>
    <w:styleLink w:val="CWNumberingStyle"/>
    <w:lvl w:ilvl="0">
      <w:start w:val="1"/>
      <w:numFmt w:val="lowerLetter"/>
      <w:pStyle w:val="ListaBlueBlack"/>
      <w:lvlText w:val="(%1)"/>
      <w:lvlJc w:val="left"/>
      <w:pPr>
        <w:ind w:left="360" w:hanging="360"/>
      </w:pPr>
      <w:rPr>
        <w:rFonts w:hint="default"/>
        <w:color w:val="E18409" w:themeColor="text2"/>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A580835"/>
    <w:multiLevelType w:val="multilevel"/>
    <w:tmpl w:val="5AC80620"/>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Letter"/>
      <w:lvlText w:val="(%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CA41067"/>
    <w:multiLevelType w:val="hybridMultilevel"/>
    <w:tmpl w:val="D5C8F3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D9821F7"/>
    <w:multiLevelType w:val="multilevel"/>
    <w:tmpl w:val="EEE8F226"/>
    <w:lvl w:ilvl="0">
      <w:start w:val="1"/>
      <w:numFmt w:val="bullet"/>
      <w:lvlText w:val=""/>
      <w:lvlJc w:val="left"/>
      <w:pPr>
        <w:ind w:left="170" w:hanging="170"/>
      </w:pPr>
      <w:rPr>
        <w:rFonts w:ascii="Symbol" w:hAnsi="Symbol" w:hint="default"/>
        <w:color w:val="E18409" w:themeColor="text2"/>
      </w:rPr>
    </w:lvl>
    <w:lvl w:ilvl="1">
      <w:start w:val="1"/>
      <w:numFmt w:val="bullet"/>
      <w:lvlText w:val="–"/>
      <w:lvlJc w:val="left"/>
      <w:pPr>
        <w:ind w:left="340" w:hanging="170"/>
      </w:pPr>
      <w:rPr>
        <w:rFonts w:ascii="Arial" w:hAnsi="Arial" w:hint="default"/>
      </w:rPr>
    </w:lvl>
    <w:lvl w:ilvl="2">
      <w:start w:val="1"/>
      <w:numFmt w:val="bullet"/>
      <w:lvlText w:val=""/>
      <w:lvlJc w:val="left"/>
      <w:pPr>
        <w:tabs>
          <w:tab w:val="num" w:pos="720"/>
        </w:tabs>
        <w:ind w:left="510" w:hanging="170"/>
      </w:pPr>
      <w:rPr>
        <w:rFonts w:ascii="Symbol" w:hAnsi="Symbol" w:hint="default"/>
        <w:color w:val="A1CC82" w:themeColor="accen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02341A0"/>
    <w:multiLevelType w:val="hybridMultilevel"/>
    <w:tmpl w:val="F9F2848A"/>
    <w:lvl w:ilvl="0" w:tplc="364A44F8">
      <w:start w:val="1"/>
      <w:numFmt w:val="upperLetter"/>
      <w:pStyle w:val="TOCAttachmentItems"/>
      <w:lvlText w:val="%1."/>
      <w:lvlJc w:val="left"/>
      <w:pPr>
        <w:tabs>
          <w:tab w:val="num" w:pos="284"/>
        </w:tabs>
        <w:ind w:left="284" w:hanging="284"/>
      </w:pPr>
      <w:rPr>
        <w:rFonts w:ascii="Arial Narrow" w:hAnsi="Arial Narrow" w:hint="default"/>
        <w:b w:val="0"/>
        <w:i w:val="0"/>
        <w:color w:val="E18409" w:themeColor="text2"/>
        <w:sz w:val="19"/>
      </w:rPr>
    </w:lvl>
    <w:lvl w:ilvl="1" w:tplc="04090003" w:tentative="1">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1" w15:restartNumberingAfterBreak="0">
    <w:nsid w:val="42A87153"/>
    <w:multiLevelType w:val="multilevel"/>
    <w:tmpl w:val="2D78B4E6"/>
    <w:styleLink w:val="CWTableBullets"/>
    <w:lvl w:ilvl="0">
      <w:start w:val="1"/>
      <w:numFmt w:val="bullet"/>
      <w:pStyle w:val="TableBullet1Square"/>
      <w:lvlText w:val=""/>
      <w:lvlJc w:val="left"/>
      <w:pPr>
        <w:ind w:left="360" w:hanging="360"/>
      </w:pPr>
      <w:rPr>
        <w:rFonts w:ascii="Wingdings" w:hAnsi="Wingdings" w:hint="default"/>
        <w:color w:val="8DC73F"/>
      </w:rPr>
    </w:lvl>
    <w:lvl w:ilvl="1">
      <w:start w:val="1"/>
      <w:numFmt w:val="bullet"/>
      <w:pStyle w:val="TableBullet2Dash"/>
      <w:lvlText w:val="–"/>
      <w:lvlJc w:val="left"/>
      <w:pPr>
        <w:ind w:left="720" w:hanging="360"/>
      </w:pPr>
      <w:rPr>
        <w:rFonts w:ascii="Arial" w:hAnsi="Arial" w:hint="default"/>
        <w:color w:val="40AB35" w:themeColor="accent1"/>
      </w:rPr>
    </w:lvl>
    <w:lvl w:ilvl="2">
      <w:start w:val="1"/>
      <w:numFmt w:val="bullet"/>
      <w:lvlText w:val=""/>
      <w:lvlJc w:val="left"/>
      <w:pPr>
        <w:ind w:left="1080" w:hanging="360"/>
      </w:pPr>
      <w:rPr>
        <w:rFonts w:ascii="Wingdings" w:hAnsi="Wingdings" w:hint="default"/>
        <w:color w:val="8DC73F"/>
      </w:rPr>
    </w:lvl>
    <w:lvl w:ilvl="3">
      <w:start w:val="1"/>
      <w:numFmt w:val="bullet"/>
      <w:lvlText w:val="–"/>
      <w:lvlJc w:val="left"/>
      <w:pPr>
        <w:ind w:left="1440" w:hanging="360"/>
      </w:pPr>
      <w:rPr>
        <w:rFonts w:ascii="Arial" w:hAnsi="Arial" w:hint="default"/>
        <w:color w:val="40AB35"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37F1FA0"/>
    <w:multiLevelType w:val="multilevel"/>
    <w:tmpl w:val="F5E2724E"/>
    <w:lvl w:ilvl="0">
      <w:start w:val="1"/>
      <w:numFmt w:val="decimal"/>
      <w:pStyle w:val="AttachmentHeading1"/>
      <w:lvlText w:val="%1."/>
      <w:lvlJc w:val="left"/>
      <w:pPr>
        <w:ind w:left="360" w:hanging="360"/>
      </w:pPr>
      <w:rPr>
        <w:rFonts w:ascii="Arial Narrow" w:hAnsi="Arial Narrow" w:hint="default"/>
        <w:b/>
        <w:bCs w:val="0"/>
        <w:i w:val="0"/>
        <w:iCs w:val="0"/>
        <w:caps w:val="0"/>
        <w:smallCaps w:val="0"/>
        <w:strike w:val="0"/>
        <w:dstrike w:val="0"/>
        <w:noProof w:val="0"/>
        <w:vanish w:val="0"/>
        <w:color w:val="E18409" w:themeColor="text2"/>
        <w:spacing w:val="0"/>
        <w:position w:val="0"/>
        <w:sz w:val="27"/>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ttachmentHeading2"/>
      <w:lvlText w:val="%1.%2"/>
      <w:lvlJc w:val="left"/>
      <w:pPr>
        <w:tabs>
          <w:tab w:val="num" w:pos="567"/>
        </w:tabs>
        <w:ind w:left="567" w:hanging="567"/>
      </w:pPr>
      <w:rPr>
        <w:rFonts w:ascii="Arial Narrow" w:hAnsi="Arial Narrow" w:hint="default"/>
        <w:color w:val="E18409" w:themeColor="text2"/>
        <w:sz w:val="22"/>
      </w:rPr>
    </w:lvl>
    <w:lvl w:ilvl="2">
      <w:start w:val="1"/>
      <w:numFmt w:val="lowerLetter"/>
      <w:pStyle w:val="AttachmentHeading3"/>
      <w:lvlText w:val="(%3)"/>
      <w:lvlJc w:val="left"/>
      <w:pPr>
        <w:tabs>
          <w:tab w:val="num" w:pos="567"/>
        </w:tabs>
        <w:ind w:left="567" w:hanging="567"/>
      </w:pPr>
      <w:rPr>
        <w:rFonts w:cs="Times New Roman" w:hint="default"/>
        <w:b w:val="0"/>
        <w:bCs w:val="0"/>
        <w:i w:val="0"/>
        <w:iCs w:val="0"/>
        <w:caps w:val="0"/>
        <w:smallCaps w:val="0"/>
        <w:strike w:val="0"/>
        <w:dstrike w:val="0"/>
        <w:noProof w:val="0"/>
        <w:vanish w:val="0"/>
        <w:color w:val="E18409" w:themeColor="text2"/>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23" w15:restartNumberingAfterBreak="0">
    <w:nsid w:val="440114C4"/>
    <w:multiLevelType w:val="multilevel"/>
    <w:tmpl w:val="8918074E"/>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lowerLetter"/>
      <w:pStyle w:val="Heading3"/>
      <w:lvlText w:val="(%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7607A86"/>
    <w:multiLevelType w:val="multilevel"/>
    <w:tmpl w:val="AC54C834"/>
    <w:lvl w:ilvl="0">
      <w:start w:val="1"/>
      <w:numFmt w:val="decimal"/>
      <w:pStyle w:val="Heading1noTOC"/>
      <w:lvlText w:val="%1."/>
      <w:lvlJc w:val="left"/>
      <w:pPr>
        <w:ind w:left="567" w:hanging="567"/>
      </w:pPr>
      <w:rPr>
        <w:rFonts w:hint="default"/>
        <w:color w:val="E18409" w:themeColor="text2"/>
      </w:rPr>
    </w:lvl>
    <w:lvl w:ilvl="1">
      <w:start w:val="1"/>
      <w:numFmt w:val="decimal"/>
      <w:lvlText w:val="%1.%2"/>
      <w:lvlJc w:val="left"/>
      <w:pPr>
        <w:ind w:left="567" w:hanging="567"/>
      </w:pPr>
      <w:rPr>
        <w:rFonts w:hint="default"/>
      </w:rPr>
    </w:lvl>
    <w:lvl w:ilvl="2">
      <w:start w:val="1"/>
      <w:numFmt w:val="lowerLetter"/>
      <w:lvlText w:val="(%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pStyle w:val="Pulloutnotesnumbered"/>
      <w:lvlText w:val="%7."/>
      <w:lvlJc w:val="left"/>
      <w:pPr>
        <w:ind w:left="454" w:hanging="284"/>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8825CCF"/>
    <w:multiLevelType w:val="hybridMultilevel"/>
    <w:tmpl w:val="E8ACD326"/>
    <w:lvl w:ilvl="0" w:tplc="CEE4878A">
      <w:start w:val="1"/>
      <w:numFmt w:val="bullet"/>
      <w:pStyle w:val="Heading4"/>
      <w:lvlText w:val="n"/>
      <w:lvlJc w:val="left"/>
      <w:pPr>
        <w:ind w:left="1637" w:hanging="360"/>
      </w:pPr>
      <w:rPr>
        <w:rFonts w:ascii="Wingdings" w:hAnsi="Wingdings" w:hint="default"/>
        <w:color w:val="8DC73F"/>
      </w:rPr>
    </w:lvl>
    <w:lvl w:ilvl="1" w:tplc="0C090003" w:tentative="1">
      <w:start w:val="1"/>
      <w:numFmt w:val="bullet"/>
      <w:lvlText w:val="o"/>
      <w:lvlJc w:val="left"/>
      <w:pPr>
        <w:ind w:left="2357" w:hanging="360"/>
      </w:pPr>
      <w:rPr>
        <w:rFonts w:ascii="Courier New" w:hAnsi="Courier New" w:cs="Courier New" w:hint="default"/>
      </w:rPr>
    </w:lvl>
    <w:lvl w:ilvl="2" w:tplc="0C090005" w:tentative="1">
      <w:start w:val="1"/>
      <w:numFmt w:val="bullet"/>
      <w:lvlText w:val=""/>
      <w:lvlJc w:val="left"/>
      <w:pPr>
        <w:ind w:left="3077" w:hanging="360"/>
      </w:pPr>
      <w:rPr>
        <w:rFonts w:ascii="Wingdings" w:hAnsi="Wingdings" w:hint="default"/>
      </w:rPr>
    </w:lvl>
    <w:lvl w:ilvl="3" w:tplc="0C090001" w:tentative="1">
      <w:start w:val="1"/>
      <w:numFmt w:val="bullet"/>
      <w:lvlText w:val=""/>
      <w:lvlJc w:val="left"/>
      <w:pPr>
        <w:ind w:left="3797" w:hanging="360"/>
      </w:pPr>
      <w:rPr>
        <w:rFonts w:ascii="Symbol" w:hAnsi="Symbol" w:hint="default"/>
      </w:rPr>
    </w:lvl>
    <w:lvl w:ilvl="4" w:tplc="0C090003" w:tentative="1">
      <w:start w:val="1"/>
      <w:numFmt w:val="bullet"/>
      <w:lvlText w:val="o"/>
      <w:lvlJc w:val="left"/>
      <w:pPr>
        <w:ind w:left="4517" w:hanging="360"/>
      </w:pPr>
      <w:rPr>
        <w:rFonts w:ascii="Courier New" w:hAnsi="Courier New" w:cs="Courier New" w:hint="default"/>
      </w:rPr>
    </w:lvl>
    <w:lvl w:ilvl="5" w:tplc="0C090005" w:tentative="1">
      <w:start w:val="1"/>
      <w:numFmt w:val="bullet"/>
      <w:lvlText w:val=""/>
      <w:lvlJc w:val="left"/>
      <w:pPr>
        <w:ind w:left="5237" w:hanging="360"/>
      </w:pPr>
      <w:rPr>
        <w:rFonts w:ascii="Wingdings" w:hAnsi="Wingdings" w:hint="default"/>
      </w:rPr>
    </w:lvl>
    <w:lvl w:ilvl="6" w:tplc="0C090001" w:tentative="1">
      <w:start w:val="1"/>
      <w:numFmt w:val="bullet"/>
      <w:lvlText w:val=""/>
      <w:lvlJc w:val="left"/>
      <w:pPr>
        <w:ind w:left="5957" w:hanging="360"/>
      </w:pPr>
      <w:rPr>
        <w:rFonts w:ascii="Symbol" w:hAnsi="Symbol" w:hint="default"/>
      </w:rPr>
    </w:lvl>
    <w:lvl w:ilvl="7" w:tplc="0C090003" w:tentative="1">
      <w:start w:val="1"/>
      <w:numFmt w:val="bullet"/>
      <w:lvlText w:val="o"/>
      <w:lvlJc w:val="left"/>
      <w:pPr>
        <w:ind w:left="6677" w:hanging="360"/>
      </w:pPr>
      <w:rPr>
        <w:rFonts w:ascii="Courier New" w:hAnsi="Courier New" w:cs="Courier New" w:hint="default"/>
      </w:rPr>
    </w:lvl>
    <w:lvl w:ilvl="8" w:tplc="0C090005" w:tentative="1">
      <w:start w:val="1"/>
      <w:numFmt w:val="bullet"/>
      <w:lvlText w:val=""/>
      <w:lvlJc w:val="left"/>
      <w:pPr>
        <w:ind w:left="7397" w:hanging="360"/>
      </w:pPr>
      <w:rPr>
        <w:rFonts w:ascii="Wingdings" w:hAnsi="Wingdings" w:hint="default"/>
      </w:rPr>
    </w:lvl>
  </w:abstractNum>
  <w:abstractNum w:abstractNumId="26" w15:restartNumberingAfterBreak="0">
    <w:nsid w:val="49F27CEB"/>
    <w:multiLevelType w:val="multilevel"/>
    <w:tmpl w:val="0C489890"/>
    <w:lvl w:ilvl="0">
      <w:start w:val="1"/>
      <w:numFmt w:val="decimal"/>
      <w:lvlRestart w:val="0"/>
      <w:pStyle w:val="NumberedNotes"/>
      <w:lvlText w:val="%1."/>
      <w:lvlJc w:val="left"/>
      <w:pPr>
        <w:ind w:left="502" w:hanging="360"/>
      </w:pPr>
      <w:rPr>
        <w:rFonts w:ascii="Arial" w:hAnsi="Arial" w:cs="Times New Roman" w:hint="default"/>
        <w:b w:val="0"/>
        <w:bCs w:val="0"/>
        <w:i w:val="0"/>
        <w:iCs w:val="0"/>
        <w:caps w:val="0"/>
        <w:smallCaps w:val="0"/>
        <w:strike w:val="0"/>
        <w:dstrike w:val="0"/>
        <w:noProof w:val="0"/>
        <w:vanish w:val="0"/>
        <w:color w:val="000000"/>
        <w:spacing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4E7364F2"/>
    <w:multiLevelType w:val="hybridMultilevel"/>
    <w:tmpl w:val="E44A6D70"/>
    <w:lvl w:ilvl="0" w:tplc="261A2344">
      <w:start w:val="1"/>
      <w:numFmt w:val="bullet"/>
      <w:lvlText w:val=""/>
      <w:lvlJc w:val="left"/>
      <w:pPr>
        <w:ind w:left="720" w:hanging="360"/>
      </w:pPr>
      <w:rPr>
        <w:rFonts w:ascii="Symbol" w:hAnsi="Symbol" w:hint="default"/>
        <w:color w:val="E1840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040F9D"/>
    <w:multiLevelType w:val="hybridMultilevel"/>
    <w:tmpl w:val="C3D41B9A"/>
    <w:lvl w:ilvl="0" w:tplc="977E3A1C">
      <w:start w:val="1"/>
      <w:numFmt w:val="lowerRoman"/>
      <w:pStyle w:val="ListiBlueBlack"/>
      <w:lvlText w:val="(%1)"/>
      <w:lvlJc w:val="left"/>
      <w:pPr>
        <w:ind w:left="717" w:hanging="360"/>
      </w:pPr>
      <w:rPr>
        <w:rFonts w:ascii="Arial" w:hAnsi="Arial" w:hint="default"/>
        <w:color w:val="E18409" w:themeColor="text2"/>
        <w:sz w:val="19"/>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54D1107A"/>
    <w:multiLevelType w:val="multilevel"/>
    <w:tmpl w:val="2D080746"/>
    <w:lvl w:ilvl="0">
      <w:start w:val="1"/>
      <w:numFmt w:val="lowerLetter"/>
      <w:lvlText w:val="(%1)"/>
      <w:lvlJc w:val="left"/>
      <w:pPr>
        <w:ind w:left="397" w:hanging="397"/>
      </w:pPr>
      <w:rPr>
        <w:rFonts w:ascii="Arial" w:hAnsi="Arial" w:hint="default"/>
        <w:b w:val="0"/>
        <w:i w:val="0"/>
        <w:color w:val="auto"/>
        <w:sz w:val="22"/>
      </w:rPr>
    </w:lvl>
    <w:lvl w:ilvl="1">
      <w:start w:val="1"/>
      <w:numFmt w:val="lowerRoman"/>
      <w:lvlText w:val="(%2)"/>
      <w:lvlJc w:val="left"/>
      <w:pPr>
        <w:ind w:left="794" w:hanging="397"/>
      </w:pPr>
      <w:rPr>
        <w:rFonts w:ascii="Arial" w:hAnsi="Arial" w:hint="default"/>
        <w:b w:val="0"/>
        <w:i w:val="0"/>
        <w:color w:val="auto"/>
        <w:sz w:val="22"/>
      </w:rPr>
    </w:lvl>
    <w:lvl w:ilvl="2">
      <w:start w:val="1"/>
      <w:numFmt w:val="bullet"/>
      <w:lvlText w:val=""/>
      <w:lvlJc w:val="left"/>
      <w:pPr>
        <w:ind w:left="964" w:hanging="170"/>
      </w:pPr>
      <w:rPr>
        <w:rFonts w:ascii="Symbol" w:hAnsi="Symbol" w:hint="default"/>
        <w:color w:val="auto"/>
      </w:rPr>
    </w:lvl>
    <w:lvl w:ilvl="3">
      <w:start w:val="1"/>
      <w:numFmt w:val="bullet"/>
      <w:lvlText w:val="–"/>
      <w:lvlJc w:val="left"/>
      <w:pPr>
        <w:ind w:left="1134" w:hanging="170"/>
      </w:pPr>
      <w:rPr>
        <w:rFonts w:ascii="Arial" w:hAnsi="Aria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5C82412"/>
    <w:multiLevelType w:val="multilevel"/>
    <w:tmpl w:val="E83615FC"/>
    <w:lvl w:ilvl="0">
      <w:start w:val="1"/>
      <w:numFmt w:val="lowerLetter"/>
      <w:lvlText w:val="(%1)"/>
      <w:lvlJc w:val="left"/>
      <w:pPr>
        <w:ind w:left="397" w:hanging="397"/>
      </w:pPr>
      <w:rPr>
        <w:rFonts w:ascii="Arial" w:hAnsi="Arial" w:hint="default"/>
        <w:b w:val="0"/>
        <w:i w:val="0"/>
        <w:color w:val="auto"/>
        <w:sz w:val="19"/>
      </w:rPr>
    </w:lvl>
    <w:lvl w:ilvl="1">
      <w:start w:val="1"/>
      <w:numFmt w:val="lowerRoman"/>
      <w:lvlText w:val="(%2)"/>
      <w:lvlJc w:val="left"/>
      <w:pPr>
        <w:ind w:left="794" w:hanging="397"/>
      </w:pPr>
      <w:rPr>
        <w:rFonts w:ascii="Arial" w:hAnsi="Arial" w:hint="default"/>
        <w:b w:val="0"/>
        <w:i w:val="0"/>
        <w:color w:val="auto"/>
        <w:sz w:val="19"/>
      </w:rPr>
    </w:lvl>
    <w:lvl w:ilvl="2">
      <w:start w:val="1"/>
      <w:numFmt w:val="bullet"/>
      <w:lvlText w:val=""/>
      <w:lvlJc w:val="left"/>
      <w:pPr>
        <w:ind w:left="964" w:hanging="170"/>
      </w:pPr>
      <w:rPr>
        <w:rFonts w:ascii="Symbol" w:hAnsi="Symbol" w:hint="default"/>
        <w:color w:val="auto"/>
      </w:rPr>
    </w:lvl>
    <w:lvl w:ilvl="3">
      <w:start w:val="1"/>
      <w:numFmt w:val="bullet"/>
      <w:lvlText w:val="–"/>
      <w:lvlJc w:val="left"/>
      <w:pPr>
        <w:ind w:left="1134" w:hanging="170"/>
      </w:pPr>
      <w:rPr>
        <w:rFonts w:ascii="Arial" w:hAnsi="Aria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21164FE"/>
    <w:multiLevelType w:val="multilevel"/>
    <w:tmpl w:val="E4203ED0"/>
    <w:lvl w:ilvl="0">
      <w:start w:val="1"/>
      <w:numFmt w:val="lowerLetter"/>
      <w:lvlText w:val="(%1)"/>
      <w:lvlJc w:val="left"/>
      <w:pPr>
        <w:ind w:left="397" w:hanging="397"/>
      </w:pPr>
      <w:rPr>
        <w:rFonts w:ascii="Arial" w:hAnsi="Arial" w:hint="default"/>
        <w:b w:val="0"/>
        <w:i w:val="0"/>
        <w:color w:val="auto"/>
        <w:sz w:val="19"/>
      </w:rPr>
    </w:lvl>
    <w:lvl w:ilvl="1">
      <w:start w:val="1"/>
      <w:numFmt w:val="lowerRoman"/>
      <w:lvlText w:val="(%2)"/>
      <w:lvlJc w:val="left"/>
      <w:pPr>
        <w:ind w:left="794" w:hanging="397"/>
      </w:pPr>
      <w:rPr>
        <w:rFonts w:ascii="Arial" w:hAnsi="Arial" w:hint="default"/>
        <w:b w:val="0"/>
        <w:i w:val="0"/>
        <w:color w:val="auto"/>
        <w:sz w:val="22"/>
      </w:rPr>
    </w:lvl>
    <w:lvl w:ilvl="2">
      <w:start w:val="1"/>
      <w:numFmt w:val="bullet"/>
      <w:lvlText w:val=""/>
      <w:lvlJc w:val="left"/>
      <w:pPr>
        <w:ind w:left="964" w:hanging="170"/>
      </w:pPr>
      <w:rPr>
        <w:rFonts w:ascii="Symbol" w:hAnsi="Symbol" w:hint="default"/>
        <w:color w:val="auto"/>
      </w:rPr>
    </w:lvl>
    <w:lvl w:ilvl="3">
      <w:start w:val="1"/>
      <w:numFmt w:val="bullet"/>
      <w:lvlText w:val="–"/>
      <w:lvlJc w:val="left"/>
      <w:pPr>
        <w:ind w:left="1134" w:hanging="170"/>
      </w:pPr>
      <w:rPr>
        <w:rFonts w:ascii="Arial" w:hAnsi="Aria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3E512D0"/>
    <w:multiLevelType w:val="multilevel"/>
    <w:tmpl w:val="8AB6FF42"/>
    <w:styleLink w:val="CWBulletStyle"/>
    <w:lvl w:ilvl="0">
      <w:start w:val="1"/>
      <w:numFmt w:val="bullet"/>
      <w:lvlText w:val=""/>
      <w:lvlJc w:val="left"/>
      <w:pPr>
        <w:ind w:left="360" w:hanging="360"/>
      </w:pPr>
      <w:rPr>
        <w:rFonts w:ascii="Wingdings" w:hAnsi="Wingdings" w:hint="default"/>
        <w:color w:val="8DC73F"/>
      </w:rPr>
    </w:lvl>
    <w:lvl w:ilvl="1">
      <w:start w:val="1"/>
      <w:numFmt w:val="bullet"/>
      <w:lvlText w:val="–"/>
      <w:lvlJc w:val="left"/>
      <w:pPr>
        <w:ind w:left="720" w:hanging="360"/>
      </w:pPr>
      <w:rPr>
        <w:rFonts w:ascii="Arial" w:hAnsi="Arial" w:hint="default"/>
        <w:color w:val="40AB35" w:themeColor="accent1"/>
      </w:rPr>
    </w:lvl>
    <w:lvl w:ilvl="2">
      <w:start w:val="1"/>
      <w:numFmt w:val="bullet"/>
      <w:lvlText w:val=""/>
      <w:lvlJc w:val="left"/>
      <w:pPr>
        <w:ind w:left="1080" w:hanging="360"/>
      </w:pPr>
      <w:rPr>
        <w:rFonts w:ascii="Wingdings" w:hAnsi="Wingdings" w:hint="default"/>
        <w:color w:val="8DC73F"/>
      </w:rPr>
    </w:lvl>
    <w:lvl w:ilvl="3">
      <w:start w:val="1"/>
      <w:numFmt w:val="bullet"/>
      <w:lvlText w:val="–"/>
      <w:lvlJc w:val="left"/>
      <w:pPr>
        <w:ind w:left="1440" w:hanging="360"/>
      </w:pPr>
      <w:rPr>
        <w:rFonts w:ascii="Arial" w:hAnsi="Arial" w:hint="default"/>
        <w:color w:val="40AB35"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ECD7597"/>
    <w:multiLevelType w:val="hybridMultilevel"/>
    <w:tmpl w:val="F8BCCB50"/>
    <w:lvl w:ilvl="0" w:tplc="261A2344">
      <w:start w:val="1"/>
      <w:numFmt w:val="bullet"/>
      <w:lvlText w:val=""/>
      <w:lvlJc w:val="left"/>
      <w:pPr>
        <w:ind w:left="720" w:hanging="360"/>
      </w:pPr>
      <w:rPr>
        <w:rFonts w:ascii="Symbol" w:hAnsi="Symbol" w:hint="default"/>
        <w:color w:val="E1840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680078"/>
    <w:multiLevelType w:val="multilevel"/>
    <w:tmpl w:val="84926F72"/>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Letter"/>
      <w:lvlText w:val="(%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81332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3"/>
  </w:num>
  <w:num w:numId="2">
    <w:abstractNumId w:val="20"/>
  </w:num>
  <w:num w:numId="3">
    <w:abstractNumId w:val="26"/>
  </w:num>
  <w:num w:numId="4">
    <w:abstractNumId w:val="22"/>
  </w:num>
  <w:num w:numId="5">
    <w:abstractNumId w:val="25"/>
  </w:num>
  <w:num w:numId="6">
    <w:abstractNumId w:val="11"/>
  </w:num>
  <w:num w:numId="7">
    <w:abstractNumId w:val="16"/>
  </w:num>
  <w:num w:numId="8">
    <w:abstractNumId w:val="21"/>
  </w:num>
  <w:num w:numId="9">
    <w:abstractNumId w:val="21"/>
  </w:num>
  <w:num w:numId="10">
    <w:abstractNumId w:val="32"/>
  </w:num>
  <w:num w:numId="11">
    <w:abstractNumId w:val="28"/>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18"/>
  </w:num>
  <w:num w:numId="15">
    <w:abstractNumId w:val="33"/>
  </w:num>
  <w:num w:numId="16">
    <w:abstractNumId w:val="14"/>
  </w:num>
  <w:num w:numId="17">
    <w:abstractNumId w:val="27"/>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4"/>
  </w:num>
  <w:num w:numId="29">
    <w:abstractNumId w:val="15"/>
  </w:num>
  <w:num w:numId="30">
    <w:abstractNumId w:val="19"/>
  </w:num>
  <w:num w:numId="31">
    <w:abstractNumId w:val="29"/>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17"/>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num>
  <w:num w:numId="41">
    <w:abstractNumId w:val="12"/>
  </w:num>
  <w:num w:numId="42">
    <w:abstractNumId w:val="10"/>
  </w:num>
  <w:num w:numId="43">
    <w:abstractNumId w:val="31"/>
  </w:num>
  <w:num w:numId="44">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proofState w:spelling="clean" w:grammar="clean"/>
  <w:linkStyles/>
  <w:stylePaneFormatFilter w:val="8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1"/>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7A0"/>
    <w:rsid w:val="000008BC"/>
    <w:rsid w:val="0000136C"/>
    <w:rsid w:val="000028B1"/>
    <w:rsid w:val="00004265"/>
    <w:rsid w:val="00004F66"/>
    <w:rsid w:val="000058C7"/>
    <w:rsid w:val="00005B8B"/>
    <w:rsid w:val="00005EDA"/>
    <w:rsid w:val="00006194"/>
    <w:rsid w:val="000079DB"/>
    <w:rsid w:val="0001035A"/>
    <w:rsid w:val="00012313"/>
    <w:rsid w:val="00012B24"/>
    <w:rsid w:val="00012CC6"/>
    <w:rsid w:val="000132E1"/>
    <w:rsid w:val="0001481F"/>
    <w:rsid w:val="000153C1"/>
    <w:rsid w:val="00015A7C"/>
    <w:rsid w:val="00015C32"/>
    <w:rsid w:val="000160A4"/>
    <w:rsid w:val="0001619F"/>
    <w:rsid w:val="00017F9C"/>
    <w:rsid w:val="00020E76"/>
    <w:rsid w:val="00021AF2"/>
    <w:rsid w:val="00022026"/>
    <w:rsid w:val="0002403E"/>
    <w:rsid w:val="00024AF2"/>
    <w:rsid w:val="000252D6"/>
    <w:rsid w:val="00025917"/>
    <w:rsid w:val="00025ADB"/>
    <w:rsid w:val="0002663B"/>
    <w:rsid w:val="00026B7C"/>
    <w:rsid w:val="00027180"/>
    <w:rsid w:val="0002721C"/>
    <w:rsid w:val="000278A6"/>
    <w:rsid w:val="000308DE"/>
    <w:rsid w:val="00030A51"/>
    <w:rsid w:val="00032573"/>
    <w:rsid w:val="0003322E"/>
    <w:rsid w:val="00033366"/>
    <w:rsid w:val="000347D0"/>
    <w:rsid w:val="00034C2F"/>
    <w:rsid w:val="00035178"/>
    <w:rsid w:val="00035C87"/>
    <w:rsid w:val="00036510"/>
    <w:rsid w:val="000369A7"/>
    <w:rsid w:val="00036B5C"/>
    <w:rsid w:val="00041580"/>
    <w:rsid w:val="00042604"/>
    <w:rsid w:val="000434ED"/>
    <w:rsid w:val="000436A2"/>
    <w:rsid w:val="00043DF2"/>
    <w:rsid w:val="000446E3"/>
    <w:rsid w:val="00044CA3"/>
    <w:rsid w:val="000464D4"/>
    <w:rsid w:val="0004667C"/>
    <w:rsid w:val="00047648"/>
    <w:rsid w:val="00047B89"/>
    <w:rsid w:val="00047ED1"/>
    <w:rsid w:val="00047FB2"/>
    <w:rsid w:val="0005106A"/>
    <w:rsid w:val="000515D6"/>
    <w:rsid w:val="0005169B"/>
    <w:rsid w:val="0005293C"/>
    <w:rsid w:val="0005327D"/>
    <w:rsid w:val="000541E7"/>
    <w:rsid w:val="0005577D"/>
    <w:rsid w:val="00055DED"/>
    <w:rsid w:val="0005690B"/>
    <w:rsid w:val="00056BE7"/>
    <w:rsid w:val="000604AD"/>
    <w:rsid w:val="00060B49"/>
    <w:rsid w:val="00061E93"/>
    <w:rsid w:val="00062334"/>
    <w:rsid w:val="0006296A"/>
    <w:rsid w:val="000629D3"/>
    <w:rsid w:val="00063793"/>
    <w:rsid w:val="0006499B"/>
    <w:rsid w:val="00065051"/>
    <w:rsid w:val="00065E71"/>
    <w:rsid w:val="00066157"/>
    <w:rsid w:val="00066481"/>
    <w:rsid w:val="000667DD"/>
    <w:rsid w:val="00066EEC"/>
    <w:rsid w:val="00067228"/>
    <w:rsid w:val="00067504"/>
    <w:rsid w:val="000678EA"/>
    <w:rsid w:val="00070A18"/>
    <w:rsid w:val="00070B11"/>
    <w:rsid w:val="000715E7"/>
    <w:rsid w:val="000719C7"/>
    <w:rsid w:val="00073B42"/>
    <w:rsid w:val="00075618"/>
    <w:rsid w:val="00075AD2"/>
    <w:rsid w:val="0007610B"/>
    <w:rsid w:val="0007697F"/>
    <w:rsid w:val="00077959"/>
    <w:rsid w:val="000779F6"/>
    <w:rsid w:val="00077D18"/>
    <w:rsid w:val="00080F04"/>
    <w:rsid w:val="000816CF"/>
    <w:rsid w:val="000816F4"/>
    <w:rsid w:val="000822F7"/>
    <w:rsid w:val="00083E41"/>
    <w:rsid w:val="00083FAF"/>
    <w:rsid w:val="00084208"/>
    <w:rsid w:val="00084DF1"/>
    <w:rsid w:val="00084E92"/>
    <w:rsid w:val="000856FC"/>
    <w:rsid w:val="000859A6"/>
    <w:rsid w:val="00086491"/>
    <w:rsid w:val="000869D0"/>
    <w:rsid w:val="000875FC"/>
    <w:rsid w:val="000906DD"/>
    <w:rsid w:val="00090BEB"/>
    <w:rsid w:val="00090E10"/>
    <w:rsid w:val="000938D4"/>
    <w:rsid w:val="00093FB9"/>
    <w:rsid w:val="00094341"/>
    <w:rsid w:val="00094D72"/>
    <w:rsid w:val="00094EB3"/>
    <w:rsid w:val="00095BD5"/>
    <w:rsid w:val="00097009"/>
    <w:rsid w:val="00097033"/>
    <w:rsid w:val="00097075"/>
    <w:rsid w:val="000A0218"/>
    <w:rsid w:val="000A0FE1"/>
    <w:rsid w:val="000A14AF"/>
    <w:rsid w:val="000A36F2"/>
    <w:rsid w:val="000A43D7"/>
    <w:rsid w:val="000A4603"/>
    <w:rsid w:val="000A5421"/>
    <w:rsid w:val="000A5BED"/>
    <w:rsid w:val="000A5FF1"/>
    <w:rsid w:val="000A6C66"/>
    <w:rsid w:val="000A6CC7"/>
    <w:rsid w:val="000A7775"/>
    <w:rsid w:val="000A7799"/>
    <w:rsid w:val="000B056A"/>
    <w:rsid w:val="000B1104"/>
    <w:rsid w:val="000B133B"/>
    <w:rsid w:val="000B13E1"/>
    <w:rsid w:val="000B1774"/>
    <w:rsid w:val="000B1BF4"/>
    <w:rsid w:val="000B2FE4"/>
    <w:rsid w:val="000B31A4"/>
    <w:rsid w:val="000B394A"/>
    <w:rsid w:val="000B3AC6"/>
    <w:rsid w:val="000B5CDD"/>
    <w:rsid w:val="000B62B6"/>
    <w:rsid w:val="000B760D"/>
    <w:rsid w:val="000B7919"/>
    <w:rsid w:val="000C13A0"/>
    <w:rsid w:val="000C1625"/>
    <w:rsid w:val="000C30BE"/>
    <w:rsid w:val="000C35A5"/>
    <w:rsid w:val="000C3902"/>
    <w:rsid w:val="000C4232"/>
    <w:rsid w:val="000C4CFD"/>
    <w:rsid w:val="000C6E58"/>
    <w:rsid w:val="000C71DE"/>
    <w:rsid w:val="000C781D"/>
    <w:rsid w:val="000C7C3B"/>
    <w:rsid w:val="000D0581"/>
    <w:rsid w:val="000D178C"/>
    <w:rsid w:val="000D2782"/>
    <w:rsid w:val="000D3392"/>
    <w:rsid w:val="000D38C1"/>
    <w:rsid w:val="000D4DAC"/>
    <w:rsid w:val="000D5048"/>
    <w:rsid w:val="000D597A"/>
    <w:rsid w:val="000D5DA1"/>
    <w:rsid w:val="000D614B"/>
    <w:rsid w:val="000D69A7"/>
    <w:rsid w:val="000D701E"/>
    <w:rsid w:val="000E0251"/>
    <w:rsid w:val="000E1160"/>
    <w:rsid w:val="000E2307"/>
    <w:rsid w:val="000E2C48"/>
    <w:rsid w:val="000E311F"/>
    <w:rsid w:val="000E36D1"/>
    <w:rsid w:val="000E3A3C"/>
    <w:rsid w:val="000E4543"/>
    <w:rsid w:val="000E4816"/>
    <w:rsid w:val="000E4E5A"/>
    <w:rsid w:val="000E5309"/>
    <w:rsid w:val="000E62EA"/>
    <w:rsid w:val="000E7BFB"/>
    <w:rsid w:val="000F0ABF"/>
    <w:rsid w:val="000F0BD9"/>
    <w:rsid w:val="000F1836"/>
    <w:rsid w:val="000F2493"/>
    <w:rsid w:val="000F3F77"/>
    <w:rsid w:val="000F4437"/>
    <w:rsid w:val="000F558E"/>
    <w:rsid w:val="000F5608"/>
    <w:rsid w:val="000F570D"/>
    <w:rsid w:val="000F5E7E"/>
    <w:rsid w:val="000F6113"/>
    <w:rsid w:val="000F67DF"/>
    <w:rsid w:val="000F6A6F"/>
    <w:rsid w:val="000F78BC"/>
    <w:rsid w:val="00100467"/>
    <w:rsid w:val="00100E0B"/>
    <w:rsid w:val="001013F7"/>
    <w:rsid w:val="001029AB"/>
    <w:rsid w:val="00103DBA"/>
    <w:rsid w:val="00103E7A"/>
    <w:rsid w:val="001040AF"/>
    <w:rsid w:val="0010498C"/>
    <w:rsid w:val="00106559"/>
    <w:rsid w:val="00106AB3"/>
    <w:rsid w:val="00106B25"/>
    <w:rsid w:val="00106D05"/>
    <w:rsid w:val="00107A62"/>
    <w:rsid w:val="00110638"/>
    <w:rsid w:val="00110913"/>
    <w:rsid w:val="00110ACA"/>
    <w:rsid w:val="001119AB"/>
    <w:rsid w:val="00111D04"/>
    <w:rsid w:val="0011355B"/>
    <w:rsid w:val="0011383A"/>
    <w:rsid w:val="001144A7"/>
    <w:rsid w:val="001145E7"/>
    <w:rsid w:val="00114E30"/>
    <w:rsid w:val="001154ED"/>
    <w:rsid w:val="00115DA7"/>
    <w:rsid w:val="00116214"/>
    <w:rsid w:val="001167C8"/>
    <w:rsid w:val="001168B7"/>
    <w:rsid w:val="00116A20"/>
    <w:rsid w:val="00116ADF"/>
    <w:rsid w:val="00117591"/>
    <w:rsid w:val="00117991"/>
    <w:rsid w:val="00121103"/>
    <w:rsid w:val="00122B01"/>
    <w:rsid w:val="00122D17"/>
    <w:rsid w:val="001246A4"/>
    <w:rsid w:val="00124B87"/>
    <w:rsid w:val="001254F7"/>
    <w:rsid w:val="00125C7E"/>
    <w:rsid w:val="001270A6"/>
    <w:rsid w:val="00130592"/>
    <w:rsid w:val="00130731"/>
    <w:rsid w:val="001307A0"/>
    <w:rsid w:val="00131234"/>
    <w:rsid w:val="001317A0"/>
    <w:rsid w:val="00134580"/>
    <w:rsid w:val="0013576F"/>
    <w:rsid w:val="001358F1"/>
    <w:rsid w:val="00135961"/>
    <w:rsid w:val="00135B0E"/>
    <w:rsid w:val="00135F66"/>
    <w:rsid w:val="00137571"/>
    <w:rsid w:val="0014044D"/>
    <w:rsid w:val="001405A2"/>
    <w:rsid w:val="00141B32"/>
    <w:rsid w:val="00141B42"/>
    <w:rsid w:val="00141EE3"/>
    <w:rsid w:val="001420E8"/>
    <w:rsid w:val="00142773"/>
    <w:rsid w:val="00142BF4"/>
    <w:rsid w:val="00144E57"/>
    <w:rsid w:val="00146AED"/>
    <w:rsid w:val="00147E9E"/>
    <w:rsid w:val="00150613"/>
    <w:rsid w:val="00150C91"/>
    <w:rsid w:val="00151324"/>
    <w:rsid w:val="00152CDD"/>
    <w:rsid w:val="00153237"/>
    <w:rsid w:val="001533D4"/>
    <w:rsid w:val="00153E44"/>
    <w:rsid w:val="00157D42"/>
    <w:rsid w:val="0016008A"/>
    <w:rsid w:val="00160391"/>
    <w:rsid w:val="001625FF"/>
    <w:rsid w:val="00162BAC"/>
    <w:rsid w:val="00162DD0"/>
    <w:rsid w:val="00162EDB"/>
    <w:rsid w:val="00165D7A"/>
    <w:rsid w:val="00165F3A"/>
    <w:rsid w:val="00165FFB"/>
    <w:rsid w:val="001666AD"/>
    <w:rsid w:val="00166A04"/>
    <w:rsid w:val="00167360"/>
    <w:rsid w:val="00167F61"/>
    <w:rsid w:val="0017161A"/>
    <w:rsid w:val="001718DC"/>
    <w:rsid w:val="00171A31"/>
    <w:rsid w:val="00171E64"/>
    <w:rsid w:val="001729A6"/>
    <w:rsid w:val="00173055"/>
    <w:rsid w:val="001738DF"/>
    <w:rsid w:val="00173B68"/>
    <w:rsid w:val="00173BDF"/>
    <w:rsid w:val="001751C7"/>
    <w:rsid w:val="00176E5E"/>
    <w:rsid w:val="00176E94"/>
    <w:rsid w:val="00177539"/>
    <w:rsid w:val="00177559"/>
    <w:rsid w:val="00177AFC"/>
    <w:rsid w:val="001800D1"/>
    <w:rsid w:val="00181452"/>
    <w:rsid w:val="00181B46"/>
    <w:rsid w:val="00181E43"/>
    <w:rsid w:val="001821A9"/>
    <w:rsid w:val="001826B9"/>
    <w:rsid w:val="00183E26"/>
    <w:rsid w:val="00184CB8"/>
    <w:rsid w:val="00185031"/>
    <w:rsid w:val="00185647"/>
    <w:rsid w:val="0018723A"/>
    <w:rsid w:val="00187F2A"/>
    <w:rsid w:val="001901DA"/>
    <w:rsid w:val="001909B6"/>
    <w:rsid w:val="00190DD9"/>
    <w:rsid w:val="001919F4"/>
    <w:rsid w:val="001927AA"/>
    <w:rsid w:val="00192956"/>
    <w:rsid w:val="00192D78"/>
    <w:rsid w:val="00192FA4"/>
    <w:rsid w:val="0019513A"/>
    <w:rsid w:val="0019559E"/>
    <w:rsid w:val="00196517"/>
    <w:rsid w:val="001969D2"/>
    <w:rsid w:val="001969E8"/>
    <w:rsid w:val="001969FC"/>
    <w:rsid w:val="0019702B"/>
    <w:rsid w:val="0019724B"/>
    <w:rsid w:val="00197372"/>
    <w:rsid w:val="001973DE"/>
    <w:rsid w:val="001974B7"/>
    <w:rsid w:val="001979C5"/>
    <w:rsid w:val="00197D0E"/>
    <w:rsid w:val="001A06AC"/>
    <w:rsid w:val="001A1143"/>
    <w:rsid w:val="001A1C65"/>
    <w:rsid w:val="001A3536"/>
    <w:rsid w:val="001A5AFF"/>
    <w:rsid w:val="001A6585"/>
    <w:rsid w:val="001A65AD"/>
    <w:rsid w:val="001A7696"/>
    <w:rsid w:val="001A7C3C"/>
    <w:rsid w:val="001A7E87"/>
    <w:rsid w:val="001B0368"/>
    <w:rsid w:val="001B13DD"/>
    <w:rsid w:val="001B17C5"/>
    <w:rsid w:val="001B1972"/>
    <w:rsid w:val="001B1B05"/>
    <w:rsid w:val="001B296E"/>
    <w:rsid w:val="001B2D76"/>
    <w:rsid w:val="001B3438"/>
    <w:rsid w:val="001B3BF3"/>
    <w:rsid w:val="001B4776"/>
    <w:rsid w:val="001B4E28"/>
    <w:rsid w:val="001B4E52"/>
    <w:rsid w:val="001B5227"/>
    <w:rsid w:val="001B5974"/>
    <w:rsid w:val="001B6459"/>
    <w:rsid w:val="001B6A0F"/>
    <w:rsid w:val="001B6A68"/>
    <w:rsid w:val="001B70DF"/>
    <w:rsid w:val="001C1A8B"/>
    <w:rsid w:val="001C1F21"/>
    <w:rsid w:val="001C21A0"/>
    <w:rsid w:val="001C2214"/>
    <w:rsid w:val="001C2C43"/>
    <w:rsid w:val="001C3CE2"/>
    <w:rsid w:val="001C40C5"/>
    <w:rsid w:val="001C4BA3"/>
    <w:rsid w:val="001C57D8"/>
    <w:rsid w:val="001C6BB0"/>
    <w:rsid w:val="001C7878"/>
    <w:rsid w:val="001D0305"/>
    <w:rsid w:val="001D03CD"/>
    <w:rsid w:val="001D19ED"/>
    <w:rsid w:val="001D2569"/>
    <w:rsid w:val="001D25F4"/>
    <w:rsid w:val="001D2C60"/>
    <w:rsid w:val="001D2F7F"/>
    <w:rsid w:val="001D3F90"/>
    <w:rsid w:val="001D41BD"/>
    <w:rsid w:val="001D484D"/>
    <w:rsid w:val="001D4904"/>
    <w:rsid w:val="001D5696"/>
    <w:rsid w:val="001D58AB"/>
    <w:rsid w:val="001D5F39"/>
    <w:rsid w:val="001D61BD"/>
    <w:rsid w:val="001D7AB8"/>
    <w:rsid w:val="001D7E3D"/>
    <w:rsid w:val="001D7F75"/>
    <w:rsid w:val="001D7F82"/>
    <w:rsid w:val="001E004E"/>
    <w:rsid w:val="001E16F2"/>
    <w:rsid w:val="001E2492"/>
    <w:rsid w:val="001E26C4"/>
    <w:rsid w:val="001E37C7"/>
    <w:rsid w:val="001E49C2"/>
    <w:rsid w:val="001E5461"/>
    <w:rsid w:val="001F0098"/>
    <w:rsid w:val="001F04EB"/>
    <w:rsid w:val="001F07D0"/>
    <w:rsid w:val="001F1A1A"/>
    <w:rsid w:val="001F1D47"/>
    <w:rsid w:val="001F220D"/>
    <w:rsid w:val="001F376E"/>
    <w:rsid w:val="001F5A36"/>
    <w:rsid w:val="001F5ACF"/>
    <w:rsid w:val="001F62A8"/>
    <w:rsid w:val="001F752A"/>
    <w:rsid w:val="00200645"/>
    <w:rsid w:val="00200B8B"/>
    <w:rsid w:val="00200D53"/>
    <w:rsid w:val="002020C6"/>
    <w:rsid w:val="00202145"/>
    <w:rsid w:val="00202BCB"/>
    <w:rsid w:val="00203B61"/>
    <w:rsid w:val="00204B7C"/>
    <w:rsid w:val="00205565"/>
    <w:rsid w:val="0020569B"/>
    <w:rsid w:val="00205AC8"/>
    <w:rsid w:val="00205B74"/>
    <w:rsid w:val="0020727D"/>
    <w:rsid w:val="0020749C"/>
    <w:rsid w:val="002101A8"/>
    <w:rsid w:val="00210516"/>
    <w:rsid w:val="002118F2"/>
    <w:rsid w:val="0021229F"/>
    <w:rsid w:val="00212DF0"/>
    <w:rsid w:val="00212EA3"/>
    <w:rsid w:val="00213119"/>
    <w:rsid w:val="00213E46"/>
    <w:rsid w:val="0021401F"/>
    <w:rsid w:val="0021417B"/>
    <w:rsid w:val="002145AB"/>
    <w:rsid w:val="00214CEF"/>
    <w:rsid w:val="0021660F"/>
    <w:rsid w:val="00216C2B"/>
    <w:rsid w:val="00217970"/>
    <w:rsid w:val="0022003E"/>
    <w:rsid w:val="0022160F"/>
    <w:rsid w:val="0022193A"/>
    <w:rsid w:val="0022200E"/>
    <w:rsid w:val="00222E07"/>
    <w:rsid w:val="00223628"/>
    <w:rsid w:val="00223AC1"/>
    <w:rsid w:val="002241D3"/>
    <w:rsid w:val="00224204"/>
    <w:rsid w:val="00224621"/>
    <w:rsid w:val="00224660"/>
    <w:rsid w:val="00225ADA"/>
    <w:rsid w:val="00226F15"/>
    <w:rsid w:val="00227C02"/>
    <w:rsid w:val="00227C9A"/>
    <w:rsid w:val="002304C3"/>
    <w:rsid w:val="0023286D"/>
    <w:rsid w:val="002339CF"/>
    <w:rsid w:val="002341FB"/>
    <w:rsid w:val="00234EC2"/>
    <w:rsid w:val="00236049"/>
    <w:rsid w:val="002369C8"/>
    <w:rsid w:val="00236BA4"/>
    <w:rsid w:val="00236FBC"/>
    <w:rsid w:val="00240EF4"/>
    <w:rsid w:val="002411A3"/>
    <w:rsid w:val="002420CC"/>
    <w:rsid w:val="002423F7"/>
    <w:rsid w:val="002423FB"/>
    <w:rsid w:val="00242436"/>
    <w:rsid w:val="002435D3"/>
    <w:rsid w:val="00243665"/>
    <w:rsid w:val="00243EE2"/>
    <w:rsid w:val="002452A1"/>
    <w:rsid w:val="00246A01"/>
    <w:rsid w:val="00246D20"/>
    <w:rsid w:val="00250026"/>
    <w:rsid w:val="00250435"/>
    <w:rsid w:val="002510A4"/>
    <w:rsid w:val="002512D6"/>
    <w:rsid w:val="00251436"/>
    <w:rsid w:val="0025197A"/>
    <w:rsid w:val="00251AF4"/>
    <w:rsid w:val="00251E63"/>
    <w:rsid w:val="002522A1"/>
    <w:rsid w:val="002535EA"/>
    <w:rsid w:val="0025430E"/>
    <w:rsid w:val="0025446B"/>
    <w:rsid w:val="0025546A"/>
    <w:rsid w:val="0025585F"/>
    <w:rsid w:val="00256772"/>
    <w:rsid w:val="00256993"/>
    <w:rsid w:val="002569CE"/>
    <w:rsid w:val="00257F2C"/>
    <w:rsid w:val="002602F6"/>
    <w:rsid w:val="002605B7"/>
    <w:rsid w:val="00261322"/>
    <w:rsid w:val="00261BA1"/>
    <w:rsid w:val="00261F6B"/>
    <w:rsid w:val="00262345"/>
    <w:rsid w:val="00263416"/>
    <w:rsid w:val="002644FF"/>
    <w:rsid w:val="002647E9"/>
    <w:rsid w:val="00264DFD"/>
    <w:rsid w:val="0026644E"/>
    <w:rsid w:val="002666B2"/>
    <w:rsid w:val="00271ED5"/>
    <w:rsid w:val="00273A7F"/>
    <w:rsid w:val="002741C3"/>
    <w:rsid w:val="00274578"/>
    <w:rsid w:val="00274F65"/>
    <w:rsid w:val="00275AC0"/>
    <w:rsid w:val="00275DE6"/>
    <w:rsid w:val="00276449"/>
    <w:rsid w:val="002802C5"/>
    <w:rsid w:val="00281D5C"/>
    <w:rsid w:val="0028208B"/>
    <w:rsid w:val="002825CC"/>
    <w:rsid w:val="0028269D"/>
    <w:rsid w:val="00282E9F"/>
    <w:rsid w:val="00283802"/>
    <w:rsid w:val="002838D4"/>
    <w:rsid w:val="002840D9"/>
    <w:rsid w:val="00284B63"/>
    <w:rsid w:val="00285037"/>
    <w:rsid w:val="002854CC"/>
    <w:rsid w:val="00285FE0"/>
    <w:rsid w:val="0028669F"/>
    <w:rsid w:val="00286AF5"/>
    <w:rsid w:val="00286F6C"/>
    <w:rsid w:val="00287319"/>
    <w:rsid w:val="002874FC"/>
    <w:rsid w:val="00287BA6"/>
    <w:rsid w:val="0029122D"/>
    <w:rsid w:val="002916BA"/>
    <w:rsid w:val="00291B01"/>
    <w:rsid w:val="00291C54"/>
    <w:rsid w:val="002923DB"/>
    <w:rsid w:val="00294372"/>
    <w:rsid w:val="002962DA"/>
    <w:rsid w:val="00297088"/>
    <w:rsid w:val="00297C15"/>
    <w:rsid w:val="002A0D4C"/>
    <w:rsid w:val="002A2B60"/>
    <w:rsid w:val="002A3686"/>
    <w:rsid w:val="002A3703"/>
    <w:rsid w:val="002A374D"/>
    <w:rsid w:val="002A43AF"/>
    <w:rsid w:val="002A4BD4"/>
    <w:rsid w:val="002A4C6E"/>
    <w:rsid w:val="002A4ED2"/>
    <w:rsid w:val="002A5217"/>
    <w:rsid w:val="002A535D"/>
    <w:rsid w:val="002A543A"/>
    <w:rsid w:val="002A5D14"/>
    <w:rsid w:val="002A614B"/>
    <w:rsid w:val="002A6671"/>
    <w:rsid w:val="002A6ED0"/>
    <w:rsid w:val="002A7E1A"/>
    <w:rsid w:val="002B0025"/>
    <w:rsid w:val="002B06D9"/>
    <w:rsid w:val="002B0711"/>
    <w:rsid w:val="002B0CA1"/>
    <w:rsid w:val="002B0E38"/>
    <w:rsid w:val="002B1BA6"/>
    <w:rsid w:val="002B1CF2"/>
    <w:rsid w:val="002B221F"/>
    <w:rsid w:val="002B29CC"/>
    <w:rsid w:val="002B309B"/>
    <w:rsid w:val="002B3485"/>
    <w:rsid w:val="002B409B"/>
    <w:rsid w:val="002B476C"/>
    <w:rsid w:val="002B4A59"/>
    <w:rsid w:val="002B5487"/>
    <w:rsid w:val="002B6737"/>
    <w:rsid w:val="002B7CB5"/>
    <w:rsid w:val="002B7CFF"/>
    <w:rsid w:val="002C0279"/>
    <w:rsid w:val="002C080F"/>
    <w:rsid w:val="002C0DF4"/>
    <w:rsid w:val="002C1471"/>
    <w:rsid w:val="002C292E"/>
    <w:rsid w:val="002C297E"/>
    <w:rsid w:val="002C2AE0"/>
    <w:rsid w:val="002C3078"/>
    <w:rsid w:val="002C3B48"/>
    <w:rsid w:val="002C49D7"/>
    <w:rsid w:val="002C539E"/>
    <w:rsid w:val="002C5CCE"/>
    <w:rsid w:val="002C5E51"/>
    <w:rsid w:val="002C5FCB"/>
    <w:rsid w:val="002C6D34"/>
    <w:rsid w:val="002D0853"/>
    <w:rsid w:val="002D1430"/>
    <w:rsid w:val="002D153B"/>
    <w:rsid w:val="002D3412"/>
    <w:rsid w:val="002D3EDB"/>
    <w:rsid w:val="002D4AD1"/>
    <w:rsid w:val="002D54F9"/>
    <w:rsid w:val="002D5B43"/>
    <w:rsid w:val="002D7576"/>
    <w:rsid w:val="002E15B7"/>
    <w:rsid w:val="002E1B40"/>
    <w:rsid w:val="002E21D9"/>
    <w:rsid w:val="002E2986"/>
    <w:rsid w:val="002E2EF5"/>
    <w:rsid w:val="002E3317"/>
    <w:rsid w:val="002E3935"/>
    <w:rsid w:val="002E5797"/>
    <w:rsid w:val="002E5D15"/>
    <w:rsid w:val="002E634B"/>
    <w:rsid w:val="002E6E96"/>
    <w:rsid w:val="002E72A7"/>
    <w:rsid w:val="002E7B74"/>
    <w:rsid w:val="002F05F2"/>
    <w:rsid w:val="002F086B"/>
    <w:rsid w:val="002F14EB"/>
    <w:rsid w:val="002F2261"/>
    <w:rsid w:val="002F22FD"/>
    <w:rsid w:val="002F336A"/>
    <w:rsid w:val="002F3A80"/>
    <w:rsid w:val="002F3B28"/>
    <w:rsid w:val="002F4131"/>
    <w:rsid w:val="002F4453"/>
    <w:rsid w:val="002F48D3"/>
    <w:rsid w:val="002F4A53"/>
    <w:rsid w:val="002F54F9"/>
    <w:rsid w:val="002F78C5"/>
    <w:rsid w:val="002F7AA1"/>
    <w:rsid w:val="002F7B7A"/>
    <w:rsid w:val="00300A78"/>
    <w:rsid w:val="00300B91"/>
    <w:rsid w:val="00300E77"/>
    <w:rsid w:val="00301811"/>
    <w:rsid w:val="00302373"/>
    <w:rsid w:val="00303592"/>
    <w:rsid w:val="00303C20"/>
    <w:rsid w:val="00304F5D"/>
    <w:rsid w:val="003053FC"/>
    <w:rsid w:val="0030569C"/>
    <w:rsid w:val="00305808"/>
    <w:rsid w:val="003063AA"/>
    <w:rsid w:val="003065F2"/>
    <w:rsid w:val="003073D4"/>
    <w:rsid w:val="00307DAF"/>
    <w:rsid w:val="003102E3"/>
    <w:rsid w:val="003103C1"/>
    <w:rsid w:val="003107B4"/>
    <w:rsid w:val="00310D5F"/>
    <w:rsid w:val="00311324"/>
    <w:rsid w:val="00312239"/>
    <w:rsid w:val="003127BB"/>
    <w:rsid w:val="003128D0"/>
    <w:rsid w:val="00313054"/>
    <w:rsid w:val="003144DB"/>
    <w:rsid w:val="003149DF"/>
    <w:rsid w:val="0031518C"/>
    <w:rsid w:val="003153CA"/>
    <w:rsid w:val="003158FF"/>
    <w:rsid w:val="003168FA"/>
    <w:rsid w:val="0032001F"/>
    <w:rsid w:val="00321212"/>
    <w:rsid w:val="00321919"/>
    <w:rsid w:val="003224F1"/>
    <w:rsid w:val="003227EC"/>
    <w:rsid w:val="00324B1B"/>
    <w:rsid w:val="00326733"/>
    <w:rsid w:val="00327074"/>
    <w:rsid w:val="00327874"/>
    <w:rsid w:val="0033019F"/>
    <w:rsid w:val="00330317"/>
    <w:rsid w:val="003304B2"/>
    <w:rsid w:val="00330596"/>
    <w:rsid w:val="003307AC"/>
    <w:rsid w:val="00331613"/>
    <w:rsid w:val="00332094"/>
    <w:rsid w:val="003328B0"/>
    <w:rsid w:val="00332923"/>
    <w:rsid w:val="00334097"/>
    <w:rsid w:val="00334377"/>
    <w:rsid w:val="00334A5F"/>
    <w:rsid w:val="00334D47"/>
    <w:rsid w:val="00334F92"/>
    <w:rsid w:val="0033521D"/>
    <w:rsid w:val="003357B7"/>
    <w:rsid w:val="00335A3A"/>
    <w:rsid w:val="00335EC1"/>
    <w:rsid w:val="00337310"/>
    <w:rsid w:val="00337CC6"/>
    <w:rsid w:val="00340505"/>
    <w:rsid w:val="0034249B"/>
    <w:rsid w:val="003424D2"/>
    <w:rsid w:val="003424E7"/>
    <w:rsid w:val="00342E8C"/>
    <w:rsid w:val="00343AAD"/>
    <w:rsid w:val="00343BFA"/>
    <w:rsid w:val="00345CF5"/>
    <w:rsid w:val="0034607C"/>
    <w:rsid w:val="00346780"/>
    <w:rsid w:val="00346EE0"/>
    <w:rsid w:val="0034757E"/>
    <w:rsid w:val="00347918"/>
    <w:rsid w:val="00347F4E"/>
    <w:rsid w:val="003506AD"/>
    <w:rsid w:val="00350872"/>
    <w:rsid w:val="0035090C"/>
    <w:rsid w:val="00350E8E"/>
    <w:rsid w:val="00351FD0"/>
    <w:rsid w:val="00352056"/>
    <w:rsid w:val="0035223E"/>
    <w:rsid w:val="00352940"/>
    <w:rsid w:val="00352B79"/>
    <w:rsid w:val="00352BEA"/>
    <w:rsid w:val="0035308A"/>
    <w:rsid w:val="00354468"/>
    <w:rsid w:val="0035477C"/>
    <w:rsid w:val="003554D9"/>
    <w:rsid w:val="00355D62"/>
    <w:rsid w:val="00355E12"/>
    <w:rsid w:val="00357634"/>
    <w:rsid w:val="003579F4"/>
    <w:rsid w:val="003605D7"/>
    <w:rsid w:val="00360DFC"/>
    <w:rsid w:val="00363E48"/>
    <w:rsid w:val="00366823"/>
    <w:rsid w:val="003671AB"/>
    <w:rsid w:val="003675E9"/>
    <w:rsid w:val="00371860"/>
    <w:rsid w:val="0037243D"/>
    <w:rsid w:val="00372F04"/>
    <w:rsid w:val="003733C2"/>
    <w:rsid w:val="00373658"/>
    <w:rsid w:val="00373D02"/>
    <w:rsid w:val="0037498B"/>
    <w:rsid w:val="003752D8"/>
    <w:rsid w:val="0037637C"/>
    <w:rsid w:val="00376EA9"/>
    <w:rsid w:val="003775C4"/>
    <w:rsid w:val="00377BD7"/>
    <w:rsid w:val="00377DC9"/>
    <w:rsid w:val="00380459"/>
    <w:rsid w:val="0038086D"/>
    <w:rsid w:val="00380A68"/>
    <w:rsid w:val="00381BE3"/>
    <w:rsid w:val="0038239E"/>
    <w:rsid w:val="00382719"/>
    <w:rsid w:val="003836D8"/>
    <w:rsid w:val="003839F7"/>
    <w:rsid w:val="00383FE5"/>
    <w:rsid w:val="0038569D"/>
    <w:rsid w:val="00386096"/>
    <w:rsid w:val="00387371"/>
    <w:rsid w:val="003873E1"/>
    <w:rsid w:val="003903B1"/>
    <w:rsid w:val="003908FD"/>
    <w:rsid w:val="00392444"/>
    <w:rsid w:val="003924FE"/>
    <w:rsid w:val="00394609"/>
    <w:rsid w:val="0039514D"/>
    <w:rsid w:val="0039540A"/>
    <w:rsid w:val="0039548C"/>
    <w:rsid w:val="003961A8"/>
    <w:rsid w:val="00397AED"/>
    <w:rsid w:val="003A02CF"/>
    <w:rsid w:val="003A05B4"/>
    <w:rsid w:val="003A183B"/>
    <w:rsid w:val="003A2C64"/>
    <w:rsid w:val="003A3B44"/>
    <w:rsid w:val="003A4BAC"/>
    <w:rsid w:val="003A5151"/>
    <w:rsid w:val="003A7332"/>
    <w:rsid w:val="003B0AC7"/>
    <w:rsid w:val="003B1337"/>
    <w:rsid w:val="003B135A"/>
    <w:rsid w:val="003B1584"/>
    <w:rsid w:val="003B1BA5"/>
    <w:rsid w:val="003B2B51"/>
    <w:rsid w:val="003B2BAE"/>
    <w:rsid w:val="003B2EC6"/>
    <w:rsid w:val="003B3C21"/>
    <w:rsid w:val="003B42BC"/>
    <w:rsid w:val="003B5CBF"/>
    <w:rsid w:val="003B67DE"/>
    <w:rsid w:val="003B69E1"/>
    <w:rsid w:val="003B70E0"/>
    <w:rsid w:val="003B7F65"/>
    <w:rsid w:val="003C0E98"/>
    <w:rsid w:val="003C11BF"/>
    <w:rsid w:val="003C1701"/>
    <w:rsid w:val="003C3737"/>
    <w:rsid w:val="003C3A1B"/>
    <w:rsid w:val="003C3C2A"/>
    <w:rsid w:val="003C45E0"/>
    <w:rsid w:val="003C4A4C"/>
    <w:rsid w:val="003C6A97"/>
    <w:rsid w:val="003C76CD"/>
    <w:rsid w:val="003C7ACE"/>
    <w:rsid w:val="003C7D97"/>
    <w:rsid w:val="003C7E73"/>
    <w:rsid w:val="003D0098"/>
    <w:rsid w:val="003D037F"/>
    <w:rsid w:val="003D1076"/>
    <w:rsid w:val="003D1752"/>
    <w:rsid w:val="003D2356"/>
    <w:rsid w:val="003D5FC6"/>
    <w:rsid w:val="003D646F"/>
    <w:rsid w:val="003D7B3E"/>
    <w:rsid w:val="003E20D9"/>
    <w:rsid w:val="003E2C07"/>
    <w:rsid w:val="003E2D0D"/>
    <w:rsid w:val="003E2E6B"/>
    <w:rsid w:val="003E2F5E"/>
    <w:rsid w:val="003E551C"/>
    <w:rsid w:val="003E55E1"/>
    <w:rsid w:val="003E6B74"/>
    <w:rsid w:val="003E72CD"/>
    <w:rsid w:val="003E7550"/>
    <w:rsid w:val="003F00B9"/>
    <w:rsid w:val="003F07E8"/>
    <w:rsid w:val="003F0B33"/>
    <w:rsid w:val="003F0B96"/>
    <w:rsid w:val="003F16CE"/>
    <w:rsid w:val="003F1F16"/>
    <w:rsid w:val="003F240B"/>
    <w:rsid w:val="003F2C57"/>
    <w:rsid w:val="003F30F2"/>
    <w:rsid w:val="003F4C11"/>
    <w:rsid w:val="003F4DC7"/>
    <w:rsid w:val="003F54FB"/>
    <w:rsid w:val="003F5B09"/>
    <w:rsid w:val="003F6CE9"/>
    <w:rsid w:val="003F6EDA"/>
    <w:rsid w:val="00400AA8"/>
    <w:rsid w:val="00400D90"/>
    <w:rsid w:val="004027E4"/>
    <w:rsid w:val="004029CC"/>
    <w:rsid w:val="00403781"/>
    <w:rsid w:val="0040391C"/>
    <w:rsid w:val="0040425F"/>
    <w:rsid w:val="0040740B"/>
    <w:rsid w:val="004103AF"/>
    <w:rsid w:val="004104AD"/>
    <w:rsid w:val="004110E3"/>
    <w:rsid w:val="004128F6"/>
    <w:rsid w:val="00412C4D"/>
    <w:rsid w:val="004132B0"/>
    <w:rsid w:val="0041381E"/>
    <w:rsid w:val="00413917"/>
    <w:rsid w:val="004139CC"/>
    <w:rsid w:val="00413E4F"/>
    <w:rsid w:val="00414966"/>
    <w:rsid w:val="00415193"/>
    <w:rsid w:val="00415449"/>
    <w:rsid w:val="00415BC6"/>
    <w:rsid w:val="00415C8F"/>
    <w:rsid w:val="00415EB8"/>
    <w:rsid w:val="00416B94"/>
    <w:rsid w:val="00416BDA"/>
    <w:rsid w:val="00416E56"/>
    <w:rsid w:val="00417379"/>
    <w:rsid w:val="004203F3"/>
    <w:rsid w:val="004224C1"/>
    <w:rsid w:val="00423292"/>
    <w:rsid w:val="00424CD4"/>
    <w:rsid w:val="00427DBF"/>
    <w:rsid w:val="00430227"/>
    <w:rsid w:val="00430AB8"/>
    <w:rsid w:val="00430FF7"/>
    <w:rsid w:val="00431A12"/>
    <w:rsid w:val="00431E11"/>
    <w:rsid w:val="00432934"/>
    <w:rsid w:val="00432E31"/>
    <w:rsid w:val="00432E67"/>
    <w:rsid w:val="00433D14"/>
    <w:rsid w:val="00433E8B"/>
    <w:rsid w:val="00434900"/>
    <w:rsid w:val="00436F70"/>
    <w:rsid w:val="00437708"/>
    <w:rsid w:val="00441854"/>
    <w:rsid w:val="004422C3"/>
    <w:rsid w:val="00442B3B"/>
    <w:rsid w:val="004433F9"/>
    <w:rsid w:val="004448D0"/>
    <w:rsid w:val="00444CE9"/>
    <w:rsid w:val="00445C78"/>
    <w:rsid w:val="00446CCE"/>
    <w:rsid w:val="00446D17"/>
    <w:rsid w:val="004476F3"/>
    <w:rsid w:val="00450203"/>
    <w:rsid w:val="004507B3"/>
    <w:rsid w:val="00450A06"/>
    <w:rsid w:val="00450E90"/>
    <w:rsid w:val="00451D43"/>
    <w:rsid w:val="00452836"/>
    <w:rsid w:val="00452A96"/>
    <w:rsid w:val="00452FF2"/>
    <w:rsid w:val="00453BCD"/>
    <w:rsid w:val="00453CD2"/>
    <w:rsid w:val="00454D3D"/>
    <w:rsid w:val="00456148"/>
    <w:rsid w:val="00456185"/>
    <w:rsid w:val="0045626A"/>
    <w:rsid w:val="00456B59"/>
    <w:rsid w:val="00457755"/>
    <w:rsid w:val="00457805"/>
    <w:rsid w:val="004579C4"/>
    <w:rsid w:val="00460012"/>
    <w:rsid w:val="0046011D"/>
    <w:rsid w:val="004601BC"/>
    <w:rsid w:val="00460339"/>
    <w:rsid w:val="00460A18"/>
    <w:rsid w:val="00461E88"/>
    <w:rsid w:val="00461F56"/>
    <w:rsid w:val="004637E5"/>
    <w:rsid w:val="00464809"/>
    <w:rsid w:val="004655DE"/>
    <w:rsid w:val="00465A46"/>
    <w:rsid w:val="00465E31"/>
    <w:rsid w:val="0046662B"/>
    <w:rsid w:val="0046734D"/>
    <w:rsid w:val="004703A5"/>
    <w:rsid w:val="00470A2B"/>
    <w:rsid w:val="00470FD2"/>
    <w:rsid w:val="00471863"/>
    <w:rsid w:val="0047197A"/>
    <w:rsid w:val="004724FC"/>
    <w:rsid w:val="00473601"/>
    <w:rsid w:val="00473679"/>
    <w:rsid w:val="00474172"/>
    <w:rsid w:val="00474B10"/>
    <w:rsid w:val="00474F16"/>
    <w:rsid w:val="004752BA"/>
    <w:rsid w:val="00475547"/>
    <w:rsid w:val="00475A97"/>
    <w:rsid w:val="004805D1"/>
    <w:rsid w:val="0048169B"/>
    <w:rsid w:val="0048286E"/>
    <w:rsid w:val="00482EFA"/>
    <w:rsid w:val="00483877"/>
    <w:rsid w:val="00484F18"/>
    <w:rsid w:val="00485749"/>
    <w:rsid w:val="00485A1D"/>
    <w:rsid w:val="00485E33"/>
    <w:rsid w:val="00485E4A"/>
    <w:rsid w:val="00487A39"/>
    <w:rsid w:val="00490ABE"/>
    <w:rsid w:val="004929EF"/>
    <w:rsid w:val="00492D9E"/>
    <w:rsid w:val="00493FB8"/>
    <w:rsid w:val="00494F3E"/>
    <w:rsid w:val="004956F6"/>
    <w:rsid w:val="004965F1"/>
    <w:rsid w:val="00496DCD"/>
    <w:rsid w:val="00497128"/>
    <w:rsid w:val="00497F63"/>
    <w:rsid w:val="004A02B5"/>
    <w:rsid w:val="004A0A17"/>
    <w:rsid w:val="004A16DC"/>
    <w:rsid w:val="004A1A0E"/>
    <w:rsid w:val="004A2643"/>
    <w:rsid w:val="004A2940"/>
    <w:rsid w:val="004A2953"/>
    <w:rsid w:val="004A4330"/>
    <w:rsid w:val="004A49A0"/>
    <w:rsid w:val="004A505E"/>
    <w:rsid w:val="004A5A24"/>
    <w:rsid w:val="004A5F28"/>
    <w:rsid w:val="004A5F5E"/>
    <w:rsid w:val="004A6280"/>
    <w:rsid w:val="004A7494"/>
    <w:rsid w:val="004A7A45"/>
    <w:rsid w:val="004B0968"/>
    <w:rsid w:val="004B0C50"/>
    <w:rsid w:val="004B0D6E"/>
    <w:rsid w:val="004B1656"/>
    <w:rsid w:val="004B1D26"/>
    <w:rsid w:val="004B4EE6"/>
    <w:rsid w:val="004B5C06"/>
    <w:rsid w:val="004B61ED"/>
    <w:rsid w:val="004B624E"/>
    <w:rsid w:val="004B647A"/>
    <w:rsid w:val="004B667C"/>
    <w:rsid w:val="004B6FE2"/>
    <w:rsid w:val="004B77F0"/>
    <w:rsid w:val="004C06DA"/>
    <w:rsid w:val="004C0FF3"/>
    <w:rsid w:val="004C1220"/>
    <w:rsid w:val="004C2A7B"/>
    <w:rsid w:val="004C2F1E"/>
    <w:rsid w:val="004C3378"/>
    <w:rsid w:val="004C3D56"/>
    <w:rsid w:val="004C48EE"/>
    <w:rsid w:val="004C4F7A"/>
    <w:rsid w:val="004C556C"/>
    <w:rsid w:val="004C567D"/>
    <w:rsid w:val="004D0C42"/>
    <w:rsid w:val="004D0C87"/>
    <w:rsid w:val="004D0DBD"/>
    <w:rsid w:val="004D0F03"/>
    <w:rsid w:val="004D16F2"/>
    <w:rsid w:val="004D1D6F"/>
    <w:rsid w:val="004D2D47"/>
    <w:rsid w:val="004D2FCC"/>
    <w:rsid w:val="004D4538"/>
    <w:rsid w:val="004D4EB7"/>
    <w:rsid w:val="004D5179"/>
    <w:rsid w:val="004D5199"/>
    <w:rsid w:val="004D6CAE"/>
    <w:rsid w:val="004D7E68"/>
    <w:rsid w:val="004E069D"/>
    <w:rsid w:val="004E09DD"/>
    <w:rsid w:val="004E0A3C"/>
    <w:rsid w:val="004E0C29"/>
    <w:rsid w:val="004E0E97"/>
    <w:rsid w:val="004E0ED2"/>
    <w:rsid w:val="004E0F30"/>
    <w:rsid w:val="004E185B"/>
    <w:rsid w:val="004E1E9F"/>
    <w:rsid w:val="004E22F5"/>
    <w:rsid w:val="004E2570"/>
    <w:rsid w:val="004E2584"/>
    <w:rsid w:val="004E290F"/>
    <w:rsid w:val="004E2D43"/>
    <w:rsid w:val="004E2FAF"/>
    <w:rsid w:val="004E3597"/>
    <w:rsid w:val="004E3A0F"/>
    <w:rsid w:val="004E462D"/>
    <w:rsid w:val="004E51E3"/>
    <w:rsid w:val="004E590B"/>
    <w:rsid w:val="004E6DDB"/>
    <w:rsid w:val="004F0AB7"/>
    <w:rsid w:val="004F15F2"/>
    <w:rsid w:val="004F2C22"/>
    <w:rsid w:val="004F2EF9"/>
    <w:rsid w:val="004F3918"/>
    <w:rsid w:val="004F4107"/>
    <w:rsid w:val="004F4871"/>
    <w:rsid w:val="004F4EBA"/>
    <w:rsid w:val="004F5D8E"/>
    <w:rsid w:val="004F63EE"/>
    <w:rsid w:val="004F7750"/>
    <w:rsid w:val="00500437"/>
    <w:rsid w:val="005004E4"/>
    <w:rsid w:val="00500A58"/>
    <w:rsid w:val="005010BE"/>
    <w:rsid w:val="00501447"/>
    <w:rsid w:val="00503DB0"/>
    <w:rsid w:val="0050568B"/>
    <w:rsid w:val="005058C2"/>
    <w:rsid w:val="00506D45"/>
    <w:rsid w:val="00507430"/>
    <w:rsid w:val="00507697"/>
    <w:rsid w:val="00512929"/>
    <w:rsid w:val="005129D0"/>
    <w:rsid w:val="00512BB5"/>
    <w:rsid w:val="0051341A"/>
    <w:rsid w:val="0051417F"/>
    <w:rsid w:val="005155DC"/>
    <w:rsid w:val="00516EA0"/>
    <w:rsid w:val="005172B0"/>
    <w:rsid w:val="0051732B"/>
    <w:rsid w:val="0051734C"/>
    <w:rsid w:val="00517888"/>
    <w:rsid w:val="00520195"/>
    <w:rsid w:val="0052284F"/>
    <w:rsid w:val="00522FA2"/>
    <w:rsid w:val="005230BF"/>
    <w:rsid w:val="005233FF"/>
    <w:rsid w:val="00523477"/>
    <w:rsid w:val="005240D3"/>
    <w:rsid w:val="00524324"/>
    <w:rsid w:val="00524D05"/>
    <w:rsid w:val="00524DFE"/>
    <w:rsid w:val="0052509E"/>
    <w:rsid w:val="00526100"/>
    <w:rsid w:val="00526CDA"/>
    <w:rsid w:val="00527911"/>
    <w:rsid w:val="00530540"/>
    <w:rsid w:val="0053056E"/>
    <w:rsid w:val="005308E1"/>
    <w:rsid w:val="00530DC9"/>
    <w:rsid w:val="005324E2"/>
    <w:rsid w:val="0053311B"/>
    <w:rsid w:val="00533797"/>
    <w:rsid w:val="00535156"/>
    <w:rsid w:val="00535CBF"/>
    <w:rsid w:val="00536B26"/>
    <w:rsid w:val="00536F63"/>
    <w:rsid w:val="0054024D"/>
    <w:rsid w:val="00540A16"/>
    <w:rsid w:val="00541250"/>
    <w:rsid w:val="00541420"/>
    <w:rsid w:val="005419CB"/>
    <w:rsid w:val="00541B5E"/>
    <w:rsid w:val="00543701"/>
    <w:rsid w:val="0054436C"/>
    <w:rsid w:val="00544F39"/>
    <w:rsid w:val="0054513D"/>
    <w:rsid w:val="0054523B"/>
    <w:rsid w:val="005456C9"/>
    <w:rsid w:val="0054596A"/>
    <w:rsid w:val="00545AA5"/>
    <w:rsid w:val="005464E9"/>
    <w:rsid w:val="00546517"/>
    <w:rsid w:val="00546999"/>
    <w:rsid w:val="00546DF0"/>
    <w:rsid w:val="00546F7E"/>
    <w:rsid w:val="00550230"/>
    <w:rsid w:val="00550594"/>
    <w:rsid w:val="00550B29"/>
    <w:rsid w:val="00551AC2"/>
    <w:rsid w:val="00551D6B"/>
    <w:rsid w:val="00552210"/>
    <w:rsid w:val="00552C05"/>
    <w:rsid w:val="00553E71"/>
    <w:rsid w:val="00554118"/>
    <w:rsid w:val="00554470"/>
    <w:rsid w:val="005547CC"/>
    <w:rsid w:val="005551C4"/>
    <w:rsid w:val="005561D2"/>
    <w:rsid w:val="00556604"/>
    <w:rsid w:val="005568E4"/>
    <w:rsid w:val="005570C6"/>
    <w:rsid w:val="0055772E"/>
    <w:rsid w:val="00560897"/>
    <w:rsid w:val="00561916"/>
    <w:rsid w:val="00561C0E"/>
    <w:rsid w:val="00561D20"/>
    <w:rsid w:val="005623E0"/>
    <w:rsid w:val="00562F2B"/>
    <w:rsid w:val="005637B8"/>
    <w:rsid w:val="00563F3F"/>
    <w:rsid w:val="00564106"/>
    <w:rsid w:val="00564F9D"/>
    <w:rsid w:val="0056616F"/>
    <w:rsid w:val="00566474"/>
    <w:rsid w:val="00566C3C"/>
    <w:rsid w:val="005679D8"/>
    <w:rsid w:val="0057031D"/>
    <w:rsid w:val="00571BAC"/>
    <w:rsid w:val="00572014"/>
    <w:rsid w:val="00572046"/>
    <w:rsid w:val="00572087"/>
    <w:rsid w:val="005733D4"/>
    <w:rsid w:val="005737FF"/>
    <w:rsid w:val="00576295"/>
    <w:rsid w:val="00576866"/>
    <w:rsid w:val="00577A52"/>
    <w:rsid w:val="00577C6A"/>
    <w:rsid w:val="00577D9B"/>
    <w:rsid w:val="00577F8A"/>
    <w:rsid w:val="00580D14"/>
    <w:rsid w:val="00580FF2"/>
    <w:rsid w:val="005816A6"/>
    <w:rsid w:val="005817FE"/>
    <w:rsid w:val="0058229F"/>
    <w:rsid w:val="005826AF"/>
    <w:rsid w:val="0058328B"/>
    <w:rsid w:val="00583377"/>
    <w:rsid w:val="005837E3"/>
    <w:rsid w:val="00583C4C"/>
    <w:rsid w:val="005842E7"/>
    <w:rsid w:val="00584FA4"/>
    <w:rsid w:val="00585E8A"/>
    <w:rsid w:val="005863D2"/>
    <w:rsid w:val="005869F5"/>
    <w:rsid w:val="00587E81"/>
    <w:rsid w:val="005904D4"/>
    <w:rsid w:val="00591161"/>
    <w:rsid w:val="005920E4"/>
    <w:rsid w:val="0059219F"/>
    <w:rsid w:val="0059391E"/>
    <w:rsid w:val="00593D9A"/>
    <w:rsid w:val="00593E78"/>
    <w:rsid w:val="00593FF0"/>
    <w:rsid w:val="005943A6"/>
    <w:rsid w:val="0059547F"/>
    <w:rsid w:val="00595EDD"/>
    <w:rsid w:val="005963D2"/>
    <w:rsid w:val="00596E26"/>
    <w:rsid w:val="005978F7"/>
    <w:rsid w:val="00597B95"/>
    <w:rsid w:val="00597EB2"/>
    <w:rsid w:val="005A0AD8"/>
    <w:rsid w:val="005A2814"/>
    <w:rsid w:val="005A2F39"/>
    <w:rsid w:val="005A3B18"/>
    <w:rsid w:val="005A3CD1"/>
    <w:rsid w:val="005A46E8"/>
    <w:rsid w:val="005A6F9C"/>
    <w:rsid w:val="005A6FC7"/>
    <w:rsid w:val="005A71DB"/>
    <w:rsid w:val="005A75CC"/>
    <w:rsid w:val="005B00E4"/>
    <w:rsid w:val="005B09E0"/>
    <w:rsid w:val="005B09F5"/>
    <w:rsid w:val="005B0C60"/>
    <w:rsid w:val="005B13C5"/>
    <w:rsid w:val="005B2733"/>
    <w:rsid w:val="005B363F"/>
    <w:rsid w:val="005B3B42"/>
    <w:rsid w:val="005B3F3B"/>
    <w:rsid w:val="005B3F87"/>
    <w:rsid w:val="005B40F5"/>
    <w:rsid w:val="005B4578"/>
    <w:rsid w:val="005B50F8"/>
    <w:rsid w:val="005B5464"/>
    <w:rsid w:val="005B595B"/>
    <w:rsid w:val="005B5A78"/>
    <w:rsid w:val="005B5E28"/>
    <w:rsid w:val="005B5F7D"/>
    <w:rsid w:val="005B6B8A"/>
    <w:rsid w:val="005B6B9C"/>
    <w:rsid w:val="005B6C27"/>
    <w:rsid w:val="005B6C6F"/>
    <w:rsid w:val="005B73CD"/>
    <w:rsid w:val="005B7408"/>
    <w:rsid w:val="005C00DE"/>
    <w:rsid w:val="005C056A"/>
    <w:rsid w:val="005C09F3"/>
    <w:rsid w:val="005C0FF3"/>
    <w:rsid w:val="005C252A"/>
    <w:rsid w:val="005C2E39"/>
    <w:rsid w:val="005C3028"/>
    <w:rsid w:val="005C3DF4"/>
    <w:rsid w:val="005C3FC7"/>
    <w:rsid w:val="005C4336"/>
    <w:rsid w:val="005C5508"/>
    <w:rsid w:val="005C5A3F"/>
    <w:rsid w:val="005C5A84"/>
    <w:rsid w:val="005C658F"/>
    <w:rsid w:val="005C6596"/>
    <w:rsid w:val="005C6843"/>
    <w:rsid w:val="005C6A2C"/>
    <w:rsid w:val="005C6D81"/>
    <w:rsid w:val="005C7AE6"/>
    <w:rsid w:val="005C7D0D"/>
    <w:rsid w:val="005D0957"/>
    <w:rsid w:val="005D0B55"/>
    <w:rsid w:val="005D143F"/>
    <w:rsid w:val="005D2D41"/>
    <w:rsid w:val="005D31E0"/>
    <w:rsid w:val="005D3376"/>
    <w:rsid w:val="005D425B"/>
    <w:rsid w:val="005D42E7"/>
    <w:rsid w:val="005D518F"/>
    <w:rsid w:val="005D5791"/>
    <w:rsid w:val="005D6593"/>
    <w:rsid w:val="005D6F91"/>
    <w:rsid w:val="005D74EB"/>
    <w:rsid w:val="005D7F56"/>
    <w:rsid w:val="005E0E00"/>
    <w:rsid w:val="005E1381"/>
    <w:rsid w:val="005E1A07"/>
    <w:rsid w:val="005E1C9B"/>
    <w:rsid w:val="005E1D03"/>
    <w:rsid w:val="005E201B"/>
    <w:rsid w:val="005E26A5"/>
    <w:rsid w:val="005E4231"/>
    <w:rsid w:val="005E51F9"/>
    <w:rsid w:val="005E7F78"/>
    <w:rsid w:val="005F04B1"/>
    <w:rsid w:val="005F04CF"/>
    <w:rsid w:val="005F1C9B"/>
    <w:rsid w:val="005F2148"/>
    <w:rsid w:val="005F2486"/>
    <w:rsid w:val="005F358F"/>
    <w:rsid w:val="005F3E69"/>
    <w:rsid w:val="005F431C"/>
    <w:rsid w:val="005F62B3"/>
    <w:rsid w:val="005F639C"/>
    <w:rsid w:val="005F6E93"/>
    <w:rsid w:val="00600B38"/>
    <w:rsid w:val="00601085"/>
    <w:rsid w:val="00601B5F"/>
    <w:rsid w:val="00602F50"/>
    <w:rsid w:val="00603A30"/>
    <w:rsid w:val="00603FFC"/>
    <w:rsid w:val="00604843"/>
    <w:rsid w:val="006053DA"/>
    <w:rsid w:val="00605C83"/>
    <w:rsid w:val="006062A8"/>
    <w:rsid w:val="006062C7"/>
    <w:rsid w:val="00607329"/>
    <w:rsid w:val="006078C8"/>
    <w:rsid w:val="00607F40"/>
    <w:rsid w:val="00610B83"/>
    <w:rsid w:val="0061108E"/>
    <w:rsid w:val="00611229"/>
    <w:rsid w:val="006112B0"/>
    <w:rsid w:val="00611416"/>
    <w:rsid w:val="00611F02"/>
    <w:rsid w:val="00611F23"/>
    <w:rsid w:val="00612320"/>
    <w:rsid w:val="00612DA6"/>
    <w:rsid w:val="006130D8"/>
    <w:rsid w:val="00613105"/>
    <w:rsid w:val="00613417"/>
    <w:rsid w:val="0061359B"/>
    <w:rsid w:val="00613E45"/>
    <w:rsid w:val="006140E4"/>
    <w:rsid w:val="00614B0B"/>
    <w:rsid w:val="006161B7"/>
    <w:rsid w:val="006167DE"/>
    <w:rsid w:val="00617A3E"/>
    <w:rsid w:val="00617DCF"/>
    <w:rsid w:val="00620911"/>
    <w:rsid w:val="006215D1"/>
    <w:rsid w:val="00622113"/>
    <w:rsid w:val="006224AF"/>
    <w:rsid w:val="00623AF3"/>
    <w:rsid w:val="006242E6"/>
    <w:rsid w:val="0062447C"/>
    <w:rsid w:val="006244AC"/>
    <w:rsid w:val="006249E5"/>
    <w:rsid w:val="00624D69"/>
    <w:rsid w:val="00625EA6"/>
    <w:rsid w:val="0062627C"/>
    <w:rsid w:val="0062799D"/>
    <w:rsid w:val="00630E03"/>
    <w:rsid w:val="006318C6"/>
    <w:rsid w:val="006319E4"/>
    <w:rsid w:val="00632687"/>
    <w:rsid w:val="006339FC"/>
    <w:rsid w:val="00635439"/>
    <w:rsid w:val="00636679"/>
    <w:rsid w:val="00636757"/>
    <w:rsid w:val="0063696A"/>
    <w:rsid w:val="00636FBA"/>
    <w:rsid w:val="00637953"/>
    <w:rsid w:val="0064133A"/>
    <w:rsid w:val="00641FAE"/>
    <w:rsid w:val="0064275C"/>
    <w:rsid w:val="00642866"/>
    <w:rsid w:val="00642C84"/>
    <w:rsid w:val="00642E54"/>
    <w:rsid w:val="006437F7"/>
    <w:rsid w:val="006445B7"/>
    <w:rsid w:val="00644A1B"/>
    <w:rsid w:val="00644B02"/>
    <w:rsid w:val="00645530"/>
    <w:rsid w:val="00645F63"/>
    <w:rsid w:val="00647517"/>
    <w:rsid w:val="0064774D"/>
    <w:rsid w:val="00651651"/>
    <w:rsid w:val="00651743"/>
    <w:rsid w:val="00652007"/>
    <w:rsid w:val="00653319"/>
    <w:rsid w:val="00654758"/>
    <w:rsid w:val="00654991"/>
    <w:rsid w:val="00654E61"/>
    <w:rsid w:val="00655124"/>
    <w:rsid w:val="0065552A"/>
    <w:rsid w:val="006558E9"/>
    <w:rsid w:val="0065638A"/>
    <w:rsid w:val="0065680C"/>
    <w:rsid w:val="00657D36"/>
    <w:rsid w:val="00657FD6"/>
    <w:rsid w:val="0066065D"/>
    <w:rsid w:val="0066106E"/>
    <w:rsid w:val="0066149B"/>
    <w:rsid w:val="00661793"/>
    <w:rsid w:val="00662180"/>
    <w:rsid w:val="006626D7"/>
    <w:rsid w:val="006627F1"/>
    <w:rsid w:val="00663192"/>
    <w:rsid w:val="006652E9"/>
    <w:rsid w:val="00665472"/>
    <w:rsid w:val="006655A6"/>
    <w:rsid w:val="00665EC0"/>
    <w:rsid w:val="00666023"/>
    <w:rsid w:val="006660B4"/>
    <w:rsid w:val="00666170"/>
    <w:rsid w:val="00666E10"/>
    <w:rsid w:val="00666EAC"/>
    <w:rsid w:val="00667943"/>
    <w:rsid w:val="00670453"/>
    <w:rsid w:val="00670862"/>
    <w:rsid w:val="00670CFF"/>
    <w:rsid w:val="006720A3"/>
    <w:rsid w:val="00672B76"/>
    <w:rsid w:val="006736D1"/>
    <w:rsid w:val="006738E9"/>
    <w:rsid w:val="00673CC5"/>
    <w:rsid w:val="0067513B"/>
    <w:rsid w:val="00675C0B"/>
    <w:rsid w:val="00675D1F"/>
    <w:rsid w:val="0067608E"/>
    <w:rsid w:val="0067707A"/>
    <w:rsid w:val="00677320"/>
    <w:rsid w:val="00677FC0"/>
    <w:rsid w:val="006819FA"/>
    <w:rsid w:val="00681B83"/>
    <w:rsid w:val="00681BBD"/>
    <w:rsid w:val="00682C4E"/>
    <w:rsid w:val="00683D0A"/>
    <w:rsid w:val="00685086"/>
    <w:rsid w:val="00685D7E"/>
    <w:rsid w:val="00687CA7"/>
    <w:rsid w:val="00687F1B"/>
    <w:rsid w:val="00690595"/>
    <w:rsid w:val="00690940"/>
    <w:rsid w:val="00691016"/>
    <w:rsid w:val="00691259"/>
    <w:rsid w:val="006912C3"/>
    <w:rsid w:val="0069202E"/>
    <w:rsid w:val="00692C04"/>
    <w:rsid w:val="00693171"/>
    <w:rsid w:val="0069363E"/>
    <w:rsid w:val="00694019"/>
    <w:rsid w:val="006948B8"/>
    <w:rsid w:val="00694BA0"/>
    <w:rsid w:val="00694E37"/>
    <w:rsid w:val="006959A0"/>
    <w:rsid w:val="00695FBF"/>
    <w:rsid w:val="00696F53"/>
    <w:rsid w:val="00697DCF"/>
    <w:rsid w:val="00697E5C"/>
    <w:rsid w:val="006A0EF0"/>
    <w:rsid w:val="006A10A1"/>
    <w:rsid w:val="006A201C"/>
    <w:rsid w:val="006A3170"/>
    <w:rsid w:val="006A3939"/>
    <w:rsid w:val="006A3943"/>
    <w:rsid w:val="006A3AFD"/>
    <w:rsid w:val="006A52B2"/>
    <w:rsid w:val="006A5961"/>
    <w:rsid w:val="006B0AAE"/>
    <w:rsid w:val="006B1913"/>
    <w:rsid w:val="006B19F5"/>
    <w:rsid w:val="006B21C8"/>
    <w:rsid w:val="006B2383"/>
    <w:rsid w:val="006B2F6E"/>
    <w:rsid w:val="006B31F9"/>
    <w:rsid w:val="006B4531"/>
    <w:rsid w:val="006B4751"/>
    <w:rsid w:val="006B4E63"/>
    <w:rsid w:val="006B53E0"/>
    <w:rsid w:val="006B5E81"/>
    <w:rsid w:val="006B6010"/>
    <w:rsid w:val="006B65CB"/>
    <w:rsid w:val="006B67A7"/>
    <w:rsid w:val="006B7D0C"/>
    <w:rsid w:val="006C0029"/>
    <w:rsid w:val="006C0196"/>
    <w:rsid w:val="006C0335"/>
    <w:rsid w:val="006C222A"/>
    <w:rsid w:val="006C23D5"/>
    <w:rsid w:val="006C2549"/>
    <w:rsid w:val="006C265C"/>
    <w:rsid w:val="006C3ED2"/>
    <w:rsid w:val="006C6E47"/>
    <w:rsid w:val="006C76F0"/>
    <w:rsid w:val="006C7999"/>
    <w:rsid w:val="006D1155"/>
    <w:rsid w:val="006D1AAE"/>
    <w:rsid w:val="006D2267"/>
    <w:rsid w:val="006D26C3"/>
    <w:rsid w:val="006D2808"/>
    <w:rsid w:val="006D43E5"/>
    <w:rsid w:val="006D4875"/>
    <w:rsid w:val="006D4CED"/>
    <w:rsid w:val="006D4E2B"/>
    <w:rsid w:val="006D5137"/>
    <w:rsid w:val="006D783D"/>
    <w:rsid w:val="006D7CBE"/>
    <w:rsid w:val="006E0122"/>
    <w:rsid w:val="006E03D5"/>
    <w:rsid w:val="006E0525"/>
    <w:rsid w:val="006E216F"/>
    <w:rsid w:val="006E4007"/>
    <w:rsid w:val="006E5700"/>
    <w:rsid w:val="006E58BF"/>
    <w:rsid w:val="006E5D8A"/>
    <w:rsid w:val="006E6BE8"/>
    <w:rsid w:val="006E6C09"/>
    <w:rsid w:val="006E7101"/>
    <w:rsid w:val="006E794D"/>
    <w:rsid w:val="006F1F74"/>
    <w:rsid w:val="006F2373"/>
    <w:rsid w:val="006F2C67"/>
    <w:rsid w:val="006F2F81"/>
    <w:rsid w:val="006F49D0"/>
    <w:rsid w:val="006F4BEA"/>
    <w:rsid w:val="006F5097"/>
    <w:rsid w:val="006F569A"/>
    <w:rsid w:val="006F5765"/>
    <w:rsid w:val="006F5B50"/>
    <w:rsid w:val="006F6229"/>
    <w:rsid w:val="006F71A0"/>
    <w:rsid w:val="006F7A5F"/>
    <w:rsid w:val="00700E51"/>
    <w:rsid w:val="007014E0"/>
    <w:rsid w:val="00701DE3"/>
    <w:rsid w:val="00702CDB"/>
    <w:rsid w:val="00702D51"/>
    <w:rsid w:val="0070326B"/>
    <w:rsid w:val="00703A6E"/>
    <w:rsid w:val="007040B9"/>
    <w:rsid w:val="00705734"/>
    <w:rsid w:val="0070590B"/>
    <w:rsid w:val="007059E8"/>
    <w:rsid w:val="00706A2B"/>
    <w:rsid w:val="00707549"/>
    <w:rsid w:val="0071079D"/>
    <w:rsid w:val="00712755"/>
    <w:rsid w:val="00712A7C"/>
    <w:rsid w:val="0071300F"/>
    <w:rsid w:val="00713AF5"/>
    <w:rsid w:val="00715896"/>
    <w:rsid w:val="00715E83"/>
    <w:rsid w:val="007174B6"/>
    <w:rsid w:val="00717615"/>
    <w:rsid w:val="00717A90"/>
    <w:rsid w:val="00717F47"/>
    <w:rsid w:val="0072093B"/>
    <w:rsid w:val="00721583"/>
    <w:rsid w:val="00721C75"/>
    <w:rsid w:val="007234EE"/>
    <w:rsid w:val="007248A0"/>
    <w:rsid w:val="00724D81"/>
    <w:rsid w:val="007259D0"/>
    <w:rsid w:val="0072652D"/>
    <w:rsid w:val="00726764"/>
    <w:rsid w:val="007275E8"/>
    <w:rsid w:val="00727D45"/>
    <w:rsid w:val="00731694"/>
    <w:rsid w:val="00733C93"/>
    <w:rsid w:val="00733F22"/>
    <w:rsid w:val="00735086"/>
    <w:rsid w:val="00735339"/>
    <w:rsid w:val="0073635D"/>
    <w:rsid w:val="00737E7C"/>
    <w:rsid w:val="00740050"/>
    <w:rsid w:val="00740A57"/>
    <w:rsid w:val="00741F8E"/>
    <w:rsid w:val="007429DE"/>
    <w:rsid w:val="007429FD"/>
    <w:rsid w:val="00744063"/>
    <w:rsid w:val="007445C7"/>
    <w:rsid w:val="00744774"/>
    <w:rsid w:val="00745A16"/>
    <w:rsid w:val="0074608C"/>
    <w:rsid w:val="00746265"/>
    <w:rsid w:val="0074675D"/>
    <w:rsid w:val="0074676C"/>
    <w:rsid w:val="007473A3"/>
    <w:rsid w:val="0074765F"/>
    <w:rsid w:val="007504A7"/>
    <w:rsid w:val="00750540"/>
    <w:rsid w:val="007506E2"/>
    <w:rsid w:val="00750B76"/>
    <w:rsid w:val="00751D2E"/>
    <w:rsid w:val="0075209B"/>
    <w:rsid w:val="00752A79"/>
    <w:rsid w:val="00752CA6"/>
    <w:rsid w:val="00752D26"/>
    <w:rsid w:val="00753D6B"/>
    <w:rsid w:val="0075409C"/>
    <w:rsid w:val="007543CB"/>
    <w:rsid w:val="0075500A"/>
    <w:rsid w:val="007554F1"/>
    <w:rsid w:val="00756229"/>
    <w:rsid w:val="0075691C"/>
    <w:rsid w:val="00756A16"/>
    <w:rsid w:val="00756B27"/>
    <w:rsid w:val="007575D6"/>
    <w:rsid w:val="00757B95"/>
    <w:rsid w:val="00760C53"/>
    <w:rsid w:val="00760DC0"/>
    <w:rsid w:val="00760FEF"/>
    <w:rsid w:val="00761D55"/>
    <w:rsid w:val="00762A82"/>
    <w:rsid w:val="00762BFB"/>
    <w:rsid w:val="007630E8"/>
    <w:rsid w:val="007646A5"/>
    <w:rsid w:val="00765200"/>
    <w:rsid w:val="00765288"/>
    <w:rsid w:val="00766AA3"/>
    <w:rsid w:val="00767484"/>
    <w:rsid w:val="00767E66"/>
    <w:rsid w:val="00770458"/>
    <w:rsid w:val="00770DA4"/>
    <w:rsid w:val="00771C8B"/>
    <w:rsid w:val="00773C87"/>
    <w:rsid w:val="0077488E"/>
    <w:rsid w:val="007759E0"/>
    <w:rsid w:val="00776FDE"/>
    <w:rsid w:val="0077752F"/>
    <w:rsid w:val="00780071"/>
    <w:rsid w:val="00780316"/>
    <w:rsid w:val="007809BB"/>
    <w:rsid w:val="007814D3"/>
    <w:rsid w:val="00781840"/>
    <w:rsid w:val="00782555"/>
    <w:rsid w:val="00782CAE"/>
    <w:rsid w:val="007831E9"/>
    <w:rsid w:val="007835FA"/>
    <w:rsid w:val="00783840"/>
    <w:rsid w:val="00783C38"/>
    <w:rsid w:val="00784A73"/>
    <w:rsid w:val="007877AC"/>
    <w:rsid w:val="00790834"/>
    <w:rsid w:val="00792069"/>
    <w:rsid w:val="007925A9"/>
    <w:rsid w:val="007928B2"/>
    <w:rsid w:val="00793A79"/>
    <w:rsid w:val="00794A41"/>
    <w:rsid w:val="00794D40"/>
    <w:rsid w:val="007950AB"/>
    <w:rsid w:val="00795439"/>
    <w:rsid w:val="0079549B"/>
    <w:rsid w:val="00796AEB"/>
    <w:rsid w:val="00796D8A"/>
    <w:rsid w:val="00797721"/>
    <w:rsid w:val="007A07B0"/>
    <w:rsid w:val="007A2031"/>
    <w:rsid w:val="007A348B"/>
    <w:rsid w:val="007A3FF6"/>
    <w:rsid w:val="007A494A"/>
    <w:rsid w:val="007A53BC"/>
    <w:rsid w:val="007A5AA0"/>
    <w:rsid w:val="007A6305"/>
    <w:rsid w:val="007B03A9"/>
    <w:rsid w:val="007B245F"/>
    <w:rsid w:val="007B273E"/>
    <w:rsid w:val="007B29C4"/>
    <w:rsid w:val="007B4534"/>
    <w:rsid w:val="007B567C"/>
    <w:rsid w:val="007B5D4B"/>
    <w:rsid w:val="007B6287"/>
    <w:rsid w:val="007B64FA"/>
    <w:rsid w:val="007B6E0F"/>
    <w:rsid w:val="007B71B7"/>
    <w:rsid w:val="007B7701"/>
    <w:rsid w:val="007C0259"/>
    <w:rsid w:val="007C0785"/>
    <w:rsid w:val="007C15F5"/>
    <w:rsid w:val="007C1A80"/>
    <w:rsid w:val="007C45A7"/>
    <w:rsid w:val="007C488C"/>
    <w:rsid w:val="007C4E11"/>
    <w:rsid w:val="007C61E3"/>
    <w:rsid w:val="007C623B"/>
    <w:rsid w:val="007C738E"/>
    <w:rsid w:val="007C73FB"/>
    <w:rsid w:val="007C7566"/>
    <w:rsid w:val="007C77AF"/>
    <w:rsid w:val="007C7FDD"/>
    <w:rsid w:val="007D20E7"/>
    <w:rsid w:val="007D2363"/>
    <w:rsid w:val="007D247D"/>
    <w:rsid w:val="007D2DA3"/>
    <w:rsid w:val="007D3527"/>
    <w:rsid w:val="007D3A7F"/>
    <w:rsid w:val="007D3BB8"/>
    <w:rsid w:val="007D3EAE"/>
    <w:rsid w:val="007D4984"/>
    <w:rsid w:val="007D5791"/>
    <w:rsid w:val="007D5D1A"/>
    <w:rsid w:val="007D633A"/>
    <w:rsid w:val="007D7874"/>
    <w:rsid w:val="007E0398"/>
    <w:rsid w:val="007E174F"/>
    <w:rsid w:val="007E2108"/>
    <w:rsid w:val="007E4A7B"/>
    <w:rsid w:val="007E4ADC"/>
    <w:rsid w:val="007E4DF0"/>
    <w:rsid w:val="007E58F0"/>
    <w:rsid w:val="007E6744"/>
    <w:rsid w:val="007E67B5"/>
    <w:rsid w:val="007E77EA"/>
    <w:rsid w:val="007E7E4A"/>
    <w:rsid w:val="007F0B80"/>
    <w:rsid w:val="007F12B4"/>
    <w:rsid w:val="007F2282"/>
    <w:rsid w:val="007F2427"/>
    <w:rsid w:val="007F2D4A"/>
    <w:rsid w:val="007F42D6"/>
    <w:rsid w:val="007F4AD9"/>
    <w:rsid w:val="007F5559"/>
    <w:rsid w:val="007F56F1"/>
    <w:rsid w:val="007F5AF0"/>
    <w:rsid w:val="007F6CA9"/>
    <w:rsid w:val="007F6DB8"/>
    <w:rsid w:val="007F7B33"/>
    <w:rsid w:val="007F7E98"/>
    <w:rsid w:val="008005EA"/>
    <w:rsid w:val="0080307E"/>
    <w:rsid w:val="008048F9"/>
    <w:rsid w:val="00810567"/>
    <w:rsid w:val="008112F9"/>
    <w:rsid w:val="00811AF3"/>
    <w:rsid w:val="00812078"/>
    <w:rsid w:val="00813E27"/>
    <w:rsid w:val="0081453A"/>
    <w:rsid w:val="00814818"/>
    <w:rsid w:val="00814B88"/>
    <w:rsid w:val="008174BB"/>
    <w:rsid w:val="00817672"/>
    <w:rsid w:val="00817CC7"/>
    <w:rsid w:val="00822B9D"/>
    <w:rsid w:val="00823B78"/>
    <w:rsid w:val="0082486B"/>
    <w:rsid w:val="00825543"/>
    <w:rsid w:val="008258A2"/>
    <w:rsid w:val="00826659"/>
    <w:rsid w:val="00826A2F"/>
    <w:rsid w:val="00827545"/>
    <w:rsid w:val="00830267"/>
    <w:rsid w:val="0083043E"/>
    <w:rsid w:val="00830645"/>
    <w:rsid w:val="00831373"/>
    <w:rsid w:val="00831EBE"/>
    <w:rsid w:val="00833480"/>
    <w:rsid w:val="00833613"/>
    <w:rsid w:val="0083372F"/>
    <w:rsid w:val="00833994"/>
    <w:rsid w:val="00834DDC"/>
    <w:rsid w:val="0083558D"/>
    <w:rsid w:val="00836CD7"/>
    <w:rsid w:val="0083733F"/>
    <w:rsid w:val="00840815"/>
    <w:rsid w:val="0084274B"/>
    <w:rsid w:val="008429F7"/>
    <w:rsid w:val="008434D6"/>
    <w:rsid w:val="008436DB"/>
    <w:rsid w:val="008439F8"/>
    <w:rsid w:val="0084439D"/>
    <w:rsid w:val="00844AFD"/>
    <w:rsid w:val="00844E99"/>
    <w:rsid w:val="008450AC"/>
    <w:rsid w:val="00845ACE"/>
    <w:rsid w:val="00845B22"/>
    <w:rsid w:val="00846662"/>
    <w:rsid w:val="008473B2"/>
    <w:rsid w:val="00847879"/>
    <w:rsid w:val="00852301"/>
    <w:rsid w:val="0085254B"/>
    <w:rsid w:val="008527CC"/>
    <w:rsid w:val="00852970"/>
    <w:rsid w:val="008529A2"/>
    <w:rsid w:val="008530A8"/>
    <w:rsid w:val="00853AF1"/>
    <w:rsid w:val="008540A6"/>
    <w:rsid w:val="008559E2"/>
    <w:rsid w:val="00855C69"/>
    <w:rsid w:val="0085700F"/>
    <w:rsid w:val="008575D3"/>
    <w:rsid w:val="00857BF1"/>
    <w:rsid w:val="008605F0"/>
    <w:rsid w:val="00861E85"/>
    <w:rsid w:val="00862524"/>
    <w:rsid w:val="00862646"/>
    <w:rsid w:val="0086266A"/>
    <w:rsid w:val="00863933"/>
    <w:rsid w:val="00864445"/>
    <w:rsid w:val="00864506"/>
    <w:rsid w:val="00864DF1"/>
    <w:rsid w:val="00864E26"/>
    <w:rsid w:val="0086508F"/>
    <w:rsid w:val="0086527D"/>
    <w:rsid w:val="00865709"/>
    <w:rsid w:val="008657A3"/>
    <w:rsid w:val="00865863"/>
    <w:rsid w:val="00865A16"/>
    <w:rsid w:val="00865F70"/>
    <w:rsid w:val="00866182"/>
    <w:rsid w:val="00870360"/>
    <w:rsid w:val="00870A05"/>
    <w:rsid w:val="0087122E"/>
    <w:rsid w:val="008719C7"/>
    <w:rsid w:val="0087292E"/>
    <w:rsid w:val="00872BAC"/>
    <w:rsid w:val="008746E8"/>
    <w:rsid w:val="008746EC"/>
    <w:rsid w:val="0087480F"/>
    <w:rsid w:val="00874BC6"/>
    <w:rsid w:val="00876015"/>
    <w:rsid w:val="008770A8"/>
    <w:rsid w:val="008776C5"/>
    <w:rsid w:val="008802DB"/>
    <w:rsid w:val="00880689"/>
    <w:rsid w:val="008808ED"/>
    <w:rsid w:val="00881A56"/>
    <w:rsid w:val="00881C50"/>
    <w:rsid w:val="008822CF"/>
    <w:rsid w:val="008834F3"/>
    <w:rsid w:val="00883774"/>
    <w:rsid w:val="008839A6"/>
    <w:rsid w:val="00883C20"/>
    <w:rsid w:val="0088521C"/>
    <w:rsid w:val="00885E31"/>
    <w:rsid w:val="00886082"/>
    <w:rsid w:val="008862E2"/>
    <w:rsid w:val="00886F69"/>
    <w:rsid w:val="008900FA"/>
    <w:rsid w:val="00890E4E"/>
    <w:rsid w:val="008912D7"/>
    <w:rsid w:val="008924D1"/>
    <w:rsid w:val="008935DD"/>
    <w:rsid w:val="00893729"/>
    <w:rsid w:val="00893B95"/>
    <w:rsid w:val="00894505"/>
    <w:rsid w:val="00895DF8"/>
    <w:rsid w:val="00896229"/>
    <w:rsid w:val="00896C54"/>
    <w:rsid w:val="008970C1"/>
    <w:rsid w:val="008973A6"/>
    <w:rsid w:val="008A0184"/>
    <w:rsid w:val="008A18BE"/>
    <w:rsid w:val="008A2CAC"/>
    <w:rsid w:val="008A31DD"/>
    <w:rsid w:val="008A4503"/>
    <w:rsid w:val="008A49BE"/>
    <w:rsid w:val="008A506C"/>
    <w:rsid w:val="008A566D"/>
    <w:rsid w:val="008A6324"/>
    <w:rsid w:val="008B057D"/>
    <w:rsid w:val="008B13E0"/>
    <w:rsid w:val="008B1682"/>
    <w:rsid w:val="008B3218"/>
    <w:rsid w:val="008B357B"/>
    <w:rsid w:val="008B36A0"/>
    <w:rsid w:val="008B3B41"/>
    <w:rsid w:val="008B4432"/>
    <w:rsid w:val="008B5865"/>
    <w:rsid w:val="008B68A8"/>
    <w:rsid w:val="008B771E"/>
    <w:rsid w:val="008B7A43"/>
    <w:rsid w:val="008B7E95"/>
    <w:rsid w:val="008C0F1C"/>
    <w:rsid w:val="008C1773"/>
    <w:rsid w:val="008C2597"/>
    <w:rsid w:val="008C2ECF"/>
    <w:rsid w:val="008C2F8F"/>
    <w:rsid w:val="008C33DA"/>
    <w:rsid w:val="008C34B7"/>
    <w:rsid w:val="008C455F"/>
    <w:rsid w:val="008C4686"/>
    <w:rsid w:val="008C49C7"/>
    <w:rsid w:val="008C7003"/>
    <w:rsid w:val="008C7454"/>
    <w:rsid w:val="008C7685"/>
    <w:rsid w:val="008C76F1"/>
    <w:rsid w:val="008D0AC4"/>
    <w:rsid w:val="008D1109"/>
    <w:rsid w:val="008D1A92"/>
    <w:rsid w:val="008D1E3A"/>
    <w:rsid w:val="008D3173"/>
    <w:rsid w:val="008D321B"/>
    <w:rsid w:val="008D417C"/>
    <w:rsid w:val="008D4849"/>
    <w:rsid w:val="008D5132"/>
    <w:rsid w:val="008D5197"/>
    <w:rsid w:val="008D5753"/>
    <w:rsid w:val="008D6E6F"/>
    <w:rsid w:val="008D734B"/>
    <w:rsid w:val="008E0967"/>
    <w:rsid w:val="008E0BE0"/>
    <w:rsid w:val="008E0D51"/>
    <w:rsid w:val="008E1AE2"/>
    <w:rsid w:val="008E2492"/>
    <w:rsid w:val="008E25B2"/>
    <w:rsid w:val="008E4406"/>
    <w:rsid w:val="008E52C0"/>
    <w:rsid w:val="008E65C5"/>
    <w:rsid w:val="008E79AB"/>
    <w:rsid w:val="008F0952"/>
    <w:rsid w:val="008F09AD"/>
    <w:rsid w:val="008F0B75"/>
    <w:rsid w:val="008F0E23"/>
    <w:rsid w:val="008F10A5"/>
    <w:rsid w:val="008F1253"/>
    <w:rsid w:val="008F1838"/>
    <w:rsid w:val="008F1FCC"/>
    <w:rsid w:val="008F28A5"/>
    <w:rsid w:val="008F38BE"/>
    <w:rsid w:val="008F3EC2"/>
    <w:rsid w:val="008F48FD"/>
    <w:rsid w:val="008F4C04"/>
    <w:rsid w:val="008F4E3F"/>
    <w:rsid w:val="008F5DFC"/>
    <w:rsid w:val="008F5E49"/>
    <w:rsid w:val="008F6438"/>
    <w:rsid w:val="008F645C"/>
    <w:rsid w:val="008F6716"/>
    <w:rsid w:val="008F70BE"/>
    <w:rsid w:val="008F7241"/>
    <w:rsid w:val="008F72C7"/>
    <w:rsid w:val="008F73D9"/>
    <w:rsid w:val="008F76A5"/>
    <w:rsid w:val="00900740"/>
    <w:rsid w:val="00900C90"/>
    <w:rsid w:val="00901706"/>
    <w:rsid w:val="009027BD"/>
    <w:rsid w:val="00902865"/>
    <w:rsid w:val="00904C64"/>
    <w:rsid w:val="009051DE"/>
    <w:rsid w:val="0090606A"/>
    <w:rsid w:val="00906C09"/>
    <w:rsid w:val="00906DB1"/>
    <w:rsid w:val="009118CC"/>
    <w:rsid w:val="009129D4"/>
    <w:rsid w:val="009130DE"/>
    <w:rsid w:val="009133AC"/>
    <w:rsid w:val="0091349B"/>
    <w:rsid w:val="00913C7D"/>
    <w:rsid w:val="009145F0"/>
    <w:rsid w:val="00914831"/>
    <w:rsid w:val="0091576A"/>
    <w:rsid w:val="00915F0F"/>
    <w:rsid w:val="00916133"/>
    <w:rsid w:val="00916225"/>
    <w:rsid w:val="009163CA"/>
    <w:rsid w:val="00916646"/>
    <w:rsid w:val="009172F5"/>
    <w:rsid w:val="00917DD5"/>
    <w:rsid w:val="0092018D"/>
    <w:rsid w:val="0092134C"/>
    <w:rsid w:val="00921D95"/>
    <w:rsid w:val="009223E3"/>
    <w:rsid w:val="009228AD"/>
    <w:rsid w:val="00922B50"/>
    <w:rsid w:val="009246BF"/>
    <w:rsid w:val="00924BE4"/>
    <w:rsid w:val="009250B8"/>
    <w:rsid w:val="00925492"/>
    <w:rsid w:val="0092614A"/>
    <w:rsid w:val="00926691"/>
    <w:rsid w:val="00927708"/>
    <w:rsid w:val="00927A1D"/>
    <w:rsid w:val="00927DDB"/>
    <w:rsid w:val="00931480"/>
    <w:rsid w:val="009321DD"/>
    <w:rsid w:val="00935611"/>
    <w:rsid w:val="0093569F"/>
    <w:rsid w:val="009356EB"/>
    <w:rsid w:val="00935B0A"/>
    <w:rsid w:val="00936174"/>
    <w:rsid w:val="009373FE"/>
    <w:rsid w:val="00937EDD"/>
    <w:rsid w:val="00940222"/>
    <w:rsid w:val="00940371"/>
    <w:rsid w:val="00940FF6"/>
    <w:rsid w:val="009417F5"/>
    <w:rsid w:val="00941B8B"/>
    <w:rsid w:val="0094215C"/>
    <w:rsid w:val="0094233E"/>
    <w:rsid w:val="00942351"/>
    <w:rsid w:val="00942494"/>
    <w:rsid w:val="009430D8"/>
    <w:rsid w:val="00943BE0"/>
    <w:rsid w:val="00943CA1"/>
    <w:rsid w:val="00943ECB"/>
    <w:rsid w:val="009444A9"/>
    <w:rsid w:val="00944A40"/>
    <w:rsid w:val="00944B89"/>
    <w:rsid w:val="00944BD9"/>
    <w:rsid w:val="00944D79"/>
    <w:rsid w:val="009452E2"/>
    <w:rsid w:val="00945C84"/>
    <w:rsid w:val="00945DE4"/>
    <w:rsid w:val="009466E2"/>
    <w:rsid w:val="0094671D"/>
    <w:rsid w:val="009501D4"/>
    <w:rsid w:val="00952877"/>
    <w:rsid w:val="00955E6F"/>
    <w:rsid w:val="009567DA"/>
    <w:rsid w:val="00957A1B"/>
    <w:rsid w:val="00960740"/>
    <w:rsid w:val="009612FB"/>
    <w:rsid w:val="00961B82"/>
    <w:rsid w:val="00962F97"/>
    <w:rsid w:val="009632A4"/>
    <w:rsid w:val="00963809"/>
    <w:rsid w:val="009640AC"/>
    <w:rsid w:val="009640E2"/>
    <w:rsid w:val="009651DC"/>
    <w:rsid w:val="0096537E"/>
    <w:rsid w:val="00965AD3"/>
    <w:rsid w:val="00966256"/>
    <w:rsid w:val="0096660C"/>
    <w:rsid w:val="00966F8B"/>
    <w:rsid w:val="00966FBB"/>
    <w:rsid w:val="0097010F"/>
    <w:rsid w:val="0097024A"/>
    <w:rsid w:val="009713A7"/>
    <w:rsid w:val="00971F7A"/>
    <w:rsid w:val="00973767"/>
    <w:rsid w:val="00974842"/>
    <w:rsid w:val="009757EC"/>
    <w:rsid w:val="00975D9B"/>
    <w:rsid w:val="0097687B"/>
    <w:rsid w:val="0098057F"/>
    <w:rsid w:val="00981B14"/>
    <w:rsid w:val="00981FB2"/>
    <w:rsid w:val="009827E0"/>
    <w:rsid w:val="00982B6E"/>
    <w:rsid w:val="00982D0C"/>
    <w:rsid w:val="009830FC"/>
    <w:rsid w:val="00983BBC"/>
    <w:rsid w:val="00985631"/>
    <w:rsid w:val="00985897"/>
    <w:rsid w:val="00986270"/>
    <w:rsid w:val="009864F2"/>
    <w:rsid w:val="009872FD"/>
    <w:rsid w:val="00987563"/>
    <w:rsid w:val="009905DE"/>
    <w:rsid w:val="00990723"/>
    <w:rsid w:val="009910D4"/>
    <w:rsid w:val="00991F55"/>
    <w:rsid w:val="009923E5"/>
    <w:rsid w:val="00993789"/>
    <w:rsid w:val="009945BE"/>
    <w:rsid w:val="0099529C"/>
    <w:rsid w:val="00995881"/>
    <w:rsid w:val="00995F7F"/>
    <w:rsid w:val="009972E4"/>
    <w:rsid w:val="0099748B"/>
    <w:rsid w:val="00997F66"/>
    <w:rsid w:val="009A0906"/>
    <w:rsid w:val="009A3FE6"/>
    <w:rsid w:val="009A4F46"/>
    <w:rsid w:val="009A528B"/>
    <w:rsid w:val="009A64A6"/>
    <w:rsid w:val="009A71C9"/>
    <w:rsid w:val="009A77ED"/>
    <w:rsid w:val="009B101B"/>
    <w:rsid w:val="009B1F2A"/>
    <w:rsid w:val="009B2830"/>
    <w:rsid w:val="009B3AFF"/>
    <w:rsid w:val="009B4CC3"/>
    <w:rsid w:val="009B5036"/>
    <w:rsid w:val="009B55C9"/>
    <w:rsid w:val="009B6C4E"/>
    <w:rsid w:val="009B6F9C"/>
    <w:rsid w:val="009B75CE"/>
    <w:rsid w:val="009B7933"/>
    <w:rsid w:val="009B7E1B"/>
    <w:rsid w:val="009C0CE7"/>
    <w:rsid w:val="009C17B4"/>
    <w:rsid w:val="009C1EAE"/>
    <w:rsid w:val="009C24F9"/>
    <w:rsid w:val="009C2980"/>
    <w:rsid w:val="009C2CED"/>
    <w:rsid w:val="009C4E4C"/>
    <w:rsid w:val="009C4F95"/>
    <w:rsid w:val="009C4FFF"/>
    <w:rsid w:val="009C5135"/>
    <w:rsid w:val="009D0073"/>
    <w:rsid w:val="009D0199"/>
    <w:rsid w:val="009D02C1"/>
    <w:rsid w:val="009D05F8"/>
    <w:rsid w:val="009D094A"/>
    <w:rsid w:val="009D167E"/>
    <w:rsid w:val="009D309A"/>
    <w:rsid w:val="009D5551"/>
    <w:rsid w:val="009D5AB6"/>
    <w:rsid w:val="009D7EC3"/>
    <w:rsid w:val="009E0314"/>
    <w:rsid w:val="009E0BEC"/>
    <w:rsid w:val="009E1092"/>
    <w:rsid w:val="009E1C98"/>
    <w:rsid w:val="009E30AC"/>
    <w:rsid w:val="009E37D9"/>
    <w:rsid w:val="009E3B44"/>
    <w:rsid w:val="009E482D"/>
    <w:rsid w:val="009E588D"/>
    <w:rsid w:val="009E5CA9"/>
    <w:rsid w:val="009E5D4D"/>
    <w:rsid w:val="009E7191"/>
    <w:rsid w:val="009F09F3"/>
    <w:rsid w:val="009F0CE9"/>
    <w:rsid w:val="009F1991"/>
    <w:rsid w:val="009F1E4F"/>
    <w:rsid w:val="009F2264"/>
    <w:rsid w:val="009F246B"/>
    <w:rsid w:val="009F3299"/>
    <w:rsid w:val="009F32A6"/>
    <w:rsid w:val="009F3A07"/>
    <w:rsid w:val="009F4597"/>
    <w:rsid w:val="009F4AD8"/>
    <w:rsid w:val="009F5039"/>
    <w:rsid w:val="009F5BC4"/>
    <w:rsid w:val="009F5CDD"/>
    <w:rsid w:val="009F6B66"/>
    <w:rsid w:val="009F6FEB"/>
    <w:rsid w:val="009F7598"/>
    <w:rsid w:val="009F7665"/>
    <w:rsid w:val="009F7C01"/>
    <w:rsid w:val="00A012EC"/>
    <w:rsid w:val="00A0154E"/>
    <w:rsid w:val="00A01CC4"/>
    <w:rsid w:val="00A02858"/>
    <w:rsid w:val="00A03232"/>
    <w:rsid w:val="00A03509"/>
    <w:rsid w:val="00A0387A"/>
    <w:rsid w:val="00A05336"/>
    <w:rsid w:val="00A058A4"/>
    <w:rsid w:val="00A05F21"/>
    <w:rsid w:val="00A068B6"/>
    <w:rsid w:val="00A06DAC"/>
    <w:rsid w:val="00A07158"/>
    <w:rsid w:val="00A07A8D"/>
    <w:rsid w:val="00A07C23"/>
    <w:rsid w:val="00A10296"/>
    <w:rsid w:val="00A1103D"/>
    <w:rsid w:val="00A11A79"/>
    <w:rsid w:val="00A11F61"/>
    <w:rsid w:val="00A12A41"/>
    <w:rsid w:val="00A12E9D"/>
    <w:rsid w:val="00A141B7"/>
    <w:rsid w:val="00A148E7"/>
    <w:rsid w:val="00A1510B"/>
    <w:rsid w:val="00A2060A"/>
    <w:rsid w:val="00A20F27"/>
    <w:rsid w:val="00A2126A"/>
    <w:rsid w:val="00A21506"/>
    <w:rsid w:val="00A21CDA"/>
    <w:rsid w:val="00A23663"/>
    <w:rsid w:val="00A23B81"/>
    <w:rsid w:val="00A23E17"/>
    <w:rsid w:val="00A2450C"/>
    <w:rsid w:val="00A24857"/>
    <w:rsid w:val="00A25590"/>
    <w:rsid w:val="00A2635F"/>
    <w:rsid w:val="00A27B3D"/>
    <w:rsid w:val="00A3054A"/>
    <w:rsid w:val="00A30719"/>
    <w:rsid w:val="00A31E5C"/>
    <w:rsid w:val="00A327A0"/>
    <w:rsid w:val="00A32F11"/>
    <w:rsid w:val="00A33DBF"/>
    <w:rsid w:val="00A34868"/>
    <w:rsid w:val="00A34C51"/>
    <w:rsid w:val="00A35491"/>
    <w:rsid w:val="00A358D9"/>
    <w:rsid w:val="00A35E37"/>
    <w:rsid w:val="00A368BE"/>
    <w:rsid w:val="00A3728D"/>
    <w:rsid w:val="00A375E2"/>
    <w:rsid w:val="00A3772F"/>
    <w:rsid w:val="00A379EB"/>
    <w:rsid w:val="00A4087C"/>
    <w:rsid w:val="00A40A9E"/>
    <w:rsid w:val="00A40C65"/>
    <w:rsid w:val="00A423C5"/>
    <w:rsid w:val="00A42775"/>
    <w:rsid w:val="00A4344E"/>
    <w:rsid w:val="00A43511"/>
    <w:rsid w:val="00A43D41"/>
    <w:rsid w:val="00A43F44"/>
    <w:rsid w:val="00A44C95"/>
    <w:rsid w:val="00A44CFB"/>
    <w:rsid w:val="00A500C8"/>
    <w:rsid w:val="00A502DF"/>
    <w:rsid w:val="00A50D23"/>
    <w:rsid w:val="00A51BC2"/>
    <w:rsid w:val="00A51BF7"/>
    <w:rsid w:val="00A51C1D"/>
    <w:rsid w:val="00A5232A"/>
    <w:rsid w:val="00A52438"/>
    <w:rsid w:val="00A534C3"/>
    <w:rsid w:val="00A53AE8"/>
    <w:rsid w:val="00A55594"/>
    <w:rsid w:val="00A559EA"/>
    <w:rsid w:val="00A561C6"/>
    <w:rsid w:val="00A564E7"/>
    <w:rsid w:val="00A56BAE"/>
    <w:rsid w:val="00A572AB"/>
    <w:rsid w:val="00A579B4"/>
    <w:rsid w:val="00A611C4"/>
    <w:rsid w:val="00A61FCB"/>
    <w:rsid w:val="00A6230E"/>
    <w:rsid w:val="00A6287C"/>
    <w:rsid w:val="00A62CFD"/>
    <w:rsid w:val="00A62D48"/>
    <w:rsid w:val="00A632C4"/>
    <w:rsid w:val="00A64935"/>
    <w:rsid w:val="00A65A59"/>
    <w:rsid w:val="00A65CC0"/>
    <w:rsid w:val="00A65F55"/>
    <w:rsid w:val="00A67564"/>
    <w:rsid w:val="00A6764E"/>
    <w:rsid w:val="00A67ADA"/>
    <w:rsid w:val="00A67C76"/>
    <w:rsid w:val="00A70131"/>
    <w:rsid w:val="00A708D1"/>
    <w:rsid w:val="00A71476"/>
    <w:rsid w:val="00A72AC3"/>
    <w:rsid w:val="00A73AF2"/>
    <w:rsid w:val="00A73EE7"/>
    <w:rsid w:val="00A7526A"/>
    <w:rsid w:val="00A75C1C"/>
    <w:rsid w:val="00A7713A"/>
    <w:rsid w:val="00A77C80"/>
    <w:rsid w:val="00A80521"/>
    <w:rsid w:val="00A80946"/>
    <w:rsid w:val="00A81314"/>
    <w:rsid w:val="00A819F0"/>
    <w:rsid w:val="00A81E25"/>
    <w:rsid w:val="00A81ED5"/>
    <w:rsid w:val="00A82512"/>
    <w:rsid w:val="00A8270F"/>
    <w:rsid w:val="00A82A58"/>
    <w:rsid w:val="00A83018"/>
    <w:rsid w:val="00A83253"/>
    <w:rsid w:val="00A84F80"/>
    <w:rsid w:val="00A8500D"/>
    <w:rsid w:val="00A85652"/>
    <w:rsid w:val="00A871DB"/>
    <w:rsid w:val="00A8758E"/>
    <w:rsid w:val="00A8795B"/>
    <w:rsid w:val="00A9006D"/>
    <w:rsid w:val="00A9093F"/>
    <w:rsid w:val="00A91035"/>
    <w:rsid w:val="00A9138A"/>
    <w:rsid w:val="00A92008"/>
    <w:rsid w:val="00A92C75"/>
    <w:rsid w:val="00A93919"/>
    <w:rsid w:val="00A942C0"/>
    <w:rsid w:val="00A94326"/>
    <w:rsid w:val="00A94598"/>
    <w:rsid w:val="00A94E07"/>
    <w:rsid w:val="00A95594"/>
    <w:rsid w:val="00A95A08"/>
    <w:rsid w:val="00A9693D"/>
    <w:rsid w:val="00A96EF4"/>
    <w:rsid w:val="00A9735A"/>
    <w:rsid w:val="00A9747F"/>
    <w:rsid w:val="00A976D0"/>
    <w:rsid w:val="00A97A88"/>
    <w:rsid w:val="00AA04FC"/>
    <w:rsid w:val="00AA062C"/>
    <w:rsid w:val="00AA07A0"/>
    <w:rsid w:val="00AA07E1"/>
    <w:rsid w:val="00AA0B0E"/>
    <w:rsid w:val="00AA1C9C"/>
    <w:rsid w:val="00AA21BE"/>
    <w:rsid w:val="00AA246A"/>
    <w:rsid w:val="00AA349D"/>
    <w:rsid w:val="00AA367D"/>
    <w:rsid w:val="00AA441B"/>
    <w:rsid w:val="00AA47FB"/>
    <w:rsid w:val="00AA5075"/>
    <w:rsid w:val="00AA5C81"/>
    <w:rsid w:val="00AA6D4D"/>
    <w:rsid w:val="00AA78B8"/>
    <w:rsid w:val="00AA7A33"/>
    <w:rsid w:val="00AA7B59"/>
    <w:rsid w:val="00AB170D"/>
    <w:rsid w:val="00AB17EC"/>
    <w:rsid w:val="00AB1CC4"/>
    <w:rsid w:val="00AB1D57"/>
    <w:rsid w:val="00AB2C9D"/>
    <w:rsid w:val="00AB5141"/>
    <w:rsid w:val="00AB521A"/>
    <w:rsid w:val="00AB75C9"/>
    <w:rsid w:val="00AB7FC0"/>
    <w:rsid w:val="00AC00B4"/>
    <w:rsid w:val="00AC14B5"/>
    <w:rsid w:val="00AC1E6C"/>
    <w:rsid w:val="00AC241A"/>
    <w:rsid w:val="00AC2A0B"/>
    <w:rsid w:val="00AC351B"/>
    <w:rsid w:val="00AC3D4F"/>
    <w:rsid w:val="00AC569E"/>
    <w:rsid w:val="00AC74BE"/>
    <w:rsid w:val="00AC7E69"/>
    <w:rsid w:val="00AD0F69"/>
    <w:rsid w:val="00AD11F3"/>
    <w:rsid w:val="00AD120F"/>
    <w:rsid w:val="00AD1814"/>
    <w:rsid w:val="00AD1AF9"/>
    <w:rsid w:val="00AD1C49"/>
    <w:rsid w:val="00AD38A1"/>
    <w:rsid w:val="00AD41EF"/>
    <w:rsid w:val="00AD5B03"/>
    <w:rsid w:val="00AD5E4B"/>
    <w:rsid w:val="00AD7299"/>
    <w:rsid w:val="00AD73D1"/>
    <w:rsid w:val="00AE1E44"/>
    <w:rsid w:val="00AE332C"/>
    <w:rsid w:val="00AE3A07"/>
    <w:rsid w:val="00AE4051"/>
    <w:rsid w:val="00AE5B50"/>
    <w:rsid w:val="00AE63E3"/>
    <w:rsid w:val="00AE727E"/>
    <w:rsid w:val="00AE7A93"/>
    <w:rsid w:val="00AF0140"/>
    <w:rsid w:val="00AF1F27"/>
    <w:rsid w:val="00AF413A"/>
    <w:rsid w:val="00AF4D28"/>
    <w:rsid w:val="00AF61B6"/>
    <w:rsid w:val="00AF62DC"/>
    <w:rsid w:val="00AF643F"/>
    <w:rsid w:val="00AF66EE"/>
    <w:rsid w:val="00B001D1"/>
    <w:rsid w:val="00B00ECA"/>
    <w:rsid w:val="00B0245F"/>
    <w:rsid w:val="00B025FC"/>
    <w:rsid w:val="00B03B18"/>
    <w:rsid w:val="00B04086"/>
    <w:rsid w:val="00B044C2"/>
    <w:rsid w:val="00B04A17"/>
    <w:rsid w:val="00B04DC0"/>
    <w:rsid w:val="00B04FB4"/>
    <w:rsid w:val="00B055E1"/>
    <w:rsid w:val="00B07B59"/>
    <w:rsid w:val="00B10078"/>
    <w:rsid w:val="00B1011B"/>
    <w:rsid w:val="00B10FAD"/>
    <w:rsid w:val="00B1237D"/>
    <w:rsid w:val="00B12CCE"/>
    <w:rsid w:val="00B1465D"/>
    <w:rsid w:val="00B152DE"/>
    <w:rsid w:val="00B15644"/>
    <w:rsid w:val="00B206AF"/>
    <w:rsid w:val="00B20847"/>
    <w:rsid w:val="00B208AE"/>
    <w:rsid w:val="00B21826"/>
    <w:rsid w:val="00B220E0"/>
    <w:rsid w:val="00B226E7"/>
    <w:rsid w:val="00B232DF"/>
    <w:rsid w:val="00B236AE"/>
    <w:rsid w:val="00B2375A"/>
    <w:rsid w:val="00B24DE6"/>
    <w:rsid w:val="00B250BA"/>
    <w:rsid w:val="00B2607D"/>
    <w:rsid w:val="00B262F1"/>
    <w:rsid w:val="00B269A7"/>
    <w:rsid w:val="00B31363"/>
    <w:rsid w:val="00B3170C"/>
    <w:rsid w:val="00B33675"/>
    <w:rsid w:val="00B33C20"/>
    <w:rsid w:val="00B3405F"/>
    <w:rsid w:val="00B34859"/>
    <w:rsid w:val="00B34E10"/>
    <w:rsid w:val="00B34E16"/>
    <w:rsid w:val="00B35168"/>
    <w:rsid w:val="00B36296"/>
    <w:rsid w:val="00B36675"/>
    <w:rsid w:val="00B374BC"/>
    <w:rsid w:val="00B41E21"/>
    <w:rsid w:val="00B43624"/>
    <w:rsid w:val="00B43A57"/>
    <w:rsid w:val="00B44787"/>
    <w:rsid w:val="00B44CCB"/>
    <w:rsid w:val="00B45A64"/>
    <w:rsid w:val="00B46876"/>
    <w:rsid w:val="00B469CD"/>
    <w:rsid w:val="00B46CA9"/>
    <w:rsid w:val="00B47008"/>
    <w:rsid w:val="00B47131"/>
    <w:rsid w:val="00B503FA"/>
    <w:rsid w:val="00B51687"/>
    <w:rsid w:val="00B51744"/>
    <w:rsid w:val="00B51E73"/>
    <w:rsid w:val="00B52510"/>
    <w:rsid w:val="00B52603"/>
    <w:rsid w:val="00B530DC"/>
    <w:rsid w:val="00B5567D"/>
    <w:rsid w:val="00B558D4"/>
    <w:rsid w:val="00B562FA"/>
    <w:rsid w:val="00B56CAA"/>
    <w:rsid w:val="00B56D38"/>
    <w:rsid w:val="00B57F72"/>
    <w:rsid w:val="00B6002D"/>
    <w:rsid w:val="00B60933"/>
    <w:rsid w:val="00B609EF"/>
    <w:rsid w:val="00B60AC1"/>
    <w:rsid w:val="00B61004"/>
    <w:rsid w:val="00B6106F"/>
    <w:rsid w:val="00B61423"/>
    <w:rsid w:val="00B61BA1"/>
    <w:rsid w:val="00B62B3C"/>
    <w:rsid w:val="00B6337F"/>
    <w:rsid w:val="00B642A0"/>
    <w:rsid w:val="00B6453A"/>
    <w:rsid w:val="00B65335"/>
    <w:rsid w:val="00B66893"/>
    <w:rsid w:val="00B672BE"/>
    <w:rsid w:val="00B70504"/>
    <w:rsid w:val="00B71B61"/>
    <w:rsid w:val="00B72794"/>
    <w:rsid w:val="00B73599"/>
    <w:rsid w:val="00B73720"/>
    <w:rsid w:val="00B73FCF"/>
    <w:rsid w:val="00B75215"/>
    <w:rsid w:val="00B75707"/>
    <w:rsid w:val="00B77585"/>
    <w:rsid w:val="00B80194"/>
    <w:rsid w:val="00B808E0"/>
    <w:rsid w:val="00B80AF1"/>
    <w:rsid w:val="00B80E32"/>
    <w:rsid w:val="00B8163B"/>
    <w:rsid w:val="00B829EB"/>
    <w:rsid w:val="00B838B2"/>
    <w:rsid w:val="00B83AA5"/>
    <w:rsid w:val="00B83B86"/>
    <w:rsid w:val="00B83F88"/>
    <w:rsid w:val="00B84C79"/>
    <w:rsid w:val="00B858E9"/>
    <w:rsid w:val="00B85D4D"/>
    <w:rsid w:val="00B86060"/>
    <w:rsid w:val="00B86F90"/>
    <w:rsid w:val="00B873E1"/>
    <w:rsid w:val="00B90242"/>
    <w:rsid w:val="00B90521"/>
    <w:rsid w:val="00B90B3E"/>
    <w:rsid w:val="00B92FE9"/>
    <w:rsid w:val="00B931B1"/>
    <w:rsid w:val="00B95C2C"/>
    <w:rsid w:val="00B96504"/>
    <w:rsid w:val="00B966E9"/>
    <w:rsid w:val="00B96A4A"/>
    <w:rsid w:val="00B9775B"/>
    <w:rsid w:val="00B979FE"/>
    <w:rsid w:val="00BA0190"/>
    <w:rsid w:val="00BA051E"/>
    <w:rsid w:val="00BA3061"/>
    <w:rsid w:val="00BA389F"/>
    <w:rsid w:val="00BA3B1C"/>
    <w:rsid w:val="00BA48FC"/>
    <w:rsid w:val="00BA4FF1"/>
    <w:rsid w:val="00BA54FA"/>
    <w:rsid w:val="00BA6AD7"/>
    <w:rsid w:val="00BA72BD"/>
    <w:rsid w:val="00BA78E9"/>
    <w:rsid w:val="00BA7998"/>
    <w:rsid w:val="00BB020F"/>
    <w:rsid w:val="00BB0811"/>
    <w:rsid w:val="00BB0CFB"/>
    <w:rsid w:val="00BB1097"/>
    <w:rsid w:val="00BB1D0B"/>
    <w:rsid w:val="00BB34D5"/>
    <w:rsid w:val="00BB4646"/>
    <w:rsid w:val="00BB4905"/>
    <w:rsid w:val="00BB4A37"/>
    <w:rsid w:val="00BB4BA5"/>
    <w:rsid w:val="00BB5DBF"/>
    <w:rsid w:val="00BB6E11"/>
    <w:rsid w:val="00BB6EBA"/>
    <w:rsid w:val="00BB7217"/>
    <w:rsid w:val="00BB72FD"/>
    <w:rsid w:val="00BB7CC1"/>
    <w:rsid w:val="00BB7DA2"/>
    <w:rsid w:val="00BC009D"/>
    <w:rsid w:val="00BC0534"/>
    <w:rsid w:val="00BC082C"/>
    <w:rsid w:val="00BC182E"/>
    <w:rsid w:val="00BC2463"/>
    <w:rsid w:val="00BC26A7"/>
    <w:rsid w:val="00BC4F31"/>
    <w:rsid w:val="00BC6378"/>
    <w:rsid w:val="00BC70FC"/>
    <w:rsid w:val="00BD021F"/>
    <w:rsid w:val="00BD1D7C"/>
    <w:rsid w:val="00BD210C"/>
    <w:rsid w:val="00BD2607"/>
    <w:rsid w:val="00BD26E4"/>
    <w:rsid w:val="00BD3550"/>
    <w:rsid w:val="00BD360A"/>
    <w:rsid w:val="00BD6EB8"/>
    <w:rsid w:val="00BD76DE"/>
    <w:rsid w:val="00BE024E"/>
    <w:rsid w:val="00BE0C9B"/>
    <w:rsid w:val="00BE108D"/>
    <w:rsid w:val="00BE143A"/>
    <w:rsid w:val="00BE200B"/>
    <w:rsid w:val="00BE20A4"/>
    <w:rsid w:val="00BE36BD"/>
    <w:rsid w:val="00BE3AA8"/>
    <w:rsid w:val="00BE5988"/>
    <w:rsid w:val="00BE59B9"/>
    <w:rsid w:val="00BE60C9"/>
    <w:rsid w:val="00BE71C8"/>
    <w:rsid w:val="00BE799E"/>
    <w:rsid w:val="00BE7DE1"/>
    <w:rsid w:val="00BF0821"/>
    <w:rsid w:val="00BF0BBB"/>
    <w:rsid w:val="00BF14DE"/>
    <w:rsid w:val="00BF18A9"/>
    <w:rsid w:val="00BF1FFC"/>
    <w:rsid w:val="00BF4480"/>
    <w:rsid w:val="00BF4AA8"/>
    <w:rsid w:val="00BF57E4"/>
    <w:rsid w:val="00BF5E96"/>
    <w:rsid w:val="00BF6302"/>
    <w:rsid w:val="00BF6B1D"/>
    <w:rsid w:val="00BF7DB8"/>
    <w:rsid w:val="00C00528"/>
    <w:rsid w:val="00C00ECE"/>
    <w:rsid w:val="00C01A42"/>
    <w:rsid w:val="00C01B5C"/>
    <w:rsid w:val="00C02CA0"/>
    <w:rsid w:val="00C033B9"/>
    <w:rsid w:val="00C039FC"/>
    <w:rsid w:val="00C03C5D"/>
    <w:rsid w:val="00C045F7"/>
    <w:rsid w:val="00C05120"/>
    <w:rsid w:val="00C054F2"/>
    <w:rsid w:val="00C06396"/>
    <w:rsid w:val="00C06DBE"/>
    <w:rsid w:val="00C06EC3"/>
    <w:rsid w:val="00C06EEA"/>
    <w:rsid w:val="00C077D9"/>
    <w:rsid w:val="00C11CF7"/>
    <w:rsid w:val="00C11FDA"/>
    <w:rsid w:val="00C12D1A"/>
    <w:rsid w:val="00C14139"/>
    <w:rsid w:val="00C1470F"/>
    <w:rsid w:val="00C14916"/>
    <w:rsid w:val="00C14F50"/>
    <w:rsid w:val="00C15148"/>
    <w:rsid w:val="00C152F2"/>
    <w:rsid w:val="00C155E6"/>
    <w:rsid w:val="00C15C1F"/>
    <w:rsid w:val="00C163EB"/>
    <w:rsid w:val="00C20094"/>
    <w:rsid w:val="00C20A2C"/>
    <w:rsid w:val="00C21246"/>
    <w:rsid w:val="00C21AFB"/>
    <w:rsid w:val="00C21B76"/>
    <w:rsid w:val="00C223AF"/>
    <w:rsid w:val="00C2334C"/>
    <w:rsid w:val="00C237B4"/>
    <w:rsid w:val="00C23D68"/>
    <w:rsid w:val="00C23DA2"/>
    <w:rsid w:val="00C2423C"/>
    <w:rsid w:val="00C24BBF"/>
    <w:rsid w:val="00C2686D"/>
    <w:rsid w:val="00C301F0"/>
    <w:rsid w:val="00C303AE"/>
    <w:rsid w:val="00C314FF"/>
    <w:rsid w:val="00C31DD3"/>
    <w:rsid w:val="00C3241E"/>
    <w:rsid w:val="00C325C7"/>
    <w:rsid w:val="00C32BEB"/>
    <w:rsid w:val="00C32F09"/>
    <w:rsid w:val="00C33533"/>
    <w:rsid w:val="00C34DBA"/>
    <w:rsid w:val="00C35C81"/>
    <w:rsid w:val="00C35D5C"/>
    <w:rsid w:val="00C37A02"/>
    <w:rsid w:val="00C409E8"/>
    <w:rsid w:val="00C40FB0"/>
    <w:rsid w:val="00C41C63"/>
    <w:rsid w:val="00C42078"/>
    <w:rsid w:val="00C42551"/>
    <w:rsid w:val="00C430A1"/>
    <w:rsid w:val="00C431F2"/>
    <w:rsid w:val="00C4493D"/>
    <w:rsid w:val="00C44E15"/>
    <w:rsid w:val="00C44E21"/>
    <w:rsid w:val="00C4539C"/>
    <w:rsid w:val="00C454B2"/>
    <w:rsid w:val="00C4595F"/>
    <w:rsid w:val="00C46C16"/>
    <w:rsid w:val="00C47236"/>
    <w:rsid w:val="00C47BAE"/>
    <w:rsid w:val="00C47FA1"/>
    <w:rsid w:val="00C5071E"/>
    <w:rsid w:val="00C50C82"/>
    <w:rsid w:val="00C50D2A"/>
    <w:rsid w:val="00C50D6D"/>
    <w:rsid w:val="00C51B71"/>
    <w:rsid w:val="00C522A2"/>
    <w:rsid w:val="00C5296F"/>
    <w:rsid w:val="00C5317F"/>
    <w:rsid w:val="00C53F0E"/>
    <w:rsid w:val="00C54525"/>
    <w:rsid w:val="00C5458C"/>
    <w:rsid w:val="00C55CFE"/>
    <w:rsid w:val="00C5622C"/>
    <w:rsid w:val="00C56EEF"/>
    <w:rsid w:val="00C57409"/>
    <w:rsid w:val="00C60648"/>
    <w:rsid w:val="00C61212"/>
    <w:rsid w:val="00C61E22"/>
    <w:rsid w:val="00C62BEA"/>
    <w:rsid w:val="00C6302C"/>
    <w:rsid w:val="00C646A9"/>
    <w:rsid w:val="00C646F2"/>
    <w:rsid w:val="00C64764"/>
    <w:rsid w:val="00C64F5C"/>
    <w:rsid w:val="00C65B67"/>
    <w:rsid w:val="00C67626"/>
    <w:rsid w:val="00C70957"/>
    <w:rsid w:val="00C719FD"/>
    <w:rsid w:val="00C73004"/>
    <w:rsid w:val="00C734FB"/>
    <w:rsid w:val="00C73B8A"/>
    <w:rsid w:val="00C740E8"/>
    <w:rsid w:val="00C74EF4"/>
    <w:rsid w:val="00C74F31"/>
    <w:rsid w:val="00C750B0"/>
    <w:rsid w:val="00C75861"/>
    <w:rsid w:val="00C762C3"/>
    <w:rsid w:val="00C76C70"/>
    <w:rsid w:val="00C77EBA"/>
    <w:rsid w:val="00C8048F"/>
    <w:rsid w:val="00C813A0"/>
    <w:rsid w:val="00C81847"/>
    <w:rsid w:val="00C81A9D"/>
    <w:rsid w:val="00C8268F"/>
    <w:rsid w:val="00C83882"/>
    <w:rsid w:val="00C842C9"/>
    <w:rsid w:val="00C84879"/>
    <w:rsid w:val="00C866CC"/>
    <w:rsid w:val="00C870C9"/>
    <w:rsid w:val="00C905E2"/>
    <w:rsid w:val="00C90C71"/>
    <w:rsid w:val="00C90DD0"/>
    <w:rsid w:val="00C92830"/>
    <w:rsid w:val="00C94467"/>
    <w:rsid w:val="00C94628"/>
    <w:rsid w:val="00C95292"/>
    <w:rsid w:val="00C955CD"/>
    <w:rsid w:val="00C95EE1"/>
    <w:rsid w:val="00C95F3F"/>
    <w:rsid w:val="00C96A05"/>
    <w:rsid w:val="00C96CAE"/>
    <w:rsid w:val="00C96DC0"/>
    <w:rsid w:val="00C97788"/>
    <w:rsid w:val="00CA0494"/>
    <w:rsid w:val="00CA11E7"/>
    <w:rsid w:val="00CA1CF1"/>
    <w:rsid w:val="00CA24C0"/>
    <w:rsid w:val="00CA47C0"/>
    <w:rsid w:val="00CA5516"/>
    <w:rsid w:val="00CA558B"/>
    <w:rsid w:val="00CA5690"/>
    <w:rsid w:val="00CA60F0"/>
    <w:rsid w:val="00CA6AAD"/>
    <w:rsid w:val="00CA7B57"/>
    <w:rsid w:val="00CA7C55"/>
    <w:rsid w:val="00CA7CA0"/>
    <w:rsid w:val="00CB0A08"/>
    <w:rsid w:val="00CB2BFC"/>
    <w:rsid w:val="00CB2CD0"/>
    <w:rsid w:val="00CB314D"/>
    <w:rsid w:val="00CB3423"/>
    <w:rsid w:val="00CB372C"/>
    <w:rsid w:val="00CB3E90"/>
    <w:rsid w:val="00CB5A9F"/>
    <w:rsid w:val="00CB72D6"/>
    <w:rsid w:val="00CB7A1A"/>
    <w:rsid w:val="00CB7A70"/>
    <w:rsid w:val="00CB7EFE"/>
    <w:rsid w:val="00CC066E"/>
    <w:rsid w:val="00CC10F1"/>
    <w:rsid w:val="00CC1A32"/>
    <w:rsid w:val="00CC1A60"/>
    <w:rsid w:val="00CC23CA"/>
    <w:rsid w:val="00CC28C8"/>
    <w:rsid w:val="00CC2AA1"/>
    <w:rsid w:val="00CC38FF"/>
    <w:rsid w:val="00CC3A32"/>
    <w:rsid w:val="00CC3CE0"/>
    <w:rsid w:val="00CC45CB"/>
    <w:rsid w:val="00CC469C"/>
    <w:rsid w:val="00CC566E"/>
    <w:rsid w:val="00CC5A7B"/>
    <w:rsid w:val="00CC7EB2"/>
    <w:rsid w:val="00CD03F4"/>
    <w:rsid w:val="00CD0746"/>
    <w:rsid w:val="00CD0881"/>
    <w:rsid w:val="00CD0F54"/>
    <w:rsid w:val="00CD139A"/>
    <w:rsid w:val="00CD143B"/>
    <w:rsid w:val="00CD1BDA"/>
    <w:rsid w:val="00CD2A92"/>
    <w:rsid w:val="00CD3379"/>
    <w:rsid w:val="00CD3DB1"/>
    <w:rsid w:val="00CD574C"/>
    <w:rsid w:val="00CD61A4"/>
    <w:rsid w:val="00CD6338"/>
    <w:rsid w:val="00CE06AF"/>
    <w:rsid w:val="00CE29E1"/>
    <w:rsid w:val="00CE310F"/>
    <w:rsid w:val="00CE4311"/>
    <w:rsid w:val="00CE4C8D"/>
    <w:rsid w:val="00CE5466"/>
    <w:rsid w:val="00CE5FC4"/>
    <w:rsid w:val="00CE60F9"/>
    <w:rsid w:val="00CE7C2D"/>
    <w:rsid w:val="00CE7E6A"/>
    <w:rsid w:val="00CF17D5"/>
    <w:rsid w:val="00CF1CD5"/>
    <w:rsid w:val="00CF27C7"/>
    <w:rsid w:val="00CF2E0B"/>
    <w:rsid w:val="00CF2EBD"/>
    <w:rsid w:val="00CF31DA"/>
    <w:rsid w:val="00CF49B6"/>
    <w:rsid w:val="00CF4E3A"/>
    <w:rsid w:val="00CF6397"/>
    <w:rsid w:val="00CF69DD"/>
    <w:rsid w:val="00CF6AF6"/>
    <w:rsid w:val="00D00901"/>
    <w:rsid w:val="00D01D2A"/>
    <w:rsid w:val="00D01D85"/>
    <w:rsid w:val="00D01FBD"/>
    <w:rsid w:val="00D0317B"/>
    <w:rsid w:val="00D0388A"/>
    <w:rsid w:val="00D03A4A"/>
    <w:rsid w:val="00D045D0"/>
    <w:rsid w:val="00D04C53"/>
    <w:rsid w:val="00D066B0"/>
    <w:rsid w:val="00D06A6B"/>
    <w:rsid w:val="00D06FCF"/>
    <w:rsid w:val="00D07A2B"/>
    <w:rsid w:val="00D10436"/>
    <w:rsid w:val="00D109A5"/>
    <w:rsid w:val="00D1164A"/>
    <w:rsid w:val="00D12C7F"/>
    <w:rsid w:val="00D133F4"/>
    <w:rsid w:val="00D13768"/>
    <w:rsid w:val="00D139F3"/>
    <w:rsid w:val="00D13D8E"/>
    <w:rsid w:val="00D1411B"/>
    <w:rsid w:val="00D14DB6"/>
    <w:rsid w:val="00D1582F"/>
    <w:rsid w:val="00D16D54"/>
    <w:rsid w:val="00D1742D"/>
    <w:rsid w:val="00D17D6F"/>
    <w:rsid w:val="00D17E8E"/>
    <w:rsid w:val="00D20B66"/>
    <w:rsid w:val="00D214BE"/>
    <w:rsid w:val="00D226BC"/>
    <w:rsid w:val="00D2304F"/>
    <w:rsid w:val="00D230CD"/>
    <w:rsid w:val="00D23748"/>
    <w:rsid w:val="00D2517A"/>
    <w:rsid w:val="00D25B6B"/>
    <w:rsid w:val="00D25F95"/>
    <w:rsid w:val="00D266FC"/>
    <w:rsid w:val="00D26FF6"/>
    <w:rsid w:val="00D272A5"/>
    <w:rsid w:val="00D30855"/>
    <w:rsid w:val="00D30A92"/>
    <w:rsid w:val="00D30C8B"/>
    <w:rsid w:val="00D30CEB"/>
    <w:rsid w:val="00D31095"/>
    <w:rsid w:val="00D3185E"/>
    <w:rsid w:val="00D3195C"/>
    <w:rsid w:val="00D31F37"/>
    <w:rsid w:val="00D36086"/>
    <w:rsid w:val="00D361CB"/>
    <w:rsid w:val="00D36284"/>
    <w:rsid w:val="00D36FBA"/>
    <w:rsid w:val="00D37B70"/>
    <w:rsid w:val="00D37B9F"/>
    <w:rsid w:val="00D40B17"/>
    <w:rsid w:val="00D40C58"/>
    <w:rsid w:val="00D424DE"/>
    <w:rsid w:val="00D4259C"/>
    <w:rsid w:val="00D428B7"/>
    <w:rsid w:val="00D42A46"/>
    <w:rsid w:val="00D43A68"/>
    <w:rsid w:val="00D44EAE"/>
    <w:rsid w:val="00D45720"/>
    <w:rsid w:val="00D4627C"/>
    <w:rsid w:val="00D477D4"/>
    <w:rsid w:val="00D52576"/>
    <w:rsid w:val="00D53690"/>
    <w:rsid w:val="00D543E3"/>
    <w:rsid w:val="00D54AD9"/>
    <w:rsid w:val="00D55211"/>
    <w:rsid w:val="00D5621B"/>
    <w:rsid w:val="00D56380"/>
    <w:rsid w:val="00D601EE"/>
    <w:rsid w:val="00D610B4"/>
    <w:rsid w:val="00D62018"/>
    <w:rsid w:val="00D634EE"/>
    <w:rsid w:val="00D6364F"/>
    <w:rsid w:val="00D63B52"/>
    <w:rsid w:val="00D64254"/>
    <w:rsid w:val="00D655B8"/>
    <w:rsid w:val="00D655BF"/>
    <w:rsid w:val="00D65606"/>
    <w:rsid w:val="00D656E5"/>
    <w:rsid w:val="00D65E8F"/>
    <w:rsid w:val="00D6725A"/>
    <w:rsid w:val="00D67939"/>
    <w:rsid w:val="00D7015D"/>
    <w:rsid w:val="00D705FC"/>
    <w:rsid w:val="00D72AB8"/>
    <w:rsid w:val="00D7316E"/>
    <w:rsid w:val="00D7406B"/>
    <w:rsid w:val="00D7411A"/>
    <w:rsid w:val="00D74E5F"/>
    <w:rsid w:val="00D7744E"/>
    <w:rsid w:val="00D77774"/>
    <w:rsid w:val="00D777B9"/>
    <w:rsid w:val="00D77A62"/>
    <w:rsid w:val="00D77DF6"/>
    <w:rsid w:val="00D802CD"/>
    <w:rsid w:val="00D80896"/>
    <w:rsid w:val="00D80959"/>
    <w:rsid w:val="00D81066"/>
    <w:rsid w:val="00D821B4"/>
    <w:rsid w:val="00D838B6"/>
    <w:rsid w:val="00D83BBC"/>
    <w:rsid w:val="00D83DA1"/>
    <w:rsid w:val="00D843D7"/>
    <w:rsid w:val="00D84647"/>
    <w:rsid w:val="00D84BD9"/>
    <w:rsid w:val="00D85A8F"/>
    <w:rsid w:val="00D85BCC"/>
    <w:rsid w:val="00D85DFD"/>
    <w:rsid w:val="00D85E28"/>
    <w:rsid w:val="00D8674F"/>
    <w:rsid w:val="00D87162"/>
    <w:rsid w:val="00D874D0"/>
    <w:rsid w:val="00D87CA6"/>
    <w:rsid w:val="00D87D3D"/>
    <w:rsid w:val="00D909E1"/>
    <w:rsid w:val="00D90F0D"/>
    <w:rsid w:val="00D923D3"/>
    <w:rsid w:val="00D930D1"/>
    <w:rsid w:val="00D93CAB"/>
    <w:rsid w:val="00D9427D"/>
    <w:rsid w:val="00D94C61"/>
    <w:rsid w:val="00D94D37"/>
    <w:rsid w:val="00D9523D"/>
    <w:rsid w:val="00D96207"/>
    <w:rsid w:val="00D97378"/>
    <w:rsid w:val="00DA0746"/>
    <w:rsid w:val="00DA3CA5"/>
    <w:rsid w:val="00DA416B"/>
    <w:rsid w:val="00DA56AF"/>
    <w:rsid w:val="00DA586E"/>
    <w:rsid w:val="00DA5F67"/>
    <w:rsid w:val="00DA637B"/>
    <w:rsid w:val="00DA6811"/>
    <w:rsid w:val="00DA6E1A"/>
    <w:rsid w:val="00DA7324"/>
    <w:rsid w:val="00DA752C"/>
    <w:rsid w:val="00DA7A61"/>
    <w:rsid w:val="00DB1BAD"/>
    <w:rsid w:val="00DB258C"/>
    <w:rsid w:val="00DB371C"/>
    <w:rsid w:val="00DB3778"/>
    <w:rsid w:val="00DB3E5A"/>
    <w:rsid w:val="00DB5799"/>
    <w:rsid w:val="00DB68D2"/>
    <w:rsid w:val="00DB6DEA"/>
    <w:rsid w:val="00DB70F7"/>
    <w:rsid w:val="00DC0868"/>
    <w:rsid w:val="00DC0A3D"/>
    <w:rsid w:val="00DC2640"/>
    <w:rsid w:val="00DC3930"/>
    <w:rsid w:val="00DC3D8A"/>
    <w:rsid w:val="00DC477C"/>
    <w:rsid w:val="00DC4AE5"/>
    <w:rsid w:val="00DC6862"/>
    <w:rsid w:val="00DC7E8C"/>
    <w:rsid w:val="00DD0627"/>
    <w:rsid w:val="00DD1234"/>
    <w:rsid w:val="00DD13B1"/>
    <w:rsid w:val="00DD1640"/>
    <w:rsid w:val="00DD43D8"/>
    <w:rsid w:val="00DD574D"/>
    <w:rsid w:val="00DD67E5"/>
    <w:rsid w:val="00DD71A3"/>
    <w:rsid w:val="00DD74C3"/>
    <w:rsid w:val="00DE0199"/>
    <w:rsid w:val="00DE1D24"/>
    <w:rsid w:val="00DE23EA"/>
    <w:rsid w:val="00DE2C3D"/>
    <w:rsid w:val="00DE39A6"/>
    <w:rsid w:val="00DE3C5C"/>
    <w:rsid w:val="00DE45C9"/>
    <w:rsid w:val="00DE4D97"/>
    <w:rsid w:val="00DE4DDC"/>
    <w:rsid w:val="00DE593A"/>
    <w:rsid w:val="00DE6D4C"/>
    <w:rsid w:val="00DE6DED"/>
    <w:rsid w:val="00DE7B80"/>
    <w:rsid w:val="00DF1287"/>
    <w:rsid w:val="00DF1509"/>
    <w:rsid w:val="00DF1B31"/>
    <w:rsid w:val="00DF20E2"/>
    <w:rsid w:val="00DF22C1"/>
    <w:rsid w:val="00DF2664"/>
    <w:rsid w:val="00DF2857"/>
    <w:rsid w:val="00DF2F7B"/>
    <w:rsid w:val="00DF36C1"/>
    <w:rsid w:val="00DF4CF2"/>
    <w:rsid w:val="00DF5F19"/>
    <w:rsid w:val="00DF6BDA"/>
    <w:rsid w:val="00DF728E"/>
    <w:rsid w:val="00E00207"/>
    <w:rsid w:val="00E00738"/>
    <w:rsid w:val="00E008F1"/>
    <w:rsid w:val="00E00CC7"/>
    <w:rsid w:val="00E01307"/>
    <w:rsid w:val="00E0141D"/>
    <w:rsid w:val="00E0148D"/>
    <w:rsid w:val="00E01D02"/>
    <w:rsid w:val="00E01EE3"/>
    <w:rsid w:val="00E02CC3"/>
    <w:rsid w:val="00E03AA9"/>
    <w:rsid w:val="00E05230"/>
    <w:rsid w:val="00E05747"/>
    <w:rsid w:val="00E057D2"/>
    <w:rsid w:val="00E05E39"/>
    <w:rsid w:val="00E06DDA"/>
    <w:rsid w:val="00E0728A"/>
    <w:rsid w:val="00E07BE6"/>
    <w:rsid w:val="00E102C9"/>
    <w:rsid w:val="00E10546"/>
    <w:rsid w:val="00E11067"/>
    <w:rsid w:val="00E11E71"/>
    <w:rsid w:val="00E12ECF"/>
    <w:rsid w:val="00E13230"/>
    <w:rsid w:val="00E1409D"/>
    <w:rsid w:val="00E143CF"/>
    <w:rsid w:val="00E1560A"/>
    <w:rsid w:val="00E15C6D"/>
    <w:rsid w:val="00E16350"/>
    <w:rsid w:val="00E16A14"/>
    <w:rsid w:val="00E16B50"/>
    <w:rsid w:val="00E21535"/>
    <w:rsid w:val="00E21BA5"/>
    <w:rsid w:val="00E22410"/>
    <w:rsid w:val="00E22B0C"/>
    <w:rsid w:val="00E22EF5"/>
    <w:rsid w:val="00E23195"/>
    <w:rsid w:val="00E23259"/>
    <w:rsid w:val="00E233F9"/>
    <w:rsid w:val="00E23ADF"/>
    <w:rsid w:val="00E267A7"/>
    <w:rsid w:val="00E2696C"/>
    <w:rsid w:val="00E274CF"/>
    <w:rsid w:val="00E27B25"/>
    <w:rsid w:val="00E31B22"/>
    <w:rsid w:val="00E31BE6"/>
    <w:rsid w:val="00E31D51"/>
    <w:rsid w:val="00E322B5"/>
    <w:rsid w:val="00E32702"/>
    <w:rsid w:val="00E32E47"/>
    <w:rsid w:val="00E32E83"/>
    <w:rsid w:val="00E3359C"/>
    <w:rsid w:val="00E34082"/>
    <w:rsid w:val="00E34A7E"/>
    <w:rsid w:val="00E34D85"/>
    <w:rsid w:val="00E35080"/>
    <w:rsid w:val="00E36563"/>
    <w:rsid w:val="00E366BD"/>
    <w:rsid w:val="00E366EA"/>
    <w:rsid w:val="00E36CEA"/>
    <w:rsid w:val="00E37460"/>
    <w:rsid w:val="00E3757F"/>
    <w:rsid w:val="00E37AE8"/>
    <w:rsid w:val="00E37AF1"/>
    <w:rsid w:val="00E4011A"/>
    <w:rsid w:val="00E40513"/>
    <w:rsid w:val="00E4051A"/>
    <w:rsid w:val="00E40F29"/>
    <w:rsid w:val="00E40FC1"/>
    <w:rsid w:val="00E412A8"/>
    <w:rsid w:val="00E43271"/>
    <w:rsid w:val="00E45657"/>
    <w:rsid w:val="00E45682"/>
    <w:rsid w:val="00E45E65"/>
    <w:rsid w:val="00E46751"/>
    <w:rsid w:val="00E471AD"/>
    <w:rsid w:val="00E477F6"/>
    <w:rsid w:val="00E50906"/>
    <w:rsid w:val="00E51431"/>
    <w:rsid w:val="00E51753"/>
    <w:rsid w:val="00E517AF"/>
    <w:rsid w:val="00E5243F"/>
    <w:rsid w:val="00E52505"/>
    <w:rsid w:val="00E5318A"/>
    <w:rsid w:val="00E533C4"/>
    <w:rsid w:val="00E53891"/>
    <w:rsid w:val="00E552C8"/>
    <w:rsid w:val="00E5627A"/>
    <w:rsid w:val="00E56547"/>
    <w:rsid w:val="00E57EA1"/>
    <w:rsid w:val="00E60D59"/>
    <w:rsid w:val="00E62628"/>
    <w:rsid w:val="00E62887"/>
    <w:rsid w:val="00E634DA"/>
    <w:rsid w:val="00E63916"/>
    <w:rsid w:val="00E63976"/>
    <w:rsid w:val="00E647D1"/>
    <w:rsid w:val="00E6558C"/>
    <w:rsid w:val="00E655E8"/>
    <w:rsid w:val="00E65E21"/>
    <w:rsid w:val="00E6620B"/>
    <w:rsid w:val="00E701DC"/>
    <w:rsid w:val="00E70C39"/>
    <w:rsid w:val="00E71783"/>
    <w:rsid w:val="00E71872"/>
    <w:rsid w:val="00E71931"/>
    <w:rsid w:val="00E71D9F"/>
    <w:rsid w:val="00E721A9"/>
    <w:rsid w:val="00E72867"/>
    <w:rsid w:val="00E738B5"/>
    <w:rsid w:val="00E74488"/>
    <w:rsid w:val="00E744AB"/>
    <w:rsid w:val="00E750A8"/>
    <w:rsid w:val="00E750BB"/>
    <w:rsid w:val="00E764C9"/>
    <w:rsid w:val="00E76E1D"/>
    <w:rsid w:val="00E770A9"/>
    <w:rsid w:val="00E814CF"/>
    <w:rsid w:val="00E815FF"/>
    <w:rsid w:val="00E81E27"/>
    <w:rsid w:val="00E8213E"/>
    <w:rsid w:val="00E82261"/>
    <w:rsid w:val="00E82A90"/>
    <w:rsid w:val="00E82BFC"/>
    <w:rsid w:val="00E83893"/>
    <w:rsid w:val="00E83979"/>
    <w:rsid w:val="00E83CE0"/>
    <w:rsid w:val="00E85F88"/>
    <w:rsid w:val="00E86368"/>
    <w:rsid w:val="00E86BAC"/>
    <w:rsid w:val="00E8712C"/>
    <w:rsid w:val="00E87198"/>
    <w:rsid w:val="00E8783E"/>
    <w:rsid w:val="00E87C9C"/>
    <w:rsid w:val="00E9025D"/>
    <w:rsid w:val="00E91AE2"/>
    <w:rsid w:val="00E91AF7"/>
    <w:rsid w:val="00E9260E"/>
    <w:rsid w:val="00E9298D"/>
    <w:rsid w:val="00E94755"/>
    <w:rsid w:val="00E94BF9"/>
    <w:rsid w:val="00E95E57"/>
    <w:rsid w:val="00E96D28"/>
    <w:rsid w:val="00E97A50"/>
    <w:rsid w:val="00E97D76"/>
    <w:rsid w:val="00E97DA3"/>
    <w:rsid w:val="00EA0078"/>
    <w:rsid w:val="00EA01E6"/>
    <w:rsid w:val="00EA0CDD"/>
    <w:rsid w:val="00EA159C"/>
    <w:rsid w:val="00EA17A3"/>
    <w:rsid w:val="00EA1F32"/>
    <w:rsid w:val="00EA3967"/>
    <w:rsid w:val="00EA4D33"/>
    <w:rsid w:val="00EA50DD"/>
    <w:rsid w:val="00EA5319"/>
    <w:rsid w:val="00EA5B64"/>
    <w:rsid w:val="00EA6B70"/>
    <w:rsid w:val="00EA6C16"/>
    <w:rsid w:val="00EA7E53"/>
    <w:rsid w:val="00EB1E66"/>
    <w:rsid w:val="00EB2412"/>
    <w:rsid w:val="00EB2829"/>
    <w:rsid w:val="00EB351E"/>
    <w:rsid w:val="00EB38E4"/>
    <w:rsid w:val="00EB42E7"/>
    <w:rsid w:val="00EB4B19"/>
    <w:rsid w:val="00EB5321"/>
    <w:rsid w:val="00EB5C98"/>
    <w:rsid w:val="00EB6563"/>
    <w:rsid w:val="00EB6972"/>
    <w:rsid w:val="00EC0A75"/>
    <w:rsid w:val="00EC0AA7"/>
    <w:rsid w:val="00EC179A"/>
    <w:rsid w:val="00EC2BC9"/>
    <w:rsid w:val="00EC3340"/>
    <w:rsid w:val="00EC37A8"/>
    <w:rsid w:val="00EC4581"/>
    <w:rsid w:val="00EC524B"/>
    <w:rsid w:val="00EC5EF6"/>
    <w:rsid w:val="00EC616E"/>
    <w:rsid w:val="00EC6E6D"/>
    <w:rsid w:val="00EC70A9"/>
    <w:rsid w:val="00EC750A"/>
    <w:rsid w:val="00EC77B9"/>
    <w:rsid w:val="00EC7C3E"/>
    <w:rsid w:val="00EC7C97"/>
    <w:rsid w:val="00EC7DE4"/>
    <w:rsid w:val="00ED001F"/>
    <w:rsid w:val="00ED056A"/>
    <w:rsid w:val="00ED0A77"/>
    <w:rsid w:val="00ED1112"/>
    <w:rsid w:val="00ED14C9"/>
    <w:rsid w:val="00ED2223"/>
    <w:rsid w:val="00ED38AF"/>
    <w:rsid w:val="00ED3A16"/>
    <w:rsid w:val="00ED4109"/>
    <w:rsid w:val="00ED434B"/>
    <w:rsid w:val="00ED65BF"/>
    <w:rsid w:val="00ED7A23"/>
    <w:rsid w:val="00EE0571"/>
    <w:rsid w:val="00EE113F"/>
    <w:rsid w:val="00EE11C7"/>
    <w:rsid w:val="00EE1413"/>
    <w:rsid w:val="00EE145B"/>
    <w:rsid w:val="00EE1933"/>
    <w:rsid w:val="00EE19C3"/>
    <w:rsid w:val="00EE1F45"/>
    <w:rsid w:val="00EE1FAA"/>
    <w:rsid w:val="00EE229F"/>
    <w:rsid w:val="00EE2B63"/>
    <w:rsid w:val="00EE3605"/>
    <w:rsid w:val="00EE4EBE"/>
    <w:rsid w:val="00EE51FD"/>
    <w:rsid w:val="00EE6176"/>
    <w:rsid w:val="00EE692E"/>
    <w:rsid w:val="00EE6EFA"/>
    <w:rsid w:val="00EE77B1"/>
    <w:rsid w:val="00EE7848"/>
    <w:rsid w:val="00EE7A30"/>
    <w:rsid w:val="00EF0CEC"/>
    <w:rsid w:val="00EF35F5"/>
    <w:rsid w:val="00EF46CE"/>
    <w:rsid w:val="00EF5854"/>
    <w:rsid w:val="00EF5A02"/>
    <w:rsid w:val="00EF5AD4"/>
    <w:rsid w:val="00EF5ED6"/>
    <w:rsid w:val="00F00481"/>
    <w:rsid w:val="00F0051C"/>
    <w:rsid w:val="00F014D5"/>
    <w:rsid w:val="00F022D5"/>
    <w:rsid w:val="00F02D2E"/>
    <w:rsid w:val="00F030F9"/>
    <w:rsid w:val="00F03F10"/>
    <w:rsid w:val="00F03FCC"/>
    <w:rsid w:val="00F04648"/>
    <w:rsid w:val="00F05EEA"/>
    <w:rsid w:val="00F05F9A"/>
    <w:rsid w:val="00F069F6"/>
    <w:rsid w:val="00F06B3A"/>
    <w:rsid w:val="00F0738D"/>
    <w:rsid w:val="00F07FF0"/>
    <w:rsid w:val="00F10962"/>
    <w:rsid w:val="00F10CE5"/>
    <w:rsid w:val="00F1146E"/>
    <w:rsid w:val="00F1251A"/>
    <w:rsid w:val="00F12CD7"/>
    <w:rsid w:val="00F1322D"/>
    <w:rsid w:val="00F141C3"/>
    <w:rsid w:val="00F14798"/>
    <w:rsid w:val="00F14C5A"/>
    <w:rsid w:val="00F15AF6"/>
    <w:rsid w:val="00F15C36"/>
    <w:rsid w:val="00F15C7F"/>
    <w:rsid w:val="00F169F1"/>
    <w:rsid w:val="00F17C35"/>
    <w:rsid w:val="00F20109"/>
    <w:rsid w:val="00F20B56"/>
    <w:rsid w:val="00F20C57"/>
    <w:rsid w:val="00F21395"/>
    <w:rsid w:val="00F213D2"/>
    <w:rsid w:val="00F217AE"/>
    <w:rsid w:val="00F218DB"/>
    <w:rsid w:val="00F22A79"/>
    <w:rsid w:val="00F22BB0"/>
    <w:rsid w:val="00F236C0"/>
    <w:rsid w:val="00F23853"/>
    <w:rsid w:val="00F245B5"/>
    <w:rsid w:val="00F2490E"/>
    <w:rsid w:val="00F24B34"/>
    <w:rsid w:val="00F2591C"/>
    <w:rsid w:val="00F2685D"/>
    <w:rsid w:val="00F27165"/>
    <w:rsid w:val="00F2761C"/>
    <w:rsid w:val="00F27814"/>
    <w:rsid w:val="00F27C3B"/>
    <w:rsid w:val="00F30700"/>
    <w:rsid w:val="00F3149A"/>
    <w:rsid w:val="00F32B2C"/>
    <w:rsid w:val="00F32C43"/>
    <w:rsid w:val="00F34DDB"/>
    <w:rsid w:val="00F36954"/>
    <w:rsid w:val="00F37070"/>
    <w:rsid w:val="00F37F2B"/>
    <w:rsid w:val="00F40B0E"/>
    <w:rsid w:val="00F40DDD"/>
    <w:rsid w:val="00F41EBC"/>
    <w:rsid w:val="00F42B0A"/>
    <w:rsid w:val="00F42DFC"/>
    <w:rsid w:val="00F46122"/>
    <w:rsid w:val="00F471C1"/>
    <w:rsid w:val="00F47B86"/>
    <w:rsid w:val="00F50180"/>
    <w:rsid w:val="00F50B28"/>
    <w:rsid w:val="00F51253"/>
    <w:rsid w:val="00F51403"/>
    <w:rsid w:val="00F51607"/>
    <w:rsid w:val="00F51D52"/>
    <w:rsid w:val="00F51F5D"/>
    <w:rsid w:val="00F54B41"/>
    <w:rsid w:val="00F54E8A"/>
    <w:rsid w:val="00F54F1E"/>
    <w:rsid w:val="00F550EC"/>
    <w:rsid w:val="00F574E7"/>
    <w:rsid w:val="00F5767D"/>
    <w:rsid w:val="00F57943"/>
    <w:rsid w:val="00F57ABD"/>
    <w:rsid w:val="00F60352"/>
    <w:rsid w:val="00F61008"/>
    <w:rsid w:val="00F61033"/>
    <w:rsid w:val="00F61401"/>
    <w:rsid w:val="00F615F7"/>
    <w:rsid w:val="00F6189D"/>
    <w:rsid w:val="00F61C3E"/>
    <w:rsid w:val="00F62906"/>
    <w:rsid w:val="00F63559"/>
    <w:rsid w:val="00F649BF"/>
    <w:rsid w:val="00F662A1"/>
    <w:rsid w:val="00F6650B"/>
    <w:rsid w:val="00F665B3"/>
    <w:rsid w:val="00F665E8"/>
    <w:rsid w:val="00F66ABF"/>
    <w:rsid w:val="00F67073"/>
    <w:rsid w:val="00F67229"/>
    <w:rsid w:val="00F6789C"/>
    <w:rsid w:val="00F70425"/>
    <w:rsid w:val="00F70A5A"/>
    <w:rsid w:val="00F711F2"/>
    <w:rsid w:val="00F7147D"/>
    <w:rsid w:val="00F7193F"/>
    <w:rsid w:val="00F7350A"/>
    <w:rsid w:val="00F73B62"/>
    <w:rsid w:val="00F73E30"/>
    <w:rsid w:val="00F74CF8"/>
    <w:rsid w:val="00F74DFD"/>
    <w:rsid w:val="00F750DE"/>
    <w:rsid w:val="00F75C0E"/>
    <w:rsid w:val="00F7648F"/>
    <w:rsid w:val="00F77046"/>
    <w:rsid w:val="00F774E6"/>
    <w:rsid w:val="00F8138D"/>
    <w:rsid w:val="00F82F06"/>
    <w:rsid w:val="00F82F1D"/>
    <w:rsid w:val="00F83E49"/>
    <w:rsid w:val="00F83F5C"/>
    <w:rsid w:val="00F83F7E"/>
    <w:rsid w:val="00F84811"/>
    <w:rsid w:val="00F84B2E"/>
    <w:rsid w:val="00F850B0"/>
    <w:rsid w:val="00F8585C"/>
    <w:rsid w:val="00F86BDC"/>
    <w:rsid w:val="00F86D16"/>
    <w:rsid w:val="00F87633"/>
    <w:rsid w:val="00F877FA"/>
    <w:rsid w:val="00F87F68"/>
    <w:rsid w:val="00F90AED"/>
    <w:rsid w:val="00F91050"/>
    <w:rsid w:val="00F91A2A"/>
    <w:rsid w:val="00F9369F"/>
    <w:rsid w:val="00F937CD"/>
    <w:rsid w:val="00F93999"/>
    <w:rsid w:val="00F93B18"/>
    <w:rsid w:val="00F94551"/>
    <w:rsid w:val="00F9568D"/>
    <w:rsid w:val="00F9691A"/>
    <w:rsid w:val="00F97484"/>
    <w:rsid w:val="00FA0447"/>
    <w:rsid w:val="00FA04B0"/>
    <w:rsid w:val="00FA095D"/>
    <w:rsid w:val="00FA0E81"/>
    <w:rsid w:val="00FA226A"/>
    <w:rsid w:val="00FA22F8"/>
    <w:rsid w:val="00FA2DBB"/>
    <w:rsid w:val="00FA3062"/>
    <w:rsid w:val="00FA3BB8"/>
    <w:rsid w:val="00FA3BD0"/>
    <w:rsid w:val="00FA3FC8"/>
    <w:rsid w:val="00FA44CE"/>
    <w:rsid w:val="00FA6E46"/>
    <w:rsid w:val="00FB0269"/>
    <w:rsid w:val="00FB17D9"/>
    <w:rsid w:val="00FB212E"/>
    <w:rsid w:val="00FB2B49"/>
    <w:rsid w:val="00FB324F"/>
    <w:rsid w:val="00FB3614"/>
    <w:rsid w:val="00FB4672"/>
    <w:rsid w:val="00FB4BE8"/>
    <w:rsid w:val="00FB4EF8"/>
    <w:rsid w:val="00FB5E35"/>
    <w:rsid w:val="00FB6842"/>
    <w:rsid w:val="00FB6944"/>
    <w:rsid w:val="00FB719E"/>
    <w:rsid w:val="00FC00BE"/>
    <w:rsid w:val="00FC10B1"/>
    <w:rsid w:val="00FC13AB"/>
    <w:rsid w:val="00FC1547"/>
    <w:rsid w:val="00FC1734"/>
    <w:rsid w:val="00FC2B4E"/>
    <w:rsid w:val="00FC2BCD"/>
    <w:rsid w:val="00FC2DE3"/>
    <w:rsid w:val="00FC3591"/>
    <w:rsid w:val="00FC4682"/>
    <w:rsid w:val="00FC4691"/>
    <w:rsid w:val="00FC4E96"/>
    <w:rsid w:val="00FC52BC"/>
    <w:rsid w:val="00FC6411"/>
    <w:rsid w:val="00FC6B64"/>
    <w:rsid w:val="00FC772B"/>
    <w:rsid w:val="00FC7BA9"/>
    <w:rsid w:val="00FC7EA5"/>
    <w:rsid w:val="00FD0089"/>
    <w:rsid w:val="00FD06F4"/>
    <w:rsid w:val="00FD0B34"/>
    <w:rsid w:val="00FD1695"/>
    <w:rsid w:val="00FD1BFE"/>
    <w:rsid w:val="00FD1FEF"/>
    <w:rsid w:val="00FD24C7"/>
    <w:rsid w:val="00FD2E1F"/>
    <w:rsid w:val="00FD441B"/>
    <w:rsid w:val="00FD464C"/>
    <w:rsid w:val="00FD4ACB"/>
    <w:rsid w:val="00FD4C2A"/>
    <w:rsid w:val="00FD4F07"/>
    <w:rsid w:val="00FD6B1D"/>
    <w:rsid w:val="00FD7572"/>
    <w:rsid w:val="00FE1CDA"/>
    <w:rsid w:val="00FE22D9"/>
    <w:rsid w:val="00FE260C"/>
    <w:rsid w:val="00FE4338"/>
    <w:rsid w:val="00FE56E9"/>
    <w:rsid w:val="00FE5B0A"/>
    <w:rsid w:val="00FE5B11"/>
    <w:rsid w:val="00FE6530"/>
    <w:rsid w:val="00FE740C"/>
    <w:rsid w:val="00FE7815"/>
    <w:rsid w:val="00FE7AAE"/>
    <w:rsid w:val="00FF025A"/>
    <w:rsid w:val="00FF0BD2"/>
    <w:rsid w:val="00FF0C49"/>
    <w:rsid w:val="00FF0F4E"/>
    <w:rsid w:val="00FF15DC"/>
    <w:rsid w:val="00FF1E08"/>
    <w:rsid w:val="00FF23C8"/>
    <w:rsid w:val="00FF2519"/>
    <w:rsid w:val="00FF2802"/>
    <w:rsid w:val="00FF2845"/>
    <w:rsid w:val="00FF3031"/>
    <w:rsid w:val="00FF34E6"/>
    <w:rsid w:val="00FF5325"/>
    <w:rsid w:val="00FF58B0"/>
    <w:rsid w:val="00FF6BF7"/>
    <w:rsid w:val="00FF7ADB"/>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3E5549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1431"/>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autoRedefine/>
    <w:qFormat/>
    <w:rsid w:val="002D5B43"/>
    <w:pPr>
      <w:keepNext/>
      <w:numPr>
        <w:numId w:val="13"/>
      </w:numPr>
      <w:spacing w:after="240" w:line="240" w:lineRule="auto"/>
      <w:outlineLvl w:val="0"/>
    </w:pPr>
    <w:rPr>
      <w:rFonts w:asciiTheme="majorHAnsi" w:eastAsiaTheme="majorEastAsia" w:hAnsiTheme="majorHAnsi" w:cstheme="majorBidi"/>
      <w:b/>
      <w:bCs/>
      <w:color w:val="E18409" w:themeColor="text2"/>
      <w:sz w:val="40"/>
      <w:szCs w:val="40"/>
    </w:rPr>
  </w:style>
  <w:style w:type="paragraph" w:styleId="Heading2">
    <w:name w:val="heading 2"/>
    <w:basedOn w:val="Normal"/>
    <w:next w:val="Normal"/>
    <w:link w:val="Heading2Char"/>
    <w:autoRedefine/>
    <w:unhideWhenUsed/>
    <w:qFormat/>
    <w:rsid w:val="002D5B43"/>
    <w:pPr>
      <w:keepNext/>
      <w:numPr>
        <w:ilvl w:val="1"/>
        <w:numId w:val="13"/>
      </w:numPr>
      <w:spacing w:after="240" w:line="240" w:lineRule="auto"/>
      <w:outlineLvl w:val="1"/>
    </w:pPr>
    <w:rPr>
      <w:rFonts w:asciiTheme="majorHAnsi" w:eastAsiaTheme="majorEastAsia" w:hAnsiTheme="majorHAnsi" w:cstheme="majorBidi"/>
      <w:b/>
      <w:bCs/>
      <w:color w:val="E18409" w:themeColor="text2"/>
      <w:sz w:val="24"/>
      <w:szCs w:val="24"/>
    </w:rPr>
  </w:style>
  <w:style w:type="paragraph" w:styleId="Heading3">
    <w:name w:val="heading 3"/>
    <w:basedOn w:val="Heading2"/>
    <w:next w:val="Normal"/>
    <w:link w:val="Heading3Char"/>
    <w:autoRedefine/>
    <w:unhideWhenUsed/>
    <w:qFormat/>
    <w:rsid w:val="002D5B43"/>
    <w:pPr>
      <w:numPr>
        <w:ilvl w:val="2"/>
      </w:numPr>
      <w:outlineLvl w:val="2"/>
    </w:pPr>
    <w:rPr>
      <w:color w:val="706F6F" w:themeColor="background2"/>
    </w:rPr>
  </w:style>
  <w:style w:type="paragraph" w:styleId="Heading4">
    <w:name w:val="heading 4"/>
    <w:basedOn w:val="ListParagraph"/>
    <w:next w:val="Normal"/>
    <w:rsid w:val="00EA0078"/>
    <w:pPr>
      <w:numPr>
        <w:numId w:val="5"/>
      </w:numPr>
      <w:spacing w:after="120"/>
      <w:ind w:left="567" w:hanging="567"/>
      <w:outlineLvl w:val="3"/>
    </w:pPr>
    <w:rPr>
      <w:rFonts w:ascii="Arial Narrow" w:hAnsi="Arial Narrow" w:cs="Arial"/>
      <w:bCs/>
      <w:color w:val="E18409" w:themeColor="text2"/>
      <w:spacing w:val="16"/>
      <w:kern w:val="32"/>
      <w:sz w:val="21"/>
      <w:szCs w:val="21"/>
    </w:rPr>
  </w:style>
  <w:style w:type="paragraph" w:styleId="Heading5">
    <w:name w:val="heading 5"/>
    <w:aliases w:val="Heading 5 DONT USE"/>
    <w:basedOn w:val="Normal"/>
    <w:next w:val="Normal"/>
    <w:rsid w:val="00572087"/>
    <w:pPr>
      <w:outlineLvl w:val="4"/>
    </w:pPr>
    <w:rPr>
      <w:rFonts w:cstheme="minorHAnsi"/>
      <w:b/>
      <w:color w:val="E18409" w:themeColor="text2"/>
      <w:sz w:val="12"/>
      <w:szCs w:val="12"/>
    </w:rPr>
  </w:style>
  <w:style w:type="paragraph" w:styleId="Heading6">
    <w:name w:val="heading 6"/>
    <w:aliases w:val="Heading 6 DONT USE,DONT USE"/>
    <w:basedOn w:val="Heading5"/>
    <w:next w:val="Normal"/>
    <w:rsid w:val="00E97DA3"/>
    <w:pPr>
      <w:outlineLvl w:val="5"/>
    </w:pPr>
  </w:style>
  <w:style w:type="paragraph" w:styleId="Heading7">
    <w:name w:val="heading 7"/>
    <w:aliases w:val="Heading 7 DONT USE"/>
    <w:basedOn w:val="Heading8"/>
    <w:next w:val="Normal"/>
    <w:rsid w:val="00E97DA3"/>
    <w:pPr>
      <w:outlineLvl w:val="6"/>
    </w:pPr>
  </w:style>
  <w:style w:type="paragraph" w:styleId="Heading8">
    <w:name w:val="heading 8"/>
    <w:aliases w:val="Heading 8 DONT USE"/>
    <w:basedOn w:val="Heading6"/>
    <w:next w:val="Normal"/>
    <w:rsid w:val="00E97DA3"/>
    <w:pPr>
      <w:outlineLvl w:val="7"/>
    </w:pPr>
  </w:style>
  <w:style w:type="paragraph" w:styleId="Heading9">
    <w:name w:val="heading 9"/>
    <w:aliases w:val="Heading 9 DONT USE"/>
    <w:basedOn w:val="Heading7"/>
    <w:next w:val="Normal"/>
    <w:rsid w:val="00E97DA3"/>
    <w:pPr>
      <w:outlineLvl w:val="8"/>
    </w:pPr>
  </w:style>
  <w:style w:type="character" w:default="1" w:styleId="DefaultParagraphFont">
    <w:name w:val="Default Paragraph Font"/>
    <w:uiPriority w:val="1"/>
    <w:semiHidden/>
    <w:unhideWhenUsed/>
    <w:rsid w:val="00E5143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51431"/>
  </w:style>
  <w:style w:type="paragraph" w:styleId="Header">
    <w:name w:val="header"/>
    <w:basedOn w:val="Normal"/>
    <w:link w:val="HeaderChar"/>
    <w:uiPriority w:val="99"/>
    <w:unhideWhenUsed/>
    <w:rsid w:val="002D5B43"/>
    <w:pPr>
      <w:tabs>
        <w:tab w:val="center" w:pos="4513"/>
        <w:tab w:val="right" w:pos="9026"/>
      </w:tabs>
    </w:pPr>
  </w:style>
  <w:style w:type="paragraph" w:customStyle="1" w:styleId="CoverConfidential">
    <w:name w:val="Cover Confidential"/>
    <w:basedOn w:val="Normal"/>
    <w:rsid w:val="00E62887"/>
    <w:rPr>
      <w:color w:val="FFFFFF"/>
      <w:sz w:val="32"/>
      <w:szCs w:val="32"/>
    </w:rPr>
  </w:style>
  <w:style w:type="character" w:customStyle="1" w:styleId="Heading3Char">
    <w:name w:val="Heading 3 Char"/>
    <w:basedOn w:val="DefaultParagraphFont"/>
    <w:link w:val="Heading3"/>
    <w:rsid w:val="002D5B43"/>
    <w:rPr>
      <w:rFonts w:asciiTheme="majorHAnsi" w:eastAsiaTheme="majorEastAsia" w:hAnsiTheme="majorHAnsi" w:cstheme="majorBidi"/>
      <w:b/>
      <w:bCs/>
      <w:color w:val="706F6F" w:themeColor="background2"/>
      <w:sz w:val="24"/>
      <w:szCs w:val="24"/>
      <w:lang w:eastAsia="en-US"/>
    </w:rPr>
  </w:style>
  <w:style w:type="paragraph" w:customStyle="1" w:styleId="CoverDate">
    <w:name w:val="Cover Date"/>
    <w:basedOn w:val="Normal"/>
    <w:rsid w:val="005B3F87"/>
    <w:rPr>
      <w:color w:val="FFFFFF"/>
      <w:sz w:val="24"/>
    </w:rPr>
  </w:style>
  <w:style w:type="paragraph" w:customStyle="1" w:styleId="CoverHeading1">
    <w:name w:val="Cover Heading 1"/>
    <w:basedOn w:val="Normal"/>
    <w:rsid w:val="005F6E93"/>
    <w:pPr>
      <w:ind w:left="142"/>
    </w:pPr>
    <w:rPr>
      <w:color w:val="FFFFFF"/>
      <w:sz w:val="44"/>
      <w:szCs w:val="44"/>
    </w:rPr>
  </w:style>
  <w:style w:type="paragraph" w:customStyle="1" w:styleId="CoverHeading2">
    <w:name w:val="Cover Heading 2"/>
    <w:basedOn w:val="Normal"/>
    <w:rsid w:val="00B931B1"/>
    <w:rPr>
      <w:color w:val="FFFFFF"/>
      <w:sz w:val="28"/>
    </w:rPr>
  </w:style>
  <w:style w:type="paragraph" w:customStyle="1" w:styleId="MiscHeading1">
    <w:name w:val="Misc Heading 1"/>
    <w:basedOn w:val="Normal"/>
    <w:next w:val="Normal"/>
    <w:rsid w:val="00A65F55"/>
    <w:pPr>
      <w:spacing w:before="60" w:after="60"/>
    </w:pPr>
    <w:rPr>
      <w:rFonts w:ascii="Arial Narrow" w:hAnsi="Arial Narrow"/>
      <w:color w:val="E18409" w:themeColor="text2"/>
      <w:spacing w:val="16"/>
      <w:sz w:val="40"/>
      <w:szCs w:val="40"/>
    </w:rPr>
  </w:style>
  <w:style w:type="paragraph" w:customStyle="1" w:styleId="MiscHeading2">
    <w:name w:val="Misc Heading 2"/>
    <w:basedOn w:val="Normal"/>
    <w:next w:val="Normal"/>
    <w:rsid w:val="005C5A84"/>
    <w:pPr>
      <w:spacing w:before="60" w:after="60"/>
    </w:pPr>
    <w:rPr>
      <w:rFonts w:ascii="Arial Narrow" w:hAnsi="Arial Narrow"/>
      <w:color w:val="E18409" w:themeColor="text2"/>
      <w:spacing w:val="16"/>
      <w:sz w:val="28"/>
    </w:rPr>
  </w:style>
  <w:style w:type="paragraph" w:styleId="Footer">
    <w:name w:val="footer"/>
    <w:basedOn w:val="Normal"/>
    <w:link w:val="FooterChar"/>
    <w:uiPriority w:val="99"/>
    <w:unhideWhenUsed/>
    <w:rsid w:val="002D5B43"/>
    <w:pPr>
      <w:tabs>
        <w:tab w:val="right" w:pos="10915"/>
      </w:tabs>
    </w:pPr>
    <w:rPr>
      <w:b/>
      <w:bCs/>
      <w:color w:val="706F6F" w:themeColor="background2"/>
      <w:sz w:val="18"/>
      <w:szCs w:val="18"/>
    </w:rPr>
  </w:style>
  <w:style w:type="table" w:styleId="TableGrid">
    <w:name w:val="Table Grid"/>
    <w:basedOn w:val="TableNormal"/>
    <w:uiPriority w:val="59"/>
    <w:rsid w:val="002D5B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 1"/>
    <w:basedOn w:val="Normal"/>
    <w:next w:val="Normal"/>
    <w:autoRedefine/>
    <w:qFormat/>
    <w:rsid w:val="008540A6"/>
    <w:pPr>
      <w:spacing w:before="120" w:after="120"/>
    </w:pPr>
    <w:rPr>
      <w:rFonts w:eastAsia="Times" w:cs="Arial"/>
      <w:b/>
      <w:bCs/>
      <w:color w:val="FFFFFF"/>
    </w:rPr>
  </w:style>
  <w:style w:type="paragraph" w:customStyle="1" w:styleId="TableContentsBlack">
    <w:name w:val="Table Contents Black"/>
    <w:basedOn w:val="Normal"/>
    <w:link w:val="TableContentsBlackChar"/>
    <w:qFormat/>
    <w:rsid w:val="00A52438"/>
    <w:pPr>
      <w:spacing w:before="60" w:after="60"/>
    </w:pPr>
    <w:rPr>
      <w:rFonts w:cs="Arial"/>
      <w:color w:val="000000" w:themeColor="text1"/>
      <w:sz w:val="16"/>
      <w:szCs w:val="19"/>
    </w:rPr>
  </w:style>
  <w:style w:type="paragraph" w:customStyle="1" w:styleId="ListaBlueBlack">
    <w:name w:val="List (a) Blue/Black"/>
    <w:basedOn w:val="Normal"/>
    <w:autoRedefine/>
    <w:qFormat/>
    <w:rsid w:val="00983BBC"/>
    <w:pPr>
      <w:numPr>
        <w:numId w:val="7"/>
      </w:numPr>
      <w:spacing w:before="60" w:after="60"/>
    </w:pPr>
  </w:style>
  <w:style w:type="character" w:styleId="Hyperlink">
    <w:name w:val="Hyperlink"/>
    <w:basedOn w:val="DefaultParagraphFont"/>
    <w:uiPriority w:val="99"/>
    <w:unhideWhenUsed/>
    <w:rsid w:val="002D5B43"/>
    <w:rPr>
      <w:color w:val="E18409" w:themeColor="hyperlink"/>
      <w:u w:val="single"/>
    </w:rPr>
  </w:style>
  <w:style w:type="character" w:styleId="PageNumber">
    <w:name w:val="page number"/>
    <w:rsid w:val="00EB1E66"/>
    <w:rPr>
      <w:rFonts w:ascii="Arial" w:hAnsi="Arial"/>
      <w:noProof/>
      <w:color w:val="E18409" w:themeColor="text2"/>
      <w:sz w:val="18"/>
    </w:rPr>
  </w:style>
  <w:style w:type="paragraph" w:customStyle="1" w:styleId="AttachmentCover1">
    <w:name w:val="Attachment Cover 1"/>
    <w:basedOn w:val="AttachmentCover2"/>
    <w:rsid w:val="0085700F"/>
    <w:rPr>
      <w:sz w:val="52"/>
    </w:rPr>
  </w:style>
  <w:style w:type="paragraph" w:customStyle="1" w:styleId="AttachmentCover2">
    <w:name w:val="Attachment Cover 2"/>
    <w:basedOn w:val="Normal"/>
    <w:next w:val="Normal"/>
    <w:rsid w:val="0058328B"/>
    <w:rPr>
      <w:color w:val="FFFFFF"/>
      <w:sz w:val="28"/>
      <w:szCs w:val="28"/>
    </w:rPr>
  </w:style>
  <w:style w:type="paragraph" w:styleId="TOC1">
    <w:name w:val="toc 1"/>
    <w:basedOn w:val="Normal"/>
    <w:next w:val="Normal"/>
    <w:autoRedefine/>
    <w:uiPriority w:val="39"/>
    <w:unhideWhenUsed/>
    <w:rsid w:val="002D5B43"/>
    <w:pPr>
      <w:pBdr>
        <w:between w:val="single" w:sz="4" w:space="1" w:color="E18409" w:themeColor="text2"/>
      </w:pBdr>
      <w:tabs>
        <w:tab w:val="left" w:pos="440"/>
        <w:tab w:val="right" w:pos="10541"/>
      </w:tabs>
      <w:spacing w:before="400" w:after="200"/>
    </w:pPr>
    <w:rPr>
      <w:b/>
      <w:bCs/>
      <w:noProof/>
      <w:color w:val="706F6F" w:themeColor="background2"/>
      <w:sz w:val="24"/>
      <w:szCs w:val="24"/>
    </w:rPr>
  </w:style>
  <w:style w:type="paragraph" w:styleId="NormalIndent">
    <w:name w:val="Normal Indent"/>
    <w:basedOn w:val="Normal"/>
    <w:autoRedefine/>
    <w:rsid w:val="00FC52BC"/>
    <w:pPr>
      <w:ind w:left="567"/>
    </w:pPr>
  </w:style>
  <w:style w:type="paragraph" w:customStyle="1" w:styleId="ListiBlueBlack">
    <w:name w:val="List (i) Blue/Black"/>
    <w:basedOn w:val="Normal"/>
    <w:autoRedefine/>
    <w:qFormat/>
    <w:rsid w:val="00345CF5"/>
    <w:pPr>
      <w:numPr>
        <w:numId w:val="11"/>
      </w:numPr>
    </w:pPr>
  </w:style>
  <w:style w:type="paragraph" w:customStyle="1" w:styleId="NumberedNotes">
    <w:name w:val="Numbered Notes"/>
    <w:basedOn w:val="Normal"/>
    <w:next w:val="Normal"/>
    <w:rsid w:val="00535156"/>
    <w:pPr>
      <w:numPr>
        <w:numId w:val="3"/>
      </w:numPr>
      <w:spacing w:before="40" w:after="40"/>
    </w:pPr>
    <w:rPr>
      <w:color w:val="000000" w:themeColor="text1"/>
      <w:sz w:val="16"/>
      <w:szCs w:val="16"/>
    </w:rPr>
  </w:style>
  <w:style w:type="paragraph" w:customStyle="1" w:styleId="TableHeading2">
    <w:name w:val="Table Heading 2"/>
    <w:basedOn w:val="Normal"/>
    <w:qFormat/>
    <w:rsid w:val="005737FF"/>
    <w:pPr>
      <w:tabs>
        <w:tab w:val="left" w:pos="4150"/>
      </w:tabs>
      <w:spacing w:before="120" w:after="120"/>
    </w:pPr>
    <w:rPr>
      <w:rFonts w:cs="Arial"/>
      <w:b/>
      <w:bCs/>
      <w:color w:val="0079C1"/>
      <w:sz w:val="18"/>
    </w:rPr>
  </w:style>
  <w:style w:type="paragraph" w:customStyle="1" w:styleId="Disclaimer">
    <w:name w:val="Disclaimer"/>
    <w:basedOn w:val="Normal"/>
    <w:rsid w:val="00E83CE0"/>
    <w:rPr>
      <w:color w:val="999999"/>
      <w:sz w:val="18"/>
    </w:rPr>
  </w:style>
  <w:style w:type="paragraph" w:customStyle="1" w:styleId="DisclaimerText">
    <w:name w:val="Disclaimer Text"/>
    <w:basedOn w:val="Normal"/>
    <w:rsid w:val="00E83CE0"/>
    <w:rPr>
      <w:rFonts w:ascii="Arial Narrow" w:hAnsi="Arial Narrow"/>
      <w:color w:val="999999"/>
      <w:sz w:val="18"/>
      <w:szCs w:val="18"/>
    </w:rPr>
  </w:style>
  <w:style w:type="paragraph" w:customStyle="1" w:styleId="ChantWest">
    <w:name w:val="Chant West"/>
    <w:basedOn w:val="Normal"/>
    <w:rsid w:val="000678EA"/>
    <w:rPr>
      <w:rFonts w:ascii="Arial Narrow" w:hAnsi="Arial Narrow"/>
      <w:color w:val="E18409" w:themeColor="text2"/>
      <w:sz w:val="28"/>
      <w:szCs w:val="28"/>
    </w:rPr>
  </w:style>
  <w:style w:type="paragraph" w:customStyle="1" w:styleId="AttachmentHeading1">
    <w:name w:val="Attachment Heading 1"/>
    <w:basedOn w:val="Normal"/>
    <w:next w:val="Normal"/>
    <w:autoRedefine/>
    <w:qFormat/>
    <w:rsid w:val="00345CF5"/>
    <w:pPr>
      <w:numPr>
        <w:numId w:val="4"/>
      </w:numPr>
      <w:spacing w:after="120"/>
    </w:pPr>
    <w:rPr>
      <w:rFonts w:ascii="Arial Narrow" w:hAnsi="Arial Narrow"/>
      <w:b/>
      <w:color w:val="E18409" w:themeColor="text2"/>
      <w:spacing w:val="16"/>
      <w:kern w:val="32"/>
      <w:sz w:val="27"/>
    </w:rPr>
  </w:style>
  <w:style w:type="paragraph" w:customStyle="1" w:styleId="AttachmentHeading2">
    <w:name w:val="Attachment Heading 2"/>
    <w:basedOn w:val="Normal"/>
    <w:next w:val="Normal"/>
    <w:rsid w:val="008C0F1C"/>
    <w:pPr>
      <w:numPr>
        <w:ilvl w:val="1"/>
        <w:numId w:val="4"/>
      </w:numPr>
      <w:spacing w:after="120"/>
    </w:pPr>
    <w:rPr>
      <w:rFonts w:ascii="Arial Narrow" w:hAnsi="Arial Narrow"/>
      <w:color w:val="E18409" w:themeColor="text2"/>
      <w:spacing w:val="6"/>
      <w:sz w:val="23"/>
    </w:rPr>
  </w:style>
  <w:style w:type="paragraph" w:customStyle="1" w:styleId="AttachmentHeading3">
    <w:name w:val="Attachment Heading 3"/>
    <w:basedOn w:val="Normal"/>
    <w:next w:val="Normal"/>
    <w:rsid w:val="008C0F1C"/>
    <w:pPr>
      <w:numPr>
        <w:ilvl w:val="2"/>
        <w:numId w:val="4"/>
      </w:numPr>
      <w:spacing w:after="120"/>
    </w:pPr>
    <w:rPr>
      <w:rFonts w:ascii="Arial Narrow" w:hAnsi="Arial Narrow"/>
      <w:color w:val="E18409" w:themeColor="text2"/>
      <w:spacing w:val="6"/>
      <w:sz w:val="21"/>
    </w:rPr>
  </w:style>
  <w:style w:type="paragraph" w:customStyle="1" w:styleId="Company">
    <w:name w:val="Company"/>
    <w:basedOn w:val="Normal"/>
    <w:next w:val="Normal"/>
    <w:rsid w:val="00EB1E66"/>
    <w:rPr>
      <w:rFonts w:ascii="Arial Narrow" w:hAnsi="Arial Narrow"/>
      <w:color w:val="E18409" w:themeColor="text2"/>
      <w:spacing w:val="16"/>
      <w:sz w:val="48"/>
    </w:rPr>
  </w:style>
  <w:style w:type="paragraph" w:styleId="Date">
    <w:name w:val="Date"/>
    <w:basedOn w:val="Normal"/>
    <w:next w:val="Normal"/>
    <w:link w:val="DateChar"/>
    <w:rsid w:val="00E057D2"/>
    <w:rPr>
      <w:rFonts w:ascii="Arial Narrow" w:hAnsi="Arial Narrow"/>
      <w:color w:val="999999"/>
      <w:spacing w:val="6"/>
      <w:sz w:val="27"/>
      <w:szCs w:val="27"/>
    </w:rPr>
  </w:style>
  <w:style w:type="paragraph" w:customStyle="1" w:styleId="BulletBlueText">
    <w:name w:val="Bullet Blue Text"/>
    <w:basedOn w:val="Normal"/>
    <w:qFormat/>
    <w:rsid w:val="0070326B"/>
    <w:pPr>
      <w:spacing w:after="100"/>
    </w:pPr>
    <w:rPr>
      <w:color w:val="E18409" w:themeColor="text2"/>
    </w:rPr>
  </w:style>
  <w:style w:type="paragraph" w:customStyle="1" w:styleId="TableBullet2Dash">
    <w:name w:val="Table Bullet 2  Dash"/>
    <w:basedOn w:val="Normal"/>
    <w:qFormat/>
    <w:rsid w:val="00C3241E"/>
    <w:pPr>
      <w:numPr>
        <w:ilvl w:val="1"/>
        <w:numId w:val="9"/>
      </w:numPr>
      <w:spacing w:before="60" w:after="60"/>
    </w:pPr>
    <w:rPr>
      <w:sz w:val="16"/>
    </w:rPr>
  </w:style>
  <w:style w:type="paragraph" w:customStyle="1" w:styleId="TableTotal">
    <w:name w:val="Table Total"/>
    <w:basedOn w:val="TableTotalRight"/>
    <w:qFormat/>
    <w:rsid w:val="00D36284"/>
    <w:pPr>
      <w:jc w:val="left"/>
    </w:pPr>
  </w:style>
  <w:style w:type="character" w:customStyle="1" w:styleId="DateChar">
    <w:name w:val="Date Char"/>
    <w:link w:val="Date"/>
    <w:rsid w:val="00E057D2"/>
    <w:rPr>
      <w:rFonts w:ascii="Arial Narrow" w:hAnsi="Arial Narrow"/>
      <w:color w:val="999999"/>
      <w:spacing w:val="6"/>
      <w:kern w:val="28"/>
      <w:sz w:val="27"/>
      <w:szCs w:val="27"/>
      <w:lang w:eastAsia="en-US"/>
    </w:rPr>
  </w:style>
  <w:style w:type="paragraph" w:customStyle="1" w:styleId="Mischeading4">
    <w:name w:val="Misc heading 4"/>
    <w:basedOn w:val="Heading3"/>
    <w:rsid w:val="009130DE"/>
    <w:pPr>
      <w:numPr>
        <w:ilvl w:val="0"/>
        <w:numId w:val="0"/>
      </w:numPr>
      <w:spacing w:before="60" w:after="60"/>
    </w:pPr>
  </w:style>
  <w:style w:type="character" w:customStyle="1" w:styleId="NormalBlueChar">
    <w:name w:val="Normal Blue Char"/>
    <w:basedOn w:val="DefaultParagraphFont"/>
    <w:link w:val="NormalBlue"/>
    <w:rsid w:val="005B5E28"/>
    <w:rPr>
      <w:rFonts w:ascii="Arial" w:hAnsi="Arial"/>
      <w:color w:val="E18409" w:themeColor="text2"/>
      <w:kern w:val="28"/>
      <w:sz w:val="19"/>
    </w:rPr>
  </w:style>
  <w:style w:type="character" w:customStyle="1" w:styleId="TableContentsBlackChar">
    <w:name w:val="Table Contents Black Char"/>
    <w:link w:val="TableContentsBlack"/>
    <w:rsid w:val="00A52438"/>
    <w:rPr>
      <w:rFonts w:ascii="Arial" w:hAnsi="Arial" w:cs="Arial"/>
      <w:color w:val="000000" w:themeColor="text1"/>
      <w:kern w:val="28"/>
      <w:sz w:val="16"/>
      <w:szCs w:val="19"/>
    </w:rPr>
  </w:style>
  <w:style w:type="character" w:styleId="FollowedHyperlink">
    <w:name w:val="FollowedHyperlink"/>
    <w:basedOn w:val="DefaultParagraphFont"/>
    <w:rsid w:val="00B1011B"/>
    <w:rPr>
      <w:rFonts w:ascii="Arial" w:hAnsi="Arial"/>
      <w:b w:val="0"/>
      <w:color w:val="F8B65F" w:themeColor="text2" w:themeTint="99"/>
      <w:spacing w:val="0"/>
      <w:sz w:val="19"/>
      <w:u w:val="single"/>
    </w:rPr>
  </w:style>
  <w:style w:type="character" w:customStyle="1" w:styleId="Heading2Char">
    <w:name w:val="Heading 2 Char"/>
    <w:basedOn w:val="DefaultParagraphFont"/>
    <w:link w:val="Heading2"/>
    <w:rsid w:val="002D5B43"/>
    <w:rPr>
      <w:rFonts w:asciiTheme="majorHAnsi" w:eastAsiaTheme="majorEastAsia" w:hAnsiTheme="majorHAnsi" w:cstheme="majorBidi"/>
      <w:b/>
      <w:bCs/>
      <w:color w:val="E18409" w:themeColor="text2"/>
      <w:sz w:val="24"/>
      <w:szCs w:val="24"/>
      <w:lang w:eastAsia="en-US"/>
    </w:rPr>
  </w:style>
  <w:style w:type="paragraph" w:customStyle="1" w:styleId="TableBullet1Square">
    <w:name w:val="Table Bullet 1 Square"/>
    <w:basedOn w:val="Normal"/>
    <w:qFormat/>
    <w:rsid w:val="003D5FC6"/>
    <w:pPr>
      <w:numPr>
        <w:numId w:val="9"/>
      </w:numPr>
      <w:spacing w:before="60" w:after="60"/>
    </w:pPr>
    <w:rPr>
      <w:sz w:val="16"/>
    </w:rPr>
  </w:style>
  <w:style w:type="paragraph" w:customStyle="1" w:styleId="MiscHeading3">
    <w:name w:val="Misc Heading 3"/>
    <w:basedOn w:val="Normal"/>
    <w:next w:val="Normal"/>
    <w:qFormat/>
    <w:rsid w:val="009130DE"/>
    <w:pPr>
      <w:spacing w:before="60" w:after="60"/>
    </w:pPr>
    <w:rPr>
      <w:rFonts w:ascii="Arial Narrow" w:hAnsi="Arial Narrow"/>
      <w:b/>
    </w:rPr>
  </w:style>
  <w:style w:type="paragraph" w:customStyle="1" w:styleId="TableHeading3">
    <w:name w:val="Table Heading 3"/>
    <w:basedOn w:val="TableHeading2"/>
    <w:qFormat/>
    <w:rsid w:val="0022160F"/>
    <w:pPr>
      <w:spacing w:before="60" w:after="60"/>
    </w:pPr>
  </w:style>
  <w:style w:type="paragraph" w:customStyle="1" w:styleId="NormalBlue">
    <w:name w:val="Normal Blue"/>
    <w:basedOn w:val="Normal"/>
    <w:next w:val="Normal"/>
    <w:link w:val="NormalBlueChar"/>
    <w:rsid w:val="005B5E28"/>
    <w:rPr>
      <w:color w:val="E18409" w:themeColor="text2"/>
    </w:rPr>
  </w:style>
  <w:style w:type="numbering" w:customStyle="1" w:styleId="NoteNumbered">
    <w:name w:val="Note Numbered"/>
    <w:uiPriority w:val="99"/>
    <w:rsid w:val="008D4849"/>
    <w:pPr>
      <w:numPr>
        <w:numId w:val="1"/>
      </w:numPr>
    </w:pPr>
  </w:style>
  <w:style w:type="paragraph" w:styleId="ListParagraph">
    <w:name w:val="List Paragraph"/>
    <w:basedOn w:val="Normal"/>
    <w:uiPriority w:val="34"/>
    <w:qFormat/>
    <w:rsid w:val="002D5B43"/>
    <w:pPr>
      <w:ind w:left="720"/>
    </w:pPr>
  </w:style>
  <w:style w:type="table" w:customStyle="1" w:styleId="CWTable1TEST">
    <w:name w:val="CW Table 1 TEST"/>
    <w:basedOn w:val="TableNormal"/>
    <w:uiPriority w:val="99"/>
    <w:rsid w:val="00CC1A32"/>
    <w:pPr>
      <w:spacing w:before="60" w:after="60"/>
    </w:pPr>
    <w:rPr>
      <w:rFonts w:ascii="Arial" w:hAnsi="Arial"/>
      <w:color w:val="000000" w:themeColor="text1"/>
      <w:sz w:val="16"/>
    </w:rPr>
    <w:tblPr>
      <w:tblInd w:w="108" w:type="dxa"/>
      <w:tblBorders>
        <w:insideH w:val="single" w:sz="4" w:space="0" w:color="D9D9D9" w:themeColor="background1" w:themeShade="D9"/>
      </w:tblBorders>
    </w:tblPr>
    <w:tcPr>
      <w:shd w:val="clear" w:color="auto" w:fill="auto"/>
    </w:tcPr>
    <w:tblStylePr w:type="firstRow">
      <w:pPr>
        <w:jc w:val="left"/>
      </w:pPr>
      <w:rPr>
        <w:rFonts w:ascii="TPRLB P+ Helvetica Neue" w:hAnsi="TPRLB P+ Helvetica Neue"/>
        <w:b w:val="0"/>
        <w:color w:val="FFFFFF" w:themeColor="background1"/>
        <w:sz w:val="22"/>
      </w:rPr>
      <w:tblPr/>
      <w:tcPr>
        <w:tcBorders>
          <w:top w:val="nil"/>
          <w:left w:val="nil"/>
          <w:bottom w:val="nil"/>
          <w:right w:val="nil"/>
          <w:insideH w:val="nil"/>
          <w:insideV w:val="nil"/>
          <w:tl2br w:val="nil"/>
          <w:tr2bl w:val="nil"/>
        </w:tcBorders>
        <w:shd w:val="clear" w:color="auto" w:fill="40AB35" w:themeFill="accent1"/>
      </w:tcPr>
    </w:tblStylePr>
    <w:tblStylePr w:type="lastRow">
      <w:tblPr/>
      <w:tcPr>
        <w:tcBorders>
          <w:bottom w:val="single" w:sz="4" w:space="0" w:color="E18409" w:themeColor="text2"/>
        </w:tcBorders>
        <w:shd w:val="clear" w:color="auto" w:fill="auto"/>
      </w:tcPr>
    </w:tblStylePr>
  </w:style>
  <w:style w:type="paragraph" w:customStyle="1" w:styleId="Bullet1Square">
    <w:name w:val="Bullet 1 Square"/>
    <w:basedOn w:val="Normal"/>
    <w:qFormat/>
    <w:rsid w:val="003D5FC6"/>
    <w:pPr>
      <w:numPr>
        <w:numId w:val="6"/>
      </w:numPr>
      <w:spacing w:before="60" w:after="60"/>
    </w:pPr>
    <w:rPr>
      <w:color w:val="000000" w:themeColor="text1"/>
    </w:rPr>
  </w:style>
  <w:style w:type="paragraph" w:customStyle="1" w:styleId="BulletIndent1Square">
    <w:name w:val="Bullet Indent 1 Square"/>
    <w:basedOn w:val="Normal"/>
    <w:link w:val="BulletIndent1SquareChar"/>
    <w:autoRedefine/>
    <w:qFormat/>
    <w:rsid w:val="00F57943"/>
    <w:pPr>
      <w:numPr>
        <w:ilvl w:val="2"/>
        <w:numId w:val="6"/>
      </w:numPr>
      <w:spacing w:before="60" w:after="60"/>
    </w:pPr>
  </w:style>
  <w:style w:type="character" w:customStyle="1" w:styleId="BulletIndent1SquareChar">
    <w:name w:val="Bullet Indent 1 Square Char"/>
    <w:link w:val="BulletIndent1Square"/>
    <w:locked/>
    <w:rsid w:val="00F57943"/>
    <w:rPr>
      <w:rFonts w:asciiTheme="minorHAnsi" w:eastAsiaTheme="minorHAnsi" w:hAnsiTheme="minorHAnsi" w:cstheme="minorBidi"/>
      <w:sz w:val="19"/>
      <w:szCs w:val="22"/>
      <w:lang w:eastAsia="en-US"/>
    </w:rPr>
  </w:style>
  <w:style w:type="paragraph" w:customStyle="1" w:styleId="TableGrandTotal">
    <w:name w:val="Table Grand Total"/>
    <w:basedOn w:val="Normal"/>
    <w:next w:val="TableHeading3"/>
    <w:qFormat/>
    <w:rsid w:val="005129D0"/>
    <w:pPr>
      <w:tabs>
        <w:tab w:val="left" w:pos="4150"/>
      </w:tabs>
      <w:spacing w:before="100" w:after="100"/>
    </w:pPr>
    <w:rPr>
      <w:rFonts w:cs="Arial"/>
      <w:b/>
      <w:bCs/>
      <w:color w:val="0079C1"/>
      <w:sz w:val="18"/>
    </w:rPr>
  </w:style>
  <w:style w:type="paragraph" w:customStyle="1" w:styleId="TableContentsBlue">
    <w:name w:val="Table Contents Blue"/>
    <w:basedOn w:val="Normal"/>
    <w:qFormat/>
    <w:rsid w:val="003B67DE"/>
    <w:pPr>
      <w:spacing w:before="60" w:after="60"/>
    </w:pPr>
    <w:rPr>
      <w:rFonts w:cs="Arial"/>
      <w:color w:val="E18409" w:themeColor="text2"/>
      <w:sz w:val="16"/>
    </w:rPr>
  </w:style>
  <w:style w:type="paragraph" w:customStyle="1" w:styleId="TableSubHeading1">
    <w:name w:val="Table Sub Heading 1"/>
    <w:basedOn w:val="TableHeading2"/>
    <w:autoRedefine/>
    <w:rsid w:val="00915F0F"/>
    <w:pPr>
      <w:spacing w:before="60" w:after="60"/>
    </w:pPr>
    <w:rPr>
      <w:rFonts w:cs="Times New Roman"/>
      <w:szCs w:val="20"/>
    </w:rPr>
  </w:style>
  <w:style w:type="paragraph" w:customStyle="1" w:styleId="BlankPageDivider">
    <w:name w:val="Blank Page Divider"/>
    <w:basedOn w:val="Normal"/>
    <w:rsid w:val="007B64FA"/>
    <w:pPr>
      <w:spacing w:line="240" w:lineRule="atLeast"/>
      <w:jc w:val="center"/>
    </w:pPr>
    <w:rPr>
      <w:color w:val="999999"/>
    </w:rPr>
  </w:style>
  <w:style w:type="paragraph" w:customStyle="1" w:styleId="TOCAttachmentItems">
    <w:name w:val="TOC Attachment Items"/>
    <w:basedOn w:val="Normal"/>
    <w:rsid w:val="00E366BD"/>
    <w:pPr>
      <w:numPr>
        <w:numId w:val="2"/>
      </w:numPr>
      <w:tabs>
        <w:tab w:val="clear" w:pos="284"/>
        <w:tab w:val="left" w:pos="567"/>
      </w:tabs>
      <w:spacing w:after="190"/>
      <w:ind w:left="567" w:hanging="567"/>
    </w:pPr>
    <w:rPr>
      <w:rFonts w:ascii="Arial Narrow" w:hAnsi="Arial Narrow"/>
      <w:color w:val="E18409" w:themeColor="text2"/>
    </w:rPr>
  </w:style>
  <w:style w:type="paragraph" w:customStyle="1" w:styleId="TOCAttachmentHeading">
    <w:name w:val="TOC Attachment Heading"/>
    <w:basedOn w:val="Normal"/>
    <w:next w:val="TOCAttachmentItems"/>
    <w:qFormat/>
    <w:rsid w:val="00E05E39"/>
    <w:pPr>
      <w:spacing w:before="840"/>
    </w:pPr>
    <w:rPr>
      <w:rFonts w:ascii="Arial Narrow" w:hAnsi="Arial Narrow"/>
      <w:color w:val="E18409" w:themeColor="text2"/>
      <w:sz w:val="28"/>
    </w:rPr>
  </w:style>
  <w:style w:type="paragraph" w:customStyle="1" w:styleId="TOCHeading1">
    <w:name w:val="TOC Heading 1"/>
    <w:basedOn w:val="Normal"/>
    <w:next w:val="Normal"/>
    <w:autoRedefine/>
    <w:qFormat/>
    <w:rsid w:val="00345CF5"/>
    <w:pPr>
      <w:spacing w:before="60" w:after="480"/>
    </w:pPr>
    <w:rPr>
      <w:rFonts w:ascii="Arial Narrow" w:hAnsi="Arial Narrow"/>
      <w:color w:val="E18409" w:themeColor="text2"/>
      <w:sz w:val="40"/>
    </w:rPr>
  </w:style>
  <w:style w:type="paragraph" w:customStyle="1" w:styleId="TableContentsBlackRight">
    <w:name w:val="Table Contents Black Right"/>
    <w:basedOn w:val="TableContentsBlack"/>
    <w:qFormat/>
    <w:rsid w:val="00FB4672"/>
    <w:pPr>
      <w:jc w:val="right"/>
    </w:pPr>
  </w:style>
  <w:style w:type="paragraph" w:customStyle="1" w:styleId="TableHeading2Right">
    <w:name w:val="Table Heading 2 Right"/>
    <w:basedOn w:val="TableHeading2"/>
    <w:qFormat/>
    <w:rsid w:val="005737FF"/>
    <w:pPr>
      <w:jc w:val="right"/>
    </w:pPr>
  </w:style>
  <w:style w:type="paragraph" w:customStyle="1" w:styleId="TableTotalRight">
    <w:name w:val="Table Total Right"/>
    <w:basedOn w:val="Normal"/>
    <w:qFormat/>
    <w:rsid w:val="00A8270F"/>
    <w:pPr>
      <w:tabs>
        <w:tab w:val="left" w:pos="4150"/>
      </w:tabs>
      <w:spacing w:before="100" w:after="100"/>
      <w:jc w:val="right"/>
    </w:pPr>
    <w:rPr>
      <w:rFonts w:cs="Arial"/>
      <w:b/>
      <w:bCs/>
      <w:color w:val="0079C1"/>
      <w:sz w:val="18"/>
    </w:rPr>
  </w:style>
  <w:style w:type="paragraph" w:customStyle="1" w:styleId="TableContentsRight">
    <w:name w:val="Table Contents Right"/>
    <w:basedOn w:val="Normal"/>
    <w:qFormat/>
    <w:rsid w:val="002B309B"/>
    <w:pPr>
      <w:spacing w:before="60" w:after="60"/>
      <w:jc w:val="right"/>
    </w:pPr>
    <w:rPr>
      <w:rFonts w:cs="Arial"/>
      <w:color w:val="000000" w:themeColor="text1"/>
      <w:sz w:val="16"/>
      <w:szCs w:val="19"/>
    </w:rPr>
  </w:style>
  <w:style w:type="paragraph" w:customStyle="1" w:styleId="TableHeading3Right">
    <w:name w:val="Table Heading 3 Right"/>
    <w:basedOn w:val="TableHeading3"/>
    <w:rsid w:val="003C3A1B"/>
    <w:pPr>
      <w:jc w:val="right"/>
    </w:pPr>
    <w:rPr>
      <w:rFonts w:cs="Times New Roman"/>
      <w:szCs w:val="20"/>
    </w:rPr>
  </w:style>
  <w:style w:type="paragraph" w:customStyle="1" w:styleId="TableSubHeading1Right">
    <w:name w:val="Table Sub Heading 1 Right"/>
    <w:basedOn w:val="TableSubHeading1"/>
    <w:qFormat/>
    <w:rsid w:val="001E49C2"/>
    <w:pPr>
      <w:jc w:val="right"/>
    </w:pPr>
    <w:rPr>
      <w:rFonts w:eastAsia="Calibri"/>
    </w:rPr>
  </w:style>
  <w:style w:type="paragraph" w:customStyle="1" w:styleId="TableGrandTotalRight">
    <w:name w:val="Table Grand Total Right"/>
    <w:basedOn w:val="TableGrandTotal"/>
    <w:rsid w:val="00EC179A"/>
    <w:pPr>
      <w:jc w:val="right"/>
    </w:pPr>
    <w:rPr>
      <w:rFonts w:cs="Times New Roman"/>
      <w:szCs w:val="20"/>
    </w:rPr>
  </w:style>
  <w:style w:type="paragraph" w:customStyle="1" w:styleId="Notes">
    <w:name w:val="Notes"/>
    <w:basedOn w:val="NumberedNotes"/>
    <w:rsid w:val="00251436"/>
    <w:pPr>
      <w:numPr>
        <w:numId w:val="0"/>
      </w:numPr>
      <w:spacing w:before="60" w:after="60"/>
      <w:ind w:left="499" w:hanging="357"/>
    </w:pPr>
  </w:style>
  <w:style w:type="character" w:customStyle="1" w:styleId="Heading1Char">
    <w:name w:val="Heading 1 Char"/>
    <w:basedOn w:val="DefaultParagraphFont"/>
    <w:link w:val="Heading1"/>
    <w:locked/>
    <w:rsid w:val="002D5B43"/>
    <w:rPr>
      <w:rFonts w:asciiTheme="majorHAnsi" w:eastAsiaTheme="majorEastAsia" w:hAnsiTheme="majorHAnsi" w:cstheme="majorBidi"/>
      <w:b/>
      <w:bCs/>
      <w:color w:val="E18409" w:themeColor="text2"/>
      <w:sz w:val="40"/>
      <w:szCs w:val="40"/>
      <w:lang w:eastAsia="en-US"/>
    </w:rPr>
  </w:style>
  <w:style w:type="character" w:customStyle="1" w:styleId="FooterChar">
    <w:name w:val="Footer Char"/>
    <w:basedOn w:val="DefaultParagraphFont"/>
    <w:link w:val="Footer"/>
    <w:uiPriority w:val="99"/>
    <w:rsid w:val="002D5B43"/>
    <w:rPr>
      <w:rFonts w:asciiTheme="minorHAnsi" w:eastAsiaTheme="minorHAnsi" w:hAnsiTheme="minorHAnsi" w:cstheme="minorBidi"/>
      <w:b/>
      <w:bCs/>
      <w:color w:val="706F6F" w:themeColor="background2"/>
      <w:sz w:val="18"/>
      <w:szCs w:val="18"/>
      <w:lang w:eastAsia="en-US"/>
    </w:rPr>
  </w:style>
  <w:style w:type="character" w:customStyle="1" w:styleId="HeaderChar">
    <w:name w:val="Header Char"/>
    <w:basedOn w:val="DefaultParagraphFont"/>
    <w:link w:val="Header"/>
    <w:uiPriority w:val="99"/>
    <w:rsid w:val="002D5B43"/>
    <w:rPr>
      <w:rFonts w:asciiTheme="minorHAnsi" w:eastAsiaTheme="minorHAnsi" w:hAnsiTheme="minorHAnsi" w:cstheme="minorBidi"/>
      <w:sz w:val="19"/>
      <w:szCs w:val="22"/>
      <w:lang w:eastAsia="en-US"/>
    </w:rPr>
  </w:style>
  <w:style w:type="table" w:customStyle="1" w:styleId="CWBandedcolumns">
    <w:name w:val="CW Banded columns"/>
    <w:basedOn w:val="TableNormal"/>
    <w:uiPriority w:val="99"/>
    <w:rsid w:val="00C44E15"/>
    <w:rPr>
      <w:rFonts w:asciiTheme="majorHAnsi" w:hAnsiTheme="majorHAnsi"/>
    </w:rPr>
    <w:tblPr>
      <w:tblStyleColBandSize w:val="1"/>
      <w:tblBorders>
        <w:insideH w:val="single" w:sz="6" w:space="0" w:color="FFFFFF" w:themeColor="background1"/>
      </w:tblBorders>
    </w:tblPr>
    <w:tblStylePr w:type="firstRow">
      <w:rPr>
        <w:rFonts w:asciiTheme="majorHAnsi" w:hAnsiTheme="majorHAnsi"/>
        <w:color w:val="FFFFFF" w:themeColor="background1"/>
        <w:sz w:val="20"/>
      </w:rPr>
      <w:tblPr/>
      <w:tcPr>
        <w:tcBorders>
          <w:bottom w:val="single" w:sz="6" w:space="0" w:color="E18409" w:themeColor="text2"/>
        </w:tcBorders>
        <w:shd w:val="clear" w:color="auto" w:fill="E18409" w:themeFill="text2"/>
      </w:tcPr>
    </w:tblStylePr>
    <w:tblStylePr w:type="firstCol">
      <w:tblPr/>
      <w:tcPr>
        <w:shd w:val="clear" w:color="auto" w:fill="EFF5E3"/>
      </w:tcPr>
    </w:tblStylePr>
    <w:tblStylePr w:type="band1Vert">
      <w:tblPr/>
      <w:tcPr>
        <w:shd w:val="clear" w:color="auto" w:fill="E2F1CF"/>
      </w:tcPr>
    </w:tblStylePr>
    <w:tblStylePr w:type="band2Vert">
      <w:tblPr/>
      <w:tcPr>
        <w:shd w:val="clear" w:color="auto" w:fill="EFF5E3"/>
      </w:tcPr>
    </w:tblStylePr>
  </w:style>
  <w:style w:type="paragraph" w:customStyle="1" w:styleId="BulletGreenDash">
    <w:name w:val="Bullet Green Dash"/>
    <w:basedOn w:val="Normal"/>
    <w:qFormat/>
    <w:rsid w:val="0040425F"/>
    <w:pPr>
      <w:numPr>
        <w:ilvl w:val="1"/>
        <w:numId w:val="6"/>
      </w:numPr>
      <w:spacing w:before="60" w:after="60"/>
      <w:ind w:left="714" w:hanging="357"/>
    </w:pPr>
  </w:style>
  <w:style w:type="paragraph" w:customStyle="1" w:styleId="BulletIndent2Dash">
    <w:name w:val="Bullet Indent 2 Dash"/>
    <w:basedOn w:val="Normal"/>
    <w:qFormat/>
    <w:rsid w:val="0040425F"/>
    <w:pPr>
      <w:numPr>
        <w:ilvl w:val="3"/>
        <w:numId w:val="6"/>
      </w:numPr>
      <w:spacing w:before="60" w:after="60"/>
      <w:ind w:left="1434" w:hanging="357"/>
    </w:pPr>
  </w:style>
  <w:style w:type="numbering" w:customStyle="1" w:styleId="CWNumberingStyle">
    <w:name w:val="CW_NumberingStyle"/>
    <w:uiPriority w:val="99"/>
    <w:rsid w:val="00E21535"/>
    <w:pPr>
      <w:numPr>
        <w:numId w:val="7"/>
      </w:numPr>
    </w:pPr>
  </w:style>
  <w:style w:type="numbering" w:customStyle="1" w:styleId="CWBulletStyle">
    <w:name w:val="CW_BulletStyle"/>
    <w:uiPriority w:val="99"/>
    <w:rsid w:val="00E21535"/>
    <w:pPr>
      <w:numPr>
        <w:numId w:val="10"/>
      </w:numPr>
    </w:pPr>
  </w:style>
  <w:style w:type="numbering" w:customStyle="1" w:styleId="CWTableBullets">
    <w:name w:val="CW_TableBullets"/>
    <w:uiPriority w:val="99"/>
    <w:rsid w:val="00376EA9"/>
    <w:pPr>
      <w:numPr>
        <w:numId w:val="8"/>
      </w:numPr>
    </w:pPr>
  </w:style>
  <w:style w:type="paragraph" w:customStyle="1" w:styleId="Default">
    <w:name w:val="Default"/>
    <w:rsid w:val="00CE5FC4"/>
    <w:pPr>
      <w:autoSpaceDE w:val="0"/>
      <w:autoSpaceDN w:val="0"/>
      <w:adjustRightInd w:val="0"/>
    </w:pPr>
    <w:rPr>
      <w:rFonts w:ascii="TPRLB P+ Helvetica Neue" w:hAnsi="TPRLB P+ Helvetica Neue" w:cs="TPRLB P+ Helvetica Neue"/>
      <w:color w:val="000000"/>
      <w:sz w:val="24"/>
      <w:szCs w:val="24"/>
    </w:rPr>
  </w:style>
  <w:style w:type="paragraph" w:customStyle="1" w:styleId="Pa0">
    <w:name w:val="Pa0"/>
    <w:basedOn w:val="Default"/>
    <w:next w:val="Default"/>
    <w:uiPriority w:val="99"/>
    <w:rsid w:val="00A94E07"/>
    <w:pPr>
      <w:spacing w:line="241" w:lineRule="atLeast"/>
    </w:pPr>
    <w:rPr>
      <w:rFonts w:cs="Times New Roman"/>
      <w:color w:val="auto"/>
    </w:rPr>
  </w:style>
  <w:style w:type="character" w:customStyle="1" w:styleId="A1">
    <w:name w:val="A1"/>
    <w:uiPriority w:val="99"/>
    <w:rsid w:val="00A94E07"/>
    <w:rPr>
      <w:rFonts w:cs="TPRLB P+ Helvetica Neue"/>
      <w:color w:val="211D1E"/>
      <w:sz w:val="18"/>
      <w:szCs w:val="18"/>
    </w:rPr>
  </w:style>
  <w:style w:type="paragraph" w:styleId="BalloonText">
    <w:name w:val="Balloon Text"/>
    <w:basedOn w:val="Normal"/>
    <w:link w:val="BalloonTextChar"/>
    <w:semiHidden/>
    <w:unhideWhenUsed/>
    <w:rsid w:val="006062C7"/>
    <w:rPr>
      <w:rFonts w:ascii="Segoe UI" w:hAnsi="Segoe UI" w:cs="Segoe UI"/>
      <w:sz w:val="18"/>
      <w:szCs w:val="18"/>
    </w:rPr>
  </w:style>
  <w:style w:type="character" w:customStyle="1" w:styleId="BalloonTextChar">
    <w:name w:val="Balloon Text Char"/>
    <w:basedOn w:val="DefaultParagraphFont"/>
    <w:link w:val="BalloonText"/>
    <w:semiHidden/>
    <w:rsid w:val="006062C7"/>
    <w:rPr>
      <w:rFonts w:ascii="Segoe UI" w:hAnsi="Segoe UI" w:cs="Segoe UI"/>
      <w:kern w:val="28"/>
      <w:sz w:val="18"/>
      <w:szCs w:val="18"/>
    </w:rPr>
  </w:style>
  <w:style w:type="paragraph" w:styleId="Revision">
    <w:name w:val="Revision"/>
    <w:hidden/>
    <w:uiPriority w:val="99"/>
    <w:semiHidden/>
    <w:rsid w:val="003D1752"/>
    <w:rPr>
      <w:rFonts w:ascii="Arial" w:hAnsi="Arial"/>
      <w:kern w:val="28"/>
      <w:sz w:val="19"/>
    </w:rPr>
  </w:style>
  <w:style w:type="paragraph" w:customStyle="1" w:styleId="IntroductoryParagraph">
    <w:name w:val="Introductory Paragraph"/>
    <w:basedOn w:val="Normal"/>
    <w:rsid w:val="00C14F50"/>
    <w:pPr>
      <w:pBdr>
        <w:top w:val="single" w:sz="6" w:space="1" w:color="C0C0C0"/>
      </w:pBdr>
      <w:spacing w:after="180"/>
    </w:pPr>
    <w:rPr>
      <w:rFonts w:ascii="Arial Narrow" w:hAnsi="Arial Narrow"/>
      <w:color w:val="E18409" w:themeColor="text2"/>
    </w:rPr>
  </w:style>
  <w:style w:type="paragraph" w:customStyle="1" w:styleId="smallcrosshead">
    <w:name w:val="small crosshead"/>
    <w:basedOn w:val="Normal"/>
    <w:next w:val="Normal"/>
    <w:rsid w:val="00CE60F9"/>
    <w:pPr>
      <w:spacing w:before="120" w:after="120"/>
    </w:pPr>
    <w:rPr>
      <w:rFonts w:ascii="Cambria" w:hAnsi="Cambria"/>
      <w:b/>
      <w:sz w:val="28"/>
      <w:szCs w:val="24"/>
    </w:rPr>
  </w:style>
  <w:style w:type="paragraph" w:customStyle="1" w:styleId="Coverheadline">
    <w:name w:val="Cover headline"/>
    <w:basedOn w:val="Normal"/>
    <w:rsid w:val="002D5B43"/>
    <w:rPr>
      <w:b/>
      <w:bCs/>
      <w:noProof/>
      <w:color w:val="FFFFFF" w:themeColor="background1"/>
      <w:sz w:val="70"/>
      <w:szCs w:val="70"/>
    </w:rPr>
  </w:style>
  <w:style w:type="paragraph" w:customStyle="1" w:styleId="Coversub-headline">
    <w:name w:val="Cover sub-headline"/>
    <w:basedOn w:val="Coverheadline"/>
    <w:rsid w:val="002D5B43"/>
    <w:rPr>
      <w:sz w:val="40"/>
      <w:szCs w:val="40"/>
    </w:rPr>
  </w:style>
  <w:style w:type="paragraph" w:customStyle="1" w:styleId="CoverConfidentialMonthYear">
    <w:name w:val="Cover Confidential/Month Year"/>
    <w:basedOn w:val="Normal"/>
    <w:rsid w:val="002D5B43"/>
    <w:pPr>
      <w:spacing w:before="160"/>
      <w:ind w:left="-142"/>
    </w:pPr>
    <w:rPr>
      <w:color w:val="706F6F" w:themeColor="background2"/>
      <w:sz w:val="40"/>
      <w:szCs w:val="40"/>
    </w:rPr>
  </w:style>
  <w:style w:type="paragraph" w:customStyle="1" w:styleId="Contents">
    <w:name w:val="Contents"/>
    <w:basedOn w:val="CoverConfidentialMonthYear"/>
    <w:rsid w:val="002D5B43"/>
    <w:pPr>
      <w:pBdr>
        <w:top w:val="single" w:sz="4" w:space="8" w:color="E18409" w:themeColor="text2"/>
        <w:left w:val="single" w:sz="4" w:space="4" w:color="E18409" w:themeColor="text2"/>
        <w:bottom w:val="single" w:sz="4" w:space="8" w:color="E18409" w:themeColor="text2"/>
        <w:right w:val="single" w:sz="4" w:space="4" w:color="E18409" w:themeColor="text2"/>
      </w:pBdr>
      <w:shd w:val="clear" w:color="auto" w:fill="E18409" w:themeFill="text2"/>
      <w:spacing w:before="0" w:after="0"/>
      <w:ind w:left="112" w:right="103"/>
    </w:pPr>
    <w:rPr>
      <w:b/>
      <w:bCs/>
      <w:color w:val="FFFFFF" w:themeColor="background1"/>
    </w:rPr>
  </w:style>
  <w:style w:type="paragraph" w:customStyle="1" w:styleId="PulloutHeading">
    <w:name w:val="Pullout Heading"/>
    <w:basedOn w:val="Normal"/>
    <w:rsid w:val="002D5B43"/>
    <w:pPr>
      <w:keepNext/>
      <w:pBdr>
        <w:left w:val="single" w:sz="24" w:space="4" w:color="E18409" w:themeColor="text2"/>
      </w:pBdr>
      <w:ind w:left="170"/>
    </w:pPr>
    <w:rPr>
      <w:b/>
      <w:bCs/>
      <w:color w:val="706F6F" w:themeColor="background2"/>
      <w:sz w:val="24"/>
      <w:szCs w:val="24"/>
    </w:rPr>
  </w:style>
  <w:style w:type="paragraph" w:customStyle="1" w:styleId="Pullouttext">
    <w:name w:val="Pullout text"/>
    <w:basedOn w:val="Normal"/>
    <w:rsid w:val="002D5B43"/>
    <w:pPr>
      <w:pBdr>
        <w:left w:val="single" w:sz="24" w:space="4" w:color="E18409" w:themeColor="text2"/>
      </w:pBdr>
      <w:ind w:left="170"/>
    </w:pPr>
    <w:rPr>
      <w:color w:val="706F6F" w:themeColor="background2"/>
      <w:sz w:val="24"/>
      <w:szCs w:val="24"/>
    </w:rPr>
  </w:style>
  <w:style w:type="paragraph" w:customStyle="1" w:styleId="tabletext">
    <w:name w:val="table text"/>
    <w:basedOn w:val="Normal"/>
    <w:rsid w:val="002D5B43"/>
    <w:pPr>
      <w:spacing w:before="80" w:after="80"/>
    </w:pPr>
    <w:rPr>
      <w:sz w:val="18"/>
      <w:szCs w:val="18"/>
    </w:rPr>
  </w:style>
  <w:style w:type="paragraph" w:customStyle="1" w:styleId="ContentsPageHeader">
    <w:name w:val="Contents Page Header"/>
    <w:basedOn w:val="Normal"/>
    <w:rsid w:val="002D5B43"/>
    <w:pPr>
      <w:tabs>
        <w:tab w:val="left" w:pos="1134"/>
      </w:tabs>
    </w:pPr>
    <w:rPr>
      <w:b/>
      <w:color w:val="706F6F" w:themeColor="background2"/>
      <w:sz w:val="30"/>
      <w:szCs w:val="30"/>
    </w:rPr>
  </w:style>
  <w:style w:type="character" w:customStyle="1" w:styleId="UnresolvedMention">
    <w:name w:val="Unresolved Mention"/>
    <w:basedOn w:val="DefaultParagraphFont"/>
    <w:uiPriority w:val="99"/>
    <w:semiHidden/>
    <w:unhideWhenUsed/>
    <w:rsid w:val="002D5B43"/>
    <w:rPr>
      <w:color w:val="605E5C"/>
      <w:shd w:val="clear" w:color="auto" w:fill="E1DFDD"/>
    </w:rPr>
  </w:style>
  <w:style w:type="paragraph" w:styleId="TOCHeading">
    <w:name w:val="TOC Heading"/>
    <w:basedOn w:val="Heading1"/>
    <w:next w:val="Normal"/>
    <w:uiPriority w:val="39"/>
    <w:unhideWhenUsed/>
    <w:qFormat/>
    <w:rsid w:val="002D5B43"/>
    <w:pPr>
      <w:numPr>
        <w:numId w:val="0"/>
      </w:numPr>
      <w:spacing w:before="240" w:line="259" w:lineRule="auto"/>
      <w:outlineLvl w:val="9"/>
    </w:pPr>
    <w:rPr>
      <w:b w:val="0"/>
      <w:bCs w:val="0"/>
      <w:color w:val="FFFFFF" w:themeColor="background1"/>
      <w:sz w:val="32"/>
      <w:szCs w:val="32"/>
      <w:lang w:val="en-US"/>
    </w:rPr>
  </w:style>
  <w:style w:type="paragraph" w:styleId="TOC2">
    <w:name w:val="toc 2"/>
    <w:basedOn w:val="Normal"/>
    <w:next w:val="Normal"/>
    <w:autoRedefine/>
    <w:uiPriority w:val="39"/>
    <w:unhideWhenUsed/>
    <w:rsid w:val="002D5B43"/>
    <w:pPr>
      <w:spacing w:after="100"/>
      <w:ind w:left="220"/>
    </w:pPr>
  </w:style>
  <w:style w:type="paragraph" w:styleId="Caption">
    <w:name w:val="caption"/>
    <w:aliases w:val="Table heading"/>
    <w:basedOn w:val="Normal"/>
    <w:next w:val="Normal"/>
    <w:uiPriority w:val="35"/>
    <w:unhideWhenUsed/>
    <w:qFormat/>
    <w:rsid w:val="002D5B43"/>
    <w:pPr>
      <w:keepNext/>
      <w:pBdr>
        <w:top w:val="single" w:sz="4" w:space="5" w:color="E18409" w:themeColor="text2"/>
        <w:left w:val="single" w:sz="4" w:space="4" w:color="E18409" w:themeColor="text2"/>
        <w:bottom w:val="single" w:sz="4" w:space="5" w:color="E18409" w:themeColor="text2"/>
        <w:right w:val="single" w:sz="4" w:space="4" w:color="E18409" w:themeColor="text2"/>
      </w:pBdr>
      <w:shd w:val="clear" w:color="auto" w:fill="E18409" w:themeFill="text2"/>
      <w:ind w:left="113" w:right="102"/>
    </w:pPr>
    <w:rPr>
      <w:b/>
      <w:bCs/>
      <w:color w:val="FFFFFF" w:themeColor="background1"/>
      <w:sz w:val="24"/>
      <w:szCs w:val="24"/>
    </w:rPr>
  </w:style>
  <w:style w:type="table" w:customStyle="1" w:styleId="ChantWest2019T1">
    <w:name w:val="Chant West 2019 T1"/>
    <w:basedOn w:val="TableNormal"/>
    <w:uiPriority w:val="99"/>
    <w:rsid w:val="002D5B43"/>
    <w:pPr>
      <w:spacing w:before="80" w:after="80"/>
    </w:pPr>
    <w:rPr>
      <w:rFonts w:asciiTheme="minorHAnsi" w:eastAsiaTheme="minorHAnsi" w:hAnsiTheme="minorHAnsi" w:cstheme="minorBidi"/>
      <w:sz w:val="18"/>
      <w:szCs w:val="22"/>
      <w:lang w:eastAsia="en-US"/>
    </w:rPr>
    <w:tblPr>
      <w:tblInd w:w="113" w:type="dxa"/>
      <w:tblBorders>
        <w:bottom w:val="single" w:sz="2" w:space="0" w:color="706F6F"/>
        <w:insideH w:val="single" w:sz="2" w:space="0" w:color="706F6F"/>
      </w:tblBorders>
    </w:tblPr>
    <w:trPr>
      <w:cantSplit/>
    </w:trPr>
    <w:tcPr>
      <w:vAlign w:val="center"/>
    </w:tcPr>
    <w:tblStylePr w:type="firstRow">
      <w:rPr>
        <w:b/>
        <w:color w:val="E18409" w:themeColor="text2"/>
      </w:rPr>
    </w:tblStylePr>
    <w:tblStylePr w:type="lastRow">
      <w:rPr>
        <w:b/>
        <w:color w:val="E18409" w:themeColor="text2"/>
      </w:rPr>
    </w:tblStylePr>
    <w:tblStylePr w:type="firstCol">
      <w:rPr>
        <w:b/>
        <w:color w:val="E18409" w:themeColor="text2"/>
      </w:rPr>
    </w:tblStylePr>
    <w:tblStylePr w:type="lastCol">
      <w:rPr>
        <w:b/>
        <w:color w:val="E18409" w:themeColor="text2"/>
      </w:rPr>
    </w:tblStylePr>
  </w:style>
  <w:style w:type="paragraph" w:customStyle="1" w:styleId="DisclaimerHeading">
    <w:name w:val="Disclaimer Heading"/>
    <w:next w:val="Normal"/>
    <w:rsid w:val="002D5B43"/>
    <w:pPr>
      <w:keepNext/>
      <w:keepLines/>
      <w:spacing w:before="600" w:after="240"/>
      <w:ind w:left="567" w:hanging="567"/>
    </w:pPr>
    <w:rPr>
      <w:rFonts w:asciiTheme="majorHAnsi" w:eastAsiaTheme="majorEastAsia" w:hAnsiTheme="majorHAnsi" w:cstheme="majorBidi"/>
      <w:b/>
      <w:bCs/>
      <w:color w:val="E18409" w:themeColor="text2"/>
      <w:sz w:val="40"/>
      <w:szCs w:val="40"/>
      <w:lang w:eastAsia="en-US"/>
    </w:rPr>
  </w:style>
  <w:style w:type="paragraph" w:customStyle="1" w:styleId="Pulloutnotesnumbered">
    <w:name w:val="Pullout notes numbered"/>
    <w:basedOn w:val="Normal"/>
    <w:rsid w:val="002D5B43"/>
    <w:pPr>
      <w:numPr>
        <w:ilvl w:val="6"/>
        <w:numId w:val="12"/>
      </w:numPr>
      <w:pBdr>
        <w:left w:val="single" w:sz="24" w:space="4" w:color="E18409" w:themeColor="text2"/>
      </w:pBdr>
    </w:pPr>
    <w:rPr>
      <w:color w:val="706F6F" w:themeColor="background2"/>
      <w:sz w:val="18"/>
      <w:szCs w:val="18"/>
    </w:rPr>
  </w:style>
  <w:style w:type="paragraph" w:customStyle="1" w:styleId="Covertopspace">
    <w:name w:val="Cover top space"/>
    <w:basedOn w:val="Normal"/>
    <w:rsid w:val="002D5B43"/>
    <w:pPr>
      <w:spacing w:after="4800"/>
    </w:pPr>
  </w:style>
  <w:style w:type="paragraph" w:customStyle="1" w:styleId="Hidden">
    <w:name w:val="Hidden"/>
    <w:basedOn w:val="Normal"/>
    <w:rsid w:val="002D5B43"/>
    <w:rPr>
      <w:b/>
      <w:bCs/>
      <w:vanish/>
      <w:color w:val="FF0000"/>
    </w:rPr>
  </w:style>
  <w:style w:type="paragraph" w:customStyle="1" w:styleId="Heading1noTOC">
    <w:name w:val="Heading 1 no TOC"/>
    <w:next w:val="Normal"/>
    <w:rsid w:val="002D5B43"/>
    <w:pPr>
      <w:keepNext/>
      <w:keepLines/>
      <w:numPr>
        <w:numId w:val="12"/>
      </w:numPr>
      <w:spacing w:after="240"/>
    </w:pPr>
    <w:rPr>
      <w:rFonts w:asciiTheme="majorHAnsi" w:eastAsiaTheme="majorEastAsia" w:hAnsiTheme="majorHAnsi" w:cstheme="majorBidi"/>
      <w:b/>
      <w:color w:val="E18409" w:themeColor="text2"/>
      <w:sz w:val="40"/>
      <w:szCs w:val="40"/>
      <w:lang w:eastAsia="en-US"/>
    </w:rPr>
  </w:style>
  <w:style w:type="paragraph" w:customStyle="1" w:styleId="Pulloutnotes">
    <w:name w:val="Pullout notes"/>
    <w:basedOn w:val="Pulloutnotesnumbered"/>
    <w:rsid w:val="002D5B43"/>
    <w:pPr>
      <w:numPr>
        <w:ilvl w:val="0"/>
        <w:numId w:val="0"/>
      </w:numPr>
      <w:ind w:left="170"/>
    </w:pPr>
  </w:style>
  <w:style w:type="paragraph" w:customStyle="1" w:styleId="TableContentsGreen">
    <w:name w:val="Table Contents Green"/>
    <w:basedOn w:val="Normal"/>
    <w:qFormat/>
    <w:rsid w:val="00E32E83"/>
    <w:pPr>
      <w:spacing w:before="20" w:after="20" w:line="240" w:lineRule="atLeast"/>
    </w:pPr>
    <w:rPr>
      <w:rFonts w:ascii="Arial Narrow" w:eastAsia="Times New Roman" w:hAnsi="Arial Narrow" w:cs="Arial"/>
      <w:color w:val="E18409" w:themeColor="text2"/>
      <w:spacing w:val="6"/>
      <w:kern w:val="28"/>
      <w:sz w:val="18"/>
      <w:szCs w:val="20"/>
      <w:lang w:eastAsia="en-AU"/>
    </w:rPr>
  </w:style>
  <w:style w:type="character" w:styleId="CommentReference">
    <w:name w:val="annotation reference"/>
    <w:basedOn w:val="DefaultParagraphFont"/>
    <w:semiHidden/>
    <w:unhideWhenUsed/>
    <w:rsid w:val="00632687"/>
    <w:rPr>
      <w:sz w:val="16"/>
      <w:szCs w:val="16"/>
    </w:rPr>
  </w:style>
  <w:style w:type="paragraph" w:styleId="CommentText">
    <w:name w:val="annotation text"/>
    <w:basedOn w:val="Normal"/>
    <w:link w:val="CommentTextChar"/>
    <w:semiHidden/>
    <w:unhideWhenUsed/>
    <w:rsid w:val="00632687"/>
    <w:pPr>
      <w:spacing w:line="240" w:lineRule="auto"/>
    </w:pPr>
    <w:rPr>
      <w:sz w:val="20"/>
      <w:szCs w:val="20"/>
    </w:rPr>
  </w:style>
  <w:style w:type="character" w:customStyle="1" w:styleId="CommentTextChar">
    <w:name w:val="Comment Text Char"/>
    <w:basedOn w:val="DefaultParagraphFont"/>
    <w:link w:val="CommentText"/>
    <w:semiHidden/>
    <w:rsid w:val="00632687"/>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semiHidden/>
    <w:unhideWhenUsed/>
    <w:rsid w:val="00632687"/>
    <w:rPr>
      <w:b/>
      <w:bCs/>
    </w:rPr>
  </w:style>
  <w:style w:type="character" w:customStyle="1" w:styleId="CommentSubjectChar">
    <w:name w:val="Comment Subject Char"/>
    <w:basedOn w:val="CommentTextChar"/>
    <w:link w:val="CommentSubject"/>
    <w:semiHidden/>
    <w:rsid w:val="00632687"/>
    <w:rPr>
      <w:rFonts w:asciiTheme="minorHAnsi" w:eastAsiaTheme="minorHAnsi" w:hAnsiTheme="minorHAnsi" w:cstheme="minorBidi"/>
      <w:b/>
      <w:bCs/>
      <w:lang w:eastAsia="en-US"/>
    </w:rPr>
  </w:style>
  <w:style w:type="table" w:styleId="PlainTable4">
    <w:name w:val="Plain Table 4"/>
    <w:basedOn w:val="TableNormal"/>
    <w:uiPriority w:val="44"/>
    <w:rsid w:val="000938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44B02"/>
    <w:pPr>
      <w:spacing w:before="100" w:beforeAutospacing="1" w:after="100" w:afterAutospacing="1"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96658">
      <w:bodyDiv w:val="1"/>
      <w:marLeft w:val="0"/>
      <w:marRight w:val="0"/>
      <w:marTop w:val="0"/>
      <w:marBottom w:val="0"/>
      <w:divBdr>
        <w:top w:val="none" w:sz="0" w:space="0" w:color="auto"/>
        <w:left w:val="none" w:sz="0" w:space="0" w:color="auto"/>
        <w:bottom w:val="none" w:sz="0" w:space="0" w:color="auto"/>
        <w:right w:val="none" w:sz="0" w:space="0" w:color="auto"/>
      </w:divBdr>
    </w:div>
    <w:div w:id="200023692">
      <w:bodyDiv w:val="1"/>
      <w:marLeft w:val="0"/>
      <w:marRight w:val="0"/>
      <w:marTop w:val="0"/>
      <w:marBottom w:val="0"/>
      <w:divBdr>
        <w:top w:val="none" w:sz="0" w:space="0" w:color="auto"/>
        <w:left w:val="none" w:sz="0" w:space="0" w:color="auto"/>
        <w:bottom w:val="none" w:sz="0" w:space="0" w:color="auto"/>
        <w:right w:val="none" w:sz="0" w:space="0" w:color="auto"/>
      </w:divBdr>
      <w:divsChild>
        <w:div w:id="515849244">
          <w:marLeft w:val="0"/>
          <w:marRight w:val="0"/>
          <w:marTop w:val="0"/>
          <w:marBottom w:val="0"/>
          <w:divBdr>
            <w:top w:val="none" w:sz="0" w:space="0" w:color="auto"/>
            <w:left w:val="none" w:sz="0" w:space="0" w:color="auto"/>
            <w:bottom w:val="none" w:sz="0" w:space="0" w:color="auto"/>
            <w:right w:val="none" w:sz="0" w:space="0" w:color="auto"/>
          </w:divBdr>
          <w:divsChild>
            <w:div w:id="88813856">
              <w:marLeft w:val="0"/>
              <w:marRight w:val="0"/>
              <w:marTop w:val="0"/>
              <w:marBottom w:val="0"/>
              <w:divBdr>
                <w:top w:val="none" w:sz="0" w:space="0" w:color="auto"/>
                <w:left w:val="none" w:sz="0" w:space="0" w:color="auto"/>
                <w:bottom w:val="none" w:sz="0" w:space="0" w:color="auto"/>
                <w:right w:val="none" w:sz="0" w:space="0" w:color="auto"/>
              </w:divBdr>
            </w:div>
            <w:div w:id="891313534">
              <w:marLeft w:val="0"/>
              <w:marRight w:val="0"/>
              <w:marTop w:val="0"/>
              <w:marBottom w:val="0"/>
              <w:divBdr>
                <w:top w:val="none" w:sz="0" w:space="0" w:color="auto"/>
                <w:left w:val="none" w:sz="0" w:space="0" w:color="auto"/>
                <w:bottom w:val="none" w:sz="0" w:space="0" w:color="auto"/>
                <w:right w:val="none" w:sz="0" w:space="0" w:color="auto"/>
              </w:divBdr>
            </w:div>
            <w:div w:id="1099831942">
              <w:marLeft w:val="0"/>
              <w:marRight w:val="0"/>
              <w:marTop w:val="0"/>
              <w:marBottom w:val="0"/>
              <w:divBdr>
                <w:top w:val="none" w:sz="0" w:space="0" w:color="auto"/>
                <w:left w:val="none" w:sz="0" w:space="0" w:color="auto"/>
                <w:bottom w:val="none" w:sz="0" w:space="0" w:color="auto"/>
                <w:right w:val="none" w:sz="0" w:space="0" w:color="auto"/>
              </w:divBdr>
            </w:div>
            <w:div w:id="1314523208">
              <w:marLeft w:val="0"/>
              <w:marRight w:val="0"/>
              <w:marTop w:val="0"/>
              <w:marBottom w:val="0"/>
              <w:divBdr>
                <w:top w:val="none" w:sz="0" w:space="0" w:color="auto"/>
                <w:left w:val="none" w:sz="0" w:space="0" w:color="auto"/>
                <w:bottom w:val="none" w:sz="0" w:space="0" w:color="auto"/>
                <w:right w:val="none" w:sz="0" w:space="0" w:color="auto"/>
              </w:divBdr>
            </w:div>
            <w:div w:id="1447656108">
              <w:marLeft w:val="0"/>
              <w:marRight w:val="0"/>
              <w:marTop w:val="0"/>
              <w:marBottom w:val="0"/>
              <w:divBdr>
                <w:top w:val="none" w:sz="0" w:space="0" w:color="auto"/>
                <w:left w:val="none" w:sz="0" w:space="0" w:color="auto"/>
                <w:bottom w:val="none" w:sz="0" w:space="0" w:color="auto"/>
                <w:right w:val="none" w:sz="0" w:space="0" w:color="auto"/>
              </w:divBdr>
            </w:div>
            <w:div w:id="1477798858">
              <w:marLeft w:val="0"/>
              <w:marRight w:val="0"/>
              <w:marTop w:val="0"/>
              <w:marBottom w:val="0"/>
              <w:divBdr>
                <w:top w:val="none" w:sz="0" w:space="0" w:color="auto"/>
                <w:left w:val="none" w:sz="0" w:space="0" w:color="auto"/>
                <w:bottom w:val="none" w:sz="0" w:space="0" w:color="auto"/>
                <w:right w:val="none" w:sz="0" w:space="0" w:color="auto"/>
              </w:divBdr>
            </w:div>
            <w:div w:id="1580289293">
              <w:marLeft w:val="0"/>
              <w:marRight w:val="0"/>
              <w:marTop w:val="0"/>
              <w:marBottom w:val="0"/>
              <w:divBdr>
                <w:top w:val="none" w:sz="0" w:space="0" w:color="auto"/>
                <w:left w:val="none" w:sz="0" w:space="0" w:color="auto"/>
                <w:bottom w:val="none" w:sz="0" w:space="0" w:color="auto"/>
                <w:right w:val="none" w:sz="0" w:space="0" w:color="auto"/>
              </w:divBdr>
            </w:div>
            <w:div w:id="20780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59922">
      <w:bodyDiv w:val="1"/>
      <w:marLeft w:val="0"/>
      <w:marRight w:val="0"/>
      <w:marTop w:val="0"/>
      <w:marBottom w:val="0"/>
      <w:divBdr>
        <w:top w:val="none" w:sz="0" w:space="0" w:color="auto"/>
        <w:left w:val="none" w:sz="0" w:space="0" w:color="auto"/>
        <w:bottom w:val="none" w:sz="0" w:space="0" w:color="auto"/>
        <w:right w:val="none" w:sz="0" w:space="0" w:color="auto"/>
      </w:divBdr>
    </w:div>
    <w:div w:id="289555071">
      <w:bodyDiv w:val="1"/>
      <w:marLeft w:val="0"/>
      <w:marRight w:val="0"/>
      <w:marTop w:val="0"/>
      <w:marBottom w:val="0"/>
      <w:divBdr>
        <w:top w:val="none" w:sz="0" w:space="0" w:color="auto"/>
        <w:left w:val="none" w:sz="0" w:space="0" w:color="auto"/>
        <w:bottom w:val="none" w:sz="0" w:space="0" w:color="auto"/>
        <w:right w:val="none" w:sz="0" w:space="0" w:color="auto"/>
      </w:divBdr>
    </w:div>
    <w:div w:id="303898830">
      <w:bodyDiv w:val="1"/>
      <w:marLeft w:val="0"/>
      <w:marRight w:val="0"/>
      <w:marTop w:val="0"/>
      <w:marBottom w:val="0"/>
      <w:divBdr>
        <w:top w:val="none" w:sz="0" w:space="0" w:color="auto"/>
        <w:left w:val="none" w:sz="0" w:space="0" w:color="auto"/>
        <w:bottom w:val="none" w:sz="0" w:space="0" w:color="auto"/>
        <w:right w:val="none" w:sz="0" w:space="0" w:color="auto"/>
      </w:divBdr>
    </w:div>
    <w:div w:id="332270529">
      <w:bodyDiv w:val="1"/>
      <w:marLeft w:val="0"/>
      <w:marRight w:val="0"/>
      <w:marTop w:val="0"/>
      <w:marBottom w:val="0"/>
      <w:divBdr>
        <w:top w:val="none" w:sz="0" w:space="0" w:color="auto"/>
        <w:left w:val="none" w:sz="0" w:space="0" w:color="auto"/>
        <w:bottom w:val="none" w:sz="0" w:space="0" w:color="auto"/>
        <w:right w:val="none" w:sz="0" w:space="0" w:color="auto"/>
      </w:divBdr>
    </w:div>
    <w:div w:id="499390462">
      <w:bodyDiv w:val="1"/>
      <w:marLeft w:val="0"/>
      <w:marRight w:val="0"/>
      <w:marTop w:val="0"/>
      <w:marBottom w:val="0"/>
      <w:divBdr>
        <w:top w:val="none" w:sz="0" w:space="0" w:color="auto"/>
        <w:left w:val="none" w:sz="0" w:space="0" w:color="auto"/>
        <w:bottom w:val="none" w:sz="0" w:space="0" w:color="auto"/>
        <w:right w:val="none" w:sz="0" w:space="0" w:color="auto"/>
      </w:divBdr>
    </w:div>
    <w:div w:id="505443594">
      <w:bodyDiv w:val="1"/>
      <w:marLeft w:val="0"/>
      <w:marRight w:val="0"/>
      <w:marTop w:val="0"/>
      <w:marBottom w:val="0"/>
      <w:divBdr>
        <w:top w:val="none" w:sz="0" w:space="0" w:color="auto"/>
        <w:left w:val="none" w:sz="0" w:space="0" w:color="auto"/>
        <w:bottom w:val="none" w:sz="0" w:space="0" w:color="auto"/>
        <w:right w:val="none" w:sz="0" w:space="0" w:color="auto"/>
      </w:divBdr>
    </w:div>
    <w:div w:id="685257286">
      <w:bodyDiv w:val="1"/>
      <w:marLeft w:val="0"/>
      <w:marRight w:val="0"/>
      <w:marTop w:val="0"/>
      <w:marBottom w:val="0"/>
      <w:divBdr>
        <w:top w:val="none" w:sz="0" w:space="0" w:color="auto"/>
        <w:left w:val="none" w:sz="0" w:space="0" w:color="auto"/>
        <w:bottom w:val="none" w:sz="0" w:space="0" w:color="auto"/>
        <w:right w:val="none" w:sz="0" w:space="0" w:color="auto"/>
      </w:divBdr>
      <w:divsChild>
        <w:div w:id="1340044674">
          <w:marLeft w:val="0"/>
          <w:marRight w:val="0"/>
          <w:marTop w:val="0"/>
          <w:marBottom w:val="0"/>
          <w:divBdr>
            <w:top w:val="none" w:sz="0" w:space="0" w:color="auto"/>
            <w:left w:val="none" w:sz="0" w:space="0" w:color="auto"/>
            <w:bottom w:val="none" w:sz="0" w:space="0" w:color="auto"/>
            <w:right w:val="none" w:sz="0" w:space="0" w:color="auto"/>
          </w:divBdr>
        </w:div>
      </w:divsChild>
    </w:div>
    <w:div w:id="814032823">
      <w:bodyDiv w:val="1"/>
      <w:marLeft w:val="0"/>
      <w:marRight w:val="0"/>
      <w:marTop w:val="0"/>
      <w:marBottom w:val="0"/>
      <w:divBdr>
        <w:top w:val="none" w:sz="0" w:space="0" w:color="auto"/>
        <w:left w:val="none" w:sz="0" w:space="0" w:color="auto"/>
        <w:bottom w:val="none" w:sz="0" w:space="0" w:color="auto"/>
        <w:right w:val="none" w:sz="0" w:space="0" w:color="auto"/>
      </w:divBdr>
      <w:divsChild>
        <w:div w:id="1936859079">
          <w:marLeft w:val="0"/>
          <w:marRight w:val="0"/>
          <w:marTop w:val="0"/>
          <w:marBottom w:val="0"/>
          <w:divBdr>
            <w:top w:val="none" w:sz="0" w:space="0" w:color="auto"/>
            <w:left w:val="none" w:sz="0" w:space="0" w:color="auto"/>
            <w:bottom w:val="none" w:sz="0" w:space="0" w:color="auto"/>
            <w:right w:val="none" w:sz="0" w:space="0" w:color="auto"/>
          </w:divBdr>
        </w:div>
      </w:divsChild>
    </w:div>
    <w:div w:id="924072419">
      <w:bodyDiv w:val="1"/>
      <w:marLeft w:val="0"/>
      <w:marRight w:val="0"/>
      <w:marTop w:val="0"/>
      <w:marBottom w:val="0"/>
      <w:divBdr>
        <w:top w:val="none" w:sz="0" w:space="0" w:color="auto"/>
        <w:left w:val="none" w:sz="0" w:space="0" w:color="auto"/>
        <w:bottom w:val="none" w:sz="0" w:space="0" w:color="auto"/>
        <w:right w:val="none" w:sz="0" w:space="0" w:color="auto"/>
      </w:divBdr>
      <w:divsChild>
        <w:div w:id="610013260">
          <w:marLeft w:val="0"/>
          <w:marRight w:val="0"/>
          <w:marTop w:val="0"/>
          <w:marBottom w:val="0"/>
          <w:divBdr>
            <w:top w:val="none" w:sz="0" w:space="0" w:color="auto"/>
            <w:left w:val="none" w:sz="0" w:space="0" w:color="auto"/>
            <w:bottom w:val="none" w:sz="0" w:space="0" w:color="auto"/>
            <w:right w:val="none" w:sz="0" w:space="0" w:color="auto"/>
          </w:divBdr>
        </w:div>
      </w:divsChild>
    </w:div>
    <w:div w:id="1126049302">
      <w:bodyDiv w:val="1"/>
      <w:marLeft w:val="0"/>
      <w:marRight w:val="0"/>
      <w:marTop w:val="0"/>
      <w:marBottom w:val="0"/>
      <w:divBdr>
        <w:top w:val="none" w:sz="0" w:space="0" w:color="auto"/>
        <w:left w:val="none" w:sz="0" w:space="0" w:color="auto"/>
        <w:bottom w:val="none" w:sz="0" w:space="0" w:color="auto"/>
        <w:right w:val="none" w:sz="0" w:space="0" w:color="auto"/>
      </w:divBdr>
      <w:divsChild>
        <w:div w:id="6637848">
          <w:marLeft w:val="0"/>
          <w:marRight w:val="0"/>
          <w:marTop w:val="0"/>
          <w:marBottom w:val="0"/>
          <w:divBdr>
            <w:top w:val="none" w:sz="0" w:space="0" w:color="auto"/>
            <w:left w:val="none" w:sz="0" w:space="0" w:color="auto"/>
            <w:bottom w:val="none" w:sz="0" w:space="0" w:color="auto"/>
            <w:right w:val="none" w:sz="0" w:space="0" w:color="auto"/>
          </w:divBdr>
        </w:div>
        <w:div w:id="61997527">
          <w:marLeft w:val="0"/>
          <w:marRight w:val="0"/>
          <w:marTop w:val="0"/>
          <w:marBottom w:val="0"/>
          <w:divBdr>
            <w:top w:val="none" w:sz="0" w:space="0" w:color="auto"/>
            <w:left w:val="none" w:sz="0" w:space="0" w:color="auto"/>
            <w:bottom w:val="none" w:sz="0" w:space="0" w:color="auto"/>
            <w:right w:val="none" w:sz="0" w:space="0" w:color="auto"/>
          </w:divBdr>
        </w:div>
        <w:div w:id="68770304">
          <w:marLeft w:val="0"/>
          <w:marRight w:val="0"/>
          <w:marTop w:val="0"/>
          <w:marBottom w:val="0"/>
          <w:divBdr>
            <w:top w:val="none" w:sz="0" w:space="0" w:color="auto"/>
            <w:left w:val="none" w:sz="0" w:space="0" w:color="auto"/>
            <w:bottom w:val="none" w:sz="0" w:space="0" w:color="auto"/>
            <w:right w:val="none" w:sz="0" w:space="0" w:color="auto"/>
          </w:divBdr>
        </w:div>
        <w:div w:id="166791765">
          <w:marLeft w:val="0"/>
          <w:marRight w:val="0"/>
          <w:marTop w:val="0"/>
          <w:marBottom w:val="0"/>
          <w:divBdr>
            <w:top w:val="none" w:sz="0" w:space="0" w:color="auto"/>
            <w:left w:val="none" w:sz="0" w:space="0" w:color="auto"/>
            <w:bottom w:val="none" w:sz="0" w:space="0" w:color="auto"/>
            <w:right w:val="none" w:sz="0" w:space="0" w:color="auto"/>
          </w:divBdr>
        </w:div>
        <w:div w:id="513110604">
          <w:marLeft w:val="0"/>
          <w:marRight w:val="0"/>
          <w:marTop w:val="0"/>
          <w:marBottom w:val="0"/>
          <w:divBdr>
            <w:top w:val="none" w:sz="0" w:space="0" w:color="auto"/>
            <w:left w:val="none" w:sz="0" w:space="0" w:color="auto"/>
            <w:bottom w:val="none" w:sz="0" w:space="0" w:color="auto"/>
            <w:right w:val="none" w:sz="0" w:space="0" w:color="auto"/>
          </w:divBdr>
        </w:div>
        <w:div w:id="568657314">
          <w:marLeft w:val="0"/>
          <w:marRight w:val="0"/>
          <w:marTop w:val="0"/>
          <w:marBottom w:val="0"/>
          <w:divBdr>
            <w:top w:val="none" w:sz="0" w:space="0" w:color="auto"/>
            <w:left w:val="none" w:sz="0" w:space="0" w:color="auto"/>
            <w:bottom w:val="none" w:sz="0" w:space="0" w:color="auto"/>
            <w:right w:val="none" w:sz="0" w:space="0" w:color="auto"/>
          </w:divBdr>
        </w:div>
        <w:div w:id="690957750">
          <w:marLeft w:val="0"/>
          <w:marRight w:val="0"/>
          <w:marTop w:val="0"/>
          <w:marBottom w:val="0"/>
          <w:divBdr>
            <w:top w:val="none" w:sz="0" w:space="0" w:color="auto"/>
            <w:left w:val="none" w:sz="0" w:space="0" w:color="auto"/>
            <w:bottom w:val="none" w:sz="0" w:space="0" w:color="auto"/>
            <w:right w:val="none" w:sz="0" w:space="0" w:color="auto"/>
          </w:divBdr>
        </w:div>
        <w:div w:id="715662696">
          <w:marLeft w:val="0"/>
          <w:marRight w:val="0"/>
          <w:marTop w:val="0"/>
          <w:marBottom w:val="0"/>
          <w:divBdr>
            <w:top w:val="none" w:sz="0" w:space="0" w:color="auto"/>
            <w:left w:val="none" w:sz="0" w:space="0" w:color="auto"/>
            <w:bottom w:val="none" w:sz="0" w:space="0" w:color="auto"/>
            <w:right w:val="none" w:sz="0" w:space="0" w:color="auto"/>
          </w:divBdr>
        </w:div>
        <w:div w:id="716399069">
          <w:marLeft w:val="0"/>
          <w:marRight w:val="0"/>
          <w:marTop w:val="0"/>
          <w:marBottom w:val="0"/>
          <w:divBdr>
            <w:top w:val="none" w:sz="0" w:space="0" w:color="auto"/>
            <w:left w:val="none" w:sz="0" w:space="0" w:color="auto"/>
            <w:bottom w:val="none" w:sz="0" w:space="0" w:color="auto"/>
            <w:right w:val="none" w:sz="0" w:space="0" w:color="auto"/>
          </w:divBdr>
        </w:div>
        <w:div w:id="719325414">
          <w:marLeft w:val="0"/>
          <w:marRight w:val="0"/>
          <w:marTop w:val="0"/>
          <w:marBottom w:val="0"/>
          <w:divBdr>
            <w:top w:val="none" w:sz="0" w:space="0" w:color="auto"/>
            <w:left w:val="none" w:sz="0" w:space="0" w:color="auto"/>
            <w:bottom w:val="none" w:sz="0" w:space="0" w:color="auto"/>
            <w:right w:val="none" w:sz="0" w:space="0" w:color="auto"/>
          </w:divBdr>
        </w:div>
        <w:div w:id="869495863">
          <w:marLeft w:val="0"/>
          <w:marRight w:val="0"/>
          <w:marTop w:val="0"/>
          <w:marBottom w:val="0"/>
          <w:divBdr>
            <w:top w:val="none" w:sz="0" w:space="0" w:color="auto"/>
            <w:left w:val="none" w:sz="0" w:space="0" w:color="auto"/>
            <w:bottom w:val="none" w:sz="0" w:space="0" w:color="auto"/>
            <w:right w:val="none" w:sz="0" w:space="0" w:color="auto"/>
          </w:divBdr>
        </w:div>
        <w:div w:id="883520611">
          <w:marLeft w:val="0"/>
          <w:marRight w:val="0"/>
          <w:marTop w:val="0"/>
          <w:marBottom w:val="0"/>
          <w:divBdr>
            <w:top w:val="none" w:sz="0" w:space="0" w:color="auto"/>
            <w:left w:val="none" w:sz="0" w:space="0" w:color="auto"/>
            <w:bottom w:val="none" w:sz="0" w:space="0" w:color="auto"/>
            <w:right w:val="none" w:sz="0" w:space="0" w:color="auto"/>
          </w:divBdr>
        </w:div>
        <w:div w:id="949357156">
          <w:marLeft w:val="0"/>
          <w:marRight w:val="0"/>
          <w:marTop w:val="0"/>
          <w:marBottom w:val="0"/>
          <w:divBdr>
            <w:top w:val="none" w:sz="0" w:space="0" w:color="auto"/>
            <w:left w:val="none" w:sz="0" w:space="0" w:color="auto"/>
            <w:bottom w:val="none" w:sz="0" w:space="0" w:color="auto"/>
            <w:right w:val="none" w:sz="0" w:space="0" w:color="auto"/>
          </w:divBdr>
        </w:div>
        <w:div w:id="1028525596">
          <w:marLeft w:val="0"/>
          <w:marRight w:val="0"/>
          <w:marTop w:val="0"/>
          <w:marBottom w:val="0"/>
          <w:divBdr>
            <w:top w:val="none" w:sz="0" w:space="0" w:color="auto"/>
            <w:left w:val="none" w:sz="0" w:space="0" w:color="auto"/>
            <w:bottom w:val="none" w:sz="0" w:space="0" w:color="auto"/>
            <w:right w:val="none" w:sz="0" w:space="0" w:color="auto"/>
          </w:divBdr>
        </w:div>
        <w:div w:id="1110010395">
          <w:marLeft w:val="0"/>
          <w:marRight w:val="0"/>
          <w:marTop w:val="0"/>
          <w:marBottom w:val="0"/>
          <w:divBdr>
            <w:top w:val="none" w:sz="0" w:space="0" w:color="auto"/>
            <w:left w:val="none" w:sz="0" w:space="0" w:color="auto"/>
            <w:bottom w:val="none" w:sz="0" w:space="0" w:color="auto"/>
            <w:right w:val="none" w:sz="0" w:space="0" w:color="auto"/>
          </w:divBdr>
        </w:div>
        <w:div w:id="1137797029">
          <w:marLeft w:val="0"/>
          <w:marRight w:val="0"/>
          <w:marTop w:val="0"/>
          <w:marBottom w:val="0"/>
          <w:divBdr>
            <w:top w:val="none" w:sz="0" w:space="0" w:color="auto"/>
            <w:left w:val="none" w:sz="0" w:space="0" w:color="auto"/>
            <w:bottom w:val="none" w:sz="0" w:space="0" w:color="auto"/>
            <w:right w:val="none" w:sz="0" w:space="0" w:color="auto"/>
          </w:divBdr>
        </w:div>
        <w:div w:id="1186866268">
          <w:marLeft w:val="0"/>
          <w:marRight w:val="0"/>
          <w:marTop w:val="0"/>
          <w:marBottom w:val="0"/>
          <w:divBdr>
            <w:top w:val="none" w:sz="0" w:space="0" w:color="auto"/>
            <w:left w:val="none" w:sz="0" w:space="0" w:color="auto"/>
            <w:bottom w:val="none" w:sz="0" w:space="0" w:color="auto"/>
            <w:right w:val="none" w:sz="0" w:space="0" w:color="auto"/>
          </w:divBdr>
        </w:div>
        <w:div w:id="1384912618">
          <w:marLeft w:val="0"/>
          <w:marRight w:val="0"/>
          <w:marTop w:val="0"/>
          <w:marBottom w:val="0"/>
          <w:divBdr>
            <w:top w:val="none" w:sz="0" w:space="0" w:color="auto"/>
            <w:left w:val="none" w:sz="0" w:space="0" w:color="auto"/>
            <w:bottom w:val="none" w:sz="0" w:space="0" w:color="auto"/>
            <w:right w:val="none" w:sz="0" w:space="0" w:color="auto"/>
          </w:divBdr>
        </w:div>
        <w:div w:id="1553225495">
          <w:marLeft w:val="0"/>
          <w:marRight w:val="0"/>
          <w:marTop w:val="0"/>
          <w:marBottom w:val="0"/>
          <w:divBdr>
            <w:top w:val="none" w:sz="0" w:space="0" w:color="auto"/>
            <w:left w:val="none" w:sz="0" w:space="0" w:color="auto"/>
            <w:bottom w:val="none" w:sz="0" w:space="0" w:color="auto"/>
            <w:right w:val="none" w:sz="0" w:space="0" w:color="auto"/>
          </w:divBdr>
        </w:div>
        <w:div w:id="1563714592">
          <w:marLeft w:val="0"/>
          <w:marRight w:val="0"/>
          <w:marTop w:val="0"/>
          <w:marBottom w:val="0"/>
          <w:divBdr>
            <w:top w:val="none" w:sz="0" w:space="0" w:color="auto"/>
            <w:left w:val="none" w:sz="0" w:space="0" w:color="auto"/>
            <w:bottom w:val="none" w:sz="0" w:space="0" w:color="auto"/>
            <w:right w:val="none" w:sz="0" w:space="0" w:color="auto"/>
          </w:divBdr>
        </w:div>
        <w:div w:id="1568805557">
          <w:marLeft w:val="0"/>
          <w:marRight w:val="0"/>
          <w:marTop w:val="0"/>
          <w:marBottom w:val="0"/>
          <w:divBdr>
            <w:top w:val="none" w:sz="0" w:space="0" w:color="auto"/>
            <w:left w:val="none" w:sz="0" w:space="0" w:color="auto"/>
            <w:bottom w:val="none" w:sz="0" w:space="0" w:color="auto"/>
            <w:right w:val="none" w:sz="0" w:space="0" w:color="auto"/>
          </w:divBdr>
        </w:div>
        <w:div w:id="1696882502">
          <w:marLeft w:val="0"/>
          <w:marRight w:val="0"/>
          <w:marTop w:val="0"/>
          <w:marBottom w:val="0"/>
          <w:divBdr>
            <w:top w:val="none" w:sz="0" w:space="0" w:color="auto"/>
            <w:left w:val="none" w:sz="0" w:space="0" w:color="auto"/>
            <w:bottom w:val="none" w:sz="0" w:space="0" w:color="auto"/>
            <w:right w:val="none" w:sz="0" w:space="0" w:color="auto"/>
          </w:divBdr>
        </w:div>
        <w:div w:id="1849099628">
          <w:marLeft w:val="0"/>
          <w:marRight w:val="0"/>
          <w:marTop w:val="0"/>
          <w:marBottom w:val="0"/>
          <w:divBdr>
            <w:top w:val="none" w:sz="0" w:space="0" w:color="auto"/>
            <w:left w:val="none" w:sz="0" w:space="0" w:color="auto"/>
            <w:bottom w:val="none" w:sz="0" w:space="0" w:color="auto"/>
            <w:right w:val="none" w:sz="0" w:space="0" w:color="auto"/>
          </w:divBdr>
        </w:div>
      </w:divsChild>
    </w:div>
    <w:div w:id="1128935379">
      <w:bodyDiv w:val="1"/>
      <w:marLeft w:val="0"/>
      <w:marRight w:val="0"/>
      <w:marTop w:val="0"/>
      <w:marBottom w:val="0"/>
      <w:divBdr>
        <w:top w:val="none" w:sz="0" w:space="0" w:color="auto"/>
        <w:left w:val="none" w:sz="0" w:space="0" w:color="auto"/>
        <w:bottom w:val="none" w:sz="0" w:space="0" w:color="auto"/>
        <w:right w:val="none" w:sz="0" w:space="0" w:color="auto"/>
      </w:divBdr>
      <w:divsChild>
        <w:div w:id="829062014">
          <w:marLeft w:val="0"/>
          <w:marRight w:val="0"/>
          <w:marTop w:val="0"/>
          <w:marBottom w:val="0"/>
          <w:divBdr>
            <w:top w:val="none" w:sz="0" w:space="0" w:color="auto"/>
            <w:left w:val="none" w:sz="0" w:space="0" w:color="auto"/>
            <w:bottom w:val="none" w:sz="0" w:space="0" w:color="auto"/>
            <w:right w:val="none" w:sz="0" w:space="0" w:color="auto"/>
          </w:divBdr>
          <w:divsChild>
            <w:div w:id="297493429">
              <w:marLeft w:val="0"/>
              <w:marRight w:val="0"/>
              <w:marTop w:val="0"/>
              <w:marBottom w:val="0"/>
              <w:divBdr>
                <w:top w:val="none" w:sz="0" w:space="0" w:color="auto"/>
                <w:left w:val="none" w:sz="0" w:space="0" w:color="auto"/>
                <w:bottom w:val="none" w:sz="0" w:space="0" w:color="auto"/>
                <w:right w:val="none" w:sz="0" w:space="0" w:color="auto"/>
              </w:divBdr>
            </w:div>
            <w:div w:id="496313799">
              <w:marLeft w:val="0"/>
              <w:marRight w:val="0"/>
              <w:marTop w:val="0"/>
              <w:marBottom w:val="0"/>
              <w:divBdr>
                <w:top w:val="none" w:sz="0" w:space="0" w:color="auto"/>
                <w:left w:val="none" w:sz="0" w:space="0" w:color="auto"/>
                <w:bottom w:val="none" w:sz="0" w:space="0" w:color="auto"/>
                <w:right w:val="none" w:sz="0" w:space="0" w:color="auto"/>
              </w:divBdr>
            </w:div>
            <w:div w:id="643504184">
              <w:marLeft w:val="0"/>
              <w:marRight w:val="0"/>
              <w:marTop w:val="0"/>
              <w:marBottom w:val="0"/>
              <w:divBdr>
                <w:top w:val="none" w:sz="0" w:space="0" w:color="auto"/>
                <w:left w:val="none" w:sz="0" w:space="0" w:color="auto"/>
                <w:bottom w:val="none" w:sz="0" w:space="0" w:color="auto"/>
                <w:right w:val="none" w:sz="0" w:space="0" w:color="auto"/>
              </w:divBdr>
            </w:div>
            <w:div w:id="1171607326">
              <w:marLeft w:val="0"/>
              <w:marRight w:val="0"/>
              <w:marTop w:val="0"/>
              <w:marBottom w:val="0"/>
              <w:divBdr>
                <w:top w:val="none" w:sz="0" w:space="0" w:color="auto"/>
                <w:left w:val="none" w:sz="0" w:space="0" w:color="auto"/>
                <w:bottom w:val="none" w:sz="0" w:space="0" w:color="auto"/>
                <w:right w:val="none" w:sz="0" w:space="0" w:color="auto"/>
              </w:divBdr>
            </w:div>
            <w:div w:id="1301813149">
              <w:marLeft w:val="0"/>
              <w:marRight w:val="0"/>
              <w:marTop w:val="0"/>
              <w:marBottom w:val="0"/>
              <w:divBdr>
                <w:top w:val="none" w:sz="0" w:space="0" w:color="auto"/>
                <w:left w:val="none" w:sz="0" w:space="0" w:color="auto"/>
                <w:bottom w:val="none" w:sz="0" w:space="0" w:color="auto"/>
                <w:right w:val="none" w:sz="0" w:space="0" w:color="auto"/>
              </w:divBdr>
            </w:div>
            <w:div w:id="1327250632">
              <w:marLeft w:val="0"/>
              <w:marRight w:val="0"/>
              <w:marTop w:val="0"/>
              <w:marBottom w:val="0"/>
              <w:divBdr>
                <w:top w:val="none" w:sz="0" w:space="0" w:color="auto"/>
                <w:left w:val="none" w:sz="0" w:space="0" w:color="auto"/>
                <w:bottom w:val="none" w:sz="0" w:space="0" w:color="auto"/>
                <w:right w:val="none" w:sz="0" w:space="0" w:color="auto"/>
              </w:divBdr>
            </w:div>
            <w:div w:id="1519192504">
              <w:marLeft w:val="0"/>
              <w:marRight w:val="0"/>
              <w:marTop w:val="0"/>
              <w:marBottom w:val="0"/>
              <w:divBdr>
                <w:top w:val="none" w:sz="0" w:space="0" w:color="auto"/>
                <w:left w:val="none" w:sz="0" w:space="0" w:color="auto"/>
                <w:bottom w:val="none" w:sz="0" w:space="0" w:color="auto"/>
                <w:right w:val="none" w:sz="0" w:space="0" w:color="auto"/>
              </w:divBdr>
            </w:div>
            <w:div w:id="1647708850">
              <w:marLeft w:val="0"/>
              <w:marRight w:val="0"/>
              <w:marTop w:val="0"/>
              <w:marBottom w:val="0"/>
              <w:divBdr>
                <w:top w:val="none" w:sz="0" w:space="0" w:color="auto"/>
                <w:left w:val="none" w:sz="0" w:space="0" w:color="auto"/>
                <w:bottom w:val="none" w:sz="0" w:space="0" w:color="auto"/>
                <w:right w:val="none" w:sz="0" w:space="0" w:color="auto"/>
              </w:divBdr>
            </w:div>
            <w:div w:id="1674408896">
              <w:marLeft w:val="0"/>
              <w:marRight w:val="0"/>
              <w:marTop w:val="0"/>
              <w:marBottom w:val="0"/>
              <w:divBdr>
                <w:top w:val="none" w:sz="0" w:space="0" w:color="auto"/>
                <w:left w:val="none" w:sz="0" w:space="0" w:color="auto"/>
                <w:bottom w:val="none" w:sz="0" w:space="0" w:color="auto"/>
                <w:right w:val="none" w:sz="0" w:space="0" w:color="auto"/>
              </w:divBdr>
            </w:div>
            <w:div w:id="18097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83964">
      <w:bodyDiv w:val="1"/>
      <w:marLeft w:val="0"/>
      <w:marRight w:val="0"/>
      <w:marTop w:val="0"/>
      <w:marBottom w:val="0"/>
      <w:divBdr>
        <w:top w:val="none" w:sz="0" w:space="0" w:color="auto"/>
        <w:left w:val="none" w:sz="0" w:space="0" w:color="auto"/>
        <w:bottom w:val="none" w:sz="0" w:space="0" w:color="auto"/>
        <w:right w:val="none" w:sz="0" w:space="0" w:color="auto"/>
      </w:divBdr>
      <w:divsChild>
        <w:div w:id="853493240">
          <w:marLeft w:val="0"/>
          <w:marRight w:val="0"/>
          <w:marTop w:val="0"/>
          <w:marBottom w:val="0"/>
          <w:divBdr>
            <w:top w:val="none" w:sz="0" w:space="0" w:color="auto"/>
            <w:left w:val="none" w:sz="0" w:space="0" w:color="auto"/>
            <w:bottom w:val="none" w:sz="0" w:space="0" w:color="auto"/>
            <w:right w:val="none" w:sz="0" w:space="0" w:color="auto"/>
          </w:divBdr>
        </w:div>
      </w:divsChild>
    </w:div>
    <w:div w:id="1516503920">
      <w:bodyDiv w:val="1"/>
      <w:marLeft w:val="0"/>
      <w:marRight w:val="0"/>
      <w:marTop w:val="0"/>
      <w:marBottom w:val="0"/>
      <w:divBdr>
        <w:top w:val="none" w:sz="0" w:space="0" w:color="auto"/>
        <w:left w:val="none" w:sz="0" w:space="0" w:color="auto"/>
        <w:bottom w:val="none" w:sz="0" w:space="0" w:color="auto"/>
        <w:right w:val="none" w:sz="0" w:space="0" w:color="auto"/>
      </w:divBdr>
      <w:divsChild>
        <w:div w:id="746879047">
          <w:marLeft w:val="0"/>
          <w:marRight w:val="0"/>
          <w:marTop w:val="0"/>
          <w:marBottom w:val="0"/>
          <w:divBdr>
            <w:top w:val="none" w:sz="0" w:space="0" w:color="auto"/>
            <w:left w:val="none" w:sz="0" w:space="0" w:color="auto"/>
            <w:bottom w:val="none" w:sz="0" w:space="0" w:color="auto"/>
            <w:right w:val="none" w:sz="0" w:space="0" w:color="auto"/>
          </w:divBdr>
          <w:divsChild>
            <w:div w:id="74132461">
              <w:marLeft w:val="0"/>
              <w:marRight w:val="0"/>
              <w:marTop w:val="0"/>
              <w:marBottom w:val="0"/>
              <w:divBdr>
                <w:top w:val="none" w:sz="0" w:space="0" w:color="auto"/>
                <w:left w:val="none" w:sz="0" w:space="0" w:color="auto"/>
                <w:bottom w:val="none" w:sz="0" w:space="0" w:color="auto"/>
                <w:right w:val="none" w:sz="0" w:space="0" w:color="auto"/>
              </w:divBdr>
            </w:div>
            <w:div w:id="279990962">
              <w:marLeft w:val="0"/>
              <w:marRight w:val="0"/>
              <w:marTop w:val="0"/>
              <w:marBottom w:val="0"/>
              <w:divBdr>
                <w:top w:val="none" w:sz="0" w:space="0" w:color="auto"/>
                <w:left w:val="none" w:sz="0" w:space="0" w:color="auto"/>
                <w:bottom w:val="none" w:sz="0" w:space="0" w:color="auto"/>
                <w:right w:val="none" w:sz="0" w:space="0" w:color="auto"/>
              </w:divBdr>
            </w:div>
            <w:div w:id="505827024">
              <w:marLeft w:val="0"/>
              <w:marRight w:val="0"/>
              <w:marTop w:val="0"/>
              <w:marBottom w:val="0"/>
              <w:divBdr>
                <w:top w:val="none" w:sz="0" w:space="0" w:color="auto"/>
                <w:left w:val="none" w:sz="0" w:space="0" w:color="auto"/>
                <w:bottom w:val="none" w:sz="0" w:space="0" w:color="auto"/>
                <w:right w:val="none" w:sz="0" w:space="0" w:color="auto"/>
              </w:divBdr>
            </w:div>
            <w:div w:id="525556757">
              <w:marLeft w:val="0"/>
              <w:marRight w:val="0"/>
              <w:marTop w:val="0"/>
              <w:marBottom w:val="0"/>
              <w:divBdr>
                <w:top w:val="none" w:sz="0" w:space="0" w:color="auto"/>
                <w:left w:val="none" w:sz="0" w:space="0" w:color="auto"/>
                <w:bottom w:val="none" w:sz="0" w:space="0" w:color="auto"/>
                <w:right w:val="none" w:sz="0" w:space="0" w:color="auto"/>
              </w:divBdr>
            </w:div>
            <w:div w:id="952908002">
              <w:marLeft w:val="0"/>
              <w:marRight w:val="0"/>
              <w:marTop w:val="0"/>
              <w:marBottom w:val="0"/>
              <w:divBdr>
                <w:top w:val="none" w:sz="0" w:space="0" w:color="auto"/>
                <w:left w:val="none" w:sz="0" w:space="0" w:color="auto"/>
                <w:bottom w:val="none" w:sz="0" w:space="0" w:color="auto"/>
                <w:right w:val="none" w:sz="0" w:space="0" w:color="auto"/>
              </w:divBdr>
            </w:div>
            <w:div w:id="1019240860">
              <w:marLeft w:val="0"/>
              <w:marRight w:val="0"/>
              <w:marTop w:val="0"/>
              <w:marBottom w:val="0"/>
              <w:divBdr>
                <w:top w:val="none" w:sz="0" w:space="0" w:color="auto"/>
                <w:left w:val="none" w:sz="0" w:space="0" w:color="auto"/>
                <w:bottom w:val="none" w:sz="0" w:space="0" w:color="auto"/>
                <w:right w:val="none" w:sz="0" w:space="0" w:color="auto"/>
              </w:divBdr>
            </w:div>
            <w:div w:id="1076056814">
              <w:marLeft w:val="0"/>
              <w:marRight w:val="0"/>
              <w:marTop w:val="0"/>
              <w:marBottom w:val="0"/>
              <w:divBdr>
                <w:top w:val="none" w:sz="0" w:space="0" w:color="auto"/>
                <w:left w:val="none" w:sz="0" w:space="0" w:color="auto"/>
                <w:bottom w:val="none" w:sz="0" w:space="0" w:color="auto"/>
                <w:right w:val="none" w:sz="0" w:space="0" w:color="auto"/>
              </w:divBdr>
            </w:div>
            <w:div w:id="1229027128">
              <w:marLeft w:val="0"/>
              <w:marRight w:val="0"/>
              <w:marTop w:val="0"/>
              <w:marBottom w:val="0"/>
              <w:divBdr>
                <w:top w:val="none" w:sz="0" w:space="0" w:color="auto"/>
                <w:left w:val="none" w:sz="0" w:space="0" w:color="auto"/>
                <w:bottom w:val="none" w:sz="0" w:space="0" w:color="auto"/>
                <w:right w:val="none" w:sz="0" w:space="0" w:color="auto"/>
              </w:divBdr>
            </w:div>
            <w:div w:id="1264000743">
              <w:marLeft w:val="0"/>
              <w:marRight w:val="0"/>
              <w:marTop w:val="0"/>
              <w:marBottom w:val="0"/>
              <w:divBdr>
                <w:top w:val="none" w:sz="0" w:space="0" w:color="auto"/>
                <w:left w:val="none" w:sz="0" w:space="0" w:color="auto"/>
                <w:bottom w:val="none" w:sz="0" w:space="0" w:color="auto"/>
                <w:right w:val="none" w:sz="0" w:space="0" w:color="auto"/>
              </w:divBdr>
            </w:div>
            <w:div w:id="1650749031">
              <w:marLeft w:val="0"/>
              <w:marRight w:val="0"/>
              <w:marTop w:val="0"/>
              <w:marBottom w:val="0"/>
              <w:divBdr>
                <w:top w:val="none" w:sz="0" w:space="0" w:color="auto"/>
                <w:left w:val="none" w:sz="0" w:space="0" w:color="auto"/>
                <w:bottom w:val="none" w:sz="0" w:space="0" w:color="auto"/>
                <w:right w:val="none" w:sz="0" w:space="0" w:color="auto"/>
              </w:divBdr>
            </w:div>
            <w:div w:id="211081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21734">
      <w:bodyDiv w:val="1"/>
      <w:marLeft w:val="0"/>
      <w:marRight w:val="0"/>
      <w:marTop w:val="0"/>
      <w:marBottom w:val="0"/>
      <w:divBdr>
        <w:top w:val="none" w:sz="0" w:space="0" w:color="auto"/>
        <w:left w:val="none" w:sz="0" w:space="0" w:color="auto"/>
        <w:bottom w:val="none" w:sz="0" w:space="0" w:color="auto"/>
        <w:right w:val="none" w:sz="0" w:space="0" w:color="auto"/>
      </w:divBdr>
      <w:divsChild>
        <w:div w:id="1849637481">
          <w:marLeft w:val="0"/>
          <w:marRight w:val="0"/>
          <w:marTop w:val="0"/>
          <w:marBottom w:val="0"/>
          <w:divBdr>
            <w:top w:val="none" w:sz="0" w:space="0" w:color="auto"/>
            <w:left w:val="none" w:sz="0" w:space="0" w:color="auto"/>
            <w:bottom w:val="none" w:sz="0" w:space="0" w:color="auto"/>
            <w:right w:val="none" w:sz="0" w:space="0" w:color="auto"/>
          </w:divBdr>
        </w:div>
      </w:divsChild>
    </w:div>
    <w:div w:id="1544712261">
      <w:bodyDiv w:val="1"/>
      <w:marLeft w:val="0"/>
      <w:marRight w:val="0"/>
      <w:marTop w:val="0"/>
      <w:marBottom w:val="0"/>
      <w:divBdr>
        <w:top w:val="none" w:sz="0" w:space="0" w:color="auto"/>
        <w:left w:val="none" w:sz="0" w:space="0" w:color="auto"/>
        <w:bottom w:val="none" w:sz="0" w:space="0" w:color="auto"/>
        <w:right w:val="none" w:sz="0" w:space="0" w:color="auto"/>
      </w:divBdr>
    </w:div>
    <w:div w:id="1562866185">
      <w:bodyDiv w:val="1"/>
      <w:marLeft w:val="0"/>
      <w:marRight w:val="0"/>
      <w:marTop w:val="0"/>
      <w:marBottom w:val="0"/>
      <w:divBdr>
        <w:top w:val="none" w:sz="0" w:space="0" w:color="auto"/>
        <w:left w:val="none" w:sz="0" w:space="0" w:color="auto"/>
        <w:bottom w:val="none" w:sz="0" w:space="0" w:color="auto"/>
        <w:right w:val="none" w:sz="0" w:space="0" w:color="auto"/>
      </w:divBdr>
      <w:divsChild>
        <w:div w:id="492065920">
          <w:marLeft w:val="0"/>
          <w:marRight w:val="0"/>
          <w:marTop w:val="0"/>
          <w:marBottom w:val="0"/>
          <w:divBdr>
            <w:top w:val="none" w:sz="0" w:space="0" w:color="auto"/>
            <w:left w:val="none" w:sz="0" w:space="0" w:color="auto"/>
            <w:bottom w:val="none" w:sz="0" w:space="0" w:color="auto"/>
            <w:right w:val="none" w:sz="0" w:space="0" w:color="auto"/>
          </w:divBdr>
          <w:divsChild>
            <w:div w:id="228077328">
              <w:marLeft w:val="0"/>
              <w:marRight w:val="0"/>
              <w:marTop w:val="0"/>
              <w:marBottom w:val="0"/>
              <w:divBdr>
                <w:top w:val="none" w:sz="0" w:space="0" w:color="auto"/>
                <w:left w:val="none" w:sz="0" w:space="0" w:color="auto"/>
                <w:bottom w:val="none" w:sz="0" w:space="0" w:color="auto"/>
                <w:right w:val="none" w:sz="0" w:space="0" w:color="auto"/>
              </w:divBdr>
            </w:div>
            <w:div w:id="512688818">
              <w:marLeft w:val="0"/>
              <w:marRight w:val="0"/>
              <w:marTop w:val="0"/>
              <w:marBottom w:val="0"/>
              <w:divBdr>
                <w:top w:val="none" w:sz="0" w:space="0" w:color="auto"/>
                <w:left w:val="none" w:sz="0" w:space="0" w:color="auto"/>
                <w:bottom w:val="none" w:sz="0" w:space="0" w:color="auto"/>
                <w:right w:val="none" w:sz="0" w:space="0" w:color="auto"/>
              </w:divBdr>
            </w:div>
            <w:div w:id="962999338">
              <w:marLeft w:val="0"/>
              <w:marRight w:val="0"/>
              <w:marTop w:val="0"/>
              <w:marBottom w:val="0"/>
              <w:divBdr>
                <w:top w:val="none" w:sz="0" w:space="0" w:color="auto"/>
                <w:left w:val="none" w:sz="0" w:space="0" w:color="auto"/>
                <w:bottom w:val="none" w:sz="0" w:space="0" w:color="auto"/>
                <w:right w:val="none" w:sz="0" w:space="0" w:color="auto"/>
              </w:divBdr>
            </w:div>
            <w:div w:id="1042249936">
              <w:marLeft w:val="0"/>
              <w:marRight w:val="0"/>
              <w:marTop w:val="0"/>
              <w:marBottom w:val="0"/>
              <w:divBdr>
                <w:top w:val="none" w:sz="0" w:space="0" w:color="auto"/>
                <w:left w:val="none" w:sz="0" w:space="0" w:color="auto"/>
                <w:bottom w:val="none" w:sz="0" w:space="0" w:color="auto"/>
                <w:right w:val="none" w:sz="0" w:space="0" w:color="auto"/>
              </w:divBdr>
            </w:div>
            <w:div w:id="1459226078">
              <w:marLeft w:val="0"/>
              <w:marRight w:val="0"/>
              <w:marTop w:val="0"/>
              <w:marBottom w:val="0"/>
              <w:divBdr>
                <w:top w:val="none" w:sz="0" w:space="0" w:color="auto"/>
                <w:left w:val="none" w:sz="0" w:space="0" w:color="auto"/>
                <w:bottom w:val="none" w:sz="0" w:space="0" w:color="auto"/>
                <w:right w:val="none" w:sz="0" w:space="0" w:color="auto"/>
              </w:divBdr>
            </w:div>
            <w:div w:id="1491097030">
              <w:marLeft w:val="0"/>
              <w:marRight w:val="0"/>
              <w:marTop w:val="0"/>
              <w:marBottom w:val="0"/>
              <w:divBdr>
                <w:top w:val="none" w:sz="0" w:space="0" w:color="auto"/>
                <w:left w:val="none" w:sz="0" w:space="0" w:color="auto"/>
                <w:bottom w:val="none" w:sz="0" w:space="0" w:color="auto"/>
                <w:right w:val="none" w:sz="0" w:space="0" w:color="auto"/>
              </w:divBdr>
            </w:div>
            <w:div w:id="1903714813">
              <w:marLeft w:val="0"/>
              <w:marRight w:val="0"/>
              <w:marTop w:val="0"/>
              <w:marBottom w:val="0"/>
              <w:divBdr>
                <w:top w:val="none" w:sz="0" w:space="0" w:color="auto"/>
                <w:left w:val="none" w:sz="0" w:space="0" w:color="auto"/>
                <w:bottom w:val="none" w:sz="0" w:space="0" w:color="auto"/>
                <w:right w:val="none" w:sz="0" w:space="0" w:color="auto"/>
              </w:divBdr>
            </w:div>
            <w:div w:id="20353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107323">
      <w:bodyDiv w:val="1"/>
      <w:marLeft w:val="0"/>
      <w:marRight w:val="0"/>
      <w:marTop w:val="0"/>
      <w:marBottom w:val="0"/>
      <w:divBdr>
        <w:top w:val="none" w:sz="0" w:space="0" w:color="auto"/>
        <w:left w:val="none" w:sz="0" w:space="0" w:color="auto"/>
        <w:bottom w:val="none" w:sz="0" w:space="0" w:color="auto"/>
        <w:right w:val="none" w:sz="0" w:space="0" w:color="auto"/>
      </w:divBdr>
      <w:divsChild>
        <w:div w:id="204760434">
          <w:marLeft w:val="432"/>
          <w:marRight w:val="0"/>
          <w:marTop w:val="192"/>
          <w:marBottom w:val="0"/>
          <w:divBdr>
            <w:top w:val="none" w:sz="0" w:space="0" w:color="auto"/>
            <w:left w:val="none" w:sz="0" w:space="0" w:color="auto"/>
            <w:bottom w:val="none" w:sz="0" w:space="0" w:color="auto"/>
            <w:right w:val="none" w:sz="0" w:space="0" w:color="auto"/>
          </w:divBdr>
        </w:div>
        <w:div w:id="239297128">
          <w:marLeft w:val="432"/>
          <w:marRight w:val="0"/>
          <w:marTop w:val="192"/>
          <w:marBottom w:val="0"/>
          <w:divBdr>
            <w:top w:val="none" w:sz="0" w:space="0" w:color="auto"/>
            <w:left w:val="none" w:sz="0" w:space="0" w:color="auto"/>
            <w:bottom w:val="none" w:sz="0" w:space="0" w:color="auto"/>
            <w:right w:val="none" w:sz="0" w:space="0" w:color="auto"/>
          </w:divBdr>
        </w:div>
        <w:div w:id="523250344">
          <w:marLeft w:val="432"/>
          <w:marRight w:val="0"/>
          <w:marTop w:val="192"/>
          <w:marBottom w:val="0"/>
          <w:divBdr>
            <w:top w:val="none" w:sz="0" w:space="0" w:color="auto"/>
            <w:left w:val="none" w:sz="0" w:space="0" w:color="auto"/>
            <w:bottom w:val="none" w:sz="0" w:space="0" w:color="auto"/>
            <w:right w:val="none" w:sz="0" w:space="0" w:color="auto"/>
          </w:divBdr>
        </w:div>
        <w:div w:id="698555808">
          <w:marLeft w:val="432"/>
          <w:marRight w:val="0"/>
          <w:marTop w:val="192"/>
          <w:marBottom w:val="0"/>
          <w:divBdr>
            <w:top w:val="none" w:sz="0" w:space="0" w:color="auto"/>
            <w:left w:val="none" w:sz="0" w:space="0" w:color="auto"/>
            <w:bottom w:val="none" w:sz="0" w:space="0" w:color="auto"/>
            <w:right w:val="none" w:sz="0" w:space="0" w:color="auto"/>
          </w:divBdr>
        </w:div>
        <w:div w:id="1705784215">
          <w:marLeft w:val="432"/>
          <w:marRight w:val="0"/>
          <w:marTop w:val="192"/>
          <w:marBottom w:val="0"/>
          <w:divBdr>
            <w:top w:val="none" w:sz="0" w:space="0" w:color="auto"/>
            <w:left w:val="none" w:sz="0" w:space="0" w:color="auto"/>
            <w:bottom w:val="none" w:sz="0" w:space="0" w:color="auto"/>
            <w:right w:val="none" w:sz="0" w:space="0" w:color="auto"/>
          </w:divBdr>
        </w:div>
        <w:div w:id="1936205235">
          <w:marLeft w:val="432"/>
          <w:marRight w:val="0"/>
          <w:marTop w:val="192"/>
          <w:marBottom w:val="0"/>
          <w:divBdr>
            <w:top w:val="none" w:sz="0" w:space="0" w:color="auto"/>
            <w:left w:val="none" w:sz="0" w:space="0" w:color="auto"/>
            <w:bottom w:val="none" w:sz="0" w:space="0" w:color="auto"/>
            <w:right w:val="none" w:sz="0" w:space="0" w:color="auto"/>
          </w:divBdr>
        </w:div>
        <w:div w:id="1964459248">
          <w:marLeft w:val="432"/>
          <w:marRight w:val="0"/>
          <w:marTop w:val="192"/>
          <w:marBottom w:val="0"/>
          <w:divBdr>
            <w:top w:val="none" w:sz="0" w:space="0" w:color="auto"/>
            <w:left w:val="none" w:sz="0" w:space="0" w:color="auto"/>
            <w:bottom w:val="none" w:sz="0" w:space="0" w:color="auto"/>
            <w:right w:val="none" w:sz="0" w:space="0" w:color="auto"/>
          </w:divBdr>
        </w:div>
      </w:divsChild>
    </w:div>
    <w:div w:id="1665550892">
      <w:bodyDiv w:val="1"/>
      <w:marLeft w:val="0"/>
      <w:marRight w:val="0"/>
      <w:marTop w:val="0"/>
      <w:marBottom w:val="0"/>
      <w:divBdr>
        <w:top w:val="none" w:sz="0" w:space="0" w:color="auto"/>
        <w:left w:val="none" w:sz="0" w:space="0" w:color="auto"/>
        <w:bottom w:val="none" w:sz="0" w:space="0" w:color="auto"/>
        <w:right w:val="none" w:sz="0" w:space="0" w:color="auto"/>
      </w:divBdr>
      <w:divsChild>
        <w:div w:id="592008854">
          <w:marLeft w:val="0"/>
          <w:marRight w:val="0"/>
          <w:marTop w:val="0"/>
          <w:marBottom w:val="0"/>
          <w:divBdr>
            <w:top w:val="none" w:sz="0" w:space="0" w:color="auto"/>
            <w:left w:val="none" w:sz="0" w:space="0" w:color="auto"/>
            <w:bottom w:val="none" w:sz="0" w:space="0" w:color="auto"/>
            <w:right w:val="none" w:sz="0" w:space="0" w:color="auto"/>
          </w:divBdr>
        </w:div>
      </w:divsChild>
    </w:div>
    <w:div w:id="1897423791">
      <w:bodyDiv w:val="1"/>
      <w:marLeft w:val="0"/>
      <w:marRight w:val="0"/>
      <w:marTop w:val="0"/>
      <w:marBottom w:val="0"/>
      <w:divBdr>
        <w:top w:val="none" w:sz="0" w:space="0" w:color="auto"/>
        <w:left w:val="none" w:sz="0" w:space="0" w:color="auto"/>
        <w:bottom w:val="none" w:sz="0" w:space="0" w:color="auto"/>
        <w:right w:val="none" w:sz="0" w:space="0" w:color="auto"/>
      </w:divBdr>
      <w:divsChild>
        <w:div w:id="1262883244">
          <w:marLeft w:val="0"/>
          <w:marRight w:val="0"/>
          <w:marTop w:val="0"/>
          <w:marBottom w:val="0"/>
          <w:divBdr>
            <w:top w:val="none" w:sz="0" w:space="0" w:color="auto"/>
            <w:left w:val="none" w:sz="0" w:space="0" w:color="auto"/>
            <w:bottom w:val="none" w:sz="0" w:space="0" w:color="auto"/>
            <w:right w:val="none" w:sz="0" w:space="0" w:color="auto"/>
          </w:divBdr>
        </w:div>
      </w:divsChild>
    </w:div>
    <w:div w:id="2022972079">
      <w:bodyDiv w:val="1"/>
      <w:marLeft w:val="0"/>
      <w:marRight w:val="0"/>
      <w:marTop w:val="0"/>
      <w:marBottom w:val="0"/>
      <w:divBdr>
        <w:top w:val="none" w:sz="0" w:space="0" w:color="auto"/>
        <w:left w:val="none" w:sz="0" w:space="0" w:color="auto"/>
        <w:bottom w:val="none" w:sz="0" w:space="0" w:color="auto"/>
        <w:right w:val="none" w:sz="0" w:space="0" w:color="auto"/>
      </w:divBdr>
      <w:divsChild>
        <w:div w:id="1516993938">
          <w:marLeft w:val="0"/>
          <w:marRight w:val="0"/>
          <w:marTop w:val="0"/>
          <w:marBottom w:val="0"/>
          <w:divBdr>
            <w:top w:val="none" w:sz="0" w:space="0" w:color="auto"/>
            <w:left w:val="none" w:sz="0" w:space="0" w:color="auto"/>
            <w:bottom w:val="none" w:sz="0" w:space="0" w:color="auto"/>
            <w:right w:val="none" w:sz="0" w:space="0" w:color="auto"/>
          </w:divBdr>
          <w:divsChild>
            <w:div w:id="288898219">
              <w:marLeft w:val="0"/>
              <w:marRight w:val="0"/>
              <w:marTop w:val="0"/>
              <w:marBottom w:val="0"/>
              <w:divBdr>
                <w:top w:val="none" w:sz="0" w:space="0" w:color="auto"/>
                <w:left w:val="none" w:sz="0" w:space="0" w:color="auto"/>
                <w:bottom w:val="none" w:sz="0" w:space="0" w:color="auto"/>
                <w:right w:val="none" w:sz="0" w:space="0" w:color="auto"/>
              </w:divBdr>
            </w:div>
            <w:div w:id="825821977">
              <w:marLeft w:val="0"/>
              <w:marRight w:val="0"/>
              <w:marTop w:val="0"/>
              <w:marBottom w:val="0"/>
              <w:divBdr>
                <w:top w:val="none" w:sz="0" w:space="0" w:color="auto"/>
                <w:left w:val="none" w:sz="0" w:space="0" w:color="auto"/>
                <w:bottom w:val="none" w:sz="0" w:space="0" w:color="auto"/>
                <w:right w:val="none" w:sz="0" w:space="0" w:color="auto"/>
              </w:divBdr>
            </w:div>
            <w:div w:id="1104887703">
              <w:marLeft w:val="0"/>
              <w:marRight w:val="0"/>
              <w:marTop w:val="0"/>
              <w:marBottom w:val="0"/>
              <w:divBdr>
                <w:top w:val="none" w:sz="0" w:space="0" w:color="auto"/>
                <w:left w:val="none" w:sz="0" w:space="0" w:color="auto"/>
                <w:bottom w:val="none" w:sz="0" w:space="0" w:color="auto"/>
                <w:right w:val="none" w:sz="0" w:space="0" w:color="auto"/>
              </w:divBdr>
            </w:div>
            <w:div w:id="1383214773">
              <w:marLeft w:val="0"/>
              <w:marRight w:val="0"/>
              <w:marTop w:val="0"/>
              <w:marBottom w:val="0"/>
              <w:divBdr>
                <w:top w:val="none" w:sz="0" w:space="0" w:color="auto"/>
                <w:left w:val="none" w:sz="0" w:space="0" w:color="auto"/>
                <w:bottom w:val="none" w:sz="0" w:space="0" w:color="auto"/>
                <w:right w:val="none" w:sz="0" w:space="0" w:color="auto"/>
              </w:divBdr>
            </w:div>
            <w:div w:id="1398436332">
              <w:marLeft w:val="0"/>
              <w:marRight w:val="0"/>
              <w:marTop w:val="0"/>
              <w:marBottom w:val="0"/>
              <w:divBdr>
                <w:top w:val="none" w:sz="0" w:space="0" w:color="auto"/>
                <w:left w:val="none" w:sz="0" w:space="0" w:color="auto"/>
                <w:bottom w:val="none" w:sz="0" w:space="0" w:color="auto"/>
                <w:right w:val="none" w:sz="0" w:space="0" w:color="auto"/>
              </w:divBdr>
            </w:div>
            <w:div w:id="1400907377">
              <w:marLeft w:val="0"/>
              <w:marRight w:val="0"/>
              <w:marTop w:val="0"/>
              <w:marBottom w:val="0"/>
              <w:divBdr>
                <w:top w:val="none" w:sz="0" w:space="0" w:color="auto"/>
                <w:left w:val="none" w:sz="0" w:space="0" w:color="auto"/>
                <w:bottom w:val="none" w:sz="0" w:space="0" w:color="auto"/>
                <w:right w:val="none" w:sz="0" w:space="0" w:color="auto"/>
              </w:divBdr>
            </w:div>
            <w:div w:id="1959291466">
              <w:marLeft w:val="0"/>
              <w:marRight w:val="0"/>
              <w:marTop w:val="0"/>
              <w:marBottom w:val="0"/>
              <w:divBdr>
                <w:top w:val="none" w:sz="0" w:space="0" w:color="auto"/>
                <w:left w:val="none" w:sz="0" w:space="0" w:color="auto"/>
                <w:bottom w:val="none" w:sz="0" w:space="0" w:color="auto"/>
                <w:right w:val="none" w:sz="0" w:space="0" w:color="auto"/>
              </w:divBdr>
            </w:div>
            <w:div w:id="21435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9562">
      <w:bodyDiv w:val="1"/>
      <w:marLeft w:val="0"/>
      <w:marRight w:val="0"/>
      <w:marTop w:val="0"/>
      <w:marBottom w:val="0"/>
      <w:divBdr>
        <w:top w:val="none" w:sz="0" w:space="0" w:color="auto"/>
        <w:left w:val="none" w:sz="0" w:space="0" w:color="auto"/>
        <w:bottom w:val="none" w:sz="0" w:space="0" w:color="auto"/>
        <w:right w:val="none" w:sz="0" w:space="0" w:color="auto"/>
      </w:divBdr>
    </w:div>
    <w:div w:id="2056925724">
      <w:bodyDiv w:val="1"/>
      <w:marLeft w:val="0"/>
      <w:marRight w:val="0"/>
      <w:marTop w:val="0"/>
      <w:marBottom w:val="0"/>
      <w:divBdr>
        <w:top w:val="none" w:sz="0" w:space="0" w:color="auto"/>
        <w:left w:val="none" w:sz="0" w:space="0" w:color="auto"/>
        <w:bottom w:val="none" w:sz="0" w:space="0" w:color="auto"/>
        <w:right w:val="none" w:sz="0" w:space="0" w:color="auto"/>
      </w:divBdr>
    </w:div>
    <w:div w:id="2084256280">
      <w:bodyDiv w:val="1"/>
      <w:marLeft w:val="0"/>
      <w:marRight w:val="0"/>
      <w:marTop w:val="0"/>
      <w:marBottom w:val="0"/>
      <w:divBdr>
        <w:top w:val="none" w:sz="0" w:space="0" w:color="auto"/>
        <w:left w:val="none" w:sz="0" w:space="0" w:color="auto"/>
        <w:bottom w:val="none" w:sz="0" w:space="0" w:color="auto"/>
        <w:right w:val="none" w:sz="0" w:space="0" w:color="auto"/>
      </w:divBdr>
      <w:divsChild>
        <w:div w:id="361786782">
          <w:marLeft w:val="0"/>
          <w:marRight w:val="0"/>
          <w:marTop w:val="0"/>
          <w:marBottom w:val="0"/>
          <w:divBdr>
            <w:top w:val="none" w:sz="0" w:space="0" w:color="auto"/>
            <w:left w:val="none" w:sz="0" w:space="0" w:color="auto"/>
            <w:bottom w:val="none" w:sz="0" w:space="0" w:color="auto"/>
            <w:right w:val="none" w:sz="0" w:space="0" w:color="auto"/>
          </w:divBdr>
        </w:div>
      </w:divsChild>
    </w:div>
    <w:div w:id="2093895370">
      <w:bodyDiv w:val="1"/>
      <w:marLeft w:val="0"/>
      <w:marRight w:val="0"/>
      <w:marTop w:val="0"/>
      <w:marBottom w:val="0"/>
      <w:divBdr>
        <w:top w:val="none" w:sz="0" w:space="0" w:color="auto"/>
        <w:left w:val="none" w:sz="0" w:space="0" w:color="auto"/>
        <w:bottom w:val="none" w:sz="0" w:space="0" w:color="auto"/>
        <w:right w:val="none" w:sz="0" w:space="0" w:color="auto"/>
      </w:divBdr>
    </w:div>
    <w:div w:id="2137142303">
      <w:bodyDiv w:val="1"/>
      <w:marLeft w:val="0"/>
      <w:marRight w:val="0"/>
      <w:marTop w:val="0"/>
      <w:marBottom w:val="0"/>
      <w:divBdr>
        <w:top w:val="none" w:sz="0" w:space="0" w:color="auto"/>
        <w:left w:val="none" w:sz="0" w:space="0" w:color="auto"/>
        <w:bottom w:val="none" w:sz="0" w:space="0" w:color="auto"/>
        <w:right w:val="none" w:sz="0" w:space="0" w:color="auto"/>
      </w:divBdr>
      <w:divsChild>
        <w:div w:id="707686331">
          <w:marLeft w:val="432"/>
          <w:marRight w:val="0"/>
          <w:marTop w:val="192"/>
          <w:marBottom w:val="0"/>
          <w:divBdr>
            <w:top w:val="none" w:sz="0" w:space="0" w:color="auto"/>
            <w:left w:val="none" w:sz="0" w:space="0" w:color="auto"/>
            <w:bottom w:val="none" w:sz="0" w:space="0" w:color="auto"/>
            <w:right w:val="none" w:sz="0" w:space="0" w:color="auto"/>
          </w:divBdr>
        </w:div>
        <w:div w:id="854080943">
          <w:marLeft w:val="432"/>
          <w:marRight w:val="0"/>
          <w:marTop w:val="192"/>
          <w:marBottom w:val="0"/>
          <w:divBdr>
            <w:top w:val="none" w:sz="0" w:space="0" w:color="auto"/>
            <w:left w:val="none" w:sz="0" w:space="0" w:color="auto"/>
            <w:bottom w:val="none" w:sz="0" w:space="0" w:color="auto"/>
            <w:right w:val="none" w:sz="0" w:space="0" w:color="auto"/>
          </w:divBdr>
        </w:div>
        <w:div w:id="2074548613">
          <w:marLeft w:val="432"/>
          <w:marRight w:val="0"/>
          <w:marTop w:val="19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hant West 2020">
      <a:dk1>
        <a:srgbClr val="000000"/>
      </a:dk1>
      <a:lt1>
        <a:srgbClr val="FFFFFF"/>
      </a:lt1>
      <a:dk2>
        <a:srgbClr val="E18409"/>
      </a:dk2>
      <a:lt2>
        <a:srgbClr val="706F6F"/>
      </a:lt2>
      <a:accent1>
        <a:srgbClr val="40AB35"/>
      </a:accent1>
      <a:accent2>
        <a:srgbClr val="A1CC82"/>
      </a:accent2>
      <a:accent3>
        <a:srgbClr val="FFF4CF"/>
      </a:accent3>
      <a:accent4>
        <a:srgbClr val="CB1316"/>
      </a:accent4>
      <a:accent5>
        <a:srgbClr val="3B93C4"/>
      </a:accent5>
      <a:accent6>
        <a:srgbClr val="5FBFED"/>
      </a:accent6>
      <a:hlink>
        <a:srgbClr val="E18409"/>
      </a:hlink>
      <a:folHlink>
        <a:srgbClr val="000000"/>
      </a:folHlink>
    </a:clrScheme>
    <a:fontScheme name="Chant Wes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A81D2-B299-4893-B1F6-CD4C8B864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3713</Words>
  <Characters>19382</Characters>
  <Application>Microsoft Office Word</Application>
  <DocSecurity>0</DocSecurity>
  <Lines>161</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to the 'Your Future, Your Super package' consultation</dc:title>
  <dc:subject/>
  <dc:creator/>
  <cp:keywords/>
  <dc:description/>
  <cp:lastModifiedBy/>
  <cp:revision>1</cp:revision>
  <dcterms:created xsi:type="dcterms:W3CDTF">2021-01-18T02:10:00Z</dcterms:created>
  <dcterms:modified xsi:type="dcterms:W3CDTF">2021-01-18T02:10:00Z</dcterms:modified>
</cp:coreProperties>
</file>