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9AF224" w14:textId="77777777" w:rsidR="000B2BE5" w:rsidRPr="000128F8" w:rsidRDefault="000B2BE5" w:rsidP="000B2BE5">
      <w:pPr>
        <w:jc w:val="both"/>
        <w:rPr>
          <w:color w:val="002455" w:themeColor="accent1"/>
        </w:rPr>
      </w:pPr>
      <w:bookmarkStart w:id="0" w:name="_Toc37087790"/>
      <w:bookmarkStart w:id="1" w:name="_Toc37087821"/>
      <w:bookmarkStart w:id="2" w:name="_Toc37087853"/>
      <w:bookmarkStart w:id="3" w:name="_Toc37330180"/>
      <w:bookmarkStart w:id="4" w:name="_GoBack"/>
      <w:bookmarkEnd w:id="4"/>
    </w:p>
    <w:p w14:paraId="2AA37FAA" w14:textId="0F6A4765" w:rsidR="000128F8" w:rsidRPr="000128F8" w:rsidRDefault="00C54AD0" w:rsidP="006E1F78">
      <w:r>
        <w:t>17</w:t>
      </w:r>
      <w:r w:rsidRPr="00C54AD0">
        <w:t xml:space="preserve"> </w:t>
      </w:r>
      <w:r w:rsidR="003328D7" w:rsidRPr="00C54AD0">
        <w:t xml:space="preserve">December </w:t>
      </w:r>
      <w:r w:rsidR="00C8147D" w:rsidRPr="00C54AD0">
        <w:t>2020</w:t>
      </w:r>
    </w:p>
    <w:p w14:paraId="5D655853" w14:textId="43BA3CAC" w:rsidR="000128F8" w:rsidRDefault="000128F8" w:rsidP="00454610">
      <w:pPr>
        <w:jc w:val="both"/>
        <w:rPr>
          <w:color w:val="002455" w:themeColor="accent1"/>
        </w:rPr>
      </w:pPr>
    </w:p>
    <w:p w14:paraId="23947BC2" w14:textId="77777777" w:rsidR="004346BE" w:rsidRDefault="004346BE" w:rsidP="004346BE">
      <w:pPr>
        <w:jc w:val="both"/>
        <w:rPr>
          <w:color w:val="002455" w:themeColor="accent1"/>
        </w:rPr>
      </w:pPr>
      <w:r>
        <w:rPr>
          <w:rFonts w:asciiTheme="minorHAnsi" w:hAnsiTheme="minorHAnsi" w:cstheme="minorHAnsi"/>
          <w:b/>
          <w:color w:val="313131"/>
          <w:shd w:val="clear" w:color="auto" w:fill="FFFFFF"/>
        </w:rPr>
        <w:t>Sent to</w:t>
      </w:r>
      <w:r w:rsidRPr="007C061E">
        <w:rPr>
          <w:rFonts w:asciiTheme="minorHAnsi" w:hAnsiTheme="minorHAnsi" w:cstheme="minorHAnsi"/>
          <w:b/>
          <w:color w:val="313131"/>
          <w:shd w:val="clear" w:color="auto" w:fill="FFFFFF"/>
        </w:rPr>
        <w:t xml:space="preserve">: </w:t>
      </w:r>
      <w:hyperlink r:id="rId8" w:history="1">
        <w:r w:rsidRPr="007C061E">
          <w:rPr>
            <w:rFonts w:asciiTheme="minorHAnsi" w:hAnsiTheme="minorHAnsi" w:cstheme="minorHAnsi"/>
            <w:b/>
            <w:color w:val="313131"/>
            <w:shd w:val="clear" w:color="auto" w:fill="FFFFFF"/>
          </w:rPr>
          <w:t>superannuation@treasury.gov.au</w:t>
        </w:r>
      </w:hyperlink>
    </w:p>
    <w:p w14:paraId="0515842E" w14:textId="2416BFA6" w:rsidR="000128F8" w:rsidRPr="00D00F10" w:rsidRDefault="003328D7" w:rsidP="00454610">
      <w:pPr>
        <w:pStyle w:val="Heading3"/>
        <w:jc w:val="both"/>
        <w:rPr>
          <w:rFonts w:asciiTheme="minorHAnsi" w:eastAsia="SimSun" w:hAnsiTheme="minorHAnsi" w:cstheme="minorHAnsi"/>
          <w:b w:val="0"/>
          <w:color w:val="auto"/>
          <w:sz w:val="22"/>
          <w:shd w:val="clear" w:color="auto" w:fill="FFFFFF"/>
        </w:rPr>
      </w:pPr>
      <w:r w:rsidRPr="00D00F10">
        <w:rPr>
          <w:rFonts w:asciiTheme="minorHAnsi" w:eastAsia="SimSun" w:hAnsiTheme="minorHAnsi" w:cstheme="minorHAnsi"/>
          <w:b w:val="0"/>
          <w:color w:val="auto"/>
          <w:sz w:val="22"/>
          <w:shd w:val="clear" w:color="auto" w:fill="FFFFFF"/>
        </w:rPr>
        <w:t>The Manager</w:t>
      </w:r>
    </w:p>
    <w:p w14:paraId="0AFF8673" w14:textId="32CA550D" w:rsidR="000128F8" w:rsidRPr="00D00F10" w:rsidRDefault="008525F2" w:rsidP="008525F2">
      <w:pPr>
        <w:rPr>
          <w:rFonts w:asciiTheme="minorHAnsi" w:hAnsiTheme="minorHAnsi" w:cstheme="minorHAnsi"/>
          <w:shd w:val="clear" w:color="auto" w:fill="FFFFFF"/>
        </w:rPr>
      </w:pPr>
      <w:r w:rsidRPr="00D00F10">
        <w:rPr>
          <w:rFonts w:asciiTheme="minorHAnsi" w:hAnsiTheme="minorHAnsi" w:cstheme="minorHAnsi"/>
          <w:shd w:val="clear" w:color="auto" w:fill="FFFFFF"/>
        </w:rPr>
        <w:t>Retirement Income Policy Division</w:t>
      </w:r>
      <w:r w:rsidRPr="00D00F10">
        <w:rPr>
          <w:rFonts w:asciiTheme="minorHAnsi" w:hAnsiTheme="minorHAnsi" w:cstheme="minorHAnsi"/>
          <w:shd w:val="clear" w:color="auto" w:fill="FFFFFF"/>
        </w:rPr>
        <w:br/>
        <w:t>Treasury</w:t>
      </w:r>
      <w:r w:rsidRPr="00D00F10">
        <w:rPr>
          <w:rFonts w:asciiTheme="minorHAnsi" w:hAnsiTheme="minorHAnsi" w:cstheme="minorHAnsi"/>
          <w:shd w:val="clear" w:color="auto" w:fill="FFFFFF"/>
        </w:rPr>
        <w:br/>
        <w:t>Langton Cres</w:t>
      </w:r>
      <w:r w:rsidRPr="00D00F10">
        <w:rPr>
          <w:rFonts w:asciiTheme="minorHAnsi" w:hAnsiTheme="minorHAnsi" w:cstheme="minorHAnsi"/>
          <w:shd w:val="clear" w:color="auto" w:fill="FFFFFF"/>
        </w:rPr>
        <w:br/>
        <w:t>Parkes ACT 2600</w:t>
      </w:r>
    </w:p>
    <w:p w14:paraId="6B8C8A75" w14:textId="77777777" w:rsidR="003328D7" w:rsidRPr="00D00F10" w:rsidRDefault="003328D7" w:rsidP="00454610">
      <w:pPr>
        <w:jc w:val="both"/>
      </w:pPr>
    </w:p>
    <w:p w14:paraId="07D5AECA" w14:textId="1F6B1E9E" w:rsidR="000128F8" w:rsidRDefault="003328D7" w:rsidP="00454610">
      <w:pPr>
        <w:jc w:val="both"/>
      </w:pPr>
      <w:r w:rsidRPr="00D00F10">
        <w:t>To whom it may concern</w:t>
      </w:r>
    </w:p>
    <w:p w14:paraId="6B82678A" w14:textId="77777777" w:rsidR="00144866" w:rsidRPr="00D00F10" w:rsidRDefault="00144866" w:rsidP="00454610">
      <w:pPr>
        <w:jc w:val="both"/>
      </w:pPr>
    </w:p>
    <w:p w14:paraId="1681CC54" w14:textId="1386E7C1" w:rsidR="000128F8" w:rsidRDefault="007A76E3" w:rsidP="00AF64B8">
      <w:pPr>
        <w:pStyle w:val="Heading3"/>
        <w:jc w:val="both"/>
        <w:rPr>
          <w:rStyle w:val="SubtleEmphasis"/>
          <w:i w:val="0"/>
          <w:iCs w:val="0"/>
          <w:color w:val="002455" w:themeColor="accent1"/>
          <w:sz w:val="28"/>
          <w:szCs w:val="28"/>
        </w:rPr>
      </w:pPr>
      <w:r w:rsidRPr="00A06BDF">
        <w:rPr>
          <w:rStyle w:val="SubtleEmphasis"/>
          <w:i w:val="0"/>
          <w:iCs w:val="0"/>
          <w:color w:val="002455" w:themeColor="accent1"/>
          <w:sz w:val="28"/>
          <w:szCs w:val="28"/>
        </w:rPr>
        <w:t>Your Future</w:t>
      </w:r>
      <w:r w:rsidR="00BF2C45" w:rsidRPr="00A06BDF">
        <w:rPr>
          <w:rStyle w:val="SubtleEmphasis"/>
          <w:i w:val="0"/>
          <w:iCs w:val="0"/>
          <w:color w:val="002455" w:themeColor="accent1"/>
          <w:sz w:val="28"/>
          <w:szCs w:val="28"/>
        </w:rPr>
        <w:t>,</w:t>
      </w:r>
      <w:r w:rsidRPr="00A06BDF">
        <w:rPr>
          <w:rStyle w:val="SubtleEmphasis"/>
          <w:i w:val="0"/>
          <w:iCs w:val="0"/>
          <w:color w:val="002455" w:themeColor="accent1"/>
          <w:sz w:val="28"/>
          <w:szCs w:val="28"/>
        </w:rPr>
        <w:t xml:space="preserve"> Your Super</w:t>
      </w:r>
      <w:r w:rsidR="00C40828" w:rsidRPr="00A06BDF">
        <w:rPr>
          <w:rStyle w:val="SubtleEmphasis"/>
          <w:i w:val="0"/>
          <w:iCs w:val="0"/>
          <w:color w:val="002455" w:themeColor="accent1"/>
          <w:sz w:val="28"/>
          <w:szCs w:val="28"/>
        </w:rPr>
        <w:t xml:space="preserve"> </w:t>
      </w:r>
      <w:r w:rsidR="00D25DC3">
        <w:rPr>
          <w:rStyle w:val="SubtleEmphasis"/>
          <w:i w:val="0"/>
          <w:iCs w:val="0"/>
          <w:color w:val="002455" w:themeColor="accent1"/>
          <w:sz w:val="28"/>
          <w:szCs w:val="28"/>
        </w:rPr>
        <w:t>Consultation</w:t>
      </w:r>
    </w:p>
    <w:p w14:paraId="5F39141A" w14:textId="77777777" w:rsidR="00AF64B8" w:rsidRPr="00AF64B8" w:rsidRDefault="00AF64B8" w:rsidP="00AF64B8"/>
    <w:p w14:paraId="7327890D" w14:textId="69A2FC73" w:rsidR="00180AED" w:rsidRDefault="00180AED" w:rsidP="00A97326">
      <w:pPr>
        <w:jc w:val="both"/>
      </w:pPr>
      <w:r>
        <w:t xml:space="preserve">Thank you for considering our </w:t>
      </w:r>
      <w:r w:rsidR="007C68A8">
        <w:t xml:space="preserve">response to </w:t>
      </w:r>
      <w:r w:rsidR="00BF2C45">
        <w:t xml:space="preserve">the </w:t>
      </w:r>
      <w:r w:rsidR="00253097">
        <w:t xml:space="preserve">Treasury </w:t>
      </w:r>
      <w:r w:rsidR="00BF2C45">
        <w:t xml:space="preserve">consultation </w:t>
      </w:r>
      <w:r w:rsidR="00D70A42">
        <w:t xml:space="preserve">in relation to the Your Future, Your Super Package. </w:t>
      </w:r>
    </w:p>
    <w:p w14:paraId="2CBBC057" w14:textId="00798571" w:rsidR="00131AB3" w:rsidRDefault="00BA44C8" w:rsidP="00A97326">
      <w:pPr>
        <w:jc w:val="both"/>
      </w:pPr>
      <w:r>
        <w:t>Noting the Treasury’s preference for a focused response, this document</w:t>
      </w:r>
      <w:r w:rsidR="00131AB3">
        <w:t xml:space="preserve"> focuses on the </w:t>
      </w:r>
      <w:r w:rsidR="00056A24">
        <w:t xml:space="preserve">area </w:t>
      </w:r>
      <w:r w:rsidR="006E1F78">
        <w:t xml:space="preserve">on which </w:t>
      </w:r>
      <w:r w:rsidR="004719EB">
        <w:t xml:space="preserve">we </w:t>
      </w:r>
      <w:r w:rsidR="007025F5">
        <w:t xml:space="preserve">believe we </w:t>
      </w:r>
      <w:r>
        <w:t>are</w:t>
      </w:r>
      <w:r w:rsidR="004719EB">
        <w:t xml:space="preserve"> most qualified to comment, being the </w:t>
      </w:r>
      <w:r w:rsidR="004D291B">
        <w:t xml:space="preserve">“Addressing Underperformance </w:t>
      </w:r>
      <w:r w:rsidR="004719EB">
        <w:t xml:space="preserve">in Superannuation” element of the package, and the </w:t>
      </w:r>
      <w:r w:rsidR="00056A24">
        <w:t xml:space="preserve">related </w:t>
      </w:r>
      <w:r w:rsidR="00BB7613">
        <w:t>p</w:t>
      </w:r>
      <w:r w:rsidR="004719EB">
        <w:t xml:space="preserve">erformance </w:t>
      </w:r>
      <w:r w:rsidR="00BB7613">
        <w:t>t</w:t>
      </w:r>
      <w:r w:rsidR="00056A24">
        <w:t>est</w:t>
      </w:r>
      <w:r w:rsidR="004719EB">
        <w:t xml:space="preserve">. </w:t>
      </w:r>
    </w:p>
    <w:p w14:paraId="392F212D" w14:textId="00EBB5F9" w:rsidR="00A410F1" w:rsidRDefault="00A410F1" w:rsidP="00144866">
      <w:pPr>
        <w:spacing w:after="120"/>
        <w:jc w:val="both"/>
      </w:pPr>
      <w:r>
        <w:t xml:space="preserve">This submission covers the following: </w:t>
      </w:r>
    </w:p>
    <w:p w14:paraId="6DB0C36F" w14:textId="76599C1C" w:rsidR="00A410F1" w:rsidRDefault="004346BE" w:rsidP="001C38CC">
      <w:pPr>
        <w:pStyle w:val="ListParagraph"/>
        <w:numPr>
          <w:ilvl w:val="0"/>
          <w:numId w:val="4"/>
        </w:numPr>
        <w:spacing w:after="120"/>
        <w:ind w:left="426" w:hanging="426"/>
        <w:contextualSpacing w:val="0"/>
        <w:jc w:val="both"/>
      </w:pPr>
      <w:r>
        <w:t>About JANA Investment Advisers</w:t>
      </w:r>
    </w:p>
    <w:p w14:paraId="66C6CC64" w14:textId="096E15E6" w:rsidR="004346BE" w:rsidRDefault="004346BE" w:rsidP="001C38CC">
      <w:pPr>
        <w:pStyle w:val="ListParagraph"/>
        <w:numPr>
          <w:ilvl w:val="0"/>
          <w:numId w:val="4"/>
        </w:numPr>
        <w:spacing w:after="120"/>
        <w:ind w:left="426" w:hanging="426"/>
        <w:contextualSpacing w:val="0"/>
        <w:jc w:val="both"/>
      </w:pPr>
      <w:r>
        <w:t xml:space="preserve">Overarching comments </w:t>
      </w:r>
    </w:p>
    <w:p w14:paraId="5F4AD52C" w14:textId="05235C17" w:rsidR="004346BE" w:rsidRDefault="004346BE" w:rsidP="001C38CC">
      <w:pPr>
        <w:pStyle w:val="ListParagraph"/>
        <w:numPr>
          <w:ilvl w:val="0"/>
          <w:numId w:val="4"/>
        </w:numPr>
        <w:ind w:left="426" w:hanging="426"/>
        <w:jc w:val="both"/>
      </w:pPr>
      <w:r>
        <w:t>Suggestions for improvement</w:t>
      </w:r>
    </w:p>
    <w:p w14:paraId="2AC4F02C" w14:textId="77777777" w:rsidR="00AA2CA8" w:rsidRDefault="00AA2CA8" w:rsidP="00C11071">
      <w:pPr>
        <w:spacing w:after="0"/>
        <w:jc w:val="both"/>
        <w:rPr>
          <w:b/>
          <w:bCs/>
          <w:sz w:val="24"/>
          <w:szCs w:val="28"/>
        </w:rPr>
      </w:pPr>
    </w:p>
    <w:p w14:paraId="3C4B7B1D" w14:textId="5A69E00B" w:rsidR="004719EB" w:rsidRPr="00E42569" w:rsidRDefault="004719EB" w:rsidP="00A97326">
      <w:pPr>
        <w:jc w:val="both"/>
        <w:rPr>
          <w:b/>
          <w:bCs/>
          <w:sz w:val="24"/>
          <w:szCs w:val="28"/>
        </w:rPr>
      </w:pPr>
      <w:r w:rsidRPr="00E42569">
        <w:rPr>
          <w:b/>
          <w:bCs/>
          <w:sz w:val="24"/>
          <w:szCs w:val="28"/>
        </w:rPr>
        <w:t>About JANA</w:t>
      </w:r>
      <w:r w:rsidR="004346BE" w:rsidRPr="00E42569">
        <w:rPr>
          <w:b/>
          <w:bCs/>
          <w:sz w:val="24"/>
          <w:szCs w:val="28"/>
        </w:rPr>
        <w:t xml:space="preserve"> Investment Advisers</w:t>
      </w:r>
    </w:p>
    <w:p w14:paraId="219E1FB8" w14:textId="611792B5" w:rsidR="004346BE" w:rsidRDefault="00D70A42" w:rsidP="00A97326">
      <w:pPr>
        <w:jc w:val="both"/>
        <w:rPr>
          <w:rFonts w:asciiTheme="minorHAnsi" w:hAnsiTheme="minorHAnsi" w:cstheme="minorHAnsi"/>
        </w:rPr>
      </w:pPr>
      <w:r w:rsidRPr="00D00F10">
        <w:t>J</w:t>
      </w:r>
      <w:r w:rsidR="00A13211" w:rsidRPr="00D00F10">
        <w:t>ANA Investment Advisers</w:t>
      </w:r>
      <w:r w:rsidRPr="00D00F10">
        <w:t xml:space="preserve"> was e</w:t>
      </w:r>
      <w:r w:rsidR="005F45D6" w:rsidRPr="00D00F10">
        <w:t xml:space="preserve">stablished in 1987 </w:t>
      </w:r>
      <w:r w:rsidR="00E21F27">
        <w:t>and today</w:t>
      </w:r>
      <w:r w:rsidR="005F45D6" w:rsidRPr="00D00F10">
        <w:t xml:space="preserve"> is one of Australia’s leading </w:t>
      </w:r>
      <w:r w:rsidRPr="00D00F10">
        <w:t xml:space="preserve">and largest </w:t>
      </w:r>
      <w:r w:rsidR="005F45D6" w:rsidRPr="00D00F10">
        <w:t xml:space="preserve">investment advisory </w:t>
      </w:r>
      <w:r w:rsidR="004346BE" w:rsidRPr="00D00F10">
        <w:t xml:space="preserve">and research </w:t>
      </w:r>
      <w:r w:rsidR="005F45D6" w:rsidRPr="00D00F10">
        <w:t>firms with over 30 years of experience</w:t>
      </w:r>
      <w:r w:rsidR="004346BE" w:rsidRPr="00D00F10">
        <w:t>,</w:t>
      </w:r>
      <w:r w:rsidR="00BF7705" w:rsidRPr="00D00F10">
        <w:t xml:space="preserve"> </w:t>
      </w:r>
      <w:r w:rsidR="00AB3071" w:rsidRPr="00D00F10">
        <w:t>~</w:t>
      </w:r>
      <w:r w:rsidR="00BF7705" w:rsidRPr="00D00F10">
        <w:t>1</w:t>
      </w:r>
      <w:r w:rsidR="00AB3071" w:rsidRPr="00D00F10">
        <w:t>1</w:t>
      </w:r>
      <w:r w:rsidR="00BF7705" w:rsidRPr="00D00F10">
        <w:t>0 staff</w:t>
      </w:r>
      <w:r w:rsidR="004346BE" w:rsidRPr="00D00F10">
        <w:t xml:space="preserve"> and </w:t>
      </w:r>
      <w:r w:rsidR="009A57E8" w:rsidRPr="00D00F10">
        <w:rPr>
          <w:rFonts w:asciiTheme="minorHAnsi" w:hAnsiTheme="minorHAnsi" w:cstheme="minorHAnsi"/>
        </w:rPr>
        <w:t>$</w:t>
      </w:r>
      <w:r w:rsidR="000E4C87" w:rsidRPr="00D00F10">
        <w:rPr>
          <w:rFonts w:asciiTheme="minorHAnsi" w:hAnsiTheme="minorHAnsi" w:cstheme="minorHAnsi"/>
        </w:rPr>
        <w:t>6</w:t>
      </w:r>
      <w:r w:rsidR="009A57E8" w:rsidRPr="00D00F10">
        <w:rPr>
          <w:rFonts w:asciiTheme="minorHAnsi" w:hAnsiTheme="minorHAnsi" w:cstheme="minorHAnsi"/>
        </w:rPr>
        <w:t xml:space="preserve">00bn </w:t>
      </w:r>
      <w:r w:rsidR="00AB3071" w:rsidRPr="00D00F10">
        <w:rPr>
          <w:rFonts w:asciiTheme="minorHAnsi" w:hAnsiTheme="minorHAnsi" w:cstheme="minorHAnsi"/>
        </w:rPr>
        <w:t xml:space="preserve">in </w:t>
      </w:r>
      <w:r w:rsidR="009A57E8" w:rsidRPr="00D00F10">
        <w:rPr>
          <w:rFonts w:asciiTheme="minorHAnsi" w:hAnsiTheme="minorHAnsi" w:cstheme="minorHAnsi"/>
        </w:rPr>
        <w:t>funds under advice</w:t>
      </w:r>
      <w:r w:rsidR="004346BE" w:rsidRPr="00D00F10">
        <w:rPr>
          <w:rFonts w:asciiTheme="minorHAnsi" w:hAnsiTheme="minorHAnsi" w:cstheme="minorHAnsi"/>
        </w:rPr>
        <w:t>.</w:t>
      </w:r>
      <w:r w:rsidR="009A57E8" w:rsidRPr="00CA0B56">
        <w:rPr>
          <w:rFonts w:asciiTheme="minorHAnsi" w:hAnsiTheme="minorHAnsi" w:cstheme="minorHAnsi"/>
        </w:rPr>
        <w:t xml:space="preserve"> </w:t>
      </w:r>
      <w:r w:rsidR="006E1F78">
        <w:rPr>
          <w:rFonts w:asciiTheme="minorHAnsi" w:hAnsiTheme="minorHAnsi" w:cstheme="minorHAnsi"/>
        </w:rPr>
        <w:t xml:space="preserve"> Our firm is 55% owned by staff and 45% by the National Australia Bank Group.</w:t>
      </w:r>
    </w:p>
    <w:p w14:paraId="620585D3" w14:textId="6410FD1A" w:rsidR="00536B46" w:rsidRDefault="009A57E8" w:rsidP="00536B46">
      <w:pPr>
        <w:jc w:val="both"/>
      </w:pPr>
      <w:r w:rsidRPr="00CA0B56">
        <w:rPr>
          <w:rFonts w:asciiTheme="minorHAnsi" w:hAnsiTheme="minorHAnsi" w:cstheme="minorHAnsi"/>
        </w:rPr>
        <w:t xml:space="preserve">JANA </w:t>
      </w:r>
      <w:r>
        <w:rPr>
          <w:rFonts w:asciiTheme="minorHAnsi" w:hAnsiTheme="minorHAnsi" w:cstheme="minorHAnsi"/>
        </w:rPr>
        <w:t xml:space="preserve">advises </w:t>
      </w:r>
      <w:r w:rsidRPr="00CA0B56">
        <w:rPr>
          <w:rFonts w:asciiTheme="minorHAnsi" w:hAnsiTheme="minorHAnsi" w:cstheme="minorHAnsi"/>
        </w:rPr>
        <w:t xml:space="preserve">a wide range of </w:t>
      </w:r>
      <w:r w:rsidRPr="00081FAA">
        <w:rPr>
          <w:rFonts w:asciiTheme="minorHAnsi" w:hAnsiTheme="minorHAnsi" w:cstheme="minorHAnsi"/>
        </w:rPr>
        <w:t>clients covering superannuation funds, universities, foundations, endowments, charitable trusts, insurers</w:t>
      </w:r>
      <w:r>
        <w:rPr>
          <w:rFonts w:asciiTheme="minorHAnsi" w:hAnsiTheme="minorHAnsi" w:cstheme="minorHAnsi"/>
        </w:rPr>
        <w:t xml:space="preserve">, </w:t>
      </w:r>
      <w:r w:rsidRPr="00692F45">
        <w:rPr>
          <w:rFonts w:asciiTheme="minorHAnsi" w:hAnsiTheme="minorHAnsi" w:cstheme="minorHAnsi"/>
        </w:rPr>
        <w:t>corporate clients</w:t>
      </w:r>
      <w:r>
        <w:rPr>
          <w:rFonts w:asciiTheme="minorHAnsi" w:hAnsiTheme="minorHAnsi" w:cstheme="minorHAnsi"/>
        </w:rPr>
        <w:t xml:space="preserve">, </w:t>
      </w:r>
      <w:r w:rsidR="005F45D6">
        <w:t xml:space="preserve">long service leave funds and family offices.  </w:t>
      </w:r>
      <w:r w:rsidR="00536B46" w:rsidRPr="00B63A33">
        <w:t>JANA</w:t>
      </w:r>
      <w:r w:rsidR="007025F5">
        <w:t>-</w:t>
      </w:r>
      <w:r w:rsidR="00536B46" w:rsidRPr="00B63A33">
        <w:t xml:space="preserve">advised clients have a history of outperforming both their own internal benchmarks and peers. </w:t>
      </w:r>
    </w:p>
    <w:p w14:paraId="306AAE39" w14:textId="604926D4" w:rsidR="00CB68F8" w:rsidRDefault="00CB68F8" w:rsidP="00CB68F8">
      <w:pPr>
        <w:jc w:val="both"/>
      </w:pPr>
      <w:r>
        <w:t xml:space="preserve">At JANA, we believe that together with our clients we can make a </w:t>
      </w:r>
      <w:r w:rsidR="00D25DC3">
        <w:t xml:space="preserve">meaningful positive </w:t>
      </w:r>
      <w:r>
        <w:t xml:space="preserve">difference to </w:t>
      </w:r>
      <w:r w:rsidR="007025F5">
        <w:t xml:space="preserve">the lives of </w:t>
      </w:r>
      <w:r>
        <w:t xml:space="preserve">millions of everyday people who are directly or indirectly </w:t>
      </w:r>
      <w:r w:rsidR="007025F5">
        <w:t xml:space="preserve">impacted </w:t>
      </w:r>
      <w:r>
        <w:t xml:space="preserve">by the advice we provide. </w:t>
      </w:r>
      <w:r w:rsidR="00E21F27">
        <w:t xml:space="preserve"> </w:t>
      </w:r>
      <w:r>
        <w:t xml:space="preserve">We are therefore very strongly aligned with the </w:t>
      </w:r>
      <w:r w:rsidR="002D6AE9">
        <w:t>Treasury</w:t>
      </w:r>
      <w:r>
        <w:t xml:space="preserve">’s objective of increasing accountability for financial outcomes in superannuation and improving outcomes for members.  </w:t>
      </w:r>
    </w:p>
    <w:p w14:paraId="6B93DC3D" w14:textId="77777777" w:rsidR="00CB68F8" w:rsidRDefault="00CB68F8" w:rsidP="00886243">
      <w:pPr>
        <w:spacing w:after="0"/>
        <w:jc w:val="both"/>
        <w:rPr>
          <w:b/>
          <w:bCs/>
        </w:rPr>
      </w:pPr>
    </w:p>
    <w:p w14:paraId="0FE4F46A" w14:textId="77777777" w:rsidR="00E21F27" w:rsidRDefault="00E21F27">
      <w:pPr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br w:type="page"/>
      </w:r>
    </w:p>
    <w:p w14:paraId="136698ED" w14:textId="716389C7" w:rsidR="00536B46" w:rsidRPr="00E42569" w:rsidRDefault="0068125D" w:rsidP="00A97326">
      <w:pPr>
        <w:jc w:val="both"/>
        <w:rPr>
          <w:b/>
          <w:bCs/>
          <w:sz w:val="24"/>
          <w:szCs w:val="28"/>
        </w:rPr>
      </w:pPr>
      <w:r w:rsidRPr="00E42569">
        <w:rPr>
          <w:b/>
          <w:bCs/>
          <w:sz w:val="24"/>
          <w:szCs w:val="28"/>
        </w:rPr>
        <w:lastRenderedPageBreak/>
        <w:t xml:space="preserve">Overarching Comments in relation to the </w:t>
      </w:r>
      <w:r w:rsidR="0077502C" w:rsidRPr="00E42569">
        <w:rPr>
          <w:b/>
          <w:bCs/>
          <w:sz w:val="24"/>
          <w:szCs w:val="28"/>
        </w:rPr>
        <w:t>Your Future, Your Super Package</w:t>
      </w:r>
      <w:r w:rsidR="00700BB2">
        <w:rPr>
          <w:b/>
          <w:bCs/>
          <w:sz w:val="24"/>
          <w:szCs w:val="28"/>
        </w:rPr>
        <w:t xml:space="preserve"> (Addressing </w:t>
      </w:r>
      <w:r w:rsidR="001B71B8">
        <w:rPr>
          <w:b/>
          <w:bCs/>
          <w:sz w:val="24"/>
          <w:szCs w:val="28"/>
        </w:rPr>
        <w:t>U</w:t>
      </w:r>
      <w:r w:rsidR="00700BB2">
        <w:rPr>
          <w:b/>
          <w:bCs/>
          <w:sz w:val="24"/>
          <w:szCs w:val="28"/>
        </w:rPr>
        <w:t>nderperformance in Superannuation)</w:t>
      </w:r>
    </w:p>
    <w:p w14:paraId="69635382" w14:textId="12A978C7" w:rsidR="004A5263" w:rsidRPr="00E42569" w:rsidRDefault="007025F5" w:rsidP="004A5263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Item</w:t>
      </w:r>
      <w:r w:rsidRPr="00E42569">
        <w:rPr>
          <w:b/>
          <w:bCs/>
          <w:i/>
          <w:iCs/>
        </w:rPr>
        <w:t xml:space="preserve"> </w:t>
      </w:r>
      <w:r w:rsidR="004A5263">
        <w:rPr>
          <w:b/>
          <w:bCs/>
          <w:i/>
          <w:iCs/>
        </w:rPr>
        <w:t>1</w:t>
      </w:r>
      <w:r w:rsidR="004A5263" w:rsidRPr="00E42569">
        <w:rPr>
          <w:b/>
          <w:bCs/>
          <w:i/>
          <w:iCs/>
        </w:rPr>
        <w:t xml:space="preserve">: Inadequate detail in relation to the Performance </w:t>
      </w:r>
      <w:r w:rsidR="004C2785">
        <w:rPr>
          <w:b/>
          <w:bCs/>
          <w:i/>
          <w:iCs/>
        </w:rPr>
        <w:t>T</w:t>
      </w:r>
      <w:r w:rsidR="004A5263" w:rsidRPr="00E42569">
        <w:rPr>
          <w:b/>
          <w:bCs/>
          <w:i/>
          <w:iCs/>
        </w:rPr>
        <w:t xml:space="preserve">est set out in the </w:t>
      </w:r>
      <w:r w:rsidR="00A41795">
        <w:rPr>
          <w:b/>
          <w:bCs/>
          <w:i/>
          <w:iCs/>
        </w:rPr>
        <w:t>E</w:t>
      </w:r>
      <w:r w:rsidR="004A5263" w:rsidRPr="00E42569">
        <w:rPr>
          <w:b/>
          <w:bCs/>
          <w:i/>
          <w:iCs/>
        </w:rPr>
        <w:t xml:space="preserve">xposure </w:t>
      </w:r>
      <w:r w:rsidR="00A41795">
        <w:rPr>
          <w:b/>
          <w:bCs/>
          <w:i/>
          <w:iCs/>
        </w:rPr>
        <w:t>D</w:t>
      </w:r>
      <w:r w:rsidR="004A5263" w:rsidRPr="00E42569">
        <w:rPr>
          <w:b/>
          <w:bCs/>
          <w:i/>
          <w:iCs/>
        </w:rPr>
        <w:t>raft</w:t>
      </w:r>
    </w:p>
    <w:p w14:paraId="445898CA" w14:textId="7AD20A4D" w:rsidR="008F73A7" w:rsidRDefault="004A5263" w:rsidP="004A5263">
      <w:pPr>
        <w:jc w:val="both"/>
      </w:pPr>
      <w:r>
        <w:t>One of the key challenges in providing our response to the consultation is the lack of detail in the Exposure Dra</w:t>
      </w:r>
      <w:r w:rsidR="008C1E69">
        <w:t>ft</w:t>
      </w:r>
      <w:r>
        <w:t>.</w:t>
      </w:r>
      <w:r w:rsidR="008F73A7">
        <w:t xml:space="preserve"> </w:t>
      </w:r>
      <w:r w:rsidR="00E21F27">
        <w:t xml:space="preserve"> </w:t>
      </w:r>
      <w:r w:rsidR="008F73A7">
        <w:t>Whilst the</w:t>
      </w:r>
      <w:r w:rsidR="000625DA">
        <w:t xml:space="preserve"> Your Future, Your Super</w:t>
      </w:r>
      <w:r w:rsidR="008F73A7">
        <w:t xml:space="preserve"> Budget announcements </w:t>
      </w:r>
      <w:r w:rsidR="00C97299">
        <w:t>in October</w:t>
      </w:r>
      <w:r w:rsidR="000625DA">
        <w:t xml:space="preserve"> </w:t>
      </w:r>
      <w:r w:rsidR="00C97299">
        <w:t xml:space="preserve">set out a proposed </w:t>
      </w:r>
      <w:r w:rsidR="00BB7613">
        <w:t>p</w:t>
      </w:r>
      <w:r w:rsidR="00C97299">
        <w:t xml:space="preserve">erformance </w:t>
      </w:r>
      <w:r w:rsidR="006E1F78">
        <w:t>t</w:t>
      </w:r>
      <w:r w:rsidR="00C97299">
        <w:t>est</w:t>
      </w:r>
      <w:r w:rsidR="00AE34CC">
        <w:t xml:space="preserve"> and consequences for failure, the Exposure Draft and Expla</w:t>
      </w:r>
      <w:r w:rsidR="009D7A0B">
        <w:t>natory Memorandum provided little</w:t>
      </w:r>
      <w:r w:rsidR="00BB5068">
        <w:t xml:space="preserve"> </w:t>
      </w:r>
      <w:r w:rsidR="009D7A0B">
        <w:t>detail</w:t>
      </w:r>
      <w:r w:rsidR="00C97299">
        <w:t xml:space="preserve"> </w:t>
      </w:r>
      <w:r w:rsidR="004C2785">
        <w:t xml:space="preserve">relating to the </w:t>
      </w:r>
      <w:r w:rsidR="00BB5068">
        <w:t>mechanics and applicat</w:t>
      </w:r>
      <w:r w:rsidR="00A303F5">
        <w:t xml:space="preserve">ion of the </w:t>
      </w:r>
      <w:r w:rsidR="00BB7613">
        <w:t>p</w:t>
      </w:r>
      <w:r w:rsidR="004C2785">
        <w:t xml:space="preserve">erformance </w:t>
      </w:r>
      <w:r w:rsidR="00BB7613">
        <w:t>t</w:t>
      </w:r>
      <w:r w:rsidR="004C2785">
        <w:t xml:space="preserve">est, with further </w:t>
      </w:r>
      <w:r w:rsidR="00107774">
        <w:t xml:space="preserve">and significant amounts of </w:t>
      </w:r>
      <w:r w:rsidR="004C2785">
        <w:t xml:space="preserve">detail to be included in regulations </w:t>
      </w:r>
      <w:r w:rsidR="00BB5068">
        <w:t xml:space="preserve">yet to be provided and not part of this consultation. </w:t>
      </w:r>
      <w:r>
        <w:t xml:space="preserve"> </w:t>
      </w:r>
      <w:r w:rsidR="005E64D9">
        <w:t xml:space="preserve">In addition, </w:t>
      </w:r>
      <w:r w:rsidR="00144866">
        <w:t xml:space="preserve">we believe </w:t>
      </w:r>
      <w:r w:rsidR="005E64D9">
        <w:t xml:space="preserve">how a test would apply to </w:t>
      </w:r>
      <w:proofErr w:type="spellStart"/>
      <w:r w:rsidR="005E64D9">
        <w:t>MySuper</w:t>
      </w:r>
      <w:proofErr w:type="spellEnd"/>
      <w:r w:rsidR="005E64D9">
        <w:t xml:space="preserve"> Lifecycle products requires more</w:t>
      </w:r>
      <w:r w:rsidR="00144866">
        <w:t xml:space="preserve"> detailed</w:t>
      </w:r>
      <w:r w:rsidR="005E64D9">
        <w:t xml:space="preserve"> consideration and we encourage APRA to work closely with industry on the development of appropriate performance test metrics for Lifecycle products.</w:t>
      </w:r>
    </w:p>
    <w:p w14:paraId="45728A09" w14:textId="79CA294E" w:rsidR="004A5263" w:rsidRDefault="002153F7" w:rsidP="004A5263">
      <w:pPr>
        <w:jc w:val="both"/>
      </w:pPr>
      <w:r>
        <w:t>Given the proposed consequences for failure</w:t>
      </w:r>
      <w:r w:rsidR="005738D0">
        <w:t xml:space="preserve"> combined with </w:t>
      </w:r>
      <w:r w:rsidR="001B71B8">
        <w:t>most of the</w:t>
      </w:r>
      <w:r w:rsidR="005738D0">
        <w:t xml:space="preserve"> detail still to </w:t>
      </w:r>
      <w:r w:rsidR="007025F5">
        <w:t xml:space="preserve">be provided in the </w:t>
      </w:r>
      <w:r w:rsidR="005738D0">
        <w:t>regulations</w:t>
      </w:r>
      <w:r>
        <w:t xml:space="preserve">, </w:t>
      </w:r>
      <w:r w:rsidR="007B2EE1">
        <w:t>w</w:t>
      </w:r>
      <w:r w:rsidR="004A5263">
        <w:t xml:space="preserve">e are of the view that the relatively short time horizon for planned implementation (1 July 2021 for the </w:t>
      </w:r>
      <w:r w:rsidR="00BB7613">
        <w:t>p</w:t>
      </w:r>
      <w:r w:rsidR="004A5263">
        <w:t xml:space="preserve">erformance </w:t>
      </w:r>
      <w:r w:rsidR="00BB7613">
        <w:t>t</w:t>
      </w:r>
      <w:r w:rsidR="004A5263">
        <w:t xml:space="preserve">est to apply to </w:t>
      </w:r>
      <w:proofErr w:type="spellStart"/>
      <w:r w:rsidR="004A5263">
        <w:t>MySuper</w:t>
      </w:r>
      <w:proofErr w:type="spellEnd"/>
      <w:r w:rsidR="004A5263">
        <w:t xml:space="preserve"> products) is inadequate. </w:t>
      </w:r>
    </w:p>
    <w:p w14:paraId="30DBE369" w14:textId="27699DA4" w:rsidR="003A6EBE" w:rsidRDefault="00D045FD" w:rsidP="004A5263">
      <w:pPr>
        <w:jc w:val="both"/>
      </w:pPr>
      <w:r>
        <w:t>In light of the above, we are of the view that</w:t>
      </w:r>
      <w:r w:rsidR="006E1DF1">
        <w:t>:</w:t>
      </w:r>
    </w:p>
    <w:p w14:paraId="56FF5C60" w14:textId="2724DA44" w:rsidR="009B2BB8" w:rsidRDefault="00F40B50" w:rsidP="008206AF">
      <w:pPr>
        <w:pStyle w:val="ListParagraph"/>
        <w:numPr>
          <w:ilvl w:val="0"/>
          <w:numId w:val="5"/>
        </w:numPr>
        <w:tabs>
          <w:tab w:val="clear" w:pos="720"/>
        </w:tabs>
        <w:ind w:left="426" w:hanging="426"/>
        <w:contextualSpacing w:val="0"/>
        <w:jc w:val="both"/>
      </w:pPr>
      <w:r>
        <w:t>T</w:t>
      </w:r>
      <w:r w:rsidR="00AF3CD5">
        <w:t xml:space="preserve">he implementation of the </w:t>
      </w:r>
      <w:r w:rsidR="0090651E">
        <w:t>“</w:t>
      </w:r>
      <w:r w:rsidR="004A5263">
        <w:t xml:space="preserve">Addressing Underperformance in Superannuation” </w:t>
      </w:r>
      <w:r w:rsidR="00AF3CD5">
        <w:t xml:space="preserve">package should be deferred </w:t>
      </w:r>
      <w:r w:rsidR="004A5263">
        <w:t xml:space="preserve">until 1 July 2022 </w:t>
      </w:r>
      <w:r w:rsidR="000E453D">
        <w:t xml:space="preserve">to </w:t>
      </w:r>
      <w:r w:rsidR="004A5263">
        <w:t xml:space="preserve">provide industry adequate time to consider and consult on the </w:t>
      </w:r>
      <w:r w:rsidR="006E1DF1">
        <w:t xml:space="preserve">significant detail to follow in </w:t>
      </w:r>
      <w:r w:rsidR="004A5263">
        <w:t>yet to be drafted regulations.</w:t>
      </w:r>
      <w:r w:rsidR="006578F1">
        <w:t xml:space="preserve"> </w:t>
      </w:r>
      <w:r w:rsidR="00CD0C77">
        <w:t xml:space="preserve"> This would also </w:t>
      </w:r>
      <w:r w:rsidR="00427CD5">
        <w:t xml:space="preserve">allow </w:t>
      </w:r>
      <w:r w:rsidR="00CD0C77">
        <w:t>time</w:t>
      </w:r>
      <w:r w:rsidR="006E1F78">
        <w:t xml:space="preserve"> for Treasury</w:t>
      </w:r>
      <w:r w:rsidR="00CD0C77">
        <w:t xml:space="preserve"> to consider and consult on </w:t>
      </w:r>
      <w:r w:rsidR="0094060B">
        <w:t xml:space="preserve">an appropriate </w:t>
      </w:r>
      <w:r w:rsidR="00BB7613">
        <w:t>p</w:t>
      </w:r>
      <w:r w:rsidR="0094060B">
        <w:t xml:space="preserve">erformance </w:t>
      </w:r>
      <w:r w:rsidR="00BB7613">
        <w:t>t</w:t>
      </w:r>
      <w:r w:rsidR="0094060B">
        <w:t xml:space="preserve">est for </w:t>
      </w:r>
      <w:r w:rsidR="00CD0C77">
        <w:t>lifecycle products</w:t>
      </w:r>
      <w:r w:rsidR="0094060B">
        <w:t xml:space="preserve">, </w:t>
      </w:r>
      <w:r w:rsidR="00427CD5">
        <w:t xml:space="preserve">which make up </w:t>
      </w:r>
      <w:r w:rsidR="004C0ECE">
        <w:t xml:space="preserve">a growing and large part of the </w:t>
      </w:r>
      <w:r w:rsidR="003421B4" w:rsidRPr="00787E00">
        <w:t xml:space="preserve">default </w:t>
      </w:r>
      <w:r w:rsidR="00427CD5" w:rsidRPr="00787E00">
        <w:t>market</w:t>
      </w:r>
      <w:r w:rsidR="00721EBB">
        <w:t>.</w:t>
      </w:r>
      <w:r w:rsidR="006578F1">
        <w:t xml:space="preserve"> </w:t>
      </w:r>
      <w:r w:rsidR="0094060B">
        <w:t xml:space="preserve"> </w:t>
      </w:r>
      <w:r w:rsidR="00445943">
        <w:t xml:space="preserve">The Budget-announced </w:t>
      </w:r>
      <w:r w:rsidR="00BB7613">
        <w:t>p</w:t>
      </w:r>
      <w:r w:rsidR="00445943">
        <w:t xml:space="preserve">erformance </w:t>
      </w:r>
      <w:r w:rsidR="00BB7613">
        <w:t>t</w:t>
      </w:r>
      <w:r w:rsidR="00445943">
        <w:t xml:space="preserve">est is most easily applied to single strategy products and consideration needs to be given to how the </w:t>
      </w:r>
      <w:r w:rsidR="00BB7613">
        <w:t>p</w:t>
      </w:r>
      <w:r w:rsidR="00445943">
        <w:t xml:space="preserve">erformance </w:t>
      </w:r>
      <w:r w:rsidR="00BB7613">
        <w:t>t</w:t>
      </w:r>
      <w:r w:rsidR="00445943">
        <w:t>est might apply to lifecycle products</w:t>
      </w:r>
      <w:r w:rsidR="00427CD5">
        <w:t>.</w:t>
      </w:r>
      <w:r w:rsidR="000C6529">
        <w:t xml:space="preserve"> </w:t>
      </w:r>
    </w:p>
    <w:p w14:paraId="75FF014A" w14:textId="547F37CB" w:rsidR="009B2BB8" w:rsidRDefault="009B2BB8" w:rsidP="008206AF">
      <w:pPr>
        <w:pStyle w:val="ListParagraph"/>
        <w:numPr>
          <w:ilvl w:val="0"/>
          <w:numId w:val="5"/>
        </w:numPr>
        <w:tabs>
          <w:tab w:val="clear" w:pos="720"/>
        </w:tabs>
        <w:ind w:left="426" w:hanging="426"/>
        <w:contextualSpacing w:val="0"/>
        <w:jc w:val="both"/>
      </w:pPr>
      <w:r>
        <w:t xml:space="preserve">The implementation of the “Addressing Underperformance in Superannuation” package for Choice multi-asset products (Trustee-directed products) </w:t>
      </w:r>
      <w:r w:rsidR="00C50996">
        <w:t xml:space="preserve">is inherently more complex </w:t>
      </w:r>
      <w:r w:rsidR="00922EE8">
        <w:t>given the range of products and design specifications (</w:t>
      </w:r>
      <w:r w:rsidR="003B07B6">
        <w:t>including SRI/ESG products and risk-managed products such as post-retirement, absolute return and lifecycle products</w:t>
      </w:r>
      <w:r w:rsidR="00D652B3">
        <w:t>)</w:t>
      </w:r>
      <w:r w:rsidR="006661D5">
        <w:t>.</w:t>
      </w:r>
      <w:r w:rsidR="006E7DFC">
        <w:t xml:space="preserve"> </w:t>
      </w:r>
      <w:r w:rsidR="00BD1CA6">
        <w:t xml:space="preserve">For reasons set out further in this Note, JANA does not believe it is necessary for a performance test to apply to </w:t>
      </w:r>
      <w:r w:rsidR="00E02308">
        <w:t>Trustee-directed products where members have made an active choice</w:t>
      </w:r>
      <w:r w:rsidR="0019240F">
        <w:t xml:space="preserve"> to select a product</w:t>
      </w:r>
      <w:r w:rsidR="00E02308">
        <w:t>.</w:t>
      </w:r>
      <w:r w:rsidR="006578F1">
        <w:t xml:space="preserve"> </w:t>
      </w:r>
      <w:r w:rsidR="008C73EA">
        <w:t xml:space="preserve">JANA is </w:t>
      </w:r>
      <w:r w:rsidR="00B02708">
        <w:t xml:space="preserve">also </w:t>
      </w:r>
      <w:r w:rsidR="001E73A9">
        <w:t xml:space="preserve">cautious about the application of a single performance test for </w:t>
      </w:r>
      <w:r w:rsidR="00163073">
        <w:t xml:space="preserve">Trustee-directed products where there is no detail provided as to how </w:t>
      </w:r>
      <w:r w:rsidR="00BB7613">
        <w:t>p</w:t>
      </w:r>
      <w:r w:rsidR="00163073">
        <w:t xml:space="preserve">erformance tests would apply to </w:t>
      </w:r>
      <w:r w:rsidR="006013D3">
        <w:t>this category of products</w:t>
      </w:r>
      <w:r w:rsidR="002104E8">
        <w:t xml:space="preserve"> (if at all)</w:t>
      </w:r>
      <w:r w:rsidR="00163073">
        <w:t xml:space="preserve">. </w:t>
      </w:r>
      <w:r w:rsidR="006578F1">
        <w:t xml:space="preserve"> </w:t>
      </w:r>
      <w:r w:rsidR="00B02708">
        <w:t xml:space="preserve">If Treasury wished to apply a performance test to Trustee-directed products, we </w:t>
      </w:r>
      <w:r w:rsidR="006E1F78">
        <w:t>believe that i</w:t>
      </w:r>
      <w:r w:rsidR="00C50996">
        <w:t>mplement</w:t>
      </w:r>
      <w:r w:rsidR="00A73DE0">
        <w:t>ation</w:t>
      </w:r>
      <w:r w:rsidR="00C50996">
        <w:t xml:space="preserve"> </w:t>
      </w:r>
      <w:r w:rsidR="006661D5">
        <w:t xml:space="preserve">of </w:t>
      </w:r>
      <w:r w:rsidR="00DB094D">
        <w:t xml:space="preserve">any (as yet to be determined) </w:t>
      </w:r>
      <w:r w:rsidR="00BB7613">
        <w:t>p</w:t>
      </w:r>
      <w:r w:rsidR="006661D5">
        <w:t xml:space="preserve">erformance </w:t>
      </w:r>
      <w:r w:rsidR="00BB7613">
        <w:t>t</w:t>
      </w:r>
      <w:r w:rsidR="006661D5">
        <w:t xml:space="preserve">est for Choice </w:t>
      </w:r>
      <w:r w:rsidR="00935E62">
        <w:t xml:space="preserve">Trustee-directed products </w:t>
      </w:r>
      <w:r w:rsidR="006661D5">
        <w:t xml:space="preserve">should be deferred </w:t>
      </w:r>
      <w:r w:rsidR="00DA3300">
        <w:t xml:space="preserve">to post 1 </w:t>
      </w:r>
      <w:r w:rsidR="00D67A65">
        <w:t xml:space="preserve">July </w:t>
      </w:r>
      <w:r w:rsidR="00DA3300">
        <w:t>202</w:t>
      </w:r>
      <w:r w:rsidR="00A73DE0">
        <w:t>3</w:t>
      </w:r>
      <w:r w:rsidR="00461F87">
        <w:t xml:space="preserve"> and include a reasonable lead time for consultation with </w:t>
      </w:r>
      <w:r w:rsidR="006E1F78">
        <w:t xml:space="preserve">the </w:t>
      </w:r>
      <w:r w:rsidR="00461F87">
        <w:t>industry</w:t>
      </w:r>
      <w:r w:rsidR="00B3615B">
        <w:t xml:space="preserve"> for both </w:t>
      </w:r>
      <w:r w:rsidR="00C61C65">
        <w:t xml:space="preserve">applicability </w:t>
      </w:r>
      <w:r w:rsidR="009B0196">
        <w:t xml:space="preserve">of </w:t>
      </w:r>
      <w:r w:rsidR="00C5279C">
        <w:t xml:space="preserve">a </w:t>
      </w:r>
      <w:r w:rsidR="00BB7613">
        <w:t>p</w:t>
      </w:r>
      <w:r w:rsidR="00C5279C">
        <w:t xml:space="preserve">erformance </w:t>
      </w:r>
      <w:r w:rsidR="00BB7613">
        <w:t>t</w:t>
      </w:r>
      <w:r w:rsidR="00C5279C">
        <w:t xml:space="preserve">est to </w:t>
      </w:r>
      <w:r w:rsidR="00935E62">
        <w:t xml:space="preserve">Trustee-directed products </w:t>
      </w:r>
      <w:r w:rsidR="00C61C65">
        <w:t xml:space="preserve">and </w:t>
      </w:r>
      <w:r w:rsidR="00C5279C">
        <w:t xml:space="preserve">the </w:t>
      </w:r>
      <w:r w:rsidR="001B71B8">
        <w:t>specific details of how such a test would be applied</w:t>
      </w:r>
      <w:r w:rsidR="00973C11">
        <w:t xml:space="preserve">. </w:t>
      </w:r>
    </w:p>
    <w:p w14:paraId="3189C667" w14:textId="77777777" w:rsidR="00144866" w:rsidRDefault="00144866" w:rsidP="00E42569">
      <w:pPr>
        <w:jc w:val="both"/>
        <w:rPr>
          <w:b/>
          <w:bCs/>
          <w:i/>
          <w:iCs/>
        </w:rPr>
      </w:pPr>
    </w:p>
    <w:p w14:paraId="24851ABA" w14:textId="6B803BFA" w:rsidR="00636190" w:rsidRPr="00E42569" w:rsidRDefault="001B71B8" w:rsidP="00E42569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Item</w:t>
      </w:r>
      <w:r w:rsidRPr="00E42569">
        <w:rPr>
          <w:b/>
          <w:bCs/>
          <w:i/>
          <w:iCs/>
        </w:rPr>
        <w:t xml:space="preserve"> </w:t>
      </w:r>
      <w:r w:rsidR="008F73A7">
        <w:rPr>
          <w:b/>
          <w:bCs/>
          <w:i/>
          <w:iCs/>
        </w:rPr>
        <w:t>2</w:t>
      </w:r>
      <w:r w:rsidR="00636190" w:rsidRPr="00E42569">
        <w:rPr>
          <w:b/>
          <w:bCs/>
          <w:i/>
          <w:iCs/>
        </w:rPr>
        <w:t xml:space="preserve">: The proposed performance test is likely to be </w:t>
      </w:r>
      <w:r w:rsidR="00B30D70" w:rsidRPr="00E42569">
        <w:rPr>
          <w:b/>
          <w:bCs/>
          <w:i/>
          <w:iCs/>
        </w:rPr>
        <w:t xml:space="preserve">ineffective </w:t>
      </w:r>
      <w:r>
        <w:rPr>
          <w:b/>
          <w:bCs/>
          <w:i/>
          <w:iCs/>
        </w:rPr>
        <w:t xml:space="preserve">in many cases </w:t>
      </w:r>
      <w:r w:rsidR="00B30D70" w:rsidRPr="00E42569">
        <w:rPr>
          <w:b/>
          <w:bCs/>
          <w:i/>
          <w:iCs/>
        </w:rPr>
        <w:t>and</w:t>
      </w:r>
      <w:r w:rsidR="0050558E" w:rsidRPr="00E42569">
        <w:rPr>
          <w:b/>
          <w:bCs/>
          <w:i/>
          <w:iCs/>
        </w:rPr>
        <w:t xml:space="preserve"> is coupled with </w:t>
      </w:r>
      <w:r w:rsidR="004B2DFC">
        <w:rPr>
          <w:b/>
          <w:bCs/>
          <w:i/>
          <w:iCs/>
        </w:rPr>
        <w:t xml:space="preserve">significant </w:t>
      </w:r>
      <w:r w:rsidR="0001717D">
        <w:rPr>
          <w:b/>
          <w:bCs/>
          <w:i/>
          <w:iCs/>
        </w:rPr>
        <w:t xml:space="preserve">and disproportionate </w:t>
      </w:r>
      <w:r w:rsidR="0050558E" w:rsidRPr="00E42569">
        <w:rPr>
          <w:b/>
          <w:bCs/>
          <w:i/>
          <w:iCs/>
        </w:rPr>
        <w:t xml:space="preserve">consequences for failure. </w:t>
      </w:r>
    </w:p>
    <w:p w14:paraId="7CC437CE" w14:textId="2877F855" w:rsidR="003A3FEE" w:rsidRDefault="000266E5" w:rsidP="00A97326">
      <w:pPr>
        <w:jc w:val="both"/>
      </w:pPr>
      <w:r>
        <w:t>Whilst we are s</w:t>
      </w:r>
      <w:r w:rsidR="00FD685B">
        <w:t>upporti</w:t>
      </w:r>
      <w:r w:rsidR="00AD1F93">
        <w:t>ve</w:t>
      </w:r>
      <w:r w:rsidR="00FD685B">
        <w:t xml:space="preserve"> of the </w:t>
      </w:r>
      <w:r w:rsidR="002D6AE9">
        <w:t>Treasury</w:t>
      </w:r>
      <w:r w:rsidR="00FD685B">
        <w:t>’s stated policy goals for</w:t>
      </w:r>
      <w:r w:rsidR="006E1F78">
        <w:t xml:space="preserve"> the</w:t>
      </w:r>
      <w:r w:rsidR="00FD685B">
        <w:t xml:space="preserve"> “Addressing Underperformance in Superannuation” element of the package, we are </w:t>
      </w:r>
      <w:r>
        <w:t xml:space="preserve">concerned </w:t>
      </w:r>
      <w:r w:rsidR="005A3938">
        <w:t xml:space="preserve">that the proposed Performance </w:t>
      </w:r>
      <w:r w:rsidR="00CB68F8">
        <w:t>T</w:t>
      </w:r>
      <w:r w:rsidR="005A3938">
        <w:t>est set out in the Your Future</w:t>
      </w:r>
      <w:r w:rsidR="001B71B8">
        <w:t>,</w:t>
      </w:r>
      <w:r w:rsidR="005A3938">
        <w:t xml:space="preserve"> Your Super Budget announcements </w:t>
      </w:r>
      <w:r w:rsidR="00B03439">
        <w:t xml:space="preserve">is </w:t>
      </w:r>
      <w:r w:rsidR="003A3FEE">
        <w:t xml:space="preserve">not sufficient in meeting the </w:t>
      </w:r>
      <w:r w:rsidR="002D6AE9">
        <w:t>Treasury</w:t>
      </w:r>
      <w:r w:rsidR="003A3FEE">
        <w:t xml:space="preserve">’s </w:t>
      </w:r>
      <w:r w:rsidR="006E1F78">
        <w:t xml:space="preserve">desired </w:t>
      </w:r>
      <w:r w:rsidR="003A3FEE">
        <w:t xml:space="preserve">objective for the following reasons: </w:t>
      </w:r>
    </w:p>
    <w:p w14:paraId="409CCB57" w14:textId="5B0EF256" w:rsidR="003A3FEE" w:rsidRDefault="00330F71" w:rsidP="00D56F9B">
      <w:pPr>
        <w:pStyle w:val="ListParagraph"/>
        <w:numPr>
          <w:ilvl w:val="0"/>
          <w:numId w:val="3"/>
        </w:numPr>
        <w:ind w:left="426" w:hanging="426"/>
        <w:contextualSpacing w:val="0"/>
        <w:jc w:val="both"/>
      </w:pPr>
      <w:r>
        <w:lastRenderedPageBreak/>
        <w:t>By focusing on implementation only, t</w:t>
      </w:r>
      <w:r w:rsidR="00975799">
        <w:t xml:space="preserve">he test </w:t>
      </w:r>
      <w:r w:rsidR="003A3FEE">
        <w:t xml:space="preserve">only </w:t>
      </w:r>
      <w:r w:rsidR="00975799">
        <w:t xml:space="preserve">accounts for </w:t>
      </w:r>
      <w:r w:rsidR="003A3FEE">
        <w:t>one aspect of performance measure</w:t>
      </w:r>
      <w:r w:rsidR="00975799">
        <w:t>ment</w:t>
      </w:r>
      <w:r>
        <w:t xml:space="preserve">.  In particular, the test is inconsistent with the well-established practice in the Australian superannuation sector of setting a ‘CPI </w:t>
      </w:r>
      <w:proofErr w:type="spellStart"/>
      <w:r>
        <w:t>plus’</w:t>
      </w:r>
      <w:proofErr w:type="spellEnd"/>
      <w:r>
        <w:t xml:space="preserve"> return objective, especially for </w:t>
      </w:r>
      <w:proofErr w:type="spellStart"/>
      <w:r>
        <w:t>MySuper</w:t>
      </w:r>
      <w:proofErr w:type="spellEnd"/>
      <w:r>
        <w:t xml:space="preserve"> and default products, reflecting the critical ‘reason for being’ of the system to provide real growth in members’ </w:t>
      </w:r>
      <w:r w:rsidR="006E1F78">
        <w:t xml:space="preserve">retirement </w:t>
      </w:r>
      <w:r>
        <w:t xml:space="preserve">savings over the long term. </w:t>
      </w:r>
      <w:r w:rsidR="00973C11">
        <w:t xml:space="preserve"> </w:t>
      </w:r>
      <w:r>
        <w:t xml:space="preserve">The narrow focus of the test also means that </w:t>
      </w:r>
      <w:r w:rsidR="007C13CD">
        <w:t xml:space="preserve">other </w:t>
      </w:r>
      <w:r w:rsidR="004E36A1">
        <w:t xml:space="preserve">important </w:t>
      </w:r>
      <w:r>
        <w:t xml:space="preserve">measures of performance </w:t>
      </w:r>
      <w:r w:rsidR="007C13CD">
        <w:t xml:space="preserve">such as </w:t>
      </w:r>
      <w:r w:rsidR="006E1F78">
        <w:t xml:space="preserve">the </w:t>
      </w:r>
      <w:r w:rsidR="007C13CD">
        <w:t>effectiveness of asset allocation design</w:t>
      </w:r>
      <w:r w:rsidR="00AB49CC">
        <w:t xml:space="preserve">, risk management </w:t>
      </w:r>
      <w:r w:rsidR="007C13CD">
        <w:t xml:space="preserve">and </w:t>
      </w:r>
      <w:r>
        <w:t xml:space="preserve">specific targets such as </w:t>
      </w:r>
      <w:r w:rsidR="00EE4EEA">
        <w:t>retirement outcomes</w:t>
      </w:r>
      <w:r>
        <w:t>, are not taken into consideration</w:t>
      </w:r>
      <w:r w:rsidR="00E23F3D">
        <w:t xml:space="preserve">. </w:t>
      </w:r>
      <w:r w:rsidR="004E36A1">
        <w:t xml:space="preserve"> We believe that a</w:t>
      </w:r>
      <w:r w:rsidR="00C6029A">
        <w:t xml:space="preserve"> </w:t>
      </w:r>
      <w:r w:rsidR="00E23F3D">
        <w:t xml:space="preserve">singular </w:t>
      </w:r>
      <w:r w:rsidR="008C2DA8">
        <w:t>p</w:t>
      </w:r>
      <w:r w:rsidR="00E23F3D">
        <w:t xml:space="preserve">erformance </w:t>
      </w:r>
      <w:r w:rsidR="008C2DA8">
        <w:t>t</w:t>
      </w:r>
      <w:r w:rsidR="00E23F3D">
        <w:t>est</w:t>
      </w:r>
      <w:r w:rsidR="003A3FEE">
        <w:t xml:space="preserve"> </w:t>
      </w:r>
      <w:r w:rsidR="00A2307E">
        <w:t xml:space="preserve">provides a limited perspective for undertaking a </w:t>
      </w:r>
      <w:r w:rsidR="000F0AB2">
        <w:t xml:space="preserve">robust </w:t>
      </w:r>
      <w:r w:rsidR="00A2307E">
        <w:t xml:space="preserve">performance assessment. </w:t>
      </w:r>
      <w:r w:rsidR="006578F1">
        <w:t xml:space="preserve"> </w:t>
      </w:r>
      <w:r w:rsidR="00A2307E">
        <w:t xml:space="preserve">The </w:t>
      </w:r>
      <w:r w:rsidR="002D6AE9">
        <w:t xml:space="preserve">Treasury’s </w:t>
      </w:r>
      <w:r w:rsidR="00A2307E">
        <w:t xml:space="preserve">proposed approach </w:t>
      </w:r>
      <w:r w:rsidR="003A3FEE">
        <w:t xml:space="preserve">is contrary to accepted industry </w:t>
      </w:r>
      <w:r w:rsidR="00684E64">
        <w:t xml:space="preserve">and academic </w:t>
      </w:r>
      <w:r w:rsidR="003A3FEE">
        <w:t>practice of examining investment performance across a range of dimensions</w:t>
      </w:r>
      <w:r w:rsidR="00E11156">
        <w:t xml:space="preserve"> to derive a more fulsome appraisal</w:t>
      </w:r>
      <w:r w:rsidR="002D0329">
        <w:t>.</w:t>
      </w:r>
      <w:r w:rsidR="003A3FEE">
        <w:t xml:space="preserve"> </w:t>
      </w:r>
    </w:p>
    <w:p w14:paraId="3FFF479F" w14:textId="4DF4CF27" w:rsidR="0077502C" w:rsidRDefault="003A3FEE" w:rsidP="00D56F9B">
      <w:pPr>
        <w:pStyle w:val="ListParagraph"/>
        <w:numPr>
          <w:ilvl w:val="0"/>
          <w:numId w:val="3"/>
        </w:numPr>
        <w:ind w:left="426" w:hanging="426"/>
        <w:contextualSpacing w:val="0"/>
        <w:jc w:val="both"/>
      </w:pPr>
      <w:r>
        <w:t xml:space="preserve">The </w:t>
      </w:r>
      <w:r w:rsidR="00A2307E">
        <w:t xml:space="preserve">proposed </w:t>
      </w:r>
      <w:r w:rsidR="008C2DA8">
        <w:t>p</w:t>
      </w:r>
      <w:r w:rsidR="00AB49CC">
        <w:t xml:space="preserve">erformance </w:t>
      </w:r>
      <w:r w:rsidR="008C2DA8">
        <w:t>t</w:t>
      </w:r>
      <w:r w:rsidR="00AB49CC">
        <w:t xml:space="preserve">est set out in the Budget </w:t>
      </w:r>
      <w:r>
        <w:t xml:space="preserve">has a </w:t>
      </w:r>
      <w:r w:rsidR="00B03439">
        <w:t xml:space="preserve">material </w:t>
      </w:r>
      <w:r>
        <w:t xml:space="preserve">likelihood </w:t>
      </w:r>
      <w:r w:rsidR="00B03439">
        <w:t>of being ineffective by failing t</w:t>
      </w:r>
      <w:r>
        <w:t xml:space="preserve">o identify a poor fund as “poor”, and </w:t>
      </w:r>
      <w:r w:rsidR="004E36A1">
        <w:t>by incorrectly classifying</w:t>
      </w:r>
      <w:r w:rsidR="00975799">
        <w:t xml:space="preserve"> a good fund as </w:t>
      </w:r>
      <w:r w:rsidR="004E36A1">
        <w:t>“</w:t>
      </w:r>
      <w:r w:rsidR="00975799">
        <w:t>poor</w:t>
      </w:r>
      <w:r w:rsidR="004E36A1">
        <w:t>”</w:t>
      </w:r>
      <w:r w:rsidR="002D0329">
        <w:t xml:space="preserve">, resulting in </w:t>
      </w:r>
      <w:r w:rsidR="000F0AB2">
        <w:t xml:space="preserve">undesirable </w:t>
      </w:r>
      <w:r w:rsidR="002D0329">
        <w:t>outcomes for consumers</w:t>
      </w:r>
      <w:r w:rsidR="00E11156">
        <w:t xml:space="preserve"> who remain in poor funds, or worse, </w:t>
      </w:r>
      <w:r w:rsidR="001154C7">
        <w:t xml:space="preserve">who </w:t>
      </w:r>
      <w:r w:rsidR="00E11156">
        <w:t>move from a good fund to a poor fund</w:t>
      </w:r>
      <w:r w:rsidR="00C166BB">
        <w:t>.</w:t>
      </w:r>
      <w:r w:rsidR="006578F1">
        <w:t xml:space="preserve"> </w:t>
      </w:r>
      <w:r w:rsidR="007E18C8">
        <w:t xml:space="preserve"> More detail for this assertion is set out in the Conexus </w:t>
      </w:r>
      <w:r w:rsidR="009274D7">
        <w:t xml:space="preserve">working group </w:t>
      </w:r>
      <w:r w:rsidR="00631AC7">
        <w:t>paper titled “Working Version: Review of the Your Future Your Super Performance Test”</w:t>
      </w:r>
      <w:r w:rsidR="005A4B22">
        <w:t xml:space="preserve"> which has been provided to Treasury</w:t>
      </w:r>
      <w:r w:rsidR="004E36A1">
        <w:t xml:space="preserve"> and which </w:t>
      </w:r>
      <w:r w:rsidR="006E1F78">
        <w:t xml:space="preserve">also </w:t>
      </w:r>
      <w:r w:rsidR="004E36A1">
        <w:t>accompanies this submission for convenience</w:t>
      </w:r>
      <w:r w:rsidR="00BA7C51">
        <w:t>.</w:t>
      </w:r>
      <w:r w:rsidR="006578F1">
        <w:t xml:space="preserve"> </w:t>
      </w:r>
      <w:r w:rsidR="00BA7C51">
        <w:t xml:space="preserve"> This working </w:t>
      </w:r>
      <w:r w:rsidR="007D507A">
        <w:t xml:space="preserve">group </w:t>
      </w:r>
      <w:r w:rsidR="00DA2914">
        <w:t xml:space="preserve">comprised of senior representatives </w:t>
      </w:r>
      <w:r w:rsidR="000F0AB2">
        <w:t>of consult</w:t>
      </w:r>
      <w:r w:rsidR="006E1F78">
        <w:t>ing firms</w:t>
      </w:r>
      <w:r w:rsidR="000F0AB2">
        <w:t xml:space="preserve"> </w:t>
      </w:r>
      <w:r w:rsidR="006E1F78">
        <w:t>that</w:t>
      </w:r>
      <w:r w:rsidR="005A4B22">
        <w:t xml:space="preserve"> </w:t>
      </w:r>
      <w:r w:rsidR="007D507A">
        <w:t xml:space="preserve">consult to </w:t>
      </w:r>
      <w:r w:rsidR="00E0297E">
        <w:t xml:space="preserve">a significant proportion </w:t>
      </w:r>
      <w:r w:rsidR="000F0AB2">
        <w:t>of the Australian institutional investment market (</w:t>
      </w:r>
      <w:r w:rsidR="009274D7">
        <w:t xml:space="preserve">JANA, </w:t>
      </w:r>
      <w:r w:rsidR="00631AC7">
        <w:t>Frontier</w:t>
      </w:r>
      <w:r w:rsidR="00B30E8C">
        <w:t>,</w:t>
      </w:r>
      <w:r w:rsidR="00631AC7">
        <w:t xml:space="preserve"> Mercer, Rice Warner </w:t>
      </w:r>
      <w:r w:rsidR="000F0AB2">
        <w:t xml:space="preserve">and </w:t>
      </w:r>
      <w:r w:rsidR="00631AC7">
        <w:t>Willis Towers Watson</w:t>
      </w:r>
      <w:r w:rsidR="000F0AB2">
        <w:t>)</w:t>
      </w:r>
      <w:r w:rsidR="007D507A">
        <w:t xml:space="preserve">. </w:t>
      </w:r>
      <w:r w:rsidR="009274D7">
        <w:t xml:space="preserve"> </w:t>
      </w:r>
    </w:p>
    <w:p w14:paraId="52D75CC9" w14:textId="1B168659" w:rsidR="00C166BB" w:rsidRDefault="00CD63CF" w:rsidP="00D56F9B">
      <w:pPr>
        <w:pStyle w:val="ListParagraph"/>
        <w:numPr>
          <w:ilvl w:val="0"/>
          <w:numId w:val="3"/>
        </w:numPr>
        <w:ind w:left="426" w:hanging="426"/>
        <w:contextualSpacing w:val="0"/>
        <w:jc w:val="both"/>
      </w:pPr>
      <w:r>
        <w:t xml:space="preserve">The consequences for failing the test </w:t>
      </w:r>
      <w:r w:rsidR="002203CA">
        <w:t xml:space="preserve">(i.e. </w:t>
      </w:r>
      <w:r w:rsidR="006E1F78">
        <w:t xml:space="preserve">closing </w:t>
      </w:r>
      <w:r w:rsidR="002203CA">
        <w:t xml:space="preserve">a </w:t>
      </w:r>
      <w:r w:rsidR="00063D08">
        <w:t xml:space="preserve">product </w:t>
      </w:r>
      <w:r w:rsidR="002203CA">
        <w:t xml:space="preserve">to new members) </w:t>
      </w:r>
      <w:r w:rsidR="008C2DA8">
        <w:t xml:space="preserve">is </w:t>
      </w:r>
      <w:r>
        <w:t>disproportionate</w:t>
      </w:r>
      <w:r w:rsidR="00DD2FD1">
        <w:t>ly large</w:t>
      </w:r>
      <w:r>
        <w:t xml:space="preserve"> </w:t>
      </w:r>
      <w:r w:rsidR="00DD2FD1">
        <w:t xml:space="preserve">given </w:t>
      </w:r>
      <w:r>
        <w:t xml:space="preserve">the </w:t>
      </w:r>
      <w:r w:rsidR="004E36A1">
        <w:t>narrow focus</w:t>
      </w:r>
      <w:r w:rsidR="00DD2FD1">
        <w:t xml:space="preserve"> of the single proposed </w:t>
      </w:r>
      <w:r w:rsidR="008C2DA8">
        <w:t>p</w:t>
      </w:r>
      <w:r w:rsidR="00D070CD">
        <w:t xml:space="preserve">erformance </w:t>
      </w:r>
      <w:r w:rsidR="008C2DA8">
        <w:t>t</w:t>
      </w:r>
      <w:r w:rsidR="00D070CD">
        <w:t>est</w:t>
      </w:r>
      <w:r w:rsidR="00DD2FD1">
        <w:t xml:space="preserve">. </w:t>
      </w:r>
      <w:r w:rsidR="004E36A1">
        <w:t xml:space="preserve"> There is a risk that a fund that has a decade</w:t>
      </w:r>
      <w:r w:rsidR="006E1F78">
        <w:t>s-</w:t>
      </w:r>
      <w:r w:rsidR="004E36A1">
        <w:t xml:space="preserve">long </w:t>
      </w:r>
      <w:r w:rsidR="006E1F78">
        <w:t xml:space="preserve">track record </w:t>
      </w:r>
      <w:r w:rsidR="004E36A1">
        <w:t>of meeting the objectives it has promised to its members could fail the test, potentially creating a range of adverse outcomes for the fund and its members.</w:t>
      </w:r>
    </w:p>
    <w:p w14:paraId="2A0A64BE" w14:textId="54289B9F" w:rsidR="00276945" w:rsidRDefault="00276945" w:rsidP="00D56F9B">
      <w:pPr>
        <w:pStyle w:val="ListParagraph"/>
        <w:numPr>
          <w:ilvl w:val="0"/>
          <w:numId w:val="3"/>
        </w:numPr>
        <w:spacing w:after="120"/>
        <w:ind w:left="426" w:hanging="426"/>
        <w:contextualSpacing w:val="0"/>
        <w:jc w:val="both"/>
      </w:pPr>
      <w:r>
        <w:t xml:space="preserve">Because </w:t>
      </w:r>
      <w:r w:rsidR="007B2699">
        <w:t xml:space="preserve">of </w:t>
      </w:r>
      <w:r>
        <w:t xml:space="preserve">the significant </w:t>
      </w:r>
      <w:r w:rsidR="00167253">
        <w:t>consequences</w:t>
      </w:r>
      <w:r>
        <w:t xml:space="preserve"> of failing the </w:t>
      </w:r>
      <w:r w:rsidR="008C2DA8">
        <w:t>p</w:t>
      </w:r>
      <w:r>
        <w:t xml:space="preserve">erformance </w:t>
      </w:r>
      <w:r w:rsidR="008C2DA8">
        <w:t>t</w:t>
      </w:r>
      <w:r>
        <w:t xml:space="preserve">est, combined with the simple nature of the test, </w:t>
      </w:r>
      <w:r w:rsidR="006578F1">
        <w:t>we are</w:t>
      </w:r>
      <w:r w:rsidR="00BD21A6">
        <w:t xml:space="preserve"> of the view that this </w:t>
      </w:r>
      <w:r>
        <w:t xml:space="preserve">will incentivise funds to actively manage </w:t>
      </w:r>
      <w:r w:rsidR="00167253">
        <w:t>the test</w:t>
      </w:r>
      <w:r w:rsidR="004D6694">
        <w:t xml:space="preserve">. </w:t>
      </w:r>
      <w:r w:rsidR="00BA0677">
        <w:t xml:space="preserve"> </w:t>
      </w:r>
      <w:r w:rsidR="0062189B">
        <w:t xml:space="preserve">For example: </w:t>
      </w:r>
    </w:p>
    <w:p w14:paraId="149B7924" w14:textId="51D7857B" w:rsidR="001E25C2" w:rsidRDefault="007B2699" w:rsidP="00D56F9B">
      <w:pPr>
        <w:pStyle w:val="ListParagraph"/>
        <w:numPr>
          <w:ilvl w:val="1"/>
          <w:numId w:val="10"/>
        </w:numPr>
        <w:spacing w:after="120"/>
        <w:ind w:left="851" w:hanging="425"/>
        <w:contextualSpacing w:val="0"/>
        <w:jc w:val="both"/>
      </w:pPr>
      <w:r>
        <w:t>The use of s</w:t>
      </w:r>
      <w:r w:rsidR="0062189B">
        <w:t xml:space="preserve">horting in </w:t>
      </w:r>
      <w:r w:rsidR="00DB04EA">
        <w:t xml:space="preserve">listed </w:t>
      </w:r>
      <w:r w:rsidR="0062189B">
        <w:t xml:space="preserve">equity mandates could result in these mandates being categorised as hedge funds which sit in </w:t>
      </w:r>
      <w:r w:rsidR="00BA0677">
        <w:t>‘</w:t>
      </w:r>
      <w:r w:rsidR="0062189B">
        <w:t>alternatives</w:t>
      </w:r>
      <w:r w:rsidR="00BA0677">
        <w:t>’</w:t>
      </w:r>
      <w:r w:rsidR="0062189B">
        <w:t xml:space="preserve"> and would be assessed against a lower hurdle over the long-term (50/50 mix of blended equities and global fixed income).</w:t>
      </w:r>
    </w:p>
    <w:p w14:paraId="496E40CD" w14:textId="4E19B07B" w:rsidR="001E25C2" w:rsidRDefault="006855A9" w:rsidP="00D56F9B">
      <w:pPr>
        <w:pStyle w:val="ListParagraph"/>
        <w:numPr>
          <w:ilvl w:val="1"/>
          <w:numId w:val="10"/>
        </w:numPr>
        <w:spacing w:after="120"/>
        <w:ind w:left="851" w:hanging="425"/>
        <w:contextualSpacing w:val="0"/>
        <w:jc w:val="both"/>
      </w:pPr>
      <w:r>
        <w:t>Introducing higher risk</w:t>
      </w:r>
      <w:r w:rsidR="006E1F78">
        <w:t>,</w:t>
      </w:r>
      <w:r>
        <w:t xml:space="preserve"> </w:t>
      </w:r>
      <w:r w:rsidR="00147161">
        <w:t xml:space="preserve">higher returning </w:t>
      </w:r>
      <w:r>
        <w:t>“</w:t>
      </w:r>
      <w:r w:rsidR="00385A86">
        <w:t>alternative” or “</w:t>
      </w:r>
      <w:r>
        <w:t>credit”</w:t>
      </w:r>
      <w:r w:rsidR="00385A86">
        <w:t xml:space="preserve"> strategies into </w:t>
      </w:r>
      <w:r w:rsidR="00FA4BE7">
        <w:t xml:space="preserve">traditional </w:t>
      </w:r>
      <w:r w:rsidR="00147161">
        <w:t xml:space="preserve">defensive asset class </w:t>
      </w:r>
      <w:r w:rsidR="00385A86">
        <w:t>portfolios</w:t>
      </w:r>
      <w:r w:rsidR="00DB04EA">
        <w:t xml:space="preserve"> </w:t>
      </w:r>
      <w:r w:rsidR="009E0F0A">
        <w:t>with lower risk</w:t>
      </w:r>
      <w:r w:rsidR="0040244B">
        <w:t>,</w:t>
      </w:r>
      <w:r w:rsidR="009E0F0A">
        <w:t xml:space="preserve"> lower returning benchmarks </w:t>
      </w:r>
      <w:r w:rsidR="007A4653">
        <w:t>(</w:t>
      </w:r>
      <w:r w:rsidR="007B2699">
        <w:t xml:space="preserve">such as the proposed benchmarks for the fixed interest and cash asset classes, the </w:t>
      </w:r>
      <w:r w:rsidR="007A4653">
        <w:t xml:space="preserve">Bloomberg </w:t>
      </w:r>
      <w:proofErr w:type="spellStart"/>
      <w:r w:rsidR="007A4653">
        <w:t>AusBond</w:t>
      </w:r>
      <w:proofErr w:type="spellEnd"/>
      <w:r w:rsidR="007A4653">
        <w:t xml:space="preserve"> Composite 0+Y, </w:t>
      </w:r>
      <w:r w:rsidR="00FA4BE7">
        <w:t xml:space="preserve">Bloomberg Barclays Global-Aggregate Total Return Index Value Hedged </w:t>
      </w:r>
      <w:r w:rsidR="001F6AF1">
        <w:t xml:space="preserve">($A) </w:t>
      </w:r>
      <w:r w:rsidR="007B2699">
        <w:t>and</w:t>
      </w:r>
      <w:r w:rsidR="001E25C2">
        <w:t xml:space="preserve"> Bloomberg </w:t>
      </w:r>
      <w:proofErr w:type="spellStart"/>
      <w:r w:rsidR="001E25C2">
        <w:t>AusBond</w:t>
      </w:r>
      <w:proofErr w:type="spellEnd"/>
      <w:r w:rsidR="001E25C2">
        <w:t xml:space="preserve"> Bank Bill Index</w:t>
      </w:r>
      <w:r w:rsidR="009E0F0A">
        <w:t>)</w:t>
      </w:r>
      <w:r w:rsidR="001E25C2">
        <w:t xml:space="preserve">. </w:t>
      </w:r>
    </w:p>
    <w:p w14:paraId="35332D0F" w14:textId="317F80C5" w:rsidR="006855A9" w:rsidRDefault="001E25C2" w:rsidP="00D56F9B">
      <w:pPr>
        <w:pStyle w:val="ListParagraph"/>
        <w:numPr>
          <w:ilvl w:val="1"/>
          <w:numId w:val="10"/>
        </w:numPr>
        <w:ind w:left="851" w:hanging="425"/>
        <w:jc w:val="both"/>
      </w:pPr>
      <w:r>
        <w:t>Deliberately set</w:t>
      </w:r>
      <w:r w:rsidR="008E42BA">
        <w:t>ting</w:t>
      </w:r>
      <w:r>
        <w:t xml:space="preserve"> a lower risk strategic asset allocation </w:t>
      </w:r>
      <w:r w:rsidR="007B2699">
        <w:t>while permanently holding</w:t>
      </w:r>
      <w:r w:rsidR="0001717D">
        <w:t xml:space="preserve"> </w:t>
      </w:r>
      <w:r>
        <w:t>a higher risk</w:t>
      </w:r>
      <w:r w:rsidR="007B2699">
        <w:t>,</w:t>
      </w:r>
      <w:r>
        <w:t xml:space="preserve"> </w:t>
      </w:r>
      <w:r w:rsidR="008E42BA">
        <w:t xml:space="preserve">higher returning </w:t>
      </w:r>
      <w:r>
        <w:t>asset allocation.</w:t>
      </w:r>
      <w:r w:rsidR="0001717D">
        <w:t xml:space="preserve"> </w:t>
      </w:r>
      <w:r w:rsidR="006578F1">
        <w:t xml:space="preserve"> </w:t>
      </w:r>
      <w:r w:rsidR="0001717D">
        <w:t>For example, a fund could includ</w:t>
      </w:r>
      <w:r w:rsidR="00B05F59">
        <w:t>e</w:t>
      </w:r>
      <w:r w:rsidR="0001717D">
        <w:t xml:space="preserve"> a 50% strategic asset allocation benchmark to equities and 30% to fixed interest but hold 60% in equities and 20% in fixed interest on an ongoing basis.</w:t>
      </w:r>
    </w:p>
    <w:p w14:paraId="269B4136" w14:textId="229360AC" w:rsidR="00DD2FD1" w:rsidRDefault="0040244B" w:rsidP="00DD2FD1">
      <w:pPr>
        <w:jc w:val="both"/>
      </w:pPr>
      <w:r>
        <w:t xml:space="preserve">In the following pages, </w:t>
      </w:r>
      <w:r w:rsidR="007A3911">
        <w:t xml:space="preserve">JANA has provided more detail in relation to </w:t>
      </w:r>
      <w:r w:rsidR="00E849C1">
        <w:t>suggested improvements to the propos</w:t>
      </w:r>
      <w:r w:rsidR="009E3915">
        <w:t>ed</w:t>
      </w:r>
      <w:r w:rsidR="00E849C1">
        <w:t xml:space="preserve"> </w:t>
      </w:r>
      <w:r w:rsidR="00063D08">
        <w:t xml:space="preserve">test </w:t>
      </w:r>
      <w:r w:rsidR="00E849C1">
        <w:t xml:space="preserve">which we believe </w:t>
      </w:r>
      <w:r w:rsidR="009E3915">
        <w:t xml:space="preserve">are </w:t>
      </w:r>
      <w:r w:rsidR="00FA0BE0">
        <w:t>objective</w:t>
      </w:r>
      <w:r w:rsidR="0084762C">
        <w:t xml:space="preserve"> </w:t>
      </w:r>
      <w:r w:rsidR="009E3915">
        <w:t xml:space="preserve">and support the </w:t>
      </w:r>
      <w:r w:rsidR="002D6AE9">
        <w:t xml:space="preserve">Treasury’s </w:t>
      </w:r>
      <w:r w:rsidR="009E3915">
        <w:t xml:space="preserve">desire for greater accountability and </w:t>
      </w:r>
      <w:r w:rsidR="009E3915" w:rsidRPr="0077502C">
        <w:t>better outcomes for members</w:t>
      </w:r>
      <w:r w:rsidR="00636190">
        <w:t>.</w:t>
      </w:r>
    </w:p>
    <w:p w14:paraId="6CEDB0FA" w14:textId="77777777" w:rsidR="006578F1" w:rsidRDefault="006578F1">
      <w:pPr>
        <w:rPr>
          <w:b/>
          <w:bCs/>
          <w:sz w:val="24"/>
          <w:szCs w:val="28"/>
        </w:rPr>
      </w:pPr>
      <w:bookmarkStart w:id="5" w:name="_Hlk57234223"/>
      <w:r>
        <w:rPr>
          <w:b/>
          <w:bCs/>
          <w:sz w:val="24"/>
          <w:szCs w:val="28"/>
        </w:rPr>
        <w:br w:type="page"/>
      </w:r>
    </w:p>
    <w:p w14:paraId="7858440A" w14:textId="227244A2" w:rsidR="003A6C03" w:rsidRPr="00E42569" w:rsidRDefault="00F00CC4" w:rsidP="00A97326">
      <w:pPr>
        <w:jc w:val="both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lastRenderedPageBreak/>
        <w:t>Suggested Enhancements</w:t>
      </w:r>
      <w:r w:rsidRPr="00E42569">
        <w:rPr>
          <w:b/>
          <w:bCs/>
          <w:sz w:val="24"/>
          <w:szCs w:val="28"/>
        </w:rPr>
        <w:t xml:space="preserve"> </w:t>
      </w:r>
      <w:r w:rsidR="00532E7F" w:rsidRPr="00E42569">
        <w:rPr>
          <w:b/>
          <w:bCs/>
          <w:sz w:val="24"/>
          <w:szCs w:val="28"/>
        </w:rPr>
        <w:t>for Improving the Your Future, Your Super Performance Test</w:t>
      </w:r>
    </w:p>
    <w:p w14:paraId="635F44C2" w14:textId="048DB483" w:rsidR="00A56453" w:rsidRPr="00F00CC4" w:rsidRDefault="00F00CC4" w:rsidP="007B4839">
      <w:pPr>
        <w:spacing w:after="0"/>
        <w:jc w:val="both"/>
        <w:rPr>
          <w:rFonts w:eastAsia="Times New Roman"/>
          <w:b/>
          <w:bCs/>
          <w:i/>
          <w:iCs/>
        </w:rPr>
      </w:pPr>
      <w:r w:rsidRPr="00F00CC4">
        <w:rPr>
          <w:rFonts w:eastAsia="Times New Roman"/>
          <w:b/>
          <w:bCs/>
          <w:i/>
          <w:iCs/>
        </w:rPr>
        <w:t>Enhancement 1:  Multiple performance tests</w:t>
      </w:r>
    </w:p>
    <w:p w14:paraId="2E0AE155" w14:textId="77777777" w:rsidR="00F00CC4" w:rsidRPr="007B4839" w:rsidRDefault="00F00CC4" w:rsidP="007B4839">
      <w:pPr>
        <w:spacing w:after="0"/>
        <w:jc w:val="both"/>
        <w:rPr>
          <w:rFonts w:eastAsia="Times New Roman"/>
        </w:rPr>
      </w:pPr>
    </w:p>
    <w:p w14:paraId="177DD45B" w14:textId="1D3058E8" w:rsidR="006F5B5B" w:rsidRDefault="006F5B5B" w:rsidP="0024164E">
      <w:pPr>
        <w:jc w:val="both"/>
      </w:pPr>
      <w:r>
        <w:t xml:space="preserve">Performance measurement is inherently complex, and it is commonly accepted across the industry </w:t>
      </w:r>
      <w:r w:rsidR="009D6F59">
        <w:t xml:space="preserve">and academia </w:t>
      </w:r>
      <w:r>
        <w:t>that more than one single metric is required to develop a more complete appraisal of investment performance.</w:t>
      </w:r>
      <w:r w:rsidR="001D4728">
        <w:t xml:space="preserve"> </w:t>
      </w:r>
      <w:r w:rsidR="006578F1">
        <w:t xml:space="preserve"> </w:t>
      </w:r>
      <w:r w:rsidR="001D4728">
        <w:t xml:space="preserve">This </w:t>
      </w:r>
      <w:r w:rsidR="004862FC">
        <w:t xml:space="preserve">is also in line with the regulatory </w:t>
      </w:r>
      <w:r w:rsidR="00ED3AB8">
        <w:t>‘</w:t>
      </w:r>
      <w:r w:rsidR="004862FC">
        <w:t>direction of travel</w:t>
      </w:r>
      <w:r w:rsidR="00ED3AB8">
        <w:t>’</w:t>
      </w:r>
      <w:r w:rsidR="004862FC">
        <w:t xml:space="preserve"> </w:t>
      </w:r>
      <w:r w:rsidR="00B82A3A">
        <w:t>(</w:t>
      </w:r>
      <w:r w:rsidR="004862FC">
        <w:t>outcomes assessment</w:t>
      </w:r>
      <w:r w:rsidR="00B82A3A">
        <w:t xml:space="preserve"> and Heatmaps</w:t>
      </w:r>
      <w:r w:rsidR="0084762C">
        <w:t>)</w:t>
      </w:r>
      <w:r w:rsidR="004862FC">
        <w:t xml:space="preserve"> which use multiple metrics.</w:t>
      </w:r>
      <w:r w:rsidR="00ED3AB8">
        <w:t xml:space="preserve"> </w:t>
      </w:r>
      <w:r>
        <w:t xml:space="preserve"> </w:t>
      </w:r>
      <w:r w:rsidR="005E5146">
        <w:t xml:space="preserve">We understand that the </w:t>
      </w:r>
      <w:r w:rsidR="002D6AE9">
        <w:t xml:space="preserve">Treasury </w:t>
      </w:r>
      <w:r w:rsidR="0024164E">
        <w:t xml:space="preserve">is seeking </w:t>
      </w:r>
      <w:r>
        <w:t xml:space="preserve">a “single, simple” metric, but given the consequences of failing the test, and the material chance of misjudging a good fund as </w:t>
      </w:r>
      <w:r w:rsidR="0024164E">
        <w:t>“</w:t>
      </w:r>
      <w:r>
        <w:t>poor</w:t>
      </w:r>
      <w:r w:rsidR="0024164E">
        <w:t>”</w:t>
      </w:r>
      <w:r>
        <w:t xml:space="preserve"> and vice versa, </w:t>
      </w:r>
      <w:r w:rsidR="003B07B6">
        <w:t>performance assessment</w:t>
      </w:r>
      <w:r>
        <w:t xml:space="preserve"> needs to be more than “single and simple”</w:t>
      </w:r>
      <w:r w:rsidR="00ED3AB8">
        <w:t xml:space="preserve"> -</w:t>
      </w:r>
      <w:r>
        <w:t xml:space="preserve"> it needs to be fair and effective. </w:t>
      </w:r>
    </w:p>
    <w:p w14:paraId="0149F9E6" w14:textId="35478792" w:rsidR="00BA0677" w:rsidRDefault="0024164E" w:rsidP="00ED3AB8">
      <w:pPr>
        <w:jc w:val="both"/>
      </w:pPr>
      <w:r>
        <w:t>As discussed earlier, t</w:t>
      </w:r>
      <w:r w:rsidR="00E01B88">
        <w:t xml:space="preserve">here are </w:t>
      </w:r>
      <w:r w:rsidR="00B404A0">
        <w:t xml:space="preserve">potential weaknesses </w:t>
      </w:r>
      <w:r w:rsidR="004F58CA">
        <w:t xml:space="preserve">to </w:t>
      </w:r>
      <w:r w:rsidR="00E01B88">
        <w:t xml:space="preserve">a </w:t>
      </w:r>
      <w:r w:rsidR="00461BC3">
        <w:t xml:space="preserve">single </w:t>
      </w:r>
      <w:r w:rsidR="00B404A0">
        <w:t xml:space="preserve">proposed </w:t>
      </w:r>
      <w:r w:rsidR="00F70421">
        <w:t>p</w:t>
      </w:r>
      <w:r w:rsidR="00B404A0">
        <w:t xml:space="preserve">erformance </w:t>
      </w:r>
      <w:r w:rsidR="00F70421">
        <w:t>t</w:t>
      </w:r>
      <w:r w:rsidR="00B404A0">
        <w:t>est</w:t>
      </w:r>
      <w:r w:rsidR="00AF6BCB">
        <w:t>, and combined with the harsh consequences of failure,</w:t>
      </w:r>
      <w:r w:rsidR="00461BC3">
        <w:t xml:space="preserve"> </w:t>
      </w:r>
      <w:r w:rsidR="00AF6BCB">
        <w:t xml:space="preserve">this </w:t>
      </w:r>
      <w:r w:rsidR="00461BC3">
        <w:t xml:space="preserve">might </w:t>
      </w:r>
      <w:r w:rsidR="00AF6BCB">
        <w:t xml:space="preserve">incentivise </w:t>
      </w:r>
      <w:r w:rsidR="00461BC3">
        <w:t xml:space="preserve">funds to </w:t>
      </w:r>
      <w:r w:rsidR="006F6E1D">
        <w:t>actively manage (game) the test</w:t>
      </w:r>
      <w:r w:rsidR="00461BC3">
        <w:t xml:space="preserve">. </w:t>
      </w:r>
      <w:r w:rsidR="006578F1">
        <w:t xml:space="preserve"> </w:t>
      </w:r>
      <w:r>
        <w:t>For these reasons</w:t>
      </w:r>
      <w:r w:rsidR="00461BC3">
        <w:t>,</w:t>
      </w:r>
      <w:r>
        <w:t xml:space="preserve"> we believe that</w:t>
      </w:r>
      <w:r w:rsidR="00461BC3">
        <w:t xml:space="preserve"> i</w:t>
      </w:r>
      <w:r w:rsidR="006F5B5B">
        <w:t>deally</w:t>
      </w:r>
      <w:r w:rsidR="00461BC3">
        <w:t xml:space="preserve"> </w:t>
      </w:r>
      <w:r w:rsidR="006F5B5B">
        <w:t xml:space="preserve">there should be </w:t>
      </w:r>
      <w:r w:rsidR="00F00CC4">
        <w:t>more than one</w:t>
      </w:r>
      <w:r w:rsidR="006F5B5B">
        <w:t xml:space="preserve"> test.</w:t>
      </w:r>
      <w:r w:rsidR="006578F1">
        <w:t xml:space="preserve"> </w:t>
      </w:r>
      <w:r w:rsidR="006F5B5B">
        <w:t xml:space="preserve"> JANA is of the view that this is very attainable </w:t>
      </w:r>
      <w:r w:rsidR="001B18ED">
        <w:t xml:space="preserve">for single Default products </w:t>
      </w:r>
      <w:r w:rsidR="006F5B5B">
        <w:t xml:space="preserve">and consistent with </w:t>
      </w:r>
      <w:r w:rsidR="002D6AE9">
        <w:t xml:space="preserve">Treasury’s </w:t>
      </w:r>
      <w:r w:rsidR="006F5B5B">
        <w:t>objective</w:t>
      </w:r>
      <w:r w:rsidR="00F00CC4">
        <w:t xml:space="preserve"> of simplicity</w:t>
      </w:r>
      <w:r w:rsidR="006F5B5B">
        <w:t xml:space="preserve">. </w:t>
      </w:r>
      <w:r>
        <w:t xml:space="preserve"> </w:t>
      </w:r>
      <w:r w:rsidR="00BA0677">
        <w:t>In our view, a</w:t>
      </w:r>
      <w:r w:rsidR="00F740DE">
        <w:t xml:space="preserve"> single performance test for </w:t>
      </w:r>
      <w:proofErr w:type="spellStart"/>
      <w:r w:rsidR="00F03F49">
        <w:t>MySuper</w:t>
      </w:r>
      <w:proofErr w:type="spellEnd"/>
      <w:r w:rsidR="00F03F49">
        <w:t xml:space="preserve"> </w:t>
      </w:r>
      <w:r w:rsidR="001B18ED">
        <w:t>Lifecycle products require</w:t>
      </w:r>
      <w:r w:rsidR="00BA0677">
        <w:t>s</w:t>
      </w:r>
      <w:r w:rsidR="001B18ED">
        <w:t xml:space="preserve"> further </w:t>
      </w:r>
      <w:r w:rsidR="00F740DE">
        <w:t>consultation between industry and regulators.</w:t>
      </w:r>
    </w:p>
    <w:p w14:paraId="3166A4DB" w14:textId="42A01AB7" w:rsidR="0024164E" w:rsidRDefault="00F740DE" w:rsidP="00ED3AB8">
      <w:pPr>
        <w:jc w:val="both"/>
        <w:rPr>
          <w:rFonts w:eastAsia="Times New Roman"/>
        </w:rPr>
      </w:pPr>
      <w:r>
        <w:t xml:space="preserve">For a single default product structure, </w:t>
      </w:r>
      <w:r>
        <w:rPr>
          <w:rFonts w:eastAsia="Times New Roman"/>
        </w:rPr>
        <w:t xml:space="preserve">we </w:t>
      </w:r>
      <w:r w:rsidR="00ED3AB8">
        <w:rPr>
          <w:rFonts w:eastAsia="Times New Roman"/>
        </w:rPr>
        <w:t>believe</w:t>
      </w:r>
      <w:r w:rsidR="0024164E">
        <w:rPr>
          <w:rFonts w:eastAsia="Times New Roman"/>
        </w:rPr>
        <w:t xml:space="preserve"> the </w:t>
      </w:r>
      <w:r w:rsidR="00ED3AB8">
        <w:rPr>
          <w:rFonts w:eastAsia="Times New Roman"/>
        </w:rPr>
        <w:t xml:space="preserve">approach could be enhanced </w:t>
      </w:r>
      <w:r w:rsidR="003B07B6">
        <w:rPr>
          <w:rFonts w:eastAsia="Times New Roman"/>
        </w:rPr>
        <w:t xml:space="preserve">by </w:t>
      </w:r>
      <w:r w:rsidR="003B07B6">
        <w:t>applying a set of tests that reflect a richer and more fulsome appraisal of performance</w:t>
      </w:r>
      <w:r w:rsidR="003B07B6">
        <w:rPr>
          <w:rFonts w:eastAsia="Times New Roman"/>
        </w:rPr>
        <w:t xml:space="preserve"> </w:t>
      </w:r>
      <w:r w:rsidR="00604EBB">
        <w:rPr>
          <w:rFonts w:eastAsia="Times New Roman"/>
        </w:rPr>
        <w:t xml:space="preserve">and this principle could equally apply to </w:t>
      </w:r>
      <w:proofErr w:type="spellStart"/>
      <w:r w:rsidR="00D262F4">
        <w:rPr>
          <w:rFonts w:eastAsia="Times New Roman"/>
        </w:rPr>
        <w:t>MySuper</w:t>
      </w:r>
      <w:proofErr w:type="spellEnd"/>
      <w:r w:rsidR="00D262F4">
        <w:rPr>
          <w:rFonts w:eastAsia="Times New Roman"/>
        </w:rPr>
        <w:t xml:space="preserve"> </w:t>
      </w:r>
      <w:r w:rsidR="00604EBB">
        <w:rPr>
          <w:rFonts w:eastAsia="Times New Roman"/>
        </w:rPr>
        <w:t xml:space="preserve">Lifecycle products in </w:t>
      </w:r>
      <w:r w:rsidR="00737D63">
        <w:rPr>
          <w:rFonts w:eastAsia="Times New Roman"/>
        </w:rPr>
        <w:t>due course.</w:t>
      </w:r>
      <w:r w:rsidR="00BA0677">
        <w:rPr>
          <w:rFonts w:eastAsia="Times New Roman"/>
        </w:rPr>
        <w:t xml:space="preserve"> </w:t>
      </w:r>
      <w:r w:rsidR="00737D63">
        <w:rPr>
          <w:rFonts w:eastAsia="Times New Roman"/>
        </w:rPr>
        <w:t xml:space="preserve"> The key principles / elements for enhancement are </w:t>
      </w:r>
      <w:r w:rsidR="00ED3AB8">
        <w:rPr>
          <w:rFonts w:eastAsia="Times New Roman"/>
        </w:rPr>
        <w:t>as follows</w:t>
      </w:r>
      <w:r w:rsidR="0024164E">
        <w:rPr>
          <w:rFonts w:eastAsia="Times New Roman"/>
        </w:rPr>
        <w:t>:</w:t>
      </w:r>
    </w:p>
    <w:p w14:paraId="358ED7AB" w14:textId="0C1EB16B" w:rsidR="006F5B5B" w:rsidRDefault="00ED3AB8" w:rsidP="007D1931">
      <w:pPr>
        <w:pStyle w:val="ListParagraph"/>
        <w:numPr>
          <w:ilvl w:val="1"/>
          <w:numId w:val="6"/>
        </w:numPr>
        <w:spacing w:after="120"/>
        <w:ind w:left="426" w:hanging="426"/>
        <w:contextualSpacing w:val="0"/>
        <w:jc w:val="both"/>
      </w:pPr>
      <w:r>
        <w:t xml:space="preserve">The application of additional </w:t>
      </w:r>
      <w:r w:rsidR="005E5146">
        <w:t>simple</w:t>
      </w:r>
      <w:r w:rsidR="00F92B41">
        <w:t>,</w:t>
      </w:r>
      <w:r w:rsidR="005E5146">
        <w:t xml:space="preserve"> </w:t>
      </w:r>
      <w:r w:rsidR="006F5B5B">
        <w:t>objective</w:t>
      </w:r>
      <w:r w:rsidR="003B07B6">
        <w:t xml:space="preserve"> and</w:t>
      </w:r>
      <w:r w:rsidR="006F5B5B">
        <w:t xml:space="preserve"> rules</w:t>
      </w:r>
      <w:r w:rsidR="00F92B41">
        <w:t>-</w:t>
      </w:r>
      <w:r w:rsidR="006F5B5B">
        <w:t>based</w:t>
      </w:r>
      <w:r>
        <w:t xml:space="preserve"> tests</w:t>
      </w:r>
      <w:r w:rsidR="006F5B5B">
        <w:t xml:space="preserve">, </w:t>
      </w:r>
      <w:r w:rsidR="003B07B6">
        <w:t xml:space="preserve">which </w:t>
      </w:r>
      <w:r w:rsidR="00F92B41">
        <w:t>would ideally include a suite of performance tests and fee/scale tests</w:t>
      </w:r>
      <w:r w:rsidR="00CA0E25">
        <w:t xml:space="preserve"> (e.g</w:t>
      </w:r>
      <w:r w:rsidR="007828BE">
        <w:t>.</w:t>
      </w:r>
      <w:r w:rsidR="00CA0E25">
        <w:t xml:space="preserve"> </w:t>
      </w:r>
      <w:r w:rsidR="00A608E6">
        <w:t xml:space="preserve">similar to </w:t>
      </w:r>
      <w:r w:rsidR="00CA0E25">
        <w:t xml:space="preserve">the current approach </w:t>
      </w:r>
      <w:r w:rsidR="007828BE">
        <w:t xml:space="preserve">set out in the APRA </w:t>
      </w:r>
      <w:r w:rsidR="00CA0E25">
        <w:t>Heatmap</w:t>
      </w:r>
      <w:r w:rsidR="007828BE">
        <w:t xml:space="preserve"> tests)</w:t>
      </w:r>
      <w:r w:rsidR="006F5B5B">
        <w:t xml:space="preserve">: </w:t>
      </w:r>
    </w:p>
    <w:p w14:paraId="43F49BC7" w14:textId="3D9C5C04" w:rsidR="006F5B5B" w:rsidRDefault="006F5B5B" w:rsidP="007D1931">
      <w:pPr>
        <w:pStyle w:val="ListParagraph"/>
        <w:numPr>
          <w:ilvl w:val="2"/>
          <w:numId w:val="3"/>
        </w:numPr>
        <w:spacing w:after="120"/>
        <w:ind w:left="851" w:hanging="425"/>
        <w:contextualSpacing w:val="0"/>
        <w:jc w:val="both"/>
      </w:pPr>
      <w:r>
        <w:t xml:space="preserve">Multiple investment performance tests:  </w:t>
      </w:r>
    </w:p>
    <w:p w14:paraId="1A090746" w14:textId="330E7C96" w:rsidR="006F5B5B" w:rsidRDefault="006F5B5B" w:rsidP="007D1931">
      <w:pPr>
        <w:pStyle w:val="ListParagraph"/>
        <w:numPr>
          <w:ilvl w:val="3"/>
          <w:numId w:val="7"/>
        </w:numPr>
        <w:spacing w:after="120"/>
        <w:ind w:left="1276" w:hanging="425"/>
        <w:contextualSpacing w:val="0"/>
        <w:jc w:val="both"/>
      </w:pPr>
      <w:r>
        <w:t>v</w:t>
      </w:r>
      <w:r w:rsidR="006578F1">
        <w:t>ersu</w:t>
      </w:r>
      <w:r>
        <w:t>s CPI</w:t>
      </w:r>
      <w:r w:rsidR="00ED3AB8">
        <w:t xml:space="preserve"> plus</w:t>
      </w:r>
      <w:r>
        <w:t xml:space="preserve"> objective </w:t>
      </w:r>
      <w:r w:rsidR="005E5146">
        <w:t>(to tie back to retirement outcomes/objectives for members)</w:t>
      </w:r>
      <w:r w:rsidR="006578F1">
        <w:t>;</w:t>
      </w:r>
    </w:p>
    <w:p w14:paraId="6768C412" w14:textId="3F841F90" w:rsidR="006F5B5B" w:rsidRDefault="006F5B5B" w:rsidP="007D1931">
      <w:pPr>
        <w:pStyle w:val="ListParagraph"/>
        <w:numPr>
          <w:ilvl w:val="3"/>
          <w:numId w:val="7"/>
        </w:numPr>
        <w:spacing w:after="120"/>
        <w:ind w:left="1276" w:hanging="425"/>
        <w:contextualSpacing w:val="0"/>
        <w:jc w:val="both"/>
      </w:pPr>
      <w:r>
        <w:t>v</w:t>
      </w:r>
      <w:r w:rsidR="006578F1">
        <w:t>ersu</w:t>
      </w:r>
      <w:r>
        <w:t xml:space="preserve">s </w:t>
      </w:r>
      <w:r w:rsidR="006E0846">
        <w:t xml:space="preserve">a </w:t>
      </w:r>
      <w:r>
        <w:t>SAA peer group</w:t>
      </w:r>
      <w:r w:rsidR="005E5146">
        <w:t xml:space="preserve"> (to provide an assessment of performance against a relevant </w:t>
      </w:r>
      <w:r w:rsidR="009D7519">
        <w:t xml:space="preserve">“like for like” </w:t>
      </w:r>
      <w:r w:rsidR="005E5146">
        <w:t>peer group)</w:t>
      </w:r>
      <w:r w:rsidR="006578F1">
        <w:t>;</w:t>
      </w:r>
    </w:p>
    <w:p w14:paraId="3936D6DB" w14:textId="71D4D600" w:rsidR="006F5B5B" w:rsidRDefault="00FF2A1D" w:rsidP="007D1931">
      <w:pPr>
        <w:pStyle w:val="ListParagraph"/>
        <w:numPr>
          <w:ilvl w:val="3"/>
          <w:numId w:val="7"/>
        </w:numPr>
        <w:spacing w:after="120"/>
        <w:ind w:left="1276" w:hanging="425"/>
        <w:contextualSpacing w:val="0"/>
        <w:jc w:val="both"/>
      </w:pPr>
      <w:r>
        <w:t>v</w:t>
      </w:r>
      <w:r w:rsidR="006578F1">
        <w:t>ersu</w:t>
      </w:r>
      <w:r>
        <w:t xml:space="preserve">s </w:t>
      </w:r>
      <w:r w:rsidR="006601A2">
        <w:t>a risk-adjusted metric</w:t>
      </w:r>
      <w:r>
        <w:t xml:space="preserve"> (to assess performance relative to risk)</w:t>
      </w:r>
      <w:r w:rsidR="004F7162">
        <w:t>; and</w:t>
      </w:r>
    </w:p>
    <w:p w14:paraId="07DD741E" w14:textId="7C2C91B3" w:rsidR="006F5B5B" w:rsidRDefault="006F5B5B" w:rsidP="007D1931">
      <w:pPr>
        <w:pStyle w:val="ListParagraph"/>
        <w:numPr>
          <w:ilvl w:val="3"/>
          <w:numId w:val="7"/>
        </w:numPr>
        <w:spacing w:after="120"/>
        <w:ind w:left="1276" w:hanging="425"/>
        <w:contextualSpacing w:val="0"/>
        <w:jc w:val="both"/>
      </w:pPr>
      <w:r>
        <w:t>v</w:t>
      </w:r>
      <w:r w:rsidR="006578F1">
        <w:t>ersu</w:t>
      </w:r>
      <w:r>
        <w:t xml:space="preserve">s </w:t>
      </w:r>
      <w:r w:rsidR="009D7519">
        <w:t xml:space="preserve">a </w:t>
      </w:r>
      <w:r>
        <w:t xml:space="preserve">SAA benchmark portfolio </w:t>
      </w:r>
      <w:r w:rsidR="006601A2">
        <w:t xml:space="preserve">(i.e. </w:t>
      </w:r>
      <w:r w:rsidR="00FF2A1D">
        <w:t xml:space="preserve">essentially </w:t>
      </w:r>
      <w:r w:rsidR="006601A2">
        <w:t xml:space="preserve">the </w:t>
      </w:r>
      <w:r w:rsidR="00141DA4">
        <w:t>p</w:t>
      </w:r>
      <w:r w:rsidR="006601A2">
        <w:t xml:space="preserve">erformance </w:t>
      </w:r>
      <w:r w:rsidR="00141DA4">
        <w:t>t</w:t>
      </w:r>
      <w:r w:rsidR="006601A2">
        <w:t xml:space="preserve">est </w:t>
      </w:r>
      <w:r w:rsidR="00FF2A1D">
        <w:t xml:space="preserve">which </w:t>
      </w:r>
      <w:r w:rsidR="006601A2">
        <w:t>assesses implementation effectiveness)</w:t>
      </w:r>
      <w:r w:rsidR="006578F1">
        <w:t>.</w:t>
      </w:r>
    </w:p>
    <w:p w14:paraId="55BC4D3B" w14:textId="579DE714" w:rsidR="006F5B5B" w:rsidRDefault="006F5B5B" w:rsidP="007D1931">
      <w:pPr>
        <w:pStyle w:val="ListParagraph"/>
        <w:numPr>
          <w:ilvl w:val="2"/>
          <w:numId w:val="3"/>
        </w:numPr>
        <w:spacing w:after="120"/>
        <w:ind w:left="851" w:hanging="425"/>
        <w:contextualSpacing w:val="0"/>
        <w:jc w:val="both"/>
      </w:pPr>
      <w:r>
        <w:t>Multiple fee / scale tests</w:t>
      </w:r>
      <w:r w:rsidR="00FF2A1D">
        <w:t>:</w:t>
      </w:r>
      <w:r>
        <w:t xml:space="preserve"> </w:t>
      </w:r>
    </w:p>
    <w:p w14:paraId="33EBC253" w14:textId="0060F96B" w:rsidR="006F5B5B" w:rsidRDefault="00ED3AB8" w:rsidP="007D1931">
      <w:pPr>
        <w:pStyle w:val="ListParagraph"/>
        <w:numPr>
          <w:ilvl w:val="3"/>
          <w:numId w:val="8"/>
        </w:numPr>
        <w:spacing w:after="120"/>
        <w:ind w:left="1276" w:hanging="425"/>
        <w:contextualSpacing w:val="0"/>
        <w:jc w:val="both"/>
      </w:pPr>
      <w:r>
        <w:t>I</w:t>
      </w:r>
      <w:r w:rsidR="006F5B5B">
        <w:t xml:space="preserve">nvestment fees, measured across a range of account balances </w:t>
      </w:r>
      <w:r w:rsidR="00284194">
        <w:t xml:space="preserve">/ </w:t>
      </w:r>
      <w:r w:rsidR="00FF2A1D">
        <w:t xml:space="preserve">cohorts </w:t>
      </w:r>
      <w:r w:rsidR="006F5B5B">
        <w:t>(say under 35, 36-45, 46-55, 56-65)</w:t>
      </w:r>
      <w:r w:rsidR="004F7162">
        <w:t>;</w:t>
      </w:r>
    </w:p>
    <w:p w14:paraId="768AC796" w14:textId="234D31CC" w:rsidR="006F5B5B" w:rsidRDefault="00ED3AB8" w:rsidP="007D1931">
      <w:pPr>
        <w:pStyle w:val="ListParagraph"/>
        <w:numPr>
          <w:ilvl w:val="3"/>
          <w:numId w:val="8"/>
        </w:numPr>
        <w:spacing w:after="120"/>
        <w:ind w:left="1276" w:hanging="425"/>
        <w:contextualSpacing w:val="0"/>
        <w:jc w:val="both"/>
      </w:pPr>
      <w:r>
        <w:t>A</w:t>
      </w:r>
      <w:r w:rsidR="006F5B5B">
        <w:t>dministration fees, measured across a range of account balances</w:t>
      </w:r>
      <w:r w:rsidR="00284194">
        <w:t xml:space="preserve"> / cohorts</w:t>
      </w:r>
      <w:r w:rsidR="004F7162">
        <w:t>; and</w:t>
      </w:r>
    </w:p>
    <w:p w14:paraId="4517B2BD" w14:textId="651BE7FD" w:rsidR="006F5B5B" w:rsidRDefault="006F5B5B" w:rsidP="007D1931">
      <w:pPr>
        <w:pStyle w:val="ListParagraph"/>
        <w:numPr>
          <w:ilvl w:val="3"/>
          <w:numId w:val="8"/>
        </w:numPr>
        <w:ind w:left="1276" w:hanging="425"/>
        <w:contextualSpacing w:val="0"/>
        <w:jc w:val="both"/>
      </w:pPr>
      <w:r>
        <w:t>Total fees, measured across a range of account balances (e.g. to include insurance)</w:t>
      </w:r>
      <w:r w:rsidR="00ED3AB8">
        <w:t>.</w:t>
      </w:r>
    </w:p>
    <w:p w14:paraId="224771B9" w14:textId="19757BCA" w:rsidR="00ED3AB8" w:rsidRDefault="00ED3AB8" w:rsidP="007D1931">
      <w:pPr>
        <w:pStyle w:val="ListParagraph"/>
        <w:numPr>
          <w:ilvl w:val="1"/>
          <w:numId w:val="3"/>
        </w:numPr>
        <w:spacing w:after="120"/>
        <w:ind w:left="426" w:hanging="426"/>
        <w:contextualSpacing w:val="0"/>
        <w:jc w:val="both"/>
      </w:pPr>
      <w:r>
        <w:t>If Treasury wishes to utilise only a single metric</w:t>
      </w:r>
      <w:r w:rsidR="003B07B6">
        <w:t xml:space="preserve"> according to the proposal announced in the Budget</w:t>
      </w:r>
      <w:r>
        <w:t xml:space="preserve">, this approach could be enhanced by the process that is applied </w:t>
      </w:r>
      <w:r w:rsidRPr="003B07B6">
        <w:rPr>
          <w:b/>
          <w:bCs/>
          <w:i/>
          <w:iCs/>
        </w:rPr>
        <w:t>after</w:t>
      </w:r>
      <w:r>
        <w:t xml:space="preserve"> failure of the </w:t>
      </w:r>
      <w:r w:rsidR="003B07B6">
        <w:t xml:space="preserve">single </w:t>
      </w:r>
      <w:r>
        <w:t xml:space="preserve">test, in particular applying a subsequent set of tests </w:t>
      </w:r>
      <w:r w:rsidR="003B07B6">
        <w:t>such as those set out above</w:t>
      </w:r>
      <w:r>
        <w:t>.</w:t>
      </w:r>
    </w:p>
    <w:p w14:paraId="6CA98BFD" w14:textId="45B19000" w:rsidR="0087385D" w:rsidRDefault="006F5B5B" w:rsidP="007D1931">
      <w:pPr>
        <w:pStyle w:val="ListParagraph"/>
        <w:numPr>
          <w:ilvl w:val="1"/>
          <w:numId w:val="3"/>
        </w:numPr>
        <w:spacing w:after="120"/>
        <w:ind w:left="426" w:hanging="426"/>
        <w:contextualSpacing w:val="0"/>
        <w:jc w:val="both"/>
      </w:pPr>
      <w:r>
        <w:t xml:space="preserve">Failure of a majority of this suite of tests should result in </w:t>
      </w:r>
      <w:r w:rsidR="00FE15D4">
        <w:t xml:space="preserve">the product </w:t>
      </w:r>
      <w:r>
        <w:t>being subject to restrictions</w:t>
      </w:r>
      <w:r w:rsidR="00F00CC4">
        <w:t>, such as:</w:t>
      </w:r>
    </w:p>
    <w:p w14:paraId="001B7A13" w14:textId="720D8C9E" w:rsidR="0087385D" w:rsidRDefault="0087385D" w:rsidP="007D1931">
      <w:pPr>
        <w:pStyle w:val="ListParagraph"/>
        <w:numPr>
          <w:ilvl w:val="2"/>
          <w:numId w:val="3"/>
        </w:numPr>
        <w:spacing w:after="120"/>
        <w:ind w:left="851" w:hanging="425"/>
        <w:contextualSpacing w:val="0"/>
        <w:jc w:val="both"/>
      </w:pPr>
      <w:r>
        <w:lastRenderedPageBreak/>
        <w:t>C</w:t>
      </w:r>
      <w:r w:rsidR="006F5B5B">
        <w:t xml:space="preserve">losing the product to new members and remedial oversight by APRA </w:t>
      </w:r>
      <w:r w:rsidR="00090823">
        <w:t xml:space="preserve">(or an Independent Review Panel) </w:t>
      </w:r>
      <w:r w:rsidR="006F5B5B">
        <w:t xml:space="preserve">for </w:t>
      </w:r>
      <w:r>
        <w:t xml:space="preserve">three years </w:t>
      </w:r>
      <w:r w:rsidR="006F5B5B">
        <w:t xml:space="preserve">or until the fund subsequently passes the </w:t>
      </w:r>
      <w:r w:rsidR="00B8689E">
        <w:t xml:space="preserve">majority of </w:t>
      </w:r>
      <w:r w:rsidR="006F5B5B">
        <w:t xml:space="preserve">tests within three years. </w:t>
      </w:r>
    </w:p>
    <w:p w14:paraId="3930D035" w14:textId="1B147EDC" w:rsidR="006F5B5B" w:rsidRDefault="006F5B5B" w:rsidP="007D1931">
      <w:pPr>
        <w:pStyle w:val="ListParagraph"/>
        <w:numPr>
          <w:ilvl w:val="2"/>
          <w:numId w:val="3"/>
        </w:numPr>
        <w:ind w:left="851" w:hanging="425"/>
        <w:contextualSpacing w:val="0"/>
        <w:jc w:val="both"/>
      </w:pPr>
      <w:r>
        <w:t xml:space="preserve">Where </w:t>
      </w:r>
      <w:r w:rsidR="00A7770D">
        <w:t xml:space="preserve">a product </w:t>
      </w:r>
      <w:r>
        <w:t xml:space="preserve">has been unable to </w:t>
      </w:r>
      <w:r w:rsidR="00DE59DF">
        <w:t xml:space="preserve">pass the majority </w:t>
      </w:r>
      <w:r w:rsidR="00D77086">
        <w:t>of subsequent tests</w:t>
      </w:r>
      <w:r w:rsidR="00CF469E">
        <w:t xml:space="preserve"> within three years</w:t>
      </w:r>
      <w:r>
        <w:t xml:space="preserve">, </w:t>
      </w:r>
      <w:r w:rsidR="0002529D">
        <w:t xml:space="preserve">APRA (or an Independent Review Panel) would have discretion </w:t>
      </w:r>
      <w:r w:rsidR="004747F5">
        <w:t xml:space="preserve">to determine whether </w:t>
      </w:r>
      <w:r>
        <w:t>the product should</w:t>
      </w:r>
      <w:r w:rsidR="00290F34">
        <w:t xml:space="preserve"> </w:t>
      </w:r>
      <w:r w:rsidR="00316A0B">
        <w:t xml:space="preserve">continue </w:t>
      </w:r>
      <w:r w:rsidR="00CF469E">
        <w:t xml:space="preserve">(on the basis of evidence of improving performance) </w:t>
      </w:r>
      <w:r w:rsidR="00316A0B">
        <w:t>or</w:t>
      </w:r>
      <w:r w:rsidR="00290F34">
        <w:t xml:space="preserve"> </w:t>
      </w:r>
      <w:r>
        <w:t xml:space="preserve">be </w:t>
      </w:r>
      <w:r w:rsidR="00461F87">
        <w:t>wou</w:t>
      </w:r>
      <w:r w:rsidR="00C115EE">
        <w:t>n</w:t>
      </w:r>
      <w:r w:rsidR="00461F87">
        <w:t>d up</w:t>
      </w:r>
      <w:r w:rsidR="00C115EE">
        <w:t>,</w:t>
      </w:r>
      <w:r w:rsidR="00461F87">
        <w:t xml:space="preserve"> </w:t>
      </w:r>
      <w:r>
        <w:t xml:space="preserve">or compulsorily transferred to another </w:t>
      </w:r>
      <w:r w:rsidR="00434A07">
        <w:t>Trustee</w:t>
      </w:r>
      <w:r w:rsidR="00461F87">
        <w:t>.</w:t>
      </w:r>
    </w:p>
    <w:p w14:paraId="61ED1682" w14:textId="2E631E2D" w:rsidR="004F7162" w:rsidRDefault="0012125D" w:rsidP="0024164E">
      <w:pPr>
        <w:jc w:val="both"/>
      </w:pPr>
      <w:r>
        <w:t xml:space="preserve">Whilst we note that </w:t>
      </w:r>
      <w:r w:rsidR="00042266">
        <w:t>the inclusion of ‘trustee-directed products’</w:t>
      </w:r>
      <w:r w:rsidR="000625DA">
        <w:t xml:space="preserve"> </w:t>
      </w:r>
      <w:r w:rsidR="000C6529">
        <w:t>i.e.</w:t>
      </w:r>
      <w:r w:rsidR="00042266">
        <w:t xml:space="preserve"> choice products</w:t>
      </w:r>
      <w:r w:rsidR="00F00CC4">
        <w:t>,</w:t>
      </w:r>
      <w:r w:rsidR="00042266">
        <w:t xml:space="preserve"> is subject to further regulations to be developed, in JANA’s view, t</w:t>
      </w:r>
      <w:r w:rsidR="006F5B5B">
        <w:t xml:space="preserve">he proposed </w:t>
      </w:r>
      <w:r w:rsidR="00B80009">
        <w:t>p</w:t>
      </w:r>
      <w:r w:rsidR="00CE0B5A">
        <w:t xml:space="preserve">erformance </w:t>
      </w:r>
      <w:r w:rsidR="00B80009">
        <w:t>t</w:t>
      </w:r>
      <w:r w:rsidR="00CE0B5A">
        <w:t xml:space="preserve">est </w:t>
      </w:r>
      <w:r w:rsidR="00461F87">
        <w:t xml:space="preserve">set out in the Budget </w:t>
      </w:r>
      <w:r w:rsidR="006F5B5B">
        <w:t xml:space="preserve">does not lend itself well to assessing products that </w:t>
      </w:r>
      <w:r w:rsidR="00316A0B">
        <w:t xml:space="preserve">deliberately / </w:t>
      </w:r>
      <w:r w:rsidR="006F5B5B">
        <w:t xml:space="preserve">naturally run higher </w:t>
      </w:r>
      <w:r w:rsidR="00B80009">
        <w:t xml:space="preserve">benchmark relative </w:t>
      </w:r>
      <w:r w:rsidR="006F5B5B">
        <w:t xml:space="preserve">tracking error. </w:t>
      </w:r>
      <w:r w:rsidR="004F7162">
        <w:t xml:space="preserve"> </w:t>
      </w:r>
      <w:r w:rsidR="006F5B5B">
        <w:t xml:space="preserve">This includes </w:t>
      </w:r>
      <w:r w:rsidR="003B07B6">
        <w:t>SRI/ESG products and risk-managed products such as post-retirement, absolute return and lifecycle products</w:t>
      </w:r>
      <w:r w:rsidR="006F5B5B">
        <w:t xml:space="preserve">. </w:t>
      </w:r>
    </w:p>
    <w:p w14:paraId="20B0490A" w14:textId="07AEE35D" w:rsidR="006F5B5B" w:rsidRDefault="006F5B5B" w:rsidP="0024164E">
      <w:pPr>
        <w:jc w:val="both"/>
      </w:pPr>
      <w:r>
        <w:t>Further, if members actively choose these products, and given these products are still subject to the existing suite of regulatory measures and oversight (SPS530, SPS515, Heatmaps, etc), this is arguably sufficient.</w:t>
      </w:r>
      <w:r w:rsidR="004F7162">
        <w:t xml:space="preserve"> </w:t>
      </w:r>
      <w:r>
        <w:t xml:space="preserve"> Under this model, the proposed performance test would apply solely to </w:t>
      </w:r>
      <w:proofErr w:type="spellStart"/>
      <w:r w:rsidR="00F00CC4">
        <w:t>MySuper</w:t>
      </w:r>
      <w:proofErr w:type="spellEnd"/>
      <w:r>
        <w:t xml:space="preserve"> products (</w:t>
      </w:r>
      <w:r w:rsidR="00BA0677">
        <w:t>many members of which are</w:t>
      </w:r>
      <w:r>
        <w:t xml:space="preserve"> inactive defaulted members)</w:t>
      </w:r>
      <w:r w:rsidR="00180B19">
        <w:t xml:space="preserve"> noting that further consultation is required for </w:t>
      </w:r>
      <w:r w:rsidR="001B64EA">
        <w:t xml:space="preserve">a performance test for </w:t>
      </w:r>
      <w:r w:rsidR="00180B19">
        <w:t xml:space="preserve">lifecycle </w:t>
      </w:r>
      <w:proofErr w:type="spellStart"/>
      <w:r w:rsidR="00AF5040">
        <w:t>MySuper</w:t>
      </w:r>
      <w:proofErr w:type="spellEnd"/>
      <w:r w:rsidR="00AF5040">
        <w:t xml:space="preserve"> products</w:t>
      </w:r>
      <w:r>
        <w:t>.</w:t>
      </w:r>
      <w:r w:rsidR="004F7162">
        <w:t xml:space="preserve"> </w:t>
      </w:r>
      <w:r>
        <w:t xml:space="preserve">For choice products, </w:t>
      </w:r>
      <w:r w:rsidR="00290F34">
        <w:t xml:space="preserve">we are of the view that </w:t>
      </w:r>
      <w:r>
        <w:t xml:space="preserve">the market </w:t>
      </w:r>
      <w:r w:rsidR="00290F34">
        <w:t xml:space="preserve">should be able to </w:t>
      </w:r>
      <w:r>
        <w:t>innovate and develop product</w:t>
      </w:r>
      <w:r w:rsidR="00F00CC4">
        <w:t>s</w:t>
      </w:r>
      <w:r>
        <w:t xml:space="preserve"> as it sees fit</w:t>
      </w:r>
      <w:r w:rsidR="003F6DB1">
        <w:t xml:space="preserve"> without the constraint of an ill-suited </w:t>
      </w:r>
      <w:r w:rsidR="008D6362">
        <w:t>p</w:t>
      </w:r>
      <w:r w:rsidR="003F6DB1">
        <w:t xml:space="preserve">erformance </w:t>
      </w:r>
      <w:r w:rsidR="008D6362">
        <w:t>t</w:t>
      </w:r>
      <w:r w:rsidR="003F6DB1">
        <w:t>est</w:t>
      </w:r>
      <w:r>
        <w:t xml:space="preserve">, and </w:t>
      </w:r>
      <w:r w:rsidR="00F67DA5">
        <w:t xml:space="preserve">thereby allow </w:t>
      </w:r>
      <w:r>
        <w:t xml:space="preserve">market forces (member active choice) </w:t>
      </w:r>
      <w:r w:rsidR="00E17504">
        <w:t xml:space="preserve">to </w:t>
      </w:r>
      <w:r>
        <w:t xml:space="preserve">dictate winners, whilst at the same time </w:t>
      </w:r>
      <w:r w:rsidR="00D204F1">
        <w:t xml:space="preserve">being </w:t>
      </w:r>
      <w:r>
        <w:t xml:space="preserve">subject to existing regulatory frameworks. </w:t>
      </w:r>
    </w:p>
    <w:p w14:paraId="7BC690F5" w14:textId="77777777" w:rsidR="00B808D6" w:rsidRDefault="00B808D6" w:rsidP="00BA0677">
      <w:pPr>
        <w:spacing w:after="0"/>
        <w:jc w:val="both"/>
      </w:pPr>
    </w:p>
    <w:bookmarkEnd w:id="5"/>
    <w:p w14:paraId="3204E832" w14:textId="7C69822E" w:rsidR="00F00CC4" w:rsidRPr="00405F8A" w:rsidRDefault="00F00CC4" w:rsidP="00F00CC4">
      <w:pPr>
        <w:spacing w:after="0"/>
        <w:jc w:val="both"/>
        <w:rPr>
          <w:rFonts w:eastAsia="Times New Roman"/>
          <w:b/>
          <w:bCs/>
          <w:i/>
          <w:iCs/>
        </w:rPr>
      </w:pPr>
      <w:r w:rsidRPr="00405F8A">
        <w:rPr>
          <w:rFonts w:eastAsia="Times New Roman"/>
          <w:b/>
          <w:bCs/>
          <w:i/>
          <w:iCs/>
        </w:rPr>
        <w:t xml:space="preserve">Enhancement </w:t>
      </w:r>
      <w:r>
        <w:rPr>
          <w:rFonts w:eastAsia="Times New Roman"/>
          <w:b/>
          <w:bCs/>
          <w:i/>
          <w:iCs/>
        </w:rPr>
        <w:t>2</w:t>
      </w:r>
      <w:r w:rsidRPr="00405F8A">
        <w:rPr>
          <w:rFonts w:eastAsia="Times New Roman"/>
          <w:b/>
          <w:bCs/>
          <w:i/>
          <w:iCs/>
        </w:rPr>
        <w:t xml:space="preserve">:  </w:t>
      </w:r>
      <w:r>
        <w:rPr>
          <w:rFonts w:eastAsia="Times New Roman"/>
          <w:b/>
          <w:bCs/>
          <w:i/>
          <w:iCs/>
        </w:rPr>
        <w:t>‘Fit for purpose’ benchmarks</w:t>
      </w:r>
    </w:p>
    <w:p w14:paraId="6789F18F" w14:textId="77777777" w:rsidR="00F00CC4" w:rsidRDefault="00F00CC4" w:rsidP="003B07B6">
      <w:pPr>
        <w:spacing w:after="0"/>
        <w:jc w:val="both"/>
      </w:pPr>
    </w:p>
    <w:p w14:paraId="6A1CC722" w14:textId="1B299028" w:rsidR="00F00CC4" w:rsidRDefault="00F00CC4" w:rsidP="00A97326">
      <w:pPr>
        <w:jc w:val="both"/>
      </w:pPr>
      <w:r>
        <w:t xml:space="preserve">JANA </w:t>
      </w:r>
      <w:r w:rsidR="003F2B16">
        <w:t xml:space="preserve">strongly </w:t>
      </w:r>
      <w:r>
        <w:t>encourages</w:t>
      </w:r>
      <w:r w:rsidR="008A2499">
        <w:t xml:space="preserve"> </w:t>
      </w:r>
      <w:r w:rsidR="000625DA">
        <w:t xml:space="preserve">Treasury </w:t>
      </w:r>
      <w:r>
        <w:t xml:space="preserve">to </w:t>
      </w:r>
      <w:r w:rsidR="008A2499">
        <w:t xml:space="preserve">consider </w:t>
      </w:r>
      <w:r w:rsidR="00F67DA5">
        <w:t>incorporat</w:t>
      </w:r>
      <w:r>
        <w:t>ing</w:t>
      </w:r>
      <w:r w:rsidR="00F67DA5">
        <w:t xml:space="preserve"> </w:t>
      </w:r>
      <w:r w:rsidR="008A2499">
        <w:t>unlisted asset class benchmarks</w:t>
      </w:r>
      <w:r w:rsidR="00F67DA5">
        <w:t xml:space="preserve"> into the performance test</w:t>
      </w:r>
      <w:r w:rsidR="008A2499">
        <w:t>.</w:t>
      </w:r>
      <w:r>
        <w:t xml:space="preserve">  We believe this would more closely align the performance test with the portfolio structures of most Australian superannuation funds.  In particular, many funds hold significant all</w:t>
      </w:r>
      <w:r w:rsidR="00F87D8D">
        <w:t>oc</w:t>
      </w:r>
      <w:r>
        <w:t>ations to unlisted assets including private equity, property, infra</w:t>
      </w:r>
      <w:r w:rsidR="00F87D8D">
        <w:t>s</w:t>
      </w:r>
      <w:r>
        <w:t>tr</w:t>
      </w:r>
      <w:r w:rsidR="00F87D8D">
        <w:t>u</w:t>
      </w:r>
      <w:r>
        <w:t xml:space="preserve">cture and private debt.  </w:t>
      </w:r>
      <w:r w:rsidR="00F87D8D">
        <w:t xml:space="preserve">Including allocations to these unlisted investments assists in building well diversified portfolios, which is one of the requirements for a </w:t>
      </w:r>
      <w:proofErr w:type="spellStart"/>
      <w:r w:rsidR="00F87D8D">
        <w:t>MySuper</w:t>
      </w:r>
      <w:proofErr w:type="spellEnd"/>
      <w:r w:rsidR="00F87D8D">
        <w:t xml:space="preserve"> product.</w:t>
      </w:r>
      <w:r w:rsidR="000C47B3">
        <w:t xml:space="preserve"> </w:t>
      </w:r>
      <w:r w:rsidR="00BA0677">
        <w:t xml:space="preserve"> </w:t>
      </w:r>
      <w:r w:rsidR="000C47B3">
        <w:t>In addition, the ultra</w:t>
      </w:r>
      <w:r w:rsidR="00BA0677">
        <w:t>-</w:t>
      </w:r>
      <w:r w:rsidR="000C47B3">
        <w:t xml:space="preserve">low bond rates limit the effectiveness of </w:t>
      </w:r>
      <w:r w:rsidR="0085219F">
        <w:t xml:space="preserve">bonds as a </w:t>
      </w:r>
      <w:r w:rsidR="001B64EA">
        <w:t xml:space="preserve">portfolio </w:t>
      </w:r>
      <w:r w:rsidR="0085219F">
        <w:t>diversification tool, and on this basis</w:t>
      </w:r>
      <w:r w:rsidR="001B64EA">
        <w:t>,</w:t>
      </w:r>
      <w:r w:rsidR="0085219F">
        <w:t xml:space="preserve"> </w:t>
      </w:r>
      <w:r w:rsidR="000C47B3">
        <w:t xml:space="preserve">allocations to unlisted </w:t>
      </w:r>
      <w:r w:rsidR="00112244">
        <w:t xml:space="preserve">assets </w:t>
      </w:r>
      <w:r w:rsidR="000C47B3">
        <w:t xml:space="preserve">and equity-diversifying asset classes </w:t>
      </w:r>
      <w:r w:rsidR="0085219F">
        <w:t xml:space="preserve">are important </w:t>
      </w:r>
      <w:r w:rsidR="00112244">
        <w:t xml:space="preserve">portfolio tools to </w:t>
      </w:r>
      <w:r w:rsidR="00B574E6">
        <w:t xml:space="preserve">support </w:t>
      </w:r>
      <w:r w:rsidR="00761C84">
        <w:t xml:space="preserve">attainment of </w:t>
      </w:r>
      <w:r w:rsidR="00112244">
        <w:t xml:space="preserve">strong risk-adjusted returns for members.  </w:t>
      </w:r>
    </w:p>
    <w:p w14:paraId="47E088E6" w14:textId="332EF3D1" w:rsidR="004F7162" w:rsidRDefault="00F00CC4" w:rsidP="00DD2270">
      <w:pPr>
        <w:jc w:val="both"/>
      </w:pPr>
      <w:r>
        <w:t>While</w:t>
      </w:r>
      <w:r w:rsidR="008A2499">
        <w:t xml:space="preserve"> </w:t>
      </w:r>
      <w:r w:rsidR="000625DA">
        <w:t>a single test</w:t>
      </w:r>
      <w:r w:rsidR="008A2499">
        <w:t xml:space="preserve"> is not JANA’s preferred approach, </w:t>
      </w:r>
      <w:r w:rsidR="003D7D58">
        <w:t xml:space="preserve">we believe the incorporation of unlisted asset class benchmarks </w:t>
      </w:r>
      <w:r w:rsidR="008A2499">
        <w:t xml:space="preserve">would alleviate some concerns from industry that exposure to unlisted asset classes </w:t>
      </w:r>
      <w:r w:rsidR="00A150CB">
        <w:t xml:space="preserve">are </w:t>
      </w:r>
      <w:r w:rsidR="008A2499">
        <w:t>penalised under the current approach</w:t>
      </w:r>
      <w:r w:rsidR="006461C8">
        <w:t>.</w:t>
      </w:r>
      <w:r w:rsidR="004F7162">
        <w:t xml:space="preserve"> </w:t>
      </w:r>
      <w:r w:rsidR="00657FC5">
        <w:t xml:space="preserve"> </w:t>
      </w:r>
      <w:r w:rsidR="006461C8">
        <w:t>For example, t</w:t>
      </w:r>
      <w:r w:rsidR="00657FC5">
        <w:t xml:space="preserve">here have been </w:t>
      </w:r>
      <w:r w:rsidR="00B373F0">
        <w:t xml:space="preserve">rolling </w:t>
      </w:r>
      <w:r w:rsidR="006461C8">
        <w:t>8-year</w:t>
      </w:r>
      <w:r w:rsidR="00657FC5">
        <w:t xml:space="preserve"> </w:t>
      </w:r>
      <w:r w:rsidR="006461C8">
        <w:t xml:space="preserve">rolling </w:t>
      </w:r>
      <w:r w:rsidR="00657FC5">
        <w:t xml:space="preserve">periods where unlisted property has </w:t>
      </w:r>
      <w:r w:rsidR="00D75C91">
        <w:t xml:space="preserve">materially </w:t>
      </w:r>
      <w:r w:rsidR="00657FC5">
        <w:t xml:space="preserve">underperformed </w:t>
      </w:r>
      <w:r w:rsidR="009914D0">
        <w:t>listed property</w:t>
      </w:r>
      <w:r w:rsidR="00D75C91">
        <w:t xml:space="preserve">. </w:t>
      </w:r>
      <w:r w:rsidR="009914D0">
        <w:t xml:space="preserve"> </w:t>
      </w:r>
      <w:r w:rsidR="007C37D5">
        <w:t xml:space="preserve">As at 30 June </w:t>
      </w:r>
      <w:r w:rsidR="00D75C91">
        <w:t xml:space="preserve">2007, </w:t>
      </w:r>
      <w:r w:rsidR="007C37D5">
        <w:t xml:space="preserve">we estimate that </w:t>
      </w:r>
      <w:r w:rsidR="00D75C91">
        <w:t xml:space="preserve">unlisted property underperformed listed property </w:t>
      </w:r>
      <w:r w:rsidR="00910E60">
        <w:t xml:space="preserve">by </w:t>
      </w:r>
      <w:r w:rsidR="006461C8">
        <w:t>~</w:t>
      </w:r>
      <w:r w:rsidR="007C37D5">
        <w:t>5</w:t>
      </w:r>
      <w:r w:rsidR="00B373F0">
        <w:t>%</w:t>
      </w:r>
      <w:r w:rsidR="00910E60">
        <w:t xml:space="preserve"> </w:t>
      </w:r>
      <w:r w:rsidR="00422749">
        <w:t xml:space="preserve">p.a. </w:t>
      </w:r>
      <w:r w:rsidR="00910E60">
        <w:t>over 8 years</w:t>
      </w:r>
      <w:r w:rsidR="008F699E">
        <w:t xml:space="preserve">. </w:t>
      </w:r>
      <w:r w:rsidR="004F7162">
        <w:t xml:space="preserve"> </w:t>
      </w:r>
      <w:r w:rsidR="008F699E">
        <w:t>A</w:t>
      </w:r>
      <w:r w:rsidR="007C5FCD">
        <w:t xml:space="preserve">ssuming </w:t>
      </w:r>
      <w:r w:rsidR="008F699E">
        <w:t xml:space="preserve">a 10% weight to unlisted property and assuming </w:t>
      </w:r>
      <w:r w:rsidR="007C5FCD">
        <w:t xml:space="preserve">no other active positions relative to the proposed </w:t>
      </w:r>
      <w:r w:rsidR="00F73603">
        <w:t xml:space="preserve">performance test </w:t>
      </w:r>
      <w:r w:rsidR="007C5FCD">
        <w:t>benchmark</w:t>
      </w:r>
      <w:r w:rsidR="00817037">
        <w:t>, this</w:t>
      </w:r>
      <w:r w:rsidR="008F699E">
        <w:t xml:space="preserve"> would </w:t>
      </w:r>
      <w:r w:rsidR="007C5FCD">
        <w:t xml:space="preserve">likely </w:t>
      </w:r>
      <w:r w:rsidR="008F699E">
        <w:t xml:space="preserve">result in </w:t>
      </w:r>
      <w:r w:rsidR="00910E60">
        <w:t xml:space="preserve">a product </w:t>
      </w:r>
      <w:r w:rsidR="008F699E">
        <w:t xml:space="preserve">being classified </w:t>
      </w:r>
      <w:r w:rsidR="00910E60">
        <w:t xml:space="preserve">as “poor”. </w:t>
      </w:r>
      <w:r w:rsidR="004F7162">
        <w:t xml:space="preserve"> </w:t>
      </w:r>
      <w:r w:rsidR="00D315DE">
        <w:t xml:space="preserve">Under this scenario, the </w:t>
      </w:r>
      <w:r w:rsidR="008F699E">
        <w:t xml:space="preserve">product </w:t>
      </w:r>
      <w:r w:rsidR="00D315DE">
        <w:t xml:space="preserve">would be closed to new members, or worse, members leave the </w:t>
      </w:r>
      <w:r w:rsidR="008F699E">
        <w:t xml:space="preserve">product to </w:t>
      </w:r>
      <w:r w:rsidR="00D315DE">
        <w:t xml:space="preserve">join a </w:t>
      </w:r>
      <w:r w:rsidR="00F42FC5">
        <w:t>strongly performing fund (whose performance was “strong” on the basis of an exposure to listed property).</w:t>
      </w:r>
      <w:r w:rsidR="004F7162">
        <w:t xml:space="preserve"> </w:t>
      </w:r>
      <w:r w:rsidR="00F42FC5">
        <w:t xml:space="preserve"> </w:t>
      </w:r>
      <w:r w:rsidR="00422749">
        <w:t xml:space="preserve">Eight years later, as at 30 June 2015, we estimate that unlisted property outperformed listed property by </w:t>
      </w:r>
      <w:r w:rsidR="0047455F">
        <w:t>~</w:t>
      </w:r>
      <w:r w:rsidR="00422749">
        <w:t xml:space="preserve">7% </w:t>
      </w:r>
      <w:r w:rsidR="00110CA9">
        <w:t>p.a</w:t>
      </w:r>
      <w:r w:rsidR="00422749">
        <w:t xml:space="preserve">. </w:t>
      </w:r>
      <w:r w:rsidR="004F7162">
        <w:t xml:space="preserve"> </w:t>
      </w:r>
      <w:r w:rsidR="00FB79F7">
        <w:t>All things being equal, t</w:t>
      </w:r>
      <w:r w:rsidR="00F42FC5">
        <w:t>his scenario would result in a</w:t>
      </w:r>
      <w:r w:rsidR="00964D83">
        <w:t xml:space="preserve"> </w:t>
      </w:r>
      <w:r w:rsidR="00F42FC5">
        <w:t>poor outcome for members</w:t>
      </w:r>
      <w:r w:rsidR="00873A7E">
        <w:t xml:space="preserve">. </w:t>
      </w:r>
      <w:r w:rsidR="004F7162">
        <w:br w:type="page"/>
      </w:r>
    </w:p>
    <w:p w14:paraId="5DCAFFE2" w14:textId="0BF0B008" w:rsidR="00A150CB" w:rsidRDefault="00A150CB" w:rsidP="00A97326">
      <w:pPr>
        <w:jc w:val="both"/>
      </w:pPr>
      <w:r>
        <w:lastRenderedPageBreak/>
        <w:t xml:space="preserve">JANA has proposed a set of unlisted class benchmarks below for consideration by </w:t>
      </w:r>
      <w:r w:rsidR="00F7732C">
        <w:t>Treasury</w:t>
      </w:r>
      <w:r>
        <w:t xml:space="preserve">. </w:t>
      </w:r>
      <w:r w:rsidR="004F7162">
        <w:t xml:space="preserve"> </w:t>
      </w:r>
      <w:r>
        <w:t xml:space="preserve">In addition, we have proposed an amendment to </w:t>
      </w:r>
      <w:r w:rsidR="00110CA9">
        <w:t xml:space="preserve">some of </w:t>
      </w:r>
      <w:r>
        <w:t>the listed benchmark</w:t>
      </w:r>
      <w:r w:rsidR="00110CA9">
        <w:t>s</w:t>
      </w:r>
      <w:r>
        <w:t xml:space="preserve"> to reflect clarifications and what we believe to be more contemporary industry practice. </w:t>
      </w:r>
    </w:p>
    <w:tbl>
      <w:tblPr>
        <w:tblW w:w="9214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8"/>
        <w:gridCol w:w="3837"/>
        <w:gridCol w:w="1844"/>
        <w:gridCol w:w="1845"/>
      </w:tblGrid>
      <w:tr w:rsidR="00A150CB" w14:paraId="42E79836" w14:textId="77777777" w:rsidTr="00C9784F">
        <w:trPr>
          <w:trHeight w:val="418"/>
        </w:trPr>
        <w:tc>
          <w:tcPr>
            <w:tcW w:w="168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2D80F062" w14:textId="0690760D" w:rsidR="00A150CB" w:rsidRDefault="00A150CB" w:rsidP="006E1F78">
            <w:r>
              <w:rPr>
                <w:b/>
                <w:bCs/>
              </w:rPr>
              <w:t>Asset Class</w:t>
            </w:r>
          </w:p>
        </w:tc>
        <w:tc>
          <w:tcPr>
            <w:tcW w:w="3837" w:type="dxa"/>
            <w:tcBorders>
              <w:top w:val="single" w:sz="8" w:space="0" w:color="A3A3A3"/>
              <w:left w:val="nil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4692A3C9" w14:textId="77777777" w:rsidR="00A150CB" w:rsidRDefault="00A150CB" w:rsidP="006E1F78">
            <w:r>
              <w:rPr>
                <w:b/>
                <w:bCs/>
              </w:rPr>
              <w:t>Benchmark Name</w:t>
            </w:r>
          </w:p>
        </w:tc>
        <w:tc>
          <w:tcPr>
            <w:tcW w:w="1844" w:type="dxa"/>
            <w:tcBorders>
              <w:top w:val="single" w:sz="8" w:space="0" w:color="A3A3A3"/>
              <w:left w:val="nil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02A23B1A" w14:textId="77777777" w:rsidR="00A150CB" w:rsidRDefault="00A150CB" w:rsidP="006E1F78">
            <w:r>
              <w:rPr>
                <w:b/>
                <w:bCs/>
                <w:lang w:val="en-US"/>
              </w:rPr>
              <w:t>Fee Assumption</w:t>
            </w:r>
          </w:p>
        </w:tc>
        <w:tc>
          <w:tcPr>
            <w:tcW w:w="1845" w:type="dxa"/>
            <w:tcBorders>
              <w:top w:val="single" w:sz="8" w:space="0" w:color="A3A3A3"/>
              <w:left w:val="nil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24C20932" w14:textId="77777777" w:rsidR="00A150CB" w:rsidRDefault="00A150CB" w:rsidP="006E1F78">
            <w:r>
              <w:rPr>
                <w:b/>
                <w:bCs/>
                <w:lang w:val="en-US"/>
              </w:rPr>
              <w:t>Assumed Effective Tax Rates</w:t>
            </w:r>
          </w:p>
        </w:tc>
      </w:tr>
      <w:tr w:rsidR="00A150CB" w14:paraId="36177725" w14:textId="77777777" w:rsidTr="00C9784F">
        <w:trPr>
          <w:trHeight w:val="418"/>
        </w:trPr>
        <w:tc>
          <w:tcPr>
            <w:tcW w:w="1688" w:type="dxa"/>
            <w:tcBorders>
              <w:top w:val="nil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49C72051" w14:textId="77777777" w:rsidR="00A150CB" w:rsidRDefault="00A150CB" w:rsidP="006E1F78">
            <w:r>
              <w:t>Australian Equity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772F8EF3" w14:textId="2207117B" w:rsidR="00A150CB" w:rsidRDefault="005B6D7E" w:rsidP="006E1F78">
            <w:r>
              <w:t>S&amp;P/ASX 300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768C0413" w14:textId="77777777" w:rsidR="00A150CB" w:rsidRDefault="00A150CB" w:rsidP="006E1F78">
            <w:r>
              <w:rPr>
                <w:lang w:val="en-US"/>
              </w:rPr>
              <w:t>0.05%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74853A38" w14:textId="77777777" w:rsidR="00A150CB" w:rsidRDefault="00A150CB" w:rsidP="006E1F78">
            <w:r>
              <w:rPr>
                <w:lang w:val="en-US"/>
              </w:rPr>
              <w:t>0%</w:t>
            </w:r>
          </w:p>
        </w:tc>
      </w:tr>
      <w:tr w:rsidR="00A150CB" w14:paraId="4C37A00F" w14:textId="77777777" w:rsidTr="00C9784F">
        <w:trPr>
          <w:trHeight w:val="418"/>
        </w:trPr>
        <w:tc>
          <w:tcPr>
            <w:tcW w:w="1688" w:type="dxa"/>
            <w:tcBorders>
              <w:top w:val="nil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3D42A992" w14:textId="77777777" w:rsidR="00A150CB" w:rsidRPr="00A150CB" w:rsidRDefault="00A150CB" w:rsidP="006E1F78">
            <w:pPr>
              <w:rPr>
                <w:b/>
                <w:bCs/>
                <w:color w:val="0070C0"/>
              </w:rPr>
            </w:pPr>
            <w:r w:rsidRPr="00A150CB">
              <w:rPr>
                <w:b/>
                <w:bCs/>
                <w:color w:val="0070C0"/>
              </w:rPr>
              <w:t>Australian Private Equity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41702BCB" w14:textId="77777777" w:rsidR="00A150CB" w:rsidRPr="00A150CB" w:rsidRDefault="00A150CB" w:rsidP="006E1F78">
            <w:pPr>
              <w:rPr>
                <w:b/>
                <w:bCs/>
                <w:color w:val="0070C0"/>
              </w:rPr>
            </w:pPr>
            <w:r w:rsidRPr="00A150CB">
              <w:rPr>
                <w:b/>
                <w:bCs/>
                <w:color w:val="0070C0"/>
              </w:rPr>
              <w:t>Cambridge Australian Private Equity &amp; Venture Capital Index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074CD7DA" w14:textId="77777777" w:rsidR="00A150CB" w:rsidRPr="00A150CB" w:rsidRDefault="00A150CB" w:rsidP="006E1F78">
            <w:pPr>
              <w:rPr>
                <w:b/>
                <w:bCs/>
                <w:color w:val="0070C0"/>
                <w:lang w:val="en-US"/>
              </w:rPr>
            </w:pPr>
            <w:r w:rsidRPr="00A150CB">
              <w:rPr>
                <w:b/>
                <w:bCs/>
                <w:color w:val="0070C0"/>
                <w:lang w:val="en-US"/>
              </w:rPr>
              <w:t>0%</w:t>
            </w:r>
          </w:p>
          <w:p w14:paraId="2A017627" w14:textId="77777777" w:rsidR="00A150CB" w:rsidRPr="00A150CB" w:rsidRDefault="00A150CB" w:rsidP="006E1F78">
            <w:pPr>
              <w:rPr>
                <w:b/>
                <w:bCs/>
                <w:color w:val="0070C0"/>
                <w:lang w:val="en-US"/>
              </w:rPr>
            </w:pPr>
            <w:r w:rsidRPr="00A150CB">
              <w:rPr>
                <w:b/>
                <w:bCs/>
                <w:color w:val="0070C0"/>
                <w:lang w:val="en-US"/>
              </w:rPr>
              <w:t>[Index is net of fees, expenses, and carried interest]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151E733D" w14:textId="77777777" w:rsidR="00A150CB" w:rsidRPr="00A150CB" w:rsidRDefault="00A150CB" w:rsidP="006E1F78">
            <w:pPr>
              <w:rPr>
                <w:b/>
                <w:bCs/>
                <w:color w:val="0070C0"/>
                <w:lang w:val="en-US"/>
              </w:rPr>
            </w:pPr>
            <w:r w:rsidRPr="00A150CB">
              <w:rPr>
                <w:b/>
                <w:bCs/>
                <w:color w:val="0070C0"/>
                <w:lang w:val="en-US"/>
              </w:rPr>
              <w:t>14%</w:t>
            </w:r>
          </w:p>
        </w:tc>
      </w:tr>
      <w:tr w:rsidR="00A150CB" w14:paraId="5ABD5D00" w14:textId="77777777" w:rsidTr="00C9784F">
        <w:trPr>
          <w:trHeight w:val="418"/>
        </w:trPr>
        <w:tc>
          <w:tcPr>
            <w:tcW w:w="1688" w:type="dxa"/>
            <w:tcBorders>
              <w:top w:val="nil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0D04426F" w14:textId="2E3FFB7E" w:rsidR="00A150CB" w:rsidRDefault="00A150CB" w:rsidP="006E1F78">
            <w:r>
              <w:t>International Equities Unhedged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77754DC6" w14:textId="706F717F" w:rsidR="00A150CB" w:rsidRDefault="002707C1" w:rsidP="006E1F78">
            <w:r>
              <w:t>MSCI All Country World Ex-Australia Equities Index with Special Tax (unhedged in AUD)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6A35A0A2" w14:textId="77777777" w:rsidR="00A150CB" w:rsidRDefault="00A150CB" w:rsidP="006E1F78">
            <w:r>
              <w:rPr>
                <w:lang w:val="en-US"/>
              </w:rPr>
              <w:t>0.11%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266062DC" w14:textId="77777777" w:rsidR="00A150CB" w:rsidRDefault="00A150CB" w:rsidP="006E1F78">
            <w:r>
              <w:rPr>
                <w:lang w:val="en-US"/>
              </w:rPr>
              <w:t>14%</w:t>
            </w:r>
          </w:p>
        </w:tc>
      </w:tr>
      <w:tr w:rsidR="00A150CB" w14:paraId="04B46FF8" w14:textId="77777777" w:rsidTr="00C9784F">
        <w:trPr>
          <w:trHeight w:val="418"/>
        </w:trPr>
        <w:tc>
          <w:tcPr>
            <w:tcW w:w="1688" w:type="dxa"/>
            <w:tcBorders>
              <w:top w:val="nil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2DA5A2FE" w14:textId="77777777" w:rsidR="00A150CB" w:rsidRDefault="00A150CB" w:rsidP="006E1F78">
            <w:r>
              <w:t>International Equities Hedged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466AA385" w14:textId="662AADD4" w:rsidR="00A150CB" w:rsidRDefault="00402F10" w:rsidP="006E1F78">
            <w:r>
              <w:t>MSCI All Country World Ex-Australia Equities Index with Special Tax (100% hedged to AUD)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040FF678" w14:textId="77777777" w:rsidR="00A150CB" w:rsidRDefault="00A150CB" w:rsidP="006E1F78">
            <w:r>
              <w:rPr>
                <w:lang w:val="en-US"/>
              </w:rPr>
              <w:t>0.09%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736F0234" w14:textId="77777777" w:rsidR="00A150CB" w:rsidRDefault="00A150CB" w:rsidP="006E1F78">
            <w:r>
              <w:rPr>
                <w:lang w:val="en-US"/>
              </w:rPr>
              <w:t>14%</w:t>
            </w:r>
          </w:p>
        </w:tc>
      </w:tr>
      <w:tr w:rsidR="00A150CB" w14:paraId="469A1EF0" w14:textId="77777777" w:rsidTr="00C9784F">
        <w:trPr>
          <w:trHeight w:val="418"/>
        </w:trPr>
        <w:tc>
          <w:tcPr>
            <w:tcW w:w="1688" w:type="dxa"/>
            <w:tcBorders>
              <w:top w:val="nil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19381FF0" w14:textId="77777777" w:rsidR="00A150CB" w:rsidRPr="00A150CB" w:rsidRDefault="00A150CB" w:rsidP="006E1F78">
            <w:pPr>
              <w:rPr>
                <w:b/>
                <w:bCs/>
                <w:color w:val="0070C0"/>
              </w:rPr>
            </w:pPr>
            <w:r w:rsidRPr="00A150CB">
              <w:rPr>
                <w:b/>
                <w:bCs/>
                <w:color w:val="0070C0"/>
              </w:rPr>
              <w:t>International Private Equity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192DFF6D" w14:textId="77777777" w:rsidR="00A150CB" w:rsidRPr="00A150CB" w:rsidRDefault="00A150CB" w:rsidP="006E1F78">
            <w:pPr>
              <w:rPr>
                <w:b/>
                <w:bCs/>
                <w:color w:val="0070C0"/>
              </w:rPr>
            </w:pPr>
            <w:r w:rsidRPr="00A150CB">
              <w:rPr>
                <w:b/>
                <w:bCs/>
                <w:color w:val="0070C0"/>
              </w:rPr>
              <w:t>Cambridge Private Equity Index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14ACA5C8" w14:textId="77777777" w:rsidR="00A150CB" w:rsidRPr="00A150CB" w:rsidRDefault="00A150CB" w:rsidP="006E1F78">
            <w:pPr>
              <w:rPr>
                <w:b/>
                <w:bCs/>
                <w:color w:val="0070C0"/>
              </w:rPr>
            </w:pPr>
            <w:r w:rsidRPr="00A150CB">
              <w:rPr>
                <w:b/>
                <w:bCs/>
                <w:color w:val="0070C0"/>
              </w:rPr>
              <w:t>0%</w:t>
            </w:r>
          </w:p>
          <w:p w14:paraId="3E60B170" w14:textId="77777777" w:rsidR="00A150CB" w:rsidRPr="00A150CB" w:rsidRDefault="00A150CB" w:rsidP="006E1F78">
            <w:pPr>
              <w:rPr>
                <w:b/>
                <w:bCs/>
                <w:color w:val="0070C0"/>
              </w:rPr>
            </w:pPr>
            <w:r w:rsidRPr="00A150CB">
              <w:rPr>
                <w:b/>
                <w:bCs/>
                <w:color w:val="0070C0"/>
              </w:rPr>
              <w:t>[Index is net of fees, expenses, and carried interest]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1E83EFFA" w14:textId="77777777" w:rsidR="00A150CB" w:rsidRPr="00A150CB" w:rsidRDefault="00A150CB" w:rsidP="006E1F78">
            <w:pPr>
              <w:rPr>
                <w:b/>
                <w:bCs/>
                <w:color w:val="0070C0"/>
              </w:rPr>
            </w:pPr>
            <w:r w:rsidRPr="00A150CB">
              <w:rPr>
                <w:b/>
                <w:bCs/>
                <w:color w:val="0070C0"/>
              </w:rPr>
              <w:t>14%</w:t>
            </w:r>
          </w:p>
        </w:tc>
      </w:tr>
      <w:tr w:rsidR="00A150CB" w14:paraId="40F29D5B" w14:textId="77777777" w:rsidTr="00C9784F">
        <w:trPr>
          <w:trHeight w:val="418"/>
        </w:trPr>
        <w:tc>
          <w:tcPr>
            <w:tcW w:w="1688" w:type="dxa"/>
            <w:tcBorders>
              <w:top w:val="nil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21A1C437" w14:textId="77777777" w:rsidR="00A150CB" w:rsidRDefault="00A150CB" w:rsidP="006E1F78">
            <w:r>
              <w:t>Australian Fixed Interest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55F14274" w14:textId="77777777" w:rsidR="00A150CB" w:rsidRDefault="00A150CB" w:rsidP="006E1F78">
            <w:r>
              <w:t xml:space="preserve">Bloomberg </w:t>
            </w:r>
            <w:proofErr w:type="spellStart"/>
            <w:r>
              <w:t>AusBond</w:t>
            </w:r>
            <w:proofErr w:type="spellEnd"/>
            <w:r>
              <w:t xml:space="preserve"> Composite 0+Y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238F3921" w14:textId="77777777" w:rsidR="00A150CB" w:rsidRDefault="00A150CB" w:rsidP="006E1F78">
            <w:r>
              <w:rPr>
                <w:lang w:val="en-US"/>
              </w:rPr>
              <w:t>0.10%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488F6A6C" w14:textId="77777777" w:rsidR="00A150CB" w:rsidRDefault="00A150CB" w:rsidP="006E1F78">
            <w:r>
              <w:rPr>
                <w:lang w:val="en-US"/>
              </w:rPr>
              <w:t>15%</w:t>
            </w:r>
          </w:p>
        </w:tc>
      </w:tr>
      <w:tr w:rsidR="00A150CB" w14:paraId="776A6EC3" w14:textId="77777777" w:rsidTr="00C9784F">
        <w:trPr>
          <w:trHeight w:val="418"/>
        </w:trPr>
        <w:tc>
          <w:tcPr>
            <w:tcW w:w="1688" w:type="dxa"/>
            <w:tcBorders>
              <w:top w:val="nil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368B8A05" w14:textId="77777777" w:rsidR="00A150CB" w:rsidRDefault="00A150CB" w:rsidP="006E1F78">
            <w:r>
              <w:t>International Fixed Interest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223AB31E" w14:textId="28182551" w:rsidR="00A150CB" w:rsidRDefault="008A7084" w:rsidP="006E1F78">
            <w:r>
              <w:t>Bloomberg Barclays Global Aggregate Index (hedged in AUD)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40F63C72" w14:textId="77777777" w:rsidR="00A150CB" w:rsidRDefault="00A150CB" w:rsidP="006E1F78">
            <w:r>
              <w:rPr>
                <w:lang w:val="en-US"/>
              </w:rPr>
              <w:t>0.10%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4179C43F" w14:textId="77777777" w:rsidR="00A150CB" w:rsidRDefault="00A150CB" w:rsidP="006E1F78">
            <w:r>
              <w:rPr>
                <w:lang w:val="en-US"/>
              </w:rPr>
              <w:t>15%</w:t>
            </w:r>
          </w:p>
        </w:tc>
      </w:tr>
      <w:tr w:rsidR="00A150CB" w14:paraId="092F7EE2" w14:textId="77777777" w:rsidTr="00C9784F">
        <w:trPr>
          <w:trHeight w:val="418"/>
        </w:trPr>
        <w:tc>
          <w:tcPr>
            <w:tcW w:w="1688" w:type="dxa"/>
            <w:tcBorders>
              <w:top w:val="nil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492832CA" w14:textId="3F3170E6" w:rsidR="00A150CB" w:rsidRDefault="00A150CB" w:rsidP="006E1F78">
            <w:r>
              <w:t xml:space="preserve">Australian </w:t>
            </w:r>
            <w:r w:rsidRPr="00A150CB">
              <w:rPr>
                <w:b/>
                <w:bCs/>
                <w:color w:val="0070C0"/>
              </w:rPr>
              <w:t xml:space="preserve">Listed </w:t>
            </w:r>
            <w:r>
              <w:t>Infrastructure</w:t>
            </w:r>
          </w:p>
        </w:tc>
        <w:tc>
          <w:tcPr>
            <w:tcW w:w="3837" w:type="dxa"/>
            <w:vMerge w:val="restart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26314447" w14:textId="08DC6643" w:rsidR="00A150CB" w:rsidRDefault="00A150CB" w:rsidP="006E1F78">
            <w:bookmarkStart w:id="6" w:name="_Hlk57234964"/>
            <w:r w:rsidRPr="00A150CB">
              <w:rPr>
                <w:b/>
                <w:bCs/>
                <w:color w:val="0070C0"/>
              </w:rPr>
              <w:t>FTSE Developed Core Infrastructure 50/50 Index Hedged in AUD Net Index T</w:t>
            </w:r>
            <w:r w:rsidR="00BA0677">
              <w:rPr>
                <w:b/>
                <w:bCs/>
                <w:color w:val="0070C0"/>
              </w:rPr>
              <w:t xml:space="preserve">otal </w:t>
            </w:r>
            <w:r w:rsidRPr="00A150CB">
              <w:rPr>
                <w:b/>
                <w:bCs/>
                <w:color w:val="0070C0"/>
              </w:rPr>
              <w:t>R</w:t>
            </w:r>
            <w:bookmarkEnd w:id="6"/>
            <w:r w:rsidR="00BA0677">
              <w:rPr>
                <w:b/>
                <w:bCs/>
                <w:color w:val="0070C0"/>
              </w:rPr>
              <w:t>eturn</w:t>
            </w:r>
          </w:p>
        </w:tc>
        <w:tc>
          <w:tcPr>
            <w:tcW w:w="1844" w:type="dxa"/>
            <w:vMerge w:val="restart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4B1529EA" w14:textId="77777777" w:rsidR="00A150CB" w:rsidRDefault="00A150CB" w:rsidP="006E1F78">
            <w:pPr>
              <w:rPr>
                <w:lang w:val="en-US"/>
              </w:rPr>
            </w:pPr>
            <w:r>
              <w:rPr>
                <w:lang w:val="en-US"/>
              </w:rPr>
              <w:t xml:space="preserve">0.26% </w:t>
            </w:r>
          </w:p>
          <w:p w14:paraId="05F5D2D9" w14:textId="77777777" w:rsidR="00A150CB" w:rsidRDefault="00A150CB" w:rsidP="006E1F78">
            <w:pPr>
              <w:rPr>
                <w:rFonts w:ascii="Segoe UI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1845" w:type="dxa"/>
            <w:vMerge w:val="restart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42A68455" w14:textId="77777777" w:rsidR="00A150CB" w:rsidRDefault="00A150CB" w:rsidP="006E1F78">
            <w:pPr>
              <w:rPr>
                <w:rFonts w:cs="Calibri"/>
                <w:szCs w:val="22"/>
              </w:rPr>
            </w:pPr>
            <w:r>
              <w:rPr>
                <w:lang w:val="en-US"/>
              </w:rPr>
              <w:t>14%</w:t>
            </w:r>
          </w:p>
        </w:tc>
      </w:tr>
      <w:tr w:rsidR="00A150CB" w14:paraId="0877A006" w14:textId="77777777" w:rsidTr="00C9784F">
        <w:trPr>
          <w:trHeight w:val="418"/>
        </w:trPr>
        <w:tc>
          <w:tcPr>
            <w:tcW w:w="1688" w:type="dxa"/>
            <w:tcBorders>
              <w:top w:val="nil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7E235AF2" w14:textId="77777777" w:rsidR="00A150CB" w:rsidRDefault="00A150CB" w:rsidP="006E1F78">
            <w:r>
              <w:t xml:space="preserve">International </w:t>
            </w:r>
            <w:r w:rsidRPr="00A150CB">
              <w:rPr>
                <w:b/>
                <w:bCs/>
                <w:color w:val="0070C0"/>
              </w:rPr>
              <w:t xml:space="preserve">Listed </w:t>
            </w:r>
            <w:r>
              <w:t>Infrastructure</w:t>
            </w:r>
          </w:p>
        </w:tc>
        <w:tc>
          <w:tcPr>
            <w:tcW w:w="3837" w:type="dxa"/>
            <w:vMerge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vAlign w:val="center"/>
            <w:hideMark/>
          </w:tcPr>
          <w:p w14:paraId="2D64F49F" w14:textId="77777777" w:rsidR="00A150CB" w:rsidRDefault="00A150CB" w:rsidP="006E1F78">
            <w:pPr>
              <w:rPr>
                <w:rFonts w:eastAsiaTheme="minorHAnsi" w:cs="Calibri"/>
                <w:szCs w:val="22"/>
              </w:rPr>
            </w:pPr>
          </w:p>
        </w:tc>
        <w:tc>
          <w:tcPr>
            <w:tcW w:w="1844" w:type="dxa"/>
            <w:vMerge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vAlign w:val="center"/>
            <w:hideMark/>
          </w:tcPr>
          <w:p w14:paraId="1509313C" w14:textId="77777777" w:rsidR="00A150CB" w:rsidRDefault="00A150CB" w:rsidP="006E1F78">
            <w:pPr>
              <w:rPr>
                <w:rFonts w:ascii="Segoe UI" w:eastAsiaTheme="minorHAnsi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1845" w:type="dxa"/>
            <w:vMerge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vAlign w:val="center"/>
            <w:hideMark/>
          </w:tcPr>
          <w:p w14:paraId="1CB28A7D" w14:textId="77777777" w:rsidR="00A150CB" w:rsidRDefault="00A150CB" w:rsidP="006E1F78">
            <w:pPr>
              <w:rPr>
                <w:rFonts w:eastAsiaTheme="minorHAnsi" w:cs="Calibri"/>
                <w:szCs w:val="22"/>
              </w:rPr>
            </w:pPr>
          </w:p>
        </w:tc>
      </w:tr>
    </w:tbl>
    <w:p w14:paraId="51A2B5F8" w14:textId="77777777" w:rsidR="005054FA" w:rsidRDefault="005054FA">
      <w:r>
        <w:br w:type="page"/>
      </w:r>
    </w:p>
    <w:tbl>
      <w:tblPr>
        <w:tblW w:w="9214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8"/>
        <w:gridCol w:w="3837"/>
        <w:gridCol w:w="1844"/>
        <w:gridCol w:w="1845"/>
      </w:tblGrid>
      <w:tr w:rsidR="005054FA" w14:paraId="4B89A8C1" w14:textId="77777777" w:rsidTr="005054FA">
        <w:trPr>
          <w:trHeight w:val="418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6A2BCA66" w14:textId="77777777" w:rsidR="005054FA" w:rsidRPr="005054FA" w:rsidRDefault="005054FA" w:rsidP="00DE085F">
            <w:pPr>
              <w:rPr>
                <w:b/>
                <w:bCs/>
              </w:rPr>
            </w:pPr>
            <w:r w:rsidRPr="005054FA">
              <w:rPr>
                <w:b/>
                <w:bCs/>
              </w:rPr>
              <w:lastRenderedPageBreak/>
              <w:t>Asset Class</w:t>
            </w:r>
          </w:p>
        </w:tc>
        <w:tc>
          <w:tcPr>
            <w:tcW w:w="38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2D00AD0F" w14:textId="77777777" w:rsidR="005054FA" w:rsidRPr="005054FA" w:rsidRDefault="005054FA" w:rsidP="00DE085F">
            <w:pPr>
              <w:rPr>
                <w:b/>
                <w:bCs/>
              </w:rPr>
            </w:pPr>
            <w:r w:rsidRPr="005054FA">
              <w:rPr>
                <w:b/>
                <w:bCs/>
              </w:rPr>
              <w:t>Benchmark Name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0DFBD18C" w14:textId="77777777" w:rsidR="005054FA" w:rsidRPr="005054FA" w:rsidRDefault="005054FA" w:rsidP="00DE085F">
            <w:pPr>
              <w:rPr>
                <w:b/>
                <w:bCs/>
              </w:rPr>
            </w:pPr>
            <w:r w:rsidRPr="005054FA">
              <w:rPr>
                <w:b/>
                <w:bCs/>
              </w:rPr>
              <w:t>Fee Assumption</w:t>
            </w: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10A2AB13" w14:textId="77777777" w:rsidR="005054FA" w:rsidRPr="005054FA" w:rsidRDefault="005054FA" w:rsidP="00DE085F">
            <w:pPr>
              <w:rPr>
                <w:b/>
                <w:bCs/>
              </w:rPr>
            </w:pPr>
            <w:r w:rsidRPr="005054FA">
              <w:rPr>
                <w:b/>
                <w:bCs/>
              </w:rPr>
              <w:t>Assumed Effective Tax Rates</w:t>
            </w:r>
          </w:p>
        </w:tc>
      </w:tr>
      <w:tr w:rsidR="00A150CB" w14:paraId="2EB50026" w14:textId="77777777" w:rsidTr="005054FA">
        <w:trPr>
          <w:trHeight w:val="418"/>
        </w:trPr>
        <w:tc>
          <w:tcPr>
            <w:tcW w:w="1688" w:type="dxa"/>
            <w:tcBorders>
              <w:top w:val="single" w:sz="4" w:space="0" w:color="auto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7042CC03" w14:textId="0C687C19" w:rsidR="00A150CB" w:rsidRPr="00A150CB" w:rsidRDefault="00A150CB" w:rsidP="006E1F78">
            <w:pPr>
              <w:rPr>
                <w:b/>
                <w:bCs/>
                <w:color w:val="0070C0"/>
              </w:rPr>
            </w:pPr>
            <w:r w:rsidRPr="00A150CB">
              <w:rPr>
                <w:b/>
                <w:bCs/>
                <w:color w:val="0070C0"/>
              </w:rPr>
              <w:t>Australian Unlisted Infrastructure</w:t>
            </w:r>
          </w:p>
        </w:tc>
        <w:tc>
          <w:tcPr>
            <w:tcW w:w="3837" w:type="dxa"/>
            <w:vMerge w:val="restart"/>
            <w:tcBorders>
              <w:top w:val="single" w:sz="4" w:space="0" w:color="auto"/>
              <w:left w:val="nil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4D997405" w14:textId="35FCECFB" w:rsidR="00A150CB" w:rsidRPr="00A150CB" w:rsidRDefault="00A150CB" w:rsidP="006E1F78">
            <w:pPr>
              <w:rPr>
                <w:b/>
                <w:bCs/>
                <w:color w:val="0070C0"/>
              </w:rPr>
            </w:pPr>
            <w:r w:rsidRPr="00A150CB">
              <w:rPr>
                <w:b/>
                <w:bCs/>
                <w:color w:val="0070C0"/>
              </w:rPr>
              <w:t>CPI + 5% p.a.</w:t>
            </w:r>
            <w:r w:rsidR="005054FA">
              <w:rPr>
                <w:b/>
                <w:bCs/>
                <w:color w:val="0070C0"/>
              </w:rPr>
              <w:t xml:space="preserve"> (refer to comments further below)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nil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1304B112" w14:textId="77777777" w:rsidR="00A150CB" w:rsidRPr="00A150CB" w:rsidRDefault="00A150CB" w:rsidP="006E1F78">
            <w:pPr>
              <w:rPr>
                <w:b/>
                <w:bCs/>
                <w:color w:val="0070C0"/>
              </w:rPr>
            </w:pPr>
            <w:r w:rsidRPr="00A150CB">
              <w:rPr>
                <w:b/>
                <w:bCs/>
                <w:color w:val="0070C0"/>
              </w:rPr>
              <w:t>0% [assuming net returns]</w:t>
            </w: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nil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3609BD6E" w14:textId="77777777" w:rsidR="00A150CB" w:rsidRPr="00A150CB" w:rsidRDefault="00A150CB" w:rsidP="006E1F78">
            <w:pPr>
              <w:rPr>
                <w:b/>
                <w:bCs/>
                <w:color w:val="0070C0"/>
              </w:rPr>
            </w:pPr>
            <w:r w:rsidRPr="00A150CB">
              <w:rPr>
                <w:b/>
                <w:bCs/>
                <w:color w:val="0070C0"/>
              </w:rPr>
              <w:t>14%</w:t>
            </w:r>
          </w:p>
        </w:tc>
      </w:tr>
      <w:tr w:rsidR="00A150CB" w14:paraId="47DA62DE" w14:textId="77777777" w:rsidTr="00C9784F">
        <w:trPr>
          <w:trHeight w:val="418"/>
        </w:trPr>
        <w:tc>
          <w:tcPr>
            <w:tcW w:w="1688" w:type="dxa"/>
            <w:tcBorders>
              <w:top w:val="nil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70D38DD0" w14:textId="77777777" w:rsidR="00A150CB" w:rsidRDefault="00A150CB" w:rsidP="006E1F78">
            <w:r w:rsidRPr="00A150CB">
              <w:rPr>
                <w:b/>
                <w:bCs/>
                <w:color w:val="0070C0"/>
              </w:rPr>
              <w:t>International Unlisted Infrastructure</w:t>
            </w:r>
          </w:p>
        </w:tc>
        <w:tc>
          <w:tcPr>
            <w:tcW w:w="3837" w:type="dxa"/>
            <w:vMerge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vAlign w:val="center"/>
            <w:hideMark/>
          </w:tcPr>
          <w:p w14:paraId="7EF466DC" w14:textId="77777777" w:rsidR="00A150CB" w:rsidRDefault="00A150CB" w:rsidP="006E1F78">
            <w:pPr>
              <w:rPr>
                <w:rFonts w:eastAsiaTheme="minorHAnsi" w:cs="Calibri"/>
                <w:color w:val="2A84FF"/>
                <w:szCs w:val="22"/>
                <w:highlight w:val="yellow"/>
              </w:rPr>
            </w:pPr>
          </w:p>
        </w:tc>
        <w:tc>
          <w:tcPr>
            <w:tcW w:w="1844" w:type="dxa"/>
            <w:vMerge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vAlign w:val="center"/>
            <w:hideMark/>
          </w:tcPr>
          <w:p w14:paraId="011B0155" w14:textId="77777777" w:rsidR="00A150CB" w:rsidRDefault="00A150CB" w:rsidP="006E1F78">
            <w:pPr>
              <w:rPr>
                <w:rFonts w:eastAsiaTheme="minorHAnsi" w:cs="Calibri"/>
                <w:szCs w:val="22"/>
                <w:highlight w:val="yellow"/>
                <w:lang w:val="en-US"/>
              </w:rPr>
            </w:pPr>
          </w:p>
        </w:tc>
        <w:tc>
          <w:tcPr>
            <w:tcW w:w="1845" w:type="dxa"/>
            <w:vMerge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vAlign w:val="center"/>
            <w:hideMark/>
          </w:tcPr>
          <w:p w14:paraId="040ED3A7" w14:textId="77777777" w:rsidR="00A150CB" w:rsidRDefault="00A150CB" w:rsidP="006E1F78">
            <w:pPr>
              <w:rPr>
                <w:rFonts w:eastAsiaTheme="minorHAnsi" w:cs="Calibri"/>
                <w:szCs w:val="22"/>
                <w:highlight w:val="yellow"/>
                <w:lang w:val="en-US"/>
              </w:rPr>
            </w:pPr>
          </w:p>
        </w:tc>
      </w:tr>
      <w:tr w:rsidR="00A150CB" w14:paraId="014401DB" w14:textId="77777777" w:rsidTr="00C9784F">
        <w:trPr>
          <w:trHeight w:val="418"/>
        </w:trPr>
        <w:tc>
          <w:tcPr>
            <w:tcW w:w="1688" w:type="dxa"/>
            <w:tcBorders>
              <w:top w:val="nil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200FC2A3" w14:textId="77777777" w:rsidR="00A150CB" w:rsidRDefault="00A150CB" w:rsidP="006E1F78">
            <w:r>
              <w:t xml:space="preserve">Australian </w:t>
            </w:r>
            <w:r w:rsidRPr="00A150CB">
              <w:rPr>
                <w:b/>
                <w:bCs/>
                <w:color w:val="0070C0"/>
              </w:rPr>
              <w:t>Listed</w:t>
            </w:r>
            <w:r>
              <w:t xml:space="preserve"> Property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17AAB598" w14:textId="283BAF3B" w:rsidR="00A150CB" w:rsidRDefault="00032764" w:rsidP="006E1F78">
            <w:r>
              <w:t>S&amp;P/ASX 300 A-REIT Index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0B053B8C" w14:textId="77777777" w:rsidR="00A150CB" w:rsidRDefault="00A150CB" w:rsidP="006E1F78">
            <w:r>
              <w:rPr>
                <w:lang w:val="en-US"/>
              </w:rPr>
              <w:t>0.12%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62CA2D98" w14:textId="77777777" w:rsidR="00A150CB" w:rsidRDefault="00A150CB" w:rsidP="006E1F78">
            <w:r>
              <w:rPr>
                <w:lang w:val="en-US"/>
              </w:rPr>
              <w:t>14%</w:t>
            </w:r>
          </w:p>
        </w:tc>
      </w:tr>
      <w:tr w:rsidR="00A150CB" w14:paraId="42E32561" w14:textId="77777777" w:rsidTr="00C9784F">
        <w:trPr>
          <w:trHeight w:val="418"/>
        </w:trPr>
        <w:tc>
          <w:tcPr>
            <w:tcW w:w="1688" w:type="dxa"/>
            <w:tcBorders>
              <w:top w:val="single" w:sz="4" w:space="0" w:color="auto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2907D5AC" w14:textId="7DC0FE02" w:rsidR="00A150CB" w:rsidRPr="00A150CB" w:rsidRDefault="00A150CB" w:rsidP="00A150CB">
            <w:pPr>
              <w:rPr>
                <w:b/>
                <w:bCs/>
                <w:color w:val="0070C0"/>
              </w:rPr>
            </w:pPr>
            <w:r w:rsidRPr="00A150CB">
              <w:rPr>
                <w:b/>
                <w:bCs/>
                <w:color w:val="0070C0"/>
              </w:rPr>
              <w:t xml:space="preserve">Australian Unlisted Property </w:t>
            </w:r>
          </w:p>
        </w:tc>
        <w:tc>
          <w:tcPr>
            <w:tcW w:w="3837" w:type="dxa"/>
            <w:tcBorders>
              <w:top w:val="single" w:sz="4" w:space="0" w:color="auto"/>
              <w:left w:val="nil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2C9CFA48" w14:textId="1BF7F3FE" w:rsidR="00A150CB" w:rsidRPr="00A150CB" w:rsidRDefault="00A150CB" w:rsidP="00A150CB">
            <w:pPr>
              <w:rPr>
                <w:b/>
                <w:bCs/>
                <w:color w:val="0070C0"/>
              </w:rPr>
            </w:pPr>
            <w:bookmarkStart w:id="7" w:name="_Hlk57234887"/>
            <w:r w:rsidRPr="00A150CB">
              <w:rPr>
                <w:b/>
                <w:bCs/>
                <w:color w:val="0070C0"/>
              </w:rPr>
              <w:t>MSCI / Mercer Australian Wholesale Pooled Property Fund Index</w:t>
            </w:r>
            <w:bookmarkEnd w:id="7"/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5EF0C17E" w14:textId="77777777" w:rsidR="00A150CB" w:rsidRPr="00A150CB" w:rsidRDefault="00A150CB" w:rsidP="00A150CB">
            <w:pPr>
              <w:rPr>
                <w:b/>
                <w:bCs/>
                <w:color w:val="0070C0"/>
              </w:rPr>
            </w:pPr>
            <w:r w:rsidRPr="00A150CB">
              <w:rPr>
                <w:b/>
                <w:bCs/>
                <w:color w:val="0070C0"/>
              </w:rPr>
              <w:t>0%</w:t>
            </w:r>
          </w:p>
          <w:p w14:paraId="1D3A767C" w14:textId="553BF6CF" w:rsidR="00A150CB" w:rsidRPr="00A150CB" w:rsidRDefault="00A150CB" w:rsidP="00A150CB">
            <w:pPr>
              <w:rPr>
                <w:b/>
                <w:bCs/>
                <w:color w:val="0070C0"/>
              </w:rPr>
            </w:pPr>
            <w:r w:rsidRPr="00A150CB">
              <w:rPr>
                <w:b/>
                <w:bCs/>
                <w:color w:val="0070C0"/>
              </w:rPr>
              <w:t>[Index is net of fees, expenses, and carried interest]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66E03877" w14:textId="77777777" w:rsidR="00A150CB" w:rsidRPr="00A150CB" w:rsidRDefault="00A150CB" w:rsidP="00A150CB">
            <w:pPr>
              <w:rPr>
                <w:b/>
                <w:bCs/>
                <w:color w:val="0070C0"/>
              </w:rPr>
            </w:pPr>
            <w:r w:rsidRPr="00A150CB">
              <w:rPr>
                <w:b/>
                <w:bCs/>
                <w:color w:val="0070C0"/>
              </w:rPr>
              <w:t>14%</w:t>
            </w:r>
          </w:p>
        </w:tc>
      </w:tr>
      <w:tr w:rsidR="00A150CB" w14:paraId="453B04B7" w14:textId="77777777" w:rsidTr="00C9784F">
        <w:trPr>
          <w:trHeight w:val="418"/>
        </w:trPr>
        <w:tc>
          <w:tcPr>
            <w:tcW w:w="1688" w:type="dxa"/>
            <w:tcBorders>
              <w:top w:val="nil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1F1DCADD" w14:textId="77777777" w:rsidR="00A150CB" w:rsidRDefault="00A150CB" w:rsidP="00A150CB">
            <w:r>
              <w:t xml:space="preserve">International </w:t>
            </w:r>
            <w:r w:rsidRPr="00A150CB">
              <w:rPr>
                <w:b/>
                <w:bCs/>
                <w:color w:val="0070C0"/>
              </w:rPr>
              <w:t xml:space="preserve">Listed </w:t>
            </w:r>
            <w:r>
              <w:t>Property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54FC44D8" w14:textId="77777777" w:rsidR="00A150CB" w:rsidRDefault="00A150CB" w:rsidP="00A150CB">
            <w:r>
              <w:t>FTSE EPRA/NAREIT Developed ex Australia Rental Hedged AUD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6CE9F406" w14:textId="77777777" w:rsidR="00A150CB" w:rsidRDefault="00A150CB" w:rsidP="00A150CB">
            <w:r>
              <w:rPr>
                <w:lang w:val="en-US"/>
              </w:rPr>
              <w:t>0.22%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6643770C" w14:textId="77777777" w:rsidR="00A150CB" w:rsidRDefault="00A150CB" w:rsidP="00A150CB">
            <w:r>
              <w:rPr>
                <w:lang w:val="en-US"/>
              </w:rPr>
              <w:t>14%</w:t>
            </w:r>
          </w:p>
        </w:tc>
      </w:tr>
      <w:tr w:rsidR="00A150CB" w14:paraId="4341C6DF" w14:textId="77777777" w:rsidTr="00C9784F">
        <w:trPr>
          <w:trHeight w:val="418"/>
        </w:trPr>
        <w:tc>
          <w:tcPr>
            <w:tcW w:w="1688" w:type="dxa"/>
            <w:tcBorders>
              <w:top w:val="nil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0430B5E7" w14:textId="77777777" w:rsidR="00A150CB" w:rsidRPr="00A150CB" w:rsidRDefault="00A150CB" w:rsidP="00A150CB">
            <w:pPr>
              <w:rPr>
                <w:b/>
                <w:bCs/>
                <w:color w:val="0070C0"/>
              </w:rPr>
            </w:pPr>
            <w:r w:rsidRPr="00A150CB">
              <w:rPr>
                <w:b/>
                <w:bCs/>
                <w:color w:val="0070C0"/>
              </w:rPr>
              <w:t xml:space="preserve">International Unlisted Property 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5BBF1517" w14:textId="77777777" w:rsidR="00A150CB" w:rsidRPr="00A150CB" w:rsidRDefault="00A150CB" w:rsidP="00A150CB">
            <w:pPr>
              <w:rPr>
                <w:b/>
                <w:bCs/>
                <w:color w:val="0070C0"/>
              </w:rPr>
            </w:pPr>
            <w:bookmarkStart w:id="8" w:name="_Hlk57234917"/>
            <w:r w:rsidRPr="00A150CB">
              <w:rPr>
                <w:b/>
                <w:bCs/>
                <w:color w:val="0070C0"/>
              </w:rPr>
              <w:t>NCREIF ODCE Index Hedged in AUD</w:t>
            </w:r>
            <w:bookmarkEnd w:id="8"/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4C98F9B5" w14:textId="77777777" w:rsidR="00A150CB" w:rsidRPr="00A150CB" w:rsidRDefault="00A150CB" w:rsidP="00A150CB">
            <w:pPr>
              <w:rPr>
                <w:b/>
                <w:bCs/>
                <w:color w:val="0070C0"/>
              </w:rPr>
            </w:pPr>
            <w:r w:rsidRPr="00A150CB">
              <w:rPr>
                <w:b/>
                <w:bCs/>
                <w:color w:val="0070C0"/>
              </w:rPr>
              <w:t>0.75%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23B0733E" w14:textId="77777777" w:rsidR="00A150CB" w:rsidRPr="00A150CB" w:rsidRDefault="00A150CB" w:rsidP="00A150CB">
            <w:pPr>
              <w:rPr>
                <w:b/>
                <w:bCs/>
                <w:color w:val="0070C0"/>
              </w:rPr>
            </w:pPr>
            <w:r w:rsidRPr="00A150CB">
              <w:rPr>
                <w:b/>
                <w:bCs/>
                <w:color w:val="0070C0"/>
              </w:rPr>
              <w:t>14%</w:t>
            </w:r>
          </w:p>
        </w:tc>
      </w:tr>
      <w:tr w:rsidR="00A150CB" w14:paraId="799C72FF" w14:textId="77777777" w:rsidTr="00C9784F">
        <w:trPr>
          <w:trHeight w:val="418"/>
        </w:trPr>
        <w:tc>
          <w:tcPr>
            <w:tcW w:w="1688" w:type="dxa"/>
            <w:tcBorders>
              <w:top w:val="nil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4D773F70" w14:textId="77777777" w:rsidR="00A150CB" w:rsidRDefault="00A150CB" w:rsidP="00A150CB">
            <w:r>
              <w:t>Australian Cash</w:t>
            </w:r>
          </w:p>
        </w:tc>
        <w:tc>
          <w:tcPr>
            <w:tcW w:w="3837" w:type="dxa"/>
            <w:vMerge w:val="restart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72C99123" w14:textId="77777777" w:rsidR="00A150CB" w:rsidRDefault="00A150CB" w:rsidP="00A150CB">
            <w:r>
              <w:t xml:space="preserve">Bloomberg </w:t>
            </w:r>
            <w:proofErr w:type="spellStart"/>
            <w:r>
              <w:t>AusBond</w:t>
            </w:r>
            <w:proofErr w:type="spellEnd"/>
            <w:r>
              <w:t xml:space="preserve"> Bank Bill Index</w:t>
            </w:r>
          </w:p>
          <w:p w14:paraId="39D1E9AC" w14:textId="77777777" w:rsidR="00A150CB" w:rsidRDefault="00A150CB" w:rsidP="00A150CB">
            <w:r>
              <w:rPr>
                <w:lang w:val="en-US"/>
              </w:rPr>
              <w:t> </w:t>
            </w:r>
          </w:p>
        </w:tc>
        <w:tc>
          <w:tcPr>
            <w:tcW w:w="1844" w:type="dxa"/>
            <w:vMerge w:val="restart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44FE2BFF" w14:textId="77777777" w:rsidR="00A150CB" w:rsidRDefault="00A150CB" w:rsidP="00A150CB">
            <w:r>
              <w:rPr>
                <w:lang w:val="en-US"/>
              </w:rPr>
              <w:t>0.04%</w:t>
            </w:r>
          </w:p>
        </w:tc>
        <w:tc>
          <w:tcPr>
            <w:tcW w:w="1845" w:type="dxa"/>
            <w:vMerge w:val="restart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65EABE89" w14:textId="77777777" w:rsidR="00A150CB" w:rsidRDefault="00A150CB" w:rsidP="00A150CB">
            <w:r>
              <w:rPr>
                <w:lang w:val="en-US"/>
              </w:rPr>
              <w:t>15%</w:t>
            </w:r>
          </w:p>
        </w:tc>
      </w:tr>
      <w:tr w:rsidR="00A150CB" w14:paraId="5E0942E8" w14:textId="77777777" w:rsidTr="00C9784F">
        <w:trPr>
          <w:trHeight w:val="418"/>
        </w:trPr>
        <w:tc>
          <w:tcPr>
            <w:tcW w:w="1688" w:type="dxa"/>
            <w:tcBorders>
              <w:top w:val="nil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01F489B1" w14:textId="77777777" w:rsidR="00A150CB" w:rsidRDefault="00A150CB" w:rsidP="00A150CB">
            <w:r>
              <w:t>International Cash</w:t>
            </w:r>
          </w:p>
        </w:tc>
        <w:tc>
          <w:tcPr>
            <w:tcW w:w="3837" w:type="dxa"/>
            <w:vMerge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vAlign w:val="center"/>
            <w:hideMark/>
          </w:tcPr>
          <w:p w14:paraId="1D52F1E4" w14:textId="77777777" w:rsidR="00A150CB" w:rsidRDefault="00A150CB" w:rsidP="00A150CB">
            <w:pPr>
              <w:rPr>
                <w:rFonts w:eastAsiaTheme="minorHAnsi" w:cs="Calibri"/>
                <w:szCs w:val="22"/>
              </w:rPr>
            </w:pPr>
          </w:p>
        </w:tc>
        <w:tc>
          <w:tcPr>
            <w:tcW w:w="1844" w:type="dxa"/>
            <w:vMerge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vAlign w:val="center"/>
            <w:hideMark/>
          </w:tcPr>
          <w:p w14:paraId="12168037" w14:textId="77777777" w:rsidR="00A150CB" w:rsidRDefault="00A150CB" w:rsidP="00A150CB">
            <w:pPr>
              <w:rPr>
                <w:rFonts w:eastAsiaTheme="minorHAnsi" w:cs="Calibri"/>
                <w:szCs w:val="22"/>
              </w:rPr>
            </w:pPr>
          </w:p>
        </w:tc>
        <w:tc>
          <w:tcPr>
            <w:tcW w:w="1845" w:type="dxa"/>
            <w:vMerge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vAlign w:val="center"/>
            <w:hideMark/>
          </w:tcPr>
          <w:p w14:paraId="044173EF" w14:textId="77777777" w:rsidR="00A150CB" w:rsidRDefault="00A150CB" w:rsidP="00A150CB">
            <w:pPr>
              <w:rPr>
                <w:rFonts w:eastAsiaTheme="minorHAnsi" w:cs="Calibri"/>
                <w:szCs w:val="22"/>
              </w:rPr>
            </w:pPr>
          </w:p>
        </w:tc>
      </w:tr>
      <w:tr w:rsidR="00A150CB" w14:paraId="4DDBF1C5" w14:textId="77777777" w:rsidTr="00C9784F">
        <w:trPr>
          <w:trHeight w:val="418"/>
        </w:trPr>
        <w:tc>
          <w:tcPr>
            <w:tcW w:w="1688" w:type="dxa"/>
            <w:tcBorders>
              <w:top w:val="nil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2458A922" w14:textId="77777777" w:rsidR="00A150CB" w:rsidRDefault="00A150CB" w:rsidP="00A150CB">
            <w:r>
              <w:t>Other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785D3193" w14:textId="77777777" w:rsidR="00A150CB" w:rsidRDefault="00A150CB" w:rsidP="00A150CB">
            <w:r>
              <w:t>25% International Equity Hedged</w:t>
            </w:r>
          </w:p>
        </w:tc>
        <w:tc>
          <w:tcPr>
            <w:tcW w:w="1844" w:type="dxa"/>
            <w:vMerge w:val="restart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2A43C565" w14:textId="77777777" w:rsidR="00A150CB" w:rsidRDefault="00A150CB" w:rsidP="00A150CB">
            <w:r>
              <w:rPr>
                <w:lang w:val="en-US"/>
              </w:rPr>
              <w:t>0.15%</w:t>
            </w:r>
          </w:p>
        </w:tc>
        <w:tc>
          <w:tcPr>
            <w:tcW w:w="1845" w:type="dxa"/>
            <w:vMerge w:val="restart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04F88A3D" w14:textId="77777777" w:rsidR="00A150CB" w:rsidRDefault="00A150CB" w:rsidP="00A150CB">
            <w:r>
              <w:rPr>
                <w:lang w:val="en-US"/>
              </w:rPr>
              <w:t>14%</w:t>
            </w:r>
          </w:p>
        </w:tc>
      </w:tr>
      <w:tr w:rsidR="00A150CB" w14:paraId="5B2E53BB" w14:textId="77777777" w:rsidTr="00C9784F">
        <w:trPr>
          <w:trHeight w:val="418"/>
        </w:trPr>
        <w:tc>
          <w:tcPr>
            <w:tcW w:w="1688" w:type="dxa"/>
            <w:tcBorders>
              <w:top w:val="nil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09D6E178" w14:textId="77777777" w:rsidR="00A150CB" w:rsidRDefault="00A150CB" w:rsidP="00A150CB">
            <w:r>
              <w:rPr>
                <w:lang w:val="en-US"/>
              </w:rPr>
              <w:t> 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13947656" w14:textId="77777777" w:rsidR="00A150CB" w:rsidRDefault="00A150CB" w:rsidP="00A150CB">
            <w:r>
              <w:t>25% International Equity Unhedged</w:t>
            </w:r>
          </w:p>
        </w:tc>
        <w:tc>
          <w:tcPr>
            <w:tcW w:w="1844" w:type="dxa"/>
            <w:vMerge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vAlign w:val="center"/>
            <w:hideMark/>
          </w:tcPr>
          <w:p w14:paraId="418C8E7E" w14:textId="77777777" w:rsidR="00A150CB" w:rsidRDefault="00A150CB" w:rsidP="00A150CB">
            <w:pPr>
              <w:rPr>
                <w:rFonts w:eastAsiaTheme="minorHAnsi" w:cs="Calibri"/>
                <w:szCs w:val="22"/>
              </w:rPr>
            </w:pPr>
          </w:p>
        </w:tc>
        <w:tc>
          <w:tcPr>
            <w:tcW w:w="1845" w:type="dxa"/>
            <w:vMerge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vAlign w:val="center"/>
            <w:hideMark/>
          </w:tcPr>
          <w:p w14:paraId="48435C07" w14:textId="77777777" w:rsidR="00A150CB" w:rsidRDefault="00A150CB" w:rsidP="00A150CB">
            <w:pPr>
              <w:rPr>
                <w:rFonts w:eastAsiaTheme="minorHAnsi" w:cs="Calibri"/>
                <w:szCs w:val="22"/>
              </w:rPr>
            </w:pPr>
          </w:p>
        </w:tc>
      </w:tr>
      <w:tr w:rsidR="00A150CB" w14:paraId="438AE60C" w14:textId="77777777" w:rsidTr="00C9784F">
        <w:trPr>
          <w:trHeight w:val="418"/>
        </w:trPr>
        <w:tc>
          <w:tcPr>
            <w:tcW w:w="1688" w:type="dxa"/>
            <w:tcBorders>
              <w:top w:val="nil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1B4F08F3" w14:textId="77777777" w:rsidR="00A150CB" w:rsidRDefault="00A150CB" w:rsidP="00A150CB">
            <w:r>
              <w:t> 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79" w:type="dxa"/>
              <w:left w:w="79" w:type="dxa"/>
              <w:bottom w:w="79" w:type="dxa"/>
              <w:right w:w="79" w:type="dxa"/>
            </w:tcMar>
            <w:hideMark/>
          </w:tcPr>
          <w:p w14:paraId="421707DA" w14:textId="77777777" w:rsidR="00A150CB" w:rsidRDefault="00A150CB" w:rsidP="00A150CB">
            <w:r>
              <w:t>50% International Fixed Interest</w:t>
            </w:r>
          </w:p>
        </w:tc>
        <w:tc>
          <w:tcPr>
            <w:tcW w:w="1844" w:type="dxa"/>
            <w:vMerge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vAlign w:val="center"/>
            <w:hideMark/>
          </w:tcPr>
          <w:p w14:paraId="08950B2B" w14:textId="77777777" w:rsidR="00A150CB" w:rsidRDefault="00A150CB" w:rsidP="00A150CB">
            <w:pPr>
              <w:rPr>
                <w:rFonts w:eastAsiaTheme="minorHAnsi" w:cs="Calibri"/>
                <w:szCs w:val="22"/>
              </w:rPr>
            </w:pPr>
          </w:p>
        </w:tc>
        <w:tc>
          <w:tcPr>
            <w:tcW w:w="1845" w:type="dxa"/>
            <w:vMerge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vAlign w:val="center"/>
            <w:hideMark/>
          </w:tcPr>
          <w:p w14:paraId="58DA2359" w14:textId="77777777" w:rsidR="00A150CB" w:rsidRDefault="00A150CB" w:rsidP="00A150CB">
            <w:pPr>
              <w:rPr>
                <w:rFonts w:eastAsiaTheme="minorHAnsi" w:cs="Calibri"/>
                <w:szCs w:val="22"/>
              </w:rPr>
            </w:pPr>
          </w:p>
        </w:tc>
      </w:tr>
    </w:tbl>
    <w:p w14:paraId="4B7C63A5" w14:textId="248BA501" w:rsidR="00A150CB" w:rsidRDefault="00A150CB" w:rsidP="00A97326">
      <w:pPr>
        <w:jc w:val="both"/>
      </w:pPr>
    </w:p>
    <w:p w14:paraId="1C45EAD6" w14:textId="22AD2903" w:rsidR="00A150CB" w:rsidRDefault="00A150CB" w:rsidP="00A97326">
      <w:pPr>
        <w:jc w:val="both"/>
      </w:pPr>
      <w:r>
        <w:t xml:space="preserve">Some </w:t>
      </w:r>
      <w:r w:rsidR="00110CA9">
        <w:t>points to note regarding our proposed indices for unlisted asset classes</w:t>
      </w:r>
      <w:r>
        <w:t xml:space="preserve">: </w:t>
      </w:r>
    </w:p>
    <w:p w14:paraId="75030A88" w14:textId="0B23D29B" w:rsidR="00A150CB" w:rsidRPr="00110CA9" w:rsidRDefault="00110CA9" w:rsidP="00DD2270">
      <w:pPr>
        <w:pStyle w:val="ListParagraph"/>
        <w:numPr>
          <w:ilvl w:val="0"/>
          <w:numId w:val="9"/>
        </w:numPr>
        <w:ind w:left="425" w:hanging="425"/>
        <w:contextualSpacing w:val="0"/>
        <w:jc w:val="both"/>
        <w:rPr>
          <w:rFonts w:eastAsia="Times New Roman"/>
        </w:rPr>
      </w:pPr>
      <w:r>
        <w:rPr>
          <w:rFonts w:eastAsia="Times New Roman"/>
        </w:rPr>
        <w:t xml:space="preserve">Some of the unlisted indices </w:t>
      </w:r>
      <w:r w:rsidR="00A150CB" w:rsidRPr="00110CA9">
        <w:rPr>
          <w:rFonts w:eastAsia="Times New Roman"/>
        </w:rPr>
        <w:t xml:space="preserve">might have limitations in terms of availability or cost, but this is no different to </w:t>
      </w:r>
      <w:r>
        <w:rPr>
          <w:rFonts w:eastAsia="Times New Roman"/>
        </w:rPr>
        <w:t xml:space="preserve">the </w:t>
      </w:r>
      <w:r w:rsidR="00A150CB" w:rsidRPr="00110CA9">
        <w:rPr>
          <w:rFonts w:eastAsia="Times New Roman"/>
        </w:rPr>
        <w:t xml:space="preserve">current proposed benchmarks. </w:t>
      </w:r>
    </w:p>
    <w:p w14:paraId="10B802A3" w14:textId="79CBA0E1" w:rsidR="00A150CB" w:rsidRPr="00110CA9" w:rsidRDefault="00110CA9" w:rsidP="00DD2270">
      <w:pPr>
        <w:pStyle w:val="ListParagraph"/>
        <w:numPr>
          <w:ilvl w:val="0"/>
          <w:numId w:val="9"/>
        </w:numPr>
        <w:ind w:left="425" w:hanging="425"/>
        <w:contextualSpacing w:val="0"/>
        <w:jc w:val="both"/>
        <w:rPr>
          <w:rFonts w:eastAsia="Times New Roman"/>
        </w:rPr>
      </w:pPr>
      <w:r>
        <w:rPr>
          <w:rFonts w:eastAsia="Times New Roman"/>
        </w:rPr>
        <w:t xml:space="preserve">Some of the unlisted indices </w:t>
      </w:r>
      <w:r w:rsidR="00A150CB" w:rsidRPr="00110CA9">
        <w:rPr>
          <w:rFonts w:eastAsia="Times New Roman"/>
        </w:rPr>
        <w:t xml:space="preserve">might </w:t>
      </w:r>
      <w:r>
        <w:rPr>
          <w:rFonts w:eastAsia="Times New Roman"/>
        </w:rPr>
        <w:t>have</w:t>
      </w:r>
      <w:r w:rsidRPr="00110CA9">
        <w:rPr>
          <w:rFonts w:eastAsia="Times New Roman"/>
        </w:rPr>
        <w:t xml:space="preserve"> </w:t>
      </w:r>
      <w:r w:rsidR="00A150CB" w:rsidRPr="00110CA9">
        <w:rPr>
          <w:rFonts w:eastAsia="Times New Roman"/>
        </w:rPr>
        <w:t xml:space="preserve">characteristics </w:t>
      </w:r>
      <w:r>
        <w:rPr>
          <w:rFonts w:eastAsia="Times New Roman"/>
        </w:rPr>
        <w:t xml:space="preserve">that </w:t>
      </w:r>
      <w:r w:rsidR="003F2B16">
        <w:rPr>
          <w:rFonts w:eastAsia="Times New Roman"/>
        </w:rPr>
        <w:t>may be</w:t>
      </w:r>
      <w:r w:rsidR="00A150CB" w:rsidRPr="00110CA9">
        <w:rPr>
          <w:rFonts w:eastAsia="Times New Roman"/>
        </w:rPr>
        <w:t xml:space="preserve"> materially different to </w:t>
      </w:r>
      <w:r w:rsidR="003F2B16">
        <w:rPr>
          <w:rFonts w:eastAsia="Times New Roman"/>
        </w:rPr>
        <w:t xml:space="preserve">the investments held by </w:t>
      </w:r>
      <w:r>
        <w:rPr>
          <w:rFonts w:eastAsia="Times New Roman"/>
        </w:rPr>
        <w:t>some fund</w:t>
      </w:r>
      <w:r w:rsidR="00555F1E">
        <w:rPr>
          <w:rFonts w:eastAsia="Times New Roman"/>
        </w:rPr>
        <w:t>s</w:t>
      </w:r>
      <w:r w:rsidR="00A150CB" w:rsidRPr="00110CA9">
        <w:rPr>
          <w:rFonts w:eastAsia="Times New Roman"/>
        </w:rPr>
        <w:t>, but this is no different to current proposed benchmarks</w:t>
      </w:r>
      <w:r>
        <w:rPr>
          <w:rFonts w:eastAsia="Times New Roman"/>
        </w:rPr>
        <w:t xml:space="preserve">, and in </w:t>
      </w:r>
      <w:r>
        <w:rPr>
          <w:rFonts w:eastAsia="Times New Roman"/>
        </w:rPr>
        <w:lastRenderedPageBreak/>
        <w:t>any case unlisted indices will provide a better comparator than listed indices for these asset classes</w:t>
      </w:r>
      <w:r w:rsidR="00A150CB" w:rsidRPr="00110CA9">
        <w:rPr>
          <w:rFonts w:eastAsia="Times New Roman"/>
        </w:rPr>
        <w:t xml:space="preserve">. </w:t>
      </w:r>
    </w:p>
    <w:p w14:paraId="7E49EB2C" w14:textId="1517AD22" w:rsidR="00A150CB" w:rsidRPr="00110CA9" w:rsidRDefault="00A150CB" w:rsidP="00DD2270">
      <w:pPr>
        <w:pStyle w:val="ListParagraph"/>
        <w:numPr>
          <w:ilvl w:val="0"/>
          <w:numId w:val="9"/>
        </w:numPr>
        <w:ind w:left="425" w:hanging="425"/>
        <w:contextualSpacing w:val="0"/>
        <w:jc w:val="both"/>
        <w:rPr>
          <w:rFonts w:eastAsia="Times New Roman"/>
        </w:rPr>
      </w:pPr>
      <w:bookmarkStart w:id="9" w:name="_Hlk57234849"/>
      <w:r w:rsidRPr="00110CA9">
        <w:rPr>
          <w:rFonts w:eastAsia="Times New Roman"/>
        </w:rPr>
        <w:t>For unlisted infrastructure, the universe of ind</w:t>
      </w:r>
      <w:r w:rsidR="00110CA9">
        <w:rPr>
          <w:rFonts w:eastAsia="Times New Roman"/>
        </w:rPr>
        <w:t>ic</w:t>
      </w:r>
      <w:r w:rsidRPr="00110CA9">
        <w:rPr>
          <w:rFonts w:eastAsia="Times New Roman"/>
        </w:rPr>
        <w:t xml:space="preserve">es </w:t>
      </w:r>
      <w:r w:rsidR="00FC75CB" w:rsidRPr="00110CA9">
        <w:rPr>
          <w:rFonts w:eastAsia="Times New Roman"/>
        </w:rPr>
        <w:t xml:space="preserve">is </w:t>
      </w:r>
      <w:r w:rsidRPr="00110CA9">
        <w:rPr>
          <w:rFonts w:eastAsia="Times New Roman"/>
        </w:rPr>
        <w:t xml:space="preserve">limited in availability and underlying </w:t>
      </w:r>
      <w:r w:rsidR="00C848DF">
        <w:rPr>
          <w:rFonts w:eastAsia="Times New Roman"/>
        </w:rPr>
        <w:t>composition (sector or country)</w:t>
      </w:r>
      <w:r w:rsidRPr="00110CA9">
        <w:rPr>
          <w:rFonts w:eastAsia="Times New Roman"/>
        </w:rPr>
        <w:t xml:space="preserve">. </w:t>
      </w:r>
      <w:r w:rsidR="004F7162">
        <w:rPr>
          <w:rFonts w:eastAsia="Times New Roman"/>
        </w:rPr>
        <w:t xml:space="preserve"> </w:t>
      </w:r>
      <w:r w:rsidRPr="00110CA9">
        <w:rPr>
          <w:rFonts w:eastAsia="Times New Roman"/>
        </w:rPr>
        <w:t xml:space="preserve">We </w:t>
      </w:r>
      <w:r w:rsidR="003D1C3F" w:rsidRPr="00110CA9">
        <w:rPr>
          <w:rFonts w:eastAsia="Times New Roman"/>
        </w:rPr>
        <w:t xml:space="preserve">would </w:t>
      </w:r>
      <w:r w:rsidRPr="00110CA9">
        <w:rPr>
          <w:rFonts w:eastAsia="Times New Roman"/>
        </w:rPr>
        <w:t>propose a simple CPI+ 5%</w:t>
      </w:r>
      <w:r w:rsidR="00BA0677">
        <w:rPr>
          <w:rFonts w:eastAsia="Times New Roman"/>
        </w:rPr>
        <w:t xml:space="preserve"> p.a. measure</w:t>
      </w:r>
      <w:r w:rsidRPr="00110CA9">
        <w:rPr>
          <w:rFonts w:eastAsia="Times New Roman"/>
        </w:rPr>
        <w:t xml:space="preserve"> since this reflects industry practice in objectives for unlisted infrastructure.</w:t>
      </w:r>
      <w:bookmarkEnd w:id="9"/>
      <w:r w:rsidRPr="00110CA9">
        <w:rPr>
          <w:rFonts w:eastAsia="Times New Roman"/>
        </w:rPr>
        <w:t xml:space="preserve"> </w:t>
      </w:r>
      <w:r w:rsidR="00BA0677">
        <w:rPr>
          <w:rFonts w:eastAsia="Times New Roman"/>
        </w:rPr>
        <w:t xml:space="preserve"> </w:t>
      </w:r>
      <w:r w:rsidR="00177AA5">
        <w:rPr>
          <w:rFonts w:eastAsia="Times New Roman"/>
        </w:rPr>
        <w:t xml:space="preserve">If Treasury </w:t>
      </w:r>
      <w:r w:rsidR="00BA0677">
        <w:rPr>
          <w:rFonts w:eastAsia="Times New Roman"/>
        </w:rPr>
        <w:t>is</w:t>
      </w:r>
      <w:r w:rsidR="00177AA5">
        <w:rPr>
          <w:rFonts w:eastAsia="Times New Roman"/>
        </w:rPr>
        <w:t xml:space="preserve"> </w:t>
      </w:r>
      <w:r w:rsidR="00966BCB">
        <w:rPr>
          <w:rFonts w:eastAsia="Times New Roman"/>
        </w:rPr>
        <w:t xml:space="preserve">keen to explore </w:t>
      </w:r>
      <w:r w:rsidR="006C5047">
        <w:rPr>
          <w:rFonts w:eastAsia="Times New Roman"/>
        </w:rPr>
        <w:t xml:space="preserve">inclusion of an index for </w:t>
      </w:r>
      <w:r w:rsidR="00966BCB">
        <w:rPr>
          <w:rFonts w:eastAsia="Times New Roman"/>
        </w:rPr>
        <w:t>infrastructure</w:t>
      </w:r>
      <w:r w:rsidR="006C5047">
        <w:rPr>
          <w:rFonts w:eastAsia="Times New Roman"/>
        </w:rPr>
        <w:t xml:space="preserve">, </w:t>
      </w:r>
      <w:r w:rsidR="00BA0677">
        <w:rPr>
          <w:rFonts w:eastAsia="Times New Roman"/>
        </w:rPr>
        <w:t>we would be pleased</w:t>
      </w:r>
      <w:r w:rsidR="006C5047">
        <w:rPr>
          <w:rFonts w:eastAsia="Times New Roman"/>
        </w:rPr>
        <w:t xml:space="preserve"> to share </w:t>
      </w:r>
      <w:r w:rsidR="002A1FAC">
        <w:rPr>
          <w:rFonts w:eastAsia="Times New Roman"/>
        </w:rPr>
        <w:t xml:space="preserve">our </w:t>
      </w:r>
      <w:r w:rsidR="00966BCB">
        <w:rPr>
          <w:rFonts w:eastAsia="Times New Roman"/>
        </w:rPr>
        <w:t xml:space="preserve">views </w:t>
      </w:r>
      <w:r w:rsidR="006C5047">
        <w:rPr>
          <w:rFonts w:eastAsia="Times New Roman"/>
        </w:rPr>
        <w:t xml:space="preserve">and analysis </w:t>
      </w:r>
      <w:r w:rsidR="00966BCB">
        <w:rPr>
          <w:rFonts w:eastAsia="Times New Roman"/>
        </w:rPr>
        <w:t xml:space="preserve">on </w:t>
      </w:r>
      <w:r w:rsidR="006C5047">
        <w:rPr>
          <w:rFonts w:eastAsia="Times New Roman"/>
        </w:rPr>
        <w:t>the various indices and approaches</w:t>
      </w:r>
      <w:r w:rsidR="002A1FAC">
        <w:rPr>
          <w:rFonts w:eastAsia="Times New Roman"/>
        </w:rPr>
        <w:t xml:space="preserve"> to support a well-considered </w:t>
      </w:r>
      <w:r w:rsidR="00675C78">
        <w:rPr>
          <w:rFonts w:eastAsia="Times New Roman"/>
        </w:rPr>
        <w:t>deliberation by Treasury</w:t>
      </w:r>
      <w:r w:rsidR="006C5047">
        <w:rPr>
          <w:rFonts w:eastAsia="Times New Roman"/>
        </w:rPr>
        <w:t xml:space="preserve">. </w:t>
      </w:r>
    </w:p>
    <w:p w14:paraId="74CFED85" w14:textId="2AD8B23A" w:rsidR="00A150CB" w:rsidRPr="00110CA9" w:rsidRDefault="00110CA9" w:rsidP="00DD2270">
      <w:pPr>
        <w:pStyle w:val="ListParagraph"/>
        <w:numPr>
          <w:ilvl w:val="0"/>
          <w:numId w:val="9"/>
        </w:numPr>
        <w:ind w:left="425" w:hanging="425"/>
        <w:contextualSpacing w:val="0"/>
        <w:jc w:val="both"/>
        <w:rPr>
          <w:rFonts w:eastAsia="Times New Roman"/>
        </w:rPr>
      </w:pPr>
      <w:r>
        <w:rPr>
          <w:rFonts w:eastAsia="Times New Roman"/>
        </w:rPr>
        <w:t>While we have provided indicative t</w:t>
      </w:r>
      <w:r w:rsidR="00A150CB" w:rsidRPr="00110CA9">
        <w:rPr>
          <w:rFonts w:eastAsia="Times New Roman"/>
        </w:rPr>
        <w:t xml:space="preserve">ax rates and fee rates for these new proposed unlisted asset </w:t>
      </w:r>
      <w:r>
        <w:rPr>
          <w:rFonts w:eastAsia="Times New Roman"/>
        </w:rPr>
        <w:t xml:space="preserve">class </w:t>
      </w:r>
      <w:r w:rsidR="00A150CB" w:rsidRPr="00110CA9">
        <w:rPr>
          <w:rFonts w:eastAsia="Times New Roman"/>
        </w:rPr>
        <w:t>benchmarks</w:t>
      </w:r>
      <w:r>
        <w:rPr>
          <w:rFonts w:eastAsia="Times New Roman"/>
        </w:rPr>
        <w:t>, these</w:t>
      </w:r>
      <w:r w:rsidR="00A150CB" w:rsidRPr="00110CA9">
        <w:rPr>
          <w:rFonts w:eastAsia="Times New Roman"/>
        </w:rPr>
        <w:t xml:space="preserve"> would require further analysis by policy makers. </w:t>
      </w:r>
    </w:p>
    <w:p w14:paraId="65C04CDC" w14:textId="77777777" w:rsidR="00A150CB" w:rsidRDefault="00A150CB" w:rsidP="00A97326">
      <w:pPr>
        <w:jc w:val="both"/>
      </w:pPr>
    </w:p>
    <w:p w14:paraId="63957B8D" w14:textId="1C404456" w:rsidR="00A150CB" w:rsidRPr="003A6C03" w:rsidRDefault="00A150CB" w:rsidP="00A150CB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Next Steps</w:t>
      </w:r>
    </w:p>
    <w:p w14:paraId="440EF2FE" w14:textId="10B3993B" w:rsidR="00A150CB" w:rsidRDefault="00A150CB" w:rsidP="00A97326">
      <w:pPr>
        <w:jc w:val="both"/>
      </w:pPr>
      <w:r>
        <w:t xml:space="preserve">Thank you for the opportunity to provide our feedback. </w:t>
      </w:r>
      <w:r w:rsidR="004F7162">
        <w:t xml:space="preserve"> </w:t>
      </w:r>
      <w:r>
        <w:t xml:space="preserve">We are more than happy to discuss further. </w:t>
      </w:r>
    </w:p>
    <w:bookmarkEnd w:id="0"/>
    <w:bookmarkEnd w:id="1"/>
    <w:bookmarkEnd w:id="2"/>
    <w:bookmarkEnd w:id="3"/>
    <w:p w14:paraId="010FB719" w14:textId="4445B45C" w:rsidR="008A2499" w:rsidRDefault="008A2499" w:rsidP="00A97326">
      <w:pPr>
        <w:jc w:val="both"/>
      </w:pPr>
    </w:p>
    <w:p w14:paraId="412502FE" w14:textId="43F08E62" w:rsidR="00955A77" w:rsidRDefault="00955A77" w:rsidP="00A97326">
      <w:pPr>
        <w:jc w:val="both"/>
      </w:pPr>
    </w:p>
    <w:p w14:paraId="7E9323B5" w14:textId="76722AE4" w:rsidR="00955A77" w:rsidRDefault="00955A77" w:rsidP="00A97326">
      <w:pPr>
        <w:jc w:val="both"/>
      </w:pPr>
      <w:r>
        <w:t>Regards</w:t>
      </w:r>
    </w:p>
    <w:p w14:paraId="14E46517" w14:textId="5D380DC0" w:rsidR="00955A77" w:rsidRDefault="00955A77" w:rsidP="00A97326">
      <w:pPr>
        <w:jc w:val="both"/>
      </w:pPr>
      <w:r>
        <w:t>Matthew Griffith</w:t>
      </w:r>
      <w:r w:rsidR="00F94EC7">
        <w:tab/>
      </w:r>
      <w:r w:rsidR="00F94EC7">
        <w:tab/>
      </w:r>
      <w:r w:rsidR="00F94EC7">
        <w:tab/>
      </w:r>
      <w:r w:rsidR="00F94EC7">
        <w:tab/>
        <w:t>Steven Carew</w:t>
      </w:r>
      <w:r w:rsidR="00F94EC7">
        <w:tab/>
      </w:r>
      <w:r w:rsidR="00F94EC7">
        <w:tab/>
      </w:r>
      <w:r w:rsidR="002E655D">
        <w:tab/>
        <w:t>Georgina Dudley</w:t>
      </w:r>
    </w:p>
    <w:p w14:paraId="4D173B0A" w14:textId="2B31F11E" w:rsidR="00F94EC7" w:rsidRDefault="00F94EC7" w:rsidP="00A97326">
      <w:pPr>
        <w:jc w:val="both"/>
      </w:pPr>
      <w:r>
        <w:t>Head of Portfolio Construction and Risk</w:t>
      </w:r>
      <w:r>
        <w:tab/>
      </w:r>
      <w:r>
        <w:tab/>
        <w:t>CIO</w:t>
      </w:r>
      <w:r w:rsidR="002E655D">
        <w:tab/>
      </w:r>
      <w:r w:rsidR="002E655D">
        <w:tab/>
      </w:r>
      <w:r w:rsidR="002E655D">
        <w:tab/>
      </w:r>
      <w:r w:rsidR="002E655D">
        <w:tab/>
        <w:t>Head of Strategy</w:t>
      </w:r>
    </w:p>
    <w:sectPr w:rsidR="00F94EC7" w:rsidSect="000128F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843" w:right="1440" w:bottom="1440" w:left="1440" w:header="708" w:footer="59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6C6567" w14:textId="77777777" w:rsidR="00A27123" w:rsidRDefault="00A27123" w:rsidP="00A512ED">
      <w:pPr>
        <w:spacing w:after="0"/>
      </w:pPr>
      <w:r>
        <w:separator/>
      </w:r>
    </w:p>
  </w:endnote>
  <w:endnote w:type="continuationSeparator" w:id="0">
    <w:p w14:paraId="2EBEB894" w14:textId="77777777" w:rsidR="00A27123" w:rsidRDefault="00A27123" w:rsidP="00A512E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alibri Light (Headings)">
    <w:altName w:val="Calibri Light"/>
    <w:charset w:val="00"/>
    <w:family w:val="roman"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T Commons">
    <w:altName w:val="Calibri"/>
    <w:charset w:val="4D"/>
    <w:family w:val="auto"/>
    <w:pitch w:val="variable"/>
    <w:sig w:usb0="A000022F" w:usb1="5000846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226D3E" w14:textId="77777777" w:rsidR="0048553A" w:rsidRDefault="004855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3E75E6" w14:textId="77777777" w:rsidR="006E1F78" w:rsidRDefault="006E1F78" w:rsidP="000128F8">
    <w:pPr>
      <w:pStyle w:val="Footer"/>
      <w:rPr>
        <w:rFonts w:ascii="TT Commons" w:hAnsi="TT Commons"/>
      </w:rPr>
    </w:pPr>
  </w:p>
  <w:p w14:paraId="243DA657" w14:textId="04F922B4" w:rsidR="006E1F78" w:rsidRDefault="006E1F78">
    <w:pPr>
      <w:pStyle w:val="Footer"/>
      <w:jc w:val="right"/>
    </w:pPr>
    <w:r>
      <w:rPr>
        <w:noProof/>
        <w:lang w:val="en-AU" w:eastAsia="en-AU"/>
      </w:rPr>
      <w:drawing>
        <wp:inline distT="0" distB="0" distL="0" distR="0" wp14:anchorId="650F4346" wp14:editId="1594BFBB">
          <wp:extent cx="5676900" cy="166782"/>
          <wp:effectExtent l="0" t="0" r="0" b="508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58159" cy="1809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id w:val="122772169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553A">
          <w:rPr>
            <w:noProof/>
          </w:rPr>
          <w:t>8</w:t>
        </w:r>
        <w:r>
          <w:rPr>
            <w:noProof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27E90E" w14:textId="77777777" w:rsidR="006E1F78" w:rsidRDefault="006E1F78">
    <w:pPr>
      <w:pStyle w:val="Footer"/>
    </w:pPr>
    <w:r w:rsidRPr="003F680B">
      <w:rPr>
        <w:noProof/>
        <w:color w:val="002555"/>
        <w:lang w:val="en-AU" w:eastAsia="en-AU"/>
      </w:rPr>
      <w:drawing>
        <wp:anchor distT="0" distB="0" distL="114300" distR="114300" simplePos="0" relativeHeight="251657216" behindDoc="1" locked="0" layoutInCell="1" allowOverlap="1" wp14:anchorId="498E8A31" wp14:editId="7C585D01">
          <wp:simplePos x="0" y="0"/>
          <wp:positionH relativeFrom="page">
            <wp:posOffset>14605</wp:posOffset>
          </wp:positionH>
          <wp:positionV relativeFrom="page">
            <wp:posOffset>9422130</wp:posOffset>
          </wp:positionV>
          <wp:extent cx="7581600" cy="1339200"/>
          <wp:effectExtent l="0" t="0" r="63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33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FAF657" w14:textId="77777777" w:rsidR="00A27123" w:rsidRDefault="00A27123" w:rsidP="00A512ED">
      <w:pPr>
        <w:spacing w:after="0"/>
      </w:pPr>
      <w:r>
        <w:separator/>
      </w:r>
    </w:p>
  </w:footnote>
  <w:footnote w:type="continuationSeparator" w:id="0">
    <w:p w14:paraId="485CA10E" w14:textId="77777777" w:rsidR="00A27123" w:rsidRDefault="00A27123" w:rsidP="00A512E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23A0CD" w14:textId="77777777" w:rsidR="0048553A" w:rsidRDefault="004855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A24DB2" w14:textId="3CD205FD" w:rsidR="006E1F78" w:rsidRPr="00312B81" w:rsidRDefault="006E1F78" w:rsidP="003F473F">
    <w:pPr>
      <w:pStyle w:val="HeaderStyle"/>
      <w:spacing w:after="0" w:line="240" w:lineRule="auto"/>
    </w:pPr>
    <w:r>
      <w:t>The Manager, Retirement Income Policy Division, Treasury</w:t>
    </w:r>
  </w:p>
  <w:p w14:paraId="2F8B746A" w14:textId="603C7ECB" w:rsidR="006E1F78" w:rsidRPr="00312B81" w:rsidRDefault="006E1F78" w:rsidP="003F473F">
    <w:pPr>
      <w:pStyle w:val="HeaderStyle"/>
      <w:spacing w:after="0" w:line="240" w:lineRule="auto"/>
    </w:pPr>
    <w:r>
      <w:t>Your Future, Your Super Consultation</w:t>
    </w:r>
  </w:p>
  <w:p w14:paraId="13FDDCAE" w14:textId="7751A09F" w:rsidR="006E1F78" w:rsidRPr="00312B81" w:rsidRDefault="006E1F78" w:rsidP="003F473F">
    <w:pPr>
      <w:pStyle w:val="HeaderStyle"/>
      <w:spacing w:after="0" w:line="240" w:lineRule="auto"/>
    </w:pPr>
    <w:r>
      <w:t>December 2020</w:t>
    </w:r>
  </w:p>
  <w:p w14:paraId="4C1A66D9" w14:textId="77777777" w:rsidR="006E1F78" w:rsidRDefault="006E1F7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531778" w14:textId="36E6E8B7" w:rsidR="006E1F78" w:rsidRDefault="006E1F78">
    <w:pPr>
      <w:pStyle w:val="Header"/>
    </w:pPr>
    <w:r>
      <w:rPr>
        <w:noProof/>
        <w:lang w:eastAsia="en-AU"/>
      </w:rPr>
      <w:drawing>
        <wp:inline distT="0" distB="0" distL="0" distR="0" wp14:anchorId="068C209C" wp14:editId="48CBB293">
          <wp:extent cx="1591659" cy="670560"/>
          <wp:effectExtent l="0" t="0" r="889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8164" cy="681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F904B1A0"/>
    <w:lvl w:ilvl="0">
      <w:start w:val="1"/>
      <w:numFmt w:val="bullet"/>
      <w:pStyle w:val="ListBullet"/>
      <w:lvlText w:val=""/>
      <w:lvlJc w:val="left"/>
      <w:pPr>
        <w:ind w:left="567" w:hanging="283"/>
      </w:pPr>
      <w:rPr>
        <w:rFonts w:ascii="Symbol" w:hAnsi="Symbol" w:hint="default"/>
        <w:color w:val="85C5E8" w:themeColor="accent2"/>
      </w:rPr>
    </w:lvl>
  </w:abstractNum>
  <w:abstractNum w:abstractNumId="1" w15:restartNumberingAfterBreak="0">
    <w:nsid w:val="097201AE"/>
    <w:multiLevelType w:val="hybridMultilevel"/>
    <w:tmpl w:val="390009C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9D56DE"/>
    <w:multiLevelType w:val="hybridMultilevel"/>
    <w:tmpl w:val="F722824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4CA98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4016C03"/>
    <w:multiLevelType w:val="hybridMultilevel"/>
    <w:tmpl w:val="E4367C6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14572D3"/>
    <w:multiLevelType w:val="hybridMultilevel"/>
    <w:tmpl w:val="B27838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381B79"/>
    <w:multiLevelType w:val="hybridMultilevel"/>
    <w:tmpl w:val="2EBA224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4CA98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18D5D03"/>
    <w:multiLevelType w:val="hybridMultilevel"/>
    <w:tmpl w:val="2DCAFF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36E69A2"/>
    <w:multiLevelType w:val="hybridMultilevel"/>
    <w:tmpl w:val="906CEDB4"/>
    <w:lvl w:ilvl="0" w:tplc="FF4CA9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ED4CBD"/>
    <w:multiLevelType w:val="multilevel"/>
    <w:tmpl w:val="2E26D286"/>
    <w:lvl w:ilvl="0">
      <w:start w:val="1"/>
      <w:numFmt w:val="decimal"/>
      <w:pStyle w:val="NumberedH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umberedH2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pStyle w:val="NumberedH3"/>
      <w:lvlText w:val="%1.%2.%3.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62A64E26"/>
    <w:multiLevelType w:val="multilevel"/>
    <w:tmpl w:val="B2EA5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7EAF4250"/>
    <w:multiLevelType w:val="multilevel"/>
    <w:tmpl w:val="CFC44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4"/>
  </w:num>
  <w:num w:numId="5">
    <w:abstractNumId w:val="10"/>
  </w:num>
  <w:num w:numId="6">
    <w:abstractNumId w:val="5"/>
  </w:num>
  <w:num w:numId="7">
    <w:abstractNumId w:val="6"/>
  </w:num>
  <w:num w:numId="8">
    <w:abstractNumId w:val="3"/>
  </w:num>
  <w:num w:numId="9">
    <w:abstractNumId w:val="7"/>
  </w:num>
  <w:num w:numId="10">
    <w:abstractNumId w:val="1"/>
  </w:num>
  <w:num w:numId="11">
    <w:abstractNumId w:val="9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PWAFVersion" w:val="5.0"/>
  </w:docVars>
  <w:rsids>
    <w:rsidRoot w:val="000128F8"/>
    <w:rsid w:val="00006BBB"/>
    <w:rsid w:val="0000777A"/>
    <w:rsid w:val="000128F8"/>
    <w:rsid w:val="0001717D"/>
    <w:rsid w:val="000223F8"/>
    <w:rsid w:val="00022979"/>
    <w:rsid w:val="0002529D"/>
    <w:rsid w:val="000266E5"/>
    <w:rsid w:val="00032764"/>
    <w:rsid w:val="00042266"/>
    <w:rsid w:val="000526BD"/>
    <w:rsid w:val="00054CC0"/>
    <w:rsid w:val="00056A24"/>
    <w:rsid w:val="000625DA"/>
    <w:rsid w:val="00063574"/>
    <w:rsid w:val="00063AD9"/>
    <w:rsid w:val="00063D08"/>
    <w:rsid w:val="00076095"/>
    <w:rsid w:val="000812C0"/>
    <w:rsid w:val="00086D11"/>
    <w:rsid w:val="00090823"/>
    <w:rsid w:val="00092A6B"/>
    <w:rsid w:val="000A3A60"/>
    <w:rsid w:val="000B20F7"/>
    <w:rsid w:val="000B2BE5"/>
    <w:rsid w:val="000C47B3"/>
    <w:rsid w:val="000C6529"/>
    <w:rsid w:val="000C6557"/>
    <w:rsid w:val="000C6C69"/>
    <w:rsid w:val="000C7477"/>
    <w:rsid w:val="000C7CA9"/>
    <w:rsid w:val="000D1871"/>
    <w:rsid w:val="000E2114"/>
    <w:rsid w:val="000E453D"/>
    <w:rsid w:val="000E4C87"/>
    <w:rsid w:val="000F0AB2"/>
    <w:rsid w:val="000F42CF"/>
    <w:rsid w:val="00100CCD"/>
    <w:rsid w:val="00107774"/>
    <w:rsid w:val="00110CA9"/>
    <w:rsid w:val="00112244"/>
    <w:rsid w:val="001154C7"/>
    <w:rsid w:val="0012125D"/>
    <w:rsid w:val="001221F1"/>
    <w:rsid w:val="00131AB3"/>
    <w:rsid w:val="00133C62"/>
    <w:rsid w:val="00137040"/>
    <w:rsid w:val="00141DA4"/>
    <w:rsid w:val="001446B1"/>
    <w:rsid w:val="00144866"/>
    <w:rsid w:val="00147161"/>
    <w:rsid w:val="00150A31"/>
    <w:rsid w:val="001541C6"/>
    <w:rsid w:val="00163073"/>
    <w:rsid w:val="00166B85"/>
    <w:rsid w:val="00167253"/>
    <w:rsid w:val="001752AE"/>
    <w:rsid w:val="00177AA5"/>
    <w:rsid w:val="00180AED"/>
    <w:rsid w:val="00180B19"/>
    <w:rsid w:val="001837CE"/>
    <w:rsid w:val="00185DA1"/>
    <w:rsid w:val="00191886"/>
    <w:rsid w:val="0019240F"/>
    <w:rsid w:val="0019721B"/>
    <w:rsid w:val="001A19B1"/>
    <w:rsid w:val="001A1FD0"/>
    <w:rsid w:val="001A4AE3"/>
    <w:rsid w:val="001B0458"/>
    <w:rsid w:val="001B18ED"/>
    <w:rsid w:val="001B64EA"/>
    <w:rsid w:val="001B71B8"/>
    <w:rsid w:val="001C27C4"/>
    <w:rsid w:val="001C38CC"/>
    <w:rsid w:val="001C5F10"/>
    <w:rsid w:val="001D4728"/>
    <w:rsid w:val="001D4AE3"/>
    <w:rsid w:val="001E25C2"/>
    <w:rsid w:val="001E5807"/>
    <w:rsid w:val="001E73A9"/>
    <w:rsid w:val="001F2711"/>
    <w:rsid w:val="001F6AF1"/>
    <w:rsid w:val="00201217"/>
    <w:rsid w:val="0020210C"/>
    <w:rsid w:val="00204C9D"/>
    <w:rsid w:val="002104E8"/>
    <w:rsid w:val="002153F7"/>
    <w:rsid w:val="002203CA"/>
    <w:rsid w:val="002219A3"/>
    <w:rsid w:val="0022471F"/>
    <w:rsid w:val="0023110F"/>
    <w:rsid w:val="0024164E"/>
    <w:rsid w:val="00253097"/>
    <w:rsid w:val="0026098E"/>
    <w:rsid w:val="002707C1"/>
    <w:rsid w:val="00270997"/>
    <w:rsid w:val="00276945"/>
    <w:rsid w:val="00284194"/>
    <w:rsid w:val="00284F30"/>
    <w:rsid w:val="00286075"/>
    <w:rsid w:val="00290F34"/>
    <w:rsid w:val="00296563"/>
    <w:rsid w:val="002965A3"/>
    <w:rsid w:val="002977EF"/>
    <w:rsid w:val="002A03EF"/>
    <w:rsid w:val="002A0D74"/>
    <w:rsid w:val="002A1FAC"/>
    <w:rsid w:val="002A2BCF"/>
    <w:rsid w:val="002A314D"/>
    <w:rsid w:val="002A792D"/>
    <w:rsid w:val="002C3F51"/>
    <w:rsid w:val="002C780F"/>
    <w:rsid w:val="002D0329"/>
    <w:rsid w:val="002D24A2"/>
    <w:rsid w:val="002D6AE9"/>
    <w:rsid w:val="002E2FB2"/>
    <w:rsid w:val="002E5411"/>
    <w:rsid w:val="002E655D"/>
    <w:rsid w:val="00302BB6"/>
    <w:rsid w:val="003059D0"/>
    <w:rsid w:val="0031516C"/>
    <w:rsid w:val="00315FA3"/>
    <w:rsid w:val="00316219"/>
    <w:rsid w:val="00316A0B"/>
    <w:rsid w:val="00317D02"/>
    <w:rsid w:val="00322C55"/>
    <w:rsid w:val="00327FDF"/>
    <w:rsid w:val="00330F71"/>
    <w:rsid w:val="003317E8"/>
    <w:rsid w:val="003328D7"/>
    <w:rsid w:val="0033367C"/>
    <w:rsid w:val="00337ECC"/>
    <w:rsid w:val="003416F0"/>
    <w:rsid w:val="003421B4"/>
    <w:rsid w:val="00343FB8"/>
    <w:rsid w:val="00344092"/>
    <w:rsid w:val="003456F5"/>
    <w:rsid w:val="00347A67"/>
    <w:rsid w:val="00347EAF"/>
    <w:rsid w:val="00361CFD"/>
    <w:rsid w:val="00366F8B"/>
    <w:rsid w:val="003679E0"/>
    <w:rsid w:val="0037382B"/>
    <w:rsid w:val="0038072F"/>
    <w:rsid w:val="00381E84"/>
    <w:rsid w:val="00385A86"/>
    <w:rsid w:val="003870CD"/>
    <w:rsid w:val="00396D86"/>
    <w:rsid w:val="003A3FEE"/>
    <w:rsid w:val="003A6C03"/>
    <w:rsid w:val="003A6EBE"/>
    <w:rsid w:val="003A735D"/>
    <w:rsid w:val="003B07B6"/>
    <w:rsid w:val="003B0D07"/>
    <w:rsid w:val="003B56CA"/>
    <w:rsid w:val="003D00A4"/>
    <w:rsid w:val="003D174E"/>
    <w:rsid w:val="003D1768"/>
    <w:rsid w:val="003D1C3F"/>
    <w:rsid w:val="003D7D58"/>
    <w:rsid w:val="003F2B16"/>
    <w:rsid w:val="003F2FBF"/>
    <w:rsid w:val="003F473F"/>
    <w:rsid w:val="003F5FF8"/>
    <w:rsid w:val="003F6DB1"/>
    <w:rsid w:val="003F7D01"/>
    <w:rsid w:val="0040244B"/>
    <w:rsid w:val="00402F10"/>
    <w:rsid w:val="00403BC7"/>
    <w:rsid w:val="0041220C"/>
    <w:rsid w:val="004177EE"/>
    <w:rsid w:val="00421724"/>
    <w:rsid w:val="00422749"/>
    <w:rsid w:val="00427CD5"/>
    <w:rsid w:val="004346BE"/>
    <w:rsid w:val="00434A07"/>
    <w:rsid w:val="00435095"/>
    <w:rsid w:val="00445943"/>
    <w:rsid w:val="00450BA9"/>
    <w:rsid w:val="00451A06"/>
    <w:rsid w:val="00454610"/>
    <w:rsid w:val="00461BC3"/>
    <w:rsid w:val="00461F87"/>
    <w:rsid w:val="00464F47"/>
    <w:rsid w:val="004666BB"/>
    <w:rsid w:val="004719EB"/>
    <w:rsid w:val="00472F6E"/>
    <w:rsid w:val="0047455F"/>
    <w:rsid w:val="004747F5"/>
    <w:rsid w:val="004811DF"/>
    <w:rsid w:val="00482441"/>
    <w:rsid w:val="0048553A"/>
    <w:rsid w:val="004862FC"/>
    <w:rsid w:val="00486C29"/>
    <w:rsid w:val="004875A4"/>
    <w:rsid w:val="00494A68"/>
    <w:rsid w:val="004A5263"/>
    <w:rsid w:val="004B2D44"/>
    <w:rsid w:val="004B2DFC"/>
    <w:rsid w:val="004B72B2"/>
    <w:rsid w:val="004C075F"/>
    <w:rsid w:val="004C0ECE"/>
    <w:rsid w:val="004C0FA7"/>
    <w:rsid w:val="004C2785"/>
    <w:rsid w:val="004C5491"/>
    <w:rsid w:val="004D291B"/>
    <w:rsid w:val="004D6694"/>
    <w:rsid w:val="004E36A1"/>
    <w:rsid w:val="004E5B4A"/>
    <w:rsid w:val="004F58CA"/>
    <w:rsid w:val="004F7162"/>
    <w:rsid w:val="005054FA"/>
    <w:rsid w:val="0050558E"/>
    <w:rsid w:val="005101B0"/>
    <w:rsid w:val="00510EB8"/>
    <w:rsid w:val="00511485"/>
    <w:rsid w:val="00520F94"/>
    <w:rsid w:val="00532E7F"/>
    <w:rsid w:val="00536B46"/>
    <w:rsid w:val="00541A15"/>
    <w:rsid w:val="0054306C"/>
    <w:rsid w:val="00546140"/>
    <w:rsid w:val="005515EC"/>
    <w:rsid w:val="005516E4"/>
    <w:rsid w:val="005525E2"/>
    <w:rsid w:val="005550D2"/>
    <w:rsid w:val="00555F1E"/>
    <w:rsid w:val="0055630A"/>
    <w:rsid w:val="005704CE"/>
    <w:rsid w:val="00570BE6"/>
    <w:rsid w:val="005717D3"/>
    <w:rsid w:val="005738D0"/>
    <w:rsid w:val="00593B43"/>
    <w:rsid w:val="00593C5F"/>
    <w:rsid w:val="00597DBE"/>
    <w:rsid w:val="005A19AF"/>
    <w:rsid w:val="005A3938"/>
    <w:rsid w:val="005A4B22"/>
    <w:rsid w:val="005A5280"/>
    <w:rsid w:val="005B1615"/>
    <w:rsid w:val="005B6500"/>
    <w:rsid w:val="005B6D7E"/>
    <w:rsid w:val="005C1EA2"/>
    <w:rsid w:val="005C3105"/>
    <w:rsid w:val="005C3279"/>
    <w:rsid w:val="005C6FEC"/>
    <w:rsid w:val="005E499E"/>
    <w:rsid w:val="005E5146"/>
    <w:rsid w:val="005E554B"/>
    <w:rsid w:val="005E64D9"/>
    <w:rsid w:val="005E739F"/>
    <w:rsid w:val="005F25B3"/>
    <w:rsid w:val="005F2B1D"/>
    <w:rsid w:val="005F45D6"/>
    <w:rsid w:val="006013D3"/>
    <w:rsid w:val="0060242F"/>
    <w:rsid w:val="00604EBB"/>
    <w:rsid w:val="0060777E"/>
    <w:rsid w:val="006133F1"/>
    <w:rsid w:val="0062189B"/>
    <w:rsid w:val="00622F79"/>
    <w:rsid w:val="0062551F"/>
    <w:rsid w:val="00630A68"/>
    <w:rsid w:val="006315FA"/>
    <w:rsid w:val="00631AC7"/>
    <w:rsid w:val="00636190"/>
    <w:rsid w:val="00637C50"/>
    <w:rsid w:val="0064174C"/>
    <w:rsid w:val="00643090"/>
    <w:rsid w:val="00645BAF"/>
    <w:rsid w:val="006461C8"/>
    <w:rsid w:val="00650E11"/>
    <w:rsid w:val="006549F2"/>
    <w:rsid w:val="006578F1"/>
    <w:rsid w:val="00657FC5"/>
    <w:rsid w:val="006601A2"/>
    <w:rsid w:val="006661D5"/>
    <w:rsid w:val="0066773A"/>
    <w:rsid w:val="00670710"/>
    <w:rsid w:val="0067075A"/>
    <w:rsid w:val="00671216"/>
    <w:rsid w:val="00672D2C"/>
    <w:rsid w:val="00675C78"/>
    <w:rsid w:val="0068125D"/>
    <w:rsid w:val="00684E64"/>
    <w:rsid w:val="006855A9"/>
    <w:rsid w:val="00687568"/>
    <w:rsid w:val="00687593"/>
    <w:rsid w:val="00691265"/>
    <w:rsid w:val="00693084"/>
    <w:rsid w:val="0069528B"/>
    <w:rsid w:val="006A0B42"/>
    <w:rsid w:val="006A3178"/>
    <w:rsid w:val="006B7E11"/>
    <w:rsid w:val="006C5047"/>
    <w:rsid w:val="006C5425"/>
    <w:rsid w:val="006D0DDC"/>
    <w:rsid w:val="006D2989"/>
    <w:rsid w:val="006D4618"/>
    <w:rsid w:val="006E0846"/>
    <w:rsid w:val="006E15AD"/>
    <w:rsid w:val="006E1DF1"/>
    <w:rsid w:val="006E1F78"/>
    <w:rsid w:val="006E339C"/>
    <w:rsid w:val="006E4201"/>
    <w:rsid w:val="006E7DFC"/>
    <w:rsid w:val="006F5B5B"/>
    <w:rsid w:val="006F6E1D"/>
    <w:rsid w:val="00700BB2"/>
    <w:rsid w:val="007025F5"/>
    <w:rsid w:val="00702B19"/>
    <w:rsid w:val="00721EBB"/>
    <w:rsid w:val="00737D63"/>
    <w:rsid w:val="007403BE"/>
    <w:rsid w:val="00755CA8"/>
    <w:rsid w:val="00761063"/>
    <w:rsid w:val="00761C84"/>
    <w:rsid w:val="00772371"/>
    <w:rsid w:val="00772591"/>
    <w:rsid w:val="007726DB"/>
    <w:rsid w:val="0077502C"/>
    <w:rsid w:val="00775897"/>
    <w:rsid w:val="007828BE"/>
    <w:rsid w:val="00787E00"/>
    <w:rsid w:val="007A034F"/>
    <w:rsid w:val="007A3911"/>
    <w:rsid w:val="007A4118"/>
    <w:rsid w:val="007A4653"/>
    <w:rsid w:val="007A76E3"/>
    <w:rsid w:val="007B0EC9"/>
    <w:rsid w:val="007B2699"/>
    <w:rsid w:val="007B2C21"/>
    <w:rsid w:val="007B2EE1"/>
    <w:rsid w:val="007B4839"/>
    <w:rsid w:val="007C061E"/>
    <w:rsid w:val="007C13CD"/>
    <w:rsid w:val="007C37D5"/>
    <w:rsid w:val="007C5FCD"/>
    <w:rsid w:val="007C68A8"/>
    <w:rsid w:val="007D0690"/>
    <w:rsid w:val="007D1931"/>
    <w:rsid w:val="007D1EB3"/>
    <w:rsid w:val="007D39A1"/>
    <w:rsid w:val="007D507A"/>
    <w:rsid w:val="007D6E3A"/>
    <w:rsid w:val="007E18C8"/>
    <w:rsid w:val="007F2CBD"/>
    <w:rsid w:val="00800825"/>
    <w:rsid w:val="00807FC3"/>
    <w:rsid w:val="00817037"/>
    <w:rsid w:val="008206AF"/>
    <w:rsid w:val="008368E5"/>
    <w:rsid w:val="008377A9"/>
    <w:rsid w:val="0084280F"/>
    <w:rsid w:val="008432B8"/>
    <w:rsid w:val="0084762C"/>
    <w:rsid w:val="0085219F"/>
    <w:rsid w:val="008525F2"/>
    <w:rsid w:val="00853A61"/>
    <w:rsid w:val="00854CB4"/>
    <w:rsid w:val="008623D2"/>
    <w:rsid w:val="0087385D"/>
    <w:rsid w:val="00873A7E"/>
    <w:rsid w:val="008776FA"/>
    <w:rsid w:val="008801AE"/>
    <w:rsid w:val="00885028"/>
    <w:rsid w:val="00886243"/>
    <w:rsid w:val="00890498"/>
    <w:rsid w:val="008934F8"/>
    <w:rsid w:val="00896273"/>
    <w:rsid w:val="008964DE"/>
    <w:rsid w:val="008A2499"/>
    <w:rsid w:val="008A5F37"/>
    <w:rsid w:val="008A64F6"/>
    <w:rsid w:val="008A7084"/>
    <w:rsid w:val="008B2435"/>
    <w:rsid w:val="008B44D1"/>
    <w:rsid w:val="008B5F29"/>
    <w:rsid w:val="008C1E69"/>
    <w:rsid w:val="008C2DA8"/>
    <w:rsid w:val="008C3B2C"/>
    <w:rsid w:val="008C7224"/>
    <w:rsid w:val="008C73EA"/>
    <w:rsid w:val="008D0E17"/>
    <w:rsid w:val="008D62AC"/>
    <w:rsid w:val="008D6362"/>
    <w:rsid w:val="008E0087"/>
    <w:rsid w:val="008E2EF7"/>
    <w:rsid w:val="008E3045"/>
    <w:rsid w:val="008E42BA"/>
    <w:rsid w:val="008E6CC9"/>
    <w:rsid w:val="008F2C08"/>
    <w:rsid w:val="008F30E2"/>
    <w:rsid w:val="008F699E"/>
    <w:rsid w:val="008F73A7"/>
    <w:rsid w:val="00904A23"/>
    <w:rsid w:val="0090651E"/>
    <w:rsid w:val="00910E60"/>
    <w:rsid w:val="00911C02"/>
    <w:rsid w:val="00922EE8"/>
    <w:rsid w:val="009274D7"/>
    <w:rsid w:val="009347B9"/>
    <w:rsid w:val="009348CA"/>
    <w:rsid w:val="00935E62"/>
    <w:rsid w:val="0094060B"/>
    <w:rsid w:val="009428A5"/>
    <w:rsid w:val="00945B2E"/>
    <w:rsid w:val="00945DA4"/>
    <w:rsid w:val="009556AD"/>
    <w:rsid w:val="00955A77"/>
    <w:rsid w:val="0096109F"/>
    <w:rsid w:val="00964D83"/>
    <w:rsid w:val="00966BCB"/>
    <w:rsid w:val="00971543"/>
    <w:rsid w:val="00973C11"/>
    <w:rsid w:val="0097403E"/>
    <w:rsid w:val="00975617"/>
    <w:rsid w:val="00975799"/>
    <w:rsid w:val="009760CC"/>
    <w:rsid w:val="00982B63"/>
    <w:rsid w:val="00982F88"/>
    <w:rsid w:val="009861FB"/>
    <w:rsid w:val="00986FE7"/>
    <w:rsid w:val="00987DAA"/>
    <w:rsid w:val="00990EC1"/>
    <w:rsid w:val="009914D0"/>
    <w:rsid w:val="00992E24"/>
    <w:rsid w:val="009A57E8"/>
    <w:rsid w:val="009B0196"/>
    <w:rsid w:val="009B2BB8"/>
    <w:rsid w:val="009B640B"/>
    <w:rsid w:val="009C2E56"/>
    <w:rsid w:val="009C7039"/>
    <w:rsid w:val="009D4725"/>
    <w:rsid w:val="009D621F"/>
    <w:rsid w:val="009D6F59"/>
    <w:rsid w:val="009D7519"/>
    <w:rsid w:val="009D7A0B"/>
    <w:rsid w:val="009E0F0A"/>
    <w:rsid w:val="009E3915"/>
    <w:rsid w:val="009E3CAB"/>
    <w:rsid w:val="009F2AA6"/>
    <w:rsid w:val="00A06BDF"/>
    <w:rsid w:val="00A13211"/>
    <w:rsid w:val="00A150CB"/>
    <w:rsid w:val="00A205C1"/>
    <w:rsid w:val="00A22337"/>
    <w:rsid w:val="00A2307E"/>
    <w:rsid w:val="00A268A9"/>
    <w:rsid w:val="00A27123"/>
    <w:rsid w:val="00A303F5"/>
    <w:rsid w:val="00A32446"/>
    <w:rsid w:val="00A3618B"/>
    <w:rsid w:val="00A40E39"/>
    <w:rsid w:val="00A410F1"/>
    <w:rsid w:val="00A41795"/>
    <w:rsid w:val="00A457B2"/>
    <w:rsid w:val="00A512ED"/>
    <w:rsid w:val="00A54E4A"/>
    <w:rsid w:val="00A56453"/>
    <w:rsid w:val="00A608E6"/>
    <w:rsid w:val="00A6419C"/>
    <w:rsid w:val="00A73DE0"/>
    <w:rsid w:val="00A7770D"/>
    <w:rsid w:val="00A836C9"/>
    <w:rsid w:val="00A84EE6"/>
    <w:rsid w:val="00A8696F"/>
    <w:rsid w:val="00A876BF"/>
    <w:rsid w:val="00A939CF"/>
    <w:rsid w:val="00A97326"/>
    <w:rsid w:val="00AA2CA8"/>
    <w:rsid w:val="00AA6546"/>
    <w:rsid w:val="00AB1D1A"/>
    <w:rsid w:val="00AB3071"/>
    <w:rsid w:val="00AB320E"/>
    <w:rsid w:val="00AB49CC"/>
    <w:rsid w:val="00AD1F93"/>
    <w:rsid w:val="00AD4D5D"/>
    <w:rsid w:val="00AD6A37"/>
    <w:rsid w:val="00AD7051"/>
    <w:rsid w:val="00AE34CC"/>
    <w:rsid w:val="00AE605E"/>
    <w:rsid w:val="00AF1377"/>
    <w:rsid w:val="00AF3CD5"/>
    <w:rsid w:val="00AF42F2"/>
    <w:rsid w:val="00AF4B41"/>
    <w:rsid w:val="00AF4D8D"/>
    <w:rsid w:val="00AF5040"/>
    <w:rsid w:val="00AF64B8"/>
    <w:rsid w:val="00AF6BCB"/>
    <w:rsid w:val="00B00226"/>
    <w:rsid w:val="00B00EBD"/>
    <w:rsid w:val="00B0210E"/>
    <w:rsid w:val="00B02708"/>
    <w:rsid w:val="00B03439"/>
    <w:rsid w:val="00B05F59"/>
    <w:rsid w:val="00B12888"/>
    <w:rsid w:val="00B132CC"/>
    <w:rsid w:val="00B162F5"/>
    <w:rsid w:val="00B224F8"/>
    <w:rsid w:val="00B2370E"/>
    <w:rsid w:val="00B24097"/>
    <w:rsid w:val="00B30D70"/>
    <w:rsid w:val="00B30E8C"/>
    <w:rsid w:val="00B3541D"/>
    <w:rsid w:val="00B3615B"/>
    <w:rsid w:val="00B373F0"/>
    <w:rsid w:val="00B404A0"/>
    <w:rsid w:val="00B414F4"/>
    <w:rsid w:val="00B46028"/>
    <w:rsid w:val="00B56059"/>
    <w:rsid w:val="00B574E6"/>
    <w:rsid w:val="00B80009"/>
    <w:rsid w:val="00B808D6"/>
    <w:rsid w:val="00B82A3A"/>
    <w:rsid w:val="00B84E6A"/>
    <w:rsid w:val="00B8689E"/>
    <w:rsid w:val="00B9452F"/>
    <w:rsid w:val="00BA0677"/>
    <w:rsid w:val="00BA38F1"/>
    <w:rsid w:val="00BA44C8"/>
    <w:rsid w:val="00BA6FC0"/>
    <w:rsid w:val="00BA7C51"/>
    <w:rsid w:val="00BB5068"/>
    <w:rsid w:val="00BB7613"/>
    <w:rsid w:val="00BC21AE"/>
    <w:rsid w:val="00BC68A5"/>
    <w:rsid w:val="00BD1CA6"/>
    <w:rsid w:val="00BD21A6"/>
    <w:rsid w:val="00BD32D9"/>
    <w:rsid w:val="00BE2A65"/>
    <w:rsid w:val="00BE4379"/>
    <w:rsid w:val="00BF2C45"/>
    <w:rsid w:val="00BF7705"/>
    <w:rsid w:val="00C11071"/>
    <w:rsid w:val="00C115EE"/>
    <w:rsid w:val="00C166BB"/>
    <w:rsid w:val="00C201BC"/>
    <w:rsid w:val="00C324DD"/>
    <w:rsid w:val="00C343CC"/>
    <w:rsid w:val="00C40828"/>
    <w:rsid w:val="00C50996"/>
    <w:rsid w:val="00C5279C"/>
    <w:rsid w:val="00C54AD0"/>
    <w:rsid w:val="00C6029A"/>
    <w:rsid w:val="00C61871"/>
    <w:rsid w:val="00C61C65"/>
    <w:rsid w:val="00C677A3"/>
    <w:rsid w:val="00C76931"/>
    <w:rsid w:val="00C8147D"/>
    <w:rsid w:val="00C848DF"/>
    <w:rsid w:val="00C91355"/>
    <w:rsid w:val="00C94C9A"/>
    <w:rsid w:val="00C954BC"/>
    <w:rsid w:val="00C97299"/>
    <w:rsid w:val="00C9784F"/>
    <w:rsid w:val="00CA0E25"/>
    <w:rsid w:val="00CA7F49"/>
    <w:rsid w:val="00CB18AC"/>
    <w:rsid w:val="00CB1967"/>
    <w:rsid w:val="00CB68F8"/>
    <w:rsid w:val="00CB6AC5"/>
    <w:rsid w:val="00CC562E"/>
    <w:rsid w:val="00CD0C77"/>
    <w:rsid w:val="00CD63CF"/>
    <w:rsid w:val="00CD7651"/>
    <w:rsid w:val="00CD7B69"/>
    <w:rsid w:val="00CE0B5A"/>
    <w:rsid w:val="00CE198D"/>
    <w:rsid w:val="00CE6C0C"/>
    <w:rsid w:val="00CF1E0D"/>
    <w:rsid w:val="00CF2A6F"/>
    <w:rsid w:val="00CF469E"/>
    <w:rsid w:val="00CF5C45"/>
    <w:rsid w:val="00D00F10"/>
    <w:rsid w:val="00D045FD"/>
    <w:rsid w:val="00D064F2"/>
    <w:rsid w:val="00D070CD"/>
    <w:rsid w:val="00D10960"/>
    <w:rsid w:val="00D204F1"/>
    <w:rsid w:val="00D22430"/>
    <w:rsid w:val="00D248BD"/>
    <w:rsid w:val="00D25DC3"/>
    <w:rsid w:val="00D2602B"/>
    <w:rsid w:val="00D262F4"/>
    <w:rsid w:val="00D27176"/>
    <w:rsid w:val="00D315DE"/>
    <w:rsid w:val="00D37A49"/>
    <w:rsid w:val="00D53133"/>
    <w:rsid w:val="00D56F9B"/>
    <w:rsid w:val="00D652B3"/>
    <w:rsid w:val="00D67A65"/>
    <w:rsid w:val="00D67D25"/>
    <w:rsid w:val="00D70A42"/>
    <w:rsid w:val="00D75C91"/>
    <w:rsid w:val="00D77086"/>
    <w:rsid w:val="00D8125D"/>
    <w:rsid w:val="00D866A6"/>
    <w:rsid w:val="00D91010"/>
    <w:rsid w:val="00D93382"/>
    <w:rsid w:val="00D94791"/>
    <w:rsid w:val="00DA2914"/>
    <w:rsid w:val="00DA299E"/>
    <w:rsid w:val="00DA3300"/>
    <w:rsid w:val="00DA4078"/>
    <w:rsid w:val="00DA7A59"/>
    <w:rsid w:val="00DA7FCE"/>
    <w:rsid w:val="00DB04EA"/>
    <w:rsid w:val="00DB094D"/>
    <w:rsid w:val="00DB7847"/>
    <w:rsid w:val="00DD2096"/>
    <w:rsid w:val="00DD2270"/>
    <w:rsid w:val="00DD2FD1"/>
    <w:rsid w:val="00DD5A7B"/>
    <w:rsid w:val="00DD658B"/>
    <w:rsid w:val="00DE3B99"/>
    <w:rsid w:val="00DE59DF"/>
    <w:rsid w:val="00DF1A1E"/>
    <w:rsid w:val="00DF3E42"/>
    <w:rsid w:val="00DF4EF1"/>
    <w:rsid w:val="00E01B88"/>
    <w:rsid w:val="00E02308"/>
    <w:rsid w:val="00E0297E"/>
    <w:rsid w:val="00E033E5"/>
    <w:rsid w:val="00E0577C"/>
    <w:rsid w:val="00E105F4"/>
    <w:rsid w:val="00E11156"/>
    <w:rsid w:val="00E17504"/>
    <w:rsid w:val="00E21F27"/>
    <w:rsid w:val="00E23F3D"/>
    <w:rsid w:val="00E42569"/>
    <w:rsid w:val="00E51A6B"/>
    <w:rsid w:val="00E53125"/>
    <w:rsid w:val="00E55832"/>
    <w:rsid w:val="00E57BFB"/>
    <w:rsid w:val="00E6666D"/>
    <w:rsid w:val="00E737E8"/>
    <w:rsid w:val="00E757A4"/>
    <w:rsid w:val="00E849C1"/>
    <w:rsid w:val="00E862E5"/>
    <w:rsid w:val="00E86718"/>
    <w:rsid w:val="00E97A56"/>
    <w:rsid w:val="00EA795F"/>
    <w:rsid w:val="00EB15CB"/>
    <w:rsid w:val="00EB5835"/>
    <w:rsid w:val="00EC4BCE"/>
    <w:rsid w:val="00EC58ED"/>
    <w:rsid w:val="00ED3188"/>
    <w:rsid w:val="00ED3AB8"/>
    <w:rsid w:val="00ED7C6C"/>
    <w:rsid w:val="00EE4EEA"/>
    <w:rsid w:val="00EE5D08"/>
    <w:rsid w:val="00EE7715"/>
    <w:rsid w:val="00F00CC4"/>
    <w:rsid w:val="00F03F49"/>
    <w:rsid w:val="00F05B1A"/>
    <w:rsid w:val="00F1250A"/>
    <w:rsid w:val="00F160F5"/>
    <w:rsid w:val="00F3031A"/>
    <w:rsid w:val="00F33723"/>
    <w:rsid w:val="00F40B50"/>
    <w:rsid w:val="00F42FC5"/>
    <w:rsid w:val="00F524D6"/>
    <w:rsid w:val="00F54683"/>
    <w:rsid w:val="00F5497E"/>
    <w:rsid w:val="00F57E9C"/>
    <w:rsid w:val="00F6190F"/>
    <w:rsid w:val="00F61B72"/>
    <w:rsid w:val="00F62299"/>
    <w:rsid w:val="00F64BEC"/>
    <w:rsid w:val="00F67DA5"/>
    <w:rsid w:val="00F70421"/>
    <w:rsid w:val="00F70613"/>
    <w:rsid w:val="00F73603"/>
    <w:rsid w:val="00F740DE"/>
    <w:rsid w:val="00F76419"/>
    <w:rsid w:val="00F7732C"/>
    <w:rsid w:val="00F83767"/>
    <w:rsid w:val="00F87D8D"/>
    <w:rsid w:val="00F92B41"/>
    <w:rsid w:val="00F94EC7"/>
    <w:rsid w:val="00F96E12"/>
    <w:rsid w:val="00FA0BE0"/>
    <w:rsid w:val="00FA4BE7"/>
    <w:rsid w:val="00FA7002"/>
    <w:rsid w:val="00FB79F7"/>
    <w:rsid w:val="00FC593A"/>
    <w:rsid w:val="00FC5AC2"/>
    <w:rsid w:val="00FC75CB"/>
    <w:rsid w:val="00FD685B"/>
    <w:rsid w:val="00FE15D4"/>
    <w:rsid w:val="00FE2498"/>
    <w:rsid w:val="00FE3121"/>
    <w:rsid w:val="00FE423A"/>
    <w:rsid w:val="00FF0445"/>
    <w:rsid w:val="00FF06A3"/>
    <w:rsid w:val="00FF2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0AC010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4"/>
        <w:szCs w:val="24"/>
        <w:lang w:val="en-AU" w:eastAsia="en-US" w:bidi="ar-SA"/>
      </w:rPr>
    </w:rPrDefault>
    <w:pPrDefault>
      <w:pPr>
        <w:spacing w:after="17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0CCD"/>
    <w:rPr>
      <w:rFonts w:ascii="Calibri" w:hAnsi="Calibr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875A4"/>
    <w:pPr>
      <w:keepNext/>
      <w:keepLines/>
      <w:spacing w:after="440" w:line="400" w:lineRule="exact"/>
      <w:outlineLvl w:val="0"/>
    </w:pPr>
    <w:rPr>
      <w:rFonts w:eastAsiaTheme="majorEastAsia" w:cstheme="majorBidi"/>
      <w:b/>
      <w:color w:val="002455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3178"/>
    <w:pPr>
      <w:keepNext/>
      <w:keepLines/>
      <w:spacing w:after="120"/>
      <w:outlineLvl w:val="1"/>
    </w:pPr>
    <w:rPr>
      <w:rFonts w:eastAsiaTheme="majorEastAsia" w:cstheme="majorBidi"/>
      <w:b/>
      <w:color w:val="002455" w:themeColor="accen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A3178"/>
    <w:pPr>
      <w:keepNext/>
      <w:keepLines/>
      <w:spacing w:before="200" w:after="40"/>
      <w:outlineLvl w:val="2"/>
    </w:pPr>
    <w:rPr>
      <w:rFonts w:eastAsiaTheme="majorEastAsia" w:cstheme="majorBidi"/>
      <w:b/>
      <w:color w:val="002455" w:themeColor="accen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75A4"/>
    <w:rPr>
      <w:rFonts w:ascii="Calibri" w:eastAsiaTheme="majorEastAsia" w:hAnsi="Calibri" w:cstheme="majorBidi"/>
      <w:b/>
      <w:color w:val="002455" w:themeColor="accent1"/>
      <w:sz w:val="48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D7651"/>
    <w:pPr>
      <w:spacing w:after="480" w:line="240" w:lineRule="auto"/>
      <w:outlineLvl w:val="9"/>
    </w:pPr>
    <w:rPr>
      <w:color w:val="FFFFFF" w:themeColor="background1"/>
      <w:sz w:val="56"/>
    </w:rPr>
  </w:style>
  <w:style w:type="paragraph" w:styleId="Footer">
    <w:name w:val="footer"/>
    <w:basedOn w:val="Normal"/>
    <w:link w:val="FooterChar"/>
    <w:uiPriority w:val="99"/>
    <w:unhideWhenUsed/>
    <w:qFormat/>
    <w:rsid w:val="004875A4"/>
    <w:pPr>
      <w:tabs>
        <w:tab w:val="center" w:pos="4680"/>
        <w:tab w:val="right" w:pos="9360"/>
      </w:tabs>
    </w:pPr>
    <w:rPr>
      <w:color w:val="002455" w:themeColor="accent1"/>
      <w:sz w:val="16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4875A4"/>
    <w:rPr>
      <w:rFonts w:ascii="Calibri Light" w:hAnsi="Calibri Light"/>
      <w:color w:val="002455" w:themeColor="accent1"/>
      <w:sz w:val="16"/>
      <w:lang w:val="en-US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6A3178"/>
    <w:pPr>
      <w:numPr>
        <w:ilvl w:val="1"/>
      </w:numPr>
    </w:pPr>
    <w:rPr>
      <w:rFonts w:eastAsiaTheme="minorEastAsia" w:cs="Times New Roman (Body CS)"/>
      <w:b/>
      <w:color w:val="FFFFFF" w:themeColor="background1"/>
      <w:sz w:val="36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6A3178"/>
    <w:rPr>
      <w:rFonts w:ascii="Calibri" w:eastAsiaTheme="minorEastAsia" w:hAnsi="Calibri" w:cs="Times New Roman (Body CS)"/>
      <w:b/>
      <w:color w:val="FFFFFF" w:themeColor="background1"/>
      <w:sz w:val="36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C677A3"/>
    <w:pPr>
      <w:spacing w:after="0"/>
    </w:pPr>
    <w:rPr>
      <w:rFonts w:eastAsiaTheme="majorEastAsia" w:cs="Times New Roman (Headings CS)"/>
      <w:b/>
      <w:color w:val="FFFFFF" w:themeColor="background1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77A3"/>
    <w:rPr>
      <w:rFonts w:ascii="Calibri" w:eastAsiaTheme="majorEastAsia" w:hAnsi="Calibri" w:cs="Times New Roman (Headings CS)"/>
      <w:b/>
      <w:color w:val="FFFFFF" w:themeColor="background1"/>
      <w:kern w:val="28"/>
      <w:sz w:val="56"/>
      <w:szCs w:val="56"/>
    </w:rPr>
  </w:style>
  <w:style w:type="paragraph" w:styleId="BodyText">
    <w:name w:val="Body Text"/>
    <w:basedOn w:val="Normal"/>
    <w:link w:val="BodyTextChar"/>
    <w:uiPriority w:val="99"/>
    <w:semiHidden/>
    <w:unhideWhenUsed/>
    <w:rsid w:val="00396D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96D86"/>
    <w:rPr>
      <w:rFonts w:ascii="Calibri Light" w:hAnsi="Calibri Light"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55CA8"/>
    <w:pPr>
      <w:tabs>
        <w:tab w:val="right" w:pos="5467"/>
      </w:tabs>
      <w:spacing w:after="0" w:line="360" w:lineRule="auto"/>
    </w:pPr>
    <w:rPr>
      <w:rFonts w:asciiTheme="majorHAnsi" w:hAnsiTheme="majorHAnsi" w:cs="Calibri Light (Headings)"/>
      <w:b/>
      <w:bCs/>
      <w:color w:val="FFFFFF" w:themeColor="background1"/>
      <w:sz w:val="28"/>
    </w:rPr>
  </w:style>
  <w:style w:type="paragraph" w:styleId="TOC2">
    <w:name w:val="toc 2"/>
    <w:basedOn w:val="TOC1"/>
    <w:next w:val="Normal"/>
    <w:autoRedefine/>
    <w:uiPriority w:val="39"/>
    <w:unhideWhenUsed/>
    <w:qFormat/>
    <w:rsid w:val="00755CA8"/>
    <w:rPr>
      <w:rFonts w:asciiTheme="minorHAnsi" w:hAnsiTheme="minorHAnsi" w:cs="Times New Roman (Body CS)"/>
      <w:b w:val="0"/>
      <w:sz w:val="24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755CA8"/>
    <w:pPr>
      <w:spacing w:after="0" w:line="360" w:lineRule="auto"/>
    </w:pPr>
    <w:rPr>
      <w:rFonts w:asciiTheme="minorHAnsi" w:hAnsiTheme="minorHAnsi"/>
      <w:color w:val="FFFFFF" w:themeColor="background1"/>
      <w:szCs w:val="20"/>
    </w:rPr>
  </w:style>
  <w:style w:type="paragraph" w:customStyle="1" w:styleId="IntroText">
    <w:name w:val="Intro Text"/>
    <w:basedOn w:val="Normal"/>
    <w:qFormat/>
    <w:rsid w:val="004875A4"/>
    <w:pPr>
      <w:spacing w:after="400"/>
    </w:pPr>
    <w:rPr>
      <w:color w:val="85C5E8" w:themeColor="accent2"/>
      <w:sz w:val="28"/>
    </w:rPr>
  </w:style>
  <w:style w:type="character" w:styleId="PageNumber">
    <w:name w:val="page number"/>
    <w:basedOn w:val="DefaultParagraphFont"/>
    <w:uiPriority w:val="99"/>
    <w:semiHidden/>
    <w:unhideWhenUsed/>
    <w:rsid w:val="004875A4"/>
  </w:style>
  <w:style w:type="character" w:customStyle="1" w:styleId="Heading2Char">
    <w:name w:val="Heading 2 Char"/>
    <w:basedOn w:val="DefaultParagraphFont"/>
    <w:link w:val="Heading2"/>
    <w:uiPriority w:val="9"/>
    <w:rsid w:val="006A3178"/>
    <w:rPr>
      <w:rFonts w:ascii="Calibri" w:eastAsiaTheme="majorEastAsia" w:hAnsi="Calibri" w:cstheme="majorBidi"/>
      <w:b/>
      <w:color w:val="002455" w:themeColor="accen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A3178"/>
    <w:rPr>
      <w:rFonts w:ascii="Calibri" w:eastAsiaTheme="majorEastAsia" w:hAnsi="Calibri" w:cstheme="majorBidi"/>
      <w:b/>
      <w:color w:val="002455" w:themeColor="accent1"/>
    </w:rPr>
  </w:style>
  <w:style w:type="character" w:styleId="Hyperlink">
    <w:name w:val="Hyperlink"/>
    <w:basedOn w:val="DefaultParagraphFont"/>
    <w:uiPriority w:val="99"/>
    <w:unhideWhenUsed/>
    <w:rsid w:val="006A3178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rsid w:val="007D39A1"/>
    <w:rPr>
      <w:rFonts w:ascii="Calibri Light" w:hAnsi="Calibri Light"/>
      <w:b w:val="0"/>
      <w:i w:val="0"/>
      <w:iCs/>
      <w:color w:val="FFFFFF" w:themeColor="background1"/>
      <w:sz w:val="20"/>
    </w:rPr>
  </w:style>
  <w:style w:type="character" w:styleId="Strong">
    <w:name w:val="Strong"/>
    <w:basedOn w:val="DefaultParagraphFont"/>
    <w:uiPriority w:val="22"/>
    <w:rsid w:val="00A457B2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A457B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457B2"/>
    <w:rPr>
      <w:rFonts w:ascii="Calibri Light" w:hAnsi="Calibri Light"/>
      <w:i/>
      <w:iCs/>
      <w:color w:val="404040" w:themeColor="text1" w:themeTint="BF"/>
      <w:sz w:val="20"/>
    </w:rPr>
  </w:style>
  <w:style w:type="character" w:styleId="IntenseEmphasis">
    <w:name w:val="Intense Emphasis"/>
    <w:basedOn w:val="DefaultParagraphFont"/>
    <w:uiPriority w:val="21"/>
    <w:rsid w:val="00A457B2"/>
    <w:rPr>
      <w:i/>
      <w:iCs/>
      <w:color w:val="002455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rsid w:val="00A457B2"/>
    <w:pPr>
      <w:pBdr>
        <w:top w:val="single" w:sz="4" w:space="10" w:color="002455" w:themeColor="accent1"/>
        <w:bottom w:val="single" w:sz="4" w:space="10" w:color="002455" w:themeColor="accent1"/>
      </w:pBdr>
      <w:spacing w:before="360" w:after="360"/>
      <w:ind w:left="864" w:right="864"/>
      <w:jc w:val="center"/>
    </w:pPr>
    <w:rPr>
      <w:i/>
      <w:iCs/>
      <w:color w:val="00245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57B2"/>
    <w:rPr>
      <w:rFonts w:ascii="Calibri Light" w:hAnsi="Calibri Light"/>
      <w:i/>
      <w:iCs/>
      <w:color w:val="002455" w:themeColor="accent1"/>
      <w:sz w:val="20"/>
    </w:rPr>
  </w:style>
  <w:style w:type="character" w:styleId="SubtleReference">
    <w:name w:val="Subtle Reference"/>
    <w:basedOn w:val="DefaultParagraphFont"/>
    <w:uiPriority w:val="31"/>
    <w:rsid w:val="00A457B2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rsid w:val="00A457B2"/>
    <w:rPr>
      <w:b/>
      <w:bCs/>
      <w:smallCaps/>
      <w:color w:val="002455" w:themeColor="accent1"/>
      <w:spacing w:val="5"/>
    </w:rPr>
  </w:style>
  <w:style w:type="character" w:styleId="BookTitle">
    <w:name w:val="Book Title"/>
    <w:basedOn w:val="DefaultParagraphFont"/>
    <w:uiPriority w:val="33"/>
    <w:rsid w:val="00A457B2"/>
    <w:rPr>
      <w:b/>
      <w:bCs/>
      <w:i/>
      <w:iCs/>
      <w:spacing w:val="5"/>
    </w:rPr>
  </w:style>
  <w:style w:type="character" w:styleId="SubtleEmphasis">
    <w:name w:val="Subtle Emphasis"/>
    <w:basedOn w:val="DefaultParagraphFont"/>
    <w:uiPriority w:val="19"/>
    <w:rsid w:val="008A64F6"/>
    <w:rPr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8C3B2C"/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4">
    <w:name w:val="toc 4"/>
    <w:basedOn w:val="Normal"/>
    <w:next w:val="Normal"/>
    <w:autoRedefine/>
    <w:uiPriority w:val="39"/>
    <w:unhideWhenUsed/>
    <w:rsid w:val="008A64F6"/>
    <w:pPr>
      <w:spacing w:after="0"/>
      <w:ind w:left="400"/>
    </w:pPr>
    <w:rPr>
      <w:rFonts w:asciiTheme="minorHAnsi" w:hAnsi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8A64F6"/>
    <w:pPr>
      <w:spacing w:after="0"/>
      <w:ind w:left="600"/>
    </w:pPr>
    <w:rPr>
      <w:rFonts w:asciiTheme="minorHAnsi" w:hAnsi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8A64F6"/>
    <w:pPr>
      <w:spacing w:after="0"/>
      <w:ind w:left="800"/>
    </w:pPr>
    <w:rPr>
      <w:rFonts w:asciiTheme="minorHAnsi" w:hAnsi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8A64F6"/>
    <w:pPr>
      <w:spacing w:after="0"/>
      <w:ind w:left="1000"/>
    </w:pPr>
    <w:rPr>
      <w:rFonts w:asciiTheme="minorHAnsi" w:hAnsi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8A64F6"/>
    <w:pPr>
      <w:spacing w:after="0"/>
      <w:ind w:left="1200"/>
    </w:pPr>
    <w:rPr>
      <w:rFonts w:asciiTheme="minorHAnsi" w:hAnsi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8A64F6"/>
    <w:pPr>
      <w:spacing w:after="0"/>
      <w:ind w:left="1400"/>
    </w:pPr>
    <w:rPr>
      <w:rFonts w:asciiTheme="minorHAnsi" w:hAnsiTheme="minorHAnsi"/>
      <w:szCs w:val="20"/>
    </w:rPr>
  </w:style>
  <w:style w:type="paragraph" w:customStyle="1" w:styleId="TableText">
    <w:name w:val="Table Text"/>
    <w:qFormat/>
    <w:rsid w:val="00063574"/>
    <w:rPr>
      <w:rFonts w:ascii="Calibri Light" w:eastAsiaTheme="minorEastAsia" w:hAnsi="Calibri Light" w:cstheme="majorHAnsi"/>
      <w:spacing w:val="-2"/>
      <w:sz w:val="20"/>
      <w:szCs w:val="17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3F7D01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F7D01"/>
    <w:rPr>
      <w:rFonts w:ascii="Calibri Light" w:hAnsi="Calibri Light"/>
      <w:sz w:val="20"/>
    </w:rPr>
  </w:style>
  <w:style w:type="paragraph" w:styleId="FootnoteText">
    <w:name w:val="footnote text"/>
    <w:link w:val="FootnoteTextChar"/>
    <w:uiPriority w:val="99"/>
    <w:unhideWhenUsed/>
    <w:qFormat/>
    <w:rsid w:val="007D39A1"/>
    <w:rPr>
      <w:rFonts w:ascii="Calibri Light" w:hAnsi="Calibri Light"/>
      <w:i/>
      <w:color w:val="002455" w:themeColor="accent1"/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D39A1"/>
    <w:rPr>
      <w:rFonts w:ascii="Calibri Light" w:hAnsi="Calibri Light"/>
      <w:i/>
      <w:color w:val="002455" w:themeColor="accent1"/>
      <w:sz w:val="16"/>
      <w:szCs w:val="20"/>
    </w:rPr>
  </w:style>
  <w:style w:type="paragraph" w:styleId="NoSpacing">
    <w:name w:val="No Spacing"/>
    <w:uiPriority w:val="1"/>
    <w:rsid w:val="007D39A1"/>
    <w:rPr>
      <w:rFonts w:ascii="Calibri Light" w:hAnsi="Calibri Light"/>
      <w:sz w:val="20"/>
    </w:rPr>
  </w:style>
  <w:style w:type="paragraph" w:customStyle="1" w:styleId="CommentBody">
    <w:name w:val="Comment Body"/>
    <w:basedOn w:val="Normal"/>
    <w:qFormat/>
    <w:rsid w:val="007D39A1"/>
    <w:rPr>
      <w:color w:val="FFFFFF" w:themeColor="background1"/>
    </w:rPr>
  </w:style>
  <w:style w:type="paragraph" w:customStyle="1" w:styleId="CommentHeading">
    <w:name w:val="Comment Heading"/>
    <w:qFormat/>
    <w:rsid w:val="00E55832"/>
    <w:pPr>
      <w:spacing w:after="120"/>
    </w:pPr>
    <w:rPr>
      <w:rFonts w:ascii="Calibri" w:eastAsiaTheme="majorEastAsia" w:hAnsi="Calibri" w:cstheme="majorBidi"/>
      <w:b/>
      <w:color w:val="FFFFFF" w:themeColor="background1"/>
      <w:sz w:val="32"/>
      <w:szCs w:val="26"/>
    </w:rPr>
  </w:style>
  <w:style w:type="paragraph" w:styleId="ListBullet">
    <w:name w:val="List Bullet"/>
    <w:basedOn w:val="Normal"/>
    <w:uiPriority w:val="99"/>
    <w:unhideWhenUsed/>
    <w:qFormat/>
    <w:rsid w:val="00DD658B"/>
    <w:pPr>
      <w:numPr>
        <w:numId w:val="1"/>
      </w:numPr>
      <w:spacing w:after="0"/>
      <w:contextualSpacing/>
    </w:pPr>
  </w:style>
  <w:style w:type="paragraph" w:styleId="ListParagraph">
    <w:name w:val="List Paragraph"/>
    <w:aliases w:val="PG bullet bold lead - level 1,PRI Bullets,Tab 1"/>
    <w:basedOn w:val="Normal"/>
    <w:link w:val="ListParagraphChar"/>
    <w:uiPriority w:val="34"/>
    <w:qFormat/>
    <w:rsid w:val="006549F2"/>
    <w:pPr>
      <w:contextualSpacing/>
    </w:pPr>
  </w:style>
  <w:style w:type="paragraph" w:customStyle="1" w:styleId="NumberedH1">
    <w:name w:val="Numbered H1"/>
    <w:basedOn w:val="Heading1"/>
    <w:next w:val="Normal"/>
    <w:qFormat/>
    <w:rsid w:val="004E5B4A"/>
    <w:pPr>
      <w:numPr>
        <w:numId w:val="2"/>
      </w:numPr>
    </w:pPr>
  </w:style>
  <w:style w:type="paragraph" w:customStyle="1" w:styleId="NumberedH2">
    <w:name w:val="Numbered H2"/>
    <w:basedOn w:val="Heading2"/>
    <w:next w:val="Normal"/>
    <w:qFormat/>
    <w:rsid w:val="00AF1377"/>
    <w:pPr>
      <w:numPr>
        <w:ilvl w:val="1"/>
        <w:numId w:val="2"/>
      </w:numPr>
    </w:pPr>
  </w:style>
  <w:style w:type="paragraph" w:customStyle="1" w:styleId="NumberedH3">
    <w:name w:val="Numbered H3"/>
    <w:basedOn w:val="Heading3"/>
    <w:next w:val="Normal"/>
    <w:qFormat/>
    <w:rsid w:val="00AF1377"/>
    <w:pPr>
      <w:numPr>
        <w:ilvl w:val="2"/>
        <w:numId w:val="2"/>
      </w:numPr>
    </w:pPr>
  </w:style>
  <w:style w:type="character" w:customStyle="1" w:styleId="apple-style-span">
    <w:name w:val="apple-style-span"/>
    <w:basedOn w:val="DefaultParagraphFont"/>
    <w:rsid w:val="000128F8"/>
  </w:style>
  <w:style w:type="paragraph" w:customStyle="1" w:styleId="HeaderStyle">
    <w:name w:val="Header Style"/>
    <w:basedOn w:val="Header"/>
    <w:qFormat/>
    <w:rsid w:val="00645BAF"/>
    <w:pPr>
      <w:tabs>
        <w:tab w:val="clear" w:pos="4680"/>
        <w:tab w:val="clear" w:pos="9360"/>
        <w:tab w:val="center" w:pos="4513"/>
        <w:tab w:val="right" w:pos="9026"/>
      </w:tabs>
      <w:spacing w:after="170" w:line="264" w:lineRule="auto"/>
      <w:jc w:val="right"/>
    </w:pPr>
    <w:rPr>
      <w:rFonts w:eastAsia="Batang" w:cs="Arial"/>
      <w:szCs w:val="20"/>
      <w:lang w:eastAsia="ko-K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6075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075"/>
    <w:rPr>
      <w:rFonts w:ascii="Segoe UI" w:hAnsi="Segoe UI" w:cs="Segoe UI"/>
      <w:sz w:val="18"/>
      <w:szCs w:val="18"/>
    </w:rPr>
  </w:style>
  <w:style w:type="character" w:customStyle="1" w:styleId="ListParagraphChar">
    <w:name w:val="List Paragraph Char"/>
    <w:aliases w:val="PG bullet bold lead - level 1 Char,PRI Bullets Char,Tab 1 Char"/>
    <w:basedOn w:val="DefaultParagraphFont"/>
    <w:link w:val="ListParagraph"/>
    <w:uiPriority w:val="34"/>
    <w:locked/>
    <w:rsid w:val="00761063"/>
    <w:rPr>
      <w:rFonts w:ascii="Calibri" w:hAnsi="Calibri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EC4B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4BC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4BCE"/>
    <w:rPr>
      <w:rFonts w:ascii="Calibri" w:hAnsi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4B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4BCE"/>
    <w:rPr>
      <w:rFonts w:ascii="Calibri" w:hAnsi="Calibri"/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04C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50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perannuation@treasury.gov.au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Jana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002455"/>
      </a:accent1>
      <a:accent2>
        <a:srgbClr val="85C5E8"/>
      </a:accent2>
      <a:accent3>
        <a:srgbClr val="BA0C2F"/>
      </a:accent3>
      <a:accent4>
        <a:srgbClr val="B7DD79"/>
      </a:accent4>
      <a:accent5>
        <a:srgbClr val="00594C"/>
      </a:accent5>
      <a:accent6>
        <a:srgbClr val="F89C3E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86B7DD-3544-489B-BB06-C32F68FBD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2881</Words>
  <Characters>16428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Submission to the 'Your Future, Your Super package' consultation</dc:title>
  <dc:subject/>
  <dc:creator/>
  <cp:keywords/>
  <dc:description/>
  <cp:lastModifiedBy/>
  <cp:revision>1</cp:revision>
  <dcterms:created xsi:type="dcterms:W3CDTF">2021-01-18T02:13:00Z</dcterms:created>
  <dcterms:modified xsi:type="dcterms:W3CDTF">2021-01-18T02:13:00Z</dcterms:modified>
</cp:coreProperties>
</file>