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9FC7A8E" w14:textId="77777777" w:rsidR="00F2424D" w:rsidRDefault="00211115">
      <w:r>
        <w:rPr>
          <w:noProof/>
          <w:lang w:eastAsia="en-AU"/>
        </w:rPr>
        <mc:AlternateContent>
          <mc:Choice Requires="wps">
            <w:drawing>
              <wp:anchor distT="0" distB="0" distL="114300" distR="114300" simplePos="0" relativeHeight="251659264" behindDoc="0" locked="0" layoutInCell="1" allowOverlap="1" wp14:anchorId="79FC7B31" wp14:editId="79FC7B32">
                <wp:simplePos x="0" y="0"/>
                <wp:positionH relativeFrom="margin">
                  <wp:posOffset>3695700</wp:posOffset>
                </wp:positionH>
                <wp:positionV relativeFrom="margin">
                  <wp:posOffset>-676275</wp:posOffset>
                </wp:positionV>
                <wp:extent cx="2465070" cy="5740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070" cy="574040"/>
                        </a:xfrm>
                        <a:prstGeom prst="rect">
                          <a:avLst/>
                        </a:prstGeom>
                        <a:noFill/>
                        <a:ln w="9525">
                          <a:noFill/>
                          <a:miter lim="800000"/>
                          <a:headEnd/>
                          <a:tailEnd/>
                        </a:ln>
                      </wps:spPr>
                      <wps:txbx>
                        <w:txbxContent>
                          <w:p w14:paraId="79FC7B35" w14:textId="77777777" w:rsidR="00091D54" w:rsidRPr="000A0DC7" w:rsidRDefault="00091D54">
                            <w:pPr>
                              <w:rPr>
                                <w:rFonts w:ascii="Arial" w:hAnsi="Arial" w:cs="Arial"/>
                                <w:b/>
                                <w:color w:val="FFFFFF" w:themeColor="background1"/>
                                <w:sz w:val="28"/>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FC7B31" id="_x0000_t202" coordsize="21600,21600" o:spt="202" path="m,l,21600r21600,l21600,xe">
                <v:stroke joinstyle="miter"/>
                <v:path gradientshapeok="t" o:connecttype="rect"/>
              </v:shapetype>
              <v:shape id="Text Box 2" o:spid="_x0000_s1026" type="#_x0000_t202" style="position:absolute;margin-left:291pt;margin-top:-53.25pt;width:194.1pt;height:45.2pt;z-index:25165926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" filled="f" stroked="f">
                <v:textbox>
                  <w:txbxContent>
                    <w:p w14:paraId="79FC7B35" w14:textId="77777777" w:rsidR="00091D54" w:rsidRPr="000A0DC7" w:rsidRDefault="00091D54">
                      <w:pPr>
                        <w:rPr>
                          <w:rFonts w:ascii="Arial" w:hAnsi="Arial" w:cs="Arial"/>
                          <w:b/>
                          <w:color w:val="FFFFFF" w:themeColor="background1"/>
                          <w:sz w:val="28"/>
                        </w:rPr>
                      </w:pPr>
                    </w:p>
                  </w:txbxContent>
                </v:textbox>
                <w10:wrap type="square" anchorx="margin" anchory="margin"/>
              </v:shape>
            </w:pict>
          </mc:Fallback>
        </mc:AlternateContent>
      </w:r>
      <w:r w:rsidR="000A0DC7" w:rsidRPr="00946B38">
        <w:rPr>
          <w:rFonts w:ascii="Arial" w:hAnsi="Arial" w:cs="Arial"/>
          <w:noProof/>
          <w:color w:val="192A67"/>
          <w:sz w:val="28"/>
          <w:szCs w:val="24"/>
          <w:lang w:eastAsia="en-AU"/>
        </w:rPr>
        <w:drawing>
          <wp:anchor distT="0" distB="0" distL="114300" distR="114300" simplePos="0" relativeHeight="251658240" behindDoc="1" locked="0" layoutInCell="1" allowOverlap="1" wp14:anchorId="79FC7B33" wp14:editId="79FC7B34">
            <wp:simplePos x="0" y="0"/>
            <wp:positionH relativeFrom="page">
              <wp:align>left</wp:align>
            </wp:positionH>
            <wp:positionV relativeFrom="page">
              <wp:align>top</wp:align>
            </wp:positionV>
            <wp:extent cx="7540827" cy="2155824"/>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A_Brand_Dev_A4 Head_A-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0827" cy="2155824"/>
                    </a:xfrm>
                    <a:prstGeom prst="rect">
                      <a:avLst/>
                    </a:prstGeom>
                  </pic:spPr>
                </pic:pic>
              </a:graphicData>
            </a:graphic>
            <wp14:sizeRelH relativeFrom="page">
              <wp14:pctWidth>0</wp14:pctWidth>
            </wp14:sizeRelH>
            <wp14:sizeRelV relativeFrom="page">
              <wp14:pctHeight>0</wp14:pctHeight>
            </wp14:sizeRelV>
          </wp:anchor>
        </w:drawing>
      </w:r>
    </w:p>
    <w:p w14:paraId="7951BFB7" w14:textId="77777777" w:rsidR="0039231C" w:rsidRPr="00A258E8" w:rsidRDefault="0039231C" w:rsidP="0039231C">
      <w:pPr>
        <w:rPr>
          <w:rFonts w:ascii="Times New Roman" w:hAnsi="Times New Roman" w:cs="Times New Roman"/>
        </w:rPr>
      </w:pPr>
      <w:r>
        <w:rPr>
          <w:rFonts w:ascii="Times New Roman" w:hAnsi="Times New Roman" w:cs="Times New Roman"/>
        </w:rPr>
        <w:t>18 March 2021</w:t>
      </w:r>
    </w:p>
    <w:p w14:paraId="5034B6CE" w14:textId="77777777" w:rsidR="0039231C" w:rsidRDefault="0039231C" w:rsidP="0039231C">
      <w:pPr>
        <w:pStyle w:val="NoSpacing"/>
        <w:rPr>
          <w:rFonts w:ascii="Times New Roman" w:hAnsi="Times New Roman" w:cs="Times New Roman"/>
        </w:rPr>
      </w:pPr>
      <w:r>
        <w:rPr>
          <w:rFonts w:ascii="Times New Roman" w:hAnsi="Times New Roman" w:cs="Times New Roman"/>
        </w:rPr>
        <w:t>The Chairman</w:t>
      </w:r>
    </w:p>
    <w:p w14:paraId="1155E943" w14:textId="77777777" w:rsidR="0039231C" w:rsidRDefault="0039231C" w:rsidP="0039231C">
      <w:pPr>
        <w:pStyle w:val="NoSpacing"/>
        <w:rPr>
          <w:rFonts w:ascii="Times New Roman" w:hAnsi="Times New Roman" w:cs="Times New Roman"/>
        </w:rPr>
      </w:pPr>
      <w:r>
        <w:rPr>
          <w:rFonts w:ascii="Times New Roman" w:hAnsi="Times New Roman" w:cs="Times New Roman"/>
        </w:rPr>
        <w:t>Thresholds Working Group</w:t>
      </w:r>
    </w:p>
    <w:p w14:paraId="27E25C73" w14:textId="77777777" w:rsidR="0039231C" w:rsidRDefault="0039231C" w:rsidP="0039231C">
      <w:pPr>
        <w:pStyle w:val="NoSpacing"/>
        <w:rPr>
          <w:rFonts w:ascii="Times New Roman" w:hAnsi="Times New Roman" w:cs="Times New Roman"/>
        </w:rPr>
      </w:pPr>
      <w:r>
        <w:rPr>
          <w:rFonts w:ascii="Times New Roman" w:hAnsi="Times New Roman" w:cs="Times New Roman"/>
        </w:rPr>
        <w:t>c/- Not-for-profit Unit</w:t>
      </w:r>
    </w:p>
    <w:p w14:paraId="32016897" w14:textId="77777777" w:rsidR="0039231C" w:rsidRDefault="0039231C" w:rsidP="0039231C">
      <w:pPr>
        <w:pStyle w:val="NoSpacing"/>
        <w:rPr>
          <w:rFonts w:ascii="Times New Roman" w:hAnsi="Times New Roman" w:cs="Times New Roman"/>
        </w:rPr>
      </w:pPr>
      <w:r>
        <w:rPr>
          <w:rFonts w:ascii="Times New Roman" w:hAnsi="Times New Roman" w:cs="Times New Roman"/>
        </w:rPr>
        <w:t>Individuals and Indirect Tax Division</w:t>
      </w:r>
    </w:p>
    <w:p w14:paraId="7B164743" w14:textId="77777777" w:rsidR="0039231C" w:rsidRDefault="0039231C" w:rsidP="0039231C">
      <w:pPr>
        <w:pStyle w:val="NoSpacing"/>
        <w:rPr>
          <w:rFonts w:ascii="Times New Roman" w:hAnsi="Times New Roman" w:cs="Times New Roman"/>
        </w:rPr>
      </w:pPr>
      <w:r>
        <w:rPr>
          <w:rFonts w:ascii="Times New Roman" w:hAnsi="Times New Roman" w:cs="Times New Roman"/>
        </w:rPr>
        <w:t xml:space="preserve">The Treasury </w:t>
      </w:r>
    </w:p>
    <w:p w14:paraId="20B8D073" w14:textId="77777777" w:rsidR="0039231C" w:rsidRDefault="0039231C" w:rsidP="0039231C">
      <w:pPr>
        <w:pStyle w:val="NoSpacing"/>
        <w:rPr>
          <w:rFonts w:ascii="Times New Roman" w:hAnsi="Times New Roman" w:cs="Times New Roman"/>
        </w:rPr>
      </w:pPr>
      <w:r>
        <w:rPr>
          <w:rFonts w:ascii="Times New Roman" w:hAnsi="Times New Roman" w:cs="Times New Roman"/>
        </w:rPr>
        <w:t xml:space="preserve">Langton Crescent </w:t>
      </w:r>
    </w:p>
    <w:p w14:paraId="6D219009" w14:textId="77777777" w:rsidR="0039231C" w:rsidRDefault="0039231C" w:rsidP="0039231C">
      <w:pPr>
        <w:pStyle w:val="NoSpacing"/>
        <w:rPr>
          <w:rFonts w:ascii="Times New Roman" w:hAnsi="Times New Roman" w:cs="Times New Roman"/>
        </w:rPr>
      </w:pPr>
      <w:r>
        <w:rPr>
          <w:rFonts w:ascii="Times New Roman" w:hAnsi="Times New Roman" w:cs="Times New Roman"/>
        </w:rPr>
        <w:t>PARKES ACT 2600</w:t>
      </w:r>
    </w:p>
    <w:p w14:paraId="3B9F9551" w14:textId="77777777" w:rsidR="0039231C" w:rsidRDefault="0039231C" w:rsidP="0039231C">
      <w:pPr>
        <w:pStyle w:val="NoSpacing"/>
        <w:rPr>
          <w:rFonts w:ascii="Times New Roman" w:hAnsi="Times New Roman" w:cs="Times New Roman"/>
        </w:rPr>
      </w:pPr>
    </w:p>
    <w:p w14:paraId="74301B91" w14:textId="77777777" w:rsidR="0039231C" w:rsidRPr="00A258E8" w:rsidRDefault="0039231C" w:rsidP="0039231C">
      <w:pPr>
        <w:pStyle w:val="NoSpacing"/>
        <w:rPr>
          <w:rFonts w:ascii="Times New Roman" w:hAnsi="Times New Roman" w:cs="Times New Roman"/>
        </w:rPr>
      </w:pPr>
      <w:r>
        <w:rPr>
          <w:rFonts w:ascii="Times New Roman" w:hAnsi="Times New Roman" w:cs="Times New Roman"/>
        </w:rPr>
        <w:t xml:space="preserve">By email </w:t>
      </w:r>
      <w:r w:rsidRPr="00DA20B0">
        <w:rPr>
          <w:rFonts w:ascii="Times New Roman" w:hAnsi="Times New Roman" w:cs="Times New Roman"/>
        </w:rPr>
        <w:t>Thresholds@treasury.gov.au</w:t>
      </w:r>
    </w:p>
    <w:p w14:paraId="749E6D07" w14:textId="77777777" w:rsidR="0039231C" w:rsidRPr="00A258E8" w:rsidRDefault="0039231C" w:rsidP="0039231C">
      <w:pPr>
        <w:pStyle w:val="NoSpacing"/>
        <w:rPr>
          <w:rFonts w:ascii="Times New Roman" w:hAnsi="Times New Roman" w:cs="Times New Roman"/>
        </w:rPr>
      </w:pPr>
    </w:p>
    <w:p w14:paraId="7CC9A059" w14:textId="77777777" w:rsidR="0039231C" w:rsidRPr="00A258E8" w:rsidRDefault="0039231C" w:rsidP="0039231C">
      <w:pPr>
        <w:pStyle w:val="NoSpacing"/>
        <w:rPr>
          <w:rFonts w:ascii="Times New Roman" w:hAnsi="Times New Roman" w:cs="Times New Roman"/>
        </w:rPr>
      </w:pPr>
      <w:r w:rsidRPr="00A258E8">
        <w:rPr>
          <w:rFonts w:ascii="Times New Roman" w:hAnsi="Times New Roman" w:cs="Times New Roman"/>
        </w:rPr>
        <w:t>Dear Sir/Madam</w:t>
      </w:r>
    </w:p>
    <w:p w14:paraId="5E196B72" w14:textId="77777777" w:rsidR="0039231C" w:rsidRPr="00A258E8" w:rsidRDefault="0039231C" w:rsidP="0039231C">
      <w:pPr>
        <w:pStyle w:val="NoSpacing"/>
        <w:rPr>
          <w:rFonts w:ascii="Times New Roman" w:hAnsi="Times New Roman" w:cs="Times New Roman"/>
        </w:rPr>
      </w:pPr>
    </w:p>
    <w:p w14:paraId="103BCAA9" w14:textId="77777777" w:rsidR="0039231C" w:rsidRPr="00DA20B0" w:rsidRDefault="0039231C" w:rsidP="0039231C">
      <w:pPr>
        <w:pStyle w:val="NoSpacing"/>
        <w:jc w:val="center"/>
        <w:rPr>
          <w:rFonts w:ascii="Times New Roman" w:hAnsi="Times New Roman" w:cs="Times New Roman"/>
          <w:b/>
          <w:sz w:val="24"/>
          <w:szCs w:val="24"/>
        </w:rPr>
      </w:pPr>
      <w:r w:rsidRPr="00DA20B0">
        <w:rPr>
          <w:rFonts w:ascii="Times New Roman" w:hAnsi="Times New Roman" w:cs="Times New Roman"/>
          <w:b/>
          <w:sz w:val="24"/>
          <w:szCs w:val="24"/>
        </w:rPr>
        <w:t xml:space="preserve">Re: </w:t>
      </w:r>
      <w:bookmarkStart w:id="1" w:name="_Hlk40813510"/>
      <w:bookmarkStart w:id="2" w:name="_Hlk58955631"/>
      <w:bookmarkStart w:id="3" w:name="_Hlk66729816"/>
      <w:r w:rsidRPr="00DA20B0">
        <w:rPr>
          <w:rFonts w:ascii="Times New Roman" w:hAnsi="Times New Roman" w:cs="Times New Roman"/>
          <w:b/>
          <w:sz w:val="24"/>
          <w:szCs w:val="24"/>
        </w:rPr>
        <w:t>Consultation Paper:</w:t>
      </w:r>
      <w:r w:rsidRPr="00DA20B0">
        <w:rPr>
          <w:rFonts w:ascii="Times New Roman" w:hAnsi="Times New Roman" w:cs="Times New Roman"/>
          <w:b/>
          <w:i/>
          <w:iCs/>
          <w:sz w:val="24"/>
          <w:szCs w:val="24"/>
        </w:rPr>
        <w:t xml:space="preserve"> </w:t>
      </w:r>
      <w:bookmarkEnd w:id="1"/>
      <w:r w:rsidRPr="00DA20B0">
        <w:rPr>
          <w:rFonts w:ascii="Times New Roman" w:hAnsi="Times New Roman" w:cs="Times New Roman"/>
          <w:b/>
          <w:sz w:val="24"/>
          <w:szCs w:val="24"/>
        </w:rPr>
        <w:t xml:space="preserve">Increasing financial reporting thresholds for ACNC – </w:t>
      </w:r>
      <w:bookmarkEnd w:id="2"/>
      <w:r w:rsidRPr="00DA20B0">
        <w:rPr>
          <w:rFonts w:ascii="Times New Roman" w:hAnsi="Times New Roman" w:cs="Times New Roman"/>
          <w:b/>
          <w:sz w:val="24"/>
          <w:szCs w:val="24"/>
        </w:rPr>
        <w:t>registered charities</w:t>
      </w:r>
      <w:bookmarkEnd w:id="3"/>
    </w:p>
    <w:p w14:paraId="60DA6B7E" w14:textId="77777777" w:rsidR="0039231C" w:rsidRPr="00A258E8" w:rsidRDefault="0039231C" w:rsidP="0039231C">
      <w:pPr>
        <w:pStyle w:val="NoSpacing"/>
        <w:rPr>
          <w:rFonts w:ascii="Times New Roman" w:hAnsi="Times New Roman" w:cs="Times New Roman"/>
          <w:b/>
        </w:rPr>
      </w:pPr>
    </w:p>
    <w:p w14:paraId="365AA028" w14:textId="77777777" w:rsidR="0039231C" w:rsidRPr="004C4842" w:rsidRDefault="0039231C" w:rsidP="0039231C">
      <w:pPr>
        <w:pStyle w:val="NoSpacing"/>
        <w:rPr>
          <w:rFonts w:ascii="Times New Roman" w:hAnsi="Times New Roman" w:cs="Times New Roman"/>
        </w:rPr>
      </w:pPr>
      <w:r w:rsidRPr="00A258E8">
        <w:rPr>
          <w:rFonts w:ascii="Times New Roman" w:hAnsi="Times New Roman" w:cs="Times New Roman"/>
        </w:rPr>
        <w:t xml:space="preserve">On behalf of the Institute of Public Accountants (IPA), I am writing to comment on the </w:t>
      </w:r>
      <w:r>
        <w:rPr>
          <w:rFonts w:ascii="Times New Roman" w:hAnsi="Times New Roman" w:cs="Times New Roman"/>
          <w:bCs/>
        </w:rPr>
        <w:t>consultation</w:t>
      </w:r>
      <w:r w:rsidRPr="00923C6E">
        <w:rPr>
          <w:rFonts w:ascii="Times New Roman" w:hAnsi="Times New Roman" w:cs="Times New Roman"/>
          <w:bCs/>
        </w:rPr>
        <w:t xml:space="preserve"> </w:t>
      </w:r>
      <w:r>
        <w:rPr>
          <w:rFonts w:ascii="Times New Roman" w:hAnsi="Times New Roman" w:cs="Times New Roman"/>
          <w:bCs/>
        </w:rPr>
        <w:t>p</w:t>
      </w:r>
      <w:r w:rsidRPr="00923C6E">
        <w:rPr>
          <w:rFonts w:ascii="Times New Roman" w:hAnsi="Times New Roman" w:cs="Times New Roman"/>
          <w:bCs/>
        </w:rPr>
        <w:t>aper</w:t>
      </w:r>
      <w:r w:rsidRPr="00923C6E">
        <w:rPr>
          <w:rFonts w:ascii="Times New Roman" w:hAnsi="Times New Roman" w:cs="Times New Roman"/>
          <w:bCs/>
          <w:i/>
          <w:iCs/>
        </w:rPr>
        <w:t xml:space="preserve">: </w:t>
      </w:r>
      <w:r w:rsidRPr="004C4842">
        <w:rPr>
          <w:rFonts w:ascii="Times New Roman" w:hAnsi="Times New Roman" w:cs="Times New Roman"/>
          <w:i/>
          <w:iCs/>
        </w:rPr>
        <w:t>Increasing financial reporting thresholds for ACNC – registered charities</w:t>
      </w:r>
      <w:r>
        <w:rPr>
          <w:rFonts w:ascii="Times New Roman" w:hAnsi="Times New Roman" w:cs="Times New Roman"/>
          <w:i/>
          <w:iCs/>
        </w:rPr>
        <w:t>.</w:t>
      </w:r>
    </w:p>
    <w:p w14:paraId="4DBF0123" w14:textId="77777777" w:rsidR="0039231C" w:rsidRPr="00A258E8" w:rsidRDefault="0039231C" w:rsidP="0039231C">
      <w:pPr>
        <w:pStyle w:val="NoSpacing"/>
        <w:rPr>
          <w:rFonts w:ascii="Times New Roman" w:hAnsi="Times New Roman" w:cs="Times New Roman"/>
        </w:rPr>
      </w:pPr>
    </w:p>
    <w:p w14:paraId="339B770E" w14:textId="391521A4" w:rsidR="0039231C" w:rsidRDefault="0039231C" w:rsidP="0039231C">
      <w:pPr>
        <w:pStyle w:val="NoSpacing"/>
        <w:rPr>
          <w:rFonts w:ascii="Times New Roman" w:hAnsi="Times New Roman" w:cs="Times New Roman"/>
        </w:rPr>
      </w:pPr>
      <w:r>
        <w:rPr>
          <w:rFonts w:ascii="Times New Roman" w:hAnsi="Times New Roman" w:cs="Times New Roman"/>
        </w:rPr>
        <w:t xml:space="preserve">The IPA believes reporting by not-for-profit (NFP) entities, and charities in particular, need to be considered from a public-accountability viewpoint. Charities are the recipients of donations from the public (taxpayer funding) and are often the conduit for the delivery of social services (sometimes via contractual arrangements with government) that requires a level of transparency and accountability that is not always delivered. </w:t>
      </w:r>
    </w:p>
    <w:p w14:paraId="6E3317AB" w14:textId="77777777" w:rsidR="0039231C" w:rsidRDefault="0039231C" w:rsidP="0039231C">
      <w:pPr>
        <w:pStyle w:val="NoSpacing"/>
        <w:rPr>
          <w:rFonts w:ascii="Times New Roman" w:hAnsi="Times New Roman" w:cs="Times New Roman"/>
        </w:rPr>
      </w:pPr>
    </w:p>
    <w:p w14:paraId="391FF52E" w14:textId="77777777" w:rsidR="0039231C" w:rsidRDefault="0039231C" w:rsidP="0039231C">
      <w:pPr>
        <w:pStyle w:val="NoSpacing"/>
        <w:rPr>
          <w:rFonts w:ascii="Times New Roman" w:hAnsi="Times New Roman" w:cs="Times New Roman"/>
        </w:rPr>
      </w:pPr>
      <w:r>
        <w:rPr>
          <w:rFonts w:ascii="Times New Roman" w:hAnsi="Times New Roman" w:cs="Times New Roman"/>
        </w:rPr>
        <w:t>The IPA does not believe that grant acquittals represent an adequate substitute as they do not provide the level of public transparency and accountability the public and taxpayers require for recipients of government funds, assets, and contracts. The IPA is of the view that any changes to reporting thresholds needs to be considered in such a context, particularly given the increased distrust of government and institutions (both public and private) and the minimal cost savings of the proposals (between $2,400 - $3,000).</w:t>
      </w:r>
    </w:p>
    <w:p w14:paraId="1A0DBB82" w14:textId="77777777" w:rsidR="0039231C" w:rsidRDefault="0039231C" w:rsidP="0039231C">
      <w:pPr>
        <w:pStyle w:val="NoSpacing"/>
        <w:rPr>
          <w:rFonts w:ascii="Times New Roman" w:hAnsi="Times New Roman" w:cs="Times New Roman"/>
        </w:rPr>
      </w:pPr>
    </w:p>
    <w:p w14:paraId="1BDF1CE1" w14:textId="77777777" w:rsidR="0039231C" w:rsidRDefault="0039231C" w:rsidP="0039231C">
      <w:pPr>
        <w:pStyle w:val="NoSpacing"/>
        <w:rPr>
          <w:rFonts w:ascii="Times New Roman" w:hAnsi="Times New Roman" w:cs="Times New Roman"/>
        </w:rPr>
      </w:pPr>
      <w:r>
        <w:rPr>
          <w:rFonts w:ascii="Times New Roman" w:hAnsi="Times New Roman" w:cs="Times New Roman"/>
        </w:rPr>
        <w:t>The IPA also has concerns about using review engagements to provide assurance for ACNC-registered charities and other NFP entities. In particular, the institute thinks:</w:t>
      </w:r>
    </w:p>
    <w:p w14:paraId="5963B57C" w14:textId="77777777" w:rsidR="0039231C" w:rsidRDefault="0039231C" w:rsidP="0039231C">
      <w:pPr>
        <w:pStyle w:val="NoSpacing"/>
        <w:rPr>
          <w:rFonts w:ascii="Times New Roman" w:hAnsi="Times New Roman" w:cs="Times New Roman"/>
        </w:rPr>
      </w:pPr>
    </w:p>
    <w:p w14:paraId="61363667" w14:textId="77777777" w:rsidR="0039231C" w:rsidRDefault="0039231C" w:rsidP="0039231C">
      <w:pPr>
        <w:pStyle w:val="NoSpacing"/>
        <w:rPr>
          <w:rFonts w:ascii="Times New Roman" w:hAnsi="Times New Roman" w:cs="Times New Roman"/>
        </w:rPr>
      </w:pPr>
      <w:r w:rsidRPr="00DA20B0">
        <w:rPr>
          <w:rFonts w:ascii="Times New Roman" w:hAnsi="Times New Roman" w:cs="Times New Roman"/>
          <w:b/>
          <w:bCs/>
        </w:rPr>
        <w:t>Efficacy of review engagements</w:t>
      </w:r>
      <w:r w:rsidRPr="00DA20B0">
        <w:rPr>
          <w:rFonts w:ascii="Times New Roman" w:hAnsi="Times New Roman" w:cs="Times New Roman"/>
        </w:rPr>
        <w:t xml:space="preserve"> – The IPA is concerned that legislators and regulators fail to appreciate the extent of assurance procedures carried out under ASRE 2410 </w:t>
      </w:r>
      <w:r w:rsidRPr="00DA20B0">
        <w:rPr>
          <w:rFonts w:ascii="Times New Roman" w:hAnsi="Times New Roman" w:cs="Times New Roman"/>
          <w:i/>
          <w:iCs/>
        </w:rPr>
        <w:t xml:space="preserve">Review of a Financial Report Performed by the Independent Auditor of the Entity </w:t>
      </w:r>
      <w:r w:rsidRPr="00DA20B0">
        <w:rPr>
          <w:rFonts w:ascii="Times New Roman" w:hAnsi="Times New Roman" w:cs="Times New Roman"/>
        </w:rPr>
        <w:t>in particular, that the procedures are limited to enquiry and analytical review and corroboration of information obtained is not ordinarily required.</w:t>
      </w:r>
    </w:p>
    <w:p w14:paraId="77D1FDE2" w14:textId="77777777" w:rsidR="0039231C" w:rsidRPr="00DA20B0" w:rsidRDefault="0039231C" w:rsidP="0039231C">
      <w:pPr>
        <w:pStyle w:val="NoSpacing"/>
        <w:rPr>
          <w:rFonts w:ascii="Times New Roman" w:hAnsi="Times New Roman" w:cs="Times New Roman"/>
        </w:rPr>
      </w:pPr>
    </w:p>
    <w:p w14:paraId="4E05B997" w14:textId="77777777" w:rsidR="0039231C" w:rsidRPr="00DA20B0" w:rsidRDefault="0039231C" w:rsidP="0039231C">
      <w:pPr>
        <w:pStyle w:val="NoSpacing"/>
        <w:rPr>
          <w:rFonts w:ascii="Times New Roman" w:hAnsi="Times New Roman" w:cs="Times New Roman"/>
        </w:rPr>
      </w:pPr>
      <w:r w:rsidRPr="00DA20B0">
        <w:rPr>
          <w:rFonts w:ascii="Times New Roman" w:hAnsi="Times New Roman" w:cs="Times New Roman"/>
          <w:b/>
          <w:bCs/>
        </w:rPr>
        <w:t>Difference from half-yearly reviews of listed companies</w:t>
      </w:r>
      <w:r w:rsidRPr="00DA20B0">
        <w:rPr>
          <w:rFonts w:ascii="Times New Roman" w:hAnsi="Times New Roman" w:cs="Times New Roman"/>
        </w:rPr>
        <w:t xml:space="preserve"> – The efficacy of half-yearly reviews of listed entities is enhanced by their “anchoring” to audited full-year information, enhancing the results </w:t>
      </w:r>
      <w:r w:rsidRPr="00DA20B0">
        <w:rPr>
          <w:rFonts w:ascii="Times New Roman" w:hAnsi="Times New Roman" w:cs="Times New Roman"/>
        </w:rPr>
        <w:lastRenderedPageBreak/>
        <w:t>of review procedures including analytical procedures. Review engagements undertaken for ACNC charities lack this “anchoring” and are inherently less robust.</w:t>
      </w:r>
    </w:p>
    <w:p w14:paraId="4CADC4AD" w14:textId="77777777" w:rsidR="0039231C" w:rsidRDefault="0039231C" w:rsidP="0039231C">
      <w:pPr>
        <w:pStyle w:val="NoSpacing"/>
        <w:rPr>
          <w:rFonts w:ascii="Times New Roman" w:hAnsi="Times New Roman" w:cs="Times New Roman"/>
          <w:b/>
          <w:bCs/>
        </w:rPr>
      </w:pPr>
    </w:p>
    <w:p w14:paraId="415EED20" w14:textId="77777777" w:rsidR="0039231C" w:rsidRPr="00DA20B0" w:rsidRDefault="0039231C" w:rsidP="0039231C">
      <w:pPr>
        <w:pStyle w:val="NoSpacing"/>
        <w:rPr>
          <w:rFonts w:ascii="Times New Roman" w:hAnsi="Times New Roman" w:cs="Times New Roman"/>
        </w:rPr>
      </w:pPr>
      <w:r w:rsidRPr="00DA20B0">
        <w:rPr>
          <w:rFonts w:ascii="Times New Roman" w:hAnsi="Times New Roman" w:cs="Times New Roman"/>
          <w:b/>
          <w:bCs/>
        </w:rPr>
        <w:t>Lack of segregation of duties (SODs)</w:t>
      </w:r>
      <w:r w:rsidRPr="00DA20B0">
        <w:rPr>
          <w:rFonts w:ascii="Times New Roman" w:hAnsi="Times New Roman" w:cs="Times New Roman"/>
        </w:rPr>
        <w:t xml:space="preserve"> – Many charities fail to employ enough staff (particularly accounting staff) to maintain an effective SOD. This increases the inherent risk of fraud and given the limitations of review engagements the risk of material misstatement due to fraud and errors remaining undetected is increased</w:t>
      </w:r>
      <w:r>
        <w:rPr>
          <w:rFonts w:ascii="Times New Roman" w:hAnsi="Times New Roman" w:cs="Times New Roman"/>
        </w:rPr>
        <w:t>.</w:t>
      </w:r>
    </w:p>
    <w:p w14:paraId="71BBBB04" w14:textId="77777777" w:rsidR="0039231C" w:rsidRDefault="0039231C" w:rsidP="0039231C">
      <w:pPr>
        <w:pStyle w:val="NoSpacing"/>
        <w:rPr>
          <w:rFonts w:ascii="Times New Roman" w:hAnsi="Times New Roman" w:cs="Times New Roman"/>
          <w:b/>
          <w:bCs/>
        </w:rPr>
      </w:pPr>
    </w:p>
    <w:p w14:paraId="4A0272DA" w14:textId="77777777" w:rsidR="0039231C" w:rsidRPr="00DA20B0" w:rsidRDefault="0039231C" w:rsidP="0039231C">
      <w:pPr>
        <w:pStyle w:val="NoSpacing"/>
        <w:rPr>
          <w:rFonts w:ascii="Times New Roman" w:hAnsi="Times New Roman" w:cs="Times New Roman"/>
        </w:rPr>
      </w:pPr>
      <w:r w:rsidRPr="00DA20B0">
        <w:rPr>
          <w:rFonts w:ascii="Times New Roman" w:hAnsi="Times New Roman" w:cs="Times New Roman"/>
          <w:b/>
          <w:bCs/>
        </w:rPr>
        <w:t>Efficacy of the board of directors</w:t>
      </w:r>
      <w:r w:rsidRPr="00DA20B0">
        <w:rPr>
          <w:rFonts w:ascii="Times New Roman" w:hAnsi="Times New Roman" w:cs="Times New Roman"/>
        </w:rPr>
        <w:t xml:space="preserve"> – The IPA is concerned that the lack of experienced boards coupled with rudimentary governance requirements and risk-management processes, including weak internal controls, increases the risk of material misstatement due to fraud and error; these might go undetected even by a review engagement.</w:t>
      </w:r>
    </w:p>
    <w:p w14:paraId="5AFCEC56" w14:textId="77777777" w:rsidR="0039231C" w:rsidRDefault="0039231C" w:rsidP="0039231C">
      <w:pPr>
        <w:pStyle w:val="NoSpacing"/>
        <w:rPr>
          <w:rFonts w:ascii="Times New Roman" w:hAnsi="Times New Roman" w:cs="Times New Roman"/>
        </w:rPr>
      </w:pPr>
    </w:p>
    <w:p w14:paraId="34038299" w14:textId="77777777" w:rsidR="0039231C" w:rsidRDefault="0039231C" w:rsidP="0039231C">
      <w:pPr>
        <w:pStyle w:val="NoSpacing"/>
        <w:rPr>
          <w:rFonts w:ascii="Times New Roman" w:hAnsi="Times New Roman" w:cs="Times New Roman"/>
        </w:rPr>
      </w:pPr>
      <w:r>
        <w:rPr>
          <w:rFonts w:ascii="Times New Roman" w:hAnsi="Times New Roman" w:cs="Times New Roman"/>
        </w:rPr>
        <w:t>The IPA also is concerned that the increasing number of ACNC charities not required to be audited will put pressure on the ACNC’s monitoring and reviews.</w:t>
      </w:r>
    </w:p>
    <w:p w14:paraId="05B5FBE1" w14:textId="77777777" w:rsidR="0039231C" w:rsidRDefault="0039231C" w:rsidP="0039231C">
      <w:pPr>
        <w:pStyle w:val="NoSpacing"/>
        <w:rPr>
          <w:rFonts w:ascii="Times New Roman" w:hAnsi="Times New Roman" w:cs="Times New Roman"/>
        </w:rPr>
      </w:pPr>
    </w:p>
    <w:p w14:paraId="318CA77A" w14:textId="77777777" w:rsidR="0039231C" w:rsidRPr="00DA20B0" w:rsidRDefault="0039231C" w:rsidP="0039231C">
      <w:pPr>
        <w:pStyle w:val="NoSpacing"/>
        <w:rPr>
          <w:rFonts w:ascii="Times New Roman" w:hAnsi="Times New Roman" w:cs="Times New Roman"/>
        </w:rPr>
      </w:pPr>
      <w:r w:rsidRPr="00DA20B0">
        <w:rPr>
          <w:rFonts w:ascii="Times New Roman" w:hAnsi="Times New Roman" w:cs="Times New Roman"/>
        </w:rPr>
        <w:t xml:space="preserve">The institute believes that threshold changes should be subject to the following: </w:t>
      </w:r>
    </w:p>
    <w:p w14:paraId="7C01CAC2" w14:textId="77777777" w:rsidR="0039231C" w:rsidRPr="00DA20B0" w:rsidRDefault="0039231C" w:rsidP="0039231C">
      <w:pPr>
        <w:pStyle w:val="NoSpacing"/>
        <w:rPr>
          <w:rFonts w:ascii="Times New Roman" w:hAnsi="Times New Roman" w:cs="Times New Roman"/>
        </w:rPr>
      </w:pPr>
    </w:p>
    <w:p w14:paraId="6BCC73B4" w14:textId="77777777" w:rsidR="0039231C" w:rsidRPr="00DA20B0" w:rsidRDefault="0039231C" w:rsidP="0039231C">
      <w:pPr>
        <w:pStyle w:val="NoSpacing"/>
        <w:numPr>
          <w:ilvl w:val="0"/>
          <w:numId w:val="21"/>
        </w:numPr>
        <w:rPr>
          <w:rFonts w:ascii="Times New Roman" w:hAnsi="Times New Roman" w:cs="Times New Roman"/>
        </w:rPr>
      </w:pPr>
      <w:r w:rsidRPr="00DA20B0">
        <w:rPr>
          <w:rFonts w:ascii="Times New Roman" w:hAnsi="Times New Roman" w:cs="Times New Roman"/>
        </w:rPr>
        <w:t>The deficiencies in the review standard ASRE 2410, particularly the requirement for corroboration of management representations</w:t>
      </w:r>
    </w:p>
    <w:p w14:paraId="1D7FAAB7" w14:textId="77777777" w:rsidR="0039231C" w:rsidRPr="00DA20B0" w:rsidRDefault="0039231C" w:rsidP="0039231C">
      <w:pPr>
        <w:pStyle w:val="NoSpacing"/>
        <w:numPr>
          <w:ilvl w:val="0"/>
          <w:numId w:val="21"/>
        </w:numPr>
        <w:rPr>
          <w:rFonts w:ascii="Times New Roman" w:hAnsi="Times New Roman" w:cs="Times New Roman"/>
        </w:rPr>
      </w:pPr>
      <w:r w:rsidRPr="00DA20B0">
        <w:rPr>
          <w:rFonts w:ascii="Times New Roman" w:hAnsi="Times New Roman" w:cs="Times New Roman"/>
        </w:rPr>
        <w:t>Sufficiency of resources for the ACNC to undertake reviews of annual information statements and financial reports</w:t>
      </w:r>
    </w:p>
    <w:p w14:paraId="45C4FEBB" w14:textId="77777777" w:rsidR="0039231C" w:rsidRPr="00DA20B0" w:rsidRDefault="0039231C" w:rsidP="0039231C">
      <w:pPr>
        <w:pStyle w:val="NoSpacing"/>
        <w:numPr>
          <w:ilvl w:val="0"/>
          <w:numId w:val="21"/>
        </w:numPr>
        <w:rPr>
          <w:rFonts w:ascii="Times New Roman" w:hAnsi="Times New Roman" w:cs="Times New Roman"/>
        </w:rPr>
      </w:pPr>
      <w:r w:rsidRPr="00DA20B0">
        <w:rPr>
          <w:rFonts w:ascii="Times New Roman" w:hAnsi="Times New Roman" w:cs="Times New Roman"/>
        </w:rPr>
        <w:t>Address the adequacy of financial information that should be available to donors and taxpayers, including fundraising information, use of funds, and other relevant information, and</w:t>
      </w:r>
    </w:p>
    <w:p w14:paraId="316D1404" w14:textId="77777777" w:rsidR="0039231C" w:rsidRPr="00DA20B0" w:rsidRDefault="0039231C" w:rsidP="0039231C">
      <w:pPr>
        <w:pStyle w:val="NoSpacing"/>
        <w:numPr>
          <w:ilvl w:val="0"/>
          <w:numId w:val="21"/>
        </w:numPr>
        <w:rPr>
          <w:rFonts w:ascii="Times New Roman" w:hAnsi="Times New Roman" w:cs="Times New Roman"/>
        </w:rPr>
      </w:pPr>
      <w:r w:rsidRPr="00DA20B0">
        <w:rPr>
          <w:rFonts w:ascii="Times New Roman" w:hAnsi="Times New Roman" w:cs="Times New Roman"/>
        </w:rPr>
        <w:t>Improve the transparency and availability of financial information for donors, taxpayers and other interested parties, including by requiring financial information to be readily and clearly accessible to interested parties including on entities’ websites.</w:t>
      </w:r>
    </w:p>
    <w:p w14:paraId="40A5AD41" w14:textId="77777777" w:rsidR="0039231C" w:rsidRPr="00DA20B0" w:rsidRDefault="0039231C" w:rsidP="0039231C">
      <w:pPr>
        <w:pStyle w:val="NoSpacing"/>
        <w:rPr>
          <w:rFonts w:ascii="Times New Roman" w:hAnsi="Times New Roman" w:cs="Times New Roman"/>
        </w:rPr>
      </w:pPr>
    </w:p>
    <w:p w14:paraId="2EF45B40" w14:textId="77777777" w:rsidR="0039231C" w:rsidRPr="00D55430" w:rsidRDefault="0039231C" w:rsidP="0039231C">
      <w:pPr>
        <w:pStyle w:val="NoSpacing"/>
        <w:rPr>
          <w:rFonts w:ascii="Times New Roman" w:hAnsi="Times New Roman" w:cs="Times New Roman"/>
        </w:rPr>
      </w:pPr>
      <w:r w:rsidRPr="00D55430">
        <w:rPr>
          <w:rFonts w:ascii="Times New Roman" w:hAnsi="Times New Roman" w:cs="Times New Roman"/>
        </w:rPr>
        <w:t xml:space="preserve">Our detailed comments on the </w:t>
      </w:r>
      <w:r>
        <w:rPr>
          <w:rFonts w:ascii="Times New Roman" w:hAnsi="Times New Roman" w:cs="Times New Roman"/>
        </w:rPr>
        <w:t xml:space="preserve">paper </w:t>
      </w:r>
      <w:r w:rsidRPr="00D55430">
        <w:rPr>
          <w:rFonts w:ascii="Times New Roman" w:hAnsi="Times New Roman" w:cs="Times New Roman"/>
        </w:rPr>
        <w:t>are include</w:t>
      </w:r>
      <w:r>
        <w:rPr>
          <w:rFonts w:ascii="Times New Roman" w:hAnsi="Times New Roman" w:cs="Times New Roman"/>
        </w:rPr>
        <w:t xml:space="preserve">d </w:t>
      </w:r>
      <w:r w:rsidRPr="00D55430">
        <w:rPr>
          <w:rFonts w:ascii="Times New Roman" w:hAnsi="Times New Roman" w:cs="Times New Roman"/>
        </w:rPr>
        <w:t xml:space="preserve">in the attached </w:t>
      </w:r>
      <w:r>
        <w:rPr>
          <w:rFonts w:ascii="Times New Roman" w:hAnsi="Times New Roman" w:cs="Times New Roman"/>
        </w:rPr>
        <w:t>a</w:t>
      </w:r>
      <w:r w:rsidRPr="00D55430">
        <w:rPr>
          <w:rFonts w:ascii="Times New Roman" w:hAnsi="Times New Roman" w:cs="Times New Roman"/>
        </w:rPr>
        <w:t>ppendix.</w:t>
      </w:r>
    </w:p>
    <w:p w14:paraId="6F5D6869" w14:textId="77777777" w:rsidR="0039231C" w:rsidRPr="00A258E8" w:rsidRDefault="0039231C" w:rsidP="0039231C">
      <w:pPr>
        <w:pStyle w:val="NoSpacing"/>
        <w:rPr>
          <w:rFonts w:ascii="Times New Roman" w:hAnsi="Times New Roman" w:cs="Times New Roman"/>
        </w:rPr>
      </w:pPr>
    </w:p>
    <w:p w14:paraId="6D7B6CE4" w14:textId="77777777" w:rsidR="0039231C" w:rsidRPr="00A258E8" w:rsidRDefault="0039231C" w:rsidP="0039231C">
      <w:pPr>
        <w:spacing w:after="0" w:line="240" w:lineRule="auto"/>
        <w:rPr>
          <w:rFonts w:ascii="Times New Roman" w:eastAsia="Calibri" w:hAnsi="Times New Roman" w:cs="Times New Roman"/>
        </w:rPr>
      </w:pPr>
      <w:r w:rsidRPr="00A258E8">
        <w:rPr>
          <w:rFonts w:ascii="Times New Roman" w:eastAsia="Calibri" w:hAnsi="Times New Roman" w:cs="Times New Roman"/>
        </w:rPr>
        <w:t>If you would like to discuss our comments, please contact me or our technical advisers</w:t>
      </w:r>
      <w:r>
        <w:rPr>
          <w:rFonts w:ascii="Times New Roman" w:eastAsia="Calibri" w:hAnsi="Times New Roman" w:cs="Times New Roman"/>
        </w:rPr>
        <w:t>,</w:t>
      </w:r>
      <w:r w:rsidRPr="00A258E8">
        <w:rPr>
          <w:rFonts w:ascii="Times New Roman" w:eastAsia="Calibri" w:hAnsi="Times New Roman" w:cs="Times New Roman"/>
        </w:rPr>
        <w:t xml:space="preserve"> Stephen La Greca (</w:t>
      </w:r>
      <w:hyperlink r:id="rId8" w:history="1">
        <w:r w:rsidRPr="00A258E8">
          <w:rPr>
            <w:rFonts w:ascii="Times New Roman" w:eastAsia="Calibri" w:hAnsi="Times New Roman" w:cs="Times New Roman"/>
            <w:color w:val="0000FF"/>
            <w:u w:val="single"/>
          </w:rPr>
          <w:t>stephenlagreca@aol.com</w:t>
        </w:r>
      </w:hyperlink>
      <w:r w:rsidRPr="00A258E8">
        <w:rPr>
          <w:rFonts w:ascii="Times New Roman" w:eastAsia="Calibri" w:hAnsi="Times New Roman" w:cs="Times New Roman"/>
        </w:rPr>
        <w:t xml:space="preserve">) </w:t>
      </w:r>
      <w:r>
        <w:rPr>
          <w:rFonts w:ascii="Times New Roman" w:eastAsia="Calibri" w:hAnsi="Times New Roman" w:cs="Times New Roman"/>
        </w:rPr>
        <w:t xml:space="preserve">and </w:t>
      </w:r>
      <w:r w:rsidRPr="00A258E8">
        <w:rPr>
          <w:rFonts w:ascii="Times New Roman" w:eastAsia="Calibri" w:hAnsi="Times New Roman" w:cs="Times New Roman"/>
        </w:rPr>
        <w:t>Colin Parker (</w:t>
      </w:r>
      <w:hyperlink r:id="rId9" w:history="1">
        <w:r w:rsidRPr="00A258E8">
          <w:rPr>
            <w:rFonts w:ascii="Times New Roman" w:eastAsia="Calibri" w:hAnsi="Times New Roman" w:cs="Times New Roman"/>
            <w:color w:val="0000FF"/>
            <w:u w:val="single"/>
          </w:rPr>
          <w:t>colin@gaap.com.au</w:t>
        </w:r>
      </w:hyperlink>
      <w:r w:rsidRPr="00A258E8">
        <w:rPr>
          <w:rFonts w:ascii="Times New Roman" w:eastAsia="Calibri" w:hAnsi="Times New Roman" w:cs="Times New Roman"/>
        </w:rPr>
        <w:t xml:space="preserve">) (a former member of the AASB), </w:t>
      </w:r>
      <w:r>
        <w:rPr>
          <w:rFonts w:ascii="Times New Roman" w:eastAsia="Calibri" w:hAnsi="Times New Roman" w:cs="Times New Roman"/>
        </w:rPr>
        <w:t xml:space="preserve">at </w:t>
      </w:r>
      <w:r w:rsidRPr="00DA20B0">
        <w:rPr>
          <w:rFonts w:ascii="Times New Roman" w:eastAsia="Calibri" w:hAnsi="Times New Roman" w:cs="Times New Roman"/>
          <w:i/>
          <w:iCs/>
        </w:rPr>
        <w:t>GAAP Consulting</w:t>
      </w:r>
      <w:r w:rsidRPr="00A258E8">
        <w:rPr>
          <w:rFonts w:ascii="Times New Roman" w:eastAsia="Calibri" w:hAnsi="Times New Roman" w:cs="Times New Roman"/>
        </w:rPr>
        <w:t>.</w:t>
      </w:r>
    </w:p>
    <w:p w14:paraId="330D64A2" w14:textId="77777777" w:rsidR="0039231C" w:rsidRPr="00A258E8" w:rsidRDefault="0039231C" w:rsidP="0039231C">
      <w:pPr>
        <w:spacing w:after="0" w:line="240" w:lineRule="auto"/>
        <w:rPr>
          <w:rFonts w:ascii="Times New Roman" w:eastAsia="Calibri" w:hAnsi="Times New Roman" w:cs="Times New Roman"/>
        </w:rPr>
      </w:pPr>
    </w:p>
    <w:p w14:paraId="23DA73CB" w14:textId="77777777" w:rsidR="0039231C" w:rsidRPr="00A258E8" w:rsidRDefault="0039231C" w:rsidP="0039231C">
      <w:pPr>
        <w:spacing w:after="0" w:line="240" w:lineRule="auto"/>
        <w:rPr>
          <w:rFonts w:ascii="Times New Roman" w:eastAsia="Calibri" w:hAnsi="Times New Roman" w:cs="Times New Roman"/>
        </w:rPr>
      </w:pPr>
      <w:r w:rsidRPr="00A258E8">
        <w:rPr>
          <w:rFonts w:ascii="Times New Roman" w:eastAsia="Calibri" w:hAnsi="Times New Roman" w:cs="Times New Roman"/>
        </w:rPr>
        <w:t>Yours sincerely</w:t>
      </w:r>
    </w:p>
    <w:p w14:paraId="0E98FD87" w14:textId="77777777" w:rsidR="0039231C" w:rsidRPr="00A258E8" w:rsidRDefault="0039231C" w:rsidP="0039231C">
      <w:pPr>
        <w:spacing w:after="0" w:line="240" w:lineRule="auto"/>
        <w:rPr>
          <w:rFonts w:ascii="Times New Roman" w:eastAsia="Calibri" w:hAnsi="Times New Roman" w:cs="Times New Roman"/>
        </w:rPr>
      </w:pPr>
    </w:p>
    <w:p w14:paraId="1E42E229" w14:textId="65A4B791" w:rsidR="0039231C" w:rsidRPr="00A258E8" w:rsidRDefault="0039231C" w:rsidP="0039231C">
      <w:pPr>
        <w:spacing w:after="0" w:line="240" w:lineRule="auto"/>
        <w:rPr>
          <w:rFonts w:ascii="Times New Roman" w:eastAsia="Calibri" w:hAnsi="Times New Roman" w:cs="Times New Roman"/>
        </w:rPr>
      </w:pPr>
      <w:r>
        <w:rPr>
          <w:noProof/>
          <w:lang w:eastAsia="en-AU"/>
        </w:rPr>
        <w:drawing>
          <wp:inline distT="0" distB="0" distL="0" distR="0" wp14:anchorId="7B232D7C" wp14:editId="63F4E973">
            <wp:extent cx="1171575" cy="588103"/>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01655" cy="603202"/>
                    </a:xfrm>
                    <a:prstGeom prst="rect">
                      <a:avLst/>
                    </a:prstGeom>
                  </pic:spPr>
                </pic:pic>
              </a:graphicData>
            </a:graphic>
          </wp:inline>
        </w:drawing>
      </w:r>
    </w:p>
    <w:p w14:paraId="06EB08A1" w14:textId="77777777" w:rsidR="0039231C" w:rsidRPr="00A258E8" w:rsidRDefault="0039231C" w:rsidP="0039231C">
      <w:pPr>
        <w:spacing w:after="0" w:line="240" w:lineRule="auto"/>
        <w:rPr>
          <w:rFonts w:ascii="Times New Roman" w:eastAsia="Calibri" w:hAnsi="Times New Roman" w:cs="Times New Roman"/>
        </w:rPr>
      </w:pPr>
    </w:p>
    <w:p w14:paraId="01B6B1C7" w14:textId="77777777" w:rsidR="0039231C" w:rsidRPr="00A258E8" w:rsidRDefault="0039231C" w:rsidP="0039231C">
      <w:pPr>
        <w:spacing w:after="0" w:line="240" w:lineRule="auto"/>
        <w:rPr>
          <w:rFonts w:ascii="Times New Roman" w:eastAsia="Calibri" w:hAnsi="Times New Roman" w:cs="Times New Roman"/>
        </w:rPr>
      </w:pPr>
    </w:p>
    <w:p w14:paraId="58CED5FD" w14:textId="77777777" w:rsidR="0039231C" w:rsidRPr="00A258E8" w:rsidRDefault="0039231C" w:rsidP="0039231C">
      <w:pPr>
        <w:spacing w:after="0" w:line="240" w:lineRule="auto"/>
        <w:rPr>
          <w:rFonts w:ascii="Times New Roman" w:eastAsia="Calibri" w:hAnsi="Times New Roman" w:cs="Times New Roman"/>
        </w:rPr>
      </w:pPr>
      <w:r w:rsidRPr="00A258E8">
        <w:rPr>
          <w:rFonts w:ascii="Times New Roman" w:eastAsia="Calibri" w:hAnsi="Times New Roman" w:cs="Times New Roman"/>
        </w:rPr>
        <w:t>Vicki Stylianou</w:t>
      </w:r>
    </w:p>
    <w:p w14:paraId="11F43BAF" w14:textId="77777777" w:rsidR="0039231C" w:rsidRPr="00A258E8" w:rsidRDefault="0039231C" w:rsidP="0039231C">
      <w:pPr>
        <w:spacing w:after="0" w:line="240" w:lineRule="auto"/>
        <w:rPr>
          <w:rFonts w:ascii="Times New Roman" w:eastAsia="Calibri" w:hAnsi="Times New Roman" w:cs="Times New Roman"/>
        </w:rPr>
      </w:pPr>
      <w:r w:rsidRPr="00A258E8">
        <w:rPr>
          <w:rFonts w:ascii="Times New Roman" w:eastAsia="Calibri" w:hAnsi="Times New Roman" w:cs="Times New Roman"/>
        </w:rPr>
        <w:t>Executive General Manager, Advocacy &amp; Technical</w:t>
      </w:r>
    </w:p>
    <w:p w14:paraId="61A25AD9" w14:textId="77777777" w:rsidR="0039231C" w:rsidRPr="00A258E8" w:rsidRDefault="0039231C" w:rsidP="0039231C">
      <w:pPr>
        <w:spacing w:after="0" w:line="240" w:lineRule="auto"/>
        <w:rPr>
          <w:rFonts w:ascii="Times New Roman" w:eastAsia="Calibri" w:hAnsi="Times New Roman" w:cs="Times New Roman"/>
        </w:rPr>
      </w:pPr>
      <w:r w:rsidRPr="00A258E8">
        <w:rPr>
          <w:rFonts w:ascii="Times New Roman" w:eastAsia="Calibri" w:hAnsi="Times New Roman" w:cs="Times New Roman"/>
        </w:rPr>
        <w:t xml:space="preserve">Institute of Public Accountants </w:t>
      </w:r>
    </w:p>
    <w:p w14:paraId="2C843277" w14:textId="77777777" w:rsidR="0039231C" w:rsidRDefault="0039231C" w:rsidP="0039231C">
      <w:pPr>
        <w:spacing w:after="0" w:line="240" w:lineRule="auto"/>
        <w:rPr>
          <w:rFonts w:ascii="Times New Roman" w:eastAsia="Calibri" w:hAnsi="Times New Roman" w:cs="Times New Roman"/>
        </w:rPr>
      </w:pPr>
    </w:p>
    <w:p w14:paraId="6690CDD4" w14:textId="77777777" w:rsidR="0039231C" w:rsidRDefault="0039231C" w:rsidP="0039231C">
      <w:pPr>
        <w:spacing w:after="0" w:line="240" w:lineRule="auto"/>
        <w:rPr>
          <w:rFonts w:ascii="Times New Roman" w:eastAsia="Calibri" w:hAnsi="Times New Roman" w:cs="Times New Roman"/>
        </w:rPr>
      </w:pPr>
      <w:r>
        <w:rPr>
          <w:rFonts w:ascii="Times New Roman" w:eastAsia="Calibri" w:hAnsi="Times New Roman" w:cs="Times New Roman"/>
        </w:rPr>
        <w:t>Cc Chair, Australian Accounting Standards Board</w:t>
      </w:r>
    </w:p>
    <w:p w14:paraId="5C352C9C" w14:textId="77777777" w:rsidR="0039231C" w:rsidRPr="00A258E8" w:rsidRDefault="0039231C" w:rsidP="0039231C">
      <w:pPr>
        <w:spacing w:after="0" w:line="240" w:lineRule="auto"/>
        <w:rPr>
          <w:rFonts w:ascii="Times New Roman" w:eastAsia="Calibri" w:hAnsi="Times New Roman" w:cs="Times New Roman"/>
        </w:rPr>
      </w:pPr>
    </w:p>
    <w:p w14:paraId="3EB4591D" w14:textId="77777777" w:rsidR="0039231C" w:rsidRDefault="0039231C" w:rsidP="0039231C">
      <w:pPr>
        <w:spacing w:after="0" w:line="240" w:lineRule="auto"/>
        <w:rPr>
          <w:rFonts w:ascii="Times New Roman" w:eastAsia="Calibri" w:hAnsi="Times New Roman" w:cs="Times New Roman"/>
          <w:b/>
        </w:rPr>
      </w:pPr>
    </w:p>
    <w:p w14:paraId="4385DD09" w14:textId="77777777" w:rsidR="0039231C" w:rsidRDefault="0039231C" w:rsidP="0039231C">
      <w:pPr>
        <w:spacing w:after="0" w:line="240" w:lineRule="auto"/>
        <w:rPr>
          <w:rFonts w:ascii="Times New Roman" w:eastAsia="Calibri" w:hAnsi="Times New Roman" w:cs="Times New Roman"/>
          <w:b/>
        </w:rPr>
      </w:pPr>
    </w:p>
    <w:p w14:paraId="4312723F" w14:textId="77777777" w:rsidR="0039231C" w:rsidRDefault="0039231C" w:rsidP="0039231C">
      <w:pPr>
        <w:spacing w:after="0" w:line="240" w:lineRule="auto"/>
        <w:rPr>
          <w:rFonts w:ascii="Times New Roman" w:eastAsia="Calibri" w:hAnsi="Times New Roman" w:cs="Times New Roman"/>
          <w:b/>
        </w:rPr>
      </w:pPr>
    </w:p>
    <w:p w14:paraId="5D4CEF85" w14:textId="13ACF40D" w:rsidR="0039231C" w:rsidRDefault="0039231C" w:rsidP="0039231C">
      <w:pPr>
        <w:spacing w:after="0" w:line="240" w:lineRule="auto"/>
        <w:rPr>
          <w:rFonts w:ascii="Times New Roman" w:eastAsia="Calibri" w:hAnsi="Times New Roman" w:cs="Times New Roman"/>
          <w:b/>
        </w:rPr>
      </w:pPr>
    </w:p>
    <w:p w14:paraId="6D1B59EE" w14:textId="77777777" w:rsidR="0039231C" w:rsidRDefault="0039231C" w:rsidP="0039231C">
      <w:pPr>
        <w:spacing w:after="0" w:line="240" w:lineRule="auto"/>
        <w:rPr>
          <w:rFonts w:ascii="Times New Roman" w:eastAsia="Calibri" w:hAnsi="Times New Roman" w:cs="Times New Roman"/>
          <w:b/>
        </w:rPr>
      </w:pPr>
    </w:p>
    <w:p w14:paraId="33D67013" w14:textId="77777777" w:rsidR="0039231C" w:rsidRDefault="0039231C" w:rsidP="0039231C">
      <w:pPr>
        <w:spacing w:after="0" w:line="240" w:lineRule="auto"/>
        <w:rPr>
          <w:rFonts w:ascii="Times New Roman" w:eastAsia="Calibri" w:hAnsi="Times New Roman" w:cs="Times New Roman"/>
          <w:b/>
        </w:rPr>
      </w:pPr>
    </w:p>
    <w:p w14:paraId="7EFD3A67" w14:textId="6B8DA3EB" w:rsidR="0039231C" w:rsidRPr="00A258E8" w:rsidRDefault="0039231C" w:rsidP="0039231C">
      <w:pPr>
        <w:spacing w:after="0" w:line="240" w:lineRule="auto"/>
        <w:rPr>
          <w:rFonts w:ascii="Times New Roman" w:eastAsia="Calibri" w:hAnsi="Times New Roman" w:cs="Times New Roman"/>
          <w:b/>
        </w:rPr>
      </w:pPr>
      <w:r w:rsidRPr="00A258E8">
        <w:rPr>
          <w:rFonts w:ascii="Times New Roman" w:eastAsia="Calibri" w:hAnsi="Times New Roman" w:cs="Times New Roman"/>
          <w:b/>
        </w:rPr>
        <w:t>About the IPA</w:t>
      </w:r>
    </w:p>
    <w:p w14:paraId="53B68A89" w14:textId="77777777" w:rsidR="0039231C" w:rsidRPr="00A258E8" w:rsidRDefault="0039231C" w:rsidP="0039231C">
      <w:pPr>
        <w:spacing w:after="0" w:line="240" w:lineRule="auto"/>
        <w:rPr>
          <w:rFonts w:ascii="Times New Roman" w:eastAsia="Calibri" w:hAnsi="Times New Roman" w:cs="Times New Roman"/>
        </w:rPr>
      </w:pPr>
    </w:p>
    <w:p w14:paraId="1CED9332" w14:textId="77777777" w:rsidR="0039231C" w:rsidRPr="00A258E8" w:rsidRDefault="0039231C" w:rsidP="0039231C">
      <w:pPr>
        <w:spacing w:after="0" w:line="240" w:lineRule="auto"/>
        <w:rPr>
          <w:rFonts w:ascii="Times New Roman" w:eastAsia="Calibri" w:hAnsi="Times New Roman" w:cs="Times New Roman"/>
        </w:rPr>
      </w:pPr>
      <w:r w:rsidRPr="00A258E8">
        <w:rPr>
          <w:rFonts w:ascii="Times New Roman" w:eastAsia="Calibri" w:hAnsi="Times New Roman" w:cs="Times New Roman"/>
        </w:rPr>
        <w:t xml:space="preserve">The IPA is a professional organisation for accountants recognised for their practical, hands-on skills and a broad understanding of the total business environment.  Representing more than 35,000 members in </w:t>
      </w:r>
      <w:r>
        <w:rPr>
          <w:rFonts w:ascii="Times New Roman" w:eastAsia="Calibri" w:hAnsi="Times New Roman" w:cs="Times New Roman"/>
        </w:rPr>
        <w:t xml:space="preserve">more than 65 countries, including </w:t>
      </w:r>
      <w:r w:rsidRPr="00A258E8">
        <w:rPr>
          <w:rFonts w:ascii="Times New Roman" w:eastAsia="Calibri" w:hAnsi="Times New Roman" w:cs="Times New Roman"/>
        </w:rPr>
        <w:t>Australia</w:t>
      </w:r>
      <w:r>
        <w:rPr>
          <w:rFonts w:ascii="Times New Roman" w:eastAsia="Calibri" w:hAnsi="Times New Roman" w:cs="Times New Roman"/>
        </w:rPr>
        <w:t xml:space="preserve">, </w:t>
      </w:r>
      <w:r w:rsidRPr="00A258E8">
        <w:rPr>
          <w:rFonts w:ascii="Times New Roman" w:eastAsia="Calibri" w:hAnsi="Times New Roman" w:cs="Times New Roman"/>
        </w:rPr>
        <w:t>the IPA represents members and students working in industry, commerce, government, academia</w:t>
      </w:r>
      <w:r>
        <w:rPr>
          <w:rFonts w:ascii="Times New Roman" w:eastAsia="Calibri" w:hAnsi="Times New Roman" w:cs="Times New Roman"/>
        </w:rPr>
        <w:t>,</w:t>
      </w:r>
      <w:r w:rsidRPr="00A258E8">
        <w:rPr>
          <w:rFonts w:ascii="Times New Roman" w:eastAsia="Calibri" w:hAnsi="Times New Roman" w:cs="Times New Roman"/>
        </w:rPr>
        <w:t xml:space="preserve"> and private practice.  Through representation on special</w:t>
      </w:r>
      <w:r>
        <w:rPr>
          <w:rFonts w:ascii="Times New Roman" w:eastAsia="Calibri" w:hAnsi="Times New Roman" w:cs="Times New Roman"/>
        </w:rPr>
        <w:t>-</w:t>
      </w:r>
      <w:r w:rsidRPr="00A258E8">
        <w:rPr>
          <w:rFonts w:ascii="Times New Roman" w:eastAsia="Calibri" w:hAnsi="Times New Roman" w:cs="Times New Roman"/>
        </w:rPr>
        <w:t xml:space="preserve">interest groups, the </w:t>
      </w:r>
      <w:r>
        <w:rPr>
          <w:rFonts w:ascii="Times New Roman" w:eastAsia="Calibri" w:hAnsi="Times New Roman" w:cs="Times New Roman"/>
        </w:rPr>
        <w:t xml:space="preserve">institute </w:t>
      </w:r>
      <w:r w:rsidRPr="00A258E8">
        <w:rPr>
          <w:rFonts w:ascii="Times New Roman" w:eastAsia="Calibri" w:hAnsi="Times New Roman" w:cs="Times New Roman"/>
        </w:rPr>
        <w:t xml:space="preserve">ensures </w:t>
      </w:r>
      <w:r>
        <w:rPr>
          <w:rFonts w:ascii="Times New Roman" w:eastAsia="Calibri" w:hAnsi="Times New Roman" w:cs="Times New Roman"/>
        </w:rPr>
        <w:t xml:space="preserve">that </w:t>
      </w:r>
      <w:r w:rsidRPr="00A258E8">
        <w:rPr>
          <w:rFonts w:ascii="Times New Roman" w:eastAsia="Calibri" w:hAnsi="Times New Roman" w:cs="Times New Roman"/>
        </w:rPr>
        <w:t xml:space="preserve">the views of its members are voiced with government and key industry sectors and makes representations to </w:t>
      </w:r>
      <w:r>
        <w:rPr>
          <w:rFonts w:ascii="Times New Roman" w:eastAsia="Calibri" w:hAnsi="Times New Roman" w:cs="Times New Roman"/>
        </w:rPr>
        <w:t>g</w:t>
      </w:r>
      <w:r w:rsidRPr="00A258E8">
        <w:rPr>
          <w:rFonts w:ascii="Times New Roman" w:eastAsia="Calibri" w:hAnsi="Times New Roman" w:cs="Times New Roman"/>
        </w:rPr>
        <w:t xml:space="preserve">overnment </w:t>
      </w:r>
      <w:r>
        <w:rPr>
          <w:rFonts w:ascii="Times New Roman" w:eastAsia="Calibri" w:hAnsi="Times New Roman" w:cs="Times New Roman"/>
        </w:rPr>
        <w:t xml:space="preserve">and </w:t>
      </w:r>
      <w:r w:rsidRPr="00A258E8">
        <w:rPr>
          <w:rFonts w:ascii="Times New Roman" w:eastAsia="Calibri" w:hAnsi="Times New Roman" w:cs="Times New Roman"/>
        </w:rPr>
        <w:t>the Australian Tax Office</w:t>
      </w:r>
      <w:r>
        <w:rPr>
          <w:rFonts w:ascii="Times New Roman" w:eastAsia="Calibri" w:hAnsi="Times New Roman" w:cs="Times New Roman"/>
        </w:rPr>
        <w:t xml:space="preserve">, </w:t>
      </w:r>
      <w:r w:rsidRPr="00A258E8">
        <w:rPr>
          <w:rFonts w:ascii="Times New Roman" w:eastAsia="Calibri" w:hAnsi="Times New Roman" w:cs="Times New Roman"/>
        </w:rPr>
        <w:t xml:space="preserve">Australian Securities </w:t>
      </w:r>
      <w:r>
        <w:rPr>
          <w:rFonts w:ascii="Times New Roman" w:eastAsia="Calibri" w:hAnsi="Times New Roman" w:cs="Times New Roman"/>
        </w:rPr>
        <w:t xml:space="preserve">&amp; </w:t>
      </w:r>
      <w:r w:rsidRPr="00A258E8">
        <w:rPr>
          <w:rFonts w:ascii="Times New Roman" w:eastAsia="Calibri" w:hAnsi="Times New Roman" w:cs="Times New Roman"/>
        </w:rPr>
        <w:t>Investments Commission</w:t>
      </w:r>
      <w:r>
        <w:rPr>
          <w:rFonts w:ascii="Times New Roman" w:eastAsia="Calibri" w:hAnsi="Times New Roman" w:cs="Times New Roman"/>
        </w:rPr>
        <w:t xml:space="preserve">, </w:t>
      </w:r>
      <w:r w:rsidRPr="00A258E8">
        <w:rPr>
          <w:rFonts w:ascii="Times New Roman" w:eastAsia="Calibri" w:hAnsi="Times New Roman" w:cs="Times New Roman"/>
        </w:rPr>
        <w:t>and the Australian Prudential Regulation Authority</w:t>
      </w:r>
      <w:r>
        <w:rPr>
          <w:rFonts w:ascii="Times New Roman" w:eastAsia="Calibri" w:hAnsi="Times New Roman" w:cs="Times New Roman"/>
        </w:rPr>
        <w:t xml:space="preserve"> </w:t>
      </w:r>
      <w:r w:rsidRPr="00A258E8">
        <w:rPr>
          <w:rFonts w:ascii="Times New Roman" w:eastAsia="Calibri" w:hAnsi="Times New Roman" w:cs="Times New Roman"/>
        </w:rPr>
        <w:t>on issues affecting our members, the profession</w:t>
      </w:r>
      <w:r>
        <w:rPr>
          <w:rFonts w:ascii="Times New Roman" w:eastAsia="Calibri" w:hAnsi="Times New Roman" w:cs="Times New Roman"/>
        </w:rPr>
        <w:t>,</w:t>
      </w:r>
      <w:r w:rsidRPr="00A258E8">
        <w:rPr>
          <w:rFonts w:ascii="Times New Roman" w:eastAsia="Calibri" w:hAnsi="Times New Roman" w:cs="Times New Roman"/>
        </w:rPr>
        <w:t xml:space="preserve"> and the public interest.  The IPA recently merged with the</w:t>
      </w:r>
      <w:r>
        <w:rPr>
          <w:rFonts w:ascii="Times New Roman" w:eastAsia="Calibri" w:hAnsi="Times New Roman" w:cs="Times New Roman"/>
        </w:rPr>
        <w:t xml:space="preserve"> UK’s</w:t>
      </w:r>
      <w:r w:rsidRPr="00A258E8">
        <w:rPr>
          <w:rFonts w:ascii="Times New Roman" w:eastAsia="Calibri" w:hAnsi="Times New Roman" w:cs="Times New Roman"/>
        </w:rPr>
        <w:t xml:space="preserve"> Institute of Financial Accountants</w:t>
      </w:r>
      <w:r>
        <w:rPr>
          <w:rFonts w:ascii="Times New Roman" w:eastAsia="Calibri" w:hAnsi="Times New Roman" w:cs="Times New Roman"/>
        </w:rPr>
        <w:t xml:space="preserve"> to form</w:t>
      </w:r>
      <w:r w:rsidRPr="00A258E8">
        <w:rPr>
          <w:rFonts w:ascii="Times New Roman" w:eastAsia="Calibri" w:hAnsi="Times New Roman" w:cs="Times New Roman"/>
        </w:rPr>
        <w:t xml:space="preserve"> the </w:t>
      </w:r>
      <w:r>
        <w:rPr>
          <w:rFonts w:ascii="Times New Roman" w:eastAsia="Calibri" w:hAnsi="Times New Roman" w:cs="Times New Roman"/>
        </w:rPr>
        <w:t xml:space="preserve">world’s </w:t>
      </w:r>
      <w:r w:rsidRPr="00A258E8">
        <w:rPr>
          <w:rFonts w:ascii="Times New Roman" w:eastAsia="Calibri" w:hAnsi="Times New Roman" w:cs="Times New Roman"/>
        </w:rPr>
        <w:t>largest accounting body in the SMP/SME sector.</w:t>
      </w:r>
    </w:p>
    <w:p w14:paraId="6134AE71" w14:textId="77777777" w:rsidR="0039231C" w:rsidRPr="00A258E8" w:rsidRDefault="0039231C" w:rsidP="0039231C">
      <w:pPr>
        <w:spacing w:after="0" w:line="240" w:lineRule="auto"/>
        <w:rPr>
          <w:rFonts w:ascii="Times New Roman" w:eastAsia="Calibri" w:hAnsi="Times New Roman" w:cs="Times New Roman"/>
        </w:rPr>
      </w:pPr>
    </w:p>
    <w:p w14:paraId="3D15179E" w14:textId="77777777" w:rsidR="0039231C" w:rsidRPr="00A258E8" w:rsidRDefault="0039231C" w:rsidP="0039231C">
      <w:pPr>
        <w:rPr>
          <w:rFonts w:ascii="Times New Roman" w:eastAsia="Calibri" w:hAnsi="Times New Roman" w:cs="Times New Roman"/>
        </w:rPr>
      </w:pPr>
      <w:r w:rsidRPr="00A258E8">
        <w:rPr>
          <w:rFonts w:ascii="Times New Roman" w:eastAsia="Calibri" w:hAnsi="Times New Roman" w:cs="Times New Roman"/>
        </w:rPr>
        <w:br w:type="page"/>
      </w:r>
    </w:p>
    <w:p w14:paraId="6D37D7D2" w14:textId="77777777" w:rsidR="0039231C" w:rsidRPr="00A258E8" w:rsidRDefault="0039231C" w:rsidP="0039231C">
      <w:pPr>
        <w:spacing w:line="256" w:lineRule="auto"/>
        <w:rPr>
          <w:rFonts w:ascii="Times New Roman" w:eastAsia="Calibri" w:hAnsi="Times New Roman" w:cs="Times New Roman"/>
          <w:b/>
          <w:bCs/>
        </w:rPr>
      </w:pPr>
      <w:r w:rsidRPr="00A258E8">
        <w:rPr>
          <w:rFonts w:ascii="Times New Roman" w:eastAsia="Calibri" w:hAnsi="Times New Roman" w:cs="Times New Roman"/>
          <w:b/>
          <w:bCs/>
        </w:rPr>
        <w:t>Appendix</w:t>
      </w:r>
    </w:p>
    <w:p w14:paraId="125F81D0" w14:textId="77777777" w:rsidR="0039231C" w:rsidRPr="000D0401" w:rsidRDefault="0039231C" w:rsidP="0039231C">
      <w:pPr>
        <w:tabs>
          <w:tab w:val="left" w:pos="2818"/>
        </w:tabs>
        <w:rPr>
          <w:rFonts w:ascii="Times New Roman" w:hAnsi="Times New Roman" w:cs="Times New Roman"/>
          <w:b/>
          <w:bCs/>
          <w:sz w:val="24"/>
          <w:szCs w:val="24"/>
        </w:rPr>
      </w:pPr>
      <w:r w:rsidRPr="000D0401">
        <w:rPr>
          <w:rFonts w:ascii="Times New Roman" w:hAnsi="Times New Roman" w:cs="Times New Roman"/>
          <w:b/>
          <w:bCs/>
          <w:sz w:val="24"/>
          <w:szCs w:val="24"/>
        </w:rPr>
        <w:t>Question 1</w:t>
      </w:r>
      <w:r>
        <w:rPr>
          <w:rFonts w:ascii="Times New Roman" w:hAnsi="Times New Roman" w:cs="Times New Roman"/>
          <w:b/>
          <w:bCs/>
          <w:sz w:val="24"/>
          <w:szCs w:val="24"/>
        </w:rPr>
        <w:tab/>
      </w:r>
    </w:p>
    <w:p w14:paraId="7503B90A" w14:textId="77777777" w:rsidR="0039231C" w:rsidRPr="00DD7E91" w:rsidRDefault="0039231C" w:rsidP="0039231C">
      <w:pPr>
        <w:rPr>
          <w:rFonts w:ascii="Times New Roman" w:hAnsi="Times New Roman" w:cs="Times New Roman"/>
          <w:i/>
          <w:iCs/>
          <w:sz w:val="24"/>
          <w:szCs w:val="24"/>
        </w:rPr>
      </w:pPr>
      <w:r>
        <w:rPr>
          <w:rFonts w:ascii="Times New Roman" w:hAnsi="Times New Roman" w:cs="Times New Roman"/>
          <w:i/>
          <w:iCs/>
          <w:sz w:val="24"/>
          <w:szCs w:val="24"/>
        </w:rPr>
        <w:t>Do you consider the proposed new thresholds are suitable? If no, why? If no what thresholds do you consider appropriate to balance regulatory red tape and the need for accountability and transparency?</w:t>
      </w:r>
    </w:p>
    <w:p w14:paraId="2ADEA27B" w14:textId="77777777" w:rsidR="0039231C" w:rsidRDefault="0039231C" w:rsidP="0039231C">
      <w:pPr>
        <w:rPr>
          <w:rFonts w:ascii="Times New Roman" w:hAnsi="Times New Roman" w:cs="Times New Roman"/>
          <w:b/>
          <w:bCs/>
          <w:sz w:val="24"/>
          <w:szCs w:val="24"/>
        </w:rPr>
      </w:pPr>
      <w:r>
        <w:rPr>
          <w:rFonts w:ascii="Times New Roman" w:hAnsi="Times New Roman" w:cs="Times New Roman"/>
          <w:b/>
          <w:bCs/>
          <w:sz w:val="24"/>
          <w:szCs w:val="24"/>
        </w:rPr>
        <w:t>IPA response</w:t>
      </w:r>
    </w:p>
    <w:p w14:paraId="3A0C0740" w14:textId="77777777" w:rsidR="0039231C" w:rsidRDefault="0039231C" w:rsidP="0039231C">
      <w:pPr>
        <w:rPr>
          <w:rFonts w:ascii="Times New Roman" w:hAnsi="Times New Roman" w:cs="Times New Roman"/>
          <w:sz w:val="24"/>
          <w:szCs w:val="24"/>
        </w:rPr>
      </w:pPr>
      <w:r>
        <w:rPr>
          <w:rFonts w:ascii="Times New Roman" w:hAnsi="Times New Roman" w:cs="Times New Roman"/>
          <w:sz w:val="24"/>
          <w:szCs w:val="24"/>
        </w:rPr>
        <w:t>As noted in our covering letter, the IPA has several concerns about proposed changes in reporting thresholds including:</w:t>
      </w:r>
    </w:p>
    <w:p w14:paraId="7A7EEF6C" w14:textId="77777777" w:rsidR="0039231C" w:rsidRPr="00A86C9F" w:rsidRDefault="0039231C" w:rsidP="0039231C">
      <w:pPr>
        <w:pStyle w:val="NoSpacing"/>
        <w:numPr>
          <w:ilvl w:val="0"/>
          <w:numId w:val="22"/>
        </w:numPr>
        <w:rPr>
          <w:rFonts w:ascii="Times New Roman" w:hAnsi="Times New Roman" w:cs="Times New Roman"/>
        </w:rPr>
      </w:pPr>
      <w:r w:rsidRPr="00A86C9F">
        <w:rPr>
          <w:rFonts w:ascii="Times New Roman" w:hAnsi="Times New Roman" w:cs="Times New Roman"/>
        </w:rPr>
        <w:t xml:space="preserve">The need for public accountability and transparency </w:t>
      </w:r>
    </w:p>
    <w:p w14:paraId="72B405E1" w14:textId="77777777" w:rsidR="0039231C" w:rsidRPr="00A86C9F" w:rsidRDefault="0039231C" w:rsidP="0039231C">
      <w:pPr>
        <w:pStyle w:val="NoSpacing"/>
        <w:numPr>
          <w:ilvl w:val="0"/>
          <w:numId w:val="22"/>
        </w:numPr>
        <w:rPr>
          <w:rFonts w:ascii="Times New Roman" w:hAnsi="Times New Roman" w:cs="Times New Roman"/>
        </w:rPr>
      </w:pPr>
      <w:r w:rsidRPr="00A86C9F">
        <w:rPr>
          <w:rFonts w:ascii="Times New Roman" w:hAnsi="Times New Roman" w:cs="Times New Roman"/>
        </w:rPr>
        <w:t>The inherent limitation of review engagements</w:t>
      </w:r>
    </w:p>
    <w:p w14:paraId="7F528E7B" w14:textId="77777777" w:rsidR="0039231C" w:rsidRPr="00A86C9F" w:rsidRDefault="0039231C" w:rsidP="0039231C">
      <w:pPr>
        <w:pStyle w:val="NoSpacing"/>
        <w:numPr>
          <w:ilvl w:val="0"/>
          <w:numId w:val="22"/>
        </w:numPr>
        <w:rPr>
          <w:rFonts w:ascii="Times New Roman" w:hAnsi="Times New Roman" w:cs="Times New Roman"/>
        </w:rPr>
      </w:pPr>
      <w:r w:rsidRPr="00A86C9F">
        <w:rPr>
          <w:rFonts w:ascii="Times New Roman" w:hAnsi="Times New Roman" w:cs="Times New Roman"/>
        </w:rPr>
        <w:t>The efficacy of review engagements in the context of not-for-profits, for example, the lack of SOD, inexperience of boards, and rudimentary understanding and application of governance standards</w:t>
      </w:r>
    </w:p>
    <w:p w14:paraId="1D310DBB" w14:textId="77777777" w:rsidR="0039231C" w:rsidRPr="00A86C9F" w:rsidRDefault="0039231C" w:rsidP="0039231C">
      <w:pPr>
        <w:pStyle w:val="NoSpacing"/>
        <w:numPr>
          <w:ilvl w:val="0"/>
          <w:numId w:val="22"/>
        </w:numPr>
        <w:rPr>
          <w:rFonts w:ascii="Times New Roman" w:hAnsi="Times New Roman" w:cs="Times New Roman"/>
        </w:rPr>
      </w:pPr>
      <w:r w:rsidRPr="00A86C9F">
        <w:rPr>
          <w:rFonts w:ascii="Times New Roman" w:hAnsi="Times New Roman" w:cs="Times New Roman"/>
        </w:rPr>
        <w:t>The resource requirements of the ACNC to undertake effective reviews of annual information statements and financial reports, and</w:t>
      </w:r>
    </w:p>
    <w:p w14:paraId="7DE87AF3" w14:textId="77777777" w:rsidR="0039231C" w:rsidRDefault="0039231C" w:rsidP="0039231C">
      <w:pPr>
        <w:pStyle w:val="NoSpacing"/>
        <w:numPr>
          <w:ilvl w:val="0"/>
          <w:numId w:val="22"/>
        </w:numPr>
        <w:rPr>
          <w:rFonts w:ascii="Times New Roman" w:hAnsi="Times New Roman" w:cs="Times New Roman"/>
        </w:rPr>
      </w:pPr>
      <w:r w:rsidRPr="00A86C9F">
        <w:rPr>
          <w:rFonts w:ascii="Times New Roman" w:hAnsi="Times New Roman" w:cs="Times New Roman"/>
        </w:rPr>
        <w:t>The minor cost benefits from the proposed changes.</w:t>
      </w:r>
    </w:p>
    <w:p w14:paraId="5AC1A912" w14:textId="77777777" w:rsidR="0039231C" w:rsidRPr="00A86C9F" w:rsidRDefault="0039231C" w:rsidP="0039231C">
      <w:pPr>
        <w:pStyle w:val="NoSpacing"/>
        <w:rPr>
          <w:rFonts w:ascii="Times New Roman" w:hAnsi="Times New Roman" w:cs="Times New Roman"/>
        </w:rPr>
      </w:pPr>
    </w:p>
    <w:p w14:paraId="52800DDA" w14:textId="77777777" w:rsidR="0039231C" w:rsidRPr="000D0401" w:rsidRDefault="0039231C" w:rsidP="0039231C">
      <w:pPr>
        <w:rPr>
          <w:rFonts w:ascii="Times New Roman" w:hAnsi="Times New Roman" w:cs="Times New Roman"/>
          <w:b/>
          <w:bCs/>
          <w:sz w:val="24"/>
          <w:szCs w:val="24"/>
        </w:rPr>
      </w:pPr>
      <w:r w:rsidRPr="000D0401">
        <w:rPr>
          <w:rFonts w:ascii="Times New Roman" w:hAnsi="Times New Roman" w:cs="Times New Roman"/>
          <w:b/>
          <w:bCs/>
          <w:sz w:val="24"/>
          <w:szCs w:val="24"/>
        </w:rPr>
        <w:t>Question 2</w:t>
      </w:r>
    </w:p>
    <w:p w14:paraId="15A036C5" w14:textId="77777777" w:rsidR="0039231C" w:rsidRPr="00640A26" w:rsidRDefault="0039231C" w:rsidP="0039231C">
      <w:pPr>
        <w:rPr>
          <w:rFonts w:ascii="Times New Roman" w:hAnsi="Times New Roman" w:cs="Times New Roman"/>
          <w:i/>
          <w:iCs/>
          <w:sz w:val="24"/>
          <w:szCs w:val="24"/>
        </w:rPr>
      </w:pPr>
      <w:r>
        <w:rPr>
          <w:rFonts w:ascii="Times New Roman" w:hAnsi="Times New Roman" w:cs="Times New Roman"/>
          <w:i/>
          <w:iCs/>
          <w:sz w:val="24"/>
          <w:szCs w:val="24"/>
        </w:rPr>
        <w:t>In your view, is it more important for the ACNC to increase reporting thresholds as soon as Commonwealth legislative priorities allow, or for the increased thresholds to be increased simultaneously across all jurisdictions consistent with a longer timeframe?</w:t>
      </w:r>
    </w:p>
    <w:p w14:paraId="3E61DD7D" w14:textId="77777777" w:rsidR="0039231C" w:rsidRPr="00792642" w:rsidRDefault="0039231C" w:rsidP="0039231C">
      <w:pPr>
        <w:rPr>
          <w:rFonts w:ascii="Times New Roman" w:hAnsi="Times New Roman" w:cs="Times New Roman"/>
          <w:b/>
          <w:bCs/>
          <w:sz w:val="24"/>
          <w:szCs w:val="24"/>
        </w:rPr>
      </w:pPr>
      <w:r w:rsidRPr="00792642">
        <w:rPr>
          <w:rFonts w:ascii="Times New Roman" w:hAnsi="Times New Roman" w:cs="Times New Roman"/>
          <w:b/>
          <w:bCs/>
          <w:sz w:val="24"/>
          <w:szCs w:val="24"/>
        </w:rPr>
        <w:t xml:space="preserve">IPA </w:t>
      </w:r>
      <w:r>
        <w:rPr>
          <w:rFonts w:ascii="Times New Roman" w:hAnsi="Times New Roman" w:cs="Times New Roman"/>
          <w:b/>
          <w:bCs/>
          <w:sz w:val="24"/>
          <w:szCs w:val="24"/>
        </w:rPr>
        <w:t>r</w:t>
      </w:r>
      <w:r w:rsidRPr="00792642">
        <w:rPr>
          <w:rFonts w:ascii="Times New Roman" w:hAnsi="Times New Roman" w:cs="Times New Roman"/>
          <w:b/>
          <w:bCs/>
          <w:sz w:val="24"/>
          <w:szCs w:val="24"/>
        </w:rPr>
        <w:t>esponse</w:t>
      </w:r>
    </w:p>
    <w:p w14:paraId="4B7AC78C" w14:textId="77777777" w:rsidR="0039231C" w:rsidRDefault="0039231C" w:rsidP="0039231C">
      <w:pPr>
        <w:rPr>
          <w:rFonts w:ascii="Times New Roman" w:hAnsi="Times New Roman" w:cs="Times New Roman"/>
          <w:sz w:val="24"/>
          <w:szCs w:val="24"/>
        </w:rPr>
      </w:pPr>
      <w:r>
        <w:rPr>
          <w:rFonts w:ascii="Times New Roman" w:hAnsi="Times New Roman" w:cs="Times New Roman"/>
          <w:sz w:val="24"/>
          <w:szCs w:val="24"/>
        </w:rPr>
        <w:t>As noted in our cover letter and response to Question 1, the IPA has concerns about the proposed changes to thresholds.</w:t>
      </w:r>
    </w:p>
    <w:p w14:paraId="4046161C" w14:textId="77777777" w:rsidR="0039231C" w:rsidRDefault="0039231C" w:rsidP="0039231C">
      <w:pPr>
        <w:rPr>
          <w:rFonts w:ascii="Times New Roman" w:hAnsi="Times New Roman" w:cs="Times New Roman"/>
          <w:sz w:val="24"/>
          <w:szCs w:val="24"/>
        </w:rPr>
      </w:pPr>
      <w:r>
        <w:rPr>
          <w:rFonts w:ascii="Times New Roman" w:hAnsi="Times New Roman" w:cs="Times New Roman"/>
          <w:sz w:val="24"/>
          <w:szCs w:val="24"/>
        </w:rPr>
        <w:t>We do not consider it necessary that simultaneous adjustment need to be applied to all jurisdictions.</w:t>
      </w:r>
    </w:p>
    <w:p w14:paraId="5BCAF840" w14:textId="77777777" w:rsidR="0039231C" w:rsidRPr="001A612F" w:rsidRDefault="0039231C" w:rsidP="0039231C">
      <w:pPr>
        <w:rPr>
          <w:rFonts w:ascii="Times New Roman" w:hAnsi="Times New Roman" w:cs="Times New Roman"/>
          <w:b/>
          <w:bCs/>
          <w:sz w:val="24"/>
          <w:szCs w:val="24"/>
        </w:rPr>
      </w:pPr>
      <w:r w:rsidRPr="001A612F">
        <w:rPr>
          <w:rFonts w:ascii="Times New Roman" w:hAnsi="Times New Roman" w:cs="Times New Roman"/>
          <w:b/>
          <w:bCs/>
          <w:sz w:val="24"/>
          <w:szCs w:val="24"/>
        </w:rPr>
        <w:t>Question 3</w:t>
      </w:r>
    </w:p>
    <w:p w14:paraId="14A2A56A" w14:textId="77777777" w:rsidR="0039231C" w:rsidRPr="00EE4269" w:rsidRDefault="0039231C" w:rsidP="0039231C">
      <w:pPr>
        <w:rPr>
          <w:rFonts w:ascii="Times New Roman" w:hAnsi="Times New Roman" w:cs="Times New Roman"/>
          <w:i/>
          <w:iCs/>
          <w:sz w:val="24"/>
          <w:szCs w:val="24"/>
        </w:rPr>
      </w:pPr>
      <w:r>
        <w:rPr>
          <w:rFonts w:ascii="Times New Roman" w:hAnsi="Times New Roman" w:cs="Times New Roman"/>
          <w:i/>
          <w:iCs/>
          <w:sz w:val="24"/>
          <w:szCs w:val="24"/>
        </w:rPr>
        <w:t>What lead time would you consider suitable for charities to make necessary changes to their reporting processes?</w:t>
      </w:r>
    </w:p>
    <w:p w14:paraId="3EB09824" w14:textId="77777777" w:rsidR="0039231C" w:rsidRDefault="0039231C" w:rsidP="0039231C">
      <w:pPr>
        <w:rPr>
          <w:rFonts w:ascii="Times New Roman" w:hAnsi="Times New Roman" w:cs="Times New Roman"/>
          <w:b/>
          <w:bCs/>
          <w:sz w:val="24"/>
          <w:szCs w:val="24"/>
        </w:rPr>
      </w:pPr>
      <w:r>
        <w:rPr>
          <w:rFonts w:ascii="Times New Roman" w:hAnsi="Times New Roman" w:cs="Times New Roman"/>
          <w:b/>
          <w:bCs/>
          <w:sz w:val="24"/>
          <w:szCs w:val="24"/>
        </w:rPr>
        <w:t>IPA response</w:t>
      </w:r>
    </w:p>
    <w:p w14:paraId="17C9859B" w14:textId="77777777" w:rsidR="0039231C" w:rsidRPr="00851763" w:rsidRDefault="0039231C" w:rsidP="0039231C">
      <w:pPr>
        <w:rPr>
          <w:rFonts w:ascii="Times New Roman" w:hAnsi="Times New Roman" w:cs="Times New Roman"/>
          <w:sz w:val="24"/>
          <w:szCs w:val="24"/>
        </w:rPr>
      </w:pPr>
      <w:r>
        <w:rPr>
          <w:rFonts w:ascii="Times New Roman" w:hAnsi="Times New Roman" w:cs="Times New Roman"/>
          <w:sz w:val="24"/>
          <w:szCs w:val="24"/>
        </w:rPr>
        <w:t>The IPA believes that only minor changes would be needed to address the changes arising from a change in thresholds. Twelve months after the changes are legislated would be adequate for  charities to address the changes, including liaising with professional-service providers.  Early adoption should be permitted.</w:t>
      </w:r>
    </w:p>
    <w:p w14:paraId="29174DB2" w14:textId="77777777" w:rsidR="0039231C" w:rsidRPr="002744A6" w:rsidRDefault="0039231C" w:rsidP="0039231C">
      <w:pPr>
        <w:rPr>
          <w:rFonts w:ascii="Times New Roman" w:hAnsi="Times New Roman" w:cs="Times New Roman"/>
          <w:b/>
          <w:bCs/>
          <w:sz w:val="24"/>
          <w:szCs w:val="24"/>
        </w:rPr>
      </w:pPr>
      <w:r w:rsidRPr="002744A6">
        <w:rPr>
          <w:rFonts w:ascii="Times New Roman" w:hAnsi="Times New Roman" w:cs="Times New Roman"/>
          <w:b/>
          <w:bCs/>
          <w:sz w:val="24"/>
          <w:szCs w:val="24"/>
        </w:rPr>
        <w:t>Question 4</w:t>
      </w:r>
    </w:p>
    <w:p w14:paraId="7E0C7CF4" w14:textId="77777777" w:rsidR="0039231C" w:rsidRPr="00AB0752" w:rsidRDefault="0039231C" w:rsidP="0039231C">
      <w:pPr>
        <w:spacing w:before="240"/>
        <w:rPr>
          <w:rFonts w:ascii="Times New Roman" w:hAnsi="Times New Roman" w:cs="Times New Roman"/>
          <w:i/>
          <w:iCs/>
          <w:sz w:val="24"/>
          <w:szCs w:val="24"/>
        </w:rPr>
      </w:pPr>
      <w:r>
        <w:rPr>
          <w:rFonts w:ascii="Times New Roman" w:hAnsi="Times New Roman" w:cs="Times New Roman"/>
          <w:i/>
          <w:iCs/>
          <w:sz w:val="24"/>
          <w:szCs w:val="24"/>
        </w:rPr>
        <w:t>In your view, if non-ACNC-registered incorporated associations were required to report similar financial information to that which ACNC-registered incorporated associations provide to the ACNC, would this provide sufficient accountability and transparency including for the purposes of members, donors and the interested public?</w:t>
      </w:r>
    </w:p>
    <w:p w14:paraId="40228DEF" w14:textId="77777777" w:rsidR="0039231C" w:rsidRDefault="0039231C" w:rsidP="0039231C">
      <w:pPr>
        <w:spacing w:before="240"/>
        <w:rPr>
          <w:rFonts w:ascii="Times New Roman" w:hAnsi="Times New Roman" w:cs="Times New Roman"/>
          <w:b/>
          <w:bCs/>
          <w:sz w:val="24"/>
          <w:szCs w:val="24"/>
        </w:rPr>
      </w:pPr>
      <w:r w:rsidRPr="00665978">
        <w:rPr>
          <w:rFonts w:ascii="Times New Roman" w:hAnsi="Times New Roman" w:cs="Times New Roman"/>
          <w:b/>
          <w:bCs/>
          <w:sz w:val="24"/>
          <w:szCs w:val="24"/>
        </w:rPr>
        <w:t xml:space="preserve">IPA </w:t>
      </w:r>
      <w:r>
        <w:rPr>
          <w:rFonts w:ascii="Times New Roman" w:hAnsi="Times New Roman" w:cs="Times New Roman"/>
          <w:b/>
          <w:bCs/>
          <w:sz w:val="24"/>
          <w:szCs w:val="24"/>
        </w:rPr>
        <w:t>r</w:t>
      </w:r>
      <w:r w:rsidRPr="00665978">
        <w:rPr>
          <w:rFonts w:ascii="Times New Roman" w:hAnsi="Times New Roman" w:cs="Times New Roman"/>
          <w:b/>
          <w:bCs/>
          <w:sz w:val="24"/>
          <w:szCs w:val="24"/>
        </w:rPr>
        <w:t>esponse</w:t>
      </w:r>
    </w:p>
    <w:p w14:paraId="08ABD5E1" w14:textId="77777777" w:rsidR="0039231C" w:rsidRDefault="0039231C" w:rsidP="0039231C">
      <w:pPr>
        <w:spacing w:before="240"/>
        <w:rPr>
          <w:rFonts w:ascii="Times New Roman" w:hAnsi="Times New Roman" w:cs="Times New Roman"/>
          <w:sz w:val="24"/>
          <w:szCs w:val="24"/>
        </w:rPr>
      </w:pPr>
      <w:r>
        <w:rPr>
          <w:rFonts w:ascii="Times New Roman" w:hAnsi="Times New Roman" w:cs="Times New Roman"/>
          <w:sz w:val="24"/>
          <w:szCs w:val="24"/>
        </w:rPr>
        <w:t xml:space="preserve">The IPA does not believe that reporting by non-ACNC-incorporated associations of information similar to that which ACNC-registered incorporated associations provides would give sufficient transparency to members, donors, and the interested public. </w:t>
      </w:r>
    </w:p>
    <w:p w14:paraId="4338DA3A" w14:textId="77777777" w:rsidR="0039231C" w:rsidRPr="00C76EAD" w:rsidRDefault="0039231C" w:rsidP="0039231C">
      <w:pPr>
        <w:spacing w:before="240"/>
        <w:rPr>
          <w:rFonts w:ascii="Times New Roman" w:hAnsi="Times New Roman" w:cs="Times New Roman"/>
          <w:sz w:val="24"/>
          <w:szCs w:val="24"/>
        </w:rPr>
      </w:pPr>
      <w:r>
        <w:rPr>
          <w:rFonts w:ascii="Times New Roman" w:hAnsi="Times New Roman" w:cs="Times New Roman"/>
          <w:sz w:val="24"/>
          <w:szCs w:val="24"/>
        </w:rPr>
        <w:t>As noted in our covering letter, the IPA has concerns about the current regime and would not support its extension in its current form to other entities. The IPA believes any reform to NFP reporting, including by charities, should be consistent with the AASB-NFP reporting framework to ensure that users’ needs are adequately addressed.</w:t>
      </w:r>
    </w:p>
    <w:p w14:paraId="7718B377" w14:textId="77777777" w:rsidR="0039231C" w:rsidRPr="00D343D9" w:rsidRDefault="0039231C" w:rsidP="0039231C">
      <w:pPr>
        <w:spacing w:before="240"/>
        <w:rPr>
          <w:rFonts w:ascii="Times New Roman" w:hAnsi="Times New Roman" w:cs="Times New Roman"/>
          <w:b/>
          <w:bCs/>
          <w:sz w:val="24"/>
          <w:szCs w:val="24"/>
        </w:rPr>
      </w:pPr>
      <w:r w:rsidRPr="00D343D9">
        <w:rPr>
          <w:rFonts w:ascii="Times New Roman" w:hAnsi="Times New Roman" w:cs="Times New Roman"/>
          <w:b/>
          <w:bCs/>
          <w:sz w:val="24"/>
          <w:szCs w:val="24"/>
        </w:rPr>
        <w:t>Question 5</w:t>
      </w:r>
    </w:p>
    <w:p w14:paraId="09A9D89D" w14:textId="77777777" w:rsidR="0039231C" w:rsidRPr="00B828C8" w:rsidRDefault="0039231C" w:rsidP="0039231C">
      <w:pPr>
        <w:spacing w:before="240"/>
        <w:rPr>
          <w:rFonts w:ascii="Times New Roman" w:hAnsi="Times New Roman" w:cs="Times New Roman"/>
          <w:i/>
          <w:iCs/>
          <w:sz w:val="24"/>
          <w:szCs w:val="24"/>
        </w:rPr>
      </w:pPr>
      <w:r>
        <w:rPr>
          <w:rFonts w:ascii="Times New Roman" w:hAnsi="Times New Roman" w:cs="Times New Roman"/>
          <w:i/>
          <w:iCs/>
          <w:sz w:val="24"/>
          <w:szCs w:val="24"/>
        </w:rPr>
        <w:t>What, if any issues do you consider differences in reporting thresholds for charity and non-charity incorporated associations will cause? Why?</w:t>
      </w:r>
    </w:p>
    <w:p w14:paraId="53E7C697" w14:textId="77777777" w:rsidR="0039231C" w:rsidRDefault="0039231C" w:rsidP="0039231C">
      <w:pPr>
        <w:spacing w:before="240"/>
        <w:rPr>
          <w:rFonts w:ascii="Times New Roman" w:hAnsi="Times New Roman" w:cs="Times New Roman"/>
          <w:b/>
          <w:bCs/>
          <w:sz w:val="24"/>
          <w:szCs w:val="24"/>
        </w:rPr>
      </w:pPr>
      <w:r w:rsidRPr="00665978">
        <w:rPr>
          <w:rFonts w:ascii="Times New Roman" w:hAnsi="Times New Roman" w:cs="Times New Roman"/>
          <w:b/>
          <w:bCs/>
          <w:sz w:val="24"/>
          <w:szCs w:val="24"/>
        </w:rPr>
        <w:t xml:space="preserve">IPA </w:t>
      </w:r>
      <w:r>
        <w:rPr>
          <w:rFonts w:ascii="Times New Roman" w:hAnsi="Times New Roman" w:cs="Times New Roman"/>
          <w:b/>
          <w:bCs/>
          <w:sz w:val="24"/>
          <w:szCs w:val="24"/>
        </w:rPr>
        <w:t>r</w:t>
      </w:r>
      <w:r w:rsidRPr="00665978">
        <w:rPr>
          <w:rFonts w:ascii="Times New Roman" w:hAnsi="Times New Roman" w:cs="Times New Roman"/>
          <w:b/>
          <w:bCs/>
          <w:sz w:val="24"/>
          <w:szCs w:val="24"/>
        </w:rPr>
        <w:t>esponse</w:t>
      </w:r>
    </w:p>
    <w:p w14:paraId="7DBA7A99" w14:textId="77777777" w:rsidR="0039231C" w:rsidRPr="0087066F" w:rsidRDefault="0039231C" w:rsidP="0039231C">
      <w:pPr>
        <w:spacing w:before="240"/>
        <w:rPr>
          <w:rFonts w:ascii="Times New Roman" w:hAnsi="Times New Roman" w:cs="Times New Roman"/>
          <w:sz w:val="24"/>
          <w:szCs w:val="24"/>
        </w:rPr>
      </w:pPr>
      <w:r>
        <w:rPr>
          <w:rFonts w:ascii="Times New Roman" w:hAnsi="Times New Roman" w:cs="Times New Roman"/>
          <w:sz w:val="24"/>
          <w:szCs w:val="24"/>
        </w:rPr>
        <w:t xml:space="preserve">The difference in thresholds for charities and non-charities is most likely to cause confusion for boards and professional advisers, resulting in non-compliance with appropriate requirements. This could be mitigated by clear and consistent communication on the respective responsible regulators’ websites of requirements applicable to each type of entity. </w:t>
      </w:r>
    </w:p>
    <w:p w14:paraId="75FE476D" w14:textId="77777777" w:rsidR="0039231C" w:rsidRDefault="0039231C" w:rsidP="0039231C">
      <w:pPr>
        <w:spacing w:before="240"/>
        <w:rPr>
          <w:rFonts w:ascii="Times New Roman" w:hAnsi="Times New Roman" w:cs="Times New Roman"/>
          <w:b/>
          <w:bCs/>
          <w:sz w:val="24"/>
          <w:szCs w:val="24"/>
        </w:rPr>
      </w:pPr>
      <w:r w:rsidRPr="00B560A5">
        <w:rPr>
          <w:rFonts w:ascii="Times New Roman" w:hAnsi="Times New Roman" w:cs="Times New Roman"/>
          <w:b/>
          <w:bCs/>
          <w:sz w:val="24"/>
          <w:szCs w:val="24"/>
        </w:rPr>
        <w:t>Question 6</w:t>
      </w:r>
    </w:p>
    <w:p w14:paraId="37070693" w14:textId="77777777" w:rsidR="0039231C" w:rsidRPr="00B828C8" w:rsidRDefault="0039231C" w:rsidP="0039231C">
      <w:pPr>
        <w:spacing w:before="240"/>
        <w:rPr>
          <w:rFonts w:ascii="Times New Roman" w:hAnsi="Times New Roman" w:cs="Times New Roman"/>
          <w:i/>
          <w:iCs/>
          <w:sz w:val="24"/>
          <w:szCs w:val="24"/>
        </w:rPr>
      </w:pPr>
      <w:r>
        <w:rPr>
          <w:rFonts w:ascii="Times New Roman" w:hAnsi="Times New Roman" w:cs="Times New Roman"/>
          <w:i/>
          <w:iCs/>
          <w:sz w:val="24"/>
          <w:szCs w:val="24"/>
        </w:rPr>
        <w:t>In your opinion, is the Thresholds Working Group overlooking any issues concerning the nexus between fundraising reporting requirements and financial reporting requirements for ACNC-registered charities?</w:t>
      </w:r>
    </w:p>
    <w:p w14:paraId="2394177C" w14:textId="77777777" w:rsidR="0039231C" w:rsidRDefault="0039231C" w:rsidP="0039231C">
      <w:pPr>
        <w:spacing w:before="240"/>
        <w:rPr>
          <w:rFonts w:ascii="Times New Roman" w:hAnsi="Times New Roman" w:cs="Times New Roman"/>
          <w:b/>
          <w:bCs/>
          <w:sz w:val="24"/>
          <w:szCs w:val="24"/>
        </w:rPr>
      </w:pPr>
      <w:r>
        <w:rPr>
          <w:rFonts w:ascii="Times New Roman" w:hAnsi="Times New Roman" w:cs="Times New Roman"/>
          <w:b/>
          <w:bCs/>
          <w:sz w:val="24"/>
          <w:szCs w:val="24"/>
        </w:rPr>
        <w:t>IPA response</w:t>
      </w:r>
    </w:p>
    <w:p w14:paraId="4B3DB5A2" w14:textId="0355C0F9" w:rsidR="0000422E" w:rsidRPr="00C84D87" w:rsidRDefault="0039231C" w:rsidP="0039231C">
      <w:pPr>
        <w:rPr>
          <w:rFonts w:ascii="Arial" w:hAnsi="Arial" w:cs="Arial"/>
          <w:sz w:val="20"/>
          <w:szCs w:val="20"/>
        </w:rPr>
      </w:pPr>
      <w:r>
        <w:rPr>
          <w:rFonts w:ascii="Times New Roman" w:hAnsi="Times New Roman" w:cs="Times New Roman"/>
          <w:sz w:val="24"/>
          <w:szCs w:val="24"/>
        </w:rPr>
        <w:t>The IPA is unaware of issues concerning fundraising-reporting and financial-reporting requirements for</w:t>
      </w:r>
    </w:p>
    <w:sectPr w:rsidR="0000422E" w:rsidRPr="00C84D8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22DD5" w14:textId="77777777" w:rsidR="007F41A4" w:rsidRDefault="007F41A4" w:rsidP="007F41A4">
      <w:pPr>
        <w:spacing w:after="0" w:line="240" w:lineRule="auto"/>
      </w:pPr>
      <w:r>
        <w:separator/>
      </w:r>
    </w:p>
  </w:endnote>
  <w:endnote w:type="continuationSeparator" w:id="0">
    <w:p w14:paraId="5F5C4352" w14:textId="77777777" w:rsidR="007F41A4" w:rsidRDefault="007F41A4" w:rsidP="007F4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0399" w14:textId="77777777" w:rsidR="006D467A" w:rsidRDefault="006D4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163BB" w14:textId="77777777" w:rsidR="006D467A" w:rsidRDefault="006D46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AEDB4" w14:textId="77777777" w:rsidR="006D467A" w:rsidRDefault="006D4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29A69" w14:textId="77777777" w:rsidR="007F41A4" w:rsidRDefault="007F41A4" w:rsidP="007F41A4">
      <w:pPr>
        <w:spacing w:after="0" w:line="240" w:lineRule="auto"/>
      </w:pPr>
      <w:r>
        <w:separator/>
      </w:r>
    </w:p>
  </w:footnote>
  <w:footnote w:type="continuationSeparator" w:id="0">
    <w:p w14:paraId="56AB24E2" w14:textId="77777777" w:rsidR="007F41A4" w:rsidRDefault="007F41A4" w:rsidP="007F4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76F96" w14:textId="77777777" w:rsidR="006D467A" w:rsidRDefault="006D46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BAFBB" w14:textId="77777777" w:rsidR="006D467A" w:rsidRDefault="006D46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4470B" w14:textId="77777777" w:rsidR="006D467A" w:rsidRDefault="006D4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DB6"/>
    <w:multiLevelType w:val="hybridMultilevel"/>
    <w:tmpl w:val="3C6A3B88"/>
    <w:lvl w:ilvl="0" w:tplc="87A8A1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D4574F"/>
    <w:multiLevelType w:val="hybridMultilevel"/>
    <w:tmpl w:val="37B0B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AA2332"/>
    <w:multiLevelType w:val="hybridMultilevel"/>
    <w:tmpl w:val="7502599C"/>
    <w:lvl w:ilvl="0" w:tplc="98BE25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7D2609E"/>
    <w:multiLevelType w:val="hybridMultilevel"/>
    <w:tmpl w:val="799E3B42"/>
    <w:lvl w:ilvl="0" w:tplc="3EF0FB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9F12AD1"/>
    <w:multiLevelType w:val="hybridMultilevel"/>
    <w:tmpl w:val="A036A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9313B1"/>
    <w:multiLevelType w:val="hybridMultilevel"/>
    <w:tmpl w:val="36860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9F716B"/>
    <w:multiLevelType w:val="hybridMultilevel"/>
    <w:tmpl w:val="F7180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D15800"/>
    <w:multiLevelType w:val="hybridMultilevel"/>
    <w:tmpl w:val="F65CBC52"/>
    <w:lvl w:ilvl="0" w:tplc="9CE81F8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4D4A45C2"/>
    <w:multiLevelType w:val="hybridMultilevel"/>
    <w:tmpl w:val="05D4D6D0"/>
    <w:lvl w:ilvl="0" w:tplc="BD0060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3923EA2"/>
    <w:multiLevelType w:val="hybridMultilevel"/>
    <w:tmpl w:val="35E4C4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9776882"/>
    <w:multiLevelType w:val="hybridMultilevel"/>
    <w:tmpl w:val="4684B1B2"/>
    <w:lvl w:ilvl="0" w:tplc="98BE25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CBE25AB"/>
    <w:multiLevelType w:val="hybridMultilevel"/>
    <w:tmpl w:val="90D00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ECA33A5"/>
    <w:multiLevelType w:val="hybridMultilevel"/>
    <w:tmpl w:val="E58CBB78"/>
    <w:lvl w:ilvl="0" w:tplc="10CA51C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F0928CC"/>
    <w:multiLevelType w:val="hybridMultilevel"/>
    <w:tmpl w:val="8BB4EA44"/>
    <w:lvl w:ilvl="0" w:tplc="727674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12B78F5"/>
    <w:multiLevelType w:val="hybridMultilevel"/>
    <w:tmpl w:val="B4EE7AEC"/>
    <w:lvl w:ilvl="0" w:tplc="98BE25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4990997"/>
    <w:multiLevelType w:val="hybridMultilevel"/>
    <w:tmpl w:val="484E4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CB5FCE"/>
    <w:multiLevelType w:val="hybridMultilevel"/>
    <w:tmpl w:val="47F2A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6B7146"/>
    <w:multiLevelType w:val="hybridMultilevel"/>
    <w:tmpl w:val="99864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F54D75"/>
    <w:multiLevelType w:val="hybridMultilevel"/>
    <w:tmpl w:val="07383672"/>
    <w:lvl w:ilvl="0" w:tplc="94F020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70A1A1B"/>
    <w:multiLevelType w:val="hybridMultilevel"/>
    <w:tmpl w:val="80ACB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7E5500"/>
    <w:multiLevelType w:val="hybridMultilevel"/>
    <w:tmpl w:val="2F4CE762"/>
    <w:lvl w:ilvl="0" w:tplc="3B7A0A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E932E52"/>
    <w:multiLevelType w:val="hybridMultilevel"/>
    <w:tmpl w:val="9A182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7"/>
  </w:num>
  <w:num w:numId="4">
    <w:abstractNumId w:val="16"/>
  </w:num>
  <w:num w:numId="5">
    <w:abstractNumId w:val="9"/>
  </w:num>
  <w:num w:numId="6">
    <w:abstractNumId w:val="12"/>
  </w:num>
  <w:num w:numId="7">
    <w:abstractNumId w:val="8"/>
  </w:num>
  <w:num w:numId="8">
    <w:abstractNumId w:val="18"/>
  </w:num>
  <w:num w:numId="9">
    <w:abstractNumId w:val="3"/>
  </w:num>
  <w:num w:numId="10">
    <w:abstractNumId w:val="20"/>
  </w:num>
  <w:num w:numId="11">
    <w:abstractNumId w:val="1"/>
  </w:num>
  <w:num w:numId="12">
    <w:abstractNumId w:val="10"/>
  </w:num>
  <w:num w:numId="13">
    <w:abstractNumId w:val="2"/>
  </w:num>
  <w:num w:numId="14">
    <w:abstractNumId w:val="14"/>
  </w:num>
  <w:num w:numId="15">
    <w:abstractNumId w:val="4"/>
  </w:num>
  <w:num w:numId="16">
    <w:abstractNumId w:val="19"/>
  </w:num>
  <w:num w:numId="17">
    <w:abstractNumId w:val="5"/>
  </w:num>
  <w:num w:numId="18">
    <w:abstractNumId w:val="15"/>
  </w:num>
  <w:num w:numId="19">
    <w:abstractNumId w:val="6"/>
  </w:num>
  <w:num w:numId="20">
    <w:abstractNumId w:val="17"/>
  </w:num>
  <w:num w:numId="21">
    <w:abstractNumId w:val="11"/>
  </w:num>
  <w:num w:numId="2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D54"/>
    <w:rsid w:val="00001DEE"/>
    <w:rsid w:val="0000422E"/>
    <w:rsid w:val="00067B4A"/>
    <w:rsid w:val="000826D3"/>
    <w:rsid w:val="00091D54"/>
    <w:rsid w:val="000A0257"/>
    <w:rsid w:val="000A0DC7"/>
    <w:rsid w:val="000A228E"/>
    <w:rsid w:val="000A2599"/>
    <w:rsid w:val="000D747B"/>
    <w:rsid w:val="00104DC3"/>
    <w:rsid w:val="0012171F"/>
    <w:rsid w:val="00191B28"/>
    <w:rsid w:val="001A477A"/>
    <w:rsid w:val="001C4ED9"/>
    <w:rsid w:val="00202893"/>
    <w:rsid w:val="00211115"/>
    <w:rsid w:val="00217B5C"/>
    <w:rsid w:val="002237A6"/>
    <w:rsid w:val="00244512"/>
    <w:rsid w:val="00245A38"/>
    <w:rsid w:val="00262F3C"/>
    <w:rsid w:val="00276359"/>
    <w:rsid w:val="00285257"/>
    <w:rsid w:val="00285960"/>
    <w:rsid w:val="002D3915"/>
    <w:rsid w:val="003447F9"/>
    <w:rsid w:val="00373E31"/>
    <w:rsid w:val="00374D92"/>
    <w:rsid w:val="00381E33"/>
    <w:rsid w:val="0039231C"/>
    <w:rsid w:val="003B5593"/>
    <w:rsid w:val="003F667F"/>
    <w:rsid w:val="00403A97"/>
    <w:rsid w:val="00407802"/>
    <w:rsid w:val="00427F24"/>
    <w:rsid w:val="00451E30"/>
    <w:rsid w:val="00476F7C"/>
    <w:rsid w:val="004833C9"/>
    <w:rsid w:val="00491FDE"/>
    <w:rsid w:val="004B309D"/>
    <w:rsid w:val="004B4FBB"/>
    <w:rsid w:val="004C12D4"/>
    <w:rsid w:val="004D35C6"/>
    <w:rsid w:val="004D41F8"/>
    <w:rsid w:val="005144CD"/>
    <w:rsid w:val="005154E9"/>
    <w:rsid w:val="00562865"/>
    <w:rsid w:val="00563844"/>
    <w:rsid w:val="00597F27"/>
    <w:rsid w:val="005E4829"/>
    <w:rsid w:val="005E7CA7"/>
    <w:rsid w:val="006047CE"/>
    <w:rsid w:val="00607C10"/>
    <w:rsid w:val="00624C31"/>
    <w:rsid w:val="00640A39"/>
    <w:rsid w:val="006417E7"/>
    <w:rsid w:val="00643F1A"/>
    <w:rsid w:val="00651D2E"/>
    <w:rsid w:val="006943E9"/>
    <w:rsid w:val="006A738E"/>
    <w:rsid w:val="006B18E0"/>
    <w:rsid w:val="006D467A"/>
    <w:rsid w:val="006D5931"/>
    <w:rsid w:val="006F0F66"/>
    <w:rsid w:val="00712D54"/>
    <w:rsid w:val="007635FA"/>
    <w:rsid w:val="0076612E"/>
    <w:rsid w:val="0077209A"/>
    <w:rsid w:val="00774FD0"/>
    <w:rsid w:val="0077665D"/>
    <w:rsid w:val="007F2F19"/>
    <w:rsid w:val="007F41A4"/>
    <w:rsid w:val="00822F08"/>
    <w:rsid w:val="00844A5C"/>
    <w:rsid w:val="00847FFE"/>
    <w:rsid w:val="00852781"/>
    <w:rsid w:val="00881A1A"/>
    <w:rsid w:val="008828A7"/>
    <w:rsid w:val="00893CCB"/>
    <w:rsid w:val="008B419B"/>
    <w:rsid w:val="008E667C"/>
    <w:rsid w:val="008F03F3"/>
    <w:rsid w:val="0094146D"/>
    <w:rsid w:val="00943735"/>
    <w:rsid w:val="00945559"/>
    <w:rsid w:val="00946B38"/>
    <w:rsid w:val="009C754F"/>
    <w:rsid w:val="009C7AAA"/>
    <w:rsid w:val="009C7FA4"/>
    <w:rsid w:val="009F4824"/>
    <w:rsid w:val="009F66F9"/>
    <w:rsid w:val="00A40187"/>
    <w:rsid w:val="00A668CA"/>
    <w:rsid w:val="00AC5391"/>
    <w:rsid w:val="00AD1BC7"/>
    <w:rsid w:val="00AE056A"/>
    <w:rsid w:val="00B42925"/>
    <w:rsid w:val="00B76E78"/>
    <w:rsid w:val="00B94BCB"/>
    <w:rsid w:val="00BF6CD4"/>
    <w:rsid w:val="00C03C79"/>
    <w:rsid w:val="00C14DBE"/>
    <w:rsid w:val="00C158CA"/>
    <w:rsid w:val="00C364E4"/>
    <w:rsid w:val="00C40A7B"/>
    <w:rsid w:val="00C84D87"/>
    <w:rsid w:val="00CA2798"/>
    <w:rsid w:val="00CB6FD5"/>
    <w:rsid w:val="00CC0B2C"/>
    <w:rsid w:val="00CD17DF"/>
    <w:rsid w:val="00CF41F8"/>
    <w:rsid w:val="00D01CE6"/>
    <w:rsid w:val="00D23D35"/>
    <w:rsid w:val="00D348D7"/>
    <w:rsid w:val="00D43441"/>
    <w:rsid w:val="00D84D0E"/>
    <w:rsid w:val="00D87874"/>
    <w:rsid w:val="00DB4FC6"/>
    <w:rsid w:val="00DD1240"/>
    <w:rsid w:val="00DE72B3"/>
    <w:rsid w:val="00DF4572"/>
    <w:rsid w:val="00E006B5"/>
    <w:rsid w:val="00E13701"/>
    <w:rsid w:val="00E17F5E"/>
    <w:rsid w:val="00E575A0"/>
    <w:rsid w:val="00EA644B"/>
    <w:rsid w:val="00EB5277"/>
    <w:rsid w:val="00F101D5"/>
    <w:rsid w:val="00F2264E"/>
    <w:rsid w:val="00F2424D"/>
    <w:rsid w:val="00F24B1A"/>
    <w:rsid w:val="00F42E63"/>
    <w:rsid w:val="00F43863"/>
    <w:rsid w:val="00F62CDD"/>
    <w:rsid w:val="00FB1477"/>
    <w:rsid w:val="00FE258A"/>
    <w:rsid w:val="00FE3562"/>
    <w:rsid w:val="00FF2CAF"/>
    <w:rsid w:val="00FF6F7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FC7A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960"/>
    <w:pPr>
      <w:ind w:left="720"/>
      <w:contextualSpacing/>
    </w:pPr>
  </w:style>
  <w:style w:type="paragraph" w:styleId="NoSpacing">
    <w:name w:val="No Spacing"/>
    <w:uiPriority w:val="1"/>
    <w:qFormat/>
    <w:rsid w:val="000A228E"/>
    <w:pPr>
      <w:spacing w:after="0" w:line="240" w:lineRule="auto"/>
    </w:pPr>
  </w:style>
  <w:style w:type="character" w:styleId="Hyperlink">
    <w:name w:val="Hyperlink"/>
    <w:basedOn w:val="DefaultParagraphFont"/>
    <w:uiPriority w:val="99"/>
    <w:unhideWhenUsed/>
    <w:rsid w:val="00067B4A"/>
    <w:rPr>
      <w:color w:val="0563C1" w:themeColor="hyperlink"/>
      <w:u w:val="single"/>
    </w:rPr>
  </w:style>
  <w:style w:type="character" w:customStyle="1" w:styleId="UnresolvedMention">
    <w:name w:val="Unresolved Mention"/>
    <w:basedOn w:val="DefaultParagraphFont"/>
    <w:uiPriority w:val="99"/>
    <w:semiHidden/>
    <w:unhideWhenUsed/>
    <w:rsid w:val="00067B4A"/>
    <w:rPr>
      <w:color w:val="605E5C"/>
      <w:shd w:val="clear" w:color="auto" w:fill="E1DFDD"/>
    </w:rPr>
  </w:style>
  <w:style w:type="paragraph" w:customStyle="1" w:styleId="Default">
    <w:name w:val="Default"/>
    <w:rsid w:val="00F24B1A"/>
    <w:pPr>
      <w:autoSpaceDE w:val="0"/>
      <w:autoSpaceDN w:val="0"/>
      <w:adjustRightInd w:val="0"/>
      <w:spacing w:after="0" w:line="240" w:lineRule="auto"/>
    </w:pPr>
    <w:rPr>
      <w:rFonts w:ascii="Arial" w:hAnsi="Arial" w:cs="Arial"/>
      <w:color w:val="000000"/>
      <w:sz w:val="24"/>
      <w:szCs w:val="24"/>
      <w:lang w:val="en-US"/>
    </w:rPr>
  </w:style>
  <w:style w:type="paragraph" w:styleId="NormalWeb">
    <w:name w:val="Normal (Web)"/>
    <w:basedOn w:val="Normal"/>
    <w:uiPriority w:val="99"/>
    <w:unhideWhenUsed/>
    <w:rsid w:val="00D348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D4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67A"/>
  </w:style>
  <w:style w:type="paragraph" w:styleId="Footer">
    <w:name w:val="footer"/>
    <w:basedOn w:val="Normal"/>
    <w:link w:val="FooterChar"/>
    <w:uiPriority w:val="99"/>
    <w:unhideWhenUsed/>
    <w:rsid w:val="006D4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enlagreca@ao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colin@gaap.com.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the Increasing harmonised financial reporting thresholds for ACNC registered charities consultation</dc:title>
  <dc:subject/>
  <dc:creator/>
  <cp:keywords/>
  <dc:description/>
  <cp:lastModifiedBy/>
  <cp:revision>1</cp:revision>
  <dcterms:created xsi:type="dcterms:W3CDTF">2021-03-29T05:11:00Z</dcterms:created>
  <dcterms:modified xsi:type="dcterms:W3CDTF">2021-03-29T05:11:00Z</dcterms:modified>
</cp:coreProperties>
</file>