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0DDA55" w14:textId="018A4D52" w:rsidR="0087540C" w:rsidRDefault="0087540C" w:rsidP="00A90C3E">
      <w:bookmarkStart w:id="0" w:name="_GoBack"/>
      <w:bookmarkEnd w:id="0"/>
      <w:r>
        <w:t>Received by Treasury as an email on 23 February 2021</w:t>
      </w:r>
    </w:p>
    <w:p w14:paraId="6C4BD46B" w14:textId="77777777" w:rsidR="0087540C" w:rsidRDefault="0087540C" w:rsidP="00A90C3E"/>
    <w:p w14:paraId="6C15AF88" w14:textId="11E48D4F" w:rsidR="00A90C3E" w:rsidRDefault="00A90C3E" w:rsidP="00A90C3E">
      <w:r>
        <w:t>To whom it may concern,</w:t>
      </w:r>
    </w:p>
    <w:p w14:paraId="16FBF416" w14:textId="77777777" w:rsidR="00A90C3E" w:rsidRDefault="00A90C3E" w:rsidP="00A90C3E"/>
    <w:p w14:paraId="5ACFB73F" w14:textId="77777777" w:rsidR="00A90C3E" w:rsidRDefault="00A90C3E" w:rsidP="00A90C3E">
      <w:r>
        <w:t>Firstly, I would like to say that I am in principle a supporter of increasing thresholds for reducing regulatory burden on charities.</w:t>
      </w:r>
    </w:p>
    <w:p w14:paraId="6DB5E21F" w14:textId="77777777" w:rsidR="00A90C3E" w:rsidRDefault="00A90C3E" w:rsidP="00A90C3E"/>
    <w:p w14:paraId="75B0B13A" w14:textId="77777777" w:rsidR="00A90C3E" w:rsidRDefault="00A90C3E" w:rsidP="00A90C3E">
      <w:r>
        <w:t xml:space="preserve">However, I feel the following needs to </w:t>
      </w:r>
      <w:proofErr w:type="gramStart"/>
      <w:r>
        <w:t>addressed</w:t>
      </w:r>
      <w:proofErr w:type="gramEnd"/>
      <w:r>
        <w:t xml:space="preserve"> at the same time as implementation of increasing the thresholds. </w:t>
      </w:r>
    </w:p>
    <w:p w14:paraId="168BE28D" w14:textId="77777777" w:rsidR="00A90C3E" w:rsidRDefault="00A90C3E" w:rsidP="00A90C3E"/>
    <w:p w14:paraId="0F7F0508" w14:textId="77777777" w:rsidR="00A90C3E" w:rsidRDefault="00A90C3E" w:rsidP="00A90C3E">
      <w:pPr>
        <w:pStyle w:val="ListParagraph"/>
        <w:numPr>
          <w:ilvl w:val="0"/>
          <w:numId w:val="1"/>
        </w:numPr>
      </w:pPr>
      <w:r>
        <w:t>The changes being implemented at AASB need to align with the proposed changes at ACNC concurrently;</w:t>
      </w:r>
    </w:p>
    <w:p w14:paraId="16F0B42A" w14:textId="77777777" w:rsidR="00A90C3E" w:rsidRDefault="00A90C3E" w:rsidP="00A90C3E">
      <w:pPr>
        <w:pStyle w:val="ListParagraph"/>
        <w:numPr>
          <w:ilvl w:val="0"/>
          <w:numId w:val="1"/>
        </w:numPr>
      </w:pPr>
      <w:r>
        <w:t> Currently, there is no differentiation between charities with DGR status and those without DGR as the threshold determines the level of reporting and review/audit required. This should be reviewed in context with the change in thresholds. Should more audit or review be required on a small entity that has DGR status vs a small charity that doesn’t have DGR?</w:t>
      </w:r>
    </w:p>
    <w:p w14:paraId="2B3C61D6" w14:textId="77777777" w:rsidR="00A90C3E" w:rsidRDefault="00A90C3E" w:rsidP="00A90C3E">
      <w:pPr>
        <w:pStyle w:val="ListParagraph"/>
        <w:numPr>
          <w:ilvl w:val="0"/>
          <w:numId w:val="1"/>
        </w:numPr>
      </w:pPr>
      <w:r>
        <w:t>Charitable Fundraising Act (in NSW and other states if applicable) should be aligned to ACNC or harmonised with the same reporting requirements (albeit that I am aware that Treasury has limited scope of state based jurisdictions)</w:t>
      </w:r>
    </w:p>
    <w:p w14:paraId="46821985" w14:textId="77777777" w:rsidR="00A90C3E" w:rsidRDefault="00A90C3E" w:rsidP="00A90C3E">
      <w:pPr>
        <w:pStyle w:val="ListParagraph"/>
        <w:numPr>
          <w:ilvl w:val="0"/>
          <w:numId w:val="1"/>
        </w:numPr>
      </w:pPr>
      <w:r>
        <w:t>Further guidance should be provided to boards as to the “tiebreaker” when a charity’s governing documents explicitly say they require an audit even though they may be small under the ACNC legislation;</w:t>
      </w:r>
    </w:p>
    <w:p w14:paraId="0819E7CD" w14:textId="77777777" w:rsidR="00A90C3E" w:rsidRDefault="00A90C3E" w:rsidP="00A90C3E">
      <w:pPr>
        <w:pStyle w:val="ListParagraph"/>
        <w:numPr>
          <w:ilvl w:val="0"/>
          <w:numId w:val="1"/>
        </w:numPr>
      </w:pPr>
      <w:r>
        <w:t>The threshold for a medium should be 500K to $2m and 2m+ for large charities;</w:t>
      </w:r>
    </w:p>
    <w:p w14:paraId="64DE46D6" w14:textId="77777777" w:rsidR="00A90C3E" w:rsidRDefault="00A90C3E" w:rsidP="00A90C3E">
      <w:pPr>
        <w:pStyle w:val="ListParagraph"/>
        <w:numPr>
          <w:ilvl w:val="0"/>
          <w:numId w:val="1"/>
        </w:numPr>
      </w:pPr>
      <w:r>
        <w:t xml:space="preserve">Discussion should be had to the impact on Aboriginal corporations that are registered for ACNC and ORIC specifically the threshold harmonisation/ reporting harmonisation. There is no mention of in the consultation </w:t>
      </w:r>
      <w:proofErr w:type="spellStart"/>
      <w:r>
        <w:t>workpaper</w:t>
      </w:r>
      <w:proofErr w:type="spellEnd"/>
      <w:r>
        <w:t xml:space="preserve">.  </w:t>
      </w:r>
    </w:p>
    <w:p w14:paraId="3E5075C1" w14:textId="77777777" w:rsidR="00A90C3E" w:rsidRDefault="00A90C3E" w:rsidP="00A90C3E"/>
    <w:p w14:paraId="2FC24A2D" w14:textId="77777777" w:rsidR="00A90C3E" w:rsidRDefault="00A90C3E" w:rsidP="00A90C3E">
      <w:pPr>
        <w:rPr>
          <w:lang w:val="en-US" w:eastAsia="en-AU"/>
        </w:rPr>
      </w:pPr>
      <w:r>
        <w:rPr>
          <w:lang w:val="en-US" w:eastAsia="en-AU"/>
        </w:rPr>
        <w:t>Should you have any queries please do not hesitate to contact our office.</w:t>
      </w:r>
    </w:p>
    <w:p w14:paraId="4BA46AC0" w14:textId="77777777" w:rsidR="00A90C3E" w:rsidRDefault="00A90C3E" w:rsidP="00A90C3E">
      <w:pPr>
        <w:rPr>
          <w:lang w:val="en-US" w:eastAsia="en-AU"/>
        </w:rPr>
      </w:pPr>
    </w:p>
    <w:p w14:paraId="7DA02FBF" w14:textId="77777777" w:rsidR="00A90C3E" w:rsidRDefault="00A90C3E" w:rsidP="00A90C3E">
      <w:pPr>
        <w:rPr>
          <w:lang w:eastAsia="en-AU"/>
        </w:rPr>
      </w:pPr>
      <w:r>
        <w:rPr>
          <w:lang w:val="en-US" w:eastAsia="en-AU"/>
        </w:rPr>
        <w:t>Regards,</w:t>
      </w:r>
    </w:p>
    <w:p w14:paraId="0554B717" w14:textId="77777777" w:rsidR="00A90C3E" w:rsidRDefault="00A90C3E" w:rsidP="00A90C3E">
      <w:pPr>
        <w:rPr>
          <w:color w:val="1F497D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61"/>
      </w:tblGrid>
      <w:tr w:rsidR="00A90C3E" w14:paraId="175AF1BF" w14:textId="77777777" w:rsidTr="00A90C3E">
        <w:tc>
          <w:tcPr>
            <w:tcW w:w="0" w:type="auto"/>
            <w:vAlign w:val="center"/>
            <w:hideMark/>
          </w:tcPr>
          <w:p w14:paraId="1E0094D8" w14:textId="77777777" w:rsidR="00A90C3E" w:rsidRDefault="00A90C3E">
            <w:pPr>
              <w:spacing w:before="100" w:beforeAutospacing="1" w:after="100" w:afterAutospacing="1" w:line="270" w:lineRule="atLeast"/>
              <w:rPr>
                <w:b/>
                <w:bCs/>
                <w:color w:val="9F1D2F"/>
                <w:sz w:val="24"/>
                <w:szCs w:val="24"/>
                <w:lang w:eastAsia="en-AU"/>
              </w:rPr>
            </w:pPr>
            <w:r>
              <w:rPr>
                <w:b/>
                <w:bCs/>
                <w:color w:val="9F1D2F"/>
                <w:sz w:val="24"/>
                <w:szCs w:val="24"/>
                <w:lang w:eastAsia="en-AU"/>
              </w:rPr>
              <w:t>Thomas McCarthy </w:t>
            </w:r>
            <w:r>
              <w:rPr>
                <w:b/>
                <w:bCs/>
                <w:color w:val="9F1D2F"/>
                <w:sz w:val="18"/>
                <w:szCs w:val="18"/>
                <w:lang w:eastAsia="en-AU"/>
              </w:rPr>
              <w:t>CA JP </w:t>
            </w:r>
            <w:r>
              <w:rPr>
                <w:b/>
                <w:bCs/>
                <w:color w:val="9F1D2F"/>
                <w:sz w:val="24"/>
                <w:szCs w:val="24"/>
                <w:lang w:eastAsia="en-AU"/>
              </w:rPr>
              <w:t>  </w:t>
            </w:r>
            <w:r>
              <w:rPr>
                <w:color w:val="000000"/>
                <w:sz w:val="18"/>
                <w:szCs w:val="18"/>
                <w:lang w:eastAsia="en-AU"/>
              </w:rPr>
              <w:t>|</w:t>
            </w:r>
            <w:r>
              <w:rPr>
                <w:b/>
                <w:bCs/>
                <w:color w:val="9F1D2F"/>
                <w:sz w:val="24"/>
                <w:szCs w:val="24"/>
                <w:lang w:eastAsia="en-AU"/>
              </w:rPr>
              <w:t>  </w:t>
            </w:r>
            <w:r>
              <w:rPr>
                <w:color w:val="000000"/>
                <w:sz w:val="24"/>
                <w:szCs w:val="24"/>
                <w:lang w:eastAsia="en-AU"/>
              </w:rPr>
              <w:t> Director</w:t>
            </w:r>
          </w:p>
        </w:tc>
      </w:tr>
      <w:tr w:rsidR="00A90C3E" w14:paraId="65B3A751" w14:textId="77777777" w:rsidTr="00A90C3E">
        <w:tc>
          <w:tcPr>
            <w:tcW w:w="0" w:type="auto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F8E69C" w14:textId="77777777" w:rsidR="00A90C3E" w:rsidRDefault="00A90C3E">
            <w:pPr>
              <w:spacing w:before="100" w:beforeAutospacing="1" w:after="100" w:afterAutospacing="1" w:line="270" w:lineRule="atLeast"/>
              <w:rPr>
                <w:color w:val="000000"/>
                <w:sz w:val="23"/>
                <w:szCs w:val="23"/>
                <w:lang w:eastAsia="en-AU"/>
              </w:rPr>
            </w:pPr>
            <w:r>
              <w:rPr>
                <w:b/>
                <w:bCs/>
                <w:color w:val="9F1D2F"/>
                <w:sz w:val="23"/>
                <w:szCs w:val="23"/>
                <w:lang w:eastAsia="en-AU"/>
              </w:rPr>
              <w:t>P</w:t>
            </w:r>
            <w:r>
              <w:rPr>
                <w:color w:val="000000"/>
                <w:sz w:val="23"/>
                <w:szCs w:val="23"/>
                <w:lang w:eastAsia="en-AU"/>
              </w:rPr>
              <w:t> +61 2 9890 3333   </w:t>
            </w:r>
            <w:r>
              <w:rPr>
                <w:color w:val="000000"/>
                <w:sz w:val="18"/>
                <w:szCs w:val="18"/>
                <w:lang w:eastAsia="en-AU"/>
              </w:rPr>
              <w:t>|</w:t>
            </w:r>
            <w:r>
              <w:rPr>
                <w:color w:val="000000"/>
                <w:sz w:val="23"/>
                <w:szCs w:val="23"/>
                <w:lang w:eastAsia="en-AU"/>
              </w:rPr>
              <w:t>   </w:t>
            </w:r>
            <w:r>
              <w:rPr>
                <w:b/>
                <w:bCs/>
                <w:color w:val="9F1D2F"/>
                <w:sz w:val="23"/>
                <w:szCs w:val="23"/>
                <w:lang w:eastAsia="en-AU"/>
              </w:rPr>
              <w:t>E</w:t>
            </w:r>
            <w:hyperlink r:id="rId7" w:history="1">
              <w:r>
                <w:rPr>
                  <w:rStyle w:val="Hyperlink"/>
                  <w:color w:val="000000"/>
                  <w:sz w:val="23"/>
                  <w:szCs w:val="23"/>
                  <w:bdr w:val="none" w:sz="0" w:space="0" w:color="auto" w:frame="1"/>
                  <w:lang w:eastAsia="en-AU"/>
                </w:rPr>
                <w:t> tmccarthy@mccarthysalkeld.com.au</w:t>
              </w:r>
            </w:hyperlink>
            <w:r>
              <w:rPr>
                <w:color w:val="000000"/>
                <w:sz w:val="23"/>
                <w:szCs w:val="23"/>
                <w:lang w:eastAsia="en-AU"/>
              </w:rPr>
              <w:br/>
              <w:t>Ground Floor Suite 3 410 Church Street, North Parramatta, NSW 2151, Australia</w:t>
            </w:r>
          </w:p>
        </w:tc>
      </w:tr>
      <w:tr w:rsidR="00A90C3E" w14:paraId="3FE9752A" w14:textId="77777777" w:rsidTr="00A90C3E">
        <w:trPr>
          <w:trHeight w:val="435"/>
        </w:trPr>
        <w:tc>
          <w:tcPr>
            <w:tcW w:w="0" w:type="auto"/>
            <w:vAlign w:val="center"/>
            <w:hideMark/>
          </w:tcPr>
          <w:p w14:paraId="3826B48E" w14:textId="77777777" w:rsidR="00A90C3E" w:rsidRDefault="000B08AA">
            <w:pPr>
              <w:spacing w:line="270" w:lineRule="atLeast"/>
              <w:rPr>
                <w:sz w:val="23"/>
                <w:szCs w:val="23"/>
                <w:lang w:eastAsia="en-AU"/>
              </w:rPr>
            </w:pPr>
            <w:hyperlink r:id="rId8" w:tgtFrame="_blank" w:tooltip=" LinkedIn" w:history="1">
              <w:r w:rsidR="00A90C3E">
                <w:rPr>
                  <w:noProof/>
                  <w:color w:val="0000FF"/>
                  <w:sz w:val="23"/>
                  <w:szCs w:val="23"/>
                  <w:bdr w:val="none" w:sz="0" w:space="0" w:color="auto" w:frame="1"/>
                  <w:lang w:eastAsia="en-AU"/>
                </w:rPr>
                <w:drawing>
                  <wp:inline distT="0" distB="0" distL="0" distR="0" wp14:anchorId="78118575" wp14:editId="5339D19D">
                    <wp:extent cx="191135" cy="191135"/>
                    <wp:effectExtent l="0" t="0" r="0" b="0"/>
                    <wp:docPr id="2" name="Picture 2" descr="LinkedI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" descr="LinkedIn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r:link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91135" cy="191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A90C3E">
                <w:rPr>
                  <w:rStyle w:val="Hyperlink"/>
                  <w:sz w:val="23"/>
                  <w:szCs w:val="23"/>
                  <w:bdr w:val="none" w:sz="0" w:space="0" w:color="auto" w:frame="1"/>
                  <w:lang w:eastAsia="en-AU"/>
                </w:rPr>
                <w:t> </w:t>
              </w:r>
            </w:hyperlink>
            <w:r w:rsidR="00A90C3E">
              <w:rPr>
                <w:sz w:val="23"/>
                <w:szCs w:val="23"/>
                <w:lang w:eastAsia="en-AU"/>
              </w:rPr>
              <w:t> </w:t>
            </w:r>
            <w:hyperlink r:id="rId11" w:tooltip="McCarthy Salkeld" w:history="1">
              <w:r w:rsidR="00A90C3E">
                <w:rPr>
                  <w:rStyle w:val="Hyperlink"/>
                  <w:b/>
                  <w:bCs/>
                  <w:color w:val="9F1D2F"/>
                  <w:sz w:val="23"/>
                  <w:szCs w:val="23"/>
                  <w:bdr w:val="none" w:sz="0" w:space="0" w:color="auto" w:frame="1"/>
                  <w:lang w:eastAsia="en-AU"/>
                </w:rPr>
                <w:t>mccarthysalkeld.com.au</w:t>
              </w:r>
            </w:hyperlink>
          </w:p>
        </w:tc>
      </w:tr>
      <w:tr w:rsidR="00A90C3E" w14:paraId="4F2102BA" w14:textId="77777777" w:rsidTr="00A90C3E">
        <w:trPr>
          <w:trHeight w:val="150"/>
        </w:trPr>
        <w:tc>
          <w:tcPr>
            <w:tcW w:w="0" w:type="auto"/>
            <w:vAlign w:val="center"/>
            <w:hideMark/>
          </w:tcPr>
          <w:p w14:paraId="7A40B454" w14:textId="77777777" w:rsidR="00A90C3E" w:rsidRDefault="00A90C3E">
            <w:pPr>
              <w:spacing w:line="150" w:lineRule="atLeast"/>
              <w:rPr>
                <w:rFonts w:ascii="Arial" w:hAnsi="Arial" w:cs="Arial"/>
                <w:color w:val="1F497D"/>
                <w:sz w:val="21"/>
                <w:szCs w:val="21"/>
                <w:lang w:eastAsia="en-AU"/>
              </w:rPr>
            </w:pPr>
            <w:r>
              <w:rPr>
                <w:rFonts w:ascii="Arial" w:hAnsi="Arial" w:cs="Arial"/>
                <w:sz w:val="21"/>
                <w:szCs w:val="21"/>
                <w:lang w:eastAsia="en-AU"/>
              </w:rPr>
              <w:t> </w:t>
            </w:r>
          </w:p>
          <w:p w14:paraId="1F53062F" w14:textId="77777777" w:rsidR="00A90C3E" w:rsidRDefault="00A90C3E">
            <w:pPr>
              <w:spacing w:line="15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1F497D"/>
                <w:sz w:val="21"/>
                <w:szCs w:val="21"/>
                <w:lang w:eastAsia="en-AU"/>
              </w:rPr>
              <w:drawing>
                <wp:inline distT="0" distB="0" distL="0" distR="0" wp14:anchorId="6C2B5477" wp14:editId="555450AA">
                  <wp:extent cx="2135505" cy="769620"/>
                  <wp:effectExtent l="0" t="0" r="0" b="0"/>
                  <wp:docPr id="1" name="Picture 1" descr="http://www.mccarthysalkeld.com.au/email_sig/mccarthylogo_email244x8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mccarthysalkeld.com.au/email_sig/mccarthylogo_email244x8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5505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72889D" w14:textId="77777777" w:rsidR="00A90C3E" w:rsidRDefault="00A90C3E" w:rsidP="00A90C3E">
      <w:pPr>
        <w:rPr>
          <w:vanish/>
        </w:rPr>
      </w:pPr>
    </w:p>
    <w:tbl>
      <w:tblPr>
        <w:tblW w:w="334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5"/>
      </w:tblGrid>
      <w:tr w:rsidR="00A90C3E" w14:paraId="7F13BE5F" w14:textId="77777777" w:rsidTr="00A90C3E">
        <w:trPr>
          <w:tblCellSpacing w:w="0" w:type="dxa"/>
          <w:hidden/>
        </w:trPr>
        <w:tc>
          <w:tcPr>
            <w:tcW w:w="3075" w:type="dxa"/>
            <w:vAlign w:val="center"/>
            <w:hideMark/>
          </w:tcPr>
          <w:p w14:paraId="04EFD039" w14:textId="77777777" w:rsidR="00A90C3E" w:rsidRDefault="00A90C3E">
            <w:pPr>
              <w:rPr>
                <w:vanish/>
              </w:rPr>
            </w:pPr>
          </w:p>
        </w:tc>
      </w:tr>
    </w:tbl>
    <w:p w14:paraId="337B2E09" w14:textId="77777777" w:rsidR="00A90C3E" w:rsidRDefault="00A90C3E" w:rsidP="00A90C3E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A90C3E" w14:paraId="377EBF9B" w14:textId="77777777" w:rsidTr="00A90C3E">
        <w:trPr>
          <w:tblCellSpacing w:w="0" w:type="dxa"/>
        </w:trPr>
        <w:tc>
          <w:tcPr>
            <w:tcW w:w="0" w:type="auto"/>
            <w:vAlign w:val="center"/>
            <w:hideMark/>
          </w:tcPr>
          <w:p w14:paraId="17A1DBED" w14:textId="77777777" w:rsidR="00A90C3E" w:rsidRDefault="00A90C3E">
            <w:pPr>
              <w:spacing w:before="100" w:beforeAutospacing="1" w:after="100" w:afterAutospacing="1" w:line="180" w:lineRule="atLeast"/>
              <w:rPr>
                <w:b/>
                <w:bCs/>
                <w:color w:val="9F1D2F"/>
                <w:sz w:val="18"/>
                <w:szCs w:val="18"/>
                <w:lang w:eastAsia="en-AU"/>
              </w:rPr>
            </w:pPr>
            <w:r>
              <w:rPr>
                <w:b/>
                <w:bCs/>
                <w:color w:val="9F1D2F"/>
                <w:sz w:val="18"/>
                <w:szCs w:val="18"/>
                <w:lang w:eastAsia="en-AU"/>
              </w:rPr>
              <w:t>TAXATION - ACCOUNTING &amp; ADVISORY - AUDIT &amp; REVIEW - HR CONSULTING - BACKOFFICE BOOKKEEPING - SECRETARIAL - SMSF</w:t>
            </w:r>
          </w:p>
        </w:tc>
      </w:tr>
    </w:tbl>
    <w:p w14:paraId="1489731B" w14:textId="0CEF8DDB" w:rsidR="00212006" w:rsidRDefault="000B08AA"/>
    <w:p w14:paraId="5D21CDEB" w14:textId="77777777" w:rsidR="00C57A96" w:rsidRDefault="00C57A96"/>
    <w:sectPr w:rsidR="00C57A9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7AF23D" w14:textId="77777777" w:rsidR="000B08AA" w:rsidRDefault="000B08AA" w:rsidP="000B08AA">
      <w:r>
        <w:separator/>
      </w:r>
    </w:p>
  </w:endnote>
  <w:endnote w:type="continuationSeparator" w:id="0">
    <w:p w14:paraId="4F46549D" w14:textId="77777777" w:rsidR="000B08AA" w:rsidRDefault="000B08AA" w:rsidP="000B0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99B0E" w14:textId="77777777" w:rsidR="000B08AA" w:rsidRDefault="000B08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F31F1" w14:textId="77777777" w:rsidR="000B08AA" w:rsidRDefault="000B08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DA0CF6" w14:textId="77777777" w:rsidR="000B08AA" w:rsidRDefault="000B08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6FED6B" w14:textId="77777777" w:rsidR="000B08AA" w:rsidRDefault="000B08AA" w:rsidP="000B08AA">
      <w:r>
        <w:separator/>
      </w:r>
    </w:p>
  </w:footnote>
  <w:footnote w:type="continuationSeparator" w:id="0">
    <w:p w14:paraId="3A22328B" w14:textId="77777777" w:rsidR="000B08AA" w:rsidRDefault="000B08AA" w:rsidP="000B0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10B8A" w14:textId="77777777" w:rsidR="000B08AA" w:rsidRDefault="000B08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09605" w14:textId="77777777" w:rsidR="000B08AA" w:rsidRDefault="000B08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52C5C" w14:textId="77777777" w:rsidR="000B08AA" w:rsidRDefault="000B08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501B6"/>
    <w:multiLevelType w:val="hybridMultilevel"/>
    <w:tmpl w:val="03DC883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C3E"/>
    <w:rsid w:val="000B08AA"/>
    <w:rsid w:val="0087540C"/>
    <w:rsid w:val="009520E9"/>
    <w:rsid w:val="00A90C3E"/>
    <w:rsid w:val="00AE02A5"/>
    <w:rsid w:val="00C5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9A60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C3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90C3E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A90C3E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0B08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08AA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B08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08AA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thomasmccarthy2/" TargetMode="External"/><Relationship Id="rId13" Type="http://schemas.openxmlformats.org/officeDocument/2006/relationships/image" Target="cid:image002.png@01D709E0.355CD6C0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tmccarthy@mccarthysalkeld.com.au" TargetMode="Externa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ccarthysalkeld.com.a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cid:image001.gif@01D709E0.355CD6C0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1.gi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to the Increasing harmonised financial reporting thresholds for ACNC registered charities consultation</dc:title>
  <dc:subject/>
  <dc:creator/>
  <cp:keywords/>
  <dc:description/>
  <cp:lastModifiedBy/>
  <cp:revision>1</cp:revision>
  <dcterms:created xsi:type="dcterms:W3CDTF">2021-03-29T05:12:00Z</dcterms:created>
  <dcterms:modified xsi:type="dcterms:W3CDTF">2021-03-29T05:12:00Z</dcterms:modified>
</cp:coreProperties>
</file>