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85690F" w14:textId="4D80DE10" w:rsidR="00E43B50" w:rsidRPr="00E43B50" w:rsidRDefault="004354B9" w:rsidP="00E43B50">
      <w:pPr>
        <w:pStyle w:val="Heading1"/>
        <w:spacing w:before="480" w:after="0"/>
        <w:rPr>
          <w:b/>
          <w:noProof/>
          <w:color w:val="1F497D" w:themeColor="text2"/>
          <w:sz w:val="40"/>
        </w:rPr>
      </w:pPr>
      <w:bookmarkStart w:id="0" w:name="_GoBack"/>
      <w:bookmarkEnd w:id="0"/>
      <w:r>
        <w:rPr>
          <w:b/>
          <w:noProof/>
          <w:color w:val="1F497D" w:themeColor="text2"/>
          <w:sz w:val="40"/>
        </w:rPr>
        <w:t>A new disciplinary system for financial advisers</w:t>
      </w:r>
      <w:r w:rsidR="00D36CF5">
        <w:rPr>
          <w:b/>
          <w:noProof/>
          <w:color w:val="1F497D" w:themeColor="text2"/>
          <w:sz w:val="40"/>
        </w:rPr>
        <w:t xml:space="preserve">: </w:t>
      </w:r>
      <w:r w:rsidR="00AB5698">
        <w:rPr>
          <w:b/>
          <w:noProof/>
          <w:color w:val="1F497D" w:themeColor="text2"/>
          <w:sz w:val="40"/>
        </w:rPr>
        <w:t>Exposure draft law and explanatory materials</w:t>
      </w:r>
    </w:p>
    <w:tbl>
      <w:tblPr>
        <w:tblpPr w:leftFromText="180" w:rightFromText="180" w:vertAnchor="text" w:horzAnchor="margin" w:tblpXSpec="center" w:tblpY="480"/>
        <w:tblW w:w="9498" w:type="dxa"/>
        <w:shd w:val="clear" w:color="auto" w:fill="CEEBF3"/>
        <w:tblLayout w:type="fixed"/>
        <w:tblLook w:val="01E0" w:firstRow="1" w:lastRow="1" w:firstColumn="1" w:lastColumn="1" w:noHBand="0" w:noVBand="0"/>
      </w:tblPr>
      <w:tblGrid>
        <w:gridCol w:w="9498"/>
      </w:tblGrid>
      <w:tr w:rsidR="005D6F91" w14:paraId="4A37711E" w14:textId="77777777" w:rsidTr="00E43B50">
        <w:tc>
          <w:tcPr>
            <w:tcW w:w="5000" w:type="pct"/>
            <w:shd w:val="clear" w:color="auto" w:fill="CEEBF3"/>
          </w:tcPr>
          <w:p w14:paraId="427CD656" w14:textId="2DFFE3AD" w:rsidR="005D6F91" w:rsidRPr="005F2711" w:rsidRDefault="005D6F91" w:rsidP="00BE56AA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To assist in identifying </w:t>
            </w:r>
            <w:r w:rsidR="00BE56AA">
              <w:rPr>
                <w:b/>
                <w:sz w:val="24"/>
                <w:szCs w:val="24"/>
              </w:rPr>
              <w:t>key areas</w:t>
            </w:r>
            <w:r w:rsidR="00D36CF5">
              <w:rPr>
                <w:b/>
                <w:sz w:val="24"/>
                <w:szCs w:val="24"/>
              </w:rPr>
              <w:t xml:space="preserve">, </w:t>
            </w:r>
            <w:r w:rsidRPr="00AB5698">
              <w:rPr>
                <w:b/>
                <w:sz w:val="24"/>
                <w:szCs w:val="24"/>
              </w:rPr>
              <w:t xml:space="preserve">this table </w:t>
            </w:r>
            <w:r w:rsidR="004C5BA9">
              <w:rPr>
                <w:b/>
                <w:sz w:val="24"/>
                <w:szCs w:val="24"/>
              </w:rPr>
              <w:t>sets out</w:t>
            </w:r>
            <w:r w:rsidRPr="00AB5698">
              <w:rPr>
                <w:b/>
                <w:sz w:val="24"/>
                <w:szCs w:val="24"/>
              </w:rPr>
              <w:t xml:space="preserve"> the key elements of the </w:t>
            </w:r>
            <w:r w:rsidR="004354B9">
              <w:rPr>
                <w:b/>
                <w:sz w:val="24"/>
                <w:szCs w:val="24"/>
              </w:rPr>
              <w:t>single disciplinary system</w:t>
            </w:r>
            <w:r w:rsidR="005F2711">
              <w:rPr>
                <w:b/>
                <w:sz w:val="24"/>
                <w:szCs w:val="24"/>
              </w:rPr>
              <w:t>, registration requirements and the transfer of the standard setting functions</w:t>
            </w:r>
            <w:r w:rsidR="00BE56AA">
              <w:rPr>
                <w:b/>
                <w:sz w:val="24"/>
                <w:szCs w:val="24"/>
              </w:rPr>
              <w:t xml:space="preserve"> with reference to the relevant section in the Bill</w:t>
            </w:r>
            <w:r w:rsidR="005F2711">
              <w:rPr>
                <w:b/>
                <w:sz w:val="24"/>
                <w:szCs w:val="24"/>
              </w:rPr>
              <w:t xml:space="preserve">. </w:t>
            </w:r>
          </w:p>
        </w:tc>
      </w:tr>
    </w:tbl>
    <w:tbl>
      <w:tblPr>
        <w:tblStyle w:val="TableGrid"/>
        <w:tblW w:w="9469" w:type="dxa"/>
        <w:tblInd w:w="-147" w:type="dxa"/>
        <w:tblBorders>
          <w:top w:val="single" w:sz="4" w:space="0" w:color="00ABBD"/>
          <w:left w:val="single" w:sz="4" w:space="0" w:color="00ABBD"/>
          <w:bottom w:val="single" w:sz="4" w:space="0" w:color="00ABBD"/>
          <w:right w:val="single" w:sz="4" w:space="0" w:color="00ABBD"/>
          <w:insideH w:val="single" w:sz="4" w:space="0" w:color="00ABBD"/>
          <w:insideV w:val="single" w:sz="4" w:space="0" w:color="00ABBD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418"/>
        <w:gridCol w:w="4507"/>
      </w:tblGrid>
      <w:tr w:rsidR="00AB5698" w:rsidRPr="005D6F91" w14:paraId="314190E4" w14:textId="77777777" w:rsidTr="00E43B50">
        <w:trPr>
          <w:tblHeader/>
        </w:trPr>
        <w:tc>
          <w:tcPr>
            <w:tcW w:w="3544" w:type="dxa"/>
            <w:shd w:val="clear" w:color="auto" w:fill="00ABBD"/>
          </w:tcPr>
          <w:p w14:paraId="0458ADE8" w14:textId="77777777" w:rsidR="00AB5698" w:rsidRPr="005D6F91" w:rsidRDefault="00AB5698" w:rsidP="005D6F91">
            <w:pPr>
              <w:pStyle w:val="TableTextBase"/>
              <w:spacing w:before="60" w:after="60"/>
              <w:jc w:val="left"/>
              <w:rPr>
                <w:b/>
                <w:color w:val="FFFFFF" w:themeColor="background1"/>
                <w:sz w:val="21"/>
                <w:szCs w:val="21"/>
              </w:rPr>
            </w:pPr>
            <w:r w:rsidRPr="005D6F91">
              <w:rPr>
                <w:b/>
                <w:color w:val="FFFFFF" w:themeColor="background1"/>
                <w:sz w:val="21"/>
                <w:szCs w:val="21"/>
              </w:rPr>
              <w:t>Issue</w:t>
            </w:r>
          </w:p>
        </w:tc>
        <w:tc>
          <w:tcPr>
            <w:tcW w:w="1418" w:type="dxa"/>
            <w:shd w:val="clear" w:color="auto" w:fill="00ABBD"/>
          </w:tcPr>
          <w:p w14:paraId="5914600B" w14:textId="77777777" w:rsidR="00AB5698" w:rsidRPr="005D6F91" w:rsidRDefault="005D6F91" w:rsidP="005D6F91">
            <w:pPr>
              <w:pStyle w:val="TableTextBase"/>
              <w:spacing w:before="60" w:after="60"/>
              <w:jc w:val="left"/>
              <w:rPr>
                <w:b/>
                <w:color w:val="FFFFFF" w:themeColor="background1"/>
                <w:sz w:val="21"/>
                <w:szCs w:val="21"/>
              </w:rPr>
            </w:pPr>
            <w:r w:rsidRPr="005D6F91">
              <w:rPr>
                <w:b/>
                <w:color w:val="FFFFFF" w:themeColor="background1"/>
                <w:sz w:val="21"/>
                <w:szCs w:val="21"/>
              </w:rPr>
              <w:t xml:space="preserve">Bill ref. </w:t>
            </w:r>
          </w:p>
        </w:tc>
        <w:tc>
          <w:tcPr>
            <w:tcW w:w="4507" w:type="dxa"/>
            <w:shd w:val="clear" w:color="auto" w:fill="00ABBD"/>
          </w:tcPr>
          <w:p w14:paraId="7DB559C3" w14:textId="77777777" w:rsidR="00AB5698" w:rsidRPr="005D6F91" w:rsidRDefault="00BE067F" w:rsidP="005D6F91">
            <w:pPr>
              <w:pStyle w:val="TableTextBase"/>
              <w:spacing w:before="60" w:after="60"/>
              <w:jc w:val="left"/>
              <w:rPr>
                <w:b/>
                <w:color w:val="FFFFFF" w:themeColor="background1"/>
                <w:sz w:val="21"/>
                <w:szCs w:val="21"/>
              </w:rPr>
            </w:pPr>
            <w:r w:rsidRPr="005D6F91">
              <w:rPr>
                <w:b/>
                <w:color w:val="FFFFFF" w:themeColor="background1"/>
                <w:sz w:val="21"/>
                <w:szCs w:val="21"/>
              </w:rPr>
              <w:t>Brief explanation</w:t>
            </w:r>
          </w:p>
        </w:tc>
      </w:tr>
      <w:tr w:rsidR="00E43B50" w:rsidRPr="005D6F91" w14:paraId="33400D69" w14:textId="77777777" w:rsidTr="00E43B50">
        <w:tc>
          <w:tcPr>
            <w:tcW w:w="9469" w:type="dxa"/>
            <w:gridSpan w:val="3"/>
            <w:shd w:val="clear" w:color="auto" w:fill="auto"/>
          </w:tcPr>
          <w:p w14:paraId="6C708235" w14:textId="1F50EF21" w:rsidR="00E43B50" w:rsidRPr="00E43B50" w:rsidRDefault="00E43B50" w:rsidP="00857FF9">
            <w:pPr>
              <w:pStyle w:val="TableTextBase"/>
              <w:spacing w:before="60" w:after="60"/>
              <w:rPr>
                <w:rFonts w:asciiTheme="minorHAnsi" w:hAnsiTheme="minorHAnsi" w:cs="Arial"/>
                <w:b/>
                <w:sz w:val="21"/>
                <w:szCs w:val="21"/>
              </w:rPr>
            </w:pPr>
            <w:r>
              <w:rPr>
                <w:rFonts w:asciiTheme="minorHAnsi" w:hAnsiTheme="minorHAnsi" w:cs="Arial"/>
                <w:b/>
                <w:sz w:val="21"/>
                <w:szCs w:val="21"/>
              </w:rPr>
              <w:t>Single disciplinary system</w:t>
            </w:r>
          </w:p>
        </w:tc>
      </w:tr>
      <w:tr w:rsidR="00E72F62" w:rsidRPr="005D6F91" w14:paraId="37A82EE0" w14:textId="77777777" w:rsidTr="00E43B50">
        <w:tc>
          <w:tcPr>
            <w:tcW w:w="3544" w:type="dxa"/>
            <w:shd w:val="clear" w:color="auto" w:fill="auto"/>
          </w:tcPr>
          <w:p w14:paraId="3B6048D4" w14:textId="1F7E8FD8" w:rsidR="00E72F62" w:rsidRPr="005D6F91" w:rsidRDefault="00E72F62" w:rsidP="00906AAB">
            <w:pPr>
              <w:pStyle w:val="TableTextBase"/>
              <w:spacing w:before="60" w:after="60"/>
              <w:rPr>
                <w:rFonts w:asciiTheme="minorHAnsi" w:hAnsiTheme="minorHAnsi" w:cs="Arial"/>
                <w:b/>
                <w:sz w:val="21"/>
                <w:szCs w:val="21"/>
              </w:rPr>
            </w:pPr>
            <w:r>
              <w:rPr>
                <w:rFonts w:asciiTheme="minorHAnsi" w:hAnsiTheme="minorHAnsi" w:cs="Arial"/>
                <w:b/>
                <w:sz w:val="21"/>
                <w:szCs w:val="21"/>
              </w:rPr>
              <w:t>What matters are referred to the single disciplinary body?</w:t>
            </w:r>
          </w:p>
        </w:tc>
        <w:tc>
          <w:tcPr>
            <w:tcW w:w="1418" w:type="dxa"/>
            <w:shd w:val="clear" w:color="auto" w:fill="auto"/>
          </w:tcPr>
          <w:p w14:paraId="77D6CA39" w14:textId="77777777" w:rsidR="00E72F62" w:rsidRPr="005D6F91" w:rsidRDefault="00E72F62" w:rsidP="005D6F91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</w:p>
        </w:tc>
        <w:tc>
          <w:tcPr>
            <w:tcW w:w="4507" w:type="dxa"/>
            <w:vMerge w:val="restart"/>
            <w:shd w:val="clear" w:color="auto" w:fill="auto"/>
          </w:tcPr>
          <w:p w14:paraId="3599377F" w14:textId="369B1450" w:rsidR="00D36CF5" w:rsidRDefault="00857FF9" w:rsidP="00857FF9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 xml:space="preserve">ASIC must convene a Financial Services and Credit Panel </w:t>
            </w:r>
            <w:r w:rsidR="00BE56AA">
              <w:rPr>
                <w:rFonts w:asciiTheme="minorHAnsi" w:hAnsiTheme="minorHAnsi" w:cs="Arial"/>
                <w:sz w:val="21"/>
                <w:szCs w:val="21"/>
              </w:rPr>
              <w:t xml:space="preserve">if ASIC is not intending to make a banning order and </w:t>
            </w:r>
            <w:r>
              <w:rPr>
                <w:rFonts w:asciiTheme="minorHAnsi" w:hAnsiTheme="minorHAnsi" w:cs="Arial"/>
                <w:sz w:val="21"/>
                <w:szCs w:val="21"/>
              </w:rPr>
              <w:t xml:space="preserve">ASIC reasonably believes that a financial adviser has </w:t>
            </w:r>
            <w:r w:rsidR="00D36CF5">
              <w:rPr>
                <w:rFonts w:asciiTheme="minorHAnsi" w:hAnsiTheme="minorHAnsi" w:cs="Arial"/>
                <w:sz w:val="21"/>
                <w:szCs w:val="21"/>
              </w:rPr>
              <w:t>breached a ‘restricted civil penalty provision’ or certain circumstances exist</w:t>
            </w:r>
            <w:r w:rsidR="00B277E5">
              <w:rPr>
                <w:rFonts w:asciiTheme="minorHAnsi" w:hAnsiTheme="minorHAnsi" w:cs="Arial"/>
                <w:sz w:val="21"/>
                <w:szCs w:val="21"/>
              </w:rPr>
              <w:t xml:space="preserve">. </w:t>
            </w:r>
          </w:p>
          <w:p w14:paraId="62BF8D9D" w14:textId="77777777" w:rsidR="00D36CF5" w:rsidRDefault="00D36CF5" w:rsidP="00857FF9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 xml:space="preserve">A restricted civil penalty provision refers to: </w:t>
            </w:r>
          </w:p>
          <w:p w14:paraId="10D8016D" w14:textId="48AB4452" w:rsidR="00C848EA" w:rsidRDefault="00C848EA" w:rsidP="00D36CF5">
            <w:pPr>
              <w:pStyle w:val="TableTextBase"/>
              <w:numPr>
                <w:ilvl w:val="0"/>
                <w:numId w:val="21"/>
              </w:numPr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bookmarkStart w:id="1" w:name="tempbookmark"/>
            <w:bookmarkEnd w:id="1"/>
            <w:r>
              <w:rPr>
                <w:rFonts w:asciiTheme="minorHAnsi" w:hAnsiTheme="minorHAnsi" w:cs="Arial"/>
                <w:sz w:val="21"/>
                <w:szCs w:val="21"/>
              </w:rPr>
              <w:t xml:space="preserve">921D: the Education and training standards; </w:t>
            </w:r>
          </w:p>
          <w:p w14:paraId="2DC71A10" w14:textId="4967481B" w:rsidR="00C848EA" w:rsidRDefault="00C848EA" w:rsidP="00D36CF5">
            <w:pPr>
              <w:pStyle w:val="TableTextBase"/>
              <w:numPr>
                <w:ilvl w:val="0"/>
                <w:numId w:val="21"/>
              </w:numPr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921E: the Code of the Ethics;</w:t>
            </w:r>
          </w:p>
          <w:p w14:paraId="3F7C1D75" w14:textId="77777777" w:rsidR="00C848EA" w:rsidRDefault="00C848EA" w:rsidP="00D36CF5">
            <w:pPr>
              <w:pStyle w:val="TableTextBase"/>
              <w:numPr>
                <w:ilvl w:val="0"/>
                <w:numId w:val="21"/>
              </w:numPr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 xml:space="preserve">921F: the requirements for provisional relevant providers; </w:t>
            </w:r>
          </w:p>
          <w:p w14:paraId="128E7C92" w14:textId="18E9B4AB" w:rsidR="00C848EA" w:rsidRDefault="00C848EA" w:rsidP="00D36CF5">
            <w:pPr>
              <w:pStyle w:val="TableTextBase"/>
              <w:numPr>
                <w:ilvl w:val="0"/>
                <w:numId w:val="21"/>
              </w:numPr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921M: a direction or order given by the Financial Services and Credit Panel; and</w:t>
            </w:r>
          </w:p>
          <w:p w14:paraId="5C910498" w14:textId="77777777" w:rsidR="00C848EA" w:rsidRDefault="00C848EA" w:rsidP="00D36CF5">
            <w:pPr>
              <w:pStyle w:val="TableTextBase"/>
              <w:numPr>
                <w:ilvl w:val="0"/>
                <w:numId w:val="21"/>
              </w:numPr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 xml:space="preserve">921S: giving financial advice while unregistered. </w:t>
            </w:r>
          </w:p>
          <w:p w14:paraId="5865BE43" w14:textId="6AAF1C29" w:rsidR="007B62DA" w:rsidRDefault="00C848EA" w:rsidP="0079634D">
            <w:pPr>
              <w:spacing w:after="0"/>
              <w:rPr>
                <w:rFonts w:asciiTheme="minorHAnsi" w:hAnsiTheme="minorHAnsi" w:cs="Arial"/>
                <w:color w:val="000000"/>
                <w:sz w:val="21"/>
                <w:szCs w:val="21"/>
              </w:rPr>
            </w:pPr>
            <w:r w:rsidRPr="00C848EA">
              <w:rPr>
                <w:rFonts w:asciiTheme="minorHAnsi" w:hAnsiTheme="minorHAnsi" w:cs="Arial"/>
                <w:color w:val="000000"/>
                <w:sz w:val="21"/>
                <w:szCs w:val="21"/>
              </w:rPr>
              <w:t xml:space="preserve">The other circumstances go to the </w:t>
            </w:r>
            <w:r>
              <w:rPr>
                <w:rFonts w:asciiTheme="minorHAnsi" w:hAnsiTheme="minorHAnsi" w:cs="Arial"/>
                <w:color w:val="000000"/>
                <w:sz w:val="21"/>
                <w:szCs w:val="21"/>
              </w:rPr>
              <w:t>suitability of the person to provide financial advice</w:t>
            </w:r>
            <w:r w:rsidR="007B62DA">
              <w:rPr>
                <w:rFonts w:asciiTheme="minorHAnsi" w:hAnsiTheme="minorHAnsi" w:cs="Arial"/>
                <w:color w:val="000000"/>
                <w:sz w:val="21"/>
                <w:szCs w:val="21"/>
              </w:rPr>
              <w:t>. The adviser</w:t>
            </w:r>
            <w:r>
              <w:rPr>
                <w:rFonts w:asciiTheme="minorHAnsi" w:hAnsiTheme="minorHAnsi" w:cs="Arial"/>
                <w:color w:val="000000"/>
                <w:sz w:val="21"/>
                <w:szCs w:val="21"/>
              </w:rPr>
              <w:t xml:space="preserve">: </w:t>
            </w:r>
          </w:p>
          <w:p w14:paraId="7C727671" w14:textId="04BC42F0" w:rsidR="007B62DA" w:rsidRDefault="007B62DA" w:rsidP="007B62DA">
            <w:pPr>
              <w:pStyle w:val="TableTextBase"/>
              <w:numPr>
                <w:ilvl w:val="0"/>
                <w:numId w:val="21"/>
              </w:numPr>
              <w:spacing w:before="60" w:after="60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is insolvent; </w:t>
            </w:r>
          </w:p>
          <w:p w14:paraId="528A5D90" w14:textId="0B7BCE7D" w:rsidR="007B62DA" w:rsidRDefault="007B62DA" w:rsidP="007B62DA">
            <w:pPr>
              <w:pStyle w:val="TableTextBase"/>
              <w:numPr>
                <w:ilvl w:val="0"/>
                <w:numId w:val="21"/>
              </w:numPr>
              <w:spacing w:before="60" w:after="60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is under administration; </w:t>
            </w:r>
          </w:p>
          <w:p w14:paraId="684A9E98" w14:textId="4590BA88" w:rsidR="007B62DA" w:rsidRDefault="007B62DA" w:rsidP="007B62DA">
            <w:pPr>
              <w:pStyle w:val="TableTextBase"/>
              <w:numPr>
                <w:ilvl w:val="0"/>
                <w:numId w:val="21"/>
              </w:numPr>
              <w:spacing w:before="60" w:after="60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is convicted of fraud; </w:t>
            </w:r>
          </w:p>
          <w:p w14:paraId="5A36273B" w14:textId="7E307E48" w:rsidR="007B62DA" w:rsidRDefault="007B62DA" w:rsidP="007B62DA">
            <w:pPr>
              <w:pStyle w:val="TableTextBase"/>
              <w:numPr>
                <w:ilvl w:val="0"/>
                <w:numId w:val="21"/>
              </w:numPr>
              <w:spacing w:before="60" w:after="60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is considered to not be a fit and proper person; </w:t>
            </w:r>
          </w:p>
          <w:p w14:paraId="18FB3CBF" w14:textId="48E498E1" w:rsidR="007B62DA" w:rsidRDefault="007B62DA" w:rsidP="007B62DA">
            <w:pPr>
              <w:pStyle w:val="TableTextBase"/>
              <w:numPr>
                <w:ilvl w:val="0"/>
                <w:numId w:val="21"/>
              </w:numPr>
              <w:spacing w:before="60" w:after="60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has breached a financial services law or been involved in </w:t>
            </w:r>
            <w:r w:rsidR="00E50E4C">
              <w:rPr>
                <w:rFonts w:cs="Arial"/>
                <w:sz w:val="21"/>
                <w:szCs w:val="21"/>
              </w:rPr>
              <w:t>another person’s</w:t>
            </w:r>
            <w:r>
              <w:rPr>
                <w:rFonts w:cs="Arial"/>
                <w:sz w:val="21"/>
                <w:szCs w:val="21"/>
              </w:rPr>
              <w:t xml:space="preserve"> contravention of a financial services law; </w:t>
            </w:r>
          </w:p>
          <w:p w14:paraId="39C65A7D" w14:textId="77777777" w:rsidR="007B62DA" w:rsidRDefault="007B62DA" w:rsidP="007B62DA">
            <w:pPr>
              <w:pStyle w:val="TableTextBase"/>
              <w:numPr>
                <w:ilvl w:val="0"/>
                <w:numId w:val="21"/>
              </w:numPr>
              <w:spacing w:before="60" w:after="60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lastRenderedPageBreak/>
              <w:t>has at least twice been linked to a failure to give effect to an AFCA determination; or</w:t>
            </w:r>
          </w:p>
          <w:p w14:paraId="050BFAFB" w14:textId="10A8EC98" w:rsidR="00E72F62" w:rsidRPr="007B62DA" w:rsidRDefault="007B62DA" w:rsidP="007B62DA">
            <w:pPr>
              <w:pStyle w:val="TableTextBase"/>
              <w:numPr>
                <w:ilvl w:val="0"/>
                <w:numId w:val="21"/>
              </w:numPr>
              <w:spacing w:before="60" w:after="60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has been an officer of two or more corporations that have been unable to pay their debts. </w:t>
            </w:r>
          </w:p>
        </w:tc>
      </w:tr>
      <w:tr w:rsidR="00E72F62" w:rsidRPr="005D6F91" w14:paraId="7093BAD0" w14:textId="77777777" w:rsidTr="00E43B50">
        <w:tc>
          <w:tcPr>
            <w:tcW w:w="3544" w:type="dxa"/>
            <w:shd w:val="clear" w:color="auto" w:fill="auto"/>
          </w:tcPr>
          <w:p w14:paraId="4A1B09FC" w14:textId="26AC02F2" w:rsidR="00E72F62" w:rsidRPr="005D6F91" w:rsidRDefault="00857FF9" w:rsidP="00857FF9">
            <w:pPr>
              <w:pStyle w:val="TableTextBase"/>
              <w:spacing w:before="60" w:after="60"/>
              <w:ind w:left="318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 xml:space="preserve">When </w:t>
            </w:r>
            <w:r w:rsidR="00E72F62">
              <w:rPr>
                <w:rFonts w:asciiTheme="minorHAnsi" w:hAnsiTheme="minorHAnsi" w:cs="Arial"/>
                <w:sz w:val="21"/>
                <w:szCs w:val="21"/>
              </w:rPr>
              <w:t>ASIC</w:t>
            </w:r>
            <w:r>
              <w:rPr>
                <w:rFonts w:asciiTheme="minorHAnsi" w:hAnsiTheme="minorHAnsi" w:cs="Arial"/>
                <w:sz w:val="21"/>
                <w:szCs w:val="21"/>
              </w:rPr>
              <w:t xml:space="preserve"> must convene </w:t>
            </w:r>
            <w:r w:rsidR="00E72F62">
              <w:rPr>
                <w:rFonts w:asciiTheme="minorHAnsi" w:hAnsiTheme="minorHAnsi" w:cs="Arial"/>
                <w:sz w:val="21"/>
                <w:szCs w:val="21"/>
              </w:rPr>
              <w:t>a single disciplinary body</w:t>
            </w:r>
          </w:p>
        </w:tc>
        <w:tc>
          <w:tcPr>
            <w:tcW w:w="1418" w:type="dxa"/>
            <w:shd w:val="clear" w:color="auto" w:fill="auto"/>
          </w:tcPr>
          <w:p w14:paraId="0A5AF4BF" w14:textId="38CA964F" w:rsidR="00E72F62" w:rsidRPr="005D6F91" w:rsidRDefault="00E72F62" w:rsidP="003A4283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 xml:space="preserve">139 of the ASIC Act </w:t>
            </w:r>
          </w:p>
        </w:tc>
        <w:tc>
          <w:tcPr>
            <w:tcW w:w="4507" w:type="dxa"/>
            <w:vMerge/>
            <w:shd w:val="clear" w:color="auto" w:fill="auto"/>
          </w:tcPr>
          <w:p w14:paraId="5E6C01F3" w14:textId="70FE0953" w:rsidR="00E72F62" w:rsidRPr="005D6F91" w:rsidRDefault="00E72F62" w:rsidP="005D6F91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E72F62" w:rsidRPr="005D6F91" w14:paraId="4137C384" w14:textId="77777777" w:rsidTr="00E43B50">
        <w:tc>
          <w:tcPr>
            <w:tcW w:w="3544" w:type="dxa"/>
            <w:shd w:val="clear" w:color="auto" w:fill="auto"/>
          </w:tcPr>
          <w:p w14:paraId="6E72C136" w14:textId="6BFF52DA" w:rsidR="00E72F62" w:rsidRPr="005D6F91" w:rsidRDefault="00E72F62" w:rsidP="00D85256">
            <w:pPr>
              <w:pStyle w:val="TableTextBase"/>
              <w:spacing w:before="60" w:after="60"/>
              <w:ind w:left="318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Restricted civil penalty provision</w:t>
            </w:r>
            <w:r w:rsidRPr="005D6F91">
              <w:rPr>
                <w:rFonts w:asciiTheme="minorHAnsi" w:hAnsiTheme="minorHAnsi" w:cs="Arial"/>
                <w:sz w:val="21"/>
                <w:szCs w:val="21"/>
              </w:rPr>
              <w:t>s</w:t>
            </w:r>
          </w:p>
        </w:tc>
        <w:tc>
          <w:tcPr>
            <w:tcW w:w="1418" w:type="dxa"/>
            <w:shd w:val="clear" w:color="auto" w:fill="auto"/>
          </w:tcPr>
          <w:p w14:paraId="436B1400" w14:textId="76A4ADFB" w:rsidR="00E72F62" w:rsidRPr="005D6F91" w:rsidRDefault="00E72F62" w:rsidP="005D6F91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921Q</w:t>
            </w:r>
          </w:p>
        </w:tc>
        <w:tc>
          <w:tcPr>
            <w:tcW w:w="4507" w:type="dxa"/>
            <w:vMerge/>
            <w:shd w:val="clear" w:color="auto" w:fill="auto"/>
          </w:tcPr>
          <w:p w14:paraId="7DEB26AD" w14:textId="53446ACC" w:rsidR="00E72F62" w:rsidRPr="005D6F91" w:rsidRDefault="00E72F62" w:rsidP="005D6F91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E72F62" w:rsidRPr="005D6F91" w14:paraId="58355002" w14:textId="77777777" w:rsidTr="00E43B50">
        <w:trPr>
          <w:trHeight w:val="509"/>
        </w:trPr>
        <w:tc>
          <w:tcPr>
            <w:tcW w:w="3544" w:type="dxa"/>
            <w:shd w:val="clear" w:color="auto" w:fill="auto"/>
          </w:tcPr>
          <w:p w14:paraId="135484C9" w14:textId="270A9C55" w:rsidR="00E72F62" w:rsidRPr="005D6F91" w:rsidRDefault="00E72F62" w:rsidP="008C5744">
            <w:pPr>
              <w:pStyle w:val="TableTextBase"/>
              <w:spacing w:before="60" w:after="60"/>
              <w:ind w:left="318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 xml:space="preserve">Other specified circumstances </w:t>
            </w:r>
            <w:r w:rsidRPr="005D6F91">
              <w:rPr>
                <w:rFonts w:asciiTheme="minorHAnsi" w:hAnsiTheme="minorHAnsi" w:cs="Arial"/>
                <w:sz w:val="21"/>
                <w:szCs w:val="21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14:paraId="2C76C0BA" w14:textId="45E687C6" w:rsidR="00E72F62" w:rsidRPr="005D6F91" w:rsidRDefault="00E72F62" w:rsidP="005D6F91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921L</w:t>
            </w:r>
          </w:p>
        </w:tc>
        <w:tc>
          <w:tcPr>
            <w:tcW w:w="4507" w:type="dxa"/>
            <w:vMerge/>
            <w:shd w:val="clear" w:color="auto" w:fill="auto"/>
          </w:tcPr>
          <w:p w14:paraId="62CC71C4" w14:textId="6A6EE292" w:rsidR="00E72F62" w:rsidRPr="005D6F91" w:rsidRDefault="00E72F62" w:rsidP="005D6F91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E72F62" w:rsidRPr="005D6F91" w14:paraId="25177B53" w14:textId="77777777" w:rsidTr="00E43B50">
        <w:trPr>
          <w:trHeight w:val="509"/>
        </w:trPr>
        <w:tc>
          <w:tcPr>
            <w:tcW w:w="3544" w:type="dxa"/>
            <w:shd w:val="clear" w:color="auto" w:fill="auto"/>
          </w:tcPr>
          <w:p w14:paraId="24C4CDBA" w14:textId="297D577F" w:rsidR="00E72F62" w:rsidRDefault="00E72F62" w:rsidP="008C5744">
            <w:pPr>
              <w:pStyle w:val="TableTextBase"/>
              <w:spacing w:before="60" w:after="60"/>
              <w:ind w:left="318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Definition of a fit and proper person</w:t>
            </w:r>
          </w:p>
        </w:tc>
        <w:tc>
          <w:tcPr>
            <w:tcW w:w="1418" w:type="dxa"/>
            <w:shd w:val="clear" w:color="auto" w:fill="auto"/>
          </w:tcPr>
          <w:p w14:paraId="2D151FE7" w14:textId="5F11563D" w:rsidR="00E72F62" w:rsidRDefault="00E72F62" w:rsidP="005D6F91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921R</w:t>
            </w:r>
          </w:p>
        </w:tc>
        <w:tc>
          <w:tcPr>
            <w:tcW w:w="4507" w:type="dxa"/>
            <w:vMerge/>
            <w:shd w:val="clear" w:color="auto" w:fill="auto"/>
          </w:tcPr>
          <w:p w14:paraId="1E75B7C3" w14:textId="56E249E6" w:rsidR="00E72F62" w:rsidRPr="005D6F91" w:rsidRDefault="00E72F62" w:rsidP="005D6F91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A06DAC" w:rsidRPr="005D6F91" w14:paraId="729D7400" w14:textId="77777777" w:rsidTr="00E43B50">
        <w:tc>
          <w:tcPr>
            <w:tcW w:w="3544" w:type="dxa"/>
            <w:shd w:val="clear" w:color="auto" w:fill="auto"/>
          </w:tcPr>
          <w:p w14:paraId="6BA87FAB" w14:textId="5D5A40E7" w:rsidR="00A06DAC" w:rsidRDefault="00A06DAC" w:rsidP="00265AD5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 w:rsidRPr="005D6F91">
              <w:rPr>
                <w:rFonts w:asciiTheme="minorHAnsi" w:hAnsiTheme="minorHAnsi" w:cs="Arial"/>
                <w:b/>
                <w:sz w:val="21"/>
                <w:szCs w:val="21"/>
              </w:rPr>
              <w:t xml:space="preserve">What </w:t>
            </w:r>
            <w:r>
              <w:rPr>
                <w:rFonts w:asciiTheme="minorHAnsi" w:hAnsiTheme="minorHAnsi" w:cs="Arial"/>
                <w:b/>
                <w:sz w:val="21"/>
                <w:szCs w:val="21"/>
              </w:rPr>
              <w:t>sanctions can the single disciplinary body impose?</w:t>
            </w:r>
          </w:p>
        </w:tc>
        <w:tc>
          <w:tcPr>
            <w:tcW w:w="1418" w:type="dxa"/>
            <w:shd w:val="clear" w:color="auto" w:fill="auto"/>
          </w:tcPr>
          <w:p w14:paraId="3A36BDC8" w14:textId="77777777" w:rsidR="00A06DAC" w:rsidRPr="005D6F91" w:rsidRDefault="00A06DAC" w:rsidP="005D6F91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</w:p>
        </w:tc>
        <w:tc>
          <w:tcPr>
            <w:tcW w:w="4507" w:type="dxa"/>
            <w:vMerge w:val="restart"/>
            <w:shd w:val="clear" w:color="auto" w:fill="auto"/>
          </w:tcPr>
          <w:p w14:paraId="43FF1CA2" w14:textId="77777777" w:rsidR="00A06DAC" w:rsidRDefault="00A06DAC" w:rsidP="00E15305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 xml:space="preserve">The Financial Services and Credit Panel has a range of actions available to it where a financial adviser has contravened the law. </w:t>
            </w:r>
          </w:p>
          <w:p w14:paraId="2A623928" w14:textId="0E321BB3" w:rsidR="00A06DAC" w:rsidRDefault="00A06DAC" w:rsidP="00E15305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 xml:space="preserve">The Financial Services and Credit Panel can give a financial adviser a warning or reprimand; a direction to undertake training, counselling, supervision or report certain matters to ASIC; suspend an adviser’s registration; cancel </w:t>
            </w:r>
            <w:r w:rsidR="00E50E4C">
              <w:rPr>
                <w:rFonts w:asciiTheme="minorHAnsi" w:hAnsiTheme="minorHAnsi" w:cs="Arial"/>
                <w:sz w:val="21"/>
                <w:szCs w:val="21"/>
              </w:rPr>
              <w:t xml:space="preserve">and prohibit the </w:t>
            </w:r>
            <w:r>
              <w:rPr>
                <w:rFonts w:asciiTheme="minorHAnsi" w:hAnsiTheme="minorHAnsi" w:cs="Arial"/>
                <w:sz w:val="21"/>
                <w:szCs w:val="21"/>
              </w:rPr>
              <w:t>adviser’s registration</w:t>
            </w:r>
            <w:r w:rsidR="00E50E4C">
              <w:rPr>
                <w:rFonts w:asciiTheme="minorHAnsi" w:hAnsiTheme="minorHAnsi" w:cs="Arial"/>
                <w:sz w:val="21"/>
                <w:szCs w:val="21"/>
              </w:rPr>
              <w:t xml:space="preserve"> f</w:t>
            </w:r>
            <w:r>
              <w:rPr>
                <w:rFonts w:asciiTheme="minorHAnsi" w:hAnsiTheme="minorHAnsi" w:cs="Arial"/>
                <w:sz w:val="21"/>
                <w:szCs w:val="21"/>
              </w:rPr>
              <w:t xml:space="preserve">or a period of time. </w:t>
            </w:r>
          </w:p>
          <w:p w14:paraId="0FE95872" w14:textId="07A2ADF0" w:rsidR="00A06DAC" w:rsidRDefault="00A06DAC" w:rsidP="00E15305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 xml:space="preserve">For an alleged contravention of a ‘restricted civil penalty provision’ the Financial Services and Credit Panel may issue an infringement notice of 12 penalty units; or if the Financial Services and Credit Panel thinks it is appropriate, it may recommend to ASIC that it apply to the court for a civil penalty. </w:t>
            </w:r>
          </w:p>
          <w:p w14:paraId="68EA5940" w14:textId="389B38A1" w:rsidR="00A06DAC" w:rsidRPr="005D6F91" w:rsidRDefault="00E50E4C" w:rsidP="006F5344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The</w:t>
            </w:r>
            <w:r w:rsidR="00A06DAC">
              <w:rPr>
                <w:rFonts w:asciiTheme="minorHAnsi" w:hAnsiTheme="minorHAnsi" w:cs="Arial"/>
                <w:sz w:val="21"/>
                <w:szCs w:val="21"/>
              </w:rPr>
              <w:t xml:space="preserve"> Financial Services and Credit Panel may also enter into an enforceable undertaking with the adviser. </w:t>
            </w:r>
          </w:p>
          <w:p w14:paraId="611B6278" w14:textId="1121DCA4" w:rsidR="00A06DAC" w:rsidRPr="005D6F91" w:rsidRDefault="00A06DAC" w:rsidP="003D07E1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A06DAC" w:rsidRPr="005D6F91" w14:paraId="6344B54E" w14:textId="77777777" w:rsidTr="00E43B50">
        <w:tc>
          <w:tcPr>
            <w:tcW w:w="3544" w:type="dxa"/>
            <w:shd w:val="clear" w:color="auto" w:fill="auto"/>
          </w:tcPr>
          <w:p w14:paraId="663233FE" w14:textId="155514A9" w:rsidR="00A06DAC" w:rsidRPr="005D6F91" w:rsidRDefault="00A06DAC" w:rsidP="005D6F91">
            <w:pPr>
              <w:pStyle w:val="TableTextBase"/>
              <w:spacing w:before="60" w:after="60"/>
              <w:ind w:left="318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Administrative sanctions</w:t>
            </w:r>
          </w:p>
        </w:tc>
        <w:tc>
          <w:tcPr>
            <w:tcW w:w="1418" w:type="dxa"/>
            <w:shd w:val="clear" w:color="auto" w:fill="auto"/>
          </w:tcPr>
          <w:p w14:paraId="2F017F0D" w14:textId="436C3359" w:rsidR="00A06DAC" w:rsidRPr="005D6F91" w:rsidRDefault="00A06DAC" w:rsidP="005D6F91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921M</w:t>
            </w:r>
          </w:p>
        </w:tc>
        <w:tc>
          <w:tcPr>
            <w:tcW w:w="4507" w:type="dxa"/>
            <w:vMerge/>
            <w:shd w:val="clear" w:color="auto" w:fill="auto"/>
          </w:tcPr>
          <w:p w14:paraId="6773DF26" w14:textId="0322359E" w:rsidR="00A06DAC" w:rsidRPr="005D6F91" w:rsidRDefault="00A06DAC" w:rsidP="003D07E1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A06DAC" w:rsidRPr="005D6F91" w14:paraId="3C0340CF" w14:textId="77777777" w:rsidTr="00E43B50">
        <w:tc>
          <w:tcPr>
            <w:tcW w:w="3544" w:type="dxa"/>
            <w:shd w:val="clear" w:color="auto" w:fill="auto"/>
          </w:tcPr>
          <w:p w14:paraId="5DEC5EE1" w14:textId="43368D0C" w:rsidR="00A06DAC" w:rsidRPr="005D6F91" w:rsidRDefault="00A06DAC" w:rsidP="005D6F91">
            <w:pPr>
              <w:pStyle w:val="TableTextBase"/>
              <w:spacing w:before="60" w:after="60"/>
              <w:ind w:left="318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Infringement notices</w:t>
            </w:r>
          </w:p>
        </w:tc>
        <w:tc>
          <w:tcPr>
            <w:tcW w:w="1418" w:type="dxa"/>
            <w:shd w:val="clear" w:color="auto" w:fill="auto"/>
          </w:tcPr>
          <w:p w14:paraId="5000CD02" w14:textId="4D0E4FA6" w:rsidR="00A06DAC" w:rsidRPr="005D6F91" w:rsidRDefault="00A06DAC" w:rsidP="005D6F91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1317DATB</w:t>
            </w:r>
          </w:p>
        </w:tc>
        <w:tc>
          <w:tcPr>
            <w:tcW w:w="4507" w:type="dxa"/>
            <w:vMerge/>
            <w:shd w:val="clear" w:color="auto" w:fill="auto"/>
          </w:tcPr>
          <w:p w14:paraId="49C59573" w14:textId="77777777" w:rsidR="00A06DAC" w:rsidRPr="005D6F91" w:rsidRDefault="00A06DAC" w:rsidP="005D6F91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A06DAC" w:rsidRPr="005D6F91" w14:paraId="621FE1DF" w14:textId="77777777" w:rsidTr="00E43B50">
        <w:tc>
          <w:tcPr>
            <w:tcW w:w="3544" w:type="dxa"/>
            <w:shd w:val="clear" w:color="auto" w:fill="auto"/>
          </w:tcPr>
          <w:p w14:paraId="63DA0B7B" w14:textId="69E9724C" w:rsidR="00A06DAC" w:rsidRPr="005D6F91" w:rsidRDefault="00A06DAC" w:rsidP="005D6F91">
            <w:pPr>
              <w:pStyle w:val="TableTextBase"/>
              <w:spacing w:before="60" w:after="60"/>
              <w:ind w:left="318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 xml:space="preserve">Civil penalties </w:t>
            </w:r>
          </w:p>
        </w:tc>
        <w:tc>
          <w:tcPr>
            <w:tcW w:w="1418" w:type="dxa"/>
            <w:shd w:val="clear" w:color="auto" w:fill="auto"/>
          </w:tcPr>
          <w:p w14:paraId="3EF7560F" w14:textId="3CB00E4D" w:rsidR="00A06DAC" w:rsidRPr="005D6F91" w:rsidRDefault="00430163" w:rsidP="005D6F91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921Q</w:t>
            </w:r>
          </w:p>
        </w:tc>
        <w:tc>
          <w:tcPr>
            <w:tcW w:w="4507" w:type="dxa"/>
            <w:vMerge/>
            <w:shd w:val="clear" w:color="auto" w:fill="auto"/>
          </w:tcPr>
          <w:p w14:paraId="31AD5843" w14:textId="77777777" w:rsidR="00A06DAC" w:rsidRPr="005D6F91" w:rsidRDefault="00A06DAC" w:rsidP="005D6F91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A06DAC" w:rsidRPr="005D6F91" w14:paraId="7270622A" w14:textId="77777777" w:rsidTr="00E43B50">
        <w:tc>
          <w:tcPr>
            <w:tcW w:w="3544" w:type="dxa"/>
            <w:shd w:val="clear" w:color="auto" w:fill="auto"/>
          </w:tcPr>
          <w:p w14:paraId="7C29188D" w14:textId="505A070A" w:rsidR="00A06DAC" w:rsidRPr="005D6F91" w:rsidRDefault="00A06DAC" w:rsidP="005D6F91">
            <w:pPr>
              <w:pStyle w:val="TableTextBase"/>
              <w:spacing w:before="60" w:after="60"/>
              <w:ind w:left="318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Enforceable undertakings</w:t>
            </w:r>
          </w:p>
        </w:tc>
        <w:tc>
          <w:tcPr>
            <w:tcW w:w="1418" w:type="dxa"/>
            <w:shd w:val="clear" w:color="auto" w:fill="auto"/>
          </w:tcPr>
          <w:p w14:paraId="4F9FD2AE" w14:textId="7BAA4BD5" w:rsidR="00A06DAC" w:rsidRPr="005D6F91" w:rsidRDefault="00D27E48" w:rsidP="005D6F91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171D of the ASIC Act</w:t>
            </w:r>
          </w:p>
        </w:tc>
        <w:tc>
          <w:tcPr>
            <w:tcW w:w="4507" w:type="dxa"/>
            <w:vMerge/>
            <w:shd w:val="clear" w:color="auto" w:fill="auto"/>
          </w:tcPr>
          <w:p w14:paraId="416247FC" w14:textId="77777777" w:rsidR="00A06DAC" w:rsidRPr="005D6F91" w:rsidRDefault="00A06DAC" w:rsidP="005D6F91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8305C6" w:rsidRPr="005D6F91" w14:paraId="1409EB4C" w14:textId="77777777" w:rsidTr="00E43B50">
        <w:tc>
          <w:tcPr>
            <w:tcW w:w="3544" w:type="dxa"/>
            <w:shd w:val="clear" w:color="auto" w:fill="auto"/>
          </w:tcPr>
          <w:p w14:paraId="523315D6" w14:textId="39B50303" w:rsidR="008305C6" w:rsidRPr="005D6F91" w:rsidRDefault="008305C6" w:rsidP="00265AD5">
            <w:pPr>
              <w:pStyle w:val="TableTextBase"/>
              <w:spacing w:before="60" w:after="60"/>
            </w:pPr>
            <w:r w:rsidRPr="00265AD5">
              <w:rPr>
                <w:rFonts w:asciiTheme="minorHAnsi" w:hAnsiTheme="minorHAnsi" w:cs="Arial"/>
                <w:b/>
                <w:sz w:val="21"/>
                <w:szCs w:val="21"/>
              </w:rPr>
              <w:t>Does a financial adviser have a right to appeal a decision of the single disciplinary body?</w:t>
            </w:r>
          </w:p>
        </w:tc>
        <w:tc>
          <w:tcPr>
            <w:tcW w:w="1418" w:type="dxa"/>
            <w:shd w:val="clear" w:color="auto" w:fill="auto"/>
          </w:tcPr>
          <w:p w14:paraId="0CD9A396" w14:textId="77777777" w:rsidR="008305C6" w:rsidRPr="005D6F91" w:rsidRDefault="008305C6" w:rsidP="005D6F91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</w:p>
        </w:tc>
        <w:tc>
          <w:tcPr>
            <w:tcW w:w="4507" w:type="dxa"/>
            <w:vMerge w:val="restart"/>
            <w:shd w:val="clear" w:color="auto" w:fill="auto"/>
          </w:tcPr>
          <w:p w14:paraId="780D53B1" w14:textId="2B43D072" w:rsidR="008305C6" w:rsidRDefault="008305C6" w:rsidP="00D760D5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 xml:space="preserve">Once a Financial Services and Credit Panel has made an order or a direction against a financial adviser, the adviser can apply </w:t>
            </w:r>
            <w:r w:rsidR="0079634D">
              <w:rPr>
                <w:rFonts w:asciiTheme="minorHAnsi" w:hAnsiTheme="minorHAnsi" w:cs="Arial"/>
                <w:sz w:val="21"/>
                <w:szCs w:val="21"/>
              </w:rPr>
              <w:t xml:space="preserve">to the Financial Services and Credit Panel </w:t>
            </w:r>
            <w:r>
              <w:rPr>
                <w:rFonts w:asciiTheme="minorHAnsi" w:hAnsiTheme="minorHAnsi" w:cs="Arial"/>
                <w:sz w:val="21"/>
                <w:szCs w:val="21"/>
              </w:rPr>
              <w:t>to have that</w:t>
            </w:r>
            <w:r w:rsidR="00E50E4C">
              <w:rPr>
                <w:rFonts w:asciiTheme="minorHAnsi" w:hAnsiTheme="minorHAnsi" w:cs="Arial"/>
                <w:sz w:val="21"/>
                <w:szCs w:val="21"/>
              </w:rPr>
              <w:t xml:space="preserve"> order or</w:t>
            </w:r>
            <w:r>
              <w:rPr>
                <w:rFonts w:asciiTheme="minorHAnsi" w:hAnsiTheme="minorHAnsi" w:cs="Arial"/>
                <w:sz w:val="21"/>
                <w:szCs w:val="21"/>
              </w:rPr>
              <w:t xml:space="preserve"> decision varied or revoked</w:t>
            </w:r>
            <w:r w:rsidR="00B277E5">
              <w:rPr>
                <w:rFonts w:asciiTheme="minorHAnsi" w:hAnsiTheme="minorHAnsi" w:cs="Arial"/>
                <w:sz w:val="21"/>
                <w:szCs w:val="21"/>
              </w:rPr>
              <w:t>, or apply to the Administrative Appeals Tribunal for a review of the decision</w:t>
            </w:r>
            <w:r>
              <w:rPr>
                <w:rFonts w:asciiTheme="minorHAnsi" w:hAnsiTheme="minorHAnsi" w:cs="Arial"/>
                <w:sz w:val="21"/>
                <w:szCs w:val="21"/>
              </w:rPr>
              <w:t xml:space="preserve">. </w:t>
            </w:r>
          </w:p>
          <w:p w14:paraId="0D42488D" w14:textId="1E625BB9" w:rsidR="0079634D" w:rsidRDefault="008305C6" w:rsidP="00D760D5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 xml:space="preserve">A person can </w:t>
            </w:r>
            <w:r w:rsidR="00B277E5">
              <w:rPr>
                <w:rFonts w:asciiTheme="minorHAnsi" w:hAnsiTheme="minorHAnsi" w:cs="Arial"/>
                <w:sz w:val="21"/>
                <w:szCs w:val="21"/>
              </w:rPr>
              <w:t xml:space="preserve">subsequently </w:t>
            </w:r>
            <w:r>
              <w:rPr>
                <w:rFonts w:asciiTheme="minorHAnsi" w:hAnsiTheme="minorHAnsi" w:cs="Arial"/>
                <w:sz w:val="21"/>
                <w:szCs w:val="21"/>
              </w:rPr>
              <w:t xml:space="preserve">apply to the Administrative Appeals Tribunal for review of a decision not to vary or revoke the decision, or to vary it in </w:t>
            </w:r>
            <w:r w:rsidR="0079634D">
              <w:rPr>
                <w:rFonts w:asciiTheme="minorHAnsi" w:hAnsiTheme="minorHAnsi" w:cs="Arial"/>
                <w:sz w:val="21"/>
                <w:szCs w:val="21"/>
              </w:rPr>
              <w:t xml:space="preserve">a </w:t>
            </w:r>
            <w:r>
              <w:rPr>
                <w:rFonts w:asciiTheme="minorHAnsi" w:hAnsiTheme="minorHAnsi" w:cs="Arial"/>
                <w:sz w:val="21"/>
                <w:szCs w:val="21"/>
              </w:rPr>
              <w:t xml:space="preserve">way </w:t>
            </w:r>
            <w:r w:rsidR="0079634D">
              <w:rPr>
                <w:rFonts w:asciiTheme="minorHAnsi" w:hAnsiTheme="minorHAnsi" w:cs="Arial"/>
                <w:sz w:val="21"/>
                <w:szCs w:val="21"/>
              </w:rPr>
              <w:t>different to the request</w:t>
            </w:r>
            <w:r>
              <w:rPr>
                <w:rFonts w:asciiTheme="minorHAnsi" w:hAnsiTheme="minorHAnsi" w:cs="Arial"/>
                <w:sz w:val="21"/>
                <w:szCs w:val="21"/>
              </w:rPr>
              <w:t>.</w:t>
            </w:r>
          </w:p>
          <w:p w14:paraId="322DB8F7" w14:textId="156CF073" w:rsidR="008305C6" w:rsidRDefault="008305C6" w:rsidP="00D760D5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 xml:space="preserve">The Administrative Appeals Tribunal </w:t>
            </w:r>
            <w:r w:rsidR="00E50E4C">
              <w:rPr>
                <w:rFonts w:asciiTheme="minorHAnsi" w:hAnsiTheme="minorHAnsi" w:cs="Arial"/>
                <w:sz w:val="21"/>
                <w:szCs w:val="21"/>
              </w:rPr>
              <w:t>can</w:t>
            </w:r>
            <w:r>
              <w:rPr>
                <w:rFonts w:asciiTheme="minorHAnsi" w:hAnsiTheme="minorHAnsi" w:cs="Arial"/>
                <w:sz w:val="21"/>
                <w:szCs w:val="21"/>
              </w:rPr>
              <w:t xml:space="preserve">not review the issuing of infringement notices. </w:t>
            </w:r>
          </w:p>
          <w:p w14:paraId="4B133151" w14:textId="494FB937" w:rsidR="008305C6" w:rsidRDefault="008305C6" w:rsidP="008A6A69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 xml:space="preserve">Within the first 28 days after an infringement notice is issued, a person may apply to ASIC to have the notice withdrawn. A Financial Services and Credit Panel decides whether to withdraw the notice. </w:t>
            </w:r>
          </w:p>
          <w:p w14:paraId="14657A1A" w14:textId="022066A5" w:rsidR="008305C6" w:rsidRPr="005D6F91" w:rsidRDefault="008305C6" w:rsidP="00E50E4C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Otherwise, where a person disagrees with an infringement notice that has been issued, the person can refuse to pay the notice</w:t>
            </w:r>
            <w:r w:rsidR="00BA6425">
              <w:rPr>
                <w:rFonts w:asciiTheme="minorHAnsi" w:hAnsiTheme="minorHAnsi" w:cs="Arial"/>
                <w:sz w:val="21"/>
                <w:szCs w:val="21"/>
              </w:rPr>
              <w:t xml:space="preserve"> and </w:t>
            </w:r>
            <w:r>
              <w:rPr>
                <w:rFonts w:asciiTheme="minorHAnsi" w:hAnsiTheme="minorHAnsi" w:cs="Arial"/>
                <w:sz w:val="21"/>
                <w:szCs w:val="21"/>
              </w:rPr>
              <w:t xml:space="preserve">ASIC </w:t>
            </w:r>
            <w:r w:rsidR="00E50E4C">
              <w:rPr>
                <w:rFonts w:asciiTheme="minorHAnsi" w:hAnsiTheme="minorHAnsi" w:cs="Arial"/>
                <w:sz w:val="21"/>
                <w:szCs w:val="21"/>
              </w:rPr>
              <w:lastRenderedPageBreak/>
              <w:t>may</w:t>
            </w:r>
            <w:r>
              <w:rPr>
                <w:rFonts w:asciiTheme="minorHAnsi" w:hAnsiTheme="minorHAnsi" w:cs="Arial"/>
                <w:sz w:val="21"/>
                <w:szCs w:val="21"/>
              </w:rPr>
              <w:t xml:space="preserve"> decide whether to apply to the court for a decision. </w:t>
            </w:r>
          </w:p>
        </w:tc>
      </w:tr>
      <w:tr w:rsidR="008305C6" w:rsidRPr="005D6F91" w14:paraId="0E96424B" w14:textId="77777777" w:rsidTr="00E43B50">
        <w:tc>
          <w:tcPr>
            <w:tcW w:w="3544" w:type="dxa"/>
            <w:shd w:val="clear" w:color="auto" w:fill="auto"/>
          </w:tcPr>
          <w:p w14:paraId="5B9490C2" w14:textId="2BAD93A2" w:rsidR="008305C6" w:rsidRPr="005D6F91" w:rsidRDefault="008305C6" w:rsidP="005D6F91">
            <w:pPr>
              <w:pStyle w:val="TableTextBase"/>
              <w:spacing w:before="60" w:after="60"/>
              <w:ind w:left="318"/>
              <w:rPr>
                <w:rFonts w:asciiTheme="minorHAnsi" w:hAnsiTheme="minorHAnsi" w:cs="Arial"/>
                <w:b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 xml:space="preserve">Variation and revocation </w:t>
            </w:r>
          </w:p>
        </w:tc>
        <w:tc>
          <w:tcPr>
            <w:tcW w:w="1418" w:type="dxa"/>
            <w:shd w:val="clear" w:color="auto" w:fill="auto"/>
          </w:tcPr>
          <w:p w14:paraId="6D824D9F" w14:textId="25AE9C89" w:rsidR="008305C6" w:rsidRPr="005D6F91" w:rsidRDefault="008305C6" w:rsidP="005D6F91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921P</w:t>
            </w:r>
          </w:p>
        </w:tc>
        <w:tc>
          <w:tcPr>
            <w:tcW w:w="4507" w:type="dxa"/>
            <w:vMerge/>
            <w:shd w:val="clear" w:color="auto" w:fill="auto"/>
          </w:tcPr>
          <w:p w14:paraId="3AE8C339" w14:textId="4A554015" w:rsidR="008305C6" w:rsidRPr="005D6F91" w:rsidRDefault="008305C6" w:rsidP="005D6F91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8305C6" w:rsidRPr="005D6F91" w14:paraId="016F2F69" w14:textId="77777777" w:rsidTr="00E43B50">
        <w:tc>
          <w:tcPr>
            <w:tcW w:w="3544" w:type="dxa"/>
            <w:shd w:val="clear" w:color="auto" w:fill="auto"/>
          </w:tcPr>
          <w:p w14:paraId="711D9369" w14:textId="181CF2B3" w:rsidR="008305C6" w:rsidRPr="005D6F91" w:rsidRDefault="008305C6" w:rsidP="005D6F91">
            <w:pPr>
              <w:pStyle w:val="TableTextBase"/>
              <w:spacing w:before="60" w:after="60"/>
              <w:ind w:left="318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Administrative Appeals Tribunal</w:t>
            </w:r>
          </w:p>
        </w:tc>
        <w:tc>
          <w:tcPr>
            <w:tcW w:w="1418" w:type="dxa"/>
            <w:shd w:val="clear" w:color="auto" w:fill="auto"/>
          </w:tcPr>
          <w:p w14:paraId="16AD284C" w14:textId="0D0BC0BA" w:rsidR="008305C6" w:rsidRPr="005D6F91" w:rsidRDefault="008305C6" w:rsidP="005D6F91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921RA</w:t>
            </w:r>
          </w:p>
        </w:tc>
        <w:tc>
          <w:tcPr>
            <w:tcW w:w="4507" w:type="dxa"/>
            <w:vMerge/>
            <w:shd w:val="clear" w:color="auto" w:fill="auto"/>
          </w:tcPr>
          <w:p w14:paraId="0BEF968C" w14:textId="6A412663" w:rsidR="008305C6" w:rsidRPr="005D6F91" w:rsidRDefault="008305C6" w:rsidP="005D6F91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8305C6" w:rsidRPr="005D6F91" w14:paraId="4A0A2EAB" w14:textId="77777777" w:rsidTr="00E43B50">
        <w:tc>
          <w:tcPr>
            <w:tcW w:w="3544" w:type="dxa"/>
            <w:shd w:val="clear" w:color="auto" w:fill="auto"/>
          </w:tcPr>
          <w:p w14:paraId="57BF1F96" w14:textId="69061EFD" w:rsidR="008305C6" w:rsidRDefault="008305C6" w:rsidP="005D6F91">
            <w:pPr>
              <w:pStyle w:val="TableTextBase"/>
              <w:spacing w:before="60" w:after="60"/>
              <w:ind w:left="318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Withdrawal of infringement notice</w:t>
            </w:r>
          </w:p>
        </w:tc>
        <w:tc>
          <w:tcPr>
            <w:tcW w:w="1418" w:type="dxa"/>
            <w:shd w:val="clear" w:color="auto" w:fill="auto"/>
          </w:tcPr>
          <w:p w14:paraId="5A2BAC89" w14:textId="42D92B35" w:rsidR="008305C6" w:rsidRDefault="0079634D" w:rsidP="005D6F91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1317DATD</w:t>
            </w:r>
          </w:p>
        </w:tc>
        <w:tc>
          <w:tcPr>
            <w:tcW w:w="4507" w:type="dxa"/>
            <w:vMerge/>
            <w:shd w:val="clear" w:color="auto" w:fill="auto"/>
          </w:tcPr>
          <w:p w14:paraId="5886E4F3" w14:textId="05659C7C" w:rsidR="008305C6" w:rsidRPr="005D6F91" w:rsidRDefault="008305C6" w:rsidP="005D6F91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114432" w:rsidRPr="005D6F91" w14:paraId="6DE826D1" w14:textId="77777777" w:rsidTr="00E43B50">
        <w:tc>
          <w:tcPr>
            <w:tcW w:w="3544" w:type="dxa"/>
            <w:shd w:val="clear" w:color="auto" w:fill="auto"/>
          </w:tcPr>
          <w:p w14:paraId="3579EFE5" w14:textId="729AAF88" w:rsidR="00114432" w:rsidRPr="005D6F91" w:rsidRDefault="00114432" w:rsidP="00114432">
            <w:pPr>
              <w:pStyle w:val="TableTextBase"/>
              <w:spacing w:before="60" w:after="60"/>
              <w:rPr>
                <w:rFonts w:asciiTheme="minorHAnsi" w:hAnsiTheme="minorHAnsi" w:cs="Arial"/>
                <w:b/>
                <w:sz w:val="21"/>
                <w:szCs w:val="21"/>
              </w:rPr>
            </w:pPr>
            <w:r>
              <w:rPr>
                <w:rFonts w:asciiTheme="minorHAnsi" w:hAnsiTheme="minorHAnsi" w:cs="Arial"/>
                <w:b/>
                <w:sz w:val="21"/>
                <w:szCs w:val="21"/>
              </w:rPr>
              <w:t>How does the single disciplinary body make a decision?</w:t>
            </w:r>
            <w:r w:rsidRPr="005D6F91">
              <w:rPr>
                <w:rFonts w:asciiTheme="minorHAnsi" w:hAnsiTheme="minorHAnsi" w:cs="Arial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14:paraId="21F4E3F5" w14:textId="77777777" w:rsidR="00114432" w:rsidRPr="005D6F91" w:rsidRDefault="00114432" w:rsidP="00114432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</w:p>
        </w:tc>
        <w:tc>
          <w:tcPr>
            <w:tcW w:w="4507" w:type="dxa"/>
            <w:shd w:val="clear" w:color="auto" w:fill="auto"/>
          </w:tcPr>
          <w:p w14:paraId="2B476B32" w14:textId="05046042" w:rsidR="00114432" w:rsidRPr="005D6F91" w:rsidRDefault="00114432" w:rsidP="00B614A2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B614A2" w:rsidRPr="005D6F91" w14:paraId="06849978" w14:textId="77777777" w:rsidTr="00E43B50">
        <w:tc>
          <w:tcPr>
            <w:tcW w:w="3544" w:type="dxa"/>
            <w:shd w:val="clear" w:color="auto" w:fill="auto"/>
          </w:tcPr>
          <w:p w14:paraId="7E260EF7" w14:textId="711E00EA" w:rsidR="00B614A2" w:rsidRPr="005D6F91" w:rsidRDefault="00B614A2" w:rsidP="00B614A2">
            <w:pPr>
              <w:pStyle w:val="TableTextBase"/>
              <w:spacing w:before="60" w:after="60"/>
              <w:ind w:left="318"/>
              <w:rPr>
                <w:rFonts w:asciiTheme="minorHAnsi" w:hAnsiTheme="minorHAnsi" w:cs="Arial"/>
                <w:b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Decisions at meetings</w:t>
            </w:r>
          </w:p>
        </w:tc>
        <w:tc>
          <w:tcPr>
            <w:tcW w:w="1418" w:type="dxa"/>
            <w:shd w:val="clear" w:color="auto" w:fill="auto"/>
          </w:tcPr>
          <w:p w14:paraId="4554DA42" w14:textId="0AEB8B26" w:rsidR="00D27E48" w:rsidRDefault="00D27E48" w:rsidP="00D27E48">
            <w:pPr>
              <w:pStyle w:val="TableTextBase"/>
              <w:spacing w:before="0" w:after="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148</w:t>
            </w:r>
            <w:r w:rsidR="00A06DAC">
              <w:rPr>
                <w:rFonts w:asciiTheme="minorHAnsi" w:hAnsiTheme="minorHAnsi" w:cs="Arial"/>
                <w:sz w:val="21"/>
                <w:szCs w:val="21"/>
              </w:rPr>
              <w:t xml:space="preserve"> </w:t>
            </w:r>
          </w:p>
          <w:p w14:paraId="48C66971" w14:textId="77777777" w:rsidR="00D27E48" w:rsidRDefault="00A06DAC" w:rsidP="00D27E48">
            <w:pPr>
              <w:pStyle w:val="TableTextBase"/>
              <w:spacing w:before="0" w:after="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 xml:space="preserve">152, </w:t>
            </w:r>
          </w:p>
          <w:p w14:paraId="72B8654E" w14:textId="4A96EF4B" w:rsidR="00D27E48" w:rsidRDefault="00D27E48" w:rsidP="00D27E48">
            <w:pPr>
              <w:pStyle w:val="TableTextBase"/>
              <w:spacing w:before="0" w:after="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152A</w:t>
            </w:r>
            <w:r w:rsidR="00A06DAC">
              <w:rPr>
                <w:rFonts w:asciiTheme="minorHAnsi" w:hAnsiTheme="minorHAnsi" w:cs="Arial"/>
                <w:sz w:val="21"/>
                <w:szCs w:val="21"/>
              </w:rPr>
              <w:t xml:space="preserve"> </w:t>
            </w:r>
          </w:p>
          <w:p w14:paraId="1519216E" w14:textId="672788CF" w:rsidR="00B614A2" w:rsidRPr="005D6F91" w:rsidRDefault="00A06DAC" w:rsidP="00D27E48">
            <w:pPr>
              <w:pStyle w:val="TableTextBase"/>
              <w:spacing w:before="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155 of the ASIC Act</w:t>
            </w:r>
          </w:p>
        </w:tc>
        <w:tc>
          <w:tcPr>
            <w:tcW w:w="4507" w:type="dxa"/>
            <w:vMerge w:val="restart"/>
            <w:shd w:val="clear" w:color="auto" w:fill="auto"/>
          </w:tcPr>
          <w:p w14:paraId="0635ADCA" w14:textId="77777777" w:rsidR="00B614A2" w:rsidRDefault="00B614A2" w:rsidP="00B614A2">
            <w:pPr>
              <w:pStyle w:val="TableTextBase"/>
              <w:spacing w:before="60" w:after="60"/>
              <w:jc w:val="left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 xml:space="preserve">The chair of a panel must convene a meeting of the panel in order for the panel to consider a matter put to it and make a decision about the action to take.  </w:t>
            </w:r>
          </w:p>
          <w:p w14:paraId="6E66330B" w14:textId="77777777" w:rsidR="00B277E5" w:rsidRDefault="00B614A2" w:rsidP="00B277E5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Before a Financial Services and Credit Panel can take action against an adviser, the panel most notify the adviser of the proposed action</w:t>
            </w:r>
            <w:r w:rsidR="00B277E5">
              <w:rPr>
                <w:rFonts w:asciiTheme="minorHAnsi" w:hAnsiTheme="minorHAnsi" w:cs="Arial"/>
                <w:sz w:val="21"/>
                <w:szCs w:val="21"/>
              </w:rPr>
              <w:t xml:space="preserve"> and give the adviser the opportunity to </w:t>
            </w:r>
            <w:r>
              <w:rPr>
                <w:rFonts w:asciiTheme="minorHAnsi" w:hAnsiTheme="minorHAnsi" w:cs="Arial"/>
                <w:sz w:val="21"/>
                <w:szCs w:val="21"/>
              </w:rPr>
              <w:t>request a hearing or make a submission.</w:t>
            </w:r>
          </w:p>
          <w:p w14:paraId="6C8C2CB5" w14:textId="66C651CD" w:rsidR="00B614A2" w:rsidRDefault="00B614A2" w:rsidP="00B277E5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 xml:space="preserve">If the provider does not request a hearing or make a submission the Financial Services and Credit Panel may take the action included in the notice. </w:t>
            </w:r>
          </w:p>
          <w:p w14:paraId="00242AA5" w14:textId="7CEC77AB" w:rsidR="00B614A2" w:rsidRPr="00DB1F70" w:rsidRDefault="00B614A2" w:rsidP="00B277E5">
            <w:pPr>
              <w:pStyle w:val="TableTextBase"/>
              <w:spacing w:before="60" w:after="60"/>
              <w:jc w:val="left"/>
            </w:pPr>
            <w:r>
              <w:rPr>
                <w:rFonts w:asciiTheme="minorHAnsi" w:hAnsiTheme="minorHAnsi" w:cs="Arial"/>
                <w:sz w:val="21"/>
                <w:szCs w:val="21"/>
              </w:rPr>
              <w:t>If the adviser requests a hearing</w:t>
            </w:r>
            <w:r w:rsidR="00B277E5">
              <w:rPr>
                <w:rFonts w:asciiTheme="minorHAnsi" w:hAnsiTheme="minorHAnsi" w:cs="Arial"/>
                <w:sz w:val="21"/>
                <w:szCs w:val="21"/>
              </w:rPr>
              <w:t xml:space="preserve"> or makes a submission</w:t>
            </w:r>
            <w:r>
              <w:rPr>
                <w:rFonts w:asciiTheme="minorHAnsi" w:hAnsiTheme="minorHAnsi" w:cs="Arial"/>
                <w:sz w:val="21"/>
                <w:szCs w:val="21"/>
              </w:rPr>
              <w:t>, the Financial Services and Credit Panel must consider any evidence given at the hearing</w:t>
            </w:r>
            <w:r w:rsidR="00B277E5">
              <w:rPr>
                <w:rFonts w:asciiTheme="minorHAnsi" w:hAnsiTheme="minorHAnsi" w:cs="Arial"/>
                <w:sz w:val="21"/>
                <w:szCs w:val="21"/>
              </w:rPr>
              <w:t xml:space="preserve">, or included in the submission </w:t>
            </w:r>
            <w:r>
              <w:rPr>
                <w:rFonts w:asciiTheme="minorHAnsi" w:hAnsiTheme="minorHAnsi" w:cs="Arial"/>
                <w:sz w:val="21"/>
                <w:szCs w:val="21"/>
              </w:rPr>
              <w:t xml:space="preserve">before finalising its decision. </w:t>
            </w:r>
          </w:p>
        </w:tc>
      </w:tr>
      <w:tr w:rsidR="00B614A2" w:rsidRPr="005D6F91" w14:paraId="0A271C1A" w14:textId="77777777" w:rsidTr="00E43B50">
        <w:tc>
          <w:tcPr>
            <w:tcW w:w="3544" w:type="dxa"/>
            <w:shd w:val="clear" w:color="auto" w:fill="auto"/>
          </w:tcPr>
          <w:p w14:paraId="28003370" w14:textId="5BEBE007" w:rsidR="00B614A2" w:rsidRPr="005D6F91" w:rsidRDefault="00B614A2" w:rsidP="00B614A2">
            <w:pPr>
              <w:pStyle w:val="TableTextBase"/>
              <w:spacing w:before="60" w:after="60"/>
              <w:ind w:left="318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Hearings</w:t>
            </w:r>
          </w:p>
        </w:tc>
        <w:tc>
          <w:tcPr>
            <w:tcW w:w="1418" w:type="dxa"/>
            <w:shd w:val="clear" w:color="auto" w:fill="auto"/>
          </w:tcPr>
          <w:p w14:paraId="481FF344" w14:textId="77777777" w:rsidR="00D27E48" w:rsidRDefault="00D27E48" w:rsidP="002A55C5">
            <w:pPr>
              <w:pStyle w:val="TableTextBase"/>
              <w:spacing w:before="0" w:after="0"/>
              <w:jc w:val="left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156</w:t>
            </w:r>
            <w:r w:rsidR="00A06DAC">
              <w:rPr>
                <w:rFonts w:asciiTheme="minorHAnsi" w:hAnsiTheme="minorHAnsi" w:cs="Arial"/>
                <w:sz w:val="21"/>
                <w:szCs w:val="21"/>
              </w:rPr>
              <w:t xml:space="preserve"> </w:t>
            </w:r>
          </w:p>
          <w:p w14:paraId="7EE2519F" w14:textId="77777777" w:rsidR="00D27E48" w:rsidRDefault="00D27E48" w:rsidP="002A55C5">
            <w:pPr>
              <w:pStyle w:val="TableTextBase"/>
              <w:spacing w:before="0" w:after="0"/>
              <w:jc w:val="left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158</w:t>
            </w:r>
            <w:r w:rsidR="00A06DAC">
              <w:rPr>
                <w:rFonts w:asciiTheme="minorHAnsi" w:hAnsiTheme="minorHAnsi" w:cs="Arial"/>
                <w:sz w:val="21"/>
                <w:szCs w:val="21"/>
              </w:rPr>
              <w:t xml:space="preserve"> </w:t>
            </w:r>
          </w:p>
          <w:p w14:paraId="4E6D2C1F" w14:textId="77777777" w:rsidR="00D27E48" w:rsidRDefault="00D27E48" w:rsidP="002A55C5">
            <w:pPr>
              <w:pStyle w:val="TableTextBase"/>
              <w:spacing w:before="0" w:after="0"/>
              <w:jc w:val="left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159</w:t>
            </w:r>
            <w:r w:rsidR="00A06DAC">
              <w:rPr>
                <w:rFonts w:asciiTheme="minorHAnsi" w:hAnsiTheme="minorHAnsi" w:cs="Arial"/>
                <w:sz w:val="21"/>
                <w:szCs w:val="21"/>
              </w:rPr>
              <w:t xml:space="preserve"> </w:t>
            </w:r>
          </w:p>
          <w:p w14:paraId="5D60BA1A" w14:textId="77777777" w:rsidR="002A55C5" w:rsidRDefault="00A06DAC" w:rsidP="002A55C5">
            <w:pPr>
              <w:pStyle w:val="TableTextBase"/>
              <w:spacing w:before="0" w:after="0"/>
              <w:jc w:val="left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160</w:t>
            </w:r>
          </w:p>
          <w:p w14:paraId="120A74DE" w14:textId="77777777" w:rsidR="002A55C5" w:rsidRDefault="002A55C5" w:rsidP="002A55C5">
            <w:pPr>
              <w:pStyle w:val="TableTextBase"/>
              <w:spacing w:before="0" w:after="0"/>
              <w:jc w:val="left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162</w:t>
            </w:r>
          </w:p>
          <w:p w14:paraId="252E57B5" w14:textId="1F77B27F" w:rsidR="00A06DAC" w:rsidRDefault="002A55C5" w:rsidP="002A55C5">
            <w:pPr>
              <w:pStyle w:val="TableTextBase"/>
              <w:spacing w:before="0" w:after="0"/>
              <w:jc w:val="left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163</w:t>
            </w:r>
            <w:r w:rsidR="00A06DAC">
              <w:rPr>
                <w:rFonts w:asciiTheme="minorHAnsi" w:hAnsiTheme="minorHAnsi" w:cs="Arial"/>
                <w:sz w:val="21"/>
                <w:szCs w:val="21"/>
              </w:rPr>
              <w:t xml:space="preserve"> of the ASIC Act</w:t>
            </w:r>
          </w:p>
          <w:p w14:paraId="3E9499DB" w14:textId="77777777" w:rsidR="00A06DAC" w:rsidRDefault="00A06DAC" w:rsidP="002A55C5">
            <w:pPr>
              <w:pStyle w:val="TableTextBase"/>
              <w:spacing w:before="60" w:after="60"/>
              <w:jc w:val="left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921L(2)</w:t>
            </w:r>
          </w:p>
          <w:p w14:paraId="3D0AB1E4" w14:textId="77777777" w:rsidR="00B614A2" w:rsidRDefault="00A06DAC" w:rsidP="002A55C5">
            <w:pPr>
              <w:pStyle w:val="TableTextBase"/>
              <w:spacing w:before="60" w:after="60"/>
              <w:jc w:val="left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921PA</w:t>
            </w:r>
          </w:p>
          <w:p w14:paraId="64C66975" w14:textId="77777777" w:rsidR="002A55C5" w:rsidRDefault="002A55C5" w:rsidP="002A55C5">
            <w:pPr>
              <w:pStyle w:val="TableTextBase"/>
              <w:spacing w:before="60" w:after="60"/>
              <w:jc w:val="left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921PB(4) &amp; (5)</w:t>
            </w:r>
          </w:p>
          <w:p w14:paraId="2AC2234C" w14:textId="1DBAF4F4" w:rsidR="002A55C5" w:rsidRPr="005D6F91" w:rsidRDefault="002A55C5" w:rsidP="002A55C5">
            <w:pPr>
              <w:pStyle w:val="TableTextBase"/>
              <w:spacing w:before="60" w:after="60"/>
              <w:jc w:val="left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1317DATB</w:t>
            </w:r>
          </w:p>
        </w:tc>
        <w:tc>
          <w:tcPr>
            <w:tcW w:w="4507" w:type="dxa"/>
            <w:vMerge/>
            <w:shd w:val="clear" w:color="auto" w:fill="auto"/>
          </w:tcPr>
          <w:p w14:paraId="74D0D277" w14:textId="77777777" w:rsidR="00B614A2" w:rsidRPr="005D6F91" w:rsidRDefault="00B614A2" w:rsidP="00B614A2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B614A2" w:rsidRPr="005D6F91" w14:paraId="5347A9B4" w14:textId="77777777" w:rsidTr="00E43B50">
        <w:tc>
          <w:tcPr>
            <w:tcW w:w="3544" w:type="dxa"/>
            <w:shd w:val="clear" w:color="auto" w:fill="auto"/>
          </w:tcPr>
          <w:p w14:paraId="196DCCDE" w14:textId="7C153E49" w:rsidR="00B614A2" w:rsidRPr="005D6F91" w:rsidRDefault="00B614A2" w:rsidP="00B614A2">
            <w:pPr>
              <w:pStyle w:val="TableTextBase"/>
              <w:spacing w:before="60" w:after="60"/>
              <w:ind w:left="318"/>
              <w:rPr>
                <w:rFonts w:asciiTheme="minorHAnsi" w:hAnsiTheme="minorHAnsi" w:cs="Arial"/>
                <w:b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Submissions</w:t>
            </w:r>
          </w:p>
        </w:tc>
        <w:tc>
          <w:tcPr>
            <w:tcW w:w="1418" w:type="dxa"/>
            <w:shd w:val="clear" w:color="auto" w:fill="auto"/>
          </w:tcPr>
          <w:p w14:paraId="71A485B6" w14:textId="77777777" w:rsidR="00593A68" w:rsidRDefault="00593A68" w:rsidP="00593A68">
            <w:pPr>
              <w:pStyle w:val="TableTextBase"/>
              <w:spacing w:before="0" w:after="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157</w:t>
            </w:r>
          </w:p>
          <w:p w14:paraId="4A1C1957" w14:textId="5E73603D" w:rsidR="00593A68" w:rsidRDefault="00D27E48" w:rsidP="00593A68">
            <w:pPr>
              <w:pStyle w:val="TableTextBase"/>
              <w:spacing w:before="0" w:after="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161</w:t>
            </w:r>
            <w:r w:rsidR="00593A68">
              <w:rPr>
                <w:rFonts w:asciiTheme="minorHAnsi" w:hAnsiTheme="minorHAnsi" w:cs="Arial"/>
                <w:sz w:val="21"/>
                <w:szCs w:val="21"/>
              </w:rPr>
              <w:t xml:space="preserve"> of the ASIC Act</w:t>
            </w:r>
          </w:p>
          <w:p w14:paraId="4CEBAC83" w14:textId="77777777" w:rsidR="00593A68" w:rsidRDefault="00593A68" w:rsidP="00593A68">
            <w:pPr>
              <w:pStyle w:val="TableTextBase"/>
              <w:spacing w:before="0" w:after="120"/>
              <w:rPr>
                <w:rFonts w:asciiTheme="minorHAnsi" w:hAnsiTheme="minorHAnsi" w:cs="Arial"/>
                <w:sz w:val="21"/>
                <w:szCs w:val="21"/>
              </w:rPr>
            </w:pPr>
          </w:p>
          <w:p w14:paraId="7123BFD3" w14:textId="09493DFC" w:rsidR="00593A68" w:rsidRDefault="00593A68" w:rsidP="00B614A2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921L(2)</w:t>
            </w:r>
          </w:p>
          <w:p w14:paraId="437D325E" w14:textId="77777777" w:rsidR="00B614A2" w:rsidRDefault="00593A68" w:rsidP="00B614A2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921PA</w:t>
            </w:r>
          </w:p>
          <w:p w14:paraId="26010465" w14:textId="77777777" w:rsidR="002A55C5" w:rsidRDefault="002A55C5" w:rsidP="002A55C5">
            <w:pPr>
              <w:pStyle w:val="TableTextBase"/>
              <w:spacing w:before="60" w:after="60"/>
              <w:jc w:val="left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921PB(4) &amp; (5)</w:t>
            </w:r>
          </w:p>
          <w:p w14:paraId="245915B3" w14:textId="1C7FF856" w:rsidR="002A55C5" w:rsidRPr="005D6F91" w:rsidRDefault="002A55C5" w:rsidP="00B614A2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1317DATB</w:t>
            </w:r>
          </w:p>
        </w:tc>
        <w:tc>
          <w:tcPr>
            <w:tcW w:w="4507" w:type="dxa"/>
            <w:vMerge/>
            <w:shd w:val="clear" w:color="auto" w:fill="auto"/>
          </w:tcPr>
          <w:p w14:paraId="08A23E96" w14:textId="77777777" w:rsidR="00B614A2" w:rsidRPr="005D6F91" w:rsidRDefault="00B614A2" w:rsidP="00B614A2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B614A2" w:rsidRPr="005D6F91" w14:paraId="474566DD" w14:textId="77777777" w:rsidTr="00E43B50">
        <w:tc>
          <w:tcPr>
            <w:tcW w:w="3544" w:type="dxa"/>
            <w:shd w:val="clear" w:color="auto" w:fill="auto"/>
          </w:tcPr>
          <w:p w14:paraId="2128E77C" w14:textId="59905004" w:rsidR="00B614A2" w:rsidRPr="005D6F91" w:rsidRDefault="00B614A2" w:rsidP="00B614A2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b/>
                <w:sz w:val="21"/>
                <w:szCs w:val="21"/>
              </w:rPr>
              <w:t>Who makes up the single disciplinary body?</w:t>
            </w:r>
          </w:p>
        </w:tc>
        <w:tc>
          <w:tcPr>
            <w:tcW w:w="1418" w:type="dxa"/>
            <w:shd w:val="clear" w:color="auto" w:fill="auto"/>
          </w:tcPr>
          <w:p w14:paraId="39454AFA" w14:textId="77777777" w:rsidR="00B614A2" w:rsidRPr="005D6F91" w:rsidRDefault="00B614A2" w:rsidP="00B614A2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</w:p>
        </w:tc>
        <w:tc>
          <w:tcPr>
            <w:tcW w:w="4507" w:type="dxa"/>
            <w:shd w:val="clear" w:color="auto" w:fill="auto"/>
          </w:tcPr>
          <w:p w14:paraId="325A24E0" w14:textId="58E80EE5" w:rsidR="00B614A2" w:rsidRPr="005D6F91" w:rsidRDefault="00B614A2" w:rsidP="00B614A2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B614A2" w:rsidRPr="005D6F91" w14:paraId="5622A53F" w14:textId="77777777" w:rsidTr="00E43B50">
        <w:trPr>
          <w:trHeight w:val="733"/>
        </w:trPr>
        <w:tc>
          <w:tcPr>
            <w:tcW w:w="3544" w:type="dxa"/>
            <w:shd w:val="clear" w:color="auto" w:fill="auto"/>
          </w:tcPr>
          <w:p w14:paraId="15A6D767" w14:textId="0C84ACDB" w:rsidR="00B614A2" w:rsidRDefault="00B614A2" w:rsidP="00B614A2">
            <w:pPr>
              <w:pStyle w:val="TableTextBase"/>
              <w:spacing w:before="60" w:after="60"/>
              <w:ind w:left="318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Eligible persons</w:t>
            </w:r>
          </w:p>
        </w:tc>
        <w:tc>
          <w:tcPr>
            <w:tcW w:w="1418" w:type="dxa"/>
            <w:shd w:val="clear" w:color="auto" w:fill="auto"/>
          </w:tcPr>
          <w:p w14:paraId="3CA23547" w14:textId="253F40B3" w:rsidR="00B614A2" w:rsidRDefault="00B614A2" w:rsidP="00B614A2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141 of the ASIC Act</w:t>
            </w:r>
          </w:p>
        </w:tc>
        <w:tc>
          <w:tcPr>
            <w:tcW w:w="4507" w:type="dxa"/>
            <w:vMerge w:val="restart"/>
            <w:shd w:val="clear" w:color="auto" w:fill="auto"/>
          </w:tcPr>
          <w:p w14:paraId="35E2BABD" w14:textId="7340F724" w:rsidR="00B614A2" w:rsidRDefault="00B614A2" w:rsidP="00B614A2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 xml:space="preserve">A Financial Services Credit Panel will consist of an ASIC staff member as chair and at least two industry representatives. All members have equal voting rights. </w:t>
            </w:r>
          </w:p>
          <w:p w14:paraId="499CF8F3" w14:textId="77777777" w:rsidR="00B614A2" w:rsidRPr="005D6F91" w:rsidRDefault="00B614A2" w:rsidP="00910ACC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The industry representatives must be selected from a list of persons appointed by the Minister</w:t>
            </w:r>
            <w:r w:rsidR="00910ACC">
              <w:rPr>
                <w:rFonts w:asciiTheme="minorHAnsi" w:hAnsiTheme="minorHAnsi" w:cs="Arial"/>
                <w:sz w:val="21"/>
                <w:szCs w:val="21"/>
              </w:rPr>
              <w:t xml:space="preserve">. </w:t>
            </w:r>
          </w:p>
        </w:tc>
      </w:tr>
      <w:tr w:rsidR="00B614A2" w:rsidRPr="005D6F91" w14:paraId="594571B8" w14:textId="77777777" w:rsidTr="00E43B50">
        <w:tc>
          <w:tcPr>
            <w:tcW w:w="3544" w:type="dxa"/>
            <w:shd w:val="clear" w:color="auto" w:fill="auto"/>
          </w:tcPr>
          <w:p w14:paraId="66AE2E54" w14:textId="30557632" w:rsidR="00B614A2" w:rsidRPr="005D6F91" w:rsidRDefault="00B614A2" w:rsidP="00B614A2">
            <w:pPr>
              <w:pStyle w:val="TableTextBase"/>
              <w:spacing w:before="60" w:after="60"/>
              <w:ind w:left="318"/>
              <w:rPr>
                <w:rFonts w:asciiTheme="minorHAnsi" w:hAnsiTheme="minorHAnsi" w:cs="Arial"/>
                <w:b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Appointing members</w:t>
            </w:r>
          </w:p>
        </w:tc>
        <w:tc>
          <w:tcPr>
            <w:tcW w:w="1418" w:type="dxa"/>
            <w:shd w:val="clear" w:color="auto" w:fill="auto"/>
          </w:tcPr>
          <w:p w14:paraId="4334326B" w14:textId="33F09A1F" w:rsidR="00B614A2" w:rsidRPr="005D6F91" w:rsidRDefault="00B614A2" w:rsidP="00B614A2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140 of the ASIC Act</w:t>
            </w:r>
          </w:p>
        </w:tc>
        <w:tc>
          <w:tcPr>
            <w:tcW w:w="4507" w:type="dxa"/>
            <w:vMerge/>
            <w:shd w:val="clear" w:color="auto" w:fill="auto"/>
          </w:tcPr>
          <w:p w14:paraId="447F0DE9" w14:textId="77777777" w:rsidR="00B614A2" w:rsidRPr="005D6F91" w:rsidRDefault="00B614A2" w:rsidP="00B614A2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E43B50" w:rsidRPr="005D6F91" w14:paraId="198CCCB3" w14:textId="77777777" w:rsidTr="00E43B50">
        <w:tc>
          <w:tcPr>
            <w:tcW w:w="9469" w:type="dxa"/>
            <w:gridSpan w:val="3"/>
            <w:shd w:val="clear" w:color="auto" w:fill="auto"/>
          </w:tcPr>
          <w:p w14:paraId="15DEA5D6" w14:textId="572D7DA7" w:rsidR="00E43B50" w:rsidRPr="00E43B50" w:rsidRDefault="00E43B50" w:rsidP="00B614A2">
            <w:pPr>
              <w:pStyle w:val="TableTextBase"/>
              <w:spacing w:before="60" w:after="60"/>
              <w:rPr>
                <w:rFonts w:asciiTheme="minorHAnsi" w:hAnsiTheme="minorHAnsi" w:cs="Arial"/>
                <w:b/>
                <w:sz w:val="21"/>
                <w:szCs w:val="21"/>
              </w:rPr>
            </w:pPr>
            <w:r>
              <w:rPr>
                <w:rFonts w:asciiTheme="minorHAnsi" w:hAnsiTheme="minorHAnsi" w:cs="Arial"/>
                <w:b/>
                <w:sz w:val="21"/>
                <w:szCs w:val="21"/>
              </w:rPr>
              <w:t>Registration of financial advisers</w:t>
            </w:r>
          </w:p>
        </w:tc>
      </w:tr>
      <w:tr w:rsidR="00B614A2" w:rsidRPr="005D6F91" w14:paraId="74688FFF" w14:textId="77777777" w:rsidTr="00E43B50">
        <w:tc>
          <w:tcPr>
            <w:tcW w:w="3544" w:type="dxa"/>
            <w:shd w:val="clear" w:color="auto" w:fill="auto"/>
          </w:tcPr>
          <w:p w14:paraId="58288406" w14:textId="163CC224" w:rsidR="00B614A2" w:rsidRPr="005D6F91" w:rsidRDefault="00B614A2" w:rsidP="00B614A2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b/>
                <w:sz w:val="21"/>
                <w:szCs w:val="21"/>
              </w:rPr>
              <w:t>Who needs to be registered?</w:t>
            </w:r>
          </w:p>
        </w:tc>
        <w:tc>
          <w:tcPr>
            <w:tcW w:w="1418" w:type="dxa"/>
            <w:shd w:val="clear" w:color="auto" w:fill="auto"/>
          </w:tcPr>
          <w:p w14:paraId="255DAE67" w14:textId="77777777" w:rsidR="00B614A2" w:rsidRPr="005D6F91" w:rsidRDefault="00B614A2" w:rsidP="00B614A2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</w:p>
        </w:tc>
        <w:tc>
          <w:tcPr>
            <w:tcW w:w="4507" w:type="dxa"/>
            <w:vMerge w:val="restart"/>
            <w:shd w:val="clear" w:color="auto" w:fill="auto"/>
          </w:tcPr>
          <w:p w14:paraId="1CD4DF21" w14:textId="77777777" w:rsidR="00B277E5" w:rsidRDefault="00B277E5" w:rsidP="00B614A2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 xml:space="preserve">Financial advisers need to be registered on the Register of Relevant Providers (the Financial Advisers Register) in order to give financial advice. </w:t>
            </w:r>
          </w:p>
          <w:p w14:paraId="038B6E49" w14:textId="5DE96BFF" w:rsidR="00B614A2" w:rsidRDefault="00B614A2" w:rsidP="00B614A2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lastRenderedPageBreak/>
              <w:t xml:space="preserve">The financial services licensee who authorised </w:t>
            </w:r>
            <w:r w:rsidR="00B277E5">
              <w:rPr>
                <w:rFonts w:asciiTheme="minorHAnsi" w:hAnsiTheme="minorHAnsi" w:cs="Arial"/>
                <w:sz w:val="21"/>
                <w:szCs w:val="21"/>
              </w:rPr>
              <w:t xml:space="preserve">the financial adviser is required to </w:t>
            </w:r>
            <w:r w:rsidR="00430163">
              <w:rPr>
                <w:rFonts w:asciiTheme="minorHAnsi" w:hAnsiTheme="minorHAnsi" w:cs="Arial"/>
                <w:sz w:val="21"/>
                <w:szCs w:val="21"/>
              </w:rPr>
              <w:t xml:space="preserve">register the adviser. </w:t>
            </w:r>
            <w:r>
              <w:rPr>
                <w:rFonts w:asciiTheme="minorHAnsi" w:hAnsiTheme="minorHAnsi" w:cs="Arial"/>
                <w:sz w:val="21"/>
                <w:szCs w:val="21"/>
              </w:rPr>
              <w:t xml:space="preserve">If the adviser is also the licensee, the licensee will register themselves. </w:t>
            </w:r>
          </w:p>
          <w:p w14:paraId="6E463A83" w14:textId="5167715B" w:rsidR="00140923" w:rsidRDefault="00140923" w:rsidP="00B614A2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 xml:space="preserve">Existing </w:t>
            </w:r>
            <w:r w:rsidR="002A55C5">
              <w:rPr>
                <w:rFonts w:asciiTheme="minorHAnsi" w:hAnsiTheme="minorHAnsi" w:cs="Arial"/>
                <w:sz w:val="21"/>
                <w:szCs w:val="21"/>
              </w:rPr>
              <w:t>advisers</w:t>
            </w:r>
            <w:r>
              <w:rPr>
                <w:rFonts w:asciiTheme="minorHAnsi" w:hAnsiTheme="minorHAnsi" w:cs="Arial"/>
                <w:sz w:val="21"/>
                <w:szCs w:val="21"/>
              </w:rPr>
              <w:t xml:space="preserve"> as at 1 January 2022 must be registered by 1 January 2023. </w:t>
            </w:r>
          </w:p>
          <w:p w14:paraId="173C9C7B" w14:textId="0ED4C043" w:rsidR="00B614A2" w:rsidRDefault="00B614A2" w:rsidP="00B614A2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 xml:space="preserve">A new registration takes effect once ASIC has recorded the registration on the Register of Relevant Providers. </w:t>
            </w:r>
          </w:p>
          <w:p w14:paraId="09FC17C4" w14:textId="174C5150" w:rsidR="00B614A2" w:rsidRDefault="00B614A2" w:rsidP="00B614A2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 xml:space="preserve">A financial adviser’s registration needs to be renewed annually. </w:t>
            </w:r>
          </w:p>
          <w:p w14:paraId="2914C278" w14:textId="6CB6C579" w:rsidR="00B614A2" w:rsidRDefault="00B614A2" w:rsidP="00B614A2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Sanctions imposed by the single disciplinary body may be included on the</w:t>
            </w:r>
            <w:r w:rsidR="00910ACC">
              <w:rPr>
                <w:rFonts w:asciiTheme="minorHAnsi" w:hAnsiTheme="minorHAnsi" w:cs="Arial"/>
                <w:sz w:val="21"/>
                <w:szCs w:val="21"/>
              </w:rPr>
              <w:t xml:space="preserve"> register. </w:t>
            </w:r>
          </w:p>
          <w:p w14:paraId="15F85F31" w14:textId="5CA27EA3" w:rsidR="00B614A2" w:rsidRPr="005D6F91" w:rsidRDefault="00B614A2" w:rsidP="00B614A2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 xml:space="preserve">ASIC must refuse to register a financial adviser if the financial adviser has been banned, is disqualified, has not met the education and training standard or a registration prohibition order is in place. </w:t>
            </w:r>
          </w:p>
        </w:tc>
      </w:tr>
      <w:tr w:rsidR="00B614A2" w:rsidRPr="005D6F91" w14:paraId="5608CB0A" w14:textId="77777777" w:rsidTr="00E43B50">
        <w:tc>
          <w:tcPr>
            <w:tcW w:w="3544" w:type="dxa"/>
            <w:shd w:val="clear" w:color="auto" w:fill="auto"/>
          </w:tcPr>
          <w:p w14:paraId="6A69287D" w14:textId="63B666E7" w:rsidR="00B614A2" w:rsidRPr="005D6F91" w:rsidRDefault="00B614A2" w:rsidP="00B614A2">
            <w:pPr>
              <w:pStyle w:val="TableTextBase"/>
              <w:spacing w:before="60" w:after="60"/>
              <w:ind w:left="318"/>
              <w:rPr>
                <w:rFonts w:asciiTheme="minorHAnsi" w:hAnsiTheme="minorHAnsi" w:cs="Arial"/>
                <w:i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Requirement to register</w:t>
            </w:r>
          </w:p>
        </w:tc>
        <w:tc>
          <w:tcPr>
            <w:tcW w:w="1418" w:type="dxa"/>
            <w:shd w:val="clear" w:color="auto" w:fill="auto"/>
          </w:tcPr>
          <w:p w14:paraId="1A2B2E4B" w14:textId="77777777" w:rsidR="00B614A2" w:rsidRDefault="00B614A2" w:rsidP="00B614A2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921U</w:t>
            </w:r>
          </w:p>
          <w:p w14:paraId="5F43312E" w14:textId="15F58CF7" w:rsidR="008C59E5" w:rsidRPr="005D6F91" w:rsidRDefault="008C59E5" w:rsidP="00B614A2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921V</w:t>
            </w:r>
          </w:p>
        </w:tc>
        <w:tc>
          <w:tcPr>
            <w:tcW w:w="4507" w:type="dxa"/>
            <w:vMerge/>
            <w:shd w:val="clear" w:color="auto" w:fill="auto"/>
          </w:tcPr>
          <w:p w14:paraId="2FC28F86" w14:textId="202A67DB" w:rsidR="00B614A2" w:rsidRPr="005D6F91" w:rsidRDefault="00B614A2" w:rsidP="00B614A2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B614A2" w:rsidRPr="005D6F91" w14:paraId="16F48C95" w14:textId="77777777" w:rsidTr="00E43B50">
        <w:tc>
          <w:tcPr>
            <w:tcW w:w="3544" w:type="dxa"/>
            <w:shd w:val="clear" w:color="auto" w:fill="auto"/>
          </w:tcPr>
          <w:p w14:paraId="2A6223CA" w14:textId="7CBB71DA" w:rsidR="00B614A2" w:rsidRPr="005D6F91" w:rsidRDefault="00B614A2" w:rsidP="00B614A2">
            <w:pPr>
              <w:pStyle w:val="TableTextBase"/>
              <w:spacing w:before="60" w:after="60"/>
              <w:ind w:left="318"/>
              <w:rPr>
                <w:rFonts w:asciiTheme="minorHAnsi" w:hAnsiTheme="minorHAnsi" w:cs="Arial"/>
                <w:i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 xml:space="preserve">Annual renewal </w:t>
            </w:r>
          </w:p>
        </w:tc>
        <w:tc>
          <w:tcPr>
            <w:tcW w:w="1418" w:type="dxa"/>
            <w:shd w:val="clear" w:color="auto" w:fill="auto"/>
          </w:tcPr>
          <w:p w14:paraId="1203B81B" w14:textId="38C51B77" w:rsidR="00B614A2" w:rsidRPr="005D6F91" w:rsidRDefault="00B614A2" w:rsidP="00B614A2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921W</w:t>
            </w:r>
          </w:p>
        </w:tc>
        <w:tc>
          <w:tcPr>
            <w:tcW w:w="4507" w:type="dxa"/>
            <w:vMerge/>
            <w:shd w:val="clear" w:color="auto" w:fill="auto"/>
          </w:tcPr>
          <w:p w14:paraId="33BA8E5E" w14:textId="27E51809" w:rsidR="00B614A2" w:rsidRPr="005D6F91" w:rsidRDefault="00B614A2" w:rsidP="00B614A2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B614A2" w:rsidRPr="005D6F91" w14:paraId="67A6B380" w14:textId="77777777" w:rsidTr="00E43B50">
        <w:tc>
          <w:tcPr>
            <w:tcW w:w="3544" w:type="dxa"/>
            <w:shd w:val="clear" w:color="auto" w:fill="auto"/>
          </w:tcPr>
          <w:p w14:paraId="62682C9D" w14:textId="24C51BB8" w:rsidR="00B614A2" w:rsidRDefault="00B614A2" w:rsidP="00B614A2">
            <w:pPr>
              <w:pStyle w:val="TableTextBase"/>
              <w:spacing w:before="60" w:after="60"/>
              <w:ind w:left="318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lastRenderedPageBreak/>
              <w:t xml:space="preserve">Period of registration </w:t>
            </w:r>
          </w:p>
        </w:tc>
        <w:tc>
          <w:tcPr>
            <w:tcW w:w="1418" w:type="dxa"/>
            <w:shd w:val="clear" w:color="auto" w:fill="auto"/>
          </w:tcPr>
          <w:p w14:paraId="0A38EEF4" w14:textId="77777777" w:rsidR="00B614A2" w:rsidRDefault="00B614A2" w:rsidP="00B614A2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921Y</w:t>
            </w:r>
          </w:p>
          <w:p w14:paraId="51846078" w14:textId="20602DAD" w:rsidR="00B614A2" w:rsidRPr="005D6F91" w:rsidRDefault="00B614A2" w:rsidP="00B614A2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921Z</w:t>
            </w:r>
          </w:p>
        </w:tc>
        <w:tc>
          <w:tcPr>
            <w:tcW w:w="4507" w:type="dxa"/>
            <w:vMerge/>
            <w:shd w:val="clear" w:color="auto" w:fill="auto"/>
          </w:tcPr>
          <w:p w14:paraId="5E75C8D6" w14:textId="77777777" w:rsidR="00B614A2" w:rsidRPr="005D6F91" w:rsidRDefault="00B614A2" w:rsidP="00B614A2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B614A2" w:rsidRPr="005D6F91" w14:paraId="7D4885B8" w14:textId="77777777" w:rsidTr="00E43B50">
        <w:tc>
          <w:tcPr>
            <w:tcW w:w="3544" w:type="dxa"/>
            <w:shd w:val="clear" w:color="auto" w:fill="auto"/>
          </w:tcPr>
          <w:p w14:paraId="3EC20134" w14:textId="4A61AE15" w:rsidR="00B614A2" w:rsidRPr="005D6F91" w:rsidRDefault="00B614A2" w:rsidP="00B614A2">
            <w:pPr>
              <w:pStyle w:val="TableTextBase"/>
              <w:spacing w:before="60" w:after="60"/>
              <w:ind w:left="318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Information kept on the register</w:t>
            </w:r>
          </w:p>
        </w:tc>
        <w:tc>
          <w:tcPr>
            <w:tcW w:w="1418" w:type="dxa"/>
            <w:shd w:val="clear" w:color="auto" w:fill="auto"/>
          </w:tcPr>
          <w:p w14:paraId="4D718640" w14:textId="77777777" w:rsidR="00B614A2" w:rsidRDefault="00430163" w:rsidP="00B614A2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921PB</w:t>
            </w:r>
          </w:p>
          <w:p w14:paraId="33B4EFE6" w14:textId="196363D4" w:rsidR="002A55C5" w:rsidRPr="005D6F91" w:rsidRDefault="002A55C5" w:rsidP="00B614A2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922Q</w:t>
            </w:r>
          </w:p>
        </w:tc>
        <w:tc>
          <w:tcPr>
            <w:tcW w:w="4507" w:type="dxa"/>
            <w:vMerge/>
            <w:shd w:val="clear" w:color="auto" w:fill="auto"/>
          </w:tcPr>
          <w:p w14:paraId="3F641363" w14:textId="360A0C3E" w:rsidR="00B614A2" w:rsidRPr="005D6F91" w:rsidRDefault="00B614A2" w:rsidP="00B614A2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B614A2" w:rsidRPr="005D6F91" w14:paraId="7D1E53A3" w14:textId="77777777" w:rsidTr="00E43B50">
        <w:tc>
          <w:tcPr>
            <w:tcW w:w="3544" w:type="dxa"/>
            <w:shd w:val="clear" w:color="auto" w:fill="auto"/>
          </w:tcPr>
          <w:p w14:paraId="062AF8A7" w14:textId="1F88BC9B" w:rsidR="00B614A2" w:rsidRDefault="00B614A2" w:rsidP="00B614A2">
            <w:pPr>
              <w:pStyle w:val="TableTextBase"/>
              <w:spacing w:before="60" w:after="60"/>
              <w:ind w:left="318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 xml:space="preserve">When ASIC must refuse to register </w:t>
            </w:r>
          </w:p>
        </w:tc>
        <w:tc>
          <w:tcPr>
            <w:tcW w:w="1418" w:type="dxa"/>
            <w:shd w:val="clear" w:color="auto" w:fill="auto"/>
          </w:tcPr>
          <w:p w14:paraId="3991CACD" w14:textId="4D03A2C8" w:rsidR="00B614A2" w:rsidRPr="005D6F91" w:rsidRDefault="00B614A2" w:rsidP="00B614A2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921X</w:t>
            </w:r>
          </w:p>
        </w:tc>
        <w:tc>
          <w:tcPr>
            <w:tcW w:w="4507" w:type="dxa"/>
            <w:vMerge/>
            <w:shd w:val="clear" w:color="auto" w:fill="auto"/>
          </w:tcPr>
          <w:p w14:paraId="291DF3CA" w14:textId="7DF2EA84" w:rsidR="00B614A2" w:rsidRPr="005D6F91" w:rsidRDefault="00B614A2" w:rsidP="00B614A2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B614A2" w:rsidRPr="005D6F91" w14:paraId="36780042" w14:textId="77777777" w:rsidTr="00E43B50">
        <w:tc>
          <w:tcPr>
            <w:tcW w:w="3544" w:type="dxa"/>
            <w:shd w:val="clear" w:color="auto" w:fill="auto"/>
          </w:tcPr>
          <w:p w14:paraId="178D061A" w14:textId="1C8C4A1B" w:rsidR="00B614A2" w:rsidRPr="005D6F91" w:rsidRDefault="00B614A2" w:rsidP="00B614A2">
            <w:pPr>
              <w:pStyle w:val="TableTextBase"/>
              <w:spacing w:before="60" w:after="60"/>
              <w:rPr>
                <w:rFonts w:asciiTheme="minorHAnsi" w:hAnsiTheme="minorHAnsi" w:cs="Arial"/>
                <w:b/>
                <w:sz w:val="21"/>
                <w:szCs w:val="21"/>
              </w:rPr>
            </w:pPr>
            <w:r>
              <w:rPr>
                <w:rFonts w:asciiTheme="minorHAnsi" w:hAnsiTheme="minorHAnsi" w:cs="Arial"/>
                <w:b/>
                <w:sz w:val="21"/>
                <w:szCs w:val="21"/>
              </w:rPr>
              <w:t>What penalties apply if someone is not registered?</w:t>
            </w:r>
          </w:p>
        </w:tc>
        <w:tc>
          <w:tcPr>
            <w:tcW w:w="1418" w:type="dxa"/>
            <w:shd w:val="clear" w:color="auto" w:fill="auto"/>
          </w:tcPr>
          <w:p w14:paraId="7DEFD704" w14:textId="77777777" w:rsidR="00430163" w:rsidRDefault="00430163" w:rsidP="00B614A2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921S</w:t>
            </w:r>
          </w:p>
          <w:p w14:paraId="182FD8AF" w14:textId="454F44A7" w:rsidR="00B614A2" w:rsidRPr="005D6F91" w:rsidRDefault="00430163" w:rsidP="00B614A2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921T</w:t>
            </w:r>
          </w:p>
        </w:tc>
        <w:tc>
          <w:tcPr>
            <w:tcW w:w="4507" w:type="dxa"/>
            <w:shd w:val="clear" w:color="auto" w:fill="auto"/>
          </w:tcPr>
          <w:p w14:paraId="1C4DEBEF" w14:textId="4BDCA351" w:rsidR="00910ACC" w:rsidRDefault="00910ACC" w:rsidP="00910ACC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If a licensee has not</w:t>
            </w:r>
            <w:r w:rsidR="00430163">
              <w:rPr>
                <w:rFonts w:asciiTheme="minorHAnsi" w:hAnsiTheme="minorHAnsi" w:cs="Arial"/>
                <w:sz w:val="21"/>
                <w:szCs w:val="21"/>
              </w:rPr>
              <w:t xml:space="preserve"> registered an adviser but the adviser’s</w:t>
            </w:r>
            <w:r>
              <w:rPr>
                <w:rFonts w:asciiTheme="minorHAnsi" w:hAnsiTheme="minorHAnsi" w:cs="Arial"/>
                <w:sz w:val="21"/>
                <w:szCs w:val="21"/>
              </w:rPr>
              <w:t xml:space="preserve"> authorisation is in place, the licensee may be subject to a civil penalty. </w:t>
            </w:r>
          </w:p>
          <w:p w14:paraId="7E985EC1" w14:textId="534B9E44" w:rsidR="00B614A2" w:rsidRPr="005D6F91" w:rsidRDefault="00140923" w:rsidP="00140923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 xml:space="preserve">If the adviser gives advice while not registered the adviser may be subject to disciplinary action by the Financial Services and Credit Panel. </w:t>
            </w:r>
          </w:p>
        </w:tc>
      </w:tr>
      <w:tr w:rsidR="00495C10" w:rsidRPr="005D6F91" w14:paraId="031A3815" w14:textId="77777777" w:rsidTr="00BA39E2">
        <w:tc>
          <w:tcPr>
            <w:tcW w:w="9469" w:type="dxa"/>
            <w:gridSpan w:val="3"/>
            <w:shd w:val="clear" w:color="auto" w:fill="auto"/>
          </w:tcPr>
          <w:p w14:paraId="450F9D81" w14:textId="7083D5FB" w:rsidR="00495C10" w:rsidRDefault="00495C10" w:rsidP="00495C10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b/>
                <w:sz w:val="21"/>
                <w:szCs w:val="21"/>
              </w:rPr>
              <w:t>Wind-up of FASEA and transfer of functions to the Minister and ASIC</w:t>
            </w:r>
          </w:p>
        </w:tc>
      </w:tr>
      <w:tr w:rsidR="008C59E5" w:rsidRPr="005D6F91" w14:paraId="335049EA" w14:textId="77777777" w:rsidTr="00E43B50">
        <w:tc>
          <w:tcPr>
            <w:tcW w:w="3544" w:type="dxa"/>
            <w:shd w:val="clear" w:color="auto" w:fill="auto"/>
          </w:tcPr>
          <w:p w14:paraId="2CE5BB0B" w14:textId="39F64127" w:rsidR="008C59E5" w:rsidRPr="005D6F91" w:rsidRDefault="008C59E5" w:rsidP="00B614A2">
            <w:pPr>
              <w:pStyle w:val="TableTextBase"/>
              <w:spacing w:before="60" w:after="60"/>
              <w:rPr>
                <w:rFonts w:asciiTheme="minorHAnsi" w:hAnsiTheme="minorHAnsi" w:cs="Arial"/>
                <w:b/>
                <w:sz w:val="21"/>
                <w:szCs w:val="21"/>
              </w:rPr>
            </w:pPr>
            <w:r>
              <w:rPr>
                <w:rFonts w:asciiTheme="minorHAnsi" w:hAnsiTheme="minorHAnsi" w:cs="Arial"/>
                <w:b/>
                <w:sz w:val="21"/>
                <w:szCs w:val="21"/>
              </w:rPr>
              <w:t>What standard setting functions will the Minister perform?</w:t>
            </w:r>
          </w:p>
        </w:tc>
        <w:tc>
          <w:tcPr>
            <w:tcW w:w="1418" w:type="dxa"/>
            <w:shd w:val="clear" w:color="auto" w:fill="auto"/>
          </w:tcPr>
          <w:p w14:paraId="541A6C38" w14:textId="77777777" w:rsidR="008C59E5" w:rsidRDefault="008C59E5" w:rsidP="00B614A2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921G</w:t>
            </w:r>
          </w:p>
          <w:p w14:paraId="04456F83" w14:textId="32801CDF" w:rsidR="008C59E5" w:rsidRPr="005D6F91" w:rsidRDefault="008C59E5" w:rsidP="00B614A2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921H</w:t>
            </w:r>
          </w:p>
        </w:tc>
        <w:tc>
          <w:tcPr>
            <w:tcW w:w="4507" w:type="dxa"/>
            <w:shd w:val="clear" w:color="auto" w:fill="auto"/>
          </w:tcPr>
          <w:p w14:paraId="7D7BD6DD" w14:textId="289BD996" w:rsidR="008C59E5" w:rsidRPr="008C59E5" w:rsidRDefault="00E325E3" w:rsidP="00E325E3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T</w:t>
            </w:r>
            <w:r w:rsidR="008C59E5" w:rsidRPr="008C59E5">
              <w:rPr>
                <w:rFonts w:asciiTheme="minorHAnsi" w:hAnsiTheme="minorHAnsi" w:cs="Arial"/>
                <w:sz w:val="21"/>
                <w:szCs w:val="21"/>
              </w:rPr>
              <w:t xml:space="preserve">he Minister </w:t>
            </w:r>
            <w:r>
              <w:rPr>
                <w:rFonts w:asciiTheme="minorHAnsi" w:hAnsiTheme="minorHAnsi" w:cs="Arial"/>
                <w:sz w:val="21"/>
                <w:szCs w:val="21"/>
              </w:rPr>
              <w:t xml:space="preserve">will be able to: </w:t>
            </w:r>
          </w:p>
          <w:p w14:paraId="12EED97E" w14:textId="77777777" w:rsidR="008C59E5" w:rsidRPr="008C59E5" w:rsidRDefault="008C59E5" w:rsidP="008C59E5">
            <w:pPr>
              <w:pStyle w:val="TableTextBase"/>
              <w:numPr>
                <w:ilvl w:val="0"/>
                <w:numId w:val="21"/>
              </w:numPr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 w:rsidRPr="008C59E5">
              <w:rPr>
                <w:rFonts w:asciiTheme="minorHAnsi" w:hAnsiTheme="minorHAnsi" w:cs="Arial"/>
                <w:sz w:val="21"/>
                <w:szCs w:val="21"/>
              </w:rPr>
              <w:t xml:space="preserve">approve bachelor degrees or higher degrees or equivalent qualifications, required for a person to be a financial adviser; </w:t>
            </w:r>
          </w:p>
          <w:p w14:paraId="701A7E54" w14:textId="77777777" w:rsidR="008C59E5" w:rsidRPr="008C59E5" w:rsidRDefault="008C59E5" w:rsidP="008C59E5">
            <w:pPr>
              <w:pStyle w:val="TableTextBase"/>
              <w:numPr>
                <w:ilvl w:val="0"/>
                <w:numId w:val="21"/>
              </w:numPr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 w:rsidRPr="008C59E5">
              <w:rPr>
                <w:rFonts w:asciiTheme="minorHAnsi" w:hAnsiTheme="minorHAnsi" w:cs="Arial"/>
                <w:sz w:val="21"/>
                <w:szCs w:val="21"/>
              </w:rPr>
              <w:t xml:space="preserve">approve an exam, that a person must pass in order to be a financial adviser; </w:t>
            </w:r>
          </w:p>
          <w:p w14:paraId="436D4843" w14:textId="15233E45" w:rsidR="008C59E5" w:rsidRPr="008C59E5" w:rsidRDefault="008C59E5" w:rsidP="008C59E5">
            <w:pPr>
              <w:pStyle w:val="TableTextBase"/>
              <w:numPr>
                <w:ilvl w:val="0"/>
                <w:numId w:val="21"/>
              </w:numPr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 w:rsidRPr="008C59E5">
              <w:rPr>
                <w:rFonts w:asciiTheme="minorHAnsi" w:hAnsiTheme="minorHAnsi" w:cs="Arial"/>
                <w:sz w:val="21"/>
                <w:szCs w:val="21"/>
              </w:rPr>
              <w:t>set continuing professional development requirements</w:t>
            </w:r>
            <w:r w:rsidR="00BA4E8B">
              <w:rPr>
                <w:rFonts w:asciiTheme="minorHAnsi" w:hAnsiTheme="minorHAnsi" w:cs="Arial"/>
                <w:sz w:val="21"/>
                <w:szCs w:val="21"/>
              </w:rPr>
              <w:t xml:space="preserve"> (CPD)</w:t>
            </w:r>
            <w:r w:rsidRPr="008C59E5">
              <w:rPr>
                <w:rFonts w:asciiTheme="minorHAnsi" w:hAnsiTheme="minorHAnsi" w:cs="Arial"/>
                <w:sz w:val="21"/>
                <w:szCs w:val="21"/>
              </w:rPr>
              <w:t xml:space="preserve"> to be completed in a financial services licensee’s CPD year; </w:t>
            </w:r>
          </w:p>
          <w:p w14:paraId="527A13F8" w14:textId="77777777" w:rsidR="008C59E5" w:rsidRPr="008C59E5" w:rsidRDefault="008C59E5" w:rsidP="008C59E5">
            <w:pPr>
              <w:pStyle w:val="TableTextBase"/>
              <w:numPr>
                <w:ilvl w:val="0"/>
                <w:numId w:val="21"/>
              </w:numPr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 w:rsidRPr="008C59E5">
              <w:rPr>
                <w:rFonts w:asciiTheme="minorHAnsi" w:hAnsiTheme="minorHAnsi" w:cs="Arial"/>
                <w:sz w:val="21"/>
                <w:szCs w:val="21"/>
              </w:rPr>
              <w:t>set requirements for work and training requirements;</w:t>
            </w:r>
          </w:p>
          <w:p w14:paraId="305D04EF" w14:textId="59B3AE8E" w:rsidR="008C59E5" w:rsidRPr="008C59E5" w:rsidRDefault="008C59E5" w:rsidP="008C59E5">
            <w:pPr>
              <w:pStyle w:val="TableTextBase"/>
              <w:numPr>
                <w:ilvl w:val="0"/>
                <w:numId w:val="21"/>
              </w:numPr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 w:rsidRPr="008C59E5">
              <w:rPr>
                <w:rFonts w:asciiTheme="minorHAnsi" w:hAnsiTheme="minorHAnsi" w:cs="Arial"/>
                <w:sz w:val="21"/>
                <w:szCs w:val="21"/>
              </w:rPr>
              <w:t>set requirements for provisional financial advisers</w:t>
            </w:r>
            <w:r w:rsidR="00BA4E8B">
              <w:rPr>
                <w:rFonts w:asciiTheme="minorHAnsi" w:hAnsiTheme="minorHAnsi" w:cs="Arial"/>
                <w:sz w:val="21"/>
                <w:szCs w:val="21"/>
              </w:rPr>
              <w:t xml:space="preserve"> and their supervisors</w:t>
            </w:r>
            <w:r w:rsidRPr="008C59E5">
              <w:rPr>
                <w:rFonts w:asciiTheme="minorHAnsi" w:hAnsiTheme="minorHAnsi" w:cs="Arial"/>
                <w:sz w:val="21"/>
                <w:szCs w:val="21"/>
              </w:rPr>
              <w:t>; and</w:t>
            </w:r>
          </w:p>
          <w:p w14:paraId="7B93179E" w14:textId="77777777" w:rsidR="008C59E5" w:rsidRPr="008C59E5" w:rsidRDefault="008C59E5" w:rsidP="008C59E5">
            <w:pPr>
              <w:pStyle w:val="TableTextBase"/>
              <w:numPr>
                <w:ilvl w:val="0"/>
                <w:numId w:val="21"/>
              </w:numPr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 w:rsidRPr="008C59E5">
              <w:rPr>
                <w:rFonts w:asciiTheme="minorHAnsi" w:hAnsiTheme="minorHAnsi" w:cs="Arial"/>
                <w:sz w:val="21"/>
                <w:szCs w:val="21"/>
              </w:rPr>
              <w:t xml:space="preserve">make a Code of Ethics. </w:t>
            </w:r>
          </w:p>
          <w:p w14:paraId="7E07A992" w14:textId="5CF8A430" w:rsidR="008C59E5" w:rsidRDefault="00E325E3" w:rsidP="00E325E3">
            <w:pPr>
              <w:spacing w:after="120"/>
              <w:rPr>
                <w:rFonts w:asciiTheme="minorHAnsi" w:hAnsiTheme="minorHAnsi" w:cs="Arial"/>
                <w:color w:val="000000"/>
                <w:sz w:val="21"/>
                <w:szCs w:val="21"/>
              </w:rPr>
            </w:pPr>
            <w:r w:rsidRPr="00E325E3">
              <w:rPr>
                <w:rFonts w:asciiTheme="minorHAnsi" w:hAnsiTheme="minorHAnsi" w:cs="Arial"/>
                <w:color w:val="000000"/>
                <w:sz w:val="21"/>
                <w:szCs w:val="21"/>
              </w:rPr>
              <w:lastRenderedPageBreak/>
              <w:t>The Minister will al</w:t>
            </w:r>
            <w:r>
              <w:rPr>
                <w:rFonts w:asciiTheme="minorHAnsi" w:hAnsiTheme="minorHAnsi" w:cs="Arial"/>
                <w:color w:val="000000"/>
                <w:sz w:val="21"/>
                <w:szCs w:val="21"/>
              </w:rPr>
              <w:t xml:space="preserve">so set the education and training standards for financial advisers who want to provide tax (financial) advice services. </w:t>
            </w:r>
          </w:p>
          <w:p w14:paraId="76D3B83F" w14:textId="4CA6FB5B" w:rsidR="00E325E3" w:rsidRDefault="00E325E3" w:rsidP="00BD0EFD">
            <w:pPr>
              <w:tabs>
                <w:tab w:val="left" w:pos="841"/>
              </w:tabs>
            </w:pPr>
            <w:r w:rsidRPr="00E325E3">
              <w:rPr>
                <w:rFonts w:asciiTheme="minorHAnsi" w:hAnsiTheme="minorHAnsi" w:cs="Arial"/>
                <w:color w:val="000000"/>
                <w:sz w:val="21"/>
                <w:szCs w:val="21"/>
              </w:rPr>
              <w:t xml:space="preserve">The </w:t>
            </w:r>
            <w:r w:rsidR="00BD0EFD">
              <w:rPr>
                <w:rFonts w:asciiTheme="minorHAnsi" w:hAnsiTheme="minorHAnsi" w:cs="Arial"/>
                <w:color w:val="000000"/>
                <w:sz w:val="21"/>
                <w:szCs w:val="21"/>
              </w:rPr>
              <w:t xml:space="preserve">standards and Code of Ethics made by FASEA remain in place unless the Minister makes new standards. </w:t>
            </w:r>
            <w:r>
              <w:rPr>
                <w:rFonts w:asciiTheme="minorHAnsi" w:hAnsiTheme="minorHAnsi" w:cs="Arial"/>
                <w:color w:val="000000"/>
                <w:sz w:val="21"/>
                <w:szCs w:val="21"/>
              </w:rPr>
              <w:t xml:space="preserve"> </w:t>
            </w:r>
          </w:p>
        </w:tc>
      </w:tr>
      <w:tr w:rsidR="008C59E5" w:rsidRPr="005D6F91" w14:paraId="4DE1CD55" w14:textId="77777777" w:rsidTr="00E43B50">
        <w:tc>
          <w:tcPr>
            <w:tcW w:w="3544" w:type="dxa"/>
            <w:shd w:val="clear" w:color="auto" w:fill="auto"/>
          </w:tcPr>
          <w:p w14:paraId="2FF2B9AD" w14:textId="4FE0C6D6" w:rsidR="008C59E5" w:rsidRPr="005D6F91" w:rsidRDefault="008C59E5" w:rsidP="00B614A2">
            <w:pPr>
              <w:pStyle w:val="TableTextBase"/>
              <w:spacing w:before="60" w:after="60"/>
              <w:rPr>
                <w:rFonts w:asciiTheme="minorHAnsi" w:hAnsiTheme="minorHAnsi" w:cs="Arial"/>
                <w:b/>
                <w:sz w:val="21"/>
                <w:szCs w:val="21"/>
              </w:rPr>
            </w:pPr>
            <w:r>
              <w:rPr>
                <w:rFonts w:asciiTheme="minorHAnsi" w:hAnsiTheme="minorHAnsi" w:cs="Arial"/>
                <w:b/>
                <w:sz w:val="21"/>
                <w:szCs w:val="21"/>
              </w:rPr>
              <w:lastRenderedPageBreak/>
              <w:t>What FASEA functions will ASIC perform?</w:t>
            </w:r>
          </w:p>
        </w:tc>
        <w:tc>
          <w:tcPr>
            <w:tcW w:w="1418" w:type="dxa"/>
            <w:shd w:val="clear" w:color="auto" w:fill="auto"/>
          </w:tcPr>
          <w:p w14:paraId="51FDAC92" w14:textId="77777777" w:rsidR="008C59E5" w:rsidRDefault="008C59E5" w:rsidP="00B614A2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921J</w:t>
            </w:r>
          </w:p>
          <w:p w14:paraId="0DC9E643" w14:textId="1B20ECFD" w:rsidR="008C59E5" w:rsidRPr="005D6F91" w:rsidRDefault="008C59E5" w:rsidP="00B614A2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921K</w:t>
            </w:r>
          </w:p>
        </w:tc>
        <w:tc>
          <w:tcPr>
            <w:tcW w:w="4507" w:type="dxa"/>
            <w:shd w:val="clear" w:color="auto" w:fill="auto"/>
          </w:tcPr>
          <w:p w14:paraId="1F329E52" w14:textId="70454651" w:rsidR="00E43B50" w:rsidRDefault="00E43B50" w:rsidP="00E43B50">
            <w:pPr>
              <w:tabs>
                <w:tab w:val="left" w:pos="841"/>
              </w:tabs>
              <w:rPr>
                <w:rFonts w:asciiTheme="minorHAnsi" w:hAnsiTheme="minorHAnsi" w:cs="Arial"/>
                <w:color w:val="000000"/>
                <w:sz w:val="21"/>
                <w:szCs w:val="21"/>
              </w:rPr>
            </w:pPr>
            <w:r w:rsidRPr="00E43B50">
              <w:rPr>
                <w:rFonts w:asciiTheme="minorHAnsi" w:hAnsiTheme="minorHAnsi" w:cs="Arial"/>
                <w:color w:val="000000"/>
                <w:sz w:val="21"/>
                <w:szCs w:val="21"/>
              </w:rPr>
              <w:t xml:space="preserve">ASIC may approve foreign qualifications </w:t>
            </w:r>
            <w:r w:rsidR="0065598C">
              <w:rPr>
                <w:rFonts w:asciiTheme="minorHAnsi" w:hAnsiTheme="minorHAnsi" w:cs="Arial"/>
                <w:color w:val="000000"/>
                <w:sz w:val="21"/>
                <w:szCs w:val="21"/>
              </w:rPr>
              <w:t xml:space="preserve">where these are </w:t>
            </w:r>
            <w:r>
              <w:rPr>
                <w:rFonts w:asciiTheme="minorHAnsi" w:hAnsiTheme="minorHAnsi" w:cs="Arial"/>
                <w:color w:val="000000"/>
                <w:sz w:val="21"/>
                <w:szCs w:val="21"/>
              </w:rPr>
              <w:t xml:space="preserve">equivalent to the </w:t>
            </w:r>
            <w:r w:rsidR="0065598C">
              <w:rPr>
                <w:rFonts w:asciiTheme="minorHAnsi" w:hAnsiTheme="minorHAnsi" w:cs="Arial"/>
                <w:color w:val="000000"/>
                <w:sz w:val="21"/>
                <w:szCs w:val="21"/>
              </w:rPr>
              <w:t xml:space="preserve">domestic </w:t>
            </w:r>
            <w:r>
              <w:rPr>
                <w:rFonts w:asciiTheme="minorHAnsi" w:hAnsiTheme="minorHAnsi" w:cs="Arial"/>
                <w:color w:val="000000"/>
                <w:sz w:val="21"/>
                <w:szCs w:val="21"/>
              </w:rPr>
              <w:t xml:space="preserve">qualifications approved by the Minister. </w:t>
            </w:r>
          </w:p>
          <w:p w14:paraId="15934599" w14:textId="72FFDAF6" w:rsidR="008C59E5" w:rsidRDefault="00E43B50" w:rsidP="00E43B50">
            <w:pPr>
              <w:tabs>
                <w:tab w:val="left" w:pos="841"/>
              </w:tabs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color w:val="000000"/>
                <w:sz w:val="21"/>
                <w:szCs w:val="21"/>
              </w:rPr>
              <w:t xml:space="preserve">ASIC </w:t>
            </w:r>
            <w:r w:rsidRPr="00E43B50">
              <w:rPr>
                <w:rFonts w:asciiTheme="minorHAnsi" w:hAnsiTheme="minorHAnsi" w:cs="Arial"/>
                <w:color w:val="000000"/>
                <w:sz w:val="21"/>
                <w:szCs w:val="21"/>
              </w:rPr>
              <w:t>must administer the financial advisers</w:t>
            </w:r>
            <w:r w:rsidR="00F04456">
              <w:rPr>
                <w:rFonts w:asciiTheme="minorHAnsi" w:hAnsiTheme="minorHAnsi" w:cs="Arial"/>
                <w:color w:val="000000"/>
                <w:sz w:val="21"/>
                <w:szCs w:val="21"/>
              </w:rPr>
              <w:t>’</w:t>
            </w:r>
            <w:r w:rsidRPr="00E43B50">
              <w:rPr>
                <w:rFonts w:asciiTheme="minorHAnsi" w:hAnsiTheme="minorHAnsi" w:cs="Arial"/>
                <w:color w:val="000000"/>
                <w:sz w:val="21"/>
                <w:szCs w:val="21"/>
              </w:rPr>
              <w:t xml:space="preserve"> exam approved by the Minister.</w:t>
            </w:r>
          </w:p>
        </w:tc>
      </w:tr>
      <w:tr w:rsidR="00495C10" w:rsidRPr="005D6F91" w14:paraId="5D9996B2" w14:textId="77777777" w:rsidTr="00DF7669">
        <w:tc>
          <w:tcPr>
            <w:tcW w:w="9469" w:type="dxa"/>
            <w:gridSpan w:val="3"/>
            <w:shd w:val="clear" w:color="auto" w:fill="auto"/>
          </w:tcPr>
          <w:p w14:paraId="5429AB33" w14:textId="505D7B85" w:rsidR="00495C10" w:rsidRDefault="00495C10" w:rsidP="00140923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b/>
                <w:sz w:val="21"/>
                <w:szCs w:val="21"/>
              </w:rPr>
              <w:t>Requirements for Tax (financial) advisers</w:t>
            </w:r>
          </w:p>
        </w:tc>
      </w:tr>
      <w:tr w:rsidR="00495C10" w:rsidRPr="005D6F91" w14:paraId="4DB4E299" w14:textId="77777777" w:rsidTr="00E43B50">
        <w:tc>
          <w:tcPr>
            <w:tcW w:w="3544" w:type="dxa"/>
            <w:shd w:val="clear" w:color="auto" w:fill="auto"/>
          </w:tcPr>
          <w:p w14:paraId="55756BFB" w14:textId="46ECFB25" w:rsidR="00495C10" w:rsidRPr="005D6F91" w:rsidRDefault="00495C10" w:rsidP="00B614A2">
            <w:pPr>
              <w:pStyle w:val="TableTextBase"/>
              <w:spacing w:before="60" w:after="60"/>
              <w:rPr>
                <w:rFonts w:asciiTheme="minorHAnsi" w:hAnsiTheme="minorHAnsi" w:cs="Arial"/>
                <w:b/>
                <w:sz w:val="21"/>
                <w:szCs w:val="21"/>
              </w:rPr>
            </w:pPr>
            <w:r>
              <w:rPr>
                <w:rFonts w:asciiTheme="minorHAnsi" w:hAnsiTheme="minorHAnsi" w:cs="Arial"/>
                <w:b/>
                <w:sz w:val="21"/>
                <w:szCs w:val="21"/>
              </w:rPr>
              <w:t>What registration requirements apply to tax (financial) advisers</w:t>
            </w:r>
          </w:p>
        </w:tc>
        <w:tc>
          <w:tcPr>
            <w:tcW w:w="1418" w:type="dxa"/>
            <w:shd w:val="clear" w:color="auto" w:fill="auto"/>
          </w:tcPr>
          <w:p w14:paraId="587EAF80" w14:textId="7BB26954" w:rsidR="004B720D" w:rsidRDefault="004B720D" w:rsidP="004B720D">
            <w:pPr>
              <w:spacing w:after="0"/>
              <w:jc w:val="left"/>
              <w:rPr>
                <w:rFonts w:asciiTheme="minorHAnsi" w:hAnsiTheme="minorHAnsi" w:cs="Arial"/>
                <w:i/>
                <w:color w:val="000000"/>
                <w:sz w:val="21"/>
                <w:szCs w:val="21"/>
              </w:rPr>
            </w:pPr>
            <w:r w:rsidRPr="004B720D">
              <w:rPr>
                <w:rFonts w:asciiTheme="minorHAnsi" w:hAnsiTheme="minorHAnsi" w:cs="Arial"/>
                <w:color w:val="000000"/>
                <w:sz w:val="21"/>
                <w:szCs w:val="21"/>
              </w:rPr>
              <w:t xml:space="preserve">Item 123 of the </w:t>
            </w:r>
            <w:r w:rsidRPr="004B720D">
              <w:rPr>
                <w:rFonts w:asciiTheme="minorHAnsi" w:hAnsiTheme="minorHAnsi" w:cs="Arial"/>
                <w:i/>
                <w:color w:val="000000"/>
                <w:sz w:val="21"/>
                <w:szCs w:val="21"/>
              </w:rPr>
              <w:t>Tax Agent Services Act 2009</w:t>
            </w:r>
          </w:p>
          <w:p w14:paraId="067FB26E" w14:textId="77777777" w:rsidR="004B720D" w:rsidRDefault="004B720D" w:rsidP="004B720D">
            <w:pPr>
              <w:spacing w:after="0"/>
              <w:jc w:val="left"/>
              <w:rPr>
                <w:rFonts w:asciiTheme="minorHAnsi" w:hAnsiTheme="minorHAnsi" w:cs="Arial"/>
                <w:i/>
                <w:color w:val="000000"/>
                <w:sz w:val="21"/>
                <w:szCs w:val="21"/>
              </w:rPr>
            </w:pPr>
          </w:p>
          <w:p w14:paraId="18483F7A" w14:textId="77777777" w:rsidR="004B720D" w:rsidRDefault="004B720D" w:rsidP="004B720D">
            <w:pPr>
              <w:spacing w:after="0"/>
              <w:jc w:val="left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921U</w:t>
            </w:r>
          </w:p>
          <w:p w14:paraId="2C3B5C97" w14:textId="77777777" w:rsidR="004B720D" w:rsidRDefault="004B720D" w:rsidP="004B720D">
            <w:pPr>
              <w:spacing w:after="0"/>
              <w:jc w:val="left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921V</w:t>
            </w:r>
          </w:p>
          <w:p w14:paraId="731F0D37" w14:textId="77777777" w:rsidR="004B720D" w:rsidRDefault="004B720D" w:rsidP="004B720D">
            <w:pPr>
              <w:spacing w:after="0"/>
              <w:jc w:val="left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921W</w:t>
            </w:r>
          </w:p>
          <w:p w14:paraId="14BC6E01" w14:textId="4C0E18CC" w:rsidR="00495C10" w:rsidRPr="005D6F91" w:rsidRDefault="004B720D" w:rsidP="004B720D">
            <w:pPr>
              <w:jc w:val="left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921X</w:t>
            </w:r>
          </w:p>
        </w:tc>
        <w:tc>
          <w:tcPr>
            <w:tcW w:w="4507" w:type="dxa"/>
            <w:shd w:val="clear" w:color="auto" w:fill="auto"/>
          </w:tcPr>
          <w:p w14:paraId="281E2FA3" w14:textId="77777777" w:rsidR="00F04456" w:rsidRDefault="00F04456" w:rsidP="00140923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 xml:space="preserve">A tax (financial) adviser will not need to be registered with both the Tax Practioners Board and ASIC. </w:t>
            </w:r>
          </w:p>
          <w:p w14:paraId="2A221B25" w14:textId="5F92B144" w:rsidR="00F04456" w:rsidRDefault="00F04456" w:rsidP="00F04456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 xml:space="preserve">From 1 January 2022 a tax (financial) adviser will only need to be registered with ASIC. </w:t>
            </w:r>
          </w:p>
          <w:p w14:paraId="1BD4CC78" w14:textId="30FB569C" w:rsidR="00495C10" w:rsidRDefault="00F04456" w:rsidP="0065598C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However, i</w:t>
            </w:r>
            <w:r w:rsidRPr="00F04456">
              <w:rPr>
                <w:rFonts w:asciiTheme="minorHAnsi" w:hAnsiTheme="minorHAnsi" w:cs="Arial"/>
                <w:sz w:val="21"/>
                <w:szCs w:val="21"/>
              </w:rPr>
              <w:t xml:space="preserve">f a financial adviser’s registration as a tax (financial) adviser under </w:t>
            </w:r>
            <w:r w:rsidRPr="00F04456">
              <w:rPr>
                <w:rFonts w:asciiTheme="minorHAnsi" w:hAnsiTheme="minorHAnsi" w:cs="Arial"/>
                <w:i/>
                <w:sz w:val="21"/>
                <w:szCs w:val="21"/>
              </w:rPr>
              <w:t>the Tax Agent Services Act 2009</w:t>
            </w:r>
            <w:r w:rsidRPr="00F04456">
              <w:rPr>
                <w:rFonts w:asciiTheme="minorHAnsi" w:hAnsiTheme="minorHAnsi" w:cs="Arial"/>
                <w:sz w:val="21"/>
                <w:szCs w:val="21"/>
              </w:rPr>
              <w:t xml:space="preserve"> conti</w:t>
            </w:r>
            <w:r>
              <w:rPr>
                <w:rFonts w:asciiTheme="minorHAnsi" w:hAnsiTheme="minorHAnsi" w:cs="Arial"/>
                <w:sz w:val="21"/>
                <w:szCs w:val="21"/>
              </w:rPr>
              <w:t>nues beyond 1</w:t>
            </w:r>
            <w:r w:rsidR="00D33DA3">
              <w:rPr>
                <w:rFonts w:asciiTheme="minorHAnsi" w:hAnsiTheme="minorHAnsi" w:cs="Arial"/>
                <w:sz w:val="21"/>
                <w:szCs w:val="21"/>
              </w:rPr>
              <w:t> </w:t>
            </w:r>
            <w:r>
              <w:rPr>
                <w:rFonts w:asciiTheme="minorHAnsi" w:hAnsiTheme="minorHAnsi" w:cs="Arial"/>
                <w:sz w:val="21"/>
                <w:szCs w:val="21"/>
              </w:rPr>
              <w:t>January</w:t>
            </w:r>
            <w:r w:rsidR="00D33DA3">
              <w:rPr>
                <w:rFonts w:asciiTheme="minorHAnsi" w:hAnsiTheme="minorHAnsi" w:cs="Arial"/>
                <w:sz w:val="21"/>
                <w:szCs w:val="21"/>
              </w:rPr>
              <w:t> </w:t>
            </w:r>
            <w:r>
              <w:rPr>
                <w:rFonts w:asciiTheme="minorHAnsi" w:hAnsiTheme="minorHAnsi" w:cs="Arial"/>
                <w:sz w:val="21"/>
                <w:szCs w:val="21"/>
              </w:rPr>
              <w:t xml:space="preserve">2022, the adviser will </w:t>
            </w:r>
            <w:r w:rsidR="0065598C">
              <w:rPr>
                <w:rFonts w:asciiTheme="minorHAnsi" w:hAnsiTheme="minorHAnsi" w:cs="Arial"/>
                <w:sz w:val="21"/>
                <w:szCs w:val="21"/>
              </w:rPr>
              <w:t xml:space="preserve">automatically </w:t>
            </w:r>
            <w:r>
              <w:rPr>
                <w:rFonts w:asciiTheme="minorHAnsi" w:hAnsiTheme="minorHAnsi" w:cs="Arial"/>
                <w:sz w:val="21"/>
                <w:szCs w:val="21"/>
              </w:rPr>
              <w:t xml:space="preserve">be registered with ASIC until the existing registration ends. </w:t>
            </w:r>
          </w:p>
        </w:tc>
      </w:tr>
      <w:tr w:rsidR="00495C10" w:rsidRPr="005D6F91" w14:paraId="68242B20" w14:textId="77777777" w:rsidTr="00E43B50">
        <w:tc>
          <w:tcPr>
            <w:tcW w:w="3544" w:type="dxa"/>
            <w:shd w:val="clear" w:color="auto" w:fill="auto"/>
          </w:tcPr>
          <w:p w14:paraId="19714D4B" w14:textId="5EF0F66A" w:rsidR="00495C10" w:rsidRDefault="00361CCD" w:rsidP="00361CCD">
            <w:pPr>
              <w:pStyle w:val="TableTextBase"/>
              <w:spacing w:before="60" w:after="60"/>
              <w:rPr>
                <w:rFonts w:asciiTheme="minorHAnsi" w:hAnsiTheme="minorHAnsi" w:cs="Arial"/>
                <w:b/>
                <w:sz w:val="21"/>
                <w:szCs w:val="21"/>
              </w:rPr>
            </w:pPr>
            <w:r>
              <w:rPr>
                <w:rFonts w:asciiTheme="minorHAnsi" w:hAnsiTheme="minorHAnsi" w:cs="Arial"/>
                <w:b/>
                <w:sz w:val="21"/>
                <w:szCs w:val="21"/>
              </w:rPr>
              <w:t>What additional requirements does a person need to meet to be a tax (financial) adviser?</w:t>
            </w:r>
          </w:p>
        </w:tc>
        <w:tc>
          <w:tcPr>
            <w:tcW w:w="1418" w:type="dxa"/>
            <w:shd w:val="clear" w:color="auto" w:fill="auto"/>
          </w:tcPr>
          <w:p w14:paraId="4E6F887E" w14:textId="5164E6AA" w:rsidR="004B720D" w:rsidRDefault="004B720D" w:rsidP="00B614A2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921H</w:t>
            </w:r>
          </w:p>
          <w:p w14:paraId="2AAEE4EE" w14:textId="286BE651" w:rsidR="00495C10" w:rsidRPr="005D6F91" w:rsidRDefault="004B720D" w:rsidP="00B614A2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921B(6)</w:t>
            </w:r>
          </w:p>
        </w:tc>
        <w:tc>
          <w:tcPr>
            <w:tcW w:w="4507" w:type="dxa"/>
            <w:shd w:val="clear" w:color="auto" w:fill="auto"/>
          </w:tcPr>
          <w:p w14:paraId="12913829" w14:textId="4A615FDD" w:rsidR="00495C10" w:rsidRDefault="00382B98" w:rsidP="00382B98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 xml:space="preserve">The Minister may set education, training and continuing professional development requirements specifically for advisers who provide tax (financial) advice services.  </w:t>
            </w:r>
          </w:p>
        </w:tc>
      </w:tr>
      <w:tr w:rsidR="00495C10" w:rsidRPr="005D6F91" w14:paraId="23B4822C" w14:textId="77777777" w:rsidTr="00E83F29">
        <w:tc>
          <w:tcPr>
            <w:tcW w:w="9469" w:type="dxa"/>
            <w:gridSpan w:val="3"/>
            <w:shd w:val="clear" w:color="auto" w:fill="auto"/>
          </w:tcPr>
          <w:p w14:paraId="3D709943" w14:textId="4C82A2D7" w:rsidR="00495C10" w:rsidRDefault="00495C10" w:rsidP="00495C10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 w:rsidRPr="005D6F91">
              <w:rPr>
                <w:rFonts w:asciiTheme="minorHAnsi" w:hAnsiTheme="minorHAnsi" w:cs="Arial"/>
                <w:b/>
                <w:sz w:val="21"/>
                <w:szCs w:val="21"/>
              </w:rPr>
              <w:t>Commencement date and transitional provisions</w:t>
            </w:r>
          </w:p>
        </w:tc>
      </w:tr>
      <w:tr w:rsidR="00495C10" w:rsidRPr="005D6F91" w14:paraId="52D6A5EF" w14:textId="77777777" w:rsidTr="00EC5640">
        <w:tc>
          <w:tcPr>
            <w:tcW w:w="9469" w:type="dxa"/>
            <w:gridSpan w:val="3"/>
            <w:shd w:val="clear" w:color="auto" w:fill="auto"/>
          </w:tcPr>
          <w:p w14:paraId="0CF51513" w14:textId="2DA0BB2B" w:rsidR="00495C10" w:rsidRDefault="00495C10" w:rsidP="00140923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 xml:space="preserve">The changes commence on 1 January 2022. </w:t>
            </w:r>
            <w:r w:rsidRPr="005D6F91">
              <w:rPr>
                <w:rFonts w:asciiTheme="minorHAnsi" w:hAnsiTheme="minorHAnsi" w:cs="Arial"/>
                <w:sz w:val="21"/>
                <w:szCs w:val="21"/>
              </w:rPr>
              <w:t xml:space="preserve"> </w:t>
            </w:r>
          </w:p>
          <w:p w14:paraId="776DA481" w14:textId="569214FC" w:rsidR="00495C10" w:rsidRDefault="00495C10" w:rsidP="00140923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An adviser has until 1 January 2023 to be registered</w:t>
            </w:r>
          </w:p>
          <w:p w14:paraId="4D5862E4" w14:textId="50917621" w:rsidR="00495C10" w:rsidRPr="005D6F91" w:rsidRDefault="00495C10" w:rsidP="00140923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 xml:space="preserve">The existing standards made by FASEA and the Code of Ethics remain in place unless the Minister makes new instruments. </w:t>
            </w:r>
          </w:p>
        </w:tc>
      </w:tr>
    </w:tbl>
    <w:p w14:paraId="0FA8AB40" w14:textId="77777777" w:rsidR="00AB5698" w:rsidRDefault="00AB5698">
      <w:pPr>
        <w:spacing w:after="200" w:line="276" w:lineRule="auto"/>
        <w:rPr>
          <w:color w:val="000000" w:themeColor="text1"/>
          <w:sz w:val="18"/>
          <w:szCs w:val="18"/>
        </w:rPr>
      </w:pPr>
    </w:p>
    <w:sectPr w:rsidR="00AB5698" w:rsidSect="00FF42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5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6F91C5" w14:textId="77777777" w:rsidR="00323DEA" w:rsidRDefault="00323DEA" w:rsidP="005F100C">
      <w:pPr>
        <w:spacing w:after="0" w:line="240" w:lineRule="auto"/>
      </w:pPr>
      <w:r>
        <w:separator/>
      </w:r>
    </w:p>
  </w:endnote>
  <w:endnote w:type="continuationSeparator" w:id="0">
    <w:p w14:paraId="54A4B0E3" w14:textId="77777777" w:rsidR="00323DEA" w:rsidRDefault="00323DEA" w:rsidP="005F1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71C040" w14:textId="7D90C183" w:rsidR="00F83625" w:rsidRPr="007832D7" w:rsidRDefault="00F83625">
    <w:pPr>
      <w:pStyle w:val="FooterEven"/>
      <w:rPr>
        <w:sz w:val="28"/>
        <w:szCs w:val="28"/>
      </w:rPr>
    </w:pPr>
    <w:r w:rsidRPr="007832D7">
      <w:rPr>
        <w:sz w:val="20"/>
      </w:rPr>
      <w:t xml:space="preserve">Page </w:t>
    </w:r>
    <w:r w:rsidRPr="007832D7">
      <w:rPr>
        <w:sz w:val="20"/>
      </w:rPr>
      <w:fldChar w:fldCharType="begin"/>
    </w:r>
    <w:r w:rsidRPr="007832D7">
      <w:rPr>
        <w:sz w:val="20"/>
      </w:rPr>
      <w:instrText xml:space="preserve"> PAGE  \* Arabic  \* MERGEFORMAT </w:instrText>
    </w:r>
    <w:r w:rsidRPr="007832D7">
      <w:rPr>
        <w:sz w:val="20"/>
      </w:rPr>
      <w:fldChar w:fldCharType="separate"/>
    </w:r>
    <w:r w:rsidR="00F250D8">
      <w:rPr>
        <w:noProof/>
        <w:sz w:val="20"/>
      </w:rPr>
      <w:t>4</w:t>
    </w:r>
    <w:r w:rsidRPr="007832D7">
      <w:rPr>
        <w:noProof/>
        <w:sz w:val="20"/>
      </w:rPr>
      <w:fldChar w:fldCharType="end"/>
    </w:r>
    <w:r w:rsidRPr="007832D7">
      <w:rPr>
        <w:noProof/>
        <w:sz w:val="20"/>
      </w:rPr>
      <w:t xml:space="preserve">                       </w:t>
    </w:r>
    <w:r>
      <w:rPr>
        <w:noProof/>
        <w:sz w:val="20"/>
      </w:rPr>
      <w:t xml:space="preserve">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CA1A73" w14:textId="3F9D9FB0" w:rsidR="00F83625" w:rsidRDefault="00F83625" w:rsidP="00650A60">
    <w:pPr>
      <w:pStyle w:val="FooterOdd"/>
      <w:tabs>
        <w:tab w:val="left" w:pos="3690"/>
        <w:tab w:val="right" w:pos="9070"/>
      </w:tabs>
    </w:pPr>
    <w:r>
      <w:tab/>
    </w:r>
    <w:r w:rsidRPr="007832D7">
      <w:rPr>
        <w:noProof/>
        <w:sz w:val="20"/>
      </w:rPr>
      <w:drawing>
        <wp:anchor distT="0" distB="0" distL="114300" distR="114300" simplePos="0" relativeHeight="251661312" behindDoc="1" locked="0" layoutInCell="1" allowOverlap="1" wp14:anchorId="7620ED08" wp14:editId="68324690">
          <wp:simplePos x="0" y="0"/>
          <wp:positionH relativeFrom="column">
            <wp:posOffset>-890905</wp:posOffset>
          </wp:positionH>
          <wp:positionV relativeFrom="paragraph">
            <wp:posOffset>-10081260</wp:posOffset>
          </wp:positionV>
          <wp:extent cx="7574280" cy="1061720"/>
          <wp:effectExtent l="0" t="0" r="7620" b="508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_thi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280" cy="1061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832D7">
      <w:rPr>
        <w:sz w:val="20"/>
      </w:rPr>
      <w:t xml:space="preserve">Page </w:t>
    </w:r>
    <w:r w:rsidRPr="007832D7">
      <w:rPr>
        <w:sz w:val="20"/>
      </w:rPr>
      <w:fldChar w:fldCharType="begin"/>
    </w:r>
    <w:r w:rsidRPr="007832D7">
      <w:rPr>
        <w:sz w:val="20"/>
      </w:rPr>
      <w:instrText xml:space="preserve"> PAGE   \* MERGEFORMAT </w:instrText>
    </w:r>
    <w:r w:rsidRPr="007832D7">
      <w:rPr>
        <w:sz w:val="20"/>
      </w:rPr>
      <w:fldChar w:fldCharType="separate"/>
    </w:r>
    <w:r w:rsidR="00F250D8">
      <w:rPr>
        <w:noProof/>
        <w:sz w:val="20"/>
      </w:rPr>
      <w:t>5</w:t>
    </w:r>
    <w:r w:rsidRPr="007832D7">
      <w:rPr>
        <w:noProof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3FDA93" w14:textId="3EC6CB0A" w:rsidR="00F83625" w:rsidRDefault="00F83625" w:rsidP="002D195B">
    <w:pPr>
      <w:pStyle w:val="FooterEven"/>
      <w:jc w:val="right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F250D8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CA43C8" w14:textId="77777777" w:rsidR="00323DEA" w:rsidRDefault="00323DEA" w:rsidP="005F100C">
      <w:pPr>
        <w:spacing w:after="0" w:line="240" w:lineRule="auto"/>
      </w:pPr>
      <w:r>
        <w:separator/>
      </w:r>
    </w:p>
  </w:footnote>
  <w:footnote w:type="continuationSeparator" w:id="0">
    <w:p w14:paraId="3A5E226A" w14:textId="77777777" w:rsidR="00323DEA" w:rsidRDefault="00323DEA" w:rsidP="005F10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82230C" w14:textId="77777777" w:rsidR="00F83625" w:rsidRDefault="00F83625">
    <w:pPr>
      <w:framePr w:wrap="around" w:hAnchor="page" w:x="14460" w:yAlign="top" w:anchorLock="1"/>
      <w:textDirection w:val="tbRl"/>
      <w:rPr>
        <w:rStyle w:val="FramedHeader"/>
      </w:rPr>
    </w:pPr>
    <w:r>
      <w:rPr>
        <w:rStyle w:val="FramedHeader"/>
      </w:rPr>
      <w:t>Publication Title</w:t>
    </w:r>
  </w:p>
  <w:p w14:paraId="2F873A48" w14:textId="5C72675D" w:rsidR="00F83625" w:rsidRPr="009F50E3" w:rsidRDefault="00F83625" w:rsidP="00DE2B14">
    <w:pPr>
      <w:pStyle w:val="HeaderEven"/>
    </w:pPr>
    <w:r w:rsidRPr="00FF4260">
      <w:rPr>
        <w:b/>
        <w:noProof/>
      </w:rPr>
      <w:drawing>
        <wp:anchor distT="0" distB="0" distL="114300" distR="114300" simplePos="0" relativeHeight="251659264" behindDoc="1" locked="0" layoutInCell="1" allowOverlap="1" wp14:anchorId="66FDBC8F" wp14:editId="2F37B6B5">
          <wp:simplePos x="0" y="0"/>
          <wp:positionH relativeFrom="column">
            <wp:posOffset>-887730</wp:posOffset>
          </wp:positionH>
          <wp:positionV relativeFrom="paragraph">
            <wp:posOffset>-450215</wp:posOffset>
          </wp:positionV>
          <wp:extent cx="7574400" cy="1062000"/>
          <wp:effectExtent l="0" t="0" r="7620" b="508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_thi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400" cy="10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B5698">
      <w:rPr>
        <w:b/>
      </w:rPr>
      <w:t xml:space="preserve">The Treasury </w:t>
    </w:r>
    <w:r w:rsidR="00AB5698" w:rsidRPr="00AB5698">
      <w:t xml:space="preserve">Draft Legislation: </w:t>
    </w:r>
    <w:r w:rsidR="008423F9">
      <w:t>A new disciplinary system for financial advisers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CB9FDE" w14:textId="776D436C" w:rsidR="00F83625" w:rsidRPr="009F50E3" w:rsidRDefault="00AB5698" w:rsidP="002D195B">
    <w:pPr>
      <w:pStyle w:val="HeaderEven"/>
    </w:pPr>
    <w:r>
      <w:rPr>
        <w:b/>
      </w:rPr>
      <w:t xml:space="preserve">The Treasury </w:t>
    </w:r>
    <w:r w:rsidRPr="00AB5698">
      <w:t xml:space="preserve">Draft Legislation: </w:t>
    </w:r>
    <w:r w:rsidR="00F83625" w:rsidRPr="00FF4260">
      <w:rPr>
        <w:b/>
        <w:noProof/>
      </w:rPr>
      <w:drawing>
        <wp:anchor distT="0" distB="0" distL="114300" distR="114300" simplePos="0" relativeHeight="251663360" behindDoc="1" locked="0" layoutInCell="1" allowOverlap="1" wp14:anchorId="076901CB" wp14:editId="62767986">
          <wp:simplePos x="0" y="0"/>
          <wp:positionH relativeFrom="column">
            <wp:posOffset>-897255</wp:posOffset>
          </wp:positionH>
          <wp:positionV relativeFrom="paragraph">
            <wp:posOffset>-450215</wp:posOffset>
          </wp:positionV>
          <wp:extent cx="7574400" cy="1062000"/>
          <wp:effectExtent l="0" t="0" r="7620" b="508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_thi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400" cy="10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423F9">
      <w:t>A new disciplinary system for financial advisers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D65E9F" w14:textId="77777777" w:rsidR="00F83625" w:rsidRPr="00FF4260" w:rsidRDefault="00F83625">
    <w:pPr>
      <w:pStyle w:val="Header"/>
      <w:rPr>
        <w:noProof/>
        <w:color w:val="1F497D" w:themeColor="text2"/>
        <w:sz w:val="3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BC9E97D" wp14:editId="3C0F3ED2">
          <wp:simplePos x="0" y="0"/>
          <wp:positionH relativeFrom="column">
            <wp:posOffset>-939800</wp:posOffset>
          </wp:positionH>
          <wp:positionV relativeFrom="paragraph">
            <wp:posOffset>-402590</wp:posOffset>
          </wp:positionV>
          <wp:extent cx="7574400" cy="2012400"/>
          <wp:effectExtent l="0" t="0" r="762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_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400" cy="201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1F497D" w:themeColor="text2"/>
        <w:sz w:val="36"/>
      </w:rPr>
      <w:t>TH</w:t>
    </w:r>
    <w:r w:rsidRPr="00FF4260">
      <w:rPr>
        <w:noProof/>
        <w:color w:val="1F497D" w:themeColor="text2"/>
        <w:sz w:val="36"/>
      </w:rPr>
      <w:t>E TREASURY</w:t>
    </w:r>
  </w:p>
  <w:p w14:paraId="39F8A931" w14:textId="77777777" w:rsidR="00F83625" w:rsidRPr="00FF4260" w:rsidRDefault="00AB5698">
    <w:pPr>
      <w:pStyle w:val="Header"/>
      <w:rPr>
        <w:b/>
        <w:noProof/>
        <w:color w:val="1F497D" w:themeColor="text2"/>
        <w:sz w:val="40"/>
      </w:rPr>
    </w:pPr>
    <w:r>
      <w:rPr>
        <w:b/>
        <w:noProof/>
        <w:color w:val="1F497D" w:themeColor="text2"/>
        <w:sz w:val="40"/>
      </w:rPr>
      <w:t>Draft Legislation</w:t>
    </w:r>
  </w:p>
  <w:p w14:paraId="137F95D2" w14:textId="77777777" w:rsidR="00F83625" w:rsidRPr="00FF4260" w:rsidRDefault="00F83625">
    <w:pPr>
      <w:pStyle w:val="Header"/>
      <w:rPr>
        <w:b/>
        <w:noProof/>
        <w:color w:val="1F497D" w:themeColor="text2"/>
        <w:sz w:val="40"/>
      </w:rPr>
    </w:pPr>
  </w:p>
  <w:p w14:paraId="20A344AD" w14:textId="77777777" w:rsidR="00F83625" w:rsidRDefault="00F836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D3FC7"/>
    <w:multiLevelType w:val="multilevel"/>
    <w:tmpl w:val="6694CB3A"/>
    <w:styleLink w:val="BoxBulletedList"/>
    <w:lvl w:ilvl="0">
      <w:start w:val="1"/>
      <w:numFmt w:val="bullet"/>
      <w:lvlRestart w:val="0"/>
      <w:pStyle w:val="BoxBullet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bullet"/>
      <w:pStyle w:val="BoxDash"/>
      <w:lvlText w:val="–"/>
      <w:lvlJc w:val="left"/>
      <w:pPr>
        <w:tabs>
          <w:tab w:val="num" w:pos="567"/>
        </w:tabs>
        <w:ind w:left="567" w:hanging="284"/>
      </w:pPr>
      <w:rPr>
        <w:rFonts w:hint="default"/>
        <w:b w:val="0"/>
        <w:i w:val="0"/>
      </w:rPr>
    </w:lvl>
    <w:lvl w:ilvl="2">
      <w:start w:val="1"/>
      <w:numFmt w:val="bullet"/>
      <w:pStyle w:val="BoxDoubleDot"/>
      <w:lvlText w:val=":"/>
      <w:lvlJc w:val="left"/>
      <w:pPr>
        <w:tabs>
          <w:tab w:val="num" w:pos="850"/>
        </w:tabs>
        <w:ind w:left="850" w:hanging="283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1" w15:restartNumberingAfterBreak="0">
    <w:nsid w:val="090B0DB0"/>
    <w:multiLevelType w:val="multilevel"/>
    <w:tmpl w:val="D9A8A212"/>
    <w:styleLink w:val="RomanNumeralList"/>
    <w:lvl w:ilvl="0">
      <w:start w:val="1"/>
      <w:numFmt w:val="lowerRoman"/>
      <w:pStyle w:val="Romannumer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D2E3FBB"/>
    <w:multiLevelType w:val="hybridMultilevel"/>
    <w:tmpl w:val="33FEEB9E"/>
    <w:lvl w:ilvl="0" w:tplc="1F7E9A7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53560"/>
    <w:multiLevelType w:val="multilevel"/>
    <w:tmpl w:val="72F8140E"/>
    <w:styleLink w:val="OutlineList"/>
    <w:lvl w:ilvl="0">
      <w:start w:val="1"/>
      <w:numFmt w:val="decimal"/>
      <w:pStyle w:val="OutlineNumbered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OutlineNumbered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OutlineNumbered3"/>
      <w:lvlText w:val="%1.%2.%3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6CC4E5D"/>
    <w:multiLevelType w:val="multilevel"/>
    <w:tmpl w:val="D10E9CF6"/>
    <w:numStyleLink w:val="OneLevelList"/>
  </w:abstractNum>
  <w:abstractNum w:abstractNumId="5" w15:restartNumberingAfterBreak="0">
    <w:nsid w:val="1E6B29F1"/>
    <w:multiLevelType w:val="multilevel"/>
    <w:tmpl w:val="EDEE4FB6"/>
    <w:styleLink w:val="RecommendationBulletList"/>
    <w:lvl w:ilvl="0">
      <w:start w:val="1"/>
      <w:numFmt w:val="bullet"/>
      <w:pStyle w:val="RecommendationBullet"/>
      <w:lvlText w:val="•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pStyle w:val="RecommendationDash"/>
      <w:lvlText w:val=":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bullet"/>
      <w:pStyle w:val="RecommendationDoubleDot"/>
      <w:lvlText w:val="–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5EA2A0F"/>
    <w:multiLevelType w:val="multilevel"/>
    <w:tmpl w:val="18BC553E"/>
    <w:styleLink w:val="TableTextBulletList"/>
    <w:lvl w:ilvl="0">
      <w:start w:val="1"/>
      <w:numFmt w:val="bullet"/>
      <w:pStyle w:val="TableTextBullet"/>
      <w:lvlText w:val="•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78D78E7"/>
    <w:multiLevelType w:val="multilevel"/>
    <w:tmpl w:val="227083C4"/>
    <w:name w:val="OneLevelRomanNumeralList"/>
    <w:lvl w:ilvl="0">
      <w:start w:val="1"/>
      <w:numFmt w:val="lowerRoman"/>
      <w:lvlRestart w:val="0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color w:val="000000"/>
      </w:rPr>
    </w:lvl>
    <w:lvl w:ilvl="1">
      <w:start w:val="1"/>
      <w:numFmt w:val="decimal"/>
      <w:lvlText w:val="%2"/>
      <w:lvlJc w:val="left"/>
      <w:pPr>
        <w:tabs>
          <w:tab w:val="num" w:pos="1134"/>
        </w:tabs>
        <w:ind w:left="1134" w:hanging="567"/>
      </w:pPr>
      <w:rPr>
        <w:b w:val="0"/>
        <w:i w:val="0"/>
        <w:color w:val="000000"/>
      </w:rPr>
    </w:lvl>
    <w:lvl w:ilvl="2">
      <w:start w:val="1"/>
      <w:numFmt w:val="decimal"/>
      <w:lvlText w:val="%3"/>
      <w:lvlJc w:val="left"/>
      <w:pPr>
        <w:tabs>
          <w:tab w:val="num" w:pos="1701"/>
        </w:tabs>
        <w:ind w:left="1701" w:hanging="567"/>
      </w:pPr>
      <w:rPr>
        <w:b w:val="0"/>
        <w:i w:val="0"/>
        <w:color w:val="000000"/>
      </w:rPr>
    </w:lvl>
    <w:lvl w:ilvl="3">
      <w:start w:val="1"/>
      <w:numFmt w:val="decimal"/>
      <w:lvlText w:val="%4"/>
      <w:lvlJc w:val="left"/>
      <w:pPr>
        <w:tabs>
          <w:tab w:val="num" w:pos="2268"/>
        </w:tabs>
        <w:ind w:left="2268" w:hanging="567"/>
      </w:pPr>
      <w:rPr>
        <w:b w:val="0"/>
        <w:i w:val="0"/>
        <w:color w:val="000000"/>
      </w:rPr>
    </w:lvl>
    <w:lvl w:ilvl="4">
      <w:start w:val="1"/>
      <w:numFmt w:val="decimal"/>
      <w:lvlText w:val="%5"/>
      <w:lvlJc w:val="left"/>
      <w:pPr>
        <w:tabs>
          <w:tab w:val="num" w:pos="2835"/>
        </w:tabs>
        <w:ind w:left="2835" w:hanging="567"/>
      </w:pPr>
      <w:rPr>
        <w:b w:val="0"/>
        <w:i w:val="0"/>
        <w:color w:val="000000"/>
      </w:rPr>
    </w:lvl>
    <w:lvl w:ilvl="5">
      <w:start w:val="1"/>
      <w:numFmt w:val="decimal"/>
      <w:lvlText w:val="%6"/>
      <w:lvlJc w:val="left"/>
      <w:pPr>
        <w:tabs>
          <w:tab w:val="num" w:pos="3402"/>
        </w:tabs>
        <w:ind w:left="3402" w:hanging="567"/>
      </w:pPr>
      <w:rPr>
        <w:b w:val="0"/>
        <w:i w:val="0"/>
        <w:color w:val="000000"/>
      </w:rPr>
    </w:lvl>
    <w:lvl w:ilvl="6">
      <w:start w:val="1"/>
      <w:numFmt w:val="decimal"/>
      <w:lvlText w:val="%7"/>
      <w:lvlJc w:val="left"/>
      <w:pPr>
        <w:tabs>
          <w:tab w:val="num" w:pos="3969"/>
        </w:tabs>
        <w:ind w:left="3969" w:hanging="567"/>
      </w:pPr>
      <w:rPr>
        <w:b w:val="0"/>
        <w:i w:val="0"/>
        <w:color w:val="000000"/>
      </w:rPr>
    </w:lvl>
    <w:lvl w:ilvl="7">
      <w:start w:val="1"/>
      <w:numFmt w:val="decimal"/>
      <w:lvlText w:val="%8"/>
      <w:lvlJc w:val="left"/>
      <w:pPr>
        <w:tabs>
          <w:tab w:val="num" w:pos="4536"/>
        </w:tabs>
        <w:ind w:left="4536" w:hanging="567"/>
      </w:pPr>
      <w:rPr>
        <w:b w:val="0"/>
        <w:i w:val="0"/>
        <w:color w:val="000000"/>
      </w:rPr>
    </w:lvl>
    <w:lvl w:ilvl="8">
      <w:start w:val="1"/>
      <w:numFmt w:val="decimal"/>
      <w:lvlText w:val="%9"/>
      <w:lvlJc w:val="left"/>
      <w:pPr>
        <w:tabs>
          <w:tab w:val="num" w:pos="5103"/>
        </w:tabs>
        <w:ind w:left="5103" w:hanging="567"/>
      </w:pPr>
      <w:rPr>
        <w:b w:val="0"/>
        <w:i w:val="0"/>
        <w:color w:val="000000"/>
      </w:rPr>
    </w:lvl>
  </w:abstractNum>
  <w:abstractNum w:abstractNumId="8" w15:restartNumberingAfterBreak="0">
    <w:nsid w:val="294213C3"/>
    <w:multiLevelType w:val="multilevel"/>
    <w:tmpl w:val="0EAAE3F8"/>
    <w:styleLink w:val="LegalListStyle1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sz w:val="3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985"/>
        </w:tabs>
        <w:ind w:left="1985" w:hanging="56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upperLetter"/>
      <w:lvlText w:val="(%5)"/>
      <w:lvlJc w:val="left"/>
      <w:pPr>
        <w:tabs>
          <w:tab w:val="num" w:pos="2552"/>
        </w:tabs>
        <w:ind w:left="2552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08C2710"/>
    <w:multiLevelType w:val="multilevel"/>
    <w:tmpl w:val="E2AA3F9A"/>
    <w:styleLink w:val="BulletedList"/>
    <w:lvl w:ilvl="0">
      <w:start w:val="1"/>
      <w:numFmt w:val="bullet"/>
      <w:lvlRestart w:val="0"/>
      <w:pStyle w:val="Bullet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bullet"/>
      <w:pStyle w:val="Dash"/>
      <w:lvlText w:val="–"/>
      <w:lvlJc w:val="left"/>
      <w:pPr>
        <w:tabs>
          <w:tab w:val="num" w:pos="567"/>
        </w:tabs>
        <w:ind w:left="567" w:hanging="284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bullet"/>
      <w:pStyle w:val="DoubleDot"/>
      <w:lvlText w:val=":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10" w15:restartNumberingAfterBreak="0">
    <w:nsid w:val="30EB5FC2"/>
    <w:multiLevelType w:val="multilevel"/>
    <w:tmpl w:val="542A660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ascii="Book Antiqua" w:hAnsi="Book Antiqua"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Book Antiqua" w:hAnsi="Book Antiqua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  <w:b w:val="0"/>
        <w:i w:val="0"/>
      </w:rPr>
    </w:lvl>
  </w:abstractNum>
  <w:abstractNum w:abstractNumId="11" w15:restartNumberingAfterBreak="0">
    <w:nsid w:val="3238442C"/>
    <w:multiLevelType w:val="multilevel"/>
    <w:tmpl w:val="4DAA0B3E"/>
    <w:styleLink w:val="ChartandTableFootnoteAlphaList"/>
    <w:lvl w:ilvl="0">
      <w:start w:val="1"/>
      <w:numFmt w:val="lowerLetter"/>
      <w:pStyle w:val="ChartandTableFootnoteAlpha"/>
      <w:lvlText w:val="(%1)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1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30C16AD"/>
    <w:multiLevelType w:val="multilevel"/>
    <w:tmpl w:val="D10E9CF6"/>
    <w:styleLink w:val="OneLevelList"/>
    <w:lvl w:ilvl="0">
      <w:start w:val="1"/>
      <w:numFmt w:val="decimal"/>
      <w:pStyle w:val="OneLevelNumberedParagraph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D714D4B"/>
    <w:multiLevelType w:val="multilevel"/>
    <w:tmpl w:val="A316FE50"/>
    <w:styleLink w:val="ChapterList"/>
    <w:lvl w:ilvl="0">
      <w:start w:val="1"/>
      <w:numFmt w:val="decimal"/>
      <w:pStyle w:val="ChapterHeading"/>
      <w:lvlText w:val="Chapter %1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1">
      <w:start w:val="1"/>
      <w:numFmt w:val="decimal"/>
      <w:pStyle w:val="base-text-paragraph"/>
      <w:lvlText w:val="%1.%2"/>
      <w:lvlJc w:val="left"/>
      <w:pPr>
        <w:tabs>
          <w:tab w:val="num" w:pos="1985"/>
        </w:tabs>
        <w:ind w:left="1134" w:firstLine="0"/>
      </w:pPr>
      <w:rPr>
        <w:rFonts w:hint="default"/>
      </w:rPr>
    </w:lvl>
    <w:lvl w:ilvl="2">
      <w:start w:val="1"/>
      <w:numFmt w:val="decimal"/>
      <w:lvlRestart w:val="1"/>
      <w:pStyle w:val="Diagram"/>
      <w:suff w:val="nothing"/>
      <w:lvlText w:val="Diagram %1.%3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lvlRestart w:val="1"/>
      <w:pStyle w:val="ExampleHeading"/>
      <w:suff w:val="nothing"/>
      <w:lvlText w:val="Example %1.%4"/>
      <w:lvlJc w:val="left"/>
      <w:pPr>
        <w:ind w:left="1134" w:firstLine="0"/>
      </w:pPr>
      <w:rPr>
        <w:rFonts w:hint="default"/>
      </w:rPr>
    </w:lvl>
    <w:lvl w:ilvl="4">
      <w:start w:val="1"/>
      <w:numFmt w:val="decimal"/>
      <w:lvlRestart w:val="1"/>
      <w:pStyle w:val="TableHeadingoutsidetable"/>
      <w:suff w:val="nothing"/>
      <w:lvlText w:val="Table %1.%5"/>
      <w:lvlJc w:val="left"/>
      <w:pPr>
        <w:ind w:left="113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F950960"/>
    <w:multiLevelType w:val="multilevel"/>
    <w:tmpl w:val="AD1C7528"/>
    <w:name w:val="DotPointList"/>
    <w:lvl w:ilvl="0">
      <w:start w:val="1"/>
      <w:numFmt w:val="bullet"/>
      <w:lvlRestart w:val="0"/>
      <w:pStyle w:val="dotpoint"/>
      <w:lvlText w:val="•"/>
      <w:lvlJc w:val="left"/>
      <w:pPr>
        <w:tabs>
          <w:tab w:val="num" w:pos="2695"/>
        </w:tabs>
        <w:ind w:left="2695" w:hanging="284"/>
      </w:pPr>
      <w:rPr>
        <w:b w:val="0"/>
        <w:i w:val="0"/>
        <w:color w:val="000000"/>
      </w:rPr>
    </w:lvl>
    <w:lvl w:ilvl="1">
      <w:start w:val="1"/>
      <w:numFmt w:val="bullet"/>
      <w:lvlText w:val="–"/>
      <w:lvlJc w:val="left"/>
      <w:pPr>
        <w:tabs>
          <w:tab w:val="num" w:pos="2551"/>
        </w:tabs>
        <w:ind w:left="2551" w:hanging="283"/>
      </w:pPr>
      <w:rPr>
        <w:b w:val="0"/>
        <w:i w:val="0"/>
        <w:color w:val="000000"/>
      </w:rPr>
    </w:lvl>
    <w:lvl w:ilvl="2">
      <w:start w:val="1"/>
      <w:numFmt w:val="decimal"/>
      <w:lvlText w:val="%3"/>
      <w:lvlJc w:val="left"/>
      <w:pPr>
        <w:tabs>
          <w:tab w:val="num" w:pos="1701"/>
        </w:tabs>
        <w:ind w:left="1701" w:hanging="567"/>
      </w:pPr>
      <w:rPr>
        <w:b w:val="0"/>
        <w:i w:val="0"/>
        <w:color w:val="000000"/>
      </w:rPr>
    </w:lvl>
    <w:lvl w:ilvl="3">
      <w:start w:val="1"/>
      <w:numFmt w:val="decimal"/>
      <w:lvlText w:val="%4"/>
      <w:lvlJc w:val="left"/>
      <w:pPr>
        <w:tabs>
          <w:tab w:val="num" w:pos="2268"/>
        </w:tabs>
        <w:ind w:left="2268" w:hanging="567"/>
      </w:pPr>
      <w:rPr>
        <w:b w:val="0"/>
        <w:i w:val="0"/>
        <w:color w:val="000000"/>
      </w:rPr>
    </w:lvl>
    <w:lvl w:ilvl="4">
      <w:start w:val="1"/>
      <w:numFmt w:val="decimal"/>
      <w:lvlText w:val="%5"/>
      <w:lvlJc w:val="left"/>
      <w:pPr>
        <w:tabs>
          <w:tab w:val="num" w:pos="2835"/>
        </w:tabs>
        <w:ind w:left="2835" w:hanging="567"/>
      </w:pPr>
      <w:rPr>
        <w:b w:val="0"/>
        <w:i w:val="0"/>
        <w:color w:val="000000"/>
      </w:rPr>
    </w:lvl>
    <w:lvl w:ilvl="5">
      <w:start w:val="1"/>
      <w:numFmt w:val="decimal"/>
      <w:lvlText w:val="%6"/>
      <w:lvlJc w:val="left"/>
      <w:pPr>
        <w:tabs>
          <w:tab w:val="num" w:pos="3402"/>
        </w:tabs>
        <w:ind w:left="3402" w:hanging="567"/>
      </w:pPr>
      <w:rPr>
        <w:b w:val="0"/>
        <w:i w:val="0"/>
        <w:color w:val="000000"/>
      </w:rPr>
    </w:lvl>
    <w:lvl w:ilvl="6">
      <w:start w:val="1"/>
      <w:numFmt w:val="decimal"/>
      <w:lvlText w:val="%7"/>
      <w:lvlJc w:val="left"/>
      <w:pPr>
        <w:tabs>
          <w:tab w:val="num" w:pos="3969"/>
        </w:tabs>
        <w:ind w:left="3969" w:hanging="567"/>
      </w:pPr>
      <w:rPr>
        <w:b w:val="0"/>
        <w:i w:val="0"/>
        <w:color w:val="000000"/>
      </w:rPr>
    </w:lvl>
    <w:lvl w:ilvl="7">
      <w:start w:val="1"/>
      <w:numFmt w:val="decimal"/>
      <w:lvlText w:val="%8"/>
      <w:lvlJc w:val="left"/>
      <w:pPr>
        <w:tabs>
          <w:tab w:val="num" w:pos="4536"/>
        </w:tabs>
        <w:ind w:left="4536" w:hanging="567"/>
      </w:pPr>
      <w:rPr>
        <w:b w:val="0"/>
        <w:i w:val="0"/>
        <w:color w:val="000000"/>
      </w:rPr>
    </w:lvl>
    <w:lvl w:ilvl="8">
      <w:start w:val="1"/>
      <w:numFmt w:val="decimal"/>
      <w:lvlText w:val="%9"/>
      <w:lvlJc w:val="left"/>
      <w:pPr>
        <w:tabs>
          <w:tab w:val="num" w:pos="5103"/>
        </w:tabs>
        <w:ind w:left="5103" w:hanging="567"/>
      </w:pPr>
      <w:rPr>
        <w:b w:val="0"/>
        <w:i w:val="0"/>
        <w:color w:val="000000"/>
      </w:rPr>
    </w:lvl>
  </w:abstractNum>
  <w:abstractNum w:abstractNumId="15" w15:restartNumberingAfterBreak="0">
    <w:nsid w:val="42EB64E5"/>
    <w:multiLevelType w:val="multilevel"/>
    <w:tmpl w:val="7934560A"/>
    <w:name w:val="StandardBulletedList"/>
    <w:lvl w:ilvl="0">
      <w:start w:val="1"/>
      <w:numFmt w:val="bullet"/>
      <w:lvlText w:val="•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1">
      <w:start w:val="1"/>
      <w:numFmt w:val="bullet"/>
      <w:lvlText w:val="–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2080"/>
        </w:tabs>
        <w:ind w:left="208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960" w:hanging="360"/>
      </w:pPr>
    </w:lvl>
    <w:lvl w:ilvl="4">
      <w:start w:val="1"/>
      <w:numFmt w:val="lowerLetter"/>
      <w:lvlText w:val="(%5)"/>
      <w:lvlJc w:val="left"/>
      <w:pPr>
        <w:ind w:left="2320" w:hanging="360"/>
      </w:pPr>
    </w:lvl>
    <w:lvl w:ilvl="5">
      <w:start w:val="1"/>
      <w:numFmt w:val="lowerRoman"/>
      <w:lvlText w:val="(%6)"/>
      <w:lvlJc w:val="left"/>
      <w:pPr>
        <w:ind w:left="2680" w:hanging="360"/>
      </w:pPr>
    </w:lvl>
    <w:lvl w:ilvl="6">
      <w:start w:val="1"/>
      <w:numFmt w:val="decimal"/>
      <w:lvlText w:val="%7."/>
      <w:lvlJc w:val="left"/>
      <w:pPr>
        <w:ind w:left="3040" w:hanging="360"/>
      </w:pPr>
    </w:lvl>
    <w:lvl w:ilvl="7">
      <w:start w:val="1"/>
      <w:numFmt w:val="lowerLetter"/>
      <w:lvlText w:val="%8."/>
      <w:lvlJc w:val="left"/>
      <w:pPr>
        <w:ind w:left="3400" w:hanging="360"/>
      </w:pPr>
    </w:lvl>
    <w:lvl w:ilvl="8">
      <w:start w:val="1"/>
      <w:numFmt w:val="lowerRoman"/>
      <w:lvlText w:val="%9."/>
      <w:lvlJc w:val="left"/>
      <w:pPr>
        <w:ind w:left="3760" w:hanging="360"/>
      </w:pPr>
    </w:lvl>
  </w:abstractNum>
  <w:abstractNum w:abstractNumId="16" w15:restartNumberingAfterBreak="0">
    <w:nsid w:val="445B0A7E"/>
    <w:multiLevelType w:val="multilevel"/>
    <w:tmpl w:val="EDEE4FB6"/>
    <w:numStyleLink w:val="RecommendationBulletList"/>
  </w:abstractNum>
  <w:abstractNum w:abstractNumId="17" w15:restartNumberingAfterBreak="0">
    <w:nsid w:val="483E25F6"/>
    <w:multiLevelType w:val="multilevel"/>
    <w:tmpl w:val="2D022FDA"/>
    <w:styleLink w:val="AlphaParagraphList"/>
    <w:lvl w:ilvl="0">
      <w:start w:val="1"/>
      <w:numFmt w:val="lowerLetter"/>
      <w:pStyle w:val="AlphaParagraph"/>
      <w:lvlText w:val="(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AD34634"/>
    <w:multiLevelType w:val="multilevel"/>
    <w:tmpl w:val="CE5ACCE6"/>
    <w:lvl w:ilvl="0">
      <w:start w:val="1"/>
      <w:numFmt w:val="bullet"/>
      <w:lvlText w:val="•"/>
      <w:lvlJc w:val="left"/>
      <w:pPr>
        <w:tabs>
          <w:tab w:val="num" w:pos="520"/>
        </w:tabs>
        <w:ind w:left="520" w:hanging="520"/>
      </w:pPr>
      <w:rPr>
        <w:rFonts w:ascii="Times New Roman" w:hAnsi="Times New Roman" w:cs="Times New Roman"/>
      </w:rPr>
    </w:lvl>
    <w:lvl w:ilvl="1">
      <w:start w:val="1"/>
      <w:numFmt w:val="bullet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10D2021"/>
    <w:multiLevelType w:val="multilevel"/>
    <w:tmpl w:val="72F8140E"/>
    <w:numStyleLink w:val="OutlineList"/>
  </w:abstractNum>
  <w:abstractNum w:abstractNumId="20" w15:restartNumberingAfterBreak="0">
    <w:nsid w:val="54103228"/>
    <w:multiLevelType w:val="hybridMultilevel"/>
    <w:tmpl w:val="A5F061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AB4DA1"/>
    <w:multiLevelType w:val="multilevel"/>
    <w:tmpl w:val="7E40BB68"/>
    <w:styleLink w:val="TableTestBulletList"/>
    <w:lvl w:ilvl="0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5F73129"/>
    <w:multiLevelType w:val="multilevel"/>
    <w:tmpl w:val="D9A8A212"/>
    <w:numStyleLink w:val="RomanNumeralList"/>
  </w:abstractNum>
  <w:abstractNum w:abstractNumId="23" w15:restartNumberingAfterBreak="0">
    <w:nsid w:val="65DF6494"/>
    <w:multiLevelType w:val="multilevel"/>
    <w:tmpl w:val="A316FE50"/>
    <w:numStyleLink w:val="ChapterList"/>
  </w:abstractNum>
  <w:num w:numId="1">
    <w:abstractNumId w:val="9"/>
  </w:num>
  <w:num w:numId="2">
    <w:abstractNumId w:val="0"/>
    <w:lvlOverride w:ilvl="1">
      <w:lvl w:ilvl="1">
        <w:start w:val="1"/>
        <w:numFmt w:val="bullet"/>
        <w:pStyle w:val="BoxDash"/>
        <w:lvlText w:val="–"/>
        <w:lvlJc w:val="left"/>
        <w:pPr>
          <w:tabs>
            <w:tab w:val="num" w:pos="567"/>
          </w:tabs>
          <w:ind w:left="567" w:hanging="284"/>
        </w:pPr>
        <w:rPr>
          <w:rFonts w:hint="default"/>
          <w:b w:val="0"/>
          <w:i w:val="0"/>
        </w:rPr>
      </w:lvl>
    </w:lvlOverride>
  </w:num>
  <w:num w:numId="3">
    <w:abstractNumId w:val="17"/>
  </w:num>
  <w:num w:numId="4">
    <w:abstractNumId w:val="12"/>
  </w:num>
  <w:num w:numId="5">
    <w:abstractNumId w:val="3"/>
  </w:num>
  <w:num w:numId="6">
    <w:abstractNumId w:val="5"/>
  </w:num>
  <w:num w:numId="7">
    <w:abstractNumId w:val="1"/>
  </w:num>
  <w:num w:numId="8">
    <w:abstractNumId w:val="4"/>
  </w:num>
  <w:num w:numId="9">
    <w:abstractNumId w:val="19"/>
  </w:num>
  <w:num w:numId="10">
    <w:abstractNumId w:val="16"/>
  </w:num>
  <w:num w:numId="11">
    <w:abstractNumId w:val="22"/>
  </w:num>
  <w:num w:numId="12">
    <w:abstractNumId w:val="11"/>
  </w:num>
  <w:num w:numId="13">
    <w:abstractNumId w:val="21"/>
  </w:num>
  <w:num w:numId="14">
    <w:abstractNumId w:val="6"/>
  </w:num>
  <w:num w:numId="15">
    <w:abstractNumId w:val="6"/>
  </w:num>
  <w:num w:numId="16">
    <w:abstractNumId w:val="0"/>
  </w:num>
  <w:num w:numId="17">
    <w:abstractNumId w:val="8"/>
  </w:num>
  <w:num w:numId="18">
    <w:abstractNumId w:val="20"/>
  </w:num>
  <w:num w:numId="19">
    <w:abstractNumId w:val="10"/>
  </w:num>
  <w:num w:numId="20">
    <w:abstractNumId w:val="18"/>
  </w:num>
  <w:num w:numId="21">
    <w:abstractNumId w:val="2"/>
  </w:num>
  <w:num w:numId="22">
    <w:abstractNumId w:val="23"/>
    <w:lvlOverride w:ilvl="0">
      <w:lvl w:ilvl="0">
        <w:start w:val="1"/>
        <w:numFmt w:val="decimal"/>
        <w:lvlText w:val="Chapter %1"/>
        <w:lvlJc w:val="left"/>
        <w:pPr>
          <w:tabs>
            <w:tab w:val="num" w:pos="1134"/>
          </w:tabs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1985"/>
          </w:tabs>
          <w:ind w:left="1134" w:firstLine="0"/>
        </w:pPr>
        <w:rPr>
          <w:rFonts w:hint="default"/>
          <w:b w:val="0"/>
          <w:i w:val="0"/>
          <w:sz w:val="22"/>
        </w:rPr>
      </w:lvl>
    </w:lvlOverride>
    <w:lvlOverride w:ilvl="2">
      <w:lvl w:ilvl="2">
        <w:start w:val="1"/>
        <w:numFmt w:val="decimal"/>
        <w:lvlRestart w:val="1"/>
        <w:suff w:val="nothing"/>
        <w:lvlText w:val="Diagram %1.%3"/>
        <w:lvlJc w:val="left"/>
        <w:pPr>
          <w:ind w:left="1134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Restart w:val="1"/>
        <w:suff w:val="nothing"/>
        <w:lvlText w:val="Example %1.%4"/>
        <w:lvlJc w:val="left"/>
        <w:pPr>
          <w:ind w:left="1134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Restart w:val="1"/>
        <w:suff w:val="nothing"/>
        <w:lvlText w:val="Table %1.%5"/>
        <w:lvlJc w:val="left"/>
        <w:pPr>
          <w:ind w:left="1134" w:firstLine="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3">
    <w:abstractNumId w:val="13"/>
    <w:lvlOverride w:ilvl="1">
      <w:lvl w:ilvl="1">
        <w:start w:val="1"/>
        <w:numFmt w:val="decimal"/>
        <w:pStyle w:val="base-text-paragraph"/>
        <w:lvlText w:val="%1.%2"/>
        <w:lvlJc w:val="left"/>
        <w:pPr>
          <w:tabs>
            <w:tab w:val="num" w:pos="1985"/>
          </w:tabs>
          <w:ind w:left="1134" w:firstLine="0"/>
        </w:pPr>
        <w:rPr>
          <w:rFonts w:hint="default"/>
        </w:rPr>
      </w:lvl>
    </w:lvlOverride>
  </w:num>
  <w:num w:numId="24">
    <w:abstractNumId w:val="14"/>
  </w:num>
  <w:num w:numId="25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61B"/>
    <w:rsid w:val="000004BE"/>
    <w:rsid w:val="00003ACD"/>
    <w:rsid w:val="00007CDE"/>
    <w:rsid w:val="000167A9"/>
    <w:rsid w:val="00051C46"/>
    <w:rsid w:val="000622B2"/>
    <w:rsid w:val="000629C9"/>
    <w:rsid w:val="0006655C"/>
    <w:rsid w:val="00070ABA"/>
    <w:rsid w:val="0007438D"/>
    <w:rsid w:val="00075FD6"/>
    <w:rsid w:val="00077D52"/>
    <w:rsid w:val="00085E3E"/>
    <w:rsid w:val="00091054"/>
    <w:rsid w:val="00095C3F"/>
    <w:rsid w:val="000B20BE"/>
    <w:rsid w:val="000C58E0"/>
    <w:rsid w:val="000D4203"/>
    <w:rsid w:val="000D5DFD"/>
    <w:rsid w:val="000F3BC6"/>
    <w:rsid w:val="000F4833"/>
    <w:rsid w:val="0010021B"/>
    <w:rsid w:val="00114432"/>
    <w:rsid w:val="00140923"/>
    <w:rsid w:val="0014489B"/>
    <w:rsid w:val="00147046"/>
    <w:rsid w:val="00155056"/>
    <w:rsid w:val="00156CC5"/>
    <w:rsid w:val="001614D3"/>
    <w:rsid w:val="00165DF7"/>
    <w:rsid w:val="001759E9"/>
    <w:rsid w:val="00182B14"/>
    <w:rsid w:val="001A420D"/>
    <w:rsid w:val="001D5C53"/>
    <w:rsid w:val="001E1C4F"/>
    <w:rsid w:val="001E1D66"/>
    <w:rsid w:val="001E4B45"/>
    <w:rsid w:val="001E664D"/>
    <w:rsid w:val="002015AB"/>
    <w:rsid w:val="00211545"/>
    <w:rsid w:val="002249D2"/>
    <w:rsid w:val="002271BB"/>
    <w:rsid w:val="002330AC"/>
    <w:rsid w:val="00254658"/>
    <w:rsid w:val="00257A2D"/>
    <w:rsid w:val="00257C52"/>
    <w:rsid w:val="00265AD5"/>
    <w:rsid w:val="002665CC"/>
    <w:rsid w:val="00267B53"/>
    <w:rsid w:val="002768B3"/>
    <w:rsid w:val="00280D28"/>
    <w:rsid w:val="0028555B"/>
    <w:rsid w:val="00291937"/>
    <w:rsid w:val="0029678C"/>
    <w:rsid w:val="00297C46"/>
    <w:rsid w:val="002A52D6"/>
    <w:rsid w:val="002A55C5"/>
    <w:rsid w:val="002A5BC8"/>
    <w:rsid w:val="002A5DEF"/>
    <w:rsid w:val="002B53E2"/>
    <w:rsid w:val="002C3075"/>
    <w:rsid w:val="002C3379"/>
    <w:rsid w:val="002D195B"/>
    <w:rsid w:val="002D316D"/>
    <w:rsid w:val="002E4401"/>
    <w:rsid w:val="002E5F5C"/>
    <w:rsid w:val="002E7527"/>
    <w:rsid w:val="002E7BDD"/>
    <w:rsid w:val="002F3DFC"/>
    <w:rsid w:val="002F73DF"/>
    <w:rsid w:val="00301A52"/>
    <w:rsid w:val="00323DEA"/>
    <w:rsid w:val="003326C6"/>
    <w:rsid w:val="00334335"/>
    <w:rsid w:val="003406DF"/>
    <w:rsid w:val="00340B64"/>
    <w:rsid w:val="00350C6A"/>
    <w:rsid w:val="00361CCD"/>
    <w:rsid w:val="003641BA"/>
    <w:rsid w:val="003809EA"/>
    <w:rsid w:val="00382B98"/>
    <w:rsid w:val="003831EC"/>
    <w:rsid w:val="00390529"/>
    <w:rsid w:val="003A1A88"/>
    <w:rsid w:val="003A4283"/>
    <w:rsid w:val="003B0501"/>
    <w:rsid w:val="003C36A2"/>
    <w:rsid w:val="003C720F"/>
    <w:rsid w:val="003D07E1"/>
    <w:rsid w:val="003D27B3"/>
    <w:rsid w:val="003D296C"/>
    <w:rsid w:val="003D3DC9"/>
    <w:rsid w:val="003E0E7B"/>
    <w:rsid w:val="003E3374"/>
    <w:rsid w:val="003E6B90"/>
    <w:rsid w:val="003E6F47"/>
    <w:rsid w:val="00406016"/>
    <w:rsid w:val="004143EA"/>
    <w:rsid w:val="0041524B"/>
    <w:rsid w:val="00416E7C"/>
    <w:rsid w:val="00426CC1"/>
    <w:rsid w:val="00430163"/>
    <w:rsid w:val="004354B9"/>
    <w:rsid w:val="004370F4"/>
    <w:rsid w:val="00437427"/>
    <w:rsid w:val="004555B9"/>
    <w:rsid w:val="00460338"/>
    <w:rsid w:val="00460A29"/>
    <w:rsid w:val="00460C65"/>
    <w:rsid w:val="004644F0"/>
    <w:rsid w:val="00471E71"/>
    <w:rsid w:val="00483C55"/>
    <w:rsid w:val="00494DE6"/>
    <w:rsid w:val="00495C10"/>
    <w:rsid w:val="004B07A5"/>
    <w:rsid w:val="004B720D"/>
    <w:rsid w:val="004C167F"/>
    <w:rsid w:val="004C5BA9"/>
    <w:rsid w:val="004C5C5E"/>
    <w:rsid w:val="004E2D5D"/>
    <w:rsid w:val="004F4EE7"/>
    <w:rsid w:val="00500704"/>
    <w:rsid w:val="0051251F"/>
    <w:rsid w:val="0052523B"/>
    <w:rsid w:val="00526B9E"/>
    <w:rsid w:val="00536647"/>
    <w:rsid w:val="005366D9"/>
    <w:rsid w:val="00555B0A"/>
    <w:rsid w:val="00562EFB"/>
    <w:rsid w:val="0057074A"/>
    <w:rsid w:val="00582366"/>
    <w:rsid w:val="005904CD"/>
    <w:rsid w:val="00593A68"/>
    <w:rsid w:val="005B4C6D"/>
    <w:rsid w:val="005C7CED"/>
    <w:rsid w:val="005D050C"/>
    <w:rsid w:val="005D109B"/>
    <w:rsid w:val="005D6F91"/>
    <w:rsid w:val="005E24C3"/>
    <w:rsid w:val="005F100C"/>
    <w:rsid w:val="005F2711"/>
    <w:rsid w:val="005F3390"/>
    <w:rsid w:val="005F5653"/>
    <w:rsid w:val="005F66EC"/>
    <w:rsid w:val="005F6EA2"/>
    <w:rsid w:val="00614BAC"/>
    <w:rsid w:val="00625CD0"/>
    <w:rsid w:val="006457CC"/>
    <w:rsid w:val="00650A60"/>
    <w:rsid w:val="0065598C"/>
    <w:rsid w:val="00672387"/>
    <w:rsid w:val="00676B7F"/>
    <w:rsid w:val="00684960"/>
    <w:rsid w:val="00691C31"/>
    <w:rsid w:val="00692364"/>
    <w:rsid w:val="00695DB5"/>
    <w:rsid w:val="006968D5"/>
    <w:rsid w:val="006A30A5"/>
    <w:rsid w:val="006B13E2"/>
    <w:rsid w:val="006C1071"/>
    <w:rsid w:val="006D03F1"/>
    <w:rsid w:val="006D4F8C"/>
    <w:rsid w:val="006D6023"/>
    <w:rsid w:val="006E4318"/>
    <w:rsid w:val="006E7AB9"/>
    <w:rsid w:val="006F3E0E"/>
    <w:rsid w:val="006F5344"/>
    <w:rsid w:val="006F7943"/>
    <w:rsid w:val="00713C16"/>
    <w:rsid w:val="007243DB"/>
    <w:rsid w:val="007253B1"/>
    <w:rsid w:val="00735516"/>
    <w:rsid w:val="00743131"/>
    <w:rsid w:val="00767F36"/>
    <w:rsid w:val="007832D7"/>
    <w:rsid w:val="0079634D"/>
    <w:rsid w:val="007A2ACB"/>
    <w:rsid w:val="007B0C23"/>
    <w:rsid w:val="007B10A6"/>
    <w:rsid w:val="007B62DA"/>
    <w:rsid w:val="007D5E16"/>
    <w:rsid w:val="007F51B0"/>
    <w:rsid w:val="00803B2A"/>
    <w:rsid w:val="00810689"/>
    <w:rsid w:val="00812433"/>
    <w:rsid w:val="0082097D"/>
    <w:rsid w:val="008305C6"/>
    <w:rsid w:val="0084161B"/>
    <w:rsid w:val="008423F9"/>
    <w:rsid w:val="008564F8"/>
    <w:rsid w:val="00857FF9"/>
    <w:rsid w:val="008627B1"/>
    <w:rsid w:val="00867D13"/>
    <w:rsid w:val="00880ADB"/>
    <w:rsid w:val="008847CC"/>
    <w:rsid w:val="00887DF4"/>
    <w:rsid w:val="008A1722"/>
    <w:rsid w:val="008A6A69"/>
    <w:rsid w:val="008A7EDB"/>
    <w:rsid w:val="008B1D79"/>
    <w:rsid w:val="008B282E"/>
    <w:rsid w:val="008C1101"/>
    <w:rsid w:val="008C5744"/>
    <w:rsid w:val="008C59E5"/>
    <w:rsid w:val="008D08BE"/>
    <w:rsid w:val="008E37AA"/>
    <w:rsid w:val="008F1ACC"/>
    <w:rsid w:val="008F373B"/>
    <w:rsid w:val="009002B3"/>
    <w:rsid w:val="0090339D"/>
    <w:rsid w:val="00904F52"/>
    <w:rsid w:val="00906AAB"/>
    <w:rsid w:val="00910ACC"/>
    <w:rsid w:val="0092354D"/>
    <w:rsid w:val="00923AEF"/>
    <w:rsid w:val="00936238"/>
    <w:rsid w:val="0095562B"/>
    <w:rsid w:val="00955F84"/>
    <w:rsid w:val="0095636E"/>
    <w:rsid w:val="0097280B"/>
    <w:rsid w:val="009862D1"/>
    <w:rsid w:val="00986C3E"/>
    <w:rsid w:val="00993F88"/>
    <w:rsid w:val="009A1CEA"/>
    <w:rsid w:val="009B31B0"/>
    <w:rsid w:val="009C1116"/>
    <w:rsid w:val="009C57C2"/>
    <w:rsid w:val="009C7E17"/>
    <w:rsid w:val="009D0790"/>
    <w:rsid w:val="009D182C"/>
    <w:rsid w:val="009E0EB3"/>
    <w:rsid w:val="009E702D"/>
    <w:rsid w:val="009F0C8C"/>
    <w:rsid w:val="00A06DAC"/>
    <w:rsid w:val="00A14CD9"/>
    <w:rsid w:val="00A1658C"/>
    <w:rsid w:val="00A2599E"/>
    <w:rsid w:val="00A31BAA"/>
    <w:rsid w:val="00A3513E"/>
    <w:rsid w:val="00A42F49"/>
    <w:rsid w:val="00A44201"/>
    <w:rsid w:val="00A50C83"/>
    <w:rsid w:val="00A537E0"/>
    <w:rsid w:val="00A75F04"/>
    <w:rsid w:val="00A9572D"/>
    <w:rsid w:val="00A975E7"/>
    <w:rsid w:val="00AA1224"/>
    <w:rsid w:val="00AA4528"/>
    <w:rsid w:val="00AA66C7"/>
    <w:rsid w:val="00AB4619"/>
    <w:rsid w:val="00AB525B"/>
    <w:rsid w:val="00AB5698"/>
    <w:rsid w:val="00AC0432"/>
    <w:rsid w:val="00AC1D67"/>
    <w:rsid w:val="00AC4BCB"/>
    <w:rsid w:val="00AD27DF"/>
    <w:rsid w:val="00AD3F1A"/>
    <w:rsid w:val="00B00550"/>
    <w:rsid w:val="00B24C1F"/>
    <w:rsid w:val="00B277E5"/>
    <w:rsid w:val="00B508D6"/>
    <w:rsid w:val="00B52FE8"/>
    <w:rsid w:val="00B537BC"/>
    <w:rsid w:val="00B540F6"/>
    <w:rsid w:val="00B55137"/>
    <w:rsid w:val="00B614A2"/>
    <w:rsid w:val="00B63926"/>
    <w:rsid w:val="00B77372"/>
    <w:rsid w:val="00B804EF"/>
    <w:rsid w:val="00B81DDA"/>
    <w:rsid w:val="00B85EBD"/>
    <w:rsid w:val="00BA160F"/>
    <w:rsid w:val="00BA4E8B"/>
    <w:rsid w:val="00BA6425"/>
    <w:rsid w:val="00BA6BF3"/>
    <w:rsid w:val="00BA7C91"/>
    <w:rsid w:val="00BB14FC"/>
    <w:rsid w:val="00BB3278"/>
    <w:rsid w:val="00BB4A9A"/>
    <w:rsid w:val="00BB5C0C"/>
    <w:rsid w:val="00BC4ADF"/>
    <w:rsid w:val="00BC5A10"/>
    <w:rsid w:val="00BC6527"/>
    <w:rsid w:val="00BD0EFD"/>
    <w:rsid w:val="00BD2785"/>
    <w:rsid w:val="00BD491D"/>
    <w:rsid w:val="00BD4E49"/>
    <w:rsid w:val="00BE067F"/>
    <w:rsid w:val="00BE56AA"/>
    <w:rsid w:val="00BE59DB"/>
    <w:rsid w:val="00BF70D7"/>
    <w:rsid w:val="00C03F11"/>
    <w:rsid w:val="00C075D7"/>
    <w:rsid w:val="00C07F94"/>
    <w:rsid w:val="00C25583"/>
    <w:rsid w:val="00C26351"/>
    <w:rsid w:val="00C53DA6"/>
    <w:rsid w:val="00C5414D"/>
    <w:rsid w:val="00C60321"/>
    <w:rsid w:val="00C63763"/>
    <w:rsid w:val="00C67FC4"/>
    <w:rsid w:val="00C7244A"/>
    <w:rsid w:val="00C811CF"/>
    <w:rsid w:val="00C848EA"/>
    <w:rsid w:val="00C86465"/>
    <w:rsid w:val="00C8767F"/>
    <w:rsid w:val="00C911C1"/>
    <w:rsid w:val="00C94FC7"/>
    <w:rsid w:val="00C95FDF"/>
    <w:rsid w:val="00CA1066"/>
    <w:rsid w:val="00CB1E5D"/>
    <w:rsid w:val="00CB2127"/>
    <w:rsid w:val="00CB224A"/>
    <w:rsid w:val="00CB36FB"/>
    <w:rsid w:val="00CB6AA7"/>
    <w:rsid w:val="00CC086B"/>
    <w:rsid w:val="00CC1A8A"/>
    <w:rsid w:val="00CC67EF"/>
    <w:rsid w:val="00CC755F"/>
    <w:rsid w:val="00CF0660"/>
    <w:rsid w:val="00CF2EE0"/>
    <w:rsid w:val="00CF4815"/>
    <w:rsid w:val="00D0277F"/>
    <w:rsid w:val="00D11517"/>
    <w:rsid w:val="00D16390"/>
    <w:rsid w:val="00D27E48"/>
    <w:rsid w:val="00D30E58"/>
    <w:rsid w:val="00D33DA3"/>
    <w:rsid w:val="00D36CF5"/>
    <w:rsid w:val="00D4005D"/>
    <w:rsid w:val="00D46334"/>
    <w:rsid w:val="00D56E27"/>
    <w:rsid w:val="00D6257B"/>
    <w:rsid w:val="00D70526"/>
    <w:rsid w:val="00D760D5"/>
    <w:rsid w:val="00D83627"/>
    <w:rsid w:val="00D85256"/>
    <w:rsid w:val="00DB0571"/>
    <w:rsid w:val="00DB1F70"/>
    <w:rsid w:val="00DC6201"/>
    <w:rsid w:val="00DD13F4"/>
    <w:rsid w:val="00DE2B14"/>
    <w:rsid w:val="00DF4F94"/>
    <w:rsid w:val="00E118EC"/>
    <w:rsid w:val="00E13B71"/>
    <w:rsid w:val="00E15305"/>
    <w:rsid w:val="00E177C9"/>
    <w:rsid w:val="00E2425F"/>
    <w:rsid w:val="00E325E3"/>
    <w:rsid w:val="00E41470"/>
    <w:rsid w:val="00E42C3A"/>
    <w:rsid w:val="00E43B50"/>
    <w:rsid w:val="00E44260"/>
    <w:rsid w:val="00E50E4C"/>
    <w:rsid w:val="00E54BA2"/>
    <w:rsid w:val="00E54DB4"/>
    <w:rsid w:val="00E72F62"/>
    <w:rsid w:val="00E831BE"/>
    <w:rsid w:val="00E92E7B"/>
    <w:rsid w:val="00E96C21"/>
    <w:rsid w:val="00E97758"/>
    <w:rsid w:val="00E97C55"/>
    <w:rsid w:val="00EA1ABA"/>
    <w:rsid w:val="00EA666C"/>
    <w:rsid w:val="00EB169C"/>
    <w:rsid w:val="00EB479A"/>
    <w:rsid w:val="00EE6F94"/>
    <w:rsid w:val="00EF3E90"/>
    <w:rsid w:val="00EF53A8"/>
    <w:rsid w:val="00EF5D56"/>
    <w:rsid w:val="00F026D5"/>
    <w:rsid w:val="00F036EF"/>
    <w:rsid w:val="00F03E28"/>
    <w:rsid w:val="00F04456"/>
    <w:rsid w:val="00F10822"/>
    <w:rsid w:val="00F17934"/>
    <w:rsid w:val="00F22C10"/>
    <w:rsid w:val="00F250D8"/>
    <w:rsid w:val="00F264DD"/>
    <w:rsid w:val="00F33A6A"/>
    <w:rsid w:val="00F40520"/>
    <w:rsid w:val="00F41E30"/>
    <w:rsid w:val="00F46AC7"/>
    <w:rsid w:val="00F65FFE"/>
    <w:rsid w:val="00F67CBC"/>
    <w:rsid w:val="00F703DE"/>
    <w:rsid w:val="00F72AB1"/>
    <w:rsid w:val="00F74714"/>
    <w:rsid w:val="00F7535F"/>
    <w:rsid w:val="00F805AB"/>
    <w:rsid w:val="00F81046"/>
    <w:rsid w:val="00F83625"/>
    <w:rsid w:val="00F8675B"/>
    <w:rsid w:val="00F87048"/>
    <w:rsid w:val="00F90417"/>
    <w:rsid w:val="00F913A3"/>
    <w:rsid w:val="00F95040"/>
    <w:rsid w:val="00FA0D2B"/>
    <w:rsid w:val="00FA5F84"/>
    <w:rsid w:val="00FB3FED"/>
    <w:rsid w:val="00FB59AE"/>
    <w:rsid w:val="00FD2D18"/>
    <w:rsid w:val="00FF4260"/>
    <w:rsid w:val="00FF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51C4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513E"/>
    <w:pPr>
      <w:spacing w:after="240" w:line="260" w:lineRule="exact"/>
    </w:pPr>
    <w:rPr>
      <w:rFonts w:eastAsia="Times New Roman" w:cs="Times New Roman"/>
      <w:szCs w:val="20"/>
      <w:lang w:eastAsia="en-AU"/>
    </w:rPr>
  </w:style>
  <w:style w:type="paragraph" w:styleId="Heading1">
    <w:name w:val="heading 1"/>
    <w:aliases w:val="No numbers,h1,L1,H1"/>
    <w:basedOn w:val="HeadingBase"/>
    <w:next w:val="Normal"/>
    <w:link w:val="Heading1Char"/>
    <w:qFormat/>
    <w:rsid w:val="006457CC"/>
    <w:pPr>
      <w:spacing w:before="720" w:after="360"/>
      <w:outlineLvl w:val="0"/>
    </w:pPr>
    <w:rPr>
      <w:rFonts w:cs="Arial"/>
      <w:bCs/>
      <w:kern w:val="32"/>
      <w:sz w:val="36"/>
      <w:szCs w:val="36"/>
    </w:rPr>
  </w:style>
  <w:style w:type="paragraph" w:styleId="Heading2">
    <w:name w:val="heading 2"/>
    <w:aliases w:val="Heading 2 DSDN,h2,Attribute Heading 2,body,H2,Section,h2.H2,h2 main heading,2m,h 2,B Sub/Bold,B Sub/Bold1,B Sub/Bold2,B Sub/Bold11,h2 main heading1,h2 main heading2,B Sub/Bold3,B Sub/Bold12,h2 main heading3,B Sub/Bold4,B Sub/Bold13,Para2,Top 2"/>
    <w:basedOn w:val="HeadingBase"/>
    <w:next w:val="Normal"/>
    <w:link w:val="Heading2Char"/>
    <w:qFormat/>
    <w:rsid w:val="006457CC"/>
    <w:pPr>
      <w:spacing w:before="360" w:after="240"/>
      <w:outlineLvl w:val="1"/>
    </w:pPr>
    <w:rPr>
      <w:rFonts w:ascii="Calibri" w:hAnsi="Calibri" w:cs="Arial"/>
      <w:bCs/>
      <w:iCs/>
      <w:color w:val="000000"/>
      <w:sz w:val="28"/>
      <w:szCs w:val="28"/>
    </w:rPr>
  </w:style>
  <w:style w:type="paragraph" w:styleId="Heading3">
    <w:name w:val="heading 3"/>
    <w:aliases w:val="H3,H31,h3,H32,H33,H311,Subhead B,Heading C,h3 sub heading,sub Italic,proj3,proj31,proj32,proj33,proj34,proj35,proj36,proj37,proj38,proj39,proj310,proj311,proj312,proj321,proj331,proj341,proj351,proj361,proj371,proj381,proj391,proj3101,Head 3,3"/>
    <w:basedOn w:val="OutlineNumbered1"/>
    <w:next w:val="Normal"/>
    <w:link w:val="Heading3Char"/>
    <w:qFormat/>
    <w:rsid w:val="00F83625"/>
    <w:pPr>
      <w:numPr>
        <w:numId w:val="0"/>
      </w:numPr>
      <w:outlineLvl w:val="2"/>
    </w:pPr>
    <w:rPr>
      <w:rFonts w:ascii="Calibri" w:hAnsi="Calibri" w:cstheme="minorHAnsi"/>
      <w:i/>
      <w:sz w:val="28"/>
      <w:szCs w:val="28"/>
    </w:rPr>
  </w:style>
  <w:style w:type="paragraph" w:styleId="Heading4">
    <w:name w:val="heading 4"/>
    <w:aliases w:val="h4,h4 sub sub heading,H4"/>
    <w:basedOn w:val="HeadingBase"/>
    <w:next w:val="Normal"/>
    <w:link w:val="Heading4Char"/>
    <w:qFormat/>
    <w:rsid w:val="006457CC"/>
    <w:pPr>
      <w:spacing w:before="120" w:after="120"/>
      <w:outlineLvl w:val="3"/>
    </w:pPr>
    <w:rPr>
      <w:rFonts w:ascii="Calibri" w:hAnsi="Calibri"/>
      <w:b/>
      <w:bCs/>
      <w:i/>
      <w:color w:val="000000"/>
      <w:sz w:val="22"/>
      <w:szCs w:val="22"/>
    </w:rPr>
  </w:style>
  <w:style w:type="paragraph" w:styleId="Heading5">
    <w:name w:val="heading 5"/>
    <w:aliases w:val="Para5"/>
    <w:basedOn w:val="HeadingBase"/>
    <w:next w:val="Normal"/>
    <w:link w:val="Heading5Char"/>
    <w:qFormat/>
    <w:rsid w:val="00A537E0"/>
    <w:pPr>
      <w:spacing w:after="120"/>
      <w:outlineLvl w:val="4"/>
    </w:pPr>
    <w:rPr>
      <w:b/>
      <w:bCs/>
      <w:iCs/>
    </w:rPr>
  </w:style>
  <w:style w:type="paragraph" w:styleId="Heading6">
    <w:name w:val="heading 6"/>
    <w:aliases w:val="sub-dash,sd,5,Spare2,Heading 6(unused),Heading 6(unused)1"/>
    <w:basedOn w:val="HeadingBase"/>
    <w:next w:val="Normal"/>
    <w:link w:val="Heading6Char"/>
    <w:qFormat/>
    <w:rsid w:val="00A537E0"/>
    <w:pPr>
      <w:spacing w:after="120"/>
      <w:outlineLvl w:val="5"/>
    </w:pPr>
    <w:rPr>
      <w:rFonts w:ascii="Calibri" w:hAnsi="Calibri"/>
      <w:bCs/>
      <w:color w:val="000000"/>
      <w:szCs w:val="22"/>
    </w:rPr>
  </w:style>
  <w:style w:type="paragraph" w:styleId="Heading7">
    <w:name w:val="heading 7"/>
    <w:aliases w:val="Spare3,Heading 7(unused),Heading 7(unused)1"/>
    <w:basedOn w:val="HeadingBase"/>
    <w:next w:val="Normal"/>
    <w:link w:val="Heading7Char"/>
    <w:qFormat/>
    <w:rsid w:val="00A537E0"/>
    <w:pPr>
      <w:spacing w:after="120"/>
      <w:outlineLvl w:val="6"/>
    </w:pPr>
    <w:rPr>
      <w:szCs w:val="24"/>
    </w:rPr>
  </w:style>
  <w:style w:type="paragraph" w:styleId="Heading8">
    <w:name w:val="heading 8"/>
    <w:aliases w:val="Spare4,Heading 8(unused),Heading 8(unused)1"/>
    <w:basedOn w:val="HeadingBase"/>
    <w:next w:val="Normal"/>
    <w:link w:val="Heading8Char"/>
    <w:qFormat/>
    <w:rsid w:val="00A537E0"/>
    <w:pPr>
      <w:spacing w:after="120"/>
      <w:outlineLvl w:val="7"/>
    </w:pPr>
    <w:rPr>
      <w:iCs/>
      <w:szCs w:val="24"/>
    </w:rPr>
  </w:style>
  <w:style w:type="paragraph" w:styleId="Heading9">
    <w:name w:val="heading 9"/>
    <w:aliases w:val="Spare5,Heading 9(unused),Heading 9(unused)1"/>
    <w:basedOn w:val="HeadingBase"/>
    <w:next w:val="Normal"/>
    <w:link w:val="Heading9Char"/>
    <w:qFormat/>
    <w:rsid w:val="00A537E0"/>
    <w:pPr>
      <w:spacing w:after="12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Base">
    <w:name w:val="Heading Base"/>
    <w:next w:val="Normal"/>
    <w:rsid w:val="00426CC1"/>
    <w:pPr>
      <w:keepNext/>
      <w:spacing w:after="0" w:line="240" w:lineRule="auto"/>
    </w:pPr>
    <w:rPr>
      <w:rFonts w:asciiTheme="majorHAnsi" w:eastAsia="Times New Roman" w:hAnsiTheme="majorHAnsi" w:cs="Times New Roman"/>
      <w:color w:val="002B54" w:themeColor="accent1"/>
      <w:sz w:val="20"/>
      <w:szCs w:val="20"/>
      <w:lang w:eastAsia="en-AU"/>
    </w:rPr>
  </w:style>
  <w:style w:type="character" w:customStyle="1" w:styleId="Heading1Char">
    <w:name w:val="Heading 1 Char"/>
    <w:aliases w:val="No numbers Char,h1 Char,L1 Char,H1 Char"/>
    <w:basedOn w:val="DefaultParagraphFont"/>
    <w:link w:val="Heading1"/>
    <w:rsid w:val="006457CC"/>
    <w:rPr>
      <w:rFonts w:ascii="Calibri" w:eastAsia="Times New Roman" w:hAnsi="Calibri" w:cs="Arial"/>
      <w:bCs/>
      <w:color w:val="000000"/>
      <w:kern w:val="32"/>
      <w:sz w:val="36"/>
      <w:szCs w:val="36"/>
      <w:lang w:eastAsia="en-AU"/>
    </w:rPr>
  </w:style>
  <w:style w:type="character" w:customStyle="1" w:styleId="Heading2Char">
    <w:name w:val="Heading 2 Char"/>
    <w:aliases w:val="Heading 2 DSDN Char,h2 Char,Attribute Heading 2 Char,body Char,H2 Char,Section Char,h2.H2 Char,h2 main heading Char,2m Char,h 2 Char,B Sub/Bold Char,B Sub/Bold1 Char,B Sub/Bold2 Char,B Sub/Bold11 Char,h2 main heading1 Char,Para2 Char"/>
    <w:basedOn w:val="DefaultParagraphFont"/>
    <w:link w:val="Heading2"/>
    <w:rsid w:val="006457CC"/>
    <w:rPr>
      <w:rFonts w:ascii="Calibri" w:eastAsia="Times New Roman" w:hAnsi="Calibri" w:cs="Arial"/>
      <w:bCs/>
      <w:iCs/>
      <w:color w:val="000000"/>
      <w:sz w:val="28"/>
      <w:szCs w:val="28"/>
      <w:lang w:eastAsia="en-AU"/>
    </w:rPr>
  </w:style>
  <w:style w:type="character" w:customStyle="1" w:styleId="Heading3Char">
    <w:name w:val="Heading 3 Char"/>
    <w:aliases w:val="H3 Char,H31 Char,h3 Char,H32 Char,H33 Char,H311 Char,Subhead B Char,Heading C Char,h3 sub heading Char,sub Italic Char,proj3 Char,proj31 Char,proj32 Char,proj33 Char,proj34 Char,proj35 Char,proj36 Char,proj37 Char,proj38 Char,proj39 Char"/>
    <w:basedOn w:val="DefaultParagraphFont"/>
    <w:link w:val="Heading3"/>
    <w:rsid w:val="00F83625"/>
    <w:rPr>
      <w:rFonts w:ascii="Calibri" w:eastAsia="Times New Roman" w:hAnsi="Calibri" w:cstheme="minorHAnsi"/>
      <w:i/>
      <w:sz w:val="28"/>
      <w:szCs w:val="28"/>
      <w:lang w:eastAsia="en-AU"/>
    </w:rPr>
  </w:style>
  <w:style w:type="character" w:customStyle="1" w:styleId="Heading4Char">
    <w:name w:val="Heading 4 Char"/>
    <w:aliases w:val="h4 Char,h4 sub sub heading Char,H4 Char"/>
    <w:basedOn w:val="DefaultParagraphFont"/>
    <w:link w:val="Heading4"/>
    <w:rsid w:val="006457CC"/>
    <w:rPr>
      <w:rFonts w:ascii="Calibri" w:eastAsia="Times New Roman" w:hAnsi="Calibri" w:cs="Times New Roman"/>
      <w:b/>
      <w:bCs/>
      <w:i/>
      <w:color w:val="000000"/>
      <w:lang w:eastAsia="en-AU"/>
    </w:rPr>
  </w:style>
  <w:style w:type="character" w:customStyle="1" w:styleId="Heading5Char">
    <w:name w:val="Heading 5 Char"/>
    <w:aliases w:val="Para5 Char"/>
    <w:basedOn w:val="DefaultParagraphFont"/>
    <w:link w:val="Heading5"/>
    <w:rsid w:val="00BB3278"/>
    <w:rPr>
      <w:rFonts w:ascii="Calibri" w:eastAsia="Times New Roman" w:hAnsi="Calibri" w:cs="Times New Roman"/>
      <w:b/>
      <w:bCs/>
      <w:iCs/>
      <w:color w:val="000000"/>
      <w:sz w:val="20"/>
      <w:szCs w:val="20"/>
      <w:lang w:eastAsia="en-AU"/>
    </w:rPr>
  </w:style>
  <w:style w:type="character" w:customStyle="1" w:styleId="Heading6Char">
    <w:name w:val="Heading 6 Char"/>
    <w:aliases w:val="sub-dash Char,sd Char,5 Char,Spare2 Char,Heading 6(unused) Char,Heading 6(unused)1 Char"/>
    <w:basedOn w:val="DefaultParagraphFont"/>
    <w:link w:val="Heading6"/>
    <w:rsid w:val="00A537E0"/>
    <w:rPr>
      <w:rFonts w:ascii="Calibri" w:eastAsia="Times New Roman" w:hAnsi="Calibri" w:cs="Times New Roman"/>
      <w:bCs/>
      <w:color w:val="000000"/>
      <w:sz w:val="20"/>
      <w:lang w:eastAsia="en-AU"/>
    </w:rPr>
  </w:style>
  <w:style w:type="character" w:customStyle="1" w:styleId="Heading7Char">
    <w:name w:val="Heading 7 Char"/>
    <w:aliases w:val="Spare3 Char,Heading 7(unused) Char,Heading 7(unused)1 Char"/>
    <w:basedOn w:val="DefaultParagraphFont"/>
    <w:link w:val="Heading7"/>
    <w:rsid w:val="00BB3278"/>
    <w:rPr>
      <w:rFonts w:ascii="Calibri" w:eastAsia="Times New Roman" w:hAnsi="Calibri" w:cs="Times New Roman"/>
      <w:color w:val="000000"/>
      <w:sz w:val="20"/>
      <w:szCs w:val="24"/>
      <w:lang w:eastAsia="en-AU"/>
    </w:rPr>
  </w:style>
  <w:style w:type="character" w:customStyle="1" w:styleId="Heading8Char">
    <w:name w:val="Heading 8 Char"/>
    <w:aliases w:val="Spare4 Char,Heading 8(unused) Char,Heading 8(unused)1 Char"/>
    <w:basedOn w:val="DefaultParagraphFont"/>
    <w:link w:val="Heading8"/>
    <w:rsid w:val="00BB3278"/>
    <w:rPr>
      <w:rFonts w:ascii="Calibri" w:eastAsia="Times New Roman" w:hAnsi="Calibri" w:cs="Times New Roman"/>
      <w:iCs/>
      <w:color w:val="000000"/>
      <w:sz w:val="20"/>
      <w:szCs w:val="24"/>
      <w:lang w:eastAsia="en-AU"/>
    </w:rPr>
  </w:style>
  <w:style w:type="character" w:customStyle="1" w:styleId="Heading9Char">
    <w:name w:val="Heading 9 Char"/>
    <w:aliases w:val="Spare5 Char,Heading 9(unused) Char,Heading 9(unused)1 Char"/>
    <w:basedOn w:val="DefaultParagraphFont"/>
    <w:link w:val="Heading9"/>
    <w:rsid w:val="00BB3278"/>
    <w:rPr>
      <w:rFonts w:ascii="Calibri" w:eastAsia="Times New Roman" w:hAnsi="Calibri" w:cs="Arial"/>
      <w:color w:val="000000"/>
      <w:sz w:val="20"/>
      <w:lang w:eastAsia="en-AU"/>
    </w:rPr>
  </w:style>
  <w:style w:type="paragraph" w:customStyle="1" w:styleId="ChartGraphic">
    <w:name w:val="Chart Graphic"/>
    <w:basedOn w:val="HeadingBase"/>
    <w:next w:val="Normal"/>
    <w:rsid w:val="00B55137"/>
    <w:pPr>
      <w:jc w:val="center"/>
    </w:pPr>
  </w:style>
  <w:style w:type="paragraph" w:customStyle="1" w:styleId="TableGraphic">
    <w:name w:val="Table Graphic"/>
    <w:basedOn w:val="HeadingBase"/>
    <w:next w:val="Normal"/>
    <w:rsid w:val="00B55137"/>
  </w:style>
  <w:style w:type="paragraph" w:customStyle="1" w:styleId="AlphaParagraph">
    <w:name w:val="Alpha Paragraph"/>
    <w:basedOn w:val="Normal"/>
    <w:qFormat/>
    <w:rsid w:val="009D0790"/>
    <w:pPr>
      <w:numPr>
        <w:numId w:val="3"/>
      </w:numPr>
    </w:pPr>
  </w:style>
  <w:style w:type="paragraph" w:customStyle="1" w:styleId="AppendixHeading">
    <w:name w:val="Appendix Heading"/>
    <w:basedOn w:val="HeadingBase"/>
    <w:next w:val="Normal"/>
    <w:rsid w:val="006457CC"/>
    <w:pPr>
      <w:spacing w:before="720" w:after="360"/>
      <w:outlineLvl w:val="0"/>
    </w:pPr>
    <w:rPr>
      <w:sz w:val="36"/>
      <w:szCs w:val="36"/>
    </w:rPr>
  </w:style>
  <w:style w:type="paragraph" w:styleId="BalloonText">
    <w:name w:val="Balloon Text"/>
    <w:basedOn w:val="Normal"/>
    <w:link w:val="BalloonTextChar"/>
    <w:semiHidden/>
    <w:rsid w:val="00B551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BB3278"/>
    <w:rPr>
      <w:rFonts w:ascii="Tahoma" w:eastAsia="Times New Roman" w:hAnsi="Tahoma" w:cs="Tahoma"/>
      <w:color w:val="000000"/>
      <w:sz w:val="16"/>
      <w:szCs w:val="16"/>
      <w:lang w:eastAsia="en-AU"/>
    </w:rPr>
  </w:style>
  <w:style w:type="character" w:customStyle="1" w:styleId="Bold">
    <w:name w:val="Bold"/>
    <w:basedOn w:val="DefaultParagraphFont"/>
    <w:rsid w:val="00B55137"/>
    <w:rPr>
      <w:b/>
    </w:rPr>
  </w:style>
  <w:style w:type="paragraph" w:customStyle="1" w:styleId="BoxTextBase">
    <w:name w:val="Box Text Base"/>
    <w:basedOn w:val="Normal"/>
    <w:rsid w:val="00B55137"/>
  </w:style>
  <w:style w:type="paragraph" w:customStyle="1" w:styleId="BoxBullet">
    <w:name w:val="Box Bullet"/>
    <w:basedOn w:val="BoxTextBase"/>
    <w:rsid w:val="005F5653"/>
    <w:pPr>
      <w:numPr>
        <w:numId w:val="2"/>
      </w:numPr>
    </w:pPr>
  </w:style>
  <w:style w:type="paragraph" w:customStyle="1" w:styleId="BoxDash">
    <w:name w:val="Box Dash"/>
    <w:basedOn w:val="Normal"/>
    <w:rsid w:val="005F5653"/>
    <w:pPr>
      <w:numPr>
        <w:ilvl w:val="1"/>
        <w:numId w:val="2"/>
      </w:numPr>
    </w:pPr>
  </w:style>
  <w:style w:type="paragraph" w:customStyle="1" w:styleId="BoxDoubleDot">
    <w:name w:val="Box Double Dot"/>
    <w:basedOn w:val="BoxTextBase"/>
    <w:rsid w:val="005F5653"/>
    <w:pPr>
      <w:numPr>
        <w:ilvl w:val="2"/>
        <w:numId w:val="2"/>
      </w:numPr>
    </w:pPr>
  </w:style>
  <w:style w:type="paragraph" w:customStyle="1" w:styleId="BoxHeading">
    <w:name w:val="Box Heading"/>
    <w:basedOn w:val="HeadingBase"/>
    <w:next w:val="Normal"/>
    <w:rsid w:val="00B55137"/>
    <w:pPr>
      <w:spacing w:before="240" w:after="120"/>
    </w:pPr>
    <w:rPr>
      <w:b/>
      <w:sz w:val="22"/>
    </w:rPr>
  </w:style>
  <w:style w:type="paragraph" w:customStyle="1" w:styleId="BoxText">
    <w:name w:val="Box Text"/>
    <w:basedOn w:val="BoxTextBase"/>
    <w:rsid w:val="00B55137"/>
  </w:style>
  <w:style w:type="paragraph" w:customStyle="1" w:styleId="Bullet">
    <w:name w:val="Bullet"/>
    <w:basedOn w:val="Normal"/>
    <w:link w:val="BulletChar"/>
    <w:rsid w:val="000F4833"/>
    <w:pPr>
      <w:numPr>
        <w:numId w:val="1"/>
      </w:numPr>
    </w:pPr>
  </w:style>
  <w:style w:type="paragraph" w:styleId="NormalIndent">
    <w:name w:val="Normal Indent"/>
    <w:basedOn w:val="Normal"/>
    <w:rsid w:val="00B55137"/>
    <w:pPr>
      <w:ind w:left="567"/>
    </w:pPr>
  </w:style>
  <w:style w:type="paragraph" w:customStyle="1" w:styleId="ChartandTableFootnoteAlpha">
    <w:name w:val="Chart and Table Footnote Alpha"/>
    <w:rsid w:val="009862D1"/>
    <w:pPr>
      <w:numPr>
        <w:numId w:val="12"/>
      </w:numPr>
      <w:spacing w:after="0" w:line="240" w:lineRule="auto"/>
      <w:jc w:val="both"/>
    </w:pPr>
    <w:rPr>
      <w:rFonts w:ascii="Arial" w:eastAsia="Times New Roman" w:hAnsi="Arial" w:cs="Times New Roman"/>
      <w:color w:val="000000"/>
      <w:sz w:val="16"/>
      <w:szCs w:val="16"/>
      <w:lang w:eastAsia="en-AU"/>
    </w:rPr>
  </w:style>
  <w:style w:type="paragraph" w:customStyle="1" w:styleId="ChartMainHeading">
    <w:name w:val="Chart Main Heading"/>
    <w:basedOn w:val="HeadingBase"/>
    <w:next w:val="ChartGraphic"/>
    <w:rsid w:val="00B55137"/>
    <w:pPr>
      <w:spacing w:after="20"/>
      <w:jc w:val="center"/>
    </w:pPr>
    <w:rPr>
      <w:b/>
      <w:sz w:val="24"/>
    </w:rPr>
  </w:style>
  <w:style w:type="paragraph" w:customStyle="1" w:styleId="ChartorTableNote">
    <w:name w:val="Chart or Table Note"/>
    <w:next w:val="Normal"/>
    <w:rsid w:val="00B55137"/>
    <w:pPr>
      <w:spacing w:after="0" w:line="240" w:lineRule="auto"/>
      <w:jc w:val="both"/>
    </w:pPr>
    <w:rPr>
      <w:rFonts w:ascii="Arial" w:eastAsia="Times New Roman" w:hAnsi="Arial" w:cs="Times New Roman"/>
      <w:color w:val="000000"/>
      <w:sz w:val="16"/>
      <w:szCs w:val="20"/>
      <w:lang w:eastAsia="en-AU"/>
    </w:rPr>
  </w:style>
  <w:style w:type="paragraph" w:customStyle="1" w:styleId="ChartSecondHeading">
    <w:name w:val="Chart Second Heading"/>
    <w:basedOn w:val="HeadingBase"/>
    <w:next w:val="ChartGraphic"/>
    <w:rsid w:val="00B55137"/>
    <w:pPr>
      <w:spacing w:after="20"/>
      <w:jc w:val="center"/>
    </w:pPr>
  </w:style>
  <w:style w:type="paragraph" w:customStyle="1" w:styleId="Classification">
    <w:name w:val="Classification"/>
    <w:basedOn w:val="HeadingBase"/>
    <w:next w:val="Footer"/>
    <w:rsid w:val="00B55137"/>
    <w:pPr>
      <w:spacing w:after="120"/>
      <w:jc w:val="center"/>
    </w:pPr>
    <w:rPr>
      <w:b/>
      <w:smallCaps/>
    </w:rPr>
  </w:style>
  <w:style w:type="paragraph" w:styleId="Footer">
    <w:name w:val="footer"/>
    <w:basedOn w:val="HeadingBase"/>
    <w:link w:val="FooterChar"/>
    <w:rsid w:val="00460338"/>
    <w:rPr>
      <w:rFonts w:asciiTheme="minorHAnsi" w:hAnsiTheme="minorHAnsi"/>
      <w:sz w:val="22"/>
    </w:rPr>
  </w:style>
  <w:style w:type="character" w:customStyle="1" w:styleId="FooterChar">
    <w:name w:val="Footer Char"/>
    <w:basedOn w:val="DefaultParagraphFont"/>
    <w:link w:val="Footer"/>
    <w:rsid w:val="00460338"/>
    <w:rPr>
      <w:rFonts w:eastAsia="Times New Roman" w:cs="Times New Roman"/>
      <w:color w:val="000000" w:themeColor="text1"/>
      <w:szCs w:val="20"/>
      <w:lang w:eastAsia="en-AU"/>
    </w:rPr>
  </w:style>
  <w:style w:type="paragraph" w:customStyle="1" w:styleId="ContentsHeading">
    <w:name w:val="Contents Heading"/>
    <w:basedOn w:val="HeadingBase"/>
    <w:next w:val="Normal"/>
    <w:rsid w:val="00B55137"/>
    <w:pPr>
      <w:spacing w:after="360"/>
    </w:pPr>
    <w:rPr>
      <w:sz w:val="36"/>
      <w:szCs w:val="36"/>
    </w:rPr>
  </w:style>
  <w:style w:type="paragraph" w:customStyle="1" w:styleId="CoverTitleSub">
    <w:name w:val="Cover Title Sub"/>
    <w:basedOn w:val="HeadingBase"/>
    <w:rsid w:val="00B55137"/>
    <w:pPr>
      <w:spacing w:after="360"/>
      <w:jc w:val="center"/>
    </w:pPr>
    <w:rPr>
      <w:sz w:val="36"/>
    </w:rPr>
  </w:style>
  <w:style w:type="paragraph" w:customStyle="1" w:styleId="Covertitlelevel3">
    <w:name w:val="Cover title level 3"/>
    <w:basedOn w:val="CoverTitleSub"/>
    <w:rsid w:val="00BB3278"/>
    <w:pPr>
      <w:spacing w:after="120"/>
    </w:pPr>
    <w:rPr>
      <w:sz w:val="28"/>
      <w:szCs w:val="28"/>
    </w:rPr>
  </w:style>
  <w:style w:type="paragraph" w:customStyle="1" w:styleId="CoverTitleMain">
    <w:name w:val="Cover Title Main"/>
    <w:basedOn w:val="HeadingBase"/>
    <w:next w:val="Normal"/>
    <w:rsid w:val="00B55137"/>
    <w:pPr>
      <w:spacing w:after="480"/>
      <w:jc w:val="center"/>
    </w:pPr>
    <w:rPr>
      <w:b/>
      <w:sz w:val="48"/>
    </w:rPr>
  </w:style>
  <w:style w:type="paragraph" w:customStyle="1" w:styleId="Dash">
    <w:name w:val="Dash"/>
    <w:basedOn w:val="Normal"/>
    <w:link w:val="DashChar"/>
    <w:rsid w:val="005F5653"/>
    <w:pPr>
      <w:numPr>
        <w:ilvl w:val="1"/>
        <w:numId w:val="1"/>
      </w:numPr>
    </w:pPr>
  </w:style>
  <w:style w:type="paragraph" w:customStyle="1" w:styleId="DoubleDot">
    <w:name w:val="Double Dot"/>
    <w:basedOn w:val="Normal"/>
    <w:rsid w:val="005F5653"/>
    <w:pPr>
      <w:numPr>
        <w:ilvl w:val="2"/>
        <w:numId w:val="1"/>
      </w:numPr>
    </w:pPr>
  </w:style>
  <w:style w:type="paragraph" w:customStyle="1" w:styleId="Figuregraphic">
    <w:name w:val="Figure graphic"/>
    <w:basedOn w:val="Normal"/>
    <w:rsid w:val="00BB3278"/>
    <w:pPr>
      <w:spacing w:line="240" w:lineRule="auto"/>
      <w:jc w:val="center"/>
    </w:pPr>
  </w:style>
  <w:style w:type="paragraph" w:customStyle="1" w:styleId="FigureHeading">
    <w:name w:val="Figure Heading"/>
    <w:basedOn w:val="HeadingBase"/>
    <w:next w:val="Figuregraphic"/>
    <w:rsid w:val="00BB3278"/>
    <w:pPr>
      <w:spacing w:after="20"/>
      <w:jc w:val="center"/>
    </w:pPr>
    <w:rPr>
      <w:rFonts w:ascii="Arial Bold" w:hAnsi="Arial Bold"/>
      <w:b/>
      <w:sz w:val="22"/>
      <w:szCs w:val="22"/>
    </w:rPr>
  </w:style>
  <w:style w:type="paragraph" w:customStyle="1" w:styleId="FigureSecondHeading">
    <w:name w:val="Figure Second Heading"/>
    <w:basedOn w:val="HeadingBase"/>
    <w:next w:val="Figuregraphic"/>
    <w:rsid w:val="00BB3278"/>
    <w:pPr>
      <w:spacing w:after="20"/>
      <w:jc w:val="center"/>
    </w:pPr>
  </w:style>
  <w:style w:type="paragraph" w:customStyle="1" w:styleId="TableMainHeading">
    <w:name w:val="Table Main Heading"/>
    <w:basedOn w:val="HeadingBase"/>
    <w:next w:val="TableGraphic"/>
    <w:rsid w:val="00B55137"/>
    <w:pPr>
      <w:spacing w:after="20"/>
    </w:pPr>
    <w:rPr>
      <w:b/>
      <w:sz w:val="22"/>
    </w:rPr>
  </w:style>
  <w:style w:type="paragraph" w:customStyle="1" w:styleId="FooterCentered">
    <w:name w:val="Footer Centered"/>
    <w:basedOn w:val="Footer"/>
    <w:rsid w:val="00B55137"/>
    <w:pPr>
      <w:jc w:val="center"/>
    </w:pPr>
  </w:style>
  <w:style w:type="paragraph" w:customStyle="1" w:styleId="FooterEven">
    <w:name w:val="Footer Even"/>
    <w:basedOn w:val="Footer"/>
    <w:rsid w:val="00B55137"/>
  </w:style>
  <w:style w:type="paragraph" w:customStyle="1" w:styleId="FooterOdd">
    <w:name w:val="Footer Odd"/>
    <w:basedOn w:val="Footer"/>
    <w:rsid w:val="00B55137"/>
    <w:pPr>
      <w:jc w:val="right"/>
    </w:pPr>
  </w:style>
  <w:style w:type="character" w:styleId="FootnoteReference">
    <w:name w:val="footnote reference"/>
    <w:basedOn w:val="DefaultParagraphFont"/>
    <w:rsid w:val="00B55137"/>
    <w:rPr>
      <w:vertAlign w:val="superscript"/>
    </w:rPr>
  </w:style>
  <w:style w:type="paragraph" w:styleId="FootnoteText">
    <w:name w:val="footnote text"/>
    <w:basedOn w:val="Normal"/>
    <w:link w:val="FootnoteTextChar"/>
    <w:rsid w:val="00B55137"/>
    <w:pPr>
      <w:tabs>
        <w:tab w:val="left" w:pos="284"/>
      </w:tabs>
      <w:spacing w:after="0" w:line="240" w:lineRule="auto"/>
      <w:ind w:left="284" w:hanging="284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rsid w:val="00BB3278"/>
    <w:rPr>
      <w:rFonts w:ascii="Calibri" w:eastAsia="Times New Roman" w:hAnsi="Calibri" w:cs="Times New Roman"/>
      <w:color w:val="000000"/>
      <w:sz w:val="18"/>
      <w:szCs w:val="20"/>
      <w:lang w:eastAsia="en-AU"/>
    </w:rPr>
  </w:style>
  <w:style w:type="character" w:customStyle="1" w:styleId="FramedFooter">
    <w:name w:val="Framed Footer"/>
    <w:rsid w:val="00B55137"/>
    <w:rPr>
      <w:rFonts w:ascii="Arial" w:hAnsi="Arial"/>
      <w:sz w:val="18"/>
    </w:rPr>
  </w:style>
  <w:style w:type="character" w:customStyle="1" w:styleId="FramedHeader">
    <w:name w:val="Framed Header"/>
    <w:basedOn w:val="DefaultParagraphFont"/>
    <w:rsid w:val="00B55137"/>
    <w:rPr>
      <w:rFonts w:ascii="Arial" w:hAnsi="Arial"/>
      <w:dstrike w:val="0"/>
      <w:color w:val="auto"/>
      <w:sz w:val="18"/>
      <w:vertAlign w:val="baseline"/>
    </w:rPr>
  </w:style>
  <w:style w:type="paragraph" w:styleId="Header">
    <w:name w:val="header"/>
    <w:basedOn w:val="HeadingBase"/>
    <w:link w:val="HeaderChar"/>
    <w:rsid w:val="00460338"/>
    <w:rPr>
      <w:rFonts w:asciiTheme="minorHAnsi" w:hAnsiTheme="minorHAnsi"/>
      <w:sz w:val="22"/>
    </w:rPr>
  </w:style>
  <w:style w:type="character" w:customStyle="1" w:styleId="HeaderChar">
    <w:name w:val="Header Char"/>
    <w:basedOn w:val="DefaultParagraphFont"/>
    <w:link w:val="Header"/>
    <w:rsid w:val="00460338"/>
    <w:rPr>
      <w:rFonts w:eastAsia="Times New Roman" w:cs="Times New Roman"/>
      <w:color w:val="000000" w:themeColor="text1"/>
      <w:szCs w:val="20"/>
      <w:lang w:eastAsia="en-AU"/>
    </w:rPr>
  </w:style>
  <w:style w:type="paragraph" w:customStyle="1" w:styleId="HeaderEven">
    <w:name w:val="Header Even"/>
    <w:basedOn w:val="Header"/>
    <w:rsid w:val="00E54DB4"/>
  </w:style>
  <w:style w:type="paragraph" w:customStyle="1" w:styleId="HeaderOdd">
    <w:name w:val="Header Odd"/>
    <w:basedOn w:val="Header"/>
    <w:rsid w:val="00B55137"/>
    <w:pPr>
      <w:jc w:val="right"/>
    </w:pPr>
  </w:style>
  <w:style w:type="character" w:styleId="Hyperlink">
    <w:name w:val="Hyperlink"/>
    <w:basedOn w:val="DefaultParagraphFont"/>
    <w:uiPriority w:val="99"/>
    <w:rsid w:val="00B55137"/>
    <w:rPr>
      <w:color w:val="auto"/>
      <w:u w:val="none"/>
    </w:rPr>
  </w:style>
  <w:style w:type="character" w:customStyle="1" w:styleId="italic">
    <w:name w:val="italic"/>
    <w:basedOn w:val="DefaultParagraphFont"/>
    <w:rsid w:val="00B55137"/>
    <w:rPr>
      <w:i/>
    </w:rPr>
  </w:style>
  <w:style w:type="paragraph" w:styleId="NormalWeb">
    <w:name w:val="Normal (Web)"/>
    <w:basedOn w:val="Normal"/>
    <w:rsid w:val="00EE6F94"/>
    <w:pPr>
      <w:spacing w:line="312" w:lineRule="atLeast"/>
    </w:pPr>
    <w:rPr>
      <w:sz w:val="24"/>
      <w:szCs w:val="24"/>
    </w:rPr>
  </w:style>
  <w:style w:type="paragraph" w:customStyle="1" w:styleId="NormalIndentItalics">
    <w:name w:val="Normal Indent Italics"/>
    <w:basedOn w:val="NormalIndent"/>
    <w:rsid w:val="00D46334"/>
    <w:rPr>
      <w:i/>
    </w:rPr>
  </w:style>
  <w:style w:type="paragraph" w:customStyle="1" w:styleId="OutlineNumbered1">
    <w:name w:val="Outline Numbered 1"/>
    <w:basedOn w:val="Normal"/>
    <w:link w:val="OutlineNumbered1Char"/>
    <w:rsid w:val="003E0E7B"/>
    <w:pPr>
      <w:numPr>
        <w:numId w:val="9"/>
      </w:numPr>
    </w:pPr>
  </w:style>
  <w:style w:type="paragraph" w:customStyle="1" w:styleId="OneLevelNumberedParagraph">
    <w:name w:val="One Level Numbered Paragraph"/>
    <w:basedOn w:val="Normal"/>
    <w:rsid w:val="003E0E7B"/>
    <w:pPr>
      <w:numPr>
        <w:numId w:val="8"/>
      </w:numPr>
    </w:pPr>
  </w:style>
  <w:style w:type="paragraph" w:customStyle="1" w:styleId="OutlineNumbered2">
    <w:name w:val="Outline Numbered 2"/>
    <w:basedOn w:val="Normal"/>
    <w:rsid w:val="003E0E7B"/>
    <w:pPr>
      <w:numPr>
        <w:ilvl w:val="1"/>
        <w:numId w:val="9"/>
      </w:numPr>
    </w:pPr>
  </w:style>
  <w:style w:type="paragraph" w:customStyle="1" w:styleId="OutlineNumbered3">
    <w:name w:val="Outline Numbered 3"/>
    <w:basedOn w:val="Normal"/>
    <w:rsid w:val="003E0E7B"/>
    <w:pPr>
      <w:numPr>
        <w:ilvl w:val="2"/>
        <w:numId w:val="9"/>
      </w:numPr>
    </w:pPr>
  </w:style>
  <w:style w:type="character" w:styleId="PageNumber">
    <w:name w:val="page number"/>
    <w:basedOn w:val="DefaultParagraphFont"/>
    <w:rsid w:val="00BB3278"/>
    <w:rPr>
      <w:rFonts w:ascii="Arial" w:hAnsi="Arial"/>
      <w:sz w:val="18"/>
    </w:rPr>
  </w:style>
  <w:style w:type="paragraph" w:customStyle="1" w:styleId="Principle">
    <w:name w:val="Principle"/>
    <w:basedOn w:val="Normal"/>
    <w:rsid w:val="00EE6F94"/>
    <w:pPr>
      <w:keepNext/>
      <w:spacing w:after="60" w:line="240" w:lineRule="auto"/>
      <w:ind w:left="573"/>
    </w:pPr>
    <w:rPr>
      <w:rFonts w:ascii="Book Antiqua" w:hAnsi="Book Antiqua"/>
      <w:i/>
      <w:sz w:val="20"/>
      <w:szCs w:val="22"/>
    </w:rPr>
  </w:style>
  <w:style w:type="paragraph" w:customStyle="1" w:styleId="RecommendationTextBase">
    <w:name w:val="Recommendation Text Base"/>
    <w:basedOn w:val="Normal"/>
    <w:rsid w:val="00B55137"/>
    <w:rPr>
      <w:i/>
    </w:rPr>
  </w:style>
  <w:style w:type="paragraph" w:customStyle="1" w:styleId="RecommendationBullet">
    <w:name w:val="Recommendation Bullet"/>
    <w:basedOn w:val="RecommendationTextBase"/>
    <w:rsid w:val="00301A52"/>
    <w:pPr>
      <w:numPr>
        <w:numId w:val="10"/>
      </w:numPr>
    </w:pPr>
  </w:style>
  <w:style w:type="paragraph" w:customStyle="1" w:styleId="RecommendationDash">
    <w:name w:val="Recommendation Dash"/>
    <w:basedOn w:val="RecommendationTextBase"/>
    <w:rsid w:val="00301A52"/>
    <w:pPr>
      <w:numPr>
        <w:ilvl w:val="1"/>
        <w:numId w:val="10"/>
      </w:numPr>
    </w:pPr>
  </w:style>
  <w:style w:type="paragraph" w:customStyle="1" w:styleId="RecommendationDoubleDot">
    <w:name w:val="Recommendation Double Dot"/>
    <w:basedOn w:val="RecommendationTextBase"/>
    <w:rsid w:val="00301A52"/>
    <w:pPr>
      <w:numPr>
        <w:ilvl w:val="2"/>
        <w:numId w:val="10"/>
      </w:numPr>
    </w:pPr>
  </w:style>
  <w:style w:type="paragraph" w:customStyle="1" w:styleId="RecommendationHeading">
    <w:name w:val="Recommendation Heading"/>
    <w:basedOn w:val="HeadingBase"/>
    <w:next w:val="Normal"/>
    <w:rsid w:val="00B55137"/>
    <w:pPr>
      <w:spacing w:before="120" w:after="240"/>
    </w:pPr>
    <w:rPr>
      <w:b/>
      <w:sz w:val="22"/>
    </w:rPr>
  </w:style>
  <w:style w:type="paragraph" w:customStyle="1" w:styleId="RecommendationText">
    <w:name w:val="Recommendation Text"/>
    <w:basedOn w:val="RecommendationTextBase"/>
    <w:rsid w:val="00B55137"/>
  </w:style>
  <w:style w:type="paragraph" w:customStyle="1" w:styleId="Romannumeral">
    <w:name w:val="Roman numeral"/>
    <w:basedOn w:val="Normal"/>
    <w:rsid w:val="009C7E17"/>
    <w:pPr>
      <w:numPr>
        <w:numId w:val="11"/>
      </w:numPr>
    </w:pPr>
  </w:style>
  <w:style w:type="paragraph" w:customStyle="1" w:styleId="SingleParagraph">
    <w:name w:val="Single Paragraph"/>
    <w:basedOn w:val="Normal"/>
    <w:rsid w:val="00B55137"/>
    <w:pPr>
      <w:spacing w:after="0"/>
    </w:pPr>
  </w:style>
  <w:style w:type="paragraph" w:customStyle="1" w:styleId="SingleParagraphIndent">
    <w:name w:val="Single Paragraph Indent"/>
    <w:basedOn w:val="SingleParagraph"/>
    <w:rsid w:val="00BB3278"/>
    <w:pPr>
      <w:ind w:left="567"/>
    </w:pPr>
  </w:style>
  <w:style w:type="paragraph" w:customStyle="1" w:styleId="TableSecondHeading">
    <w:name w:val="Table Second Heading"/>
    <w:basedOn w:val="HeadingBase"/>
    <w:next w:val="TableGraphic"/>
    <w:rsid w:val="00B55137"/>
    <w:pPr>
      <w:spacing w:after="20"/>
    </w:pPr>
  </w:style>
  <w:style w:type="paragraph" w:customStyle="1" w:styleId="TableTextBase">
    <w:name w:val="Table Text Base"/>
    <w:rsid w:val="00BC4ADF"/>
    <w:pPr>
      <w:spacing w:before="40" w:after="40" w:line="240" w:lineRule="auto"/>
    </w:pPr>
    <w:rPr>
      <w:rFonts w:ascii="Arial" w:eastAsia="Times New Roman" w:hAnsi="Arial" w:cs="Times New Roman"/>
      <w:color w:val="000000"/>
      <w:sz w:val="16"/>
      <w:szCs w:val="20"/>
      <w:lang w:eastAsia="en-AU"/>
    </w:rPr>
  </w:style>
  <w:style w:type="paragraph" w:customStyle="1" w:styleId="TableColumnHeadingCentred">
    <w:name w:val="Table Column Heading Centred"/>
    <w:basedOn w:val="TableColumnHeadingBase"/>
    <w:rsid w:val="00B55137"/>
    <w:pPr>
      <w:jc w:val="center"/>
    </w:pPr>
  </w:style>
  <w:style w:type="paragraph" w:customStyle="1" w:styleId="TableColumnHeadingBase">
    <w:name w:val="Table Column Heading Base"/>
    <w:basedOn w:val="Normal"/>
    <w:rsid w:val="00EE6F94"/>
    <w:pPr>
      <w:spacing w:before="40" w:after="40" w:line="240" w:lineRule="auto"/>
    </w:pPr>
    <w:rPr>
      <w:rFonts w:ascii="Arial" w:hAnsi="Arial"/>
      <w:b/>
      <w:sz w:val="16"/>
    </w:rPr>
  </w:style>
  <w:style w:type="paragraph" w:customStyle="1" w:styleId="TableColumnHeadingLeft">
    <w:name w:val="Table Column Heading Left"/>
    <w:basedOn w:val="TableColumnHeadingBase"/>
    <w:rsid w:val="00EE6F94"/>
    <w:rPr>
      <w:rFonts w:ascii="Calibri" w:hAnsi="Calibri"/>
      <w:sz w:val="18"/>
    </w:rPr>
  </w:style>
  <w:style w:type="paragraph" w:customStyle="1" w:styleId="TableColumnHeadingRight">
    <w:name w:val="Table Column Heading Right"/>
    <w:basedOn w:val="TableColumnHeadingBase"/>
    <w:rsid w:val="00B55137"/>
    <w:pPr>
      <w:jc w:val="right"/>
    </w:pPr>
  </w:style>
  <w:style w:type="table" w:styleId="TableGrid">
    <w:name w:val="Table Grid"/>
    <w:basedOn w:val="TableNormal"/>
    <w:uiPriority w:val="59"/>
    <w:rsid w:val="00B55137"/>
    <w:pPr>
      <w:spacing w:after="240" w:line="260" w:lineRule="exact"/>
      <w:jc w:val="both"/>
    </w:pPr>
    <w:rPr>
      <w:rFonts w:ascii="Times New Roman" w:eastAsia="Times New Roman" w:hAnsi="Times New Roman" w:cs="Times New Roman"/>
      <w:sz w:val="20"/>
      <w:szCs w:val="20"/>
      <w:lang w:eastAsia="en-AU"/>
    </w:rPr>
    <w:tblPr/>
    <w:tcPr>
      <w:shd w:val="clear" w:color="auto" w:fill="E6E6E6"/>
    </w:tcPr>
  </w:style>
  <w:style w:type="paragraph" w:customStyle="1" w:styleId="TableMainHeadingContd">
    <w:name w:val="Table Main Heading Contd"/>
    <w:basedOn w:val="HeadingBase"/>
    <w:next w:val="TableGraphic"/>
    <w:rsid w:val="00B55137"/>
    <w:pPr>
      <w:pageBreakBefore/>
      <w:spacing w:after="20"/>
    </w:pPr>
    <w:rPr>
      <w:b/>
      <w:sz w:val="22"/>
    </w:rPr>
  </w:style>
  <w:style w:type="paragraph" w:customStyle="1" w:styleId="TableTextCentered">
    <w:name w:val="Table Text Centered"/>
    <w:basedOn w:val="TableTextBase"/>
    <w:rsid w:val="00B55137"/>
    <w:pPr>
      <w:jc w:val="center"/>
    </w:pPr>
  </w:style>
  <w:style w:type="paragraph" w:customStyle="1" w:styleId="TableTextIndented">
    <w:name w:val="Table Text Indented"/>
    <w:basedOn w:val="TableTextBase"/>
    <w:rsid w:val="00B55137"/>
    <w:pPr>
      <w:ind w:left="284"/>
    </w:pPr>
  </w:style>
  <w:style w:type="paragraph" w:customStyle="1" w:styleId="TableTextLeft">
    <w:name w:val="Table Text Left"/>
    <w:basedOn w:val="TableTextBase"/>
    <w:rsid w:val="00BC4ADF"/>
  </w:style>
  <w:style w:type="paragraph" w:customStyle="1" w:styleId="TableTextRight">
    <w:name w:val="Table Text Right"/>
    <w:basedOn w:val="TableTextBase"/>
    <w:rsid w:val="00B55137"/>
    <w:pPr>
      <w:jc w:val="right"/>
    </w:pPr>
  </w:style>
  <w:style w:type="paragraph" w:styleId="TOC1">
    <w:name w:val="toc 1"/>
    <w:basedOn w:val="HeadingBase"/>
    <w:next w:val="Normal"/>
    <w:uiPriority w:val="39"/>
    <w:rsid w:val="00B55137"/>
    <w:pPr>
      <w:tabs>
        <w:tab w:val="right" w:leader="dot" w:pos="9072"/>
      </w:tabs>
      <w:spacing w:before="180"/>
      <w:ind w:right="851"/>
    </w:pPr>
    <w:rPr>
      <w:b/>
      <w:sz w:val="22"/>
      <w:szCs w:val="22"/>
    </w:rPr>
  </w:style>
  <w:style w:type="paragraph" w:styleId="TOC2">
    <w:name w:val="toc 2"/>
    <w:basedOn w:val="HeadingBase"/>
    <w:next w:val="Normal"/>
    <w:uiPriority w:val="39"/>
    <w:rsid w:val="00B55137"/>
    <w:pPr>
      <w:tabs>
        <w:tab w:val="right" w:leader="dot" w:pos="9072"/>
      </w:tabs>
      <w:spacing w:before="40" w:after="20"/>
      <w:ind w:right="851"/>
    </w:pPr>
    <w:rPr>
      <w:sz w:val="22"/>
    </w:rPr>
  </w:style>
  <w:style w:type="paragraph" w:styleId="TOC3">
    <w:name w:val="toc 3"/>
    <w:basedOn w:val="Normal"/>
    <w:next w:val="Normal"/>
    <w:uiPriority w:val="39"/>
    <w:rsid w:val="00B55137"/>
    <w:pPr>
      <w:tabs>
        <w:tab w:val="right" w:leader="dot" w:pos="9072"/>
      </w:tabs>
      <w:spacing w:before="20" w:after="0" w:line="240" w:lineRule="auto"/>
      <w:ind w:left="284" w:right="851"/>
    </w:pPr>
  </w:style>
  <w:style w:type="paragraph" w:styleId="TOC4">
    <w:name w:val="toc 4"/>
    <w:basedOn w:val="Normal"/>
    <w:next w:val="Normal"/>
    <w:rsid w:val="00B55137"/>
    <w:pPr>
      <w:tabs>
        <w:tab w:val="right" w:leader="dot" w:pos="9072"/>
      </w:tabs>
      <w:spacing w:after="0" w:line="240" w:lineRule="auto"/>
      <w:ind w:left="284" w:right="851"/>
    </w:pPr>
  </w:style>
  <w:style w:type="paragraph" w:styleId="BodyTextIndent2">
    <w:name w:val="Body Text Indent 2"/>
    <w:basedOn w:val="Normal"/>
    <w:link w:val="BodyTextIndent2Char"/>
    <w:rsid w:val="00B5513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55137"/>
    <w:rPr>
      <w:rFonts w:ascii="Calibri" w:eastAsia="Times New Roman" w:hAnsi="Calibri" w:cs="Times New Roman"/>
      <w:color w:val="000000"/>
      <w:szCs w:val="20"/>
      <w:lang w:eastAsia="en-AU"/>
    </w:rPr>
  </w:style>
  <w:style w:type="character" w:customStyle="1" w:styleId="BoldandItalic">
    <w:name w:val="Bold and Italic"/>
    <w:basedOn w:val="DefaultParagraphFont"/>
    <w:rsid w:val="00B55137"/>
    <w:rPr>
      <w:rFonts w:ascii="Arial" w:hAnsi="Arial"/>
      <w:b/>
      <w:i/>
    </w:rPr>
  </w:style>
  <w:style w:type="paragraph" w:styleId="Caption">
    <w:name w:val="caption"/>
    <w:basedOn w:val="Normal"/>
    <w:next w:val="Normal"/>
    <w:qFormat/>
    <w:rsid w:val="00B55137"/>
    <w:rPr>
      <w:b/>
      <w:bCs/>
    </w:rPr>
  </w:style>
  <w:style w:type="character" w:styleId="CommentReference">
    <w:name w:val="annotation reference"/>
    <w:basedOn w:val="DefaultParagraphFont"/>
    <w:semiHidden/>
    <w:rsid w:val="00B5513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55137"/>
  </w:style>
  <w:style w:type="character" w:customStyle="1" w:styleId="CommentTextChar">
    <w:name w:val="Comment Text Char"/>
    <w:basedOn w:val="DefaultParagraphFont"/>
    <w:link w:val="CommentText"/>
    <w:semiHidden/>
    <w:rsid w:val="00B55137"/>
    <w:rPr>
      <w:rFonts w:ascii="Calibri" w:eastAsia="Times New Roman" w:hAnsi="Calibri" w:cs="Times New Roman"/>
      <w:color w:val="00000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551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55137"/>
    <w:rPr>
      <w:rFonts w:ascii="Calibri" w:eastAsia="Times New Roman" w:hAnsi="Calibri" w:cs="Times New Roman"/>
      <w:b/>
      <w:bCs/>
      <w:color w:val="000000"/>
      <w:szCs w:val="20"/>
      <w:lang w:eastAsia="en-AU"/>
    </w:rPr>
  </w:style>
  <w:style w:type="paragraph" w:styleId="DocumentMap">
    <w:name w:val="Document Map"/>
    <w:basedOn w:val="Normal"/>
    <w:link w:val="DocumentMapChar"/>
    <w:semiHidden/>
    <w:rsid w:val="00B55137"/>
    <w:pPr>
      <w:shd w:val="clear" w:color="auto" w:fill="00CCFF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B55137"/>
    <w:rPr>
      <w:rFonts w:ascii="Tahoma" w:eastAsia="Times New Roman" w:hAnsi="Tahoma" w:cs="Tahoma"/>
      <w:color w:val="000000"/>
      <w:szCs w:val="20"/>
      <w:shd w:val="clear" w:color="auto" w:fill="00CCFF"/>
      <w:lang w:eastAsia="en-AU"/>
    </w:rPr>
  </w:style>
  <w:style w:type="character" w:styleId="EndnoteReference">
    <w:name w:val="endnote reference"/>
    <w:basedOn w:val="DefaultParagraphFont"/>
    <w:semiHidden/>
    <w:rsid w:val="00B55137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B55137"/>
  </w:style>
  <w:style w:type="character" w:customStyle="1" w:styleId="EndnoteTextChar">
    <w:name w:val="Endnote Text Char"/>
    <w:basedOn w:val="DefaultParagraphFont"/>
    <w:link w:val="EndnoteText"/>
    <w:semiHidden/>
    <w:rsid w:val="00B55137"/>
    <w:rPr>
      <w:rFonts w:ascii="Calibri" w:eastAsia="Times New Roman" w:hAnsi="Calibri" w:cs="Times New Roman"/>
      <w:color w:val="000000"/>
      <w:szCs w:val="20"/>
      <w:lang w:eastAsia="en-AU"/>
    </w:rPr>
  </w:style>
  <w:style w:type="character" w:styleId="FollowedHyperlink">
    <w:name w:val="FollowedHyperlink"/>
    <w:basedOn w:val="DefaultParagraphFont"/>
    <w:rsid w:val="00B55137"/>
    <w:rPr>
      <w:color w:val="auto"/>
      <w:u w:val="none"/>
    </w:rPr>
  </w:style>
  <w:style w:type="paragraph" w:styleId="Index1">
    <w:name w:val="index 1"/>
    <w:basedOn w:val="Normal"/>
    <w:next w:val="Normal"/>
    <w:autoRedefine/>
    <w:semiHidden/>
    <w:rsid w:val="00B55137"/>
    <w:pPr>
      <w:ind w:left="200" w:hanging="200"/>
    </w:pPr>
  </w:style>
  <w:style w:type="paragraph" w:styleId="Index2">
    <w:name w:val="index 2"/>
    <w:basedOn w:val="Normal"/>
    <w:next w:val="Normal"/>
    <w:autoRedefine/>
    <w:semiHidden/>
    <w:rsid w:val="00B55137"/>
    <w:pPr>
      <w:ind w:left="400" w:hanging="200"/>
    </w:pPr>
  </w:style>
  <w:style w:type="paragraph" w:styleId="Index3">
    <w:name w:val="index 3"/>
    <w:basedOn w:val="Normal"/>
    <w:next w:val="Normal"/>
    <w:autoRedefine/>
    <w:semiHidden/>
    <w:rsid w:val="00B55137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B55137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B55137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B55137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B55137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B55137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B55137"/>
    <w:pPr>
      <w:ind w:left="1800" w:hanging="200"/>
    </w:pPr>
  </w:style>
  <w:style w:type="paragraph" w:styleId="IndexHeading">
    <w:name w:val="index heading"/>
    <w:basedOn w:val="Normal"/>
    <w:next w:val="Index1"/>
    <w:semiHidden/>
    <w:rsid w:val="00B55137"/>
    <w:rPr>
      <w:rFonts w:ascii="Arial" w:hAnsi="Arial" w:cs="Arial"/>
      <w:b/>
      <w:bCs/>
    </w:rPr>
  </w:style>
  <w:style w:type="paragraph" w:styleId="MacroText">
    <w:name w:val="macro"/>
    <w:link w:val="MacroTextChar"/>
    <w:semiHidden/>
    <w:rsid w:val="00B5513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 w:line="260" w:lineRule="exact"/>
      <w:jc w:val="both"/>
    </w:pPr>
    <w:rPr>
      <w:rFonts w:ascii="Courier New" w:eastAsia="Times New Roman" w:hAnsi="Courier New" w:cs="Courier New"/>
      <w:color w:val="000000"/>
      <w:sz w:val="20"/>
      <w:szCs w:val="20"/>
      <w:lang w:eastAsia="en-AU"/>
    </w:rPr>
  </w:style>
  <w:style w:type="character" w:customStyle="1" w:styleId="MacroTextChar">
    <w:name w:val="Macro Text Char"/>
    <w:basedOn w:val="DefaultParagraphFont"/>
    <w:link w:val="MacroText"/>
    <w:semiHidden/>
    <w:rsid w:val="00B55137"/>
    <w:rPr>
      <w:rFonts w:ascii="Courier New" w:eastAsia="Times New Roman" w:hAnsi="Courier New" w:cs="Courier New"/>
      <w:color w:val="000000"/>
      <w:sz w:val="20"/>
      <w:szCs w:val="20"/>
      <w:lang w:eastAsia="en-AU"/>
    </w:rPr>
  </w:style>
  <w:style w:type="numbering" w:customStyle="1" w:styleId="OutlineList">
    <w:name w:val="OutlineList"/>
    <w:uiPriority w:val="99"/>
    <w:rsid w:val="003E0E7B"/>
    <w:pPr>
      <w:numPr>
        <w:numId w:val="5"/>
      </w:numPr>
    </w:pPr>
  </w:style>
  <w:style w:type="paragraph" w:customStyle="1" w:styleId="PictureCentred">
    <w:name w:val="Picture Centred"/>
    <w:basedOn w:val="Normal"/>
    <w:rsid w:val="00B55137"/>
    <w:pPr>
      <w:spacing w:before="120" w:line="240" w:lineRule="atLeast"/>
      <w:jc w:val="center"/>
    </w:pPr>
  </w:style>
  <w:style w:type="paragraph" w:customStyle="1" w:styleId="PictureLeft">
    <w:name w:val="Picture Left"/>
    <w:basedOn w:val="PictureCentred"/>
    <w:rsid w:val="00B55137"/>
    <w:pPr>
      <w:jc w:val="left"/>
    </w:pPr>
  </w:style>
  <w:style w:type="paragraph" w:customStyle="1" w:styleId="PictureIndent">
    <w:name w:val="Picture Indent"/>
    <w:basedOn w:val="PictureLeft"/>
    <w:rsid w:val="00B55137"/>
    <w:pPr>
      <w:ind w:left="284"/>
    </w:pPr>
  </w:style>
  <w:style w:type="paragraph" w:styleId="TableofAuthorities">
    <w:name w:val="table of authorities"/>
    <w:basedOn w:val="Normal"/>
    <w:next w:val="Normal"/>
    <w:rsid w:val="00B55137"/>
    <w:pPr>
      <w:ind w:left="200" w:hanging="200"/>
    </w:pPr>
  </w:style>
  <w:style w:type="paragraph" w:styleId="TableofFigures">
    <w:name w:val="table of figures"/>
    <w:basedOn w:val="Normal"/>
    <w:next w:val="Normal"/>
    <w:rsid w:val="00B55137"/>
  </w:style>
  <w:style w:type="paragraph" w:styleId="TOAHeading">
    <w:name w:val="toa heading"/>
    <w:basedOn w:val="Normal"/>
    <w:next w:val="Normal"/>
    <w:semiHidden/>
    <w:rsid w:val="00B55137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OC5">
    <w:name w:val="toc 5"/>
    <w:basedOn w:val="Normal"/>
    <w:next w:val="Normal"/>
    <w:autoRedefine/>
    <w:semiHidden/>
    <w:rsid w:val="00B55137"/>
    <w:pPr>
      <w:ind w:left="800"/>
    </w:pPr>
  </w:style>
  <w:style w:type="paragraph" w:styleId="TOC6">
    <w:name w:val="toc 6"/>
    <w:basedOn w:val="Normal"/>
    <w:next w:val="Normal"/>
    <w:autoRedefine/>
    <w:semiHidden/>
    <w:rsid w:val="00B55137"/>
    <w:pPr>
      <w:ind w:left="1000"/>
    </w:pPr>
  </w:style>
  <w:style w:type="paragraph" w:styleId="TOC7">
    <w:name w:val="toc 7"/>
    <w:basedOn w:val="Normal"/>
    <w:next w:val="Normal"/>
    <w:autoRedefine/>
    <w:semiHidden/>
    <w:rsid w:val="00B55137"/>
    <w:pPr>
      <w:ind w:left="1200"/>
    </w:pPr>
  </w:style>
  <w:style w:type="paragraph" w:styleId="TOC8">
    <w:name w:val="toc 8"/>
    <w:basedOn w:val="Normal"/>
    <w:next w:val="Normal"/>
    <w:autoRedefine/>
    <w:semiHidden/>
    <w:rsid w:val="00B55137"/>
    <w:pPr>
      <w:ind w:left="1400"/>
    </w:pPr>
  </w:style>
  <w:style w:type="paragraph" w:styleId="TOC9">
    <w:name w:val="toc 9"/>
    <w:basedOn w:val="Normal"/>
    <w:next w:val="Normal"/>
    <w:autoRedefine/>
    <w:semiHidden/>
    <w:rsid w:val="00B55137"/>
    <w:pPr>
      <w:ind w:left="1600"/>
    </w:pPr>
  </w:style>
  <w:style w:type="numbering" w:customStyle="1" w:styleId="BulletedList">
    <w:name w:val="Bulleted List"/>
    <w:uiPriority w:val="99"/>
    <w:rsid w:val="005F5653"/>
    <w:pPr>
      <w:numPr>
        <w:numId w:val="1"/>
      </w:numPr>
    </w:pPr>
  </w:style>
  <w:style w:type="numbering" w:customStyle="1" w:styleId="BoxBulletedList">
    <w:name w:val="Box Bulleted List"/>
    <w:uiPriority w:val="99"/>
    <w:rsid w:val="005F5653"/>
    <w:pPr>
      <w:numPr>
        <w:numId w:val="16"/>
      </w:numPr>
    </w:pPr>
  </w:style>
  <w:style w:type="numbering" w:customStyle="1" w:styleId="AlphaParagraphList">
    <w:name w:val="Alpha Paragraph List"/>
    <w:uiPriority w:val="99"/>
    <w:rsid w:val="009D0790"/>
    <w:pPr>
      <w:numPr>
        <w:numId w:val="3"/>
      </w:numPr>
    </w:pPr>
  </w:style>
  <w:style w:type="numbering" w:customStyle="1" w:styleId="OneLevelList">
    <w:name w:val="OneLevelList"/>
    <w:uiPriority w:val="99"/>
    <w:rsid w:val="003E0E7B"/>
    <w:pPr>
      <w:numPr>
        <w:numId w:val="4"/>
      </w:numPr>
    </w:pPr>
  </w:style>
  <w:style w:type="numbering" w:customStyle="1" w:styleId="RecommendationBulletList">
    <w:name w:val="RecommendationBulletList"/>
    <w:uiPriority w:val="99"/>
    <w:rsid w:val="00301A52"/>
    <w:pPr>
      <w:numPr>
        <w:numId w:val="6"/>
      </w:numPr>
    </w:pPr>
  </w:style>
  <w:style w:type="numbering" w:customStyle="1" w:styleId="RomanNumeralList">
    <w:name w:val="RomanNumeralList"/>
    <w:uiPriority w:val="99"/>
    <w:rsid w:val="009C7E17"/>
    <w:pPr>
      <w:numPr>
        <w:numId w:val="7"/>
      </w:numPr>
    </w:pPr>
  </w:style>
  <w:style w:type="numbering" w:customStyle="1" w:styleId="ChartandTableFootnoteAlphaList">
    <w:name w:val="ChartandTableFootnoteAlphaList"/>
    <w:uiPriority w:val="99"/>
    <w:rsid w:val="009862D1"/>
    <w:pPr>
      <w:numPr>
        <w:numId w:val="12"/>
      </w:numPr>
    </w:pPr>
  </w:style>
  <w:style w:type="paragraph" w:customStyle="1" w:styleId="TableTextBullet">
    <w:name w:val="Table Text Bullet"/>
    <w:basedOn w:val="TableTextBase"/>
    <w:rsid w:val="002271BB"/>
    <w:pPr>
      <w:numPr>
        <w:numId w:val="15"/>
      </w:numPr>
    </w:pPr>
  </w:style>
  <w:style w:type="numbering" w:customStyle="1" w:styleId="TableTestBulletList">
    <w:name w:val="Table Test Bullet List"/>
    <w:uiPriority w:val="99"/>
    <w:rsid w:val="00E177C9"/>
    <w:pPr>
      <w:numPr>
        <w:numId w:val="13"/>
      </w:numPr>
    </w:pPr>
  </w:style>
  <w:style w:type="numbering" w:customStyle="1" w:styleId="TableTextBulletList">
    <w:name w:val="Table Text Bullet List"/>
    <w:uiPriority w:val="99"/>
    <w:rsid w:val="005F3390"/>
    <w:pPr>
      <w:numPr>
        <w:numId w:val="14"/>
      </w:numPr>
    </w:pPr>
  </w:style>
  <w:style w:type="paragraph" w:customStyle="1" w:styleId="StyleTableTextBulletLinespacingExactly13pt">
    <w:name w:val="Style Table Text Bullet + Line spacing:  Exactly 13 pt"/>
    <w:basedOn w:val="TableTextBullet"/>
    <w:rsid w:val="002271BB"/>
    <w:pPr>
      <w:numPr>
        <w:numId w:val="0"/>
      </w:numPr>
      <w:spacing w:after="80" w:line="260" w:lineRule="exact"/>
    </w:pPr>
  </w:style>
  <w:style w:type="character" w:customStyle="1" w:styleId="OutlineNumbered1Char">
    <w:name w:val="Outline Numbered 1 Char"/>
    <w:basedOn w:val="DefaultParagraphFont"/>
    <w:link w:val="OutlineNumbered1"/>
    <w:rsid w:val="000F4833"/>
    <w:rPr>
      <w:rFonts w:eastAsia="Times New Roman" w:cs="Times New Roman"/>
      <w:szCs w:val="20"/>
      <w:lang w:eastAsia="en-AU"/>
    </w:rPr>
  </w:style>
  <w:style w:type="character" w:customStyle="1" w:styleId="BulletChar">
    <w:name w:val="Bullet Char"/>
    <w:basedOn w:val="DefaultParagraphFont"/>
    <w:link w:val="Bullet"/>
    <w:rsid w:val="000F4833"/>
    <w:rPr>
      <w:rFonts w:eastAsia="Times New Roman" w:cs="Times New Roman"/>
      <w:szCs w:val="20"/>
      <w:lang w:eastAsia="en-AU"/>
    </w:rPr>
  </w:style>
  <w:style w:type="character" w:customStyle="1" w:styleId="DashChar">
    <w:name w:val="Dash Char"/>
    <w:basedOn w:val="DefaultParagraphFont"/>
    <w:link w:val="Dash"/>
    <w:rsid w:val="000F4833"/>
    <w:rPr>
      <w:rFonts w:eastAsia="Times New Roman" w:cs="Times New Roman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692364"/>
    <w:pPr>
      <w:spacing w:before="200" w:after="0" w:line="276" w:lineRule="auto"/>
      <w:ind w:left="720"/>
      <w:contextualSpacing/>
    </w:pPr>
    <w:rPr>
      <w:rFonts w:eastAsiaTheme="minorHAnsi" w:cstheme="minorBidi"/>
      <w:szCs w:val="22"/>
      <w:lang w:eastAsia="en-US"/>
    </w:rPr>
  </w:style>
  <w:style w:type="paragraph" w:customStyle="1" w:styleId="LegalHeading1">
    <w:name w:val="Legal Heading 1"/>
    <w:basedOn w:val="Heading1"/>
    <w:next w:val="Normal"/>
    <w:qFormat/>
    <w:rsid w:val="00F46AC7"/>
    <w:pPr>
      <w:keepLines/>
      <w:spacing w:before="480" w:after="0" w:line="280" w:lineRule="atLeast"/>
    </w:pPr>
    <w:rPr>
      <w:rFonts w:eastAsiaTheme="majorEastAsia" w:cstheme="majorBidi"/>
      <w:b/>
      <w:color w:val="001F3E" w:themeColor="accent1" w:themeShade="BF"/>
      <w:kern w:val="0"/>
      <w:sz w:val="28"/>
      <w:szCs w:val="28"/>
      <w:lang w:eastAsia="zh-CN" w:bidi="th-TH"/>
    </w:rPr>
  </w:style>
  <w:style w:type="numbering" w:customStyle="1" w:styleId="LegalListStyle1">
    <w:name w:val="Legal List Style 1"/>
    <w:uiPriority w:val="99"/>
    <w:rsid w:val="00F46AC7"/>
    <w:pPr>
      <w:numPr>
        <w:numId w:val="17"/>
      </w:numPr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1C31"/>
    <w:pPr>
      <w:keepLines/>
      <w:spacing w:before="480" w:after="0" w:line="276" w:lineRule="auto"/>
      <w:outlineLvl w:val="9"/>
    </w:pPr>
    <w:rPr>
      <w:rFonts w:eastAsiaTheme="majorEastAsia" w:cstheme="majorBidi"/>
      <w:b/>
      <w:color w:val="001F3E" w:themeColor="accent1" w:themeShade="BF"/>
      <w:kern w:val="0"/>
      <w:sz w:val="28"/>
      <w:szCs w:val="28"/>
      <w:lang w:val="en-US" w:eastAsia="ja-JP"/>
    </w:rPr>
  </w:style>
  <w:style w:type="paragraph" w:styleId="Revision">
    <w:name w:val="Revision"/>
    <w:hidden/>
    <w:uiPriority w:val="99"/>
    <w:semiHidden/>
    <w:rsid w:val="007832D7"/>
    <w:pPr>
      <w:spacing w:after="0" w:line="240" w:lineRule="auto"/>
    </w:pPr>
    <w:rPr>
      <w:rFonts w:eastAsia="Times New Roman" w:cs="Times New Roman"/>
      <w:szCs w:val="20"/>
      <w:lang w:eastAsia="en-AU"/>
    </w:rPr>
  </w:style>
  <w:style w:type="table" w:styleId="LightShading-Accent1">
    <w:name w:val="Light Shading Accent 1"/>
    <w:basedOn w:val="TableNormal"/>
    <w:uiPriority w:val="60"/>
    <w:rsid w:val="00C94FC7"/>
    <w:pPr>
      <w:spacing w:after="0" w:line="240" w:lineRule="auto"/>
    </w:pPr>
    <w:rPr>
      <w:color w:val="001F3E" w:themeColor="accent1" w:themeShade="BF"/>
    </w:rPr>
    <w:tblPr>
      <w:tblStyleRowBandSize w:val="1"/>
      <w:tblStyleColBandSize w:val="1"/>
      <w:tblBorders>
        <w:top w:val="single" w:sz="8" w:space="0" w:color="002B54" w:themeColor="accent1"/>
        <w:bottom w:val="single" w:sz="8" w:space="0" w:color="002B5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B54" w:themeColor="accent1"/>
          <w:left w:val="nil"/>
          <w:bottom w:val="single" w:sz="8" w:space="0" w:color="002B5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B54" w:themeColor="accent1"/>
          <w:left w:val="nil"/>
          <w:bottom w:val="single" w:sz="8" w:space="0" w:color="002B5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5CB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5CBFF" w:themeFill="accent1" w:themeFillTint="3F"/>
      </w:tcPr>
    </w:tblStylePr>
  </w:style>
  <w:style w:type="paragraph" w:customStyle="1" w:styleId="tabletext">
    <w:name w:val="table text"/>
    <w:basedOn w:val="Normal"/>
    <w:rsid w:val="00A31BAA"/>
    <w:pPr>
      <w:spacing w:before="40" w:after="40" w:line="240" w:lineRule="auto"/>
    </w:pPr>
    <w:rPr>
      <w:rFonts w:ascii="Times New Roman" w:hAnsi="Times New Roman"/>
      <w:sz w:val="20"/>
    </w:rPr>
  </w:style>
  <w:style w:type="paragraph" w:styleId="HTMLAddress">
    <w:name w:val="HTML Address"/>
    <w:basedOn w:val="Normal"/>
    <w:link w:val="HTMLAddressChar"/>
    <w:semiHidden/>
    <w:rsid w:val="00A31BAA"/>
    <w:pPr>
      <w:spacing w:before="120" w:after="120" w:line="240" w:lineRule="auto"/>
    </w:pPr>
    <w:rPr>
      <w:rFonts w:ascii="Times New Roman" w:hAnsi="Times New Roman"/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A31BAA"/>
    <w:rPr>
      <w:rFonts w:ascii="Times New Roman" w:eastAsia="Times New Roman" w:hAnsi="Times New Roman" w:cs="Times New Roman"/>
      <w:i/>
      <w:iCs/>
      <w:szCs w:val="20"/>
      <w:lang w:eastAsia="en-AU"/>
    </w:rPr>
  </w:style>
  <w:style w:type="character" w:customStyle="1" w:styleId="Referencingstyle">
    <w:name w:val="Referencing style"/>
    <w:basedOn w:val="DefaultParagraphFont"/>
    <w:rsid w:val="00F95040"/>
    <w:rPr>
      <w:b/>
      <w:i/>
      <w:sz w:val="18"/>
    </w:rPr>
  </w:style>
  <w:style w:type="paragraph" w:customStyle="1" w:styleId="base-text-paragraph">
    <w:name w:val="base-text-paragraph"/>
    <w:basedOn w:val="Normal"/>
    <w:link w:val="base-text-paragraphChar"/>
    <w:qFormat/>
    <w:rsid w:val="008C59E5"/>
    <w:pPr>
      <w:numPr>
        <w:ilvl w:val="1"/>
        <w:numId w:val="23"/>
      </w:numPr>
      <w:spacing w:before="120" w:after="120" w:line="240" w:lineRule="auto"/>
    </w:pPr>
    <w:rPr>
      <w:rFonts w:ascii="Times New Roman" w:hAnsi="Times New Roman"/>
    </w:rPr>
  </w:style>
  <w:style w:type="character" w:customStyle="1" w:styleId="base-text-paragraphChar">
    <w:name w:val="base-text-paragraph Char"/>
    <w:basedOn w:val="DefaultParagraphFont"/>
    <w:link w:val="base-text-paragraph"/>
    <w:rsid w:val="008C59E5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ChapterHeading">
    <w:name w:val="Chapter Heading"/>
    <w:next w:val="Heading2"/>
    <w:rsid w:val="008C59E5"/>
    <w:pPr>
      <w:numPr>
        <w:numId w:val="23"/>
      </w:numPr>
      <w:pBdr>
        <w:top w:val="single" w:sz="4" w:space="1" w:color="auto"/>
        <w:bottom w:val="single" w:sz="4" w:space="1" w:color="auto"/>
      </w:pBdr>
      <w:spacing w:before="240" w:after="360" w:line="260" w:lineRule="atLeast"/>
    </w:pPr>
    <w:rPr>
      <w:rFonts w:ascii="Helvetica" w:eastAsia="Times New Roman" w:hAnsi="Helvetica" w:cs="Times New Roman"/>
      <w:b/>
      <w:i/>
      <w:sz w:val="38"/>
      <w:szCs w:val="20"/>
      <w:lang w:eastAsia="en-AU"/>
    </w:rPr>
  </w:style>
  <w:style w:type="numbering" w:customStyle="1" w:styleId="ChapterList">
    <w:name w:val="ChapterList"/>
    <w:uiPriority w:val="99"/>
    <w:rsid w:val="008C59E5"/>
    <w:pPr>
      <w:numPr>
        <w:numId w:val="25"/>
      </w:numPr>
    </w:pPr>
  </w:style>
  <w:style w:type="paragraph" w:customStyle="1" w:styleId="Diagram">
    <w:name w:val="Diagram"/>
    <w:basedOn w:val="Normal"/>
    <w:next w:val="Normal"/>
    <w:rsid w:val="008C59E5"/>
    <w:pPr>
      <w:keepNext/>
      <w:numPr>
        <w:ilvl w:val="2"/>
        <w:numId w:val="23"/>
      </w:numPr>
      <w:spacing w:after="0" w:line="240" w:lineRule="auto"/>
    </w:pPr>
    <w:rPr>
      <w:rFonts w:ascii="Times New Roman" w:hAnsi="Times New Roman"/>
      <w:b/>
    </w:rPr>
  </w:style>
  <w:style w:type="paragraph" w:customStyle="1" w:styleId="dotpoint">
    <w:name w:val="dot point"/>
    <w:basedOn w:val="Normal"/>
    <w:rsid w:val="008C59E5"/>
    <w:pPr>
      <w:numPr>
        <w:numId w:val="24"/>
      </w:numPr>
      <w:spacing w:before="120" w:after="120" w:line="240" w:lineRule="auto"/>
    </w:pPr>
    <w:rPr>
      <w:rFonts w:ascii="Times New Roman" w:hAnsi="Times New Roman"/>
    </w:rPr>
  </w:style>
  <w:style w:type="paragraph" w:customStyle="1" w:styleId="ExampleHeading">
    <w:name w:val="Example Heading"/>
    <w:basedOn w:val="Normal"/>
    <w:next w:val="Normal"/>
    <w:rsid w:val="008C59E5"/>
    <w:pPr>
      <w:keepNext/>
      <w:numPr>
        <w:ilvl w:val="3"/>
        <w:numId w:val="23"/>
      </w:numPr>
      <w:spacing w:before="120" w:after="120" w:line="240" w:lineRule="auto"/>
    </w:pPr>
    <w:rPr>
      <w:rFonts w:ascii="Times New Roman" w:hAnsi="Times New Roman"/>
      <w:b/>
    </w:rPr>
  </w:style>
  <w:style w:type="paragraph" w:customStyle="1" w:styleId="TableHeadingoutsidetable">
    <w:name w:val="Table Heading (outside table)"/>
    <w:basedOn w:val="Heading4"/>
    <w:rsid w:val="008C59E5"/>
    <w:pPr>
      <w:numPr>
        <w:ilvl w:val="4"/>
        <w:numId w:val="23"/>
      </w:numPr>
      <w:tabs>
        <w:tab w:val="num" w:pos="360"/>
      </w:tabs>
      <w:spacing w:after="200"/>
      <w:ind w:left="0"/>
    </w:pPr>
    <w:rPr>
      <w:rFonts w:ascii="Times New Roman" w:hAnsi="Times New Roman"/>
      <w:b w:val="0"/>
      <w:bCs w:val="0"/>
      <w:i w:val="0"/>
      <w:iCs/>
      <w:color w:val="auto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3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Budget Blue">
  <a:themeElements>
    <a:clrScheme name="Budget Blu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2B54"/>
      </a:accent1>
      <a:accent2>
        <a:srgbClr val="CCD5DD"/>
      </a:accent2>
      <a:accent3>
        <a:srgbClr val="668098"/>
      </a:accent3>
      <a:accent4>
        <a:srgbClr val="99AABB"/>
      </a:accent4>
      <a:accent5>
        <a:srgbClr val="335576"/>
      </a:accent5>
      <a:accent6>
        <a:srgbClr val="7F7F7F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EF9A2-A71B-4736-857D-909DC1BDF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1360</Words>
  <Characters>7753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Single Disciplinary Body for Financial Advisers - Ready Reckoner</vt:lpstr>
    </vt:vector>
  </TitlesOfParts>
  <Company/>
  <LinksUpToDate>false</LinksUpToDate>
  <CharactersWithSpaces>9095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Single Disciplinary Body for Financial Advisers - Ready Reckoner</dc:title>
  <dc:subject/>
  <dc:creator/>
  <cp:keywords/>
  <cp:lastModifiedBy/>
  <cp:revision>1</cp:revision>
  <dcterms:created xsi:type="dcterms:W3CDTF">2021-04-14T00:40:00Z</dcterms:created>
  <dcterms:modified xsi:type="dcterms:W3CDTF">2021-04-14T00:41:00Z</dcterms:modified>
</cp:coreProperties>
</file>