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22D8E" w14:textId="77777777" w:rsidR="000E0B74" w:rsidRPr="006D0240" w:rsidRDefault="000E0B74" w:rsidP="008E6292"/>
    <w:p w14:paraId="13EA6C31" w14:textId="77777777" w:rsidR="000E0B74" w:rsidRPr="006D0240" w:rsidRDefault="000E0B74" w:rsidP="001D4EAA">
      <w:pPr>
        <w:pStyle w:val="Crest"/>
        <w:spacing w:after="1320"/>
        <w:jc w:val="left"/>
      </w:pPr>
    </w:p>
    <w:p w14:paraId="234551D8" w14:textId="79586F05" w:rsidR="005D6A29" w:rsidRDefault="005D6A29" w:rsidP="00585433">
      <w:pPr>
        <w:pStyle w:val="Title"/>
        <w:spacing w:before="1800"/>
      </w:pPr>
      <w:r>
        <w:t xml:space="preserve">Guaranteeing a minimum return of </w:t>
      </w:r>
      <w:r w:rsidR="009B373E">
        <w:t xml:space="preserve">class action </w:t>
      </w:r>
      <w:r>
        <w:t xml:space="preserve">proceeds to class members </w:t>
      </w:r>
    </w:p>
    <w:p w14:paraId="35618E3B" w14:textId="77777777" w:rsidR="005D6A29" w:rsidRPr="005D6A29" w:rsidRDefault="005D6A29" w:rsidP="005D6A29"/>
    <w:p w14:paraId="7A9A4133" w14:textId="77777777" w:rsidR="00056880" w:rsidRDefault="001C13F7" w:rsidP="001D4EAA">
      <w:pPr>
        <w:pStyle w:val="ReportDate"/>
        <w:rPr>
          <w:rFonts w:ascii="Rockwell" w:hAnsi="Rockwell"/>
          <w:sz w:val="24"/>
        </w:rPr>
      </w:pPr>
      <w:r>
        <w:rPr>
          <w:rStyle w:val="ReportDateChar"/>
        </w:rPr>
        <w:t>June 2021</w:t>
      </w:r>
    </w:p>
    <w:p w14:paraId="0AC44495" w14:textId="77777777" w:rsidR="002F617F" w:rsidRPr="001D4EAA" w:rsidRDefault="002F617F" w:rsidP="001D4EAA">
      <w:pPr>
        <w:spacing w:after="6000"/>
      </w:pPr>
    </w:p>
    <w:p w14:paraId="2687AFC5" w14:textId="77777777" w:rsidR="002F617F" w:rsidRDefault="002F617F"/>
    <w:p w14:paraId="3E6ECF6A" w14:textId="77777777" w:rsidR="000E0B74" w:rsidRDefault="000E0B74" w:rsidP="000E0B74">
      <w:pPr>
        <w:rPr>
          <w:rFonts w:cs="Calibri"/>
          <w:sz w:val="20"/>
        </w:rPr>
      </w:pPr>
    </w:p>
    <w:p w14:paraId="3C17EDD9" w14:textId="77777777" w:rsidR="000E0B74" w:rsidRDefault="000E0B74" w:rsidP="000E0B74">
      <w:pPr>
        <w:sectPr w:rsidR="000E0B74" w:rsidSect="00E1136B">
          <w:headerReference w:type="default" r:id="rId17"/>
          <w:footerReference w:type="default" r:id="rId18"/>
          <w:pgSz w:w="11906" w:h="16838"/>
          <w:pgMar w:top="1418" w:right="1418" w:bottom="1418" w:left="1418" w:header="709" w:footer="709" w:gutter="0"/>
          <w:pgNumType w:fmt="lowerRoman" w:start="1"/>
          <w:cols w:space="720"/>
        </w:sectPr>
      </w:pPr>
    </w:p>
    <w:p w14:paraId="7D0C7D96" w14:textId="77777777" w:rsidR="000E0B74" w:rsidRDefault="000E0B74" w:rsidP="000E0B74">
      <w:pPr>
        <w:spacing w:before="240"/>
      </w:pPr>
      <w:r w:rsidRPr="00E05FE6">
        <w:lastRenderedPageBreak/>
        <w:t>© Commonwealth of Australia 20</w:t>
      </w:r>
      <w:r w:rsidR="00EF2FBF" w:rsidRPr="00E05FE6">
        <w:t>2</w:t>
      </w:r>
      <w:r w:rsidR="00E05FE6" w:rsidRPr="00E05FE6">
        <w:t>1</w:t>
      </w:r>
    </w:p>
    <w:p w14:paraId="633AE8F0" w14:textId="54A3812C"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9"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20"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66072C5B" w14:textId="77777777" w:rsidR="000E0B74" w:rsidRDefault="000E0B74" w:rsidP="000E0B74">
      <w:pPr>
        <w:pStyle w:val="ChartGraphic"/>
        <w:jc w:val="left"/>
      </w:pPr>
      <w:r w:rsidRPr="00E56DFB">
        <w:rPr>
          <w:noProof/>
        </w:rPr>
        <w:drawing>
          <wp:inline distT="0" distB="0" distL="0" distR="0" wp14:anchorId="3C4867F4" wp14:editId="40C8DF5F">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3C3D91D9" w14:textId="16B4EC5E" w:rsidR="000E0B74" w:rsidRPr="006627B4" w:rsidRDefault="000E0B74" w:rsidP="000E0B74">
      <w:pPr>
        <w:tabs>
          <w:tab w:val="left" w:pos="1650"/>
        </w:tabs>
        <w:spacing w:before="240"/>
      </w:pPr>
      <w:r w:rsidRPr="006627B4">
        <w:t>Use of Treasury</w:t>
      </w:r>
      <w:r w:rsidR="00A74234">
        <w:t xml:space="preserve"> and Attorney-General’s Department</w:t>
      </w:r>
      <w:r w:rsidRPr="006627B4">
        <w:t xml:space="preserve"> material under a</w:t>
      </w:r>
      <w:r w:rsidRPr="00476F09">
        <w:rPr>
          <w:rFonts w:cstheme="minorHAnsi"/>
          <w:sz w:val="24"/>
          <w:szCs w:val="24"/>
        </w:rPr>
        <w:t xml:space="preserve"> </w:t>
      </w:r>
      <w:hyperlink r:id="rId22" w:history="1">
        <w:r w:rsidRPr="002F1BC2">
          <w:rPr>
            <w:rStyle w:val="Hyperlink"/>
          </w:rPr>
          <w:t>Creative Commons Attribution 3.0 Australia</w:t>
        </w:r>
      </w:hyperlink>
      <w:r w:rsidRPr="002F1BC2">
        <w:rPr>
          <w:rStyle w:val="Hyperlink"/>
        </w:rPr>
        <w:t xml:space="preserve"> </w:t>
      </w:r>
      <w:r w:rsidRPr="006627B4">
        <w:t xml:space="preserve">licence requires you to attribute the work (but not in any way that suggests that the Treasury </w:t>
      </w:r>
      <w:r w:rsidR="00A74234">
        <w:t>and Attorney-General’s Department</w:t>
      </w:r>
      <w:r w:rsidRPr="006627B4">
        <w:t xml:space="preserve"> endorse</w:t>
      </w:r>
      <w:r>
        <w:t>s you or your use of the work).</w:t>
      </w:r>
    </w:p>
    <w:p w14:paraId="2111162A" w14:textId="71D7B491" w:rsidR="000E0B74" w:rsidRPr="002F1BC2" w:rsidRDefault="000E0B74" w:rsidP="000E0B74">
      <w:pPr>
        <w:ind w:left="709"/>
        <w:rPr>
          <w:i/>
        </w:rPr>
      </w:pPr>
      <w:r w:rsidRPr="002F1BC2">
        <w:rPr>
          <w:i/>
        </w:rPr>
        <w:t xml:space="preserve">Treasury </w:t>
      </w:r>
      <w:r w:rsidR="00A74234" w:rsidRPr="009F4DA7">
        <w:rPr>
          <w:i/>
          <w:iCs/>
        </w:rPr>
        <w:t>and Attorney-General’s Department</w:t>
      </w:r>
      <w:r w:rsidRPr="002F1BC2">
        <w:rPr>
          <w:i/>
        </w:rPr>
        <w:t xml:space="preserve"> material used </w:t>
      </w:r>
      <w:r>
        <w:rPr>
          <w:i/>
        </w:rPr>
        <w:t>‘</w:t>
      </w:r>
      <w:r w:rsidRPr="002F1BC2">
        <w:rPr>
          <w:i/>
        </w:rPr>
        <w:t>as supplied</w:t>
      </w:r>
      <w:r>
        <w:rPr>
          <w:i/>
        </w:rPr>
        <w:t>’.</w:t>
      </w:r>
    </w:p>
    <w:p w14:paraId="278C050D" w14:textId="1F9F46A9" w:rsidR="000E0B74" w:rsidRPr="00476F09" w:rsidRDefault="000E0B74" w:rsidP="000E0B74">
      <w:pPr>
        <w:spacing w:before="240"/>
      </w:pPr>
      <w:r w:rsidRPr="00476F09">
        <w:t xml:space="preserve">Provided you have not modified or transformed Treasury </w:t>
      </w:r>
      <w:r w:rsidR="00130B65">
        <w:t>and Attorney-General’s Department</w:t>
      </w:r>
      <w:r w:rsidRPr="00476F09">
        <w:t xml:space="preserve"> material in any way including, for example, by</w:t>
      </w:r>
      <w:r>
        <w:t xml:space="preserve"> </w:t>
      </w:r>
      <w:r w:rsidRPr="0096692D">
        <w:t xml:space="preserve">changing the Treasury </w:t>
      </w:r>
      <w:r w:rsidR="00130B65">
        <w:t xml:space="preserve">and </w:t>
      </w:r>
      <w:r w:rsidR="001D1226">
        <w:t xml:space="preserve">the </w:t>
      </w:r>
      <w:r w:rsidR="00130B65">
        <w:t>Attorney-General’s Department</w:t>
      </w:r>
      <w:r w:rsidRPr="0096692D">
        <w:t xml:space="preserve"> text; calculating percentage changes; graphing or charting data</w:t>
      </w:r>
      <w:r>
        <w:t>;</w:t>
      </w:r>
      <w:r w:rsidRPr="0096692D">
        <w:t xml:space="preserve"> or deriving new statistics from published Treasury </w:t>
      </w:r>
      <w:r w:rsidR="00130B65">
        <w:t>and Attorney-General’s Department</w:t>
      </w:r>
      <w:r w:rsidR="00130B65" w:rsidRPr="006627B4">
        <w:t xml:space="preserve"> </w:t>
      </w:r>
      <w:r w:rsidRPr="0096692D">
        <w:t>statistics</w:t>
      </w:r>
      <w:r>
        <w:t xml:space="preserve"> — then Treasury</w:t>
      </w:r>
      <w:r w:rsidR="001D1226">
        <w:t xml:space="preserve"> and the Attorney-General’s Department</w:t>
      </w:r>
      <w:r>
        <w:t xml:space="preserve"> prefer t</w:t>
      </w:r>
      <w:r w:rsidRPr="00476F09">
        <w:t xml:space="preserve">he following attribution: </w:t>
      </w:r>
    </w:p>
    <w:p w14:paraId="41AA9B9D" w14:textId="062236C0" w:rsidR="000E0B74" w:rsidRPr="00A13A11" w:rsidRDefault="000E0B74" w:rsidP="000E0B74">
      <w:pPr>
        <w:ind w:firstLine="720"/>
      </w:pPr>
      <w:r w:rsidRPr="002F1BC2">
        <w:rPr>
          <w:i/>
        </w:rPr>
        <w:t xml:space="preserve">Source: The </w:t>
      </w:r>
      <w:r w:rsidRPr="002F1BC2">
        <w:rPr>
          <w:i/>
          <w:iCs/>
        </w:rPr>
        <w:t>Australian Government the Treasury</w:t>
      </w:r>
      <w:r w:rsidR="00A74234">
        <w:rPr>
          <w:i/>
          <w:iCs/>
        </w:rPr>
        <w:t xml:space="preserve"> </w:t>
      </w:r>
      <w:r w:rsidR="00A74234" w:rsidRPr="009F4DA7">
        <w:rPr>
          <w:i/>
          <w:iCs/>
        </w:rPr>
        <w:t xml:space="preserve">and </w:t>
      </w:r>
      <w:r w:rsidR="001D1226">
        <w:rPr>
          <w:i/>
          <w:iCs/>
        </w:rPr>
        <w:t xml:space="preserve">the </w:t>
      </w:r>
      <w:r w:rsidR="00A74234" w:rsidRPr="009F4DA7">
        <w:rPr>
          <w:i/>
          <w:iCs/>
        </w:rPr>
        <w:t>Attorney-General’s Department</w:t>
      </w:r>
      <w:r>
        <w:t>.</w:t>
      </w:r>
    </w:p>
    <w:p w14:paraId="4920B259" w14:textId="77777777" w:rsidR="000E0B74" w:rsidRPr="006627B4" w:rsidRDefault="000E0B74" w:rsidP="000E0B74">
      <w:pPr>
        <w:spacing w:before="240"/>
      </w:pPr>
      <w:r w:rsidRPr="00CC63CC">
        <w:rPr>
          <w:b/>
        </w:rPr>
        <w:t>Derivative</w:t>
      </w:r>
      <w:r w:rsidRPr="006627B4">
        <w:t xml:space="preserve"> </w:t>
      </w:r>
      <w:r w:rsidRPr="00CC63CC">
        <w:rPr>
          <w:b/>
        </w:rPr>
        <w:t>material</w:t>
      </w:r>
    </w:p>
    <w:p w14:paraId="0666D1C8" w14:textId="3C66746C" w:rsidR="000E0B74" w:rsidRPr="006627B4" w:rsidRDefault="000E0B74" w:rsidP="000E0B74">
      <w:r w:rsidRPr="006627B4">
        <w:t xml:space="preserve">If you have modified or transformed Treasury </w:t>
      </w:r>
      <w:r w:rsidR="00A74234">
        <w:t>and Attorney-General’s Department</w:t>
      </w:r>
      <w:r w:rsidRPr="006627B4">
        <w:t xml:space="preserve"> material, or derived new material from those of the Treasury</w:t>
      </w:r>
      <w:r w:rsidR="001D1226">
        <w:t xml:space="preserve"> or the Attorney-General’s Department</w:t>
      </w:r>
      <w:r w:rsidRPr="006627B4">
        <w:t xml:space="preserve"> in any way, then Treasury </w:t>
      </w:r>
      <w:r w:rsidR="001D1226">
        <w:t xml:space="preserve">and the Attorney-General’s Department </w:t>
      </w:r>
      <w:r w:rsidRPr="006627B4">
        <w:t xml:space="preserve">prefer the following attribution: </w:t>
      </w:r>
    </w:p>
    <w:p w14:paraId="318AAA24" w14:textId="5ABBDB40" w:rsidR="000E0B74" w:rsidRPr="006627B4" w:rsidRDefault="000E0B74" w:rsidP="00585433">
      <w:pPr>
        <w:ind w:left="709" w:firstLine="11"/>
      </w:pPr>
      <w:r w:rsidRPr="002F1BC2">
        <w:rPr>
          <w:i/>
        </w:rPr>
        <w:t xml:space="preserve">Based on The Australian Government the Treasury </w:t>
      </w:r>
      <w:r w:rsidR="00A74234">
        <w:rPr>
          <w:i/>
        </w:rPr>
        <w:t xml:space="preserve">and </w:t>
      </w:r>
      <w:r w:rsidR="001D1226">
        <w:rPr>
          <w:i/>
        </w:rPr>
        <w:t xml:space="preserve">the </w:t>
      </w:r>
      <w:r w:rsidR="00A74234">
        <w:rPr>
          <w:i/>
        </w:rPr>
        <w:t xml:space="preserve">Attorney-General’s Department </w:t>
      </w:r>
      <w:r w:rsidRPr="002F1BC2">
        <w:rPr>
          <w:i/>
        </w:rPr>
        <w:t>data</w:t>
      </w:r>
      <w:r>
        <w:t>.</w:t>
      </w:r>
    </w:p>
    <w:p w14:paraId="2FAE01AB" w14:textId="77777777" w:rsidR="000E0B74" w:rsidRPr="006627B4" w:rsidRDefault="000E0B74" w:rsidP="000E0B74">
      <w:pPr>
        <w:spacing w:before="240"/>
        <w:rPr>
          <w:b/>
        </w:rPr>
      </w:pPr>
      <w:r w:rsidRPr="006627B4">
        <w:rPr>
          <w:b/>
        </w:rPr>
        <w:t>Use of the Coat of Arms</w:t>
      </w:r>
    </w:p>
    <w:p w14:paraId="4182C7C0"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23" w:history="1">
        <w:r w:rsidR="00DF056F" w:rsidRPr="007902C3">
          <w:rPr>
            <w:rStyle w:val="Hyperlink"/>
          </w:rPr>
          <w:t>https://www.pmc.gov.au/government/commonwealth-coat-arms</w:t>
        </w:r>
      </w:hyperlink>
      <w:r w:rsidRPr="004A7BC2">
        <w:t>).</w:t>
      </w:r>
    </w:p>
    <w:p w14:paraId="5135E74B" w14:textId="77777777" w:rsidR="000E0B74" w:rsidRPr="006627B4" w:rsidRDefault="000E0B74" w:rsidP="000E0B74">
      <w:pPr>
        <w:spacing w:before="240"/>
        <w:rPr>
          <w:b/>
        </w:rPr>
      </w:pPr>
      <w:r>
        <w:rPr>
          <w:b/>
        </w:rPr>
        <w:t>Other u</w:t>
      </w:r>
      <w:r w:rsidRPr="006627B4">
        <w:rPr>
          <w:b/>
        </w:rPr>
        <w:t>ses</w:t>
      </w:r>
    </w:p>
    <w:p w14:paraId="1BF6FA38" w14:textId="77777777" w:rsidR="000E0B74" w:rsidRPr="006627B4" w:rsidRDefault="000E0B74" w:rsidP="000E0B74">
      <w:r>
        <w:t>E</w:t>
      </w:r>
      <w:r w:rsidRPr="006627B4">
        <w:t>nquiries regarding this licence and any other use of this document are welcome at:</w:t>
      </w:r>
    </w:p>
    <w:p w14:paraId="6CEA053E" w14:textId="77777777"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24" w:history="1">
        <w:r w:rsidR="004A077D" w:rsidRPr="000951A5">
          <w:rPr>
            <w:rStyle w:val="Hyperlink"/>
          </w:rPr>
          <w:t>media@treasury.gov.au</w:t>
        </w:r>
      </w:hyperlink>
      <w:r w:rsidR="004A077D">
        <w:t xml:space="preserve"> </w:t>
      </w:r>
    </w:p>
    <w:p w14:paraId="68D7FFA0" w14:textId="77777777" w:rsidR="000E0B74" w:rsidRDefault="000E0B74" w:rsidP="000E0B74">
      <w:pPr>
        <w:pStyle w:val="SingleParagraph"/>
        <w:sectPr w:rsidR="000E0B74" w:rsidSect="00475B7B">
          <w:headerReference w:type="even" r:id="rId25"/>
          <w:headerReference w:type="default" r:id="rId26"/>
          <w:footerReference w:type="even" r:id="rId27"/>
          <w:pgSz w:w="11906" w:h="16838" w:code="9"/>
          <w:pgMar w:top="1418" w:right="1418" w:bottom="1418" w:left="1418" w:header="709" w:footer="709" w:gutter="0"/>
          <w:pgNumType w:fmt="lowerRoman"/>
          <w:cols w:space="708"/>
          <w:titlePg/>
          <w:docGrid w:linePitch="360"/>
        </w:sectPr>
      </w:pPr>
    </w:p>
    <w:p w14:paraId="417690BD" w14:textId="77777777" w:rsidR="000E0B74" w:rsidRPr="00354FBB" w:rsidRDefault="000E0B74" w:rsidP="00354FBB">
      <w:pPr>
        <w:pStyle w:val="Heading1"/>
      </w:pPr>
      <w:bookmarkStart w:id="0" w:name="_Toc72163517"/>
      <w:bookmarkStart w:id="1" w:name="_Toc72418928"/>
      <w:bookmarkStart w:id="2" w:name="_Toc73440811"/>
      <w:r w:rsidRPr="00354FBB">
        <w:lastRenderedPageBreak/>
        <w:t>Contents</w:t>
      </w:r>
      <w:bookmarkEnd w:id="0"/>
      <w:bookmarkEnd w:id="1"/>
      <w:bookmarkEnd w:id="2"/>
    </w:p>
    <w:p w14:paraId="41EEE068" w14:textId="33B9D309" w:rsidR="00714AE1" w:rsidRDefault="00257AEE">
      <w:pPr>
        <w:pStyle w:val="TOC1"/>
        <w:rPr>
          <w:rFonts w:asciiTheme="minorHAnsi" w:eastAsiaTheme="minorEastAsia" w:hAnsiTheme="minorHAnsi" w:cstheme="minorBidi"/>
          <w:b w:val="0"/>
          <w:color w:val="auto"/>
        </w:rPr>
      </w:pPr>
      <w:r>
        <w:fldChar w:fldCharType="begin"/>
      </w:r>
      <w:r>
        <w:instrText xml:space="preserve"> TOC \o "1-2" \h \z \t "Heading 3,3,Chart Main Heading,3,Table Main Heading,3,Heading 3 Numbered,3,Table Heading Continued,3" </w:instrText>
      </w:r>
      <w:r>
        <w:fldChar w:fldCharType="separate"/>
      </w:r>
      <w:hyperlink w:anchor="_Toc73440811" w:history="1">
        <w:r w:rsidR="00714AE1" w:rsidRPr="00274844">
          <w:rPr>
            <w:rStyle w:val="Hyperlink"/>
          </w:rPr>
          <w:t>Contents</w:t>
        </w:r>
        <w:r w:rsidR="00714AE1">
          <w:rPr>
            <w:webHidden/>
          </w:rPr>
          <w:tab/>
        </w:r>
        <w:r w:rsidR="00714AE1">
          <w:rPr>
            <w:webHidden/>
          </w:rPr>
          <w:fldChar w:fldCharType="begin"/>
        </w:r>
        <w:r w:rsidR="00714AE1">
          <w:rPr>
            <w:webHidden/>
          </w:rPr>
          <w:instrText xml:space="preserve"> PAGEREF _Toc73440811 \h </w:instrText>
        </w:r>
        <w:r w:rsidR="00714AE1">
          <w:rPr>
            <w:webHidden/>
          </w:rPr>
        </w:r>
        <w:r w:rsidR="00714AE1">
          <w:rPr>
            <w:webHidden/>
          </w:rPr>
          <w:fldChar w:fldCharType="separate"/>
        </w:r>
        <w:r w:rsidR="00FC2824">
          <w:rPr>
            <w:webHidden/>
          </w:rPr>
          <w:t>iii</w:t>
        </w:r>
        <w:r w:rsidR="00714AE1">
          <w:rPr>
            <w:webHidden/>
          </w:rPr>
          <w:fldChar w:fldCharType="end"/>
        </w:r>
      </w:hyperlink>
    </w:p>
    <w:p w14:paraId="0423C788" w14:textId="430B3FD3" w:rsidR="00714AE1" w:rsidRDefault="00844C52">
      <w:pPr>
        <w:pStyle w:val="TOC1"/>
        <w:rPr>
          <w:rFonts w:asciiTheme="minorHAnsi" w:eastAsiaTheme="minorEastAsia" w:hAnsiTheme="minorHAnsi" w:cstheme="minorBidi"/>
          <w:b w:val="0"/>
          <w:color w:val="auto"/>
        </w:rPr>
      </w:pPr>
      <w:hyperlink w:anchor="_Toc73440812" w:history="1">
        <w:r w:rsidR="00714AE1" w:rsidRPr="00274844">
          <w:rPr>
            <w:rStyle w:val="Hyperlink"/>
          </w:rPr>
          <w:t>Consultation process</w:t>
        </w:r>
        <w:r w:rsidR="00714AE1">
          <w:rPr>
            <w:webHidden/>
          </w:rPr>
          <w:tab/>
        </w:r>
        <w:r w:rsidR="00714AE1">
          <w:rPr>
            <w:webHidden/>
          </w:rPr>
          <w:fldChar w:fldCharType="begin"/>
        </w:r>
        <w:r w:rsidR="00714AE1">
          <w:rPr>
            <w:webHidden/>
          </w:rPr>
          <w:instrText xml:space="preserve"> PAGEREF _Toc73440812 \h </w:instrText>
        </w:r>
        <w:r w:rsidR="00714AE1">
          <w:rPr>
            <w:webHidden/>
          </w:rPr>
        </w:r>
        <w:r w:rsidR="00714AE1">
          <w:rPr>
            <w:webHidden/>
          </w:rPr>
          <w:fldChar w:fldCharType="separate"/>
        </w:r>
        <w:r w:rsidR="00FC2824">
          <w:rPr>
            <w:webHidden/>
          </w:rPr>
          <w:t>1</w:t>
        </w:r>
        <w:r w:rsidR="00714AE1">
          <w:rPr>
            <w:webHidden/>
          </w:rPr>
          <w:fldChar w:fldCharType="end"/>
        </w:r>
      </w:hyperlink>
    </w:p>
    <w:p w14:paraId="6BAA6666" w14:textId="04F35385" w:rsidR="00714AE1" w:rsidRDefault="00844C52">
      <w:pPr>
        <w:pStyle w:val="TOC2"/>
        <w:rPr>
          <w:rFonts w:asciiTheme="minorHAnsi" w:eastAsiaTheme="minorEastAsia" w:hAnsiTheme="minorHAnsi" w:cstheme="minorBidi"/>
          <w:color w:val="auto"/>
          <w:szCs w:val="22"/>
        </w:rPr>
      </w:pPr>
      <w:hyperlink w:anchor="_Toc73440813" w:history="1">
        <w:r w:rsidR="00714AE1" w:rsidRPr="00274844">
          <w:rPr>
            <w:rStyle w:val="Hyperlink"/>
          </w:rPr>
          <w:t>Request for feedback and comments</w:t>
        </w:r>
        <w:r w:rsidR="00714AE1">
          <w:rPr>
            <w:webHidden/>
          </w:rPr>
          <w:tab/>
        </w:r>
        <w:r w:rsidR="00714AE1">
          <w:rPr>
            <w:webHidden/>
          </w:rPr>
          <w:fldChar w:fldCharType="begin"/>
        </w:r>
        <w:r w:rsidR="00714AE1">
          <w:rPr>
            <w:webHidden/>
          </w:rPr>
          <w:instrText xml:space="preserve"> PAGEREF _Toc73440813 \h </w:instrText>
        </w:r>
        <w:r w:rsidR="00714AE1">
          <w:rPr>
            <w:webHidden/>
          </w:rPr>
        </w:r>
        <w:r w:rsidR="00714AE1">
          <w:rPr>
            <w:webHidden/>
          </w:rPr>
          <w:fldChar w:fldCharType="separate"/>
        </w:r>
        <w:r w:rsidR="00FC2824">
          <w:rPr>
            <w:webHidden/>
          </w:rPr>
          <w:t>1</w:t>
        </w:r>
        <w:r w:rsidR="00714AE1">
          <w:rPr>
            <w:webHidden/>
          </w:rPr>
          <w:fldChar w:fldCharType="end"/>
        </w:r>
      </w:hyperlink>
    </w:p>
    <w:p w14:paraId="03274787" w14:textId="43361A4C" w:rsidR="00714AE1" w:rsidRDefault="00844C52">
      <w:pPr>
        <w:pStyle w:val="TOC1"/>
        <w:rPr>
          <w:rFonts w:asciiTheme="minorHAnsi" w:eastAsiaTheme="minorEastAsia" w:hAnsiTheme="minorHAnsi" w:cstheme="minorBidi"/>
          <w:b w:val="0"/>
          <w:color w:val="auto"/>
        </w:rPr>
      </w:pPr>
      <w:hyperlink w:anchor="_Toc73440814" w:history="1">
        <w:r w:rsidR="00714AE1" w:rsidRPr="00274844">
          <w:rPr>
            <w:rStyle w:val="Hyperlink"/>
          </w:rPr>
          <w:t>Guaranteeing a minimum return of class action proceeds to class members</w:t>
        </w:r>
        <w:r w:rsidR="00714AE1">
          <w:rPr>
            <w:webHidden/>
          </w:rPr>
          <w:tab/>
        </w:r>
        <w:r w:rsidR="00714AE1">
          <w:rPr>
            <w:webHidden/>
          </w:rPr>
          <w:fldChar w:fldCharType="begin"/>
        </w:r>
        <w:r w:rsidR="00714AE1">
          <w:rPr>
            <w:webHidden/>
          </w:rPr>
          <w:instrText xml:space="preserve"> PAGEREF _Toc73440814 \h </w:instrText>
        </w:r>
        <w:r w:rsidR="00714AE1">
          <w:rPr>
            <w:webHidden/>
          </w:rPr>
        </w:r>
        <w:r w:rsidR="00714AE1">
          <w:rPr>
            <w:webHidden/>
          </w:rPr>
          <w:fldChar w:fldCharType="separate"/>
        </w:r>
        <w:r w:rsidR="00FC2824">
          <w:rPr>
            <w:webHidden/>
          </w:rPr>
          <w:t>2</w:t>
        </w:r>
        <w:r w:rsidR="00714AE1">
          <w:rPr>
            <w:webHidden/>
          </w:rPr>
          <w:fldChar w:fldCharType="end"/>
        </w:r>
      </w:hyperlink>
    </w:p>
    <w:p w14:paraId="14EFABE2" w14:textId="2736B101" w:rsidR="00714AE1" w:rsidRDefault="00844C52">
      <w:pPr>
        <w:pStyle w:val="TOC2"/>
        <w:rPr>
          <w:rFonts w:asciiTheme="minorHAnsi" w:eastAsiaTheme="minorEastAsia" w:hAnsiTheme="minorHAnsi" w:cstheme="minorBidi"/>
          <w:color w:val="auto"/>
          <w:szCs w:val="22"/>
        </w:rPr>
      </w:pPr>
      <w:hyperlink w:anchor="_Toc73440815" w:history="1">
        <w:r w:rsidR="00714AE1" w:rsidRPr="00274844">
          <w:rPr>
            <w:rStyle w:val="Hyperlink"/>
          </w:rPr>
          <w:t>Background</w:t>
        </w:r>
        <w:r w:rsidR="00714AE1">
          <w:rPr>
            <w:webHidden/>
          </w:rPr>
          <w:tab/>
        </w:r>
        <w:r w:rsidR="00714AE1">
          <w:rPr>
            <w:webHidden/>
          </w:rPr>
          <w:fldChar w:fldCharType="begin"/>
        </w:r>
        <w:r w:rsidR="00714AE1">
          <w:rPr>
            <w:webHidden/>
          </w:rPr>
          <w:instrText xml:space="preserve"> PAGEREF _Toc73440815 \h </w:instrText>
        </w:r>
        <w:r w:rsidR="00714AE1">
          <w:rPr>
            <w:webHidden/>
          </w:rPr>
        </w:r>
        <w:r w:rsidR="00714AE1">
          <w:rPr>
            <w:webHidden/>
          </w:rPr>
          <w:fldChar w:fldCharType="separate"/>
        </w:r>
        <w:r w:rsidR="00FC2824">
          <w:rPr>
            <w:webHidden/>
          </w:rPr>
          <w:t>2</w:t>
        </w:r>
        <w:r w:rsidR="00714AE1">
          <w:rPr>
            <w:webHidden/>
          </w:rPr>
          <w:fldChar w:fldCharType="end"/>
        </w:r>
      </w:hyperlink>
    </w:p>
    <w:p w14:paraId="49A1CC87" w14:textId="14EA66E5" w:rsidR="00714AE1" w:rsidRDefault="00844C52">
      <w:pPr>
        <w:pStyle w:val="TOC3"/>
        <w:rPr>
          <w:rFonts w:asciiTheme="minorHAnsi" w:eastAsiaTheme="minorEastAsia" w:hAnsiTheme="minorHAnsi" w:cstheme="minorBidi"/>
          <w:color w:val="auto"/>
          <w:szCs w:val="22"/>
        </w:rPr>
      </w:pPr>
      <w:hyperlink w:anchor="_Toc73440816" w:history="1">
        <w:r w:rsidR="00714AE1" w:rsidRPr="00274844">
          <w:rPr>
            <w:rStyle w:val="Hyperlink"/>
          </w:rPr>
          <w:t>Litigation funding in Australia</w:t>
        </w:r>
        <w:r w:rsidR="00714AE1">
          <w:rPr>
            <w:webHidden/>
          </w:rPr>
          <w:tab/>
        </w:r>
        <w:r w:rsidR="00714AE1">
          <w:rPr>
            <w:webHidden/>
          </w:rPr>
          <w:fldChar w:fldCharType="begin"/>
        </w:r>
        <w:r w:rsidR="00714AE1">
          <w:rPr>
            <w:webHidden/>
          </w:rPr>
          <w:instrText xml:space="preserve"> PAGEREF _Toc73440816 \h </w:instrText>
        </w:r>
        <w:r w:rsidR="00714AE1">
          <w:rPr>
            <w:webHidden/>
          </w:rPr>
        </w:r>
        <w:r w:rsidR="00714AE1">
          <w:rPr>
            <w:webHidden/>
          </w:rPr>
          <w:fldChar w:fldCharType="separate"/>
        </w:r>
        <w:r w:rsidR="00FC2824">
          <w:rPr>
            <w:webHidden/>
          </w:rPr>
          <w:t>2</w:t>
        </w:r>
        <w:r w:rsidR="00714AE1">
          <w:rPr>
            <w:webHidden/>
          </w:rPr>
          <w:fldChar w:fldCharType="end"/>
        </w:r>
      </w:hyperlink>
    </w:p>
    <w:p w14:paraId="5F303633" w14:textId="0B5E6273" w:rsidR="00714AE1" w:rsidRDefault="00844C52">
      <w:pPr>
        <w:pStyle w:val="TOC3"/>
        <w:rPr>
          <w:rFonts w:asciiTheme="minorHAnsi" w:eastAsiaTheme="minorEastAsia" w:hAnsiTheme="minorHAnsi" w:cstheme="minorBidi"/>
          <w:color w:val="auto"/>
          <w:szCs w:val="22"/>
        </w:rPr>
      </w:pPr>
      <w:hyperlink w:anchor="_Toc73440817" w:history="1">
        <w:r w:rsidR="00714AE1" w:rsidRPr="00274844">
          <w:rPr>
            <w:rStyle w:val="Hyperlink"/>
          </w:rPr>
          <w:t>Litigation funding arrangements for Federal Court of Australia matters</w:t>
        </w:r>
        <w:r w:rsidR="00714AE1">
          <w:rPr>
            <w:webHidden/>
          </w:rPr>
          <w:tab/>
        </w:r>
        <w:r w:rsidR="00714AE1">
          <w:rPr>
            <w:webHidden/>
          </w:rPr>
          <w:fldChar w:fldCharType="begin"/>
        </w:r>
        <w:r w:rsidR="00714AE1">
          <w:rPr>
            <w:webHidden/>
          </w:rPr>
          <w:instrText xml:space="preserve"> PAGEREF _Toc73440817 \h </w:instrText>
        </w:r>
        <w:r w:rsidR="00714AE1">
          <w:rPr>
            <w:webHidden/>
          </w:rPr>
        </w:r>
        <w:r w:rsidR="00714AE1">
          <w:rPr>
            <w:webHidden/>
          </w:rPr>
          <w:fldChar w:fldCharType="separate"/>
        </w:r>
        <w:r w:rsidR="00FC2824">
          <w:rPr>
            <w:webHidden/>
          </w:rPr>
          <w:t>2</w:t>
        </w:r>
        <w:r w:rsidR="00714AE1">
          <w:rPr>
            <w:webHidden/>
          </w:rPr>
          <w:fldChar w:fldCharType="end"/>
        </w:r>
      </w:hyperlink>
    </w:p>
    <w:p w14:paraId="579C3697" w14:textId="1F89586D" w:rsidR="00714AE1" w:rsidRDefault="00844C52">
      <w:pPr>
        <w:pStyle w:val="TOC3"/>
        <w:rPr>
          <w:rFonts w:asciiTheme="minorHAnsi" w:eastAsiaTheme="minorEastAsia" w:hAnsiTheme="minorHAnsi" w:cstheme="minorBidi"/>
          <w:color w:val="auto"/>
          <w:szCs w:val="22"/>
        </w:rPr>
      </w:pPr>
      <w:hyperlink w:anchor="_Toc73440818" w:history="1">
        <w:r w:rsidR="00714AE1" w:rsidRPr="00274844">
          <w:rPr>
            <w:rStyle w:val="Hyperlink"/>
          </w:rPr>
          <w:t>Report of the Parliamentary Joint Committee on Corporations and Financial Services</w:t>
        </w:r>
        <w:r w:rsidR="00714AE1">
          <w:rPr>
            <w:webHidden/>
          </w:rPr>
          <w:tab/>
        </w:r>
        <w:r w:rsidR="00714AE1">
          <w:rPr>
            <w:webHidden/>
          </w:rPr>
          <w:fldChar w:fldCharType="begin"/>
        </w:r>
        <w:r w:rsidR="00714AE1">
          <w:rPr>
            <w:webHidden/>
          </w:rPr>
          <w:instrText xml:space="preserve"> PAGEREF _Toc73440818 \h </w:instrText>
        </w:r>
        <w:r w:rsidR="00714AE1">
          <w:rPr>
            <w:webHidden/>
          </w:rPr>
        </w:r>
        <w:r w:rsidR="00714AE1">
          <w:rPr>
            <w:webHidden/>
          </w:rPr>
          <w:fldChar w:fldCharType="separate"/>
        </w:r>
        <w:r w:rsidR="00FC2824">
          <w:rPr>
            <w:webHidden/>
          </w:rPr>
          <w:t>3</w:t>
        </w:r>
        <w:r w:rsidR="00714AE1">
          <w:rPr>
            <w:webHidden/>
          </w:rPr>
          <w:fldChar w:fldCharType="end"/>
        </w:r>
      </w:hyperlink>
    </w:p>
    <w:p w14:paraId="1EE7268F" w14:textId="1732AB62" w:rsidR="00714AE1" w:rsidRDefault="00844C52">
      <w:pPr>
        <w:pStyle w:val="TOC2"/>
        <w:rPr>
          <w:rFonts w:asciiTheme="minorHAnsi" w:eastAsiaTheme="minorEastAsia" w:hAnsiTheme="minorHAnsi" w:cstheme="minorBidi"/>
          <w:color w:val="auto"/>
          <w:szCs w:val="22"/>
        </w:rPr>
      </w:pPr>
      <w:hyperlink w:anchor="_Toc73440819" w:history="1">
        <w:r w:rsidR="00714AE1" w:rsidRPr="00274844">
          <w:rPr>
            <w:rStyle w:val="Hyperlink"/>
          </w:rPr>
          <w:t>Consultation objectives</w:t>
        </w:r>
        <w:r w:rsidR="00714AE1">
          <w:rPr>
            <w:webHidden/>
          </w:rPr>
          <w:tab/>
        </w:r>
        <w:r w:rsidR="00714AE1">
          <w:rPr>
            <w:webHidden/>
          </w:rPr>
          <w:fldChar w:fldCharType="begin"/>
        </w:r>
        <w:r w:rsidR="00714AE1">
          <w:rPr>
            <w:webHidden/>
          </w:rPr>
          <w:instrText xml:space="preserve"> PAGEREF _Toc73440819 \h </w:instrText>
        </w:r>
        <w:r w:rsidR="00714AE1">
          <w:rPr>
            <w:webHidden/>
          </w:rPr>
        </w:r>
        <w:r w:rsidR="00714AE1">
          <w:rPr>
            <w:webHidden/>
          </w:rPr>
          <w:fldChar w:fldCharType="separate"/>
        </w:r>
        <w:r w:rsidR="00FC2824">
          <w:rPr>
            <w:webHidden/>
          </w:rPr>
          <w:t>4</w:t>
        </w:r>
        <w:r w:rsidR="00714AE1">
          <w:rPr>
            <w:webHidden/>
          </w:rPr>
          <w:fldChar w:fldCharType="end"/>
        </w:r>
      </w:hyperlink>
    </w:p>
    <w:p w14:paraId="24BEFE6A" w14:textId="3C03652D" w:rsidR="00714AE1" w:rsidRDefault="00844C52">
      <w:pPr>
        <w:pStyle w:val="TOC2"/>
        <w:rPr>
          <w:rFonts w:asciiTheme="minorHAnsi" w:eastAsiaTheme="minorEastAsia" w:hAnsiTheme="minorHAnsi" w:cstheme="minorBidi"/>
          <w:color w:val="auto"/>
          <w:szCs w:val="22"/>
        </w:rPr>
      </w:pPr>
      <w:hyperlink w:anchor="_Toc73440820" w:history="1">
        <w:r w:rsidR="00714AE1" w:rsidRPr="00274844">
          <w:rPr>
            <w:rStyle w:val="Hyperlink"/>
          </w:rPr>
          <w:t>A guaranteed statutory minimum return for class members</w:t>
        </w:r>
        <w:r w:rsidR="00714AE1">
          <w:rPr>
            <w:webHidden/>
          </w:rPr>
          <w:tab/>
        </w:r>
        <w:r w:rsidR="00714AE1">
          <w:rPr>
            <w:webHidden/>
          </w:rPr>
          <w:fldChar w:fldCharType="begin"/>
        </w:r>
        <w:r w:rsidR="00714AE1">
          <w:rPr>
            <w:webHidden/>
          </w:rPr>
          <w:instrText xml:space="preserve"> PAGEREF _Toc73440820 \h </w:instrText>
        </w:r>
        <w:r w:rsidR="00714AE1">
          <w:rPr>
            <w:webHidden/>
          </w:rPr>
        </w:r>
        <w:r w:rsidR="00714AE1">
          <w:rPr>
            <w:webHidden/>
          </w:rPr>
          <w:fldChar w:fldCharType="separate"/>
        </w:r>
        <w:r w:rsidR="00FC2824">
          <w:rPr>
            <w:webHidden/>
          </w:rPr>
          <w:t>4</w:t>
        </w:r>
        <w:r w:rsidR="00714AE1">
          <w:rPr>
            <w:webHidden/>
          </w:rPr>
          <w:fldChar w:fldCharType="end"/>
        </w:r>
      </w:hyperlink>
    </w:p>
    <w:p w14:paraId="4E32E067" w14:textId="52CFE133" w:rsidR="00714AE1" w:rsidRDefault="00844C52">
      <w:pPr>
        <w:pStyle w:val="TOC3"/>
        <w:rPr>
          <w:rFonts w:asciiTheme="minorHAnsi" w:eastAsiaTheme="minorEastAsia" w:hAnsiTheme="minorHAnsi" w:cstheme="minorBidi"/>
          <w:color w:val="auto"/>
          <w:szCs w:val="22"/>
        </w:rPr>
      </w:pPr>
      <w:hyperlink w:anchor="_Toc73440821" w:history="1">
        <w:r w:rsidR="00714AE1" w:rsidRPr="00274844">
          <w:rPr>
            <w:rStyle w:val="Hyperlink"/>
          </w:rPr>
          <w:t>Design of a guaranteed floor for returns</w:t>
        </w:r>
        <w:r w:rsidR="00714AE1">
          <w:rPr>
            <w:webHidden/>
          </w:rPr>
          <w:tab/>
        </w:r>
        <w:r w:rsidR="00714AE1">
          <w:rPr>
            <w:webHidden/>
          </w:rPr>
          <w:fldChar w:fldCharType="begin"/>
        </w:r>
        <w:r w:rsidR="00714AE1">
          <w:rPr>
            <w:webHidden/>
          </w:rPr>
          <w:instrText xml:space="preserve"> PAGEREF _Toc73440821 \h </w:instrText>
        </w:r>
        <w:r w:rsidR="00714AE1">
          <w:rPr>
            <w:webHidden/>
          </w:rPr>
        </w:r>
        <w:r w:rsidR="00714AE1">
          <w:rPr>
            <w:webHidden/>
          </w:rPr>
          <w:fldChar w:fldCharType="separate"/>
        </w:r>
        <w:r w:rsidR="00FC2824">
          <w:rPr>
            <w:webHidden/>
          </w:rPr>
          <w:t>4</w:t>
        </w:r>
        <w:r w:rsidR="00714AE1">
          <w:rPr>
            <w:webHidden/>
          </w:rPr>
          <w:fldChar w:fldCharType="end"/>
        </w:r>
      </w:hyperlink>
    </w:p>
    <w:p w14:paraId="10D7BC97" w14:textId="58986233" w:rsidR="00714AE1" w:rsidRDefault="00844C52">
      <w:pPr>
        <w:pStyle w:val="TOC3"/>
        <w:rPr>
          <w:rFonts w:asciiTheme="minorHAnsi" w:eastAsiaTheme="minorEastAsia" w:hAnsiTheme="minorHAnsi" w:cstheme="minorBidi"/>
          <w:color w:val="auto"/>
          <w:szCs w:val="22"/>
        </w:rPr>
      </w:pPr>
      <w:hyperlink w:anchor="_Toc73440822" w:history="1">
        <w:r w:rsidR="00714AE1" w:rsidRPr="00274844">
          <w:rPr>
            <w:rStyle w:val="Hyperlink"/>
          </w:rPr>
          <w:t>A graduated approach</w:t>
        </w:r>
        <w:r w:rsidR="00714AE1">
          <w:rPr>
            <w:webHidden/>
          </w:rPr>
          <w:tab/>
        </w:r>
        <w:r w:rsidR="00714AE1">
          <w:rPr>
            <w:webHidden/>
          </w:rPr>
          <w:fldChar w:fldCharType="begin"/>
        </w:r>
        <w:r w:rsidR="00714AE1">
          <w:rPr>
            <w:webHidden/>
          </w:rPr>
          <w:instrText xml:space="preserve"> PAGEREF _Toc73440822 \h </w:instrText>
        </w:r>
        <w:r w:rsidR="00714AE1">
          <w:rPr>
            <w:webHidden/>
          </w:rPr>
        </w:r>
        <w:r w:rsidR="00714AE1">
          <w:rPr>
            <w:webHidden/>
          </w:rPr>
          <w:fldChar w:fldCharType="separate"/>
        </w:r>
        <w:r w:rsidR="00FC2824">
          <w:rPr>
            <w:webHidden/>
          </w:rPr>
          <w:t>5</w:t>
        </w:r>
        <w:r w:rsidR="00714AE1">
          <w:rPr>
            <w:webHidden/>
          </w:rPr>
          <w:fldChar w:fldCharType="end"/>
        </w:r>
      </w:hyperlink>
    </w:p>
    <w:p w14:paraId="3F6AB948" w14:textId="2CC94298" w:rsidR="00714AE1" w:rsidRDefault="00844C52">
      <w:pPr>
        <w:pStyle w:val="TOC3"/>
        <w:rPr>
          <w:rFonts w:asciiTheme="minorHAnsi" w:eastAsiaTheme="minorEastAsia" w:hAnsiTheme="minorHAnsi" w:cstheme="minorBidi"/>
          <w:color w:val="auto"/>
          <w:szCs w:val="22"/>
        </w:rPr>
      </w:pPr>
      <w:hyperlink w:anchor="_Toc73440823" w:history="1">
        <w:r w:rsidR="00714AE1" w:rsidRPr="00274844">
          <w:rPr>
            <w:rStyle w:val="Hyperlink"/>
          </w:rPr>
          <w:t>Additional issues</w:t>
        </w:r>
        <w:r w:rsidR="00714AE1">
          <w:rPr>
            <w:webHidden/>
          </w:rPr>
          <w:tab/>
        </w:r>
        <w:r w:rsidR="00714AE1">
          <w:rPr>
            <w:webHidden/>
          </w:rPr>
          <w:fldChar w:fldCharType="begin"/>
        </w:r>
        <w:r w:rsidR="00714AE1">
          <w:rPr>
            <w:webHidden/>
          </w:rPr>
          <w:instrText xml:space="preserve"> PAGEREF _Toc73440823 \h </w:instrText>
        </w:r>
        <w:r w:rsidR="00714AE1">
          <w:rPr>
            <w:webHidden/>
          </w:rPr>
        </w:r>
        <w:r w:rsidR="00714AE1">
          <w:rPr>
            <w:webHidden/>
          </w:rPr>
          <w:fldChar w:fldCharType="separate"/>
        </w:r>
        <w:r w:rsidR="00FC2824">
          <w:rPr>
            <w:webHidden/>
          </w:rPr>
          <w:t>5</w:t>
        </w:r>
        <w:r w:rsidR="00714AE1">
          <w:rPr>
            <w:webHidden/>
          </w:rPr>
          <w:fldChar w:fldCharType="end"/>
        </w:r>
      </w:hyperlink>
    </w:p>
    <w:p w14:paraId="481FD2E8" w14:textId="7C52E37B" w:rsidR="000E0B74" w:rsidRDefault="00257AEE" w:rsidP="00656356">
      <w:pPr>
        <w:pStyle w:val="SingleParagraph"/>
        <w:tabs>
          <w:tab w:val="right" w:leader="dot" w:pos="9072"/>
        </w:tabs>
        <w:ind w:right="-2"/>
        <w:sectPr w:rsidR="000E0B74" w:rsidSect="00475B7B">
          <w:pgSz w:w="11906" w:h="16838" w:code="9"/>
          <w:pgMar w:top="1418" w:right="1418" w:bottom="1418" w:left="1418" w:header="709" w:footer="709" w:gutter="0"/>
          <w:pgNumType w:fmt="lowerRoman"/>
          <w:cols w:space="708"/>
          <w:titlePg/>
          <w:docGrid w:linePitch="360"/>
        </w:sectPr>
      </w:pPr>
      <w:r>
        <w:rPr>
          <w:noProof/>
          <w:color w:val="004A7F"/>
          <w:szCs w:val="22"/>
        </w:rPr>
        <w:fldChar w:fldCharType="end"/>
      </w:r>
    </w:p>
    <w:p w14:paraId="07EAE906" w14:textId="77777777" w:rsidR="000E0B74" w:rsidRDefault="000E0B74" w:rsidP="00354FBB">
      <w:pPr>
        <w:pStyle w:val="Heading1"/>
      </w:pPr>
      <w:bookmarkStart w:id="3" w:name="_Toc72163518"/>
      <w:bookmarkStart w:id="4" w:name="_Toc72418929"/>
      <w:bookmarkStart w:id="5" w:name="_Toc73440812"/>
      <w:bookmarkStart w:id="6" w:name="_Toc432067103"/>
      <w:r>
        <w:lastRenderedPageBreak/>
        <w:t xml:space="preserve">Consultation </w:t>
      </w:r>
      <w:r w:rsidR="001922C7">
        <w:t>p</w:t>
      </w:r>
      <w:r>
        <w:t>rocess</w:t>
      </w:r>
      <w:bookmarkEnd w:id="3"/>
      <w:bookmarkEnd w:id="4"/>
      <w:bookmarkEnd w:id="5"/>
    </w:p>
    <w:p w14:paraId="59FA3D61" w14:textId="77777777" w:rsidR="000E0B74" w:rsidRDefault="000E0B74" w:rsidP="000E0B74">
      <w:pPr>
        <w:pStyle w:val="Heading2"/>
      </w:pPr>
      <w:bookmarkStart w:id="7" w:name="_Toc72163519"/>
      <w:bookmarkStart w:id="8" w:name="_Toc72418930"/>
      <w:bookmarkStart w:id="9" w:name="_Toc73440813"/>
      <w:r>
        <w:t>Request for feedback and comments</w:t>
      </w:r>
      <w:bookmarkEnd w:id="7"/>
      <w:bookmarkEnd w:id="8"/>
      <w:bookmarkEnd w:id="9"/>
    </w:p>
    <w:p w14:paraId="7011A6E6" w14:textId="77777777" w:rsidR="000E0B74" w:rsidRDefault="0005199B" w:rsidP="000E0B74">
      <w:r>
        <w:t xml:space="preserve">Interested parties are invited to comment on the issues raised in this consultation paper. </w:t>
      </w:r>
    </w:p>
    <w:p w14:paraId="703CBEA3" w14:textId="77777777" w:rsidR="0005199B" w:rsidRDefault="0005199B" w:rsidP="000E0B74">
      <w:r>
        <w:t xml:space="preserve">While submissions may be lodged electronically or by post, electronic lodgement is preferred. </w:t>
      </w:r>
    </w:p>
    <w:p w14:paraId="656A616F" w14:textId="77777777" w:rsidR="0005199B" w:rsidRDefault="0005199B" w:rsidP="000E0B74">
      <w:r>
        <w:t xml:space="preserve">All information (including name and address details) contained in </w:t>
      </w:r>
      <w:r w:rsidR="00061F00">
        <w:t xml:space="preserve">formal </w:t>
      </w:r>
      <w:r>
        <w:t xml:space="preserve">submissions will be made available to the public on the Australian Treasury website, unless you indicate that you would like all or part of your submission to remain in confidence. Automatically </w:t>
      </w:r>
      <w:r w:rsidR="00061F00">
        <w:t xml:space="preserve">generated confidentiality statements in emails do not suffice for this purpose. </w:t>
      </w:r>
    </w:p>
    <w:p w14:paraId="3D28C0A8" w14:textId="44F5F0A6" w:rsidR="00061F00" w:rsidRDefault="00061F00" w:rsidP="000E0B74">
      <w:r>
        <w:t xml:space="preserve">Legal requirements such as those imposed by the </w:t>
      </w:r>
      <w:r>
        <w:rPr>
          <w:i/>
        </w:rPr>
        <w:t>Freedom of Information Act 1982</w:t>
      </w:r>
      <w:r w:rsidR="0086604F">
        <w:rPr>
          <w:i/>
        </w:rPr>
        <w:t xml:space="preserve"> </w:t>
      </w:r>
      <w:r w:rsidR="0086604F" w:rsidRPr="00D91AC8">
        <w:rPr>
          <w:iCs/>
        </w:rPr>
        <w:t>(</w:t>
      </w:r>
      <w:proofErr w:type="spellStart"/>
      <w:r w:rsidR="0086604F" w:rsidRPr="00D91AC8">
        <w:rPr>
          <w:iCs/>
        </w:rPr>
        <w:t>Cth</w:t>
      </w:r>
      <w:proofErr w:type="spellEnd"/>
      <w:r w:rsidR="0086604F" w:rsidRPr="00D91AC8">
        <w:rPr>
          <w:iCs/>
        </w:rPr>
        <w:t>)</w:t>
      </w:r>
      <w:r w:rsidRPr="00D91AC8">
        <w:rPr>
          <w:iCs/>
        </w:rPr>
        <w:t>,</w:t>
      </w:r>
      <w:r w:rsidRPr="00061F00">
        <w:t xml:space="preserve"> may affect </w:t>
      </w:r>
      <w:r>
        <w:t xml:space="preserve">the </w:t>
      </w:r>
      <w:r w:rsidRPr="00061F00">
        <w:t xml:space="preserve">confidentiality of your submission. </w:t>
      </w:r>
    </w:p>
    <w:p w14:paraId="5F73C4FF" w14:textId="77777777" w:rsidR="00061F00" w:rsidRPr="00061F00" w:rsidRDefault="00061F00" w:rsidP="000E0B74">
      <w:r>
        <w:t xml:space="preserve">View Treasury’s </w:t>
      </w:r>
      <w:hyperlink r:id="rId28" w:history="1">
        <w:r w:rsidRPr="00484E5F">
          <w:rPr>
            <w:rStyle w:val="Hyperlink"/>
          </w:rPr>
          <w:t>Submission Guidelines</w:t>
        </w:r>
      </w:hyperlink>
      <w:r>
        <w:t xml:space="preserve"> for further information. </w:t>
      </w:r>
    </w:p>
    <w:p w14:paraId="77594DEA" w14:textId="77777777" w:rsidR="000E0B74" w:rsidRDefault="000E0B74" w:rsidP="00257AEE">
      <w:pPr>
        <w:pStyle w:val="Heading3noTOC"/>
      </w:pPr>
      <w:r>
        <w:t>Closing date for submissions:</w:t>
      </w:r>
      <w:r w:rsidR="0005199B">
        <w:t xml:space="preserve"> 28</w:t>
      </w:r>
      <w:r w:rsidR="003F592D">
        <w:t xml:space="preserve"> </w:t>
      </w:r>
      <w:r w:rsidR="0005199B">
        <w:t xml:space="preserve">June </w:t>
      </w:r>
      <w:r w:rsidR="003F592D">
        <w:t>2021</w:t>
      </w:r>
    </w:p>
    <w:tbl>
      <w:tblPr>
        <w:tblStyle w:val="TableGrid"/>
        <w:tblW w:w="0" w:type="auto"/>
        <w:tblLook w:val="04A0" w:firstRow="1" w:lastRow="0" w:firstColumn="1" w:lastColumn="0" w:noHBand="0" w:noVBand="1"/>
      </w:tblPr>
      <w:tblGrid>
        <w:gridCol w:w="1517"/>
        <w:gridCol w:w="7553"/>
      </w:tblGrid>
      <w:tr w:rsidR="000E0B74" w:rsidRPr="00B85F47" w14:paraId="30885B88" w14:textId="77777777" w:rsidTr="00041E3B">
        <w:tc>
          <w:tcPr>
            <w:tcW w:w="1517" w:type="dxa"/>
            <w:shd w:val="clear" w:color="auto" w:fill="auto"/>
          </w:tcPr>
          <w:p w14:paraId="380EFDB3" w14:textId="77777777" w:rsidR="000E0B74" w:rsidRPr="00B85F47" w:rsidRDefault="000E0B74" w:rsidP="0017089D">
            <w:pPr>
              <w:rPr>
                <w:sz w:val="22"/>
                <w:szCs w:val="22"/>
              </w:rPr>
            </w:pPr>
            <w:r w:rsidRPr="00B85F47">
              <w:rPr>
                <w:sz w:val="22"/>
                <w:szCs w:val="22"/>
              </w:rPr>
              <w:t>Email</w:t>
            </w:r>
          </w:p>
        </w:tc>
        <w:tc>
          <w:tcPr>
            <w:tcW w:w="7553" w:type="dxa"/>
            <w:shd w:val="clear" w:color="auto" w:fill="auto"/>
          </w:tcPr>
          <w:p w14:paraId="322780E3" w14:textId="77777777" w:rsidR="000E0B74" w:rsidRPr="003E2EBE" w:rsidRDefault="00844C52" w:rsidP="00516785">
            <w:pPr>
              <w:rPr>
                <w:sz w:val="22"/>
                <w:szCs w:val="22"/>
              </w:rPr>
            </w:pPr>
            <w:hyperlink r:id="rId29" w:history="1">
              <w:r w:rsidR="00A15F5D" w:rsidRPr="003E2EBE">
                <w:rPr>
                  <w:rStyle w:val="Hyperlink"/>
                  <w:sz w:val="22"/>
                  <w:szCs w:val="22"/>
                </w:rPr>
                <w:t>MCDLitigationFunding@treasury.gov.au</w:t>
              </w:r>
            </w:hyperlink>
            <w:r w:rsidR="00A15F5D" w:rsidRPr="003E2EBE">
              <w:rPr>
                <w:sz w:val="22"/>
                <w:szCs w:val="22"/>
              </w:rPr>
              <w:t xml:space="preserve"> </w:t>
            </w:r>
          </w:p>
        </w:tc>
      </w:tr>
      <w:tr w:rsidR="000E0B74" w:rsidRPr="00B85F47" w14:paraId="4FC8232C" w14:textId="77777777" w:rsidTr="00041E3B">
        <w:tc>
          <w:tcPr>
            <w:tcW w:w="1517" w:type="dxa"/>
            <w:shd w:val="clear" w:color="auto" w:fill="auto"/>
          </w:tcPr>
          <w:p w14:paraId="7A2C4CCA" w14:textId="77777777" w:rsidR="000E0B74" w:rsidRPr="00B85F47" w:rsidRDefault="000E0B74" w:rsidP="0017089D">
            <w:pPr>
              <w:rPr>
                <w:sz w:val="22"/>
                <w:szCs w:val="22"/>
              </w:rPr>
            </w:pPr>
            <w:r w:rsidRPr="00B85F47">
              <w:rPr>
                <w:sz w:val="22"/>
                <w:szCs w:val="22"/>
              </w:rPr>
              <w:t>Mail</w:t>
            </w:r>
          </w:p>
          <w:p w14:paraId="108AE02A" w14:textId="77777777" w:rsidR="008D7F38" w:rsidRPr="00B85F47" w:rsidRDefault="008D7F38" w:rsidP="0017089D">
            <w:pPr>
              <w:rPr>
                <w:sz w:val="22"/>
                <w:szCs w:val="22"/>
              </w:rPr>
            </w:pPr>
          </w:p>
          <w:p w14:paraId="3AC66B9F" w14:textId="77777777" w:rsidR="008D7F38" w:rsidRPr="00B85F47" w:rsidRDefault="008D7F38" w:rsidP="0017089D">
            <w:pPr>
              <w:rPr>
                <w:sz w:val="22"/>
                <w:szCs w:val="22"/>
              </w:rPr>
            </w:pPr>
          </w:p>
        </w:tc>
        <w:tc>
          <w:tcPr>
            <w:tcW w:w="7553" w:type="dxa"/>
            <w:shd w:val="clear" w:color="auto" w:fill="auto"/>
          </w:tcPr>
          <w:p w14:paraId="691B8DB9" w14:textId="77777777" w:rsidR="000E0B74" w:rsidRPr="003E2EBE" w:rsidRDefault="003F592D" w:rsidP="0017089D">
            <w:pPr>
              <w:pStyle w:val="SingleParagraph"/>
              <w:rPr>
                <w:rFonts w:cs="Arial"/>
                <w:sz w:val="22"/>
                <w:szCs w:val="22"/>
              </w:rPr>
            </w:pPr>
            <w:r w:rsidRPr="003E2EBE">
              <w:rPr>
                <w:rFonts w:cs="Arial"/>
                <w:sz w:val="22"/>
                <w:szCs w:val="22"/>
              </w:rPr>
              <w:t>Manager</w:t>
            </w:r>
          </w:p>
          <w:p w14:paraId="6118DFAD" w14:textId="77777777" w:rsidR="000E0B74" w:rsidRPr="003E2EBE" w:rsidRDefault="003F592D" w:rsidP="0017089D">
            <w:pPr>
              <w:pStyle w:val="SingleParagraph"/>
              <w:rPr>
                <w:rFonts w:cs="Arial"/>
                <w:sz w:val="22"/>
                <w:szCs w:val="22"/>
              </w:rPr>
            </w:pPr>
            <w:r w:rsidRPr="003E2EBE">
              <w:rPr>
                <w:rFonts w:cs="Arial"/>
                <w:sz w:val="22"/>
                <w:szCs w:val="22"/>
              </w:rPr>
              <w:t>Market Conduct Division</w:t>
            </w:r>
          </w:p>
          <w:p w14:paraId="1249D827" w14:textId="77777777" w:rsidR="000E0B74" w:rsidRPr="003E2EBE" w:rsidRDefault="000E0B74" w:rsidP="0017089D">
            <w:pPr>
              <w:pStyle w:val="SingleParagraph"/>
              <w:rPr>
                <w:rFonts w:cs="Arial"/>
                <w:sz w:val="22"/>
                <w:szCs w:val="22"/>
              </w:rPr>
            </w:pPr>
            <w:r w:rsidRPr="003E2EBE">
              <w:rPr>
                <w:rFonts w:cs="Arial"/>
                <w:sz w:val="22"/>
                <w:szCs w:val="22"/>
              </w:rPr>
              <w:t>The Treasury</w:t>
            </w:r>
          </w:p>
          <w:p w14:paraId="35F5FDA6" w14:textId="77777777" w:rsidR="000E0B74" w:rsidRPr="003E2EBE" w:rsidRDefault="000E0B74" w:rsidP="0017089D">
            <w:pPr>
              <w:pStyle w:val="SingleParagraph"/>
              <w:rPr>
                <w:rFonts w:cs="Arial"/>
                <w:sz w:val="22"/>
                <w:szCs w:val="22"/>
              </w:rPr>
            </w:pPr>
            <w:r w:rsidRPr="003E2EBE">
              <w:rPr>
                <w:rFonts w:cs="Arial"/>
                <w:sz w:val="22"/>
                <w:szCs w:val="22"/>
              </w:rPr>
              <w:t>Langton Crescent</w:t>
            </w:r>
          </w:p>
          <w:p w14:paraId="3910ACF6" w14:textId="77777777" w:rsidR="000E0B74" w:rsidRPr="003E2EBE" w:rsidRDefault="000E0B74" w:rsidP="0017089D">
            <w:pPr>
              <w:pStyle w:val="SingleParagraph"/>
              <w:rPr>
                <w:sz w:val="22"/>
                <w:szCs w:val="22"/>
              </w:rPr>
            </w:pPr>
            <w:r w:rsidRPr="003E2EBE">
              <w:rPr>
                <w:sz w:val="22"/>
                <w:szCs w:val="22"/>
              </w:rPr>
              <w:t>PARKES ACT 2600</w:t>
            </w:r>
          </w:p>
        </w:tc>
      </w:tr>
      <w:tr w:rsidR="000E0B74" w:rsidRPr="00B85F47" w14:paraId="3BFB983E" w14:textId="77777777" w:rsidTr="00041E3B">
        <w:tc>
          <w:tcPr>
            <w:tcW w:w="1517" w:type="dxa"/>
            <w:shd w:val="clear" w:color="auto" w:fill="auto"/>
          </w:tcPr>
          <w:p w14:paraId="4BFA259A" w14:textId="77777777" w:rsidR="000E0B74" w:rsidRPr="00B85F47" w:rsidRDefault="000E0B74" w:rsidP="0017089D">
            <w:pPr>
              <w:rPr>
                <w:sz w:val="22"/>
                <w:szCs w:val="22"/>
              </w:rPr>
            </w:pPr>
            <w:r w:rsidRPr="00B85F47">
              <w:rPr>
                <w:sz w:val="22"/>
                <w:szCs w:val="22"/>
              </w:rPr>
              <w:t>Enquiries</w:t>
            </w:r>
          </w:p>
        </w:tc>
        <w:tc>
          <w:tcPr>
            <w:tcW w:w="7553" w:type="dxa"/>
            <w:shd w:val="clear" w:color="auto" w:fill="auto"/>
          </w:tcPr>
          <w:p w14:paraId="56815DE2" w14:textId="77777777" w:rsidR="000E0B74" w:rsidRPr="003E2EBE" w:rsidRDefault="000E0B74" w:rsidP="000D087B">
            <w:pPr>
              <w:rPr>
                <w:sz w:val="22"/>
                <w:szCs w:val="22"/>
              </w:rPr>
            </w:pPr>
            <w:r w:rsidRPr="003E2EBE">
              <w:rPr>
                <w:rFonts w:cs="Arial"/>
                <w:sz w:val="22"/>
                <w:szCs w:val="22"/>
              </w:rPr>
              <w:t xml:space="preserve">Enquiries can be initially directed to </w:t>
            </w:r>
            <w:hyperlink r:id="rId30" w:history="1">
              <w:r w:rsidR="00EE0658" w:rsidRPr="003E2EBE">
                <w:rPr>
                  <w:rStyle w:val="Hyperlink"/>
                  <w:sz w:val="22"/>
                  <w:szCs w:val="22"/>
                </w:rPr>
                <w:t>MCDLitigationFunding@treasury.gov.au</w:t>
              </w:r>
            </w:hyperlink>
          </w:p>
        </w:tc>
      </w:tr>
      <w:bookmarkEnd w:id="6"/>
    </w:tbl>
    <w:p w14:paraId="3E0C6701" w14:textId="77777777" w:rsidR="00E10D39" w:rsidRPr="00484E5F" w:rsidRDefault="00E10D39" w:rsidP="00484E5F">
      <w:r>
        <w:br w:type="page"/>
      </w:r>
    </w:p>
    <w:p w14:paraId="7CD85B17" w14:textId="77777777" w:rsidR="000E0B74" w:rsidRDefault="008830DE" w:rsidP="00354FBB">
      <w:pPr>
        <w:pStyle w:val="Heading1"/>
      </w:pPr>
      <w:bookmarkStart w:id="10" w:name="_Toc72163520"/>
      <w:bookmarkStart w:id="11" w:name="_Toc72418931"/>
      <w:bookmarkStart w:id="12" w:name="_Toc73440814"/>
      <w:r>
        <w:lastRenderedPageBreak/>
        <w:t>Guaranteeing a minimum return</w:t>
      </w:r>
      <w:r w:rsidR="003F592D">
        <w:t xml:space="preserve"> </w:t>
      </w:r>
      <w:r w:rsidR="00AC74EC">
        <w:t xml:space="preserve">of </w:t>
      </w:r>
      <w:r w:rsidR="009B373E">
        <w:t xml:space="preserve">class action </w:t>
      </w:r>
      <w:r w:rsidR="00AC74EC">
        <w:t xml:space="preserve">proceeds </w:t>
      </w:r>
      <w:r w:rsidR="003F592D">
        <w:t xml:space="preserve">to </w:t>
      </w:r>
      <w:r w:rsidR="009B373E">
        <w:t xml:space="preserve">class </w:t>
      </w:r>
      <w:r w:rsidR="003F592D">
        <w:t>members</w:t>
      </w:r>
      <w:bookmarkEnd w:id="10"/>
      <w:bookmarkEnd w:id="11"/>
      <w:bookmarkEnd w:id="12"/>
      <w:r w:rsidR="003F592D">
        <w:t xml:space="preserve"> </w:t>
      </w:r>
    </w:p>
    <w:p w14:paraId="132B775F" w14:textId="77777777" w:rsidR="00D645B9" w:rsidRDefault="00CF1B22" w:rsidP="00585433">
      <w:pPr>
        <w:pStyle w:val="Heading2"/>
        <w:spacing w:before="240"/>
      </w:pPr>
      <w:bookmarkStart w:id="13" w:name="_Toc72163521"/>
      <w:bookmarkStart w:id="14" w:name="_Toc72418932"/>
      <w:bookmarkStart w:id="15" w:name="_Toc73440815"/>
      <w:bookmarkStart w:id="16" w:name="_Toc306887371"/>
      <w:bookmarkStart w:id="17" w:name="_Toc432064635"/>
      <w:r>
        <w:t>Background</w:t>
      </w:r>
      <w:bookmarkEnd w:id="13"/>
      <w:bookmarkEnd w:id="14"/>
      <w:bookmarkEnd w:id="15"/>
    </w:p>
    <w:p w14:paraId="058F2E4A" w14:textId="77777777" w:rsidR="00D645B9" w:rsidRDefault="00D645B9" w:rsidP="00D645B9">
      <w:pPr>
        <w:pStyle w:val="Heading3"/>
      </w:pPr>
      <w:bookmarkStart w:id="18" w:name="_Toc72418933"/>
      <w:bookmarkStart w:id="19" w:name="_Toc73440816"/>
      <w:bookmarkEnd w:id="16"/>
      <w:bookmarkEnd w:id="17"/>
      <w:r>
        <w:t>Litigation funding in Australia</w:t>
      </w:r>
      <w:bookmarkEnd w:id="18"/>
      <w:bookmarkEnd w:id="19"/>
      <w:r>
        <w:t xml:space="preserve"> </w:t>
      </w:r>
    </w:p>
    <w:p w14:paraId="60EF77E4" w14:textId="4F3E6C0D" w:rsidR="006E01C1" w:rsidRPr="00041E3B" w:rsidRDefault="006E01C1" w:rsidP="006E01C1">
      <w:r>
        <w:t xml:space="preserve">Prior to 2020, litigation funding was subject to general regulatory requirements under the </w:t>
      </w:r>
      <w:r>
        <w:rPr>
          <w:i/>
        </w:rPr>
        <w:t xml:space="preserve">Corporations Act 2001 </w:t>
      </w:r>
      <w:r>
        <w:t>(</w:t>
      </w:r>
      <w:proofErr w:type="spellStart"/>
      <w:r>
        <w:t>Cth</w:t>
      </w:r>
      <w:proofErr w:type="spellEnd"/>
      <w:r>
        <w:t xml:space="preserve">) (Corporations Act), the </w:t>
      </w:r>
      <w:r>
        <w:rPr>
          <w:i/>
        </w:rPr>
        <w:t xml:space="preserve">Australian Securities and Investments Commission Act 2001 </w:t>
      </w:r>
      <w:r>
        <w:t>(</w:t>
      </w:r>
      <w:proofErr w:type="spellStart"/>
      <w:r>
        <w:t>Cth</w:t>
      </w:r>
      <w:proofErr w:type="spellEnd"/>
      <w:r>
        <w:t>) and general law</w:t>
      </w:r>
      <w:r w:rsidR="008E53ED">
        <w:t>,</w:t>
      </w:r>
      <w:r>
        <w:t xml:space="preserve"> including equity.</w:t>
      </w:r>
      <w:r w:rsidR="008351FC">
        <w:rPr>
          <w:rStyle w:val="FootnoteReference"/>
        </w:rPr>
        <w:footnoteReference w:id="2"/>
      </w:r>
      <w:r>
        <w:t xml:space="preserve"> </w:t>
      </w:r>
      <w:r w:rsidR="008B6E7C">
        <w:t xml:space="preserve">However, </w:t>
      </w:r>
      <w:r>
        <w:t>litigation fund</w:t>
      </w:r>
      <w:r w:rsidR="008351FC">
        <w:t>ing schemes and arrangements</w:t>
      </w:r>
      <w:r>
        <w:t xml:space="preserve"> were specifically exempted </w:t>
      </w:r>
      <w:r w:rsidR="00A828EE">
        <w:t xml:space="preserve">in July 2013 </w:t>
      </w:r>
      <w:r>
        <w:t>from the requirement to hold an Australian Financial Services Licence (AFSL) and from the managed investment scheme (MIS) regime established under the Corporations Act</w:t>
      </w:r>
      <w:r w:rsidR="00A828EE">
        <w:t>, provided that the litigation funder had appropriate processes to manage potential conflicts of interest.</w:t>
      </w:r>
      <w:r w:rsidR="00A828EE">
        <w:rPr>
          <w:rStyle w:val="FootnoteReference"/>
        </w:rPr>
        <w:footnoteReference w:id="3"/>
      </w:r>
    </w:p>
    <w:p w14:paraId="27338377" w14:textId="1A01F7DC" w:rsidR="006E01C1" w:rsidRDefault="00B06DA7" w:rsidP="006E01C1">
      <w:r>
        <w:t xml:space="preserve">On 22 </w:t>
      </w:r>
      <w:r w:rsidR="006E01C1">
        <w:t xml:space="preserve">May 2020, the </w:t>
      </w:r>
      <w:r w:rsidR="00A828EE">
        <w:t xml:space="preserve">Australian </w:t>
      </w:r>
      <w:r w:rsidR="006E01C1">
        <w:t xml:space="preserve">Government announced </w:t>
      </w:r>
      <w:r w:rsidR="002E25EB">
        <w:t xml:space="preserve">it would require </w:t>
      </w:r>
      <w:r w:rsidR="006E01C1">
        <w:t>litigation funders to comply with the MIS regime and hold an AFSL</w:t>
      </w:r>
      <w:r w:rsidR="00A828EE">
        <w:t xml:space="preserve"> to ensure that </w:t>
      </w:r>
      <w:r w:rsidR="00A828EE" w:rsidRPr="00DB53E7">
        <w:t>funders face the same regulatory scrutiny and accountability as other financial services and products</w:t>
      </w:r>
      <w:r w:rsidR="006E01C1">
        <w:t>.</w:t>
      </w:r>
      <w:r w:rsidR="00A828EE">
        <w:rPr>
          <w:rStyle w:val="FootnoteReference"/>
        </w:rPr>
        <w:footnoteReference w:id="4"/>
      </w:r>
      <w:r w:rsidR="00A828EE">
        <w:t xml:space="preserve"> To this end, the</w:t>
      </w:r>
      <w:r w:rsidR="002E25EB">
        <w:t xml:space="preserve"> </w:t>
      </w:r>
      <w:r w:rsidR="0063610C">
        <w:t xml:space="preserve">Corporations Amendment (Litigation Funding) Regulations 2020 </w:t>
      </w:r>
      <w:r w:rsidR="006E01C1">
        <w:t>were registered on 23 July 2020</w:t>
      </w:r>
      <w:r w:rsidR="002154DE">
        <w:t>.</w:t>
      </w:r>
    </w:p>
    <w:p w14:paraId="2AB5371F" w14:textId="1A89E0A0" w:rsidR="00A828EE" w:rsidRDefault="00A828EE" w:rsidP="006E01C1">
      <w:r>
        <w:t>In its December 2020 report, ‘</w:t>
      </w:r>
      <w:r w:rsidRPr="009F4DA7">
        <w:rPr>
          <w:iCs/>
        </w:rPr>
        <w:t>Litigation funding and the regulation of the class action industry</w:t>
      </w:r>
      <w:r>
        <w:rPr>
          <w:i/>
        </w:rPr>
        <w:t xml:space="preserve">’ </w:t>
      </w:r>
      <w:r>
        <w:t xml:space="preserve">(the PJC Report), the Parliamentary Joint Committee on Corporations and Financial Services </w:t>
      </w:r>
      <w:r w:rsidR="00C964CC">
        <w:t xml:space="preserve">(PJC) </w:t>
      </w:r>
      <w:r>
        <w:t xml:space="preserve">found that these reforms were </w:t>
      </w:r>
      <w:r w:rsidR="00122F0F">
        <w:t>‘</w:t>
      </w:r>
      <w:r>
        <w:t>a step in the right direction</w:t>
      </w:r>
      <w:r w:rsidR="00122F0F">
        <w:t>.’</w:t>
      </w:r>
      <w:r w:rsidR="00122F0F">
        <w:rPr>
          <w:rStyle w:val="FootnoteReference"/>
        </w:rPr>
        <w:footnoteReference w:id="5"/>
      </w:r>
      <w:r>
        <w:t xml:space="preserve"> It noted the </w:t>
      </w:r>
      <w:r w:rsidR="00852CCD">
        <w:t>‘</w:t>
      </w:r>
      <w:r>
        <w:t>regulation of litigation funding in class actions is now appropriately aligned with that which applies to other financial services.</w:t>
      </w:r>
      <w:r w:rsidR="00852CCD">
        <w:t>’</w:t>
      </w:r>
      <w:r>
        <w:rPr>
          <w:rStyle w:val="FootnoteReference"/>
        </w:rPr>
        <w:footnoteReference w:id="6"/>
      </w:r>
      <w:r>
        <w:t xml:space="preserve"> </w:t>
      </w:r>
    </w:p>
    <w:p w14:paraId="6F93B925" w14:textId="36DAAA65" w:rsidR="00A828EE" w:rsidRDefault="00A828EE" w:rsidP="005402BD">
      <w:pPr>
        <w:pStyle w:val="Heading3"/>
      </w:pPr>
      <w:bookmarkStart w:id="20" w:name="_Toc73440817"/>
      <w:r>
        <w:t>Litigation funding arrangements for Federal Court of Australia matters</w:t>
      </w:r>
      <w:bookmarkEnd w:id="20"/>
    </w:p>
    <w:p w14:paraId="34589BB9" w14:textId="367B19AA" w:rsidR="00A828EE" w:rsidRDefault="00A828EE" w:rsidP="00A828EE">
      <w:r>
        <w:t>The Federal Court of Australia exercises a supervisory role over litigation funding</w:t>
      </w:r>
      <w:r w:rsidR="00AD6400">
        <w:t xml:space="preserve"> </w:t>
      </w:r>
      <w:r>
        <w:t>that support</w:t>
      </w:r>
      <w:r w:rsidR="00C2525C">
        <w:t>s</w:t>
      </w:r>
      <w:r>
        <w:t xml:space="preserve"> matters brought under the class action regime in Part IVA of the </w:t>
      </w:r>
      <w:r>
        <w:rPr>
          <w:i/>
        </w:rPr>
        <w:t>Federal Court of Australia Act 1976</w:t>
      </w:r>
      <w:r>
        <w:t xml:space="preserve"> (</w:t>
      </w:r>
      <w:proofErr w:type="spellStart"/>
      <w:r>
        <w:t>Cth</w:t>
      </w:r>
      <w:proofErr w:type="spellEnd"/>
      <w:r>
        <w:t>) (Federal Court Act). This</w:t>
      </w:r>
      <w:r w:rsidR="00E56205">
        <w:t xml:space="preserve"> supervisory role enables the Federal Court to protect class members, including through </w:t>
      </w:r>
      <w:r>
        <w:t>an ability to approve class action settlements. As part of this supervisory role, the Court must be notified of:</w:t>
      </w:r>
    </w:p>
    <w:p w14:paraId="465ACE91" w14:textId="77AB852E" w:rsidR="00A828EE" w:rsidRDefault="00A828EE" w:rsidP="00A828EE">
      <w:pPr>
        <w:pStyle w:val="ListParagraph"/>
        <w:numPr>
          <w:ilvl w:val="0"/>
          <w:numId w:val="37"/>
        </w:numPr>
      </w:pPr>
      <w:r>
        <w:t xml:space="preserve">the relevant costs agreement in a class action prior to the first case management hearing and any changes to this agreement </w:t>
      </w:r>
    </w:p>
    <w:p w14:paraId="24B359A8" w14:textId="38AAD1E9" w:rsidR="00A828EE" w:rsidRDefault="00A828EE" w:rsidP="00A828EE">
      <w:pPr>
        <w:pStyle w:val="ListParagraph"/>
        <w:numPr>
          <w:ilvl w:val="0"/>
          <w:numId w:val="37"/>
        </w:numPr>
      </w:pPr>
      <w:r>
        <w:t>any change to the litigation funder involved in the class action</w:t>
      </w:r>
    </w:p>
    <w:p w14:paraId="0F8358BA" w14:textId="6CC01BA6" w:rsidR="00A828EE" w:rsidRDefault="00E56205" w:rsidP="00A828EE">
      <w:pPr>
        <w:pStyle w:val="ListParagraph"/>
        <w:numPr>
          <w:ilvl w:val="0"/>
          <w:numId w:val="37"/>
        </w:numPr>
      </w:pPr>
      <w:r>
        <w:t xml:space="preserve">when </w:t>
      </w:r>
      <w:r w:rsidR="00A828EE">
        <w:t xml:space="preserve">the litigation funder </w:t>
      </w:r>
      <w:r>
        <w:t xml:space="preserve">has become </w:t>
      </w:r>
      <w:r w:rsidR="00A828EE">
        <w:t>insolvent or otherwise unable or unwilling to continue funding the action.</w:t>
      </w:r>
      <w:r w:rsidR="00A828EE">
        <w:rPr>
          <w:rStyle w:val="FootnoteReference"/>
        </w:rPr>
        <w:footnoteReference w:id="7"/>
      </w:r>
      <w:r w:rsidR="00A828EE">
        <w:t xml:space="preserve"> </w:t>
      </w:r>
    </w:p>
    <w:p w14:paraId="3CEF911E" w14:textId="2B765EFD" w:rsidR="00A828EE" w:rsidRDefault="00A828EE" w:rsidP="00886915">
      <w:r>
        <w:lastRenderedPageBreak/>
        <w:t xml:space="preserve">The Federal Court can also be assisted by professionals </w:t>
      </w:r>
      <w:r w:rsidR="00E56205">
        <w:t xml:space="preserve">in determining </w:t>
      </w:r>
      <w:r>
        <w:t>the fairness and reasonableness of a proposed settlement.</w:t>
      </w:r>
      <w:r w:rsidR="009A2CC9">
        <w:rPr>
          <w:rStyle w:val="FootnoteReference"/>
        </w:rPr>
        <w:footnoteReference w:id="8"/>
      </w:r>
      <w:r>
        <w:t xml:space="preserve"> </w:t>
      </w:r>
    </w:p>
    <w:p w14:paraId="7E47367B" w14:textId="77777777" w:rsidR="00D645B9" w:rsidRDefault="006325EF" w:rsidP="00D645B9">
      <w:pPr>
        <w:pStyle w:val="Heading3"/>
      </w:pPr>
      <w:bookmarkStart w:id="21" w:name="_Toc72418934"/>
      <w:bookmarkStart w:id="22" w:name="_Toc73440818"/>
      <w:r>
        <w:t xml:space="preserve">Report of the </w:t>
      </w:r>
      <w:r w:rsidR="00D645B9">
        <w:t>P</w:t>
      </w:r>
      <w:r w:rsidR="00775BA5">
        <w:t xml:space="preserve">arliamentary </w:t>
      </w:r>
      <w:r w:rsidR="00D645B9">
        <w:t>J</w:t>
      </w:r>
      <w:r w:rsidR="00775BA5">
        <w:t xml:space="preserve">oint </w:t>
      </w:r>
      <w:r w:rsidR="00D645B9">
        <w:t>C</w:t>
      </w:r>
      <w:r w:rsidR="00775BA5">
        <w:t>ommittee</w:t>
      </w:r>
      <w:r w:rsidR="00D645B9">
        <w:t xml:space="preserve"> </w:t>
      </w:r>
      <w:r>
        <w:t>on Corporations and Financial Services</w:t>
      </w:r>
      <w:bookmarkEnd w:id="21"/>
      <w:bookmarkEnd w:id="22"/>
      <w:r>
        <w:t xml:space="preserve"> </w:t>
      </w:r>
    </w:p>
    <w:p w14:paraId="22BDD1E7" w14:textId="7867AE16" w:rsidR="00A15F5D" w:rsidRDefault="0027064E" w:rsidP="000D087B">
      <w:r>
        <w:t>The PJC observe</w:t>
      </w:r>
      <w:r w:rsidR="006325EF">
        <w:t>d</w:t>
      </w:r>
      <w:r>
        <w:t xml:space="preserve"> that when working as originally intended,</w:t>
      </w:r>
      <w:r w:rsidR="00A828EE">
        <w:t xml:space="preserve"> the </w:t>
      </w:r>
      <w:r>
        <w:t>class action</w:t>
      </w:r>
      <w:r w:rsidR="00A828EE">
        <w:t xml:space="preserve"> regime in Australia </w:t>
      </w:r>
      <w:r w:rsidR="00EC0E89">
        <w:t>‘</w:t>
      </w:r>
      <w:r>
        <w:t>should facilitate access to justice, discourage wrongdoing and promote the efficient and effective use of court resources</w:t>
      </w:r>
      <w:r w:rsidR="00EC0E89">
        <w:t>.’</w:t>
      </w:r>
      <w:r w:rsidR="00A828EE">
        <w:rPr>
          <w:rStyle w:val="FootnoteReference"/>
        </w:rPr>
        <w:footnoteReference w:id="9"/>
      </w:r>
      <w:r>
        <w:t xml:space="preserve"> </w:t>
      </w:r>
      <w:r w:rsidR="0045621C">
        <w:t xml:space="preserve">The </w:t>
      </w:r>
      <w:r w:rsidR="006325EF">
        <w:t xml:space="preserve">PJC </w:t>
      </w:r>
      <w:r w:rsidR="0045621C">
        <w:t xml:space="preserve">also </w:t>
      </w:r>
      <w:r w:rsidR="006E01C1">
        <w:t>acknowledge</w:t>
      </w:r>
      <w:r w:rsidR="006325EF">
        <w:t>d</w:t>
      </w:r>
      <w:r w:rsidR="006E01C1">
        <w:t xml:space="preserve"> </w:t>
      </w:r>
      <w:r w:rsidR="00A828EE">
        <w:t xml:space="preserve">that litigation funders play an important role in the class action regime, to the extent that </w:t>
      </w:r>
      <w:r w:rsidR="00EC0E89">
        <w:t>‘</w:t>
      </w:r>
      <w:r w:rsidR="00A828EE">
        <w:t>in many instances, a class action in Australia may not proceed without a litigation funder</w:t>
      </w:r>
      <w:r w:rsidR="00EC0E89">
        <w:t>.’</w:t>
      </w:r>
      <w:r w:rsidR="00A828EE">
        <w:rPr>
          <w:rStyle w:val="FootnoteReference"/>
        </w:rPr>
        <w:footnoteReference w:id="10"/>
      </w:r>
      <w:r w:rsidR="00A828EE">
        <w:t xml:space="preserve"> Litigation f</w:t>
      </w:r>
      <w:r w:rsidR="000636B1">
        <w:t>u</w:t>
      </w:r>
      <w:r w:rsidR="00A828EE">
        <w:t xml:space="preserve">nding can </w:t>
      </w:r>
      <w:r w:rsidR="00A15F5D">
        <w:t>reduce gaps in financial resources between parties</w:t>
      </w:r>
      <w:r w:rsidR="00A828EE">
        <w:t xml:space="preserve"> to a class action, levelling the economic </w:t>
      </w:r>
      <w:r w:rsidR="000636B1">
        <w:t xml:space="preserve">playing </w:t>
      </w:r>
      <w:r w:rsidR="00A828EE">
        <w:t>field so that an applicant may pursue their case.</w:t>
      </w:r>
      <w:r w:rsidR="00A828EE">
        <w:rPr>
          <w:rStyle w:val="FootnoteReference"/>
        </w:rPr>
        <w:footnoteReference w:id="11"/>
      </w:r>
      <w:r w:rsidR="00A828EE">
        <w:t xml:space="preserve"> </w:t>
      </w:r>
    </w:p>
    <w:p w14:paraId="30761DE4" w14:textId="032FEBB4" w:rsidR="00A828EE" w:rsidRDefault="009D2A46" w:rsidP="000D087B">
      <w:r>
        <w:t xml:space="preserve">However, </w:t>
      </w:r>
      <w:r w:rsidR="00A15F5D">
        <w:t xml:space="preserve">the PJC </w:t>
      </w:r>
      <w:r w:rsidR="000439C7">
        <w:t>also expressed strong</w:t>
      </w:r>
      <w:r w:rsidR="0045621C">
        <w:t xml:space="preserve"> concern</w:t>
      </w:r>
      <w:r w:rsidR="000439C7">
        <w:t>s</w:t>
      </w:r>
      <w:r w:rsidR="0045621C">
        <w:t xml:space="preserve"> </w:t>
      </w:r>
      <w:r>
        <w:t xml:space="preserve">that </w:t>
      </w:r>
      <w:r w:rsidR="0063610C">
        <w:t xml:space="preserve">the </w:t>
      </w:r>
      <w:r w:rsidR="0045621C">
        <w:t xml:space="preserve">regulation of litigation funding </w:t>
      </w:r>
      <w:r w:rsidR="0063610C">
        <w:t>is too light touch</w:t>
      </w:r>
      <w:r w:rsidR="0045621C">
        <w:t xml:space="preserve"> and greater </w:t>
      </w:r>
      <w:r w:rsidR="00A828EE">
        <w:t>oversight of the industry</w:t>
      </w:r>
      <w:r w:rsidR="008351FC">
        <w:t xml:space="preserve"> </w:t>
      </w:r>
      <w:r w:rsidR="008351FC" w:rsidRPr="000842EC">
        <w:t>is required</w:t>
      </w:r>
      <w:r w:rsidR="0045621C">
        <w:t xml:space="preserve">. </w:t>
      </w:r>
      <w:r w:rsidR="00A828EE">
        <w:t xml:space="preserve">Due to the growth in scale of litigation funding and the frequency of </w:t>
      </w:r>
      <w:r w:rsidR="00EC0E89">
        <w:t>‘</w:t>
      </w:r>
      <w:r w:rsidR="00A828EE">
        <w:t>windfall profits</w:t>
      </w:r>
      <w:r w:rsidR="00EC0E89">
        <w:t>’</w:t>
      </w:r>
      <w:r w:rsidR="00A828EE">
        <w:t>, the PJC highlighted the need to reassess whether representative plaintiffs, class members and defendants are achieving reasonable, proportionate and fair outcomes.</w:t>
      </w:r>
      <w:r w:rsidR="00A828EE">
        <w:rPr>
          <w:rStyle w:val="FootnoteReference"/>
        </w:rPr>
        <w:footnoteReference w:id="12"/>
      </w:r>
      <w:r w:rsidR="00A828EE">
        <w:t xml:space="preserve"> </w:t>
      </w:r>
    </w:p>
    <w:p w14:paraId="39426094" w14:textId="45D31847" w:rsidR="00E56205" w:rsidRDefault="00A828EE" w:rsidP="00A828EE">
      <w:r>
        <w:t xml:space="preserve">Critically, the </w:t>
      </w:r>
      <w:r w:rsidR="009D0250">
        <w:t>PJC</w:t>
      </w:r>
      <w:r>
        <w:t xml:space="preserve"> found </w:t>
      </w:r>
      <w:r w:rsidR="00EC0E89">
        <w:t>‘</w:t>
      </w:r>
      <w:r w:rsidR="009D2A46">
        <w:t>systemic and inappropriate</w:t>
      </w:r>
      <w:r w:rsidR="00EC0E89">
        <w:t>’</w:t>
      </w:r>
      <w:r w:rsidR="009D2A46">
        <w:t xml:space="preserve"> </w:t>
      </w:r>
      <w:r w:rsidR="0015754A">
        <w:t xml:space="preserve">skewing of successful class action proceeds in favour of </w:t>
      </w:r>
      <w:r w:rsidR="009D2A46">
        <w:t>litigation funders</w:t>
      </w:r>
      <w:r w:rsidR="008351FC">
        <w:t>, at the expense of class members’ share of the proceeds</w:t>
      </w:r>
      <w:r w:rsidR="009D2A46">
        <w:t>.</w:t>
      </w:r>
      <w:r w:rsidR="008351FC">
        <w:rPr>
          <w:rStyle w:val="FootnoteReference"/>
        </w:rPr>
        <w:footnoteReference w:id="13"/>
      </w:r>
      <w:r w:rsidR="009D2A46">
        <w:t xml:space="preserve"> </w:t>
      </w:r>
      <w:r w:rsidR="00E05058">
        <w:t>The PJC noted litigation funders should be reimbursed for the costs they incur and make a profit which is reasonable and proportionate to the risk they undertake</w:t>
      </w:r>
      <w:r w:rsidR="00891902">
        <w:t>.</w:t>
      </w:r>
      <w:r w:rsidR="00E05058">
        <w:rPr>
          <w:rStyle w:val="FootnoteReference"/>
        </w:rPr>
        <w:footnoteReference w:id="14"/>
      </w:r>
      <w:r w:rsidR="00E05058">
        <w:t xml:space="preserve"> However, it </w:t>
      </w:r>
      <w:r>
        <w:t>found that the proportion of proceeds going to litigation funders is often disproportionate to the cost and risk undertaken.</w:t>
      </w:r>
      <w:r>
        <w:rPr>
          <w:rStyle w:val="FootnoteReference"/>
        </w:rPr>
        <w:footnoteReference w:id="15"/>
      </w:r>
      <w:r>
        <w:t xml:space="preserve"> </w:t>
      </w:r>
      <w:r w:rsidR="00C362C7">
        <w:t xml:space="preserve">The PJC noted that this created an unfairness that is primarily borne by the class members, as their share of the settlement is </w:t>
      </w:r>
      <w:r w:rsidR="00557BD5">
        <w:t>‘</w:t>
      </w:r>
      <w:r w:rsidR="00C362C7">
        <w:t>significantly reduced by the excessive proportion going to litigation funders</w:t>
      </w:r>
      <w:r w:rsidR="00557BD5">
        <w:t>’</w:t>
      </w:r>
      <w:r w:rsidR="00C362C7">
        <w:t>.</w:t>
      </w:r>
      <w:r w:rsidR="00C362C7">
        <w:rPr>
          <w:rStyle w:val="FootnoteReference"/>
        </w:rPr>
        <w:footnoteReference w:id="16"/>
      </w:r>
    </w:p>
    <w:p w14:paraId="319377AA" w14:textId="289A99AB" w:rsidR="00E56205" w:rsidRDefault="00A828EE" w:rsidP="00A828EE">
      <w:r>
        <w:t xml:space="preserve">In particular, the </w:t>
      </w:r>
      <w:r w:rsidR="009D0250">
        <w:t xml:space="preserve">PJC </w:t>
      </w:r>
      <w:r>
        <w:t>highlighted that the practice of percentage-based billing enables windfall profits to be obtained by funders.</w:t>
      </w:r>
      <w:r>
        <w:rPr>
          <w:rStyle w:val="FootnoteReference"/>
        </w:rPr>
        <w:footnoteReference w:id="17"/>
      </w:r>
      <w:r>
        <w:t xml:space="preserve"> </w:t>
      </w:r>
      <w:r w:rsidR="009D0250">
        <w:t xml:space="preserve">It noted </w:t>
      </w:r>
      <w:r w:rsidR="004C212F">
        <w:t xml:space="preserve">that </w:t>
      </w:r>
      <w:r>
        <w:t>percentage based billing</w:t>
      </w:r>
      <w:r w:rsidRPr="00F9110A">
        <w:t xml:space="preserve"> </w:t>
      </w:r>
      <w:r>
        <w:t xml:space="preserve">can significantly reduce class members’ share of settlement proceeds and is often </w:t>
      </w:r>
      <w:r w:rsidR="001461FB">
        <w:t xml:space="preserve">disproportionate </w:t>
      </w:r>
      <w:r>
        <w:t>to the actual financial contribution outlaid by the litigation funder.</w:t>
      </w:r>
      <w:r w:rsidR="001461FB">
        <w:rPr>
          <w:rStyle w:val="FootnoteReference"/>
        </w:rPr>
        <w:footnoteReference w:id="18"/>
      </w:r>
      <w:r>
        <w:t xml:space="preserve"> </w:t>
      </w:r>
    </w:p>
    <w:p w14:paraId="629861A5" w14:textId="4E05F629" w:rsidR="00F53D17" w:rsidRDefault="00A828EE" w:rsidP="006C49A0">
      <w:r>
        <w:t xml:space="preserve">The Federal Court has </w:t>
      </w:r>
      <w:r w:rsidR="00E56205">
        <w:t xml:space="preserve">also </w:t>
      </w:r>
      <w:r>
        <w:t>acknowledged concerns with the unreasonably low proportion of judgment or settlement sums being received by class members, once litigation funding commissions and legal costs are deducted.</w:t>
      </w:r>
      <w:r>
        <w:rPr>
          <w:rStyle w:val="FootnoteReference"/>
        </w:rPr>
        <w:footnoteReference w:id="19"/>
      </w:r>
      <w:r w:rsidR="00F53D17">
        <w:t xml:space="preserve"> </w:t>
      </w:r>
    </w:p>
    <w:p w14:paraId="028B4F8A" w14:textId="644CE0BF" w:rsidR="007066FE" w:rsidRDefault="00ED27B3" w:rsidP="00585433">
      <w:pPr>
        <w:keepNext/>
      </w:pPr>
      <w:r>
        <w:lastRenderedPageBreak/>
        <w:t>I</w:t>
      </w:r>
      <w:r w:rsidR="00050F3B">
        <w:t xml:space="preserve">n </w:t>
      </w:r>
      <w:r w:rsidR="00414214" w:rsidRPr="006325EF">
        <w:t>R</w:t>
      </w:r>
      <w:r w:rsidR="00F72255" w:rsidRPr="006325EF">
        <w:t>ecommendatio</w:t>
      </w:r>
      <w:r w:rsidR="00306C6E" w:rsidRPr="006325EF">
        <w:t xml:space="preserve">n 20 </w:t>
      </w:r>
      <w:r w:rsidR="00414214" w:rsidRPr="006325EF">
        <w:t>of the PJC Report</w:t>
      </w:r>
      <w:r w:rsidR="00050F3B">
        <w:t>, the</w:t>
      </w:r>
      <w:r w:rsidR="00414214" w:rsidRPr="006325EF">
        <w:t xml:space="preserve"> </w:t>
      </w:r>
      <w:r w:rsidR="00050F3B">
        <w:t xml:space="preserve">PJC </w:t>
      </w:r>
      <w:r w:rsidR="007066FE">
        <w:t>recommend</w:t>
      </w:r>
      <w:r w:rsidR="0015754A">
        <w:t>ed</w:t>
      </w:r>
      <w:r w:rsidR="007066FE">
        <w:t xml:space="preserve"> the Australian Government consult on: </w:t>
      </w:r>
    </w:p>
    <w:p w14:paraId="35770E9E" w14:textId="77777777" w:rsidR="007066FE" w:rsidRPr="00E13FD3" w:rsidRDefault="007066FE" w:rsidP="00E13FD3">
      <w:pPr>
        <w:pStyle w:val="ListParagraph"/>
        <w:numPr>
          <w:ilvl w:val="0"/>
          <w:numId w:val="23"/>
        </w:numPr>
        <w:spacing w:before="120" w:after="120"/>
        <w:ind w:left="567" w:hanging="567"/>
        <w:contextualSpacing w:val="0"/>
      </w:pPr>
      <w:r w:rsidRPr="00E13FD3">
        <w:rPr>
          <w:rFonts w:ascii="Calibri" w:hAnsi="Calibri" w:cs="Times New Roman"/>
          <w:szCs w:val="20"/>
        </w:rPr>
        <w:t>the best way to guarantee a statutory minimum return of the gross proceeds of a class action (including settlements)</w:t>
      </w:r>
    </w:p>
    <w:p w14:paraId="337880B1" w14:textId="77777777" w:rsidR="007066FE" w:rsidRPr="00E13FD3" w:rsidRDefault="007066FE" w:rsidP="00E13FD3">
      <w:pPr>
        <w:pStyle w:val="ListParagraph"/>
        <w:numPr>
          <w:ilvl w:val="0"/>
          <w:numId w:val="23"/>
        </w:numPr>
        <w:spacing w:before="120" w:after="120"/>
        <w:ind w:left="567" w:hanging="567"/>
        <w:contextualSpacing w:val="0"/>
      </w:pPr>
      <w:r w:rsidRPr="00E13FD3">
        <w:rPr>
          <w:rFonts w:ascii="Calibri" w:hAnsi="Calibri" w:cs="Times New Roman"/>
          <w:szCs w:val="20"/>
        </w:rPr>
        <w:t>whether a minimum gross return of 70 per cent to class members, as endorsed by some class action law firms and litigation funders, is the most appropriate floor</w:t>
      </w:r>
    </w:p>
    <w:p w14:paraId="30EDE71C" w14:textId="77777777" w:rsidR="00D15798" w:rsidRPr="00E13FD3" w:rsidRDefault="007066FE" w:rsidP="00E13FD3">
      <w:pPr>
        <w:pStyle w:val="ListParagraph"/>
        <w:numPr>
          <w:ilvl w:val="0"/>
          <w:numId w:val="23"/>
        </w:numPr>
        <w:spacing w:before="120" w:after="120"/>
        <w:ind w:left="567" w:hanging="567"/>
        <w:contextualSpacing w:val="0"/>
      </w:pPr>
      <w:r w:rsidRPr="00E13FD3">
        <w:t>whether a graduated approach taking into consideration the risk, complexity, length and likely proceeds of the case is appropriate to ensure even higher returns are guaranteed for class members in more straightforward cases.</w:t>
      </w:r>
    </w:p>
    <w:p w14:paraId="31C7EAB9" w14:textId="77777777" w:rsidR="00CF1B22" w:rsidRPr="00DE064B" w:rsidRDefault="00CF1B22" w:rsidP="00585433">
      <w:pPr>
        <w:pStyle w:val="Heading2"/>
        <w:spacing w:before="240"/>
      </w:pPr>
      <w:bookmarkStart w:id="23" w:name="_Toc72163523"/>
      <w:bookmarkStart w:id="24" w:name="_Toc72418935"/>
      <w:bookmarkStart w:id="25" w:name="_Toc73440819"/>
      <w:r>
        <w:t>Consultation objectives</w:t>
      </w:r>
      <w:bookmarkEnd w:id="23"/>
      <w:bookmarkEnd w:id="24"/>
      <w:bookmarkEnd w:id="25"/>
      <w:r>
        <w:t xml:space="preserve"> </w:t>
      </w:r>
    </w:p>
    <w:p w14:paraId="5D8494F8" w14:textId="77777777" w:rsidR="00CF1B22" w:rsidRDefault="00D645B9" w:rsidP="00170432">
      <w:r>
        <w:t xml:space="preserve">This consultation </w:t>
      </w:r>
      <w:r w:rsidR="00170432">
        <w:t xml:space="preserve">implements Recommendation 20 of the PJC Report. </w:t>
      </w:r>
      <w:r w:rsidR="00654487">
        <w:t xml:space="preserve">It seeks to </w:t>
      </w:r>
      <w:r w:rsidR="00854D33">
        <w:t xml:space="preserve">consult on </w:t>
      </w:r>
      <w:r w:rsidR="00775BA5">
        <w:t xml:space="preserve">the best way to </w:t>
      </w:r>
      <w:r w:rsidR="00654487">
        <w:t>guarantee</w:t>
      </w:r>
      <w:r w:rsidR="00775BA5">
        <w:t xml:space="preserve"> a</w:t>
      </w:r>
      <w:r w:rsidR="00654487">
        <w:t xml:space="preserve"> statutory minimum return of gross proceeds of a class action to class members. </w:t>
      </w:r>
      <w:proofErr w:type="gramStart"/>
      <w:r w:rsidR="00654487">
        <w:t>In particular, views</w:t>
      </w:r>
      <w:proofErr w:type="gramEnd"/>
      <w:r w:rsidR="00654487">
        <w:t xml:space="preserve"> </w:t>
      </w:r>
      <w:r w:rsidR="00BD6007">
        <w:t xml:space="preserve">are sought </w:t>
      </w:r>
      <w:r w:rsidR="00654487">
        <w:t xml:space="preserve">on the </w:t>
      </w:r>
      <w:r w:rsidR="00775BA5">
        <w:t xml:space="preserve">potential </w:t>
      </w:r>
      <w:r w:rsidR="006E5E2A">
        <w:t xml:space="preserve">design </w:t>
      </w:r>
      <w:r w:rsidR="00775BA5">
        <w:t xml:space="preserve">elements </w:t>
      </w:r>
      <w:r w:rsidR="006E5E2A">
        <w:t xml:space="preserve">of a guaranteed </w:t>
      </w:r>
      <w:r w:rsidR="00654487">
        <w:t xml:space="preserve">minimum return, the appropriate rate and </w:t>
      </w:r>
      <w:r w:rsidR="00D9414B">
        <w:t xml:space="preserve">how </w:t>
      </w:r>
      <w:r w:rsidR="00654487">
        <w:t xml:space="preserve">the rate </w:t>
      </w:r>
      <w:r w:rsidR="00D9414B">
        <w:t xml:space="preserve">might </w:t>
      </w:r>
      <w:r w:rsidR="00654487">
        <w:t xml:space="preserve">be differentiated based on the risk, complexity, length and likely proceeds of a particular case. </w:t>
      </w:r>
    </w:p>
    <w:p w14:paraId="4253DF29" w14:textId="77777777" w:rsidR="000E0B74" w:rsidRDefault="007039A7" w:rsidP="00585433">
      <w:pPr>
        <w:pStyle w:val="Heading2"/>
        <w:spacing w:before="240"/>
      </w:pPr>
      <w:bookmarkStart w:id="26" w:name="_Toc306887372"/>
      <w:bookmarkStart w:id="27" w:name="_Toc432064636"/>
      <w:bookmarkStart w:id="28" w:name="_Toc72163524"/>
      <w:bookmarkStart w:id="29" w:name="_Toc72418936"/>
      <w:bookmarkStart w:id="30" w:name="_Toc73440820"/>
      <w:bookmarkEnd w:id="26"/>
      <w:bookmarkEnd w:id="27"/>
      <w:bookmarkEnd w:id="28"/>
      <w:r>
        <w:t xml:space="preserve">A guaranteed </w:t>
      </w:r>
      <w:r w:rsidR="00444DD6">
        <w:t>statutory minimum return for class members</w:t>
      </w:r>
      <w:bookmarkEnd w:id="29"/>
      <w:bookmarkEnd w:id="30"/>
    </w:p>
    <w:p w14:paraId="26A50568" w14:textId="77777777" w:rsidR="00444DD6" w:rsidRDefault="00654487" w:rsidP="007039A7">
      <w:pPr>
        <w:pStyle w:val="Heading3"/>
      </w:pPr>
      <w:bookmarkStart w:id="31" w:name="_Toc72418937"/>
      <w:bookmarkStart w:id="32" w:name="_Toc73440821"/>
      <w:r>
        <w:t>Design of a</w:t>
      </w:r>
      <w:r w:rsidR="007039A7">
        <w:t xml:space="preserve"> </w:t>
      </w:r>
      <w:r>
        <w:t xml:space="preserve">guaranteed </w:t>
      </w:r>
      <w:r w:rsidR="007039A7">
        <w:t>floor for returns</w:t>
      </w:r>
      <w:bookmarkEnd w:id="31"/>
      <w:bookmarkEnd w:id="32"/>
      <w:r w:rsidR="007039A7">
        <w:t xml:space="preserve"> </w:t>
      </w:r>
    </w:p>
    <w:p w14:paraId="23CD34A2" w14:textId="77777777" w:rsidR="00BD6007" w:rsidRDefault="007039A7" w:rsidP="00BD6007">
      <w:r>
        <w:t>The first two elements of Recommendation 20 of the PJC Report concern the best mechanism to establish a statutory minimum</w:t>
      </w:r>
      <w:r w:rsidR="00B522E7">
        <w:t xml:space="preserve"> return </w:t>
      </w:r>
      <w:r>
        <w:t>of class action proceed</w:t>
      </w:r>
      <w:r w:rsidR="00B522E7">
        <w:t>s</w:t>
      </w:r>
      <w:r>
        <w:t xml:space="preserve"> to class members, as well as the quantum of the guaranteed minimum as a percentage of gross proceeds. </w:t>
      </w:r>
    </w:p>
    <w:p w14:paraId="1268FA21" w14:textId="77777777" w:rsidR="007039A7" w:rsidRDefault="00BD6007" w:rsidP="00BD6007">
      <w:r>
        <w:t>As noted, the PJC recommend</w:t>
      </w:r>
      <w:r w:rsidR="00854D33">
        <w:t>ed</w:t>
      </w:r>
      <w:r>
        <w:t xml:space="preserve"> consultation on the appropriateness of a minimum gross return of 70 per cent to class members.</w:t>
      </w:r>
    </w:p>
    <w:p w14:paraId="0B069644" w14:textId="1AE726CD" w:rsidR="00772772" w:rsidRDefault="00306463" w:rsidP="0075365B">
      <w:r>
        <w:t>The</w:t>
      </w:r>
      <w:r w:rsidR="00BD6007">
        <w:t>re are a</w:t>
      </w:r>
      <w:r>
        <w:t xml:space="preserve"> range of options to legislate a statutory minimum return</w:t>
      </w:r>
      <w:r w:rsidR="00BD6007">
        <w:t>. These</w:t>
      </w:r>
      <w:r>
        <w:t xml:space="preserve"> include</w:t>
      </w:r>
      <w:r w:rsidR="00BD6007">
        <w:t xml:space="preserve"> </w:t>
      </w:r>
      <w:r w:rsidRPr="00E13FD3">
        <w:t xml:space="preserve">amending the Corporations Act to </w:t>
      </w:r>
      <w:r w:rsidR="00BD6007" w:rsidRPr="00E13FD3">
        <w:t>ensure</w:t>
      </w:r>
      <w:r w:rsidRPr="00E13FD3">
        <w:t xml:space="preserve">, as a condition of the AFSL or MIS regimes, that litigation funders </w:t>
      </w:r>
      <w:r w:rsidR="00BD6007" w:rsidRPr="00E13FD3">
        <w:t xml:space="preserve">do not impose costs </w:t>
      </w:r>
      <w:proofErr w:type="spellStart"/>
      <w:r w:rsidR="00BD6007" w:rsidRPr="00E13FD3">
        <w:t>where</w:t>
      </w:r>
      <w:proofErr w:type="spellEnd"/>
      <w:r w:rsidR="00BD6007" w:rsidRPr="00E13FD3">
        <w:t xml:space="preserve"> doing so would result in plaintiffs receiving less than the guaranteed minimum</w:t>
      </w:r>
      <w:r w:rsidR="00BD6007">
        <w:t xml:space="preserve">, or </w:t>
      </w:r>
      <w:r w:rsidRPr="00BD6007">
        <w:t>setting a statutory</w:t>
      </w:r>
      <w:r>
        <w:t xml:space="preserve"> cap on returns with court oversight</w:t>
      </w:r>
      <w:r w:rsidR="00BD6007">
        <w:t>.</w:t>
      </w:r>
      <w:r w:rsidR="00A828EE">
        <w:t xml:space="preserve"> Further, Australian </w:t>
      </w:r>
      <w:r w:rsidR="003349E7">
        <w:t>court</w:t>
      </w:r>
      <w:r w:rsidR="008351FC">
        <w:t>s</w:t>
      </w:r>
      <w:r w:rsidR="00E13FD3">
        <w:t xml:space="preserve"> have</w:t>
      </w:r>
      <w:r w:rsidR="003349E7">
        <w:t xml:space="preserve"> had </w:t>
      </w:r>
      <w:r w:rsidR="00B522E7">
        <w:t>a significant role</w:t>
      </w:r>
      <w:r w:rsidR="00772772">
        <w:t xml:space="preserve"> to date in regulating litigation funding in class actions by supervising and approving class action settlements and other case management processes.</w:t>
      </w:r>
      <w:r w:rsidR="00E56205">
        <w:t xml:space="preserve"> The PJC makes recommendations that would enhance the power of the Federal Court. Notably, Recommendation 11 </w:t>
      </w:r>
      <w:r w:rsidR="00557BD5">
        <w:t xml:space="preserve">is </w:t>
      </w:r>
      <w:r w:rsidR="00E56205">
        <w:t>for the Federal Court Act to be amended to introduce:</w:t>
      </w:r>
    </w:p>
    <w:p w14:paraId="3FBFA420" w14:textId="2CDDDD10" w:rsidR="00E56205" w:rsidRDefault="00E56205" w:rsidP="006C49A0">
      <w:pPr>
        <w:pStyle w:val="ListParagraph"/>
        <w:numPr>
          <w:ilvl w:val="0"/>
          <w:numId w:val="38"/>
        </w:numPr>
      </w:pPr>
      <w:r>
        <w:t xml:space="preserve">a requirement for the Federal Court to approve a litigation funding agreement </w:t>
      </w:r>
      <w:proofErr w:type="gramStart"/>
      <w:r>
        <w:t>in order for</w:t>
      </w:r>
      <w:proofErr w:type="gramEnd"/>
      <w:r>
        <w:t xml:space="preserve"> it to be enforceable</w:t>
      </w:r>
    </w:p>
    <w:p w14:paraId="3D79C730" w14:textId="6A31061C" w:rsidR="00E56205" w:rsidRDefault="00E56205" w:rsidP="006C49A0">
      <w:pPr>
        <w:pStyle w:val="ListParagraph"/>
        <w:numPr>
          <w:ilvl w:val="0"/>
          <w:numId w:val="38"/>
        </w:numPr>
      </w:pPr>
      <w:r>
        <w:t xml:space="preserve">a power for the Federal Court to reject, vary or amend the terms of any litigation funding agreement when the interests of justice require. </w:t>
      </w:r>
    </w:p>
    <w:p w14:paraId="661753B6" w14:textId="77CF5473" w:rsidR="00A828EE" w:rsidRDefault="00A828EE" w:rsidP="007039A7">
      <w:r>
        <w:t xml:space="preserve">Any mechanism which guarantees a minimum rate of return will necessarily interplay with the courts’ existing supervisory role in representative proceedings regimes, while </w:t>
      </w:r>
      <w:r w:rsidR="005B01D3">
        <w:t xml:space="preserve">also needing to </w:t>
      </w:r>
      <w:r>
        <w:t xml:space="preserve">maintain conceptual coherence </w:t>
      </w:r>
      <w:r w:rsidR="005B01D3">
        <w:t xml:space="preserve">with </w:t>
      </w:r>
      <w:r>
        <w:t>the broader suite of recommendations in the PJC Report.</w:t>
      </w:r>
    </w:p>
    <w:p w14:paraId="16BF6E78" w14:textId="77777777" w:rsidR="00B17A59" w:rsidRPr="00444DD6" w:rsidRDefault="00B17A59" w:rsidP="00444DD6">
      <w:pPr>
        <w:pStyle w:val="Heading4"/>
      </w:pPr>
      <w:r w:rsidRPr="00444DD6">
        <w:lastRenderedPageBreak/>
        <w:t>Consultation questions</w:t>
      </w:r>
    </w:p>
    <w:p w14:paraId="48FDBB2C" w14:textId="77777777" w:rsidR="00F55495" w:rsidRDefault="00B17A59" w:rsidP="00E13FD3">
      <w:pPr>
        <w:pStyle w:val="Bullet"/>
        <w:keepNext/>
        <w:numPr>
          <w:ilvl w:val="0"/>
          <w:numId w:val="17"/>
        </w:numPr>
        <w:pBdr>
          <w:top w:val="single" w:sz="4" w:space="1" w:color="auto"/>
          <w:left w:val="single" w:sz="4" w:space="4" w:color="auto"/>
          <w:bottom w:val="single" w:sz="4" w:space="1" w:color="auto"/>
          <w:right w:val="single" w:sz="4" w:space="4" w:color="auto"/>
        </w:pBdr>
        <w:shd w:val="pct10" w:color="auto" w:fill="auto"/>
        <w:spacing w:after="160" w:line="259" w:lineRule="auto"/>
        <w:ind w:left="426" w:hanging="284"/>
      </w:pPr>
      <w:r>
        <w:t>W</w:t>
      </w:r>
      <w:bookmarkStart w:id="33" w:name="tempbookmark"/>
      <w:bookmarkEnd w:id="33"/>
      <w:r>
        <w:t>hat</w:t>
      </w:r>
      <w:r w:rsidRPr="00A45D2E">
        <w:t xml:space="preserve"> </w:t>
      </w:r>
      <w:r>
        <w:t>is the</w:t>
      </w:r>
      <w:r w:rsidRPr="00A45D2E">
        <w:t xml:space="preserve"> best way to guarantee a statutory minimum return of the gross proceeds of a class</w:t>
      </w:r>
      <w:r>
        <w:t xml:space="preserve"> action (including settlements)?</w:t>
      </w:r>
      <w:r w:rsidR="00E32FCC">
        <w:t xml:space="preserve"> </w:t>
      </w:r>
    </w:p>
    <w:p w14:paraId="49026F0F" w14:textId="77777777" w:rsidR="00B522E7" w:rsidRDefault="003349E7" w:rsidP="00E13FD3">
      <w:pPr>
        <w:pStyle w:val="Bullet"/>
        <w:keepNext/>
        <w:numPr>
          <w:ilvl w:val="0"/>
          <w:numId w:val="17"/>
        </w:numPr>
        <w:pBdr>
          <w:top w:val="single" w:sz="4" w:space="1" w:color="auto"/>
          <w:left w:val="single" w:sz="4" w:space="4" w:color="auto"/>
          <w:bottom w:val="single" w:sz="4" w:space="1" w:color="auto"/>
          <w:right w:val="single" w:sz="4" w:space="4" w:color="auto"/>
        </w:pBdr>
        <w:shd w:val="pct10" w:color="auto" w:fill="auto"/>
        <w:spacing w:after="160" w:line="259" w:lineRule="auto"/>
        <w:ind w:left="426" w:hanging="284"/>
      </w:pPr>
      <w:r>
        <w:t xml:space="preserve">How would the suggested mechanism interact with </w:t>
      </w:r>
      <w:r w:rsidR="00B522E7">
        <w:t xml:space="preserve">the class </w:t>
      </w:r>
      <w:r w:rsidR="00B522E7" w:rsidRPr="00304047">
        <w:t>action</w:t>
      </w:r>
      <w:r w:rsidR="00B522E7">
        <w:t xml:space="preserve"> system</w:t>
      </w:r>
      <w:r>
        <w:t xml:space="preserve"> (including court processes) and the</w:t>
      </w:r>
      <w:r w:rsidR="00B522E7">
        <w:t xml:space="preserve"> litiga</w:t>
      </w:r>
      <w:r>
        <w:t>tion funding regime?</w:t>
      </w:r>
    </w:p>
    <w:p w14:paraId="7D6B77C0" w14:textId="77777777" w:rsidR="00B17A59" w:rsidRDefault="00B17A59" w:rsidP="00E13FD3">
      <w:pPr>
        <w:pStyle w:val="Bullet"/>
        <w:numPr>
          <w:ilvl w:val="0"/>
          <w:numId w:val="17"/>
        </w:numPr>
        <w:pBdr>
          <w:top w:val="single" w:sz="4" w:space="1" w:color="auto"/>
          <w:left w:val="single" w:sz="4" w:space="4" w:color="auto"/>
          <w:bottom w:val="single" w:sz="4" w:space="1" w:color="auto"/>
          <w:right w:val="single" w:sz="4" w:space="4" w:color="auto"/>
        </w:pBdr>
        <w:shd w:val="pct10" w:color="auto" w:fill="auto"/>
        <w:spacing w:after="160" w:line="259" w:lineRule="auto"/>
        <w:ind w:left="426" w:hanging="284"/>
      </w:pPr>
      <w:r w:rsidRPr="00A45D2E">
        <w:t xml:space="preserve">Is a minimum gross return </w:t>
      </w:r>
      <w:r w:rsidR="00C53D09">
        <w:t>of 70 per cent to class members</w:t>
      </w:r>
      <w:r>
        <w:t xml:space="preserve"> </w:t>
      </w:r>
      <w:r w:rsidRPr="00A45D2E">
        <w:t>the most appropriate floor</w:t>
      </w:r>
      <w:r w:rsidR="00C53D09">
        <w:t xml:space="preserve"> </w:t>
      </w:r>
      <w:r w:rsidR="003349E7">
        <w:t>for</w:t>
      </w:r>
      <w:r w:rsidR="00C53D09">
        <w:t xml:space="preserve"> any statutory minimum return</w:t>
      </w:r>
      <w:r w:rsidR="00F47B01">
        <w:t>?</w:t>
      </w:r>
      <w:r w:rsidR="00B544C9">
        <w:t xml:space="preserve"> If not, what would be the appropriate minimum</w:t>
      </w:r>
      <w:r w:rsidR="00E13FD3">
        <w:t xml:space="preserve"> </w:t>
      </w:r>
      <w:r w:rsidR="00F47B01">
        <w:t>and its</w:t>
      </w:r>
      <w:r w:rsidR="00B544C9">
        <w:t xml:space="preserve"> impact</w:t>
      </w:r>
      <w:r w:rsidR="00F47B01">
        <w:t xml:space="preserve"> </w:t>
      </w:r>
      <w:r w:rsidR="00B544C9">
        <w:t xml:space="preserve">on stakeholders, the class action </w:t>
      </w:r>
      <w:proofErr w:type="gramStart"/>
      <w:r w:rsidR="00B544C9">
        <w:t>sy</w:t>
      </w:r>
      <w:r w:rsidR="00F47B01">
        <w:t>stem</w:t>
      </w:r>
      <w:proofErr w:type="gramEnd"/>
      <w:r w:rsidR="00F47B01">
        <w:t xml:space="preserve"> and the litigation funding</w:t>
      </w:r>
      <w:r w:rsidR="00B544C9">
        <w:t xml:space="preserve"> industry</w:t>
      </w:r>
      <w:r w:rsidRPr="00A45D2E">
        <w:t xml:space="preserve">? </w:t>
      </w:r>
    </w:p>
    <w:p w14:paraId="1EDDF0C5" w14:textId="77777777" w:rsidR="001E242F" w:rsidRDefault="001E242F" w:rsidP="001E242F">
      <w:pPr>
        <w:pStyle w:val="Heading3"/>
      </w:pPr>
      <w:bookmarkStart w:id="34" w:name="_Toc72418938"/>
      <w:bookmarkStart w:id="35" w:name="_Toc73440822"/>
      <w:r>
        <w:t>A graduated approach</w:t>
      </w:r>
      <w:bookmarkEnd w:id="34"/>
      <w:bookmarkEnd w:id="35"/>
      <w:r>
        <w:t xml:space="preserve"> </w:t>
      </w:r>
    </w:p>
    <w:p w14:paraId="436A7E52" w14:textId="30C849D6" w:rsidR="001E242F" w:rsidRDefault="00306463" w:rsidP="007055C5">
      <w:r>
        <w:t xml:space="preserve">The </w:t>
      </w:r>
      <w:r w:rsidR="007039A7">
        <w:t>third element of Recommendation 20 contemplates a graduated approach to guaranteed class member r</w:t>
      </w:r>
      <w:r w:rsidR="00654487">
        <w:t>eturns</w:t>
      </w:r>
      <w:r w:rsidR="004B06BD">
        <w:t>,</w:t>
      </w:r>
      <w:r w:rsidR="00654487">
        <w:t xml:space="preserve"> which </w:t>
      </w:r>
      <w:proofErr w:type="gramStart"/>
      <w:r w:rsidR="00654487">
        <w:t>takes into account</w:t>
      </w:r>
      <w:proofErr w:type="gramEnd"/>
      <w:r w:rsidR="00654487">
        <w:t xml:space="preserve"> the </w:t>
      </w:r>
      <w:r w:rsidR="007055C5">
        <w:t xml:space="preserve">risk, complexity, length </w:t>
      </w:r>
      <w:r w:rsidR="00654487">
        <w:t>and likely</w:t>
      </w:r>
      <w:r w:rsidR="00BA486E">
        <w:t xml:space="preserve"> damages award or settlement to flow from the case</w:t>
      </w:r>
      <w:r w:rsidR="00654487">
        <w:t xml:space="preserve">. This mechanism would entitle class members to a higher proportion of gross proceeds in </w:t>
      </w:r>
      <w:r w:rsidR="009559D5">
        <w:t xml:space="preserve">less complex </w:t>
      </w:r>
      <w:r w:rsidR="003726A6">
        <w:t xml:space="preserve">cases. </w:t>
      </w:r>
    </w:p>
    <w:p w14:paraId="677CF7F0" w14:textId="77777777" w:rsidR="00B17A59" w:rsidRPr="007039A7" w:rsidRDefault="00B17A59" w:rsidP="007039A7">
      <w:pPr>
        <w:pStyle w:val="Heading4"/>
      </w:pPr>
      <w:r w:rsidRPr="007039A7">
        <w:t>Consultation questions</w:t>
      </w:r>
    </w:p>
    <w:p w14:paraId="40409E76" w14:textId="77777777" w:rsidR="000E7A87" w:rsidRDefault="00654487" w:rsidP="00E13FD3">
      <w:pPr>
        <w:pStyle w:val="Bullet"/>
        <w:keepNext/>
        <w:numPr>
          <w:ilvl w:val="0"/>
          <w:numId w:val="17"/>
        </w:numPr>
        <w:pBdr>
          <w:top w:val="single" w:sz="4" w:space="1" w:color="auto"/>
          <w:left w:val="single" w:sz="4" w:space="4" w:color="auto"/>
          <w:bottom w:val="single" w:sz="4" w:space="1" w:color="auto"/>
          <w:right w:val="single" w:sz="4" w:space="4" w:color="auto"/>
        </w:pBdr>
        <w:shd w:val="pct10" w:color="auto" w:fill="auto"/>
        <w:spacing w:after="160" w:line="259" w:lineRule="auto"/>
        <w:ind w:left="426" w:hanging="284"/>
      </w:pPr>
      <w:r w:rsidRPr="00A45D2E">
        <w:t xml:space="preserve">Is a graduated approach taking into consideration the risk, complexity, length and likely proceeds of the case appropriate to ensure even higher returns are guaranteed for class members in more straightforward cases? </w:t>
      </w:r>
    </w:p>
    <w:p w14:paraId="0A0BDA67" w14:textId="77777777" w:rsidR="000C0DB5" w:rsidRDefault="00772772" w:rsidP="004452F6">
      <w:pPr>
        <w:pStyle w:val="Bullet"/>
        <w:numPr>
          <w:ilvl w:val="0"/>
          <w:numId w:val="17"/>
        </w:numPr>
        <w:pBdr>
          <w:top w:val="single" w:sz="4" w:space="1" w:color="auto"/>
          <w:left w:val="single" w:sz="4" w:space="4" w:color="auto"/>
          <w:bottom w:val="single" w:sz="4" w:space="1" w:color="auto"/>
          <w:right w:val="single" w:sz="4" w:space="4" w:color="auto"/>
        </w:pBdr>
        <w:shd w:val="pct10" w:color="auto" w:fill="auto"/>
        <w:spacing w:after="160" w:line="259" w:lineRule="auto"/>
        <w:ind w:left="426" w:hanging="284"/>
      </w:pPr>
      <w:r>
        <w:t>How</w:t>
      </w:r>
      <w:r w:rsidR="00140681">
        <w:t xml:space="preserve"> </w:t>
      </w:r>
      <w:r w:rsidR="007A2F1E">
        <w:t xml:space="preserve">would </w:t>
      </w:r>
      <w:r w:rsidR="0015754A">
        <w:t>a graduated approach to guaranteed returns for class members be implemented</w:t>
      </w:r>
      <w:r w:rsidR="004452F6">
        <w:t xml:space="preserve">? This can include how a decision is made that a particular case is straightforward, </w:t>
      </w:r>
      <w:r w:rsidR="0015754A">
        <w:t xml:space="preserve">how </w:t>
      </w:r>
      <w:r>
        <w:t xml:space="preserve">cases </w:t>
      </w:r>
      <w:r w:rsidR="0015754A">
        <w:t xml:space="preserve">could </w:t>
      </w:r>
      <w:r w:rsidR="00425EC0">
        <w:t>best</w:t>
      </w:r>
      <w:r>
        <w:t xml:space="preserve"> </w:t>
      </w:r>
      <w:r w:rsidR="008252CB">
        <w:t xml:space="preserve">be </w:t>
      </w:r>
      <w:r>
        <w:t xml:space="preserve">classified </w:t>
      </w:r>
      <w:r w:rsidR="008351FC">
        <w:t xml:space="preserve">to </w:t>
      </w:r>
      <w:r>
        <w:t>determin</w:t>
      </w:r>
      <w:r w:rsidR="008351FC">
        <w:t>e</w:t>
      </w:r>
      <w:r>
        <w:t xml:space="preserve"> the minimum return</w:t>
      </w:r>
      <w:r w:rsidR="006352A8">
        <w:t xml:space="preserve"> </w:t>
      </w:r>
      <w:r>
        <w:t>applicable to a particular cas</w:t>
      </w:r>
      <w:r w:rsidR="00425EC0">
        <w:t>e</w:t>
      </w:r>
      <w:r w:rsidR="00BD4C6A">
        <w:t xml:space="preserve"> and</w:t>
      </w:r>
      <w:r w:rsidR="007F31EE">
        <w:t xml:space="preserve"> at</w:t>
      </w:r>
      <w:r w:rsidR="00BD4C6A">
        <w:t xml:space="preserve"> </w:t>
      </w:r>
      <w:r w:rsidR="004452F6">
        <w:t xml:space="preserve">what </w:t>
      </w:r>
      <w:r w:rsidR="008252CB">
        <w:t xml:space="preserve">stage of an action </w:t>
      </w:r>
      <w:r w:rsidR="003E1F0B">
        <w:t>such a</w:t>
      </w:r>
      <w:r w:rsidR="008252CB">
        <w:t xml:space="preserve"> determination should be made</w:t>
      </w:r>
      <w:r w:rsidR="003B63F9">
        <w:t>.</w:t>
      </w:r>
    </w:p>
    <w:p w14:paraId="03C66A7A" w14:textId="77777777" w:rsidR="004452F6" w:rsidRDefault="00BD4C6A" w:rsidP="009E473D">
      <w:pPr>
        <w:pStyle w:val="Heading3"/>
      </w:pPr>
      <w:bookmarkStart w:id="36" w:name="_Toc72418939"/>
      <w:bookmarkStart w:id="37" w:name="_Toc73440823"/>
      <w:r>
        <w:t>Additional issues</w:t>
      </w:r>
      <w:bookmarkEnd w:id="36"/>
      <w:bookmarkEnd w:id="37"/>
      <w:r>
        <w:t xml:space="preserve"> </w:t>
      </w:r>
    </w:p>
    <w:p w14:paraId="6DEF819D" w14:textId="77777777" w:rsidR="00D874BC" w:rsidRPr="00D874BC" w:rsidRDefault="00F3384D" w:rsidP="00D874BC">
      <w:r>
        <w:t>Submissions are</w:t>
      </w:r>
      <w:r w:rsidR="00D874BC">
        <w:t xml:space="preserve"> also welcome</w:t>
      </w:r>
      <w:r>
        <w:t xml:space="preserve"> on</w:t>
      </w:r>
      <w:r w:rsidR="00D874BC">
        <w:t xml:space="preserve"> any additional matt</w:t>
      </w:r>
      <w:r>
        <w:t>ers that are relevant to issues</w:t>
      </w:r>
      <w:r w:rsidR="00D874BC">
        <w:t xml:space="preserve"> raised in this consultation paper</w:t>
      </w:r>
      <w:r w:rsidR="00132E57">
        <w:t>.</w:t>
      </w:r>
      <w:r>
        <w:t xml:space="preserve"> </w:t>
      </w:r>
    </w:p>
    <w:p w14:paraId="184C6630" w14:textId="77777777" w:rsidR="00BD4C6A" w:rsidRPr="00BD4C6A" w:rsidRDefault="00BD4C6A" w:rsidP="009E473D">
      <w:pPr>
        <w:pStyle w:val="Heading4"/>
      </w:pPr>
      <w:r>
        <w:t>Consultation question</w:t>
      </w:r>
    </w:p>
    <w:p w14:paraId="45F9068B" w14:textId="77777777" w:rsidR="007A2F1E" w:rsidRDefault="007A2F1E" w:rsidP="00E13FD3">
      <w:pPr>
        <w:pStyle w:val="Bullet"/>
        <w:numPr>
          <w:ilvl w:val="0"/>
          <w:numId w:val="17"/>
        </w:numPr>
        <w:pBdr>
          <w:top w:val="single" w:sz="4" w:space="1" w:color="auto"/>
          <w:left w:val="single" w:sz="4" w:space="4" w:color="auto"/>
          <w:bottom w:val="single" w:sz="4" w:space="1" w:color="auto"/>
          <w:right w:val="single" w:sz="4" w:space="4" w:color="auto"/>
        </w:pBdr>
        <w:shd w:val="pct10" w:color="auto" w:fill="auto"/>
        <w:spacing w:after="160" w:line="259" w:lineRule="auto"/>
        <w:ind w:left="426" w:hanging="284"/>
      </w:pPr>
      <w:r>
        <w:t>What other implementation considerations would be relevant</w:t>
      </w:r>
      <w:r w:rsidR="004452F6">
        <w:t xml:space="preserve"> to the issues raised in this consultation paper</w:t>
      </w:r>
      <w:r>
        <w:t xml:space="preserve">? </w:t>
      </w:r>
      <w:r w:rsidR="00BD4C6A">
        <w:t>Please provide examples</w:t>
      </w:r>
    </w:p>
    <w:p w14:paraId="7D7CEACB" w14:textId="77777777" w:rsidR="007A2F1E" w:rsidRDefault="00BF0D62" w:rsidP="009E473D">
      <w:r>
        <w:t xml:space="preserve">It would </w:t>
      </w:r>
      <w:r w:rsidR="00AC1DCC">
        <w:t>assist</w:t>
      </w:r>
      <w:r>
        <w:t xml:space="preserve"> if </w:t>
      </w:r>
      <w:r w:rsidR="00F3384D">
        <w:t>relevant examples</w:t>
      </w:r>
      <w:r w:rsidR="00180A66">
        <w:t xml:space="preserve"> </w:t>
      </w:r>
      <w:r>
        <w:t>could be provided</w:t>
      </w:r>
      <w:r w:rsidR="00AC1DCC">
        <w:t xml:space="preserve"> where possible to</w:t>
      </w:r>
      <w:r w:rsidR="00F3384D">
        <w:t xml:space="preserve"> support</w:t>
      </w:r>
      <w:r w:rsidR="00AC1DCC">
        <w:t xml:space="preserve"> submissions made in response</w:t>
      </w:r>
      <w:r w:rsidR="00F3384D">
        <w:t xml:space="preserve"> </w:t>
      </w:r>
      <w:r>
        <w:t>to the above questions</w:t>
      </w:r>
      <w:r w:rsidR="00F3384D">
        <w:t>.</w:t>
      </w:r>
    </w:p>
    <w:sectPr w:rsidR="007A2F1E" w:rsidSect="00E1136B">
      <w:headerReference w:type="even" r:id="rId31"/>
      <w:headerReference w:type="default" r:id="rId32"/>
      <w:footerReference w:type="even" r:id="rId33"/>
      <w:footerReference w:type="default" r:id="rId34"/>
      <w:headerReference w:type="first" r:id="rId35"/>
      <w:footerReference w:type="first" r:id="rId36"/>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D15E6" w14:textId="77777777" w:rsidR="00844C52" w:rsidRDefault="00844C52">
      <w:pPr>
        <w:spacing w:before="0" w:after="0"/>
      </w:pPr>
      <w:r>
        <w:separator/>
      </w:r>
    </w:p>
  </w:endnote>
  <w:endnote w:type="continuationSeparator" w:id="0">
    <w:p w14:paraId="3EFE4948" w14:textId="77777777" w:rsidR="00844C52" w:rsidRDefault="00844C52">
      <w:pPr>
        <w:spacing w:before="0" w:after="0"/>
      </w:pPr>
      <w:r>
        <w:continuationSeparator/>
      </w:r>
    </w:p>
  </w:endnote>
  <w:endnote w:type="continuationNotice" w:id="1">
    <w:p w14:paraId="1F399CC8" w14:textId="77777777" w:rsidR="00844C52" w:rsidRDefault="00844C5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185B5" w14:textId="77777777" w:rsidR="003202B4" w:rsidRDefault="00320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EF41E" w14:textId="77777777" w:rsidR="0091698C" w:rsidRPr="00E77C89" w:rsidRDefault="0091698C" w:rsidP="0017089D">
    <w:r>
      <w:fldChar w:fldCharType="begin"/>
    </w:r>
    <w:r>
      <w:instrText xml:space="preserve"> PAGE  \* Arabic  \* MERGEFORMAT </w:instrText>
    </w:r>
    <w:r>
      <w:fldChar w:fldCharType="separate"/>
    </w:r>
    <w: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CFBB4" w14:textId="77777777" w:rsidR="0091698C" w:rsidRPr="00E77C89" w:rsidRDefault="0091698C" w:rsidP="0017089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0B2E2" w14:textId="12F3FD6B" w:rsidR="0091698C" w:rsidRPr="00E1136B" w:rsidRDefault="0091698C" w:rsidP="00E1136B">
    <w:pPr>
      <w:pStyle w:val="Footer"/>
    </w:pPr>
    <w:r>
      <w:fldChar w:fldCharType="begin"/>
    </w:r>
    <w:r>
      <w:instrText xml:space="preserve"> PAGE   \* MERGEFORMAT </w:instrText>
    </w:r>
    <w:r>
      <w:fldChar w:fldCharType="separate"/>
    </w:r>
    <w:r w:rsidR="003202B4">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C770A" w14:textId="77777777" w:rsidR="0091698C" w:rsidRDefault="00916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8B707" w14:textId="77777777" w:rsidR="00844C52" w:rsidRDefault="00844C52">
      <w:pPr>
        <w:spacing w:before="0" w:after="0"/>
      </w:pPr>
      <w:r>
        <w:separator/>
      </w:r>
    </w:p>
  </w:footnote>
  <w:footnote w:type="continuationSeparator" w:id="0">
    <w:p w14:paraId="182DF72E" w14:textId="77777777" w:rsidR="00844C52" w:rsidRDefault="00844C52">
      <w:pPr>
        <w:spacing w:before="0" w:after="0"/>
      </w:pPr>
      <w:r>
        <w:continuationSeparator/>
      </w:r>
    </w:p>
  </w:footnote>
  <w:footnote w:type="continuationNotice" w:id="1">
    <w:p w14:paraId="0FA9D94D" w14:textId="77777777" w:rsidR="00844C52" w:rsidRDefault="00844C52">
      <w:pPr>
        <w:spacing w:before="0" w:after="0"/>
      </w:pPr>
    </w:p>
  </w:footnote>
  <w:footnote w:id="2">
    <w:p w14:paraId="27FACB4A" w14:textId="202B70CB" w:rsidR="0091698C" w:rsidRDefault="0091698C" w:rsidP="008351FC">
      <w:pPr>
        <w:pStyle w:val="FootnoteText"/>
      </w:pPr>
      <w:r>
        <w:rPr>
          <w:rStyle w:val="FootnoteReference"/>
        </w:rPr>
        <w:footnoteRef/>
      </w:r>
      <w:r>
        <w:t xml:space="preserve"> Australian Law Reform Commission (ALRC), </w:t>
      </w:r>
      <w:hyperlink r:id="rId1" w:history="1">
        <w:r w:rsidRPr="00585433">
          <w:t>Integrity, Fairness and Efficiency – An Inquiry into Class Action Proceedings and Third-Party Litigation Funders</w:t>
        </w:r>
      </w:hyperlink>
      <w:r>
        <w:t>, ALRC, Australian Government, 2018</w:t>
      </w:r>
      <w:r>
        <w:rPr>
          <w:i/>
        </w:rPr>
        <w:t xml:space="preserve">, </w:t>
      </w:r>
      <w:r w:rsidRPr="009F4DA7">
        <w:rPr>
          <w:iCs/>
        </w:rPr>
        <w:t>p</w:t>
      </w:r>
      <w:r>
        <w:t xml:space="preserve"> 62. </w:t>
      </w:r>
    </w:p>
  </w:footnote>
  <w:footnote w:id="3">
    <w:p w14:paraId="3FB85002" w14:textId="77777777" w:rsidR="0091698C" w:rsidRPr="000B6BC5" w:rsidRDefault="0091698C" w:rsidP="00A828EE">
      <w:pPr>
        <w:pStyle w:val="FootnoteText"/>
        <w:rPr>
          <w:lang w:val="en-US"/>
        </w:rPr>
      </w:pPr>
      <w:r>
        <w:rPr>
          <w:rStyle w:val="FootnoteReference"/>
        </w:rPr>
        <w:footnoteRef/>
      </w:r>
      <w:r>
        <w:t xml:space="preserve"> </w:t>
      </w:r>
      <w:r w:rsidRPr="009F4DA7">
        <w:rPr>
          <w:iCs/>
        </w:rPr>
        <w:t>Corporations Amendment Regulation 2012</w:t>
      </w:r>
      <w:r w:rsidRPr="003820FA">
        <w:t xml:space="preserve"> (No 6).</w:t>
      </w:r>
    </w:p>
  </w:footnote>
  <w:footnote w:id="4">
    <w:p w14:paraId="40A0B0FC" w14:textId="3CA690B5" w:rsidR="0091698C" w:rsidRPr="000B6BC5" w:rsidRDefault="0091698C" w:rsidP="00A828EE">
      <w:pPr>
        <w:pStyle w:val="FootnoteText"/>
        <w:rPr>
          <w:lang w:val="en-US"/>
        </w:rPr>
      </w:pPr>
      <w:r w:rsidRPr="0015211D">
        <w:rPr>
          <w:rStyle w:val="FootnoteReference"/>
        </w:rPr>
        <w:footnoteRef/>
      </w:r>
      <w:r w:rsidRPr="0015211D">
        <w:t xml:space="preserve"> </w:t>
      </w:r>
      <w:r w:rsidR="00A857AC" w:rsidRPr="009F4DA7">
        <w:t>The Hon Josh Frydenberg MP,</w:t>
      </w:r>
      <w:r w:rsidRPr="0015211D">
        <w:t xml:space="preserve"> </w:t>
      </w:r>
      <w:hyperlink r:id="rId2" w:history="1">
        <w:r w:rsidRPr="000A222E">
          <w:rPr>
            <w:rStyle w:val="Hyperlink"/>
            <w:i/>
            <w:iCs/>
            <w:color w:val="auto"/>
            <w:szCs w:val="18"/>
          </w:rPr>
          <w:t>Litigation funders to be regulated under the Corporations Act</w:t>
        </w:r>
      </w:hyperlink>
      <w:r w:rsidRPr="0015211D">
        <w:t xml:space="preserve"> [media release], Australian Government, 22 May 2020</w:t>
      </w:r>
      <w:r w:rsidR="00276FD2">
        <w:t>.</w:t>
      </w:r>
    </w:p>
  </w:footnote>
  <w:footnote w:id="5">
    <w:p w14:paraId="2BFFF490" w14:textId="51504D74" w:rsidR="00122F0F" w:rsidRDefault="00122F0F">
      <w:pPr>
        <w:pStyle w:val="FootnoteText"/>
      </w:pPr>
      <w:r>
        <w:rPr>
          <w:rStyle w:val="FootnoteReference"/>
        </w:rPr>
        <w:footnoteRef/>
      </w:r>
      <w:r>
        <w:t xml:space="preserve"> Parliamentary Joint Committee on Corporations and Financial Services, </w:t>
      </w:r>
      <w:r w:rsidRPr="000B6BC5">
        <w:rPr>
          <w:i/>
        </w:rPr>
        <w:t>Litigation funding and the regulation of the class action industry</w:t>
      </w:r>
      <w:r>
        <w:rPr>
          <w:i/>
        </w:rPr>
        <w:t xml:space="preserve">, </w:t>
      </w:r>
      <w:r>
        <w:rPr>
          <w:iCs/>
        </w:rPr>
        <w:t>Parliament of Australia, 2020,</w:t>
      </w:r>
      <w:r>
        <w:t xml:space="preserve"> p 311.</w:t>
      </w:r>
    </w:p>
  </w:footnote>
  <w:footnote w:id="6">
    <w:p w14:paraId="01716E36" w14:textId="68B4A5D0" w:rsidR="0091698C" w:rsidRPr="00F57487" w:rsidRDefault="0091698C" w:rsidP="00A828EE">
      <w:pPr>
        <w:pStyle w:val="FootnoteText"/>
      </w:pPr>
      <w:r>
        <w:rPr>
          <w:rStyle w:val="FootnoteReference"/>
        </w:rPr>
        <w:footnoteRef/>
      </w:r>
      <w:r>
        <w:t xml:space="preserve"> </w:t>
      </w:r>
      <w:r w:rsidR="00122F0F">
        <w:t>Ibid</w:t>
      </w:r>
      <w:r>
        <w:t>.</w:t>
      </w:r>
    </w:p>
  </w:footnote>
  <w:footnote w:id="7">
    <w:p w14:paraId="4D9EF28E" w14:textId="754A13B2" w:rsidR="0091698C" w:rsidRDefault="0091698C" w:rsidP="00A828EE">
      <w:pPr>
        <w:pStyle w:val="FootnoteText"/>
      </w:pPr>
      <w:r>
        <w:rPr>
          <w:rStyle w:val="FootnoteReference"/>
        </w:rPr>
        <w:footnoteRef/>
      </w:r>
      <w:r>
        <w:t xml:space="preserve"> Federal Court of Australia, </w:t>
      </w:r>
      <w:r>
        <w:rPr>
          <w:i/>
          <w:iCs/>
        </w:rPr>
        <w:t>Class Actions Practice Note (GPN-CA)</w:t>
      </w:r>
      <w:r>
        <w:t xml:space="preserve">, General Practice Note, 20 December 2019, </w:t>
      </w:r>
      <w:r w:rsidR="00BC6DF7">
        <w:t>cl </w:t>
      </w:r>
      <w:r>
        <w:t xml:space="preserve">6. </w:t>
      </w:r>
    </w:p>
  </w:footnote>
  <w:footnote w:id="8">
    <w:p w14:paraId="7726D943" w14:textId="0AC9B6F2" w:rsidR="0091698C" w:rsidRDefault="0091698C">
      <w:pPr>
        <w:pStyle w:val="FootnoteText"/>
      </w:pPr>
      <w:r>
        <w:rPr>
          <w:rStyle w:val="FootnoteReference"/>
        </w:rPr>
        <w:footnoteRef/>
      </w:r>
      <w:r>
        <w:t xml:space="preserve"> Ibid, cl 16.</w:t>
      </w:r>
    </w:p>
  </w:footnote>
  <w:footnote w:id="9">
    <w:p w14:paraId="3ABADBCC" w14:textId="5D95E2C3" w:rsidR="0091698C" w:rsidRDefault="0091698C">
      <w:pPr>
        <w:pStyle w:val="FootnoteText"/>
      </w:pPr>
      <w:r>
        <w:rPr>
          <w:rStyle w:val="FootnoteReference"/>
        </w:rPr>
        <w:footnoteRef/>
      </w:r>
      <w:r>
        <w:t xml:space="preserve"> Parliamentary Joint Committee on Corporations and Financial Services, </w:t>
      </w:r>
      <w:r w:rsidRPr="000B6BC5">
        <w:rPr>
          <w:i/>
        </w:rPr>
        <w:t>Litigation funding and the regulation of the class action industry</w:t>
      </w:r>
      <w:r>
        <w:rPr>
          <w:iCs/>
        </w:rPr>
        <w:t>,</w:t>
      </w:r>
      <w:r>
        <w:t xml:space="preserve"> p</w:t>
      </w:r>
      <w:r w:rsidDel="00A107A9">
        <w:t xml:space="preserve"> </w:t>
      </w:r>
      <w:r>
        <w:t>xiv.</w:t>
      </w:r>
    </w:p>
  </w:footnote>
  <w:footnote w:id="10">
    <w:p w14:paraId="610359F9" w14:textId="579D265B" w:rsidR="0091698C" w:rsidRDefault="0091698C">
      <w:pPr>
        <w:pStyle w:val="FootnoteText"/>
      </w:pPr>
      <w:r>
        <w:rPr>
          <w:rStyle w:val="FootnoteReference"/>
        </w:rPr>
        <w:footnoteRef/>
      </w:r>
      <w:r>
        <w:t xml:space="preserve"> Ibid.</w:t>
      </w:r>
    </w:p>
  </w:footnote>
  <w:footnote w:id="11">
    <w:p w14:paraId="5D3D426B" w14:textId="77186B3F" w:rsidR="0091698C" w:rsidRDefault="0091698C">
      <w:pPr>
        <w:pStyle w:val="FootnoteText"/>
      </w:pPr>
      <w:r>
        <w:rPr>
          <w:rStyle w:val="FootnoteReference"/>
        </w:rPr>
        <w:footnoteRef/>
      </w:r>
      <w:r>
        <w:t xml:space="preserve"> Ibid. </w:t>
      </w:r>
    </w:p>
  </w:footnote>
  <w:footnote w:id="12">
    <w:p w14:paraId="1EE86BC5" w14:textId="50287017" w:rsidR="0091698C" w:rsidRDefault="0091698C" w:rsidP="00A828EE">
      <w:pPr>
        <w:pStyle w:val="FootnoteText"/>
      </w:pPr>
      <w:r>
        <w:rPr>
          <w:rStyle w:val="FootnoteReference"/>
        </w:rPr>
        <w:footnoteRef/>
      </w:r>
      <w:r>
        <w:t xml:space="preserve"> Ibid, p xv.</w:t>
      </w:r>
    </w:p>
  </w:footnote>
  <w:footnote w:id="13">
    <w:p w14:paraId="5B55962C" w14:textId="45091519" w:rsidR="0091698C" w:rsidRDefault="0091698C" w:rsidP="005A1873">
      <w:pPr>
        <w:pStyle w:val="FootnoteText"/>
        <w:keepNext/>
        <w:keepLines/>
      </w:pPr>
      <w:r>
        <w:rPr>
          <w:rStyle w:val="FootnoteReference"/>
        </w:rPr>
        <w:footnoteRef/>
      </w:r>
      <w:r>
        <w:t xml:space="preserve"> The PJC cited analysis in the </w:t>
      </w:r>
      <w:r w:rsidR="00BC6DF7">
        <w:t>ALRC</w:t>
      </w:r>
      <w:r>
        <w:t xml:space="preserve"> report </w:t>
      </w:r>
      <w:r>
        <w:rPr>
          <w:i/>
        </w:rPr>
        <w:t xml:space="preserve">Integrity, Fairness and Efficiency – An Inquiry into Class Action Proceedings and Third-Party Litigation Funders </w:t>
      </w:r>
      <w:r>
        <w:t>(December 2018) that when litigation funders were involved in a class action, the median return to plaintiffs was 51 per cent, compared to 85 per cent when a funder was not involved.</w:t>
      </w:r>
    </w:p>
  </w:footnote>
  <w:footnote w:id="14">
    <w:p w14:paraId="4AEF7468" w14:textId="05609FAC" w:rsidR="0091698C" w:rsidRDefault="0091698C" w:rsidP="00E05058">
      <w:pPr>
        <w:pStyle w:val="FootnoteText"/>
      </w:pPr>
      <w:r>
        <w:rPr>
          <w:rStyle w:val="FootnoteReference"/>
        </w:rPr>
        <w:footnoteRef/>
      </w:r>
      <w:r>
        <w:t xml:space="preserve"> Parliamentary Joint Committee on Corporations and Financial Services, </w:t>
      </w:r>
      <w:r w:rsidRPr="000B6BC5">
        <w:rPr>
          <w:i/>
        </w:rPr>
        <w:t>Litigation funding and the regulation of the class action industry</w:t>
      </w:r>
      <w:r>
        <w:rPr>
          <w:i/>
        </w:rPr>
        <w:t xml:space="preserve">, </w:t>
      </w:r>
      <w:r>
        <w:t>p</w:t>
      </w:r>
      <w:r w:rsidDel="00A107A9">
        <w:t xml:space="preserve"> </w:t>
      </w:r>
      <w:r>
        <w:t>204.</w:t>
      </w:r>
    </w:p>
  </w:footnote>
  <w:footnote w:id="15">
    <w:p w14:paraId="5C7DE4E3" w14:textId="161B4790" w:rsidR="0091698C" w:rsidRDefault="0091698C" w:rsidP="00A828EE">
      <w:pPr>
        <w:pStyle w:val="FootnoteText"/>
      </w:pPr>
      <w:r>
        <w:rPr>
          <w:rStyle w:val="FootnoteReference"/>
        </w:rPr>
        <w:footnoteRef/>
      </w:r>
      <w:r>
        <w:t xml:space="preserve"> </w:t>
      </w:r>
      <w:r w:rsidR="00A857AC">
        <w:t>Ibid</w:t>
      </w:r>
      <w:r>
        <w:t xml:space="preserve">. </w:t>
      </w:r>
    </w:p>
  </w:footnote>
  <w:footnote w:id="16">
    <w:p w14:paraId="62D22EE6" w14:textId="0A790234" w:rsidR="00C362C7" w:rsidRDefault="00C362C7" w:rsidP="00C362C7">
      <w:pPr>
        <w:pStyle w:val="FootnoteText"/>
      </w:pPr>
      <w:r>
        <w:rPr>
          <w:rStyle w:val="FootnoteReference"/>
        </w:rPr>
        <w:footnoteRef/>
      </w:r>
      <w:r>
        <w:t xml:space="preserve"> </w:t>
      </w:r>
      <w:r w:rsidR="00A857AC">
        <w:t>Ibid</w:t>
      </w:r>
      <w:r>
        <w:t xml:space="preserve">. </w:t>
      </w:r>
    </w:p>
  </w:footnote>
  <w:footnote w:id="17">
    <w:p w14:paraId="64C2B1ED" w14:textId="77777777" w:rsidR="0091698C" w:rsidRDefault="0091698C" w:rsidP="00A828EE">
      <w:pPr>
        <w:pStyle w:val="FootnoteText"/>
      </w:pPr>
      <w:r>
        <w:rPr>
          <w:rStyle w:val="FootnoteReference"/>
        </w:rPr>
        <w:footnoteRef/>
      </w:r>
      <w:r>
        <w:t xml:space="preserve"> Ibid.</w:t>
      </w:r>
    </w:p>
  </w:footnote>
  <w:footnote w:id="18">
    <w:p w14:paraId="05A0D6E3" w14:textId="6B903CBC" w:rsidR="0091698C" w:rsidRDefault="0091698C">
      <w:pPr>
        <w:pStyle w:val="FootnoteText"/>
      </w:pPr>
      <w:r>
        <w:rPr>
          <w:rStyle w:val="FootnoteReference"/>
        </w:rPr>
        <w:footnoteRef/>
      </w:r>
      <w:r>
        <w:t xml:space="preserve"> Ibid.</w:t>
      </w:r>
    </w:p>
  </w:footnote>
  <w:footnote w:id="19">
    <w:p w14:paraId="1C30CCA8" w14:textId="2F951C01" w:rsidR="0091698C" w:rsidRPr="000B6BC5" w:rsidRDefault="0091698C" w:rsidP="00A828EE">
      <w:pPr>
        <w:pStyle w:val="FootnoteText"/>
        <w:rPr>
          <w:lang w:val="en-US"/>
        </w:rPr>
      </w:pPr>
      <w:r>
        <w:rPr>
          <w:rStyle w:val="FootnoteReference"/>
        </w:rPr>
        <w:footnoteRef/>
      </w:r>
      <w:r>
        <w:t xml:space="preserve"> </w:t>
      </w:r>
      <w:r>
        <w:rPr>
          <w:i/>
        </w:rPr>
        <w:t>Endeavour River Pty Ltd v MG Responsible Entity Limited</w:t>
      </w:r>
      <w:r>
        <w:t xml:space="preserve"> [2019] FCA 1719</w:t>
      </w:r>
      <w:r>
        <w:rPr>
          <w:rFonts w:cstheme="minorHAnsi"/>
          <w:i/>
          <w:iCs/>
        </w:rPr>
        <w:t xml:space="preserve">; Petersen Super Fund Pty Ltd v Bank of Qld Ltd (No 3) </w:t>
      </w:r>
      <w:r w:rsidRPr="009F4DA7">
        <w:rPr>
          <w:rFonts w:cstheme="minorHAnsi"/>
        </w:rPr>
        <w:t>[2018] FCA 1842</w:t>
      </w:r>
      <w:r w:rsidR="0092164C">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89756" w14:textId="0EC55589" w:rsidR="0091698C" w:rsidRDefault="0091698C">
    <w:pPr>
      <w:pStyle w:val="Header"/>
    </w:pPr>
    <w:r>
      <w:rPr>
        <w:noProof/>
      </w:rPr>
      <w:drawing>
        <wp:anchor distT="0" distB="0" distL="114300" distR="114300" simplePos="0" relativeHeight="251658240" behindDoc="1" locked="0" layoutInCell="1" allowOverlap="1" wp14:anchorId="1A0C7033" wp14:editId="7B5AA501">
          <wp:simplePos x="0" y="0"/>
          <wp:positionH relativeFrom="page">
            <wp:posOffset>238297</wp:posOffset>
          </wp:positionH>
          <wp:positionV relativeFrom="page">
            <wp:posOffset>318977</wp:posOffset>
          </wp:positionV>
          <wp:extent cx="7083906" cy="100203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083906" cy="100203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B128B" w14:textId="77777777" w:rsidR="0091698C" w:rsidRPr="001F3912" w:rsidRDefault="0091698C" w:rsidP="0017089D">
    <w:r>
      <w:fldChar w:fldCharType="begin"/>
    </w:r>
    <w:r>
      <w:instrText xml:space="preserve"> macrobutton nomacro [Click and add Publication Title]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DFF4C" w14:textId="77777777" w:rsidR="0091698C" w:rsidRPr="001F3912" w:rsidRDefault="0091698C" w:rsidP="0017089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5C939" w14:textId="77777777" w:rsidR="0091698C" w:rsidRPr="001F3912" w:rsidRDefault="0091698C" w:rsidP="0017089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50E72" w14:textId="0F679039" w:rsidR="0091698C" w:rsidRPr="001F3912" w:rsidRDefault="0091698C" w:rsidP="001606CF">
    <w:pPr>
      <w:pStyle w:val="Header"/>
    </w:pPr>
    <w:r>
      <w:rPr>
        <w:noProof/>
      </w:rPr>
      <w:fldChar w:fldCharType="begin"/>
    </w:r>
    <w:r>
      <w:rPr>
        <w:noProof/>
      </w:rPr>
      <w:instrText xml:space="preserve"> STYLEREF  Title  \* MERGEFORMAT </w:instrText>
    </w:r>
    <w:r>
      <w:rPr>
        <w:noProof/>
      </w:rPr>
      <w:fldChar w:fldCharType="separate"/>
    </w:r>
    <w:r w:rsidR="000449B2">
      <w:rPr>
        <w:noProof/>
      </w:rPr>
      <w:t>Guaranteeing a minimum return of class action proceeds to class members</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32604" w14:textId="77777777" w:rsidR="0091698C" w:rsidRDefault="009169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CE5165"/>
    <w:multiLevelType w:val="hybridMultilevel"/>
    <w:tmpl w:val="D2E0662E"/>
    <w:lvl w:ilvl="0" w:tplc="0C090001">
      <w:start w:val="8"/>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CC4E5D"/>
    <w:multiLevelType w:val="multilevel"/>
    <w:tmpl w:val="D10E9CF6"/>
    <w:numStyleLink w:val="OneLevelList"/>
  </w:abstractNum>
  <w:abstractNum w:abstractNumId="5"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21E1C9D"/>
    <w:multiLevelType w:val="hybridMultilevel"/>
    <w:tmpl w:val="E6061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B2049C"/>
    <w:multiLevelType w:val="multilevel"/>
    <w:tmpl w:val="72F0DC92"/>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4E7637B"/>
    <w:multiLevelType w:val="multilevel"/>
    <w:tmpl w:val="6714D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9D257E"/>
    <w:multiLevelType w:val="hybridMultilevel"/>
    <w:tmpl w:val="BB2ADB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A771F03"/>
    <w:multiLevelType w:val="hybridMultilevel"/>
    <w:tmpl w:val="BB2ADB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102D99"/>
    <w:multiLevelType w:val="hybridMultilevel"/>
    <w:tmpl w:val="947E16F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51E571D"/>
    <w:multiLevelType w:val="hybridMultilevel"/>
    <w:tmpl w:val="5FE40C8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0D2021"/>
    <w:multiLevelType w:val="multilevel"/>
    <w:tmpl w:val="72F8140E"/>
    <w:numStyleLink w:val="OutlineList"/>
  </w:abstractNum>
  <w:abstractNum w:abstractNumId="18" w15:restartNumberingAfterBreak="0">
    <w:nsid w:val="54982133"/>
    <w:multiLevelType w:val="hybridMultilevel"/>
    <w:tmpl w:val="5184CA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801629F"/>
    <w:multiLevelType w:val="hybridMultilevel"/>
    <w:tmpl w:val="2F3EAA06"/>
    <w:lvl w:ilvl="0" w:tplc="706A146E">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5C7E35"/>
    <w:multiLevelType w:val="hybridMultilevel"/>
    <w:tmpl w:val="CE261424"/>
    <w:lvl w:ilvl="0" w:tplc="8DD2153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E2631FF"/>
    <w:multiLevelType w:val="hybridMultilevel"/>
    <w:tmpl w:val="C890EC6A"/>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6D25625"/>
    <w:multiLevelType w:val="hybridMultilevel"/>
    <w:tmpl w:val="23281A7A"/>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5934C40"/>
    <w:multiLevelType w:val="hybridMultilevel"/>
    <w:tmpl w:val="D646E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CDE244D"/>
    <w:multiLevelType w:val="hybridMultilevel"/>
    <w:tmpl w:val="B4443998"/>
    <w:lvl w:ilvl="0" w:tplc="DFF2E640">
      <w:start w:val="1"/>
      <w:numFmt w:val="decimal"/>
      <w:lvlText w:val="%1."/>
      <w:lvlJc w:val="left"/>
      <w:pPr>
        <w:ind w:left="720" w:hanging="360"/>
      </w:pPr>
      <w:rPr>
        <w:rFonts w:ascii="Calibri" w:eastAsia="Times New Roman" w:hAnsi="Calibri" w:cs="Times New Roman"/>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10"/>
  </w:num>
  <w:num w:numId="2">
    <w:abstractNumId w:val="0"/>
  </w:num>
  <w:num w:numId="3">
    <w:abstractNumId w:val="12"/>
  </w:num>
  <w:num w:numId="4">
    <w:abstractNumId w:val="2"/>
  </w:num>
  <w:num w:numId="5">
    <w:abstractNumId w:val="4"/>
  </w:num>
  <w:num w:numId="6">
    <w:abstractNumId w:val="17"/>
  </w:num>
  <w:num w:numId="7">
    <w:abstractNumId w:val="11"/>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5"/>
  </w:num>
  <w:num w:numId="9">
    <w:abstractNumId w:val="1"/>
  </w:num>
  <w:num w:numId="10">
    <w:abstractNumId w:val="9"/>
  </w:num>
  <w:num w:numId="11">
    <w:abstractNumId w:val="25"/>
  </w:num>
  <w:num w:numId="12">
    <w:abstractNumId w:val="17"/>
  </w:num>
  <w:num w:numId="13">
    <w:abstractNumId w:val="9"/>
  </w:num>
  <w:num w:numId="14">
    <w:abstractNumId w:val="11"/>
  </w:num>
  <w:num w:numId="15">
    <w:abstractNumId w:val="7"/>
  </w:num>
  <w:num w:numId="16">
    <w:abstractNumId w:val="20"/>
  </w:num>
  <w:num w:numId="17">
    <w:abstractNumId w:val="24"/>
  </w:num>
  <w:num w:numId="18">
    <w:abstractNumId w:val="19"/>
  </w:num>
  <w:num w:numId="19">
    <w:abstractNumId w:val="22"/>
  </w:num>
  <w:num w:numId="20">
    <w:abstractNumId w:val="3"/>
  </w:num>
  <w:num w:numId="21">
    <w:abstractNumId w:val="21"/>
  </w:num>
  <w:num w:numId="22">
    <w:abstractNumId w:val="8"/>
  </w:num>
  <w:num w:numId="23">
    <w:abstractNumId w:val="16"/>
  </w:num>
  <w:num w:numId="24">
    <w:abstractNumId w:val="13"/>
  </w:num>
  <w:num w:numId="25">
    <w:abstractNumId w:val="14"/>
  </w:num>
  <w:num w:numId="26">
    <w:abstractNumId w:val="10"/>
  </w:num>
  <w:num w:numId="27">
    <w:abstractNumId w:val="10"/>
  </w:num>
  <w:num w:numId="28">
    <w:abstractNumId w:val="15"/>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8"/>
  </w:num>
  <w:num w:numId="37">
    <w:abstractNumId w:val="6"/>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3F7"/>
    <w:rsid w:val="00011725"/>
    <w:rsid w:val="00012C62"/>
    <w:rsid w:val="00020D0D"/>
    <w:rsid w:val="00024281"/>
    <w:rsid w:val="0002544D"/>
    <w:rsid w:val="000256B3"/>
    <w:rsid w:val="00025C3C"/>
    <w:rsid w:val="000265A0"/>
    <w:rsid w:val="00034DDC"/>
    <w:rsid w:val="00041A8B"/>
    <w:rsid w:val="00041E3B"/>
    <w:rsid w:val="0004274D"/>
    <w:rsid w:val="000439C7"/>
    <w:rsid w:val="00043FEC"/>
    <w:rsid w:val="000449B2"/>
    <w:rsid w:val="00044C0A"/>
    <w:rsid w:val="000467E2"/>
    <w:rsid w:val="00050F3B"/>
    <w:rsid w:val="0005199B"/>
    <w:rsid w:val="00056880"/>
    <w:rsid w:val="00061F00"/>
    <w:rsid w:val="000636B1"/>
    <w:rsid w:val="000644B3"/>
    <w:rsid w:val="000648C2"/>
    <w:rsid w:val="000657DD"/>
    <w:rsid w:val="00066A1B"/>
    <w:rsid w:val="000675D1"/>
    <w:rsid w:val="00067AA6"/>
    <w:rsid w:val="0007102C"/>
    <w:rsid w:val="00072352"/>
    <w:rsid w:val="00073521"/>
    <w:rsid w:val="000746ED"/>
    <w:rsid w:val="00074D5C"/>
    <w:rsid w:val="000775DE"/>
    <w:rsid w:val="000842EC"/>
    <w:rsid w:val="000858F2"/>
    <w:rsid w:val="00087FAF"/>
    <w:rsid w:val="00094E29"/>
    <w:rsid w:val="000A222E"/>
    <w:rsid w:val="000A40E6"/>
    <w:rsid w:val="000A5083"/>
    <w:rsid w:val="000B1E6A"/>
    <w:rsid w:val="000B59C8"/>
    <w:rsid w:val="000C0DB5"/>
    <w:rsid w:val="000C5F40"/>
    <w:rsid w:val="000D087B"/>
    <w:rsid w:val="000D659E"/>
    <w:rsid w:val="000E0B74"/>
    <w:rsid w:val="000E6B58"/>
    <w:rsid w:val="000E7A87"/>
    <w:rsid w:val="000F0BF8"/>
    <w:rsid w:val="000F14CF"/>
    <w:rsid w:val="000F6204"/>
    <w:rsid w:val="000F6C72"/>
    <w:rsid w:val="000F7517"/>
    <w:rsid w:val="000F7592"/>
    <w:rsid w:val="0011077F"/>
    <w:rsid w:val="00113EB0"/>
    <w:rsid w:val="00115BB9"/>
    <w:rsid w:val="00121482"/>
    <w:rsid w:val="00122F0F"/>
    <w:rsid w:val="00125154"/>
    <w:rsid w:val="001253BD"/>
    <w:rsid w:val="00125C2A"/>
    <w:rsid w:val="00130B65"/>
    <w:rsid w:val="00132E57"/>
    <w:rsid w:val="00140681"/>
    <w:rsid w:val="0014091C"/>
    <w:rsid w:val="00145A73"/>
    <w:rsid w:val="001461FB"/>
    <w:rsid w:val="00146309"/>
    <w:rsid w:val="0015211D"/>
    <w:rsid w:val="00152934"/>
    <w:rsid w:val="0015754A"/>
    <w:rsid w:val="001606CF"/>
    <w:rsid w:val="0016128D"/>
    <w:rsid w:val="00165C5F"/>
    <w:rsid w:val="001664B9"/>
    <w:rsid w:val="00170432"/>
    <w:rsid w:val="0017089D"/>
    <w:rsid w:val="00180A66"/>
    <w:rsid w:val="00183062"/>
    <w:rsid w:val="0019089B"/>
    <w:rsid w:val="0019101A"/>
    <w:rsid w:val="001922C7"/>
    <w:rsid w:val="0019506C"/>
    <w:rsid w:val="001957EA"/>
    <w:rsid w:val="001A0ED0"/>
    <w:rsid w:val="001A4E08"/>
    <w:rsid w:val="001A570A"/>
    <w:rsid w:val="001B5CB0"/>
    <w:rsid w:val="001C13F7"/>
    <w:rsid w:val="001C2F89"/>
    <w:rsid w:val="001C358D"/>
    <w:rsid w:val="001C6001"/>
    <w:rsid w:val="001C79B8"/>
    <w:rsid w:val="001D1226"/>
    <w:rsid w:val="001D4EAA"/>
    <w:rsid w:val="001E0184"/>
    <w:rsid w:val="001E242F"/>
    <w:rsid w:val="001E58F3"/>
    <w:rsid w:val="001E5E03"/>
    <w:rsid w:val="001E7457"/>
    <w:rsid w:val="00201CE7"/>
    <w:rsid w:val="00206807"/>
    <w:rsid w:val="002154DE"/>
    <w:rsid w:val="00215519"/>
    <w:rsid w:val="0022157C"/>
    <w:rsid w:val="0022190E"/>
    <w:rsid w:val="00231049"/>
    <w:rsid w:val="002314D2"/>
    <w:rsid w:val="002372A6"/>
    <w:rsid w:val="00246F63"/>
    <w:rsid w:val="0025014A"/>
    <w:rsid w:val="00250E99"/>
    <w:rsid w:val="0025176E"/>
    <w:rsid w:val="00255D14"/>
    <w:rsid w:val="00257AEE"/>
    <w:rsid w:val="00263B6C"/>
    <w:rsid w:val="00265B99"/>
    <w:rsid w:val="0027064E"/>
    <w:rsid w:val="00271175"/>
    <w:rsid w:val="00272AFF"/>
    <w:rsid w:val="002757E9"/>
    <w:rsid w:val="0027590B"/>
    <w:rsid w:val="00276FD2"/>
    <w:rsid w:val="002858B4"/>
    <w:rsid w:val="00285969"/>
    <w:rsid w:val="002940EC"/>
    <w:rsid w:val="002B34E3"/>
    <w:rsid w:val="002B3829"/>
    <w:rsid w:val="002B3F3E"/>
    <w:rsid w:val="002B4D4D"/>
    <w:rsid w:val="002B5C39"/>
    <w:rsid w:val="002B60B0"/>
    <w:rsid w:val="002B7E44"/>
    <w:rsid w:val="002C5991"/>
    <w:rsid w:val="002C6F3B"/>
    <w:rsid w:val="002D3698"/>
    <w:rsid w:val="002D488F"/>
    <w:rsid w:val="002E25EB"/>
    <w:rsid w:val="002E2CBA"/>
    <w:rsid w:val="002F5E39"/>
    <w:rsid w:val="002F617F"/>
    <w:rsid w:val="003055D0"/>
    <w:rsid w:val="0030622A"/>
    <w:rsid w:val="00306463"/>
    <w:rsid w:val="00306C6E"/>
    <w:rsid w:val="003122F4"/>
    <w:rsid w:val="00312AE9"/>
    <w:rsid w:val="003202B4"/>
    <w:rsid w:val="003224E9"/>
    <w:rsid w:val="0032300A"/>
    <w:rsid w:val="0032330A"/>
    <w:rsid w:val="003246F7"/>
    <w:rsid w:val="003268D5"/>
    <w:rsid w:val="0033383A"/>
    <w:rsid w:val="003349E7"/>
    <w:rsid w:val="00344779"/>
    <w:rsid w:val="00351B1E"/>
    <w:rsid w:val="00354413"/>
    <w:rsid w:val="00354D27"/>
    <w:rsid w:val="00354FBB"/>
    <w:rsid w:val="003566F1"/>
    <w:rsid w:val="0036171B"/>
    <w:rsid w:val="00362A6D"/>
    <w:rsid w:val="00365710"/>
    <w:rsid w:val="003726A6"/>
    <w:rsid w:val="00372BBB"/>
    <w:rsid w:val="00373CA9"/>
    <w:rsid w:val="00377B69"/>
    <w:rsid w:val="003830BF"/>
    <w:rsid w:val="003839F0"/>
    <w:rsid w:val="003858A6"/>
    <w:rsid w:val="00391B20"/>
    <w:rsid w:val="00392DCC"/>
    <w:rsid w:val="00397DD4"/>
    <w:rsid w:val="00397E02"/>
    <w:rsid w:val="003A1DD7"/>
    <w:rsid w:val="003A4F21"/>
    <w:rsid w:val="003A59B2"/>
    <w:rsid w:val="003B63F9"/>
    <w:rsid w:val="003B6B2D"/>
    <w:rsid w:val="003B6CD1"/>
    <w:rsid w:val="003C0A37"/>
    <w:rsid w:val="003C0C13"/>
    <w:rsid w:val="003C4FAA"/>
    <w:rsid w:val="003C4FBC"/>
    <w:rsid w:val="003C7623"/>
    <w:rsid w:val="003D2C60"/>
    <w:rsid w:val="003D4CCE"/>
    <w:rsid w:val="003D6A17"/>
    <w:rsid w:val="003E0279"/>
    <w:rsid w:val="003E0B14"/>
    <w:rsid w:val="003E1F0B"/>
    <w:rsid w:val="003E2C8F"/>
    <w:rsid w:val="003E2EBE"/>
    <w:rsid w:val="003E38B0"/>
    <w:rsid w:val="003E3D44"/>
    <w:rsid w:val="003E4D87"/>
    <w:rsid w:val="003E6163"/>
    <w:rsid w:val="003E6CF4"/>
    <w:rsid w:val="003F592D"/>
    <w:rsid w:val="003F71F2"/>
    <w:rsid w:val="00402DEF"/>
    <w:rsid w:val="004059F4"/>
    <w:rsid w:val="00414214"/>
    <w:rsid w:val="00416762"/>
    <w:rsid w:val="00420995"/>
    <w:rsid w:val="00421351"/>
    <w:rsid w:val="00425EC0"/>
    <w:rsid w:val="0043126B"/>
    <w:rsid w:val="00434859"/>
    <w:rsid w:val="00444DD6"/>
    <w:rsid w:val="00445265"/>
    <w:rsid w:val="004452F6"/>
    <w:rsid w:val="004557ED"/>
    <w:rsid w:val="004559CE"/>
    <w:rsid w:val="0045621C"/>
    <w:rsid w:val="00462E80"/>
    <w:rsid w:val="00464C14"/>
    <w:rsid w:val="00475B7B"/>
    <w:rsid w:val="00475F4D"/>
    <w:rsid w:val="004815DF"/>
    <w:rsid w:val="00482AD1"/>
    <w:rsid w:val="00483049"/>
    <w:rsid w:val="00484E5F"/>
    <w:rsid w:val="00492FCB"/>
    <w:rsid w:val="004938D1"/>
    <w:rsid w:val="004951A8"/>
    <w:rsid w:val="004A077D"/>
    <w:rsid w:val="004A239D"/>
    <w:rsid w:val="004A7BC2"/>
    <w:rsid w:val="004B06BD"/>
    <w:rsid w:val="004B1700"/>
    <w:rsid w:val="004B6743"/>
    <w:rsid w:val="004B756C"/>
    <w:rsid w:val="004B774C"/>
    <w:rsid w:val="004B7F71"/>
    <w:rsid w:val="004C0356"/>
    <w:rsid w:val="004C212F"/>
    <w:rsid w:val="004E02C5"/>
    <w:rsid w:val="004F1164"/>
    <w:rsid w:val="004F5514"/>
    <w:rsid w:val="00516785"/>
    <w:rsid w:val="005213AA"/>
    <w:rsid w:val="0052419D"/>
    <w:rsid w:val="00526C27"/>
    <w:rsid w:val="00530050"/>
    <w:rsid w:val="005301F8"/>
    <w:rsid w:val="005312FC"/>
    <w:rsid w:val="00533A4C"/>
    <w:rsid w:val="005346D4"/>
    <w:rsid w:val="00535F01"/>
    <w:rsid w:val="0053603D"/>
    <w:rsid w:val="005402BD"/>
    <w:rsid w:val="005500DB"/>
    <w:rsid w:val="005506FD"/>
    <w:rsid w:val="00557BD5"/>
    <w:rsid w:val="00560E55"/>
    <w:rsid w:val="00570C9F"/>
    <w:rsid w:val="00574446"/>
    <w:rsid w:val="00580A94"/>
    <w:rsid w:val="00583FA8"/>
    <w:rsid w:val="00585433"/>
    <w:rsid w:val="00586411"/>
    <w:rsid w:val="005868DE"/>
    <w:rsid w:val="005A1873"/>
    <w:rsid w:val="005A7908"/>
    <w:rsid w:val="005B01D3"/>
    <w:rsid w:val="005B1BA8"/>
    <w:rsid w:val="005D3678"/>
    <w:rsid w:val="005D6A29"/>
    <w:rsid w:val="005D76E2"/>
    <w:rsid w:val="005F1879"/>
    <w:rsid w:val="005F22DA"/>
    <w:rsid w:val="00601580"/>
    <w:rsid w:val="0060595B"/>
    <w:rsid w:val="00605AFD"/>
    <w:rsid w:val="00607C7C"/>
    <w:rsid w:val="00610036"/>
    <w:rsid w:val="00610C64"/>
    <w:rsid w:val="006123D4"/>
    <w:rsid w:val="00617792"/>
    <w:rsid w:val="006325EF"/>
    <w:rsid w:val="006352A8"/>
    <w:rsid w:val="0063610C"/>
    <w:rsid w:val="00637C14"/>
    <w:rsid w:val="00647B11"/>
    <w:rsid w:val="00647E5A"/>
    <w:rsid w:val="0065169A"/>
    <w:rsid w:val="00654487"/>
    <w:rsid w:val="00656356"/>
    <w:rsid w:val="00670467"/>
    <w:rsid w:val="006755BF"/>
    <w:rsid w:val="0067744C"/>
    <w:rsid w:val="00683B6A"/>
    <w:rsid w:val="00686165"/>
    <w:rsid w:val="00691CB5"/>
    <w:rsid w:val="00691DF3"/>
    <w:rsid w:val="006A266D"/>
    <w:rsid w:val="006A6EE1"/>
    <w:rsid w:val="006B35F4"/>
    <w:rsid w:val="006B5E7C"/>
    <w:rsid w:val="006C49A0"/>
    <w:rsid w:val="006C645D"/>
    <w:rsid w:val="006D42C7"/>
    <w:rsid w:val="006D76A9"/>
    <w:rsid w:val="006E01C1"/>
    <w:rsid w:val="006E3CC3"/>
    <w:rsid w:val="006E5A16"/>
    <w:rsid w:val="006E5E2A"/>
    <w:rsid w:val="006F14BE"/>
    <w:rsid w:val="006F1E7F"/>
    <w:rsid w:val="006F4C51"/>
    <w:rsid w:val="006F656C"/>
    <w:rsid w:val="007039A7"/>
    <w:rsid w:val="007055C5"/>
    <w:rsid w:val="007066FE"/>
    <w:rsid w:val="00707014"/>
    <w:rsid w:val="0070757E"/>
    <w:rsid w:val="0071108D"/>
    <w:rsid w:val="00714AE1"/>
    <w:rsid w:val="00717575"/>
    <w:rsid w:val="00717C86"/>
    <w:rsid w:val="00727CA4"/>
    <w:rsid w:val="00732FF8"/>
    <w:rsid w:val="0073398F"/>
    <w:rsid w:val="00734160"/>
    <w:rsid w:val="00742083"/>
    <w:rsid w:val="00745A87"/>
    <w:rsid w:val="00750994"/>
    <w:rsid w:val="0075365B"/>
    <w:rsid w:val="00756B65"/>
    <w:rsid w:val="00757188"/>
    <w:rsid w:val="00757816"/>
    <w:rsid w:val="00760271"/>
    <w:rsid w:val="00762D0B"/>
    <w:rsid w:val="00765F34"/>
    <w:rsid w:val="007705C6"/>
    <w:rsid w:val="00771526"/>
    <w:rsid w:val="00772772"/>
    <w:rsid w:val="007739DC"/>
    <w:rsid w:val="00775BA5"/>
    <w:rsid w:val="0078509F"/>
    <w:rsid w:val="00791CD4"/>
    <w:rsid w:val="00794499"/>
    <w:rsid w:val="007A0909"/>
    <w:rsid w:val="007A2F1E"/>
    <w:rsid w:val="007A4F19"/>
    <w:rsid w:val="007A61A7"/>
    <w:rsid w:val="007B052A"/>
    <w:rsid w:val="007B0572"/>
    <w:rsid w:val="007B21E9"/>
    <w:rsid w:val="007B7304"/>
    <w:rsid w:val="007C2CE2"/>
    <w:rsid w:val="007C5A63"/>
    <w:rsid w:val="007D0C73"/>
    <w:rsid w:val="007D50F8"/>
    <w:rsid w:val="007D5AA6"/>
    <w:rsid w:val="007D7105"/>
    <w:rsid w:val="007E2AB9"/>
    <w:rsid w:val="007E57F0"/>
    <w:rsid w:val="007E6456"/>
    <w:rsid w:val="007E67FE"/>
    <w:rsid w:val="007F31EE"/>
    <w:rsid w:val="007F66C9"/>
    <w:rsid w:val="007F6B78"/>
    <w:rsid w:val="008100B6"/>
    <w:rsid w:val="008172AA"/>
    <w:rsid w:val="008252CB"/>
    <w:rsid w:val="00834243"/>
    <w:rsid w:val="008351FC"/>
    <w:rsid w:val="008361B4"/>
    <w:rsid w:val="00836CF7"/>
    <w:rsid w:val="008379EC"/>
    <w:rsid w:val="00842A22"/>
    <w:rsid w:val="00844C52"/>
    <w:rsid w:val="00850CFF"/>
    <w:rsid w:val="00852CCD"/>
    <w:rsid w:val="0085380D"/>
    <w:rsid w:val="00854D33"/>
    <w:rsid w:val="00855618"/>
    <w:rsid w:val="00857969"/>
    <w:rsid w:val="00857F92"/>
    <w:rsid w:val="00860D26"/>
    <w:rsid w:val="0086604F"/>
    <w:rsid w:val="00873AA6"/>
    <w:rsid w:val="00880189"/>
    <w:rsid w:val="008830DE"/>
    <w:rsid w:val="008835CB"/>
    <w:rsid w:val="00886915"/>
    <w:rsid w:val="00891902"/>
    <w:rsid w:val="008A0F8C"/>
    <w:rsid w:val="008A1187"/>
    <w:rsid w:val="008A7010"/>
    <w:rsid w:val="008B126C"/>
    <w:rsid w:val="008B1499"/>
    <w:rsid w:val="008B25D5"/>
    <w:rsid w:val="008B6E7C"/>
    <w:rsid w:val="008C167E"/>
    <w:rsid w:val="008C1FC8"/>
    <w:rsid w:val="008D1705"/>
    <w:rsid w:val="008D27C3"/>
    <w:rsid w:val="008D339F"/>
    <w:rsid w:val="008D7F38"/>
    <w:rsid w:val="008E2F8A"/>
    <w:rsid w:val="008E53ED"/>
    <w:rsid w:val="008E6292"/>
    <w:rsid w:val="008F1544"/>
    <w:rsid w:val="008F5F84"/>
    <w:rsid w:val="009067AB"/>
    <w:rsid w:val="0090798D"/>
    <w:rsid w:val="00907E10"/>
    <w:rsid w:val="0091698C"/>
    <w:rsid w:val="0092164C"/>
    <w:rsid w:val="00925AA5"/>
    <w:rsid w:val="0093200E"/>
    <w:rsid w:val="009360B1"/>
    <w:rsid w:val="0094019D"/>
    <w:rsid w:val="00942C11"/>
    <w:rsid w:val="009559D5"/>
    <w:rsid w:val="00961FCB"/>
    <w:rsid w:val="00965BCB"/>
    <w:rsid w:val="009732EC"/>
    <w:rsid w:val="00980790"/>
    <w:rsid w:val="009821BB"/>
    <w:rsid w:val="009821CE"/>
    <w:rsid w:val="009851D7"/>
    <w:rsid w:val="009852CF"/>
    <w:rsid w:val="00992D4A"/>
    <w:rsid w:val="00993B4F"/>
    <w:rsid w:val="009A2BCA"/>
    <w:rsid w:val="009A2CC9"/>
    <w:rsid w:val="009A658F"/>
    <w:rsid w:val="009A668A"/>
    <w:rsid w:val="009A7F38"/>
    <w:rsid w:val="009B373E"/>
    <w:rsid w:val="009C05D3"/>
    <w:rsid w:val="009C6614"/>
    <w:rsid w:val="009D0250"/>
    <w:rsid w:val="009D2A46"/>
    <w:rsid w:val="009D6DF9"/>
    <w:rsid w:val="009E473D"/>
    <w:rsid w:val="009E666F"/>
    <w:rsid w:val="009F4DA7"/>
    <w:rsid w:val="009F7C16"/>
    <w:rsid w:val="00A01121"/>
    <w:rsid w:val="00A056D2"/>
    <w:rsid w:val="00A067AE"/>
    <w:rsid w:val="00A107A9"/>
    <w:rsid w:val="00A1147F"/>
    <w:rsid w:val="00A15DD1"/>
    <w:rsid w:val="00A15F5D"/>
    <w:rsid w:val="00A16E03"/>
    <w:rsid w:val="00A24F68"/>
    <w:rsid w:val="00A260CD"/>
    <w:rsid w:val="00A3445C"/>
    <w:rsid w:val="00A3749B"/>
    <w:rsid w:val="00A45D2E"/>
    <w:rsid w:val="00A51189"/>
    <w:rsid w:val="00A61D98"/>
    <w:rsid w:val="00A62E42"/>
    <w:rsid w:val="00A64A71"/>
    <w:rsid w:val="00A74078"/>
    <w:rsid w:val="00A74234"/>
    <w:rsid w:val="00A762D4"/>
    <w:rsid w:val="00A828EE"/>
    <w:rsid w:val="00A857AC"/>
    <w:rsid w:val="00A90B10"/>
    <w:rsid w:val="00A91898"/>
    <w:rsid w:val="00A95D3C"/>
    <w:rsid w:val="00AB3BCE"/>
    <w:rsid w:val="00AB661B"/>
    <w:rsid w:val="00AC1DCC"/>
    <w:rsid w:val="00AC74EC"/>
    <w:rsid w:val="00AD2AE7"/>
    <w:rsid w:val="00AD6400"/>
    <w:rsid w:val="00AE2F90"/>
    <w:rsid w:val="00AE32BE"/>
    <w:rsid w:val="00AF45C5"/>
    <w:rsid w:val="00AF47AC"/>
    <w:rsid w:val="00AF6331"/>
    <w:rsid w:val="00B00F11"/>
    <w:rsid w:val="00B017E2"/>
    <w:rsid w:val="00B06DA7"/>
    <w:rsid w:val="00B11875"/>
    <w:rsid w:val="00B13AC8"/>
    <w:rsid w:val="00B14FBD"/>
    <w:rsid w:val="00B17760"/>
    <w:rsid w:val="00B17A59"/>
    <w:rsid w:val="00B21EF1"/>
    <w:rsid w:val="00B3054A"/>
    <w:rsid w:val="00B3149D"/>
    <w:rsid w:val="00B40CB7"/>
    <w:rsid w:val="00B42F50"/>
    <w:rsid w:val="00B43AA7"/>
    <w:rsid w:val="00B466EF"/>
    <w:rsid w:val="00B522E7"/>
    <w:rsid w:val="00B52924"/>
    <w:rsid w:val="00B544C9"/>
    <w:rsid w:val="00B55717"/>
    <w:rsid w:val="00B5575E"/>
    <w:rsid w:val="00B579BC"/>
    <w:rsid w:val="00B71E2B"/>
    <w:rsid w:val="00B770FF"/>
    <w:rsid w:val="00B77578"/>
    <w:rsid w:val="00B82EF9"/>
    <w:rsid w:val="00B85F47"/>
    <w:rsid w:val="00B87927"/>
    <w:rsid w:val="00B87BEE"/>
    <w:rsid w:val="00B92619"/>
    <w:rsid w:val="00BA0850"/>
    <w:rsid w:val="00BA486E"/>
    <w:rsid w:val="00BA5280"/>
    <w:rsid w:val="00BA7EBE"/>
    <w:rsid w:val="00BB0C63"/>
    <w:rsid w:val="00BB4279"/>
    <w:rsid w:val="00BB6EA9"/>
    <w:rsid w:val="00BC2593"/>
    <w:rsid w:val="00BC6DF7"/>
    <w:rsid w:val="00BD0E56"/>
    <w:rsid w:val="00BD4C6A"/>
    <w:rsid w:val="00BD4E5D"/>
    <w:rsid w:val="00BD5650"/>
    <w:rsid w:val="00BD6007"/>
    <w:rsid w:val="00BD6745"/>
    <w:rsid w:val="00BE3ECA"/>
    <w:rsid w:val="00BE5101"/>
    <w:rsid w:val="00BF039F"/>
    <w:rsid w:val="00BF0D62"/>
    <w:rsid w:val="00BF34A0"/>
    <w:rsid w:val="00BF4949"/>
    <w:rsid w:val="00BF51EA"/>
    <w:rsid w:val="00BF7981"/>
    <w:rsid w:val="00C108A3"/>
    <w:rsid w:val="00C156E2"/>
    <w:rsid w:val="00C15FD7"/>
    <w:rsid w:val="00C205DE"/>
    <w:rsid w:val="00C2525C"/>
    <w:rsid w:val="00C258E9"/>
    <w:rsid w:val="00C30297"/>
    <w:rsid w:val="00C362C7"/>
    <w:rsid w:val="00C37AE1"/>
    <w:rsid w:val="00C403EE"/>
    <w:rsid w:val="00C41351"/>
    <w:rsid w:val="00C47819"/>
    <w:rsid w:val="00C53D09"/>
    <w:rsid w:val="00C54E4E"/>
    <w:rsid w:val="00C55A84"/>
    <w:rsid w:val="00C62AFC"/>
    <w:rsid w:val="00C63A81"/>
    <w:rsid w:val="00C663AB"/>
    <w:rsid w:val="00C678F3"/>
    <w:rsid w:val="00C77EEB"/>
    <w:rsid w:val="00C85314"/>
    <w:rsid w:val="00C859AA"/>
    <w:rsid w:val="00C85FAF"/>
    <w:rsid w:val="00C91EF8"/>
    <w:rsid w:val="00C9347F"/>
    <w:rsid w:val="00C964CC"/>
    <w:rsid w:val="00CA46D6"/>
    <w:rsid w:val="00CA4BC0"/>
    <w:rsid w:val="00CA770E"/>
    <w:rsid w:val="00CB76CE"/>
    <w:rsid w:val="00CC2EC4"/>
    <w:rsid w:val="00CC559D"/>
    <w:rsid w:val="00CC7068"/>
    <w:rsid w:val="00CD30DA"/>
    <w:rsid w:val="00CD5F37"/>
    <w:rsid w:val="00CD654B"/>
    <w:rsid w:val="00CD6BD4"/>
    <w:rsid w:val="00CE1DCF"/>
    <w:rsid w:val="00CE223E"/>
    <w:rsid w:val="00CE41B2"/>
    <w:rsid w:val="00CE5B0C"/>
    <w:rsid w:val="00CE6489"/>
    <w:rsid w:val="00CF1B22"/>
    <w:rsid w:val="00CF2BDA"/>
    <w:rsid w:val="00CF3129"/>
    <w:rsid w:val="00CF4BAB"/>
    <w:rsid w:val="00CF7AD0"/>
    <w:rsid w:val="00D03849"/>
    <w:rsid w:val="00D10621"/>
    <w:rsid w:val="00D145F5"/>
    <w:rsid w:val="00D15798"/>
    <w:rsid w:val="00D212EB"/>
    <w:rsid w:val="00D30B3C"/>
    <w:rsid w:val="00D31A05"/>
    <w:rsid w:val="00D31A6C"/>
    <w:rsid w:val="00D355F0"/>
    <w:rsid w:val="00D36EC5"/>
    <w:rsid w:val="00D36FE3"/>
    <w:rsid w:val="00D43920"/>
    <w:rsid w:val="00D45AF8"/>
    <w:rsid w:val="00D51C05"/>
    <w:rsid w:val="00D610D9"/>
    <w:rsid w:val="00D6168E"/>
    <w:rsid w:val="00D645B9"/>
    <w:rsid w:val="00D82CD9"/>
    <w:rsid w:val="00D83BD9"/>
    <w:rsid w:val="00D874BC"/>
    <w:rsid w:val="00D91AC8"/>
    <w:rsid w:val="00D934C5"/>
    <w:rsid w:val="00D9414B"/>
    <w:rsid w:val="00D95FB9"/>
    <w:rsid w:val="00D96665"/>
    <w:rsid w:val="00DA686B"/>
    <w:rsid w:val="00DA7EEF"/>
    <w:rsid w:val="00DB014D"/>
    <w:rsid w:val="00DB08B8"/>
    <w:rsid w:val="00DB6955"/>
    <w:rsid w:val="00DB7F09"/>
    <w:rsid w:val="00DC00E8"/>
    <w:rsid w:val="00DC3AE4"/>
    <w:rsid w:val="00DC4393"/>
    <w:rsid w:val="00DE649F"/>
    <w:rsid w:val="00DE78DC"/>
    <w:rsid w:val="00DF056F"/>
    <w:rsid w:val="00DF0B1A"/>
    <w:rsid w:val="00DF41F6"/>
    <w:rsid w:val="00E01351"/>
    <w:rsid w:val="00E01A28"/>
    <w:rsid w:val="00E05058"/>
    <w:rsid w:val="00E05FE6"/>
    <w:rsid w:val="00E10D39"/>
    <w:rsid w:val="00E1136B"/>
    <w:rsid w:val="00E13FD3"/>
    <w:rsid w:val="00E16728"/>
    <w:rsid w:val="00E17B49"/>
    <w:rsid w:val="00E22D51"/>
    <w:rsid w:val="00E32FCC"/>
    <w:rsid w:val="00E336BF"/>
    <w:rsid w:val="00E35FA1"/>
    <w:rsid w:val="00E41550"/>
    <w:rsid w:val="00E43428"/>
    <w:rsid w:val="00E459DE"/>
    <w:rsid w:val="00E50E7C"/>
    <w:rsid w:val="00E51301"/>
    <w:rsid w:val="00E51545"/>
    <w:rsid w:val="00E55326"/>
    <w:rsid w:val="00E56205"/>
    <w:rsid w:val="00E659B6"/>
    <w:rsid w:val="00E711D7"/>
    <w:rsid w:val="00E7389E"/>
    <w:rsid w:val="00E7549C"/>
    <w:rsid w:val="00E75A76"/>
    <w:rsid w:val="00E75C67"/>
    <w:rsid w:val="00E761F8"/>
    <w:rsid w:val="00E87A16"/>
    <w:rsid w:val="00E902B0"/>
    <w:rsid w:val="00E902E8"/>
    <w:rsid w:val="00E90D3C"/>
    <w:rsid w:val="00E935FF"/>
    <w:rsid w:val="00E94A57"/>
    <w:rsid w:val="00E974A0"/>
    <w:rsid w:val="00EA39AB"/>
    <w:rsid w:val="00EB030F"/>
    <w:rsid w:val="00EB34F4"/>
    <w:rsid w:val="00EB46B2"/>
    <w:rsid w:val="00EB6970"/>
    <w:rsid w:val="00EC0E89"/>
    <w:rsid w:val="00EC6B16"/>
    <w:rsid w:val="00EC6CDE"/>
    <w:rsid w:val="00EC7283"/>
    <w:rsid w:val="00ED27B3"/>
    <w:rsid w:val="00ED5851"/>
    <w:rsid w:val="00EE0658"/>
    <w:rsid w:val="00EE0C8F"/>
    <w:rsid w:val="00EE677F"/>
    <w:rsid w:val="00EF2FBF"/>
    <w:rsid w:val="00EF40C3"/>
    <w:rsid w:val="00EF634D"/>
    <w:rsid w:val="00EF6A5C"/>
    <w:rsid w:val="00F0082D"/>
    <w:rsid w:val="00F0275F"/>
    <w:rsid w:val="00F07C90"/>
    <w:rsid w:val="00F120E7"/>
    <w:rsid w:val="00F20469"/>
    <w:rsid w:val="00F20CCD"/>
    <w:rsid w:val="00F26D6C"/>
    <w:rsid w:val="00F32C72"/>
    <w:rsid w:val="00F3384D"/>
    <w:rsid w:val="00F4778D"/>
    <w:rsid w:val="00F47B01"/>
    <w:rsid w:val="00F53D17"/>
    <w:rsid w:val="00F54439"/>
    <w:rsid w:val="00F55495"/>
    <w:rsid w:val="00F559A9"/>
    <w:rsid w:val="00F624A6"/>
    <w:rsid w:val="00F66B9F"/>
    <w:rsid w:val="00F70C93"/>
    <w:rsid w:val="00F71A0E"/>
    <w:rsid w:val="00F72255"/>
    <w:rsid w:val="00F76095"/>
    <w:rsid w:val="00F76DA0"/>
    <w:rsid w:val="00F92279"/>
    <w:rsid w:val="00FA3C1B"/>
    <w:rsid w:val="00FB22C9"/>
    <w:rsid w:val="00FB64AA"/>
    <w:rsid w:val="00FC2824"/>
    <w:rsid w:val="00FC6AD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65D12"/>
  <w15:docId w15:val="{33A1150F-24D1-4FA1-A6E0-A96DE3BE1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354FBB"/>
    <w:pPr>
      <w:spacing w:before="480"/>
      <w:outlineLvl w:val="0"/>
    </w:pPr>
    <w:rPr>
      <w:bCs w:val="0"/>
      <w:color w:val="002C47" w:themeColor="accent1"/>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8361B4"/>
    <w:pPr>
      <w:spacing w:before="240"/>
      <w:outlineLvl w:val="2"/>
    </w:pPr>
    <w:rPr>
      <w:bCs w:val="0"/>
      <w:color w:val="00818F" w:themeColor="accent5"/>
      <w:sz w:val="28"/>
      <w:szCs w:val="26"/>
    </w:rPr>
  </w:style>
  <w:style w:type="paragraph" w:styleId="Heading4">
    <w:name w:val="heading 4"/>
    <w:basedOn w:val="HeadingBase"/>
    <w:next w:val="Normal"/>
    <w:link w:val="Heading4Char"/>
    <w:qFormat/>
    <w:rsid w:val="00354FBB"/>
    <w:pPr>
      <w:outlineLvl w:val="3"/>
    </w:pPr>
    <w:rPr>
      <w:bCs w:val="0"/>
      <w:color w:val="3A6FAF" w:themeColor="accent2"/>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4FBB"/>
    <w:rPr>
      <w:rFonts w:ascii="Calibri" w:eastAsia="Times New Roman" w:hAnsi="Calibri" w:cs="Arial"/>
      <w:color w:val="002C47" w:themeColor="accent1"/>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8361B4"/>
    <w:rPr>
      <w:rFonts w:ascii="Calibri" w:eastAsia="Times New Roman" w:hAnsi="Calibri" w:cs="Arial"/>
      <w:color w:val="00818F" w:themeColor="accent5"/>
      <w:kern w:val="32"/>
      <w:sz w:val="28"/>
      <w:szCs w:val="26"/>
      <w:lang w:eastAsia="en-AU"/>
    </w:rPr>
  </w:style>
  <w:style w:type="character" w:customStyle="1" w:styleId="Heading4Char">
    <w:name w:val="Heading 4 Char"/>
    <w:basedOn w:val="DefaultParagraphFont"/>
    <w:link w:val="Heading4"/>
    <w:rsid w:val="00354FBB"/>
    <w:rPr>
      <w:rFonts w:ascii="Calibri" w:eastAsia="Times New Roman" w:hAnsi="Calibri" w:cs="Arial"/>
      <w:color w:val="3A6FAF" w:themeColor="accent2"/>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8361B4"/>
    <w:pPr>
      <w:keepNext/>
      <w:spacing w:before="240"/>
    </w:pPr>
    <w:rPr>
      <w:b/>
      <w:color w:val="002C47" w:themeColor="accent1"/>
      <w:sz w:val="26"/>
      <w:szCs w:val="26"/>
    </w:rPr>
  </w:style>
  <w:style w:type="paragraph" w:customStyle="1" w:styleId="BoxText">
    <w:name w:val="Box Text"/>
    <w:basedOn w:val="Normal"/>
    <w:rsid w:val="000E0B74"/>
  </w:style>
  <w:style w:type="paragraph" w:customStyle="1" w:styleId="Bullet">
    <w:name w:val="Bullet"/>
    <w:basedOn w:val="Normal"/>
    <w:link w:val="BulletChar"/>
    <w:rsid w:val="000E0B74"/>
    <w:pPr>
      <w:numPr>
        <w:numId w:val="1"/>
      </w:numPr>
      <w:spacing w:before="0"/>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8361B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361B4"/>
    <w:pPr>
      <w:jc w:val="center"/>
    </w:pPr>
  </w:style>
  <w:style w:type="paragraph" w:customStyle="1" w:styleId="ReportDate">
    <w:name w:val="Report Date"/>
    <w:basedOn w:val="Normal"/>
    <w:link w:val="ReportDateChar"/>
    <w:rsid w:val="001D4EAA"/>
    <w:pPr>
      <w:keepNext/>
      <w:spacing w:before="0" w:after="360"/>
    </w:pPr>
    <w:rPr>
      <w:color w:val="FFFFFF" w:themeColor="background1"/>
      <w:sz w:val="44"/>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EF2FBF"/>
    <w:rPr>
      <w:color w:val="3A6FAF" w:themeColor="accent2"/>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8361B4"/>
    <w:pPr>
      <w:keepNext/>
      <w:spacing w:before="0" w:after="20"/>
    </w:pPr>
    <w:rPr>
      <w:b/>
      <w:color w:val="00818F" w:themeColor="accent5"/>
    </w:rPr>
  </w:style>
  <w:style w:type="paragraph" w:customStyle="1" w:styleId="TableColumnHeadingCentred">
    <w:name w:val="Table Column Heading Centred"/>
    <w:basedOn w:val="TableTextLeft"/>
    <w:rsid w:val="008361B4"/>
    <w:pPr>
      <w:jc w:val="center"/>
    </w:pPr>
    <w:rPr>
      <w:b/>
      <w:color w:val="002C47" w:themeColor="accent1"/>
      <w:sz w:val="20"/>
    </w:rPr>
  </w:style>
  <w:style w:type="paragraph" w:customStyle="1" w:styleId="TableColumnHeadingLeft">
    <w:name w:val="Table Column Heading Left"/>
    <w:basedOn w:val="TableTextLeft"/>
    <w:rsid w:val="008361B4"/>
    <w:rPr>
      <w:b/>
      <w:color w:val="002C47" w:themeColor="accent1"/>
      <w:sz w:val="20"/>
    </w:rPr>
  </w:style>
  <w:style w:type="paragraph" w:customStyle="1" w:styleId="TableColumnHeadingRight">
    <w:name w:val="Table Column Heading Right"/>
    <w:basedOn w:val="TableTextLeft"/>
    <w:rsid w:val="008361B4"/>
    <w:pPr>
      <w:jc w:val="right"/>
    </w:pPr>
    <w:rPr>
      <w:b/>
      <w:color w:val="002C47" w:themeColor="accent1"/>
      <w:sz w:val="20"/>
    </w:rPr>
  </w:style>
  <w:style w:type="table" w:styleId="TableGrid">
    <w:name w:val="Table Grid"/>
    <w:basedOn w:val="TableNormal"/>
    <w:uiPriority w:val="39"/>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8361B4"/>
    <w:pPr>
      <w:keepNext/>
      <w:tabs>
        <w:tab w:val="right" w:leader="dot" w:pos="9072"/>
      </w:tabs>
      <w:spacing w:before="180" w:after="0"/>
      <w:ind w:right="-2"/>
    </w:pPr>
    <w:rPr>
      <w:b/>
      <w:noProof/>
      <w:color w:val="002C47" w:themeColor="accent1"/>
      <w:szCs w:val="22"/>
    </w:rPr>
  </w:style>
  <w:style w:type="paragraph" w:styleId="TOC2">
    <w:name w:val="toc 2"/>
    <w:basedOn w:val="Normal"/>
    <w:next w:val="Normal"/>
    <w:uiPriority w:val="39"/>
    <w:qFormat/>
    <w:rsid w:val="008361B4"/>
    <w:pPr>
      <w:keepNext/>
      <w:tabs>
        <w:tab w:val="right" w:leader="dot" w:pos="9072"/>
      </w:tabs>
      <w:spacing w:before="40" w:after="20"/>
      <w:ind w:right="-2"/>
    </w:pPr>
    <w:rPr>
      <w:noProof/>
      <w:color w:val="002C47" w:themeColor="accent1"/>
    </w:rPr>
  </w:style>
  <w:style w:type="paragraph" w:styleId="TOC3">
    <w:name w:val="toc 3"/>
    <w:basedOn w:val="Normal"/>
    <w:next w:val="Normal"/>
    <w:uiPriority w:val="39"/>
    <w:qFormat/>
    <w:rsid w:val="008361B4"/>
    <w:pPr>
      <w:tabs>
        <w:tab w:val="right" w:leader="dot" w:pos="9072"/>
      </w:tabs>
      <w:spacing w:before="20" w:after="0"/>
      <w:ind w:left="284" w:right="-2"/>
    </w:pPr>
    <w:rPr>
      <w:rFonts w:cs="Calibri"/>
      <w:noProof/>
      <w:color w:val="5F5F5F" w:themeColor="text2"/>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1D4EAA"/>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1D4EAA"/>
    <w:rPr>
      <w:rFonts w:ascii="Calibri" w:eastAsiaTheme="majorEastAsia" w:hAnsi="Calibri"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qFormat/>
    <w:rsid w:val="001D4EAA"/>
    <w:pPr>
      <w:numPr>
        <w:ilvl w:val="1"/>
      </w:numPr>
    </w:pPr>
    <w:rPr>
      <w:rFonts w:eastAsiaTheme="majorEastAsia" w:cstheme="majorBidi"/>
      <w:iCs/>
      <w:color w:val="FFFFFF" w:themeColor="background1"/>
      <w:sz w:val="44"/>
      <w:szCs w:val="44"/>
    </w:rPr>
  </w:style>
  <w:style w:type="character" w:customStyle="1" w:styleId="SubtitleChar">
    <w:name w:val="Subtitle Char"/>
    <w:basedOn w:val="DefaultParagraphFont"/>
    <w:link w:val="Subtitle"/>
    <w:uiPriority w:val="11"/>
    <w:rsid w:val="001D4EAA"/>
    <w:rPr>
      <w:rFonts w:ascii="Calibri" w:eastAsiaTheme="majorEastAsia" w:hAnsi="Calibri" w:cstheme="majorBidi"/>
      <w:iCs/>
      <w:color w:val="FFFFFF" w:themeColor="background1"/>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421351"/>
    <w:pPr>
      <w:tabs>
        <w:tab w:val="center" w:pos="4513"/>
        <w:tab w:val="right" w:pos="9026"/>
      </w:tabs>
      <w:spacing w:before="0" w:after="0"/>
      <w:jc w:val="center"/>
    </w:pPr>
    <w:rPr>
      <w:color w:val="002C47" w:themeColor="accent1"/>
      <w:sz w:val="20"/>
    </w:rPr>
  </w:style>
  <w:style w:type="character" w:customStyle="1" w:styleId="FooterChar">
    <w:name w:val="Footer Char"/>
    <w:basedOn w:val="DefaultParagraphFont"/>
    <w:link w:val="Footer"/>
    <w:rsid w:val="00421351"/>
    <w:rPr>
      <w:rFonts w:ascii="Calibri" w:eastAsia="Times New Roman" w:hAnsi="Calibri" w:cs="Times New Roman"/>
      <w:color w:val="002C47" w:themeColor="accent1"/>
      <w:sz w:val="20"/>
      <w:szCs w:val="20"/>
      <w:lang w:eastAsia="en-AU"/>
    </w:rPr>
  </w:style>
  <w:style w:type="paragraph" w:styleId="Header">
    <w:name w:val="header"/>
    <w:basedOn w:val="Normal"/>
    <w:link w:val="HeaderChar"/>
    <w:uiPriority w:val="99"/>
    <w:unhideWhenUsed/>
    <w:rsid w:val="00421351"/>
    <w:pPr>
      <w:keepNext/>
      <w:spacing w:before="0" w:after="0"/>
      <w:jc w:val="right"/>
    </w:pPr>
    <w:rPr>
      <w:color w:val="002C47" w:themeColor="accent1"/>
      <w:sz w:val="20"/>
    </w:rPr>
  </w:style>
  <w:style w:type="character" w:customStyle="1" w:styleId="HeaderChar">
    <w:name w:val="Header Char"/>
    <w:basedOn w:val="DefaultParagraphFont"/>
    <w:link w:val="Header"/>
    <w:uiPriority w:val="99"/>
    <w:rsid w:val="00421351"/>
    <w:rPr>
      <w:rFonts w:ascii="Calibri" w:eastAsia="Times New Roman" w:hAnsi="Calibri" w:cs="Times New Roman"/>
      <w:color w:val="002C47" w:themeColor="accent1"/>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HeadingBase">
    <w:name w:val="Heading Base"/>
    <w:qFormat/>
    <w:rsid w:val="00CE5B0C"/>
    <w:pPr>
      <w:keepNext/>
      <w:spacing w:after="120" w:line="240" w:lineRule="auto"/>
    </w:pPr>
    <w:rPr>
      <w:rFonts w:ascii="Calibri" w:eastAsia="Times New Roman" w:hAnsi="Calibri" w:cs="Arial"/>
      <w:bCs/>
      <w:color w:val="002C47"/>
      <w:kern w:val="32"/>
      <w:szCs w:val="36"/>
      <w:lang w:eastAsia="en-AU"/>
    </w:rPr>
  </w:style>
  <w:style w:type="character" w:customStyle="1" w:styleId="ReportDateChar">
    <w:name w:val="Report Date Char"/>
    <w:basedOn w:val="DefaultParagraphFont"/>
    <w:link w:val="ReportDate"/>
    <w:rsid w:val="001D4EAA"/>
    <w:rPr>
      <w:rFonts w:ascii="Calibri" w:eastAsia="Times New Roman" w:hAnsi="Calibri" w:cs="Times New Roman"/>
      <w:color w:val="FFFFFF" w:themeColor="background1"/>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5F5F5F"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customStyle="1" w:styleId="Divider">
    <w:name w:val="Divider"/>
    <w:basedOn w:val="ReportDate"/>
    <w:qFormat/>
    <w:rsid w:val="002F617F"/>
    <w:pPr>
      <w:spacing w:after="180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BulletChar">
    <w:name w:val="Bullet Char"/>
    <w:basedOn w:val="DefaultParagraphFont"/>
    <w:link w:val="Bullet"/>
    <w:rsid w:val="008830DE"/>
    <w:rPr>
      <w:rFonts w:ascii="Calibri" w:eastAsia="Times New Roman" w:hAnsi="Calibri" w:cs="Times New Roman"/>
      <w:szCs w:val="20"/>
      <w:lang w:eastAsia="en-AU"/>
    </w:rPr>
  </w:style>
  <w:style w:type="paragraph" w:styleId="ListParagraph">
    <w:name w:val="List Paragraph"/>
    <w:basedOn w:val="Normal"/>
    <w:uiPriority w:val="34"/>
    <w:qFormat/>
    <w:rsid w:val="008830DE"/>
    <w:pPr>
      <w:spacing w:before="0" w:after="160" w:line="259" w:lineRule="auto"/>
      <w:ind w:left="720"/>
      <w:contextualSpacing/>
    </w:pPr>
    <w:rPr>
      <w:rFonts w:asciiTheme="minorHAnsi" w:eastAsiaTheme="minorHAnsi" w:hAnsiTheme="minorHAnsi" w:cstheme="minorBidi"/>
      <w:szCs w:val="22"/>
      <w:lang w:eastAsia="en-US"/>
    </w:rPr>
  </w:style>
  <w:style w:type="table" w:styleId="PlainTable1">
    <w:name w:val="Plain Table 1"/>
    <w:basedOn w:val="TableNormal"/>
    <w:uiPriority w:val="41"/>
    <w:rsid w:val="0085380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E01351"/>
    <w:rPr>
      <w:sz w:val="16"/>
      <w:szCs w:val="16"/>
    </w:rPr>
  </w:style>
  <w:style w:type="paragraph" w:styleId="CommentText">
    <w:name w:val="annotation text"/>
    <w:basedOn w:val="Normal"/>
    <w:link w:val="CommentTextChar"/>
    <w:uiPriority w:val="99"/>
    <w:semiHidden/>
    <w:unhideWhenUsed/>
    <w:rsid w:val="00E01351"/>
    <w:rPr>
      <w:sz w:val="20"/>
    </w:rPr>
  </w:style>
  <w:style w:type="character" w:customStyle="1" w:styleId="CommentTextChar">
    <w:name w:val="Comment Text Char"/>
    <w:basedOn w:val="DefaultParagraphFont"/>
    <w:link w:val="CommentText"/>
    <w:uiPriority w:val="99"/>
    <w:semiHidden/>
    <w:rsid w:val="00E01351"/>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01351"/>
    <w:rPr>
      <w:b/>
      <w:bCs/>
    </w:rPr>
  </w:style>
  <w:style w:type="character" w:customStyle="1" w:styleId="CommentSubjectChar">
    <w:name w:val="Comment Subject Char"/>
    <w:basedOn w:val="CommentTextChar"/>
    <w:link w:val="CommentSubject"/>
    <w:uiPriority w:val="99"/>
    <w:semiHidden/>
    <w:rsid w:val="00E01351"/>
    <w:rPr>
      <w:rFonts w:ascii="Calibri" w:eastAsia="Times New Roman" w:hAnsi="Calibri" w:cs="Times New Roman"/>
      <w:b/>
      <w:bCs/>
      <w:sz w:val="20"/>
      <w:szCs w:val="20"/>
      <w:lang w:eastAsia="en-AU"/>
    </w:rPr>
  </w:style>
  <w:style w:type="table" w:styleId="TableGridLight">
    <w:name w:val="Grid Table Light"/>
    <w:basedOn w:val="TableNormal"/>
    <w:uiPriority w:val="40"/>
    <w:rsid w:val="00D934C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DC4393"/>
    <w:pPr>
      <w:spacing w:before="100" w:beforeAutospacing="1" w:after="100" w:afterAutospacing="1"/>
    </w:pPr>
    <w:rPr>
      <w:rFonts w:ascii="Times New Roman" w:hAnsi="Times New Roman"/>
      <w:sz w:val="24"/>
      <w:szCs w:val="24"/>
    </w:rPr>
  </w:style>
  <w:style w:type="paragraph" w:customStyle="1" w:styleId="acthead5">
    <w:name w:val="acthead5"/>
    <w:basedOn w:val="Normal"/>
    <w:rsid w:val="00526C27"/>
    <w:pPr>
      <w:spacing w:before="100" w:beforeAutospacing="1" w:after="100" w:afterAutospacing="1"/>
    </w:pPr>
    <w:rPr>
      <w:rFonts w:ascii="Times New Roman" w:hAnsi="Times New Roman"/>
      <w:sz w:val="24"/>
      <w:szCs w:val="24"/>
    </w:rPr>
  </w:style>
  <w:style w:type="character" w:customStyle="1" w:styleId="charsectno">
    <w:name w:val="charsectno"/>
    <w:basedOn w:val="DefaultParagraphFont"/>
    <w:rsid w:val="00526C27"/>
  </w:style>
  <w:style w:type="paragraph" w:customStyle="1" w:styleId="subsection">
    <w:name w:val="subsection"/>
    <w:basedOn w:val="Normal"/>
    <w:rsid w:val="00526C27"/>
    <w:pPr>
      <w:spacing w:before="100" w:beforeAutospacing="1" w:after="100" w:afterAutospacing="1"/>
    </w:pPr>
    <w:rPr>
      <w:rFonts w:ascii="Times New Roman" w:hAnsi="Times New Roman"/>
      <w:sz w:val="24"/>
      <w:szCs w:val="24"/>
    </w:rPr>
  </w:style>
  <w:style w:type="paragraph" w:customStyle="1" w:styleId="paragraph">
    <w:name w:val="paragraph"/>
    <w:basedOn w:val="Normal"/>
    <w:rsid w:val="00526C27"/>
    <w:pPr>
      <w:spacing w:before="100" w:beforeAutospacing="1" w:after="100" w:afterAutospacing="1"/>
    </w:pPr>
    <w:rPr>
      <w:rFonts w:ascii="Times New Roman" w:hAnsi="Times New Roman"/>
      <w:sz w:val="24"/>
      <w:szCs w:val="24"/>
    </w:rPr>
  </w:style>
  <w:style w:type="paragraph" w:customStyle="1" w:styleId="subsection2">
    <w:name w:val="subsection2"/>
    <w:basedOn w:val="Normal"/>
    <w:rsid w:val="00526C27"/>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uiPriority w:val="99"/>
    <w:semiHidden/>
    <w:unhideWhenUsed/>
    <w:rsid w:val="00484E5F"/>
    <w:rPr>
      <w:color w:val="E61E26" w:themeColor="followedHyperlink"/>
      <w:u w:val="single"/>
    </w:rPr>
  </w:style>
  <w:style w:type="paragraph" w:customStyle="1" w:styleId="paragraphsub">
    <w:name w:val="paragraphsub"/>
    <w:basedOn w:val="Normal"/>
    <w:rsid w:val="00EA39AB"/>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775BA5"/>
    <w:pPr>
      <w:spacing w:after="0" w:line="240" w:lineRule="auto"/>
    </w:pPr>
    <w:rPr>
      <w:rFonts w:ascii="Calibri" w:eastAsia="Times New Roman" w:hAnsi="Calibri" w:cs="Times New Roman"/>
      <w:szCs w:val="20"/>
      <w:lang w:eastAsia="en-AU"/>
    </w:rPr>
  </w:style>
  <w:style w:type="character" w:styleId="Emphasis">
    <w:name w:val="Emphasis"/>
    <w:basedOn w:val="DefaultParagraphFont"/>
    <w:uiPriority w:val="20"/>
    <w:qFormat/>
    <w:rsid w:val="00C258E9"/>
    <w:rPr>
      <w:i/>
      <w:iCs/>
    </w:rPr>
  </w:style>
  <w:style w:type="character" w:customStyle="1" w:styleId="UnresolvedMention1">
    <w:name w:val="Unresolved Mention1"/>
    <w:basedOn w:val="DefaultParagraphFont"/>
    <w:uiPriority w:val="99"/>
    <w:semiHidden/>
    <w:unhideWhenUsed/>
    <w:rsid w:val="00C91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37358">
      <w:bodyDiv w:val="1"/>
      <w:marLeft w:val="0"/>
      <w:marRight w:val="0"/>
      <w:marTop w:val="0"/>
      <w:marBottom w:val="0"/>
      <w:divBdr>
        <w:top w:val="none" w:sz="0" w:space="0" w:color="auto"/>
        <w:left w:val="none" w:sz="0" w:space="0" w:color="auto"/>
        <w:bottom w:val="none" w:sz="0" w:space="0" w:color="auto"/>
        <w:right w:val="none" w:sz="0" w:space="0" w:color="auto"/>
      </w:divBdr>
    </w:div>
    <w:div w:id="1500542201">
      <w:bodyDiv w:val="1"/>
      <w:marLeft w:val="0"/>
      <w:marRight w:val="0"/>
      <w:marTop w:val="0"/>
      <w:marBottom w:val="0"/>
      <w:divBdr>
        <w:top w:val="none" w:sz="0" w:space="0" w:color="auto"/>
        <w:left w:val="none" w:sz="0" w:space="0" w:color="auto"/>
        <w:bottom w:val="none" w:sz="0" w:space="0" w:color="auto"/>
        <w:right w:val="none" w:sz="0" w:space="0" w:color="auto"/>
      </w:divBdr>
    </w:div>
    <w:div w:id="1614363181">
      <w:bodyDiv w:val="1"/>
      <w:marLeft w:val="0"/>
      <w:marRight w:val="0"/>
      <w:marTop w:val="0"/>
      <w:marBottom w:val="0"/>
      <w:divBdr>
        <w:top w:val="none" w:sz="0" w:space="0" w:color="auto"/>
        <w:left w:val="none" w:sz="0" w:space="0" w:color="auto"/>
        <w:bottom w:val="none" w:sz="0" w:space="0" w:color="auto"/>
        <w:right w:val="none" w:sz="0" w:space="0" w:color="auto"/>
      </w:divBdr>
    </w:div>
    <w:div w:id="184551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2.wmf"/><Relationship Id="rId34"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5" Type="http://schemas.openxmlformats.org/officeDocument/2006/relationships/header" Target="header2.xml"/><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yperlink" Target="http://creativecommons.org/licenses/by/3.0/au/legalcode" TargetMode="External"/><Relationship Id="rId29" Type="http://schemas.openxmlformats.org/officeDocument/2006/relationships/hyperlink" Target="mailto:MCDLitigationFunding@treasury.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yperlink" Target="mailto:media@treasury.gov.au" TargetMode="External"/><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yperlink" Target="https://www.pmc.gov.au/government/commonwealth-coat-arms" TargetMode="External"/><Relationship Id="rId28" Type="http://schemas.openxmlformats.org/officeDocument/2006/relationships/hyperlink" Target="https://treasury.gov.au/submission-guidelines" TargetMode="External"/><Relationship Id="rId36" Type="http://schemas.openxmlformats.org/officeDocument/2006/relationships/footer" Target="footer5.xml"/><Relationship Id="rId10" Type="http://schemas.openxmlformats.org/officeDocument/2006/relationships/customXml" Target="../customXml/item10.xml"/><Relationship Id="rId19" Type="http://schemas.openxmlformats.org/officeDocument/2006/relationships/hyperlink" Target="http://creativecommons.org/licenses/by/3.0/au/deed.en"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yperlink" Target="http://creativecommons.org/licenses/by/3.0/au/deed.en" TargetMode="External"/><Relationship Id="rId27" Type="http://schemas.openxmlformats.org/officeDocument/2006/relationships/footer" Target="footer2.xml"/><Relationship Id="rId30" Type="http://schemas.openxmlformats.org/officeDocument/2006/relationships/hyperlink" Target="mailto:MCDLitigationFunding@treasury.gov.au" TargetMode="External"/><Relationship Id="rId35"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https://ministers.treasury.gov.au/ministers/josh-frydenberg-2018/media-releases/litigation-funders-be-regulated-under-corporations" TargetMode="External"/><Relationship Id="rId1" Type="http://schemas.openxmlformats.org/officeDocument/2006/relationships/hyperlink" Target="https://www.alrc.gov.au/publication/integrity-fairness-and-efficiency-an-inquiry-into-class-action-proceedings-and-third-party-litigation-funders-alrc-report-13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AEAEA"/>
      </a:lt2>
      <a:accent1>
        <a:srgbClr val="002C47"/>
      </a:accent1>
      <a:accent2>
        <a:srgbClr val="3A6FAF"/>
      </a:accent2>
      <a:accent3>
        <a:srgbClr val="008569"/>
      </a:accent3>
      <a:accent4>
        <a:srgbClr val="C45154"/>
      </a:accent4>
      <a:accent5>
        <a:srgbClr val="00818F"/>
      </a:accent5>
      <a:accent6>
        <a:srgbClr val="844D9E"/>
      </a:accent6>
      <a:hlink>
        <a:srgbClr val="3A6FAF"/>
      </a:hlink>
      <a:folHlink>
        <a:srgbClr val="E61E2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A9AA2464ED13D438AD1A1CBD4E76613" ma:contentTypeVersion="38315" ma:contentTypeDescription=" " ma:contentTypeScope="" ma:versionID="8ce27d4d6d305cde365463a161d8de06">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4a7ac4bc5886ac39283d166891cd2ac2"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7</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0f563589-9cf9-4143-b1eb-fb0534803d38">2021MG-112-2367</_dlc_DocId>
    <_dlc_DocIdUrl xmlns="0f563589-9cf9-4143-b1eb-fb0534803d38">
      <Url>http://tweb/sites/mg/fsd/_layouts/15/DocIdRedir.aspx?ID=2021MG-112-2367</Url>
      <Description>2021MG-112-2367</Description>
    </_dlc_DocIdUrl>
  </documentManagement>
</p:properti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9.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E9E2D73E-5C86-454C-BE3D-CDB226E9C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9639B233-0FB3-430F-83C9-349FDF9DA2B8}">
  <ds:schemaRefs>
    <ds:schemaRef ds:uri="http://schemas.microsoft.com/sharepoint/events"/>
  </ds:schemaRefs>
</ds:datastoreItem>
</file>

<file path=customXml/itemProps2.xml><?xml version="1.0" encoding="utf-8"?>
<ds:datastoreItem xmlns:ds="http://schemas.openxmlformats.org/officeDocument/2006/customXml" ds:itemID="{55ADEF06-E4DC-4A76-9A71-6EAB39C45AC8}">
  <ds:schemaRefs>
    <ds:schemaRef ds:uri="http://schemas.openxmlformats.org/officeDocument/2006/bibliography"/>
  </ds:schemaRefs>
</ds:datastoreItem>
</file>

<file path=customXml/itemProps3.xml><?xml version="1.0" encoding="utf-8"?>
<ds:datastoreItem xmlns:ds="http://schemas.openxmlformats.org/officeDocument/2006/customXml" ds:itemID="{FA87C781-07F7-4290-B89D-DD3EF7E531C3}">
  <ds:schemaRefs>
    <ds:schemaRef ds:uri="http://schemas.microsoft.com/office/2006/metadata/properties"/>
    <ds:schemaRef ds:uri="http://schemas.microsoft.com/office/infopath/2007/PartnerControls"/>
    <ds:schemaRef ds:uri="http://schemas.microsoft.com/sharepoint/v4"/>
    <ds:schemaRef ds:uri="0f563589-9cf9-4143-b1eb-fb0534803d38"/>
    <ds:schemaRef ds:uri="d4dd4adf-ddb3-46a3-8d7c-fab3fb2a6bc7"/>
  </ds:schemaRefs>
</ds:datastoreItem>
</file>

<file path=customXml/itemProps4.xml><?xml version="1.0" encoding="utf-8"?>
<ds:datastoreItem xmlns:ds="http://schemas.openxmlformats.org/officeDocument/2006/customXml" ds:itemID="{4684B3F0-5FF2-4FA4-BF29-9936FDA10FE0}">
  <ds:schemaRefs>
    <ds:schemaRef ds:uri="office.server.policy"/>
  </ds:schemaRefs>
</ds:datastoreItem>
</file>

<file path=customXml/itemProps5.xml><?xml version="1.0" encoding="utf-8"?>
<ds:datastoreItem xmlns:ds="http://schemas.openxmlformats.org/officeDocument/2006/customXml" ds:itemID="{C81D9184-5707-4180-B68F-52977159FAB4}">
  <ds:schemaRefs>
    <ds:schemaRef ds:uri="http://schemas.microsoft.com/sharepoint/events"/>
  </ds:schemaRefs>
</ds:datastoreItem>
</file>

<file path=customXml/itemProps6.xml><?xml version="1.0" encoding="utf-8"?>
<ds:datastoreItem xmlns:ds="http://schemas.openxmlformats.org/officeDocument/2006/customXml" ds:itemID="{F3E76286-DB10-4199-87FE-5B1652DAF895}">
  <ds:schemaRefs>
    <ds:schemaRef ds:uri="http://schemas.microsoft.com/sharepoint/events"/>
  </ds:schemaRefs>
</ds:datastoreItem>
</file>

<file path=customXml/itemProps7.xml><?xml version="1.0" encoding="utf-8"?>
<ds:datastoreItem xmlns:ds="http://schemas.openxmlformats.org/officeDocument/2006/customXml" ds:itemID="{AA54C25E-C772-478B-BE89-AD49A5FCCF32}">
  <ds:schemaRefs>
    <ds:schemaRef ds:uri="http://schemas.microsoft.com/sharepoint/v3/contenttype/forms"/>
  </ds:schemaRefs>
</ds:datastoreItem>
</file>

<file path=customXml/itemProps8.xml><?xml version="1.0" encoding="utf-8"?>
<ds:datastoreItem xmlns:ds="http://schemas.openxmlformats.org/officeDocument/2006/customXml" ds:itemID="{B04081FF-996B-4CE0-80A8-734B4747F634}">
  <ds:schemaRefs>
    <ds:schemaRef ds:uri="http://schemas.microsoft.com/sharepoint/events"/>
  </ds:schemaRefs>
</ds:datastoreItem>
</file>

<file path=customXml/itemProps9.xml><?xml version="1.0" encoding="utf-8"?>
<ds:datastoreItem xmlns:ds="http://schemas.openxmlformats.org/officeDocument/2006/customXml" ds:itemID="{52B53FEB-E173-42BD-B387-8FAA92F93628}">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9</TotalTime>
  <Pages>8</Pages>
  <Words>2189</Words>
  <Characters>12482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Guaranteeing a minimum return of class action proceeds to class members - consultation paper</vt:lpstr>
    </vt:vector>
  </TitlesOfParts>
  <Company/>
  <LinksUpToDate>false</LinksUpToDate>
  <CharactersWithSpaces>14642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Guaranteeing a minimum return of class action proceeds to class members - consultation paper</dc:title>
  <dc:subject/>
  <dc:creator>Australian Government - The Treasury</dc:creator>
  <cp:keywords/>
  <dc:description/>
  <cp:lastModifiedBy>Moore, Ben</cp:lastModifiedBy>
  <cp:revision>4</cp:revision>
  <cp:lastPrinted>2021-06-01T02:19:00Z</cp:lastPrinted>
  <dcterms:created xsi:type="dcterms:W3CDTF">2021-06-01T02:16:00Z</dcterms:created>
  <dcterms:modified xsi:type="dcterms:W3CDTF">2021-06-01T03:04:00Z</dcterms:modified>
  <cp:category/>
</cp:coreProperties>
</file>