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AD0D1A">
        <w:tc>
          <w:tcPr>
            <w:tcW w:w="2122" w:type="dxa"/>
          </w:tcPr>
          <w:p w:rsidR="00FF0404" w:rsidRPr="0076070A" w:rsidRDefault="00FF0404">
            <w:pPr>
              <w:rPr>
                <w:b/>
              </w:rPr>
            </w:pPr>
            <w:r w:rsidRPr="0076070A">
              <w:rPr>
                <w:b/>
              </w:rPr>
              <w:t>Name</w:t>
            </w:r>
          </w:p>
        </w:tc>
        <w:tc>
          <w:tcPr>
            <w:tcW w:w="6894" w:type="dxa"/>
          </w:tcPr>
          <w:p w:rsidR="00FF0404" w:rsidRDefault="003A1081">
            <w:r>
              <w:t>Anonymous</w:t>
            </w:r>
          </w:p>
        </w:tc>
      </w:tr>
      <w:tr w:rsidR="00FF0404" w:rsidTr="00AD0D1A">
        <w:tc>
          <w:tcPr>
            <w:tcW w:w="2122" w:type="dxa"/>
          </w:tcPr>
          <w:p w:rsidR="00FF0404" w:rsidRPr="0076070A" w:rsidRDefault="00FF0404">
            <w:pPr>
              <w:rPr>
                <w:b/>
              </w:rPr>
            </w:pPr>
          </w:p>
        </w:tc>
        <w:tc>
          <w:tcPr>
            <w:tcW w:w="6894" w:type="dxa"/>
          </w:tcPr>
          <w:p w:rsidR="00FF0404" w:rsidRDefault="00FF0404"/>
        </w:tc>
      </w:tr>
      <w:tr w:rsidR="00FF0404" w:rsidTr="00AD0D1A">
        <w:tc>
          <w:tcPr>
            <w:tcW w:w="2122" w:type="dxa"/>
          </w:tcPr>
          <w:p w:rsidR="00FF0404" w:rsidRPr="0076070A" w:rsidRDefault="00FF0404">
            <w:pPr>
              <w:rPr>
                <w:b/>
              </w:rPr>
            </w:pPr>
          </w:p>
        </w:tc>
        <w:tc>
          <w:tcPr>
            <w:tcW w:w="6894" w:type="dxa"/>
          </w:tcPr>
          <w:p w:rsidR="00FF0404" w:rsidRDefault="00FF0404"/>
        </w:tc>
      </w:tr>
      <w:tr w:rsidR="00FF0404" w:rsidTr="00AD0D1A">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tr>
      <w:tr w:rsidR="00FF0404" w:rsidTr="00AD0D1A">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Much of the information needed is contained in the Disclosure Document, is adequate to a degree, with the following inclusion:</w:t>
            </w:r>
            <w:r>
              <w:rPr>
                <w:rFonts w:ascii="Calibri" w:hAnsi="Calibri" w:cs="Calibri"/>
                <w:color w:val="000000"/>
              </w:rPr>
              <w:br/>
            </w:r>
            <w:r>
              <w:rPr>
                <w:rFonts w:ascii="Calibri" w:hAnsi="Calibri" w:cs="Calibri"/>
                <w:color w:val="000000"/>
              </w:rPr>
              <w:br/>
              <w:t>- more detail relating to financial viability of the Franchisor itself;</w:t>
            </w:r>
            <w:r>
              <w:rPr>
                <w:rFonts w:ascii="Calibri" w:hAnsi="Calibri" w:cs="Calibri"/>
                <w:color w:val="000000"/>
              </w:rPr>
              <w:br/>
            </w:r>
            <w:r>
              <w:rPr>
                <w:rFonts w:ascii="Calibri" w:hAnsi="Calibri" w:cs="Calibri"/>
                <w:color w:val="000000"/>
              </w:rPr>
              <w:br/>
              <w:t xml:space="preserve">- Disclosure of numbers/some details of formal disputes raised by existing/previous franchisees and then consequent mediation attendance, split between Franchisor/Franchisee initiation, would be helpful to a prospective franchisee to determine the level of satisfaction of both parties within the group.  </w:t>
            </w:r>
            <w:r>
              <w:rPr>
                <w:rFonts w:ascii="Calibri" w:hAnsi="Calibri" w:cs="Calibri"/>
                <w:color w:val="000000"/>
              </w:rPr>
              <w:br/>
            </w:r>
            <w:r>
              <w:rPr>
                <w:rFonts w:ascii="Calibri" w:hAnsi="Calibri" w:cs="Calibri"/>
                <w:color w:val="000000"/>
              </w:rPr>
              <w:br/>
              <w:t xml:space="preserve">In many Franchise Agreements and Dispute/Mediation resolution agreements, franchisees are bound by disparagement clauses.   Combine this, with a Franchisee initiated mediation where it is common knowledge that the main "bargaining chip" for a </w:t>
            </w:r>
            <w:proofErr w:type="gramStart"/>
            <w:r>
              <w:rPr>
                <w:rFonts w:ascii="Calibri" w:hAnsi="Calibri" w:cs="Calibri"/>
                <w:color w:val="000000"/>
              </w:rPr>
              <w:t>franchisee  is</w:t>
            </w:r>
            <w:proofErr w:type="gramEnd"/>
            <w:r>
              <w:rPr>
                <w:rFonts w:ascii="Calibri" w:hAnsi="Calibri" w:cs="Calibri"/>
                <w:color w:val="000000"/>
              </w:rPr>
              <w:t xml:space="preserve"> to opt out of the Disclosure Document, can result in a successful cover up of inherent issues within the franchise.</w:t>
            </w:r>
            <w:r>
              <w:rPr>
                <w:rFonts w:ascii="Calibri" w:hAnsi="Calibri" w:cs="Calibri"/>
                <w:color w:val="000000"/>
              </w:rPr>
              <w:br/>
            </w:r>
            <w:r>
              <w:rPr>
                <w:rFonts w:ascii="Calibri" w:hAnsi="Calibri" w:cs="Calibri"/>
                <w:color w:val="000000"/>
              </w:rPr>
              <w:br/>
              <w:t xml:space="preserve">If this factor is transparent, it is likely that issues are dealt with more effectively prior to the need for a Dispute/Mediation process being in-acted, and it will also place more bearing on avoiding a Dispute situation to occur. </w:t>
            </w:r>
          </w:p>
          <w:p w:rsidR="00FF0404" w:rsidRDefault="00FF0404"/>
        </w:tc>
      </w:tr>
      <w:tr w:rsidR="00FF0404" w:rsidTr="00AD0D1A">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w:t>
            </w:r>
            <w:bookmarkStart w:id="0" w:name="_GoBack"/>
            <w:bookmarkEnd w:id="0"/>
            <w:r w:rsidRPr="003F0D4B">
              <w:rPr>
                <w:b/>
              </w:rPr>
              <w:t>chise register?</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AD0D1A">
        <w:tc>
          <w:tcPr>
            <w:tcW w:w="9016" w:type="dxa"/>
            <w:gridSpan w:val="2"/>
          </w:tcPr>
          <w:p w:rsidR="00FF0404" w:rsidRDefault="00FF0404">
            <w:r>
              <w:t>Option 1.1.2: Changes to the Franchising Code to increase disclosure</w:t>
            </w:r>
          </w:p>
          <w:p w:rsidR="00FF0404" w:rsidRDefault="00FF0404" w:rsidP="003A1081">
            <w:pPr>
              <w:pStyle w:val="ListParagraph"/>
              <w:numPr>
                <w:ilvl w:val="0"/>
                <w:numId w:val="1"/>
              </w:numPr>
            </w:pPr>
            <w:r w:rsidRPr="00FF0404">
              <w:t xml:space="preserve">Increased </w:t>
            </w:r>
            <w:r>
              <w:t>and formal financial disclosure</w:t>
            </w:r>
            <w:r w:rsidRPr="00FF0404">
              <w:t xml:space="preserve"> </w:t>
            </w:r>
          </w:p>
          <w:p w:rsidR="003F0D4B" w:rsidRDefault="003F0D4B" w:rsidP="003A1081"/>
        </w:tc>
      </w:tr>
      <w:tr w:rsidR="00FF0404" w:rsidTr="00AD0D1A">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AD0D1A">
        <w:tc>
          <w:tcPr>
            <w:tcW w:w="9016" w:type="dxa"/>
            <w:gridSpan w:val="2"/>
          </w:tcPr>
          <w:p w:rsidR="003F0D4B" w:rsidRPr="00FF0404" w:rsidRDefault="003F0D4B"/>
        </w:tc>
      </w:tr>
      <w:tr w:rsidR="00FF0404" w:rsidTr="00AD0D1A">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AD0D1A">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3A1081">
            <w:pPr>
              <w:pStyle w:val="ListParagraph"/>
              <w:numPr>
                <w:ilvl w:val="0"/>
                <w:numId w:val="7"/>
              </w:numPr>
            </w:pPr>
            <w:r>
              <w:t>National franchise register</w:t>
            </w:r>
          </w:p>
          <w:p w:rsidR="003F0D4B" w:rsidRDefault="003F0D4B" w:rsidP="003A1081"/>
        </w:tc>
      </w:tr>
      <w:tr w:rsidR="00C26190" w:rsidTr="00AD0D1A">
        <w:tc>
          <w:tcPr>
            <w:tcW w:w="9016" w:type="dxa"/>
            <w:gridSpan w:val="2"/>
          </w:tcPr>
          <w:p w:rsidR="00C26190" w:rsidRPr="003F0D4B" w:rsidRDefault="00C26190" w:rsidP="00FF0404">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C26190" w:rsidTr="00AD0D1A">
        <w:tc>
          <w:tcPr>
            <w:tcW w:w="9016" w:type="dxa"/>
            <w:gridSpan w:val="2"/>
          </w:tcPr>
          <w:p w:rsidR="00C26190" w:rsidRPr="00C26190" w:rsidRDefault="00C26190" w:rsidP="00FF0404"/>
        </w:tc>
      </w:tr>
      <w:tr w:rsidR="00FF0404" w:rsidTr="00AD0D1A">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Option 1.3.2: A new Government online educational resource for the franchising sector</w:t>
            </w:r>
          </w:p>
          <w:p w:rsidR="003F0D4B" w:rsidRDefault="003F0D4B"/>
        </w:tc>
      </w:tr>
      <w:tr w:rsidR="00FF0404" w:rsidTr="00AD0D1A">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AD0D1A">
        <w:trPr>
          <w:trHeight w:val="339"/>
        </w:trPr>
        <w:tc>
          <w:tcPr>
            <w:tcW w:w="9016" w:type="dxa"/>
            <w:gridSpan w:val="2"/>
          </w:tcPr>
          <w:p w:rsidR="00FF0404" w:rsidRDefault="00FF0404"/>
        </w:tc>
      </w:tr>
      <w:tr w:rsidR="00FF0404" w:rsidTr="00AD0D1A">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Option 2.1.2: Extend cooling off to 14 days and modify the circumstances which trigger the commencement of the cooling off period</w:t>
            </w:r>
          </w:p>
          <w:p w:rsidR="003F0D4B" w:rsidRDefault="003F0D4B"/>
        </w:tc>
      </w:tr>
      <w:tr w:rsidR="00FF0404" w:rsidTr="00AD0D1A">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0D1A">
        <w:tc>
          <w:tcPr>
            <w:tcW w:w="9016" w:type="dxa"/>
            <w:gridSpan w:val="2"/>
          </w:tcPr>
          <w:p w:rsidR="003A1081" w:rsidRDefault="003A1081" w:rsidP="003A1081">
            <w:pPr>
              <w:spacing w:after="240"/>
              <w:rPr>
                <w:rFonts w:ascii="Calibri" w:hAnsi="Calibri" w:cs="Calibri"/>
                <w:color w:val="000000"/>
              </w:rPr>
            </w:pPr>
            <w:r>
              <w:rPr>
                <w:rFonts w:ascii="Calibri" w:hAnsi="Calibri" w:cs="Calibri"/>
                <w:color w:val="000000"/>
              </w:rPr>
              <w:t xml:space="preserve">Misrepresentation is a common issue leading to disputes for franchisees.  All franchise arrangements are different, but many have a training or induction period.   It is during this time, the franchisee has access to resources, or is able to determine whether the representation made by the Franchisor at the onset can be ultimately verified.  </w:t>
            </w:r>
            <w:r>
              <w:rPr>
                <w:rFonts w:ascii="Calibri" w:hAnsi="Calibri" w:cs="Calibri"/>
                <w:color w:val="000000"/>
              </w:rPr>
              <w:br/>
            </w:r>
            <w:r>
              <w:rPr>
                <w:rFonts w:ascii="Calibri" w:hAnsi="Calibri" w:cs="Calibri"/>
                <w:color w:val="000000"/>
              </w:rPr>
              <w:br/>
              <w:t xml:space="preserve">Extending cooling off periods and/or putting in place opportunities for termination of the agreement based on misrepresentation would ensure Franchisors accurately portray the franchise offering.     </w:t>
            </w:r>
          </w:p>
          <w:p w:rsidR="00FF0404" w:rsidRDefault="00FF0404"/>
        </w:tc>
      </w:tr>
      <w:tr w:rsidR="00FF0404" w:rsidTr="00AD0D1A">
        <w:tc>
          <w:tcPr>
            <w:tcW w:w="9016" w:type="dxa"/>
            <w:gridSpan w:val="2"/>
          </w:tcPr>
          <w:p w:rsidR="00FF0404" w:rsidRPr="003F0D4B" w:rsidRDefault="00C26190">
            <w:pPr>
              <w:rPr>
                <w:b/>
              </w:rPr>
            </w:pPr>
            <w:r w:rsidRPr="003F0D4B">
              <w:rPr>
                <w:b/>
              </w:rPr>
              <w:t>Problem 2.2: Cooling off rights may expire before lease arrangements are finalised</w:t>
            </w:r>
          </w:p>
        </w:tc>
      </w:tr>
      <w:tr w:rsidR="003A1081" w:rsidTr="00AD0D1A">
        <w:tc>
          <w:tcPr>
            <w:tcW w:w="9016" w:type="dxa"/>
            <w:gridSpan w:val="2"/>
          </w:tcPr>
          <w:p w:rsidR="003A1081" w:rsidRPr="003F0D4B" w:rsidRDefault="003A1081">
            <w:pPr>
              <w:rPr>
                <w:b/>
              </w:rPr>
            </w:pPr>
          </w:p>
        </w:tc>
      </w:tr>
      <w:tr w:rsidR="00FF0404" w:rsidTr="00AD0D1A">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3A1081" w:rsidTr="00AD0D1A">
        <w:tc>
          <w:tcPr>
            <w:tcW w:w="9016" w:type="dxa"/>
            <w:gridSpan w:val="2"/>
          </w:tcPr>
          <w:p w:rsidR="003A1081" w:rsidRPr="003F0D4B" w:rsidRDefault="003A1081" w:rsidP="00EC5946">
            <w:pPr>
              <w:rPr>
                <w:b/>
              </w:rPr>
            </w:pPr>
          </w:p>
        </w:tc>
      </w:tr>
      <w:tr w:rsidR="00FF0404" w:rsidTr="00AD0D1A">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A01DF3" w:rsidP="00A01DF3">
            <w:pPr>
              <w:rPr>
                <w:b/>
              </w:rPr>
            </w:pPr>
            <w:r w:rsidRPr="003F0D4B">
              <w:rPr>
                <w:b/>
              </w:rPr>
              <w:t>Problem 3.1 Marketing funds are not always transparent</w:t>
            </w:r>
          </w:p>
        </w:tc>
      </w:tr>
      <w:tr w:rsidR="003A1081" w:rsidTr="00AD0D1A">
        <w:tc>
          <w:tcPr>
            <w:tcW w:w="9016" w:type="dxa"/>
            <w:gridSpan w:val="2"/>
          </w:tcPr>
          <w:p w:rsidR="003A1081" w:rsidRPr="003F0D4B" w:rsidRDefault="003A1081" w:rsidP="00A01DF3">
            <w:pPr>
              <w:rPr>
                <w:b/>
              </w:rPr>
            </w:pPr>
          </w:p>
        </w:tc>
      </w:tr>
      <w:tr w:rsidR="00FF0404" w:rsidTr="00AD0D1A">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AD0D1A">
        <w:tc>
          <w:tcPr>
            <w:tcW w:w="9016" w:type="dxa"/>
            <w:gridSpan w:val="2"/>
          </w:tcPr>
          <w:p w:rsidR="00FF0404" w:rsidRDefault="00FF0404"/>
        </w:tc>
      </w:tr>
      <w:tr w:rsidR="00FF0404" w:rsidTr="00AD0D1A">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AD0D1A">
        <w:tc>
          <w:tcPr>
            <w:tcW w:w="9016" w:type="dxa"/>
            <w:gridSpan w:val="2"/>
          </w:tcPr>
          <w:p w:rsidR="00EE5CDA" w:rsidRPr="007D2442" w:rsidRDefault="00EE5CDA"/>
        </w:tc>
      </w:tr>
      <w:tr w:rsidR="00EE5CDA" w:rsidTr="00AD0D1A">
        <w:tc>
          <w:tcPr>
            <w:tcW w:w="9016" w:type="dxa"/>
            <w:gridSpan w:val="2"/>
          </w:tcPr>
          <w:p w:rsidR="00EE5CDA" w:rsidRPr="003F0D4B" w:rsidRDefault="00EE5CDA">
            <w:pPr>
              <w:rPr>
                <w:b/>
              </w:rPr>
            </w:pPr>
            <w:r w:rsidRPr="003F0D4B">
              <w:rPr>
                <w:b/>
              </w:rPr>
              <w:t>Problem 4.1 Supplier rebates can lead to conflicts of interest</w:t>
            </w:r>
          </w:p>
        </w:tc>
      </w:tr>
      <w:tr w:rsidR="003A1081" w:rsidTr="00AD0D1A">
        <w:tc>
          <w:tcPr>
            <w:tcW w:w="9016" w:type="dxa"/>
            <w:gridSpan w:val="2"/>
          </w:tcPr>
          <w:p w:rsidR="003A1081" w:rsidRPr="003F0D4B" w:rsidRDefault="003A1081">
            <w:pPr>
              <w:rPr>
                <w:b/>
              </w:rPr>
            </w:pPr>
          </w:p>
        </w:tc>
      </w:tr>
      <w:tr w:rsidR="00EE5CDA" w:rsidTr="00AD0D1A">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AD0D1A">
        <w:tc>
          <w:tcPr>
            <w:tcW w:w="9016" w:type="dxa"/>
            <w:gridSpan w:val="2"/>
          </w:tcPr>
          <w:p w:rsidR="00EE5CDA" w:rsidRPr="007D2442" w:rsidRDefault="00EE5CDA"/>
        </w:tc>
      </w:tr>
      <w:tr w:rsidR="00CB0D83" w:rsidTr="00AD0D1A">
        <w:tc>
          <w:tcPr>
            <w:tcW w:w="9016" w:type="dxa"/>
            <w:gridSpan w:val="2"/>
          </w:tcPr>
          <w:p w:rsidR="00CB0D83" w:rsidRPr="003F0D4B" w:rsidRDefault="00CB0D83">
            <w:pPr>
              <w:rPr>
                <w:b/>
              </w:rPr>
            </w:pPr>
            <w:r w:rsidRPr="003F0D4B">
              <w:rPr>
                <w:b/>
              </w:rPr>
              <w:t>Problem 4.2 Conflicts of interest in the context of capital expenditure</w:t>
            </w:r>
          </w:p>
        </w:tc>
      </w:tr>
      <w:tr w:rsidR="003A1081" w:rsidTr="00AD0D1A">
        <w:tc>
          <w:tcPr>
            <w:tcW w:w="9016" w:type="dxa"/>
            <w:gridSpan w:val="2"/>
          </w:tcPr>
          <w:p w:rsidR="003A1081" w:rsidRPr="003F0D4B" w:rsidRDefault="003A1081">
            <w:pPr>
              <w:rPr>
                <w:b/>
              </w:rPr>
            </w:pPr>
          </w:p>
        </w:tc>
      </w:tr>
      <w:tr w:rsidR="00EE5CDA" w:rsidTr="00AD0D1A">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AD0D1A">
        <w:tc>
          <w:tcPr>
            <w:tcW w:w="9016" w:type="dxa"/>
            <w:gridSpan w:val="2"/>
          </w:tcPr>
          <w:p w:rsidR="00EE5CDA" w:rsidRPr="007D2442" w:rsidRDefault="00EE5CDA"/>
        </w:tc>
      </w:tr>
      <w:tr w:rsidR="00EE5CDA" w:rsidTr="00AD0D1A">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Option 4.3.2: Banning or limiting the circumstances in which franchisors can unilaterally vary franchise agreements</w:t>
            </w:r>
          </w:p>
          <w:p w:rsidR="003F0D4B" w:rsidRPr="007D2442" w:rsidRDefault="003F0D4B"/>
        </w:tc>
      </w:tr>
      <w:tr w:rsidR="00EE5CDA" w:rsidTr="00AD0D1A">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AD0D1A">
        <w:tc>
          <w:tcPr>
            <w:tcW w:w="9016" w:type="dxa"/>
            <w:gridSpan w:val="2"/>
          </w:tcPr>
          <w:p w:rsidR="00EE5CDA" w:rsidRPr="007D2442" w:rsidRDefault="00EE5CDA"/>
        </w:tc>
      </w:tr>
      <w:tr w:rsidR="00EE5CDA" w:rsidTr="00AD0D1A">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 xml:space="preserve">Where mediation has not resulted in an agreement, conciliation may provide the opportunity for the parties to consider a professional's unbiased opinion.   It may also be a basis in which, if one of the parties do not agree to accept the Conciliator's judgement, and should further legal action be taken, the party that refused to agree may be subject to penalty or cover legal costs of the other </w:t>
            </w:r>
            <w:r>
              <w:rPr>
                <w:rFonts w:ascii="Calibri" w:hAnsi="Calibri" w:cs="Calibri"/>
                <w:color w:val="000000"/>
              </w:rPr>
              <w:lastRenderedPageBreak/>
              <w:t>party willing to settle upon the original agreement.</w:t>
            </w:r>
            <w:r>
              <w:rPr>
                <w:rFonts w:ascii="Calibri" w:hAnsi="Calibri" w:cs="Calibri"/>
                <w:color w:val="000000"/>
              </w:rPr>
              <w:br/>
            </w:r>
            <w:r>
              <w:rPr>
                <w:rFonts w:ascii="Calibri" w:hAnsi="Calibri" w:cs="Calibri"/>
                <w:color w:val="000000"/>
              </w:rPr>
              <w:br/>
              <w:t>This would be an advantage whereby the financial power in-balance of the wealthier party, which is often the franchisor - can somewhat be levelled - and heightens the importance to reach an agreement during mediation.</w:t>
            </w:r>
          </w:p>
          <w:p w:rsidR="00EE5CDA" w:rsidRPr="007D2442" w:rsidRDefault="00EE5CDA"/>
        </w:tc>
      </w:tr>
      <w:tr w:rsidR="00EE5CDA" w:rsidTr="00AD0D1A">
        <w:tc>
          <w:tcPr>
            <w:tcW w:w="9016" w:type="dxa"/>
            <w:gridSpan w:val="2"/>
          </w:tcPr>
          <w:p w:rsidR="00EE5CDA" w:rsidRPr="003F0D4B" w:rsidRDefault="002A69D5">
            <w:pPr>
              <w:rPr>
                <w:b/>
              </w:rPr>
            </w:pPr>
            <w:r w:rsidRPr="003F0D4B">
              <w:rPr>
                <w:b/>
              </w:rPr>
              <w:lastRenderedPageBreak/>
              <w:t>13. Would you consider including arbitration to resolve disputes in your franchising agreement, if a clear voluntary option were provided?</w:t>
            </w:r>
          </w:p>
        </w:tc>
      </w:tr>
      <w:tr w:rsidR="00EE5CDA"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Yes - the combined costs of both parties to mediation can amount to large sums of money, particularly where there may be a reliance on having solicitors prepare and attend mediation.  These funds are wasted when there is no final agreement.  So in some cases arbitration may be more beneficial when there is a need to resolve things quickly.</w:t>
            </w:r>
          </w:p>
          <w:p w:rsidR="00EE5CDA" w:rsidRPr="007D2442" w:rsidRDefault="00EE5CDA"/>
        </w:tc>
      </w:tr>
      <w:tr w:rsidR="00EE5CDA" w:rsidTr="00AD0D1A">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AD0D1A">
        <w:tc>
          <w:tcPr>
            <w:tcW w:w="9016" w:type="dxa"/>
            <w:gridSpan w:val="2"/>
          </w:tcPr>
          <w:p w:rsidR="002A69D5" w:rsidRDefault="002A69D5">
            <w:r w:rsidRPr="002A69D5">
              <w:t>Option 5.1.2: Expand options for dispute resolution, and streamline mediation procedures and services</w:t>
            </w:r>
          </w:p>
          <w:p w:rsidR="002A69D5" w:rsidRDefault="002A69D5" w:rsidP="002A69D5">
            <w:pPr>
              <w:pStyle w:val="ListParagraph"/>
              <w:numPr>
                <w:ilvl w:val="0"/>
                <w:numId w:val="4"/>
              </w:numPr>
            </w:pPr>
            <w:r w:rsidRPr="002A69D5">
              <w:t>Merge OFMA and ASBFEO</w:t>
            </w:r>
          </w:p>
          <w:p w:rsidR="003F0D4B" w:rsidRPr="002A69D5" w:rsidRDefault="003F0D4B" w:rsidP="003A1081"/>
        </w:tc>
      </w:tr>
      <w:tr w:rsidR="002A69D5" w:rsidTr="00AD0D1A">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More clarity and easier access to the Dispute Process.   Also being a combined body, it would be easier to identify rogue operators.</w:t>
            </w:r>
          </w:p>
          <w:p w:rsidR="002A69D5" w:rsidRPr="002A69D5" w:rsidRDefault="002A69D5"/>
        </w:tc>
      </w:tr>
      <w:tr w:rsidR="002A69D5" w:rsidTr="00AD0D1A">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AD0D1A">
        <w:tc>
          <w:tcPr>
            <w:tcW w:w="9016" w:type="dxa"/>
            <w:gridSpan w:val="2"/>
          </w:tcPr>
          <w:p w:rsidR="003A1081" w:rsidRDefault="003A1081" w:rsidP="003A1081">
            <w:pPr>
              <w:rPr>
                <w:rFonts w:ascii="Calibri" w:hAnsi="Calibri" w:cs="Calibri"/>
                <w:color w:val="000000"/>
              </w:rPr>
            </w:pPr>
            <w:r>
              <w:rPr>
                <w:rFonts w:ascii="Calibri" w:hAnsi="Calibri" w:cs="Calibri"/>
                <w:color w:val="000000"/>
              </w:rPr>
              <w:t>Where misrepresentation or failure to Act in Good Faith has occurred, which may be based on a breach by the Franchisor.</w:t>
            </w:r>
          </w:p>
          <w:p w:rsidR="002A69D5" w:rsidRPr="002A69D5" w:rsidRDefault="002A69D5"/>
        </w:tc>
      </w:tr>
      <w:tr w:rsidR="002A69D5" w:rsidRPr="003F0D4B" w:rsidTr="00AD0D1A">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AD0D1A">
        <w:tc>
          <w:tcPr>
            <w:tcW w:w="9016" w:type="dxa"/>
            <w:gridSpan w:val="2"/>
          </w:tcPr>
          <w:p w:rsidR="002A69D5" w:rsidRPr="002A69D5" w:rsidRDefault="002A69D5"/>
        </w:tc>
      </w:tr>
      <w:tr w:rsidR="002A69D5" w:rsidTr="00AD0D1A">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AD0D1A">
        <w:tc>
          <w:tcPr>
            <w:tcW w:w="9016" w:type="dxa"/>
            <w:gridSpan w:val="2"/>
          </w:tcPr>
          <w:p w:rsidR="000853F1" w:rsidRDefault="000853F1" w:rsidP="002A69D5">
            <w:r w:rsidRPr="000853F1">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287B23">
            <w:pPr>
              <w:pStyle w:val="ListParagraph"/>
              <w:numPr>
                <w:ilvl w:val="0"/>
                <w:numId w:val="4"/>
              </w:numPr>
            </w:pPr>
            <w:r>
              <w:t>Provide statutory termination rights to franchisees</w:t>
            </w:r>
          </w:p>
          <w:p w:rsidR="003F0D4B" w:rsidRDefault="003F0D4B" w:rsidP="00287B23"/>
        </w:tc>
      </w:tr>
      <w:tr w:rsidR="000853F1" w:rsidTr="00AD0D1A">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0D1A">
        <w:tc>
          <w:tcPr>
            <w:tcW w:w="9016" w:type="dxa"/>
            <w:gridSpan w:val="2"/>
          </w:tcPr>
          <w:p w:rsidR="000853F1" w:rsidRDefault="000853F1" w:rsidP="002A69D5"/>
        </w:tc>
      </w:tr>
      <w:tr w:rsidR="000853F1" w:rsidTr="00AD0D1A">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AD0D1A">
        <w:tc>
          <w:tcPr>
            <w:tcW w:w="9016" w:type="dxa"/>
            <w:gridSpan w:val="2"/>
          </w:tcPr>
          <w:p w:rsidR="00287B23" w:rsidRDefault="00287B23" w:rsidP="00287B23">
            <w:pPr>
              <w:rPr>
                <w:rFonts w:ascii="Calibri" w:hAnsi="Calibri" w:cs="Calibri"/>
                <w:color w:val="000000"/>
              </w:rPr>
            </w:pPr>
            <w:r>
              <w:rPr>
                <w:rFonts w:ascii="Calibri" w:hAnsi="Calibri" w:cs="Calibri"/>
                <w:color w:val="000000"/>
              </w:rPr>
              <w:t>Option 6.2.2: Amend franchising agreement requirements and clarify wording of Clause 23 of the Franchising Code</w:t>
            </w:r>
          </w:p>
          <w:p w:rsidR="003F0D4B" w:rsidRDefault="003F0D4B" w:rsidP="00531F43"/>
        </w:tc>
      </w:tr>
      <w:tr w:rsidR="000853F1" w:rsidTr="00AD0D1A">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0D1A">
        <w:tc>
          <w:tcPr>
            <w:tcW w:w="9016" w:type="dxa"/>
            <w:gridSpan w:val="2"/>
          </w:tcPr>
          <w:p w:rsidR="000853F1" w:rsidRDefault="000853F1" w:rsidP="002A69D5"/>
        </w:tc>
      </w:tr>
      <w:tr w:rsidR="000853F1" w:rsidTr="00AD0D1A">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AD0D1A">
        <w:tc>
          <w:tcPr>
            <w:tcW w:w="9016" w:type="dxa"/>
            <w:gridSpan w:val="2"/>
          </w:tcPr>
          <w:p w:rsidR="00287B23" w:rsidRDefault="00287B23" w:rsidP="00287B23">
            <w:pPr>
              <w:rPr>
                <w:rFonts w:ascii="Calibri" w:hAnsi="Calibri" w:cs="Calibri"/>
                <w:color w:val="000000"/>
              </w:rPr>
            </w:pPr>
            <w:r>
              <w:rPr>
                <w:rFonts w:ascii="Calibri" w:hAnsi="Calibri" w:cs="Calibri"/>
                <w:color w:val="000000"/>
              </w:rPr>
              <w:t>Option 6.3.3: Increase awareness of how goodwill is handled in franchising</w:t>
            </w:r>
          </w:p>
          <w:p w:rsidR="003F0D4B" w:rsidRDefault="003F0D4B" w:rsidP="002A69D5"/>
        </w:tc>
      </w:tr>
      <w:tr w:rsidR="000853F1" w:rsidTr="00AD0D1A">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0D1A">
        <w:tc>
          <w:tcPr>
            <w:tcW w:w="9016" w:type="dxa"/>
            <w:gridSpan w:val="2"/>
          </w:tcPr>
          <w:p w:rsidR="000853F1" w:rsidRDefault="000853F1" w:rsidP="002A69D5"/>
        </w:tc>
      </w:tr>
      <w:tr w:rsidR="000853F1" w:rsidTr="00AD0D1A">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AD0D1A">
        <w:tc>
          <w:tcPr>
            <w:tcW w:w="9016" w:type="dxa"/>
            <w:gridSpan w:val="2"/>
          </w:tcPr>
          <w:p w:rsidR="000853F1" w:rsidRDefault="000853F1" w:rsidP="002A69D5"/>
        </w:tc>
      </w:tr>
      <w:tr w:rsidR="000853F1" w:rsidTr="00AD0D1A">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AD0D1A">
        <w:tc>
          <w:tcPr>
            <w:tcW w:w="9016" w:type="dxa"/>
            <w:gridSpan w:val="2"/>
          </w:tcPr>
          <w:p w:rsidR="000853F1" w:rsidRDefault="000853F1" w:rsidP="002A69D5"/>
        </w:tc>
      </w:tr>
      <w:tr w:rsidR="000853F1" w:rsidTr="00AD0D1A">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287B23" w:rsidTr="00AD0D1A">
        <w:tc>
          <w:tcPr>
            <w:tcW w:w="9016" w:type="dxa"/>
            <w:gridSpan w:val="2"/>
          </w:tcPr>
          <w:p w:rsidR="00287B23" w:rsidRPr="003F0D4B" w:rsidRDefault="00287B23" w:rsidP="00531F43">
            <w:pPr>
              <w:rPr>
                <w:b/>
              </w:rPr>
            </w:pPr>
          </w:p>
        </w:tc>
      </w:tr>
      <w:tr w:rsidR="000853F1" w:rsidTr="00AD0D1A">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0D1A">
        <w:tc>
          <w:tcPr>
            <w:tcW w:w="9016" w:type="dxa"/>
            <w:gridSpan w:val="2"/>
          </w:tcPr>
          <w:p w:rsidR="000853F1" w:rsidRDefault="000853F1" w:rsidP="002A69D5"/>
        </w:tc>
      </w:tr>
      <w:tr w:rsidR="003F0D4B" w:rsidTr="00AD0D1A">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AD0D1A">
        <w:tc>
          <w:tcPr>
            <w:tcW w:w="9016" w:type="dxa"/>
            <w:gridSpan w:val="2"/>
          </w:tcPr>
          <w:p w:rsidR="00287B23" w:rsidRDefault="00287B23" w:rsidP="00287B23">
            <w:pPr>
              <w:rPr>
                <w:rFonts w:ascii="Calibri" w:hAnsi="Calibri" w:cs="Calibri"/>
                <w:color w:val="000000"/>
              </w:rPr>
            </w:pPr>
            <w:r>
              <w:rPr>
                <w:rFonts w:ascii="Calibri" w:hAnsi="Calibri" w:cs="Calibri"/>
                <w:color w:val="000000"/>
              </w:rPr>
              <w:t>Option 7.2.2: Application and enhancement of civil penalties to all breaches of the Franchising and Oil Codes</w:t>
            </w:r>
          </w:p>
          <w:p w:rsidR="003F0D4B" w:rsidRDefault="003F0D4B" w:rsidP="003F0D4B"/>
        </w:tc>
      </w:tr>
      <w:tr w:rsidR="003F0D4B" w:rsidTr="00AD0D1A">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AD0D1A">
        <w:tc>
          <w:tcPr>
            <w:tcW w:w="9016" w:type="dxa"/>
            <w:gridSpan w:val="2"/>
          </w:tcPr>
          <w:p w:rsidR="003F0D4B" w:rsidRDefault="003F0D4B" w:rsidP="003F0D4B"/>
        </w:tc>
      </w:tr>
      <w:tr w:rsidR="003F0D4B" w:rsidTr="00AD0D1A">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AD0D1A">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B41AC"/>
    <w:multiLevelType w:val="hybridMultilevel"/>
    <w:tmpl w:val="2F867E0E"/>
    <w:lvl w:ilvl="0" w:tplc="9F46B728">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D3B6B"/>
    <w:multiLevelType w:val="hybridMultilevel"/>
    <w:tmpl w:val="3DD2100A"/>
    <w:lvl w:ilvl="0" w:tplc="6F768A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EA5715"/>
    <w:multiLevelType w:val="hybridMultilevel"/>
    <w:tmpl w:val="20D291AC"/>
    <w:lvl w:ilvl="0" w:tplc="4DE84E38">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87B23"/>
    <w:rsid w:val="002A69D5"/>
    <w:rsid w:val="0035054F"/>
    <w:rsid w:val="003A1081"/>
    <w:rsid w:val="003C5769"/>
    <w:rsid w:val="003F0D4B"/>
    <w:rsid w:val="00531F43"/>
    <w:rsid w:val="0076070A"/>
    <w:rsid w:val="007D2442"/>
    <w:rsid w:val="007F5BC2"/>
    <w:rsid w:val="00837502"/>
    <w:rsid w:val="00A01DF3"/>
    <w:rsid w:val="00AD0D1A"/>
    <w:rsid w:val="00C119E5"/>
    <w:rsid w:val="00C26190"/>
    <w:rsid w:val="00CB0D83"/>
    <w:rsid w:val="00EC5946"/>
    <w:rsid w:val="00EE4E2E"/>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4982">
      <w:bodyDiv w:val="1"/>
      <w:marLeft w:val="0"/>
      <w:marRight w:val="0"/>
      <w:marTop w:val="0"/>
      <w:marBottom w:val="0"/>
      <w:divBdr>
        <w:top w:val="none" w:sz="0" w:space="0" w:color="auto"/>
        <w:left w:val="none" w:sz="0" w:space="0" w:color="auto"/>
        <w:bottom w:val="none" w:sz="0" w:space="0" w:color="auto"/>
        <w:right w:val="none" w:sz="0" w:space="0" w:color="auto"/>
      </w:divBdr>
    </w:div>
    <w:div w:id="149060000">
      <w:bodyDiv w:val="1"/>
      <w:marLeft w:val="0"/>
      <w:marRight w:val="0"/>
      <w:marTop w:val="0"/>
      <w:marBottom w:val="0"/>
      <w:divBdr>
        <w:top w:val="none" w:sz="0" w:space="0" w:color="auto"/>
        <w:left w:val="none" w:sz="0" w:space="0" w:color="auto"/>
        <w:bottom w:val="none" w:sz="0" w:space="0" w:color="auto"/>
        <w:right w:val="none" w:sz="0" w:space="0" w:color="auto"/>
      </w:divBdr>
    </w:div>
    <w:div w:id="277177493">
      <w:bodyDiv w:val="1"/>
      <w:marLeft w:val="0"/>
      <w:marRight w:val="0"/>
      <w:marTop w:val="0"/>
      <w:marBottom w:val="0"/>
      <w:divBdr>
        <w:top w:val="none" w:sz="0" w:space="0" w:color="auto"/>
        <w:left w:val="none" w:sz="0" w:space="0" w:color="auto"/>
        <w:bottom w:val="none" w:sz="0" w:space="0" w:color="auto"/>
        <w:right w:val="none" w:sz="0" w:space="0" w:color="auto"/>
      </w:divBdr>
    </w:div>
    <w:div w:id="295528334">
      <w:bodyDiv w:val="1"/>
      <w:marLeft w:val="0"/>
      <w:marRight w:val="0"/>
      <w:marTop w:val="0"/>
      <w:marBottom w:val="0"/>
      <w:divBdr>
        <w:top w:val="none" w:sz="0" w:space="0" w:color="auto"/>
        <w:left w:val="none" w:sz="0" w:space="0" w:color="auto"/>
        <w:bottom w:val="none" w:sz="0" w:space="0" w:color="auto"/>
        <w:right w:val="none" w:sz="0" w:space="0" w:color="auto"/>
      </w:divBdr>
    </w:div>
    <w:div w:id="404033263">
      <w:bodyDiv w:val="1"/>
      <w:marLeft w:val="0"/>
      <w:marRight w:val="0"/>
      <w:marTop w:val="0"/>
      <w:marBottom w:val="0"/>
      <w:divBdr>
        <w:top w:val="none" w:sz="0" w:space="0" w:color="auto"/>
        <w:left w:val="none" w:sz="0" w:space="0" w:color="auto"/>
        <w:bottom w:val="none" w:sz="0" w:space="0" w:color="auto"/>
        <w:right w:val="none" w:sz="0" w:space="0" w:color="auto"/>
      </w:divBdr>
    </w:div>
    <w:div w:id="547255683">
      <w:bodyDiv w:val="1"/>
      <w:marLeft w:val="0"/>
      <w:marRight w:val="0"/>
      <w:marTop w:val="0"/>
      <w:marBottom w:val="0"/>
      <w:divBdr>
        <w:top w:val="none" w:sz="0" w:space="0" w:color="auto"/>
        <w:left w:val="none" w:sz="0" w:space="0" w:color="auto"/>
        <w:bottom w:val="none" w:sz="0" w:space="0" w:color="auto"/>
        <w:right w:val="none" w:sz="0" w:space="0" w:color="auto"/>
      </w:divBdr>
    </w:div>
    <w:div w:id="655499816">
      <w:bodyDiv w:val="1"/>
      <w:marLeft w:val="0"/>
      <w:marRight w:val="0"/>
      <w:marTop w:val="0"/>
      <w:marBottom w:val="0"/>
      <w:divBdr>
        <w:top w:val="none" w:sz="0" w:space="0" w:color="auto"/>
        <w:left w:val="none" w:sz="0" w:space="0" w:color="auto"/>
        <w:bottom w:val="none" w:sz="0" w:space="0" w:color="auto"/>
        <w:right w:val="none" w:sz="0" w:space="0" w:color="auto"/>
      </w:divBdr>
    </w:div>
    <w:div w:id="708529662">
      <w:bodyDiv w:val="1"/>
      <w:marLeft w:val="0"/>
      <w:marRight w:val="0"/>
      <w:marTop w:val="0"/>
      <w:marBottom w:val="0"/>
      <w:divBdr>
        <w:top w:val="none" w:sz="0" w:space="0" w:color="auto"/>
        <w:left w:val="none" w:sz="0" w:space="0" w:color="auto"/>
        <w:bottom w:val="none" w:sz="0" w:space="0" w:color="auto"/>
        <w:right w:val="none" w:sz="0" w:space="0" w:color="auto"/>
      </w:divBdr>
    </w:div>
    <w:div w:id="710762104">
      <w:bodyDiv w:val="1"/>
      <w:marLeft w:val="0"/>
      <w:marRight w:val="0"/>
      <w:marTop w:val="0"/>
      <w:marBottom w:val="0"/>
      <w:divBdr>
        <w:top w:val="none" w:sz="0" w:space="0" w:color="auto"/>
        <w:left w:val="none" w:sz="0" w:space="0" w:color="auto"/>
        <w:bottom w:val="none" w:sz="0" w:space="0" w:color="auto"/>
        <w:right w:val="none" w:sz="0" w:space="0" w:color="auto"/>
      </w:divBdr>
    </w:div>
    <w:div w:id="738481988">
      <w:bodyDiv w:val="1"/>
      <w:marLeft w:val="0"/>
      <w:marRight w:val="0"/>
      <w:marTop w:val="0"/>
      <w:marBottom w:val="0"/>
      <w:divBdr>
        <w:top w:val="none" w:sz="0" w:space="0" w:color="auto"/>
        <w:left w:val="none" w:sz="0" w:space="0" w:color="auto"/>
        <w:bottom w:val="none" w:sz="0" w:space="0" w:color="auto"/>
        <w:right w:val="none" w:sz="0" w:space="0" w:color="auto"/>
      </w:divBdr>
    </w:div>
    <w:div w:id="865095483">
      <w:bodyDiv w:val="1"/>
      <w:marLeft w:val="0"/>
      <w:marRight w:val="0"/>
      <w:marTop w:val="0"/>
      <w:marBottom w:val="0"/>
      <w:divBdr>
        <w:top w:val="none" w:sz="0" w:space="0" w:color="auto"/>
        <w:left w:val="none" w:sz="0" w:space="0" w:color="auto"/>
        <w:bottom w:val="none" w:sz="0" w:space="0" w:color="auto"/>
        <w:right w:val="none" w:sz="0" w:space="0" w:color="auto"/>
      </w:divBdr>
    </w:div>
    <w:div w:id="1112435674">
      <w:bodyDiv w:val="1"/>
      <w:marLeft w:val="0"/>
      <w:marRight w:val="0"/>
      <w:marTop w:val="0"/>
      <w:marBottom w:val="0"/>
      <w:divBdr>
        <w:top w:val="none" w:sz="0" w:space="0" w:color="auto"/>
        <w:left w:val="none" w:sz="0" w:space="0" w:color="auto"/>
        <w:bottom w:val="none" w:sz="0" w:space="0" w:color="auto"/>
        <w:right w:val="none" w:sz="0" w:space="0" w:color="auto"/>
      </w:divBdr>
    </w:div>
    <w:div w:id="1801342037">
      <w:bodyDiv w:val="1"/>
      <w:marLeft w:val="0"/>
      <w:marRight w:val="0"/>
      <w:marTop w:val="0"/>
      <w:marBottom w:val="0"/>
      <w:divBdr>
        <w:top w:val="none" w:sz="0" w:space="0" w:color="auto"/>
        <w:left w:val="none" w:sz="0" w:space="0" w:color="auto"/>
        <w:bottom w:val="none" w:sz="0" w:space="0" w:color="auto"/>
        <w:right w:val="none" w:sz="0" w:space="0" w:color="auto"/>
      </w:divBdr>
    </w:div>
    <w:div w:id="18628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5</cp:revision>
  <dcterms:created xsi:type="dcterms:W3CDTF">2020-02-21T05:39:00Z</dcterms:created>
  <dcterms:modified xsi:type="dcterms:W3CDTF">2020-02-21T05:54:00Z</dcterms:modified>
</cp:coreProperties>
</file>