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09F20" w14:textId="77777777" w:rsidR="000E0B74" w:rsidRPr="006D0240" w:rsidRDefault="000E0B74" w:rsidP="008E6292"/>
    <w:p w14:paraId="44957C78" w14:textId="77777777" w:rsidR="000E0B74" w:rsidRPr="006D0240" w:rsidRDefault="000E0B74" w:rsidP="001D4EAA">
      <w:pPr>
        <w:pStyle w:val="Crest"/>
        <w:spacing w:after="1320"/>
        <w:jc w:val="left"/>
      </w:pPr>
    </w:p>
    <w:p w14:paraId="35D4EC60" w14:textId="7B7A6A57" w:rsidR="000E0B74" w:rsidRPr="001D4EAA" w:rsidRDefault="003D74E7" w:rsidP="001D4EAA">
      <w:pPr>
        <w:pStyle w:val="Title"/>
      </w:pPr>
      <w:r>
        <w:rPr>
          <w:color w:val="002060"/>
        </w:rPr>
        <w:t>R</w:t>
      </w:r>
      <w:r w:rsidR="00E4666A">
        <w:rPr>
          <w:color w:val="002060"/>
        </w:rPr>
        <w:t>eview of the insolvent trading safe harbour</w:t>
      </w:r>
    </w:p>
    <w:p w14:paraId="447CDE1D" w14:textId="33DB4588" w:rsidR="000E0B74" w:rsidRPr="001D4EAA" w:rsidRDefault="000E0B74" w:rsidP="001D4EAA">
      <w:pPr>
        <w:pStyle w:val="Subtitle"/>
      </w:pPr>
    </w:p>
    <w:p w14:paraId="0561E411" w14:textId="368F55CC" w:rsidR="00056880" w:rsidRDefault="00056880" w:rsidP="001D4EAA">
      <w:pPr>
        <w:pStyle w:val="ReportDate"/>
        <w:rPr>
          <w:rFonts w:ascii="Rockwell" w:hAnsi="Rockwell"/>
          <w:sz w:val="24"/>
        </w:rPr>
      </w:pPr>
    </w:p>
    <w:p w14:paraId="17771860" w14:textId="77777777" w:rsidR="002F617F" w:rsidRPr="001D4EAA" w:rsidRDefault="002F617F" w:rsidP="001D4EAA">
      <w:pPr>
        <w:spacing w:after="6000"/>
      </w:pPr>
    </w:p>
    <w:p w14:paraId="4A49ED49" w14:textId="77777777" w:rsidR="000E0B74" w:rsidRDefault="000E0B74" w:rsidP="000E0B74">
      <w:pPr>
        <w:sectPr w:rsidR="000E0B74" w:rsidSect="00E1136B">
          <w:headerReference w:type="default" r:id="rId8"/>
          <w:pgSz w:w="11906" w:h="16838"/>
          <w:pgMar w:top="1418" w:right="1418" w:bottom="1418" w:left="1418" w:header="709" w:footer="709" w:gutter="0"/>
          <w:pgNumType w:fmt="lowerRoman" w:start="1"/>
          <w:cols w:space="720"/>
        </w:sectPr>
      </w:pPr>
    </w:p>
    <w:p w14:paraId="1120E144" w14:textId="1569A94C" w:rsidR="000E0B74" w:rsidRDefault="000E0B74" w:rsidP="000E0B74">
      <w:pPr>
        <w:spacing w:before="240"/>
      </w:pPr>
      <w:r w:rsidRPr="00661BF0">
        <w:lastRenderedPageBreak/>
        <w:t xml:space="preserve">© Commonwealth of Australia </w:t>
      </w:r>
      <w:r w:rsidRPr="00494645">
        <w:t>20</w:t>
      </w:r>
      <w:r w:rsidR="00EF2FBF" w:rsidRPr="00494645">
        <w:t>2</w:t>
      </w:r>
      <w:r w:rsidR="00DB4D89" w:rsidRPr="00494645">
        <w:t>1</w:t>
      </w:r>
    </w:p>
    <w:p w14:paraId="356E95B7" w14:textId="7C778563"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6E72672B" w14:textId="77777777" w:rsidR="000E0B74" w:rsidRDefault="000E0B74" w:rsidP="000E0B74">
      <w:pPr>
        <w:pStyle w:val="ChartGraphic"/>
        <w:jc w:val="left"/>
      </w:pPr>
      <w:r w:rsidRPr="00E56DFB">
        <w:rPr>
          <w:noProof/>
          <w:lang w:eastAsia="zh-CN"/>
        </w:rPr>
        <w:drawing>
          <wp:inline distT="0" distB="0" distL="0" distR="0" wp14:anchorId="033394A6" wp14:editId="6CDA5C20">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5ECC6B8"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57906279"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591EAFCC"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94AF7E9" w14:textId="58BE3B33" w:rsidR="000E0B74" w:rsidRPr="00A13A11" w:rsidRDefault="000E0B74" w:rsidP="000E0B74">
      <w:pPr>
        <w:ind w:firstLine="720"/>
      </w:pPr>
      <w:r w:rsidRPr="002F1BC2">
        <w:rPr>
          <w:i/>
        </w:rPr>
        <w:t xml:space="preserve">Source: The </w:t>
      </w:r>
      <w:r w:rsidRPr="002F1BC2">
        <w:rPr>
          <w:i/>
          <w:iCs/>
        </w:rPr>
        <w:t>Australian Government the Treasury</w:t>
      </w:r>
      <w:r>
        <w:t>.</w:t>
      </w:r>
    </w:p>
    <w:p w14:paraId="1C154E1C"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8623EF1"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C159B49" w14:textId="4B3B20A9" w:rsidR="000E0B74" w:rsidRPr="006627B4" w:rsidRDefault="000E0B74" w:rsidP="000E0B74">
      <w:pPr>
        <w:ind w:firstLine="720"/>
      </w:pPr>
      <w:r w:rsidRPr="002F1BC2">
        <w:rPr>
          <w:i/>
        </w:rPr>
        <w:t>Based on The Australian Government the Treasury data</w:t>
      </w:r>
      <w:r>
        <w:t>.</w:t>
      </w:r>
    </w:p>
    <w:p w14:paraId="13F3238D" w14:textId="77777777" w:rsidR="000E0B74" w:rsidRPr="006627B4" w:rsidRDefault="000E0B74" w:rsidP="000E0B74">
      <w:pPr>
        <w:spacing w:before="240"/>
        <w:rPr>
          <w:b/>
        </w:rPr>
      </w:pPr>
      <w:r w:rsidRPr="006627B4">
        <w:rPr>
          <w:b/>
        </w:rPr>
        <w:t>Use of the Coat of Arms</w:t>
      </w:r>
    </w:p>
    <w:p w14:paraId="71A79E94"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3" w:history="1">
        <w:r w:rsidRPr="005A283B">
          <w:rPr>
            <w:rStyle w:val="Hyperlink"/>
          </w:rPr>
          <w:t>www.pmc.gov.au/government/commonwealth-coat-arm</w:t>
        </w:r>
      </w:hyperlink>
      <w:r w:rsidRPr="004A7BC2">
        <w:t>s).</w:t>
      </w:r>
    </w:p>
    <w:p w14:paraId="467B831C" w14:textId="77777777" w:rsidR="000E0B74" w:rsidRPr="006627B4" w:rsidRDefault="000E0B74" w:rsidP="000E0B74">
      <w:pPr>
        <w:spacing w:before="240"/>
        <w:rPr>
          <w:b/>
        </w:rPr>
      </w:pPr>
      <w:r>
        <w:rPr>
          <w:b/>
        </w:rPr>
        <w:t>Other u</w:t>
      </w:r>
      <w:r w:rsidRPr="006627B4">
        <w:rPr>
          <w:b/>
        </w:rPr>
        <w:t>ses</w:t>
      </w:r>
    </w:p>
    <w:p w14:paraId="0B61A004" w14:textId="77777777" w:rsidR="000E0B74" w:rsidRPr="006627B4" w:rsidRDefault="000E0B74" w:rsidP="000E0B74">
      <w:r>
        <w:t>E</w:t>
      </w:r>
      <w:r w:rsidRPr="006627B4">
        <w:t>nquiries regarding this licence and any other use of this document are welcome at:</w:t>
      </w:r>
    </w:p>
    <w:p w14:paraId="3B4480EF"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4E13359A" w14:textId="77777777" w:rsidR="000E0B74" w:rsidRDefault="000E0B74" w:rsidP="000E0B74">
      <w:pPr>
        <w:pStyle w:val="SingleParagraph"/>
        <w:sectPr w:rsidR="000E0B74" w:rsidSect="00475B7B">
          <w:headerReference w:type="even" r:id="rId15"/>
          <w:headerReference w:type="default" r:id="rId16"/>
          <w:footerReference w:type="even" r:id="rId17"/>
          <w:pgSz w:w="11906" w:h="16838" w:code="9"/>
          <w:pgMar w:top="1418" w:right="1418" w:bottom="1418" w:left="1418" w:header="709" w:footer="709" w:gutter="0"/>
          <w:pgNumType w:fmt="lowerRoman"/>
          <w:cols w:space="708"/>
          <w:titlePg/>
          <w:docGrid w:linePitch="360"/>
        </w:sectPr>
      </w:pPr>
    </w:p>
    <w:p w14:paraId="51FC3A8C" w14:textId="77777777" w:rsidR="000E0B74" w:rsidRPr="00354FBB" w:rsidRDefault="000E0B74" w:rsidP="00354FBB">
      <w:pPr>
        <w:pStyle w:val="Heading1"/>
      </w:pPr>
      <w:bookmarkStart w:id="0" w:name="_Toc81389122"/>
      <w:r w:rsidRPr="00354FBB">
        <w:lastRenderedPageBreak/>
        <w:t>Contents</w:t>
      </w:r>
      <w:bookmarkEnd w:id="0"/>
    </w:p>
    <w:p w14:paraId="5CA00E3F" w14:textId="6738E633" w:rsidR="0010185B"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81389122" w:history="1">
        <w:r w:rsidR="0010185B" w:rsidRPr="004862AE">
          <w:rPr>
            <w:rStyle w:val="Hyperlink"/>
          </w:rPr>
          <w:t>Contents</w:t>
        </w:r>
        <w:r w:rsidR="0010185B">
          <w:rPr>
            <w:webHidden/>
          </w:rPr>
          <w:tab/>
        </w:r>
        <w:r w:rsidR="0010185B">
          <w:rPr>
            <w:webHidden/>
          </w:rPr>
          <w:fldChar w:fldCharType="begin"/>
        </w:r>
        <w:r w:rsidR="0010185B">
          <w:rPr>
            <w:webHidden/>
          </w:rPr>
          <w:instrText xml:space="preserve"> PAGEREF _Toc81389122 \h </w:instrText>
        </w:r>
        <w:r w:rsidR="0010185B">
          <w:rPr>
            <w:webHidden/>
          </w:rPr>
        </w:r>
        <w:r w:rsidR="0010185B">
          <w:rPr>
            <w:webHidden/>
          </w:rPr>
          <w:fldChar w:fldCharType="separate"/>
        </w:r>
        <w:r w:rsidR="00E24F01">
          <w:rPr>
            <w:webHidden/>
          </w:rPr>
          <w:t>iii</w:t>
        </w:r>
        <w:r w:rsidR="0010185B">
          <w:rPr>
            <w:webHidden/>
          </w:rPr>
          <w:fldChar w:fldCharType="end"/>
        </w:r>
      </w:hyperlink>
    </w:p>
    <w:p w14:paraId="034F6719" w14:textId="628EF55F" w:rsidR="0010185B" w:rsidRDefault="00692D1A">
      <w:pPr>
        <w:pStyle w:val="TOC1"/>
        <w:rPr>
          <w:rFonts w:asciiTheme="minorHAnsi" w:eastAsiaTheme="minorEastAsia" w:hAnsiTheme="minorHAnsi" w:cstheme="minorBidi"/>
          <w:b w:val="0"/>
          <w:color w:val="auto"/>
        </w:rPr>
      </w:pPr>
      <w:hyperlink w:anchor="_Toc81389123" w:history="1">
        <w:r w:rsidR="0010185B" w:rsidRPr="004862AE">
          <w:rPr>
            <w:rStyle w:val="Hyperlink"/>
          </w:rPr>
          <w:t>Consultation Process</w:t>
        </w:r>
        <w:r w:rsidR="0010185B">
          <w:rPr>
            <w:webHidden/>
          </w:rPr>
          <w:tab/>
        </w:r>
        <w:r w:rsidR="0010185B">
          <w:rPr>
            <w:webHidden/>
          </w:rPr>
          <w:fldChar w:fldCharType="begin"/>
        </w:r>
        <w:r w:rsidR="0010185B">
          <w:rPr>
            <w:webHidden/>
          </w:rPr>
          <w:instrText xml:space="preserve"> PAGEREF _Toc81389123 \h </w:instrText>
        </w:r>
        <w:r w:rsidR="0010185B">
          <w:rPr>
            <w:webHidden/>
          </w:rPr>
        </w:r>
        <w:r w:rsidR="0010185B">
          <w:rPr>
            <w:webHidden/>
          </w:rPr>
          <w:fldChar w:fldCharType="separate"/>
        </w:r>
        <w:r w:rsidR="00E24F01">
          <w:rPr>
            <w:webHidden/>
          </w:rPr>
          <w:t>1</w:t>
        </w:r>
        <w:r w:rsidR="0010185B">
          <w:rPr>
            <w:webHidden/>
          </w:rPr>
          <w:fldChar w:fldCharType="end"/>
        </w:r>
      </w:hyperlink>
    </w:p>
    <w:p w14:paraId="1832E641" w14:textId="365C6F6E" w:rsidR="0010185B" w:rsidRDefault="00692D1A">
      <w:pPr>
        <w:pStyle w:val="TOC2"/>
        <w:rPr>
          <w:rFonts w:asciiTheme="minorHAnsi" w:eastAsiaTheme="minorEastAsia" w:hAnsiTheme="minorHAnsi" w:cstheme="minorBidi"/>
          <w:color w:val="auto"/>
          <w:szCs w:val="22"/>
        </w:rPr>
      </w:pPr>
      <w:hyperlink w:anchor="_Toc81389124" w:history="1">
        <w:r w:rsidR="0010185B" w:rsidRPr="004862AE">
          <w:rPr>
            <w:rStyle w:val="Hyperlink"/>
          </w:rPr>
          <w:t>Request for feedback and comments</w:t>
        </w:r>
        <w:r w:rsidR="0010185B">
          <w:rPr>
            <w:webHidden/>
          </w:rPr>
          <w:tab/>
        </w:r>
        <w:r w:rsidR="0010185B">
          <w:rPr>
            <w:webHidden/>
          </w:rPr>
          <w:fldChar w:fldCharType="begin"/>
        </w:r>
        <w:r w:rsidR="0010185B">
          <w:rPr>
            <w:webHidden/>
          </w:rPr>
          <w:instrText xml:space="preserve"> PAGEREF _Toc81389124 \h </w:instrText>
        </w:r>
        <w:r w:rsidR="0010185B">
          <w:rPr>
            <w:webHidden/>
          </w:rPr>
        </w:r>
        <w:r w:rsidR="0010185B">
          <w:rPr>
            <w:webHidden/>
          </w:rPr>
          <w:fldChar w:fldCharType="separate"/>
        </w:r>
        <w:r w:rsidR="00E24F01">
          <w:rPr>
            <w:webHidden/>
          </w:rPr>
          <w:t>1</w:t>
        </w:r>
        <w:r w:rsidR="0010185B">
          <w:rPr>
            <w:webHidden/>
          </w:rPr>
          <w:fldChar w:fldCharType="end"/>
        </w:r>
      </w:hyperlink>
    </w:p>
    <w:p w14:paraId="73B7F99E" w14:textId="0C2E5B33" w:rsidR="0010185B" w:rsidRDefault="00692D1A">
      <w:pPr>
        <w:pStyle w:val="TOC1"/>
        <w:rPr>
          <w:rFonts w:asciiTheme="minorHAnsi" w:eastAsiaTheme="minorEastAsia" w:hAnsiTheme="minorHAnsi" w:cstheme="minorBidi"/>
          <w:b w:val="0"/>
          <w:color w:val="auto"/>
        </w:rPr>
      </w:pPr>
      <w:hyperlink w:anchor="_Toc81389125" w:history="1">
        <w:r w:rsidR="0010185B" w:rsidRPr="004862AE">
          <w:rPr>
            <w:rStyle w:val="Hyperlink"/>
          </w:rPr>
          <w:t>Review of the insolvent trading safe harbour</w:t>
        </w:r>
        <w:r w:rsidR="0010185B">
          <w:rPr>
            <w:webHidden/>
          </w:rPr>
          <w:tab/>
        </w:r>
        <w:r w:rsidR="0010185B">
          <w:rPr>
            <w:webHidden/>
          </w:rPr>
          <w:fldChar w:fldCharType="begin"/>
        </w:r>
        <w:r w:rsidR="0010185B">
          <w:rPr>
            <w:webHidden/>
          </w:rPr>
          <w:instrText xml:space="preserve"> PAGEREF _Toc81389125 \h </w:instrText>
        </w:r>
        <w:r w:rsidR="0010185B">
          <w:rPr>
            <w:webHidden/>
          </w:rPr>
        </w:r>
        <w:r w:rsidR="0010185B">
          <w:rPr>
            <w:webHidden/>
          </w:rPr>
          <w:fldChar w:fldCharType="separate"/>
        </w:r>
        <w:r w:rsidR="00E24F01">
          <w:rPr>
            <w:webHidden/>
          </w:rPr>
          <w:t>2</w:t>
        </w:r>
        <w:r w:rsidR="0010185B">
          <w:rPr>
            <w:webHidden/>
          </w:rPr>
          <w:fldChar w:fldCharType="end"/>
        </w:r>
      </w:hyperlink>
    </w:p>
    <w:p w14:paraId="73F02778" w14:textId="2800C16A" w:rsidR="0010185B" w:rsidRDefault="00692D1A">
      <w:pPr>
        <w:pStyle w:val="TOC2"/>
        <w:rPr>
          <w:rFonts w:asciiTheme="minorHAnsi" w:eastAsiaTheme="minorEastAsia" w:hAnsiTheme="minorHAnsi" w:cstheme="minorBidi"/>
          <w:color w:val="auto"/>
          <w:szCs w:val="22"/>
        </w:rPr>
      </w:pPr>
      <w:hyperlink w:anchor="_Toc81389126" w:history="1">
        <w:r w:rsidR="0010185B" w:rsidRPr="004862AE">
          <w:rPr>
            <w:rStyle w:val="Hyperlink"/>
          </w:rPr>
          <w:t>Overview</w:t>
        </w:r>
        <w:r w:rsidR="0010185B">
          <w:rPr>
            <w:webHidden/>
          </w:rPr>
          <w:tab/>
        </w:r>
        <w:r w:rsidR="0010185B">
          <w:rPr>
            <w:webHidden/>
          </w:rPr>
          <w:fldChar w:fldCharType="begin"/>
        </w:r>
        <w:r w:rsidR="0010185B">
          <w:rPr>
            <w:webHidden/>
          </w:rPr>
          <w:instrText xml:space="preserve"> PAGEREF _Toc81389126 \h </w:instrText>
        </w:r>
        <w:r w:rsidR="0010185B">
          <w:rPr>
            <w:webHidden/>
          </w:rPr>
        </w:r>
        <w:r w:rsidR="0010185B">
          <w:rPr>
            <w:webHidden/>
          </w:rPr>
          <w:fldChar w:fldCharType="separate"/>
        </w:r>
        <w:r w:rsidR="00E24F01">
          <w:rPr>
            <w:webHidden/>
          </w:rPr>
          <w:t>2</w:t>
        </w:r>
        <w:r w:rsidR="0010185B">
          <w:rPr>
            <w:webHidden/>
          </w:rPr>
          <w:fldChar w:fldCharType="end"/>
        </w:r>
      </w:hyperlink>
    </w:p>
    <w:p w14:paraId="5F271736" w14:textId="291D7B57" w:rsidR="0010185B" w:rsidRDefault="00692D1A">
      <w:pPr>
        <w:pStyle w:val="TOC2"/>
        <w:rPr>
          <w:rFonts w:asciiTheme="minorHAnsi" w:eastAsiaTheme="minorEastAsia" w:hAnsiTheme="minorHAnsi" w:cstheme="minorBidi"/>
          <w:color w:val="auto"/>
          <w:szCs w:val="22"/>
        </w:rPr>
      </w:pPr>
      <w:hyperlink w:anchor="_Toc81389127" w:history="1">
        <w:r w:rsidR="0010185B" w:rsidRPr="004862AE">
          <w:rPr>
            <w:rStyle w:val="Hyperlink"/>
          </w:rPr>
          <w:t>Background to the safe harbour reforms</w:t>
        </w:r>
        <w:r w:rsidR="0010185B">
          <w:rPr>
            <w:webHidden/>
          </w:rPr>
          <w:tab/>
        </w:r>
        <w:r w:rsidR="0010185B">
          <w:rPr>
            <w:webHidden/>
          </w:rPr>
          <w:fldChar w:fldCharType="begin"/>
        </w:r>
        <w:r w:rsidR="0010185B">
          <w:rPr>
            <w:webHidden/>
          </w:rPr>
          <w:instrText xml:space="preserve"> PAGEREF _Toc81389127 \h </w:instrText>
        </w:r>
        <w:r w:rsidR="0010185B">
          <w:rPr>
            <w:webHidden/>
          </w:rPr>
        </w:r>
        <w:r w:rsidR="0010185B">
          <w:rPr>
            <w:webHidden/>
          </w:rPr>
          <w:fldChar w:fldCharType="separate"/>
        </w:r>
        <w:r w:rsidR="00E24F01">
          <w:rPr>
            <w:webHidden/>
          </w:rPr>
          <w:t>2</w:t>
        </w:r>
        <w:r w:rsidR="0010185B">
          <w:rPr>
            <w:webHidden/>
          </w:rPr>
          <w:fldChar w:fldCharType="end"/>
        </w:r>
      </w:hyperlink>
    </w:p>
    <w:p w14:paraId="79B24CC1" w14:textId="1AD3009C" w:rsidR="0010185B" w:rsidRDefault="00692D1A">
      <w:pPr>
        <w:pStyle w:val="TOC2"/>
        <w:rPr>
          <w:rFonts w:asciiTheme="minorHAnsi" w:eastAsiaTheme="minorEastAsia" w:hAnsiTheme="minorHAnsi" w:cstheme="minorBidi"/>
          <w:color w:val="auto"/>
          <w:szCs w:val="22"/>
        </w:rPr>
      </w:pPr>
      <w:hyperlink w:anchor="_Toc81389128" w:history="1">
        <w:r w:rsidR="0010185B" w:rsidRPr="004862AE">
          <w:rPr>
            <w:rStyle w:val="Hyperlink"/>
          </w:rPr>
          <w:t>Operation of the safe harbour defence to insolvent trading</w:t>
        </w:r>
        <w:r w:rsidR="0010185B">
          <w:rPr>
            <w:webHidden/>
          </w:rPr>
          <w:tab/>
        </w:r>
        <w:r w:rsidR="0010185B">
          <w:rPr>
            <w:webHidden/>
          </w:rPr>
          <w:fldChar w:fldCharType="begin"/>
        </w:r>
        <w:r w:rsidR="0010185B">
          <w:rPr>
            <w:webHidden/>
          </w:rPr>
          <w:instrText xml:space="preserve"> PAGEREF _Toc81389128 \h </w:instrText>
        </w:r>
        <w:r w:rsidR="0010185B">
          <w:rPr>
            <w:webHidden/>
          </w:rPr>
        </w:r>
        <w:r w:rsidR="0010185B">
          <w:rPr>
            <w:webHidden/>
          </w:rPr>
          <w:fldChar w:fldCharType="separate"/>
        </w:r>
        <w:r w:rsidR="00E24F01">
          <w:rPr>
            <w:webHidden/>
          </w:rPr>
          <w:t>2</w:t>
        </w:r>
        <w:r w:rsidR="0010185B">
          <w:rPr>
            <w:webHidden/>
          </w:rPr>
          <w:fldChar w:fldCharType="end"/>
        </w:r>
      </w:hyperlink>
    </w:p>
    <w:p w14:paraId="483775A9" w14:textId="28244F3D" w:rsidR="0010185B" w:rsidRDefault="00692D1A">
      <w:pPr>
        <w:pStyle w:val="TOC2"/>
        <w:rPr>
          <w:rFonts w:asciiTheme="minorHAnsi" w:eastAsiaTheme="minorEastAsia" w:hAnsiTheme="minorHAnsi" w:cstheme="minorBidi"/>
          <w:color w:val="auto"/>
          <w:szCs w:val="22"/>
        </w:rPr>
      </w:pPr>
      <w:hyperlink w:anchor="_Toc81389129" w:history="1">
        <w:r w:rsidR="0010185B" w:rsidRPr="004862AE">
          <w:rPr>
            <w:rStyle w:val="Hyperlink"/>
          </w:rPr>
          <w:t>Assessing the impact of the safe harbour</w:t>
        </w:r>
        <w:r w:rsidR="0010185B">
          <w:rPr>
            <w:webHidden/>
          </w:rPr>
          <w:tab/>
        </w:r>
        <w:r w:rsidR="0010185B">
          <w:rPr>
            <w:webHidden/>
          </w:rPr>
          <w:fldChar w:fldCharType="begin"/>
        </w:r>
        <w:r w:rsidR="0010185B">
          <w:rPr>
            <w:webHidden/>
          </w:rPr>
          <w:instrText xml:space="preserve"> PAGEREF _Toc81389129 \h </w:instrText>
        </w:r>
        <w:r w:rsidR="0010185B">
          <w:rPr>
            <w:webHidden/>
          </w:rPr>
        </w:r>
        <w:r w:rsidR="0010185B">
          <w:rPr>
            <w:webHidden/>
          </w:rPr>
          <w:fldChar w:fldCharType="separate"/>
        </w:r>
        <w:r w:rsidR="00E24F01">
          <w:rPr>
            <w:webHidden/>
          </w:rPr>
          <w:t>3</w:t>
        </w:r>
        <w:r w:rsidR="0010185B">
          <w:rPr>
            <w:webHidden/>
          </w:rPr>
          <w:fldChar w:fldCharType="end"/>
        </w:r>
      </w:hyperlink>
    </w:p>
    <w:p w14:paraId="12A99D74" w14:textId="7651842C" w:rsidR="0010185B" w:rsidRDefault="00692D1A">
      <w:pPr>
        <w:pStyle w:val="TOC2"/>
        <w:rPr>
          <w:rFonts w:asciiTheme="minorHAnsi" w:eastAsiaTheme="minorEastAsia" w:hAnsiTheme="minorHAnsi" w:cstheme="minorBidi"/>
          <w:color w:val="auto"/>
          <w:szCs w:val="22"/>
        </w:rPr>
      </w:pPr>
      <w:hyperlink w:anchor="_Toc81389130" w:history="1">
        <w:r w:rsidR="0010185B" w:rsidRPr="004862AE">
          <w:rPr>
            <w:rStyle w:val="Hyperlink"/>
          </w:rPr>
          <w:t>Questions for discussion</w:t>
        </w:r>
        <w:r w:rsidR="0010185B">
          <w:rPr>
            <w:webHidden/>
          </w:rPr>
          <w:tab/>
        </w:r>
        <w:r w:rsidR="0010185B">
          <w:rPr>
            <w:webHidden/>
          </w:rPr>
          <w:fldChar w:fldCharType="begin"/>
        </w:r>
        <w:r w:rsidR="0010185B">
          <w:rPr>
            <w:webHidden/>
          </w:rPr>
          <w:instrText xml:space="preserve"> PAGEREF _Toc81389130 \h </w:instrText>
        </w:r>
        <w:r w:rsidR="0010185B">
          <w:rPr>
            <w:webHidden/>
          </w:rPr>
        </w:r>
        <w:r w:rsidR="0010185B">
          <w:rPr>
            <w:webHidden/>
          </w:rPr>
          <w:fldChar w:fldCharType="separate"/>
        </w:r>
        <w:r w:rsidR="00E24F01">
          <w:rPr>
            <w:webHidden/>
          </w:rPr>
          <w:t>4</w:t>
        </w:r>
        <w:r w:rsidR="0010185B">
          <w:rPr>
            <w:webHidden/>
          </w:rPr>
          <w:fldChar w:fldCharType="end"/>
        </w:r>
      </w:hyperlink>
    </w:p>
    <w:p w14:paraId="50F7B718" w14:textId="100A2271"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4A37EB76" w14:textId="77777777" w:rsidR="000E0B74" w:rsidRDefault="000E0B74" w:rsidP="00354FBB">
      <w:pPr>
        <w:pStyle w:val="Heading1"/>
      </w:pPr>
      <w:bookmarkStart w:id="1" w:name="_Toc81389123"/>
      <w:bookmarkStart w:id="2" w:name="_Toc432067103"/>
      <w:r>
        <w:lastRenderedPageBreak/>
        <w:t>Consultation Process</w:t>
      </w:r>
      <w:bookmarkEnd w:id="1"/>
    </w:p>
    <w:p w14:paraId="5F1E1036" w14:textId="7EA78853" w:rsidR="000E0B74" w:rsidRDefault="000E0B74" w:rsidP="00792309">
      <w:pPr>
        <w:pStyle w:val="Heading2"/>
      </w:pPr>
      <w:bookmarkStart w:id="3" w:name="_Toc81389124"/>
      <w:r>
        <w:t>Request for feedback and comments</w:t>
      </w:r>
      <w:bookmarkEnd w:id="3"/>
    </w:p>
    <w:p w14:paraId="1F60D1B8" w14:textId="358BB328" w:rsidR="000E0B74" w:rsidRDefault="000E0B74" w:rsidP="00257AEE">
      <w:pPr>
        <w:pStyle w:val="Heading3noTOC"/>
      </w:pPr>
      <w:r>
        <w:t xml:space="preserve">Closing date for submissions: </w:t>
      </w:r>
      <w:sdt>
        <w:sdtPr>
          <w:rPr>
            <w:rStyle w:val="Heading3Char"/>
          </w:rPr>
          <w:id w:val="1454836312"/>
          <w:placeholder>
            <w:docPart w:val="B376D9A5EE9C417DA86DCDB5A57DD37C"/>
          </w:placeholder>
          <w:date w:fullDate="2021-10-01T00:00:00Z">
            <w:dateFormat w:val="dd MMMM yyyy"/>
            <w:lid w:val="en-AU"/>
            <w:storeMappedDataAs w:val="dateTime"/>
            <w:calendar w:val="gregorian"/>
          </w:date>
        </w:sdtPr>
        <w:sdtEndPr>
          <w:rPr>
            <w:rStyle w:val="DefaultParagraphFont"/>
            <w:rFonts w:cs="Calibri"/>
          </w:rPr>
        </w:sdtEndPr>
        <w:sdtContent>
          <w:r w:rsidR="00463D6F">
            <w:rPr>
              <w:rStyle w:val="Heading3Char"/>
            </w:rPr>
            <w:t>01 October 2021</w:t>
          </w:r>
        </w:sdtContent>
      </w:sdt>
    </w:p>
    <w:tbl>
      <w:tblPr>
        <w:tblStyle w:val="TableGrid"/>
        <w:tblW w:w="0" w:type="auto"/>
        <w:tblLook w:val="04A0" w:firstRow="1" w:lastRow="0" w:firstColumn="1" w:lastColumn="0" w:noHBand="0" w:noVBand="1"/>
      </w:tblPr>
      <w:tblGrid>
        <w:gridCol w:w="1514"/>
        <w:gridCol w:w="7556"/>
      </w:tblGrid>
      <w:tr w:rsidR="000E0B74" w:rsidRPr="00B85F47" w14:paraId="455366E3" w14:textId="77777777" w:rsidTr="001B6BC2">
        <w:tc>
          <w:tcPr>
            <w:tcW w:w="1514" w:type="dxa"/>
            <w:shd w:val="clear" w:color="auto" w:fill="auto"/>
          </w:tcPr>
          <w:p w14:paraId="605A3B1C" w14:textId="77777777" w:rsidR="000E0B74" w:rsidRPr="00B85F47" w:rsidRDefault="000E0B74" w:rsidP="0017089D">
            <w:pPr>
              <w:rPr>
                <w:sz w:val="22"/>
                <w:szCs w:val="22"/>
              </w:rPr>
            </w:pPr>
            <w:r w:rsidRPr="00B85F47">
              <w:rPr>
                <w:sz w:val="22"/>
                <w:szCs w:val="22"/>
              </w:rPr>
              <w:t>Email</w:t>
            </w:r>
          </w:p>
        </w:tc>
        <w:tc>
          <w:tcPr>
            <w:tcW w:w="7556" w:type="dxa"/>
            <w:shd w:val="clear" w:color="auto" w:fill="auto"/>
          </w:tcPr>
          <w:p w14:paraId="009A9504" w14:textId="2C5403D0" w:rsidR="000E0B74" w:rsidRPr="00B85F47" w:rsidRDefault="00692D1A" w:rsidP="00516785">
            <w:pPr>
              <w:rPr>
                <w:sz w:val="22"/>
                <w:szCs w:val="22"/>
              </w:rPr>
            </w:pPr>
            <w:hyperlink r:id="rId18" w:history="1">
              <w:r w:rsidR="008C086D" w:rsidRPr="008C086D">
                <w:rPr>
                  <w:rStyle w:val="Hyperlink"/>
                  <w:sz w:val="22"/>
                  <w:szCs w:val="22"/>
                </w:rPr>
                <w:t>SafeHarbourReview@treasury.gov.au</w:t>
              </w:r>
            </w:hyperlink>
          </w:p>
        </w:tc>
      </w:tr>
      <w:tr w:rsidR="000E0B74" w:rsidRPr="00B85F47" w14:paraId="79C5452B" w14:textId="77777777" w:rsidTr="001B6BC2">
        <w:tc>
          <w:tcPr>
            <w:tcW w:w="1514" w:type="dxa"/>
            <w:shd w:val="clear" w:color="auto" w:fill="auto"/>
          </w:tcPr>
          <w:p w14:paraId="2B9EE14B" w14:textId="77777777" w:rsidR="000E0B74" w:rsidRPr="00B85F47" w:rsidRDefault="000E0B74" w:rsidP="0017089D">
            <w:pPr>
              <w:rPr>
                <w:sz w:val="22"/>
                <w:szCs w:val="22"/>
              </w:rPr>
            </w:pPr>
            <w:r w:rsidRPr="00B85F47">
              <w:rPr>
                <w:sz w:val="22"/>
                <w:szCs w:val="22"/>
              </w:rPr>
              <w:t>Mail</w:t>
            </w:r>
          </w:p>
          <w:p w14:paraId="0935BC7D" w14:textId="77777777" w:rsidR="008D7F38" w:rsidRPr="00B85F47" w:rsidRDefault="008D7F38" w:rsidP="0017089D">
            <w:pPr>
              <w:rPr>
                <w:sz w:val="22"/>
                <w:szCs w:val="22"/>
              </w:rPr>
            </w:pPr>
          </w:p>
          <w:p w14:paraId="6D8CAA66" w14:textId="77777777" w:rsidR="008D7F38" w:rsidRPr="00B85F47" w:rsidRDefault="008D7F38" w:rsidP="0017089D">
            <w:pPr>
              <w:rPr>
                <w:sz w:val="22"/>
                <w:szCs w:val="22"/>
              </w:rPr>
            </w:pPr>
          </w:p>
        </w:tc>
        <w:tc>
          <w:tcPr>
            <w:tcW w:w="7556" w:type="dxa"/>
            <w:shd w:val="clear" w:color="auto" w:fill="auto"/>
          </w:tcPr>
          <w:p w14:paraId="5926E04F" w14:textId="2C2994D0" w:rsidR="000E0B74" w:rsidRPr="00B85F47" w:rsidRDefault="008C086D" w:rsidP="006C7B37">
            <w:pPr>
              <w:pStyle w:val="SingleParagraph"/>
              <w:spacing w:before="120"/>
              <w:rPr>
                <w:rFonts w:cs="Arial"/>
                <w:sz w:val="22"/>
                <w:szCs w:val="22"/>
              </w:rPr>
            </w:pPr>
            <w:r>
              <w:rPr>
                <w:rFonts w:cs="Arial"/>
                <w:sz w:val="22"/>
                <w:szCs w:val="22"/>
              </w:rPr>
              <w:t>Market Conduct Division</w:t>
            </w:r>
          </w:p>
          <w:p w14:paraId="43780D2B"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6F9DF59F"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19E4CE26"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D0EBE83" w14:textId="77777777" w:rsidTr="001B6BC2">
        <w:tc>
          <w:tcPr>
            <w:tcW w:w="1514" w:type="dxa"/>
            <w:shd w:val="clear" w:color="auto" w:fill="auto"/>
          </w:tcPr>
          <w:p w14:paraId="1FFB79C2" w14:textId="77777777" w:rsidR="000E0B74" w:rsidRPr="00B85F47" w:rsidRDefault="000E0B74" w:rsidP="0017089D">
            <w:pPr>
              <w:rPr>
                <w:sz w:val="22"/>
                <w:szCs w:val="22"/>
              </w:rPr>
            </w:pPr>
            <w:r w:rsidRPr="00B85F47">
              <w:rPr>
                <w:sz w:val="22"/>
                <w:szCs w:val="22"/>
              </w:rPr>
              <w:t>Enquiries</w:t>
            </w:r>
          </w:p>
        </w:tc>
        <w:tc>
          <w:tcPr>
            <w:tcW w:w="7556" w:type="dxa"/>
            <w:shd w:val="clear" w:color="auto" w:fill="auto"/>
          </w:tcPr>
          <w:p w14:paraId="0D7ADA20" w14:textId="0FEFF5DB" w:rsidR="000E0B74" w:rsidRPr="00B85F47" w:rsidRDefault="000E0B74" w:rsidP="0017089D">
            <w:pPr>
              <w:rPr>
                <w:sz w:val="22"/>
                <w:szCs w:val="22"/>
              </w:rPr>
            </w:pPr>
            <w:r w:rsidRPr="00B85F47">
              <w:rPr>
                <w:rFonts w:cs="Arial"/>
                <w:sz w:val="22"/>
                <w:szCs w:val="22"/>
              </w:rPr>
              <w:t xml:space="preserve">Enquiries can be initially directed to </w:t>
            </w:r>
            <w:hyperlink r:id="rId19" w:history="1">
              <w:r w:rsidR="004B42B0" w:rsidRPr="004B42B0">
                <w:rPr>
                  <w:rStyle w:val="Hyperlink"/>
                  <w:rFonts w:cs="Arial"/>
                  <w:sz w:val="22"/>
                  <w:szCs w:val="22"/>
                </w:rPr>
                <w:t>SafeHarbourReview@treasury.gov.au</w:t>
              </w:r>
            </w:hyperlink>
          </w:p>
        </w:tc>
      </w:tr>
    </w:tbl>
    <w:bookmarkEnd w:id="2"/>
    <w:p w14:paraId="4731CA54" w14:textId="77777777" w:rsidR="00A16E03" w:rsidRDefault="00A16E03" w:rsidP="00A16E03">
      <w:r>
        <w:t>The principles outlined in this paper have not received Government approval and are not yet law. As a consequence, this paper is merely a guide as to how the principles might operate.</w:t>
      </w:r>
    </w:p>
    <w:p w14:paraId="5C2BDAEF" w14:textId="77777777" w:rsidR="008D7F38" w:rsidRPr="008D7F38" w:rsidRDefault="008D7F38" w:rsidP="008D7F38"/>
    <w:p w14:paraId="197ADFE3" w14:textId="77777777" w:rsidR="00E10D39" w:rsidRDefault="00E10D39">
      <w:pPr>
        <w:spacing w:before="0" w:after="160" w:line="259" w:lineRule="auto"/>
        <w:rPr>
          <w:rFonts w:cs="Arial"/>
          <w:color w:val="004A7F"/>
          <w:kern w:val="32"/>
          <w:sz w:val="48"/>
          <w:szCs w:val="36"/>
        </w:rPr>
      </w:pPr>
      <w:r>
        <w:br w:type="page"/>
      </w:r>
    </w:p>
    <w:p w14:paraId="19EBD1DF" w14:textId="7EEB5CA7" w:rsidR="000E0B74" w:rsidRDefault="009E500B" w:rsidP="00354FBB">
      <w:pPr>
        <w:pStyle w:val="Heading1"/>
      </w:pPr>
      <w:bookmarkStart w:id="4" w:name="_Toc81389125"/>
      <w:r>
        <w:lastRenderedPageBreak/>
        <w:t>Review of the insolvent trading safe harbour</w:t>
      </w:r>
      <w:bookmarkEnd w:id="4"/>
    </w:p>
    <w:p w14:paraId="56C1FD30" w14:textId="4947FB45" w:rsidR="00EA3B73" w:rsidRDefault="00EA3B73" w:rsidP="000E0B74">
      <w:pPr>
        <w:pStyle w:val="Heading2"/>
      </w:pPr>
      <w:bookmarkStart w:id="5" w:name="_Toc81389126"/>
      <w:bookmarkStart w:id="6" w:name="_Toc306887371"/>
      <w:bookmarkStart w:id="7" w:name="_Toc432064635"/>
      <w:r>
        <w:t>Overview</w:t>
      </w:r>
      <w:bookmarkEnd w:id="5"/>
    </w:p>
    <w:p w14:paraId="697F6DD7" w14:textId="057217B9" w:rsidR="00356EA5" w:rsidRPr="001A7E3C" w:rsidRDefault="00176DFF" w:rsidP="00356EA5">
      <w:pPr>
        <w:rPr>
          <w:rFonts w:asciiTheme="minorHAnsi" w:hAnsiTheme="minorHAnsi" w:cstheme="minorHAnsi"/>
        </w:rPr>
      </w:pPr>
      <w:r w:rsidRPr="001A7E3C">
        <w:rPr>
          <w:rFonts w:asciiTheme="minorHAnsi" w:hAnsiTheme="minorHAnsi" w:cstheme="minorHAnsi"/>
        </w:rPr>
        <w:t xml:space="preserve">In 2017, Parliament enacted the </w:t>
      </w:r>
      <w:r w:rsidRPr="001A7E3C">
        <w:rPr>
          <w:rFonts w:asciiTheme="minorHAnsi" w:hAnsiTheme="minorHAnsi" w:cstheme="minorHAnsi"/>
          <w:i/>
          <w:iCs/>
        </w:rPr>
        <w:t>Treasury Laws Amendment (2017 Enterprise Incentives No.2) Act</w:t>
      </w:r>
      <w:r w:rsidR="00A55DD0" w:rsidRPr="001A7E3C">
        <w:rPr>
          <w:rFonts w:asciiTheme="minorHAnsi" w:hAnsiTheme="minorHAnsi" w:cstheme="minorHAnsi"/>
          <w:i/>
          <w:iCs/>
        </w:rPr>
        <w:t xml:space="preserve"> 2017</w:t>
      </w:r>
      <w:r w:rsidRPr="001A7E3C">
        <w:rPr>
          <w:rFonts w:asciiTheme="minorHAnsi" w:hAnsiTheme="minorHAnsi" w:cstheme="minorHAnsi"/>
        </w:rPr>
        <w:t>. The amendments introduced a safe harbour for company directors from personal liability for insolvent trading if the company is undertaking a restructure</w:t>
      </w:r>
      <w:r w:rsidR="00FE635E" w:rsidRPr="001A7E3C">
        <w:rPr>
          <w:rFonts w:asciiTheme="minorHAnsi" w:hAnsiTheme="minorHAnsi" w:cstheme="minorHAnsi"/>
        </w:rPr>
        <w:t>.</w:t>
      </w:r>
    </w:p>
    <w:p w14:paraId="7F535EDF" w14:textId="0F6DE963" w:rsidR="006B2E04" w:rsidRPr="001A7E3C" w:rsidRDefault="006B2E04" w:rsidP="006B2E04">
      <w:pPr>
        <w:rPr>
          <w:rFonts w:asciiTheme="minorHAnsi" w:hAnsiTheme="minorHAnsi" w:cstheme="minorHAnsi"/>
        </w:rPr>
      </w:pPr>
      <w:r w:rsidRPr="001A7E3C">
        <w:rPr>
          <w:rFonts w:asciiTheme="minorHAnsi" w:hAnsiTheme="minorHAnsi" w:cstheme="minorHAnsi"/>
        </w:rPr>
        <w:t xml:space="preserve">The aim of the safe harbour reforms is to promote a culture of entrepreneurship by providing breathing space for distressed businesses to facilitate restructuring their affairs and continuing to do business. The safe harbour encourages directors to seek advice earlier on how to restructure and save financially distressed, but viable companies, rather than </w:t>
      </w:r>
      <w:r w:rsidR="009B568A" w:rsidRPr="001A7E3C">
        <w:rPr>
          <w:rFonts w:asciiTheme="minorHAnsi" w:hAnsiTheme="minorHAnsi" w:cstheme="minorHAnsi"/>
        </w:rPr>
        <w:t>entering into administration or liquidation</w:t>
      </w:r>
      <w:r w:rsidR="00CA6E45" w:rsidRPr="00CA6E45">
        <w:rPr>
          <w:rFonts w:asciiTheme="minorHAnsi" w:hAnsiTheme="minorHAnsi" w:cstheme="minorHAnsi"/>
        </w:rPr>
        <w:t xml:space="preserve"> prematurely</w:t>
      </w:r>
      <w:r w:rsidRPr="001A7E3C">
        <w:rPr>
          <w:rFonts w:asciiTheme="minorHAnsi" w:hAnsiTheme="minorHAnsi" w:cstheme="minorHAnsi"/>
        </w:rPr>
        <w:t xml:space="preserve"> to avoid personal liability.</w:t>
      </w:r>
    </w:p>
    <w:p w14:paraId="229B2BD2" w14:textId="545831F0" w:rsidR="00DD321B" w:rsidRPr="001A7E3C" w:rsidRDefault="00DD321B" w:rsidP="006B2E04">
      <w:pPr>
        <w:rPr>
          <w:rFonts w:asciiTheme="minorHAnsi" w:hAnsiTheme="minorHAnsi" w:cstheme="minorHAnsi"/>
        </w:rPr>
      </w:pPr>
      <w:r w:rsidRPr="001A7E3C">
        <w:rPr>
          <w:rFonts w:asciiTheme="minorHAnsi" w:hAnsiTheme="minorHAnsi" w:cstheme="minorHAnsi"/>
        </w:rPr>
        <w:t xml:space="preserve">As part of the 2021-22 Budget, the Government announced that it would commence an independent review into the insolvent trading safe harbour, to ensure that the safe harbour provisions remain fit for purpose and its benefits can extend to as many businesses as possible. </w:t>
      </w:r>
    </w:p>
    <w:p w14:paraId="4E829C4B" w14:textId="26D41887" w:rsidR="006B2E04" w:rsidRPr="001A7E3C" w:rsidRDefault="0047191B" w:rsidP="0047191B">
      <w:pPr>
        <w:spacing w:after="0"/>
        <w:rPr>
          <w:rFonts w:asciiTheme="minorHAnsi" w:hAnsiTheme="minorHAnsi" w:cstheme="minorHAnsi"/>
        </w:rPr>
      </w:pPr>
      <w:r w:rsidRPr="001A7E3C">
        <w:rPr>
          <w:rFonts w:asciiTheme="minorHAnsi" w:hAnsiTheme="minorHAnsi" w:cstheme="minorHAnsi"/>
        </w:rPr>
        <w:t xml:space="preserve">To support this commitment, an independent panel has been appointed to undertake the review. The review will take place for a three-month period, concluding in November 2021. Following the completion of the review, the review panel will provide a written report to the Government, as specified in the review’s </w:t>
      </w:r>
      <w:hyperlink r:id="rId20" w:history="1">
        <w:r w:rsidR="00326D35" w:rsidRPr="001A7E3C">
          <w:rPr>
            <w:rStyle w:val="Hyperlink"/>
            <w:rFonts w:asciiTheme="minorHAnsi" w:hAnsiTheme="minorHAnsi" w:cstheme="minorHAnsi"/>
            <w:u w:val="single"/>
          </w:rPr>
          <w:t>terms of reference</w:t>
        </w:r>
      </w:hyperlink>
      <w:r w:rsidR="00326D35" w:rsidRPr="001A7E3C">
        <w:rPr>
          <w:rFonts w:asciiTheme="minorHAnsi" w:hAnsiTheme="minorHAnsi" w:cstheme="minorHAnsi"/>
        </w:rPr>
        <w:t>.</w:t>
      </w:r>
    </w:p>
    <w:p w14:paraId="06DF19A7" w14:textId="5FEA62CB" w:rsidR="000E0B74" w:rsidRDefault="000E0B74" w:rsidP="000E0B74">
      <w:pPr>
        <w:pStyle w:val="Heading2"/>
      </w:pPr>
      <w:bookmarkStart w:id="8" w:name="_Toc81389127"/>
      <w:r>
        <w:t>Background</w:t>
      </w:r>
      <w:bookmarkEnd w:id="6"/>
      <w:bookmarkEnd w:id="7"/>
      <w:r w:rsidR="00326D35">
        <w:t xml:space="preserve"> to the safe harbour reforms</w:t>
      </w:r>
      <w:bookmarkEnd w:id="8"/>
    </w:p>
    <w:p w14:paraId="24B49A99" w14:textId="57B315C5" w:rsidR="001E508F" w:rsidRPr="001A7E3C" w:rsidRDefault="001E508F" w:rsidP="001E508F">
      <w:pPr>
        <w:rPr>
          <w:rFonts w:asciiTheme="minorHAnsi" w:hAnsiTheme="minorHAnsi" w:cstheme="minorHAnsi"/>
        </w:rPr>
      </w:pPr>
      <w:r w:rsidRPr="001A7E3C">
        <w:rPr>
          <w:rFonts w:asciiTheme="minorHAnsi" w:hAnsiTheme="minorHAnsi" w:cstheme="minorHAnsi"/>
        </w:rPr>
        <w:t xml:space="preserve">Australia’s insolvent trading laws impose a duty on company directors to prevent a company from trading while insolvent. Under section 588G of the </w:t>
      </w:r>
      <w:r w:rsidRPr="001A7E3C">
        <w:rPr>
          <w:rFonts w:asciiTheme="minorHAnsi" w:hAnsiTheme="minorHAnsi" w:cstheme="minorHAnsi"/>
          <w:i/>
          <w:iCs/>
        </w:rPr>
        <w:t>Corporations Act 2001</w:t>
      </w:r>
      <w:r w:rsidRPr="001A7E3C">
        <w:rPr>
          <w:rFonts w:asciiTheme="minorHAnsi" w:hAnsiTheme="minorHAnsi" w:cstheme="minorHAnsi"/>
        </w:rPr>
        <w:t xml:space="preserve"> (the Corporations Act), a director of a company may be personally liable for debts incurred by the company if at the time the debt is incurred there are reasonable grounds to suspect that the company is insolvent. Breaching these provisions can result in civil and criminal penalties against the company’s directors.</w:t>
      </w:r>
    </w:p>
    <w:p w14:paraId="666ADAEF" w14:textId="4C271E7E" w:rsidR="009F24C0" w:rsidRPr="001A7E3C" w:rsidRDefault="006616E4" w:rsidP="009F24C0">
      <w:pPr>
        <w:rPr>
          <w:rFonts w:asciiTheme="minorHAnsi" w:hAnsiTheme="minorHAnsi" w:cstheme="minorHAnsi"/>
        </w:rPr>
      </w:pPr>
      <w:r w:rsidRPr="001A7E3C">
        <w:rPr>
          <w:rFonts w:asciiTheme="minorHAnsi" w:hAnsiTheme="minorHAnsi" w:cstheme="minorHAnsi"/>
        </w:rPr>
        <w:t xml:space="preserve">Prior to the passage of the reforms, it had been suggested that the threat of action under insolvent trading provisions was encouraging </w:t>
      </w:r>
      <w:r w:rsidR="009B568A" w:rsidRPr="001A7E3C">
        <w:rPr>
          <w:rFonts w:asciiTheme="minorHAnsi" w:hAnsiTheme="minorHAnsi" w:cstheme="minorHAnsi"/>
        </w:rPr>
        <w:t>directors</w:t>
      </w:r>
      <w:r w:rsidRPr="001A7E3C">
        <w:rPr>
          <w:rFonts w:asciiTheme="minorHAnsi" w:hAnsiTheme="minorHAnsi" w:cstheme="minorHAnsi"/>
        </w:rPr>
        <w:t xml:space="preserve"> of distressed companies to </w:t>
      </w:r>
      <w:r w:rsidR="009B568A" w:rsidRPr="001A7E3C">
        <w:rPr>
          <w:rFonts w:asciiTheme="minorHAnsi" w:hAnsiTheme="minorHAnsi" w:cstheme="minorHAnsi"/>
        </w:rPr>
        <w:t xml:space="preserve">resolve the companies </w:t>
      </w:r>
      <w:r w:rsidRPr="001A7E3C">
        <w:rPr>
          <w:rFonts w:asciiTheme="minorHAnsi" w:hAnsiTheme="minorHAnsi" w:cstheme="minorHAnsi"/>
        </w:rPr>
        <w:t xml:space="preserve">enter formal administration, instead of pursuing other restructuring opportunities, even where </w:t>
      </w:r>
      <w:r w:rsidR="009B568A" w:rsidRPr="001A7E3C">
        <w:rPr>
          <w:rFonts w:asciiTheme="minorHAnsi" w:hAnsiTheme="minorHAnsi" w:cstheme="minorHAnsi"/>
        </w:rPr>
        <w:t xml:space="preserve">continuation of the business outside formal administration </w:t>
      </w:r>
      <w:r w:rsidRPr="001A7E3C">
        <w:rPr>
          <w:rFonts w:asciiTheme="minorHAnsi" w:hAnsiTheme="minorHAnsi" w:cstheme="minorHAnsi"/>
        </w:rPr>
        <w:t>may be more appropriate. In its 2015 report</w:t>
      </w:r>
      <w:r w:rsidR="00E76C47" w:rsidRPr="001A7E3C">
        <w:rPr>
          <w:rFonts w:asciiTheme="minorHAnsi" w:hAnsiTheme="minorHAnsi" w:cstheme="minorHAnsi"/>
        </w:rPr>
        <w:t>,</w:t>
      </w:r>
      <w:r w:rsidRPr="001A7E3C">
        <w:rPr>
          <w:rFonts w:asciiTheme="minorHAnsi" w:hAnsiTheme="minorHAnsi" w:cstheme="minorHAnsi"/>
        </w:rPr>
        <w:t xml:space="preserve"> </w:t>
      </w:r>
      <w:r w:rsidR="00E76C47" w:rsidRPr="001A7E3C">
        <w:rPr>
          <w:rFonts w:asciiTheme="minorHAnsi" w:hAnsiTheme="minorHAnsi" w:cstheme="minorHAnsi"/>
        </w:rPr>
        <w:t>‘</w:t>
      </w:r>
      <w:r w:rsidRPr="001A7E3C">
        <w:rPr>
          <w:rFonts w:asciiTheme="minorHAnsi" w:hAnsiTheme="minorHAnsi" w:cstheme="minorHAnsi"/>
        </w:rPr>
        <w:t>Business Set-up, Transfer and Closure</w:t>
      </w:r>
      <w:r w:rsidR="00E76C47" w:rsidRPr="001A7E3C">
        <w:rPr>
          <w:rFonts w:asciiTheme="minorHAnsi" w:hAnsiTheme="minorHAnsi" w:cstheme="minorHAnsi"/>
        </w:rPr>
        <w:t>’</w:t>
      </w:r>
      <w:r w:rsidRPr="001A7E3C">
        <w:rPr>
          <w:rFonts w:asciiTheme="minorHAnsi" w:hAnsiTheme="minorHAnsi" w:cstheme="minorHAnsi"/>
        </w:rPr>
        <w:t>, the Productivity Commission noted that:</w:t>
      </w:r>
    </w:p>
    <w:p w14:paraId="2A3AC7AF" w14:textId="351CFCFA" w:rsidR="00D735E4" w:rsidRPr="005E623C" w:rsidRDefault="002640AF" w:rsidP="005E623C">
      <w:pPr>
        <w:ind w:left="720"/>
        <w:rPr>
          <w:i/>
          <w:iCs/>
        </w:rPr>
      </w:pPr>
      <w:r w:rsidRPr="005E623C">
        <w:rPr>
          <w:i/>
          <w:iCs/>
        </w:rPr>
        <w:t>The threat of Australia’s insolvent trading laws, combined with uncertainty over the precise moment of insolvency has long been identified as a driver behind companies entering voluntary administration, sometimes prematurely.</w:t>
      </w:r>
    </w:p>
    <w:p w14:paraId="6A9CD169" w14:textId="71B7E40A" w:rsidR="00D735E4" w:rsidRPr="001A7E3C" w:rsidRDefault="00D735E4" w:rsidP="00D735E4">
      <w:pPr>
        <w:rPr>
          <w:rFonts w:asciiTheme="minorHAnsi" w:hAnsiTheme="minorHAnsi" w:cstheme="minorHAnsi"/>
        </w:rPr>
      </w:pPr>
      <w:r w:rsidRPr="001A7E3C">
        <w:rPr>
          <w:rFonts w:asciiTheme="minorHAnsi" w:hAnsiTheme="minorHAnsi" w:cstheme="minorHAnsi"/>
        </w:rPr>
        <w:t>To address this, the Commission recommended that a safe harbour from insolvent trading liability be established</w:t>
      </w:r>
      <w:r w:rsidR="00E506FB" w:rsidRPr="001A7E3C">
        <w:rPr>
          <w:rFonts w:asciiTheme="minorHAnsi" w:hAnsiTheme="minorHAnsi" w:cstheme="minorHAnsi"/>
        </w:rPr>
        <w:t>,</w:t>
      </w:r>
      <w:r w:rsidR="004449C5" w:rsidRPr="001A7E3C">
        <w:rPr>
          <w:rFonts w:asciiTheme="minorHAnsi" w:hAnsiTheme="minorHAnsi" w:cstheme="minorHAnsi"/>
        </w:rPr>
        <w:t xml:space="preserve"> </w:t>
      </w:r>
      <w:r w:rsidRPr="001A7E3C">
        <w:rPr>
          <w:rFonts w:asciiTheme="minorHAnsi" w:hAnsiTheme="minorHAnsi" w:cstheme="minorHAnsi"/>
        </w:rPr>
        <w:t xml:space="preserve">to allow directors to make decisions relating to the restructuring of the company without fear of </w:t>
      </w:r>
      <w:r w:rsidR="00E506FB" w:rsidRPr="001A7E3C">
        <w:rPr>
          <w:rFonts w:asciiTheme="minorHAnsi" w:hAnsiTheme="minorHAnsi" w:cstheme="minorHAnsi"/>
        </w:rPr>
        <w:t xml:space="preserve">personal </w:t>
      </w:r>
      <w:r w:rsidRPr="001A7E3C">
        <w:rPr>
          <w:rFonts w:asciiTheme="minorHAnsi" w:hAnsiTheme="minorHAnsi" w:cstheme="minorHAnsi"/>
        </w:rPr>
        <w:t xml:space="preserve">liability. This would also enable directors to retain control of the company, rather than giving up control to an external administrator. </w:t>
      </w:r>
    </w:p>
    <w:p w14:paraId="37E7D3A4" w14:textId="56028262" w:rsidR="000E0B74" w:rsidRPr="001A7E3C" w:rsidRDefault="00906B10" w:rsidP="00906B10">
      <w:pPr>
        <w:pStyle w:val="Bullet"/>
        <w:numPr>
          <w:ilvl w:val="0"/>
          <w:numId w:val="0"/>
        </w:numPr>
        <w:rPr>
          <w:rFonts w:asciiTheme="minorHAnsi" w:hAnsiTheme="minorHAnsi" w:cstheme="minorHAnsi"/>
        </w:rPr>
      </w:pPr>
      <w:r w:rsidRPr="001A7E3C">
        <w:rPr>
          <w:rFonts w:asciiTheme="minorHAnsi" w:hAnsiTheme="minorHAnsi" w:cstheme="minorHAnsi"/>
        </w:rPr>
        <w:t xml:space="preserve">On 19 September 2017, following passage of the </w:t>
      </w:r>
      <w:r w:rsidRPr="001A7E3C">
        <w:rPr>
          <w:rFonts w:asciiTheme="minorHAnsi" w:hAnsiTheme="minorHAnsi" w:cstheme="minorHAnsi"/>
          <w:i/>
          <w:iCs/>
        </w:rPr>
        <w:t>Treasury Laws Amendment (2017 Enterprise Incentives No.2) Act</w:t>
      </w:r>
      <w:r w:rsidR="00840D6A" w:rsidRPr="001A7E3C">
        <w:rPr>
          <w:rFonts w:asciiTheme="minorHAnsi" w:hAnsiTheme="minorHAnsi" w:cstheme="minorHAnsi"/>
          <w:i/>
          <w:iCs/>
        </w:rPr>
        <w:t xml:space="preserve"> 2017</w:t>
      </w:r>
      <w:r w:rsidRPr="001A7E3C">
        <w:rPr>
          <w:rFonts w:asciiTheme="minorHAnsi" w:hAnsiTheme="minorHAnsi" w:cstheme="minorHAnsi"/>
        </w:rPr>
        <w:t xml:space="preserve">, reforms to establish the insolvent trading safe harbour came into effect. </w:t>
      </w:r>
    </w:p>
    <w:p w14:paraId="53AF085A" w14:textId="7D32646C" w:rsidR="000E0B74" w:rsidRDefault="00CD6534" w:rsidP="000E0B74">
      <w:pPr>
        <w:pStyle w:val="Heading2"/>
      </w:pPr>
      <w:bookmarkStart w:id="9" w:name="_Toc81389128"/>
      <w:r>
        <w:t>Operation of the safe harbour</w:t>
      </w:r>
      <w:r w:rsidR="008912D7">
        <w:t xml:space="preserve"> defence to insolvent trading</w:t>
      </w:r>
      <w:bookmarkEnd w:id="9"/>
    </w:p>
    <w:p w14:paraId="0CD520C5" w14:textId="5043B4F7" w:rsidR="00581C59" w:rsidRPr="001A7E3C" w:rsidRDefault="00581C59" w:rsidP="00581C59">
      <w:pPr>
        <w:rPr>
          <w:rFonts w:asciiTheme="minorHAnsi" w:hAnsiTheme="minorHAnsi" w:cstheme="minorHAnsi"/>
        </w:rPr>
      </w:pPr>
      <w:r w:rsidRPr="001A7E3C">
        <w:rPr>
          <w:rFonts w:asciiTheme="minorHAnsi" w:hAnsiTheme="minorHAnsi" w:cstheme="minorHAnsi"/>
        </w:rPr>
        <w:t xml:space="preserve">At their core, the reforms provide directors with a safe harbour </w:t>
      </w:r>
      <w:r w:rsidR="008912D7" w:rsidRPr="001A7E3C">
        <w:rPr>
          <w:rFonts w:asciiTheme="minorHAnsi" w:hAnsiTheme="minorHAnsi" w:cstheme="minorHAnsi"/>
        </w:rPr>
        <w:t xml:space="preserve">defence </w:t>
      </w:r>
      <w:r w:rsidRPr="001A7E3C">
        <w:rPr>
          <w:rFonts w:asciiTheme="minorHAnsi" w:hAnsiTheme="minorHAnsi" w:cstheme="minorHAnsi"/>
        </w:rPr>
        <w:t xml:space="preserve">from the civil insolvent trading provisions of section 588G(2) of the Corporations Act. </w:t>
      </w:r>
    </w:p>
    <w:p w14:paraId="1A85D204" w14:textId="6D8A19DE" w:rsidR="00342466" w:rsidRPr="001A7E3C" w:rsidRDefault="008912D7" w:rsidP="00342466">
      <w:pPr>
        <w:rPr>
          <w:rFonts w:asciiTheme="minorHAnsi" w:hAnsiTheme="minorHAnsi" w:cstheme="minorHAnsi"/>
        </w:rPr>
      </w:pPr>
      <w:r w:rsidRPr="001A7E3C">
        <w:rPr>
          <w:rFonts w:asciiTheme="minorHAnsi" w:hAnsiTheme="minorHAnsi" w:cstheme="minorHAnsi"/>
        </w:rPr>
        <w:lastRenderedPageBreak/>
        <w:t xml:space="preserve">When the safe harbour defence applies, </w:t>
      </w:r>
      <w:r w:rsidR="00342466" w:rsidRPr="001A7E3C">
        <w:rPr>
          <w:rFonts w:asciiTheme="minorHAnsi" w:hAnsiTheme="minorHAnsi" w:cstheme="minorHAnsi"/>
        </w:rPr>
        <w:t xml:space="preserve">directors will </w:t>
      </w:r>
      <w:r w:rsidRPr="001A7E3C">
        <w:rPr>
          <w:rFonts w:asciiTheme="minorHAnsi" w:hAnsiTheme="minorHAnsi" w:cstheme="minorHAnsi"/>
        </w:rPr>
        <w:t>not</w:t>
      </w:r>
      <w:r w:rsidR="00342466" w:rsidRPr="001A7E3C">
        <w:rPr>
          <w:rFonts w:asciiTheme="minorHAnsi" w:hAnsiTheme="minorHAnsi" w:cstheme="minorHAnsi"/>
        </w:rPr>
        <w:t xml:space="preserve"> be</w:t>
      </w:r>
      <w:r w:rsidRPr="001A7E3C">
        <w:rPr>
          <w:rFonts w:asciiTheme="minorHAnsi" w:hAnsiTheme="minorHAnsi" w:cstheme="minorHAnsi"/>
        </w:rPr>
        <w:t xml:space="preserve"> personally</w:t>
      </w:r>
      <w:r w:rsidR="00342466" w:rsidRPr="001A7E3C">
        <w:rPr>
          <w:rFonts w:asciiTheme="minorHAnsi" w:hAnsiTheme="minorHAnsi" w:cstheme="minorHAnsi"/>
        </w:rPr>
        <w:t xml:space="preserve"> liable for debts incurred while the company was insolvent where it can be shown that they were developing or taking a course of action that at the time was reasonably likely to lead to a better outcome for the company than proceeding to immediate administration or liquidation. </w:t>
      </w:r>
    </w:p>
    <w:p w14:paraId="11E197B9" w14:textId="7500C188" w:rsidR="008A6C5B" w:rsidRPr="001A7E3C" w:rsidRDefault="008A6C5B" w:rsidP="008A6C5B">
      <w:pPr>
        <w:pStyle w:val="Bullet"/>
        <w:numPr>
          <w:ilvl w:val="0"/>
          <w:numId w:val="0"/>
        </w:numPr>
        <w:rPr>
          <w:rFonts w:asciiTheme="minorHAnsi" w:hAnsiTheme="minorHAnsi" w:cstheme="minorHAnsi"/>
        </w:rPr>
      </w:pPr>
      <w:r w:rsidRPr="001A7E3C">
        <w:rPr>
          <w:rFonts w:asciiTheme="minorHAnsi" w:hAnsiTheme="minorHAnsi" w:cstheme="minorHAnsi"/>
        </w:rPr>
        <w:t>The reforms acknowledge that a course of action that is reasonably likely to lead to a better outcome for the company may vary on a case-by-case basis. The provisions are deliberately flexible as to what constitutes a course of action. They identify a number of factors that could be considered in determining if such a course of action was taken. These include whether the company directors:</w:t>
      </w:r>
    </w:p>
    <w:p w14:paraId="6AFCAB3E" w14:textId="77777777" w:rsidR="009658E1" w:rsidRPr="001A7E3C" w:rsidRDefault="009658E1" w:rsidP="009658E1">
      <w:pPr>
        <w:pStyle w:val="Bullet"/>
        <w:numPr>
          <w:ilvl w:val="0"/>
          <w:numId w:val="15"/>
        </w:numPr>
        <w:spacing w:after="0"/>
        <w:rPr>
          <w:rFonts w:asciiTheme="minorHAnsi" w:hAnsiTheme="minorHAnsi" w:cstheme="minorHAnsi"/>
        </w:rPr>
      </w:pPr>
      <w:r w:rsidRPr="001A7E3C">
        <w:rPr>
          <w:rFonts w:asciiTheme="minorHAnsi" w:hAnsiTheme="minorHAnsi" w:cstheme="minorHAnsi"/>
        </w:rPr>
        <w:t>kept themselves informed about the company’s financial position</w:t>
      </w:r>
    </w:p>
    <w:p w14:paraId="7A425784" w14:textId="77777777" w:rsidR="009658E1" w:rsidRPr="001A7E3C" w:rsidRDefault="009658E1" w:rsidP="009658E1">
      <w:pPr>
        <w:pStyle w:val="Bullet"/>
        <w:numPr>
          <w:ilvl w:val="0"/>
          <w:numId w:val="15"/>
        </w:numPr>
        <w:spacing w:after="0"/>
        <w:rPr>
          <w:rFonts w:asciiTheme="minorHAnsi" w:hAnsiTheme="minorHAnsi" w:cstheme="minorHAnsi"/>
        </w:rPr>
      </w:pPr>
      <w:r w:rsidRPr="001A7E3C">
        <w:rPr>
          <w:rFonts w:asciiTheme="minorHAnsi" w:hAnsiTheme="minorHAnsi" w:cstheme="minorHAnsi"/>
        </w:rPr>
        <w:t>had taken steps to prevent misconduct by officers and employees of the company that could adversely affect the company’s ability to pay all its debts</w:t>
      </w:r>
    </w:p>
    <w:p w14:paraId="5E2455AB" w14:textId="77777777" w:rsidR="009658E1" w:rsidRPr="001A7E3C" w:rsidRDefault="009658E1" w:rsidP="009658E1">
      <w:pPr>
        <w:pStyle w:val="Bullet"/>
        <w:numPr>
          <w:ilvl w:val="0"/>
          <w:numId w:val="15"/>
        </w:numPr>
        <w:spacing w:after="0"/>
        <w:rPr>
          <w:rFonts w:asciiTheme="minorHAnsi" w:hAnsiTheme="minorHAnsi" w:cstheme="minorHAnsi"/>
        </w:rPr>
      </w:pPr>
      <w:r w:rsidRPr="001A7E3C">
        <w:rPr>
          <w:rFonts w:asciiTheme="minorHAnsi" w:hAnsiTheme="minorHAnsi" w:cstheme="minorHAnsi"/>
        </w:rPr>
        <w:t>had taken appropriate steps to ensure the company maintained appropriate financial records</w:t>
      </w:r>
    </w:p>
    <w:p w14:paraId="32F75E8F" w14:textId="77777777" w:rsidR="009658E1" w:rsidRPr="001A7E3C" w:rsidRDefault="009658E1" w:rsidP="009658E1">
      <w:pPr>
        <w:pStyle w:val="Bullet"/>
        <w:numPr>
          <w:ilvl w:val="0"/>
          <w:numId w:val="15"/>
        </w:numPr>
        <w:spacing w:after="0"/>
        <w:rPr>
          <w:rFonts w:asciiTheme="minorHAnsi" w:hAnsiTheme="minorHAnsi" w:cstheme="minorHAnsi"/>
        </w:rPr>
      </w:pPr>
      <w:r w:rsidRPr="001A7E3C">
        <w:rPr>
          <w:rFonts w:asciiTheme="minorHAnsi" w:hAnsiTheme="minorHAnsi" w:cstheme="minorHAnsi"/>
        </w:rPr>
        <w:t>obtained advice from an appropriately qualified adviser, and</w:t>
      </w:r>
    </w:p>
    <w:p w14:paraId="66FD09F3" w14:textId="4D0F1A75" w:rsidR="001B33D6" w:rsidRPr="001A7E3C" w:rsidRDefault="009658E1" w:rsidP="00FC4BD8">
      <w:pPr>
        <w:pStyle w:val="Bullet"/>
        <w:numPr>
          <w:ilvl w:val="0"/>
          <w:numId w:val="15"/>
        </w:numPr>
        <w:spacing w:after="0"/>
        <w:rPr>
          <w:rFonts w:asciiTheme="minorHAnsi" w:hAnsiTheme="minorHAnsi" w:cstheme="minorHAnsi"/>
        </w:rPr>
      </w:pPr>
      <w:r w:rsidRPr="001A7E3C">
        <w:rPr>
          <w:rFonts w:asciiTheme="minorHAnsi" w:hAnsiTheme="minorHAnsi" w:cstheme="minorHAnsi"/>
        </w:rPr>
        <w:t>had been taking appropriate steps to develop or implement a plan to restructure the company to improve its financial position.</w:t>
      </w:r>
    </w:p>
    <w:p w14:paraId="7253C0FA" w14:textId="66E47F85" w:rsidR="00FC4BD8" w:rsidRPr="001A7E3C" w:rsidRDefault="00FC4BD8" w:rsidP="00FC4BD8">
      <w:pPr>
        <w:rPr>
          <w:rFonts w:asciiTheme="minorHAnsi" w:hAnsiTheme="minorHAnsi" w:cstheme="minorHAnsi"/>
        </w:rPr>
      </w:pPr>
      <w:r w:rsidRPr="001A7E3C">
        <w:rPr>
          <w:rFonts w:asciiTheme="minorHAnsi" w:hAnsiTheme="minorHAnsi" w:cstheme="minorHAnsi"/>
        </w:rPr>
        <w:t>The flexibility embedded into the safe harbour provisions is designed to encourage its uptake, including among SMEs (who might not have the resources to meet more prescriptive requirements).</w:t>
      </w:r>
    </w:p>
    <w:p w14:paraId="7C51E1D7" w14:textId="1540DAC3" w:rsidR="00E46AF2" w:rsidRPr="001A7E3C" w:rsidRDefault="00862A6A" w:rsidP="00202CD9">
      <w:pPr>
        <w:pStyle w:val="Bullet"/>
        <w:numPr>
          <w:ilvl w:val="0"/>
          <w:numId w:val="0"/>
        </w:numPr>
        <w:rPr>
          <w:rFonts w:asciiTheme="minorHAnsi" w:hAnsiTheme="minorHAnsi" w:cstheme="minorHAnsi"/>
        </w:rPr>
      </w:pPr>
      <w:r w:rsidRPr="001A7E3C">
        <w:rPr>
          <w:rFonts w:asciiTheme="minorHAnsi" w:hAnsiTheme="minorHAnsi" w:cstheme="minorHAnsi"/>
        </w:rPr>
        <w:t>The safe harbour provisions include rules around when the safe harbour protection is available to directors. The safe harbour is not available if the company has failed, within the previous 12 months, to substantially comply with:</w:t>
      </w:r>
    </w:p>
    <w:p w14:paraId="1FA02F62" w14:textId="77777777" w:rsidR="00274F0D" w:rsidRPr="001A7E3C" w:rsidRDefault="00274F0D" w:rsidP="00E46AF2">
      <w:pPr>
        <w:pStyle w:val="Bullet"/>
        <w:numPr>
          <w:ilvl w:val="0"/>
          <w:numId w:val="15"/>
        </w:numPr>
        <w:spacing w:after="0"/>
        <w:rPr>
          <w:rFonts w:asciiTheme="minorHAnsi" w:hAnsiTheme="minorHAnsi" w:cstheme="minorHAnsi"/>
        </w:rPr>
      </w:pPr>
      <w:r w:rsidRPr="001A7E3C">
        <w:rPr>
          <w:rFonts w:asciiTheme="minorHAnsi" w:hAnsiTheme="minorHAnsi" w:cstheme="minorHAnsi"/>
        </w:rPr>
        <w:t>its obligation to pay its employees (including their superannuation), and</w:t>
      </w:r>
    </w:p>
    <w:p w14:paraId="5F46849D" w14:textId="77777777" w:rsidR="00274F0D" w:rsidRPr="001A7E3C" w:rsidRDefault="00274F0D" w:rsidP="00E46AF2">
      <w:pPr>
        <w:pStyle w:val="Bullet"/>
        <w:numPr>
          <w:ilvl w:val="0"/>
          <w:numId w:val="15"/>
        </w:numPr>
        <w:spacing w:after="0"/>
        <w:rPr>
          <w:rFonts w:asciiTheme="minorHAnsi" w:hAnsiTheme="minorHAnsi" w:cstheme="minorHAnsi"/>
        </w:rPr>
      </w:pPr>
      <w:r w:rsidRPr="001A7E3C">
        <w:rPr>
          <w:rFonts w:asciiTheme="minorHAnsi" w:hAnsiTheme="minorHAnsi" w:cstheme="minorHAnsi"/>
        </w:rPr>
        <w:t>its tax reporting obligations.</w:t>
      </w:r>
    </w:p>
    <w:p w14:paraId="7CE0535C" w14:textId="477D7386" w:rsidR="000E0B74" w:rsidRPr="001A7E3C" w:rsidRDefault="001B33D6" w:rsidP="00092916">
      <w:pPr>
        <w:rPr>
          <w:rFonts w:asciiTheme="minorHAnsi" w:hAnsiTheme="minorHAnsi" w:cstheme="minorHAnsi"/>
        </w:rPr>
      </w:pPr>
      <w:r w:rsidRPr="001A7E3C">
        <w:rPr>
          <w:rFonts w:asciiTheme="minorHAnsi" w:hAnsiTheme="minorHAnsi" w:cstheme="minorHAnsi"/>
        </w:rPr>
        <w:t xml:space="preserve">The protections provided as part of the safe harbour </w:t>
      </w:r>
      <w:r w:rsidR="004E45B6" w:rsidRPr="001A7E3C">
        <w:rPr>
          <w:rFonts w:asciiTheme="minorHAnsi" w:hAnsiTheme="minorHAnsi" w:cstheme="minorHAnsi"/>
        </w:rPr>
        <w:t xml:space="preserve">defence </w:t>
      </w:r>
      <w:r w:rsidRPr="001A7E3C">
        <w:rPr>
          <w:rFonts w:asciiTheme="minorHAnsi" w:hAnsiTheme="minorHAnsi" w:cstheme="minorHAnsi"/>
        </w:rPr>
        <w:t>do not extend beyond the civil liability set out in section 588G(2). Directors must continue to comply with all their other legal obligations, such as their director’s duties</w:t>
      </w:r>
      <w:r w:rsidR="00E64162" w:rsidRPr="001A7E3C">
        <w:rPr>
          <w:rFonts w:asciiTheme="minorHAnsi" w:hAnsiTheme="minorHAnsi" w:cstheme="minorHAnsi"/>
        </w:rPr>
        <w:t>, which is intended to protect against misuse</w:t>
      </w:r>
      <w:r w:rsidRPr="001A7E3C">
        <w:rPr>
          <w:rFonts w:asciiTheme="minorHAnsi" w:hAnsiTheme="minorHAnsi" w:cstheme="minorHAnsi"/>
        </w:rPr>
        <w:t xml:space="preserve">. The safe harbour does not extend to criminal liability for insolvent trading, noting that this requires dishonest conduct by directors. </w:t>
      </w:r>
    </w:p>
    <w:p w14:paraId="44EAFB7D" w14:textId="065EC180" w:rsidR="000E0B74" w:rsidRDefault="00092916" w:rsidP="000E0B74">
      <w:pPr>
        <w:pStyle w:val="Heading2"/>
      </w:pPr>
      <w:bookmarkStart w:id="10" w:name="_Toc81389129"/>
      <w:r>
        <w:t>Assessing the impact of the safe harbour</w:t>
      </w:r>
      <w:bookmarkEnd w:id="10"/>
    </w:p>
    <w:p w14:paraId="108FB8D3" w14:textId="77777777" w:rsidR="00EA065B" w:rsidRPr="001A7E3C" w:rsidRDefault="00EA065B" w:rsidP="00EA065B">
      <w:pPr>
        <w:rPr>
          <w:rFonts w:asciiTheme="minorHAnsi" w:hAnsiTheme="minorHAnsi" w:cstheme="minorHAnsi"/>
        </w:rPr>
      </w:pPr>
      <w:r w:rsidRPr="001A7E3C">
        <w:rPr>
          <w:rFonts w:asciiTheme="minorHAnsi" w:hAnsiTheme="minorHAnsi" w:cstheme="minorHAnsi"/>
        </w:rPr>
        <w:t>Section 588HA of the Corporations Act requires that the Minister cause an independent review of the impact of the availability of the safe harbour, including on the conduct of directors, and the interests of creditors and employees.</w:t>
      </w:r>
    </w:p>
    <w:p w14:paraId="57011F6A" w14:textId="77777777" w:rsidR="00335DF1" w:rsidRPr="001A7E3C" w:rsidRDefault="00335DF1" w:rsidP="00335DF1">
      <w:pPr>
        <w:rPr>
          <w:rFonts w:asciiTheme="minorHAnsi" w:hAnsiTheme="minorHAnsi" w:cstheme="minorHAnsi"/>
        </w:rPr>
      </w:pPr>
      <w:r w:rsidRPr="001A7E3C">
        <w:rPr>
          <w:rFonts w:asciiTheme="minorHAnsi" w:hAnsiTheme="minorHAnsi" w:cstheme="minorHAnsi"/>
        </w:rPr>
        <w:t xml:space="preserve">When assessing their impact, it should be noted that the safe harbour provisions have only been in effect for a relatively short period. Also, the confidential nature of company restructuring that may have taken place under the safe harbour protection limits the availability of quantitative data, further emphasising the importance of stakeholder submissions to this process. </w:t>
      </w:r>
    </w:p>
    <w:p w14:paraId="127A9EF7" w14:textId="22AFDC85" w:rsidR="00F8749E" w:rsidRPr="001A7E3C" w:rsidRDefault="00F8749E" w:rsidP="00F8749E">
      <w:pPr>
        <w:rPr>
          <w:rFonts w:asciiTheme="minorHAnsi" w:hAnsiTheme="minorHAnsi" w:cstheme="minorHAnsi"/>
        </w:rPr>
      </w:pPr>
      <w:r w:rsidRPr="001A7E3C">
        <w:rPr>
          <w:rFonts w:asciiTheme="minorHAnsi" w:hAnsiTheme="minorHAnsi" w:cstheme="minorHAnsi"/>
        </w:rPr>
        <w:t xml:space="preserve">Noting these challenges, the review seeks feedback from stakeholders who may have experience in corporate distress and turnaround, including the degree to which they have engaged with the safe harbour reforms, </w:t>
      </w:r>
      <w:r w:rsidR="005E2DF7" w:rsidRPr="001A7E3C">
        <w:rPr>
          <w:rFonts w:asciiTheme="minorHAnsi" w:hAnsiTheme="minorHAnsi" w:cstheme="minorHAnsi"/>
        </w:rPr>
        <w:t xml:space="preserve">both from an adviser and any potential subsequent administrator or liquidator point of view, </w:t>
      </w:r>
      <w:r w:rsidRPr="001A7E3C">
        <w:rPr>
          <w:rFonts w:asciiTheme="minorHAnsi" w:hAnsiTheme="minorHAnsi" w:cstheme="minorHAnsi"/>
        </w:rPr>
        <w:t xml:space="preserve">and (for those involved in </w:t>
      </w:r>
      <w:r w:rsidR="005E2DF7" w:rsidRPr="001A7E3C">
        <w:rPr>
          <w:rFonts w:asciiTheme="minorHAnsi" w:hAnsiTheme="minorHAnsi" w:cstheme="minorHAnsi"/>
        </w:rPr>
        <w:t xml:space="preserve">companies </w:t>
      </w:r>
      <w:r w:rsidRPr="001A7E3C">
        <w:rPr>
          <w:rFonts w:asciiTheme="minorHAnsi" w:hAnsiTheme="minorHAnsi" w:cstheme="minorHAnsi"/>
        </w:rPr>
        <w:t xml:space="preserve">whose </w:t>
      </w:r>
      <w:r w:rsidR="005E2DF7" w:rsidRPr="001A7E3C">
        <w:rPr>
          <w:rFonts w:asciiTheme="minorHAnsi" w:hAnsiTheme="minorHAnsi" w:cstheme="minorHAnsi"/>
        </w:rPr>
        <w:t xml:space="preserve">directors </w:t>
      </w:r>
      <w:r w:rsidRPr="001A7E3C">
        <w:rPr>
          <w:rFonts w:asciiTheme="minorHAnsi" w:hAnsiTheme="minorHAnsi" w:cstheme="minorHAnsi"/>
        </w:rPr>
        <w:t xml:space="preserve">utilised the safe harbour defence) their experience engaging with the reforms in practice. The perspective of creditors and other stakeholders is also sought. </w:t>
      </w:r>
    </w:p>
    <w:p w14:paraId="5E183EB5" w14:textId="524A6711" w:rsidR="00E60640" w:rsidRPr="00E60640" w:rsidRDefault="00E23C1D" w:rsidP="00E23C1D">
      <w:pPr>
        <w:rPr>
          <w:rFonts w:asciiTheme="minorHAnsi" w:hAnsiTheme="minorHAnsi" w:cstheme="minorHAnsi"/>
        </w:rPr>
      </w:pPr>
      <w:r w:rsidRPr="001A7E3C">
        <w:rPr>
          <w:rFonts w:asciiTheme="minorHAnsi" w:hAnsiTheme="minorHAnsi" w:cstheme="minorHAnsi"/>
        </w:rPr>
        <w:t xml:space="preserve">The overarching intent is to determine the effectiveness of the reforms, and whether they </w:t>
      </w:r>
      <w:r w:rsidR="00105564" w:rsidRPr="001A7E3C">
        <w:rPr>
          <w:rFonts w:asciiTheme="minorHAnsi" w:hAnsiTheme="minorHAnsi" w:cstheme="minorHAnsi"/>
        </w:rPr>
        <w:t xml:space="preserve">are </w:t>
      </w:r>
      <w:r w:rsidRPr="001A7E3C">
        <w:rPr>
          <w:rFonts w:asciiTheme="minorHAnsi" w:hAnsiTheme="minorHAnsi" w:cstheme="minorHAnsi"/>
        </w:rPr>
        <w:t xml:space="preserve">fit for purpose in </w:t>
      </w:r>
      <w:r w:rsidR="00105564" w:rsidRPr="001A7E3C">
        <w:rPr>
          <w:rFonts w:asciiTheme="minorHAnsi" w:hAnsiTheme="minorHAnsi" w:cstheme="minorHAnsi"/>
        </w:rPr>
        <w:t xml:space="preserve">enabling company turnaround, and </w:t>
      </w:r>
      <w:r w:rsidRPr="001A7E3C">
        <w:rPr>
          <w:rFonts w:asciiTheme="minorHAnsi" w:hAnsiTheme="minorHAnsi" w:cstheme="minorHAnsi"/>
        </w:rPr>
        <w:t xml:space="preserve">promoting a culture of entrepreneurship and innovation. </w:t>
      </w:r>
    </w:p>
    <w:p w14:paraId="0B3C948F" w14:textId="2146E58B" w:rsidR="00E60640" w:rsidRPr="00E60640" w:rsidRDefault="00E60640" w:rsidP="00E60640">
      <w:pPr>
        <w:pStyle w:val="Heading2"/>
      </w:pPr>
      <w:bookmarkStart w:id="11" w:name="_Toc81389130"/>
      <w:r w:rsidRPr="00E60640">
        <w:lastRenderedPageBreak/>
        <w:t>Questions for discussion</w:t>
      </w:r>
      <w:bookmarkEnd w:id="11"/>
    </w:p>
    <w:p w14:paraId="039AB629" w14:textId="36103471"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Are the safe harbour provisions working effectively?</w:t>
      </w:r>
    </w:p>
    <w:p w14:paraId="614B05E1" w14:textId="77777777"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What impact has the availability of the safe harbour had on the conduct of directors?</w:t>
      </w:r>
    </w:p>
    <w:p w14:paraId="162D716A" w14:textId="77777777"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What impact has the availability of the safe harbour had on the interests of creditors and employees?</w:t>
      </w:r>
    </w:p>
    <w:p w14:paraId="6864BFD4" w14:textId="77777777"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How has the safe harbour impacted on, or interacted with, the underlying prohibition on insolvent trading?</w:t>
      </w:r>
    </w:p>
    <w:p w14:paraId="7C201D6D" w14:textId="77777777"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What was your experience with the COVID-19 insolvent trading moratorium, and has that impacted your view or experience of the safe harbour provisions?</w:t>
      </w:r>
    </w:p>
    <w:p w14:paraId="7715D0A3" w14:textId="77777777"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Are you aware of any instances where safe harbour has been misused?</w:t>
      </w:r>
    </w:p>
    <w:p w14:paraId="1AF1E8BD" w14:textId="32A76A90"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Are the pre-conditions to accessing safe harbour appropriate?</w:t>
      </w:r>
    </w:p>
    <w:p w14:paraId="4D7A6750" w14:textId="77777777"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Does the law provide sufficient certainty to enable its effective use?</w:t>
      </w:r>
    </w:p>
    <w:p w14:paraId="6BDA3AEE" w14:textId="77777777"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 xml:space="preserve">Is clarification required around the role of advisers, including who qualifies as advisers, and what is required of them? </w:t>
      </w:r>
    </w:p>
    <w:p w14:paraId="2E13B89E" w14:textId="77777777"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Is there sufficient awareness of the safe harbour, including among small and medium enterprises?</w:t>
      </w:r>
    </w:p>
    <w:p w14:paraId="679BBA20" w14:textId="77777777"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In relation to potential qualified advisors, what barriers or conflicts (if any) limit your engagement with companies seeking safe harbour advice?</w:t>
      </w:r>
    </w:p>
    <w:p w14:paraId="5C4039DC" w14:textId="77777777" w:rsidR="00C137A2" w:rsidRPr="00C137A2" w:rsidRDefault="00C137A2" w:rsidP="00C137A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 xml:space="preserve">Are there any other accessibility issues impacting its use? </w:t>
      </w:r>
    </w:p>
    <w:p w14:paraId="05BEC90C" w14:textId="6EBDD5A1" w:rsidR="008361B4" w:rsidRPr="003E7E45" w:rsidRDefault="00C137A2" w:rsidP="003E7E45">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ind w:left="714" w:hanging="357"/>
        <w:rPr>
          <w:rFonts w:asciiTheme="minorHAnsi" w:hAnsiTheme="minorHAnsi" w:cstheme="minorHAnsi"/>
        </w:rPr>
      </w:pPr>
      <w:r w:rsidRPr="00C137A2">
        <w:rPr>
          <w:rFonts w:asciiTheme="minorHAnsi" w:hAnsiTheme="minorHAnsi" w:cstheme="minorHAnsi"/>
        </w:rPr>
        <w:t>Are there any improvements or qualifications you would like to see made to the safe harbour provisions and/or the underlying prohibition on insolvent trading?</w:t>
      </w:r>
    </w:p>
    <w:sectPr w:rsidR="008361B4" w:rsidRPr="003E7E45" w:rsidSect="00E1136B">
      <w:headerReference w:type="even" r:id="rId21"/>
      <w:headerReference w:type="default" r:id="rId22"/>
      <w:footerReference w:type="even" r:id="rId23"/>
      <w:footerReference w:type="default" r:id="rId24"/>
      <w:headerReference w:type="first" r:id="rId25"/>
      <w:footerReference w:type="first" r:id="rId2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C5859" w14:textId="77777777" w:rsidR="00803529" w:rsidRDefault="00803529">
      <w:pPr>
        <w:spacing w:before="0" w:after="0"/>
      </w:pPr>
      <w:r>
        <w:separator/>
      </w:r>
    </w:p>
  </w:endnote>
  <w:endnote w:type="continuationSeparator" w:id="0">
    <w:p w14:paraId="646EB26E" w14:textId="77777777" w:rsidR="00803529" w:rsidRDefault="00803529">
      <w:pPr>
        <w:spacing w:before="0" w:after="0"/>
      </w:pPr>
      <w:r>
        <w:continuationSeparator/>
      </w:r>
    </w:p>
  </w:endnote>
  <w:endnote w:type="continuationNotice" w:id="1">
    <w:p w14:paraId="3568833E" w14:textId="77777777" w:rsidR="00803529" w:rsidRDefault="008035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4F96" w14:textId="77777777" w:rsidR="001F1E2C" w:rsidRPr="00E77C89" w:rsidRDefault="001F1E2C"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F17FA" w14:textId="77777777" w:rsidR="001F1E2C" w:rsidRPr="00E77C89" w:rsidRDefault="001F1E2C" w:rsidP="001708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3E3A0" w14:textId="77777777" w:rsidR="001F1E2C" w:rsidRPr="00E1136B" w:rsidRDefault="001F1E2C" w:rsidP="00E1136B">
    <w:pPr>
      <w:pStyle w:val="Foo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4D7B2" w14:textId="77777777" w:rsidR="001F1E2C" w:rsidRDefault="001F1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04FF6" w14:textId="77777777" w:rsidR="00803529" w:rsidRDefault="00803529">
      <w:pPr>
        <w:spacing w:before="0" w:after="0"/>
      </w:pPr>
      <w:r>
        <w:separator/>
      </w:r>
    </w:p>
  </w:footnote>
  <w:footnote w:type="continuationSeparator" w:id="0">
    <w:p w14:paraId="4A3407A8" w14:textId="77777777" w:rsidR="00803529" w:rsidRDefault="00803529">
      <w:pPr>
        <w:spacing w:before="0" w:after="0"/>
      </w:pPr>
      <w:r>
        <w:continuationSeparator/>
      </w:r>
    </w:p>
  </w:footnote>
  <w:footnote w:type="continuationNotice" w:id="1">
    <w:p w14:paraId="044E0E03" w14:textId="77777777" w:rsidR="00803529" w:rsidRDefault="0080352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A513A" w14:textId="04B993BB" w:rsidR="001F1E2C" w:rsidRDefault="001F1E2C" w:rsidP="003D74E7">
    <w:pPr>
      <w:pStyle w:val="Header"/>
      <w:ind w:right="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5CA16" w14:textId="77777777" w:rsidR="001F1E2C" w:rsidRPr="001F3912" w:rsidRDefault="001F1E2C"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49962" w14:textId="77777777" w:rsidR="001F1E2C" w:rsidRPr="001F3912" w:rsidRDefault="001F1E2C" w:rsidP="0017089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71BBC" w14:textId="77777777" w:rsidR="001F1E2C" w:rsidRPr="001F3912" w:rsidRDefault="001F1E2C" w:rsidP="0017089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F892F" w14:textId="21D99E29" w:rsidR="001F1E2C" w:rsidRPr="001F3912" w:rsidRDefault="00803529" w:rsidP="001606CF">
    <w:pPr>
      <w:pStyle w:val="Header"/>
    </w:pPr>
    <w:fldSimple w:instr=" STYLEREF  Title  \* MERGEFORMAT ">
      <w:r w:rsidR="00692D1A">
        <w:rPr>
          <w:noProof/>
        </w:rPr>
        <w:t>Review of the insolvent trading safe harbour</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3EC2A" w14:textId="77777777" w:rsidR="001F1E2C" w:rsidRDefault="001F1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72E1"/>
    <w:multiLevelType w:val="multilevel"/>
    <w:tmpl w:val="00A88ED2"/>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8052D"/>
    <w:multiLevelType w:val="hybridMultilevel"/>
    <w:tmpl w:val="65C21F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CC4E5D"/>
    <w:multiLevelType w:val="multilevel"/>
    <w:tmpl w:val="D10E9CF6"/>
    <w:numStyleLink w:val="OneLevelList"/>
  </w:abstractNum>
  <w:abstractNum w:abstractNumId="6" w15:restartNumberingAfterBreak="0">
    <w:nsid w:val="179D0824"/>
    <w:multiLevelType w:val="hybridMultilevel"/>
    <w:tmpl w:val="14DE0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384288"/>
    <w:multiLevelType w:val="multilevel"/>
    <w:tmpl w:val="8DA69C8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DA1C58"/>
    <w:multiLevelType w:val="hybridMultilevel"/>
    <w:tmpl w:val="2732F1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0D2021"/>
    <w:multiLevelType w:val="multilevel"/>
    <w:tmpl w:val="72F8140E"/>
    <w:numStyleLink w:val="OutlineList"/>
  </w:abstractNum>
  <w:abstractNum w:abstractNumId="15" w15:restartNumberingAfterBreak="0">
    <w:nsid w:val="74D26F9C"/>
    <w:multiLevelType w:val="hybridMultilevel"/>
    <w:tmpl w:val="E752D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0"/>
  </w:num>
  <w:num w:numId="2">
    <w:abstractNumId w:val="1"/>
  </w:num>
  <w:num w:numId="3">
    <w:abstractNumId w:val="12"/>
  </w:num>
  <w:num w:numId="4">
    <w:abstractNumId w:val="3"/>
  </w:num>
  <w:num w:numId="5">
    <w:abstractNumId w:val="5"/>
  </w:num>
  <w:num w:numId="6">
    <w:abstractNumId w:val="14"/>
  </w:num>
  <w:num w:numId="7">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7"/>
  </w:num>
  <w:num w:numId="9">
    <w:abstractNumId w:val="2"/>
  </w:num>
  <w:num w:numId="10">
    <w:abstractNumId w:val="9"/>
  </w:num>
  <w:num w:numId="11">
    <w:abstractNumId w:val="16"/>
  </w:num>
  <w:num w:numId="12">
    <w:abstractNumId w:val="14"/>
  </w:num>
  <w:num w:numId="13">
    <w:abstractNumId w:val="9"/>
  </w:num>
  <w:num w:numId="14">
    <w:abstractNumId w:val="11"/>
  </w:num>
  <w:num w:numId="15">
    <w:abstractNumId w:val="8"/>
  </w:num>
  <w:num w:numId="16">
    <w:abstractNumId w:val="15"/>
  </w:num>
  <w:num w:numId="17">
    <w:abstractNumId w:val="4"/>
  </w:num>
  <w:num w:numId="18">
    <w:abstractNumId w:val="13"/>
  </w:num>
  <w:num w:numId="19">
    <w:abstractNumId w:val="6"/>
  </w:num>
  <w:num w:numId="20">
    <w:abstractNumId w:val="10"/>
  </w:num>
  <w:num w:numId="21">
    <w:abstractNumId w:val="10"/>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E7"/>
    <w:rsid w:val="00011725"/>
    <w:rsid w:val="00012C62"/>
    <w:rsid w:val="000209F3"/>
    <w:rsid w:val="00024281"/>
    <w:rsid w:val="0002544D"/>
    <w:rsid w:val="00030819"/>
    <w:rsid w:val="00041A8B"/>
    <w:rsid w:val="0004274D"/>
    <w:rsid w:val="00044C0A"/>
    <w:rsid w:val="00056880"/>
    <w:rsid w:val="000675D1"/>
    <w:rsid w:val="000705AA"/>
    <w:rsid w:val="0007102C"/>
    <w:rsid w:val="00072352"/>
    <w:rsid w:val="00073521"/>
    <w:rsid w:val="000775DE"/>
    <w:rsid w:val="000858F2"/>
    <w:rsid w:val="00087FAF"/>
    <w:rsid w:val="00092916"/>
    <w:rsid w:val="000C5F40"/>
    <w:rsid w:val="000E0B74"/>
    <w:rsid w:val="000F0BF8"/>
    <w:rsid w:val="000F7517"/>
    <w:rsid w:val="0010185B"/>
    <w:rsid w:val="00105564"/>
    <w:rsid w:val="00112330"/>
    <w:rsid w:val="0014091C"/>
    <w:rsid w:val="001606CF"/>
    <w:rsid w:val="0016128D"/>
    <w:rsid w:val="0017089D"/>
    <w:rsid w:val="00176DFF"/>
    <w:rsid w:val="0019009D"/>
    <w:rsid w:val="0019101A"/>
    <w:rsid w:val="001A7976"/>
    <w:rsid w:val="001A7E3C"/>
    <w:rsid w:val="001B33D6"/>
    <w:rsid w:val="001B6BC2"/>
    <w:rsid w:val="001C358D"/>
    <w:rsid w:val="001D4EAA"/>
    <w:rsid w:val="001E508F"/>
    <w:rsid w:val="001F1E2C"/>
    <w:rsid w:val="00202CD9"/>
    <w:rsid w:val="00204CCA"/>
    <w:rsid w:val="0022190E"/>
    <w:rsid w:val="00231049"/>
    <w:rsid w:val="002314D2"/>
    <w:rsid w:val="002372A6"/>
    <w:rsid w:val="00257AEE"/>
    <w:rsid w:val="00263B6C"/>
    <w:rsid w:val="002640AF"/>
    <w:rsid w:val="00274F0D"/>
    <w:rsid w:val="0027590B"/>
    <w:rsid w:val="00285969"/>
    <w:rsid w:val="002940EC"/>
    <w:rsid w:val="002A6308"/>
    <w:rsid w:val="002B3829"/>
    <w:rsid w:val="002B4D4D"/>
    <w:rsid w:val="002B5C39"/>
    <w:rsid w:val="002B6FD4"/>
    <w:rsid w:val="002D488F"/>
    <w:rsid w:val="002F617F"/>
    <w:rsid w:val="003122F4"/>
    <w:rsid w:val="003212EF"/>
    <w:rsid w:val="003268D5"/>
    <w:rsid w:val="00326D35"/>
    <w:rsid w:val="00335DF1"/>
    <w:rsid w:val="00342466"/>
    <w:rsid w:val="00344779"/>
    <w:rsid w:val="00354D27"/>
    <w:rsid w:val="00354FBB"/>
    <w:rsid w:val="00356EA5"/>
    <w:rsid w:val="003839F0"/>
    <w:rsid w:val="003858A6"/>
    <w:rsid w:val="003872EB"/>
    <w:rsid w:val="00392DCC"/>
    <w:rsid w:val="003A5533"/>
    <w:rsid w:val="003D74E7"/>
    <w:rsid w:val="003E38B0"/>
    <w:rsid w:val="003E4D87"/>
    <w:rsid w:val="003E7E45"/>
    <w:rsid w:val="003F71F2"/>
    <w:rsid w:val="00414412"/>
    <w:rsid w:val="00416762"/>
    <w:rsid w:val="00421351"/>
    <w:rsid w:val="004449C5"/>
    <w:rsid w:val="00445265"/>
    <w:rsid w:val="00445D5E"/>
    <w:rsid w:val="004559CE"/>
    <w:rsid w:val="00463D6F"/>
    <w:rsid w:val="0046711C"/>
    <w:rsid w:val="0047191B"/>
    <w:rsid w:val="00475B7B"/>
    <w:rsid w:val="00475F4D"/>
    <w:rsid w:val="00482AD1"/>
    <w:rsid w:val="00483049"/>
    <w:rsid w:val="004918FD"/>
    <w:rsid w:val="00492FCB"/>
    <w:rsid w:val="004938D1"/>
    <w:rsid w:val="00494645"/>
    <w:rsid w:val="004951A8"/>
    <w:rsid w:val="004A077D"/>
    <w:rsid w:val="004A7BC2"/>
    <w:rsid w:val="004B42B0"/>
    <w:rsid w:val="004E45B6"/>
    <w:rsid w:val="004F06D5"/>
    <w:rsid w:val="004F1164"/>
    <w:rsid w:val="005101A0"/>
    <w:rsid w:val="00516785"/>
    <w:rsid w:val="0052419D"/>
    <w:rsid w:val="005301F8"/>
    <w:rsid w:val="005312FC"/>
    <w:rsid w:val="0053603D"/>
    <w:rsid w:val="00550FB4"/>
    <w:rsid w:val="005617C8"/>
    <w:rsid w:val="005816AB"/>
    <w:rsid w:val="00581C59"/>
    <w:rsid w:val="005868DE"/>
    <w:rsid w:val="00592962"/>
    <w:rsid w:val="005D1501"/>
    <w:rsid w:val="005D76E2"/>
    <w:rsid w:val="005E2DF7"/>
    <w:rsid w:val="005E623C"/>
    <w:rsid w:val="0060595B"/>
    <w:rsid w:val="00605AFD"/>
    <w:rsid w:val="00607C7C"/>
    <w:rsid w:val="006123D4"/>
    <w:rsid w:val="006162B5"/>
    <w:rsid w:val="006302C0"/>
    <w:rsid w:val="00637C14"/>
    <w:rsid w:val="00640432"/>
    <w:rsid w:val="00656356"/>
    <w:rsid w:val="006616E4"/>
    <w:rsid w:val="006755BF"/>
    <w:rsid w:val="00686165"/>
    <w:rsid w:val="00687A9E"/>
    <w:rsid w:val="00691CB5"/>
    <w:rsid w:val="00692D1A"/>
    <w:rsid w:val="00695062"/>
    <w:rsid w:val="006A6EE1"/>
    <w:rsid w:val="006B1A7D"/>
    <w:rsid w:val="006B2E04"/>
    <w:rsid w:val="006B5E7C"/>
    <w:rsid w:val="006C1B07"/>
    <w:rsid w:val="006C645D"/>
    <w:rsid w:val="006C7B37"/>
    <w:rsid w:val="006D42C7"/>
    <w:rsid w:val="006E3CC3"/>
    <w:rsid w:val="006F0561"/>
    <w:rsid w:val="006F656C"/>
    <w:rsid w:val="007024E1"/>
    <w:rsid w:val="00707014"/>
    <w:rsid w:val="0072504F"/>
    <w:rsid w:val="00745A87"/>
    <w:rsid w:val="00757816"/>
    <w:rsid w:val="00761276"/>
    <w:rsid w:val="007739DC"/>
    <w:rsid w:val="0078509F"/>
    <w:rsid w:val="00792309"/>
    <w:rsid w:val="00794499"/>
    <w:rsid w:val="007A3851"/>
    <w:rsid w:val="007D5AA6"/>
    <w:rsid w:val="007E2AB9"/>
    <w:rsid w:val="007E6456"/>
    <w:rsid w:val="00803529"/>
    <w:rsid w:val="00804E62"/>
    <w:rsid w:val="008126EE"/>
    <w:rsid w:val="00825E45"/>
    <w:rsid w:val="00834243"/>
    <w:rsid w:val="008361B4"/>
    <w:rsid w:val="00840D6A"/>
    <w:rsid w:val="00855618"/>
    <w:rsid w:val="00857969"/>
    <w:rsid w:val="00862A6A"/>
    <w:rsid w:val="008912D7"/>
    <w:rsid w:val="008A1187"/>
    <w:rsid w:val="008A6C5B"/>
    <w:rsid w:val="008B1499"/>
    <w:rsid w:val="008C086D"/>
    <w:rsid w:val="008D1705"/>
    <w:rsid w:val="008D339F"/>
    <w:rsid w:val="008D58EB"/>
    <w:rsid w:val="008D7F38"/>
    <w:rsid w:val="008E6292"/>
    <w:rsid w:val="008F5F84"/>
    <w:rsid w:val="00906B10"/>
    <w:rsid w:val="009206C0"/>
    <w:rsid w:val="00925379"/>
    <w:rsid w:val="00925AA5"/>
    <w:rsid w:val="009334D2"/>
    <w:rsid w:val="0094019D"/>
    <w:rsid w:val="009421FD"/>
    <w:rsid w:val="00942C11"/>
    <w:rsid w:val="00943186"/>
    <w:rsid w:val="00954558"/>
    <w:rsid w:val="009658E1"/>
    <w:rsid w:val="009732EC"/>
    <w:rsid w:val="00976EF5"/>
    <w:rsid w:val="009821CE"/>
    <w:rsid w:val="009852CF"/>
    <w:rsid w:val="009A658F"/>
    <w:rsid w:val="009A668A"/>
    <w:rsid w:val="009B568A"/>
    <w:rsid w:val="009E500B"/>
    <w:rsid w:val="009F08A3"/>
    <w:rsid w:val="009F24C0"/>
    <w:rsid w:val="00A16E03"/>
    <w:rsid w:val="00A260CD"/>
    <w:rsid w:val="00A27986"/>
    <w:rsid w:val="00A3749B"/>
    <w:rsid w:val="00A47685"/>
    <w:rsid w:val="00A55DD0"/>
    <w:rsid w:val="00A62E42"/>
    <w:rsid w:val="00A64A71"/>
    <w:rsid w:val="00AA34EE"/>
    <w:rsid w:val="00AE2F90"/>
    <w:rsid w:val="00AE52E1"/>
    <w:rsid w:val="00B14B99"/>
    <w:rsid w:val="00B209CE"/>
    <w:rsid w:val="00B3149D"/>
    <w:rsid w:val="00B472B4"/>
    <w:rsid w:val="00B639E0"/>
    <w:rsid w:val="00B770FF"/>
    <w:rsid w:val="00B82221"/>
    <w:rsid w:val="00B82EF9"/>
    <w:rsid w:val="00B85F47"/>
    <w:rsid w:val="00B87927"/>
    <w:rsid w:val="00B92619"/>
    <w:rsid w:val="00BA28A5"/>
    <w:rsid w:val="00BD5650"/>
    <w:rsid w:val="00C137A2"/>
    <w:rsid w:val="00C16D99"/>
    <w:rsid w:val="00C21E7E"/>
    <w:rsid w:val="00C30297"/>
    <w:rsid w:val="00C333D0"/>
    <w:rsid w:val="00C54E4E"/>
    <w:rsid w:val="00C64E0A"/>
    <w:rsid w:val="00C663AB"/>
    <w:rsid w:val="00C75518"/>
    <w:rsid w:val="00C85314"/>
    <w:rsid w:val="00CA2677"/>
    <w:rsid w:val="00CA46D6"/>
    <w:rsid w:val="00CA4BC0"/>
    <w:rsid w:val="00CA6E45"/>
    <w:rsid w:val="00CB5439"/>
    <w:rsid w:val="00CC049A"/>
    <w:rsid w:val="00CC559D"/>
    <w:rsid w:val="00CD6534"/>
    <w:rsid w:val="00CD654B"/>
    <w:rsid w:val="00CD6BD4"/>
    <w:rsid w:val="00CE223E"/>
    <w:rsid w:val="00CE5B0C"/>
    <w:rsid w:val="00D145F5"/>
    <w:rsid w:val="00D355F0"/>
    <w:rsid w:val="00D45AF8"/>
    <w:rsid w:val="00D51C05"/>
    <w:rsid w:val="00D735E4"/>
    <w:rsid w:val="00D83BD9"/>
    <w:rsid w:val="00D95FB9"/>
    <w:rsid w:val="00DA686B"/>
    <w:rsid w:val="00DB4D89"/>
    <w:rsid w:val="00DB7F09"/>
    <w:rsid w:val="00DC00E8"/>
    <w:rsid w:val="00DD321B"/>
    <w:rsid w:val="00DD50A5"/>
    <w:rsid w:val="00E10D39"/>
    <w:rsid w:val="00E1136B"/>
    <w:rsid w:val="00E22D51"/>
    <w:rsid w:val="00E23C1D"/>
    <w:rsid w:val="00E24F01"/>
    <w:rsid w:val="00E341BA"/>
    <w:rsid w:val="00E35FA1"/>
    <w:rsid w:val="00E4666A"/>
    <w:rsid w:val="00E46AF2"/>
    <w:rsid w:val="00E506FB"/>
    <w:rsid w:val="00E50E7C"/>
    <w:rsid w:val="00E51545"/>
    <w:rsid w:val="00E55326"/>
    <w:rsid w:val="00E60640"/>
    <w:rsid w:val="00E64162"/>
    <w:rsid w:val="00E6754E"/>
    <w:rsid w:val="00E711D7"/>
    <w:rsid w:val="00E76C47"/>
    <w:rsid w:val="00E902B0"/>
    <w:rsid w:val="00E902E8"/>
    <w:rsid w:val="00EA065B"/>
    <w:rsid w:val="00EA3B73"/>
    <w:rsid w:val="00EB030F"/>
    <w:rsid w:val="00EB056B"/>
    <w:rsid w:val="00EC6B16"/>
    <w:rsid w:val="00EE4766"/>
    <w:rsid w:val="00EE677F"/>
    <w:rsid w:val="00EF2FBF"/>
    <w:rsid w:val="00F0082D"/>
    <w:rsid w:val="00F07C90"/>
    <w:rsid w:val="00F20469"/>
    <w:rsid w:val="00F66B9F"/>
    <w:rsid w:val="00F71A0E"/>
    <w:rsid w:val="00F80042"/>
    <w:rsid w:val="00F8749E"/>
    <w:rsid w:val="00F92279"/>
    <w:rsid w:val="00FB64AA"/>
    <w:rsid w:val="00FC2373"/>
    <w:rsid w:val="00FC4BD8"/>
    <w:rsid w:val="00FC6ADA"/>
    <w:rsid w:val="00FE635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AD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354FBB"/>
    <w:pPr>
      <w:spacing w:before="480"/>
      <w:outlineLvl w:val="0"/>
    </w:pPr>
    <w:rPr>
      <w:bCs w:val="0"/>
      <w:color w:val="002C47" w:themeColor="accent1"/>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8361B4"/>
    <w:pPr>
      <w:spacing w:before="240"/>
      <w:outlineLvl w:val="2"/>
    </w:pPr>
    <w:rPr>
      <w:bCs w:val="0"/>
      <w:color w:val="00818F" w:themeColor="accent5"/>
      <w:sz w:val="28"/>
      <w:szCs w:val="26"/>
    </w:rPr>
  </w:style>
  <w:style w:type="paragraph" w:styleId="Heading4">
    <w:name w:val="heading 4"/>
    <w:basedOn w:val="HeadingBase"/>
    <w:next w:val="Normal"/>
    <w:link w:val="Heading4Char"/>
    <w:qFormat/>
    <w:rsid w:val="00354FBB"/>
    <w:pPr>
      <w:outlineLvl w:val="3"/>
    </w:pPr>
    <w:rPr>
      <w:bCs w:val="0"/>
      <w:color w:val="3A6FAF" w:themeColor="accent2"/>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FBB"/>
    <w:rPr>
      <w:rFonts w:ascii="Calibri" w:eastAsia="Times New Roman" w:hAnsi="Calibri" w:cs="Arial"/>
      <w:color w:val="002C47" w:themeColor="accent1"/>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8361B4"/>
    <w:rPr>
      <w:rFonts w:ascii="Calibri" w:eastAsia="Times New Roman" w:hAnsi="Calibri" w:cs="Arial"/>
      <w:color w:val="00818F" w:themeColor="accent5"/>
      <w:kern w:val="32"/>
      <w:sz w:val="28"/>
      <w:szCs w:val="26"/>
      <w:lang w:eastAsia="en-AU"/>
    </w:rPr>
  </w:style>
  <w:style w:type="character" w:customStyle="1" w:styleId="Heading4Char">
    <w:name w:val="Heading 4 Char"/>
    <w:basedOn w:val="DefaultParagraphFont"/>
    <w:link w:val="Heading4"/>
    <w:rsid w:val="00354FBB"/>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8361B4"/>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aliases w:val="Body,Bullet + line,b,b + line,b1,level 1,BodyNum,Bullet Char1,Bullet Char1 Char Char Char Char,b1 Char Char Char,Bullet Char1 Char Char Char Char Char,Bullet Char1 Char Char Char"/>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8361B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361B4"/>
    <w:pPr>
      <w:jc w:val="center"/>
    </w:pPr>
  </w:style>
  <w:style w:type="paragraph" w:customStyle="1" w:styleId="ReportDate">
    <w:name w:val="Report Date"/>
    <w:basedOn w:val="Normal"/>
    <w:link w:val="ReportDateChar"/>
    <w:rsid w:val="001D4EAA"/>
    <w:pPr>
      <w:keepNext/>
      <w:spacing w:before="0" w:after="360"/>
    </w:pPr>
    <w:rPr>
      <w:color w:val="FFFFFF" w:themeColor="background1"/>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EF2FBF"/>
    <w:rPr>
      <w:color w:val="3A6FAF" w:themeColor="accent2"/>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8361B4"/>
    <w:pPr>
      <w:keepNext/>
      <w:spacing w:before="0" w:after="20"/>
    </w:pPr>
    <w:rPr>
      <w:b/>
      <w:color w:val="00818F" w:themeColor="accent5"/>
    </w:rPr>
  </w:style>
  <w:style w:type="paragraph" w:customStyle="1" w:styleId="TableColumnHeadingCentred">
    <w:name w:val="Table Column Heading Centred"/>
    <w:basedOn w:val="TableTextLeft"/>
    <w:rsid w:val="008361B4"/>
    <w:pPr>
      <w:jc w:val="center"/>
    </w:pPr>
    <w:rPr>
      <w:b/>
      <w:color w:val="002C47" w:themeColor="accent1"/>
      <w:sz w:val="20"/>
    </w:rPr>
  </w:style>
  <w:style w:type="paragraph" w:customStyle="1" w:styleId="TableColumnHeadingLeft">
    <w:name w:val="Table Column Heading Left"/>
    <w:basedOn w:val="TableTextLeft"/>
    <w:rsid w:val="008361B4"/>
    <w:rPr>
      <w:b/>
      <w:color w:val="002C47" w:themeColor="accent1"/>
      <w:sz w:val="20"/>
    </w:rPr>
  </w:style>
  <w:style w:type="paragraph" w:customStyle="1" w:styleId="TableColumnHeadingRight">
    <w:name w:val="Table Column Heading Right"/>
    <w:basedOn w:val="TableTextLeft"/>
    <w:rsid w:val="008361B4"/>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8361B4"/>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qFormat/>
    <w:rsid w:val="008361B4"/>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qFormat/>
    <w:rsid w:val="008361B4"/>
    <w:pPr>
      <w:tabs>
        <w:tab w:val="right" w:leader="dot" w:pos="9072"/>
      </w:tabs>
      <w:spacing w:before="20" w:after="0"/>
      <w:ind w:left="284" w:right="-2"/>
    </w:pPr>
    <w:rPr>
      <w:rFonts w:cs="Calibri"/>
      <w:noProof/>
      <w:color w:val="5F5F5F" w:themeColor="tex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1D4EAA"/>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1D4EAA"/>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qFormat/>
    <w:rsid w:val="001D4EAA"/>
    <w:pPr>
      <w:numPr>
        <w:ilvl w:val="1"/>
      </w:numPr>
    </w:pPr>
    <w:rPr>
      <w:rFonts w:eastAsiaTheme="majorEastAsia" w:cstheme="majorBidi"/>
      <w:iCs/>
      <w:color w:val="FFFFFF" w:themeColor="background1"/>
      <w:sz w:val="44"/>
      <w:szCs w:val="44"/>
    </w:rPr>
  </w:style>
  <w:style w:type="character" w:customStyle="1" w:styleId="SubtitleChar">
    <w:name w:val="Subtitle Char"/>
    <w:basedOn w:val="DefaultParagraphFont"/>
    <w:link w:val="Subtitle"/>
    <w:uiPriority w:val="11"/>
    <w:rsid w:val="001D4EAA"/>
    <w:rPr>
      <w:rFonts w:ascii="Calibri" w:eastAsiaTheme="majorEastAsia" w:hAnsi="Calibri" w:cstheme="majorBidi"/>
      <w:iCs/>
      <w:color w:val="FFFFFF" w:themeColor="background1"/>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421351"/>
    <w:pPr>
      <w:tabs>
        <w:tab w:val="center" w:pos="4513"/>
        <w:tab w:val="right" w:pos="9026"/>
      </w:tabs>
      <w:spacing w:before="0" w:after="0"/>
      <w:jc w:val="center"/>
    </w:pPr>
    <w:rPr>
      <w:color w:val="002C47" w:themeColor="accent1"/>
      <w:sz w:val="20"/>
    </w:rPr>
  </w:style>
  <w:style w:type="character" w:customStyle="1" w:styleId="FooterChar">
    <w:name w:val="Footer Char"/>
    <w:basedOn w:val="DefaultParagraphFont"/>
    <w:link w:val="Footer"/>
    <w:rsid w:val="00421351"/>
    <w:rPr>
      <w:rFonts w:ascii="Calibri" w:eastAsia="Times New Roman" w:hAnsi="Calibri" w:cs="Times New Roman"/>
      <w:color w:val="002C47" w:themeColor="accent1"/>
      <w:sz w:val="20"/>
      <w:szCs w:val="20"/>
      <w:lang w:eastAsia="en-AU"/>
    </w:rPr>
  </w:style>
  <w:style w:type="paragraph" w:styleId="Header">
    <w:name w:val="header"/>
    <w:basedOn w:val="Normal"/>
    <w:link w:val="HeaderChar"/>
    <w:uiPriority w:val="99"/>
    <w:unhideWhenUsed/>
    <w:rsid w:val="00421351"/>
    <w:pPr>
      <w:keepNext/>
      <w:spacing w:before="0" w:after="0"/>
      <w:jc w:val="right"/>
    </w:pPr>
    <w:rPr>
      <w:color w:val="002C47" w:themeColor="accent1"/>
      <w:sz w:val="20"/>
    </w:rPr>
  </w:style>
  <w:style w:type="character" w:customStyle="1" w:styleId="HeaderChar">
    <w:name w:val="Header Char"/>
    <w:basedOn w:val="DefaultParagraphFont"/>
    <w:link w:val="Header"/>
    <w:uiPriority w:val="99"/>
    <w:rsid w:val="00421351"/>
    <w:rPr>
      <w:rFonts w:ascii="Calibri" w:eastAsia="Times New Roman" w:hAnsi="Calibri" w:cs="Times New Roman"/>
      <w:color w:val="002C47" w:themeColor="accent1"/>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HeadingBase">
    <w:name w:val="Heading Base"/>
    <w:qFormat/>
    <w:rsid w:val="00CE5B0C"/>
    <w:pPr>
      <w:keepNext/>
      <w:spacing w:after="120" w:line="240" w:lineRule="auto"/>
    </w:pPr>
    <w:rPr>
      <w:rFonts w:ascii="Calibri" w:eastAsia="Times New Roman" w:hAnsi="Calibri" w:cs="Arial"/>
      <w:bCs/>
      <w:color w:val="002C47"/>
      <w:kern w:val="32"/>
      <w:szCs w:val="36"/>
      <w:lang w:eastAsia="en-AU"/>
    </w:rPr>
  </w:style>
  <w:style w:type="character" w:customStyle="1" w:styleId="ReportDateChar">
    <w:name w:val="Report Date Char"/>
    <w:basedOn w:val="DefaultParagraphFont"/>
    <w:link w:val="ReportDate"/>
    <w:rsid w:val="001D4EAA"/>
    <w:rPr>
      <w:rFonts w:ascii="Calibri" w:eastAsia="Times New Roman" w:hAnsi="Calibri" w:cs="Times New Roman"/>
      <w:color w:val="FFFFFF" w:themeColor="background1"/>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styleId="UnresolvedMention">
    <w:name w:val="Unresolved Mention"/>
    <w:basedOn w:val="DefaultParagraphFont"/>
    <w:uiPriority w:val="99"/>
    <w:semiHidden/>
    <w:unhideWhenUsed/>
    <w:rsid w:val="008C086D"/>
    <w:rPr>
      <w:color w:val="605E5C"/>
      <w:shd w:val="clear" w:color="auto" w:fill="E1DFDD"/>
    </w:rPr>
  </w:style>
  <w:style w:type="character" w:styleId="FollowedHyperlink">
    <w:name w:val="FollowedHyperlink"/>
    <w:basedOn w:val="DefaultParagraphFont"/>
    <w:uiPriority w:val="99"/>
    <w:semiHidden/>
    <w:unhideWhenUsed/>
    <w:rsid w:val="005816AB"/>
    <w:rPr>
      <w:color w:val="E61E26" w:themeColor="followedHyperlink"/>
      <w:u w:val="single"/>
    </w:rPr>
  </w:style>
  <w:style w:type="character" w:customStyle="1" w:styleId="BulletChar">
    <w:name w:val="Bullet Char"/>
    <w:aliases w:val="b + line Char Char,b Char,b Char Char,b1 Char,b + line Char,Body Char,level 1 Char,Bulleted Para Char,Bullets Char,Number Char,F5 List Paragraph Char,Dot pt Char,Bullet + line Char,FooterText Char,L Char,List Paragraph Char"/>
    <w:basedOn w:val="DefaultParagraphFont"/>
    <w:link w:val="Bullet"/>
    <w:qFormat/>
    <w:rsid w:val="009F08A3"/>
    <w:rPr>
      <w:rFonts w:ascii="Calibri" w:eastAsia="Times New Roman" w:hAnsi="Calibri" w:cs="Times New Roman"/>
      <w:szCs w:val="20"/>
      <w:lang w:eastAsia="en-AU"/>
    </w:rPr>
  </w:style>
  <w:style w:type="paragraph" w:styleId="ListParagraph">
    <w:name w:val="List Paragraph"/>
    <w:basedOn w:val="Normal"/>
    <w:uiPriority w:val="34"/>
    <w:qFormat/>
    <w:rsid w:val="00445D5E"/>
    <w:pPr>
      <w:ind w:left="720"/>
      <w:contextualSpacing/>
    </w:pPr>
  </w:style>
  <w:style w:type="character" w:customStyle="1" w:styleId="OutlineNumbered1Char">
    <w:name w:val="Outline Numbered 1 Char"/>
    <w:basedOn w:val="DefaultParagraphFont"/>
    <w:link w:val="OutlineNumbered1"/>
    <w:rsid w:val="00C137A2"/>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mc.gov.au/government/commonwealth-coat-arm" TargetMode="External"/><Relationship Id="rId18" Type="http://schemas.openxmlformats.org/officeDocument/2006/relationships/hyperlink" Target="mailto:SafeHarbourReview@treasury.gov.a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treasury.gov.au/review/review-of-the-insolvent-trading-safe-harbour/terms-of-refer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hyperlink" Target="http://creativecommons.org/licenses/by/3.0/au/legalcode" TargetMode="External"/><Relationship Id="rId19" Type="http://schemas.openxmlformats.org/officeDocument/2006/relationships/hyperlink" Target="mailto:SafeHarbourReview@treasury.gov.au" TargetMode="Externa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eader" Target="header5.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76D9A5EE9C417DA86DCDB5A57DD37C"/>
        <w:category>
          <w:name w:val="General"/>
          <w:gallery w:val="placeholder"/>
        </w:category>
        <w:types>
          <w:type w:val="bbPlcHdr"/>
        </w:types>
        <w:behaviors>
          <w:behavior w:val="content"/>
        </w:behaviors>
        <w:guid w:val="{7590C8A3-868E-46A9-96D1-62BB88459271}"/>
      </w:docPartPr>
      <w:docPartBody>
        <w:p w:rsidR="004E257B" w:rsidRDefault="004E257B">
          <w:pPr>
            <w:pStyle w:val="B376D9A5EE9C417DA86DCDB5A57DD37C"/>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7B"/>
    <w:rsid w:val="00123528"/>
    <w:rsid w:val="004E257B"/>
    <w:rsid w:val="007F115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76D9A5EE9C417DA86DCDB5A57DD37C">
    <w:name w:val="B376D9A5EE9C417DA86DCDB5A57DD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Review of the insolvent trading safe harbour</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insolvent trading safe harbour</dc:title>
  <dc:subject/>
  <dc:creator/>
  <cp:keywords/>
  <dc:description/>
  <cp:lastModifiedBy/>
  <cp:revision>1</cp:revision>
  <dcterms:created xsi:type="dcterms:W3CDTF">2021-09-02T02:30:00Z</dcterms:created>
  <dcterms:modified xsi:type="dcterms:W3CDTF">2021-09-02T02:30:00Z</dcterms:modified>
  <cp:category/>
</cp:coreProperties>
</file>